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D1" w:rsidRDefault="00EB02D1" w:rsidP="00EB02D1">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EB02D1" w:rsidRDefault="00EB02D1" w:rsidP="00EB02D1">
      <w:pPr>
        <w:pStyle w:val="HTMLPreformatted"/>
        <w:jc w:val="center"/>
        <w:rPr>
          <w:rFonts w:ascii="Times New Roman" w:hAnsi="Times New Roman" w:cs="Times New Roman"/>
          <w:sz w:val="24"/>
          <w:szCs w:val="24"/>
        </w:rPr>
      </w:pPr>
      <w:r>
        <w:rPr>
          <w:rFonts w:ascii="Times New Roman" w:hAnsi="Times New Roman" w:cs="Times New Roman"/>
          <w:b/>
          <w:bCs/>
          <w:sz w:val="24"/>
          <w:szCs w:val="24"/>
        </w:rPr>
        <w:t>THE PUBLIC UTILITIES COMMISSION OF OHIO</w:t>
      </w:r>
    </w:p>
    <w:tbl>
      <w:tblPr>
        <w:tblW w:w="9092" w:type="dxa"/>
        <w:tblInd w:w="-106" w:type="dxa"/>
        <w:tblLook w:val="01E0" w:firstRow="1" w:lastRow="1" w:firstColumn="1" w:lastColumn="1" w:noHBand="0" w:noVBand="0"/>
      </w:tblPr>
      <w:tblGrid>
        <w:gridCol w:w="4332"/>
        <w:gridCol w:w="360"/>
        <w:gridCol w:w="4400"/>
      </w:tblGrid>
      <w:tr w:rsidR="00EB02D1" w:rsidTr="008F46E9">
        <w:trPr>
          <w:trHeight w:val="807"/>
        </w:trPr>
        <w:tc>
          <w:tcPr>
            <w:tcW w:w="4332"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Investigation of Ohio’s Retail Electric Service Market.</w:t>
            </w:r>
          </w:p>
          <w:p w:rsidR="00EB02D1" w:rsidRDefault="00EB02D1" w:rsidP="008F46E9">
            <w:pPr>
              <w:pStyle w:val="HTMLPreformatted"/>
              <w:rPr>
                <w:rFonts w:ascii="Times New Roman" w:hAnsi="Times New Roman" w:cs="Times New Roman"/>
                <w:sz w:val="24"/>
                <w:szCs w:val="24"/>
              </w:rPr>
            </w:pPr>
          </w:p>
        </w:tc>
        <w:tc>
          <w:tcPr>
            <w:tcW w:w="360"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w:t>
            </w:r>
          </w:p>
          <w:p w:rsidR="00EB02D1" w:rsidRDefault="00EB02D1" w:rsidP="008F46E9">
            <w:pPr>
              <w:pStyle w:val="HTMLPreformatted"/>
              <w:rPr>
                <w:rFonts w:ascii="Times New Roman" w:hAnsi="Times New Roman" w:cs="Times New Roman"/>
                <w:sz w:val="24"/>
                <w:szCs w:val="24"/>
              </w:rPr>
            </w:pPr>
          </w:p>
        </w:tc>
        <w:tc>
          <w:tcPr>
            <w:tcW w:w="4400" w:type="dxa"/>
          </w:tcPr>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p>
          <w:p w:rsidR="00EB02D1" w:rsidRDefault="00EB02D1" w:rsidP="008F46E9">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EB02D1" w:rsidRDefault="00EB02D1" w:rsidP="008F46E9">
            <w:pPr>
              <w:pStyle w:val="HTMLPreformatted"/>
              <w:rPr>
                <w:rFonts w:ascii="Times New Roman" w:hAnsi="Times New Roman" w:cs="Times New Roman"/>
                <w:sz w:val="24"/>
                <w:szCs w:val="24"/>
              </w:rPr>
            </w:pPr>
          </w:p>
        </w:tc>
      </w:tr>
    </w:tbl>
    <w:p w:rsidR="00EB02D1" w:rsidRDefault="00EB02D1" w:rsidP="00EB02D1">
      <w:pPr>
        <w:pBdr>
          <w:bottom w:val="single" w:sz="12" w:space="1" w:color="auto"/>
        </w:pBdr>
      </w:pPr>
    </w:p>
    <w:p w:rsidR="00EB02D1" w:rsidRDefault="00EB02D1" w:rsidP="00EB02D1"/>
    <w:p w:rsidR="00C04040" w:rsidRDefault="00132B6F" w:rsidP="00C04040">
      <w:pPr>
        <w:jc w:val="center"/>
        <w:rPr>
          <w:b/>
          <w:bCs/>
        </w:rPr>
      </w:pPr>
      <w:r>
        <w:rPr>
          <w:b/>
          <w:bCs/>
        </w:rPr>
        <w:t xml:space="preserve">REPLY </w:t>
      </w:r>
      <w:r w:rsidR="00EB02D1">
        <w:rPr>
          <w:b/>
          <w:bCs/>
        </w:rPr>
        <w:t>COMMENTS</w:t>
      </w:r>
      <w:r w:rsidR="00C04040" w:rsidRPr="00C04040">
        <w:rPr>
          <w:b/>
          <w:bCs/>
        </w:rPr>
        <w:t xml:space="preserve"> </w:t>
      </w:r>
      <w:r w:rsidR="00C04040">
        <w:rPr>
          <w:b/>
          <w:bCs/>
        </w:rPr>
        <w:t>IN RESPONSE TO PUCO’S ENTRY</w:t>
      </w:r>
    </w:p>
    <w:p w:rsidR="00C04040" w:rsidRDefault="00C04040" w:rsidP="0043686E">
      <w:pPr>
        <w:jc w:val="center"/>
        <w:rPr>
          <w:b/>
          <w:bCs/>
        </w:rPr>
      </w:pPr>
      <w:r>
        <w:rPr>
          <w:b/>
          <w:bCs/>
        </w:rPr>
        <w:t>OF JUNE 5, 2013</w:t>
      </w:r>
    </w:p>
    <w:p w:rsidR="00EB02D1" w:rsidRDefault="00EB02D1" w:rsidP="00EB02D1">
      <w:pPr>
        <w:jc w:val="center"/>
        <w:rPr>
          <w:b/>
          <w:bCs/>
        </w:rPr>
      </w:pPr>
      <w:r>
        <w:rPr>
          <w:b/>
          <w:bCs/>
        </w:rPr>
        <w:t>BY</w:t>
      </w:r>
    </w:p>
    <w:p w:rsidR="00EB02D1" w:rsidRDefault="00EB02D1" w:rsidP="00EB02D1">
      <w:pPr>
        <w:jc w:val="center"/>
        <w:rPr>
          <w:b/>
          <w:bCs/>
        </w:rPr>
      </w:pPr>
      <w:r>
        <w:rPr>
          <w:b/>
          <w:bCs/>
        </w:rPr>
        <w:t>THE OFFICE OF THE OHIO CONSUMERS’ COUNSEL</w:t>
      </w:r>
    </w:p>
    <w:p w:rsidR="00EB02D1" w:rsidRDefault="00EB02D1" w:rsidP="00EB02D1">
      <w:pPr>
        <w:pBdr>
          <w:bottom w:val="single" w:sz="12" w:space="1" w:color="auto"/>
        </w:pBdr>
        <w:jc w:val="center"/>
        <w:rPr>
          <w:b/>
          <w:bCs/>
        </w:rPr>
      </w:pPr>
    </w:p>
    <w:p w:rsidR="00EB02D1" w:rsidRDefault="00EB02D1" w:rsidP="00EB02D1"/>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rsidP="000B1E4E">
      <w:pPr>
        <w:pStyle w:val="InsideAddress"/>
        <w:tabs>
          <w:tab w:val="left" w:pos="4230"/>
          <w:tab w:val="left" w:pos="4320"/>
        </w:tabs>
        <w:autoSpaceDE w:val="0"/>
        <w:autoSpaceDN w:val="0"/>
        <w:adjustRightInd w:val="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D932A4" w:rsidRDefault="00D932A4"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EB02D1" w:rsidRDefault="00EB02D1" w:rsidP="00EB02D1">
      <w:pPr>
        <w:pStyle w:val="Footer"/>
        <w:tabs>
          <w:tab w:val="clear" w:pos="4320"/>
          <w:tab w:val="clear" w:pos="8640"/>
        </w:tabs>
        <w:autoSpaceDE w:val="0"/>
        <w:autoSpaceDN w:val="0"/>
        <w:adjustRightInd w:val="0"/>
        <w:ind w:left="4320"/>
      </w:pPr>
      <w:r>
        <w:t>OHIO CONSUMERS’ COUNSEL</w:t>
      </w:r>
    </w:p>
    <w:p w:rsidR="00EB02D1" w:rsidRDefault="00EB02D1" w:rsidP="00EB02D1">
      <w:pPr>
        <w:tabs>
          <w:tab w:val="left" w:pos="4230"/>
          <w:tab w:val="left" w:pos="4320"/>
        </w:tabs>
        <w:ind w:left="4320"/>
      </w:pPr>
    </w:p>
    <w:p w:rsidR="00EB02D1" w:rsidRDefault="00EB02D1" w:rsidP="00EB02D1">
      <w:pPr>
        <w:tabs>
          <w:tab w:val="left" w:pos="4230"/>
          <w:tab w:val="left" w:pos="4320"/>
        </w:tabs>
        <w:ind w:left="4320"/>
      </w:pPr>
    </w:p>
    <w:p w:rsidR="00EB02D1" w:rsidRDefault="00EB02D1" w:rsidP="00EB02D1">
      <w:pPr>
        <w:suppressAutoHyphens/>
        <w:ind w:left="4320"/>
      </w:pPr>
      <w:r>
        <w:t>Maureen R. Grady, Counsel of Record</w:t>
      </w:r>
    </w:p>
    <w:p w:rsidR="00EB02D1" w:rsidRDefault="00EB02D1" w:rsidP="00EB02D1">
      <w:pPr>
        <w:suppressAutoHyphens/>
        <w:ind w:left="4320"/>
      </w:pPr>
      <w:r>
        <w:t>Joseph P. Serio</w:t>
      </w:r>
    </w:p>
    <w:p w:rsidR="000239A6" w:rsidRDefault="000239A6" w:rsidP="00EB02D1">
      <w:pPr>
        <w:suppressAutoHyphens/>
        <w:ind w:left="4320"/>
      </w:pPr>
      <w:r>
        <w:t>Edmund “Tad” Berger</w:t>
      </w:r>
    </w:p>
    <w:p w:rsidR="006C6863" w:rsidRDefault="006C6863" w:rsidP="00EB02D1">
      <w:pPr>
        <w:suppressAutoHyphens/>
        <w:ind w:left="4320"/>
      </w:pPr>
      <w:r>
        <w:t>Michael J. Schuler</w:t>
      </w:r>
    </w:p>
    <w:p w:rsidR="00EB02D1" w:rsidRDefault="00EB02D1" w:rsidP="00EB02D1">
      <w:pPr>
        <w:suppressAutoHyphens/>
        <w:ind w:left="4320"/>
      </w:pPr>
      <w:r>
        <w:t>Assistant Consumers’ Counsel</w:t>
      </w:r>
    </w:p>
    <w:p w:rsidR="00EB02D1" w:rsidRDefault="00EB02D1" w:rsidP="00EB02D1">
      <w:pPr>
        <w:tabs>
          <w:tab w:val="left" w:pos="4230"/>
          <w:tab w:val="left" w:pos="4320"/>
        </w:tabs>
        <w:ind w:left="4320"/>
      </w:pPr>
    </w:p>
    <w:p w:rsidR="00EB02D1" w:rsidRDefault="00EB02D1" w:rsidP="00EB02D1">
      <w:pPr>
        <w:suppressAutoHyphens/>
        <w:ind w:left="4320"/>
        <w:rPr>
          <w:b/>
          <w:bCs/>
        </w:rPr>
      </w:pPr>
      <w:r>
        <w:rPr>
          <w:b/>
          <w:bCs/>
        </w:rPr>
        <w:t>Office of the Ohio Consumers’ Counsel</w:t>
      </w:r>
    </w:p>
    <w:p w:rsidR="00EB02D1" w:rsidRDefault="00EB02D1" w:rsidP="00EB02D1">
      <w:pPr>
        <w:suppressAutoHyphens/>
        <w:ind w:left="4320"/>
      </w:pPr>
      <w:r>
        <w:t>10 West Broad Street, Suite 1800</w:t>
      </w:r>
    </w:p>
    <w:p w:rsidR="00EB02D1" w:rsidRDefault="00EB02D1" w:rsidP="00EB02D1">
      <w:pPr>
        <w:suppressAutoHyphens/>
        <w:ind w:left="4320"/>
      </w:pPr>
      <w:r>
        <w:t>Columbus, Ohio43215-3485</w:t>
      </w:r>
    </w:p>
    <w:p w:rsidR="00EB02D1" w:rsidRDefault="00EB02D1" w:rsidP="00EB02D1">
      <w:pPr>
        <w:suppressAutoHyphens/>
        <w:ind w:left="4320"/>
      </w:pPr>
      <w:r>
        <w:t>(614) 466-</w:t>
      </w:r>
      <w:r w:rsidR="005F78B4">
        <w:t>9567</w:t>
      </w:r>
      <w:r>
        <w:t xml:space="preserve"> – Telephone</w:t>
      </w:r>
      <w:r w:rsidR="005F78B4">
        <w:t xml:space="preserve"> (Grady)</w:t>
      </w:r>
    </w:p>
    <w:p w:rsidR="00A34DEA" w:rsidRDefault="00EB02D1" w:rsidP="00EB02D1">
      <w:pPr>
        <w:suppressAutoHyphens/>
        <w:ind w:left="4320"/>
      </w:pPr>
      <w:r>
        <w:t>(614) 466-9475 – Facsimile</w:t>
      </w:r>
    </w:p>
    <w:p w:rsidR="00EB02D1" w:rsidRDefault="002C3F5B" w:rsidP="00EB02D1">
      <w:pPr>
        <w:ind w:left="4320"/>
      </w:pPr>
      <w:hyperlink r:id="rId8" w:history="1">
        <w:r w:rsidR="00EB02D1">
          <w:rPr>
            <w:rStyle w:val="Hyperlink"/>
          </w:rPr>
          <w:t>grady@occ.state.oh.us</w:t>
        </w:r>
      </w:hyperlink>
    </w:p>
    <w:p w:rsidR="00A34DEA" w:rsidRDefault="00A34DEA" w:rsidP="00EB02D1">
      <w:pPr>
        <w:rPr>
          <w:rStyle w:val="Hyperlink"/>
          <w:u w:val="none"/>
        </w:rPr>
      </w:pPr>
      <w:r>
        <w:tab/>
      </w:r>
      <w:r w:rsidR="00EB02D1">
        <w:tab/>
      </w:r>
      <w:r w:rsidR="00EB02D1">
        <w:tab/>
      </w:r>
      <w:r w:rsidR="00EB02D1">
        <w:tab/>
      </w:r>
      <w:r w:rsidR="00EB02D1">
        <w:tab/>
      </w:r>
      <w:r w:rsidR="00EB02D1">
        <w:tab/>
      </w:r>
      <w:hyperlink r:id="rId9" w:history="1">
        <w:r w:rsidR="00EB02D1">
          <w:rPr>
            <w:rStyle w:val="Hyperlink"/>
          </w:rPr>
          <w:t>serio@occ.state.oh.us</w:t>
        </w:r>
      </w:hyperlink>
    </w:p>
    <w:p w:rsidR="00A34DEA" w:rsidRDefault="00A34DEA" w:rsidP="00EB02D1">
      <w:pPr>
        <w:rPr>
          <w:rStyle w:val="Hyperlink"/>
          <w:color w:val="auto"/>
          <w:u w:val="none"/>
        </w:rPr>
      </w:pPr>
      <w:r>
        <w:rPr>
          <w:rStyle w:val="Hyperlink"/>
          <w:color w:val="auto"/>
          <w:u w:val="none"/>
        </w:rPr>
        <w:t xml:space="preserve">July </w:t>
      </w:r>
      <w:r w:rsidR="00B300E0">
        <w:rPr>
          <w:rStyle w:val="Hyperlink"/>
          <w:color w:val="auto"/>
          <w:u w:val="none"/>
        </w:rPr>
        <w:t>22</w:t>
      </w:r>
      <w:r>
        <w:rPr>
          <w:rStyle w:val="Hyperlink"/>
          <w:color w:val="auto"/>
          <w:u w:val="none"/>
        </w:rPr>
        <w:t>, 2013</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hyperlink r:id="rId10" w:history="1">
        <w:r w:rsidRPr="00183C5C">
          <w:rPr>
            <w:rStyle w:val="Hyperlink"/>
          </w:rPr>
          <w:t>berger@occ.state.oh.us</w:t>
        </w:r>
      </w:hyperlink>
    </w:p>
    <w:p w:rsidR="00D932A4" w:rsidRDefault="006C6863" w:rsidP="00EB02D1">
      <w:pPr>
        <w:sectPr w:rsidR="00D932A4" w:rsidSect="008F46E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fmt="lowerRoman" w:start="1"/>
          <w:cols w:space="720"/>
          <w:docGrid w:linePitch="360"/>
        </w:sectPr>
      </w:pPr>
      <w:r>
        <w:tab/>
      </w:r>
      <w:r>
        <w:tab/>
      </w:r>
      <w:r>
        <w:tab/>
      </w:r>
      <w:r>
        <w:tab/>
      </w:r>
      <w:r>
        <w:tab/>
      </w:r>
      <w:r>
        <w:tab/>
      </w:r>
      <w:hyperlink r:id="rId17" w:history="1">
        <w:r w:rsidR="00D932A4" w:rsidRPr="001D502E">
          <w:rPr>
            <w:rStyle w:val="Hyperlink"/>
          </w:rPr>
          <w:t>schuler@occ.state.oh.us</w:t>
        </w:r>
      </w:hyperlink>
    </w:p>
    <w:p w:rsidR="00EB02D1" w:rsidRDefault="00EB02D1" w:rsidP="00EB02D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EB02D1" w:rsidRDefault="00EB02D1" w:rsidP="00EB02D1">
      <w:pPr>
        <w:pStyle w:val="HTMLPreformatted"/>
        <w:rPr>
          <w:rFonts w:ascii="Times New Roman" w:hAnsi="Times New Roman" w:cs="Times New Roman"/>
          <w:b/>
          <w:bCs/>
          <w:sz w:val="24"/>
          <w:szCs w:val="24"/>
        </w:rPr>
      </w:pPr>
    </w:p>
    <w:p w:rsidR="00EB02D1" w:rsidRDefault="00EB02D1" w:rsidP="00EB02D1">
      <w:pPr>
        <w:pStyle w:val="HTMLPreformatte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F46E9">
        <w:rPr>
          <w:rFonts w:ascii="Times New Roman" w:hAnsi="Times New Roman" w:cs="Times New Roman"/>
          <w:b/>
          <w:bCs/>
          <w:sz w:val="24"/>
          <w:szCs w:val="24"/>
        </w:rPr>
        <w:t xml:space="preserve">          </w:t>
      </w:r>
      <w:r>
        <w:rPr>
          <w:rFonts w:ascii="Times New Roman" w:hAnsi="Times New Roman" w:cs="Times New Roman"/>
          <w:b/>
          <w:bCs/>
          <w:sz w:val="24"/>
          <w:szCs w:val="24"/>
        </w:rPr>
        <w:t>PAGE</w:t>
      </w:r>
    </w:p>
    <w:p w:rsidR="004315CC" w:rsidRDefault="004315CC" w:rsidP="00EB02D1">
      <w:pPr>
        <w:pStyle w:val="HTMLPreformatted"/>
        <w:rPr>
          <w:rFonts w:ascii="Times New Roman" w:hAnsi="Times New Roman" w:cs="Times New Roman"/>
          <w:b/>
          <w:bCs/>
          <w:sz w:val="24"/>
          <w:szCs w:val="24"/>
        </w:rPr>
      </w:pPr>
    </w:p>
    <w:p w:rsidR="00F46E8F" w:rsidRPr="00C773D8" w:rsidRDefault="008E3445">
      <w:pPr>
        <w:pStyle w:val="TOC1"/>
        <w:rPr>
          <w:rFonts w:ascii="Calibri" w:eastAsia="MS Mincho" w:hAnsi="Calibri"/>
          <w:caps w:val="0"/>
          <w:noProof/>
          <w:sz w:val="22"/>
          <w:szCs w:val="22"/>
        </w:rPr>
      </w:pPr>
      <w:r>
        <w:rPr>
          <w:b/>
          <w:bCs/>
        </w:rPr>
        <w:fldChar w:fldCharType="begin"/>
      </w:r>
      <w:r>
        <w:rPr>
          <w:b/>
          <w:bCs/>
        </w:rPr>
        <w:instrText xml:space="preserve"> TOC \o "1-3" \h \z \u </w:instrText>
      </w:r>
      <w:r>
        <w:rPr>
          <w:b/>
          <w:bCs/>
        </w:rPr>
        <w:fldChar w:fldCharType="separate"/>
      </w:r>
      <w:hyperlink w:anchor="_Toc362249266" w:history="1">
        <w:r w:rsidR="00F46E8F" w:rsidRPr="00D014D6">
          <w:rPr>
            <w:rStyle w:val="Hyperlink"/>
            <w:noProof/>
          </w:rPr>
          <w:t>I.</w:t>
        </w:r>
        <w:r w:rsidR="00F46E8F" w:rsidRPr="00C773D8">
          <w:rPr>
            <w:rFonts w:ascii="Calibri" w:eastAsia="MS Mincho" w:hAnsi="Calibri"/>
            <w:caps w:val="0"/>
            <w:noProof/>
            <w:sz w:val="22"/>
            <w:szCs w:val="22"/>
          </w:rPr>
          <w:tab/>
        </w:r>
        <w:r w:rsidR="00F46E8F" w:rsidRPr="00D014D6">
          <w:rPr>
            <w:rStyle w:val="Hyperlink"/>
            <w:noProof/>
          </w:rPr>
          <w:t>INTRODUCTION</w:t>
        </w:r>
        <w:r w:rsidR="00F46E8F">
          <w:rPr>
            <w:noProof/>
            <w:webHidden/>
          </w:rPr>
          <w:tab/>
        </w:r>
        <w:r w:rsidR="00F46E8F">
          <w:rPr>
            <w:noProof/>
            <w:webHidden/>
          </w:rPr>
          <w:fldChar w:fldCharType="begin"/>
        </w:r>
        <w:r w:rsidR="00F46E8F">
          <w:rPr>
            <w:noProof/>
            <w:webHidden/>
          </w:rPr>
          <w:instrText xml:space="preserve"> PAGEREF _Toc362249266 \h </w:instrText>
        </w:r>
        <w:r w:rsidR="00F46E8F">
          <w:rPr>
            <w:noProof/>
            <w:webHidden/>
          </w:rPr>
        </w:r>
        <w:r w:rsidR="00F46E8F">
          <w:rPr>
            <w:noProof/>
            <w:webHidden/>
          </w:rPr>
          <w:fldChar w:fldCharType="separate"/>
        </w:r>
        <w:r w:rsidR="002D7D3B">
          <w:rPr>
            <w:noProof/>
            <w:webHidden/>
          </w:rPr>
          <w:t>1</w:t>
        </w:r>
        <w:r w:rsidR="00F46E8F">
          <w:rPr>
            <w:noProof/>
            <w:webHidden/>
          </w:rPr>
          <w:fldChar w:fldCharType="end"/>
        </w:r>
      </w:hyperlink>
    </w:p>
    <w:p w:rsidR="00F46E8F" w:rsidRPr="00C773D8" w:rsidRDefault="002C3F5B">
      <w:pPr>
        <w:pStyle w:val="TOC1"/>
        <w:rPr>
          <w:rFonts w:ascii="Calibri" w:eastAsia="MS Mincho" w:hAnsi="Calibri"/>
          <w:caps w:val="0"/>
          <w:noProof/>
          <w:sz w:val="22"/>
          <w:szCs w:val="22"/>
        </w:rPr>
      </w:pPr>
      <w:hyperlink w:anchor="_Toc362249267" w:history="1">
        <w:r w:rsidR="00F46E8F" w:rsidRPr="00D014D6">
          <w:rPr>
            <w:rStyle w:val="Hyperlink"/>
            <w:noProof/>
          </w:rPr>
          <w:t>II.</w:t>
        </w:r>
        <w:r w:rsidR="00F46E8F" w:rsidRPr="00C773D8">
          <w:rPr>
            <w:rFonts w:ascii="Calibri" w:eastAsia="MS Mincho" w:hAnsi="Calibri"/>
            <w:caps w:val="0"/>
            <w:noProof/>
            <w:sz w:val="22"/>
            <w:szCs w:val="22"/>
          </w:rPr>
          <w:tab/>
        </w:r>
        <w:r w:rsidR="00F46E8F" w:rsidRPr="00D014D6">
          <w:rPr>
            <w:rStyle w:val="Hyperlink"/>
            <w:noProof/>
          </w:rPr>
          <w:t>REPLY COMMENTS</w:t>
        </w:r>
        <w:r w:rsidR="00F46E8F">
          <w:rPr>
            <w:noProof/>
            <w:webHidden/>
          </w:rPr>
          <w:tab/>
        </w:r>
        <w:r w:rsidR="00F46E8F">
          <w:rPr>
            <w:noProof/>
            <w:webHidden/>
          </w:rPr>
          <w:fldChar w:fldCharType="begin"/>
        </w:r>
        <w:r w:rsidR="00F46E8F">
          <w:rPr>
            <w:noProof/>
            <w:webHidden/>
          </w:rPr>
          <w:instrText xml:space="preserve"> PAGEREF _Toc362249267 \h </w:instrText>
        </w:r>
        <w:r w:rsidR="00F46E8F">
          <w:rPr>
            <w:noProof/>
            <w:webHidden/>
          </w:rPr>
        </w:r>
        <w:r w:rsidR="00F46E8F">
          <w:rPr>
            <w:noProof/>
            <w:webHidden/>
          </w:rPr>
          <w:fldChar w:fldCharType="separate"/>
        </w:r>
        <w:r w:rsidR="002D7D3B">
          <w:rPr>
            <w:noProof/>
            <w:webHidden/>
          </w:rPr>
          <w:t>1</w:t>
        </w:r>
        <w:r w:rsidR="00F46E8F">
          <w:rPr>
            <w:noProof/>
            <w:webHidden/>
          </w:rPr>
          <w:fldChar w:fldCharType="end"/>
        </w:r>
      </w:hyperlink>
    </w:p>
    <w:p w:rsidR="00F46E8F" w:rsidRPr="00C773D8" w:rsidRDefault="002C3F5B">
      <w:pPr>
        <w:pStyle w:val="TOC2"/>
        <w:tabs>
          <w:tab w:val="left" w:pos="1440"/>
        </w:tabs>
        <w:rPr>
          <w:rFonts w:ascii="Calibri" w:eastAsia="MS Mincho" w:hAnsi="Calibri"/>
          <w:noProof/>
          <w:sz w:val="22"/>
          <w:szCs w:val="22"/>
        </w:rPr>
      </w:pPr>
      <w:hyperlink w:anchor="_Toc362249268" w:history="1">
        <w:r w:rsidR="00F46E8F" w:rsidRPr="00D014D6">
          <w:rPr>
            <w:rStyle w:val="Hyperlink"/>
            <w:noProof/>
          </w:rPr>
          <w:t>A.</w:t>
        </w:r>
        <w:r w:rsidR="00F46E8F" w:rsidRPr="00C773D8">
          <w:rPr>
            <w:rFonts w:ascii="Calibri" w:eastAsia="MS Mincho" w:hAnsi="Calibri"/>
            <w:noProof/>
            <w:sz w:val="22"/>
            <w:szCs w:val="22"/>
          </w:rPr>
          <w:tab/>
        </w:r>
        <w:r w:rsidR="00F46E8F" w:rsidRPr="00D014D6">
          <w:rPr>
            <w:rStyle w:val="Hyperlink"/>
            <w:noProof/>
          </w:rPr>
          <w:t>The PUCO’S MARKET DESIGN QUESTIONS</w:t>
        </w:r>
        <w:r w:rsidR="00F46E8F">
          <w:rPr>
            <w:noProof/>
            <w:webHidden/>
          </w:rPr>
          <w:tab/>
        </w:r>
        <w:r w:rsidR="00F46E8F">
          <w:rPr>
            <w:noProof/>
            <w:webHidden/>
          </w:rPr>
          <w:fldChar w:fldCharType="begin"/>
        </w:r>
        <w:r w:rsidR="00F46E8F">
          <w:rPr>
            <w:noProof/>
            <w:webHidden/>
          </w:rPr>
          <w:instrText xml:space="preserve"> PAGEREF _Toc362249268 \h </w:instrText>
        </w:r>
        <w:r w:rsidR="00F46E8F">
          <w:rPr>
            <w:noProof/>
            <w:webHidden/>
          </w:rPr>
        </w:r>
        <w:r w:rsidR="00F46E8F">
          <w:rPr>
            <w:noProof/>
            <w:webHidden/>
          </w:rPr>
          <w:fldChar w:fldCharType="separate"/>
        </w:r>
        <w:r w:rsidR="002D7D3B">
          <w:rPr>
            <w:noProof/>
            <w:webHidden/>
          </w:rPr>
          <w:t>1</w:t>
        </w:r>
        <w:r w:rsidR="00F46E8F">
          <w:rPr>
            <w:noProof/>
            <w:webHidden/>
          </w:rPr>
          <w:fldChar w:fldCharType="end"/>
        </w:r>
      </w:hyperlink>
    </w:p>
    <w:p w:rsidR="00F46E8F" w:rsidRPr="00C773D8" w:rsidRDefault="002C3F5B">
      <w:pPr>
        <w:pStyle w:val="TOC3"/>
        <w:tabs>
          <w:tab w:val="left" w:pos="2160"/>
        </w:tabs>
        <w:rPr>
          <w:rFonts w:ascii="Calibri" w:eastAsia="MS Mincho" w:hAnsi="Calibri"/>
          <w:noProof/>
          <w:sz w:val="22"/>
          <w:szCs w:val="22"/>
        </w:rPr>
      </w:pPr>
      <w:hyperlink w:anchor="_Toc362249269" w:history="1">
        <w:r w:rsidR="00F46E8F" w:rsidRPr="00D014D6">
          <w:rPr>
            <w:rStyle w:val="Hyperlink"/>
            <w:noProof/>
          </w:rPr>
          <w:t>(a)</w:t>
        </w:r>
        <w:r w:rsidR="00F46E8F" w:rsidRPr="00C773D8">
          <w:rPr>
            <w:rFonts w:ascii="Calibri" w:eastAsia="MS Mincho" w:hAnsi="Calibri"/>
            <w:noProof/>
            <w:sz w:val="22"/>
            <w:szCs w:val="22"/>
          </w:rPr>
          <w:tab/>
        </w:r>
        <w:r w:rsidR="00F46E8F" w:rsidRPr="00D014D6">
          <w:rPr>
            <w:rStyle w:val="Hyperlink"/>
            <w:noProof/>
          </w:rPr>
          <w:t xml:space="preserve">Comments were filed suggesting that the relationship between an incumbent electric distribution utility and a customer should be neither terminated nor encouraged.  Does this comment pertain </w:t>
        </w:r>
        <w:r w:rsidR="00F46E8F">
          <w:rPr>
            <w:rStyle w:val="Hyperlink"/>
            <w:noProof/>
          </w:rPr>
          <w:br/>
        </w:r>
        <w:r w:rsidR="00F46E8F" w:rsidRPr="00D014D6">
          <w:rPr>
            <w:rStyle w:val="Hyperlink"/>
            <w:noProof/>
          </w:rPr>
          <w:t>to distribution service or to generation service?</w:t>
        </w:r>
        <w:r w:rsidR="00F46E8F">
          <w:rPr>
            <w:noProof/>
            <w:webHidden/>
          </w:rPr>
          <w:tab/>
        </w:r>
        <w:r w:rsidR="00F46E8F">
          <w:rPr>
            <w:noProof/>
            <w:webHidden/>
          </w:rPr>
          <w:fldChar w:fldCharType="begin"/>
        </w:r>
        <w:r w:rsidR="00F46E8F">
          <w:rPr>
            <w:noProof/>
            <w:webHidden/>
          </w:rPr>
          <w:instrText xml:space="preserve"> PAGEREF _Toc362249269 \h </w:instrText>
        </w:r>
        <w:r w:rsidR="00F46E8F">
          <w:rPr>
            <w:noProof/>
            <w:webHidden/>
          </w:rPr>
        </w:r>
        <w:r w:rsidR="00F46E8F">
          <w:rPr>
            <w:noProof/>
            <w:webHidden/>
          </w:rPr>
          <w:fldChar w:fldCharType="separate"/>
        </w:r>
        <w:r w:rsidR="002D7D3B">
          <w:rPr>
            <w:noProof/>
            <w:webHidden/>
          </w:rPr>
          <w:t>1</w:t>
        </w:r>
        <w:r w:rsidR="00F46E8F">
          <w:rPr>
            <w:noProof/>
            <w:webHidden/>
          </w:rPr>
          <w:fldChar w:fldCharType="end"/>
        </w:r>
      </w:hyperlink>
    </w:p>
    <w:p w:rsidR="00F46E8F" w:rsidRPr="00C773D8" w:rsidRDefault="002C3F5B">
      <w:pPr>
        <w:pStyle w:val="TOC3"/>
        <w:tabs>
          <w:tab w:val="left" w:pos="2160"/>
        </w:tabs>
        <w:rPr>
          <w:rFonts w:ascii="Calibri" w:eastAsia="MS Mincho" w:hAnsi="Calibri"/>
          <w:noProof/>
          <w:sz w:val="22"/>
          <w:szCs w:val="22"/>
        </w:rPr>
      </w:pPr>
      <w:hyperlink w:anchor="_Toc362249270" w:history="1">
        <w:r w:rsidR="00F46E8F" w:rsidRPr="00D014D6">
          <w:rPr>
            <w:rStyle w:val="Hyperlink"/>
            <w:noProof/>
          </w:rPr>
          <w:t xml:space="preserve">(b) </w:t>
        </w:r>
        <w:r w:rsidR="00F46E8F" w:rsidRPr="00C773D8">
          <w:rPr>
            <w:rFonts w:ascii="Calibri" w:eastAsia="MS Mincho" w:hAnsi="Calibri"/>
            <w:noProof/>
            <w:sz w:val="22"/>
            <w:szCs w:val="22"/>
          </w:rPr>
          <w:tab/>
        </w:r>
        <w:r w:rsidR="00F46E8F" w:rsidRPr="00D014D6">
          <w:rPr>
            <w:rStyle w:val="Hyperlink"/>
            <w:noProof/>
          </w:rPr>
          <w:t xml:space="preserve">If predatory pricing or other market factors become a barrier to </w:t>
        </w:r>
        <w:r w:rsidR="00F46E8F">
          <w:rPr>
            <w:rStyle w:val="Hyperlink"/>
            <w:noProof/>
          </w:rPr>
          <w:br/>
        </w:r>
        <w:r w:rsidR="00F46E8F" w:rsidRPr="00D014D6">
          <w:rPr>
            <w:rStyle w:val="Hyperlink"/>
            <w:noProof/>
          </w:rPr>
          <w:t>a fully functional competitive retail electric service market, can and should the Commission regulate predatory pricing or other market factors?</w:t>
        </w:r>
        <w:r w:rsidR="00F46E8F">
          <w:rPr>
            <w:noProof/>
            <w:webHidden/>
          </w:rPr>
          <w:tab/>
        </w:r>
        <w:r w:rsidR="00F46E8F">
          <w:rPr>
            <w:noProof/>
            <w:webHidden/>
          </w:rPr>
          <w:fldChar w:fldCharType="begin"/>
        </w:r>
        <w:r w:rsidR="00F46E8F">
          <w:rPr>
            <w:noProof/>
            <w:webHidden/>
          </w:rPr>
          <w:instrText xml:space="preserve"> PAGEREF _Toc362249270 \h </w:instrText>
        </w:r>
        <w:r w:rsidR="00F46E8F">
          <w:rPr>
            <w:noProof/>
            <w:webHidden/>
          </w:rPr>
        </w:r>
        <w:r w:rsidR="00F46E8F">
          <w:rPr>
            <w:noProof/>
            <w:webHidden/>
          </w:rPr>
          <w:fldChar w:fldCharType="separate"/>
        </w:r>
        <w:r w:rsidR="002D7D3B">
          <w:rPr>
            <w:noProof/>
            <w:webHidden/>
          </w:rPr>
          <w:t>4</w:t>
        </w:r>
        <w:r w:rsidR="00F46E8F">
          <w:rPr>
            <w:noProof/>
            <w:webHidden/>
          </w:rPr>
          <w:fldChar w:fldCharType="end"/>
        </w:r>
      </w:hyperlink>
    </w:p>
    <w:p w:rsidR="00F46E8F" w:rsidRPr="00C773D8" w:rsidRDefault="002C3F5B">
      <w:pPr>
        <w:pStyle w:val="TOC3"/>
        <w:tabs>
          <w:tab w:val="left" w:pos="2160"/>
        </w:tabs>
        <w:rPr>
          <w:rFonts w:ascii="Calibri" w:eastAsia="MS Mincho" w:hAnsi="Calibri"/>
          <w:noProof/>
          <w:sz w:val="22"/>
          <w:szCs w:val="22"/>
        </w:rPr>
      </w:pPr>
      <w:hyperlink w:anchor="_Toc362249271" w:history="1">
        <w:r w:rsidR="00F46E8F" w:rsidRPr="00D014D6">
          <w:rPr>
            <w:rStyle w:val="Hyperlink"/>
            <w:noProof/>
          </w:rPr>
          <w:t>(c)</w:t>
        </w:r>
        <w:r w:rsidR="00F46E8F" w:rsidRPr="00C773D8">
          <w:rPr>
            <w:rFonts w:ascii="Calibri" w:eastAsia="MS Mincho" w:hAnsi="Calibri"/>
            <w:noProof/>
            <w:sz w:val="22"/>
            <w:szCs w:val="22"/>
          </w:rPr>
          <w:tab/>
        </w:r>
        <w:r w:rsidR="00F46E8F" w:rsidRPr="00D014D6">
          <w:rPr>
            <w:rStyle w:val="Hyperlink"/>
            <w:noProof/>
          </w:rPr>
          <w:t>In a fully functional retail market, with no merchant or wholesale based default service, should the Commission and/or an independent market monitor have the ability to regulate market power?</w:t>
        </w:r>
        <w:r w:rsidR="00F46E8F">
          <w:rPr>
            <w:noProof/>
            <w:webHidden/>
          </w:rPr>
          <w:tab/>
        </w:r>
        <w:r w:rsidR="00F46E8F">
          <w:rPr>
            <w:noProof/>
            <w:webHidden/>
          </w:rPr>
          <w:fldChar w:fldCharType="begin"/>
        </w:r>
        <w:r w:rsidR="00F46E8F">
          <w:rPr>
            <w:noProof/>
            <w:webHidden/>
          </w:rPr>
          <w:instrText xml:space="preserve"> PAGEREF _Toc362249271 \h </w:instrText>
        </w:r>
        <w:r w:rsidR="00F46E8F">
          <w:rPr>
            <w:noProof/>
            <w:webHidden/>
          </w:rPr>
        </w:r>
        <w:r w:rsidR="00F46E8F">
          <w:rPr>
            <w:noProof/>
            <w:webHidden/>
          </w:rPr>
          <w:fldChar w:fldCharType="separate"/>
        </w:r>
        <w:r w:rsidR="002D7D3B">
          <w:rPr>
            <w:noProof/>
            <w:webHidden/>
          </w:rPr>
          <w:t>6</w:t>
        </w:r>
        <w:r w:rsidR="00F46E8F">
          <w:rPr>
            <w:noProof/>
            <w:webHidden/>
          </w:rPr>
          <w:fldChar w:fldCharType="end"/>
        </w:r>
      </w:hyperlink>
    </w:p>
    <w:p w:rsidR="00F46E8F" w:rsidRPr="00C773D8" w:rsidRDefault="002C3F5B">
      <w:pPr>
        <w:pStyle w:val="TOC3"/>
        <w:tabs>
          <w:tab w:val="left" w:pos="2160"/>
        </w:tabs>
        <w:rPr>
          <w:rFonts w:ascii="Calibri" w:eastAsia="MS Mincho" w:hAnsi="Calibri"/>
          <w:noProof/>
          <w:sz w:val="22"/>
          <w:szCs w:val="22"/>
        </w:rPr>
      </w:pPr>
      <w:hyperlink w:anchor="_Toc362249272" w:history="1">
        <w:r w:rsidR="00F46E8F" w:rsidRPr="00D014D6">
          <w:rPr>
            <w:rStyle w:val="Hyperlink"/>
            <w:noProof/>
          </w:rPr>
          <w:t>(d)</w:t>
        </w:r>
        <w:r w:rsidR="00F46E8F" w:rsidRPr="00C773D8">
          <w:rPr>
            <w:rFonts w:ascii="Calibri" w:eastAsia="MS Mincho" w:hAnsi="Calibri"/>
            <w:noProof/>
            <w:sz w:val="22"/>
            <w:szCs w:val="22"/>
          </w:rPr>
          <w:tab/>
        </w:r>
        <w:r w:rsidR="00F46E8F" w:rsidRPr="00D014D6">
          <w:rPr>
            <w:rStyle w:val="Hyperlink"/>
            <w:noProof/>
          </w:rPr>
          <w:t>Would a time-differentiated standard service offer (SSO) rate cause more shopping based upon customer preference for</w:t>
        </w:r>
        <w:r w:rsidR="00F46E8F">
          <w:rPr>
            <w:rStyle w:val="Hyperlink"/>
            <w:noProof/>
          </w:rPr>
          <w:br/>
        </w:r>
        <w:r w:rsidR="00F46E8F" w:rsidRPr="00D014D6">
          <w:rPr>
            <w:rStyle w:val="Hyperlink"/>
            <w:noProof/>
          </w:rPr>
          <w:t xml:space="preserve"> avoiding uncertainty?</w:t>
        </w:r>
        <w:r w:rsidR="00F46E8F">
          <w:rPr>
            <w:noProof/>
            <w:webHidden/>
          </w:rPr>
          <w:tab/>
        </w:r>
        <w:r w:rsidR="00F46E8F">
          <w:rPr>
            <w:noProof/>
            <w:webHidden/>
          </w:rPr>
          <w:fldChar w:fldCharType="begin"/>
        </w:r>
        <w:r w:rsidR="00F46E8F">
          <w:rPr>
            <w:noProof/>
            <w:webHidden/>
          </w:rPr>
          <w:instrText xml:space="preserve"> PAGEREF _Toc362249272 \h </w:instrText>
        </w:r>
        <w:r w:rsidR="00F46E8F">
          <w:rPr>
            <w:noProof/>
            <w:webHidden/>
          </w:rPr>
        </w:r>
        <w:r w:rsidR="00F46E8F">
          <w:rPr>
            <w:noProof/>
            <w:webHidden/>
          </w:rPr>
          <w:fldChar w:fldCharType="separate"/>
        </w:r>
        <w:r w:rsidR="002D7D3B">
          <w:rPr>
            <w:noProof/>
            <w:webHidden/>
          </w:rPr>
          <w:t>7</w:t>
        </w:r>
        <w:r w:rsidR="00F46E8F">
          <w:rPr>
            <w:noProof/>
            <w:webHidden/>
          </w:rPr>
          <w:fldChar w:fldCharType="end"/>
        </w:r>
      </w:hyperlink>
    </w:p>
    <w:p w:rsidR="00F46E8F" w:rsidRPr="00C773D8" w:rsidRDefault="002C3F5B">
      <w:pPr>
        <w:pStyle w:val="TOC2"/>
        <w:tabs>
          <w:tab w:val="left" w:pos="1440"/>
        </w:tabs>
        <w:rPr>
          <w:rFonts w:ascii="Calibri" w:eastAsia="MS Mincho" w:hAnsi="Calibri"/>
          <w:noProof/>
          <w:sz w:val="22"/>
          <w:szCs w:val="22"/>
        </w:rPr>
      </w:pPr>
      <w:hyperlink w:anchor="_Toc362249273" w:history="1">
        <w:r w:rsidR="00F46E8F" w:rsidRPr="00D014D6">
          <w:rPr>
            <w:rStyle w:val="Hyperlink"/>
            <w:noProof/>
          </w:rPr>
          <w:t>B.</w:t>
        </w:r>
        <w:r w:rsidR="00F46E8F" w:rsidRPr="00C773D8">
          <w:rPr>
            <w:rFonts w:ascii="Calibri" w:eastAsia="MS Mincho" w:hAnsi="Calibri"/>
            <w:noProof/>
            <w:sz w:val="22"/>
            <w:szCs w:val="22"/>
          </w:rPr>
          <w:tab/>
        </w:r>
        <w:r w:rsidR="00F46E8F" w:rsidRPr="00D014D6">
          <w:rPr>
            <w:rStyle w:val="Hyperlink"/>
            <w:noProof/>
          </w:rPr>
          <w:t>CORPORATE SEPARATION</w:t>
        </w:r>
        <w:r w:rsidR="00F46E8F">
          <w:rPr>
            <w:noProof/>
            <w:webHidden/>
          </w:rPr>
          <w:tab/>
        </w:r>
        <w:r w:rsidR="00F46E8F">
          <w:rPr>
            <w:noProof/>
            <w:webHidden/>
          </w:rPr>
          <w:fldChar w:fldCharType="begin"/>
        </w:r>
        <w:r w:rsidR="00F46E8F">
          <w:rPr>
            <w:noProof/>
            <w:webHidden/>
          </w:rPr>
          <w:instrText xml:space="preserve"> PAGEREF _Toc362249273 \h </w:instrText>
        </w:r>
        <w:r w:rsidR="00F46E8F">
          <w:rPr>
            <w:noProof/>
            <w:webHidden/>
          </w:rPr>
        </w:r>
        <w:r w:rsidR="00F46E8F">
          <w:rPr>
            <w:noProof/>
            <w:webHidden/>
          </w:rPr>
          <w:fldChar w:fldCharType="separate"/>
        </w:r>
        <w:r w:rsidR="002D7D3B">
          <w:rPr>
            <w:noProof/>
            <w:webHidden/>
          </w:rPr>
          <w:t>10</w:t>
        </w:r>
        <w:r w:rsidR="00F46E8F">
          <w:rPr>
            <w:noProof/>
            <w:webHidden/>
          </w:rPr>
          <w:fldChar w:fldCharType="end"/>
        </w:r>
      </w:hyperlink>
    </w:p>
    <w:p w:rsidR="00F46E8F" w:rsidRPr="00C773D8" w:rsidRDefault="002C3F5B">
      <w:pPr>
        <w:pStyle w:val="TOC3"/>
        <w:tabs>
          <w:tab w:val="left" w:pos="2160"/>
        </w:tabs>
        <w:rPr>
          <w:rFonts w:ascii="Calibri" w:eastAsia="MS Mincho" w:hAnsi="Calibri"/>
          <w:noProof/>
          <w:sz w:val="22"/>
          <w:szCs w:val="22"/>
        </w:rPr>
      </w:pPr>
      <w:hyperlink w:anchor="_Toc362249274" w:history="1">
        <w:r w:rsidR="00F46E8F" w:rsidRPr="00D014D6">
          <w:rPr>
            <w:rStyle w:val="Hyperlink"/>
            <w:noProof/>
          </w:rPr>
          <w:t xml:space="preserve">(a) </w:t>
        </w:r>
        <w:r w:rsidR="00F46E8F" w:rsidRPr="00C773D8">
          <w:rPr>
            <w:rFonts w:ascii="Calibri" w:eastAsia="MS Mincho" w:hAnsi="Calibri"/>
            <w:noProof/>
            <w:sz w:val="22"/>
            <w:szCs w:val="22"/>
          </w:rPr>
          <w:tab/>
        </w:r>
        <w:r w:rsidR="00F46E8F" w:rsidRPr="00D014D6">
          <w:rPr>
            <w:rStyle w:val="Hyperlink"/>
            <w:noProof/>
          </w:rPr>
          <w:t>Since generation has been declared competitive in Ohio, should return on investment for electric utilities be reduced in order to reflect lower risk?</w:t>
        </w:r>
        <w:r w:rsidR="00F46E8F">
          <w:rPr>
            <w:noProof/>
            <w:webHidden/>
          </w:rPr>
          <w:tab/>
        </w:r>
        <w:r w:rsidR="00F46E8F">
          <w:rPr>
            <w:noProof/>
            <w:webHidden/>
          </w:rPr>
          <w:fldChar w:fldCharType="begin"/>
        </w:r>
        <w:r w:rsidR="00F46E8F">
          <w:rPr>
            <w:noProof/>
            <w:webHidden/>
          </w:rPr>
          <w:instrText xml:space="preserve"> PAGEREF _Toc362249274 \h </w:instrText>
        </w:r>
        <w:r w:rsidR="00F46E8F">
          <w:rPr>
            <w:noProof/>
            <w:webHidden/>
          </w:rPr>
        </w:r>
        <w:r w:rsidR="00F46E8F">
          <w:rPr>
            <w:noProof/>
            <w:webHidden/>
          </w:rPr>
          <w:fldChar w:fldCharType="separate"/>
        </w:r>
        <w:r w:rsidR="002D7D3B">
          <w:rPr>
            <w:noProof/>
            <w:webHidden/>
          </w:rPr>
          <w:t>10</w:t>
        </w:r>
        <w:r w:rsidR="00F46E8F">
          <w:rPr>
            <w:noProof/>
            <w:webHidden/>
          </w:rPr>
          <w:fldChar w:fldCharType="end"/>
        </w:r>
      </w:hyperlink>
    </w:p>
    <w:p w:rsidR="00F46E8F" w:rsidRPr="00C773D8" w:rsidRDefault="002C3F5B">
      <w:pPr>
        <w:pStyle w:val="TOC1"/>
        <w:rPr>
          <w:rFonts w:ascii="Calibri" w:eastAsia="MS Mincho" w:hAnsi="Calibri"/>
          <w:caps w:val="0"/>
          <w:noProof/>
          <w:sz w:val="22"/>
          <w:szCs w:val="22"/>
        </w:rPr>
      </w:pPr>
      <w:hyperlink w:anchor="_Toc362249275" w:history="1">
        <w:r w:rsidR="00F46E8F" w:rsidRPr="00D014D6">
          <w:rPr>
            <w:rStyle w:val="Hyperlink"/>
            <w:noProof/>
          </w:rPr>
          <w:t>III.</w:t>
        </w:r>
        <w:r w:rsidR="00F46E8F" w:rsidRPr="00C773D8">
          <w:rPr>
            <w:rFonts w:ascii="Calibri" w:eastAsia="MS Mincho" w:hAnsi="Calibri"/>
            <w:caps w:val="0"/>
            <w:noProof/>
            <w:sz w:val="22"/>
            <w:szCs w:val="22"/>
          </w:rPr>
          <w:tab/>
        </w:r>
        <w:r w:rsidR="00F46E8F" w:rsidRPr="00D014D6">
          <w:rPr>
            <w:rStyle w:val="Hyperlink"/>
            <w:noProof/>
          </w:rPr>
          <w:t>CONCLUSION</w:t>
        </w:r>
        <w:r w:rsidR="00F46E8F">
          <w:rPr>
            <w:noProof/>
            <w:webHidden/>
          </w:rPr>
          <w:tab/>
        </w:r>
        <w:r w:rsidR="00F46E8F">
          <w:rPr>
            <w:noProof/>
            <w:webHidden/>
          </w:rPr>
          <w:fldChar w:fldCharType="begin"/>
        </w:r>
        <w:r w:rsidR="00F46E8F">
          <w:rPr>
            <w:noProof/>
            <w:webHidden/>
          </w:rPr>
          <w:instrText xml:space="preserve"> PAGEREF _Toc362249275 \h </w:instrText>
        </w:r>
        <w:r w:rsidR="00F46E8F">
          <w:rPr>
            <w:noProof/>
            <w:webHidden/>
          </w:rPr>
        </w:r>
        <w:r w:rsidR="00F46E8F">
          <w:rPr>
            <w:noProof/>
            <w:webHidden/>
          </w:rPr>
          <w:fldChar w:fldCharType="separate"/>
        </w:r>
        <w:r w:rsidR="002D7D3B">
          <w:rPr>
            <w:noProof/>
            <w:webHidden/>
          </w:rPr>
          <w:t>12</w:t>
        </w:r>
        <w:r w:rsidR="00F46E8F">
          <w:rPr>
            <w:noProof/>
            <w:webHidden/>
          </w:rPr>
          <w:fldChar w:fldCharType="end"/>
        </w:r>
      </w:hyperlink>
    </w:p>
    <w:p w:rsidR="008E3445" w:rsidRDefault="008E3445" w:rsidP="00EB02D1">
      <w:pPr>
        <w:pStyle w:val="HTMLPreformatted"/>
        <w:rPr>
          <w:rFonts w:ascii="Times New Roman" w:hAnsi="Times New Roman" w:cs="Times New Roman"/>
          <w:b/>
          <w:bCs/>
          <w:sz w:val="24"/>
          <w:szCs w:val="24"/>
        </w:rPr>
      </w:pPr>
      <w:r>
        <w:rPr>
          <w:rFonts w:ascii="Times New Roman" w:hAnsi="Times New Roman" w:cs="Times New Roman"/>
          <w:b/>
          <w:bCs/>
          <w:sz w:val="24"/>
          <w:szCs w:val="24"/>
        </w:rPr>
        <w:fldChar w:fldCharType="end"/>
      </w:r>
    </w:p>
    <w:p w:rsidR="008F46E9" w:rsidRDefault="008F46E9" w:rsidP="00EB02D1">
      <w:pPr>
        <w:pStyle w:val="Date"/>
        <w:sectPr w:rsidR="008F46E9" w:rsidSect="008F46E9">
          <w:headerReference w:type="even" r:id="rId18"/>
          <w:headerReference w:type="default" r:id="rId19"/>
          <w:footerReference w:type="default" r:id="rId20"/>
          <w:headerReference w:type="first" r:id="rId21"/>
          <w:pgSz w:w="12240" w:h="15840"/>
          <w:pgMar w:top="1440" w:right="1800" w:bottom="1440" w:left="1800" w:header="720" w:footer="720" w:gutter="0"/>
          <w:pgNumType w:fmt="lowerRoman" w:start="1"/>
          <w:cols w:space="720"/>
          <w:docGrid w:linePitch="360"/>
        </w:sectPr>
      </w:pP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725F6A" w:rsidRDefault="00725F6A">
      <w:pPr>
        <w:pStyle w:val="HTMLPreformatted"/>
        <w:jc w:val="center"/>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2E2AAC">
        <w:trPr>
          <w:trHeight w:val="807"/>
        </w:trPr>
        <w:tc>
          <w:tcPr>
            <w:tcW w:w="4332" w:type="dxa"/>
          </w:tcPr>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2E2AAC" w:rsidRDefault="002E2AAC" w:rsidP="00D932A4">
            <w:pPr>
              <w:pStyle w:val="HTMLPreformatted"/>
              <w:rPr>
                <w:rFonts w:ascii="Times New Roman" w:hAnsi="Times New Roman" w:cs="Times New Roman"/>
                <w:sz w:val="24"/>
                <w:szCs w:val="24"/>
              </w:rPr>
            </w:pPr>
            <w:r>
              <w:rPr>
                <w:rFonts w:ascii="Times New Roman" w:hAnsi="Times New Roman" w:cs="Times New Roman"/>
                <w:sz w:val="24"/>
                <w:szCs w:val="24"/>
              </w:rPr>
              <w:t>Investigation of Ohio’s Retail Electric Service Market.</w:t>
            </w:r>
          </w:p>
        </w:tc>
        <w:tc>
          <w:tcPr>
            <w:tcW w:w="360" w:type="dxa"/>
          </w:tcPr>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w:t>
            </w: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w:t>
            </w:r>
          </w:p>
          <w:p w:rsidR="002E2AAC" w:rsidRDefault="002E2AAC" w:rsidP="00D932A4">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2E2AAC" w:rsidRDefault="002E2AAC">
            <w:pPr>
              <w:pStyle w:val="HTMLPreformatted"/>
              <w:rPr>
                <w:rFonts w:ascii="Times New Roman" w:hAnsi="Times New Roman" w:cs="Times New Roman"/>
                <w:sz w:val="24"/>
                <w:szCs w:val="24"/>
              </w:rPr>
            </w:pPr>
          </w:p>
          <w:p w:rsidR="002E2AAC" w:rsidRDefault="002E2AAC">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2E2AAC" w:rsidRDefault="002E2AAC">
            <w:pPr>
              <w:pStyle w:val="HTMLPreformatted"/>
              <w:rPr>
                <w:rFonts w:ascii="Times New Roman" w:hAnsi="Times New Roman" w:cs="Times New Roman"/>
                <w:sz w:val="24"/>
                <w:szCs w:val="24"/>
              </w:rPr>
            </w:pPr>
          </w:p>
        </w:tc>
      </w:tr>
    </w:tbl>
    <w:p w:rsidR="002E2AAC" w:rsidRDefault="002E2AAC">
      <w:pPr>
        <w:pBdr>
          <w:bottom w:val="single" w:sz="12" w:space="1" w:color="auto"/>
        </w:pBdr>
      </w:pPr>
    </w:p>
    <w:p w:rsidR="002E2AAC" w:rsidRDefault="002E2AAC"/>
    <w:p w:rsidR="002E2AAC" w:rsidRDefault="00132B6F">
      <w:pPr>
        <w:jc w:val="center"/>
        <w:rPr>
          <w:b/>
          <w:bCs/>
        </w:rPr>
      </w:pPr>
      <w:r>
        <w:rPr>
          <w:b/>
          <w:bCs/>
        </w:rPr>
        <w:t xml:space="preserve">REPLY </w:t>
      </w:r>
      <w:r w:rsidR="002E2AAC">
        <w:rPr>
          <w:b/>
          <w:bCs/>
        </w:rPr>
        <w:t>COMMENTS</w:t>
      </w:r>
    </w:p>
    <w:p w:rsidR="002E2AAC" w:rsidRDefault="002E2AAC">
      <w:pPr>
        <w:jc w:val="center"/>
        <w:rPr>
          <w:b/>
          <w:bCs/>
        </w:rPr>
      </w:pPr>
      <w:r>
        <w:rPr>
          <w:b/>
          <w:bCs/>
        </w:rPr>
        <w:t>BY</w:t>
      </w:r>
    </w:p>
    <w:p w:rsidR="002E2AAC" w:rsidRDefault="002E2AAC">
      <w:pPr>
        <w:jc w:val="center"/>
        <w:rPr>
          <w:b/>
          <w:bCs/>
        </w:rPr>
      </w:pPr>
      <w:r>
        <w:rPr>
          <w:b/>
          <w:bCs/>
        </w:rPr>
        <w:t>THE OFFICE OF THE OHIO CONSUMERS’ COUNSEL</w:t>
      </w:r>
    </w:p>
    <w:p w:rsidR="002E2AAC" w:rsidRDefault="002E2AAC">
      <w:pPr>
        <w:pBdr>
          <w:bottom w:val="single" w:sz="12" w:space="1" w:color="auto"/>
        </w:pBdr>
        <w:jc w:val="center"/>
        <w:rPr>
          <w:b/>
          <w:bCs/>
        </w:rPr>
      </w:pPr>
    </w:p>
    <w:p w:rsidR="002E2AAC" w:rsidRDefault="002E2AAC"/>
    <w:p w:rsidR="002E2AAC" w:rsidRPr="00C308DE" w:rsidRDefault="002E2AAC" w:rsidP="0079670A">
      <w:pPr>
        <w:pStyle w:val="Heading1"/>
        <w:rPr>
          <w:b w:val="0"/>
        </w:rPr>
      </w:pPr>
      <w:bookmarkStart w:id="1" w:name="_Toc360095627"/>
      <w:bookmarkStart w:id="2" w:name="_Toc362249266"/>
      <w:r>
        <w:t>I.</w:t>
      </w:r>
      <w:r>
        <w:tab/>
        <w:t>INTRODUCTION</w:t>
      </w:r>
      <w:bookmarkEnd w:id="1"/>
      <w:bookmarkEnd w:id="2"/>
      <w:r w:rsidR="0062184A">
        <w:t xml:space="preserve"> </w:t>
      </w:r>
    </w:p>
    <w:p w:rsidR="002E2AAC" w:rsidRDefault="009A7AC0">
      <w:pPr>
        <w:spacing w:line="480" w:lineRule="auto"/>
      </w:pPr>
      <w:r w:rsidRPr="00C308DE">
        <w:tab/>
      </w:r>
      <w:r w:rsidR="005412E1" w:rsidRPr="00C308DE">
        <w:t>The provision</w:t>
      </w:r>
      <w:r w:rsidR="00B02432" w:rsidRPr="00C308DE">
        <w:t>, price, and terms</w:t>
      </w:r>
      <w:r w:rsidR="005412E1">
        <w:t xml:space="preserve"> of electric service </w:t>
      </w:r>
      <w:r w:rsidR="00D16662">
        <w:t>are</w:t>
      </w:r>
      <w:r w:rsidR="005412E1">
        <w:t xml:space="preserve"> of great importance to all residential customers who take service from Ohio’s </w:t>
      </w:r>
      <w:r w:rsidR="00674337">
        <w:t>electric utilities</w:t>
      </w:r>
      <w:r w:rsidR="000A1A39">
        <w:t xml:space="preserve">/ </w:t>
      </w:r>
      <w:r w:rsidR="00EE37B7">
        <w:t>marketers</w:t>
      </w:r>
      <w:r w:rsidR="005412E1">
        <w:t xml:space="preserve">. </w:t>
      </w:r>
      <w:r w:rsidR="002E2AAC">
        <w:t xml:space="preserve">The Office of the Ohio Consumers’ Counsel (“OCC”) appreciates this opportunity to provide </w:t>
      </w:r>
      <w:r w:rsidR="00F05BBD">
        <w:t xml:space="preserve">reply </w:t>
      </w:r>
      <w:r w:rsidR="002E2AAC">
        <w:t>comments</w:t>
      </w:r>
      <w:r w:rsidR="00383B25">
        <w:t xml:space="preserve"> with respect to the PUCO’s June 5, 2013 Order</w:t>
      </w:r>
      <w:r w:rsidR="002E2AAC">
        <w:t xml:space="preserve"> on </w:t>
      </w:r>
      <w:r>
        <w:t>th</w:t>
      </w:r>
      <w:r w:rsidR="005412E1">
        <w:t>is critical matter for residential electric service consumers and for Ohio.</w:t>
      </w:r>
    </w:p>
    <w:p w:rsidR="004315CC" w:rsidRDefault="004315CC" w:rsidP="004315CC"/>
    <w:p w:rsidR="002E2AAC" w:rsidRDefault="0079670A" w:rsidP="0079670A">
      <w:pPr>
        <w:pStyle w:val="Heading1"/>
      </w:pPr>
      <w:bookmarkStart w:id="3" w:name="_Toc360095628"/>
      <w:bookmarkStart w:id="4" w:name="_Toc362249267"/>
      <w:r>
        <w:t>II.</w:t>
      </w:r>
      <w:r>
        <w:tab/>
      </w:r>
      <w:r w:rsidR="00132B6F">
        <w:t xml:space="preserve">REPLY </w:t>
      </w:r>
      <w:r w:rsidR="002E2AAC">
        <w:t>COMMENTS</w:t>
      </w:r>
      <w:bookmarkEnd w:id="3"/>
      <w:bookmarkEnd w:id="4"/>
    </w:p>
    <w:p w:rsidR="002E2AAC" w:rsidRDefault="007957B6" w:rsidP="0079670A">
      <w:pPr>
        <w:pStyle w:val="Heading2"/>
      </w:pPr>
      <w:bookmarkStart w:id="5" w:name="_Toc360095629"/>
      <w:bookmarkStart w:id="6" w:name="_Toc362249268"/>
      <w:r>
        <w:t>A</w:t>
      </w:r>
      <w:r w:rsidR="009A7AC0">
        <w:t>.</w:t>
      </w:r>
      <w:r w:rsidR="009A7AC0">
        <w:tab/>
      </w:r>
      <w:r w:rsidR="000A7D7F">
        <w:t xml:space="preserve">The PUCO’S </w:t>
      </w:r>
      <w:r w:rsidR="009A7AC0">
        <w:t>MARKET DESIGN QUESTIONS</w:t>
      </w:r>
      <w:bookmarkEnd w:id="5"/>
      <w:bookmarkEnd w:id="6"/>
    </w:p>
    <w:p w:rsidR="002E2AAC" w:rsidRDefault="00C77951" w:rsidP="0079670A">
      <w:pPr>
        <w:pStyle w:val="Heading3"/>
      </w:pPr>
      <w:bookmarkStart w:id="7" w:name="_Toc360095630"/>
      <w:bookmarkStart w:id="8" w:name="_Toc362249269"/>
      <w:r>
        <w:t>(a)</w:t>
      </w:r>
      <w:r w:rsidR="00C83300">
        <w:tab/>
      </w:r>
      <w:r w:rsidR="009A7AC0">
        <w:t>Comments were filed suggesting that the relationship between an incumbent</w:t>
      </w:r>
      <w:r w:rsidR="00C83300">
        <w:t xml:space="preserve"> electric distribution utility and a customer should be neither terminated nor encouraged.  </w:t>
      </w:r>
      <w:bookmarkEnd w:id="7"/>
      <w:r w:rsidR="005F78B4">
        <w:t>Does this comment pertain to distribution service or to generation service</w:t>
      </w:r>
      <w:r w:rsidR="006404EA">
        <w:t>?</w:t>
      </w:r>
      <w:bookmarkEnd w:id="8"/>
    </w:p>
    <w:p w:rsidR="00C66A1E" w:rsidRDefault="00C83300" w:rsidP="00725F6A">
      <w:pPr>
        <w:spacing w:line="480" w:lineRule="auto"/>
      </w:pPr>
      <w:r>
        <w:tab/>
      </w:r>
      <w:r w:rsidR="0088047F">
        <w:t>The retail electricity market in Ohio has been in develop</w:t>
      </w:r>
      <w:r w:rsidR="000E7976">
        <w:t>ment for over a decade now and is alive and well</w:t>
      </w:r>
      <w:r w:rsidR="00674337">
        <w:t>.  There is a significant level of customer shopping in the state.</w:t>
      </w:r>
      <w:r w:rsidR="000E7976">
        <w:t xml:space="preserve"> </w:t>
      </w:r>
      <w:r w:rsidR="0088047F">
        <w:t xml:space="preserve"> </w:t>
      </w:r>
      <w:r w:rsidR="00EE37B7">
        <w:t>But</w:t>
      </w:r>
      <w:r w:rsidR="0088047F">
        <w:t xml:space="preserve"> IGS</w:t>
      </w:r>
      <w:r w:rsidR="00EE37B7">
        <w:t>, an electricity marketer,</w:t>
      </w:r>
      <w:r w:rsidR="0088047F">
        <w:t xml:space="preserve"> maintain</w:t>
      </w:r>
      <w:r w:rsidR="00EE37B7">
        <w:t>s</w:t>
      </w:r>
      <w:r w:rsidR="0088047F">
        <w:t xml:space="preserve"> that the current default rate structure</w:t>
      </w:r>
      <w:r w:rsidR="00302A8B">
        <w:t xml:space="preserve"> (i.e. generation standard service offer</w:t>
      </w:r>
      <w:r w:rsidR="008B6541">
        <w:t xml:space="preserve"> or “standard offer”</w:t>
      </w:r>
      <w:r w:rsidR="00302A8B">
        <w:t>)</w:t>
      </w:r>
      <w:r w:rsidR="0088047F">
        <w:t xml:space="preserve"> is a barrier to sustaining retail electric competition in Ohio.</w:t>
      </w:r>
      <w:r w:rsidR="0088047F">
        <w:rPr>
          <w:rStyle w:val="FootnoteReference"/>
        </w:rPr>
        <w:footnoteReference w:id="2"/>
      </w:r>
      <w:r w:rsidR="0088047F">
        <w:t xml:space="preserve"> </w:t>
      </w:r>
      <w:r w:rsidR="00302A8B">
        <w:t xml:space="preserve"> </w:t>
      </w:r>
      <w:r w:rsidR="0088047F">
        <w:t>IGS paints consumers as “apathetic” and “not engaging in the market</w:t>
      </w:r>
      <w:r w:rsidR="00EE37B7">
        <w:t>.</w:t>
      </w:r>
      <w:r w:rsidR="0088047F">
        <w:t xml:space="preserve">” </w:t>
      </w:r>
      <w:r w:rsidR="00EE37B7">
        <w:t xml:space="preserve">IGS </w:t>
      </w:r>
      <w:r w:rsidR="0088047F">
        <w:t>states that, “In a fully competitive market, the preferences of customers drive the market forward, rather than the preferences of utilities, consumer advocates and regulators.”</w:t>
      </w:r>
      <w:r w:rsidR="0088047F">
        <w:rPr>
          <w:rStyle w:val="FootnoteReference"/>
        </w:rPr>
        <w:footnoteReference w:id="3"/>
      </w:r>
      <w:r w:rsidR="00C66A1E">
        <w:t xml:space="preserve">  Similar sentiments were expressed at the first PUCO workshop. </w:t>
      </w:r>
      <w:r w:rsidR="00674337">
        <w:t xml:space="preserve">Marketers </w:t>
      </w:r>
      <w:r w:rsidR="00C66A1E">
        <w:t xml:space="preserve">seem to think that consumers who do not choose a </w:t>
      </w:r>
      <w:r w:rsidR="00674337">
        <w:t>marketer</w:t>
      </w:r>
      <w:r w:rsidR="00C66A1E">
        <w:t xml:space="preserve"> “do not shop,” and are doing so because they are </w:t>
      </w:r>
      <w:r w:rsidR="00674337">
        <w:t>unsophisticated</w:t>
      </w:r>
      <w:r w:rsidR="00C66A1E">
        <w:t xml:space="preserve"> with respect to electric choice and unaware of options</w:t>
      </w:r>
      <w:r w:rsidR="00EE37B7">
        <w:t xml:space="preserve">.  </w:t>
      </w:r>
    </w:p>
    <w:p w:rsidR="00555980" w:rsidRDefault="00555980" w:rsidP="003E6ACC">
      <w:pPr>
        <w:spacing w:line="480" w:lineRule="auto"/>
        <w:ind w:firstLine="720"/>
      </w:pPr>
      <w:r>
        <w:tab/>
        <w:t>We begin our response with a few words in defense of Ohioans that certain electricity marketers would label as “apathetic.”</w:t>
      </w:r>
      <w:r w:rsidR="00674337">
        <w:t xml:space="preserve"> </w:t>
      </w:r>
      <w:r w:rsidR="003E6ACC">
        <w:t xml:space="preserve">Ohioans have many things to be non-apathetic or even downright worried about, such as children, schools, parents, a job (or the need to find a job), money and so on.  While a marketer’s offer to supply electricity may loom large in its world, that same offer is of much less importance to Ohioans where responsibilities of daily life may leave little time for sifting through marketer mailings, answering the door for a marketer’s agent and otherwise deciphering energy offers that could strain even an expert’s ability to analyze.  </w:t>
      </w:r>
      <w:r w:rsidR="00674337">
        <w:t xml:space="preserve"> </w:t>
      </w:r>
    </w:p>
    <w:p w:rsidR="0088047F" w:rsidRDefault="0088047F" w:rsidP="0088047F">
      <w:pPr>
        <w:spacing w:line="480" w:lineRule="auto"/>
        <w:ind w:firstLine="720"/>
      </w:pPr>
      <w:r>
        <w:t xml:space="preserve">IGS </w:t>
      </w:r>
      <w:r w:rsidR="00383B25">
        <w:t xml:space="preserve">also suggests that </w:t>
      </w:r>
      <w:r>
        <w:t xml:space="preserve">customers should be encouraged to leave the default </w:t>
      </w:r>
      <w:r w:rsidR="00674337">
        <w:t>electric utilit</w:t>
      </w:r>
      <w:r w:rsidR="003E6ACC">
        <w:t xml:space="preserve">ies’ </w:t>
      </w:r>
      <w:r>
        <w:t>generation service</w:t>
      </w:r>
      <w:r w:rsidR="00383B25">
        <w:t xml:space="preserve">.  But IGS’s goal is not to merely encourage the development of the </w:t>
      </w:r>
      <w:r w:rsidR="00302A8B">
        <w:t xml:space="preserve">retail electric </w:t>
      </w:r>
      <w:r w:rsidR="000E7976">
        <w:t>c</w:t>
      </w:r>
      <w:r w:rsidR="00383B25">
        <w:t>hoice market but to eliminate default service.</w:t>
      </w:r>
      <w:r w:rsidR="00383B25">
        <w:rPr>
          <w:rStyle w:val="FootnoteReference"/>
        </w:rPr>
        <w:footnoteReference w:id="4"/>
      </w:r>
      <w:r w:rsidR="00383B25">
        <w:t xml:space="preserve">  According to IGS, default service should be supplied in total by competitive suppliers.</w:t>
      </w:r>
      <w:r w:rsidR="00383B25">
        <w:rPr>
          <w:rStyle w:val="FootnoteReference"/>
        </w:rPr>
        <w:footnoteReference w:id="5"/>
      </w:r>
      <w:r w:rsidR="00383B25">
        <w:t xml:space="preserve"> </w:t>
      </w:r>
    </w:p>
    <w:p w:rsidR="00383B25" w:rsidRDefault="000E7976" w:rsidP="00383B25">
      <w:pPr>
        <w:spacing w:line="480" w:lineRule="auto"/>
        <w:ind w:firstLine="720"/>
      </w:pPr>
      <w:r>
        <w:t>But IGS</w:t>
      </w:r>
      <w:r w:rsidR="00B55EE1">
        <w:t xml:space="preserve"> and certain other electricity marketers </w:t>
      </w:r>
      <w:r>
        <w:t>fail</w:t>
      </w:r>
      <w:r w:rsidR="00383B25">
        <w:t xml:space="preserve"> to recognize that </w:t>
      </w:r>
      <w:r w:rsidR="00555980">
        <w:t xml:space="preserve">purchasing electricity through the utility and </w:t>
      </w:r>
      <w:r w:rsidR="00383B25">
        <w:t>not</w:t>
      </w:r>
      <w:r w:rsidR="00555980">
        <w:t xml:space="preserve"> by</w:t>
      </w:r>
      <w:r w:rsidR="00383B25">
        <w:t xml:space="preserve"> using a </w:t>
      </w:r>
      <w:r w:rsidR="0064763F">
        <w:t xml:space="preserve">marketer </w:t>
      </w:r>
      <w:r w:rsidR="00383B25">
        <w:t xml:space="preserve">is also a </w:t>
      </w:r>
      <w:r w:rsidR="00302A8B">
        <w:t xml:space="preserve">customer </w:t>
      </w:r>
      <w:r w:rsidR="00383B25">
        <w:t>choice.</w:t>
      </w:r>
      <w:r w:rsidR="00302A8B">
        <w:t xml:space="preserve"> </w:t>
      </w:r>
      <w:r w:rsidR="00383B25">
        <w:t xml:space="preserve"> Customers can be “shoppers” and can be informed and can consciously choose default service as their preferred energy supply option. </w:t>
      </w:r>
      <w:r w:rsidR="00302A8B">
        <w:t xml:space="preserve"> </w:t>
      </w:r>
      <w:r w:rsidR="00383B25">
        <w:t>Customers that “prefer” to stay with the</w:t>
      </w:r>
      <w:r w:rsidR="00302A8B">
        <w:t xml:space="preserve"> generation standard service offer</w:t>
      </w:r>
      <w:r w:rsidR="00674337">
        <w:t xml:space="preserve"> </w:t>
      </w:r>
      <w:r w:rsidR="00383B25">
        <w:t xml:space="preserve">(for whatever reason) should not be penalized for doing so and should not be forced into making energy supply choices that they do not wish to make. </w:t>
      </w:r>
    </w:p>
    <w:p w:rsidR="00383B25" w:rsidRDefault="00383B25" w:rsidP="00383B25">
      <w:pPr>
        <w:spacing w:line="480" w:lineRule="auto"/>
        <w:ind w:firstLine="720"/>
      </w:pPr>
      <w:r>
        <w:t>The choice not to choose is a real option that customers should continue to have</w:t>
      </w:r>
      <w:r w:rsidR="00555980">
        <w:t>.</w:t>
      </w:r>
      <w:r>
        <w:t xml:space="preserve"> </w:t>
      </w:r>
      <w:r w:rsidR="00555980">
        <w:t>I</w:t>
      </w:r>
      <w:r>
        <w:t>ndeed, that choice may, in many circumstance</w:t>
      </w:r>
      <w:r w:rsidR="001C2AD2">
        <w:t>s</w:t>
      </w:r>
      <w:r>
        <w:t>, be the best, most economic choice the customer can make.  Furthermore, it is contrary to a competitive market to remove a competitive option</w:t>
      </w:r>
      <w:r w:rsidR="00674337">
        <w:t>.</w:t>
      </w:r>
      <w:r>
        <w:t xml:space="preserve">  </w:t>
      </w:r>
      <w:r w:rsidR="008B6541">
        <w:t>T</w:t>
      </w:r>
      <w:r>
        <w:t xml:space="preserve">he PUCO, while providing customer </w:t>
      </w:r>
      <w:r w:rsidR="00674337">
        <w:t>education</w:t>
      </w:r>
      <w:r>
        <w:t xml:space="preserve"> regarding both standard offer service and competitive suppliers</w:t>
      </w:r>
      <w:r w:rsidR="008B6541">
        <w:t>,</w:t>
      </w:r>
      <w:r>
        <w:t xml:space="preserve"> should act in a neutral manner, providing neither encouragement </w:t>
      </w:r>
      <w:r w:rsidR="008B6541">
        <w:t>n</w:t>
      </w:r>
      <w:r>
        <w:t>or discouragement regarding one option or another.</w:t>
      </w:r>
    </w:p>
    <w:p w:rsidR="00383B25" w:rsidRDefault="00383B25" w:rsidP="00383B25">
      <w:pPr>
        <w:spacing w:line="480" w:lineRule="auto"/>
        <w:ind w:firstLine="720"/>
      </w:pPr>
      <w:r>
        <w:t>The standard offer provides a safe harbor for customers who elect not to shop</w:t>
      </w:r>
      <w:r w:rsidR="00525C8C">
        <w:t>,</w:t>
      </w:r>
      <w:r>
        <w:rPr>
          <w:rStyle w:val="FootnoteReference"/>
        </w:rPr>
        <w:footnoteReference w:id="6"/>
      </w:r>
      <w:r>
        <w:t xml:space="preserve"> who choose to come back to </w:t>
      </w:r>
      <w:r w:rsidR="008B6541">
        <w:t>the standard offer</w:t>
      </w:r>
      <w:r>
        <w:t xml:space="preserve"> after shopping, who prefer not to receive energy supply from a </w:t>
      </w:r>
      <w:r w:rsidR="00232FD9">
        <w:t>marketer</w:t>
      </w:r>
      <w:r w:rsidR="008B6541">
        <w:t xml:space="preserve">, or who choose the standard offer over </w:t>
      </w:r>
      <w:r w:rsidR="00674337">
        <w:t>marketer</w:t>
      </w:r>
      <w:r w:rsidR="008B6541">
        <w:t xml:space="preserve"> offers.</w:t>
      </w:r>
      <w:r>
        <w:t xml:space="preserve">  And, importantly, the standard offer also functions as a price to compare -- a way to evaluate the prices and terms of other offers by alternative </w:t>
      </w:r>
      <w:r w:rsidR="008B6541">
        <w:t xml:space="preserve">generation </w:t>
      </w:r>
      <w:r>
        <w:t xml:space="preserve">suppliers.  </w:t>
      </w:r>
    </w:p>
    <w:p w:rsidR="00C66A1E" w:rsidRDefault="00216C46" w:rsidP="00C66A1E">
      <w:pPr>
        <w:spacing w:line="480" w:lineRule="auto"/>
        <w:ind w:firstLine="720"/>
      </w:pPr>
      <w:r w:rsidRPr="00216C46">
        <w:t>Retail electric customer choice means customers can choose from any number of options that may permit them to obtain reasonably priced retail electric service</w:t>
      </w:r>
      <w:r w:rsidR="00984EB2">
        <w:t>.  And if a customer chooses the</w:t>
      </w:r>
      <w:r w:rsidR="008B6541">
        <w:t xml:space="preserve"> standard service offer, that choice</w:t>
      </w:r>
      <w:r w:rsidR="00984EB2">
        <w:t xml:space="preserve"> must be honored</w:t>
      </w:r>
      <w:r w:rsidR="00383B25">
        <w:t xml:space="preserve">.  </w:t>
      </w:r>
      <w:r w:rsidR="00C66A1E">
        <w:t xml:space="preserve">Retention of the relationship between the customer and the </w:t>
      </w:r>
      <w:r w:rsidR="00674337">
        <w:t>electric utility</w:t>
      </w:r>
      <w:r w:rsidR="00C66A1E">
        <w:t xml:space="preserve"> is essential to preserve these invaluable benefits that customers realize from the current market structure.</w:t>
      </w:r>
      <w:r w:rsidR="00C66A1E">
        <w:rPr>
          <w:rStyle w:val="FootnoteReference"/>
        </w:rPr>
        <w:footnoteReference w:id="7"/>
      </w:r>
    </w:p>
    <w:p w:rsidR="00EA0DAF" w:rsidRDefault="00EA0DAF" w:rsidP="00EA0DAF">
      <w:pPr>
        <w:spacing w:line="480" w:lineRule="auto"/>
        <w:ind w:firstLine="720"/>
      </w:pPr>
      <w:r>
        <w:t xml:space="preserve">But IGS </w:t>
      </w:r>
      <w:r w:rsidR="00C66A1E">
        <w:t>seeks to</w:t>
      </w:r>
      <w:r>
        <w:t xml:space="preserve"> eliminate this choice, a notion that is antithetical to the spirit and letter of S.B. 221. </w:t>
      </w:r>
      <w:r w:rsidR="008B6541">
        <w:t xml:space="preserve"> </w:t>
      </w:r>
      <w:r w:rsidR="00C66A1E">
        <w:t>IGS</w:t>
      </w:r>
      <w:r w:rsidR="000E7976">
        <w:t xml:space="preserve">’ </w:t>
      </w:r>
      <w:r w:rsidR="00C66A1E">
        <w:t xml:space="preserve">extreme position should be rejected.  </w:t>
      </w:r>
    </w:p>
    <w:p w:rsidR="005148D8" w:rsidRDefault="005148D8" w:rsidP="00725F6A">
      <w:pPr>
        <w:pStyle w:val="Heading3"/>
      </w:pPr>
      <w:bookmarkStart w:id="9" w:name="_Toc362249270"/>
      <w:r>
        <w:t>(</w:t>
      </w:r>
      <w:r w:rsidRPr="005148D8">
        <w:t xml:space="preserve">b) </w:t>
      </w:r>
      <w:r w:rsidRPr="005148D8">
        <w:tab/>
        <w:t>If predatory pricing or other market factors become a barrier to a fully functional competitive retail electric service market, can and should the Commission regulate predatory pricing or other market factors?</w:t>
      </w:r>
      <w:bookmarkEnd w:id="9"/>
    </w:p>
    <w:p w:rsidR="00525C8C" w:rsidRDefault="005148D8" w:rsidP="005148D8">
      <w:pPr>
        <w:autoSpaceDE w:val="0"/>
        <w:autoSpaceDN w:val="0"/>
        <w:adjustRightInd w:val="0"/>
        <w:spacing w:line="480" w:lineRule="auto"/>
        <w:ind w:firstLine="720"/>
      </w:pPr>
      <w:r>
        <w:t>In its response to this question, Constellation NewEnergy and Exelon Generation restate the general principles set forth in earlier comments</w:t>
      </w:r>
      <w:r w:rsidR="008B6541">
        <w:t xml:space="preserve"> submitted in response to the PUCO’s December 12, 2012 quest</w:t>
      </w:r>
      <w:r w:rsidR="00C02C2D">
        <w:t>i</w:t>
      </w:r>
      <w:r w:rsidR="008B6541">
        <w:t>ons</w:t>
      </w:r>
      <w:r>
        <w:t xml:space="preserve">.  Among these are an emphasis on obtaining non-discriminatory access to billing and usage information and allowing </w:t>
      </w:r>
      <w:r w:rsidR="00D36A9C">
        <w:t>marketers</w:t>
      </w:r>
      <w:r>
        <w:t xml:space="preserve"> to sign up new customers at the time the </w:t>
      </w:r>
      <w:r w:rsidR="00371A09">
        <w:t>electric utility</w:t>
      </w:r>
      <w:r>
        <w:t xml:space="preserve"> initiates service.</w:t>
      </w:r>
      <w:r>
        <w:rPr>
          <w:rStyle w:val="FootnoteReference"/>
        </w:rPr>
        <w:footnoteReference w:id="8"/>
      </w:r>
      <w:r>
        <w:t xml:space="preserve">  </w:t>
      </w:r>
    </w:p>
    <w:p w:rsidR="005148D8" w:rsidRDefault="005148D8" w:rsidP="005148D8">
      <w:pPr>
        <w:autoSpaceDE w:val="0"/>
        <w:autoSpaceDN w:val="0"/>
        <w:adjustRightInd w:val="0"/>
        <w:spacing w:line="480" w:lineRule="auto"/>
        <w:ind w:firstLine="720"/>
      </w:pPr>
      <w:r>
        <w:t xml:space="preserve">Yet current </w:t>
      </w:r>
      <w:r w:rsidR="008B6541">
        <w:t>PUCO</w:t>
      </w:r>
      <w:r>
        <w:t xml:space="preserve"> rules already provide sound guidance on these issues, appropriately balancing </w:t>
      </w:r>
      <w:r w:rsidR="008B6541">
        <w:t xml:space="preserve">customer </w:t>
      </w:r>
      <w:r>
        <w:t xml:space="preserve">privacy concerns with the amount of customer information that is necessary for </w:t>
      </w:r>
      <w:r w:rsidR="004415F5">
        <w:t>marketers</w:t>
      </w:r>
      <w:r>
        <w:t xml:space="preserve"> to </w:t>
      </w:r>
      <w:r w:rsidR="004415F5">
        <w:t xml:space="preserve">offer </w:t>
      </w:r>
      <w:r>
        <w:t>their services.</w:t>
      </w:r>
      <w:r>
        <w:rPr>
          <w:rStyle w:val="FootnoteReference"/>
        </w:rPr>
        <w:footnoteReference w:id="9"/>
      </w:r>
      <w:r>
        <w:t xml:space="preserve">  Further, customers have, and should continue to have, the right to request that their information not be provided to competitive providers.</w:t>
      </w:r>
      <w:r>
        <w:rPr>
          <w:rStyle w:val="FootnoteReference"/>
        </w:rPr>
        <w:footnoteReference w:id="10"/>
      </w:r>
      <w:r>
        <w:t xml:space="preserve"> These rules apply equally to affiliates and non-affiliates of </w:t>
      </w:r>
      <w:r w:rsidR="0064763F">
        <w:t>electric utilities</w:t>
      </w:r>
      <w:r>
        <w:t>.</w:t>
      </w:r>
    </w:p>
    <w:p w:rsidR="005148D8" w:rsidRDefault="005148D8" w:rsidP="005148D8">
      <w:pPr>
        <w:autoSpaceDE w:val="0"/>
        <w:autoSpaceDN w:val="0"/>
        <w:adjustRightInd w:val="0"/>
        <w:spacing w:line="480" w:lineRule="auto"/>
        <w:ind w:firstLine="720"/>
      </w:pPr>
      <w:r>
        <w:t xml:space="preserve">When customers enroll with a </w:t>
      </w:r>
      <w:r w:rsidR="00EB1E5E">
        <w:t>marketer</w:t>
      </w:r>
      <w:r w:rsidR="00371A09">
        <w:t xml:space="preserve"> a</w:t>
      </w:r>
      <w:r>
        <w:t xml:space="preserve">nd </w:t>
      </w:r>
      <w:r w:rsidR="00525C8C">
        <w:t xml:space="preserve">marketers have obtained </w:t>
      </w:r>
      <w:r>
        <w:t xml:space="preserve">the appropriate consent from the customer, </w:t>
      </w:r>
      <w:r w:rsidR="00371A09">
        <w:t>electric utilities</w:t>
      </w:r>
      <w:r>
        <w:t xml:space="preserve"> may disclose additional customer specific information to the </w:t>
      </w:r>
      <w:r w:rsidR="00EB1E5E">
        <w:t>marketer</w:t>
      </w:r>
      <w:r>
        <w:t>.</w:t>
      </w:r>
      <w:r>
        <w:rPr>
          <w:rStyle w:val="FootnoteReference"/>
        </w:rPr>
        <w:footnoteReference w:id="11"/>
      </w:r>
      <w:r>
        <w:t xml:space="preserve">  But it is completely inappropriate and unnecessary for competition to </w:t>
      </w:r>
      <w:r w:rsidR="007B777D">
        <w:t xml:space="preserve">allow the </w:t>
      </w:r>
      <w:r>
        <w:t>disclos</w:t>
      </w:r>
      <w:r w:rsidR="007B777D">
        <w:t>ure of</w:t>
      </w:r>
      <w:r>
        <w:t xml:space="preserve"> any additional customer information if the customer do</w:t>
      </w:r>
      <w:r w:rsidR="007B777D">
        <w:t>es</w:t>
      </w:r>
      <w:r>
        <w:t xml:space="preserve"> not explicitly consent to the disclosure.  </w:t>
      </w:r>
    </w:p>
    <w:p w:rsidR="005148D8" w:rsidRDefault="005148D8" w:rsidP="005148D8">
      <w:pPr>
        <w:autoSpaceDE w:val="0"/>
        <w:autoSpaceDN w:val="0"/>
        <w:adjustRightInd w:val="0"/>
        <w:spacing w:line="480" w:lineRule="auto"/>
        <w:ind w:firstLine="720"/>
      </w:pPr>
      <w:r>
        <w:t xml:space="preserve">Constellation/Exelon also recommended that customers should be able to enroll with a </w:t>
      </w:r>
      <w:r w:rsidR="000E05C2">
        <w:t xml:space="preserve">marketer </w:t>
      </w:r>
      <w:r>
        <w:t xml:space="preserve">at the same time customers apply for electric service with the </w:t>
      </w:r>
      <w:r w:rsidR="00371A09">
        <w:t>electric utility</w:t>
      </w:r>
      <w:r>
        <w:t>.</w:t>
      </w:r>
      <w:r>
        <w:rPr>
          <w:rStyle w:val="FootnoteReference"/>
        </w:rPr>
        <w:footnoteReference w:id="12"/>
      </w:r>
      <w:r>
        <w:t xml:space="preserve"> </w:t>
      </w:r>
      <w:r w:rsidR="007B777D">
        <w:t xml:space="preserve"> </w:t>
      </w:r>
      <w:r>
        <w:t xml:space="preserve">Toward this end, Constellation/Exelon </w:t>
      </w:r>
      <w:r w:rsidR="00F46E8F">
        <w:t>claims</w:t>
      </w:r>
      <w:r>
        <w:t xml:space="preserve"> that greater access to metering data is needed by </w:t>
      </w:r>
      <w:r w:rsidR="000E05C2">
        <w:t xml:space="preserve">marketers </w:t>
      </w:r>
      <w:r>
        <w:t>to facilitate enrollment of customers at competitive prices.</w:t>
      </w:r>
      <w:r>
        <w:rPr>
          <w:rStyle w:val="FootnoteReference"/>
        </w:rPr>
        <w:footnoteReference w:id="13"/>
      </w:r>
      <w:r>
        <w:t xml:space="preserve">  Currently, generic load information is provided to </w:t>
      </w:r>
      <w:r w:rsidR="008E79F3">
        <w:t>marketers</w:t>
      </w:r>
      <w:r w:rsidR="007B777D">
        <w:t>,</w:t>
      </w:r>
      <w:r>
        <w:t xml:space="preserve"> unless customers object to the release of this information.</w:t>
      </w:r>
      <w:r>
        <w:rPr>
          <w:rStyle w:val="FootnoteReference"/>
        </w:rPr>
        <w:footnoteReference w:id="14"/>
      </w:r>
      <w:r>
        <w:t xml:space="preserve">  The current rules enable customers to request up to twenty-four months of usage information from the electric utility, includ</w:t>
      </w:r>
      <w:r w:rsidR="00767813">
        <w:t>ing</w:t>
      </w:r>
      <w:r>
        <w:t xml:space="preserve"> time-differentiated usage information at no charge from the utility.</w:t>
      </w:r>
      <w:r>
        <w:rPr>
          <w:rStyle w:val="FootnoteReference"/>
        </w:rPr>
        <w:footnoteReference w:id="15"/>
      </w:r>
      <w:r>
        <w:t xml:space="preserve">  If customers consent to the release of this more-detailed usage information, the utilities can provide this data to the </w:t>
      </w:r>
      <w:r w:rsidR="008E79F3">
        <w:t>marketers</w:t>
      </w:r>
      <w:r>
        <w:t xml:space="preserve">.  However, detailed usage information should not be provided to </w:t>
      </w:r>
      <w:r w:rsidR="008E79F3">
        <w:t>marketers</w:t>
      </w:r>
      <w:r>
        <w:t xml:space="preserve"> unless customers explicitly consent to the release of the information.</w:t>
      </w:r>
    </w:p>
    <w:p w:rsidR="005148D8" w:rsidRDefault="005148D8" w:rsidP="005148D8">
      <w:pPr>
        <w:autoSpaceDE w:val="0"/>
        <w:autoSpaceDN w:val="0"/>
        <w:adjustRightInd w:val="0"/>
        <w:spacing w:line="480" w:lineRule="auto"/>
        <w:ind w:firstLine="720"/>
      </w:pPr>
      <w:r>
        <w:t xml:space="preserve">The PUCO should reject Constellation/Exelon’s recommendation to </w:t>
      </w:r>
      <w:r w:rsidR="007B777D">
        <w:t xml:space="preserve">allow </w:t>
      </w:r>
      <w:r>
        <w:t xml:space="preserve">enrollment of customers concurrent with customers requesting electric service from the </w:t>
      </w:r>
      <w:r w:rsidR="007B777D">
        <w:t>u</w:t>
      </w:r>
      <w:r>
        <w:t>tility.  The current rules require electric utilities to provide a Customer Rights and Obligations document to customers when they apply for service.</w:t>
      </w:r>
      <w:r>
        <w:rPr>
          <w:rStyle w:val="FootnoteReference"/>
        </w:rPr>
        <w:footnoteReference w:id="16"/>
      </w:r>
      <w:r>
        <w:t xml:space="preserve">  Much of the information that customers need to know to select a </w:t>
      </w:r>
      <w:r w:rsidR="008E79F3">
        <w:t>marketer</w:t>
      </w:r>
      <w:r>
        <w:t xml:space="preserve">, including their rights to protect their customer information, are contained within this document.  Constellation/Exelon’s recommendation would compromise customers’ privacy and would result in customers enrolling with a </w:t>
      </w:r>
      <w:r w:rsidR="008E79F3">
        <w:t xml:space="preserve">marketer </w:t>
      </w:r>
      <w:r>
        <w:t xml:space="preserve">without having the information needed to assess a </w:t>
      </w:r>
      <w:r w:rsidR="008E79F3">
        <w:t xml:space="preserve">marketer’s </w:t>
      </w:r>
      <w:r>
        <w:t>offer or to protect their customer information.  Such a result would be contrary to the public interest.  Constellation/Exelon’s proposals to change these rules should be rejected.</w:t>
      </w:r>
    </w:p>
    <w:p w:rsidR="00C85967" w:rsidRPr="00C85967" w:rsidRDefault="00C77951" w:rsidP="0079670A">
      <w:pPr>
        <w:pStyle w:val="Heading3"/>
      </w:pPr>
      <w:bookmarkStart w:id="10" w:name="_Toc362249271"/>
      <w:r>
        <w:t>(c)</w:t>
      </w:r>
      <w:r w:rsidR="00C85967" w:rsidRPr="00C85967">
        <w:tab/>
        <w:t xml:space="preserve">In a fully functional retail market, with no merchant or wholesale based default service, should the </w:t>
      </w:r>
      <w:r w:rsidR="000A1A39">
        <w:t xml:space="preserve">Commission </w:t>
      </w:r>
      <w:r w:rsidR="00C85967" w:rsidRPr="00C85967">
        <w:t>and/or an independent market monitor have the ability to regulate market power?</w:t>
      </w:r>
      <w:bookmarkEnd w:id="10"/>
    </w:p>
    <w:p w:rsidR="0080629C" w:rsidRDefault="0080629C" w:rsidP="0080629C">
      <w:pPr>
        <w:spacing w:line="480" w:lineRule="auto"/>
        <w:ind w:firstLine="720"/>
      </w:pPr>
      <w:r>
        <w:t xml:space="preserve">OCC reiterates that this is a hypothetical question because Ohio is currently operating under a default system, which should continue because it enhances competition in the retail electric service industry.  Nevertheless, </w:t>
      </w:r>
      <w:r w:rsidR="00B83635">
        <w:t>t</w:t>
      </w:r>
      <w:r>
        <w:t xml:space="preserve">he Ohio Power Company (“AEP Ohio”) appears to argue that the </w:t>
      </w:r>
      <w:r w:rsidR="007B777D">
        <w:t>PUCO</w:t>
      </w:r>
      <w:r>
        <w:t xml:space="preserve"> should not have the ability to regulate competitive retail electric services after </w:t>
      </w:r>
      <w:r w:rsidR="00371A09">
        <w:t>the standard service offer is supplied completely by competitive bid</w:t>
      </w:r>
      <w:r w:rsidR="00F46E8F">
        <w:t>.</w:t>
      </w:r>
      <w:r w:rsidR="00B83635">
        <w:t xml:space="preserve">  Ohio Power asserts</w:t>
      </w:r>
      <w:r>
        <w:t xml:space="preserve"> it should be regulated by the Ohio Consumer Sales Practices Act and the Antitrust Laws.</w:t>
      </w:r>
      <w:r>
        <w:rPr>
          <w:rStyle w:val="FootnoteReference"/>
        </w:rPr>
        <w:footnoteReference w:id="17"/>
      </w:r>
      <w:r>
        <w:t xml:space="preserve">  But this position is directly contrary to the Ohio Revised Code.</w:t>
      </w:r>
    </w:p>
    <w:p w:rsidR="0080629C" w:rsidRDefault="0080629C" w:rsidP="0080629C">
      <w:pPr>
        <w:spacing w:line="480" w:lineRule="auto"/>
        <w:ind w:firstLine="720"/>
      </w:pPr>
      <w:r>
        <w:t>The PUCO is charged with an ongoing statutory duty to monitor</w:t>
      </w:r>
      <w:r>
        <w:rPr>
          <w:rStyle w:val="FootnoteReference"/>
        </w:rPr>
        <w:footnoteReference w:id="18"/>
      </w:r>
      <w:r>
        <w:t xml:space="preserve"> and the express authority to regulate market power</w:t>
      </w:r>
      <w:r>
        <w:rPr>
          <w:rStyle w:val="FootnoteReference"/>
        </w:rPr>
        <w:footnoteReference w:id="19"/>
      </w:r>
      <w:r>
        <w:t xml:space="preserve"> within the competitive retail electric service market</w:t>
      </w:r>
      <w:r w:rsidR="00670EFB">
        <w:t>. This authority is not conditioned on</w:t>
      </w:r>
      <w:r>
        <w:t xml:space="preserve"> the existence of default service and the responsibilities set forth in R.C. 4928.141 through R.C. 4928.144.  By the wording of the statute, this authority does not ever expire, even after a full transition to a competitive market in Ohio.  Therefore, </w:t>
      </w:r>
      <w:r w:rsidR="00371A09">
        <w:t xml:space="preserve">OCC only supports the use of the Ohio Consumer Sales Practices Act and the Antitrust Laws as </w:t>
      </w:r>
      <w:r w:rsidR="00371A09" w:rsidRPr="00A11E68">
        <w:rPr>
          <w:i/>
        </w:rPr>
        <w:t>additional</w:t>
      </w:r>
      <w:r w:rsidR="00371A09">
        <w:t xml:space="preserve"> consumer protections to add to existing regulatory protections</w:t>
      </w:r>
      <w:r>
        <w:t>.</w:t>
      </w:r>
    </w:p>
    <w:p w:rsidR="00D14EB4" w:rsidRPr="00823ECA" w:rsidRDefault="00C77951" w:rsidP="007957B6">
      <w:pPr>
        <w:pStyle w:val="Heading3"/>
      </w:pPr>
      <w:bookmarkStart w:id="11" w:name="_Toc362249272"/>
      <w:r>
        <w:t>(</w:t>
      </w:r>
      <w:r w:rsidR="00371A09">
        <w:t>d</w:t>
      </w:r>
      <w:r>
        <w:t>)</w:t>
      </w:r>
      <w:r w:rsidR="00D14EB4">
        <w:tab/>
      </w:r>
      <w:r w:rsidR="00D14EB4" w:rsidRPr="00823ECA">
        <w:t>Would a time-differentiated standard service offer (SSO) rate cause more shopping based</w:t>
      </w:r>
      <w:r w:rsidR="00D14EB4">
        <w:t xml:space="preserve"> </w:t>
      </w:r>
      <w:r w:rsidR="00D14EB4" w:rsidRPr="00823ECA">
        <w:t>upon customer preference for avoiding uncertainty?</w:t>
      </w:r>
      <w:bookmarkEnd w:id="11"/>
    </w:p>
    <w:p w:rsidR="005148D8" w:rsidRDefault="00D14EB4" w:rsidP="00725F6A">
      <w:pPr>
        <w:autoSpaceDE w:val="0"/>
        <w:autoSpaceDN w:val="0"/>
        <w:adjustRightInd w:val="0"/>
        <w:spacing w:line="480" w:lineRule="auto"/>
      </w:pPr>
      <w:r>
        <w:tab/>
      </w:r>
      <w:r w:rsidR="005148D8" w:rsidRPr="00F213C0">
        <w:t>Imposing a time-differentiated standard service offer</w:t>
      </w:r>
      <w:r w:rsidR="007B777D">
        <w:t xml:space="preserve"> on customers</w:t>
      </w:r>
      <w:r w:rsidR="005148D8" w:rsidRPr="00F213C0">
        <w:t xml:space="preserve"> was </w:t>
      </w:r>
      <w:r w:rsidR="005148D8">
        <w:t>opposed</w:t>
      </w:r>
      <w:r w:rsidR="005148D8" w:rsidRPr="00F213C0">
        <w:t xml:space="preserve"> by all </w:t>
      </w:r>
      <w:r w:rsidR="005148D8">
        <w:t>commenters</w:t>
      </w:r>
      <w:r w:rsidR="005148D8" w:rsidRPr="00F213C0">
        <w:t xml:space="preserve"> except for IGS.</w:t>
      </w:r>
      <w:r w:rsidR="005148D8">
        <w:t xml:space="preserve">  Although IGS believes that time-differentiated SSO rates would “</w:t>
      </w:r>
      <w:r w:rsidR="005148D8" w:rsidRPr="00F213C0">
        <w:t xml:space="preserve">help </w:t>
      </w:r>
      <w:r w:rsidR="005148D8">
        <w:t xml:space="preserve">[to] </w:t>
      </w:r>
      <w:r w:rsidR="005148D8" w:rsidRPr="00F213C0">
        <w:t>break the status-quo bias default service</w:t>
      </w:r>
      <w:r w:rsidR="005148D8">
        <w:t>,” IGS argues that it would only do so if the time-differentiated rates were “</w:t>
      </w:r>
      <w:r w:rsidR="005148D8" w:rsidRPr="00F213C0">
        <w:t>the only</w:t>
      </w:r>
      <w:r w:rsidR="005148D8">
        <w:t xml:space="preserve"> </w:t>
      </w:r>
      <w:r w:rsidR="00371A09">
        <w:t>elec</w:t>
      </w:r>
      <w:r w:rsidR="0064763F">
        <w:t>t</w:t>
      </w:r>
      <w:r w:rsidR="00371A09">
        <w:t>ric utility</w:t>
      </w:r>
      <w:r w:rsidR="00371A09" w:rsidRPr="00F213C0">
        <w:t xml:space="preserve"> </w:t>
      </w:r>
      <w:r w:rsidR="005148D8" w:rsidRPr="00F213C0">
        <w:t>rate available to customers.”</w:t>
      </w:r>
      <w:r w:rsidR="005148D8">
        <w:rPr>
          <w:rStyle w:val="FootnoteReference"/>
        </w:rPr>
        <w:footnoteReference w:id="20"/>
      </w:r>
      <w:r w:rsidR="005148D8">
        <w:t xml:space="preserve">  In other words, </w:t>
      </w:r>
      <w:r w:rsidR="005B2D59">
        <w:t xml:space="preserve">for the purpose of </w:t>
      </w:r>
      <w:r w:rsidR="005148D8">
        <w:t>forc</w:t>
      </w:r>
      <w:r w:rsidR="005B2D59">
        <w:t>ing</w:t>
      </w:r>
      <w:r w:rsidR="005148D8">
        <w:t xml:space="preserve"> customers off of </w:t>
      </w:r>
      <w:r w:rsidR="007B777D">
        <w:t xml:space="preserve">the </w:t>
      </w:r>
      <w:r w:rsidR="005148D8">
        <w:t xml:space="preserve">standard </w:t>
      </w:r>
      <w:r w:rsidR="007B777D">
        <w:t>offer</w:t>
      </w:r>
      <w:r w:rsidR="005148D8">
        <w:t xml:space="preserve">, IGS suggests that </w:t>
      </w:r>
      <w:r w:rsidR="00371A09">
        <w:t>elec</w:t>
      </w:r>
      <w:r w:rsidR="0064763F">
        <w:t>t</w:t>
      </w:r>
      <w:r w:rsidR="00371A09">
        <w:t>ric utilit</w:t>
      </w:r>
      <w:r w:rsidR="00C217E3">
        <w:t>ies</w:t>
      </w:r>
      <w:r w:rsidR="00371A09">
        <w:t xml:space="preserve"> </w:t>
      </w:r>
      <w:r w:rsidR="005148D8">
        <w:t xml:space="preserve">not be able to offer the current default service price that applies to all hours of the day.  </w:t>
      </w:r>
    </w:p>
    <w:p w:rsidR="005148D8" w:rsidRDefault="005148D8" w:rsidP="005148D8">
      <w:pPr>
        <w:autoSpaceDE w:val="0"/>
        <w:autoSpaceDN w:val="0"/>
        <w:adjustRightInd w:val="0"/>
        <w:spacing w:line="480" w:lineRule="auto"/>
      </w:pPr>
      <w:r>
        <w:tab/>
        <w:t>OCC</w:t>
      </w:r>
      <w:r w:rsidR="005B2D59">
        <w:t xml:space="preserve"> discussed this topic in its</w:t>
      </w:r>
      <w:r>
        <w:t xml:space="preserve"> comments</w:t>
      </w:r>
      <w:r w:rsidR="005B2D59">
        <w:t xml:space="preserve">.  </w:t>
      </w:r>
      <w:r>
        <w:t xml:space="preserve"> </w:t>
      </w:r>
      <w:r w:rsidRPr="00F213C0">
        <w:t>OCC support</w:t>
      </w:r>
      <w:r>
        <w:t xml:space="preserve">s </w:t>
      </w:r>
      <w:r w:rsidRPr="00F213C0">
        <w:t xml:space="preserve">a time-differentiated </w:t>
      </w:r>
      <w:r>
        <w:t xml:space="preserve">rate </w:t>
      </w:r>
      <w:r w:rsidRPr="00104726">
        <w:rPr>
          <w:b/>
          <w:i/>
        </w:rPr>
        <w:t>option</w:t>
      </w:r>
      <w:r>
        <w:t xml:space="preserve"> </w:t>
      </w:r>
      <w:r w:rsidR="005B2D59">
        <w:t>(meaning voluntary</w:t>
      </w:r>
      <w:r w:rsidR="000D2366">
        <w:t xml:space="preserve"> for customers</w:t>
      </w:r>
      <w:r w:rsidR="005B2D59">
        <w:t xml:space="preserve">) </w:t>
      </w:r>
      <w:r w:rsidR="00C217E3">
        <w:t>that is offered by</w:t>
      </w:r>
      <w:r>
        <w:t xml:space="preserve"> both </w:t>
      </w:r>
      <w:r w:rsidR="00C217E3">
        <w:t>utilities a</w:t>
      </w:r>
      <w:r>
        <w:t xml:space="preserve">nd </w:t>
      </w:r>
      <w:r w:rsidR="007A394C">
        <w:t>marketers</w:t>
      </w:r>
      <w:r w:rsidR="00A221EF">
        <w:t xml:space="preserve">. </w:t>
      </w:r>
      <w:r w:rsidR="007A394C">
        <w:t xml:space="preserve">But the proposal to </w:t>
      </w:r>
      <w:r>
        <w:t>requir</w:t>
      </w:r>
      <w:r w:rsidR="007A394C">
        <w:t>e</w:t>
      </w:r>
      <w:r>
        <w:t xml:space="preserve"> </w:t>
      </w:r>
      <w:r w:rsidR="00371A09">
        <w:t>elec</w:t>
      </w:r>
      <w:r w:rsidR="00C217E3">
        <w:t>t</w:t>
      </w:r>
      <w:r w:rsidR="00371A09">
        <w:t xml:space="preserve">ric utilities </w:t>
      </w:r>
      <w:r>
        <w:t>to only offer time-differentiated rates would harm SSO customers by taking away the most basic and understandable service offering available to them</w:t>
      </w:r>
      <w:r w:rsidRPr="00F213C0">
        <w:t>.</w:t>
      </w:r>
      <w:r>
        <w:rPr>
          <w:rStyle w:val="FootnoteReference"/>
        </w:rPr>
        <w:footnoteReference w:id="21"/>
      </w:r>
      <w:r>
        <w:t xml:space="preserve">  Further, </w:t>
      </w:r>
      <w:r w:rsidR="002871B6">
        <w:t xml:space="preserve">the proposal to limit utilities to charging </w:t>
      </w:r>
      <w:r w:rsidR="004C4BA5">
        <w:t>time-differentiated rate</w:t>
      </w:r>
      <w:r w:rsidR="002871B6">
        <w:t>s</w:t>
      </w:r>
      <w:r>
        <w:t xml:space="preserve"> would undermine the Apples-to-Apples price comparison since marketers would </w:t>
      </w:r>
      <w:r w:rsidRPr="00104726">
        <w:rPr>
          <w:b/>
          <w:i/>
        </w:rPr>
        <w:t xml:space="preserve">not </w:t>
      </w:r>
      <w:r>
        <w:t>be required to offer time-differentiated rates.  It would result in more customer confusion as customers would struggle to understand why the price of electricity is different at different times.  And it may result in rate shock to customers who use more electricity than other customers during higher-priced time periods and who may be unable to shift more usage toward lower-priced time periods.</w:t>
      </w:r>
    </w:p>
    <w:p w:rsidR="005148D8" w:rsidRPr="00F213C0" w:rsidRDefault="005148D8" w:rsidP="005148D8">
      <w:pPr>
        <w:autoSpaceDE w:val="0"/>
        <w:autoSpaceDN w:val="0"/>
        <w:adjustRightInd w:val="0"/>
        <w:spacing w:line="480" w:lineRule="auto"/>
      </w:pPr>
      <w:r>
        <w:tab/>
        <w:t>IGS’s comments also improperly assume that reasonably priced non-time-differentiated rates, or fixed rates, would be available to customers through marketers.  But this would not necessarily be the case, as OCC emphasized in its comments, since marketers cannot be required to offer service, in any form or at any price.</w:t>
      </w:r>
      <w:r w:rsidRPr="00B57FC1">
        <w:rPr>
          <w:rStyle w:val="FootnoteReference"/>
        </w:rPr>
        <w:t xml:space="preserve"> </w:t>
      </w:r>
      <w:r>
        <w:rPr>
          <w:rStyle w:val="FootnoteReference"/>
        </w:rPr>
        <w:footnoteReference w:id="22"/>
      </w:r>
      <w:r>
        <w:t xml:space="preserve">  Thus,</w:t>
      </w:r>
      <w:r w:rsidRPr="00F213C0">
        <w:t xml:space="preserve"> </w:t>
      </w:r>
      <w:r>
        <w:t xml:space="preserve">it is </w:t>
      </w:r>
      <w:r w:rsidRPr="00F213C0">
        <w:t xml:space="preserve">customers </w:t>
      </w:r>
      <w:r>
        <w:t>who would be exposed to “</w:t>
      </w:r>
      <w:r w:rsidRPr="00F213C0">
        <w:t>all of the risk inherent in time-differentiated rates with no recourse</w:t>
      </w:r>
      <w:r>
        <w:t xml:space="preserve"> </w:t>
      </w:r>
      <w:r w:rsidRPr="00F213C0">
        <w:t>or opportunity to mitigate risk through any provider.”</w:t>
      </w:r>
      <w:r>
        <w:rPr>
          <w:rStyle w:val="FootnoteReference"/>
        </w:rPr>
        <w:footnoteReference w:id="23"/>
      </w:r>
    </w:p>
    <w:p w:rsidR="005148D8" w:rsidRDefault="005148D8" w:rsidP="005148D8">
      <w:pPr>
        <w:autoSpaceDE w:val="0"/>
        <w:autoSpaceDN w:val="0"/>
        <w:adjustRightInd w:val="0"/>
        <w:spacing w:line="480" w:lineRule="auto"/>
      </w:pPr>
      <w:r>
        <w:tab/>
        <w:t xml:space="preserve">Many </w:t>
      </w:r>
      <w:r w:rsidRPr="00F213C0">
        <w:t xml:space="preserve">parties </w:t>
      </w:r>
      <w:r>
        <w:t xml:space="preserve">expressed similar concern regarding mandatory time-differentiated </w:t>
      </w:r>
      <w:r w:rsidR="007B777D">
        <w:t xml:space="preserve">standard offer </w:t>
      </w:r>
      <w:r>
        <w:t>rates.  Consumers et al</w:t>
      </w:r>
      <w:r w:rsidR="00153007">
        <w:t>.</w:t>
      </w:r>
      <w:r>
        <w:rPr>
          <w:rStyle w:val="FootnoteReference"/>
        </w:rPr>
        <w:footnoteReference w:id="24"/>
      </w:r>
      <w:r>
        <w:t xml:space="preserve"> stated that mandatory time-differentiated rates would be “</w:t>
      </w:r>
      <w:r w:rsidRPr="00F213C0">
        <w:t>an anti-consumer policy</w:t>
      </w:r>
      <w:r>
        <w:t xml:space="preserve">” </w:t>
      </w:r>
      <w:r w:rsidRPr="00F213C0">
        <w:t xml:space="preserve">and </w:t>
      </w:r>
      <w:r>
        <w:t>“</w:t>
      </w:r>
      <w:r w:rsidRPr="00F213C0">
        <w:t>would not comply with the current statutory directives and policies.</w:t>
      </w:r>
      <w:r>
        <w:t>”</w:t>
      </w:r>
      <w:r>
        <w:rPr>
          <w:rStyle w:val="FootnoteReference"/>
        </w:rPr>
        <w:footnoteReference w:id="25"/>
      </w:r>
      <w:r>
        <w:t xml:space="preserve">  According to Consumers et al</w:t>
      </w:r>
      <w:r w:rsidR="00153007">
        <w:t>.</w:t>
      </w:r>
      <w:r>
        <w:t>, if time-differentiated rates were mandatory, “</w:t>
      </w:r>
      <w:r w:rsidRPr="00F213C0">
        <w:t>customers that are on fixed-incomes, low-incomes, and those persons that</w:t>
      </w:r>
      <w:r>
        <w:t xml:space="preserve"> </w:t>
      </w:r>
      <w:r w:rsidRPr="00F213C0">
        <w:t>are unable to r</w:t>
      </w:r>
      <w:r w:rsidR="00674337">
        <w:t>e</w:t>
      </w:r>
      <w:r w:rsidR="0064763F">
        <w:t>duce</w:t>
      </w:r>
      <w:r w:rsidRPr="00F213C0">
        <w:t xml:space="preserve"> their usage because they are already at minimum usage</w:t>
      </w:r>
      <w:r>
        <w:t xml:space="preserve">” would be hurt.  At the same time, such customers might be asked “to </w:t>
      </w:r>
      <w:r w:rsidRPr="00F213C0">
        <w:t>pay for upgrades they cannot</w:t>
      </w:r>
      <w:r>
        <w:t xml:space="preserve"> </w:t>
      </w:r>
      <w:r w:rsidRPr="00F213C0">
        <w:t>use.</w:t>
      </w:r>
      <w:r>
        <w:t>”</w:t>
      </w:r>
      <w:r>
        <w:rPr>
          <w:rStyle w:val="FootnoteReference"/>
        </w:rPr>
        <w:footnoteReference w:id="26"/>
      </w:r>
      <w:r>
        <w:t xml:space="preserve">  FirstEnergy and DP&amp;L also disagreed with any proposal for mandatory time-differentiated </w:t>
      </w:r>
      <w:r w:rsidR="007B777D">
        <w:t xml:space="preserve">generation </w:t>
      </w:r>
      <w:r>
        <w:t>rates</w:t>
      </w:r>
      <w:r w:rsidR="00153007">
        <w:t xml:space="preserve">. </w:t>
      </w:r>
      <w:r>
        <w:t xml:space="preserve"> DP&amp;L stat</w:t>
      </w:r>
      <w:r w:rsidR="00153007">
        <w:t>ed</w:t>
      </w:r>
      <w:r>
        <w:t xml:space="preserve"> in particular that such rates would </w:t>
      </w:r>
      <w:r w:rsidRPr="00F213C0">
        <w:t xml:space="preserve">in fact </w:t>
      </w:r>
      <w:r w:rsidR="007B777D">
        <w:t xml:space="preserve">be </w:t>
      </w:r>
      <w:r w:rsidRPr="00F213C0">
        <w:t>harmful to some</w:t>
      </w:r>
      <w:r>
        <w:t xml:space="preserve"> </w:t>
      </w:r>
      <w:r w:rsidRPr="00F213C0">
        <w:t>of the most at-risk customers.</w:t>
      </w:r>
      <w:r>
        <w:rPr>
          <w:rStyle w:val="FootnoteReference"/>
        </w:rPr>
        <w:footnoteReference w:id="27"/>
      </w:r>
    </w:p>
    <w:p w:rsidR="005148D8" w:rsidRDefault="005148D8" w:rsidP="005148D8">
      <w:pPr>
        <w:autoSpaceDE w:val="0"/>
        <w:autoSpaceDN w:val="0"/>
        <w:adjustRightInd w:val="0"/>
        <w:spacing w:line="480" w:lineRule="auto"/>
      </w:pPr>
      <w:r>
        <w:tab/>
        <w:t>Even some marketers saw mandatory time-differentiated SSO rates as problematic as they “</w:t>
      </w:r>
      <w:r w:rsidRPr="00F213C0">
        <w:t>would impede the ability of the competitive market</w:t>
      </w:r>
      <w:r>
        <w:t xml:space="preserve"> </w:t>
      </w:r>
      <w:r w:rsidRPr="00F213C0">
        <w:t>to develop the most efficient and valuable products for the customer.”</w:t>
      </w:r>
      <w:r>
        <w:rPr>
          <w:rStyle w:val="FootnoteReference"/>
        </w:rPr>
        <w:footnoteReference w:id="28"/>
      </w:r>
      <w:r>
        <w:t xml:space="preserve">  FES commented that </w:t>
      </w:r>
      <w:r w:rsidR="000F04A9">
        <w:t>marketers</w:t>
      </w:r>
      <w:r>
        <w:t xml:space="preserve"> are better positioned to offer such rates.</w:t>
      </w:r>
      <w:r>
        <w:rPr>
          <w:rStyle w:val="FootnoteReference"/>
        </w:rPr>
        <w:footnoteReference w:id="29"/>
      </w:r>
      <w:r>
        <w:t xml:space="preserve">  Based on the overwhelming comments received, it is clear that mandatory time-differentiated SSO rates are contrary to the public interest and should not be implemented.  However, </w:t>
      </w:r>
      <w:r w:rsidR="00C217E3">
        <w:t>electric utilities</w:t>
      </w:r>
      <w:r>
        <w:t xml:space="preserve"> should be free to offer </w:t>
      </w:r>
      <w:r w:rsidR="007256DB">
        <w:t xml:space="preserve">the option of </w:t>
      </w:r>
      <w:r>
        <w:t>time-differentiated rates</w:t>
      </w:r>
      <w:r w:rsidR="00A37321">
        <w:t xml:space="preserve"> as long as the default service remains</w:t>
      </w:r>
      <w:r w:rsidR="00C217E3">
        <w:t xml:space="preserve"> as </w:t>
      </w:r>
      <w:r w:rsidR="00F46E8F">
        <w:t>a non</w:t>
      </w:r>
      <w:r w:rsidR="00A37321">
        <w:t>-time-differentiated rate</w:t>
      </w:r>
      <w:r>
        <w:t>.</w:t>
      </w:r>
    </w:p>
    <w:p w:rsidR="005148D8" w:rsidRDefault="005148D8" w:rsidP="005148D8">
      <w:pPr>
        <w:autoSpaceDE w:val="0"/>
        <w:autoSpaceDN w:val="0"/>
        <w:adjustRightInd w:val="0"/>
        <w:spacing w:line="480" w:lineRule="auto"/>
      </w:pPr>
      <w:r>
        <w:tab/>
        <w:t>Importantly, imposing time-of-day rates would be inconsistent with a number of the state policies enunciated in R.C. 4928.02.  For instance</w:t>
      </w:r>
      <w:r w:rsidR="009F73A6">
        <w:t>,</w:t>
      </w:r>
      <w:r>
        <w:t xml:space="preserve"> under R.C. 4928.02(B), it is the policy of the state to “[e]nsure the availability of unbundled and comparable retail electric service that provides consumers with the supplier, price, terms, conditions, and quality options they elect to meet their respective needs.”  Imposing a specific type of service will take away consumers</w:t>
      </w:r>
      <w:r w:rsidR="00767813">
        <w:t>’</w:t>
      </w:r>
      <w:r>
        <w:t xml:space="preserve"> options contrary to this policy.  And under R.C. 4928.02(L), it is the policy of the state to protect at-risk populations.  Taking away options and imposing time-of-day rates would, according to Consumers et al., harm</w:t>
      </w:r>
      <w:r w:rsidR="009F73A6">
        <w:t>,</w:t>
      </w:r>
      <w:r>
        <w:t xml:space="preserve"> not protect</w:t>
      </w:r>
      <w:r w:rsidR="009F73A6">
        <w:t>,</w:t>
      </w:r>
      <w:r>
        <w:t xml:space="preserve"> low income customers, one group of at-risk consumers.  </w:t>
      </w:r>
    </w:p>
    <w:p w:rsidR="005148D8" w:rsidRDefault="005148D8" w:rsidP="005148D8">
      <w:pPr>
        <w:autoSpaceDE w:val="0"/>
        <w:autoSpaceDN w:val="0"/>
        <w:adjustRightInd w:val="0"/>
        <w:spacing w:line="480" w:lineRule="auto"/>
        <w:ind w:firstLine="720"/>
      </w:pPr>
      <w:r>
        <w:t>R.C. 4928.06 makes the policies of R.C. 4928.02 more than a statement of general policy objectives.  R.C. 4928.06(A) imposes upon the PUCO a specific duty to ensure the policy specified in section 4928.02 of the Revised Code is effectuated.</w:t>
      </w:r>
      <w:r>
        <w:rPr>
          <w:rStyle w:val="FootnoteReference"/>
        </w:rPr>
        <w:footnoteReference w:id="30"/>
      </w:r>
      <w:r>
        <w:t xml:space="preserve">  Indeed, the Ohio Supreme Court struck down a PUCO order where the PUCO violated one of the subsections </w:t>
      </w:r>
      <w:r w:rsidR="006F4728">
        <w:t>of R.C</w:t>
      </w:r>
      <w:r>
        <w:t>. 4928.02.</w:t>
      </w:r>
      <w:r>
        <w:rPr>
          <w:rStyle w:val="FootnoteReference"/>
        </w:rPr>
        <w:footnoteReference w:id="31"/>
      </w:r>
    </w:p>
    <w:p w:rsidR="00725F6A" w:rsidRDefault="005148D8" w:rsidP="00725F6A">
      <w:pPr>
        <w:autoSpaceDE w:val="0"/>
        <w:autoSpaceDN w:val="0"/>
        <w:adjustRightInd w:val="0"/>
        <w:spacing w:line="480" w:lineRule="auto"/>
        <w:ind w:firstLine="720"/>
      </w:pPr>
      <w:r>
        <w:t xml:space="preserve">For all of these reasons, imposing time-differentiated </w:t>
      </w:r>
      <w:r w:rsidR="007256DB">
        <w:t xml:space="preserve">standard service offer </w:t>
      </w:r>
      <w:r>
        <w:t xml:space="preserve">rates on a mandatory basis is </w:t>
      </w:r>
      <w:r w:rsidR="000C09A0">
        <w:t>a bad</w:t>
      </w:r>
      <w:r>
        <w:t xml:space="preserve"> idea.  IGS’s proposal should be rejected.   </w:t>
      </w:r>
      <w:bookmarkStart w:id="12" w:name="_Toc360095631"/>
    </w:p>
    <w:p w:rsidR="002E2AAC" w:rsidRDefault="007957B6" w:rsidP="00725F6A">
      <w:pPr>
        <w:pStyle w:val="Heading2"/>
      </w:pPr>
      <w:bookmarkStart w:id="13" w:name="_Toc362249273"/>
      <w:r>
        <w:t>B</w:t>
      </w:r>
      <w:r w:rsidR="002E2AAC">
        <w:t>.</w:t>
      </w:r>
      <w:r w:rsidR="002E2AAC">
        <w:tab/>
        <w:t>CORPORATE SEPARATION</w:t>
      </w:r>
      <w:bookmarkEnd w:id="12"/>
      <w:bookmarkEnd w:id="13"/>
    </w:p>
    <w:p w:rsidR="00336CD7" w:rsidRDefault="00C77951" w:rsidP="007957B6">
      <w:pPr>
        <w:pStyle w:val="Heading3"/>
      </w:pPr>
      <w:bookmarkStart w:id="14" w:name="_Toc362249274"/>
      <w:r>
        <w:t>(</w:t>
      </w:r>
      <w:r w:rsidR="00F46E8F">
        <w:t>a</w:t>
      </w:r>
      <w:r>
        <w:t>)</w:t>
      </w:r>
      <w:r w:rsidR="00336CD7" w:rsidRPr="00EE14A1">
        <w:t xml:space="preserve"> </w:t>
      </w:r>
      <w:r w:rsidR="00336CD7">
        <w:tab/>
      </w:r>
      <w:r w:rsidR="00336CD7" w:rsidRPr="00EE14A1">
        <w:t xml:space="preserve">Since generation has been declared competitive in Ohio, </w:t>
      </w:r>
      <w:r w:rsidR="00336CD7">
        <w:t>s</w:t>
      </w:r>
      <w:r w:rsidR="00336CD7" w:rsidRPr="00EE14A1">
        <w:t xml:space="preserve">hould return on investment for </w:t>
      </w:r>
      <w:r w:rsidR="003E6ACC">
        <w:t>electric utilities</w:t>
      </w:r>
      <w:r w:rsidR="003E6ACC" w:rsidRPr="00EE14A1">
        <w:t xml:space="preserve"> </w:t>
      </w:r>
      <w:r w:rsidR="00336CD7" w:rsidRPr="00EE14A1">
        <w:t xml:space="preserve">be </w:t>
      </w:r>
      <w:r w:rsidR="003E6ACC">
        <w:t xml:space="preserve">reduced </w:t>
      </w:r>
      <w:r w:rsidR="00336CD7" w:rsidRPr="00EE14A1">
        <w:t>in order to reflect lower risk?</w:t>
      </w:r>
      <w:bookmarkEnd w:id="14"/>
    </w:p>
    <w:p w:rsidR="00481B90" w:rsidRDefault="00674337" w:rsidP="00481B90">
      <w:pPr>
        <w:spacing w:line="480" w:lineRule="auto"/>
        <w:ind w:firstLine="720"/>
      </w:pPr>
      <w:r>
        <w:t>E</w:t>
      </w:r>
      <w:r w:rsidR="00525C8C">
        <w:t>lectric utilitie</w:t>
      </w:r>
      <w:r w:rsidR="00481B90" w:rsidRPr="00431ABB">
        <w:t>s</w:t>
      </w:r>
      <w:r w:rsidR="00481B90">
        <w:t>’</w:t>
      </w:r>
      <w:r w:rsidR="00481B90" w:rsidRPr="00431ABB">
        <w:t xml:space="preserve"> business risk </w:t>
      </w:r>
      <w:r w:rsidR="00481B90">
        <w:t>associated with</w:t>
      </w:r>
      <w:r w:rsidR="00503BDF">
        <w:t xml:space="preserve"> their</w:t>
      </w:r>
      <w:r w:rsidR="00481B90">
        <w:t xml:space="preserve"> regulated assets has </w:t>
      </w:r>
      <w:r w:rsidR="00481B90" w:rsidRPr="00431ABB">
        <w:t>decrease</w:t>
      </w:r>
      <w:r w:rsidR="00481B90">
        <w:t>d</w:t>
      </w:r>
      <w:r w:rsidR="00481B90" w:rsidRPr="00431ABB">
        <w:t xml:space="preserve"> as a result of the </w:t>
      </w:r>
      <w:r w:rsidR="00481B90">
        <w:t xml:space="preserve">PUCO declaring that </w:t>
      </w:r>
      <w:r w:rsidR="00481B90" w:rsidRPr="00431ABB">
        <w:t>generation service in Ohio</w:t>
      </w:r>
      <w:r w:rsidR="00481B90">
        <w:t xml:space="preserve"> is competitive</w:t>
      </w:r>
      <w:r w:rsidR="00481B90" w:rsidRPr="00431ABB">
        <w:t xml:space="preserve">.  </w:t>
      </w:r>
      <w:r w:rsidR="00676BF2">
        <w:t xml:space="preserve">The </w:t>
      </w:r>
      <w:r w:rsidR="00481B90">
        <w:t xml:space="preserve">risk associated with the construction and operation of generating facilities is no longer subject to the return on investment assessment.  But </w:t>
      </w:r>
      <w:r w:rsidR="00481B90" w:rsidRPr="00431ABB">
        <w:t>FirstEnergy</w:t>
      </w:r>
      <w:r w:rsidR="00481B90">
        <w:t xml:space="preserve"> disagrees and argues that the question posed by the PUCO is premised on a faulty assumption.</w:t>
      </w:r>
      <w:r w:rsidR="00481B90">
        <w:rPr>
          <w:rStyle w:val="FootnoteReference"/>
        </w:rPr>
        <w:footnoteReference w:id="32"/>
      </w:r>
      <w:r w:rsidR="00481B90">
        <w:t xml:space="preserve">   FirstEnergy contends that </w:t>
      </w:r>
      <w:r w:rsidR="00C217E3">
        <w:t xml:space="preserve">electric utilities </w:t>
      </w:r>
      <w:r w:rsidR="00481B90">
        <w:t>face a variety of risk factors that are continually changing and expanding</w:t>
      </w:r>
      <w:r w:rsidR="00676BF2">
        <w:t xml:space="preserve">.  </w:t>
      </w:r>
      <w:r w:rsidR="00481B90">
        <w:t xml:space="preserve"> </w:t>
      </w:r>
      <w:r w:rsidR="00676BF2">
        <w:t>A</w:t>
      </w:r>
      <w:r w:rsidR="00481B90">
        <w:t>mazingly,</w:t>
      </w:r>
      <w:r w:rsidR="00676BF2">
        <w:t xml:space="preserve"> FirstEnergy argues</w:t>
      </w:r>
      <w:r w:rsidR="00481B90">
        <w:t xml:space="preserve"> that the elimination of risk factors associated with the construction and operation of generating facilities</w:t>
      </w:r>
      <w:r w:rsidR="00AF4E6D">
        <w:t xml:space="preserve">—facilities that are no longer </w:t>
      </w:r>
      <w:r w:rsidR="00D84B65">
        <w:t xml:space="preserve">part of </w:t>
      </w:r>
      <w:r w:rsidR="00AF4E6D">
        <w:t xml:space="preserve">the </w:t>
      </w:r>
      <w:r w:rsidR="00D84B65">
        <w:t xml:space="preserve">business of the </w:t>
      </w:r>
      <w:r w:rsidR="00AF4E6D">
        <w:t>FirstEnergy utilities—d</w:t>
      </w:r>
      <w:r w:rsidR="00481B90">
        <w:t xml:space="preserve">oes not </w:t>
      </w:r>
      <w:r w:rsidR="00C217E3">
        <w:t xml:space="preserve">reduce </w:t>
      </w:r>
      <w:r w:rsidR="00481B90">
        <w:t>its risk.</w:t>
      </w:r>
    </w:p>
    <w:p w:rsidR="00481B90" w:rsidRDefault="00481B90" w:rsidP="00481B90">
      <w:pPr>
        <w:spacing w:line="480" w:lineRule="auto"/>
        <w:ind w:firstLine="720"/>
      </w:pPr>
      <w:r>
        <w:t xml:space="preserve">There is nothing logical or sensible about FirstEnergy’s position that the elimination of a significant risk does not </w:t>
      </w:r>
      <w:r w:rsidR="00C217E3">
        <w:t>reduce</w:t>
      </w:r>
      <w:r>
        <w:t xml:space="preserve"> overall risk.  While utilities face a number of risks, the elimination of a significant risk r</w:t>
      </w:r>
      <w:r w:rsidR="00674337">
        <w:t>e</w:t>
      </w:r>
      <w:r w:rsidR="00C217E3">
        <w:t>duces</w:t>
      </w:r>
      <w:r>
        <w:t xml:space="preserve"> overall risk by the relative magnitude of th</w:t>
      </w:r>
      <w:r w:rsidR="00503BDF">
        <w:t>e</w:t>
      </w:r>
      <w:r>
        <w:t xml:space="preserve"> risk</w:t>
      </w:r>
      <w:r w:rsidR="00503BDF">
        <w:t xml:space="preserve"> eliminated</w:t>
      </w:r>
      <w:r>
        <w:t xml:space="preserve">.  First Energy identifies and discusses other risk factors which </w:t>
      </w:r>
      <w:r w:rsidR="00C217E3">
        <w:t>elec</w:t>
      </w:r>
      <w:r w:rsidR="003E6ACC">
        <w:t>t</w:t>
      </w:r>
      <w:r w:rsidR="00C217E3">
        <w:t>ric utilit</w:t>
      </w:r>
      <w:r w:rsidR="003E6ACC">
        <w:t>i</w:t>
      </w:r>
      <w:r w:rsidR="00C217E3">
        <w:t xml:space="preserve">es </w:t>
      </w:r>
      <w:r>
        <w:t xml:space="preserve">confront.  These risk factors, </w:t>
      </w:r>
      <w:r w:rsidRPr="00431ABB">
        <w:t xml:space="preserve">such as </w:t>
      </w:r>
      <w:r>
        <w:t xml:space="preserve">the </w:t>
      </w:r>
      <w:r w:rsidRPr="00431ABB">
        <w:t>economic recession, and new energy and environmental initiatives</w:t>
      </w:r>
      <w:r>
        <w:t xml:space="preserve">, </w:t>
      </w:r>
      <w:r w:rsidR="007E7A1C">
        <w:t>c</w:t>
      </w:r>
      <w:r>
        <w:t xml:space="preserve">ould be considered in measuring the risk faced by utilities currently.  But the presence of these risk factors does not change the fact that </w:t>
      </w:r>
      <w:r w:rsidR="00C217E3">
        <w:t>elec</w:t>
      </w:r>
      <w:r w:rsidR="003E6ACC">
        <w:t>t</w:t>
      </w:r>
      <w:r w:rsidR="00C217E3">
        <w:t xml:space="preserve">ric utility </w:t>
      </w:r>
      <w:r>
        <w:t>risk has been substantially r</w:t>
      </w:r>
      <w:r w:rsidR="00674337">
        <w:t>e</w:t>
      </w:r>
      <w:r w:rsidR="00C217E3">
        <w:t>du</w:t>
      </w:r>
      <w:r>
        <w:t>ced by the elimination of generation risk</w:t>
      </w:r>
      <w:r w:rsidRPr="00431ABB">
        <w:t xml:space="preserve">. </w:t>
      </w:r>
    </w:p>
    <w:p w:rsidR="00481B90" w:rsidRDefault="00481B90" w:rsidP="00481B90">
      <w:pPr>
        <w:spacing w:line="480" w:lineRule="auto"/>
        <w:ind w:firstLine="720"/>
      </w:pPr>
      <w:r>
        <w:t>In discussing the recessionary environment, FirstEnergy paints a picture in which the economy has singled out regulated utilities to face the challenges of earning an adequate return for shareholders.</w:t>
      </w:r>
      <w:r>
        <w:rPr>
          <w:rStyle w:val="FootnoteReference"/>
        </w:rPr>
        <w:footnoteReference w:id="33"/>
      </w:r>
      <w:r>
        <w:t xml:space="preserve">  But the fact of economic cycles is a risk factor </w:t>
      </w:r>
      <w:r w:rsidR="00C217E3">
        <w:t>electric utilit</w:t>
      </w:r>
      <w:r w:rsidR="003E6ACC">
        <w:t>ies</w:t>
      </w:r>
      <w:r>
        <w:t xml:space="preserve"> have faced since they went into business.  Further, the current “recessionary environment,” which is notably improving, has impacted not just regulated utilities but all segments of American society.  This includes residential customers who face the impact of the recession as well as higher utility rates imposed by </w:t>
      </w:r>
      <w:r w:rsidR="00503BDF">
        <w:t>u</w:t>
      </w:r>
      <w:r>
        <w:t xml:space="preserve">tilities pushing for ever higher returns on shareholders’ investments.  </w:t>
      </w:r>
    </w:p>
    <w:p w:rsidR="00481B90" w:rsidRPr="00431ABB" w:rsidRDefault="00481B90" w:rsidP="00481B90">
      <w:pPr>
        <w:spacing w:line="480" w:lineRule="auto"/>
        <w:ind w:firstLine="720"/>
      </w:pPr>
      <w:r w:rsidRPr="00431ABB">
        <w:t xml:space="preserve">The risk factors </w:t>
      </w:r>
      <w:r>
        <w:t xml:space="preserve">discussed by FirstEnergy </w:t>
      </w:r>
      <w:r w:rsidRPr="00431ABB">
        <w:t>are not caused by</w:t>
      </w:r>
      <w:r w:rsidR="00503BDF">
        <w:t>,</w:t>
      </w:r>
      <w:r w:rsidR="00C217E3">
        <w:t xml:space="preserve"> </w:t>
      </w:r>
      <w:r>
        <w:t>and have nothing to do with</w:t>
      </w:r>
      <w:r w:rsidR="00503BDF">
        <w:t>,</w:t>
      </w:r>
      <w:r>
        <w:t xml:space="preserve"> the deregulation of generation service</w:t>
      </w:r>
      <w:r w:rsidRPr="00431ABB">
        <w:t>.</w:t>
      </w:r>
      <w:r>
        <w:t xml:space="preserve"> </w:t>
      </w:r>
      <w:r w:rsidRPr="00431ABB">
        <w:t xml:space="preserve"> </w:t>
      </w:r>
      <w:r>
        <w:t>Moreover, other than simply making a claim, FirstEnergy has offered no proof or</w:t>
      </w:r>
      <w:r w:rsidRPr="00431ABB">
        <w:t xml:space="preserve"> factual basis </w:t>
      </w:r>
      <w:r>
        <w:t xml:space="preserve">to support its claims </w:t>
      </w:r>
      <w:r w:rsidRPr="00431ABB">
        <w:t xml:space="preserve">that the separation of generation service may actually increase the risk of an </w:t>
      </w:r>
      <w:r w:rsidR="00C217E3">
        <w:t>electric utility</w:t>
      </w:r>
      <w:r w:rsidR="00C217E3" w:rsidRPr="00431ABB">
        <w:t xml:space="preserve">.  </w:t>
      </w:r>
      <w:r w:rsidRPr="00431ABB">
        <w:t xml:space="preserve">After all, an </w:t>
      </w:r>
      <w:r w:rsidR="00C217E3">
        <w:t>electric utility</w:t>
      </w:r>
      <w:r w:rsidR="00C217E3" w:rsidRPr="00431ABB">
        <w:t xml:space="preserve"> </w:t>
      </w:r>
      <w:r w:rsidRPr="00431ABB">
        <w:t>is allowed to fully recover all the costs associated with providing distribution service as well as the costs of obtaining generation services on behalf of its customers.</w:t>
      </w:r>
      <w:r>
        <w:t xml:space="preserve"> </w:t>
      </w:r>
      <w:r w:rsidRPr="00431ABB">
        <w:t xml:space="preserve"> Even FirstEnergy itself admitted that “the risk of recover</w:t>
      </w:r>
      <w:r>
        <w:t>ing</w:t>
      </w:r>
      <w:r w:rsidRPr="00431ABB">
        <w:t xml:space="preserve"> generation cost</w:t>
      </w:r>
      <w:r>
        <w:t xml:space="preserve">s for </w:t>
      </w:r>
      <w:r w:rsidR="00C217E3">
        <w:t xml:space="preserve">electric utilities </w:t>
      </w:r>
      <w:r>
        <w:t>has been diminished.”</w:t>
      </w:r>
      <w:r>
        <w:rPr>
          <w:rStyle w:val="FootnoteReference"/>
        </w:rPr>
        <w:footnoteReference w:id="34"/>
      </w:r>
      <w:r w:rsidRPr="00431ABB">
        <w:t xml:space="preserve">  </w:t>
      </w:r>
      <w:r>
        <w:t xml:space="preserve">However, in acknowledging this truth, FirstEnergy laments that the risk of recovery of generation costs for </w:t>
      </w:r>
      <w:r w:rsidR="00C217E3">
        <w:t>electric utilit</w:t>
      </w:r>
      <w:r w:rsidR="00450318">
        <w:t>i</w:t>
      </w:r>
      <w:r w:rsidR="00C217E3">
        <w:t xml:space="preserve">es </w:t>
      </w:r>
      <w:r>
        <w:t>has not been completely eliminated.</w:t>
      </w:r>
      <w:r>
        <w:rPr>
          <w:rStyle w:val="FootnoteReference"/>
        </w:rPr>
        <w:footnoteReference w:id="35"/>
      </w:r>
      <w:r w:rsidRPr="00431ABB">
        <w:t xml:space="preserve"> </w:t>
      </w:r>
    </w:p>
    <w:p w:rsidR="00481B90" w:rsidRPr="00431ABB" w:rsidRDefault="00481B90" w:rsidP="00481B90">
      <w:pPr>
        <w:spacing w:line="480" w:lineRule="auto"/>
        <w:ind w:firstLine="720"/>
      </w:pPr>
      <w:r>
        <w:t xml:space="preserve">An </w:t>
      </w:r>
      <w:r w:rsidR="00C217E3">
        <w:t>electric utility’s</w:t>
      </w:r>
      <w:r w:rsidR="00C217E3" w:rsidRPr="00431ABB">
        <w:t xml:space="preserve"> </w:t>
      </w:r>
      <w:r w:rsidRPr="00431ABB">
        <w:t xml:space="preserve">return on </w:t>
      </w:r>
      <w:r>
        <w:rPr>
          <w:b/>
        </w:rPr>
        <w:t>distribution</w:t>
      </w:r>
      <w:r w:rsidR="006478DC">
        <w:rPr>
          <w:b/>
        </w:rPr>
        <w:t xml:space="preserve"> </w:t>
      </w:r>
      <w:r w:rsidRPr="00431ABB">
        <w:t>investments should be set at an appropriate level to provide adequate, safe, and reliable service at reasonable rates</w:t>
      </w:r>
      <w:r>
        <w:t xml:space="preserve"> for the risk associated with those service</w:t>
      </w:r>
      <w:r w:rsidR="00C217E3">
        <w:t xml:space="preserve">s  </w:t>
      </w:r>
      <w:r w:rsidR="00450318">
        <w:t>E</w:t>
      </w:r>
      <w:r w:rsidR="00C217E3">
        <w:t xml:space="preserve">lectric utilities </w:t>
      </w:r>
      <w:r>
        <w:t xml:space="preserve">are to be “fully on their own” in the generation market.  Thus, market prices for generation are the only </w:t>
      </w:r>
      <w:r w:rsidRPr="00431ABB">
        <w:t xml:space="preserve">means </w:t>
      </w:r>
      <w:r>
        <w:t xml:space="preserve">by which a seller of generation (whether </w:t>
      </w:r>
      <w:r w:rsidR="00C217E3">
        <w:t xml:space="preserve">electric utility </w:t>
      </w:r>
      <w:r>
        <w:t>or non-</w:t>
      </w:r>
      <w:r w:rsidR="00C217E3">
        <w:t>electric utility</w:t>
      </w:r>
      <w:r>
        <w:t>) can recover generation costs</w:t>
      </w:r>
      <w:r w:rsidRPr="00431ABB">
        <w:t xml:space="preserve">.  </w:t>
      </w:r>
      <w:r>
        <w:t xml:space="preserve">Inasmuch as </w:t>
      </w:r>
      <w:r w:rsidR="00C217E3">
        <w:t>electric utilities</w:t>
      </w:r>
      <w:r w:rsidR="00C217E3" w:rsidRPr="00431ABB">
        <w:t xml:space="preserve"> </w:t>
      </w:r>
      <w:r w:rsidRPr="00431ABB">
        <w:t>in Ohio are not required to share the increased profits from a higher market price</w:t>
      </w:r>
      <w:r>
        <w:t xml:space="preserve"> for generation,</w:t>
      </w:r>
      <w:r w:rsidRPr="00431ABB">
        <w:t xml:space="preserve"> </w:t>
      </w:r>
      <w:r w:rsidR="00C217E3">
        <w:t xml:space="preserve">electric utilities  </w:t>
      </w:r>
      <w:r w:rsidR="00C217E3" w:rsidRPr="00431ABB">
        <w:t xml:space="preserve"> </w:t>
      </w:r>
      <w:r>
        <w:t xml:space="preserve">should not </w:t>
      </w:r>
      <w:r w:rsidRPr="00431ABB">
        <w:t>be insulated from incurring loss</w:t>
      </w:r>
      <w:r>
        <w:t>es</w:t>
      </w:r>
      <w:r w:rsidRPr="00431ABB">
        <w:t xml:space="preserve"> if lower market price</w:t>
      </w:r>
      <w:r>
        <w:t>s</w:t>
      </w:r>
      <w:r w:rsidRPr="00431ABB">
        <w:t xml:space="preserve"> do not cover the costs associated with </w:t>
      </w:r>
      <w:r>
        <w:t xml:space="preserve">any retained </w:t>
      </w:r>
      <w:r w:rsidRPr="00431ABB">
        <w:t>generation assets</w:t>
      </w:r>
      <w:r>
        <w:t>.</w:t>
      </w:r>
      <w:r w:rsidRPr="00431ABB">
        <w:t xml:space="preserve">  </w:t>
      </w:r>
      <w:r>
        <w:t xml:space="preserve">Because </w:t>
      </w:r>
      <w:r w:rsidR="00C217E3">
        <w:t xml:space="preserve">electric utilities </w:t>
      </w:r>
      <w:r>
        <w:t>profit from market forces, t</w:t>
      </w:r>
      <w:r w:rsidRPr="00431ABB">
        <w:t>hey should not be insulated from market forces.</w:t>
      </w:r>
    </w:p>
    <w:p w:rsidR="00336CD7" w:rsidRPr="004A2048" w:rsidRDefault="00336CD7" w:rsidP="00336CD7">
      <w:pPr>
        <w:ind w:firstLine="720"/>
      </w:pPr>
    </w:p>
    <w:p w:rsidR="002E2AAC" w:rsidRDefault="008E3445" w:rsidP="008E3445">
      <w:pPr>
        <w:pStyle w:val="Heading1"/>
      </w:pPr>
      <w:bookmarkStart w:id="15" w:name="_Toc360095632"/>
      <w:bookmarkStart w:id="16" w:name="_Toc362249275"/>
      <w:r>
        <w:t>III.</w:t>
      </w:r>
      <w:r>
        <w:tab/>
      </w:r>
      <w:r w:rsidR="002E2AAC">
        <w:t>CONCLUSION</w:t>
      </w:r>
      <w:bookmarkEnd w:id="15"/>
      <w:bookmarkEnd w:id="16"/>
      <w:r w:rsidR="0062184A">
        <w:t xml:space="preserve"> </w:t>
      </w:r>
    </w:p>
    <w:p w:rsidR="00B207DE" w:rsidRDefault="002E2AAC" w:rsidP="00B207DE">
      <w:pPr>
        <w:spacing w:line="480" w:lineRule="auto"/>
      </w:pPr>
      <w:r>
        <w:tab/>
      </w:r>
      <w:r w:rsidR="00966CC5">
        <w:t xml:space="preserve">The Office of the Ohio Consumers’ Counsel appreciates the </w:t>
      </w:r>
      <w:r w:rsidR="001358CF">
        <w:t>PUCO’s attention to the Ohio</w:t>
      </w:r>
      <w:r w:rsidR="00966CC5">
        <w:t xml:space="preserve"> retail electric services market</w:t>
      </w:r>
      <w:r w:rsidR="001358CF">
        <w:t>.</w:t>
      </w:r>
      <w:r w:rsidR="00093975">
        <w:t xml:space="preserve">  The focus for that PUCO attention should be on providing value, including lower</w:t>
      </w:r>
      <w:r w:rsidR="00B2235D">
        <w:t xml:space="preserve"> or more affordable rates</w:t>
      </w:r>
      <w:r w:rsidR="00093975">
        <w:t xml:space="preserve"> for customers.</w:t>
      </w:r>
      <w:r w:rsidR="001358CF">
        <w:t xml:space="preserve"> </w:t>
      </w:r>
      <w:r w:rsidR="00B2235D">
        <w:t>Toward this end</w:t>
      </w:r>
      <w:r w:rsidR="000C6CBB">
        <w:t xml:space="preserve">, the </w:t>
      </w:r>
      <w:r w:rsidR="000A1A39">
        <w:t>PUCO</w:t>
      </w:r>
      <w:r w:rsidR="000C6CBB">
        <w:t xml:space="preserve"> should ensure that the structure of the </w:t>
      </w:r>
      <w:r w:rsidR="008E04E1">
        <w:t>electric</w:t>
      </w:r>
      <w:r w:rsidR="00B2235D">
        <w:t>ity</w:t>
      </w:r>
      <w:r w:rsidR="008E04E1">
        <w:t xml:space="preserve"> </w:t>
      </w:r>
      <w:r w:rsidR="000C6CBB">
        <w:t xml:space="preserve">market retains </w:t>
      </w:r>
      <w:r w:rsidR="00B2235D">
        <w:t xml:space="preserve">the </w:t>
      </w:r>
      <w:r w:rsidR="000C6CBB">
        <w:t>option</w:t>
      </w:r>
      <w:r w:rsidR="005B773C">
        <w:t xml:space="preserve"> </w:t>
      </w:r>
      <w:r w:rsidR="00B2235D">
        <w:t>of</w:t>
      </w:r>
      <w:r w:rsidR="005B773C">
        <w:t xml:space="preserve"> utility standard offers</w:t>
      </w:r>
      <w:r w:rsidR="003E6ACC">
        <w:t xml:space="preserve"> </w:t>
      </w:r>
      <w:r w:rsidR="00B2235D">
        <w:t>for</w:t>
      </w:r>
      <w:r w:rsidR="008E04E1">
        <w:t xml:space="preserve"> customers</w:t>
      </w:r>
      <w:r w:rsidR="001358CF">
        <w:t xml:space="preserve">. </w:t>
      </w:r>
    </w:p>
    <w:p w:rsidR="002E2AAC" w:rsidRDefault="00525C8C">
      <w:pPr>
        <w:pStyle w:val="InsideAddress"/>
        <w:tabs>
          <w:tab w:val="left" w:pos="4230"/>
        </w:tabs>
        <w:autoSpaceDE w:val="0"/>
        <w:autoSpaceDN w:val="0"/>
        <w:adjustRightInd w:val="0"/>
        <w:ind w:left="4320"/>
        <w:rPr>
          <w:rFonts w:ascii="Times New Roman" w:hAnsi="Times New Roman" w:cs="Times New Roman"/>
        </w:rPr>
      </w:pPr>
      <w:r>
        <w:rPr>
          <w:rFonts w:ascii="Times New Roman" w:hAnsi="Times New Roman" w:cs="Times New Roman"/>
        </w:rPr>
        <w:br w:type="page"/>
      </w:r>
      <w:r w:rsidR="002E2AAC">
        <w:rPr>
          <w:rFonts w:ascii="Times New Roman" w:hAnsi="Times New Roman" w:cs="Times New Roman"/>
        </w:rPr>
        <w:t>Respectfully submitted,</w:t>
      </w: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2E2AAC" w:rsidRDefault="002E2AAC">
      <w:pPr>
        <w:pStyle w:val="Footer"/>
        <w:tabs>
          <w:tab w:val="clear" w:pos="4320"/>
          <w:tab w:val="clear" w:pos="8640"/>
        </w:tabs>
        <w:autoSpaceDE w:val="0"/>
        <w:autoSpaceDN w:val="0"/>
        <w:adjustRightInd w:val="0"/>
        <w:ind w:left="4320"/>
      </w:pPr>
      <w:r>
        <w:t>OHIO CONSUMERS’ COUNSEL</w:t>
      </w:r>
    </w:p>
    <w:p w:rsidR="002E2AAC" w:rsidRDefault="002E2AAC">
      <w:pPr>
        <w:tabs>
          <w:tab w:val="left" w:pos="4230"/>
          <w:tab w:val="left" w:pos="4320"/>
        </w:tabs>
        <w:ind w:left="4320"/>
      </w:pPr>
    </w:p>
    <w:p w:rsidR="002E2AAC" w:rsidRDefault="002E2AAC">
      <w:pPr>
        <w:tabs>
          <w:tab w:val="left" w:pos="4230"/>
          <w:tab w:val="left" w:pos="4320"/>
        </w:tabs>
        <w:ind w:left="4320"/>
      </w:pPr>
    </w:p>
    <w:p w:rsidR="002E2AAC" w:rsidRDefault="002E2AAC">
      <w:pPr>
        <w:tabs>
          <w:tab w:val="left" w:pos="4230"/>
        </w:tabs>
        <w:ind w:left="4320"/>
        <w:rPr>
          <w:i/>
          <w:iCs/>
          <w:u w:val="single"/>
        </w:rPr>
      </w:pPr>
      <w:r>
        <w:rPr>
          <w:i/>
          <w:iCs/>
          <w:u w:val="single"/>
        </w:rPr>
        <w:t>/s/ Maureen R. Grady</w:t>
      </w:r>
      <w:r>
        <w:rPr>
          <w:i/>
          <w:iCs/>
          <w:u w:val="single"/>
        </w:rPr>
        <w:tab/>
      </w:r>
      <w:r>
        <w:rPr>
          <w:i/>
          <w:iCs/>
          <w:u w:val="single"/>
        </w:rPr>
        <w:tab/>
      </w:r>
      <w:r>
        <w:rPr>
          <w:i/>
          <w:iCs/>
          <w:u w:val="single"/>
        </w:rPr>
        <w:tab/>
      </w:r>
    </w:p>
    <w:p w:rsidR="002E2AAC" w:rsidRDefault="002E2AAC">
      <w:pPr>
        <w:suppressAutoHyphens/>
        <w:ind w:left="4320"/>
      </w:pPr>
      <w:r>
        <w:t>Maureen R. Grady, Counsel of Record</w:t>
      </w:r>
    </w:p>
    <w:p w:rsidR="002E2AAC" w:rsidRDefault="002E2AAC">
      <w:pPr>
        <w:suppressAutoHyphens/>
        <w:ind w:left="4320"/>
      </w:pPr>
      <w:r>
        <w:t>Joseph P. Serio</w:t>
      </w:r>
    </w:p>
    <w:p w:rsidR="005F78B4" w:rsidRDefault="006C6863">
      <w:pPr>
        <w:suppressAutoHyphens/>
        <w:ind w:left="4320"/>
      </w:pPr>
      <w:r>
        <w:t>Edmund “Tad” Berger</w:t>
      </w:r>
    </w:p>
    <w:p w:rsidR="006C6863" w:rsidRDefault="006C6863">
      <w:pPr>
        <w:suppressAutoHyphens/>
        <w:ind w:left="4320"/>
      </w:pPr>
      <w:r>
        <w:t>Michael J. Schuler</w:t>
      </w:r>
    </w:p>
    <w:p w:rsidR="002E2AAC" w:rsidRDefault="002E2AAC">
      <w:pPr>
        <w:suppressAutoHyphens/>
        <w:ind w:left="4320"/>
      </w:pPr>
      <w:r>
        <w:t>Assistant Consumers’ Counsel</w:t>
      </w:r>
    </w:p>
    <w:p w:rsidR="002E2AAC" w:rsidRDefault="002E2AAC">
      <w:pPr>
        <w:tabs>
          <w:tab w:val="left" w:pos="4230"/>
          <w:tab w:val="left" w:pos="4320"/>
        </w:tabs>
        <w:ind w:left="4320"/>
      </w:pPr>
    </w:p>
    <w:p w:rsidR="002E2AAC" w:rsidRDefault="002E2AAC">
      <w:pPr>
        <w:suppressAutoHyphens/>
        <w:ind w:left="4320"/>
        <w:rPr>
          <w:b/>
          <w:bCs/>
        </w:rPr>
      </w:pPr>
      <w:r>
        <w:rPr>
          <w:b/>
          <w:bCs/>
        </w:rPr>
        <w:t>Office of the Ohio Consumers’ Counsel</w:t>
      </w:r>
    </w:p>
    <w:p w:rsidR="002E2AAC" w:rsidRDefault="002E2AAC">
      <w:pPr>
        <w:suppressAutoHyphens/>
        <w:ind w:left="4320"/>
      </w:pPr>
      <w:r>
        <w:t>10 West Broad Street, Suite 1800</w:t>
      </w:r>
    </w:p>
    <w:p w:rsidR="002E2AAC" w:rsidRDefault="002E2AAC">
      <w:pPr>
        <w:suppressAutoHyphens/>
        <w:ind w:left="4320"/>
      </w:pPr>
      <w:r>
        <w:t>Columbus, Ohio43215-3485</w:t>
      </w:r>
    </w:p>
    <w:p w:rsidR="002E2AAC" w:rsidRDefault="002E2AAC">
      <w:pPr>
        <w:suppressAutoHyphens/>
        <w:ind w:left="4320"/>
      </w:pPr>
      <w:r>
        <w:t>(614) 466-</w:t>
      </w:r>
      <w:r w:rsidR="005F78B4">
        <w:t>9567</w:t>
      </w:r>
      <w:r>
        <w:t xml:space="preserve"> – Telephone</w:t>
      </w:r>
      <w:r w:rsidR="005F78B4">
        <w:t xml:space="preserve"> (Grady)</w:t>
      </w:r>
    </w:p>
    <w:p w:rsidR="002E2AAC" w:rsidRDefault="002E2AAC">
      <w:pPr>
        <w:suppressAutoHyphens/>
        <w:ind w:left="4320"/>
      </w:pPr>
      <w:r>
        <w:t>(614) 466-9475 – Facsimile</w:t>
      </w:r>
    </w:p>
    <w:p w:rsidR="002E2AAC" w:rsidRDefault="002C3F5B">
      <w:pPr>
        <w:ind w:left="4320"/>
      </w:pPr>
      <w:hyperlink r:id="rId22" w:history="1">
        <w:r w:rsidR="002E2AAC">
          <w:rPr>
            <w:rStyle w:val="Hyperlink"/>
          </w:rPr>
          <w:t>grady@occ.state.oh.us</w:t>
        </w:r>
      </w:hyperlink>
    </w:p>
    <w:p w:rsidR="002E2AAC" w:rsidRDefault="002C3F5B">
      <w:pPr>
        <w:ind w:left="4320"/>
      </w:pPr>
      <w:hyperlink r:id="rId23" w:history="1">
        <w:r w:rsidR="002E2AAC">
          <w:rPr>
            <w:rStyle w:val="Hyperlink"/>
          </w:rPr>
          <w:t>serio@occ.state.oh.us</w:t>
        </w:r>
      </w:hyperlink>
    </w:p>
    <w:p w:rsidR="002E2AAC" w:rsidRDefault="002C3F5B">
      <w:pPr>
        <w:ind w:left="4320"/>
      </w:pPr>
      <w:hyperlink r:id="rId24" w:history="1">
        <w:r w:rsidR="006C6863" w:rsidRPr="00771226">
          <w:rPr>
            <w:rStyle w:val="Hyperlink"/>
          </w:rPr>
          <w:t>berger@occ.state.oh.us</w:t>
        </w:r>
      </w:hyperlink>
    </w:p>
    <w:p w:rsidR="006C6863" w:rsidRDefault="002C3F5B">
      <w:pPr>
        <w:ind w:left="4320"/>
      </w:pPr>
      <w:hyperlink r:id="rId25" w:history="1">
        <w:r w:rsidR="00D932A4" w:rsidRPr="001D502E">
          <w:rPr>
            <w:rStyle w:val="Hyperlink"/>
          </w:rPr>
          <w:t>schuler@occ.state.oh.us</w:t>
        </w:r>
      </w:hyperlink>
    </w:p>
    <w:p w:rsidR="002E2AAC" w:rsidRDefault="002E2AAC">
      <w:pPr>
        <w:jc w:val="center"/>
        <w:rPr>
          <w:b/>
          <w:bCs/>
          <w:u w:val="single"/>
        </w:rPr>
      </w:pPr>
      <w:r>
        <w:br w:type="page"/>
      </w:r>
      <w:r>
        <w:rPr>
          <w:b/>
          <w:bCs/>
          <w:u w:val="single"/>
        </w:rPr>
        <w:t>CERTIFICATE OF SERVICE</w:t>
      </w:r>
    </w:p>
    <w:p w:rsidR="002E2AAC" w:rsidRDefault="002E2AAC">
      <w:pPr>
        <w:jc w:val="center"/>
        <w:rPr>
          <w:b/>
          <w:bCs/>
          <w:u w:val="single"/>
        </w:rPr>
      </w:pPr>
    </w:p>
    <w:p w:rsidR="002E2AAC" w:rsidRDefault="002E2AAC" w:rsidP="004315CC">
      <w:pPr>
        <w:spacing w:line="480" w:lineRule="auto"/>
        <w:ind w:right="24"/>
        <w:rPr>
          <w:b/>
          <w:bCs/>
          <w:u w:val="single"/>
        </w:rPr>
      </w:pPr>
      <w:r>
        <w:tab/>
        <w:t xml:space="preserve">The undersigned hereby certifies that a true and correct copy of the foregoing </w:t>
      </w:r>
      <w:r w:rsidR="00A0723D">
        <w:t xml:space="preserve">Reply </w:t>
      </w:r>
      <w:r>
        <w:t xml:space="preserve">Comments have been served upon the below-named persons via electronic service </w:t>
      </w:r>
      <w:r w:rsidR="006F4728">
        <w:t>this 22nd</w:t>
      </w:r>
      <w:r w:rsidR="00725F6A">
        <w:t xml:space="preserve"> </w:t>
      </w:r>
      <w:r w:rsidR="00A34DEA">
        <w:t>day of July</w:t>
      </w:r>
      <w:r w:rsidRPr="006B2A9B">
        <w:t>,</w:t>
      </w:r>
      <w:r>
        <w:t xml:space="preserve"> 2013.</w:t>
      </w:r>
    </w:p>
    <w:p w:rsidR="002E2AAC" w:rsidRDefault="002E2AAC">
      <w:pPr>
        <w:ind w:left="4320"/>
        <w:rPr>
          <w:i/>
          <w:iCs/>
          <w:u w:val="single"/>
        </w:rPr>
      </w:pPr>
      <w:r>
        <w:rPr>
          <w:i/>
          <w:iCs/>
          <w:u w:val="single"/>
        </w:rPr>
        <w:t>/s/ Maureen R. Grady</w:t>
      </w:r>
      <w:r>
        <w:rPr>
          <w:i/>
          <w:iCs/>
          <w:u w:val="single"/>
        </w:rPr>
        <w:tab/>
      </w:r>
      <w:r>
        <w:rPr>
          <w:i/>
          <w:iCs/>
          <w:u w:val="single"/>
        </w:rPr>
        <w:tab/>
      </w:r>
    </w:p>
    <w:p w:rsidR="002E2AAC" w:rsidRDefault="002E2AAC">
      <w:r>
        <w:tab/>
      </w:r>
      <w:r>
        <w:tab/>
      </w:r>
      <w:r>
        <w:tab/>
      </w:r>
      <w:r>
        <w:tab/>
      </w:r>
      <w:r>
        <w:tab/>
      </w:r>
      <w:r>
        <w:tab/>
        <w:t>Maureen R. Grady</w:t>
      </w:r>
    </w:p>
    <w:p w:rsidR="002E2AAC" w:rsidRDefault="002E2AAC">
      <w:r>
        <w:tab/>
      </w:r>
      <w:r>
        <w:tab/>
      </w:r>
      <w:r>
        <w:tab/>
      </w:r>
      <w:r>
        <w:tab/>
      </w:r>
      <w:r>
        <w:tab/>
      </w:r>
      <w:r>
        <w:tab/>
        <w:t>Assistant Consumers’ Counsel</w:t>
      </w:r>
    </w:p>
    <w:p w:rsidR="002E2AAC" w:rsidRDefault="002E2AAC">
      <w:pPr>
        <w:tabs>
          <w:tab w:val="left" w:pos="4320"/>
        </w:tabs>
        <w:jc w:val="center"/>
        <w:rPr>
          <w:b/>
          <w:bCs/>
          <w:u w:val="single"/>
        </w:rPr>
      </w:pPr>
    </w:p>
    <w:p w:rsidR="002E2AAC" w:rsidRDefault="002E2AAC">
      <w:pPr>
        <w:jc w:val="center"/>
        <w:rPr>
          <w:b/>
          <w:bCs/>
          <w:u w:val="single"/>
        </w:rPr>
      </w:pPr>
      <w:r>
        <w:rPr>
          <w:b/>
          <w:bCs/>
          <w:u w:val="single"/>
        </w:rPr>
        <w:t>SERVICE LIST</w:t>
      </w:r>
    </w:p>
    <w:p w:rsidR="002E2AAC" w:rsidRDefault="002E2AAC"/>
    <w:tbl>
      <w:tblPr>
        <w:tblW w:w="0" w:type="auto"/>
        <w:tblInd w:w="-106" w:type="dxa"/>
        <w:tblLook w:val="01E0" w:firstRow="1" w:lastRow="1" w:firstColumn="1" w:lastColumn="1" w:noHBand="0" w:noVBand="0"/>
      </w:tblPr>
      <w:tblGrid>
        <w:gridCol w:w="4428"/>
        <w:gridCol w:w="4428"/>
      </w:tblGrid>
      <w:tr w:rsidR="004315CC" w:rsidRPr="004315CC" w:rsidTr="001C2AD2">
        <w:tc>
          <w:tcPr>
            <w:tcW w:w="4428" w:type="dxa"/>
          </w:tcPr>
          <w:p w:rsidR="004315CC" w:rsidRPr="004315CC" w:rsidRDefault="002C3F5B" w:rsidP="004315CC">
            <w:pPr>
              <w:autoSpaceDE w:val="0"/>
              <w:autoSpaceDN w:val="0"/>
              <w:adjustRightInd w:val="0"/>
            </w:pPr>
            <w:hyperlink r:id="rId26" w:history="1">
              <w:r w:rsidR="004315CC" w:rsidRPr="004315CC">
                <w:rPr>
                  <w:color w:val="0000FF"/>
                  <w:u w:val="single"/>
                </w:rPr>
                <w:t>William.wright@puc.state.oh.us</w:t>
              </w:r>
            </w:hyperlink>
          </w:p>
          <w:p w:rsidR="004315CC" w:rsidRPr="004315CC" w:rsidRDefault="002C3F5B" w:rsidP="004315CC">
            <w:pPr>
              <w:autoSpaceDE w:val="0"/>
              <w:autoSpaceDN w:val="0"/>
              <w:adjustRightInd w:val="0"/>
            </w:pPr>
            <w:hyperlink r:id="rId27" w:history="1">
              <w:r w:rsidR="004315CC" w:rsidRPr="004315CC">
                <w:rPr>
                  <w:color w:val="0000FF"/>
                  <w:u w:val="single"/>
                </w:rPr>
                <w:t>Elizabeth.stevens@puc.state.oh.us</w:t>
              </w:r>
            </w:hyperlink>
          </w:p>
          <w:p w:rsidR="004315CC" w:rsidRPr="004315CC" w:rsidRDefault="002C3F5B" w:rsidP="004315CC">
            <w:pPr>
              <w:autoSpaceDE w:val="0"/>
              <w:autoSpaceDN w:val="0"/>
              <w:adjustRightInd w:val="0"/>
              <w:rPr>
                <w:rFonts w:eastAsia="Calibri"/>
              </w:rPr>
            </w:pPr>
            <w:hyperlink r:id="rId28" w:history="1">
              <w:r w:rsidR="004315CC" w:rsidRPr="004315CC">
                <w:rPr>
                  <w:rFonts w:eastAsia="Calibri"/>
                  <w:color w:val="0000FF"/>
                  <w:u w:val="single"/>
                </w:rPr>
                <w:t>sam@mwncmh.com</w:t>
              </w:r>
            </w:hyperlink>
          </w:p>
          <w:p w:rsidR="004315CC" w:rsidRPr="004315CC" w:rsidRDefault="002C3F5B" w:rsidP="004315CC">
            <w:pPr>
              <w:autoSpaceDE w:val="0"/>
              <w:autoSpaceDN w:val="0"/>
              <w:adjustRightInd w:val="0"/>
              <w:rPr>
                <w:rFonts w:eastAsia="Calibri"/>
              </w:rPr>
            </w:pPr>
            <w:hyperlink r:id="rId29" w:history="1">
              <w:r w:rsidR="004315CC" w:rsidRPr="004315CC">
                <w:rPr>
                  <w:rFonts w:eastAsia="Calibri"/>
                  <w:color w:val="0000FF"/>
                  <w:u w:val="single"/>
                </w:rPr>
                <w:t>fdarr@mwncmh.com</w:t>
              </w:r>
            </w:hyperlink>
          </w:p>
          <w:p w:rsidR="004315CC" w:rsidRPr="004315CC" w:rsidRDefault="002C3F5B" w:rsidP="004315CC">
            <w:pPr>
              <w:autoSpaceDE w:val="0"/>
              <w:autoSpaceDN w:val="0"/>
              <w:adjustRightInd w:val="0"/>
              <w:rPr>
                <w:rFonts w:eastAsia="Calibri"/>
              </w:rPr>
            </w:pPr>
            <w:hyperlink r:id="rId30" w:history="1">
              <w:r w:rsidR="004315CC" w:rsidRPr="004315CC">
                <w:rPr>
                  <w:rFonts w:eastAsia="Calibri"/>
                  <w:color w:val="0000FF"/>
                  <w:u w:val="single"/>
                </w:rPr>
                <w:t>joliker@mwncmh.com</w:t>
              </w:r>
            </w:hyperlink>
          </w:p>
          <w:p w:rsidR="004315CC" w:rsidRPr="004315CC" w:rsidRDefault="002C3F5B" w:rsidP="004315CC">
            <w:pPr>
              <w:autoSpaceDE w:val="0"/>
              <w:autoSpaceDN w:val="0"/>
              <w:adjustRightInd w:val="0"/>
              <w:rPr>
                <w:rFonts w:eastAsia="Calibri"/>
              </w:rPr>
            </w:pPr>
            <w:hyperlink r:id="rId31" w:history="1">
              <w:r w:rsidR="004315CC" w:rsidRPr="004315CC">
                <w:rPr>
                  <w:rFonts w:eastAsia="Calibri"/>
                  <w:color w:val="0000FF"/>
                  <w:u w:val="single"/>
                </w:rPr>
                <w:t>mpritchard@mwncmh.com</w:t>
              </w:r>
            </w:hyperlink>
          </w:p>
          <w:p w:rsidR="004315CC" w:rsidRPr="004315CC" w:rsidRDefault="002C3F5B" w:rsidP="004315CC">
            <w:pPr>
              <w:autoSpaceDE w:val="0"/>
              <w:autoSpaceDN w:val="0"/>
              <w:adjustRightInd w:val="0"/>
              <w:rPr>
                <w:rFonts w:eastAsia="Calibri"/>
              </w:rPr>
            </w:pPr>
            <w:hyperlink r:id="rId32" w:history="1">
              <w:r w:rsidR="004315CC" w:rsidRPr="004315CC">
                <w:rPr>
                  <w:rFonts w:eastAsia="Calibri"/>
                  <w:color w:val="0000FF"/>
                  <w:u w:val="single"/>
                </w:rPr>
                <w:t>mhpetricoff@vorys.com</w:t>
              </w:r>
            </w:hyperlink>
          </w:p>
          <w:p w:rsidR="004315CC" w:rsidRPr="004315CC" w:rsidRDefault="002C3F5B" w:rsidP="004315CC">
            <w:pPr>
              <w:autoSpaceDE w:val="0"/>
              <w:autoSpaceDN w:val="0"/>
              <w:adjustRightInd w:val="0"/>
              <w:rPr>
                <w:rFonts w:eastAsia="Calibri"/>
              </w:rPr>
            </w:pPr>
            <w:hyperlink r:id="rId33" w:history="1">
              <w:r w:rsidR="004315CC" w:rsidRPr="004315CC">
                <w:rPr>
                  <w:rFonts w:eastAsia="Calibri"/>
                  <w:color w:val="0000FF"/>
                  <w:u w:val="single"/>
                </w:rPr>
                <w:t>smhoward@vorys.com</w:t>
              </w:r>
            </w:hyperlink>
          </w:p>
          <w:p w:rsidR="004315CC" w:rsidRPr="004315CC" w:rsidRDefault="002C3F5B" w:rsidP="004315CC">
            <w:pPr>
              <w:autoSpaceDE w:val="0"/>
              <w:autoSpaceDN w:val="0"/>
              <w:adjustRightInd w:val="0"/>
              <w:rPr>
                <w:rFonts w:eastAsia="Calibri"/>
              </w:rPr>
            </w:pPr>
            <w:hyperlink r:id="rId34" w:history="1">
              <w:r w:rsidR="004315CC" w:rsidRPr="004315CC">
                <w:rPr>
                  <w:rFonts w:eastAsia="Calibri"/>
                  <w:color w:val="0000FF"/>
                  <w:u w:val="single"/>
                </w:rPr>
                <w:t>meissnerjoseph@yahoo.com</w:t>
              </w:r>
            </w:hyperlink>
          </w:p>
          <w:p w:rsidR="004315CC" w:rsidRPr="004315CC" w:rsidRDefault="002C3F5B" w:rsidP="004315CC">
            <w:pPr>
              <w:autoSpaceDE w:val="0"/>
              <w:autoSpaceDN w:val="0"/>
              <w:adjustRightInd w:val="0"/>
              <w:rPr>
                <w:rFonts w:eastAsia="Calibri"/>
              </w:rPr>
            </w:pPr>
            <w:hyperlink r:id="rId35" w:history="1">
              <w:r w:rsidR="004315CC" w:rsidRPr="004315CC">
                <w:rPr>
                  <w:rFonts w:eastAsia="Calibri"/>
                  <w:color w:val="0000FF"/>
                  <w:u w:val="single"/>
                </w:rPr>
                <w:t>msmalz@ohiopovertylaw.org</w:t>
              </w:r>
            </w:hyperlink>
          </w:p>
          <w:p w:rsidR="004315CC" w:rsidRPr="004315CC" w:rsidRDefault="002C3F5B" w:rsidP="004315CC">
            <w:pPr>
              <w:autoSpaceDE w:val="0"/>
              <w:autoSpaceDN w:val="0"/>
              <w:adjustRightInd w:val="0"/>
              <w:rPr>
                <w:rFonts w:eastAsia="Calibri"/>
              </w:rPr>
            </w:pPr>
            <w:hyperlink r:id="rId36" w:history="1">
              <w:r w:rsidR="004315CC" w:rsidRPr="004315CC">
                <w:rPr>
                  <w:rFonts w:eastAsia="Calibri"/>
                  <w:color w:val="0000FF"/>
                  <w:u w:val="single"/>
                </w:rPr>
                <w:t>jmaskovyak@ohiopovertylaw.org</w:t>
              </w:r>
            </w:hyperlink>
          </w:p>
          <w:p w:rsidR="004315CC" w:rsidRPr="004315CC" w:rsidRDefault="002C3F5B" w:rsidP="004315CC">
            <w:pPr>
              <w:autoSpaceDE w:val="0"/>
              <w:autoSpaceDN w:val="0"/>
              <w:adjustRightInd w:val="0"/>
              <w:rPr>
                <w:rFonts w:eastAsia="Calibri"/>
              </w:rPr>
            </w:pPr>
            <w:hyperlink r:id="rId37" w:history="1">
              <w:r w:rsidR="004315CC" w:rsidRPr="004315CC">
                <w:rPr>
                  <w:rFonts w:eastAsia="Calibri"/>
                  <w:color w:val="0000FF"/>
                  <w:u w:val="single"/>
                </w:rPr>
                <w:t>ejacobs@ablelaw.org</w:t>
              </w:r>
            </w:hyperlink>
          </w:p>
          <w:p w:rsidR="004315CC" w:rsidRPr="004315CC" w:rsidRDefault="002C3F5B" w:rsidP="004315CC">
            <w:pPr>
              <w:autoSpaceDE w:val="0"/>
              <w:autoSpaceDN w:val="0"/>
              <w:adjustRightInd w:val="0"/>
              <w:rPr>
                <w:rFonts w:eastAsia="Calibri"/>
              </w:rPr>
            </w:pPr>
            <w:hyperlink r:id="rId38" w:history="1">
              <w:r w:rsidR="004315CC" w:rsidRPr="004315CC">
                <w:rPr>
                  <w:rFonts w:eastAsia="Calibri"/>
                  <w:color w:val="0000FF"/>
                  <w:u w:val="single"/>
                </w:rPr>
                <w:t>nmorgan@lascinti.org</w:t>
              </w:r>
            </w:hyperlink>
          </w:p>
          <w:p w:rsidR="004315CC" w:rsidRPr="004315CC" w:rsidRDefault="002C3F5B" w:rsidP="004315CC">
            <w:pPr>
              <w:autoSpaceDE w:val="0"/>
              <w:autoSpaceDN w:val="0"/>
              <w:adjustRightInd w:val="0"/>
              <w:rPr>
                <w:rFonts w:eastAsia="Calibri"/>
              </w:rPr>
            </w:pPr>
            <w:hyperlink r:id="rId39" w:history="1">
              <w:r w:rsidR="004315CC" w:rsidRPr="004315CC">
                <w:rPr>
                  <w:rFonts w:eastAsia="Calibri"/>
                  <w:color w:val="0000FF"/>
                  <w:u w:val="single"/>
                </w:rPr>
                <w:t>mwalters@proseniors.org</w:t>
              </w:r>
            </w:hyperlink>
          </w:p>
          <w:p w:rsidR="004315CC" w:rsidRPr="004315CC" w:rsidRDefault="002C3F5B" w:rsidP="004315CC">
            <w:pPr>
              <w:autoSpaceDE w:val="0"/>
              <w:autoSpaceDN w:val="0"/>
              <w:adjustRightInd w:val="0"/>
              <w:rPr>
                <w:rFonts w:eastAsia="Calibri"/>
              </w:rPr>
            </w:pPr>
            <w:hyperlink r:id="rId40" w:history="1">
              <w:r w:rsidR="004315CC" w:rsidRPr="004315CC">
                <w:rPr>
                  <w:rFonts w:eastAsia="Calibri"/>
                  <w:color w:val="0000FF"/>
                  <w:u w:val="single"/>
                </w:rPr>
                <w:t>cgoodman@energymarketers.com</w:t>
              </w:r>
            </w:hyperlink>
          </w:p>
          <w:p w:rsidR="004315CC" w:rsidRPr="004315CC" w:rsidRDefault="002C3F5B" w:rsidP="004315CC">
            <w:pPr>
              <w:autoSpaceDE w:val="0"/>
              <w:autoSpaceDN w:val="0"/>
              <w:adjustRightInd w:val="0"/>
              <w:rPr>
                <w:rFonts w:eastAsia="Calibri"/>
              </w:rPr>
            </w:pPr>
            <w:hyperlink r:id="rId41" w:history="1">
              <w:r w:rsidR="004315CC" w:rsidRPr="004315CC">
                <w:rPr>
                  <w:rFonts w:eastAsia="Calibri"/>
                  <w:color w:val="0000FF"/>
                  <w:u w:val="single"/>
                </w:rPr>
                <w:t>srantala@energymarketers.com</w:t>
              </w:r>
            </w:hyperlink>
          </w:p>
          <w:p w:rsidR="004315CC" w:rsidRPr="004315CC" w:rsidRDefault="002C3F5B" w:rsidP="004315CC">
            <w:pPr>
              <w:autoSpaceDE w:val="0"/>
              <w:autoSpaceDN w:val="0"/>
              <w:adjustRightInd w:val="0"/>
              <w:rPr>
                <w:rFonts w:eastAsia="Calibri"/>
              </w:rPr>
            </w:pPr>
            <w:hyperlink r:id="rId42" w:history="1">
              <w:r w:rsidR="004315CC" w:rsidRPr="004315CC">
                <w:rPr>
                  <w:rFonts w:eastAsia="Calibri"/>
                  <w:color w:val="0000FF"/>
                  <w:u w:val="single"/>
                </w:rPr>
                <w:t>dboehm@BKLlawfirm.com</w:t>
              </w:r>
            </w:hyperlink>
          </w:p>
          <w:p w:rsidR="004315CC" w:rsidRPr="004315CC" w:rsidRDefault="002C3F5B" w:rsidP="004315CC">
            <w:pPr>
              <w:autoSpaceDE w:val="0"/>
              <w:autoSpaceDN w:val="0"/>
              <w:adjustRightInd w:val="0"/>
              <w:rPr>
                <w:rFonts w:eastAsia="Calibri"/>
              </w:rPr>
            </w:pPr>
            <w:hyperlink r:id="rId43" w:history="1">
              <w:r w:rsidR="004315CC" w:rsidRPr="004315CC">
                <w:rPr>
                  <w:rFonts w:eastAsia="Calibri"/>
                  <w:color w:val="0000FF"/>
                  <w:u w:val="single"/>
                </w:rPr>
                <w:t>mkurtz@BKLlawfirm.com</w:t>
              </w:r>
            </w:hyperlink>
          </w:p>
          <w:p w:rsidR="004315CC" w:rsidRPr="004315CC" w:rsidRDefault="002C3F5B" w:rsidP="004315CC">
            <w:pPr>
              <w:autoSpaceDE w:val="0"/>
              <w:autoSpaceDN w:val="0"/>
              <w:adjustRightInd w:val="0"/>
              <w:rPr>
                <w:rFonts w:eastAsia="Calibri"/>
              </w:rPr>
            </w:pPr>
            <w:hyperlink r:id="rId44" w:history="1">
              <w:r w:rsidR="004315CC" w:rsidRPr="004315CC">
                <w:rPr>
                  <w:rFonts w:eastAsia="Calibri"/>
                  <w:color w:val="0000FF"/>
                  <w:u w:val="single"/>
                </w:rPr>
                <w:t>jkylercohn@BKLlawfirm.com</w:t>
              </w:r>
            </w:hyperlink>
          </w:p>
          <w:p w:rsidR="004315CC" w:rsidRPr="004315CC" w:rsidRDefault="002C3F5B" w:rsidP="004315CC">
            <w:pPr>
              <w:autoSpaceDE w:val="0"/>
              <w:autoSpaceDN w:val="0"/>
              <w:adjustRightInd w:val="0"/>
              <w:rPr>
                <w:rFonts w:eastAsia="Calibri"/>
              </w:rPr>
            </w:pPr>
            <w:hyperlink r:id="rId45" w:history="1">
              <w:r w:rsidR="004315CC" w:rsidRPr="004315CC">
                <w:rPr>
                  <w:rFonts w:eastAsia="Calibri"/>
                  <w:color w:val="0000FF"/>
                  <w:u w:val="single"/>
                </w:rPr>
                <w:t>Rocco.DAscenzo@duke-energy.com</w:t>
              </w:r>
            </w:hyperlink>
          </w:p>
          <w:p w:rsidR="004315CC" w:rsidRPr="004315CC" w:rsidRDefault="002C3F5B" w:rsidP="004315CC">
            <w:pPr>
              <w:autoSpaceDE w:val="0"/>
              <w:autoSpaceDN w:val="0"/>
              <w:adjustRightInd w:val="0"/>
              <w:rPr>
                <w:rFonts w:eastAsia="Calibri"/>
              </w:rPr>
            </w:pPr>
            <w:hyperlink r:id="rId46" w:history="1">
              <w:r w:rsidR="004315CC" w:rsidRPr="004315CC">
                <w:rPr>
                  <w:rFonts w:eastAsia="Calibri"/>
                  <w:color w:val="0000FF"/>
                  <w:u w:val="single"/>
                </w:rPr>
                <w:t>Elizabeth.Watts@duke-energy.com</w:t>
              </w:r>
            </w:hyperlink>
          </w:p>
          <w:p w:rsidR="004315CC" w:rsidRPr="004315CC" w:rsidRDefault="002C3F5B" w:rsidP="004315CC">
            <w:pPr>
              <w:autoSpaceDE w:val="0"/>
              <w:autoSpaceDN w:val="0"/>
              <w:adjustRightInd w:val="0"/>
              <w:rPr>
                <w:rFonts w:eastAsia="Calibri"/>
                <w:color w:val="0000FF"/>
              </w:rPr>
            </w:pPr>
            <w:hyperlink r:id="rId47" w:history="1">
              <w:r w:rsidR="004315CC" w:rsidRPr="004315CC">
                <w:rPr>
                  <w:rFonts w:eastAsia="Calibri"/>
                  <w:color w:val="0000FF"/>
                  <w:u w:val="single"/>
                </w:rPr>
                <w:t>toddm@wamenergylaw.com</w:t>
              </w:r>
            </w:hyperlink>
          </w:p>
          <w:p w:rsidR="004315CC" w:rsidRPr="004315CC" w:rsidRDefault="002C3F5B" w:rsidP="004315CC">
            <w:pPr>
              <w:autoSpaceDE w:val="0"/>
              <w:autoSpaceDN w:val="0"/>
              <w:adjustRightInd w:val="0"/>
              <w:rPr>
                <w:rFonts w:eastAsia="Calibri"/>
                <w:color w:val="0000FF"/>
              </w:rPr>
            </w:pPr>
            <w:hyperlink r:id="rId48" w:history="1">
              <w:r w:rsidR="004315CC" w:rsidRPr="004315CC">
                <w:rPr>
                  <w:rFonts w:eastAsia="Calibri"/>
                  <w:color w:val="0000FF"/>
                  <w:u w:val="single"/>
                </w:rPr>
                <w:t>callwein@wamenergylaw.com</w:t>
              </w:r>
            </w:hyperlink>
          </w:p>
          <w:p w:rsidR="004315CC" w:rsidRPr="004315CC" w:rsidRDefault="002C3F5B" w:rsidP="004315CC">
            <w:pPr>
              <w:autoSpaceDE w:val="0"/>
              <w:autoSpaceDN w:val="0"/>
              <w:adjustRightInd w:val="0"/>
              <w:rPr>
                <w:rFonts w:eastAsia="Calibri"/>
                <w:color w:val="0000FF"/>
              </w:rPr>
            </w:pPr>
            <w:hyperlink r:id="rId49" w:history="1">
              <w:r w:rsidR="004315CC" w:rsidRPr="004315CC">
                <w:rPr>
                  <w:rFonts w:eastAsia="Calibri"/>
                  <w:color w:val="0000FF"/>
                  <w:u w:val="single"/>
                </w:rPr>
                <w:t>trent@theoec.org</w:t>
              </w:r>
            </w:hyperlink>
          </w:p>
          <w:p w:rsidR="004315CC" w:rsidRPr="004315CC" w:rsidRDefault="002C3F5B" w:rsidP="004315CC">
            <w:pPr>
              <w:autoSpaceDE w:val="0"/>
              <w:autoSpaceDN w:val="0"/>
              <w:adjustRightInd w:val="0"/>
              <w:rPr>
                <w:rFonts w:eastAsia="Calibri"/>
                <w:color w:val="0000FF"/>
              </w:rPr>
            </w:pPr>
            <w:hyperlink r:id="rId50" w:history="1">
              <w:r w:rsidR="004315CC" w:rsidRPr="004315CC">
                <w:rPr>
                  <w:rFonts w:eastAsia="Calibri"/>
                  <w:color w:val="0000FF"/>
                  <w:u w:val="single"/>
                </w:rPr>
                <w:t>cathy@theoec.org</w:t>
              </w:r>
            </w:hyperlink>
          </w:p>
          <w:p w:rsidR="004315CC" w:rsidRPr="004315CC" w:rsidRDefault="002C3F5B" w:rsidP="004315CC">
            <w:pPr>
              <w:autoSpaceDE w:val="0"/>
              <w:autoSpaceDN w:val="0"/>
              <w:adjustRightInd w:val="0"/>
              <w:rPr>
                <w:rFonts w:eastAsia="Calibri"/>
                <w:color w:val="0000FF"/>
              </w:rPr>
            </w:pPr>
            <w:hyperlink r:id="rId51" w:history="1">
              <w:r w:rsidR="004315CC" w:rsidRPr="004315CC">
                <w:rPr>
                  <w:rFonts w:eastAsia="Calibri"/>
                  <w:color w:val="0000FF"/>
                  <w:u w:val="single"/>
                </w:rPr>
                <w:t>toddm@wamenergylaw.com</w:t>
              </w:r>
            </w:hyperlink>
          </w:p>
          <w:p w:rsidR="004315CC" w:rsidRPr="004315CC" w:rsidRDefault="002C3F5B" w:rsidP="004315CC">
            <w:pPr>
              <w:autoSpaceDE w:val="0"/>
              <w:autoSpaceDN w:val="0"/>
              <w:adjustRightInd w:val="0"/>
              <w:rPr>
                <w:rFonts w:eastAsia="Calibri"/>
                <w:color w:val="0000FF"/>
              </w:rPr>
            </w:pPr>
            <w:hyperlink r:id="rId52" w:history="1">
              <w:r w:rsidR="004315CC" w:rsidRPr="004315CC">
                <w:rPr>
                  <w:rFonts w:eastAsia="Calibri"/>
                  <w:color w:val="0000FF"/>
                  <w:u w:val="single"/>
                </w:rPr>
                <w:t>burkj@firstenergycorp.com</w:t>
              </w:r>
            </w:hyperlink>
          </w:p>
          <w:p w:rsidR="004315CC" w:rsidRPr="004315CC" w:rsidRDefault="002C3F5B" w:rsidP="004315CC">
            <w:pPr>
              <w:autoSpaceDE w:val="0"/>
              <w:autoSpaceDN w:val="0"/>
              <w:adjustRightInd w:val="0"/>
              <w:rPr>
                <w:rFonts w:eastAsia="Calibri"/>
                <w:color w:val="000000"/>
              </w:rPr>
            </w:pPr>
            <w:hyperlink r:id="rId53" w:history="1">
              <w:r w:rsidR="004315CC" w:rsidRPr="004315CC">
                <w:rPr>
                  <w:rFonts w:eastAsia="Calibri"/>
                  <w:color w:val="0000FF"/>
                  <w:u w:val="single"/>
                </w:rPr>
                <w:t>cdunn@firstenergycorp.com</w:t>
              </w:r>
            </w:hyperlink>
          </w:p>
          <w:p w:rsidR="004315CC" w:rsidRPr="004315CC" w:rsidRDefault="002C3F5B" w:rsidP="004315CC">
            <w:pPr>
              <w:autoSpaceDE w:val="0"/>
              <w:autoSpaceDN w:val="0"/>
              <w:adjustRightInd w:val="0"/>
              <w:rPr>
                <w:rFonts w:eastAsia="Calibri"/>
                <w:color w:val="0000FF"/>
              </w:rPr>
            </w:pPr>
            <w:hyperlink r:id="rId54" w:history="1">
              <w:r w:rsidR="004315CC" w:rsidRPr="004315CC">
                <w:rPr>
                  <w:rFonts w:eastAsia="Calibri"/>
                  <w:color w:val="0000FF"/>
                  <w:u w:val="single"/>
                </w:rPr>
                <w:t>wsundermeyer@aarp.org</w:t>
              </w:r>
            </w:hyperlink>
          </w:p>
          <w:p w:rsidR="004315CC" w:rsidRPr="004315CC" w:rsidRDefault="004315CC" w:rsidP="004315CC">
            <w:pPr>
              <w:autoSpaceDE w:val="0"/>
              <w:autoSpaceDN w:val="0"/>
              <w:adjustRightInd w:val="0"/>
            </w:pPr>
          </w:p>
        </w:tc>
        <w:tc>
          <w:tcPr>
            <w:tcW w:w="4428" w:type="dxa"/>
            <w:hideMark/>
          </w:tcPr>
          <w:p w:rsidR="004315CC" w:rsidRPr="004315CC" w:rsidRDefault="002C3F5B" w:rsidP="004315CC">
            <w:hyperlink r:id="rId55" w:history="1">
              <w:r w:rsidR="004315CC" w:rsidRPr="004315CC">
                <w:rPr>
                  <w:color w:val="0000FF"/>
                  <w:u w:val="single"/>
                </w:rPr>
                <w:t>burkj@firstenergycorp.com</w:t>
              </w:r>
            </w:hyperlink>
          </w:p>
          <w:p w:rsidR="004315CC" w:rsidRPr="004315CC" w:rsidRDefault="002C3F5B" w:rsidP="004315CC">
            <w:hyperlink r:id="rId56" w:history="1">
              <w:r w:rsidR="004315CC" w:rsidRPr="004315CC">
                <w:rPr>
                  <w:color w:val="0000FF"/>
                  <w:u w:val="single"/>
                </w:rPr>
                <w:t>stnourse@aep.com</w:t>
              </w:r>
            </w:hyperlink>
          </w:p>
          <w:p w:rsidR="004315CC" w:rsidRPr="004315CC" w:rsidRDefault="002C3F5B" w:rsidP="004315CC">
            <w:hyperlink r:id="rId57" w:history="1">
              <w:r w:rsidR="004315CC" w:rsidRPr="004315CC">
                <w:rPr>
                  <w:color w:val="0000FF"/>
                  <w:u w:val="single"/>
                </w:rPr>
                <w:t>Judi.sobecki@dplinc.com</w:t>
              </w:r>
            </w:hyperlink>
          </w:p>
          <w:p w:rsidR="004315CC" w:rsidRPr="004315CC" w:rsidRDefault="002C3F5B" w:rsidP="004315CC">
            <w:hyperlink r:id="rId58" w:history="1">
              <w:r w:rsidR="004315CC" w:rsidRPr="004315CC">
                <w:rPr>
                  <w:color w:val="0000FF"/>
                  <w:u w:val="single"/>
                </w:rPr>
                <w:t>Amy.Spiller@duke-energy.com</w:t>
              </w:r>
            </w:hyperlink>
          </w:p>
          <w:p w:rsidR="004315CC" w:rsidRPr="004315CC" w:rsidRDefault="002C3F5B" w:rsidP="004315CC">
            <w:pPr>
              <w:jc w:val="both"/>
              <w:rPr>
                <w:rFonts w:eastAsia="Calibri"/>
              </w:rPr>
            </w:pPr>
            <w:hyperlink r:id="rId59" w:history="1">
              <w:r w:rsidR="004315CC" w:rsidRPr="004315CC">
                <w:rPr>
                  <w:rFonts w:eastAsia="Calibri"/>
                  <w:color w:val="0000FF"/>
                  <w:u w:val="single"/>
                </w:rPr>
                <w:t>gkrassen@bricker.com</w:t>
              </w:r>
            </w:hyperlink>
          </w:p>
          <w:p w:rsidR="004315CC" w:rsidRPr="004315CC" w:rsidRDefault="002C3F5B" w:rsidP="004315CC">
            <w:pPr>
              <w:autoSpaceDE w:val="0"/>
              <w:autoSpaceDN w:val="0"/>
              <w:adjustRightInd w:val="0"/>
              <w:rPr>
                <w:rFonts w:eastAsia="Calibri"/>
              </w:rPr>
            </w:pPr>
            <w:hyperlink r:id="rId60" w:history="1">
              <w:r w:rsidR="004315CC" w:rsidRPr="004315CC">
                <w:rPr>
                  <w:rFonts w:eastAsia="Calibri"/>
                  <w:color w:val="0000FF"/>
                  <w:u w:val="single"/>
                </w:rPr>
                <w:t>mwarnock@bricker.com</w:t>
              </w:r>
            </w:hyperlink>
          </w:p>
          <w:p w:rsidR="004315CC" w:rsidRPr="004315CC" w:rsidRDefault="002C3F5B" w:rsidP="004315CC">
            <w:pPr>
              <w:jc w:val="both"/>
              <w:rPr>
                <w:rFonts w:eastAsia="Calibri"/>
                <w:color w:val="0000FF"/>
                <w:u w:val="single"/>
              </w:rPr>
            </w:pPr>
            <w:hyperlink r:id="rId61" w:history="1">
              <w:r w:rsidR="004315CC" w:rsidRPr="004315CC">
                <w:rPr>
                  <w:rFonts w:eastAsia="Calibri"/>
                  <w:color w:val="0000FF"/>
                  <w:u w:val="single"/>
                </w:rPr>
                <w:t>tsiwo@bricker.com</w:t>
              </w:r>
            </w:hyperlink>
          </w:p>
          <w:p w:rsidR="004315CC" w:rsidRPr="004315CC" w:rsidRDefault="002C3F5B" w:rsidP="004315CC">
            <w:pPr>
              <w:jc w:val="both"/>
              <w:rPr>
                <w:rFonts w:eastAsia="Calibri"/>
                <w:color w:val="0000FF"/>
              </w:rPr>
            </w:pPr>
            <w:hyperlink r:id="rId62" w:history="1">
              <w:r w:rsidR="004315CC" w:rsidRPr="004315CC">
                <w:rPr>
                  <w:rFonts w:eastAsia="Calibri"/>
                  <w:color w:val="0000FF"/>
                  <w:u w:val="single"/>
                </w:rPr>
                <w:t>marmstrong@bricker.com</w:t>
              </w:r>
            </w:hyperlink>
          </w:p>
          <w:p w:rsidR="004315CC" w:rsidRPr="004315CC" w:rsidRDefault="002C3F5B" w:rsidP="004315CC">
            <w:pPr>
              <w:autoSpaceDE w:val="0"/>
              <w:autoSpaceDN w:val="0"/>
              <w:adjustRightInd w:val="0"/>
              <w:rPr>
                <w:rFonts w:eastAsia="Calibri"/>
              </w:rPr>
            </w:pPr>
            <w:hyperlink r:id="rId63" w:history="1">
              <w:r w:rsidR="004315CC" w:rsidRPr="004315CC">
                <w:rPr>
                  <w:rFonts w:eastAsia="Calibri"/>
                  <w:color w:val="0000FF"/>
                  <w:u w:val="single"/>
                </w:rPr>
                <w:t>plee@oslsa.org</w:t>
              </w:r>
            </w:hyperlink>
          </w:p>
          <w:p w:rsidR="004315CC" w:rsidRPr="004315CC" w:rsidRDefault="002C3F5B" w:rsidP="004315CC">
            <w:pPr>
              <w:jc w:val="both"/>
              <w:rPr>
                <w:rFonts w:eastAsia="Calibri"/>
              </w:rPr>
            </w:pPr>
            <w:hyperlink r:id="rId64" w:history="1">
              <w:r w:rsidR="004315CC" w:rsidRPr="004315CC">
                <w:rPr>
                  <w:rFonts w:eastAsia="Calibri"/>
                  <w:color w:val="0000FF"/>
                  <w:u w:val="single"/>
                </w:rPr>
                <w:t>rjohns@oslsa.org</w:t>
              </w:r>
            </w:hyperlink>
          </w:p>
          <w:p w:rsidR="004315CC" w:rsidRPr="004315CC" w:rsidRDefault="002C3F5B" w:rsidP="004315CC">
            <w:pPr>
              <w:jc w:val="both"/>
              <w:rPr>
                <w:rFonts w:eastAsia="Calibri"/>
              </w:rPr>
            </w:pPr>
            <w:hyperlink r:id="rId65" w:history="1">
              <w:r w:rsidR="004315CC" w:rsidRPr="004315CC">
                <w:rPr>
                  <w:rFonts w:eastAsia="Calibri"/>
                  <w:color w:val="0000FF"/>
                  <w:u w:val="single"/>
                </w:rPr>
                <w:t>gbenjamin@communitylegalaid.org</w:t>
              </w:r>
            </w:hyperlink>
          </w:p>
          <w:p w:rsidR="004315CC" w:rsidRPr="004315CC" w:rsidRDefault="002C3F5B" w:rsidP="004315CC">
            <w:pPr>
              <w:autoSpaceDE w:val="0"/>
              <w:autoSpaceDN w:val="0"/>
              <w:adjustRightInd w:val="0"/>
              <w:rPr>
                <w:rFonts w:eastAsia="Calibri"/>
              </w:rPr>
            </w:pPr>
            <w:hyperlink r:id="rId66" w:history="1">
              <w:r w:rsidR="004315CC" w:rsidRPr="004315CC">
                <w:rPr>
                  <w:rFonts w:eastAsia="Calibri"/>
                  <w:color w:val="0000FF"/>
                  <w:u w:val="single"/>
                </w:rPr>
                <w:t>julie.robie@lasclev.org</w:t>
              </w:r>
            </w:hyperlink>
          </w:p>
          <w:p w:rsidR="004315CC" w:rsidRPr="004315CC" w:rsidRDefault="002C3F5B" w:rsidP="004315CC">
            <w:pPr>
              <w:jc w:val="both"/>
              <w:rPr>
                <w:rFonts w:eastAsia="Calibri"/>
              </w:rPr>
            </w:pPr>
            <w:hyperlink r:id="rId67" w:history="1">
              <w:r w:rsidR="004315CC" w:rsidRPr="004315CC">
                <w:rPr>
                  <w:rFonts w:eastAsia="Calibri"/>
                  <w:color w:val="0000FF"/>
                  <w:u w:val="single"/>
                </w:rPr>
                <w:t>anne.reese@lasclev.org</w:t>
              </w:r>
            </w:hyperlink>
          </w:p>
          <w:p w:rsidR="004315CC" w:rsidRPr="004315CC" w:rsidRDefault="002C3F5B" w:rsidP="004315CC">
            <w:pPr>
              <w:jc w:val="both"/>
              <w:rPr>
                <w:rFonts w:eastAsia="Calibri"/>
              </w:rPr>
            </w:pPr>
            <w:hyperlink r:id="rId68" w:history="1">
              <w:r w:rsidR="004315CC" w:rsidRPr="004315CC">
                <w:rPr>
                  <w:rFonts w:eastAsia="Calibri"/>
                  <w:color w:val="0000FF"/>
                  <w:u w:val="single"/>
                </w:rPr>
                <w:t>storguson@columbuslegalaid.org</w:t>
              </w:r>
            </w:hyperlink>
          </w:p>
          <w:p w:rsidR="004315CC" w:rsidRPr="004315CC" w:rsidRDefault="002C3F5B" w:rsidP="004315CC">
            <w:pPr>
              <w:jc w:val="both"/>
              <w:rPr>
                <w:rFonts w:eastAsia="Calibri"/>
                <w:color w:val="0000FF"/>
              </w:rPr>
            </w:pPr>
            <w:hyperlink r:id="rId69" w:history="1">
              <w:r w:rsidR="004315CC" w:rsidRPr="004315CC">
                <w:rPr>
                  <w:rFonts w:eastAsia="Calibri"/>
                  <w:color w:val="0000FF"/>
                  <w:u w:val="single"/>
                </w:rPr>
                <w:t>cmooney@ohiopartners.org</w:t>
              </w:r>
            </w:hyperlink>
          </w:p>
          <w:p w:rsidR="004315CC" w:rsidRPr="004315CC" w:rsidRDefault="002C3F5B" w:rsidP="004315CC">
            <w:pPr>
              <w:jc w:val="both"/>
            </w:pPr>
            <w:hyperlink r:id="rId70" w:history="1">
              <w:r w:rsidR="004315CC" w:rsidRPr="004315CC">
                <w:rPr>
                  <w:color w:val="0000FF"/>
                  <w:u w:val="single"/>
                </w:rPr>
                <w:t>jkooper@hess.com</w:t>
              </w:r>
            </w:hyperlink>
          </w:p>
          <w:p w:rsidR="004315CC" w:rsidRPr="004315CC" w:rsidRDefault="002C3F5B" w:rsidP="004315CC">
            <w:pPr>
              <w:jc w:val="both"/>
              <w:rPr>
                <w:rFonts w:eastAsia="Calibri"/>
              </w:rPr>
            </w:pPr>
            <w:hyperlink r:id="rId71" w:history="1">
              <w:r w:rsidR="004315CC" w:rsidRPr="004315CC">
                <w:rPr>
                  <w:rFonts w:eastAsia="Calibri"/>
                  <w:color w:val="0000FF"/>
                  <w:u w:val="single"/>
                </w:rPr>
                <w:t>haydenm@firstenergycorp.com</w:t>
              </w:r>
            </w:hyperlink>
          </w:p>
          <w:p w:rsidR="004315CC" w:rsidRPr="004315CC" w:rsidRDefault="002C3F5B" w:rsidP="004315CC">
            <w:pPr>
              <w:autoSpaceDE w:val="0"/>
              <w:autoSpaceDN w:val="0"/>
              <w:adjustRightInd w:val="0"/>
              <w:rPr>
                <w:rFonts w:eastAsia="Calibri"/>
              </w:rPr>
            </w:pPr>
            <w:hyperlink r:id="rId72" w:history="1">
              <w:r w:rsidR="004315CC" w:rsidRPr="004315CC">
                <w:rPr>
                  <w:rFonts w:eastAsia="Calibri"/>
                  <w:color w:val="0000FF"/>
                  <w:u w:val="single"/>
                </w:rPr>
                <w:t>jlang@calfee.com</w:t>
              </w:r>
            </w:hyperlink>
          </w:p>
          <w:p w:rsidR="004315CC" w:rsidRPr="004315CC" w:rsidRDefault="002C3F5B" w:rsidP="004315CC">
            <w:pPr>
              <w:autoSpaceDE w:val="0"/>
              <w:autoSpaceDN w:val="0"/>
              <w:adjustRightInd w:val="0"/>
              <w:rPr>
                <w:rFonts w:eastAsia="Calibri"/>
              </w:rPr>
            </w:pPr>
            <w:hyperlink r:id="rId73" w:history="1">
              <w:r w:rsidR="004315CC" w:rsidRPr="004315CC">
                <w:rPr>
                  <w:rFonts w:eastAsia="Calibri"/>
                  <w:color w:val="0000FF"/>
                  <w:u w:val="single"/>
                </w:rPr>
                <w:t>lmcbride@calfee.com</w:t>
              </w:r>
            </w:hyperlink>
          </w:p>
          <w:p w:rsidR="004315CC" w:rsidRPr="004315CC" w:rsidRDefault="002C3F5B" w:rsidP="004315CC">
            <w:pPr>
              <w:autoSpaceDE w:val="0"/>
              <w:autoSpaceDN w:val="0"/>
              <w:adjustRightInd w:val="0"/>
              <w:rPr>
                <w:rFonts w:eastAsia="Calibri"/>
              </w:rPr>
            </w:pPr>
            <w:hyperlink r:id="rId74" w:history="1">
              <w:r w:rsidR="004315CC" w:rsidRPr="004315CC">
                <w:rPr>
                  <w:rFonts w:eastAsia="Calibri"/>
                  <w:color w:val="0000FF"/>
                  <w:u w:val="single"/>
                </w:rPr>
                <w:t>talexander@calfee.com</w:t>
              </w:r>
            </w:hyperlink>
          </w:p>
          <w:p w:rsidR="004315CC" w:rsidRPr="004315CC" w:rsidRDefault="002C3F5B" w:rsidP="004315CC">
            <w:pPr>
              <w:autoSpaceDE w:val="0"/>
              <w:autoSpaceDN w:val="0"/>
              <w:adjustRightInd w:val="0"/>
              <w:rPr>
                <w:rFonts w:eastAsia="Calibri"/>
              </w:rPr>
            </w:pPr>
            <w:hyperlink r:id="rId75" w:history="1">
              <w:r w:rsidR="004315CC" w:rsidRPr="004315CC">
                <w:rPr>
                  <w:rFonts w:eastAsia="Calibri"/>
                  <w:color w:val="0000FF"/>
                  <w:u w:val="single"/>
                </w:rPr>
                <w:t>coneil@calfee.com</w:t>
              </w:r>
            </w:hyperlink>
          </w:p>
          <w:p w:rsidR="004315CC" w:rsidRPr="004315CC" w:rsidRDefault="002C3F5B" w:rsidP="004315CC">
            <w:pPr>
              <w:jc w:val="both"/>
              <w:rPr>
                <w:rFonts w:eastAsia="Calibri"/>
              </w:rPr>
            </w:pPr>
            <w:hyperlink r:id="rId76" w:history="1">
              <w:r w:rsidR="004315CC" w:rsidRPr="004315CC">
                <w:rPr>
                  <w:rFonts w:eastAsia="Calibri"/>
                  <w:color w:val="0000FF"/>
                  <w:u w:val="single"/>
                </w:rPr>
                <w:t>lsacher@calfee.com</w:t>
              </w:r>
            </w:hyperlink>
          </w:p>
          <w:p w:rsidR="004315CC" w:rsidRPr="004315CC" w:rsidRDefault="002C3F5B" w:rsidP="004315CC">
            <w:pPr>
              <w:jc w:val="both"/>
              <w:rPr>
                <w:rFonts w:eastAsia="Calibri"/>
                <w:color w:val="0000FF"/>
              </w:rPr>
            </w:pPr>
            <w:hyperlink r:id="rId77" w:history="1">
              <w:r w:rsidR="004315CC" w:rsidRPr="004315CC">
                <w:rPr>
                  <w:rFonts w:eastAsia="Calibri"/>
                  <w:color w:val="0000FF"/>
                  <w:u w:val="single"/>
                </w:rPr>
                <w:t>gpoulos@enernoc.com</w:t>
              </w:r>
            </w:hyperlink>
          </w:p>
          <w:p w:rsidR="004315CC" w:rsidRPr="004315CC" w:rsidRDefault="002C3F5B" w:rsidP="004315CC">
            <w:pPr>
              <w:jc w:val="both"/>
              <w:rPr>
                <w:rFonts w:eastAsia="Calibri"/>
              </w:rPr>
            </w:pPr>
            <w:hyperlink r:id="rId78" w:history="1">
              <w:r w:rsidR="004315CC" w:rsidRPr="004315CC">
                <w:rPr>
                  <w:rFonts w:eastAsia="Calibri"/>
                  <w:color w:val="0000FF"/>
                  <w:u w:val="single"/>
                </w:rPr>
                <w:t>NMcDaniel@elpc.org</w:t>
              </w:r>
            </w:hyperlink>
          </w:p>
          <w:p w:rsidR="004315CC" w:rsidRPr="004315CC" w:rsidRDefault="002C3F5B" w:rsidP="004315CC">
            <w:pPr>
              <w:jc w:val="both"/>
              <w:rPr>
                <w:rFonts w:eastAsia="Calibri"/>
              </w:rPr>
            </w:pPr>
            <w:hyperlink r:id="rId79" w:history="1">
              <w:r w:rsidR="004315CC" w:rsidRPr="004315CC">
                <w:rPr>
                  <w:rFonts w:eastAsia="Calibri"/>
                  <w:color w:val="0000FF"/>
                  <w:u w:val="single"/>
                </w:rPr>
                <w:t>BarthRoyer@aol.com</w:t>
              </w:r>
            </w:hyperlink>
          </w:p>
          <w:p w:rsidR="004315CC" w:rsidRPr="004315CC" w:rsidRDefault="002C3F5B" w:rsidP="004315CC">
            <w:pPr>
              <w:jc w:val="both"/>
              <w:rPr>
                <w:rFonts w:eastAsia="Calibri"/>
              </w:rPr>
            </w:pPr>
            <w:hyperlink r:id="rId80" w:history="1">
              <w:r w:rsidR="004315CC" w:rsidRPr="004315CC">
                <w:rPr>
                  <w:rFonts w:eastAsia="Calibri"/>
                  <w:color w:val="0000FF"/>
                  <w:u w:val="single"/>
                </w:rPr>
                <w:t>Gary.A.Jeffries@dom.com</w:t>
              </w:r>
            </w:hyperlink>
          </w:p>
          <w:p w:rsidR="004315CC" w:rsidRPr="004315CC" w:rsidRDefault="002C3F5B" w:rsidP="004315CC">
            <w:pPr>
              <w:jc w:val="both"/>
              <w:rPr>
                <w:rFonts w:eastAsia="Calibri"/>
              </w:rPr>
            </w:pPr>
            <w:hyperlink r:id="rId81" w:history="1">
              <w:r w:rsidR="004315CC" w:rsidRPr="004315CC">
                <w:rPr>
                  <w:rFonts w:eastAsia="Calibri"/>
                  <w:color w:val="0000FF"/>
                  <w:u w:val="single"/>
                </w:rPr>
                <w:t>mkl@bbrslaw.com</w:t>
              </w:r>
            </w:hyperlink>
          </w:p>
          <w:p w:rsidR="004315CC" w:rsidRPr="004315CC" w:rsidRDefault="002C3F5B" w:rsidP="004315CC">
            <w:pPr>
              <w:jc w:val="both"/>
              <w:rPr>
                <w:rFonts w:eastAsia="Calibri"/>
              </w:rPr>
            </w:pPr>
            <w:hyperlink r:id="rId82" w:history="1">
              <w:r w:rsidR="004315CC" w:rsidRPr="004315CC">
                <w:rPr>
                  <w:rFonts w:eastAsia="Calibri"/>
                  <w:color w:val="0000FF"/>
                  <w:u w:val="single"/>
                </w:rPr>
                <w:t>gkrassen@bricker.com</w:t>
              </w:r>
            </w:hyperlink>
          </w:p>
          <w:p w:rsidR="004315CC" w:rsidRPr="004315CC" w:rsidRDefault="002C3F5B" w:rsidP="004315CC">
            <w:pPr>
              <w:jc w:val="both"/>
            </w:pPr>
            <w:hyperlink r:id="rId83" w:history="1">
              <w:r w:rsidR="004315CC" w:rsidRPr="004315CC">
                <w:rPr>
                  <w:color w:val="0000FF"/>
                  <w:u w:val="single"/>
                </w:rPr>
                <w:t>carlwood@uwua.net</w:t>
              </w:r>
            </w:hyperlink>
          </w:p>
          <w:p w:rsidR="004315CC" w:rsidRPr="004315CC" w:rsidRDefault="002C3F5B" w:rsidP="004315CC">
            <w:pPr>
              <w:jc w:val="both"/>
            </w:pPr>
            <w:hyperlink r:id="rId84" w:history="1">
              <w:r w:rsidR="004315CC" w:rsidRPr="004315CC">
                <w:rPr>
                  <w:color w:val="0000FF"/>
                  <w:u w:val="single"/>
                </w:rPr>
                <w:t>markbrooks@uwua.net</w:t>
              </w:r>
            </w:hyperlink>
          </w:p>
          <w:p w:rsidR="004315CC" w:rsidRPr="004315CC" w:rsidRDefault="004315CC" w:rsidP="004315CC">
            <w:pPr>
              <w:jc w:val="both"/>
            </w:pPr>
          </w:p>
        </w:tc>
      </w:tr>
    </w:tbl>
    <w:p w:rsidR="008F46E9" w:rsidRDefault="008F46E9" w:rsidP="004315CC">
      <w:pPr>
        <w:jc w:val="both"/>
      </w:pPr>
    </w:p>
    <w:sectPr w:rsidR="008F46E9" w:rsidSect="00D932A4">
      <w:headerReference w:type="even" r:id="rId85"/>
      <w:headerReference w:type="default" r:id="rId86"/>
      <w:headerReference w:type="first" r:id="rId8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80" w:rsidRDefault="00F57280">
      <w:r>
        <w:separator/>
      </w:r>
    </w:p>
  </w:endnote>
  <w:endnote w:type="continuationSeparator" w:id="0">
    <w:p w:rsidR="00F57280" w:rsidRDefault="00F57280">
      <w:r>
        <w:continuationSeparator/>
      </w:r>
    </w:p>
  </w:endnote>
  <w:endnote w:type="continuationNotice" w:id="1">
    <w:p w:rsidR="00F57280" w:rsidRDefault="00F5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3B" w:rsidRDefault="002D7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3B" w:rsidRDefault="002D7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3B" w:rsidRDefault="002D7D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7" w:rsidRDefault="00674337">
    <w:pPr>
      <w:pStyle w:val="Footer"/>
      <w:jc w:val="center"/>
    </w:pPr>
    <w:r>
      <w:fldChar w:fldCharType="begin"/>
    </w:r>
    <w:r>
      <w:instrText xml:space="preserve"> PAGE   \* MERGEFORMAT </w:instrText>
    </w:r>
    <w:r>
      <w:fldChar w:fldCharType="separate"/>
    </w:r>
    <w:r w:rsidR="002D7D3B">
      <w:rPr>
        <w:noProof/>
      </w:rPr>
      <w:t>14</w:t>
    </w:r>
    <w:r>
      <w:rPr>
        <w:noProof/>
      </w:rPr>
      <w:fldChar w:fldCharType="end"/>
    </w:r>
  </w:p>
  <w:p w:rsidR="00674337" w:rsidRDefault="0067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80" w:rsidRDefault="00F57280">
      <w:r>
        <w:separator/>
      </w:r>
    </w:p>
  </w:footnote>
  <w:footnote w:type="continuationSeparator" w:id="0">
    <w:p w:rsidR="00F57280" w:rsidRDefault="00F57280">
      <w:r>
        <w:continuationSeparator/>
      </w:r>
    </w:p>
  </w:footnote>
  <w:footnote w:type="continuationNotice" w:id="1">
    <w:p w:rsidR="00F57280" w:rsidRDefault="00F57280"/>
  </w:footnote>
  <w:footnote w:id="2">
    <w:p w:rsidR="00674337" w:rsidRDefault="00674337" w:rsidP="0088047F">
      <w:pPr>
        <w:pStyle w:val="FootnoteText"/>
      </w:pPr>
      <w:r>
        <w:rPr>
          <w:rStyle w:val="FootnoteReference"/>
        </w:rPr>
        <w:footnoteRef/>
      </w:r>
      <w:r>
        <w:t xml:space="preserve"> IGS Comments at 3.  IGS neglected to include itself and electricity marketers on its list of those who should not control outcomes for customers.  </w:t>
      </w:r>
    </w:p>
  </w:footnote>
  <w:footnote w:id="3">
    <w:p w:rsidR="00674337" w:rsidRDefault="00674337" w:rsidP="0088047F">
      <w:pPr>
        <w:pStyle w:val="FootnoteText"/>
      </w:pPr>
      <w:r>
        <w:rPr>
          <w:rStyle w:val="FootnoteReference"/>
        </w:rPr>
        <w:footnoteRef/>
      </w:r>
      <w:r>
        <w:t xml:space="preserve"> IGS Comments at 2.</w:t>
      </w:r>
    </w:p>
  </w:footnote>
  <w:footnote w:id="4">
    <w:p w:rsidR="00674337" w:rsidRDefault="00674337" w:rsidP="00383B25">
      <w:pPr>
        <w:pStyle w:val="FootnoteText"/>
      </w:pPr>
      <w:r>
        <w:rPr>
          <w:rStyle w:val="FootnoteReference"/>
        </w:rPr>
        <w:footnoteRef/>
      </w:r>
      <w:r>
        <w:t xml:space="preserve"> IGS Comments at 3.  </w:t>
      </w:r>
    </w:p>
  </w:footnote>
  <w:footnote w:id="5">
    <w:p w:rsidR="00674337" w:rsidRPr="0056053F" w:rsidRDefault="00674337" w:rsidP="00383B25">
      <w:pPr>
        <w:pStyle w:val="FootnoteText"/>
      </w:pPr>
      <w:r>
        <w:rPr>
          <w:rStyle w:val="FootnoteReference"/>
        </w:rPr>
        <w:footnoteRef/>
      </w:r>
      <w:r>
        <w:t xml:space="preserve"> </w:t>
      </w:r>
      <w:r w:rsidRPr="0056053F">
        <w:t>Id.</w:t>
      </w:r>
    </w:p>
  </w:footnote>
  <w:footnote w:id="6">
    <w:p w:rsidR="00674337" w:rsidRDefault="00674337" w:rsidP="00383B25">
      <w:pPr>
        <w:pStyle w:val="FootnoteText"/>
      </w:pPr>
      <w:r>
        <w:rPr>
          <w:rStyle w:val="FootnoteReference"/>
        </w:rPr>
        <w:footnoteRef/>
      </w:r>
      <w:r>
        <w:t xml:space="preserve"> R.C. 4928.141.</w:t>
      </w:r>
    </w:p>
  </w:footnote>
  <w:footnote w:id="7">
    <w:p w:rsidR="00674337" w:rsidRDefault="00674337" w:rsidP="00C66A1E">
      <w:pPr>
        <w:pStyle w:val="FootnoteText"/>
      </w:pPr>
      <w:r>
        <w:rPr>
          <w:rStyle w:val="FootnoteReference"/>
        </w:rPr>
        <w:footnoteRef/>
      </w:r>
      <w:r>
        <w:t xml:space="preserve"> OCC Comments at 6.</w:t>
      </w:r>
    </w:p>
  </w:footnote>
  <w:footnote w:id="8">
    <w:p w:rsidR="00674337" w:rsidRDefault="00674337" w:rsidP="005148D8">
      <w:pPr>
        <w:pStyle w:val="FootnoteText"/>
      </w:pPr>
      <w:r>
        <w:rPr>
          <w:rStyle w:val="FootnoteReference"/>
        </w:rPr>
        <w:footnoteRef/>
      </w:r>
      <w:r>
        <w:t xml:space="preserve"> Id.</w:t>
      </w:r>
    </w:p>
  </w:footnote>
  <w:footnote w:id="9">
    <w:p w:rsidR="00674337" w:rsidRDefault="00674337" w:rsidP="005148D8">
      <w:pPr>
        <w:pStyle w:val="FootnoteText"/>
      </w:pPr>
      <w:r>
        <w:rPr>
          <w:rStyle w:val="FootnoteReference"/>
        </w:rPr>
        <w:footnoteRef/>
      </w:r>
      <w:r>
        <w:t xml:space="preserve"> Ohio Adm. Code 4901:1-10-24(F).</w:t>
      </w:r>
    </w:p>
  </w:footnote>
  <w:footnote w:id="10">
    <w:p w:rsidR="00674337" w:rsidRDefault="00674337" w:rsidP="005148D8">
      <w:pPr>
        <w:pStyle w:val="FootnoteText"/>
      </w:pPr>
      <w:r>
        <w:rPr>
          <w:rStyle w:val="FootnoteReference"/>
        </w:rPr>
        <w:footnoteRef/>
      </w:r>
      <w:r>
        <w:t xml:space="preserve"> Ohio Revised Code 4928.10(G).</w:t>
      </w:r>
    </w:p>
  </w:footnote>
  <w:footnote w:id="11">
    <w:p w:rsidR="00674337" w:rsidRDefault="00674337" w:rsidP="005148D8">
      <w:pPr>
        <w:pStyle w:val="FootnoteText"/>
      </w:pPr>
      <w:r>
        <w:rPr>
          <w:rStyle w:val="FootnoteReference"/>
        </w:rPr>
        <w:footnoteRef/>
      </w:r>
      <w:r>
        <w:t xml:space="preserve"> Ohio Adm. Code 4901:1-10-24(E).</w:t>
      </w:r>
    </w:p>
  </w:footnote>
  <w:footnote w:id="12">
    <w:p w:rsidR="00674337" w:rsidRDefault="00674337" w:rsidP="005148D8">
      <w:pPr>
        <w:pStyle w:val="FootnoteText"/>
      </w:pPr>
      <w:r>
        <w:rPr>
          <w:rStyle w:val="FootnoteReference"/>
        </w:rPr>
        <w:footnoteRef/>
      </w:r>
      <w:r>
        <w:t xml:space="preserve"> Exelon Comments at 5.</w:t>
      </w:r>
    </w:p>
  </w:footnote>
  <w:footnote w:id="13">
    <w:p w:rsidR="00674337" w:rsidRDefault="00674337" w:rsidP="005148D8">
      <w:pPr>
        <w:pStyle w:val="FootnoteText"/>
      </w:pPr>
      <w:r>
        <w:rPr>
          <w:rStyle w:val="FootnoteReference"/>
        </w:rPr>
        <w:footnoteRef/>
      </w:r>
      <w:r>
        <w:t xml:space="preserve"> Id.</w:t>
      </w:r>
    </w:p>
  </w:footnote>
  <w:footnote w:id="14">
    <w:p w:rsidR="00674337" w:rsidRDefault="00674337" w:rsidP="005148D8">
      <w:pPr>
        <w:pStyle w:val="FootnoteText"/>
      </w:pPr>
      <w:r>
        <w:rPr>
          <w:rStyle w:val="FootnoteReference"/>
        </w:rPr>
        <w:footnoteRef/>
      </w:r>
      <w:r>
        <w:t xml:space="preserve"> Ohio Revised Code 4928.10(G).</w:t>
      </w:r>
    </w:p>
  </w:footnote>
  <w:footnote w:id="15">
    <w:p w:rsidR="00674337" w:rsidRDefault="00674337" w:rsidP="005148D8">
      <w:pPr>
        <w:pStyle w:val="FootnoteText"/>
      </w:pPr>
      <w:r>
        <w:rPr>
          <w:rStyle w:val="FootnoteReference"/>
        </w:rPr>
        <w:footnoteRef/>
      </w:r>
      <w:r>
        <w:t xml:space="preserve"> Ohio Adm. Code 4901:1-10-12(F)(3).</w:t>
      </w:r>
    </w:p>
  </w:footnote>
  <w:footnote w:id="16">
    <w:p w:rsidR="00674337" w:rsidRDefault="00674337" w:rsidP="005148D8">
      <w:pPr>
        <w:pStyle w:val="FootnoteText"/>
      </w:pPr>
      <w:r>
        <w:rPr>
          <w:rStyle w:val="FootnoteReference"/>
        </w:rPr>
        <w:footnoteRef/>
      </w:r>
      <w:r>
        <w:t xml:space="preserve"> Ohio Adm. Code 4901:1-10-12(A).</w:t>
      </w:r>
    </w:p>
  </w:footnote>
  <w:footnote w:id="17">
    <w:p w:rsidR="00674337" w:rsidRDefault="00674337" w:rsidP="0080629C">
      <w:pPr>
        <w:pStyle w:val="FootnoteText"/>
      </w:pPr>
      <w:r>
        <w:rPr>
          <w:rStyle w:val="FootnoteReference"/>
        </w:rPr>
        <w:footnoteRef/>
      </w:r>
      <w:r>
        <w:t xml:space="preserve"> AEP Ohio Comments at 2.</w:t>
      </w:r>
    </w:p>
  </w:footnote>
  <w:footnote w:id="18">
    <w:p w:rsidR="00674337" w:rsidRDefault="00674337" w:rsidP="0080629C">
      <w:pPr>
        <w:pStyle w:val="FootnoteText"/>
      </w:pPr>
      <w:r>
        <w:rPr>
          <w:rStyle w:val="FootnoteReference"/>
        </w:rPr>
        <w:footnoteRef/>
      </w:r>
      <w:r>
        <w:t xml:space="preserve"> R.C. 4928.06(C).</w:t>
      </w:r>
    </w:p>
  </w:footnote>
  <w:footnote w:id="19">
    <w:p w:rsidR="00674337" w:rsidRDefault="00674337" w:rsidP="0080629C">
      <w:pPr>
        <w:pStyle w:val="FootnoteText"/>
      </w:pPr>
      <w:r>
        <w:rPr>
          <w:rStyle w:val="FootnoteReference"/>
        </w:rPr>
        <w:footnoteRef/>
      </w:r>
      <w:r>
        <w:t xml:space="preserve"> R.C. 4928.06(E)(1).</w:t>
      </w:r>
    </w:p>
  </w:footnote>
  <w:footnote w:id="20">
    <w:p w:rsidR="00674337" w:rsidRDefault="00674337" w:rsidP="005148D8">
      <w:pPr>
        <w:pStyle w:val="FootnoteText"/>
      </w:pPr>
      <w:r>
        <w:rPr>
          <w:rStyle w:val="FootnoteReference"/>
        </w:rPr>
        <w:footnoteRef/>
      </w:r>
      <w:r>
        <w:t xml:space="preserve"> IGS  Comments at 11.</w:t>
      </w:r>
    </w:p>
  </w:footnote>
  <w:footnote w:id="21">
    <w:p w:rsidR="00674337" w:rsidRDefault="00674337" w:rsidP="005148D8">
      <w:pPr>
        <w:pStyle w:val="FootnoteText"/>
      </w:pPr>
      <w:r>
        <w:rPr>
          <w:rStyle w:val="FootnoteReference"/>
        </w:rPr>
        <w:footnoteRef/>
      </w:r>
      <w:r>
        <w:t xml:space="preserve"> OCC Comments at 10.</w:t>
      </w:r>
    </w:p>
  </w:footnote>
  <w:footnote w:id="22">
    <w:p w:rsidR="00674337" w:rsidRDefault="00674337" w:rsidP="005148D8">
      <w:pPr>
        <w:pStyle w:val="FootnoteText"/>
      </w:pPr>
      <w:r>
        <w:rPr>
          <w:rStyle w:val="FootnoteReference"/>
        </w:rPr>
        <w:footnoteRef/>
      </w:r>
      <w:r>
        <w:t xml:space="preserve"> OCC Comments at 11</w:t>
      </w:r>
    </w:p>
  </w:footnote>
  <w:footnote w:id="23">
    <w:p w:rsidR="00674337" w:rsidRPr="0056053F" w:rsidRDefault="00674337" w:rsidP="005148D8">
      <w:pPr>
        <w:pStyle w:val="FootnoteText"/>
      </w:pPr>
      <w:r>
        <w:rPr>
          <w:rStyle w:val="FootnoteReference"/>
        </w:rPr>
        <w:footnoteRef/>
      </w:r>
      <w:r>
        <w:t xml:space="preserve"> </w:t>
      </w:r>
      <w:r w:rsidRPr="0056053F">
        <w:t>Id.</w:t>
      </w:r>
    </w:p>
  </w:footnote>
  <w:footnote w:id="24">
    <w:p w:rsidR="00674337" w:rsidRDefault="00674337" w:rsidP="005148D8">
      <w:pPr>
        <w:pStyle w:val="FootnoteText"/>
      </w:pPr>
      <w:r>
        <w:rPr>
          <w:rStyle w:val="FootnoteReference"/>
        </w:rPr>
        <w:footnoteRef/>
      </w:r>
      <w:r>
        <w:t xml:space="preserve"> “Consumers et al.” refers to the group of </w:t>
      </w:r>
      <w:r w:rsidRPr="00624501">
        <w:t>Ohio Partners for Affordable Energy; AARP; The Ohio Poverty Law Center; Edgemont Neighborhood Coalition; Pro Seniors, Inc.; Southeastern Ohio Legal Services; Legal Aid Society of Columbus; Legal Aid Society of Cleveland; Communities United for Action; and, The Citizens Coalition</w:t>
      </w:r>
      <w:r>
        <w:t>, who have jointly submitted their Supplemental Reply Comments.</w:t>
      </w:r>
    </w:p>
  </w:footnote>
  <w:footnote w:id="25">
    <w:p w:rsidR="00674337" w:rsidRDefault="00674337" w:rsidP="005148D8">
      <w:pPr>
        <w:pStyle w:val="FootnoteText"/>
      </w:pPr>
      <w:r>
        <w:rPr>
          <w:rStyle w:val="FootnoteReference"/>
        </w:rPr>
        <w:footnoteRef/>
      </w:r>
      <w:r>
        <w:t xml:space="preserve"> Consumers et al Comments at 11.</w:t>
      </w:r>
    </w:p>
  </w:footnote>
  <w:footnote w:id="26">
    <w:p w:rsidR="00674337" w:rsidRDefault="00674337" w:rsidP="005148D8">
      <w:pPr>
        <w:pStyle w:val="FootnoteText"/>
      </w:pPr>
      <w:r>
        <w:rPr>
          <w:rStyle w:val="FootnoteReference"/>
        </w:rPr>
        <w:footnoteRef/>
      </w:r>
      <w:r>
        <w:t xml:space="preserve"> Consumers et al Comments at 12.</w:t>
      </w:r>
    </w:p>
  </w:footnote>
  <w:footnote w:id="27">
    <w:p w:rsidR="00674337" w:rsidRDefault="00674337" w:rsidP="005148D8">
      <w:pPr>
        <w:pStyle w:val="FootnoteText"/>
      </w:pPr>
      <w:r>
        <w:rPr>
          <w:rStyle w:val="FootnoteReference"/>
        </w:rPr>
        <w:footnoteRef/>
      </w:r>
      <w:r>
        <w:t xml:space="preserve"> FE Comments at 7; DP&amp;L Comments at 3.</w:t>
      </w:r>
    </w:p>
  </w:footnote>
  <w:footnote w:id="28">
    <w:p w:rsidR="00674337" w:rsidRPr="00104726" w:rsidRDefault="00674337" w:rsidP="005148D8">
      <w:pPr>
        <w:pStyle w:val="FootnoteText"/>
        <w:rPr>
          <w:i/>
        </w:rPr>
      </w:pPr>
      <w:r>
        <w:rPr>
          <w:rStyle w:val="FootnoteReference"/>
        </w:rPr>
        <w:footnoteRef/>
      </w:r>
      <w:r>
        <w:t xml:space="preserve"> RESA Comments at 7.  RESA is ambivalent as they appear to also support a mandatory real time price as a default service for some customers.   </w:t>
      </w:r>
      <w:r>
        <w:rPr>
          <w:i/>
        </w:rPr>
        <w:t>See also Constellation Comments at 6.</w:t>
      </w:r>
    </w:p>
  </w:footnote>
  <w:footnote w:id="29">
    <w:p w:rsidR="00674337" w:rsidRDefault="00674337" w:rsidP="005148D8">
      <w:pPr>
        <w:pStyle w:val="FootnoteText"/>
      </w:pPr>
      <w:r>
        <w:rPr>
          <w:rStyle w:val="FootnoteReference"/>
        </w:rPr>
        <w:footnoteRef/>
      </w:r>
      <w:r>
        <w:t xml:space="preserve"> FES Comments at 8.</w:t>
      </w:r>
    </w:p>
  </w:footnote>
  <w:footnote w:id="30">
    <w:p w:rsidR="00674337" w:rsidRDefault="00674337" w:rsidP="005148D8">
      <w:pPr>
        <w:pStyle w:val="FootnoteText"/>
      </w:pPr>
      <w:r>
        <w:rPr>
          <w:rStyle w:val="FootnoteReference"/>
        </w:rPr>
        <w:footnoteRef/>
      </w:r>
      <w:r>
        <w:t xml:space="preserve"> </w:t>
      </w:r>
      <w:r w:rsidRPr="005148D8">
        <w:rPr>
          <w:i/>
        </w:rPr>
        <w:t xml:space="preserve">Migden-Ostrander v. Pub. Util. </w:t>
      </w:r>
      <w:r>
        <w:rPr>
          <w:i/>
        </w:rPr>
        <w:t>C</w:t>
      </w:r>
      <w:r w:rsidRPr="005148D8">
        <w:rPr>
          <w:i/>
        </w:rPr>
        <w:t>omm</w:t>
      </w:r>
      <w:r>
        <w:t xml:space="preserve">., 102 Ohio St.3d 451, 2004-Ohio-3924 at ¶13.  </w:t>
      </w:r>
    </w:p>
  </w:footnote>
  <w:footnote w:id="31">
    <w:p w:rsidR="00674337" w:rsidRDefault="00674337" w:rsidP="005148D8">
      <w:pPr>
        <w:pStyle w:val="FootnoteText"/>
      </w:pPr>
      <w:r>
        <w:rPr>
          <w:rStyle w:val="FootnoteReference"/>
        </w:rPr>
        <w:footnoteRef/>
      </w:r>
      <w:r>
        <w:t xml:space="preserve"> </w:t>
      </w:r>
      <w:r w:rsidRPr="005148D8">
        <w:rPr>
          <w:i/>
        </w:rPr>
        <w:t>Elyria Foundry Co. v. Pub. Util. Comm.</w:t>
      </w:r>
      <w:r>
        <w:t xml:space="preserve"> (2007), 114 Ohio St.3d 305.  </w:t>
      </w:r>
    </w:p>
  </w:footnote>
  <w:footnote w:id="32">
    <w:p w:rsidR="00674337" w:rsidRPr="00881EBA" w:rsidRDefault="00674337" w:rsidP="00481B90">
      <w:pPr>
        <w:pStyle w:val="FootnoteText"/>
      </w:pPr>
      <w:r w:rsidRPr="00881EBA">
        <w:rPr>
          <w:rStyle w:val="FootnoteReference"/>
        </w:rPr>
        <w:footnoteRef/>
      </w:r>
      <w:r w:rsidRPr="00881EBA">
        <w:t xml:space="preserve"> First Energy Comments at 13.</w:t>
      </w:r>
    </w:p>
  </w:footnote>
  <w:footnote w:id="33">
    <w:p w:rsidR="00674337" w:rsidRPr="00F33251" w:rsidRDefault="00674337" w:rsidP="00481B90">
      <w:pPr>
        <w:pStyle w:val="FootnoteText"/>
      </w:pPr>
      <w:r w:rsidRPr="00F33251">
        <w:rPr>
          <w:rStyle w:val="FootnoteReference"/>
        </w:rPr>
        <w:footnoteRef/>
      </w:r>
      <w:r w:rsidRPr="00F33251">
        <w:t xml:space="preserve"> First Energy Comments at 13. </w:t>
      </w:r>
    </w:p>
  </w:footnote>
  <w:footnote w:id="34">
    <w:p w:rsidR="00674337" w:rsidRPr="00F33251" w:rsidRDefault="00674337" w:rsidP="00481B90">
      <w:pPr>
        <w:pStyle w:val="FootnoteText"/>
      </w:pPr>
      <w:r w:rsidRPr="00F33251">
        <w:rPr>
          <w:rStyle w:val="FootnoteReference"/>
        </w:rPr>
        <w:footnoteRef/>
      </w:r>
      <w:r w:rsidRPr="00F33251">
        <w:t xml:space="preserve"> First Energy Comments at 14. </w:t>
      </w:r>
    </w:p>
  </w:footnote>
  <w:footnote w:id="35">
    <w:p w:rsidR="00674337" w:rsidRPr="00F33251" w:rsidRDefault="00674337" w:rsidP="00481B90">
      <w:pPr>
        <w:pStyle w:val="FootnoteText"/>
      </w:pPr>
      <w:r w:rsidRPr="00F33251">
        <w:rPr>
          <w:rStyle w:val="FootnoteReference"/>
        </w:rPr>
        <w:footnoteRef/>
      </w:r>
      <w:r w:rsidRPr="00F33251">
        <w:t xml:space="preserve"> First </w:t>
      </w:r>
      <w:r>
        <w:t>E</w:t>
      </w:r>
      <w:r w:rsidRPr="00F33251">
        <w:t xml:space="preserve">nergy Comments at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3B" w:rsidRDefault="002D7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3B" w:rsidRDefault="002D7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3B" w:rsidRDefault="002D7D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7" w:rsidRDefault="006743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7" w:rsidRDefault="006743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7" w:rsidRDefault="006743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7" w:rsidRDefault="006743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7" w:rsidRDefault="006743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37" w:rsidRDefault="00674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E48F0"/>
    <w:lvl w:ilvl="0">
      <w:start w:val="1"/>
      <w:numFmt w:val="decimal"/>
      <w:lvlText w:val="%1."/>
      <w:lvlJc w:val="left"/>
      <w:pPr>
        <w:tabs>
          <w:tab w:val="num" w:pos="1800"/>
        </w:tabs>
        <w:ind w:left="1800" w:hanging="360"/>
      </w:pPr>
    </w:lvl>
  </w:abstractNum>
  <w:abstractNum w:abstractNumId="1">
    <w:nsid w:val="FFFFFF7D"/>
    <w:multiLevelType w:val="singleLevel"/>
    <w:tmpl w:val="0ED8E70E"/>
    <w:lvl w:ilvl="0">
      <w:start w:val="1"/>
      <w:numFmt w:val="decimal"/>
      <w:lvlText w:val="%1."/>
      <w:lvlJc w:val="left"/>
      <w:pPr>
        <w:tabs>
          <w:tab w:val="num" w:pos="1440"/>
        </w:tabs>
        <w:ind w:left="1440" w:hanging="360"/>
      </w:pPr>
    </w:lvl>
  </w:abstractNum>
  <w:abstractNum w:abstractNumId="2">
    <w:nsid w:val="FFFFFF7E"/>
    <w:multiLevelType w:val="singleLevel"/>
    <w:tmpl w:val="9DDC7B00"/>
    <w:lvl w:ilvl="0">
      <w:start w:val="1"/>
      <w:numFmt w:val="decimal"/>
      <w:lvlText w:val="%1."/>
      <w:lvlJc w:val="left"/>
      <w:pPr>
        <w:tabs>
          <w:tab w:val="num" w:pos="1080"/>
        </w:tabs>
        <w:ind w:left="1080" w:hanging="360"/>
      </w:pPr>
    </w:lvl>
  </w:abstractNum>
  <w:abstractNum w:abstractNumId="3">
    <w:nsid w:val="FFFFFF7F"/>
    <w:multiLevelType w:val="singleLevel"/>
    <w:tmpl w:val="869A5762"/>
    <w:lvl w:ilvl="0">
      <w:start w:val="1"/>
      <w:numFmt w:val="decimal"/>
      <w:lvlText w:val="%1."/>
      <w:lvlJc w:val="left"/>
      <w:pPr>
        <w:tabs>
          <w:tab w:val="num" w:pos="720"/>
        </w:tabs>
        <w:ind w:left="720" w:hanging="360"/>
      </w:pPr>
    </w:lvl>
  </w:abstractNum>
  <w:abstractNum w:abstractNumId="4">
    <w:nsid w:val="FFFFFF80"/>
    <w:multiLevelType w:val="singleLevel"/>
    <w:tmpl w:val="DCE4BDA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1AEE4F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26E305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800B3A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300544E"/>
    <w:lvl w:ilvl="0">
      <w:start w:val="1"/>
      <w:numFmt w:val="decimal"/>
      <w:lvlText w:val="%1."/>
      <w:lvlJc w:val="left"/>
      <w:pPr>
        <w:tabs>
          <w:tab w:val="num" w:pos="360"/>
        </w:tabs>
        <w:ind w:left="360" w:hanging="360"/>
      </w:pPr>
    </w:lvl>
  </w:abstractNum>
  <w:abstractNum w:abstractNumId="9">
    <w:nsid w:val="FFFFFF89"/>
    <w:multiLevelType w:val="singleLevel"/>
    <w:tmpl w:val="F4167908"/>
    <w:lvl w:ilvl="0">
      <w:start w:val="1"/>
      <w:numFmt w:val="bullet"/>
      <w:lvlText w:val=""/>
      <w:lvlJc w:val="left"/>
      <w:pPr>
        <w:tabs>
          <w:tab w:val="num" w:pos="360"/>
        </w:tabs>
        <w:ind w:left="360" w:hanging="360"/>
      </w:pPr>
      <w:rPr>
        <w:rFonts w:ascii="Symbol" w:hAnsi="Symbol" w:cs="Symbol" w:hint="default"/>
      </w:rPr>
    </w:lvl>
  </w:abstractNum>
  <w:abstractNum w:abstractNumId="10">
    <w:nsid w:val="175976EB"/>
    <w:multiLevelType w:val="hybridMultilevel"/>
    <w:tmpl w:val="08D2BB5A"/>
    <w:lvl w:ilvl="0" w:tplc="0EE85750">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7BD61A5"/>
    <w:multiLevelType w:val="hybridMultilevel"/>
    <w:tmpl w:val="DD50F2F2"/>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2F632B"/>
    <w:multiLevelType w:val="hybridMultilevel"/>
    <w:tmpl w:val="510E0E50"/>
    <w:lvl w:ilvl="0" w:tplc="B2947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5D5D2B"/>
    <w:multiLevelType w:val="hybridMultilevel"/>
    <w:tmpl w:val="E66C7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EA4247"/>
    <w:multiLevelType w:val="hybridMultilevel"/>
    <w:tmpl w:val="DA08E7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54F37A3"/>
    <w:multiLevelType w:val="hybridMultilevel"/>
    <w:tmpl w:val="0D2CA488"/>
    <w:lvl w:ilvl="0" w:tplc="39280236">
      <w:start w:val="1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75C14830"/>
    <w:multiLevelType w:val="hybridMultilevel"/>
    <w:tmpl w:val="0F4C4ECA"/>
    <w:lvl w:ilvl="0" w:tplc="1F78B8F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B8A31BC"/>
    <w:multiLevelType w:val="hybridMultilevel"/>
    <w:tmpl w:val="42807C8E"/>
    <w:lvl w:ilvl="0" w:tplc="04090015">
      <w:start w:val="1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 w:numId="15">
    <w:abstractNumId w:val="15"/>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CB8"/>
    <w:rsid w:val="000023A0"/>
    <w:rsid w:val="00002F59"/>
    <w:rsid w:val="00003DE7"/>
    <w:rsid w:val="000239A6"/>
    <w:rsid w:val="000501CC"/>
    <w:rsid w:val="00066191"/>
    <w:rsid w:val="00070750"/>
    <w:rsid w:val="0007286A"/>
    <w:rsid w:val="00073880"/>
    <w:rsid w:val="00080059"/>
    <w:rsid w:val="00086270"/>
    <w:rsid w:val="00087590"/>
    <w:rsid w:val="00090414"/>
    <w:rsid w:val="000938CF"/>
    <w:rsid w:val="00093975"/>
    <w:rsid w:val="000A1A39"/>
    <w:rsid w:val="000A2FCA"/>
    <w:rsid w:val="000A7D7F"/>
    <w:rsid w:val="000B1E4E"/>
    <w:rsid w:val="000B2A89"/>
    <w:rsid w:val="000B3217"/>
    <w:rsid w:val="000C09A0"/>
    <w:rsid w:val="000C2583"/>
    <w:rsid w:val="000C409C"/>
    <w:rsid w:val="000C6CBB"/>
    <w:rsid w:val="000D2366"/>
    <w:rsid w:val="000D49A2"/>
    <w:rsid w:val="000E05C2"/>
    <w:rsid w:val="000E7976"/>
    <w:rsid w:val="000F04A9"/>
    <w:rsid w:val="001061CC"/>
    <w:rsid w:val="00107F02"/>
    <w:rsid w:val="00124D03"/>
    <w:rsid w:val="00131C9B"/>
    <w:rsid w:val="00132B6F"/>
    <w:rsid w:val="001358CF"/>
    <w:rsid w:val="00136E56"/>
    <w:rsid w:val="00153007"/>
    <w:rsid w:val="00171679"/>
    <w:rsid w:val="00177600"/>
    <w:rsid w:val="00183300"/>
    <w:rsid w:val="00187A92"/>
    <w:rsid w:val="00190554"/>
    <w:rsid w:val="00197CB8"/>
    <w:rsid w:val="001A23AF"/>
    <w:rsid w:val="001A29B9"/>
    <w:rsid w:val="001A5A5E"/>
    <w:rsid w:val="001C085C"/>
    <w:rsid w:val="001C2AD2"/>
    <w:rsid w:val="001C2D8A"/>
    <w:rsid w:val="001C3D36"/>
    <w:rsid w:val="001C5F5C"/>
    <w:rsid w:val="001D5B8F"/>
    <w:rsid w:val="001E58BE"/>
    <w:rsid w:val="001E5A99"/>
    <w:rsid w:val="001F63B4"/>
    <w:rsid w:val="001F7186"/>
    <w:rsid w:val="002074EC"/>
    <w:rsid w:val="00212291"/>
    <w:rsid w:val="00216C46"/>
    <w:rsid w:val="0022104B"/>
    <w:rsid w:val="00222CF0"/>
    <w:rsid w:val="00225AE3"/>
    <w:rsid w:val="0023274E"/>
    <w:rsid w:val="00232FD9"/>
    <w:rsid w:val="002419ED"/>
    <w:rsid w:val="002459FF"/>
    <w:rsid w:val="00250F0E"/>
    <w:rsid w:val="0025234E"/>
    <w:rsid w:val="002628FC"/>
    <w:rsid w:val="002636F5"/>
    <w:rsid w:val="0026648F"/>
    <w:rsid w:val="00267E31"/>
    <w:rsid w:val="002723B4"/>
    <w:rsid w:val="00274F94"/>
    <w:rsid w:val="00277FE7"/>
    <w:rsid w:val="002823DF"/>
    <w:rsid w:val="002871B6"/>
    <w:rsid w:val="002A7EAE"/>
    <w:rsid w:val="002B7C97"/>
    <w:rsid w:val="002C3F5B"/>
    <w:rsid w:val="002D7D3B"/>
    <w:rsid w:val="002E0524"/>
    <w:rsid w:val="002E2AAC"/>
    <w:rsid w:val="002E2AD5"/>
    <w:rsid w:val="002F4918"/>
    <w:rsid w:val="00302A8B"/>
    <w:rsid w:val="00303C0F"/>
    <w:rsid w:val="003116DE"/>
    <w:rsid w:val="00311E0A"/>
    <w:rsid w:val="00313426"/>
    <w:rsid w:val="00315A4A"/>
    <w:rsid w:val="00317274"/>
    <w:rsid w:val="0033573F"/>
    <w:rsid w:val="00336CD7"/>
    <w:rsid w:val="00343F66"/>
    <w:rsid w:val="00367620"/>
    <w:rsid w:val="00371A09"/>
    <w:rsid w:val="00373EF1"/>
    <w:rsid w:val="00381D99"/>
    <w:rsid w:val="00383B25"/>
    <w:rsid w:val="00390389"/>
    <w:rsid w:val="00397E86"/>
    <w:rsid w:val="003A00DF"/>
    <w:rsid w:val="003A4B2B"/>
    <w:rsid w:val="003A67CB"/>
    <w:rsid w:val="003C03AD"/>
    <w:rsid w:val="003C2A7F"/>
    <w:rsid w:val="003C4B75"/>
    <w:rsid w:val="003C52B2"/>
    <w:rsid w:val="003D599D"/>
    <w:rsid w:val="003D7FE8"/>
    <w:rsid w:val="003E278D"/>
    <w:rsid w:val="003E5C28"/>
    <w:rsid w:val="003E6ACC"/>
    <w:rsid w:val="003F23F0"/>
    <w:rsid w:val="0040065E"/>
    <w:rsid w:val="00402746"/>
    <w:rsid w:val="0040474F"/>
    <w:rsid w:val="00411472"/>
    <w:rsid w:val="00415B66"/>
    <w:rsid w:val="00420CBA"/>
    <w:rsid w:val="00426489"/>
    <w:rsid w:val="004315CC"/>
    <w:rsid w:val="0043686E"/>
    <w:rsid w:val="00437681"/>
    <w:rsid w:val="004415F5"/>
    <w:rsid w:val="00446DDA"/>
    <w:rsid w:val="00450318"/>
    <w:rsid w:val="00454021"/>
    <w:rsid w:val="00463DE3"/>
    <w:rsid w:val="00465F7D"/>
    <w:rsid w:val="0047439E"/>
    <w:rsid w:val="00481B90"/>
    <w:rsid w:val="00483C4F"/>
    <w:rsid w:val="00486290"/>
    <w:rsid w:val="004878E0"/>
    <w:rsid w:val="00492D2D"/>
    <w:rsid w:val="0049389C"/>
    <w:rsid w:val="00494FAE"/>
    <w:rsid w:val="004954B1"/>
    <w:rsid w:val="004A2048"/>
    <w:rsid w:val="004B321F"/>
    <w:rsid w:val="004B326C"/>
    <w:rsid w:val="004B6918"/>
    <w:rsid w:val="004B6A0E"/>
    <w:rsid w:val="004B7420"/>
    <w:rsid w:val="004C4BA5"/>
    <w:rsid w:val="004C514A"/>
    <w:rsid w:val="004C7C23"/>
    <w:rsid w:val="004D44CD"/>
    <w:rsid w:val="004D5DC4"/>
    <w:rsid w:val="004D658A"/>
    <w:rsid w:val="004F7507"/>
    <w:rsid w:val="00501558"/>
    <w:rsid w:val="00503BDF"/>
    <w:rsid w:val="0050718B"/>
    <w:rsid w:val="005148D8"/>
    <w:rsid w:val="00514DBE"/>
    <w:rsid w:val="005177D9"/>
    <w:rsid w:val="00525C8C"/>
    <w:rsid w:val="005341A3"/>
    <w:rsid w:val="00536814"/>
    <w:rsid w:val="005412E1"/>
    <w:rsid w:val="00543E20"/>
    <w:rsid w:val="00545463"/>
    <w:rsid w:val="005471D7"/>
    <w:rsid w:val="00552954"/>
    <w:rsid w:val="00554583"/>
    <w:rsid w:val="00555980"/>
    <w:rsid w:val="0055703A"/>
    <w:rsid w:val="0056053F"/>
    <w:rsid w:val="00566DF9"/>
    <w:rsid w:val="005829A6"/>
    <w:rsid w:val="005846DE"/>
    <w:rsid w:val="00597AC9"/>
    <w:rsid w:val="005A5469"/>
    <w:rsid w:val="005B2D59"/>
    <w:rsid w:val="005B6EE1"/>
    <w:rsid w:val="005B773C"/>
    <w:rsid w:val="005C189A"/>
    <w:rsid w:val="005C6E68"/>
    <w:rsid w:val="005D13EF"/>
    <w:rsid w:val="005E3713"/>
    <w:rsid w:val="005E4BFF"/>
    <w:rsid w:val="005E4CDB"/>
    <w:rsid w:val="005F0AA0"/>
    <w:rsid w:val="005F5D17"/>
    <w:rsid w:val="005F78B4"/>
    <w:rsid w:val="00612AAE"/>
    <w:rsid w:val="006148A3"/>
    <w:rsid w:val="0061660F"/>
    <w:rsid w:val="00616B76"/>
    <w:rsid w:val="0062184A"/>
    <w:rsid w:val="00622FC2"/>
    <w:rsid w:val="00626B8F"/>
    <w:rsid w:val="006404EA"/>
    <w:rsid w:val="00646BA7"/>
    <w:rsid w:val="0064763F"/>
    <w:rsid w:val="006478DC"/>
    <w:rsid w:val="00656C28"/>
    <w:rsid w:val="00670EFB"/>
    <w:rsid w:val="006727D7"/>
    <w:rsid w:val="00674337"/>
    <w:rsid w:val="00676BF2"/>
    <w:rsid w:val="00687C58"/>
    <w:rsid w:val="00690C68"/>
    <w:rsid w:val="006917BD"/>
    <w:rsid w:val="00692210"/>
    <w:rsid w:val="006A74FE"/>
    <w:rsid w:val="006B02A9"/>
    <w:rsid w:val="006B2A9B"/>
    <w:rsid w:val="006B2B93"/>
    <w:rsid w:val="006C011B"/>
    <w:rsid w:val="006C3D9A"/>
    <w:rsid w:val="006C6863"/>
    <w:rsid w:val="006D344F"/>
    <w:rsid w:val="006D4902"/>
    <w:rsid w:val="006E1ACF"/>
    <w:rsid w:val="006E256D"/>
    <w:rsid w:val="006E60CF"/>
    <w:rsid w:val="006F4728"/>
    <w:rsid w:val="007014EB"/>
    <w:rsid w:val="00704CC3"/>
    <w:rsid w:val="007122ED"/>
    <w:rsid w:val="007138E2"/>
    <w:rsid w:val="00714905"/>
    <w:rsid w:val="00715D0B"/>
    <w:rsid w:val="007212AA"/>
    <w:rsid w:val="007241CA"/>
    <w:rsid w:val="007256DB"/>
    <w:rsid w:val="00725F6A"/>
    <w:rsid w:val="00727E49"/>
    <w:rsid w:val="00733E2B"/>
    <w:rsid w:val="0073752E"/>
    <w:rsid w:val="00737E95"/>
    <w:rsid w:val="00762FD1"/>
    <w:rsid w:val="00767813"/>
    <w:rsid w:val="00773450"/>
    <w:rsid w:val="00773F93"/>
    <w:rsid w:val="00781C7F"/>
    <w:rsid w:val="007843F1"/>
    <w:rsid w:val="007928CB"/>
    <w:rsid w:val="007957B6"/>
    <w:rsid w:val="0079670A"/>
    <w:rsid w:val="007A394C"/>
    <w:rsid w:val="007A3953"/>
    <w:rsid w:val="007A43C4"/>
    <w:rsid w:val="007B04A2"/>
    <w:rsid w:val="007B777D"/>
    <w:rsid w:val="007D232D"/>
    <w:rsid w:val="007E0316"/>
    <w:rsid w:val="007E2302"/>
    <w:rsid w:val="007E65EB"/>
    <w:rsid w:val="007E7A1C"/>
    <w:rsid w:val="007F58EA"/>
    <w:rsid w:val="007F7256"/>
    <w:rsid w:val="00805661"/>
    <w:rsid w:val="0080629C"/>
    <w:rsid w:val="00807C86"/>
    <w:rsid w:val="00817DD2"/>
    <w:rsid w:val="0083640D"/>
    <w:rsid w:val="00844FE5"/>
    <w:rsid w:val="00854EFB"/>
    <w:rsid w:val="00870937"/>
    <w:rsid w:val="00874E8A"/>
    <w:rsid w:val="0088047F"/>
    <w:rsid w:val="008835D3"/>
    <w:rsid w:val="0089300D"/>
    <w:rsid w:val="008969EE"/>
    <w:rsid w:val="008A62D6"/>
    <w:rsid w:val="008B1CF0"/>
    <w:rsid w:val="008B2819"/>
    <w:rsid w:val="008B6541"/>
    <w:rsid w:val="008B783A"/>
    <w:rsid w:val="008C2E7A"/>
    <w:rsid w:val="008C4274"/>
    <w:rsid w:val="008D310C"/>
    <w:rsid w:val="008D5FE5"/>
    <w:rsid w:val="008D63DF"/>
    <w:rsid w:val="008E04E1"/>
    <w:rsid w:val="008E05B6"/>
    <w:rsid w:val="008E23DB"/>
    <w:rsid w:val="008E3445"/>
    <w:rsid w:val="008E3BCB"/>
    <w:rsid w:val="008E79F3"/>
    <w:rsid w:val="008F46E9"/>
    <w:rsid w:val="009011B6"/>
    <w:rsid w:val="009107F5"/>
    <w:rsid w:val="009219ED"/>
    <w:rsid w:val="00925045"/>
    <w:rsid w:val="0092637C"/>
    <w:rsid w:val="00932BD8"/>
    <w:rsid w:val="009374C9"/>
    <w:rsid w:val="00942971"/>
    <w:rsid w:val="00951CC7"/>
    <w:rsid w:val="00966CC5"/>
    <w:rsid w:val="00971268"/>
    <w:rsid w:val="00975F81"/>
    <w:rsid w:val="00982C6D"/>
    <w:rsid w:val="0098316A"/>
    <w:rsid w:val="00984EB2"/>
    <w:rsid w:val="00985AD4"/>
    <w:rsid w:val="009910F2"/>
    <w:rsid w:val="00992312"/>
    <w:rsid w:val="00992F5C"/>
    <w:rsid w:val="0099357C"/>
    <w:rsid w:val="009966EE"/>
    <w:rsid w:val="009A5D5A"/>
    <w:rsid w:val="009A7AC0"/>
    <w:rsid w:val="009B0352"/>
    <w:rsid w:val="009B4BD6"/>
    <w:rsid w:val="009B6090"/>
    <w:rsid w:val="009C37E2"/>
    <w:rsid w:val="009C57C5"/>
    <w:rsid w:val="009E0164"/>
    <w:rsid w:val="009E0AE6"/>
    <w:rsid w:val="009E7313"/>
    <w:rsid w:val="009F73A6"/>
    <w:rsid w:val="00A0723D"/>
    <w:rsid w:val="00A11E68"/>
    <w:rsid w:val="00A12459"/>
    <w:rsid w:val="00A127FE"/>
    <w:rsid w:val="00A1510A"/>
    <w:rsid w:val="00A16832"/>
    <w:rsid w:val="00A221EF"/>
    <w:rsid w:val="00A2613A"/>
    <w:rsid w:val="00A27F00"/>
    <w:rsid w:val="00A34DEA"/>
    <w:rsid w:val="00A37321"/>
    <w:rsid w:val="00A40553"/>
    <w:rsid w:val="00A445EB"/>
    <w:rsid w:val="00A46296"/>
    <w:rsid w:val="00A5643A"/>
    <w:rsid w:val="00A62DB0"/>
    <w:rsid w:val="00A66E55"/>
    <w:rsid w:val="00A745EE"/>
    <w:rsid w:val="00A810D6"/>
    <w:rsid w:val="00A9669D"/>
    <w:rsid w:val="00A9678B"/>
    <w:rsid w:val="00AA1C00"/>
    <w:rsid w:val="00AA7763"/>
    <w:rsid w:val="00AB4D19"/>
    <w:rsid w:val="00AB745C"/>
    <w:rsid w:val="00AC0726"/>
    <w:rsid w:val="00AC0F42"/>
    <w:rsid w:val="00AC222C"/>
    <w:rsid w:val="00AC5115"/>
    <w:rsid w:val="00AD21CA"/>
    <w:rsid w:val="00AE2E34"/>
    <w:rsid w:val="00AF4E6D"/>
    <w:rsid w:val="00B0086A"/>
    <w:rsid w:val="00B02432"/>
    <w:rsid w:val="00B1034F"/>
    <w:rsid w:val="00B207DE"/>
    <w:rsid w:val="00B2235D"/>
    <w:rsid w:val="00B2485D"/>
    <w:rsid w:val="00B26BF6"/>
    <w:rsid w:val="00B300E0"/>
    <w:rsid w:val="00B41616"/>
    <w:rsid w:val="00B45847"/>
    <w:rsid w:val="00B55EE1"/>
    <w:rsid w:val="00B70029"/>
    <w:rsid w:val="00B77A9F"/>
    <w:rsid w:val="00B77EDA"/>
    <w:rsid w:val="00B83635"/>
    <w:rsid w:val="00B847D6"/>
    <w:rsid w:val="00B9030C"/>
    <w:rsid w:val="00B94F1F"/>
    <w:rsid w:val="00BA469F"/>
    <w:rsid w:val="00BC38E9"/>
    <w:rsid w:val="00BE26E4"/>
    <w:rsid w:val="00BE297B"/>
    <w:rsid w:val="00BE52E8"/>
    <w:rsid w:val="00BF48AB"/>
    <w:rsid w:val="00BF6E02"/>
    <w:rsid w:val="00BF6FB8"/>
    <w:rsid w:val="00C009CC"/>
    <w:rsid w:val="00C01421"/>
    <w:rsid w:val="00C02C2D"/>
    <w:rsid w:val="00C02D79"/>
    <w:rsid w:val="00C04040"/>
    <w:rsid w:val="00C052DD"/>
    <w:rsid w:val="00C173F6"/>
    <w:rsid w:val="00C217E3"/>
    <w:rsid w:val="00C21D4E"/>
    <w:rsid w:val="00C2775D"/>
    <w:rsid w:val="00C308DE"/>
    <w:rsid w:val="00C35C40"/>
    <w:rsid w:val="00C36BD5"/>
    <w:rsid w:val="00C43E65"/>
    <w:rsid w:val="00C52B0B"/>
    <w:rsid w:val="00C65083"/>
    <w:rsid w:val="00C66A1E"/>
    <w:rsid w:val="00C71947"/>
    <w:rsid w:val="00C753FE"/>
    <w:rsid w:val="00C76EF6"/>
    <w:rsid w:val="00C773D8"/>
    <w:rsid w:val="00C77951"/>
    <w:rsid w:val="00C77BDA"/>
    <w:rsid w:val="00C8118D"/>
    <w:rsid w:val="00C81BE0"/>
    <w:rsid w:val="00C83300"/>
    <w:rsid w:val="00C85967"/>
    <w:rsid w:val="00C86E11"/>
    <w:rsid w:val="00C91A95"/>
    <w:rsid w:val="00C9493F"/>
    <w:rsid w:val="00CA1BAB"/>
    <w:rsid w:val="00CA69FA"/>
    <w:rsid w:val="00CA7A4E"/>
    <w:rsid w:val="00CB38A9"/>
    <w:rsid w:val="00CB5172"/>
    <w:rsid w:val="00CB7ECC"/>
    <w:rsid w:val="00CE3AB5"/>
    <w:rsid w:val="00CE7326"/>
    <w:rsid w:val="00CF1E34"/>
    <w:rsid w:val="00D045A9"/>
    <w:rsid w:val="00D057BD"/>
    <w:rsid w:val="00D10707"/>
    <w:rsid w:val="00D11178"/>
    <w:rsid w:val="00D12A56"/>
    <w:rsid w:val="00D14EB4"/>
    <w:rsid w:val="00D16662"/>
    <w:rsid w:val="00D17B6E"/>
    <w:rsid w:val="00D26E94"/>
    <w:rsid w:val="00D36A9C"/>
    <w:rsid w:val="00D407B1"/>
    <w:rsid w:val="00D63CB8"/>
    <w:rsid w:val="00D70E7E"/>
    <w:rsid w:val="00D72E1C"/>
    <w:rsid w:val="00D738CB"/>
    <w:rsid w:val="00D763B0"/>
    <w:rsid w:val="00D814A4"/>
    <w:rsid w:val="00D84B65"/>
    <w:rsid w:val="00D932A4"/>
    <w:rsid w:val="00D96F9C"/>
    <w:rsid w:val="00DA55D1"/>
    <w:rsid w:val="00DA74B9"/>
    <w:rsid w:val="00DA75A2"/>
    <w:rsid w:val="00DB2C3A"/>
    <w:rsid w:val="00DC2E37"/>
    <w:rsid w:val="00DC656C"/>
    <w:rsid w:val="00DC748D"/>
    <w:rsid w:val="00DD56DE"/>
    <w:rsid w:val="00DE1F6E"/>
    <w:rsid w:val="00DE34ED"/>
    <w:rsid w:val="00E01280"/>
    <w:rsid w:val="00E05555"/>
    <w:rsid w:val="00E14E4E"/>
    <w:rsid w:val="00E168DF"/>
    <w:rsid w:val="00E41EB0"/>
    <w:rsid w:val="00E52735"/>
    <w:rsid w:val="00E5351F"/>
    <w:rsid w:val="00E5502A"/>
    <w:rsid w:val="00E65233"/>
    <w:rsid w:val="00E82125"/>
    <w:rsid w:val="00E85D7B"/>
    <w:rsid w:val="00E9490A"/>
    <w:rsid w:val="00EA0DAF"/>
    <w:rsid w:val="00EA3794"/>
    <w:rsid w:val="00EA70E2"/>
    <w:rsid w:val="00EA7FD4"/>
    <w:rsid w:val="00EB02D1"/>
    <w:rsid w:val="00EB1E5E"/>
    <w:rsid w:val="00EB5D0D"/>
    <w:rsid w:val="00ED6056"/>
    <w:rsid w:val="00ED7523"/>
    <w:rsid w:val="00EE37B7"/>
    <w:rsid w:val="00EF42E7"/>
    <w:rsid w:val="00F0036F"/>
    <w:rsid w:val="00F05BBD"/>
    <w:rsid w:val="00F16C3F"/>
    <w:rsid w:val="00F2606C"/>
    <w:rsid w:val="00F377AC"/>
    <w:rsid w:val="00F4120C"/>
    <w:rsid w:val="00F42335"/>
    <w:rsid w:val="00F45E3C"/>
    <w:rsid w:val="00F46E8F"/>
    <w:rsid w:val="00F50181"/>
    <w:rsid w:val="00F5058E"/>
    <w:rsid w:val="00F52C4C"/>
    <w:rsid w:val="00F57280"/>
    <w:rsid w:val="00F6727D"/>
    <w:rsid w:val="00F77169"/>
    <w:rsid w:val="00F853DA"/>
    <w:rsid w:val="00F85976"/>
    <w:rsid w:val="00F92127"/>
    <w:rsid w:val="00F956B9"/>
    <w:rsid w:val="00F9602D"/>
    <w:rsid w:val="00F97F09"/>
    <w:rsid w:val="00FB75C5"/>
    <w:rsid w:val="00FC3916"/>
    <w:rsid w:val="00FC3CF0"/>
    <w:rsid w:val="00FC4FA8"/>
    <w:rsid w:val="00FC617B"/>
    <w:rsid w:val="00FD6D49"/>
    <w:rsid w:val="00FE2450"/>
    <w:rsid w:val="00FE37FC"/>
    <w:rsid w:val="00FE3A0D"/>
    <w:rsid w:val="00FF184F"/>
    <w:rsid w:val="00FF1852"/>
    <w:rsid w:val="00FF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02D1"/>
    <w:rPr>
      <w:rFonts w:eastAsia="Times New Roman"/>
      <w:sz w:val="24"/>
      <w:szCs w:val="24"/>
    </w:rPr>
  </w:style>
  <w:style w:type="paragraph" w:styleId="Heading1">
    <w:name w:val="heading 1"/>
    <w:basedOn w:val="Normal"/>
    <w:next w:val="Normal"/>
    <w:link w:val="Heading1Char"/>
    <w:autoRedefine/>
    <w:uiPriority w:val="99"/>
    <w:qFormat/>
    <w:rsid w:val="008E3445"/>
    <w:pPr>
      <w:keepNext/>
      <w:spacing w:after="24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7957B6"/>
    <w:pPr>
      <w:keepNext/>
      <w:tabs>
        <w:tab w:val="left" w:pos="0"/>
      </w:tabs>
      <w:spacing w:after="240"/>
      <w:ind w:left="1440" w:hanging="72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rsid w:val="0079670A"/>
    <w:pPr>
      <w:keepNext/>
      <w:tabs>
        <w:tab w:val="left" w:pos="0"/>
        <w:tab w:val="left" w:pos="720"/>
      </w:tabs>
      <w:spacing w:after="240"/>
      <w:ind w:left="2160" w:right="720" w:hanging="720"/>
      <w:outlineLvl w:val="2"/>
    </w:pPr>
    <w:rPr>
      <w:rFonts w:ascii="Times New Roman Bold" w:hAnsi="Times New Roman Bold" w:cs="Times New Roman Bold"/>
      <w:b/>
      <w:bCs/>
    </w:rPr>
  </w:style>
  <w:style w:type="paragraph" w:styleId="Heading4">
    <w:name w:val="heading 4"/>
    <w:basedOn w:val="Normal"/>
    <w:next w:val="Normal"/>
    <w:link w:val="Heading4Char"/>
    <w:autoRedefine/>
    <w:uiPriority w:val="99"/>
    <w:qFormat/>
    <w:rsid w:val="00080059"/>
    <w:pPr>
      <w:keepNext/>
      <w:spacing w:after="240"/>
      <w:ind w:left="2880" w:hanging="720"/>
      <w:outlineLvl w:val="3"/>
    </w:pPr>
    <w:rPr>
      <w:b/>
      <w:bCs/>
    </w:rPr>
  </w:style>
  <w:style w:type="paragraph" w:styleId="Heading5">
    <w:name w:val="heading 5"/>
    <w:basedOn w:val="Normal"/>
    <w:next w:val="Normal"/>
    <w:link w:val="Heading5Char"/>
    <w:autoRedefine/>
    <w:uiPriority w:val="99"/>
    <w:qFormat/>
    <w:rsid w:val="00080059"/>
    <w:pPr>
      <w:spacing w:after="240"/>
      <w:ind w:left="360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E3445"/>
    <w:rPr>
      <w:rFonts w:ascii="Times New Roman Bold" w:eastAsia="Times New Roman" w:hAnsi="Times New Roman Bold" w:cs="Times New Roman Bold"/>
      <w:b/>
      <w:bCs/>
      <w:caps/>
      <w:kern w:val="32"/>
      <w:sz w:val="24"/>
      <w:szCs w:val="24"/>
    </w:rPr>
  </w:style>
  <w:style w:type="character" w:customStyle="1" w:styleId="Heading2Char">
    <w:name w:val="Heading 2 Char"/>
    <w:link w:val="Heading2"/>
    <w:uiPriority w:val="99"/>
    <w:locked/>
    <w:rsid w:val="007957B6"/>
    <w:rPr>
      <w:rFonts w:ascii="Times New Roman Bold" w:eastAsia="Times New Roman" w:hAnsi="Times New Roman Bold" w:cs="Times New Roman Bold"/>
      <w:b/>
      <w:bCs/>
      <w:sz w:val="24"/>
      <w:szCs w:val="24"/>
    </w:rPr>
  </w:style>
  <w:style w:type="character" w:customStyle="1" w:styleId="Heading3Char">
    <w:name w:val="Heading 3 Char"/>
    <w:link w:val="Heading3"/>
    <w:uiPriority w:val="99"/>
    <w:locked/>
    <w:rsid w:val="0079670A"/>
    <w:rPr>
      <w:rFonts w:ascii="Times New Roman Bold" w:eastAsia="Times New Roman" w:hAnsi="Times New Roman Bold" w:cs="Times New Roman Bold"/>
      <w:b/>
      <w:bCs/>
      <w:sz w:val="24"/>
      <w:szCs w:val="24"/>
    </w:rPr>
  </w:style>
  <w:style w:type="character" w:customStyle="1" w:styleId="Heading4Char">
    <w:name w:val="Heading 4 Char"/>
    <w:link w:val="Heading4"/>
    <w:uiPriority w:val="99"/>
    <w:semiHidden/>
    <w:locked/>
    <w:rsid w:val="00080059"/>
    <w:rPr>
      <w:rFonts w:eastAsia="Times New Roman"/>
      <w:b/>
      <w:bCs/>
      <w:sz w:val="28"/>
      <w:szCs w:val="28"/>
    </w:rPr>
  </w:style>
  <w:style w:type="character" w:customStyle="1" w:styleId="Heading5Char">
    <w:name w:val="Heading 5 Char"/>
    <w:link w:val="Heading5"/>
    <w:uiPriority w:val="99"/>
    <w:semiHidden/>
    <w:locked/>
    <w:rsid w:val="00080059"/>
    <w:rPr>
      <w:rFonts w:eastAsia="Times New Roman"/>
      <w:b/>
      <w:bCs/>
      <w:sz w:val="26"/>
      <w:szCs w:val="26"/>
    </w:rPr>
  </w:style>
  <w:style w:type="paragraph" w:styleId="BalloonText">
    <w:name w:val="Balloon Text"/>
    <w:basedOn w:val="Normal"/>
    <w:link w:val="BalloonTextChar"/>
    <w:uiPriority w:val="99"/>
    <w:semiHidden/>
    <w:rsid w:val="00080059"/>
    <w:rPr>
      <w:rFonts w:ascii="Lucida Grande" w:hAnsi="Lucida Grande" w:cs="Lucida Grande"/>
      <w:sz w:val="18"/>
      <w:szCs w:val="18"/>
    </w:rPr>
  </w:style>
  <w:style w:type="character" w:customStyle="1" w:styleId="BalloonTextChar">
    <w:name w:val="Balloon Text Char"/>
    <w:link w:val="BalloonText"/>
    <w:uiPriority w:val="99"/>
    <w:semiHidden/>
    <w:locked/>
    <w:rsid w:val="00080059"/>
    <w:rPr>
      <w:rFonts w:ascii="Lucida Grande" w:hAnsi="Lucida Grande" w:cs="Lucida Grande"/>
      <w:sz w:val="18"/>
      <w:szCs w:val="18"/>
    </w:rPr>
  </w:style>
  <w:style w:type="paragraph" w:styleId="TOC2">
    <w:name w:val="toc 2"/>
    <w:basedOn w:val="Normal"/>
    <w:next w:val="Normal"/>
    <w:autoRedefine/>
    <w:uiPriority w:val="39"/>
    <w:qFormat/>
    <w:rsid w:val="008E3445"/>
    <w:pPr>
      <w:tabs>
        <w:tab w:val="left" w:pos="720"/>
        <w:tab w:val="decimal" w:leader="dot" w:pos="8640"/>
      </w:tabs>
      <w:spacing w:after="240"/>
      <w:ind w:left="1440" w:hanging="720"/>
    </w:pPr>
  </w:style>
  <w:style w:type="paragraph" w:styleId="TOC1">
    <w:name w:val="toc 1"/>
    <w:basedOn w:val="Normal"/>
    <w:next w:val="Normal"/>
    <w:autoRedefine/>
    <w:uiPriority w:val="39"/>
    <w:qFormat/>
    <w:rsid w:val="008E3445"/>
    <w:pPr>
      <w:tabs>
        <w:tab w:val="left" w:pos="720"/>
        <w:tab w:val="decimal" w:leader="dot" w:pos="8640"/>
      </w:tabs>
      <w:spacing w:after="240"/>
      <w:ind w:left="720" w:hanging="720"/>
    </w:pPr>
    <w:rPr>
      <w:caps/>
    </w:rPr>
  </w:style>
  <w:style w:type="paragraph" w:customStyle="1" w:styleId="Quote1">
    <w:name w:val="Quote1"/>
    <w:basedOn w:val="Normal"/>
    <w:autoRedefine/>
    <w:uiPriority w:val="99"/>
    <w:rsid w:val="00080059"/>
    <w:pPr>
      <w:spacing w:after="240"/>
      <w:ind w:left="720" w:right="720"/>
    </w:pPr>
  </w:style>
  <w:style w:type="paragraph" w:customStyle="1" w:styleId="WW-BodyTextIndent3">
    <w:name w:val="WW-Body Text Indent 3"/>
    <w:basedOn w:val="Normal"/>
    <w:uiPriority w:val="99"/>
    <w:rsid w:val="00080059"/>
    <w:pPr>
      <w:suppressAutoHyphens/>
      <w:spacing w:line="480" w:lineRule="atLeast"/>
      <w:ind w:firstLine="720"/>
    </w:pPr>
    <w:rPr>
      <w:lang w:eastAsia="ar-SA"/>
    </w:rPr>
  </w:style>
  <w:style w:type="character" w:customStyle="1" w:styleId="caps">
    <w:name w:val="caps"/>
    <w:basedOn w:val="DefaultParagraphFont"/>
    <w:uiPriority w:val="99"/>
    <w:rsid w:val="00080059"/>
  </w:style>
  <w:style w:type="paragraph" w:customStyle="1" w:styleId="ShortReturnAddress">
    <w:name w:val="Short Return Address"/>
    <w:basedOn w:val="Normal"/>
    <w:uiPriority w:val="99"/>
    <w:rsid w:val="00080059"/>
  </w:style>
  <w:style w:type="character" w:customStyle="1" w:styleId="FootnoteTextChar">
    <w:name w:val="Footnote Text Char"/>
    <w:uiPriority w:val="99"/>
    <w:locked/>
    <w:rsid w:val="00080059"/>
    <w:rPr>
      <w:lang w:val="en-US" w:eastAsia="en-US"/>
    </w:rPr>
  </w:style>
  <w:style w:type="character" w:customStyle="1" w:styleId="CharChar10">
    <w:name w:val="Char Char10"/>
    <w:uiPriority w:val="99"/>
    <w:semiHidden/>
    <w:locked/>
    <w:rsid w:val="00080059"/>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sid w:val="00080059"/>
    <w:rPr>
      <w:lang w:val="en-US" w:eastAsia="en-US"/>
    </w:rPr>
  </w:style>
  <w:style w:type="paragraph" w:customStyle="1" w:styleId="CompanyName">
    <w:name w:val="Company Name"/>
    <w:basedOn w:val="Normal"/>
    <w:uiPriority w:val="99"/>
    <w:rsid w:val="0008005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basedOn w:val="DefaultParagraphFont"/>
    <w:uiPriority w:val="99"/>
    <w:rsid w:val="0008005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rsid w:val="006727D7"/>
    <w:pPr>
      <w:spacing w:after="120"/>
    </w:pPr>
    <w:rPr>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basedOn w:val="DefaultParagraphFont"/>
    <w:uiPriority w:val="99"/>
    <w:semiHidden/>
    <w:locked/>
    <w:rsid w:val="00080059"/>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sid w:val="006727D7"/>
    <w:rPr>
      <w:rFonts w:eastAsia="Times New Roman"/>
      <w:lang w:val="en-US" w:eastAsia="en-US"/>
    </w:rPr>
  </w:style>
  <w:style w:type="paragraph" w:styleId="CommentText">
    <w:name w:val="annotation text"/>
    <w:basedOn w:val="Normal"/>
    <w:link w:val="CommentTextChar"/>
    <w:uiPriority w:val="99"/>
    <w:semiHidden/>
    <w:rsid w:val="00080059"/>
  </w:style>
  <w:style w:type="character" w:customStyle="1" w:styleId="CommentTextChar">
    <w:name w:val="Comment Text Char"/>
    <w:link w:val="CommentText"/>
    <w:uiPriority w:val="99"/>
    <w:semiHidden/>
    <w:locked/>
    <w:rsid w:val="00080059"/>
    <w:rPr>
      <w:rFonts w:eastAsia="Times New Roman"/>
      <w:sz w:val="24"/>
      <w:szCs w:val="24"/>
    </w:rPr>
  </w:style>
  <w:style w:type="paragraph" w:styleId="Header">
    <w:name w:val="header"/>
    <w:basedOn w:val="Normal"/>
    <w:link w:val="HeaderChar"/>
    <w:uiPriority w:val="99"/>
    <w:rsid w:val="00080059"/>
    <w:pPr>
      <w:tabs>
        <w:tab w:val="center" w:pos="4320"/>
        <w:tab w:val="right" w:pos="8640"/>
      </w:tabs>
    </w:pPr>
  </w:style>
  <w:style w:type="character" w:customStyle="1" w:styleId="HeaderChar">
    <w:name w:val="Header Char"/>
    <w:link w:val="Header"/>
    <w:uiPriority w:val="99"/>
    <w:locked/>
    <w:rsid w:val="00080059"/>
    <w:rPr>
      <w:rFonts w:eastAsia="Times New Roman"/>
      <w:sz w:val="24"/>
      <w:szCs w:val="24"/>
    </w:rPr>
  </w:style>
  <w:style w:type="paragraph" w:styleId="Footer">
    <w:name w:val="footer"/>
    <w:aliases w:val="Char1"/>
    <w:basedOn w:val="Normal"/>
    <w:link w:val="FooterChar"/>
    <w:uiPriority w:val="99"/>
    <w:rsid w:val="00080059"/>
    <w:pPr>
      <w:tabs>
        <w:tab w:val="center" w:pos="4320"/>
        <w:tab w:val="right" w:pos="8640"/>
      </w:tabs>
    </w:pPr>
  </w:style>
  <w:style w:type="character" w:customStyle="1" w:styleId="FooterChar">
    <w:name w:val="Footer Char"/>
    <w:aliases w:val="Char1 Char"/>
    <w:link w:val="Footer"/>
    <w:uiPriority w:val="99"/>
    <w:locked/>
    <w:rsid w:val="00080059"/>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080059"/>
    <w:rPr>
      <w:vertAlign w:val="superscript"/>
    </w:rPr>
  </w:style>
  <w:style w:type="character" w:styleId="CommentReference">
    <w:name w:val="annotation reference"/>
    <w:uiPriority w:val="99"/>
    <w:semiHidden/>
    <w:rsid w:val="00080059"/>
    <w:rPr>
      <w:sz w:val="18"/>
      <w:szCs w:val="18"/>
    </w:rPr>
  </w:style>
  <w:style w:type="character" w:styleId="PageNumber">
    <w:name w:val="page number"/>
    <w:basedOn w:val="DefaultParagraphFont"/>
    <w:uiPriority w:val="99"/>
    <w:rsid w:val="00080059"/>
  </w:style>
  <w:style w:type="paragraph" w:styleId="Title">
    <w:name w:val="Title"/>
    <w:basedOn w:val="Normal"/>
    <w:link w:val="TitleChar"/>
    <w:uiPriority w:val="99"/>
    <w:qFormat/>
    <w:rsid w:val="00080059"/>
    <w:pPr>
      <w:jc w:val="center"/>
    </w:pPr>
    <w:rPr>
      <w:b/>
      <w:bCs/>
    </w:rPr>
  </w:style>
  <w:style w:type="character" w:customStyle="1" w:styleId="TitleChar">
    <w:name w:val="Title Char"/>
    <w:link w:val="Title"/>
    <w:uiPriority w:val="99"/>
    <w:locked/>
    <w:rsid w:val="00080059"/>
    <w:rPr>
      <w:rFonts w:eastAsia="Times New Roman"/>
      <w:b/>
      <w:bCs/>
      <w:sz w:val="24"/>
      <w:szCs w:val="24"/>
    </w:rPr>
  </w:style>
  <w:style w:type="paragraph" w:styleId="BodyText">
    <w:name w:val="Body Text"/>
    <w:basedOn w:val="Normal"/>
    <w:link w:val="BodyTextChar"/>
    <w:uiPriority w:val="99"/>
    <w:rsid w:val="00080059"/>
    <w:pPr>
      <w:tabs>
        <w:tab w:val="left" w:pos="0"/>
        <w:tab w:val="left" w:pos="720"/>
      </w:tabs>
      <w:spacing w:line="480" w:lineRule="auto"/>
      <w:ind w:firstLine="720"/>
    </w:pPr>
  </w:style>
  <w:style w:type="character" w:customStyle="1" w:styleId="BodyTextChar">
    <w:name w:val="Body Text Char"/>
    <w:link w:val="BodyText"/>
    <w:uiPriority w:val="99"/>
    <w:locked/>
    <w:rsid w:val="00080059"/>
    <w:rPr>
      <w:rFonts w:eastAsia="Times New Roman"/>
      <w:sz w:val="24"/>
      <w:szCs w:val="24"/>
    </w:rPr>
  </w:style>
  <w:style w:type="paragraph" w:styleId="BodyTextIndent">
    <w:name w:val="Body Text Indent"/>
    <w:basedOn w:val="Normal"/>
    <w:link w:val="BodyTextIndentChar"/>
    <w:uiPriority w:val="99"/>
    <w:rsid w:val="00080059"/>
    <w:pPr>
      <w:spacing w:line="480" w:lineRule="auto"/>
      <w:ind w:firstLine="720"/>
    </w:pPr>
  </w:style>
  <w:style w:type="character" w:customStyle="1" w:styleId="BodyTextIndentChar">
    <w:name w:val="Body Text Indent Char"/>
    <w:link w:val="BodyTextIndent"/>
    <w:uiPriority w:val="99"/>
    <w:locked/>
    <w:rsid w:val="00080059"/>
    <w:rPr>
      <w:rFonts w:eastAsia="Times New Roman"/>
      <w:sz w:val="24"/>
      <w:szCs w:val="24"/>
    </w:rPr>
  </w:style>
  <w:style w:type="paragraph" w:styleId="BodyText2">
    <w:name w:val="Body Text 2"/>
    <w:basedOn w:val="Normal"/>
    <w:link w:val="BodyText2Char"/>
    <w:uiPriority w:val="99"/>
    <w:rsid w:val="00080059"/>
    <w:pPr>
      <w:spacing w:after="120" w:line="480" w:lineRule="auto"/>
    </w:pPr>
  </w:style>
  <w:style w:type="character" w:customStyle="1" w:styleId="BodyText2Char">
    <w:name w:val="Body Text 2 Char"/>
    <w:link w:val="BodyText2"/>
    <w:uiPriority w:val="99"/>
    <w:locked/>
    <w:rsid w:val="00080059"/>
    <w:rPr>
      <w:rFonts w:eastAsia="Times New Roman"/>
      <w:sz w:val="24"/>
      <w:szCs w:val="24"/>
    </w:rPr>
  </w:style>
  <w:style w:type="paragraph" w:styleId="BodyTextIndent2">
    <w:name w:val="Body Text Indent 2"/>
    <w:basedOn w:val="Normal"/>
    <w:link w:val="BodyTextIndent2Char"/>
    <w:uiPriority w:val="99"/>
    <w:rsid w:val="00080059"/>
    <w:pPr>
      <w:widowControl w:val="0"/>
      <w:autoSpaceDE w:val="0"/>
      <w:autoSpaceDN w:val="0"/>
      <w:adjustRightInd w:val="0"/>
      <w:spacing w:after="120" w:line="480" w:lineRule="auto"/>
      <w:ind w:left="360"/>
    </w:pPr>
    <w:rPr>
      <w:rFonts w:ascii="Courier New" w:hAnsi="Courier New" w:cs="Courier New"/>
      <w:sz w:val="20"/>
      <w:szCs w:val="20"/>
    </w:rPr>
  </w:style>
  <w:style w:type="character" w:customStyle="1" w:styleId="BodyTextIndent2Char">
    <w:name w:val="Body Text Indent 2 Char"/>
    <w:link w:val="BodyTextIndent2"/>
    <w:uiPriority w:val="99"/>
    <w:locked/>
    <w:rsid w:val="00080059"/>
    <w:rPr>
      <w:rFonts w:ascii="Courier New" w:hAnsi="Courier New" w:cs="Courier New"/>
    </w:rPr>
  </w:style>
  <w:style w:type="paragraph" w:styleId="BodyTextIndent3">
    <w:name w:val="Body Text Indent 3"/>
    <w:basedOn w:val="Normal"/>
    <w:link w:val="BodyTextIndent3Char"/>
    <w:uiPriority w:val="99"/>
    <w:rsid w:val="00080059"/>
    <w:pPr>
      <w:spacing w:after="120"/>
      <w:ind w:left="360"/>
    </w:pPr>
    <w:rPr>
      <w:sz w:val="16"/>
      <w:szCs w:val="16"/>
    </w:rPr>
  </w:style>
  <w:style w:type="character" w:customStyle="1" w:styleId="BodyTextIndent3Char">
    <w:name w:val="Body Text Indent 3 Char"/>
    <w:link w:val="BodyTextIndent3"/>
    <w:uiPriority w:val="99"/>
    <w:locked/>
    <w:rsid w:val="00080059"/>
    <w:rPr>
      <w:rFonts w:eastAsia="Times New Roman"/>
      <w:sz w:val="16"/>
      <w:szCs w:val="16"/>
    </w:rPr>
  </w:style>
  <w:style w:type="character" w:styleId="Hyperlink">
    <w:name w:val="Hyperlink"/>
    <w:uiPriority w:val="99"/>
    <w:rsid w:val="00080059"/>
    <w:rPr>
      <w:color w:val="0000FF"/>
      <w:u w:val="single"/>
    </w:rPr>
  </w:style>
  <w:style w:type="character" w:styleId="Strong">
    <w:name w:val="Strong"/>
    <w:uiPriority w:val="99"/>
    <w:qFormat/>
    <w:rsid w:val="00080059"/>
    <w:rPr>
      <w:b/>
      <w:bCs/>
    </w:rPr>
  </w:style>
  <w:style w:type="paragraph" w:styleId="NormalWeb">
    <w:name w:val="Normal (Web)"/>
    <w:basedOn w:val="Normal"/>
    <w:uiPriority w:val="99"/>
    <w:rsid w:val="00080059"/>
    <w:pPr>
      <w:spacing w:before="100" w:beforeAutospacing="1" w:after="100" w:afterAutospacing="1"/>
    </w:pPr>
  </w:style>
  <w:style w:type="paragraph" w:styleId="HTMLPreformatted">
    <w:name w:val="HTML Preformatted"/>
    <w:basedOn w:val="Normal"/>
    <w:link w:val="HTMLPreformattedChar"/>
    <w:uiPriority w:val="99"/>
    <w:rsid w:val="0008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080059"/>
    <w:rPr>
      <w:rFonts w:ascii="Courier New" w:hAnsi="Courier New" w:cs="Courier New"/>
    </w:rPr>
  </w:style>
  <w:style w:type="paragraph" w:styleId="CommentSubject">
    <w:name w:val="annotation subject"/>
    <w:basedOn w:val="CommentText"/>
    <w:next w:val="CommentText"/>
    <w:link w:val="CommentSubjectChar"/>
    <w:uiPriority w:val="99"/>
    <w:semiHidden/>
    <w:rsid w:val="00080059"/>
  </w:style>
  <w:style w:type="character" w:customStyle="1" w:styleId="CommentSubjectChar">
    <w:name w:val="Comment Subject Char"/>
    <w:link w:val="CommentSubject"/>
    <w:uiPriority w:val="99"/>
    <w:semiHidden/>
    <w:locked/>
    <w:rsid w:val="00080059"/>
    <w:rPr>
      <w:rFonts w:eastAsia="Times New Roman"/>
      <w:sz w:val="24"/>
      <w:szCs w:val="24"/>
    </w:rPr>
  </w:style>
  <w:style w:type="table" w:styleId="TableGrid">
    <w:name w:val="Table Grid"/>
    <w:basedOn w:val="TableNormal"/>
    <w:uiPriority w:val="99"/>
    <w:rsid w:val="000800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Address">
    <w:name w:val="Inside Address"/>
    <w:basedOn w:val="Normal"/>
    <w:uiPriority w:val="99"/>
    <w:rsid w:val="00080059"/>
    <w:rPr>
      <w:rFonts w:ascii="Times" w:eastAsia="Calibri" w:hAnsi="Times" w:cs="Times"/>
    </w:rPr>
  </w:style>
  <w:style w:type="paragraph" w:styleId="ListParagraph">
    <w:name w:val="List Paragraph"/>
    <w:basedOn w:val="Normal"/>
    <w:uiPriority w:val="99"/>
    <w:qFormat/>
    <w:rsid w:val="00080059"/>
    <w:pPr>
      <w:ind w:left="720"/>
    </w:pPr>
  </w:style>
  <w:style w:type="paragraph" w:customStyle="1" w:styleId="listparagraph0">
    <w:name w:val="listparagraph"/>
    <w:basedOn w:val="Normal"/>
    <w:uiPriority w:val="99"/>
    <w:rsid w:val="00AC0F42"/>
    <w:pPr>
      <w:spacing w:before="100" w:beforeAutospacing="1" w:after="100" w:afterAutospacing="1"/>
    </w:pPr>
    <w:rPr>
      <w:rFonts w:eastAsia="Calibri"/>
    </w:rPr>
  </w:style>
  <w:style w:type="paragraph" w:styleId="Date">
    <w:name w:val="Date"/>
    <w:basedOn w:val="Normal"/>
    <w:next w:val="Normal"/>
    <w:link w:val="DateChar"/>
    <w:uiPriority w:val="99"/>
    <w:unhideWhenUsed/>
    <w:locked/>
    <w:rsid w:val="00EB02D1"/>
  </w:style>
  <w:style w:type="character" w:customStyle="1" w:styleId="DateChar">
    <w:name w:val="Date Char"/>
    <w:link w:val="Date"/>
    <w:uiPriority w:val="99"/>
    <w:rsid w:val="00EB02D1"/>
    <w:rPr>
      <w:rFonts w:eastAsia="Times New Roman"/>
      <w:sz w:val="24"/>
      <w:szCs w:val="24"/>
    </w:rPr>
  </w:style>
  <w:style w:type="paragraph" w:styleId="TOC3">
    <w:name w:val="toc 3"/>
    <w:basedOn w:val="Normal"/>
    <w:next w:val="Normal"/>
    <w:autoRedefine/>
    <w:uiPriority w:val="39"/>
    <w:unhideWhenUsed/>
    <w:qFormat/>
    <w:locked/>
    <w:rsid w:val="008E3445"/>
    <w:pPr>
      <w:tabs>
        <w:tab w:val="left" w:pos="720"/>
        <w:tab w:val="decimal" w:leader="dot" w:pos="8640"/>
      </w:tabs>
      <w:spacing w:after="240"/>
      <w:ind w:left="2160" w:hanging="720"/>
    </w:pPr>
  </w:style>
  <w:style w:type="paragraph" w:styleId="Caption">
    <w:name w:val="caption"/>
    <w:basedOn w:val="Normal"/>
    <w:next w:val="Normal"/>
    <w:uiPriority w:val="35"/>
    <w:unhideWhenUsed/>
    <w:qFormat/>
    <w:locked/>
    <w:rsid w:val="00D14EB4"/>
    <w:pPr>
      <w:spacing w:after="200"/>
    </w:pPr>
    <w:rPr>
      <w:rFonts w:ascii="Calibri" w:eastAsia="Calibri" w:hAnsi="Calibri"/>
      <w:b/>
      <w:bCs/>
      <w:color w:val="4F81BD"/>
      <w:sz w:val="18"/>
      <w:szCs w:val="18"/>
    </w:rPr>
  </w:style>
  <w:style w:type="paragraph" w:styleId="Revision">
    <w:name w:val="Revision"/>
    <w:hidden/>
    <w:uiPriority w:val="99"/>
    <w:semiHidden/>
    <w:rsid w:val="001A23AF"/>
    <w:rPr>
      <w:rFonts w:eastAsia="Times New Roman"/>
      <w:sz w:val="24"/>
      <w:szCs w:val="24"/>
    </w:rPr>
  </w:style>
  <w:style w:type="character" w:styleId="Emphasis">
    <w:name w:val="Emphasis"/>
    <w:uiPriority w:val="20"/>
    <w:qFormat/>
    <w:locked/>
    <w:rsid w:val="00A405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767">
      <w:marLeft w:val="60"/>
      <w:marRight w:val="60"/>
      <w:marTop w:val="60"/>
      <w:marBottom w:val="15"/>
      <w:divBdr>
        <w:top w:val="none" w:sz="0" w:space="0" w:color="auto"/>
        <w:left w:val="none" w:sz="0" w:space="0" w:color="auto"/>
        <w:bottom w:val="none" w:sz="0" w:space="0" w:color="auto"/>
        <w:right w:val="none" w:sz="0" w:space="0" w:color="auto"/>
      </w:divBdr>
      <w:divsChild>
        <w:div w:id="228810766">
          <w:marLeft w:val="0"/>
          <w:marRight w:val="0"/>
          <w:marTop w:val="0"/>
          <w:marBottom w:val="0"/>
          <w:divBdr>
            <w:top w:val="none" w:sz="0" w:space="0" w:color="auto"/>
            <w:left w:val="none" w:sz="0" w:space="0" w:color="auto"/>
            <w:bottom w:val="none" w:sz="0" w:space="0" w:color="auto"/>
            <w:right w:val="none" w:sz="0" w:space="0" w:color="auto"/>
          </w:divBdr>
        </w:div>
      </w:divsChild>
    </w:div>
    <w:div w:id="431241101">
      <w:bodyDiv w:val="1"/>
      <w:marLeft w:val="0"/>
      <w:marRight w:val="0"/>
      <w:marTop w:val="0"/>
      <w:marBottom w:val="0"/>
      <w:divBdr>
        <w:top w:val="none" w:sz="0" w:space="0" w:color="auto"/>
        <w:left w:val="none" w:sz="0" w:space="0" w:color="auto"/>
        <w:bottom w:val="none" w:sz="0" w:space="0" w:color="auto"/>
        <w:right w:val="none" w:sz="0" w:space="0" w:color="auto"/>
      </w:divBdr>
    </w:div>
    <w:div w:id="742996497">
      <w:bodyDiv w:val="1"/>
      <w:marLeft w:val="60"/>
      <w:marRight w:val="60"/>
      <w:marTop w:val="60"/>
      <w:marBottom w:val="15"/>
      <w:divBdr>
        <w:top w:val="none" w:sz="0" w:space="0" w:color="auto"/>
        <w:left w:val="none" w:sz="0" w:space="0" w:color="auto"/>
        <w:bottom w:val="none" w:sz="0" w:space="0" w:color="auto"/>
        <w:right w:val="none" w:sz="0" w:space="0" w:color="auto"/>
      </w:divBdr>
      <w:divsChild>
        <w:div w:id="886718792">
          <w:marLeft w:val="0"/>
          <w:marRight w:val="0"/>
          <w:marTop w:val="0"/>
          <w:marBottom w:val="0"/>
          <w:divBdr>
            <w:top w:val="none" w:sz="0" w:space="0" w:color="auto"/>
            <w:left w:val="none" w:sz="0" w:space="0" w:color="auto"/>
            <w:bottom w:val="none" w:sz="0" w:space="0" w:color="auto"/>
            <w:right w:val="none" w:sz="0" w:space="0" w:color="auto"/>
          </w:divBdr>
        </w:div>
        <w:div w:id="2104034222">
          <w:marLeft w:val="0"/>
          <w:marRight w:val="0"/>
          <w:marTop w:val="0"/>
          <w:marBottom w:val="0"/>
          <w:divBdr>
            <w:top w:val="none" w:sz="0" w:space="0" w:color="auto"/>
            <w:left w:val="none" w:sz="0" w:space="0" w:color="auto"/>
            <w:bottom w:val="none" w:sz="0" w:space="0" w:color="auto"/>
            <w:right w:val="none" w:sz="0" w:space="0" w:color="auto"/>
          </w:divBdr>
        </w:div>
      </w:divsChild>
    </w:div>
    <w:div w:id="972757382">
      <w:bodyDiv w:val="1"/>
      <w:marLeft w:val="60"/>
      <w:marRight w:val="60"/>
      <w:marTop w:val="60"/>
      <w:marBottom w:val="15"/>
      <w:divBdr>
        <w:top w:val="none" w:sz="0" w:space="0" w:color="auto"/>
        <w:left w:val="none" w:sz="0" w:space="0" w:color="auto"/>
        <w:bottom w:val="none" w:sz="0" w:space="0" w:color="auto"/>
        <w:right w:val="none" w:sz="0" w:space="0" w:color="auto"/>
      </w:divBdr>
      <w:divsChild>
        <w:div w:id="1688368431">
          <w:marLeft w:val="0"/>
          <w:marRight w:val="0"/>
          <w:marTop w:val="0"/>
          <w:marBottom w:val="0"/>
          <w:divBdr>
            <w:top w:val="none" w:sz="0" w:space="0" w:color="auto"/>
            <w:left w:val="none" w:sz="0" w:space="0" w:color="auto"/>
            <w:bottom w:val="none" w:sz="0" w:space="0" w:color="auto"/>
            <w:right w:val="none" w:sz="0" w:space="0" w:color="auto"/>
          </w:divBdr>
        </w:div>
        <w:div w:id="972323149">
          <w:marLeft w:val="0"/>
          <w:marRight w:val="0"/>
          <w:marTop w:val="0"/>
          <w:marBottom w:val="0"/>
          <w:divBdr>
            <w:top w:val="none" w:sz="0" w:space="0" w:color="auto"/>
            <w:left w:val="none" w:sz="0" w:space="0" w:color="auto"/>
            <w:bottom w:val="none" w:sz="0" w:space="0" w:color="auto"/>
            <w:right w:val="none" w:sz="0" w:space="0" w:color="auto"/>
          </w:divBdr>
        </w:div>
      </w:divsChild>
    </w:div>
    <w:div w:id="1066415857">
      <w:bodyDiv w:val="1"/>
      <w:marLeft w:val="60"/>
      <w:marRight w:val="60"/>
      <w:marTop w:val="60"/>
      <w:marBottom w:val="15"/>
      <w:divBdr>
        <w:top w:val="none" w:sz="0" w:space="0" w:color="auto"/>
        <w:left w:val="none" w:sz="0" w:space="0" w:color="auto"/>
        <w:bottom w:val="none" w:sz="0" w:space="0" w:color="auto"/>
        <w:right w:val="none" w:sz="0" w:space="0" w:color="auto"/>
      </w:divBdr>
      <w:divsChild>
        <w:div w:id="629019801">
          <w:marLeft w:val="0"/>
          <w:marRight w:val="0"/>
          <w:marTop w:val="0"/>
          <w:marBottom w:val="0"/>
          <w:divBdr>
            <w:top w:val="none" w:sz="0" w:space="0" w:color="auto"/>
            <w:left w:val="none" w:sz="0" w:space="0" w:color="auto"/>
            <w:bottom w:val="none" w:sz="0" w:space="0" w:color="auto"/>
            <w:right w:val="none" w:sz="0" w:space="0" w:color="auto"/>
          </w:divBdr>
        </w:div>
        <w:div w:id="1288390963">
          <w:marLeft w:val="0"/>
          <w:marRight w:val="0"/>
          <w:marTop w:val="0"/>
          <w:marBottom w:val="0"/>
          <w:divBdr>
            <w:top w:val="none" w:sz="0" w:space="0" w:color="auto"/>
            <w:left w:val="none" w:sz="0" w:space="0" w:color="auto"/>
            <w:bottom w:val="none" w:sz="0" w:space="0" w:color="auto"/>
            <w:right w:val="none" w:sz="0" w:space="0" w:color="auto"/>
          </w:divBdr>
        </w:div>
      </w:divsChild>
    </w:div>
    <w:div w:id="1344477367">
      <w:bodyDiv w:val="1"/>
      <w:marLeft w:val="60"/>
      <w:marRight w:val="60"/>
      <w:marTop w:val="60"/>
      <w:marBottom w:val="15"/>
      <w:divBdr>
        <w:top w:val="none" w:sz="0" w:space="0" w:color="auto"/>
        <w:left w:val="none" w:sz="0" w:space="0" w:color="auto"/>
        <w:bottom w:val="none" w:sz="0" w:space="0" w:color="auto"/>
        <w:right w:val="none" w:sz="0" w:space="0" w:color="auto"/>
      </w:divBdr>
      <w:divsChild>
        <w:div w:id="1402755314">
          <w:marLeft w:val="0"/>
          <w:marRight w:val="0"/>
          <w:marTop w:val="0"/>
          <w:marBottom w:val="0"/>
          <w:divBdr>
            <w:top w:val="none" w:sz="0" w:space="0" w:color="auto"/>
            <w:left w:val="none" w:sz="0" w:space="0" w:color="auto"/>
            <w:bottom w:val="none" w:sz="0" w:space="0" w:color="auto"/>
            <w:right w:val="none" w:sz="0" w:space="0" w:color="auto"/>
          </w:divBdr>
        </w:div>
        <w:div w:id="1770807481">
          <w:marLeft w:val="0"/>
          <w:marRight w:val="0"/>
          <w:marTop w:val="0"/>
          <w:marBottom w:val="0"/>
          <w:divBdr>
            <w:top w:val="none" w:sz="0" w:space="0" w:color="auto"/>
            <w:left w:val="none" w:sz="0" w:space="0" w:color="auto"/>
            <w:bottom w:val="none" w:sz="0" w:space="0" w:color="auto"/>
            <w:right w:val="none" w:sz="0" w:space="0" w:color="auto"/>
          </w:divBdr>
        </w:div>
      </w:divsChild>
    </w:div>
    <w:div w:id="1894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William.wright@puc.state.oh.us" TargetMode="External"/><Relationship Id="rId39" Type="http://schemas.openxmlformats.org/officeDocument/2006/relationships/hyperlink" Target="mailto:mwalters@proseniors.org" TargetMode="External"/><Relationship Id="rId21" Type="http://schemas.openxmlformats.org/officeDocument/2006/relationships/header" Target="header6.xml"/><Relationship Id="rId34" Type="http://schemas.openxmlformats.org/officeDocument/2006/relationships/hyperlink" Target="mailto:meissnerjoseph@yahoo.com" TargetMode="External"/><Relationship Id="rId42" Type="http://schemas.openxmlformats.org/officeDocument/2006/relationships/hyperlink" Target="mailto:dboehm@BKLlawfirm.com" TargetMode="External"/><Relationship Id="rId47" Type="http://schemas.openxmlformats.org/officeDocument/2006/relationships/hyperlink" Target="mailto:toddm@wamenergylaw.com" TargetMode="External"/><Relationship Id="rId50" Type="http://schemas.openxmlformats.org/officeDocument/2006/relationships/hyperlink" Target="mailto:cathy@theoec.org" TargetMode="External"/><Relationship Id="rId55" Type="http://schemas.openxmlformats.org/officeDocument/2006/relationships/hyperlink" Target="mailto:burkj@firstenergycorp.com" TargetMode="External"/><Relationship Id="rId63" Type="http://schemas.openxmlformats.org/officeDocument/2006/relationships/hyperlink" Target="mailto:plee@oslsa.org" TargetMode="External"/><Relationship Id="rId68" Type="http://schemas.openxmlformats.org/officeDocument/2006/relationships/hyperlink" Target="mailto:storguson@columbuslegalaid.org" TargetMode="External"/><Relationship Id="rId76" Type="http://schemas.openxmlformats.org/officeDocument/2006/relationships/hyperlink" Target="mailto:lsacher@calfee.com" TargetMode="External"/><Relationship Id="rId84" Type="http://schemas.openxmlformats.org/officeDocument/2006/relationships/hyperlink" Target="mailto:markbrooks@uwua.net"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haydenm@firstenergycorp.com"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fdarr@mwncmh.com" TargetMode="External"/><Relationship Id="rId11" Type="http://schemas.openxmlformats.org/officeDocument/2006/relationships/header" Target="header1.xml"/><Relationship Id="rId24" Type="http://schemas.openxmlformats.org/officeDocument/2006/relationships/hyperlink" Target="mailto:berger@occ.state.oh.us" TargetMode="External"/><Relationship Id="rId32" Type="http://schemas.openxmlformats.org/officeDocument/2006/relationships/hyperlink" Target="mailto:mhpetricoff@vorys.com" TargetMode="External"/><Relationship Id="rId37" Type="http://schemas.openxmlformats.org/officeDocument/2006/relationships/hyperlink" Target="mailto:ejacobs@ablelaw.org" TargetMode="External"/><Relationship Id="rId40" Type="http://schemas.openxmlformats.org/officeDocument/2006/relationships/hyperlink" Target="mailto:cgoodman@energymarketers.com" TargetMode="External"/><Relationship Id="rId45" Type="http://schemas.openxmlformats.org/officeDocument/2006/relationships/hyperlink" Target="mailto:Rocco.DAscenzo@duke-energy.com" TargetMode="External"/><Relationship Id="rId53" Type="http://schemas.openxmlformats.org/officeDocument/2006/relationships/hyperlink" Target="mailto:cdunn@firstenergycorp.com" TargetMode="External"/><Relationship Id="rId58" Type="http://schemas.openxmlformats.org/officeDocument/2006/relationships/hyperlink" Target="mailto:Amy.Spiller@duke-energy.com" TargetMode="External"/><Relationship Id="rId66" Type="http://schemas.openxmlformats.org/officeDocument/2006/relationships/hyperlink" Target="mailto:julie.robie@lasclev.org" TargetMode="External"/><Relationship Id="rId74" Type="http://schemas.openxmlformats.org/officeDocument/2006/relationships/hyperlink" Target="mailto:talexander@calfee.com" TargetMode="External"/><Relationship Id="rId79" Type="http://schemas.openxmlformats.org/officeDocument/2006/relationships/hyperlink" Target="mailto:BarthRoyer@aol.com" TargetMode="External"/><Relationship Id="rId87"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mailto:tsiwo@bricker.com" TargetMode="External"/><Relationship Id="rId82" Type="http://schemas.openxmlformats.org/officeDocument/2006/relationships/hyperlink" Target="mailto:gkrassen@bricker.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erio@occ.state.oh.us" TargetMode="External"/><Relationship Id="rId14" Type="http://schemas.openxmlformats.org/officeDocument/2006/relationships/footer" Target="footer2.xml"/><Relationship Id="rId22" Type="http://schemas.openxmlformats.org/officeDocument/2006/relationships/hyperlink" Target="mailto:grady@occ.state.oh.us" TargetMode="External"/><Relationship Id="rId27" Type="http://schemas.openxmlformats.org/officeDocument/2006/relationships/hyperlink" Target="mailto:Elizabeth.stevens@puc.state.oh.us" TargetMode="External"/><Relationship Id="rId30" Type="http://schemas.openxmlformats.org/officeDocument/2006/relationships/hyperlink" Target="mailto:joliker@mwncmh.com" TargetMode="External"/><Relationship Id="rId35" Type="http://schemas.openxmlformats.org/officeDocument/2006/relationships/hyperlink" Target="mailto:msmalz@ohiopovertylaw.org" TargetMode="External"/><Relationship Id="rId43" Type="http://schemas.openxmlformats.org/officeDocument/2006/relationships/hyperlink" Target="mailto:mkurtz@BKLlawfirm.com" TargetMode="External"/><Relationship Id="rId48" Type="http://schemas.openxmlformats.org/officeDocument/2006/relationships/hyperlink" Target="mailto:callwein@wamenergylaw.com" TargetMode="External"/><Relationship Id="rId56" Type="http://schemas.openxmlformats.org/officeDocument/2006/relationships/hyperlink" Target="mailto:stnourse@aep.com" TargetMode="External"/><Relationship Id="rId64" Type="http://schemas.openxmlformats.org/officeDocument/2006/relationships/hyperlink" Target="mailto:rjohns@oslsa.org" TargetMode="External"/><Relationship Id="rId69" Type="http://schemas.openxmlformats.org/officeDocument/2006/relationships/hyperlink" Target="mailto:cmooney@ohiopartners.org" TargetMode="External"/><Relationship Id="rId77" Type="http://schemas.openxmlformats.org/officeDocument/2006/relationships/hyperlink" Target="mailto:gpoulos@enernoc.com" TargetMode="External"/><Relationship Id="rId8" Type="http://schemas.openxmlformats.org/officeDocument/2006/relationships/hyperlink" Target="mailto:grady@occ.state.oh.us" TargetMode="External"/><Relationship Id="rId51" Type="http://schemas.openxmlformats.org/officeDocument/2006/relationships/hyperlink" Target="mailto:toddm@wamenergylaw.com" TargetMode="External"/><Relationship Id="rId72" Type="http://schemas.openxmlformats.org/officeDocument/2006/relationships/hyperlink" Target="mailto:jlang@calfee.com" TargetMode="External"/><Relationship Id="rId80" Type="http://schemas.openxmlformats.org/officeDocument/2006/relationships/hyperlink" Target="mailto:Gary.A.Jeffries@dom.com" TargetMode="External"/><Relationship Id="rId85" Type="http://schemas.openxmlformats.org/officeDocument/2006/relationships/header" Target="header7.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mailto:schuler@occ.state.oh.us" TargetMode="External"/><Relationship Id="rId25" Type="http://schemas.openxmlformats.org/officeDocument/2006/relationships/hyperlink" Target="mailto:schuler@occ.state.oh.us" TargetMode="External"/><Relationship Id="rId33" Type="http://schemas.openxmlformats.org/officeDocument/2006/relationships/hyperlink" Target="mailto:smhoward@vorys.com" TargetMode="External"/><Relationship Id="rId38" Type="http://schemas.openxmlformats.org/officeDocument/2006/relationships/hyperlink" Target="mailto:nmorgan@lascinti.org" TargetMode="External"/><Relationship Id="rId46" Type="http://schemas.openxmlformats.org/officeDocument/2006/relationships/hyperlink" Target="mailto:Elizabeth.Watts@duke-energy.com" TargetMode="External"/><Relationship Id="rId59" Type="http://schemas.openxmlformats.org/officeDocument/2006/relationships/hyperlink" Target="mailto:gkrassen@bricker.com" TargetMode="External"/><Relationship Id="rId67" Type="http://schemas.openxmlformats.org/officeDocument/2006/relationships/hyperlink" Target="mailto:anne.reese@lasclev.org" TargetMode="External"/><Relationship Id="rId20" Type="http://schemas.openxmlformats.org/officeDocument/2006/relationships/footer" Target="footer4.xml"/><Relationship Id="rId41" Type="http://schemas.openxmlformats.org/officeDocument/2006/relationships/hyperlink" Target="mailto:srantala@energymarketers.com" TargetMode="External"/><Relationship Id="rId54" Type="http://schemas.openxmlformats.org/officeDocument/2006/relationships/hyperlink" Target="mailto:wsundermeyer@aarp.org" TargetMode="External"/><Relationship Id="rId62" Type="http://schemas.openxmlformats.org/officeDocument/2006/relationships/hyperlink" Target="mailto:marmstrong@bricker.com" TargetMode="External"/><Relationship Id="rId70" Type="http://schemas.openxmlformats.org/officeDocument/2006/relationships/hyperlink" Target="mailto:jkooper@hess.com" TargetMode="External"/><Relationship Id="rId75" Type="http://schemas.openxmlformats.org/officeDocument/2006/relationships/hyperlink" Target="mailto:coneil@calfee.com" TargetMode="External"/><Relationship Id="rId83" Type="http://schemas.openxmlformats.org/officeDocument/2006/relationships/hyperlink" Target="mailto:carlwood@uwua.ne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serio@occ.state.oh.us" TargetMode="External"/><Relationship Id="rId28" Type="http://schemas.openxmlformats.org/officeDocument/2006/relationships/hyperlink" Target="mailto:sam@mwncmh.com" TargetMode="External"/><Relationship Id="rId36" Type="http://schemas.openxmlformats.org/officeDocument/2006/relationships/hyperlink" Target="mailto:jmaskovyak@ohiopovertylaw.org" TargetMode="External"/><Relationship Id="rId49" Type="http://schemas.openxmlformats.org/officeDocument/2006/relationships/hyperlink" Target="mailto:trent@theoec.org" TargetMode="External"/><Relationship Id="rId57" Type="http://schemas.openxmlformats.org/officeDocument/2006/relationships/hyperlink" Target="mailto:Judi.sobecki@dplinc.com" TargetMode="External"/><Relationship Id="rId10" Type="http://schemas.openxmlformats.org/officeDocument/2006/relationships/hyperlink" Target="mailto:berger@occ.state.oh.us" TargetMode="External"/><Relationship Id="rId31" Type="http://schemas.openxmlformats.org/officeDocument/2006/relationships/hyperlink" Target="mailto:mpritchard@mwncmh.com" TargetMode="External"/><Relationship Id="rId44" Type="http://schemas.openxmlformats.org/officeDocument/2006/relationships/hyperlink" Target="mailto:jkylercohn@BKLlawfirm.com" TargetMode="External"/><Relationship Id="rId52" Type="http://schemas.openxmlformats.org/officeDocument/2006/relationships/hyperlink" Target="mailto:burkj@firstenergycorp.com" TargetMode="External"/><Relationship Id="rId60" Type="http://schemas.openxmlformats.org/officeDocument/2006/relationships/hyperlink" Target="mailto:mwarnock@bricker.com" TargetMode="External"/><Relationship Id="rId65" Type="http://schemas.openxmlformats.org/officeDocument/2006/relationships/hyperlink" Target="mailto:gbenjamin@communitylegalaid.org" TargetMode="External"/><Relationship Id="rId73" Type="http://schemas.openxmlformats.org/officeDocument/2006/relationships/hyperlink" Target="mailto:lmcbride@calfee.com" TargetMode="External"/><Relationship Id="rId78" Type="http://schemas.openxmlformats.org/officeDocument/2006/relationships/hyperlink" Target="mailto:NMcDaniel@elpc.org" TargetMode="External"/><Relationship Id="rId81" Type="http://schemas.openxmlformats.org/officeDocument/2006/relationships/hyperlink" Target="mailto:mkl@bbrslaw.com" TargetMode="External"/><Relationship Id="rId86"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3266</Words>
  <Characters>19399</Characters>
  <Application>Microsoft Office Word</Application>
  <DocSecurity>0</DocSecurity>
  <Lines>441</Lines>
  <Paragraphs>174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2013-01-18T21:10:00Z</cp:lastPrinted>
  <dcterms:created xsi:type="dcterms:W3CDTF">2013-07-22T18:33:00Z</dcterms:created>
  <dcterms:modified xsi:type="dcterms:W3CDTF">2013-07-22T18:33:00Z</dcterms:modified>
  <cp:category> </cp:category>
  <cp:contentStatus> </cp:contentStatus>
</cp:coreProperties>
</file>