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13" w:rsidRPr="00A8612B" w:rsidRDefault="00B51413" w:rsidP="0068623F">
      <w:pPr>
        <w:autoSpaceDE w:val="0"/>
        <w:autoSpaceDN w:val="0"/>
        <w:adjustRightInd w:val="0"/>
        <w:spacing w:after="0" w:line="240" w:lineRule="auto"/>
        <w:jc w:val="center"/>
        <w:rPr>
          <w:rFonts w:cs="Times New Roman"/>
          <w:b/>
          <w:bCs/>
          <w:szCs w:val="24"/>
        </w:rPr>
      </w:pPr>
      <w:r w:rsidRPr="00A8612B">
        <w:rPr>
          <w:rFonts w:cs="Times New Roman"/>
          <w:b/>
          <w:bCs/>
          <w:szCs w:val="24"/>
        </w:rPr>
        <w:t>BEFORE</w:t>
      </w:r>
    </w:p>
    <w:p w:rsidR="005E25BB" w:rsidRPr="00A8612B" w:rsidRDefault="00B51413" w:rsidP="0068623F">
      <w:pPr>
        <w:autoSpaceDE w:val="0"/>
        <w:autoSpaceDN w:val="0"/>
        <w:adjustRightInd w:val="0"/>
        <w:spacing w:after="0" w:line="240" w:lineRule="auto"/>
        <w:jc w:val="center"/>
        <w:rPr>
          <w:rFonts w:cs="Times New Roman"/>
          <w:b/>
          <w:bCs/>
          <w:szCs w:val="24"/>
        </w:rPr>
      </w:pPr>
      <w:r w:rsidRPr="00A8612B">
        <w:rPr>
          <w:rFonts w:cs="Times New Roman"/>
          <w:b/>
          <w:bCs/>
          <w:szCs w:val="24"/>
        </w:rPr>
        <w:t>THE PUBLIC UTILITIES COMMISSION OF OHIO</w:t>
      </w:r>
    </w:p>
    <w:p w:rsidR="00E36C0F" w:rsidRPr="00A8612B" w:rsidRDefault="00E36C0F" w:rsidP="00C5462B">
      <w:pPr>
        <w:autoSpaceDE w:val="0"/>
        <w:autoSpaceDN w:val="0"/>
        <w:adjustRightInd w:val="0"/>
        <w:spacing w:after="0" w:line="240" w:lineRule="auto"/>
        <w:rPr>
          <w:rFonts w:cs="Times New Roman"/>
          <w:szCs w:val="24"/>
        </w:rPr>
      </w:pPr>
    </w:p>
    <w:p w:rsidR="00E36C0F" w:rsidRPr="00A8612B" w:rsidRDefault="00E36C0F" w:rsidP="00C5462B">
      <w:pPr>
        <w:autoSpaceDE w:val="0"/>
        <w:autoSpaceDN w:val="0"/>
        <w:adjustRightInd w:val="0"/>
        <w:spacing w:after="0" w:line="240" w:lineRule="auto"/>
        <w:rPr>
          <w:rFonts w:cs="Times New Roman"/>
          <w:szCs w:val="24"/>
        </w:rPr>
      </w:pPr>
    </w:p>
    <w:tbl>
      <w:tblPr>
        <w:tblStyle w:val="TableGrid"/>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5"/>
        <w:gridCol w:w="4601"/>
      </w:tblGrid>
      <w:tr w:rsidR="00B51413" w:rsidRPr="00A8612B" w:rsidTr="00022BAB">
        <w:trPr>
          <w:trHeight w:val="1252"/>
        </w:trPr>
        <w:tc>
          <w:tcPr>
            <w:tcW w:w="4968" w:type="dxa"/>
          </w:tcPr>
          <w:p w:rsidR="00E22CFE" w:rsidRPr="00A8612B" w:rsidRDefault="0091738E" w:rsidP="00C5462B">
            <w:pPr>
              <w:autoSpaceDE w:val="0"/>
              <w:autoSpaceDN w:val="0"/>
              <w:adjustRightInd w:val="0"/>
              <w:rPr>
                <w:rFonts w:cs="Times New Roman"/>
                <w:sz w:val="24"/>
                <w:szCs w:val="24"/>
              </w:rPr>
            </w:pPr>
            <w:r w:rsidRPr="00A8612B">
              <w:rPr>
                <w:rFonts w:cs="Times New Roman"/>
                <w:sz w:val="24"/>
                <w:szCs w:val="24"/>
              </w:rPr>
              <w:t xml:space="preserve">In the Matter of the Complaint of </w:t>
            </w:r>
            <w:r w:rsidR="00022BAB" w:rsidRPr="00022BAB">
              <w:rPr>
                <w:rFonts w:cs="Times New Roman"/>
                <w:sz w:val="24"/>
                <w:szCs w:val="24"/>
              </w:rPr>
              <w:t xml:space="preserve">Jeffrey </w:t>
            </w:r>
            <w:proofErr w:type="spellStart"/>
            <w:r w:rsidR="00022BAB" w:rsidRPr="00022BAB">
              <w:rPr>
                <w:rFonts w:cs="Times New Roman"/>
                <w:sz w:val="24"/>
                <w:szCs w:val="24"/>
              </w:rPr>
              <w:t>Pitzer</w:t>
            </w:r>
            <w:proofErr w:type="spellEnd"/>
            <w:r w:rsidR="00E22CFE" w:rsidRPr="00A8612B">
              <w:rPr>
                <w:rFonts w:cs="Times New Roman"/>
                <w:sz w:val="24"/>
                <w:szCs w:val="24"/>
              </w:rPr>
              <w:t>,</w:t>
            </w:r>
          </w:p>
          <w:p w:rsidR="00E22CFE" w:rsidRPr="00A8612B" w:rsidRDefault="00E22CFE" w:rsidP="00C5462B">
            <w:pPr>
              <w:autoSpaceDE w:val="0"/>
              <w:autoSpaceDN w:val="0"/>
              <w:adjustRightInd w:val="0"/>
              <w:rPr>
                <w:rFonts w:cs="Times New Roman"/>
                <w:sz w:val="24"/>
                <w:szCs w:val="24"/>
              </w:rPr>
            </w:pPr>
          </w:p>
          <w:p w:rsidR="00E22CFE" w:rsidRPr="00A8612B" w:rsidRDefault="009433F5" w:rsidP="00C5462B">
            <w:pPr>
              <w:autoSpaceDE w:val="0"/>
              <w:autoSpaceDN w:val="0"/>
              <w:adjustRightInd w:val="0"/>
              <w:ind w:firstLine="720"/>
              <w:rPr>
                <w:rFonts w:cs="Times New Roman"/>
                <w:sz w:val="24"/>
                <w:szCs w:val="24"/>
              </w:rPr>
            </w:pPr>
            <w:r w:rsidRPr="00A8612B">
              <w:rPr>
                <w:rFonts w:cs="Times New Roman"/>
                <w:sz w:val="24"/>
                <w:szCs w:val="24"/>
              </w:rPr>
              <w:t>Complainant</w:t>
            </w:r>
            <w:r w:rsidR="00E22CFE" w:rsidRPr="00A8612B">
              <w:rPr>
                <w:rFonts w:cs="Times New Roman"/>
                <w:sz w:val="24"/>
                <w:szCs w:val="24"/>
              </w:rPr>
              <w:t>,</w:t>
            </w:r>
          </w:p>
          <w:p w:rsidR="00E22CFE" w:rsidRPr="00A8612B" w:rsidRDefault="00E22CFE" w:rsidP="00C5462B">
            <w:pPr>
              <w:autoSpaceDE w:val="0"/>
              <w:autoSpaceDN w:val="0"/>
              <w:adjustRightInd w:val="0"/>
              <w:rPr>
                <w:rFonts w:cs="Times New Roman"/>
                <w:sz w:val="24"/>
                <w:szCs w:val="24"/>
              </w:rPr>
            </w:pPr>
          </w:p>
          <w:p w:rsidR="00E22CFE" w:rsidRPr="00A8612B" w:rsidRDefault="00E22CFE" w:rsidP="00C5462B">
            <w:pPr>
              <w:autoSpaceDE w:val="0"/>
              <w:autoSpaceDN w:val="0"/>
              <w:adjustRightInd w:val="0"/>
              <w:rPr>
                <w:rFonts w:cs="Times New Roman"/>
                <w:sz w:val="24"/>
                <w:szCs w:val="24"/>
              </w:rPr>
            </w:pPr>
            <w:proofErr w:type="gramStart"/>
            <w:r w:rsidRPr="00A8612B">
              <w:rPr>
                <w:rFonts w:cs="Times New Roman"/>
                <w:sz w:val="24"/>
                <w:szCs w:val="24"/>
              </w:rPr>
              <w:t>v</w:t>
            </w:r>
            <w:proofErr w:type="gramEnd"/>
            <w:r w:rsidRPr="00A8612B">
              <w:rPr>
                <w:rFonts w:cs="Times New Roman"/>
                <w:sz w:val="24"/>
                <w:szCs w:val="24"/>
              </w:rPr>
              <w:t>.</w:t>
            </w:r>
          </w:p>
          <w:p w:rsidR="00E22CFE" w:rsidRPr="00A8612B" w:rsidRDefault="00E22CFE" w:rsidP="00C5462B">
            <w:pPr>
              <w:autoSpaceDE w:val="0"/>
              <w:autoSpaceDN w:val="0"/>
              <w:adjustRightInd w:val="0"/>
              <w:rPr>
                <w:rFonts w:cs="Times New Roman"/>
                <w:sz w:val="24"/>
                <w:szCs w:val="24"/>
              </w:rPr>
            </w:pPr>
          </w:p>
          <w:p w:rsidR="00E22CFE" w:rsidRPr="00A8612B" w:rsidRDefault="0091738E" w:rsidP="00C5462B">
            <w:pPr>
              <w:autoSpaceDE w:val="0"/>
              <w:autoSpaceDN w:val="0"/>
              <w:adjustRightInd w:val="0"/>
              <w:rPr>
                <w:rFonts w:cs="Times New Roman"/>
                <w:sz w:val="24"/>
                <w:szCs w:val="24"/>
              </w:rPr>
            </w:pPr>
            <w:r w:rsidRPr="00A8612B">
              <w:rPr>
                <w:rFonts w:cs="Times New Roman"/>
                <w:sz w:val="24"/>
                <w:szCs w:val="24"/>
              </w:rPr>
              <w:t>Duke Energy Ohio, Inc.</w:t>
            </w:r>
            <w:r w:rsidR="00E22CFE" w:rsidRPr="00A8612B">
              <w:rPr>
                <w:rFonts w:cs="Times New Roman"/>
                <w:sz w:val="24"/>
                <w:szCs w:val="24"/>
              </w:rPr>
              <w:t>,</w:t>
            </w:r>
          </w:p>
          <w:p w:rsidR="00E22CFE" w:rsidRPr="00A8612B" w:rsidRDefault="00E22CFE" w:rsidP="00C5462B">
            <w:pPr>
              <w:autoSpaceDE w:val="0"/>
              <w:autoSpaceDN w:val="0"/>
              <w:adjustRightInd w:val="0"/>
              <w:rPr>
                <w:rFonts w:cs="Times New Roman"/>
                <w:sz w:val="24"/>
                <w:szCs w:val="24"/>
              </w:rPr>
            </w:pPr>
          </w:p>
          <w:p w:rsidR="00E36C0F" w:rsidRPr="00A8612B" w:rsidRDefault="00E22CFE" w:rsidP="00C5462B">
            <w:pPr>
              <w:autoSpaceDE w:val="0"/>
              <w:autoSpaceDN w:val="0"/>
              <w:adjustRightInd w:val="0"/>
              <w:ind w:firstLine="720"/>
              <w:rPr>
                <w:rFonts w:cs="Times New Roman"/>
                <w:sz w:val="24"/>
                <w:szCs w:val="24"/>
              </w:rPr>
            </w:pPr>
            <w:r w:rsidRPr="00A8612B">
              <w:rPr>
                <w:rFonts w:cs="Times New Roman"/>
                <w:sz w:val="24"/>
                <w:szCs w:val="24"/>
              </w:rPr>
              <w:t>Respondent.</w:t>
            </w:r>
          </w:p>
        </w:tc>
        <w:tc>
          <w:tcPr>
            <w:tcW w:w="455" w:type="dxa"/>
          </w:tcPr>
          <w:p w:rsidR="009D2070" w:rsidRPr="00A8612B" w:rsidRDefault="00E22CFE" w:rsidP="00C5462B">
            <w:pPr>
              <w:autoSpaceDE w:val="0"/>
              <w:autoSpaceDN w:val="0"/>
              <w:adjustRightInd w:val="0"/>
              <w:rPr>
                <w:rFonts w:cs="Times New Roman"/>
                <w:sz w:val="24"/>
                <w:szCs w:val="24"/>
              </w:rPr>
            </w:pPr>
            <w:r w:rsidRPr="00A8612B">
              <w:rPr>
                <w:rFonts w:cs="Times New Roman"/>
                <w:sz w:val="24"/>
                <w:szCs w:val="24"/>
              </w:rPr>
              <w:t xml:space="preserve">) </w:t>
            </w:r>
            <w:r w:rsidR="00B51413" w:rsidRPr="00A8612B">
              <w:rPr>
                <w:rFonts w:cs="Times New Roman"/>
                <w:sz w:val="24"/>
                <w:szCs w:val="24"/>
              </w:rPr>
              <w:t xml:space="preserve"> ) </w:t>
            </w:r>
          </w:p>
          <w:p w:rsidR="00ED1823" w:rsidRPr="00A8612B" w:rsidRDefault="00ED1823" w:rsidP="00C5462B">
            <w:pPr>
              <w:autoSpaceDE w:val="0"/>
              <w:autoSpaceDN w:val="0"/>
              <w:adjustRightInd w:val="0"/>
              <w:rPr>
                <w:rFonts w:cs="Times New Roman"/>
                <w:sz w:val="24"/>
                <w:szCs w:val="24"/>
              </w:rPr>
            </w:pPr>
            <w:r w:rsidRPr="00A8612B">
              <w:rPr>
                <w:rFonts w:cs="Times New Roman"/>
                <w:sz w:val="24"/>
                <w:szCs w:val="24"/>
              </w:rPr>
              <w:t>)</w:t>
            </w:r>
          </w:p>
          <w:p w:rsidR="00E22CFE" w:rsidRPr="00A8612B" w:rsidRDefault="00E22CFE" w:rsidP="00C5462B">
            <w:pPr>
              <w:autoSpaceDE w:val="0"/>
              <w:autoSpaceDN w:val="0"/>
              <w:adjustRightInd w:val="0"/>
              <w:rPr>
                <w:rFonts w:cs="Times New Roman"/>
                <w:sz w:val="24"/>
                <w:szCs w:val="24"/>
              </w:rPr>
            </w:pPr>
            <w:r w:rsidRPr="00A8612B">
              <w:rPr>
                <w:rFonts w:cs="Times New Roman"/>
                <w:sz w:val="24"/>
                <w:szCs w:val="24"/>
              </w:rPr>
              <w:t>)</w:t>
            </w:r>
          </w:p>
          <w:p w:rsidR="00E22CFE" w:rsidRPr="00A8612B" w:rsidRDefault="00E22CFE" w:rsidP="00C5462B">
            <w:pPr>
              <w:autoSpaceDE w:val="0"/>
              <w:autoSpaceDN w:val="0"/>
              <w:adjustRightInd w:val="0"/>
              <w:rPr>
                <w:rFonts w:cs="Times New Roman"/>
                <w:sz w:val="24"/>
                <w:szCs w:val="24"/>
              </w:rPr>
            </w:pPr>
            <w:r w:rsidRPr="00A8612B">
              <w:rPr>
                <w:rFonts w:cs="Times New Roman"/>
                <w:sz w:val="24"/>
                <w:szCs w:val="24"/>
              </w:rPr>
              <w:t>)</w:t>
            </w:r>
          </w:p>
          <w:p w:rsidR="00E22CFE" w:rsidRPr="00A8612B" w:rsidRDefault="00E22CFE" w:rsidP="00C5462B">
            <w:pPr>
              <w:autoSpaceDE w:val="0"/>
              <w:autoSpaceDN w:val="0"/>
              <w:adjustRightInd w:val="0"/>
              <w:rPr>
                <w:rFonts w:cs="Times New Roman"/>
                <w:sz w:val="24"/>
                <w:szCs w:val="24"/>
              </w:rPr>
            </w:pPr>
            <w:r w:rsidRPr="00A8612B">
              <w:rPr>
                <w:rFonts w:cs="Times New Roman"/>
                <w:sz w:val="24"/>
                <w:szCs w:val="24"/>
              </w:rPr>
              <w:t>)</w:t>
            </w:r>
          </w:p>
          <w:p w:rsidR="00E22CFE" w:rsidRPr="00A8612B" w:rsidRDefault="00E22CFE" w:rsidP="00C5462B">
            <w:pPr>
              <w:autoSpaceDE w:val="0"/>
              <w:autoSpaceDN w:val="0"/>
              <w:adjustRightInd w:val="0"/>
              <w:rPr>
                <w:rFonts w:cs="Times New Roman"/>
                <w:sz w:val="24"/>
                <w:szCs w:val="24"/>
              </w:rPr>
            </w:pPr>
            <w:r w:rsidRPr="00A8612B">
              <w:rPr>
                <w:rFonts w:cs="Times New Roman"/>
                <w:sz w:val="24"/>
                <w:szCs w:val="24"/>
              </w:rPr>
              <w:t>)</w:t>
            </w:r>
          </w:p>
          <w:p w:rsidR="00E22CFE" w:rsidRPr="00A8612B" w:rsidRDefault="00E22CFE" w:rsidP="00C5462B">
            <w:pPr>
              <w:autoSpaceDE w:val="0"/>
              <w:autoSpaceDN w:val="0"/>
              <w:adjustRightInd w:val="0"/>
              <w:rPr>
                <w:rFonts w:cs="Times New Roman"/>
                <w:sz w:val="24"/>
                <w:szCs w:val="24"/>
              </w:rPr>
            </w:pPr>
            <w:r w:rsidRPr="00A8612B">
              <w:rPr>
                <w:rFonts w:cs="Times New Roman"/>
                <w:sz w:val="24"/>
                <w:szCs w:val="24"/>
              </w:rPr>
              <w:t>)</w:t>
            </w:r>
          </w:p>
          <w:p w:rsidR="00E22CFE" w:rsidRPr="00A8612B" w:rsidRDefault="00E22CFE" w:rsidP="00C5462B">
            <w:pPr>
              <w:autoSpaceDE w:val="0"/>
              <w:autoSpaceDN w:val="0"/>
              <w:adjustRightInd w:val="0"/>
              <w:rPr>
                <w:rFonts w:cs="Times New Roman"/>
                <w:sz w:val="24"/>
                <w:szCs w:val="24"/>
              </w:rPr>
            </w:pPr>
            <w:r w:rsidRPr="00A8612B">
              <w:rPr>
                <w:rFonts w:cs="Times New Roman"/>
                <w:sz w:val="24"/>
                <w:szCs w:val="24"/>
              </w:rPr>
              <w:t>)</w:t>
            </w:r>
          </w:p>
          <w:p w:rsidR="009E2680" w:rsidRPr="00A8612B" w:rsidRDefault="009E2680" w:rsidP="00C5462B">
            <w:pPr>
              <w:autoSpaceDE w:val="0"/>
              <w:autoSpaceDN w:val="0"/>
              <w:adjustRightInd w:val="0"/>
              <w:rPr>
                <w:rFonts w:cs="Times New Roman"/>
                <w:sz w:val="24"/>
                <w:szCs w:val="24"/>
              </w:rPr>
            </w:pPr>
          </w:p>
        </w:tc>
        <w:tc>
          <w:tcPr>
            <w:tcW w:w="4601" w:type="dxa"/>
          </w:tcPr>
          <w:p w:rsidR="00B51413" w:rsidRPr="00A8612B" w:rsidRDefault="00B51413" w:rsidP="00C5462B">
            <w:pPr>
              <w:autoSpaceDE w:val="0"/>
              <w:autoSpaceDN w:val="0"/>
              <w:adjustRightInd w:val="0"/>
              <w:rPr>
                <w:rFonts w:cs="Times New Roman"/>
                <w:sz w:val="24"/>
                <w:szCs w:val="24"/>
              </w:rPr>
            </w:pPr>
          </w:p>
          <w:p w:rsidR="00E22CFE" w:rsidRPr="00A8612B" w:rsidRDefault="00E22CFE" w:rsidP="00C5462B">
            <w:pPr>
              <w:autoSpaceDE w:val="0"/>
              <w:autoSpaceDN w:val="0"/>
              <w:adjustRightInd w:val="0"/>
              <w:rPr>
                <w:rFonts w:cs="Times New Roman"/>
                <w:sz w:val="24"/>
                <w:szCs w:val="24"/>
              </w:rPr>
            </w:pPr>
          </w:p>
          <w:p w:rsidR="00E22CFE" w:rsidRPr="00A8612B" w:rsidRDefault="00E22CFE" w:rsidP="00C5462B">
            <w:pPr>
              <w:autoSpaceDE w:val="0"/>
              <w:autoSpaceDN w:val="0"/>
              <w:adjustRightInd w:val="0"/>
              <w:rPr>
                <w:rFonts w:cs="Times New Roman"/>
                <w:sz w:val="24"/>
                <w:szCs w:val="24"/>
              </w:rPr>
            </w:pPr>
          </w:p>
          <w:p w:rsidR="000202EA" w:rsidRPr="00A8612B" w:rsidRDefault="000202EA" w:rsidP="00C5462B">
            <w:pPr>
              <w:autoSpaceDE w:val="0"/>
              <w:autoSpaceDN w:val="0"/>
              <w:adjustRightInd w:val="0"/>
              <w:rPr>
                <w:rFonts w:cs="Times New Roman"/>
                <w:sz w:val="24"/>
                <w:szCs w:val="24"/>
              </w:rPr>
            </w:pPr>
            <w:r w:rsidRPr="00A8612B">
              <w:rPr>
                <w:rFonts w:cs="Times New Roman"/>
                <w:sz w:val="24"/>
                <w:szCs w:val="24"/>
              </w:rPr>
              <w:t xml:space="preserve">Case No. </w:t>
            </w:r>
            <w:r w:rsidR="009433F5" w:rsidRPr="00A8612B">
              <w:rPr>
                <w:rFonts w:cs="Times New Roman"/>
                <w:sz w:val="24"/>
                <w:szCs w:val="24"/>
              </w:rPr>
              <w:t>15-</w:t>
            </w:r>
            <w:r w:rsidR="0091738E" w:rsidRPr="00A8612B">
              <w:rPr>
                <w:rFonts w:cs="Times New Roman"/>
                <w:sz w:val="24"/>
                <w:szCs w:val="24"/>
              </w:rPr>
              <w:t>298-</w:t>
            </w:r>
            <w:r w:rsidR="00B81F95">
              <w:rPr>
                <w:rFonts w:cs="Times New Roman"/>
                <w:sz w:val="24"/>
                <w:szCs w:val="24"/>
              </w:rPr>
              <w:t>G</w:t>
            </w:r>
            <w:r w:rsidR="0091738E" w:rsidRPr="00A8612B">
              <w:rPr>
                <w:rFonts w:cs="Times New Roman"/>
                <w:sz w:val="24"/>
                <w:szCs w:val="24"/>
              </w:rPr>
              <w:t>E-</w:t>
            </w:r>
            <w:proofErr w:type="spellStart"/>
            <w:r w:rsidR="00544E2C">
              <w:rPr>
                <w:rFonts w:cs="Times New Roman"/>
                <w:sz w:val="24"/>
                <w:szCs w:val="24"/>
              </w:rPr>
              <w:t>C</w:t>
            </w:r>
            <w:bookmarkStart w:id="0" w:name="_GoBack"/>
            <w:bookmarkEnd w:id="0"/>
            <w:r w:rsidR="0091738E" w:rsidRPr="00A8612B">
              <w:rPr>
                <w:rFonts w:cs="Times New Roman"/>
                <w:sz w:val="24"/>
                <w:szCs w:val="24"/>
              </w:rPr>
              <w:t>SS</w:t>
            </w:r>
            <w:proofErr w:type="spellEnd"/>
          </w:p>
          <w:p w:rsidR="00E36C0F" w:rsidRPr="00A8612B" w:rsidRDefault="00E36C0F" w:rsidP="00C5462B">
            <w:pPr>
              <w:autoSpaceDE w:val="0"/>
              <w:autoSpaceDN w:val="0"/>
              <w:adjustRightInd w:val="0"/>
              <w:rPr>
                <w:rFonts w:cs="Times New Roman"/>
                <w:sz w:val="24"/>
                <w:szCs w:val="24"/>
              </w:rPr>
            </w:pPr>
          </w:p>
          <w:p w:rsidR="009E2680" w:rsidRPr="00A8612B" w:rsidRDefault="009E2680" w:rsidP="00C5462B">
            <w:pPr>
              <w:autoSpaceDE w:val="0"/>
              <w:autoSpaceDN w:val="0"/>
              <w:adjustRightInd w:val="0"/>
              <w:rPr>
                <w:rFonts w:cs="Times New Roman"/>
                <w:sz w:val="24"/>
                <w:szCs w:val="24"/>
              </w:rPr>
            </w:pPr>
          </w:p>
        </w:tc>
      </w:tr>
    </w:tbl>
    <w:p w:rsidR="004C4E05" w:rsidRPr="00A8612B" w:rsidRDefault="00B51413" w:rsidP="00C5462B">
      <w:pPr>
        <w:autoSpaceDE w:val="0"/>
        <w:autoSpaceDN w:val="0"/>
        <w:adjustRightInd w:val="0"/>
        <w:spacing w:after="0" w:line="240" w:lineRule="auto"/>
        <w:rPr>
          <w:rFonts w:cs="Times New Roman"/>
          <w:szCs w:val="24"/>
        </w:rPr>
      </w:pPr>
      <w:r w:rsidRPr="00A8612B">
        <w:rPr>
          <w:rFonts w:cs="Times New Roman"/>
          <w:szCs w:val="24"/>
        </w:rPr>
        <w:t>______________________________________________________________________</w:t>
      </w:r>
      <w:r w:rsidR="00E36C0F" w:rsidRPr="00A8612B">
        <w:rPr>
          <w:rFonts w:cs="Times New Roman"/>
          <w:szCs w:val="24"/>
        </w:rPr>
        <w:t>__</w:t>
      </w:r>
    </w:p>
    <w:p w:rsidR="00B51413" w:rsidRPr="00A8612B" w:rsidRDefault="00B51413" w:rsidP="00C5462B">
      <w:pPr>
        <w:autoSpaceDE w:val="0"/>
        <w:autoSpaceDN w:val="0"/>
        <w:adjustRightInd w:val="0"/>
        <w:spacing w:after="0" w:line="240" w:lineRule="auto"/>
        <w:rPr>
          <w:rFonts w:cs="Times New Roman"/>
          <w:szCs w:val="24"/>
        </w:rPr>
      </w:pPr>
    </w:p>
    <w:p w:rsidR="00022BAB" w:rsidRDefault="0091738E" w:rsidP="0068623F">
      <w:pPr>
        <w:autoSpaceDE w:val="0"/>
        <w:autoSpaceDN w:val="0"/>
        <w:adjustRightInd w:val="0"/>
        <w:spacing w:after="0" w:line="240" w:lineRule="auto"/>
        <w:jc w:val="center"/>
        <w:rPr>
          <w:rFonts w:cs="Times New Roman"/>
          <w:b/>
          <w:szCs w:val="24"/>
        </w:rPr>
      </w:pPr>
      <w:r w:rsidRPr="00A8612B">
        <w:rPr>
          <w:rFonts w:cs="Times New Roman"/>
          <w:b/>
          <w:szCs w:val="24"/>
        </w:rPr>
        <w:t xml:space="preserve">REPLY TO DUKE’S MEMORANDUM IN OPPOSITION TO </w:t>
      </w:r>
      <w:r w:rsidR="00022BAB">
        <w:rPr>
          <w:rFonts w:cs="Times New Roman"/>
          <w:b/>
          <w:szCs w:val="24"/>
        </w:rPr>
        <w:t>COMPLAINANT’S SECOND MOTION TO AMEND</w:t>
      </w:r>
    </w:p>
    <w:p w:rsidR="00022BAB" w:rsidRDefault="00022BAB" w:rsidP="0068623F">
      <w:pPr>
        <w:autoSpaceDE w:val="0"/>
        <w:autoSpaceDN w:val="0"/>
        <w:adjustRightInd w:val="0"/>
        <w:spacing w:after="0" w:line="240" w:lineRule="auto"/>
        <w:jc w:val="center"/>
        <w:rPr>
          <w:rFonts w:cs="Times New Roman"/>
          <w:b/>
          <w:szCs w:val="24"/>
        </w:rPr>
      </w:pPr>
      <w:r>
        <w:rPr>
          <w:rFonts w:cs="Times New Roman"/>
          <w:b/>
          <w:szCs w:val="24"/>
        </w:rPr>
        <w:t>BY</w:t>
      </w:r>
    </w:p>
    <w:p w:rsidR="00E22CFE" w:rsidRPr="00A8612B" w:rsidRDefault="0091738E" w:rsidP="0068623F">
      <w:pPr>
        <w:autoSpaceDE w:val="0"/>
        <w:autoSpaceDN w:val="0"/>
        <w:adjustRightInd w:val="0"/>
        <w:spacing w:after="0" w:line="240" w:lineRule="auto"/>
        <w:jc w:val="center"/>
        <w:rPr>
          <w:rFonts w:cs="Times New Roman"/>
          <w:b/>
          <w:szCs w:val="24"/>
        </w:rPr>
      </w:pPr>
      <w:r w:rsidRPr="00A8612B">
        <w:rPr>
          <w:rFonts w:cs="Times New Roman"/>
          <w:b/>
          <w:szCs w:val="24"/>
        </w:rPr>
        <w:t xml:space="preserve">THE OFFICE OF THE </w:t>
      </w:r>
      <w:r w:rsidR="00F634F7" w:rsidRPr="00A8612B">
        <w:rPr>
          <w:rFonts w:cs="Times New Roman"/>
          <w:b/>
          <w:szCs w:val="24"/>
        </w:rPr>
        <w:t xml:space="preserve">OHIO </w:t>
      </w:r>
      <w:r w:rsidR="009433F5" w:rsidRPr="00A8612B">
        <w:rPr>
          <w:rFonts w:cs="Times New Roman"/>
          <w:b/>
          <w:szCs w:val="24"/>
        </w:rPr>
        <w:t>CONSUMERS’ COUNSE</w:t>
      </w:r>
      <w:r w:rsidR="00022BAB">
        <w:rPr>
          <w:rFonts w:cs="Times New Roman"/>
          <w:b/>
          <w:szCs w:val="24"/>
        </w:rPr>
        <w:t>L</w:t>
      </w:r>
    </w:p>
    <w:p w:rsidR="00B51413" w:rsidRPr="00A8612B" w:rsidRDefault="00B51413" w:rsidP="00C5462B">
      <w:pPr>
        <w:autoSpaceDE w:val="0"/>
        <w:autoSpaceDN w:val="0"/>
        <w:adjustRightInd w:val="0"/>
        <w:spacing w:after="0" w:line="240" w:lineRule="auto"/>
        <w:rPr>
          <w:rFonts w:cs="Times New Roman"/>
          <w:szCs w:val="24"/>
        </w:rPr>
      </w:pPr>
      <w:r w:rsidRPr="00A8612B">
        <w:rPr>
          <w:rFonts w:cs="Times New Roman"/>
          <w:szCs w:val="24"/>
        </w:rPr>
        <w:t>________________________________________________________________________</w:t>
      </w:r>
    </w:p>
    <w:p w:rsidR="00634E71" w:rsidRPr="00A8612B" w:rsidRDefault="00634E71" w:rsidP="00C5462B">
      <w:pPr>
        <w:pStyle w:val="ListParagraph"/>
        <w:autoSpaceDE w:val="0"/>
        <w:autoSpaceDN w:val="0"/>
        <w:adjustRightInd w:val="0"/>
        <w:spacing w:after="0" w:line="240" w:lineRule="auto"/>
        <w:ind w:left="1080"/>
        <w:rPr>
          <w:rFonts w:cs="Times New Roman"/>
          <w:b/>
          <w:bCs/>
          <w:szCs w:val="24"/>
        </w:rPr>
      </w:pPr>
    </w:p>
    <w:p w:rsidR="00634AC5" w:rsidRPr="00A8612B" w:rsidRDefault="006545BB" w:rsidP="00496A11">
      <w:pPr>
        <w:spacing w:before="240" w:after="0" w:line="480" w:lineRule="auto"/>
        <w:contextualSpacing/>
        <w:rPr>
          <w:rFonts w:cs="Times New Roman"/>
          <w:b/>
          <w:bCs/>
          <w:color w:val="000000"/>
          <w:szCs w:val="24"/>
        </w:rPr>
      </w:pPr>
      <w:r w:rsidRPr="00A8612B">
        <w:rPr>
          <w:rFonts w:cs="Times New Roman"/>
          <w:b/>
          <w:bCs/>
          <w:color w:val="000000"/>
          <w:szCs w:val="24"/>
        </w:rPr>
        <w:t>I.</w:t>
      </w:r>
      <w:r w:rsidRPr="00A8612B">
        <w:rPr>
          <w:rFonts w:cs="Times New Roman"/>
          <w:b/>
          <w:bCs/>
          <w:color w:val="000000"/>
          <w:szCs w:val="24"/>
        </w:rPr>
        <w:tab/>
      </w:r>
      <w:r w:rsidR="00610F79" w:rsidRPr="00A8612B">
        <w:rPr>
          <w:rFonts w:cs="Times New Roman"/>
          <w:b/>
          <w:bCs/>
          <w:color w:val="000000"/>
          <w:szCs w:val="24"/>
        </w:rPr>
        <w:t>INTRODUCTION</w:t>
      </w:r>
    </w:p>
    <w:p w:rsidR="00610F79" w:rsidRDefault="00AC08E6" w:rsidP="00BF2746">
      <w:pPr>
        <w:spacing w:after="0" w:line="480" w:lineRule="auto"/>
        <w:ind w:firstLine="720"/>
        <w:rPr>
          <w:rFonts w:cs="Times New Roman"/>
          <w:bCs/>
          <w:color w:val="000000"/>
          <w:szCs w:val="24"/>
        </w:rPr>
      </w:pPr>
      <w:r>
        <w:rPr>
          <w:rFonts w:cs="Times New Roman"/>
          <w:bCs/>
          <w:color w:val="000000"/>
          <w:szCs w:val="24"/>
        </w:rPr>
        <w:t>Ohio u</w:t>
      </w:r>
      <w:r w:rsidR="00610F79">
        <w:rPr>
          <w:rFonts w:cs="Times New Roman"/>
          <w:bCs/>
          <w:color w:val="000000"/>
          <w:szCs w:val="24"/>
        </w:rPr>
        <w:t xml:space="preserve">tilities must adhere to the intent and requirements of the </w:t>
      </w:r>
      <w:proofErr w:type="spellStart"/>
      <w:r w:rsidR="00610F79">
        <w:rPr>
          <w:rFonts w:cs="Times New Roman"/>
          <w:bCs/>
          <w:color w:val="000000"/>
          <w:szCs w:val="24"/>
        </w:rPr>
        <w:t>PUCO’s</w:t>
      </w:r>
      <w:proofErr w:type="spellEnd"/>
      <w:r w:rsidR="00610F79">
        <w:rPr>
          <w:rFonts w:cs="Times New Roman"/>
          <w:bCs/>
          <w:color w:val="000000"/>
          <w:szCs w:val="24"/>
        </w:rPr>
        <w:t xml:space="preserve"> winter reconnect orders.</w:t>
      </w:r>
      <w:r w:rsidR="00610F79">
        <w:rPr>
          <w:rStyle w:val="FootnoteReference"/>
          <w:rFonts w:cs="Times New Roman"/>
          <w:bCs/>
          <w:color w:val="000000"/>
          <w:szCs w:val="24"/>
        </w:rPr>
        <w:footnoteReference w:id="1"/>
      </w:r>
      <w:r w:rsidR="00610F79">
        <w:rPr>
          <w:rFonts w:cs="Times New Roman"/>
          <w:bCs/>
          <w:color w:val="000000"/>
          <w:szCs w:val="24"/>
        </w:rPr>
        <w:t xml:space="preserve"> </w:t>
      </w:r>
      <w:r w:rsidR="00BB0A11">
        <w:rPr>
          <w:rFonts w:cs="Times New Roman"/>
          <w:bCs/>
          <w:color w:val="000000"/>
          <w:szCs w:val="24"/>
        </w:rPr>
        <w:t xml:space="preserve"> </w:t>
      </w:r>
      <w:r w:rsidR="00022BAB">
        <w:rPr>
          <w:rFonts w:cs="Times New Roman"/>
          <w:bCs/>
          <w:color w:val="000000"/>
          <w:szCs w:val="24"/>
        </w:rPr>
        <w:t xml:space="preserve">This case is about </w:t>
      </w:r>
      <w:r w:rsidR="00BF2746">
        <w:rPr>
          <w:rFonts w:cs="Times New Roman"/>
          <w:bCs/>
          <w:color w:val="000000"/>
          <w:szCs w:val="24"/>
        </w:rPr>
        <w:t xml:space="preserve">whether </w:t>
      </w:r>
      <w:r w:rsidR="00BF2746" w:rsidRPr="00A8612B">
        <w:rPr>
          <w:rFonts w:cs="Times New Roman"/>
          <w:bCs/>
          <w:color w:val="000000"/>
          <w:szCs w:val="24"/>
        </w:rPr>
        <w:t>Duke Energy Ohio, Inc. (“Duke”)</w:t>
      </w:r>
      <w:r w:rsidR="00BF2746">
        <w:rPr>
          <w:rFonts w:cs="Times New Roman"/>
          <w:bCs/>
          <w:color w:val="000000"/>
          <w:szCs w:val="24"/>
        </w:rPr>
        <w:t xml:space="preserve"> </w:t>
      </w:r>
      <w:r w:rsidR="00022BAB">
        <w:rPr>
          <w:rFonts w:cs="Times New Roman"/>
          <w:bCs/>
          <w:color w:val="000000"/>
          <w:szCs w:val="24"/>
        </w:rPr>
        <w:t>unlawful</w:t>
      </w:r>
      <w:r w:rsidR="00BF2746">
        <w:rPr>
          <w:rFonts w:cs="Times New Roman"/>
          <w:bCs/>
          <w:color w:val="000000"/>
          <w:szCs w:val="24"/>
        </w:rPr>
        <w:t>ly disconnected</w:t>
      </w:r>
      <w:r w:rsidR="00022BAB">
        <w:rPr>
          <w:rFonts w:cs="Times New Roman"/>
          <w:bCs/>
          <w:color w:val="000000"/>
          <w:szCs w:val="24"/>
        </w:rPr>
        <w:t xml:space="preserve"> electrical service </w:t>
      </w:r>
      <w:r w:rsidR="00BF2746">
        <w:rPr>
          <w:rFonts w:cs="Times New Roman"/>
          <w:bCs/>
          <w:color w:val="000000"/>
          <w:szCs w:val="24"/>
        </w:rPr>
        <w:t xml:space="preserve">at a residence in November 2011, </w:t>
      </w:r>
      <w:r>
        <w:rPr>
          <w:rFonts w:cs="Times New Roman"/>
          <w:bCs/>
          <w:color w:val="000000"/>
          <w:szCs w:val="24"/>
        </w:rPr>
        <w:t>and</w:t>
      </w:r>
      <w:r w:rsidR="00BF2746">
        <w:rPr>
          <w:rFonts w:cs="Times New Roman"/>
          <w:bCs/>
          <w:color w:val="000000"/>
          <w:szCs w:val="24"/>
        </w:rPr>
        <w:t xml:space="preserve"> two</w:t>
      </w:r>
      <w:r>
        <w:rPr>
          <w:rFonts w:cs="Times New Roman"/>
          <w:bCs/>
          <w:color w:val="000000"/>
          <w:szCs w:val="24"/>
        </w:rPr>
        <w:t xml:space="preserve"> Ohioans died</w:t>
      </w:r>
      <w:r w:rsidR="00BF2746">
        <w:rPr>
          <w:rFonts w:cs="Times New Roman"/>
          <w:bCs/>
          <w:color w:val="000000"/>
          <w:szCs w:val="24"/>
        </w:rPr>
        <w:t xml:space="preserve">.  </w:t>
      </w:r>
    </w:p>
    <w:p w:rsidR="00BF2746" w:rsidRDefault="00BF2746" w:rsidP="00BF2746">
      <w:pPr>
        <w:spacing w:after="0" w:line="480" w:lineRule="auto"/>
        <w:ind w:firstLine="720"/>
        <w:rPr>
          <w:rFonts w:cs="Times New Roman"/>
          <w:bCs/>
          <w:color w:val="000000"/>
          <w:szCs w:val="24"/>
        </w:rPr>
      </w:pPr>
      <w:r>
        <w:rPr>
          <w:rFonts w:cs="Times New Roman"/>
          <w:bCs/>
          <w:color w:val="000000"/>
          <w:szCs w:val="24"/>
        </w:rPr>
        <w:t>The original</w:t>
      </w:r>
      <w:r w:rsidR="002100BD" w:rsidRPr="00A8612B">
        <w:rPr>
          <w:rFonts w:cs="Times New Roman"/>
          <w:bCs/>
          <w:color w:val="000000"/>
          <w:szCs w:val="24"/>
        </w:rPr>
        <w:t xml:space="preserve"> </w:t>
      </w:r>
      <w:r w:rsidR="00610F79">
        <w:rPr>
          <w:rFonts w:cs="Times New Roman"/>
          <w:bCs/>
          <w:color w:val="000000"/>
          <w:szCs w:val="24"/>
        </w:rPr>
        <w:t>C</w:t>
      </w:r>
      <w:r w:rsidR="002100BD" w:rsidRPr="00A8612B">
        <w:rPr>
          <w:rFonts w:cs="Times New Roman"/>
          <w:bCs/>
          <w:color w:val="000000"/>
          <w:szCs w:val="24"/>
        </w:rPr>
        <w:t xml:space="preserve">omplaint </w:t>
      </w:r>
      <w:r>
        <w:rPr>
          <w:rFonts w:cs="Times New Roman"/>
          <w:bCs/>
          <w:color w:val="000000"/>
          <w:szCs w:val="24"/>
        </w:rPr>
        <w:t xml:space="preserve">asserted that Duke violated rules of </w:t>
      </w:r>
      <w:r w:rsidR="002100BD" w:rsidRPr="00A8612B">
        <w:rPr>
          <w:rFonts w:cs="Times New Roman"/>
          <w:bCs/>
          <w:color w:val="000000"/>
          <w:szCs w:val="24"/>
        </w:rPr>
        <w:t>the Public Utilities Commission of Ohio (“Commission”</w:t>
      </w:r>
      <w:r w:rsidR="00EC3D24">
        <w:rPr>
          <w:rFonts w:cs="Times New Roman"/>
          <w:bCs/>
          <w:color w:val="000000"/>
          <w:szCs w:val="24"/>
        </w:rPr>
        <w:t xml:space="preserve"> or “PUCO”</w:t>
      </w:r>
      <w:r w:rsidR="002100BD" w:rsidRPr="00A8612B">
        <w:rPr>
          <w:rFonts w:cs="Times New Roman"/>
          <w:bCs/>
          <w:color w:val="000000"/>
          <w:szCs w:val="24"/>
        </w:rPr>
        <w:t xml:space="preserve">) </w:t>
      </w:r>
      <w:r>
        <w:rPr>
          <w:rFonts w:cs="Times New Roman"/>
          <w:bCs/>
          <w:color w:val="000000"/>
          <w:szCs w:val="24"/>
        </w:rPr>
        <w:t>regarding disconnection of electrical service during the winter heating season.</w:t>
      </w:r>
      <w:r w:rsidR="00610F79">
        <w:rPr>
          <w:rStyle w:val="FootnoteReference"/>
          <w:rFonts w:cs="Times New Roman"/>
          <w:bCs/>
          <w:color w:val="000000"/>
          <w:szCs w:val="24"/>
        </w:rPr>
        <w:footnoteReference w:id="2"/>
      </w:r>
      <w:r>
        <w:rPr>
          <w:rFonts w:cs="Times New Roman"/>
          <w:bCs/>
          <w:color w:val="000000"/>
          <w:szCs w:val="24"/>
        </w:rPr>
        <w:t xml:space="preserve">  On October 22, 2015, the Complainant filed a </w:t>
      </w:r>
      <w:proofErr w:type="gramStart"/>
      <w:r>
        <w:rPr>
          <w:rFonts w:cs="Times New Roman"/>
          <w:bCs/>
          <w:color w:val="000000"/>
          <w:szCs w:val="24"/>
        </w:rPr>
        <w:lastRenderedPageBreak/>
        <w:t>motion</w:t>
      </w:r>
      <w:proofErr w:type="gramEnd"/>
      <w:r>
        <w:rPr>
          <w:rFonts w:cs="Times New Roman"/>
          <w:bCs/>
          <w:color w:val="000000"/>
          <w:szCs w:val="24"/>
        </w:rPr>
        <w:t xml:space="preserve"> </w:t>
      </w:r>
      <w:r w:rsidR="00610F79">
        <w:rPr>
          <w:rFonts w:cs="Times New Roman"/>
          <w:bCs/>
          <w:color w:val="000000"/>
          <w:szCs w:val="24"/>
        </w:rPr>
        <w:t>seeking</w:t>
      </w:r>
      <w:r>
        <w:rPr>
          <w:rFonts w:cs="Times New Roman"/>
          <w:bCs/>
          <w:color w:val="000000"/>
          <w:szCs w:val="24"/>
        </w:rPr>
        <w:t xml:space="preserve"> PUCO permission to amend the Complaint to include alleged violations of the </w:t>
      </w:r>
      <w:proofErr w:type="spellStart"/>
      <w:r>
        <w:rPr>
          <w:rFonts w:cs="Times New Roman"/>
          <w:bCs/>
          <w:color w:val="000000"/>
          <w:szCs w:val="24"/>
        </w:rPr>
        <w:t>PUCO’s</w:t>
      </w:r>
      <w:proofErr w:type="spellEnd"/>
      <w:r>
        <w:rPr>
          <w:rFonts w:cs="Times New Roman"/>
          <w:bCs/>
          <w:color w:val="000000"/>
          <w:szCs w:val="24"/>
        </w:rPr>
        <w:t xml:space="preserve"> 2011 Winter Reconnect Order</w:t>
      </w:r>
      <w:r w:rsidR="00286B39" w:rsidRPr="00A8612B">
        <w:rPr>
          <w:rFonts w:cs="Times New Roman"/>
          <w:bCs/>
          <w:color w:val="000000"/>
          <w:szCs w:val="24"/>
        </w:rPr>
        <w:t>.</w:t>
      </w:r>
      <w:r w:rsidR="00610F79">
        <w:rPr>
          <w:rStyle w:val="FootnoteReference"/>
          <w:rFonts w:cs="Times New Roman"/>
          <w:bCs/>
          <w:color w:val="000000"/>
          <w:szCs w:val="24"/>
        </w:rPr>
        <w:footnoteReference w:id="3"/>
      </w:r>
      <w:r w:rsidR="00286B39" w:rsidRPr="00A8612B">
        <w:rPr>
          <w:rFonts w:cs="Times New Roman"/>
          <w:bCs/>
          <w:color w:val="000000"/>
          <w:szCs w:val="24"/>
        </w:rPr>
        <w:t xml:space="preserve">  </w:t>
      </w:r>
    </w:p>
    <w:p w:rsidR="00FF58FF" w:rsidRDefault="00BF2746" w:rsidP="00BF2746">
      <w:pPr>
        <w:spacing w:after="0" w:line="480" w:lineRule="auto"/>
        <w:ind w:firstLine="720"/>
        <w:rPr>
          <w:rFonts w:cs="Times New Roman"/>
          <w:bCs/>
          <w:color w:val="000000"/>
          <w:szCs w:val="24"/>
        </w:rPr>
      </w:pPr>
      <w:r>
        <w:rPr>
          <w:rFonts w:cs="Times New Roman"/>
          <w:bCs/>
          <w:color w:val="000000"/>
          <w:szCs w:val="24"/>
        </w:rPr>
        <w:t xml:space="preserve">On October 23, 2015, Duke filed an opposition to Complainant’s motion.  </w:t>
      </w:r>
      <w:r w:rsidR="00FF58FF">
        <w:rPr>
          <w:rFonts w:cs="Times New Roman"/>
          <w:bCs/>
          <w:color w:val="000000"/>
          <w:szCs w:val="24"/>
        </w:rPr>
        <w:t>Duke contends that there is no evidence to support the new claims in the proposed amended Complaint.</w:t>
      </w:r>
      <w:r w:rsidR="00FF58FF">
        <w:rPr>
          <w:rStyle w:val="FootnoteReference"/>
          <w:rFonts w:cs="Times New Roman"/>
          <w:bCs/>
          <w:color w:val="000000"/>
          <w:szCs w:val="24"/>
        </w:rPr>
        <w:footnoteReference w:id="4"/>
      </w:r>
      <w:r w:rsidR="00FF58FF">
        <w:rPr>
          <w:rFonts w:cs="Times New Roman"/>
          <w:bCs/>
          <w:color w:val="000000"/>
          <w:szCs w:val="24"/>
        </w:rPr>
        <w:t xml:space="preserve">  Duke also asserts that it would be prejudiced if the Complaint were amended because it has based its defense on the allegations in the original Complaint and has begun writing testimony addressing those allegations.</w:t>
      </w:r>
      <w:r w:rsidR="00FF58FF">
        <w:rPr>
          <w:rStyle w:val="FootnoteReference"/>
          <w:rFonts w:cs="Times New Roman"/>
          <w:bCs/>
          <w:color w:val="000000"/>
          <w:szCs w:val="24"/>
        </w:rPr>
        <w:footnoteReference w:id="5"/>
      </w:r>
    </w:p>
    <w:p w:rsidR="006545BB" w:rsidRDefault="00286B39" w:rsidP="00BF2746">
      <w:pPr>
        <w:spacing w:after="0" w:line="480" w:lineRule="auto"/>
        <w:ind w:firstLine="720"/>
        <w:rPr>
          <w:rFonts w:cs="Times New Roman"/>
          <w:bCs/>
          <w:color w:val="000000"/>
          <w:szCs w:val="24"/>
        </w:rPr>
      </w:pPr>
      <w:r w:rsidRPr="00A8612B">
        <w:rPr>
          <w:rFonts w:cs="Times New Roman"/>
          <w:bCs/>
          <w:color w:val="000000"/>
          <w:szCs w:val="24"/>
        </w:rPr>
        <w:t>The Office of the Ohio Consum</w:t>
      </w:r>
      <w:r w:rsidR="00496A11" w:rsidRPr="00A8612B">
        <w:rPr>
          <w:rFonts w:cs="Times New Roman"/>
          <w:bCs/>
          <w:color w:val="000000"/>
          <w:szCs w:val="24"/>
        </w:rPr>
        <w:t xml:space="preserve">ers’ Counsel (“OCC”), </w:t>
      </w:r>
      <w:r w:rsidR="00610F79">
        <w:rPr>
          <w:rFonts w:cs="Times New Roman"/>
          <w:bCs/>
          <w:color w:val="000000"/>
          <w:szCs w:val="24"/>
        </w:rPr>
        <w:t>an intervenor in this proceeding,</w:t>
      </w:r>
      <w:r w:rsidR="005B21E9">
        <w:rPr>
          <w:rStyle w:val="FootnoteReference"/>
          <w:rFonts w:cs="Times New Roman"/>
          <w:bCs/>
          <w:color w:val="000000"/>
          <w:szCs w:val="24"/>
        </w:rPr>
        <w:footnoteReference w:id="6"/>
      </w:r>
      <w:r w:rsidR="005B21E9">
        <w:rPr>
          <w:rFonts w:cs="Times New Roman"/>
          <w:bCs/>
          <w:color w:val="000000"/>
          <w:szCs w:val="24"/>
        </w:rPr>
        <w:t xml:space="preserve"> </w:t>
      </w:r>
      <w:r w:rsidR="00610F79">
        <w:rPr>
          <w:rFonts w:cs="Times New Roman"/>
          <w:bCs/>
          <w:color w:val="000000"/>
          <w:szCs w:val="24"/>
        </w:rPr>
        <w:t>replies to Duke’s opposition.</w:t>
      </w:r>
      <w:r w:rsidR="005B21E9">
        <w:rPr>
          <w:rFonts w:cs="Times New Roman"/>
          <w:bCs/>
          <w:color w:val="000000"/>
          <w:szCs w:val="24"/>
        </w:rPr>
        <w:t xml:space="preserve"> </w:t>
      </w:r>
      <w:r w:rsidR="00610F79">
        <w:rPr>
          <w:rFonts w:cs="Times New Roman"/>
          <w:bCs/>
          <w:color w:val="000000"/>
          <w:szCs w:val="24"/>
        </w:rPr>
        <w:t xml:space="preserve"> Duke’s arguments are flawed.  </w:t>
      </w:r>
      <w:r w:rsidR="00154411">
        <w:rPr>
          <w:rFonts w:cs="Times New Roman"/>
          <w:bCs/>
          <w:color w:val="000000"/>
          <w:szCs w:val="24"/>
        </w:rPr>
        <w:t>The Complainant in th</w:t>
      </w:r>
      <w:r w:rsidR="00BB0A11">
        <w:rPr>
          <w:rFonts w:cs="Times New Roman"/>
          <w:bCs/>
          <w:color w:val="000000"/>
          <w:szCs w:val="24"/>
        </w:rPr>
        <w:t>is</w:t>
      </w:r>
      <w:r w:rsidR="00154411">
        <w:rPr>
          <w:rFonts w:cs="Times New Roman"/>
          <w:bCs/>
          <w:color w:val="000000"/>
          <w:szCs w:val="24"/>
        </w:rPr>
        <w:t xml:space="preserve"> case has shown good cause for amending the Complaint, and has thus satisfied Ohio Adm. Code 4901-1-06.  </w:t>
      </w:r>
      <w:r w:rsidR="00A251CB">
        <w:rPr>
          <w:rFonts w:cs="Times New Roman"/>
          <w:bCs/>
          <w:color w:val="000000"/>
          <w:szCs w:val="24"/>
        </w:rPr>
        <w:t>Further,</w:t>
      </w:r>
      <w:r w:rsidR="00A251CB" w:rsidRPr="00A251CB">
        <w:rPr>
          <w:rFonts w:cs="Times New Roman"/>
          <w:bCs/>
          <w:color w:val="000000"/>
          <w:szCs w:val="24"/>
        </w:rPr>
        <w:t xml:space="preserve"> </w:t>
      </w:r>
      <w:r w:rsidR="00A251CB" w:rsidRPr="00A251CB">
        <w:rPr>
          <w:rFonts w:cs="Times New Roman"/>
          <w:szCs w:val="24"/>
        </w:rPr>
        <w:t xml:space="preserve">leave to file an amended complaint should be freely given </w:t>
      </w:r>
      <w:r w:rsidR="008E331E">
        <w:rPr>
          <w:rFonts w:cs="Times New Roman"/>
          <w:szCs w:val="24"/>
        </w:rPr>
        <w:t>“</w:t>
      </w:r>
      <w:r w:rsidR="00A251CB" w:rsidRPr="00A251CB">
        <w:rPr>
          <w:rFonts w:cs="Times New Roman"/>
          <w:szCs w:val="24"/>
        </w:rPr>
        <w:t>when justice so requires</w:t>
      </w:r>
      <w:r w:rsidR="00A251CB">
        <w:rPr>
          <w:rFonts w:cs="Times New Roman"/>
          <w:szCs w:val="24"/>
        </w:rPr>
        <w:t>.”</w:t>
      </w:r>
      <w:r w:rsidR="00210CA2">
        <w:rPr>
          <w:rStyle w:val="FootnoteReference"/>
          <w:rFonts w:cs="Times New Roman"/>
          <w:szCs w:val="24"/>
        </w:rPr>
        <w:footnoteReference w:id="7"/>
      </w:r>
      <w:r w:rsidR="00A251CB">
        <w:rPr>
          <w:rFonts w:cs="Times New Roman"/>
          <w:szCs w:val="24"/>
        </w:rPr>
        <w:t xml:space="preserve">  Justice in this case requires that</w:t>
      </w:r>
      <w:r w:rsidR="00610F79">
        <w:rPr>
          <w:rFonts w:cs="Times New Roman"/>
          <w:bCs/>
          <w:color w:val="000000"/>
          <w:szCs w:val="24"/>
        </w:rPr>
        <w:t xml:space="preserve"> Complainant’s Second Motion to Amend</w:t>
      </w:r>
      <w:r w:rsidR="00A251CB">
        <w:rPr>
          <w:rFonts w:cs="Times New Roman"/>
          <w:bCs/>
          <w:color w:val="000000"/>
          <w:szCs w:val="24"/>
        </w:rPr>
        <w:t xml:space="preserve"> should be granted</w:t>
      </w:r>
      <w:r w:rsidR="00547F4C" w:rsidRPr="00A8612B">
        <w:rPr>
          <w:rFonts w:cs="Times New Roman"/>
          <w:bCs/>
          <w:color w:val="000000"/>
          <w:szCs w:val="24"/>
        </w:rPr>
        <w:t>.</w:t>
      </w:r>
    </w:p>
    <w:p w:rsidR="00154411" w:rsidRPr="00154411" w:rsidRDefault="00154411" w:rsidP="00154411">
      <w:pPr>
        <w:spacing w:before="240" w:after="0" w:line="480" w:lineRule="auto"/>
        <w:rPr>
          <w:rFonts w:cs="Times New Roman"/>
          <w:b/>
          <w:bCs/>
          <w:color w:val="000000"/>
          <w:szCs w:val="24"/>
        </w:rPr>
      </w:pPr>
      <w:r>
        <w:rPr>
          <w:rFonts w:cs="Times New Roman"/>
          <w:b/>
          <w:bCs/>
          <w:color w:val="000000"/>
          <w:szCs w:val="24"/>
        </w:rPr>
        <w:t>II.</w:t>
      </w:r>
      <w:r>
        <w:rPr>
          <w:rFonts w:cs="Times New Roman"/>
          <w:b/>
          <w:bCs/>
          <w:color w:val="000000"/>
          <w:szCs w:val="24"/>
        </w:rPr>
        <w:tab/>
        <w:t>STANDARD OF REVIEW</w:t>
      </w:r>
    </w:p>
    <w:p w:rsidR="00154411" w:rsidRPr="00A8612B" w:rsidRDefault="00154411" w:rsidP="00BF2746">
      <w:pPr>
        <w:spacing w:after="0" w:line="480" w:lineRule="auto"/>
        <w:ind w:firstLine="720"/>
        <w:rPr>
          <w:rFonts w:cs="Times New Roman"/>
          <w:bCs/>
          <w:color w:val="000000"/>
          <w:szCs w:val="24"/>
        </w:rPr>
      </w:pPr>
      <w:r>
        <w:rPr>
          <w:rFonts w:cs="Times New Roman"/>
          <w:bCs/>
          <w:color w:val="000000"/>
          <w:szCs w:val="24"/>
        </w:rPr>
        <w:t xml:space="preserve">Ohio Adm. Code 4901-1-06 allows the </w:t>
      </w:r>
      <w:r>
        <w:t xml:space="preserve">commission, the legal director, the deputy legal director, or an attorney examiner, upon </w:t>
      </w:r>
      <w:proofErr w:type="gramStart"/>
      <w:r>
        <w:t>their own</w:t>
      </w:r>
      <w:proofErr w:type="gramEnd"/>
      <w:r>
        <w:t xml:space="preserve"> motion or upon motion of any party, </w:t>
      </w:r>
      <w:r>
        <w:rPr>
          <w:rFonts w:cs="Times New Roman"/>
          <w:bCs/>
          <w:color w:val="000000"/>
          <w:szCs w:val="24"/>
        </w:rPr>
        <w:t xml:space="preserve">to amend a complaint </w:t>
      </w:r>
      <w:r>
        <w:t xml:space="preserve">for good cause shown.  </w:t>
      </w:r>
      <w:r w:rsidR="005B21E9">
        <w:t>As discussed below, there is good cause for amending the Complaint.</w:t>
      </w:r>
    </w:p>
    <w:p w:rsidR="00344C53" w:rsidRPr="00A8612B" w:rsidRDefault="00344C53" w:rsidP="008D30F6">
      <w:pPr>
        <w:spacing w:before="240" w:after="0" w:line="480" w:lineRule="auto"/>
        <w:rPr>
          <w:rFonts w:cs="Times New Roman"/>
          <w:b/>
          <w:bCs/>
          <w:color w:val="000000"/>
          <w:szCs w:val="24"/>
        </w:rPr>
      </w:pPr>
      <w:r w:rsidRPr="00A8612B">
        <w:rPr>
          <w:rFonts w:cs="Times New Roman"/>
          <w:b/>
          <w:bCs/>
          <w:color w:val="000000"/>
          <w:szCs w:val="24"/>
        </w:rPr>
        <w:lastRenderedPageBreak/>
        <w:t>II</w:t>
      </w:r>
      <w:r w:rsidR="00154411">
        <w:rPr>
          <w:rFonts w:cs="Times New Roman"/>
          <w:b/>
          <w:bCs/>
          <w:color w:val="000000"/>
          <w:szCs w:val="24"/>
        </w:rPr>
        <w:t>I</w:t>
      </w:r>
      <w:r w:rsidRPr="00A8612B">
        <w:rPr>
          <w:rFonts w:cs="Times New Roman"/>
          <w:b/>
          <w:bCs/>
          <w:color w:val="000000"/>
          <w:szCs w:val="24"/>
        </w:rPr>
        <w:t>.</w:t>
      </w:r>
      <w:r w:rsidRPr="00A8612B">
        <w:rPr>
          <w:rFonts w:cs="Times New Roman"/>
          <w:b/>
          <w:bCs/>
          <w:color w:val="000000"/>
          <w:szCs w:val="24"/>
        </w:rPr>
        <w:tab/>
      </w:r>
      <w:r w:rsidR="00610F79">
        <w:rPr>
          <w:rFonts w:cs="Times New Roman"/>
          <w:b/>
          <w:bCs/>
          <w:color w:val="000000"/>
          <w:szCs w:val="24"/>
        </w:rPr>
        <w:t>DISCUSSION</w:t>
      </w:r>
    </w:p>
    <w:p w:rsidR="005B21E9" w:rsidRDefault="005B21E9" w:rsidP="00E9271E">
      <w:pPr>
        <w:spacing w:after="240" w:line="240" w:lineRule="auto"/>
        <w:ind w:left="1440" w:right="720" w:hanging="720"/>
        <w:rPr>
          <w:rFonts w:cs="Times New Roman"/>
          <w:b/>
          <w:bCs/>
          <w:color w:val="000000"/>
          <w:szCs w:val="24"/>
        </w:rPr>
      </w:pPr>
      <w:r>
        <w:rPr>
          <w:rFonts w:cs="Times New Roman"/>
          <w:b/>
          <w:bCs/>
          <w:color w:val="000000"/>
          <w:szCs w:val="24"/>
        </w:rPr>
        <w:t>A.</w:t>
      </w:r>
      <w:r>
        <w:rPr>
          <w:rFonts w:cs="Times New Roman"/>
          <w:b/>
          <w:bCs/>
          <w:color w:val="000000"/>
          <w:szCs w:val="24"/>
        </w:rPr>
        <w:tab/>
      </w:r>
      <w:r w:rsidR="00641A2C">
        <w:rPr>
          <w:rFonts w:cs="Times New Roman"/>
          <w:b/>
          <w:bCs/>
          <w:color w:val="000000"/>
          <w:szCs w:val="24"/>
        </w:rPr>
        <w:t>Rule 4901-1-06 permits a party to amend a complaint for good cause and good cause has been shown in this case</w:t>
      </w:r>
      <w:r>
        <w:rPr>
          <w:rFonts w:cs="Times New Roman"/>
          <w:b/>
          <w:bCs/>
          <w:color w:val="000000"/>
          <w:szCs w:val="24"/>
        </w:rPr>
        <w:t>.</w:t>
      </w:r>
    </w:p>
    <w:p w:rsidR="00F528CC" w:rsidRDefault="00F528CC" w:rsidP="00F528CC">
      <w:pPr>
        <w:spacing w:after="0" w:line="480" w:lineRule="auto"/>
        <w:ind w:firstLine="720"/>
        <w:rPr>
          <w:rFonts w:cs="Times New Roman"/>
          <w:bCs/>
          <w:color w:val="000000"/>
          <w:szCs w:val="24"/>
        </w:rPr>
      </w:pPr>
      <w:r>
        <w:rPr>
          <w:rFonts w:cs="Times New Roman"/>
          <w:bCs/>
          <w:color w:val="000000"/>
          <w:szCs w:val="24"/>
        </w:rPr>
        <w:t xml:space="preserve">The PUCO should find that there is good cause for amending the Complaint.  The additional issue in the proposed amended complaint regarding the 2011 Winter Reconnect Order is related to the issue surrounding Duke’s misapplication of the </w:t>
      </w:r>
      <w:proofErr w:type="spellStart"/>
      <w:r>
        <w:rPr>
          <w:rFonts w:cs="Times New Roman"/>
          <w:bCs/>
          <w:color w:val="000000"/>
          <w:szCs w:val="24"/>
        </w:rPr>
        <w:t>PUCO’s</w:t>
      </w:r>
      <w:proofErr w:type="spellEnd"/>
      <w:r>
        <w:rPr>
          <w:rFonts w:cs="Times New Roman"/>
          <w:bCs/>
          <w:color w:val="000000"/>
          <w:szCs w:val="24"/>
        </w:rPr>
        <w:t xml:space="preserve"> winter heating rules.  Both the winter heating rules and the 2011 Winter Reconnect Order were in effect when Duke disconnected service to the Easterlings.  Hence whether Duke complied with the 2011 Winter Reconnect Order in disconnecting service to the Easterlings is relevant to this case.</w:t>
      </w:r>
    </w:p>
    <w:p w:rsidR="008D4234" w:rsidRDefault="005B21E9" w:rsidP="005B21E9">
      <w:pPr>
        <w:spacing w:after="0" w:line="480" w:lineRule="auto"/>
        <w:ind w:firstLine="720"/>
        <w:rPr>
          <w:rFonts w:cs="Times New Roman"/>
          <w:bCs/>
          <w:color w:val="000000"/>
          <w:szCs w:val="24"/>
        </w:rPr>
      </w:pPr>
      <w:r>
        <w:rPr>
          <w:rFonts w:cs="Times New Roman"/>
          <w:bCs/>
          <w:color w:val="000000"/>
          <w:szCs w:val="24"/>
        </w:rPr>
        <w:t xml:space="preserve">The PUCO has found good cause </w:t>
      </w:r>
      <w:r w:rsidR="008D4234">
        <w:rPr>
          <w:rFonts w:cs="Times New Roman"/>
          <w:bCs/>
          <w:color w:val="000000"/>
          <w:szCs w:val="24"/>
        </w:rPr>
        <w:t xml:space="preserve">for amending a complaint </w:t>
      </w:r>
      <w:r>
        <w:rPr>
          <w:rFonts w:cs="Times New Roman"/>
          <w:bCs/>
          <w:color w:val="000000"/>
          <w:szCs w:val="24"/>
        </w:rPr>
        <w:t xml:space="preserve">where the complainant </w:t>
      </w:r>
      <w:r w:rsidR="009C180C">
        <w:rPr>
          <w:rFonts w:cs="Times New Roman"/>
          <w:bCs/>
          <w:color w:val="000000"/>
          <w:szCs w:val="24"/>
        </w:rPr>
        <w:t xml:space="preserve">seeks to </w:t>
      </w:r>
      <w:r w:rsidR="008D4234">
        <w:rPr>
          <w:rFonts w:cs="Times New Roman"/>
          <w:bCs/>
          <w:color w:val="000000"/>
          <w:szCs w:val="24"/>
        </w:rPr>
        <w:t xml:space="preserve">raise additional issues that are relevant to the case.  In </w:t>
      </w:r>
      <w:r w:rsidR="008D4234" w:rsidRPr="008D4234">
        <w:rPr>
          <w:rFonts w:cs="Times New Roman"/>
          <w:bCs/>
          <w:i/>
          <w:color w:val="000000"/>
          <w:szCs w:val="24"/>
        </w:rPr>
        <w:t>Republic Engineered Products v. American Electric Power</w:t>
      </w:r>
      <w:r w:rsidR="008D4234">
        <w:rPr>
          <w:rFonts w:cs="Times New Roman"/>
          <w:bCs/>
          <w:color w:val="000000"/>
          <w:szCs w:val="24"/>
        </w:rPr>
        <w:t>,</w:t>
      </w:r>
      <w:r w:rsidR="008D4234">
        <w:rPr>
          <w:rStyle w:val="FootnoteReference"/>
          <w:rFonts w:cs="Times New Roman"/>
          <w:bCs/>
          <w:color w:val="000000"/>
          <w:szCs w:val="24"/>
        </w:rPr>
        <w:footnoteReference w:id="8"/>
      </w:r>
      <w:r w:rsidR="008D4234">
        <w:rPr>
          <w:rFonts w:cs="Times New Roman"/>
          <w:bCs/>
          <w:color w:val="000000"/>
          <w:szCs w:val="24"/>
        </w:rPr>
        <w:t xml:space="preserve"> for example, the PUCO allowed the complainant to add claims that had not been raised in the original complaint.  There, Republic was facing disconnection of service and had filed its complaint hurriedly.</w:t>
      </w:r>
      <w:r w:rsidR="008D4234">
        <w:rPr>
          <w:rStyle w:val="FootnoteReference"/>
          <w:rFonts w:cs="Times New Roman"/>
          <w:bCs/>
          <w:color w:val="000000"/>
          <w:szCs w:val="24"/>
        </w:rPr>
        <w:footnoteReference w:id="9"/>
      </w:r>
      <w:r w:rsidR="008D4234">
        <w:rPr>
          <w:rFonts w:cs="Times New Roman"/>
          <w:bCs/>
          <w:color w:val="000000"/>
          <w:szCs w:val="24"/>
        </w:rPr>
        <w:t xml:space="preserve">  After further review of the facts and potential claims in the matter, Republic </w:t>
      </w:r>
      <w:r w:rsidR="00195950">
        <w:rPr>
          <w:rFonts w:cs="Times New Roman"/>
          <w:bCs/>
          <w:color w:val="000000"/>
          <w:szCs w:val="24"/>
        </w:rPr>
        <w:t>sought to amend its complaint “in order to present all facts, claims, and defenses necessary to resolve this dispute justly and fairly.”</w:t>
      </w:r>
      <w:r w:rsidR="00195950">
        <w:rPr>
          <w:rStyle w:val="FootnoteReference"/>
          <w:rFonts w:cs="Times New Roman"/>
          <w:bCs/>
          <w:color w:val="000000"/>
          <w:szCs w:val="24"/>
        </w:rPr>
        <w:footnoteReference w:id="10"/>
      </w:r>
      <w:r w:rsidR="00195950">
        <w:rPr>
          <w:rFonts w:cs="Times New Roman"/>
          <w:bCs/>
          <w:color w:val="000000"/>
          <w:szCs w:val="24"/>
        </w:rPr>
        <w:t xml:space="preserve">  Over the utility’s objections, the PUCO found good cause for amending the complaint.</w:t>
      </w:r>
      <w:r w:rsidR="00195950">
        <w:rPr>
          <w:rStyle w:val="FootnoteReference"/>
          <w:rFonts w:cs="Times New Roman"/>
          <w:bCs/>
          <w:color w:val="000000"/>
          <w:szCs w:val="24"/>
        </w:rPr>
        <w:footnoteReference w:id="11"/>
      </w:r>
    </w:p>
    <w:p w:rsidR="009C180C" w:rsidRDefault="00F528CC" w:rsidP="005B21E9">
      <w:pPr>
        <w:spacing w:after="0" w:line="480" w:lineRule="auto"/>
        <w:ind w:firstLine="720"/>
        <w:rPr>
          <w:rFonts w:cs="Times New Roman"/>
          <w:bCs/>
          <w:color w:val="000000"/>
          <w:szCs w:val="24"/>
        </w:rPr>
      </w:pPr>
      <w:r>
        <w:rPr>
          <w:rFonts w:cs="Times New Roman"/>
          <w:bCs/>
          <w:color w:val="000000"/>
          <w:szCs w:val="24"/>
        </w:rPr>
        <w:lastRenderedPageBreak/>
        <w:t>How long a case has been pending is not always dispositive to a finding of good cause for amending a complaint.</w:t>
      </w:r>
      <w:r w:rsidR="009C180C">
        <w:rPr>
          <w:rFonts w:cs="Times New Roman"/>
          <w:bCs/>
          <w:color w:val="000000"/>
          <w:szCs w:val="24"/>
        </w:rPr>
        <w:t xml:space="preserve">  </w:t>
      </w:r>
      <w:r>
        <w:rPr>
          <w:rFonts w:cs="Times New Roman"/>
          <w:bCs/>
          <w:color w:val="000000"/>
          <w:szCs w:val="24"/>
        </w:rPr>
        <w:t xml:space="preserve">The PUCO has found good cause </w:t>
      </w:r>
      <w:r w:rsidR="00641A2C">
        <w:rPr>
          <w:rFonts w:cs="Times New Roman"/>
          <w:bCs/>
          <w:color w:val="000000"/>
          <w:szCs w:val="24"/>
        </w:rPr>
        <w:t xml:space="preserve">for amending a complaint </w:t>
      </w:r>
      <w:r>
        <w:rPr>
          <w:rFonts w:cs="Times New Roman"/>
          <w:bCs/>
          <w:color w:val="000000"/>
          <w:szCs w:val="24"/>
        </w:rPr>
        <w:t xml:space="preserve">to exist </w:t>
      </w:r>
      <w:r w:rsidR="00B13C11">
        <w:rPr>
          <w:rFonts w:cs="Times New Roman"/>
          <w:bCs/>
          <w:color w:val="000000"/>
          <w:szCs w:val="24"/>
        </w:rPr>
        <w:t xml:space="preserve">many </w:t>
      </w:r>
      <w:r w:rsidR="009C180C">
        <w:rPr>
          <w:rFonts w:cs="Times New Roman"/>
          <w:bCs/>
          <w:color w:val="000000"/>
          <w:szCs w:val="24"/>
        </w:rPr>
        <w:t>months after the complaint is filed.</w:t>
      </w:r>
      <w:r>
        <w:rPr>
          <w:rFonts w:cs="Times New Roman"/>
          <w:bCs/>
          <w:color w:val="000000"/>
          <w:szCs w:val="24"/>
        </w:rPr>
        <w:t xml:space="preserve">  </w:t>
      </w:r>
      <w:r w:rsidR="009C180C">
        <w:rPr>
          <w:rFonts w:cs="Times New Roman"/>
          <w:bCs/>
          <w:color w:val="000000"/>
          <w:szCs w:val="24"/>
        </w:rPr>
        <w:t xml:space="preserve">For example, in </w:t>
      </w:r>
      <w:r w:rsidR="009C180C">
        <w:rPr>
          <w:rFonts w:cs="Times New Roman"/>
          <w:bCs/>
          <w:i/>
          <w:color w:val="000000"/>
          <w:szCs w:val="24"/>
        </w:rPr>
        <w:t>Rite Rug v. Ohio Bell Telephone Co.</w:t>
      </w:r>
      <w:r w:rsidR="009C180C">
        <w:rPr>
          <w:rFonts w:cs="Times New Roman"/>
          <w:bCs/>
          <w:color w:val="000000"/>
          <w:szCs w:val="24"/>
        </w:rPr>
        <w:t>, Rite Rug filed its complaint in April 1993.</w:t>
      </w:r>
      <w:r w:rsidR="009C180C">
        <w:rPr>
          <w:rStyle w:val="FootnoteReference"/>
          <w:rFonts w:cs="Times New Roman"/>
          <w:bCs/>
          <w:color w:val="000000"/>
          <w:szCs w:val="24"/>
        </w:rPr>
        <w:footnoteReference w:id="12"/>
      </w:r>
      <w:r w:rsidR="009C180C">
        <w:rPr>
          <w:rFonts w:cs="Times New Roman"/>
          <w:bCs/>
          <w:color w:val="000000"/>
          <w:szCs w:val="24"/>
        </w:rPr>
        <w:t xml:space="preserve">  Thirteen months later, in May 1994, Rite Rug filed its amended complaint, then filed a motion for leave to amend approximately six weeks after that.</w:t>
      </w:r>
      <w:r w:rsidR="009C180C">
        <w:rPr>
          <w:rStyle w:val="FootnoteReference"/>
          <w:rFonts w:cs="Times New Roman"/>
          <w:bCs/>
          <w:color w:val="000000"/>
          <w:szCs w:val="24"/>
        </w:rPr>
        <w:footnoteReference w:id="13"/>
      </w:r>
      <w:r w:rsidR="009C180C">
        <w:rPr>
          <w:rFonts w:cs="Times New Roman"/>
          <w:bCs/>
          <w:color w:val="000000"/>
          <w:szCs w:val="24"/>
        </w:rPr>
        <w:t xml:space="preserve">  Rite Rug added two paragraphs to the complaint “based on information gained through the discovery activities in</w:t>
      </w:r>
      <w:r w:rsidR="00B13C11">
        <w:rPr>
          <w:rFonts w:cs="Times New Roman"/>
          <w:bCs/>
          <w:color w:val="000000"/>
          <w:szCs w:val="24"/>
        </w:rPr>
        <w:t xml:space="preserve"> this case.”</w:t>
      </w:r>
      <w:r w:rsidR="00B13C11">
        <w:rPr>
          <w:rStyle w:val="FootnoteReference"/>
          <w:rFonts w:cs="Times New Roman"/>
          <w:bCs/>
          <w:color w:val="000000"/>
          <w:szCs w:val="24"/>
        </w:rPr>
        <w:footnoteReference w:id="14"/>
      </w:r>
      <w:r w:rsidR="00B13C11">
        <w:rPr>
          <w:rFonts w:cs="Times New Roman"/>
          <w:bCs/>
          <w:color w:val="000000"/>
          <w:szCs w:val="24"/>
        </w:rPr>
        <w:t xml:space="preserve">  </w:t>
      </w:r>
      <w:r w:rsidR="00641A2C">
        <w:rPr>
          <w:rFonts w:cs="Times New Roman"/>
          <w:bCs/>
          <w:color w:val="000000"/>
          <w:szCs w:val="24"/>
        </w:rPr>
        <w:t>The additional paragraphs alleged that Ohio Bell’s record retention policies prevented Rite Rug from presenting the strongest evidence in favor of its case.</w:t>
      </w:r>
      <w:r w:rsidR="009D3654">
        <w:rPr>
          <w:rStyle w:val="FootnoteReference"/>
          <w:rFonts w:cs="Times New Roman"/>
          <w:bCs/>
          <w:color w:val="000000"/>
          <w:szCs w:val="24"/>
        </w:rPr>
        <w:footnoteReference w:id="15"/>
      </w:r>
      <w:r w:rsidR="00641A2C">
        <w:rPr>
          <w:rFonts w:cs="Times New Roman"/>
          <w:bCs/>
          <w:color w:val="000000"/>
          <w:szCs w:val="24"/>
        </w:rPr>
        <w:t xml:space="preserve">  </w:t>
      </w:r>
      <w:r w:rsidR="00B13C11">
        <w:rPr>
          <w:rFonts w:cs="Times New Roman"/>
          <w:bCs/>
          <w:color w:val="000000"/>
          <w:szCs w:val="24"/>
        </w:rPr>
        <w:t>The PUCO found good cause to amend the complaint.</w:t>
      </w:r>
      <w:r w:rsidR="00B13C11">
        <w:rPr>
          <w:rStyle w:val="FootnoteReference"/>
          <w:rFonts w:cs="Times New Roman"/>
          <w:bCs/>
          <w:color w:val="000000"/>
          <w:szCs w:val="24"/>
        </w:rPr>
        <w:footnoteReference w:id="16"/>
      </w:r>
    </w:p>
    <w:p w:rsidR="00641A2C" w:rsidRDefault="003650FF" w:rsidP="005B21E9">
      <w:pPr>
        <w:spacing w:after="0" w:line="480" w:lineRule="auto"/>
        <w:ind w:firstLine="720"/>
        <w:rPr>
          <w:rFonts w:cs="Times New Roman"/>
          <w:bCs/>
          <w:color w:val="000000"/>
          <w:szCs w:val="24"/>
        </w:rPr>
      </w:pPr>
      <w:r>
        <w:rPr>
          <w:rFonts w:cs="Times New Roman"/>
          <w:bCs/>
          <w:color w:val="000000"/>
          <w:szCs w:val="24"/>
        </w:rPr>
        <w:t>In this proceeding, the Complainant seeks to amend the Complaint in order to include another</w:t>
      </w:r>
      <w:r w:rsidR="00A01089">
        <w:rPr>
          <w:rFonts w:cs="Times New Roman"/>
          <w:bCs/>
          <w:color w:val="000000"/>
          <w:szCs w:val="24"/>
        </w:rPr>
        <w:t>, but related,</w:t>
      </w:r>
      <w:r>
        <w:rPr>
          <w:rFonts w:cs="Times New Roman"/>
          <w:bCs/>
          <w:color w:val="000000"/>
          <w:szCs w:val="24"/>
        </w:rPr>
        <w:t xml:space="preserve"> legal theory, i.e., that Duke’s actions also violated the </w:t>
      </w:r>
      <w:proofErr w:type="spellStart"/>
      <w:r>
        <w:rPr>
          <w:rFonts w:cs="Times New Roman"/>
          <w:bCs/>
          <w:color w:val="000000"/>
          <w:szCs w:val="24"/>
        </w:rPr>
        <w:t>PUCO’s</w:t>
      </w:r>
      <w:proofErr w:type="spellEnd"/>
      <w:r>
        <w:rPr>
          <w:rFonts w:cs="Times New Roman"/>
          <w:bCs/>
          <w:color w:val="000000"/>
          <w:szCs w:val="24"/>
        </w:rPr>
        <w:t xml:space="preserve"> 2011 Winter Reconnect Order.  The </w:t>
      </w:r>
      <w:proofErr w:type="spellStart"/>
      <w:r>
        <w:rPr>
          <w:rFonts w:cs="Times New Roman"/>
          <w:bCs/>
          <w:color w:val="000000"/>
          <w:szCs w:val="24"/>
        </w:rPr>
        <w:t>PUCO’s</w:t>
      </w:r>
      <w:proofErr w:type="spellEnd"/>
      <w:r>
        <w:rPr>
          <w:rFonts w:cs="Times New Roman"/>
          <w:bCs/>
          <w:color w:val="000000"/>
          <w:szCs w:val="24"/>
        </w:rPr>
        <w:t xml:space="preserve"> winter heating rules and the 2011 Winter Reconnect Order are related in that both set out procedures that utilities must follow before disconnecting customers during the winter months.  And both were in effect at the time Duke disconnected electric service to the Easterlings.  The Complainant is not alleging new facts or adding new, unrelated counts to the Complaint.</w:t>
      </w:r>
      <w:r>
        <w:rPr>
          <w:rStyle w:val="FootnoteReference"/>
          <w:rFonts w:cs="Times New Roman"/>
          <w:bCs/>
          <w:color w:val="000000"/>
          <w:szCs w:val="24"/>
        </w:rPr>
        <w:footnoteReference w:id="17"/>
      </w:r>
      <w:r w:rsidR="00A01089">
        <w:rPr>
          <w:rFonts w:cs="Times New Roman"/>
          <w:bCs/>
          <w:color w:val="000000"/>
          <w:szCs w:val="24"/>
        </w:rPr>
        <w:t xml:space="preserve">  Instead, the Complainant merely seeks to </w:t>
      </w:r>
      <w:r w:rsidR="00733448">
        <w:rPr>
          <w:rFonts w:cs="Times New Roman"/>
          <w:bCs/>
          <w:color w:val="000000"/>
          <w:szCs w:val="24"/>
        </w:rPr>
        <w:t>include a second legal theory that Duke was already aware of as an issue in this case.</w:t>
      </w:r>
    </w:p>
    <w:p w:rsidR="00733448" w:rsidRPr="009C180C" w:rsidRDefault="00733448" w:rsidP="005B21E9">
      <w:pPr>
        <w:spacing w:after="0" w:line="480" w:lineRule="auto"/>
        <w:ind w:firstLine="720"/>
        <w:rPr>
          <w:rFonts w:cs="Times New Roman"/>
          <w:bCs/>
          <w:color w:val="000000"/>
          <w:szCs w:val="24"/>
        </w:rPr>
      </w:pPr>
      <w:r>
        <w:rPr>
          <w:rFonts w:cs="Times New Roman"/>
          <w:bCs/>
          <w:color w:val="000000"/>
          <w:szCs w:val="24"/>
        </w:rPr>
        <w:lastRenderedPageBreak/>
        <w:t>There is good cause for amending the Complaint as requested in the Complainant’s Motion.  The PUCO should grant the Second Motion to Amend.</w:t>
      </w:r>
    </w:p>
    <w:p w:rsidR="00097BBB" w:rsidRPr="00022BAB" w:rsidRDefault="005B21E9" w:rsidP="00E9271E">
      <w:pPr>
        <w:spacing w:after="240" w:line="240" w:lineRule="auto"/>
        <w:ind w:left="1440" w:right="720" w:hanging="720"/>
        <w:rPr>
          <w:rFonts w:cs="Times New Roman"/>
          <w:b/>
          <w:bCs/>
          <w:color w:val="000000"/>
          <w:szCs w:val="24"/>
        </w:rPr>
      </w:pPr>
      <w:r>
        <w:rPr>
          <w:rFonts w:cs="Times New Roman"/>
          <w:b/>
          <w:bCs/>
          <w:color w:val="000000"/>
          <w:szCs w:val="24"/>
        </w:rPr>
        <w:t>B</w:t>
      </w:r>
      <w:r w:rsidR="00097BBB">
        <w:rPr>
          <w:rFonts w:cs="Times New Roman"/>
          <w:b/>
          <w:bCs/>
          <w:color w:val="000000"/>
          <w:szCs w:val="24"/>
        </w:rPr>
        <w:t>.</w:t>
      </w:r>
      <w:r w:rsidR="00097BBB">
        <w:rPr>
          <w:rFonts w:cs="Times New Roman"/>
          <w:b/>
          <w:bCs/>
          <w:color w:val="000000"/>
          <w:szCs w:val="24"/>
        </w:rPr>
        <w:tab/>
      </w:r>
      <w:r w:rsidR="003950D6">
        <w:rPr>
          <w:rFonts w:cs="Times New Roman"/>
          <w:b/>
          <w:bCs/>
          <w:color w:val="000000"/>
          <w:szCs w:val="24"/>
        </w:rPr>
        <w:t>Ohio Civ. R. 15(A) favors a liberal policy of amending complaints “when justice so requires</w:t>
      </w:r>
      <w:r w:rsidR="004A7E62">
        <w:rPr>
          <w:rFonts w:cs="Times New Roman"/>
          <w:b/>
          <w:bCs/>
          <w:color w:val="000000"/>
          <w:szCs w:val="24"/>
        </w:rPr>
        <w:t>.</w:t>
      </w:r>
      <w:r w:rsidR="003950D6">
        <w:rPr>
          <w:rFonts w:cs="Times New Roman"/>
          <w:b/>
          <w:bCs/>
          <w:color w:val="000000"/>
          <w:szCs w:val="24"/>
        </w:rPr>
        <w:t>”</w:t>
      </w:r>
    </w:p>
    <w:p w:rsidR="008D30F6" w:rsidRDefault="008D30F6" w:rsidP="00022BAB">
      <w:pPr>
        <w:spacing w:after="0" w:line="480" w:lineRule="auto"/>
        <w:ind w:firstLine="720"/>
        <w:contextualSpacing/>
        <w:rPr>
          <w:rFonts w:cs="Times New Roman"/>
          <w:szCs w:val="24"/>
        </w:rPr>
      </w:pPr>
      <w:r>
        <w:rPr>
          <w:rFonts w:cs="Times New Roman"/>
          <w:bCs/>
          <w:color w:val="000000"/>
          <w:szCs w:val="24"/>
        </w:rPr>
        <w:t xml:space="preserve">Ohio’s Rules of Civil Procedure provide for a liberal policy of amending complaints.  Ohio Civ. R. 15(A) </w:t>
      </w:r>
      <w:r w:rsidR="00557D7D">
        <w:rPr>
          <w:rFonts w:cs="Times New Roman"/>
          <w:bCs/>
          <w:color w:val="000000"/>
          <w:szCs w:val="24"/>
        </w:rPr>
        <w:t>mandates that courts “</w:t>
      </w:r>
      <w:r w:rsidR="00557D7D" w:rsidRPr="00557D7D">
        <w:rPr>
          <w:rFonts w:cs="Times New Roman"/>
          <w:szCs w:val="24"/>
        </w:rPr>
        <w:t>shall freely give leave when justice so requires.”</w:t>
      </w:r>
      <w:r w:rsidR="00557D7D">
        <w:rPr>
          <w:rFonts w:cs="Times New Roman"/>
          <w:szCs w:val="24"/>
        </w:rPr>
        <w:t xml:space="preserve">  In this case, justice requires that the PUCO grant Complainant’s Second Motion to Amend.</w:t>
      </w:r>
    </w:p>
    <w:p w:rsidR="005C5EDC" w:rsidRDefault="00504C91" w:rsidP="00022BAB">
      <w:pPr>
        <w:spacing w:after="0" w:line="480" w:lineRule="auto"/>
        <w:ind w:firstLine="720"/>
        <w:contextualSpacing/>
        <w:rPr>
          <w:rFonts w:cs="Times New Roman"/>
          <w:szCs w:val="24"/>
        </w:rPr>
      </w:pPr>
      <w:r>
        <w:rPr>
          <w:rFonts w:cs="Times New Roman"/>
          <w:szCs w:val="24"/>
        </w:rPr>
        <w:t xml:space="preserve">Complainant originally filed suit in </w:t>
      </w:r>
      <w:r w:rsidR="00557D7D">
        <w:rPr>
          <w:rFonts w:cs="Times New Roman"/>
          <w:szCs w:val="24"/>
        </w:rPr>
        <w:t>the Hamilton County Court of Common Pleas</w:t>
      </w:r>
      <w:r>
        <w:rPr>
          <w:rFonts w:cs="Times New Roman"/>
          <w:szCs w:val="24"/>
        </w:rPr>
        <w:t xml:space="preserve">. </w:t>
      </w:r>
      <w:r w:rsidR="00557D7D">
        <w:rPr>
          <w:rFonts w:cs="Times New Roman"/>
          <w:szCs w:val="24"/>
        </w:rPr>
        <w:t xml:space="preserve"> </w:t>
      </w:r>
      <w:r>
        <w:rPr>
          <w:rFonts w:cs="Times New Roman"/>
          <w:szCs w:val="24"/>
        </w:rPr>
        <w:t>I</w:t>
      </w:r>
      <w:r w:rsidR="003A48BC">
        <w:rPr>
          <w:rFonts w:cs="Times New Roman"/>
          <w:szCs w:val="24"/>
        </w:rPr>
        <w:t>n the court case, the complaint noted that Duke disconnected service to the Easterlings on November 4, 2011.</w:t>
      </w:r>
      <w:r w:rsidR="003A48BC">
        <w:rPr>
          <w:rStyle w:val="FootnoteReference"/>
          <w:rFonts w:cs="Times New Roman"/>
          <w:szCs w:val="24"/>
        </w:rPr>
        <w:footnoteReference w:id="18"/>
      </w:r>
      <w:r w:rsidR="003A48BC">
        <w:rPr>
          <w:rFonts w:cs="Times New Roman"/>
          <w:szCs w:val="24"/>
        </w:rPr>
        <w:t xml:space="preserve">  The complaint there also noted that “[t]</w:t>
      </w:r>
      <w:r w:rsidR="003A48BC" w:rsidRPr="003A48BC">
        <w:rPr>
          <w:rFonts w:cs="Times New Roman"/>
          <w:szCs w:val="24"/>
        </w:rPr>
        <w:t>his discontinuation of service remained in effect until November 21, 2011, in violation of Ohio Revised Code Section 4933.121, regulations promulgated by the Public Utilities Commission of Ohio and Duke</w:t>
      </w:r>
      <w:r w:rsidR="00B92C5D">
        <w:rPr>
          <w:rFonts w:cs="Times New Roman"/>
          <w:szCs w:val="24"/>
        </w:rPr>
        <w:t>’</w:t>
      </w:r>
      <w:r w:rsidR="003A48BC" w:rsidRPr="003A48BC">
        <w:rPr>
          <w:rFonts w:cs="Times New Roman"/>
          <w:szCs w:val="24"/>
        </w:rPr>
        <w:t>s own internal policies and procedures, all relating to the discontinuation of natural gas and electrical service to residential customers during expected cold weather seasons.</w:t>
      </w:r>
      <w:r w:rsidR="003A48BC">
        <w:rPr>
          <w:rFonts w:cs="Times New Roman"/>
          <w:szCs w:val="24"/>
        </w:rPr>
        <w:t>”</w:t>
      </w:r>
      <w:r w:rsidR="003A48BC">
        <w:rPr>
          <w:rStyle w:val="FootnoteReference"/>
          <w:rFonts w:cs="Times New Roman"/>
          <w:szCs w:val="24"/>
        </w:rPr>
        <w:footnoteReference w:id="19"/>
      </w:r>
      <w:r>
        <w:rPr>
          <w:rFonts w:cs="Times New Roman"/>
          <w:szCs w:val="24"/>
        </w:rPr>
        <w:t xml:space="preserve">  The court ruled that the PUCO has exclusive jurisdiction over the matter “because the claim is for Defendant’s termination of utilities”</w:t>
      </w:r>
      <w:r>
        <w:rPr>
          <w:rStyle w:val="FootnoteReference"/>
          <w:rFonts w:cs="Times New Roman"/>
          <w:szCs w:val="24"/>
        </w:rPr>
        <w:footnoteReference w:id="20"/>
      </w:r>
      <w:r>
        <w:rPr>
          <w:rFonts w:cs="Times New Roman"/>
          <w:szCs w:val="24"/>
        </w:rPr>
        <w:t xml:space="preserve"> and dismissed the case.</w:t>
      </w:r>
      <w:r w:rsidR="005C5EDC">
        <w:rPr>
          <w:rFonts w:cs="Times New Roman"/>
          <w:szCs w:val="24"/>
        </w:rPr>
        <w:t xml:space="preserve">  In the Complaint in this proceeding, the Complainant specifically mentioned PUCO rules applicable to disconnections of service during the winter months, i.e., Ohio Adm. Code 4901:1-18-06(B) and 4901:1-18-05.</w:t>
      </w:r>
      <w:r w:rsidR="005C5EDC">
        <w:rPr>
          <w:rStyle w:val="FootnoteReference"/>
          <w:rFonts w:cs="Times New Roman"/>
          <w:szCs w:val="24"/>
        </w:rPr>
        <w:footnoteReference w:id="21"/>
      </w:r>
    </w:p>
    <w:p w:rsidR="00736717" w:rsidRDefault="005C5EDC" w:rsidP="00022BAB">
      <w:pPr>
        <w:spacing w:after="0" w:line="480" w:lineRule="auto"/>
        <w:ind w:firstLine="720"/>
        <w:contextualSpacing/>
        <w:rPr>
          <w:rFonts w:cs="Times New Roman"/>
          <w:szCs w:val="24"/>
        </w:rPr>
      </w:pPr>
      <w:r>
        <w:rPr>
          <w:rFonts w:cs="Times New Roman"/>
          <w:szCs w:val="24"/>
        </w:rPr>
        <w:lastRenderedPageBreak/>
        <w:t xml:space="preserve">But </w:t>
      </w:r>
      <w:r w:rsidR="000B1103">
        <w:rPr>
          <w:rFonts w:cs="Times New Roman"/>
          <w:szCs w:val="24"/>
        </w:rPr>
        <w:t>in its Answer to the Complaint, Duke asserted as an affirmative defense that “at all times relevant to Complainant’s claims</w:t>
      </w:r>
      <w:r w:rsidR="000B1103" w:rsidRPr="000B1103">
        <w:rPr>
          <w:rFonts w:cs="Times New Roman"/>
          <w:szCs w:val="24"/>
        </w:rPr>
        <w:t xml:space="preserve"> the Company has provided reasonable and adequate service and billed its customer Estill Easterling </w:t>
      </w:r>
      <w:r w:rsidR="000B1103" w:rsidRPr="00E074A8">
        <w:rPr>
          <w:rFonts w:cs="Times New Roman"/>
          <w:szCs w:val="24"/>
          <w:u w:val="single"/>
        </w:rPr>
        <w:t>according to all applicable provisions of Title 49 of the Ohio Revised Code and regulations promulgated thereunder</w:t>
      </w:r>
      <w:r w:rsidR="000B1103" w:rsidRPr="000B1103">
        <w:rPr>
          <w:rFonts w:cs="Times New Roman"/>
          <w:szCs w:val="24"/>
        </w:rPr>
        <w:t>….”</w:t>
      </w:r>
      <w:r w:rsidR="000B1103">
        <w:rPr>
          <w:rStyle w:val="FootnoteReference"/>
          <w:rFonts w:cs="Times New Roman"/>
          <w:szCs w:val="24"/>
        </w:rPr>
        <w:footnoteReference w:id="22"/>
      </w:r>
      <w:r w:rsidR="000B1103">
        <w:rPr>
          <w:rFonts w:cs="Times New Roman"/>
          <w:szCs w:val="24"/>
        </w:rPr>
        <w:t xml:space="preserve">  Duke itself brought </w:t>
      </w:r>
      <w:r w:rsidR="00736717">
        <w:rPr>
          <w:rFonts w:cs="Times New Roman"/>
          <w:szCs w:val="24"/>
        </w:rPr>
        <w:t xml:space="preserve">into the case </w:t>
      </w:r>
      <w:r w:rsidR="000B1103">
        <w:rPr>
          <w:rFonts w:cs="Times New Roman"/>
          <w:szCs w:val="24"/>
        </w:rPr>
        <w:t xml:space="preserve">more than </w:t>
      </w:r>
      <w:r w:rsidR="00736717">
        <w:rPr>
          <w:rFonts w:cs="Times New Roman"/>
          <w:szCs w:val="24"/>
        </w:rPr>
        <w:t xml:space="preserve">just the two provisions of the </w:t>
      </w:r>
      <w:proofErr w:type="spellStart"/>
      <w:r w:rsidR="00736717">
        <w:rPr>
          <w:rFonts w:cs="Times New Roman"/>
          <w:szCs w:val="24"/>
        </w:rPr>
        <w:t>PUCO’s</w:t>
      </w:r>
      <w:proofErr w:type="spellEnd"/>
      <w:r w:rsidR="00736717">
        <w:rPr>
          <w:rFonts w:cs="Times New Roman"/>
          <w:szCs w:val="24"/>
        </w:rPr>
        <w:t xml:space="preserve"> rules cited in the Complaint.</w:t>
      </w:r>
    </w:p>
    <w:p w:rsidR="005C5EDC" w:rsidRDefault="00736717" w:rsidP="00022BAB">
      <w:pPr>
        <w:spacing w:after="0" w:line="480" w:lineRule="auto"/>
        <w:ind w:firstLine="720"/>
        <w:contextualSpacing/>
        <w:rPr>
          <w:rFonts w:cs="Times New Roman"/>
          <w:szCs w:val="24"/>
        </w:rPr>
      </w:pPr>
      <w:r>
        <w:rPr>
          <w:rFonts w:cs="Times New Roman"/>
          <w:szCs w:val="24"/>
        </w:rPr>
        <w:t xml:space="preserve">Among the applicable provisions of Title 49 of the Ohio Revised Code is </w:t>
      </w:r>
      <w:proofErr w:type="spellStart"/>
      <w:r>
        <w:rPr>
          <w:rFonts w:cs="Times New Roman"/>
          <w:szCs w:val="24"/>
        </w:rPr>
        <w:t>R.C</w:t>
      </w:r>
      <w:proofErr w:type="spellEnd"/>
      <w:r>
        <w:rPr>
          <w:rFonts w:cs="Times New Roman"/>
          <w:szCs w:val="24"/>
        </w:rPr>
        <w:t>. 4905.54.  This requires that “[e]</w:t>
      </w:r>
      <w:r w:rsidR="005C5EDC" w:rsidRPr="005C5EDC">
        <w:rPr>
          <w:rFonts w:cs="Times New Roman"/>
          <w:szCs w:val="24"/>
        </w:rPr>
        <w:t xml:space="preserve">very public utility or railroad and every officer of a public utility or railroad shall comply with every order, direction, and requirement of the public utilities commission made under authority of this chapter and Chapters 4901., 4903., 4907., and 4909. </w:t>
      </w:r>
      <w:proofErr w:type="gramStart"/>
      <w:r w:rsidR="005C5EDC" w:rsidRPr="005C5EDC">
        <w:rPr>
          <w:rFonts w:cs="Times New Roman"/>
          <w:szCs w:val="24"/>
        </w:rPr>
        <w:t>of</w:t>
      </w:r>
      <w:proofErr w:type="gramEnd"/>
      <w:r w:rsidR="005C5EDC" w:rsidRPr="005C5EDC">
        <w:rPr>
          <w:rFonts w:cs="Times New Roman"/>
          <w:szCs w:val="24"/>
        </w:rPr>
        <w:t xml:space="preserve"> the Revised Code, so long as they remain in force.</w:t>
      </w:r>
      <w:r>
        <w:rPr>
          <w:rFonts w:cs="Times New Roman"/>
          <w:szCs w:val="24"/>
        </w:rPr>
        <w:t xml:space="preserve">”  The 2011 Winter Reconnect Order was issued under </w:t>
      </w:r>
      <w:proofErr w:type="spellStart"/>
      <w:r>
        <w:rPr>
          <w:rFonts w:cs="Times New Roman"/>
          <w:szCs w:val="24"/>
        </w:rPr>
        <w:t>R.C</w:t>
      </w:r>
      <w:proofErr w:type="spellEnd"/>
      <w:r>
        <w:rPr>
          <w:rFonts w:cs="Times New Roman"/>
          <w:szCs w:val="24"/>
        </w:rPr>
        <w:t>. 4909.16.</w:t>
      </w:r>
      <w:r>
        <w:rPr>
          <w:rStyle w:val="FootnoteReference"/>
          <w:rFonts w:cs="Times New Roman"/>
          <w:szCs w:val="24"/>
        </w:rPr>
        <w:footnoteReference w:id="23"/>
      </w:r>
      <w:r>
        <w:rPr>
          <w:rFonts w:cs="Times New Roman"/>
          <w:szCs w:val="24"/>
        </w:rPr>
        <w:t xml:space="preserve">  Hence </w:t>
      </w:r>
      <w:r w:rsidR="00AC08E6">
        <w:rPr>
          <w:rFonts w:cs="Times New Roman"/>
          <w:szCs w:val="24"/>
        </w:rPr>
        <w:t xml:space="preserve">a determination regarding </w:t>
      </w:r>
      <w:r>
        <w:rPr>
          <w:rFonts w:cs="Times New Roman"/>
          <w:szCs w:val="24"/>
        </w:rPr>
        <w:t xml:space="preserve">Duke’s </w:t>
      </w:r>
      <w:r w:rsidR="00AC08E6">
        <w:rPr>
          <w:rFonts w:cs="Times New Roman"/>
          <w:szCs w:val="24"/>
        </w:rPr>
        <w:t xml:space="preserve">alleged </w:t>
      </w:r>
      <w:r>
        <w:rPr>
          <w:rFonts w:cs="Times New Roman"/>
          <w:szCs w:val="24"/>
        </w:rPr>
        <w:t xml:space="preserve">compliance with the 2011 Winter Reconnect Order is pertinent to Duke’s claim that it provided </w:t>
      </w:r>
      <w:r w:rsidR="003A2448">
        <w:rPr>
          <w:rFonts w:cs="Times New Roman"/>
          <w:szCs w:val="24"/>
        </w:rPr>
        <w:t>reasonable and adequate service to the Easterlings, whose electric service Duke disconnected during the 2011 winter heating season.</w:t>
      </w:r>
    </w:p>
    <w:p w:rsidR="003A2448" w:rsidRDefault="003A2448" w:rsidP="00022BAB">
      <w:pPr>
        <w:spacing w:after="0" w:line="480" w:lineRule="auto"/>
        <w:ind w:firstLine="720"/>
        <w:contextualSpacing/>
        <w:rPr>
          <w:rFonts w:cs="Times New Roman"/>
          <w:szCs w:val="24"/>
        </w:rPr>
      </w:pPr>
      <w:r>
        <w:rPr>
          <w:rFonts w:cs="Times New Roman"/>
          <w:bCs/>
          <w:color w:val="000000"/>
          <w:szCs w:val="24"/>
        </w:rPr>
        <w:t xml:space="preserve">Moreover, granting the Second Motion to Amend is necessary for justice in this case.  Duke would have the PUCO ignore the fact that the 2011 Winter Reconnect Order extended the winter heating season into the latter part of October.  Duke would </w:t>
      </w:r>
      <w:r w:rsidR="008234BE">
        <w:rPr>
          <w:rFonts w:cs="Times New Roman"/>
          <w:bCs/>
          <w:color w:val="000000"/>
          <w:szCs w:val="24"/>
        </w:rPr>
        <w:t xml:space="preserve">also </w:t>
      </w:r>
      <w:r>
        <w:rPr>
          <w:rFonts w:cs="Times New Roman"/>
          <w:bCs/>
          <w:color w:val="000000"/>
          <w:szCs w:val="24"/>
        </w:rPr>
        <w:t>have the PUCO ignore that the 2011 Winter Reconnect Order include</w:t>
      </w:r>
      <w:r w:rsidR="008234BE">
        <w:rPr>
          <w:rFonts w:cs="Times New Roman"/>
          <w:bCs/>
          <w:color w:val="000000"/>
          <w:szCs w:val="24"/>
        </w:rPr>
        <w:t>d</w:t>
      </w:r>
      <w:r>
        <w:rPr>
          <w:rFonts w:cs="Times New Roman"/>
          <w:bCs/>
          <w:color w:val="000000"/>
          <w:szCs w:val="24"/>
        </w:rPr>
        <w:t xml:space="preserve"> directives beyond the process contained in the winter heating rules.  One directive is that the PUCO “</w:t>
      </w:r>
      <w:r>
        <w:rPr>
          <w:rFonts w:cs="Times New Roman"/>
          <w:szCs w:val="24"/>
        </w:rPr>
        <w:t xml:space="preserve">expects that the utility companies under our jurisdiction will assist customers in every way </w:t>
      </w:r>
      <w:r>
        <w:rPr>
          <w:rFonts w:cs="Times New Roman"/>
          <w:szCs w:val="24"/>
        </w:rPr>
        <w:lastRenderedPageBreak/>
        <w:t>possible to maintain their service for heating purposes.”</w:t>
      </w:r>
      <w:r>
        <w:rPr>
          <w:rStyle w:val="FootnoteReference"/>
          <w:rFonts w:cs="Times New Roman"/>
          <w:szCs w:val="24"/>
        </w:rPr>
        <w:footnoteReference w:id="24"/>
      </w:r>
      <w:r>
        <w:rPr>
          <w:rFonts w:cs="Times New Roman"/>
          <w:szCs w:val="24"/>
        </w:rPr>
        <w:t xml:space="preserve">  Another is that the PUCO “expects the utilities to err on the side of maintaining service when there is a doubt as to the applicability or the interpretation of a rule.”</w:t>
      </w:r>
      <w:r>
        <w:rPr>
          <w:rStyle w:val="FootnoteReference"/>
          <w:rFonts w:cs="Times New Roman"/>
          <w:szCs w:val="24"/>
        </w:rPr>
        <w:footnoteReference w:id="25"/>
      </w:r>
      <w:r w:rsidR="008234BE">
        <w:rPr>
          <w:rFonts w:cs="Times New Roman"/>
          <w:szCs w:val="24"/>
        </w:rPr>
        <w:t xml:space="preserve">  Duke would also have the PUCO ignore its declaration that “[</w:t>
      </w:r>
      <w:proofErr w:type="spellStart"/>
      <w:r w:rsidR="008234BE">
        <w:rPr>
          <w:rFonts w:cs="Times New Roman"/>
          <w:szCs w:val="24"/>
        </w:rPr>
        <w:t>i</w:t>
      </w:r>
      <w:proofErr w:type="spellEnd"/>
      <w:r w:rsidR="008234BE">
        <w:rPr>
          <w:rFonts w:cs="Times New Roman"/>
          <w:szCs w:val="24"/>
        </w:rPr>
        <w:t>]f the Commission determines that a utility is not following these procedures, we will take those steps we deem appropriate to protect the customers served by that utility.”</w:t>
      </w:r>
      <w:r w:rsidR="008234BE">
        <w:rPr>
          <w:rStyle w:val="FootnoteReference"/>
          <w:rFonts w:cs="Times New Roman"/>
          <w:szCs w:val="24"/>
        </w:rPr>
        <w:footnoteReference w:id="26"/>
      </w:r>
    </w:p>
    <w:p w:rsidR="004A7E62" w:rsidRDefault="007D5A2C" w:rsidP="007D5A2C">
      <w:pPr>
        <w:spacing w:after="0" w:line="480" w:lineRule="auto"/>
        <w:ind w:firstLine="720"/>
        <w:contextualSpacing/>
        <w:rPr>
          <w:rFonts w:cs="Times New Roman"/>
          <w:bCs/>
          <w:color w:val="000000"/>
          <w:szCs w:val="24"/>
        </w:rPr>
      </w:pPr>
      <w:r>
        <w:rPr>
          <w:rFonts w:cs="Times New Roman"/>
          <w:bCs/>
          <w:color w:val="000000"/>
          <w:szCs w:val="24"/>
        </w:rPr>
        <w:t>For justice to be served in this case, the PUCO needs to look beyond the requirements in the winter heating rules.  The PUCO should also consider the special procedures that were in effect during November 2011 through the Winter Reconnect Order.  The PUCO should grant Complainant’s Motion.</w:t>
      </w:r>
      <w:r w:rsidR="001C42C2" w:rsidRPr="00A8612B">
        <w:rPr>
          <w:rFonts w:cs="Times New Roman"/>
          <w:bCs/>
          <w:color w:val="000000"/>
          <w:szCs w:val="24"/>
        </w:rPr>
        <w:t xml:space="preserve">  </w:t>
      </w:r>
    </w:p>
    <w:p w:rsidR="004A7E62" w:rsidRPr="004A7E62" w:rsidRDefault="00F528CC" w:rsidP="00E9271E">
      <w:pPr>
        <w:spacing w:after="240" w:line="240" w:lineRule="auto"/>
        <w:ind w:left="1440" w:right="720" w:hanging="720"/>
        <w:rPr>
          <w:rFonts w:cs="Times New Roman"/>
          <w:b/>
          <w:bCs/>
          <w:color w:val="000000"/>
          <w:szCs w:val="24"/>
        </w:rPr>
      </w:pPr>
      <w:r>
        <w:rPr>
          <w:rFonts w:cs="Times New Roman"/>
          <w:b/>
          <w:bCs/>
          <w:color w:val="000000"/>
          <w:szCs w:val="24"/>
        </w:rPr>
        <w:t>C</w:t>
      </w:r>
      <w:r w:rsidR="004A7E62">
        <w:rPr>
          <w:rFonts w:cs="Times New Roman"/>
          <w:b/>
          <w:bCs/>
          <w:color w:val="000000"/>
          <w:szCs w:val="24"/>
        </w:rPr>
        <w:t>.</w:t>
      </w:r>
      <w:r w:rsidR="004A7E62">
        <w:rPr>
          <w:rFonts w:cs="Times New Roman"/>
          <w:b/>
          <w:bCs/>
          <w:color w:val="000000"/>
          <w:szCs w:val="24"/>
        </w:rPr>
        <w:tab/>
      </w:r>
      <w:r w:rsidR="0076480D">
        <w:rPr>
          <w:rFonts w:cs="Times New Roman"/>
          <w:b/>
          <w:bCs/>
          <w:color w:val="000000"/>
          <w:szCs w:val="24"/>
        </w:rPr>
        <w:t>The evidence in the record supports granting the Complainant’s Motion</w:t>
      </w:r>
      <w:r w:rsidR="004A7E62">
        <w:rPr>
          <w:rFonts w:cs="Times New Roman"/>
          <w:b/>
          <w:bCs/>
          <w:color w:val="000000"/>
          <w:szCs w:val="24"/>
        </w:rPr>
        <w:t>.</w:t>
      </w:r>
    </w:p>
    <w:p w:rsidR="0076480D" w:rsidRDefault="0076480D" w:rsidP="004014C8">
      <w:pPr>
        <w:spacing w:after="0" w:line="480" w:lineRule="auto"/>
        <w:ind w:firstLine="720"/>
        <w:rPr>
          <w:rFonts w:cs="Times New Roman"/>
          <w:bCs/>
          <w:color w:val="000000"/>
          <w:szCs w:val="24"/>
        </w:rPr>
      </w:pPr>
      <w:r>
        <w:rPr>
          <w:rFonts w:cs="Times New Roman"/>
          <w:bCs/>
          <w:color w:val="000000"/>
          <w:szCs w:val="24"/>
        </w:rPr>
        <w:t>Duke contends that there is no evidence to support the new claims in the proposed amended Complaint.</w:t>
      </w:r>
      <w:r>
        <w:rPr>
          <w:rStyle w:val="FootnoteReference"/>
          <w:rFonts w:cs="Times New Roman"/>
          <w:bCs/>
          <w:color w:val="000000"/>
          <w:szCs w:val="24"/>
        </w:rPr>
        <w:footnoteReference w:id="27"/>
      </w:r>
      <w:r>
        <w:rPr>
          <w:rFonts w:cs="Times New Roman"/>
          <w:bCs/>
          <w:color w:val="000000"/>
          <w:szCs w:val="24"/>
        </w:rPr>
        <w:t xml:space="preserve">  </w:t>
      </w:r>
      <w:r w:rsidR="00EE4D09">
        <w:rPr>
          <w:rFonts w:cs="Times New Roman"/>
          <w:bCs/>
          <w:color w:val="000000"/>
          <w:szCs w:val="24"/>
        </w:rPr>
        <w:t>Duke is wrong.</w:t>
      </w:r>
    </w:p>
    <w:p w:rsidR="00EE4D09" w:rsidRPr="00EE4D09" w:rsidRDefault="00EE4D09" w:rsidP="00EE4D09">
      <w:pPr>
        <w:spacing w:after="0" w:line="480" w:lineRule="auto"/>
        <w:ind w:firstLine="720"/>
        <w:rPr>
          <w:rFonts w:eastAsia="Calibri" w:cs="Times New Roman"/>
        </w:rPr>
      </w:pPr>
      <w:r>
        <w:rPr>
          <w:rFonts w:cs="Times New Roman"/>
          <w:bCs/>
          <w:color w:val="000000"/>
          <w:szCs w:val="24"/>
        </w:rPr>
        <w:t xml:space="preserve">Duke’s own statements in the record of this proceeding and elsewhere point to Duke’s misapplication of the winter heating rules and the 2011 Winter Reconnect Order.  </w:t>
      </w:r>
      <w:r w:rsidRPr="00EE4D09">
        <w:rPr>
          <w:rFonts w:eastAsia="Calibri" w:cs="Times New Roman"/>
        </w:rPr>
        <w:t>In th</w:t>
      </w:r>
      <w:r>
        <w:rPr>
          <w:rFonts w:eastAsia="Calibri" w:cs="Times New Roman"/>
        </w:rPr>
        <w:t>is c</w:t>
      </w:r>
      <w:r w:rsidRPr="00EE4D09">
        <w:rPr>
          <w:rFonts w:cs="Times New Roman"/>
          <w:szCs w:val="24"/>
        </w:rPr>
        <w:t>ase</w:t>
      </w:r>
      <w:r w:rsidRPr="00EE4D09">
        <w:rPr>
          <w:rFonts w:eastAsia="Calibri" w:cs="Times New Roman"/>
        </w:rPr>
        <w:t>, Duke has repeatedly contended that the special procedures contained in the winter rules apply only if the customer incurred the charges leading to disconnection during the winter heating season.</w:t>
      </w:r>
      <w:r w:rsidRPr="00EE4D09">
        <w:rPr>
          <w:rFonts w:eastAsia="Calibri" w:cs="Times New Roman"/>
          <w:vertAlign w:val="superscript"/>
        </w:rPr>
        <w:footnoteReference w:id="28"/>
      </w:r>
      <w:r w:rsidRPr="00EE4D09">
        <w:rPr>
          <w:rFonts w:eastAsia="Calibri" w:cs="Times New Roman"/>
        </w:rPr>
        <w:t xml:space="preserve">  </w:t>
      </w:r>
    </w:p>
    <w:p w:rsidR="00EE4D09" w:rsidRPr="00EE4D09" w:rsidRDefault="00EE4D09" w:rsidP="00EE4D09">
      <w:pPr>
        <w:spacing w:after="0" w:line="480" w:lineRule="auto"/>
        <w:ind w:firstLine="720"/>
        <w:rPr>
          <w:rFonts w:eastAsia="Calibri" w:cs="Times New Roman"/>
        </w:rPr>
      </w:pPr>
      <w:r w:rsidRPr="00EE4D09">
        <w:rPr>
          <w:rFonts w:eastAsia="Calibri" w:cs="Times New Roman"/>
        </w:rPr>
        <w:lastRenderedPageBreak/>
        <w:t xml:space="preserve">Duke </w:t>
      </w:r>
      <w:r w:rsidR="004E0925">
        <w:rPr>
          <w:rFonts w:eastAsia="Calibri" w:cs="Times New Roman"/>
        </w:rPr>
        <w:t>ignores</w:t>
      </w:r>
      <w:r w:rsidRPr="00EE4D09">
        <w:rPr>
          <w:rFonts w:eastAsia="Calibri" w:cs="Times New Roman"/>
        </w:rPr>
        <w:t xml:space="preserve"> the fact that </w:t>
      </w:r>
      <w:r w:rsidR="004E0925">
        <w:rPr>
          <w:rFonts w:eastAsia="Calibri" w:cs="Times New Roman"/>
        </w:rPr>
        <w:t xml:space="preserve">both the winter heating rules and </w:t>
      </w:r>
      <w:r w:rsidRPr="00EE4D09">
        <w:rPr>
          <w:rFonts w:eastAsia="Calibri" w:cs="Times New Roman"/>
        </w:rPr>
        <w:t xml:space="preserve">the </w:t>
      </w:r>
      <w:r w:rsidR="004E0925">
        <w:rPr>
          <w:rFonts w:eastAsia="Calibri" w:cs="Times New Roman"/>
        </w:rPr>
        <w:t xml:space="preserve">2011 </w:t>
      </w:r>
      <w:r w:rsidRPr="00EE4D09">
        <w:rPr>
          <w:rFonts w:eastAsia="Calibri" w:cs="Times New Roman"/>
        </w:rPr>
        <w:t xml:space="preserve">Winter Reconnect Order provide otherwise.  </w:t>
      </w:r>
      <w:r w:rsidR="004E0925">
        <w:rPr>
          <w:rFonts w:eastAsia="Calibri" w:cs="Times New Roman"/>
        </w:rPr>
        <w:t>Both Ohio Adm. Code 4901:1-18-06(B) and t</w:t>
      </w:r>
      <w:r w:rsidRPr="00EE4D09">
        <w:rPr>
          <w:rFonts w:eastAsia="Calibri" w:cs="Times New Roman"/>
        </w:rPr>
        <w:t xml:space="preserve">he </w:t>
      </w:r>
      <w:r w:rsidR="004E0925">
        <w:rPr>
          <w:rFonts w:eastAsia="Calibri" w:cs="Times New Roman"/>
        </w:rPr>
        <w:t xml:space="preserve">2011 </w:t>
      </w:r>
      <w:r w:rsidRPr="00EE4D09">
        <w:rPr>
          <w:rFonts w:eastAsia="Calibri" w:cs="Times New Roman"/>
        </w:rPr>
        <w:t>Winter Reconnect Order makes no distinction as to when arrearages arise.  Rather</w:t>
      </w:r>
      <w:r w:rsidR="00E074A8">
        <w:rPr>
          <w:rFonts w:eastAsia="Calibri" w:cs="Times New Roman"/>
        </w:rPr>
        <w:t>,</w:t>
      </w:r>
      <w:r w:rsidRPr="00EE4D09">
        <w:rPr>
          <w:rFonts w:eastAsia="Calibri" w:cs="Times New Roman"/>
        </w:rPr>
        <w:t xml:space="preserve"> </w:t>
      </w:r>
      <w:r w:rsidR="004E0925">
        <w:rPr>
          <w:rFonts w:eastAsia="Calibri" w:cs="Times New Roman"/>
        </w:rPr>
        <w:t>both the rule and the 2011 Winter Reconnect Order focus</w:t>
      </w:r>
      <w:r w:rsidRPr="00EE4D09">
        <w:rPr>
          <w:rFonts w:eastAsia="Calibri" w:cs="Times New Roman"/>
        </w:rPr>
        <w:t xml:space="preserve"> on the fact that customers need special protection during the winter heating season, regardless of when the usage occurred.  </w:t>
      </w:r>
    </w:p>
    <w:p w:rsidR="00EE4D09" w:rsidRPr="00EE4D09" w:rsidRDefault="00EE4D09" w:rsidP="00EE4D09">
      <w:pPr>
        <w:spacing w:after="0" w:line="480" w:lineRule="auto"/>
        <w:ind w:firstLine="720"/>
        <w:rPr>
          <w:rFonts w:eastAsia="Calibri" w:cs="Times New Roman"/>
        </w:rPr>
      </w:pPr>
      <w:r w:rsidRPr="00EE4D09">
        <w:rPr>
          <w:rFonts w:eastAsia="Calibri" w:cs="Times New Roman"/>
        </w:rPr>
        <w:t xml:space="preserve">The language contained in the </w:t>
      </w:r>
      <w:r w:rsidR="004E0925">
        <w:rPr>
          <w:rFonts w:eastAsia="Calibri" w:cs="Times New Roman"/>
        </w:rPr>
        <w:t xml:space="preserve">2011 </w:t>
      </w:r>
      <w:r w:rsidRPr="00EE4D09">
        <w:rPr>
          <w:rFonts w:eastAsia="Calibri" w:cs="Times New Roman"/>
        </w:rPr>
        <w:t>Winter Reconnect Order bears this out.  For instance</w:t>
      </w:r>
      <w:r w:rsidR="004E0925">
        <w:rPr>
          <w:rFonts w:eastAsia="Calibri" w:cs="Times New Roman"/>
        </w:rPr>
        <w:t>,</w:t>
      </w:r>
      <w:r w:rsidRPr="00EE4D09">
        <w:rPr>
          <w:rFonts w:eastAsia="Calibri" w:cs="Times New Roman"/>
        </w:rPr>
        <w:t xml:space="preserve"> in </w:t>
      </w:r>
      <w:r w:rsidR="004E0925">
        <w:rPr>
          <w:rFonts w:eastAsia="Calibri" w:cs="Times New Roman"/>
        </w:rPr>
        <w:t>the 2011</w:t>
      </w:r>
      <w:r w:rsidRPr="00EE4D09">
        <w:rPr>
          <w:rFonts w:eastAsia="Calibri" w:cs="Times New Roman"/>
        </w:rPr>
        <w:t xml:space="preserve"> Winter Reconnect Order </w:t>
      </w:r>
      <w:r w:rsidR="004E0925" w:rsidRPr="00EE4D09">
        <w:rPr>
          <w:rFonts w:eastAsia="Calibri" w:cs="Times New Roman"/>
        </w:rPr>
        <w:t xml:space="preserve">the PUCO </w:t>
      </w:r>
      <w:r w:rsidR="004E0925">
        <w:rPr>
          <w:rFonts w:eastAsia="Calibri" w:cs="Times New Roman"/>
        </w:rPr>
        <w:t xml:space="preserve">found </w:t>
      </w:r>
      <w:r w:rsidRPr="00EE4D09">
        <w:rPr>
          <w:rFonts w:eastAsia="Calibri" w:cs="Times New Roman"/>
        </w:rPr>
        <w:t xml:space="preserve">a “continuing emergency” under </w:t>
      </w:r>
      <w:proofErr w:type="spellStart"/>
      <w:r w:rsidRPr="00EE4D09">
        <w:rPr>
          <w:rFonts w:eastAsia="Calibri" w:cs="Times New Roman"/>
        </w:rPr>
        <w:t>R.C</w:t>
      </w:r>
      <w:proofErr w:type="spellEnd"/>
      <w:r w:rsidRPr="00EE4D09">
        <w:rPr>
          <w:rFonts w:eastAsia="Calibri" w:cs="Times New Roman"/>
        </w:rPr>
        <w:t xml:space="preserve">. 4901.16 based on “a number of Ohio citizens [who] will </w:t>
      </w:r>
      <w:r w:rsidRPr="00EE4D09">
        <w:rPr>
          <w:rFonts w:eastAsia="Calibri" w:cs="Times New Roman"/>
          <w:u w:val="single"/>
        </w:rPr>
        <w:t>enter</w:t>
      </w:r>
      <w:r w:rsidRPr="00EE4D09">
        <w:rPr>
          <w:rFonts w:eastAsia="Calibri" w:cs="Times New Roman"/>
        </w:rPr>
        <w:t xml:space="preserve"> the winter season without utility service for heating purposes.”</w:t>
      </w:r>
      <w:r w:rsidRPr="00EE4D09">
        <w:rPr>
          <w:rFonts w:eastAsia="Calibri" w:cs="Times New Roman"/>
          <w:vertAlign w:val="superscript"/>
        </w:rPr>
        <w:footnoteReference w:id="29"/>
      </w:r>
      <w:r w:rsidRPr="00EE4D09">
        <w:rPr>
          <w:rFonts w:eastAsia="Calibri" w:cs="Times New Roman"/>
        </w:rPr>
        <w:t xml:space="preserve">  This finding can only make sense if the Winter Reconnect Order applies to customers who are disconnected for arrearages that exist prior to the winter heating season.  </w:t>
      </w:r>
    </w:p>
    <w:p w:rsidR="00EE4D09" w:rsidRPr="00EE4D09" w:rsidRDefault="00EE4D09" w:rsidP="00EE4D09">
      <w:pPr>
        <w:spacing w:after="0" w:line="480" w:lineRule="auto"/>
        <w:ind w:firstLine="720"/>
        <w:rPr>
          <w:rFonts w:eastAsia="Calibri" w:cs="Times New Roman"/>
        </w:rPr>
      </w:pPr>
      <w:r w:rsidRPr="00EE4D09">
        <w:rPr>
          <w:rFonts w:eastAsia="Calibri" w:cs="Times New Roman"/>
        </w:rPr>
        <w:t xml:space="preserve"> Consistent with this application, the </w:t>
      </w:r>
      <w:r w:rsidR="004E0925">
        <w:rPr>
          <w:rFonts w:eastAsia="Calibri" w:cs="Times New Roman"/>
        </w:rPr>
        <w:t>2011</w:t>
      </w:r>
      <w:r w:rsidRPr="00EE4D09">
        <w:rPr>
          <w:rFonts w:eastAsia="Calibri" w:cs="Times New Roman"/>
        </w:rPr>
        <w:t xml:space="preserve"> Winter Reconnect Order </w:t>
      </w:r>
      <w:r w:rsidR="004E0925">
        <w:rPr>
          <w:rFonts w:eastAsia="Calibri" w:cs="Times New Roman"/>
        </w:rPr>
        <w:t>contained</w:t>
      </w:r>
      <w:r w:rsidRPr="00EE4D09">
        <w:rPr>
          <w:rFonts w:eastAsia="Calibri" w:cs="Times New Roman"/>
        </w:rPr>
        <w:t xml:space="preserve"> special reconnection procedures for those who have had their service disconnected.  For </w:t>
      </w:r>
      <w:r w:rsidRPr="00EE4D09">
        <w:rPr>
          <w:rFonts w:eastAsia="Calibri" w:cs="Times New Roman"/>
        </w:rPr>
        <w:lastRenderedPageBreak/>
        <w:t>reconnection, there is no requirement for the disconnection to have occurred during the winter heating season or relate to charges for service during the winter heating season.</w:t>
      </w:r>
      <w:r w:rsidRPr="00EE4D09">
        <w:rPr>
          <w:rFonts w:eastAsia="Calibri" w:cs="Times New Roman"/>
          <w:vertAlign w:val="superscript"/>
        </w:rPr>
        <w:footnoteReference w:id="30"/>
      </w:r>
      <w:r w:rsidRPr="00EE4D09">
        <w:rPr>
          <w:rFonts w:eastAsia="Calibri" w:cs="Times New Roman"/>
        </w:rPr>
        <w:t xml:space="preserve">   The PUCO also addresse</w:t>
      </w:r>
      <w:r w:rsidR="004E0925">
        <w:rPr>
          <w:rFonts w:eastAsia="Calibri" w:cs="Times New Roman"/>
        </w:rPr>
        <w:t>d</w:t>
      </w:r>
      <w:r w:rsidRPr="00EE4D09">
        <w:rPr>
          <w:rFonts w:eastAsia="Calibri" w:cs="Times New Roman"/>
        </w:rPr>
        <w:t xml:space="preserve"> special reconnection procedures for customers when they make a payment of less than $175 which cures “any default previously owed to the utility in order to maintain service, or requests reconnection of service.”</w:t>
      </w:r>
      <w:r w:rsidRPr="00EE4D09">
        <w:rPr>
          <w:rFonts w:eastAsia="Calibri" w:cs="Times New Roman"/>
          <w:vertAlign w:val="superscript"/>
        </w:rPr>
        <w:footnoteReference w:id="31"/>
      </w:r>
      <w:r w:rsidRPr="00EE4D09">
        <w:rPr>
          <w:rFonts w:eastAsia="Calibri" w:cs="Times New Roman"/>
        </w:rPr>
        <w:t xml:space="preserve">  Again there </w:t>
      </w:r>
      <w:r w:rsidR="004E0925">
        <w:rPr>
          <w:rFonts w:eastAsia="Calibri" w:cs="Times New Roman"/>
        </w:rPr>
        <w:t>was</w:t>
      </w:r>
      <w:r w:rsidRPr="00EE4D09">
        <w:rPr>
          <w:rFonts w:eastAsia="Calibri" w:cs="Times New Roman"/>
        </w:rPr>
        <w:t xml:space="preserve"> no requirement in the </w:t>
      </w:r>
      <w:r w:rsidR="004E0925">
        <w:rPr>
          <w:rFonts w:eastAsia="Calibri" w:cs="Times New Roman"/>
        </w:rPr>
        <w:t xml:space="preserve">2011 </w:t>
      </w:r>
      <w:r w:rsidRPr="00EE4D09">
        <w:rPr>
          <w:rFonts w:eastAsia="Calibri" w:cs="Times New Roman"/>
        </w:rPr>
        <w:t xml:space="preserve">Winter Reconnect Order, for purposes of reconnecting customers, that the service or disconnection have occurred during the winter season.  </w:t>
      </w:r>
    </w:p>
    <w:p w:rsidR="00EE4D09" w:rsidRPr="00EE4D09" w:rsidRDefault="00EE4D09" w:rsidP="00EE4D09">
      <w:pPr>
        <w:spacing w:after="0" w:line="480" w:lineRule="auto"/>
        <w:ind w:firstLine="720"/>
        <w:rPr>
          <w:rFonts w:eastAsia="Calibri" w:cs="Times New Roman"/>
        </w:rPr>
      </w:pPr>
      <w:r w:rsidRPr="00EE4D09">
        <w:rPr>
          <w:rFonts w:eastAsia="Calibri" w:cs="Times New Roman"/>
        </w:rPr>
        <w:t xml:space="preserve">Moreover, accepting Duke’s viewpoint would contravene the </w:t>
      </w:r>
      <w:proofErr w:type="spellStart"/>
      <w:r w:rsidRPr="00EE4D09">
        <w:rPr>
          <w:rFonts w:eastAsia="Calibri" w:cs="Times New Roman"/>
        </w:rPr>
        <w:t>PUCO’s</w:t>
      </w:r>
      <w:proofErr w:type="spellEnd"/>
      <w:r w:rsidRPr="00EE4D09">
        <w:rPr>
          <w:rFonts w:eastAsia="Calibri" w:cs="Times New Roman"/>
        </w:rPr>
        <w:t xml:space="preserve"> directive in the </w:t>
      </w:r>
      <w:r w:rsidR="004E0925">
        <w:rPr>
          <w:rFonts w:eastAsia="Calibri" w:cs="Times New Roman"/>
        </w:rPr>
        <w:t xml:space="preserve">2011 </w:t>
      </w:r>
      <w:r w:rsidRPr="00EE4D09">
        <w:rPr>
          <w:rFonts w:eastAsia="Calibri" w:cs="Times New Roman"/>
        </w:rPr>
        <w:t xml:space="preserve">Winter Reconnect Order and the </w:t>
      </w:r>
      <w:proofErr w:type="spellStart"/>
      <w:r w:rsidRPr="00EE4D09">
        <w:rPr>
          <w:rFonts w:eastAsia="Calibri" w:cs="Times New Roman"/>
        </w:rPr>
        <w:t>PUCO’s</w:t>
      </w:r>
      <w:proofErr w:type="spellEnd"/>
      <w:r w:rsidRPr="00EE4D09">
        <w:rPr>
          <w:rFonts w:eastAsia="Calibri" w:cs="Times New Roman"/>
        </w:rPr>
        <w:t xml:space="preserve"> instruction to “err on the side of maintaining service</w:t>
      </w:r>
      <w:r w:rsidRPr="00EE4D09">
        <w:rPr>
          <w:rFonts w:cs="Times New Roman"/>
          <w:szCs w:val="24"/>
        </w:rPr>
        <w:t xml:space="preserve"> when there is a doubt as to the applicability or the interpretation of a rule</w:t>
      </w:r>
      <w:r w:rsidRPr="00EE4D09">
        <w:rPr>
          <w:rFonts w:eastAsia="Calibri" w:cs="Times New Roman"/>
        </w:rPr>
        <w:t>.”</w:t>
      </w:r>
      <w:r w:rsidRPr="00EE4D09">
        <w:rPr>
          <w:rFonts w:eastAsia="Calibri" w:cs="Times New Roman"/>
          <w:vertAlign w:val="superscript"/>
        </w:rPr>
        <w:footnoteReference w:id="32"/>
      </w:r>
      <w:r w:rsidRPr="00EE4D09">
        <w:rPr>
          <w:rFonts w:eastAsia="Calibri" w:cs="Times New Roman"/>
        </w:rPr>
        <w:t xml:space="preserve">  Duke’s belief is also inconsistent with the </w:t>
      </w:r>
      <w:proofErr w:type="spellStart"/>
      <w:r w:rsidRPr="00EE4D09">
        <w:rPr>
          <w:rFonts w:eastAsia="Calibri" w:cs="Times New Roman"/>
        </w:rPr>
        <w:t>PUCO’s</w:t>
      </w:r>
      <w:proofErr w:type="spellEnd"/>
      <w:r w:rsidRPr="00EE4D09">
        <w:rPr>
          <w:rFonts w:eastAsia="Calibri" w:cs="Times New Roman"/>
        </w:rPr>
        <w:t xml:space="preserve"> expectation that, for the 201</w:t>
      </w:r>
      <w:r w:rsidR="004E0925">
        <w:rPr>
          <w:rFonts w:eastAsia="Calibri" w:cs="Times New Roman"/>
        </w:rPr>
        <w:t>1-2012</w:t>
      </w:r>
      <w:r w:rsidRPr="00EE4D09">
        <w:rPr>
          <w:rFonts w:eastAsia="Calibri" w:cs="Times New Roman"/>
        </w:rPr>
        <w:t xml:space="preserve"> winter heating season, “utility companies under our jurisdiction will assist customers in every way possible to maintain their service for heating purposes.”</w:t>
      </w:r>
      <w:r w:rsidRPr="00EE4D09">
        <w:rPr>
          <w:rFonts w:eastAsia="Calibri" w:cs="Times New Roman"/>
          <w:vertAlign w:val="superscript"/>
        </w:rPr>
        <w:footnoteReference w:id="33"/>
      </w:r>
    </w:p>
    <w:p w:rsidR="00EE4D09" w:rsidRDefault="004E0925" w:rsidP="004014C8">
      <w:pPr>
        <w:spacing w:after="0" w:line="480" w:lineRule="auto"/>
        <w:ind w:firstLine="720"/>
        <w:rPr>
          <w:rFonts w:cs="Times New Roman"/>
          <w:bCs/>
          <w:color w:val="000000"/>
          <w:szCs w:val="24"/>
        </w:rPr>
      </w:pPr>
      <w:r>
        <w:rPr>
          <w:rFonts w:cs="Times New Roman"/>
          <w:bCs/>
          <w:color w:val="000000"/>
          <w:szCs w:val="24"/>
        </w:rPr>
        <w:t>Duke’s own statements expressing its misapplication of the winter heating rules provide ample evidence that Duke also misapplied the 2011 Winter Reconnect Order.  The PUCO should grant Complainant’s Motion.</w:t>
      </w:r>
    </w:p>
    <w:p w:rsidR="004E0925" w:rsidRPr="004E0925" w:rsidRDefault="00F528CC" w:rsidP="00E9271E">
      <w:pPr>
        <w:spacing w:after="240" w:line="240" w:lineRule="auto"/>
        <w:ind w:left="1440" w:right="720" w:hanging="720"/>
        <w:rPr>
          <w:rFonts w:cs="Times New Roman"/>
          <w:b/>
          <w:szCs w:val="24"/>
        </w:rPr>
      </w:pPr>
      <w:r>
        <w:rPr>
          <w:rFonts w:cs="Times New Roman"/>
          <w:b/>
          <w:szCs w:val="24"/>
        </w:rPr>
        <w:t>D</w:t>
      </w:r>
      <w:r w:rsidR="004E0925">
        <w:rPr>
          <w:rFonts w:cs="Times New Roman"/>
          <w:b/>
          <w:szCs w:val="24"/>
        </w:rPr>
        <w:t>.</w:t>
      </w:r>
      <w:r w:rsidR="004E0925">
        <w:rPr>
          <w:rFonts w:cs="Times New Roman"/>
          <w:b/>
          <w:szCs w:val="24"/>
        </w:rPr>
        <w:tab/>
        <w:t>Granting the Motion would not prejudice Duke because Duke has been aware that issues</w:t>
      </w:r>
      <w:r w:rsidR="006537BC">
        <w:rPr>
          <w:rFonts w:cs="Times New Roman"/>
          <w:b/>
          <w:szCs w:val="24"/>
        </w:rPr>
        <w:t xml:space="preserve"> surrounding the 2011 Winter Reconnect Order would be a part of this case.</w:t>
      </w:r>
    </w:p>
    <w:p w:rsidR="00AC08E6" w:rsidRDefault="006537BC" w:rsidP="000B06E4">
      <w:pPr>
        <w:spacing w:after="0" w:line="480" w:lineRule="auto"/>
        <w:ind w:firstLine="720"/>
        <w:rPr>
          <w:rFonts w:cs="Times New Roman"/>
          <w:bCs/>
          <w:color w:val="000000"/>
          <w:szCs w:val="24"/>
        </w:rPr>
      </w:pPr>
      <w:r>
        <w:rPr>
          <w:rFonts w:cs="Times New Roman"/>
          <w:bCs/>
          <w:color w:val="000000"/>
          <w:szCs w:val="24"/>
        </w:rPr>
        <w:t xml:space="preserve">Duke also asserts that it would be prejudiced if the Complaint were amended because it has based its defense on the allegations in the original Complaint and has </w:t>
      </w:r>
      <w:r>
        <w:rPr>
          <w:rFonts w:cs="Times New Roman"/>
          <w:bCs/>
          <w:color w:val="000000"/>
          <w:szCs w:val="24"/>
        </w:rPr>
        <w:lastRenderedPageBreak/>
        <w:t>begun writing testimony addressing those allegations.</w:t>
      </w:r>
      <w:r>
        <w:rPr>
          <w:rStyle w:val="FootnoteReference"/>
          <w:rFonts w:cs="Times New Roman"/>
          <w:bCs/>
          <w:color w:val="000000"/>
          <w:szCs w:val="24"/>
        </w:rPr>
        <w:footnoteReference w:id="34"/>
      </w:r>
      <w:r>
        <w:rPr>
          <w:rFonts w:cs="Times New Roman"/>
          <w:bCs/>
          <w:color w:val="000000"/>
          <w:szCs w:val="24"/>
        </w:rPr>
        <w:t xml:space="preserve">  </w:t>
      </w:r>
      <w:r w:rsidR="00AC08E6">
        <w:rPr>
          <w:rFonts w:cs="Times New Roman"/>
          <w:bCs/>
          <w:color w:val="000000"/>
          <w:szCs w:val="24"/>
        </w:rPr>
        <w:t>But the Complainant’s proposed amendment to the Complaint does not allege any new facts or add any new, unrelated counts to the Complaint.  Instead, the proposed amendment merely adds another legal theory that is related to the counts already in the Complaint.  This should not unduly affect Duke’s legal strategy, especially with the hearing being more than a month away.</w:t>
      </w:r>
    </w:p>
    <w:p w:rsidR="00355C94" w:rsidRDefault="00AC08E6" w:rsidP="000B06E4">
      <w:pPr>
        <w:spacing w:after="0" w:line="480" w:lineRule="auto"/>
        <w:ind w:firstLine="720"/>
        <w:rPr>
          <w:rFonts w:cs="Times New Roman"/>
          <w:szCs w:val="24"/>
        </w:rPr>
      </w:pPr>
      <w:r>
        <w:rPr>
          <w:rFonts w:cs="Times New Roman"/>
          <w:bCs/>
          <w:color w:val="000000"/>
          <w:szCs w:val="24"/>
        </w:rPr>
        <w:t>Moreover,</w:t>
      </w:r>
      <w:r w:rsidR="006537BC">
        <w:rPr>
          <w:rFonts w:cs="Times New Roman"/>
          <w:bCs/>
          <w:color w:val="000000"/>
          <w:szCs w:val="24"/>
        </w:rPr>
        <w:t xml:space="preserve"> Duke itself noted that OCC raised issues surrounding the 2011 Winter Reconnect Order in our Motion to Intervene</w:t>
      </w:r>
      <w:r w:rsidR="0009073C" w:rsidRPr="00A8612B">
        <w:rPr>
          <w:rFonts w:cs="Times New Roman"/>
          <w:szCs w:val="24"/>
        </w:rPr>
        <w:t>.</w:t>
      </w:r>
      <w:r w:rsidR="006537BC">
        <w:rPr>
          <w:rStyle w:val="FootnoteReference"/>
          <w:rFonts w:cs="Times New Roman"/>
          <w:szCs w:val="24"/>
        </w:rPr>
        <w:footnoteReference w:id="35"/>
      </w:r>
      <w:r w:rsidR="006537BC">
        <w:rPr>
          <w:rFonts w:cs="Times New Roman"/>
          <w:szCs w:val="24"/>
        </w:rPr>
        <w:t xml:space="preserve">  Hence, Duke’s claims that its defense strategy and the preparation of witness testimony are based solely on the allegations in the original Complaint ring hollow.</w:t>
      </w:r>
    </w:p>
    <w:p w:rsidR="00807011" w:rsidRPr="00A8612B" w:rsidRDefault="008E4D7D" w:rsidP="000B06E4">
      <w:pPr>
        <w:spacing w:after="0" w:line="480" w:lineRule="auto"/>
        <w:ind w:firstLine="720"/>
        <w:rPr>
          <w:rFonts w:cs="Times New Roman"/>
          <w:szCs w:val="24"/>
        </w:rPr>
      </w:pPr>
      <w:r>
        <w:rPr>
          <w:rFonts w:cs="Times New Roman"/>
          <w:szCs w:val="24"/>
        </w:rPr>
        <w:t>Duke has not shown that it would be prejudiced by the PUCO granting the Complainant’s Motion.  The PUCO should reject Duke’s argument.</w:t>
      </w:r>
    </w:p>
    <w:p w:rsidR="000B06E4" w:rsidRPr="00A8612B" w:rsidRDefault="008E4D7D" w:rsidP="008E4D7D">
      <w:pPr>
        <w:spacing w:before="240" w:after="0" w:line="480" w:lineRule="auto"/>
        <w:rPr>
          <w:rFonts w:cs="Times New Roman"/>
          <w:b/>
          <w:szCs w:val="24"/>
        </w:rPr>
      </w:pPr>
      <w:r w:rsidRPr="00A8612B">
        <w:rPr>
          <w:rFonts w:cs="Times New Roman"/>
          <w:b/>
          <w:szCs w:val="24"/>
        </w:rPr>
        <w:t>I</w:t>
      </w:r>
      <w:r w:rsidR="00154411">
        <w:rPr>
          <w:rFonts w:cs="Times New Roman"/>
          <w:b/>
          <w:szCs w:val="24"/>
        </w:rPr>
        <w:t>V</w:t>
      </w:r>
      <w:r w:rsidRPr="00A8612B">
        <w:rPr>
          <w:rFonts w:cs="Times New Roman"/>
          <w:b/>
          <w:szCs w:val="24"/>
        </w:rPr>
        <w:t>.</w:t>
      </w:r>
      <w:r w:rsidRPr="00A8612B">
        <w:rPr>
          <w:rFonts w:cs="Times New Roman"/>
          <w:b/>
          <w:szCs w:val="24"/>
        </w:rPr>
        <w:tab/>
        <w:t>CONCLUSION</w:t>
      </w:r>
    </w:p>
    <w:p w:rsidR="000B06E4" w:rsidRPr="00A8612B" w:rsidRDefault="008E4D7D" w:rsidP="000B06E4">
      <w:pPr>
        <w:spacing w:after="0" w:line="480" w:lineRule="auto"/>
        <w:ind w:firstLine="720"/>
        <w:contextualSpacing/>
        <w:rPr>
          <w:rFonts w:cs="Times New Roman"/>
          <w:szCs w:val="24"/>
        </w:rPr>
      </w:pPr>
      <w:r>
        <w:rPr>
          <w:rFonts w:cs="Times New Roman"/>
          <w:szCs w:val="24"/>
        </w:rPr>
        <w:t>Granting the Complainant’s Motion to amend the Complaint is required for justice in this case.  Duke’s arguments against the Motion are flawed.  The PUCO should grant the Motion</w:t>
      </w:r>
      <w:r w:rsidR="000B06E4" w:rsidRPr="00A8612B">
        <w:rPr>
          <w:rFonts w:cs="Times New Roman"/>
          <w:szCs w:val="24"/>
        </w:rPr>
        <w:t xml:space="preserve">.  </w:t>
      </w:r>
    </w:p>
    <w:p w:rsidR="000B06E4" w:rsidRPr="00A8612B" w:rsidRDefault="000B06E4" w:rsidP="000B06E4">
      <w:pPr>
        <w:spacing w:after="0" w:line="480" w:lineRule="auto"/>
        <w:ind w:firstLine="720"/>
        <w:rPr>
          <w:rFonts w:cs="Times New Roman"/>
          <w:color w:val="252525"/>
          <w:szCs w:val="24"/>
        </w:rPr>
      </w:pPr>
    </w:p>
    <w:p w:rsidR="00E9271E" w:rsidRDefault="00E9271E">
      <w:pPr>
        <w:rPr>
          <w:rFonts w:eastAsia="Times New Roman" w:cs="Times New Roman"/>
          <w:szCs w:val="24"/>
        </w:rPr>
      </w:pPr>
      <w:r>
        <w:rPr>
          <w:szCs w:val="24"/>
        </w:rPr>
        <w:br w:type="page"/>
      </w:r>
    </w:p>
    <w:p w:rsidR="006545BB" w:rsidRPr="00A8612B" w:rsidRDefault="006545BB" w:rsidP="00BD7B7E">
      <w:pPr>
        <w:pStyle w:val="BodyTextIndent3"/>
        <w:widowControl w:val="0"/>
        <w:spacing w:line="480" w:lineRule="auto"/>
        <w:ind w:left="4320" w:firstLine="0"/>
        <w:rPr>
          <w:szCs w:val="24"/>
        </w:rPr>
      </w:pPr>
      <w:r w:rsidRPr="00A8612B">
        <w:rPr>
          <w:szCs w:val="24"/>
        </w:rPr>
        <w:lastRenderedPageBreak/>
        <w:t>Respectfully submitted,</w:t>
      </w:r>
    </w:p>
    <w:p w:rsidR="006545BB" w:rsidRPr="00A8612B" w:rsidRDefault="006545BB" w:rsidP="00BD7B7E">
      <w:pPr>
        <w:pStyle w:val="Footer"/>
        <w:tabs>
          <w:tab w:val="left" w:pos="4320"/>
        </w:tabs>
        <w:ind w:left="4320"/>
        <w:rPr>
          <w:rFonts w:cs="Times New Roman"/>
          <w:szCs w:val="24"/>
        </w:rPr>
      </w:pPr>
      <w:r w:rsidRPr="00A8612B">
        <w:rPr>
          <w:rFonts w:cs="Times New Roman"/>
          <w:szCs w:val="24"/>
        </w:rPr>
        <w:t>BRUCE J. WESTON (0016973)</w:t>
      </w:r>
    </w:p>
    <w:p w:rsidR="006545BB" w:rsidRPr="00A8612B" w:rsidRDefault="006545BB" w:rsidP="00BD7B7E">
      <w:pPr>
        <w:tabs>
          <w:tab w:val="left" w:pos="4320"/>
        </w:tabs>
        <w:ind w:left="4320"/>
        <w:rPr>
          <w:rFonts w:cs="Times New Roman"/>
          <w:szCs w:val="24"/>
        </w:rPr>
      </w:pPr>
      <w:r w:rsidRPr="00A8612B">
        <w:rPr>
          <w:rFonts w:cs="Times New Roman"/>
          <w:szCs w:val="24"/>
        </w:rPr>
        <w:t>OHIO CONSUMERS’ COUNSEL</w:t>
      </w:r>
    </w:p>
    <w:p w:rsidR="006545BB" w:rsidRPr="00A8612B" w:rsidRDefault="006545BB" w:rsidP="00BD7B7E">
      <w:pPr>
        <w:tabs>
          <w:tab w:val="left" w:pos="4320"/>
        </w:tabs>
        <w:ind w:left="720"/>
        <w:rPr>
          <w:rFonts w:cs="Times New Roman"/>
          <w:szCs w:val="24"/>
        </w:rPr>
      </w:pPr>
    </w:p>
    <w:p w:rsidR="00122C34" w:rsidRPr="00122C34" w:rsidRDefault="00122C34" w:rsidP="00122C34">
      <w:pPr>
        <w:autoSpaceDE w:val="0"/>
        <w:autoSpaceDN w:val="0"/>
        <w:adjustRightInd w:val="0"/>
        <w:spacing w:after="0" w:line="240" w:lineRule="auto"/>
        <w:ind w:left="4320"/>
        <w:rPr>
          <w:rFonts w:eastAsia="Times New Roman" w:cs="Times New Roman"/>
          <w:i/>
          <w:szCs w:val="20"/>
        </w:rPr>
      </w:pPr>
      <w:r w:rsidRPr="00122C34">
        <w:rPr>
          <w:rFonts w:eastAsia="Times New Roman" w:cs="Times New Roman"/>
          <w:i/>
          <w:szCs w:val="20"/>
          <w:u w:val="single"/>
        </w:rPr>
        <w:t>/s/ Terry L. Etter                           </w:t>
      </w:r>
    </w:p>
    <w:p w:rsidR="006545BB" w:rsidRDefault="006545BB" w:rsidP="007501E4">
      <w:pPr>
        <w:tabs>
          <w:tab w:val="left" w:pos="4320"/>
        </w:tabs>
        <w:spacing w:after="0" w:line="240" w:lineRule="auto"/>
        <w:ind w:left="4320"/>
        <w:rPr>
          <w:rFonts w:cs="Times New Roman"/>
          <w:szCs w:val="24"/>
        </w:rPr>
      </w:pPr>
      <w:r w:rsidRPr="00A8612B">
        <w:rPr>
          <w:rFonts w:cs="Times New Roman"/>
          <w:szCs w:val="24"/>
        </w:rPr>
        <w:t xml:space="preserve">Kimberly W. Bojko (0069402), Counsel of Record   Carpenter </w:t>
      </w:r>
      <w:proofErr w:type="spellStart"/>
      <w:r w:rsidRPr="00A8612B">
        <w:rPr>
          <w:rFonts w:cs="Times New Roman"/>
          <w:szCs w:val="24"/>
        </w:rPr>
        <w:t>Lipps</w:t>
      </w:r>
      <w:proofErr w:type="spellEnd"/>
      <w:r w:rsidRPr="00A8612B">
        <w:rPr>
          <w:rFonts w:cs="Times New Roman"/>
          <w:szCs w:val="24"/>
        </w:rPr>
        <w:t xml:space="preserve"> &amp; Leland LLP                                          280 Plaza, Suite 1300                                                                280 N. High Street                                                                 Columbus, Ohio 43215                                                      Telephone: (614) 365-4124                         </w:t>
      </w:r>
      <w:hyperlink r:id="rId8" w:history="1">
        <w:proofErr w:type="spellStart"/>
        <w:r w:rsidRPr="00A8612B">
          <w:rPr>
            <w:rFonts w:cs="Times New Roman"/>
            <w:color w:val="0000FF"/>
            <w:szCs w:val="24"/>
            <w:u w:val="single"/>
          </w:rPr>
          <w:t>bojko@carpenterlipps.com</w:t>
        </w:r>
        <w:proofErr w:type="spellEnd"/>
      </w:hyperlink>
      <w:r w:rsidRPr="00A8612B">
        <w:rPr>
          <w:rFonts w:cs="Times New Roman"/>
          <w:szCs w:val="24"/>
        </w:rPr>
        <w:t xml:space="preserve">                                           (willing to accept email service)</w:t>
      </w:r>
    </w:p>
    <w:p w:rsidR="007501E4" w:rsidRPr="00A8612B" w:rsidRDefault="007501E4" w:rsidP="007501E4">
      <w:pPr>
        <w:tabs>
          <w:tab w:val="left" w:pos="4320"/>
        </w:tabs>
        <w:spacing w:after="0" w:line="240" w:lineRule="auto"/>
        <w:ind w:left="4320"/>
        <w:rPr>
          <w:rFonts w:cs="Times New Roman"/>
          <w:szCs w:val="24"/>
        </w:rPr>
      </w:pPr>
    </w:p>
    <w:p w:rsidR="006545BB" w:rsidRPr="007501E4" w:rsidRDefault="006545BB" w:rsidP="007501E4">
      <w:pPr>
        <w:spacing w:after="0" w:line="240" w:lineRule="auto"/>
        <w:ind w:left="4320"/>
        <w:rPr>
          <w:rFonts w:cs="Times New Roman"/>
          <w:i/>
          <w:szCs w:val="24"/>
        </w:rPr>
      </w:pPr>
      <w:r w:rsidRPr="007501E4">
        <w:rPr>
          <w:rFonts w:cs="Times New Roman"/>
          <w:i/>
          <w:szCs w:val="24"/>
        </w:rPr>
        <w:t>Outside Counsel for the                                                                 Office of the Ohio Consumers’ Counsel</w:t>
      </w:r>
    </w:p>
    <w:p w:rsidR="006545BB" w:rsidRPr="00A8612B" w:rsidRDefault="006545BB" w:rsidP="00BD7B7E">
      <w:pPr>
        <w:ind w:left="4320"/>
        <w:rPr>
          <w:rFonts w:cs="Times New Roman"/>
          <w:szCs w:val="24"/>
        </w:rPr>
      </w:pPr>
    </w:p>
    <w:p w:rsidR="006545BB" w:rsidRPr="00A8612B" w:rsidRDefault="006545BB" w:rsidP="007501E4">
      <w:pPr>
        <w:tabs>
          <w:tab w:val="left" w:pos="4320"/>
        </w:tabs>
        <w:spacing w:after="0" w:line="240" w:lineRule="auto"/>
        <w:ind w:left="4320"/>
        <w:rPr>
          <w:rFonts w:cs="Times New Roman"/>
          <w:szCs w:val="24"/>
        </w:rPr>
      </w:pPr>
      <w:r w:rsidRPr="00A8612B">
        <w:rPr>
          <w:rFonts w:cs="Times New Roman"/>
          <w:szCs w:val="24"/>
        </w:rPr>
        <w:t xml:space="preserve">Terry L Etter (0067445)                                                      Assistant Consumers’ Counsel                                                       </w:t>
      </w:r>
      <w:r w:rsidRPr="00A8612B">
        <w:rPr>
          <w:rFonts w:cs="Times New Roman"/>
          <w:b/>
          <w:szCs w:val="24"/>
        </w:rPr>
        <w:t>Office of the Ohio Consumers’ Counsel</w:t>
      </w:r>
      <w:r w:rsidRPr="00A8612B">
        <w:rPr>
          <w:rFonts w:cs="Times New Roman"/>
          <w:szCs w:val="24"/>
        </w:rPr>
        <w:t xml:space="preserve">                                            10 West Broad Street, Suite 1800                                   Columbus, Ohio 43215-3485                                       Telephone [Etter Direct]: (614) 466-7964</w:t>
      </w:r>
      <w:r w:rsidRPr="00A8612B" w:rsidDel="00704DBB">
        <w:rPr>
          <w:rFonts w:cs="Times New Roman"/>
          <w:szCs w:val="24"/>
        </w:rPr>
        <w:t xml:space="preserve"> </w:t>
      </w:r>
      <w:hyperlink r:id="rId9" w:history="1">
        <w:proofErr w:type="spellStart"/>
        <w:r w:rsidRPr="00A8612B">
          <w:rPr>
            <w:rStyle w:val="Hyperlink"/>
            <w:rFonts w:cs="Times New Roman"/>
            <w:szCs w:val="24"/>
          </w:rPr>
          <w:t>terry.etter@occ.ohio.gov</w:t>
        </w:r>
        <w:proofErr w:type="spellEnd"/>
      </w:hyperlink>
      <w:r w:rsidRPr="00A8612B">
        <w:rPr>
          <w:rFonts w:cs="Times New Roman"/>
          <w:szCs w:val="24"/>
        </w:rPr>
        <w:t xml:space="preserve">                                                        (willing to accept email service)</w:t>
      </w:r>
    </w:p>
    <w:p w:rsidR="006545BB" w:rsidRPr="00A8612B" w:rsidRDefault="006545BB" w:rsidP="006545BB">
      <w:pPr>
        <w:ind w:left="3600"/>
        <w:rPr>
          <w:rFonts w:cs="Times New Roman"/>
          <w:szCs w:val="24"/>
        </w:rPr>
        <w:sectPr w:rsidR="006545BB" w:rsidRPr="00A8612B" w:rsidSect="00E9271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pPr>
    </w:p>
    <w:p w:rsidR="002E18E1" w:rsidRPr="00A8612B" w:rsidRDefault="002E18E1" w:rsidP="003D0B10">
      <w:pPr>
        <w:jc w:val="center"/>
        <w:rPr>
          <w:rFonts w:cs="Times New Roman"/>
          <w:b/>
          <w:bCs/>
          <w:color w:val="000000"/>
          <w:szCs w:val="24"/>
        </w:rPr>
      </w:pPr>
      <w:r w:rsidRPr="00A8612B">
        <w:rPr>
          <w:rFonts w:cs="Times New Roman"/>
          <w:b/>
          <w:bCs/>
          <w:color w:val="000000"/>
          <w:szCs w:val="24"/>
        </w:rPr>
        <w:lastRenderedPageBreak/>
        <w:t>CERTIFICATE OF SERVICE</w:t>
      </w:r>
    </w:p>
    <w:p w:rsidR="002E18E1" w:rsidRPr="00A8612B" w:rsidRDefault="00CD55BC" w:rsidP="00C5462B">
      <w:pPr>
        <w:autoSpaceDE w:val="0"/>
        <w:autoSpaceDN w:val="0"/>
        <w:adjustRightInd w:val="0"/>
        <w:spacing w:after="0" w:line="480" w:lineRule="auto"/>
        <w:contextualSpacing/>
        <w:rPr>
          <w:rFonts w:cs="Times New Roman"/>
          <w:color w:val="000000"/>
          <w:szCs w:val="24"/>
        </w:rPr>
      </w:pPr>
      <w:r w:rsidRPr="00A8612B">
        <w:rPr>
          <w:rFonts w:cs="Times New Roman"/>
          <w:color w:val="000000"/>
          <w:szCs w:val="24"/>
        </w:rPr>
        <w:tab/>
      </w:r>
      <w:r w:rsidR="002E18E1" w:rsidRPr="00A8612B">
        <w:rPr>
          <w:rFonts w:cs="Times New Roman"/>
          <w:color w:val="000000"/>
          <w:szCs w:val="24"/>
        </w:rPr>
        <w:t xml:space="preserve">I hereby certify that a true and accurate copy of the foregoing </w:t>
      </w:r>
      <w:r w:rsidR="002E18E1" w:rsidRPr="00A8612B">
        <w:rPr>
          <w:rFonts w:cs="Times New Roman"/>
          <w:iCs/>
          <w:color w:val="000000"/>
          <w:szCs w:val="24"/>
        </w:rPr>
        <w:t>was</w:t>
      </w:r>
      <w:r w:rsidR="002E18E1" w:rsidRPr="00A8612B">
        <w:rPr>
          <w:rFonts w:cs="Times New Roman"/>
          <w:color w:val="000000"/>
          <w:szCs w:val="24"/>
        </w:rPr>
        <w:t xml:space="preserve"> served upon the following parties via electronic mail on</w:t>
      </w:r>
      <w:r w:rsidR="008B0E24" w:rsidRPr="00A8612B">
        <w:rPr>
          <w:rFonts w:cs="Times New Roman"/>
          <w:color w:val="000000"/>
          <w:szCs w:val="24"/>
        </w:rPr>
        <w:t xml:space="preserve"> </w:t>
      </w:r>
      <w:r w:rsidR="002F414C">
        <w:rPr>
          <w:rFonts w:cs="Times New Roman"/>
          <w:color w:val="000000"/>
          <w:szCs w:val="24"/>
        </w:rPr>
        <w:t>October 30</w:t>
      </w:r>
      <w:r w:rsidR="00625A42" w:rsidRPr="00A8612B">
        <w:rPr>
          <w:rFonts w:cs="Times New Roman"/>
          <w:color w:val="000000"/>
          <w:szCs w:val="24"/>
        </w:rPr>
        <w:t>, 2015</w:t>
      </w:r>
      <w:r w:rsidR="002E18E1" w:rsidRPr="00A8612B">
        <w:rPr>
          <w:rFonts w:cs="Times New Roman"/>
          <w:color w:val="000000"/>
          <w:szCs w:val="24"/>
        </w:rPr>
        <w:t>.</w:t>
      </w:r>
    </w:p>
    <w:p w:rsidR="000D14C3" w:rsidRPr="00A8612B" w:rsidRDefault="000D14C3" w:rsidP="00C5462B">
      <w:pPr>
        <w:autoSpaceDE w:val="0"/>
        <w:autoSpaceDN w:val="0"/>
        <w:adjustRightInd w:val="0"/>
        <w:spacing w:after="0" w:line="240" w:lineRule="auto"/>
        <w:rPr>
          <w:rFonts w:cs="Times New Roman"/>
          <w:color w:val="000000"/>
          <w:szCs w:val="24"/>
        </w:rPr>
      </w:pPr>
    </w:p>
    <w:p w:rsidR="000D14C3" w:rsidRPr="00A8612B" w:rsidRDefault="000D14C3" w:rsidP="00C5462B">
      <w:pPr>
        <w:autoSpaceDE w:val="0"/>
        <w:autoSpaceDN w:val="0"/>
        <w:adjustRightInd w:val="0"/>
        <w:spacing w:after="0" w:line="240" w:lineRule="auto"/>
        <w:rPr>
          <w:rFonts w:cs="Times New Roman"/>
          <w:color w:val="000000"/>
          <w:szCs w:val="24"/>
        </w:rPr>
      </w:pPr>
    </w:p>
    <w:p w:rsidR="00122C34" w:rsidRPr="00122C34" w:rsidRDefault="00122C34" w:rsidP="00122C34">
      <w:pPr>
        <w:autoSpaceDE w:val="0"/>
        <w:autoSpaceDN w:val="0"/>
        <w:adjustRightInd w:val="0"/>
        <w:spacing w:after="0" w:line="240" w:lineRule="auto"/>
        <w:ind w:left="5040"/>
        <w:rPr>
          <w:rFonts w:eastAsia="Times New Roman" w:cs="Times New Roman"/>
          <w:i/>
          <w:szCs w:val="20"/>
        </w:rPr>
      </w:pPr>
      <w:r w:rsidRPr="00122C34">
        <w:rPr>
          <w:rFonts w:eastAsia="Times New Roman" w:cs="Times New Roman"/>
          <w:i/>
          <w:szCs w:val="20"/>
          <w:u w:val="single"/>
        </w:rPr>
        <w:t>/s/ Terry L. Etter                           </w:t>
      </w:r>
    </w:p>
    <w:p w:rsidR="00490959" w:rsidRDefault="002E18E1" w:rsidP="00C5462B">
      <w:pPr>
        <w:autoSpaceDE w:val="0"/>
        <w:autoSpaceDN w:val="0"/>
        <w:adjustRightInd w:val="0"/>
        <w:spacing w:after="0" w:line="240" w:lineRule="auto"/>
        <w:rPr>
          <w:rFonts w:cs="Times New Roman"/>
          <w:color w:val="000000"/>
          <w:szCs w:val="24"/>
        </w:rPr>
      </w:pPr>
      <w:r w:rsidRPr="00A8612B">
        <w:rPr>
          <w:rFonts w:cs="Times New Roman"/>
          <w:color w:val="000000"/>
          <w:szCs w:val="24"/>
        </w:rPr>
        <w:tab/>
      </w:r>
      <w:r w:rsidRPr="00A8612B">
        <w:rPr>
          <w:rFonts w:cs="Times New Roman"/>
          <w:color w:val="000000"/>
          <w:szCs w:val="24"/>
        </w:rPr>
        <w:tab/>
      </w:r>
      <w:r w:rsidRPr="00A8612B">
        <w:rPr>
          <w:rFonts w:cs="Times New Roman"/>
          <w:color w:val="000000"/>
          <w:szCs w:val="24"/>
        </w:rPr>
        <w:tab/>
      </w:r>
      <w:r w:rsidRPr="00A8612B">
        <w:rPr>
          <w:rFonts w:cs="Times New Roman"/>
          <w:color w:val="000000"/>
          <w:szCs w:val="24"/>
        </w:rPr>
        <w:tab/>
      </w:r>
      <w:r w:rsidRPr="00A8612B">
        <w:rPr>
          <w:rFonts w:cs="Times New Roman"/>
          <w:color w:val="000000"/>
          <w:szCs w:val="24"/>
        </w:rPr>
        <w:tab/>
      </w:r>
      <w:r w:rsidRPr="00A8612B">
        <w:rPr>
          <w:rFonts w:cs="Times New Roman"/>
          <w:color w:val="000000"/>
          <w:szCs w:val="24"/>
        </w:rPr>
        <w:tab/>
      </w:r>
      <w:r w:rsidRPr="00A8612B">
        <w:rPr>
          <w:rFonts w:cs="Times New Roman"/>
          <w:color w:val="000000"/>
          <w:szCs w:val="24"/>
        </w:rPr>
        <w:tab/>
      </w:r>
      <w:r w:rsidR="00122C34">
        <w:rPr>
          <w:rFonts w:cs="Times New Roman"/>
          <w:color w:val="000000"/>
          <w:szCs w:val="24"/>
        </w:rPr>
        <w:t>Terry L. Etter</w:t>
      </w:r>
    </w:p>
    <w:p w:rsidR="002E18E1" w:rsidRPr="00A8612B" w:rsidRDefault="00122C34" w:rsidP="00022BAB">
      <w:pPr>
        <w:autoSpaceDE w:val="0"/>
        <w:autoSpaceDN w:val="0"/>
        <w:adjustRightInd w:val="0"/>
        <w:spacing w:after="0" w:line="240" w:lineRule="auto"/>
        <w:ind w:left="5040"/>
        <w:rPr>
          <w:rFonts w:cs="Times New Roman"/>
          <w:color w:val="000000"/>
          <w:szCs w:val="24"/>
        </w:rPr>
      </w:pPr>
      <w:r>
        <w:rPr>
          <w:rFonts w:cs="Times New Roman"/>
          <w:color w:val="000000"/>
          <w:szCs w:val="24"/>
        </w:rPr>
        <w:t xml:space="preserve">Assistant </w:t>
      </w:r>
      <w:r w:rsidR="00490959" w:rsidRPr="00A8612B">
        <w:rPr>
          <w:rFonts w:cs="Times New Roman"/>
          <w:color w:val="000000"/>
          <w:szCs w:val="24"/>
        </w:rPr>
        <w:t>Consumers’ Counsel</w:t>
      </w:r>
      <w:r w:rsidR="00927863" w:rsidRPr="00A8612B">
        <w:rPr>
          <w:rFonts w:cs="Times New Roman"/>
          <w:color w:val="000000"/>
          <w:szCs w:val="24"/>
        </w:rPr>
        <w:t xml:space="preserve"> </w:t>
      </w:r>
      <w:r w:rsidR="00927863" w:rsidRPr="00A8612B">
        <w:rPr>
          <w:rFonts w:cs="Times New Roman"/>
          <w:color w:val="000000"/>
          <w:szCs w:val="24"/>
        </w:rPr>
        <w:tab/>
      </w:r>
      <w:r w:rsidR="00927863" w:rsidRPr="00A8612B">
        <w:rPr>
          <w:rFonts w:cs="Times New Roman"/>
          <w:color w:val="000000"/>
          <w:szCs w:val="24"/>
        </w:rPr>
        <w:tab/>
      </w:r>
      <w:r w:rsidR="00927863" w:rsidRPr="00A8612B">
        <w:rPr>
          <w:rFonts w:cs="Times New Roman"/>
          <w:color w:val="000000"/>
          <w:szCs w:val="24"/>
        </w:rPr>
        <w:tab/>
      </w:r>
      <w:r w:rsidR="00927863" w:rsidRPr="00A8612B">
        <w:rPr>
          <w:rFonts w:cs="Times New Roman"/>
          <w:color w:val="000000"/>
          <w:szCs w:val="24"/>
        </w:rPr>
        <w:tab/>
      </w:r>
      <w:r w:rsidR="00927863" w:rsidRPr="00A8612B">
        <w:rPr>
          <w:rFonts w:cs="Times New Roman"/>
          <w:color w:val="000000"/>
          <w:szCs w:val="24"/>
        </w:rPr>
        <w:tab/>
      </w:r>
      <w:r w:rsidR="00927863" w:rsidRPr="00A8612B">
        <w:rPr>
          <w:rFonts w:cs="Times New Roman"/>
          <w:color w:val="000000"/>
          <w:szCs w:val="24"/>
        </w:rPr>
        <w:tab/>
      </w:r>
      <w:r w:rsidR="00927863" w:rsidRPr="00A8612B">
        <w:rPr>
          <w:rFonts w:cs="Times New Roman"/>
          <w:color w:val="000000"/>
          <w:szCs w:val="24"/>
        </w:rPr>
        <w:tab/>
      </w:r>
      <w:r w:rsidR="00927863" w:rsidRPr="00A8612B">
        <w:rPr>
          <w:rFonts w:cs="Times New Roman"/>
          <w:color w:val="000000"/>
          <w:szCs w:val="24"/>
        </w:rPr>
        <w:tab/>
      </w:r>
    </w:p>
    <w:p w:rsidR="00B35CA3" w:rsidRPr="00A8612B" w:rsidRDefault="00B35CA3" w:rsidP="00C5462B">
      <w:pPr>
        <w:rPr>
          <w:rFonts w:cs="Times New Roman"/>
          <w:sz w:val="16"/>
          <w:szCs w:val="16"/>
        </w:rPr>
      </w:pPr>
    </w:p>
    <w:p w:rsidR="00B52613" w:rsidRPr="00A8612B" w:rsidRDefault="00B52613" w:rsidP="00C5462B">
      <w:pPr>
        <w:autoSpaceDE w:val="0"/>
        <w:autoSpaceDN w:val="0"/>
        <w:adjustRightInd w:val="0"/>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350"/>
      </w:tblGrid>
      <w:tr w:rsidR="00030B0C" w:rsidRPr="00A8612B" w:rsidTr="00030B0C">
        <w:tc>
          <w:tcPr>
            <w:tcW w:w="4788" w:type="dxa"/>
          </w:tcPr>
          <w:p w:rsidR="00625A42" w:rsidRPr="00A8612B" w:rsidRDefault="006545BB" w:rsidP="00C5462B">
            <w:pPr>
              <w:autoSpaceDE w:val="0"/>
              <w:autoSpaceDN w:val="0"/>
              <w:adjustRightInd w:val="0"/>
              <w:rPr>
                <w:rFonts w:cs="Times New Roman"/>
                <w:sz w:val="24"/>
                <w:szCs w:val="24"/>
              </w:rPr>
            </w:pPr>
            <w:r w:rsidRPr="00A8612B">
              <w:rPr>
                <w:rFonts w:cs="Times New Roman"/>
                <w:sz w:val="24"/>
                <w:szCs w:val="24"/>
              </w:rPr>
              <w:t>Robert A. McMahon</w:t>
            </w:r>
          </w:p>
          <w:p w:rsidR="006545BB" w:rsidRPr="00A8612B" w:rsidRDefault="006545BB" w:rsidP="00C5462B">
            <w:pPr>
              <w:autoSpaceDE w:val="0"/>
              <w:autoSpaceDN w:val="0"/>
              <w:adjustRightInd w:val="0"/>
              <w:rPr>
                <w:rFonts w:cs="Times New Roman"/>
                <w:sz w:val="24"/>
                <w:szCs w:val="24"/>
              </w:rPr>
            </w:pPr>
            <w:proofErr w:type="spellStart"/>
            <w:r w:rsidRPr="00A8612B">
              <w:rPr>
                <w:rFonts w:cs="Times New Roman"/>
                <w:sz w:val="24"/>
                <w:szCs w:val="24"/>
              </w:rPr>
              <w:t>Eberly</w:t>
            </w:r>
            <w:proofErr w:type="spellEnd"/>
            <w:r w:rsidRPr="00A8612B">
              <w:rPr>
                <w:rFonts w:cs="Times New Roman"/>
                <w:sz w:val="24"/>
                <w:szCs w:val="24"/>
              </w:rPr>
              <w:t xml:space="preserve"> McMahon </w:t>
            </w:r>
            <w:proofErr w:type="spellStart"/>
            <w:r w:rsidRPr="00A8612B">
              <w:rPr>
                <w:rFonts w:cs="Times New Roman"/>
                <w:sz w:val="24"/>
                <w:szCs w:val="24"/>
              </w:rPr>
              <w:t>Copetas</w:t>
            </w:r>
            <w:proofErr w:type="spellEnd"/>
            <w:r w:rsidRPr="00A8612B">
              <w:rPr>
                <w:rFonts w:cs="Times New Roman"/>
                <w:sz w:val="24"/>
                <w:szCs w:val="24"/>
              </w:rPr>
              <w:t xml:space="preserve"> LLC</w:t>
            </w:r>
          </w:p>
          <w:p w:rsidR="006545BB" w:rsidRPr="00A8612B" w:rsidRDefault="006545BB" w:rsidP="00C5462B">
            <w:pPr>
              <w:autoSpaceDE w:val="0"/>
              <w:autoSpaceDN w:val="0"/>
              <w:adjustRightInd w:val="0"/>
              <w:rPr>
                <w:rFonts w:cs="Times New Roman"/>
                <w:sz w:val="24"/>
                <w:szCs w:val="24"/>
              </w:rPr>
            </w:pPr>
            <w:r w:rsidRPr="00A8612B">
              <w:rPr>
                <w:rFonts w:cs="Times New Roman"/>
                <w:sz w:val="24"/>
                <w:szCs w:val="24"/>
              </w:rPr>
              <w:t>2321 Kemper Lane, Suite 100</w:t>
            </w:r>
          </w:p>
          <w:p w:rsidR="006545BB" w:rsidRPr="00A8612B" w:rsidRDefault="006545BB" w:rsidP="00C5462B">
            <w:pPr>
              <w:autoSpaceDE w:val="0"/>
              <w:autoSpaceDN w:val="0"/>
              <w:adjustRightInd w:val="0"/>
              <w:rPr>
                <w:rFonts w:cs="Times New Roman"/>
                <w:sz w:val="24"/>
                <w:szCs w:val="24"/>
              </w:rPr>
            </w:pPr>
            <w:r w:rsidRPr="00A8612B">
              <w:rPr>
                <w:rFonts w:cs="Times New Roman"/>
                <w:sz w:val="24"/>
                <w:szCs w:val="24"/>
              </w:rPr>
              <w:t>Cincinnati, Ohio 45206</w:t>
            </w:r>
          </w:p>
          <w:p w:rsidR="006545BB" w:rsidRPr="00A8612B" w:rsidRDefault="000109F9" w:rsidP="00C5462B">
            <w:pPr>
              <w:autoSpaceDE w:val="0"/>
              <w:autoSpaceDN w:val="0"/>
              <w:adjustRightInd w:val="0"/>
              <w:rPr>
                <w:rFonts w:cs="Times New Roman"/>
                <w:sz w:val="24"/>
                <w:szCs w:val="24"/>
              </w:rPr>
            </w:pPr>
            <w:hyperlink r:id="rId16" w:history="1">
              <w:proofErr w:type="spellStart"/>
              <w:r w:rsidR="006545BB" w:rsidRPr="00A8612B">
                <w:rPr>
                  <w:rStyle w:val="Hyperlink"/>
                  <w:rFonts w:cs="Times New Roman"/>
                  <w:sz w:val="24"/>
                  <w:szCs w:val="24"/>
                </w:rPr>
                <w:t>Bmcmahon@emclawyers.com</w:t>
              </w:r>
              <w:proofErr w:type="spellEnd"/>
            </w:hyperlink>
          </w:p>
          <w:p w:rsidR="006545BB" w:rsidRPr="00A8612B" w:rsidRDefault="006545BB" w:rsidP="00C5462B">
            <w:pPr>
              <w:autoSpaceDE w:val="0"/>
              <w:autoSpaceDN w:val="0"/>
              <w:adjustRightInd w:val="0"/>
              <w:rPr>
                <w:rFonts w:cs="Times New Roman"/>
                <w:sz w:val="24"/>
                <w:szCs w:val="24"/>
              </w:rPr>
            </w:pPr>
          </w:p>
          <w:p w:rsidR="006545BB" w:rsidRPr="00A8612B" w:rsidRDefault="006545BB" w:rsidP="00C5462B">
            <w:pPr>
              <w:autoSpaceDE w:val="0"/>
              <w:autoSpaceDN w:val="0"/>
              <w:adjustRightInd w:val="0"/>
              <w:rPr>
                <w:rFonts w:cs="Times New Roman"/>
                <w:sz w:val="24"/>
                <w:szCs w:val="24"/>
              </w:rPr>
            </w:pPr>
            <w:r w:rsidRPr="00A8612B">
              <w:rPr>
                <w:rFonts w:cs="Times New Roman"/>
                <w:sz w:val="24"/>
                <w:szCs w:val="24"/>
              </w:rPr>
              <w:t>Donald A. Lane</w:t>
            </w:r>
          </w:p>
          <w:p w:rsidR="006545BB" w:rsidRPr="00A8612B" w:rsidRDefault="006545BB" w:rsidP="00C5462B">
            <w:pPr>
              <w:autoSpaceDE w:val="0"/>
              <w:autoSpaceDN w:val="0"/>
              <w:adjustRightInd w:val="0"/>
              <w:rPr>
                <w:rFonts w:cs="Times New Roman"/>
                <w:sz w:val="24"/>
                <w:szCs w:val="24"/>
              </w:rPr>
            </w:pPr>
            <w:proofErr w:type="spellStart"/>
            <w:r w:rsidRPr="00A8612B">
              <w:rPr>
                <w:rFonts w:cs="Times New Roman"/>
                <w:sz w:val="24"/>
                <w:szCs w:val="24"/>
              </w:rPr>
              <w:t>Droder</w:t>
            </w:r>
            <w:proofErr w:type="spellEnd"/>
            <w:r w:rsidRPr="00A8612B">
              <w:rPr>
                <w:rFonts w:cs="Times New Roman"/>
                <w:sz w:val="24"/>
                <w:szCs w:val="24"/>
              </w:rPr>
              <w:t xml:space="preserve"> &amp; Miller Co., LPA</w:t>
            </w:r>
          </w:p>
          <w:p w:rsidR="006545BB" w:rsidRPr="00A8612B" w:rsidRDefault="006545BB" w:rsidP="00C5462B">
            <w:pPr>
              <w:autoSpaceDE w:val="0"/>
              <w:autoSpaceDN w:val="0"/>
              <w:adjustRightInd w:val="0"/>
              <w:rPr>
                <w:rFonts w:cs="Times New Roman"/>
                <w:sz w:val="24"/>
                <w:szCs w:val="24"/>
              </w:rPr>
            </w:pPr>
            <w:r w:rsidRPr="00A8612B">
              <w:rPr>
                <w:rFonts w:cs="Times New Roman"/>
                <w:sz w:val="24"/>
                <w:szCs w:val="24"/>
              </w:rPr>
              <w:t>125 West Central Parkway</w:t>
            </w:r>
          </w:p>
          <w:p w:rsidR="006545BB" w:rsidRPr="00A8612B" w:rsidRDefault="006545BB" w:rsidP="00C5462B">
            <w:pPr>
              <w:autoSpaceDE w:val="0"/>
              <w:autoSpaceDN w:val="0"/>
              <w:adjustRightInd w:val="0"/>
              <w:rPr>
                <w:rFonts w:cs="Times New Roman"/>
                <w:sz w:val="24"/>
                <w:szCs w:val="24"/>
              </w:rPr>
            </w:pPr>
            <w:r w:rsidRPr="00A8612B">
              <w:rPr>
                <w:rFonts w:cs="Times New Roman"/>
                <w:sz w:val="24"/>
                <w:szCs w:val="24"/>
              </w:rPr>
              <w:t>Cincinnati, Ohio 45202-1006</w:t>
            </w:r>
          </w:p>
          <w:p w:rsidR="006545BB" w:rsidRPr="00A8612B" w:rsidRDefault="000109F9" w:rsidP="00C5462B">
            <w:pPr>
              <w:autoSpaceDE w:val="0"/>
              <w:autoSpaceDN w:val="0"/>
              <w:adjustRightInd w:val="0"/>
              <w:rPr>
                <w:rFonts w:cs="Times New Roman"/>
                <w:sz w:val="24"/>
                <w:szCs w:val="24"/>
              </w:rPr>
            </w:pPr>
            <w:hyperlink r:id="rId17" w:history="1">
              <w:proofErr w:type="spellStart"/>
              <w:r w:rsidR="006545BB" w:rsidRPr="00A8612B">
                <w:rPr>
                  <w:rStyle w:val="Hyperlink"/>
                  <w:rFonts w:cs="Times New Roman"/>
                  <w:sz w:val="24"/>
                  <w:szCs w:val="24"/>
                </w:rPr>
                <w:t>dlane@drodermiller.com</w:t>
              </w:r>
              <w:proofErr w:type="spellEnd"/>
            </w:hyperlink>
            <w:r w:rsidR="006545BB" w:rsidRPr="00A8612B">
              <w:rPr>
                <w:rFonts w:cs="Times New Roman"/>
                <w:sz w:val="24"/>
                <w:szCs w:val="24"/>
              </w:rPr>
              <w:t xml:space="preserve"> </w:t>
            </w:r>
          </w:p>
          <w:p w:rsidR="00927863" w:rsidRPr="00A8612B" w:rsidRDefault="00927863" w:rsidP="00C5462B">
            <w:pPr>
              <w:autoSpaceDE w:val="0"/>
              <w:autoSpaceDN w:val="0"/>
              <w:adjustRightInd w:val="0"/>
              <w:rPr>
                <w:rFonts w:cs="Times New Roman"/>
                <w:sz w:val="24"/>
                <w:szCs w:val="24"/>
              </w:rPr>
            </w:pPr>
          </w:p>
          <w:p w:rsidR="00C57E16" w:rsidRPr="00A8612B" w:rsidRDefault="00C57E16">
            <w:pPr>
              <w:autoSpaceDE w:val="0"/>
              <w:autoSpaceDN w:val="0"/>
              <w:adjustRightInd w:val="0"/>
              <w:rPr>
                <w:rFonts w:cs="Times New Roman"/>
                <w:sz w:val="24"/>
                <w:szCs w:val="24"/>
              </w:rPr>
            </w:pPr>
          </w:p>
        </w:tc>
        <w:tc>
          <w:tcPr>
            <w:tcW w:w="4788" w:type="dxa"/>
          </w:tcPr>
          <w:p w:rsidR="006545BB" w:rsidRPr="00A8612B" w:rsidRDefault="006545BB" w:rsidP="006545BB">
            <w:pPr>
              <w:autoSpaceDE w:val="0"/>
              <w:autoSpaceDN w:val="0"/>
              <w:adjustRightInd w:val="0"/>
              <w:rPr>
                <w:rFonts w:cs="Times New Roman"/>
                <w:sz w:val="24"/>
                <w:szCs w:val="24"/>
              </w:rPr>
            </w:pPr>
            <w:r w:rsidRPr="00A8612B">
              <w:rPr>
                <w:rFonts w:cs="Times New Roman"/>
                <w:sz w:val="24"/>
                <w:szCs w:val="24"/>
              </w:rPr>
              <w:t>Amy B. Spiller</w:t>
            </w:r>
          </w:p>
          <w:p w:rsidR="006545BB" w:rsidRPr="00A8612B" w:rsidRDefault="006545BB" w:rsidP="006545BB">
            <w:pPr>
              <w:autoSpaceDE w:val="0"/>
              <w:autoSpaceDN w:val="0"/>
              <w:adjustRightInd w:val="0"/>
              <w:rPr>
                <w:rFonts w:cs="Times New Roman"/>
                <w:sz w:val="24"/>
                <w:szCs w:val="24"/>
              </w:rPr>
            </w:pPr>
            <w:r w:rsidRPr="00A8612B">
              <w:rPr>
                <w:rFonts w:cs="Times New Roman"/>
                <w:sz w:val="24"/>
                <w:szCs w:val="24"/>
              </w:rPr>
              <w:t>Elizabeth H. Watts</w:t>
            </w:r>
          </w:p>
          <w:p w:rsidR="006545BB" w:rsidRPr="00A8612B" w:rsidRDefault="006545BB" w:rsidP="006545BB">
            <w:pPr>
              <w:autoSpaceDE w:val="0"/>
              <w:autoSpaceDN w:val="0"/>
              <w:adjustRightInd w:val="0"/>
              <w:rPr>
                <w:rFonts w:cs="Times New Roman"/>
                <w:sz w:val="24"/>
                <w:szCs w:val="24"/>
              </w:rPr>
            </w:pPr>
            <w:r w:rsidRPr="00A8612B">
              <w:rPr>
                <w:rFonts w:cs="Times New Roman"/>
                <w:sz w:val="24"/>
                <w:szCs w:val="24"/>
              </w:rPr>
              <w:t>139 East Broad Street</w:t>
            </w:r>
          </w:p>
          <w:p w:rsidR="006545BB" w:rsidRPr="00A8612B" w:rsidRDefault="006545BB" w:rsidP="006545BB">
            <w:pPr>
              <w:autoSpaceDE w:val="0"/>
              <w:autoSpaceDN w:val="0"/>
              <w:adjustRightInd w:val="0"/>
              <w:rPr>
                <w:rFonts w:cs="Times New Roman"/>
                <w:sz w:val="24"/>
                <w:szCs w:val="24"/>
              </w:rPr>
            </w:pPr>
            <w:r w:rsidRPr="00A8612B">
              <w:rPr>
                <w:rFonts w:cs="Times New Roman"/>
                <w:sz w:val="24"/>
                <w:szCs w:val="24"/>
              </w:rPr>
              <w:t>Cincinnati, Ohio 45202</w:t>
            </w:r>
          </w:p>
          <w:p w:rsidR="006545BB" w:rsidRPr="00A8612B" w:rsidRDefault="000109F9" w:rsidP="006545BB">
            <w:pPr>
              <w:autoSpaceDE w:val="0"/>
              <w:autoSpaceDN w:val="0"/>
              <w:adjustRightInd w:val="0"/>
              <w:rPr>
                <w:rFonts w:cs="Times New Roman"/>
                <w:sz w:val="24"/>
                <w:szCs w:val="24"/>
              </w:rPr>
            </w:pPr>
            <w:hyperlink r:id="rId18" w:history="1">
              <w:proofErr w:type="spellStart"/>
              <w:r w:rsidR="006545BB" w:rsidRPr="00A8612B">
                <w:rPr>
                  <w:rStyle w:val="Hyperlink"/>
                  <w:rFonts w:cs="Times New Roman"/>
                  <w:sz w:val="24"/>
                  <w:szCs w:val="24"/>
                </w:rPr>
                <w:t>Amy.spiller@duke-energy.com</w:t>
              </w:r>
              <w:proofErr w:type="spellEnd"/>
            </w:hyperlink>
          </w:p>
          <w:p w:rsidR="006545BB" w:rsidRDefault="000109F9" w:rsidP="006545BB">
            <w:pPr>
              <w:autoSpaceDE w:val="0"/>
              <w:autoSpaceDN w:val="0"/>
              <w:adjustRightInd w:val="0"/>
              <w:rPr>
                <w:rFonts w:cs="Times New Roman"/>
                <w:sz w:val="24"/>
                <w:szCs w:val="24"/>
              </w:rPr>
            </w:pPr>
            <w:hyperlink r:id="rId19" w:history="1">
              <w:proofErr w:type="spellStart"/>
              <w:r w:rsidR="00E9271E" w:rsidRPr="00661A47">
                <w:rPr>
                  <w:rStyle w:val="Hyperlink"/>
                  <w:rFonts w:cs="Times New Roman"/>
                  <w:szCs w:val="24"/>
                </w:rPr>
                <w:t>Elizabeth.watts@duke-energy.com</w:t>
              </w:r>
              <w:proofErr w:type="spellEnd"/>
            </w:hyperlink>
          </w:p>
          <w:p w:rsidR="00E9271E" w:rsidRPr="00A8612B" w:rsidRDefault="00E9271E" w:rsidP="006545BB">
            <w:pPr>
              <w:autoSpaceDE w:val="0"/>
              <w:autoSpaceDN w:val="0"/>
              <w:adjustRightInd w:val="0"/>
              <w:rPr>
                <w:rFonts w:cs="Times New Roman"/>
                <w:sz w:val="24"/>
                <w:szCs w:val="24"/>
              </w:rPr>
            </w:pPr>
          </w:p>
          <w:p w:rsidR="006545BB" w:rsidRPr="00A8612B" w:rsidRDefault="006545BB" w:rsidP="006545BB">
            <w:pPr>
              <w:autoSpaceDE w:val="0"/>
              <w:autoSpaceDN w:val="0"/>
              <w:adjustRightInd w:val="0"/>
              <w:rPr>
                <w:rFonts w:cs="Times New Roman"/>
                <w:sz w:val="24"/>
                <w:szCs w:val="24"/>
              </w:rPr>
            </w:pPr>
          </w:p>
          <w:p w:rsidR="006545BB" w:rsidRPr="00A8612B" w:rsidRDefault="006545BB" w:rsidP="006545BB">
            <w:pPr>
              <w:autoSpaceDE w:val="0"/>
              <w:autoSpaceDN w:val="0"/>
              <w:adjustRightInd w:val="0"/>
              <w:rPr>
                <w:rFonts w:cs="Times New Roman"/>
                <w:sz w:val="24"/>
                <w:szCs w:val="24"/>
              </w:rPr>
            </w:pPr>
          </w:p>
          <w:p w:rsidR="006545BB" w:rsidRPr="00A8612B" w:rsidRDefault="006545BB" w:rsidP="006545BB">
            <w:pPr>
              <w:autoSpaceDE w:val="0"/>
              <w:autoSpaceDN w:val="0"/>
              <w:adjustRightInd w:val="0"/>
              <w:rPr>
                <w:rFonts w:cs="Times New Roman"/>
                <w:sz w:val="24"/>
                <w:szCs w:val="24"/>
              </w:rPr>
            </w:pPr>
          </w:p>
          <w:p w:rsidR="00625A42" w:rsidRPr="00A8612B" w:rsidRDefault="00625A42" w:rsidP="006545BB">
            <w:pPr>
              <w:autoSpaceDE w:val="0"/>
              <w:autoSpaceDN w:val="0"/>
              <w:adjustRightInd w:val="0"/>
              <w:rPr>
                <w:rFonts w:cs="Times New Roman"/>
                <w:sz w:val="24"/>
                <w:szCs w:val="24"/>
              </w:rPr>
            </w:pPr>
          </w:p>
        </w:tc>
      </w:tr>
    </w:tbl>
    <w:p w:rsidR="00E80AB6" w:rsidRPr="00A8612B" w:rsidRDefault="00E80AB6" w:rsidP="00C5462B">
      <w:pPr>
        <w:autoSpaceDE w:val="0"/>
        <w:autoSpaceDN w:val="0"/>
        <w:adjustRightInd w:val="0"/>
        <w:spacing w:after="0" w:line="240" w:lineRule="auto"/>
        <w:rPr>
          <w:rFonts w:cs="Times New Roman"/>
          <w:szCs w:val="24"/>
        </w:rPr>
      </w:pPr>
    </w:p>
    <w:p w:rsidR="00C5462B" w:rsidRPr="00A8612B" w:rsidRDefault="00C5462B">
      <w:pPr>
        <w:autoSpaceDE w:val="0"/>
        <w:autoSpaceDN w:val="0"/>
        <w:adjustRightInd w:val="0"/>
        <w:spacing w:after="0" w:line="240" w:lineRule="auto"/>
        <w:rPr>
          <w:rFonts w:cs="Times New Roman"/>
          <w:szCs w:val="24"/>
        </w:rPr>
      </w:pPr>
    </w:p>
    <w:sectPr w:rsidR="00C5462B" w:rsidRPr="00A8612B" w:rsidSect="00E9271E">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F9" w:rsidRDefault="000109F9" w:rsidP="00C56B8A">
      <w:pPr>
        <w:spacing w:after="0" w:line="240" w:lineRule="auto"/>
      </w:pPr>
      <w:r>
        <w:separator/>
      </w:r>
    </w:p>
  </w:endnote>
  <w:endnote w:type="continuationSeparator" w:id="0">
    <w:p w:rsidR="000109F9" w:rsidRDefault="000109F9" w:rsidP="00C5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0C" w:rsidRDefault="00EA7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04316"/>
      <w:docPartObj>
        <w:docPartGallery w:val="Page Numbers (Bottom of Page)"/>
        <w:docPartUnique/>
      </w:docPartObj>
    </w:sdtPr>
    <w:sdtEndPr/>
    <w:sdtContent>
      <w:p w:rsidR="00CE4F42" w:rsidRDefault="00CE4F42">
        <w:pPr>
          <w:pStyle w:val="Footer"/>
          <w:jc w:val="center"/>
        </w:pPr>
        <w:r w:rsidRPr="00C56B8A">
          <w:rPr>
            <w:rFonts w:cs="Times New Roman"/>
            <w:szCs w:val="24"/>
          </w:rPr>
          <w:fldChar w:fldCharType="begin"/>
        </w:r>
        <w:r w:rsidRPr="00C56B8A">
          <w:rPr>
            <w:rFonts w:cs="Times New Roman"/>
            <w:szCs w:val="24"/>
          </w:rPr>
          <w:instrText xml:space="preserve"> PAGE   \* MERGEFORMAT </w:instrText>
        </w:r>
        <w:r w:rsidRPr="00C56B8A">
          <w:rPr>
            <w:rFonts w:cs="Times New Roman"/>
            <w:szCs w:val="24"/>
          </w:rPr>
          <w:fldChar w:fldCharType="separate"/>
        </w:r>
        <w:r w:rsidR="00544E2C">
          <w:rPr>
            <w:rFonts w:cs="Times New Roman"/>
            <w:noProof/>
            <w:szCs w:val="24"/>
          </w:rPr>
          <w:t>11</w:t>
        </w:r>
        <w:r w:rsidRPr="00C56B8A">
          <w:rPr>
            <w:rFonts w:cs="Times New Roman"/>
            <w:szCs w:val="24"/>
          </w:rPr>
          <w:fldChar w:fldCharType="end"/>
        </w:r>
      </w:p>
    </w:sdtContent>
  </w:sdt>
  <w:p w:rsidR="00CE4F42" w:rsidRPr="00745001" w:rsidRDefault="00CE4F42">
    <w:pPr>
      <w:pStyle w:val="Footer"/>
      <w:rPr>
        <w:rFonts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0C" w:rsidRDefault="00EA7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F9" w:rsidRDefault="000109F9" w:rsidP="00C56B8A">
      <w:pPr>
        <w:spacing w:after="0" w:line="240" w:lineRule="auto"/>
      </w:pPr>
      <w:r>
        <w:separator/>
      </w:r>
    </w:p>
  </w:footnote>
  <w:footnote w:type="continuationSeparator" w:id="0">
    <w:p w:rsidR="000109F9" w:rsidRDefault="000109F9" w:rsidP="00C56B8A">
      <w:pPr>
        <w:spacing w:after="0" w:line="240" w:lineRule="auto"/>
      </w:pPr>
      <w:r>
        <w:continuationSeparator/>
      </w:r>
    </w:p>
  </w:footnote>
  <w:footnote w:id="1">
    <w:p w:rsidR="00610F79" w:rsidRDefault="00610F79">
      <w:pPr>
        <w:pStyle w:val="FootnoteText"/>
      </w:pPr>
      <w:r>
        <w:rPr>
          <w:rStyle w:val="FootnoteReference"/>
        </w:rPr>
        <w:footnoteRef/>
      </w:r>
      <w:r>
        <w:t xml:space="preserve"> See </w:t>
      </w:r>
      <w:r w:rsidRPr="00610F79">
        <w:rPr>
          <w:i/>
        </w:rPr>
        <w:t>In the Matter of the Commission’s Consideration of Solutions Concerning the Disconnection of Gas and Electric Service in Winter Emergencies for the 2015-2016 Winter Heating Season</w:t>
      </w:r>
      <w:r>
        <w:t xml:space="preserve">, </w:t>
      </w:r>
      <w:r w:rsidRPr="00A044B5">
        <w:t xml:space="preserve">Case No. </w:t>
      </w:r>
      <w:r>
        <w:t>15-1460</w:t>
      </w:r>
      <w:r w:rsidRPr="00972CAA">
        <w:t>-GE-</w:t>
      </w:r>
      <w:r>
        <w:t>UNC, Entry on Rehearing (October 28, 2015) at 5.</w:t>
      </w:r>
    </w:p>
  </w:footnote>
  <w:footnote w:id="2">
    <w:p w:rsidR="00610F79" w:rsidRDefault="00610F79">
      <w:pPr>
        <w:pStyle w:val="FootnoteText"/>
      </w:pPr>
      <w:r>
        <w:rPr>
          <w:rStyle w:val="FootnoteReference"/>
        </w:rPr>
        <w:footnoteRef/>
      </w:r>
      <w:r>
        <w:t xml:space="preserve"> </w:t>
      </w:r>
      <w:r w:rsidR="00290BC3">
        <w:t>See Complaint at 2-3.</w:t>
      </w:r>
    </w:p>
  </w:footnote>
  <w:footnote w:id="3">
    <w:p w:rsidR="00610F79" w:rsidRDefault="00610F79">
      <w:pPr>
        <w:pStyle w:val="FootnoteText"/>
      </w:pPr>
      <w:r>
        <w:rPr>
          <w:rStyle w:val="FootnoteReference"/>
        </w:rPr>
        <w:footnoteRef/>
      </w:r>
      <w:r>
        <w:t xml:space="preserve"> </w:t>
      </w:r>
      <w:r w:rsidR="00290BC3">
        <w:t>See Second Motion to Amend Complaint, proposed amended Complaint at 2-3.</w:t>
      </w:r>
      <w:r w:rsidR="00464DC6">
        <w:t xml:space="preserve">  The 2011 Winter Reconnect Order is </w:t>
      </w:r>
      <w:r w:rsidR="00464DC6" w:rsidRPr="00610F79">
        <w:rPr>
          <w:i/>
        </w:rPr>
        <w:t>In the Matter of the Commission’s Consideration of Solutions Concerning the Disconnection of Gas and Electric Service in Winter Emergencies for the 2015-2016 Winter Heating Season</w:t>
      </w:r>
      <w:r w:rsidR="00464DC6">
        <w:t xml:space="preserve">, </w:t>
      </w:r>
      <w:r w:rsidR="00464DC6" w:rsidRPr="00A044B5">
        <w:t xml:space="preserve">Case No. </w:t>
      </w:r>
      <w:r w:rsidR="00464DC6">
        <w:t>11-4913</w:t>
      </w:r>
      <w:r w:rsidR="00464DC6" w:rsidRPr="00972CAA">
        <w:t>-GE-</w:t>
      </w:r>
      <w:r w:rsidR="00464DC6">
        <w:t>UNC, Finding and Order (September 14, 2011).</w:t>
      </w:r>
    </w:p>
  </w:footnote>
  <w:footnote w:id="4">
    <w:p w:rsidR="00FF58FF" w:rsidRDefault="00FF58FF">
      <w:pPr>
        <w:pStyle w:val="FootnoteText"/>
      </w:pPr>
      <w:r>
        <w:rPr>
          <w:rStyle w:val="FootnoteReference"/>
        </w:rPr>
        <w:footnoteRef/>
      </w:r>
      <w:r>
        <w:t xml:space="preserve"> Duke Opposition at 3-4.</w:t>
      </w:r>
    </w:p>
  </w:footnote>
  <w:footnote w:id="5">
    <w:p w:rsidR="00FF58FF" w:rsidRDefault="00FF58FF">
      <w:pPr>
        <w:pStyle w:val="FootnoteText"/>
      </w:pPr>
      <w:r>
        <w:rPr>
          <w:rStyle w:val="FootnoteReference"/>
        </w:rPr>
        <w:footnoteRef/>
      </w:r>
      <w:r>
        <w:t xml:space="preserve"> </w:t>
      </w:r>
      <w:proofErr w:type="gramStart"/>
      <w:r>
        <w:t xml:space="preserve">Id. at </w:t>
      </w:r>
      <w:r w:rsidR="00610F79">
        <w:t>5.</w:t>
      </w:r>
      <w:proofErr w:type="gramEnd"/>
    </w:p>
  </w:footnote>
  <w:footnote w:id="6">
    <w:p w:rsidR="005B21E9" w:rsidRDefault="005B21E9" w:rsidP="005B21E9">
      <w:pPr>
        <w:pStyle w:val="FootnoteText"/>
      </w:pPr>
      <w:r>
        <w:rPr>
          <w:rStyle w:val="FootnoteReference"/>
        </w:rPr>
        <w:footnoteRef/>
      </w:r>
      <w:r>
        <w:t xml:space="preserve"> OCC’s Motion to Intervene was granted in an Entry dated July 10, 2015.</w:t>
      </w:r>
    </w:p>
  </w:footnote>
  <w:footnote w:id="7">
    <w:p w:rsidR="00210CA2" w:rsidRDefault="00210CA2">
      <w:pPr>
        <w:pStyle w:val="FootnoteText"/>
      </w:pPr>
      <w:r>
        <w:rPr>
          <w:rStyle w:val="FootnoteReference"/>
        </w:rPr>
        <w:footnoteRef/>
      </w:r>
      <w:r>
        <w:t xml:space="preserve"> </w:t>
      </w:r>
      <w:r w:rsidR="006126F0">
        <w:t xml:space="preserve">See </w:t>
      </w:r>
      <w:r>
        <w:t>Ohio Civ. R. 15(A).</w:t>
      </w:r>
    </w:p>
  </w:footnote>
  <w:footnote w:id="8">
    <w:p w:rsidR="008D4234" w:rsidRDefault="008D4234">
      <w:pPr>
        <w:pStyle w:val="FootnoteText"/>
      </w:pPr>
      <w:r>
        <w:rPr>
          <w:rStyle w:val="FootnoteReference"/>
        </w:rPr>
        <w:footnoteRef/>
      </w:r>
      <w:r>
        <w:t xml:space="preserve"> </w:t>
      </w:r>
      <w:proofErr w:type="gramStart"/>
      <w:r>
        <w:t>Case No. 10-984-EL-</w:t>
      </w:r>
      <w:proofErr w:type="spellStart"/>
      <w:r>
        <w:t>CSS</w:t>
      </w:r>
      <w:proofErr w:type="spellEnd"/>
      <w:r>
        <w:t>.</w:t>
      </w:r>
      <w:proofErr w:type="gramEnd"/>
    </w:p>
  </w:footnote>
  <w:footnote w:id="9">
    <w:p w:rsidR="008D4234" w:rsidRDefault="008D4234">
      <w:pPr>
        <w:pStyle w:val="FootnoteText"/>
      </w:pPr>
      <w:r>
        <w:rPr>
          <w:rStyle w:val="FootnoteReference"/>
        </w:rPr>
        <w:footnoteRef/>
      </w:r>
      <w:r>
        <w:t xml:space="preserve"> </w:t>
      </w:r>
      <w:proofErr w:type="gramStart"/>
      <w:r>
        <w:t>Id., Entry (July 30, 2010), ¶ 3.</w:t>
      </w:r>
      <w:proofErr w:type="gramEnd"/>
    </w:p>
  </w:footnote>
  <w:footnote w:id="10">
    <w:p w:rsidR="00195950" w:rsidRDefault="00195950">
      <w:pPr>
        <w:pStyle w:val="FootnoteText"/>
      </w:pPr>
      <w:r>
        <w:rPr>
          <w:rStyle w:val="FootnoteReference"/>
        </w:rPr>
        <w:footnoteRef/>
      </w:r>
      <w:r>
        <w:t xml:space="preserve"> Id.</w:t>
      </w:r>
      <w:r w:rsidR="00641A2C">
        <w:t xml:space="preserve"> </w:t>
      </w:r>
      <w:r w:rsidR="00641A2C">
        <w:rPr>
          <w:rFonts w:cs="Times New Roman"/>
          <w:bCs/>
          <w:color w:val="000000"/>
          <w:szCs w:val="24"/>
        </w:rPr>
        <w:t>Republic also argued that the proceeding had been pending only a short time, and that discovery had not yet begun. Id.</w:t>
      </w:r>
    </w:p>
  </w:footnote>
  <w:footnote w:id="11">
    <w:p w:rsidR="00195950" w:rsidRPr="00195950" w:rsidRDefault="00195950">
      <w:pPr>
        <w:pStyle w:val="FootnoteText"/>
      </w:pPr>
      <w:r>
        <w:rPr>
          <w:rStyle w:val="FootnoteReference"/>
        </w:rPr>
        <w:footnoteRef/>
      </w:r>
      <w:r>
        <w:t xml:space="preserve"> </w:t>
      </w:r>
      <w:proofErr w:type="gramStart"/>
      <w:r>
        <w:t>Id., ¶ 5.</w:t>
      </w:r>
      <w:proofErr w:type="gramEnd"/>
      <w:r>
        <w:t xml:space="preserve">  See also </w:t>
      </w:r>
      <w:r>
        <w:rPr>
          <w:i/>
        </w:rPr>
        <w:t xml:space="preserve">Marc G. </w:t>
      </w:r>
      <w:proofErr w:type="spellStart"/>
      <w:r>
        <w:rPr>
          <w:i/>
        </w:rPr>
        <w:t>Moscarillo</w:t>
      </w:r>
      <w:proofErr w:type="spellEnd"/>
      <w:r>
        <w:rPr>
          <w:i/>
        </w:rPr>
        <w:t>, d.b.a. Ohio Call Advantage v. Western Reserve Telephone Co.</w:t>
      </w:r>
      <w:r>
        <w:t>, Case No. 95-1099-</w:t>
      </w:r>
      <w:proofErr w:type="spellStart"/>
      <w:r>
        <w:t>TP</w:t>
      </w:r>
      <w:proofErr w:type="spellEnd"/>
      <w:r>
        <w:t>-</w:t>
      </w:r>
      <w:proofErr w:type="spellStart"/>
      <w:r>
        <w:t>CSS</w:t>
      </w:r>
      <w:proofErr w:type="spellEnd"/>
      <w:r>
        <w:t>, Entry (April 16, 1996), ¶ 9 (allowing respondent to amend its answer to raise an additional relevant issue based on respondent’s new understanding of the issues in the case).</w:t>
      </w:r>
    </w:p>
  </w:footnote>
  <w:footnote w:id="12">
    <w:p w:rsidR="009C180C" w:rsidRDefault="009C180C">
      <w:pPr>
        <w:pStyle w:val="FootnoteText"/>
      </w:pPr>
      <w:r>
        <w:rPr>
          <w:rStyle w:val="FootnoteReference"/>
        </w:rPr>
        <w:footnoteRef/>
      </w:r>
      <w:r>
        <w:t xml:space="preserve"> </w:t>
      </w:r>
      <w:proofErr w:type="gramStart"/>
      <w:r>
        <w:t>Case No. 93-692-</w:t>
      </w:r>
      <w:proofErr w:type="spellStart"/>
      <w:r>
        <w:t>TP</w:t>
      </w:r>
      <w:proofErr w:type="spellEnd"/>
      <w:r>
        <w:t>-</w:t>
      </w:r>
      <w:proofErr w:type="spellStart"/>
      <w:r>
        <w:t>CSS</w:t>
      </w:r>
      <w:proofErr w:type="spellEnd"/>
      <w:r>
        <w:t>.</w:t>
      </w:r>
      <w:proofErr w:type="gramEnd"/>
    </w:p>
  </w:footnote>
  <w:footnote w:id="13">
    <w:p w:rsidR="009C180C" w:rsidRDefault="009C180C">
      <w:pPr>
        <w:pStyle w:val="FootnoteText"/>
      </w:pPr>
      <w:r>
        <w:rPr>
          <w:rStyle w:val="FootnoteReference"/>
        </w:rPr>
        <w:footnoteRef/>
      </w:r>
      <w:r>
        <w:t xml:space="preserve"> See id., Entry (July 22, 1994), ¶¶ 1-3.</w:t>
      </w:r>
    </w:p>
  </w:footnote>
  <w:footnote w:id="14">
    <w:p w:rsidR="00B13C11" w:rsidRDefault="00B13C11">
      <w:pPr>
        <w:pStyle w:val="FootnoteText"/>
      </w:pPr>
      <w:r>
        <w:rPr>
          <w:rStyle w:val="FootnoteReference"/>
        </w:rPr>
        <w:footnoteRef/>
      </w:r>
      <w:r>
        <w:t xml:space="preserve"> </w:t>
      </w:r>
      <w:proofErr w:type="gramStart"/>
      <w:r>
        <w:t>Id., ¶ 5.</w:t>
      </w:r>
      <w:proofErr w:type="gramEnd"/>
      <w:r>
        <w:t xml:space="preserve">  The information had been difficult to obtain.  Further, the respondent in the case did not oppose the motion to amend.  </w:t>
      </w:r>
      <w:proofErr w:type="gramStart"/>
      <w:r>
        <w:t>Id.</w:t>
      </w:r>
      <w:r w:rsidR="009D3654">
        <w:t>, ¶ 3.</w:t>
      </w:r>
      <w:proofErr w:type="gramEnd"/>
    </w:p>
  </w:footnote>
  <w:footnote w:id="15">
    <w:p w:rsidR="009D3654" w:rsidRDefault="009D3654">
      <w:pPr>
        <w:pStyle w:val="FootnoteText"/>
      </w:pPr>
      <w:r>
        <w:rPr>
          <w:rStyle w:val="FootnoteReference"/>
        </w:rPr>
        <w:footnoteRef/>
      </w:r>
      <w:r>
        <w:t xml:space="preserve"> </w:t>
      </w:r>
      <w:proofErr w:type="gramStart"/>
      <w:r>
        <w:t>Id., ¶ 5.</w:t>
      </w:r>
      <w:proofErr w:type="gramEnd"/>
    </w:p>
  </w:footnote>
  <w:footnote w:id="16">
    <w:p w:rsidR="00B13C11" w:rsidRDefault="00B13C11">
      <w:pPr>
        <w:pStyle w:val="FootnoteText"/>
      </w:pPr>
      <w:r>
        <w:rPr>
          <w:rStyle w:val="FootnoteReference"/>
        </w:rPr>
        <w:footnoteRef/>
      </w:r>
      <w:r>
        <w:t xml:space="preserve"> </w:t>
      </w:r>
      <w:proofErr w:type="gramStart"/>
      <w:r>
        <w:t>Id., ¶ 6.</w:t>
      </w:r>
      <w:proofErr w:type="gramEnd"/>
    </w:p>
  </w:footnote>
  <w:footnote w:id="17">
    <w:p w:rsidR="003650FF" w:rsidRPr="003650FF" w:rsidRDefault="003650FF">
      <w:pPr>
        <w:pStyle w:val="FootnoteText"/>
      </w:pPr>
      <w:r>
        <w:rPr>
          <w:rStyle w:val="FootnoteReference"/>
        </w:rPr>
        <w:footnoteRef/>
      </w:r>
      <w:r>
        <w:t xml:space="preserve"> See </w:t>
      </w:r>
      <w:r>
        <w:rPr>
          <w:i/>
        </w:rPr>
        <w:t>Virgil Cochran v. Ohio Edison Company</w:t>
      </w:r>
      <w:r>
        <w:t>, Case No. 91-900-EL-</w:t>
      </w:r>
      <w:proofErr w:type="spellStart"/>
      <w:r>
        <w:t>CSS</w:t>
      </w:r>
      <w:proofErr w:type="spellEnd"/>
      <w:r>
        <w:t>, Entry (March 31, 1992).</w:t>
      </w:r>
    </w:p>
  </w:footnote>
  <w:footnote w:id="18">
    <w:p w:rsidR="003A48BC" w:rsidRDefault="003A48BC">
      <w:pPr>
        <w:pStyle w:val="FootnoteText"/>
      </w:pPr>
      <w:r>
        <w:rPr>
          <w:rStyle w:val="FootnoteReference"/>
        </w:rPr>
        <w:footnoteRef/>
      </w:r>
      <w:r>
        <w:t xml:space="preserve"> Complaint for Damages with Jury Demand filed in Hamilton County Common Pleas Court on November 15, 2013 (attached to the Complaint in this case).</w:t>
      </w:r>
    </w:p>
  </w:footnote>
  <w:footnote w:id="19">
    <w:p w:rsidR="003A48BC" w:rsidRDefault="003A48BC">
      <w:pPr>
        <w:pStyle w:val="FootnoteText"/>
      </w:pPr>
      <w:r>
        <w:rPr>
          <w:rStyle w:val="FootnoteReference"/>
        </w:rPr>
        <w:footnoteRef/>
      </w:r>
      <w:r>
        <w:t xml:space="preserve"> Id., ¶ 9</w:t>
      </w:r>
    </w:p>
  </w:footnote>
  <w:footnote w:id="20">
    <w:p w:rsidR="00504C91" w:rsidRDefault="00504C91" w:rsidP="00504C91">
      <w:pPr>
        <w:pStyle w:val="FootnoteText"/>
      </w:pPr>
      <w:r>
        <w:rPr>
          <w:rStyle w:val="FootnoteReference"/>
        </w:rPr>
        <w:footnoteRef/>
      </w:r>
      <w:r>
        <w:t xml:space="preserve"> Hamilton County Common Pleas Court decision attached to the Complaint.</w:t>
      </w:r>
    </w:p>
  </w:footnote>
  <w:footnote w:id="21">
    <w:p w:rsidR="005C5EDC" w:rsidRDefault="005C5EDC">
      <w:pPr>
        <w:pStyle w:val="FootnoteText"/>
      </w:pPr>
      <w:r>
        <w:rPr>
          <w:rStyle w:val="FootnoteReference"/>
        </w:rPr>
        <w:footnoteRef/>
      </w:r>
      <w:r>
        <w:t xml:space="preserve"> See Complaint at 2-3.</w:t>
      </w:r>
    </w:p>
  </w:footnote>
  <w:footnote w:id="22">
    <w:p w:rsidR="000B1103" w:rsidRDefault="000B1103">
      <w:pPr>
        <w:pStyle w:val="FootnoteText"/>
      </w:pPr>
      <w:r>
        <w:rPr>
          <w:rStyle w:val="FootnoteReference"/>
        </w:rPr>
        <w:footnoteRef/>
      </w:r>
      <w:r>
        <w:t xml:space="preserve"> Answer (February 27, 2015), ¶ 14</w:t>
      </w:r>
      <w:r w:rsidR="00E074A8">
        <w:t xml:space="preserve"> (emphasis added)</w:t>
      </w:r>
      <w:r>
        <w:t>.</w:t>
      </w:r>
    </w:p>
  </w:footnote>
  <w:footnote w:id="23">
    <w:p w:rsidR="00736717" w:rsidRDefault="00736717">
      <w:pPr>
        <w:pStyle w:val="FootnoteText"/>
      </w:pPr>
      <w:r>
        <w:rPr>
          <w:rStyle w:val="FootnoteReference"/>
        </w:rPr>
        <w:footnoteRef/>
      </w:r>
      <w:r>
        <w:t xml:space="preserve"> </w:t>
      </w:r>
      <w:proofErr w:type="gramStart"/>
      <w:r w:rsidR="00464DC6">
        <w:t xml:space="preserve">2011 Winter Reconnect Order </w:t>
      </w:r>
      <w:r>
        <w:t>at 1.</w:t>
      </w:r>
      <w:proofErr w:type="gramEnd"/>
    </w:p>
  </w:footnote>
  <w:footnote w:id="24">
    <w:p w:rsidR="003A2448" w:rsidRDefault="003A2448" w:rsidP="003A2448">
      <w:pPr>
        <w:pStyle w:val="FootnoteText"/>
      </w:pPr>
      <w:r>
        <w:rPr>
          <w:rStyle w:val="FootnoteReference"/>
        </w:rPr>
        <w:footnoteRef/>
      </w:r>
      <w:r>
        <w:t xml:space="preserve"> </w:t>
      </w:r>
      <w:proofErr w:type="gramStart"/>
      <w:r>
        <w:t>Id. at 2.</w:t>
      </w:r>
      <w:proofErr w:type="gramEnd"/>
    </w:p>
  </w:footnote>
  <w:footnote w:id="25">
    <w:p w:rsidR="003A2448" w:rsidRDefault="003A2448">
      <w:pPr>
        <w:pStyle w:val="FootnoteText"/>
      </w:pPr>
      <w:r>
        <w:rPr>
          <w:rStyle w:val="FootnoteReference"/>
        </w:rPr>
        <w:footnoteRef/>
      </w:r>
      <w:r>
        <w:t xml:space="preserve"> Id.</w:t>
      </w:r>
    </w:p>
  </w:footnote>
  <w:footnote w:id="26">
    <w:p w:rsidR="008234BE" w:rsidRDefault="008234BE">
      <w:pPr>
        <w:pStyle w:val="FootnoteText"/>
      </w:pPr>
      <w:r>
        <w:rPr>
          <w:rStyle w:val="FootnoteReference"/>
        </w:rPr>
        <w:footnoteRef/>
      </w:r>
      <w:r>
        <w:t xml:space="preserve"> </w:t>
      </w:r>
      <w:proofErr w:type="gramStart"/>
      <w:r>
        <w:t>Id. at 7.</w:t>
      </w:r>
      <w:proofErr w:type="gramEnd"/>
    </w:p>
  </w:footnote>
  <w:footnote w:id="27">
    <w:p w:rsidR="0076480D" w:rsidRDefault="0076480D" w:rsidP="0076480D">
      <w:pPr>
        <w:pStyle w:val="FootnoteText"/>
      </w:pPr>
      <w:r>
        <w:rPr>
          <w:rStyle w:val="FootnoteReference"/>
        </w:rPr>
        <w:footnoteRef/>
      </w:r>
      <w:r>
        <w:t xml:space="preserve"> Duke Opposition at 3-4.</w:t>
      </w:r>
    </w:p>
  </w:footnote>
  <w:footnote w:id="28">
    <w:p w:rsidR="00EE4D09" w:rsidRDefault="00EE4D09" w:rsidP="00EE4D09">
      <w:pPr>
        <w:pStyle w:val="FootnoteText"/>
      </w:pPr>
      <w:r>
        <w:rPr>
          <w:rStyle w:val="FootnoteReference"/>
        </w:rPr>
        <w:footnoteRef/>
      </w:r>
      <w:r>
        <w:t xml:space="preserve"> See Duke’s Answer at 4 (“Duke Energy Ohio denies that the 10-day notice requirement under </w:t>
      </w:r>
      <w:proofErr w:type="spellStart"/>
      <w:r>
        <w:t>O.A.C</w:t>
      </w:r>
      <w:proofErr w:type="spellEnd"/>
      <w:r>
        <w:t xml:space="preserve">. 4901:1-18-06(B) applied to the subject disconnection of electric service at the Property because the electric service was disconnected only for the non-payment of utility services incurred during August, September and October 2011, and relevant late fees, and </w:t>
      </w:r>
      <w:r>
        <w:rPr>
          <w:i/>
          <w:iCs/>
        </w:rPr>
        <w:t xml:space="preserve">not </w:t>
      </w:r>
      <w:r>
        <w:t xml:space="preserve">for the nonpayment of charges incurred during the winter heating season”) (emphasis in original); id. at 5 (“Duke Energy Ohio denies that </w:t>
      </w:r>
      <w:proofErr w:type="spellStart"/>
      <w:r>
        <w:t>O.A.C</w:t>
      </w:r>
      <w:proofErr w:type="spellEnd"/>
      <w:r>
        <w:t xml:space="preserve">. 4901:1-18-06(B)(3) applies to the Company’s disconnection of the electric service at the Property on November 4, 2011, because (a) the Company did not disconnect Estill Easterling’s electric service for any unpaid bills which included usage occurring during November first to April fifteenth of each year,….”); id. at 7 (“the customer’s services were not subject to disconnection for nonpayment of charges incurred during the winter heating season”); Duke’s Memorandum Contra OCC’s Motion to Intervene (May 22, 2015) at 4 (“The Duke Energy Ohio bills for the Account attached to the Complaint demonstrate that the Company disconnected the electric service to the Account for the non-payment of electric services provided to the Account from August 3 through September 1, 2011. … Therefore, the allegations </w:t>
      </w:r>
      <w:r>
        <w:rPr>
          <w:i/>
          <w:iCs/>
        </w:rPr>
        <w:t xml:space="preserve">in </w:t>
      </w:r>
      <w:r>
        <w:t xml:space="preserve">the Complaint are contradicted by the utility bills attached </w:t>
      </w:r>
      <w:r>
        <w:rPr>
          <w:i/>
          <w:iCs/>
        </w:rPr>
        <w:t xml:space="preserve">to </w:t>
      </w:r>
      <w:r>
        <w:t xml:space="preserve">the Complaint because the Account was not disconnected for the non-payment of any bills including usage during the winter heating season”) (emphasis in original); id. at 8 (“the Account was not disconnected for unpaid bills including electric charges incurred during the winter heating season”); Duke’s Memorandum in Opposition to Complainant Jeffrey </w:t>
      </w:r>
      <w:proofErr w:type="spellStart"/>
      <w:r>
        <w:t>Pitzer’s</w:t>
      </w:r>
      <w:proofErr w:type="spellEnd"/>
      <w:r>
        <w:t xml:space="preserve"> Second Motion to Compel (August 27, 2015) at 4 (“</w:t>
      </w:r>
      <w:r w:rsidRPr="00E82584">
        <w:t>Moreover, the Duke Energy Ohio bills for the Account attached to the Complaint demonstrate that the Company disconnected the electric service to the Account for the non-payment of electric services provided to the Account from August 3 through September 1, 2011</w:t>
      </w:r>
      <w:r>
        <w:t xml:space="preserve">. … </w:t>
      </w:r>
      <w:r w:rsidRPr="00E82584">
        <w:t xml:space="preserve">Therefore, the allegations </w:t>
      </w:r>
      <w:r w:rsidRPr="00E82584">
        <w:rPr>
          <w:i/>
        </w:rPr>
        <w:t>in</w:t>
      </w:r>
      <w:r w:rsidRPr="00E82584">
        <w:t xml:space="preserve"> the Complaint are contradicted by the utility bills attached </w:t>
      </w:r>
      <w:r w:rsidRPr="00E82584">
        <w:rPr>
          <w:i/>
        </w:rPr>
        <w:t>to</w:t>
      </w:r>
      <w:r w:rsidRPr="00E82584">
        <w:t xml:space="preserve"> the Complaint because the Account was not disconnected for the non-payment of any bills including usage during the winter heating season</w:t>
      </w:r>
      <w:r>
        <w:t>.”) (</w:t>
      </w:r>
      <w:proofErr w:type="gramStart"/>
      <w:r>
        <w:t>emphasis</w:t>
      </w:r>
      <w:proofErr w:type="gramEnd"/>
      <w:r>
        <w:t xml:space="preserve"> in original).</w:t>
      </w:r>
    </w:p>
  </w:footnote>
  <w:footnote w:id="29">
    <w:p w:rsidR="00EE4D09" w:rsidRDefault="00EE4D09" w:rsidP="00EE4D09">
      <w:pPr>
        <w:pStyle w:val="FootnoteText"/>
      </w:pPr>
      <w:r>
        <w:rPr>
          <w:rStyle w:val="FootnoteReference"/>
        </w:rPr>
        <w:footnoteRef/>
      </w:r>
      <w:r>
        <w:t xml:space="preserve"> </w:t>
      </w:r>
      <w:r w:rsidR="004E0925">
        <w:t xml:space="preserve">2011 </w:t>
      </w:r>
      <w:r>
        <w:t xml:space="preserve">Winter Reconnect Order at </w:t>
      </w:r>
      <w:r w:rsidR="004E0925">
        <w:t>2</w:t>
      </w:r>
      <w:r>
        <w:t xml:space="preserve"> (emphasis added).  </w:t>
      </w:r>
    </w:p>
  </w:footnote>
  <w:footnote w:id="30">
    <w:p w:rsidR="00EE4D09" w:rsidRDefault="00EE4D09" w:rsidP="00EE4D09">
      <w:pPr>
        <w:pStyle w:val="FootnoteText"/>
      </w:pPr>
      <w:r>
        <w:rPr>
          <w:rStyle w:val="FootnoteReference"/>
        </w:rPr>
        <w:footnoteRef/>
      </w:r>
      <w:r>
        <w:t xml:space="preserve"> Id. at 3-</w:t>
      </w:r>
      <w:r w:rsidR="004E0925">
        <w:t>6</w:t>
      </w:r>
      <w:r>
        <w:t xml:space="preserve">.  </w:t>
      </w:r>
    </w:p>
  </w:footnote>
  <w:footnote w:id="31">
    <w:p w:rsidR="00EE4D09" w:rsidRDefault="00EE4D09" w:rsidP="00EE4D09">
      <w:pPr>
        <w:pStyle w:val="FootnoteText"/>
      </w:pPr>
      <w:r>
        <w:rPr>
          <w:rStyle w:val="FootnoteReference"/>
        </w:rPr>
        <w:footnoteRef/>
      </w:r>
      <w:r>
        <w:t xml:space="preserve"> </w:t>
      </w:r>
      <w:proofErr w:type="gramStart"/>
      <w:r>
        <w:t xml:space="preserve">Id. at </w:t>
      </w:r>
      <w:r w:rsidR="004E0925">
        <w:t>7</w:t>
      </w:r>
      <w:r>
        <w:t>.</w:t>
      </w:r>
      <w:proofErr w:type="gramEnd"/>
      <w:r w:rsidR="00E074A8">
        <w:t xml:space="preserve">  Even if the Easterlings did not make the $175 payment to cure “any default previously owed to the utility,” the Easterlings did make a $143 payment on October 12, 2011, which shows that they were at least attempting to pay the arrearages on the account.</w:t>
      </w:r>
    </w:p>
  </w:footnote>
  <w:footnote w:id="32">
    <w:p w:rsidR="00EE4D09" w:rsidRDefault="00EE4D09" w:rsidP="00EE4D09">
      <w:pPr>
        <w:pStyle w:val="FootnoteText"/>
      </w:pPr>
      <w:r>
        <w:rPr>
          <w:rStyle w:val="FootnoteReference"/>
        </w:rPr>
        <w:footnoteRef/>
      </w:r>
      <w:r>
        <w:t xml:space="preserve"> </w:t>
      </w:r>
      <w:proofErr w:type="gramStart"/>
      <w:r>
        <w:t>Id. at 2.</w:t>
      </w:r>
      <w:proofErr w:type="gramEnd"/>
    </w:p>
  </w:footnote>
  <w:footnote w:id="33">
    <w:p w:rsidR="00EE4D09" w:rsidRDefault="00EE4D09" w:rsidP="00EE4D09">
      <w:pPr>
        <w:pStyle w:val="FootnoteText"/>
      </w:pPr>
      <w:r>
        <w:rPr>
          <w:rStyle w:val="FootnoteReference"/>
        </w:rPr>
        <w:footnoteRef/>
      </w:r>
      <w:r>
        <w:t xml:space="preserve"> Id.</w:t>
      </w:r>
    </w:p>
  </w:footnote>
  <w:footnote w:id="34">
    <w:p w:rsidR="006537BC" w:rsidRDefault="006537BC" w:rsidP="006537BC">
      <w:pPr>
        <w:pStyle w:val="FootnoteText"/>
      </w:pPr>
      <w:r>
        <w:rPr>
          <w:rStyle w:val="FootnoteReference"/>
        </w:rPr>
        <w:footnoteRef/>
      </w:r>
      <w:r>
        <w:t xml:space="preserve"> </w:t>
      </w:r>
      <w:proofErr w:type="gramStart"/>
      <w:r w:rsidR="008E4D7D">
        <w:t xml:space="preserve">Opposition </w:t>
      </w:r>
      <w:r>
        <w:t>at 5.</w:t>
      </w:r>
      <w:proofErr w:type="gramEnd"/>
    </w:p>
  </w:footnote>
  <w:footnote w:id="35">
    <w:p w:rsidR="006537BC" w:rsidRDefault="006537BC">
      <w:pPr>
        <w:pStyle w:val="FootnoteText"/>
      </w:pPr>
      <w:r>
        <w:rPr>
          <w:rStyle w:val="FootnoteReference"/>
        </w:rPr>
        <w:footnoteRef/>
      </w:r>
      <w: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0C" w:rsidRDefault="00EA7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0C" w:rsidRDefault="00EA7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30C" w:rsidRDefault="00EA7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687"/>
    <w:multiLevelType w:val="hybridMultilevel"/>
    <w:tmpl w:val="3398C6BE"/>
    <w:lvl w:ilvl="0" w:tplc="1FC4F5F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851CC9"/>
    <w:multiLevelType w:val="hybridMultilevel"/>
    <w:tmpl w:val="8D42A376"/>
    <w:lvl w:ilvl="0" w:tplc="DFC4F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1413"/>
    <w:rsid w:val="000109F9"/>
    <w:rsid w:val="00015480"/>
    <w:rsid w:val="00016AA4"/>
    <w:rsid w:val="000202EA"/>
    <w:rsid w:val="00022BAB"/>
    <w:rsid w:val="00024570"/>
    <w:rsid w:val="000307F8"/>
    <w:rsid w:val="00030B0C"/>
    <w:rsid w:val="000322F0"/>
    <w:rsid w:val="000403CA"/>
    <w:rsid w:val="00041478"/>
    <w:rsid w:val="000467E2"/>
    <w:rsid w:val="000534D2"/>
    <w:rsid w:val="00057821"/>
    <w:rsid w:val="00061562"/>
    <w:rsid w:val="0006255A"/>
    <w:rsid w:val="00066B7E"/>
    <w:rsid w:val="0008094A"/>
    <w:rsid w:val="0008382A"/>
    <w:rsid w:val="0008600E"/>
    <w:rsid w:val="0009073C"/>
    <w:rsid w:val="000924B4"/>
    <w:rsid w:val="00094E5F"/>
    <w:rsid w:val="00097825"/>
    <w:rsid w:val="00097BBB"/>
    <w:rsid w:val="000B06E4"/>
    <w:rsid w:val="000B1103"/>
    <w:rsid w:val="000B2276"/>
    <w:rsid w:val="000B69D8"/>
    <w:rsid w:val="000C11E3"/>
    <w:rsid w:val="000C1690"/>
    <w:rsid w:val="000C2077"/>
    <w:rsid w:val="000D14C3"/>
    <w:rsid w:val="000D5E86"/>
    <w:rsid w:val="000E1F91"/>
    <w:rsid w:val="000E5F21"/>
    <w:rsid w:val="00100245"/>
    <w:rsid w:val="00100E9E"/>
    <w:rsid w:val="0011200C"/>
    <w:rsid w:val="001173EF"/>
    <w:rsid w:val="00121DCC"/>
    <w:rsid w:val="00122C34"/>
    <w:rsid w:val="00124F25"/>
    <w:rsid w:val="00137EF4"/>
    <w:rsid w:val="00150590"/>
    <w:rsid w:val="00154411"/>
    <w:rsid w:val="00154BA7"/>
    <w:rsid w:val="00154CF3"/>
    <w:rsid w:val="00157467"/>
    <w:rsid w:val="001609B2"/>
    <w:rsid w:val="0017297D"/>
    <w:rsid w:val="00180A09"/>
    <w:rsid w:val="00195950"/>
    <w:rsid w:val="001A1F76"/>
    <w:rsid w:val="001B323C"/>
    <w:rsid w:val="001B760D"/>
    <w:rsid w:val="001C23A4"/>
    <w:rsid w:val="001C42C2"/>
    <w:rsid w:val="001D0117"/>
    <w:rsid w:val="001D1975"/>
    <w:rsid w:val="001D2B6F"/>
    <w:rsid w:val="001D79AE"/>
    <w:rsid w:val="001E2736"/>
    <w:rsid w:val="001F00F3"/>
    <w:rsid w:val="0020637E"/>
    <w:rsid w:val="002100BD"/>
    <w:rsid w:val="00210CA2"/>
    <w:rsid w:val="00210D0D"/>
    <w:rsid w:val="0021217E"/>
    <w:rsid w:val="002128C9"/>
    <w:rsid w:val="002130F1"/>
    <w:rsid w:val="00215CA7"/>
    <w:rsid w:val="00220950"/>
    <w:rsid w:val="00221F9E"/>
    <w:rsid w:val="002245E2"/>
    <w:rsid w:val="00232502"/>
    <w:rsid w:val="00255592"/>
    <w:rsid w:val="002565DA"/>
    <w:rsid w:val="00263A41"/>
    <w:rsid w:val="002825C7"/>
    <w:rsid w:val="00286B39"/>
    <w:rsid w:val="00286C46"/>
    <w:rsid w:val="00290BC3"/>
    <w:rsid w:val="002968A9"/>
    <w:rsid w:val="002A455B"/>
    <w:rsid w:val="002A4E1E"/>
    <w:rsid w:val="002B1124"/>
    <w:rsid w:val="002D0F9D"/>
    <w:rsid w:val="002E0D2C"/>
    <w:rsid w:val="002E18E1"/>
    <w:rsid w:val="002E561E"/>
    <w:rsid w:val="002F3C22"/>
    <w:rsid w:val="002F414C"/>
    <w:rsid w:val="00301F7E"/>
    <w:rsid w:val="00323B35"/>
    <w:rsid w:val="0032664D"/>
    <w:rsid w:val="00327B20"/>
    <w:rsid w:val="00336D10"/>
    <w:rsid w:val="00337E7A"/>
    <w:rsid w:val="00344C53"/>
    <w:rsid w:val="00346BF9"/>
    <w:rsid w:val="00355C94"/>
    <w:rsid w:val="00361E86"/>
    <w:rsid w:val="003650FF"/>
    <w:rsid w:val="00374DB1"/>
    <w:rsid w:val="00380423"/>
    <w:rsid w:val="00383C3D"/>
    <w:rsid w:val="003950D6"/>
    <w:rsid w:val="003A2448"/>
    <w:rsid w:val="003A32C2"/>
    <w:rsid w:val="003A3570"/>
    <w:rsid w:val="003A38FC"/>
    <w:rsid w:val="003A48BC"/>
    <w:rsid w:val="003A7A9F"/>
    <w:rsid w:val="003C1C28"/>
    <w:rsid w:val="003D0B10"/>
    <w:rsid w:val="003D0C74"/>
    <w:rsid w:val="003D4EF9"/>
    <w:rsid w:val="003E5621"/>
    <w:rsid w:val="003F3423"/>
    <w:rsid w:val="00400B4A"/>
    <w:rsid w:val="00400B88"/>
    <w:rsid w:val="004014C8"/>
    <w:rsid w:val="00413218"/>
    <w:rsid w:val="00413E25"/>
    <w:rsid w:val="00416A95"/>
    <w:rsid w:val="00420694"/>
    <w:rsid w:val="004340A0"/>
    <w:rsid w:val="00440775"/>
    <w:rsid w:val="00444421"/>
    <w:rsid w:val="004555C1"/>
    <w:rsid w:val="00456AC3"/>
    <w:rsid w:val="00464DC6"/>
    <w:rsid w:val="00465D4E"/>
    <w:rsid w:val="00475527"/>
    <w:rsid w:val="00476E26"/>
    <w:rsid w:val="00490959"/>
    <w:rsid w:val="00493867"/>
    <w:rsid w:val="0049486D"/>
    <w:rsid w:val="00496A11"/>
    <w:rsid w:val="004A7E62"/>
    <w:rsid w:val="004A7F6C"/>
    <w:rsid w:val="004C4E05"/>
    <w:rsid w:val="004C65EC"/>
    <w:rsid w:val="004E0925"/>
    <w:rsid w:val="004E4A9B"/>
    <w:rsid w:val="004E4EF0"/>
    <w:rsid w:val="004E7DD6"/>
    <w:rsid w:val="004F445A"/>
    <w:rsid w:val="0050122C"/>
    <w:rsid w:val="00501B50"/>
    <w:rsid w:val="00501FEB"/>
    <w:rsid w:val="00504C91"/>
    <w:rsid w:val="00512A90"/>
    <w:rsid w:val="0051487C"/>
    <w:rsid w:val="0052416F"/>
    <w:rsid w:val="00544E2C"/>
    <w:rsid w:val="00547F4C"/>
    <w:rsid w:val="00556716"/>
    <w:rsid w:val="00557D7D"/>
    <w:rsid w:val="005B0125"/>
    <w:rsid w:val="005B21E9"/>
    <w:rsid w:val="005B5AB2"/>
    <w:rsid w:val="005C5EDC"/>
    <w:rsid w:val="005C6BBD"/>
    <w:rsid w:val="005E25BB"/>
    <w:rsid w:val="005E4691"/>
    <w:rsid w:val="005F4AF9"/>
    <w:rsid w:val="00610F79"/>
    <w:rsid w:val="006126F0"/>
    <w:rsid w:val="00625A42"/>
    <w:rsid w:val="00634709"/>
    <w:rsid w:val="00634AC5"/>
    <w:rsid w:val="00634E71"/>
    <w:rsid w:val="00641A2C"/>
    <w:rsid w:val="00644794"/>
    <w:rsid w:val="00645D27"/>
    <w:rsid w:val="006537BC"/>
    <w:rsid w:val="006545BB"/>
    <w:rsid w:val="006615FC"/>
    <w:rsid w:val="0067305E"/>
    <w:rsid w:val="00682A45"/>
    <w:rsid w:val="0068623F"/>
    <w:rsid w:val="00697055"/>
    <w:rsid w:val="006B09FE"/>
    <w:rsid w:val="006B510B"/>
    <w:rsid w:val="006B59D1"/>
    <w:rsid w:val="006C22CC"/>
    <w:rsid w:val="006C46EF"/>
    <w:rsid w:val="006C5F84"/>
    <w:rsid w:val="006D285A"/>
    <w:rsid w:val="006D5460"/>
    <w:rsid w:val="006E1CD5"/>
    <w:rsid w:val="006E63B0"/>
    <w:rsid w:val="006F0E69"/>
    <w:rsid w:val="006F4957"/>
    <w:rsid w:val="006F5E36"/>
    <w:rsid w:val="00723A8A"/>
    <w:rsid w:val="00733448"/>
    <w:rsid w:val="00736717"/>
    <w:rsid w:val="00745001"/>
    <w:rsid w:val="0074605A"/>
    <w:rsid w:val="007501E4"/>
    <w:rsid w:val="00754A47"/>
    <w:rsid w:val="0076480D"/>
    <w:rsid w:val="007668D5"/>
    <w:rsid w:val="0079625B"/>
    <w:rsid w:val="007A1624"/>
    <w:rsid w:val="007A4363"/>
    <w:rsid w:val="007B1B9B"/>
    <w:rsid w:val="007B5838"/>
    <w:rsid w:val="007C4BEB"/>
    <w:rsid w:val="007D18D3"/>
    <w:rsid w:val="007D5A2C"/>
    <w:rsid w:val="007E6CD5"/>
    <w:rsid w:val="00807011"/>
    <w:rsid w:val="00820C99"/>
    <w:rsid w:val="008234BE"/>
    <w:rsid w:val="00854CBB"/>
    <w:rsid w:val="00866AFF"/>
    <w:rsid w:val="00884E7C"/>
    <w:rsid w:val="00884ECF"/>
    <w:rsid w:val="008B0E24"/>
    <w:rsid w:val="008B19EC"/>
    <w:rsid w:val="008B7680"/>
    <w:rsid w:val="008D30F6"/>
    <w:rsid w:val="008D4234"/>
    <w:rsid w:val="008D69AF"/>
    <w:rsid w:val="008E331E"/>
    <w:rsid w:val="008E48DA"/>
    <w:rsid w:val="008E4D7D"/>
    <w:rsid w:val="008E4DEF"/>
    <w:rsid w:val="008E5BCB"/>
    <w:rsid w:val="008E7103"/>
    <w:rsid w:val="008F6351"/>
    <w:rsid w:val="008F6391"/>
    <w:rsid w:val="008F6C49"/>
    <w:rsid w:val="0090423D"/>
    <w:rsid w:val="0090701F"/>
    <w:rsid w:val="00915244"/>
    <w:rsid w:val="0091712E"/>
    <w:rsid w:val="0091738E"/>
    <w:rsid w:val="00927863"/>
    <w:rsid w:val="009433F5"/>
    <w:rsid w:val="0095259F"/>
    <w:rsid w:val="009549A4"/>
    <w:rsid w:val="00954E71"/>
    <w:rsid w:val="009603FC"/>
    <w:rsid w:val="00994362"/>
    <w:rsid w:val="009977E4"/>
    <w:rsid w:val="009A2867"/>
    <w:rsid w:val="009A606F"/>
    <w:rsid w:val="009B4209"/>
    <w:rsid w:val="009C180C"/>
    <w:rsid w:val="009C36D1"/>
    <w:rsid w:val="009D2070"/>
    <w:rsid w:val="009D3654"/>
    <w:rsid w:val="009E1DE4"/>
    <w:rsid w:val="009E2680"/>
    <w:rsid w:val="009E58D4"/>
    <w:rsid w:val="009F25D5"/>
    <w:rsid w:val="00A01089"/>
    <w:rsid w:val="00A1499F"/>
    <w:rsid w:val="00A22E1F"/>
    <w:rsid w:val="00A251CB"/>
    <w:rsid w:val="00A26542"/>
    <w:rsid w:val="00A32B06"/>
    <w:rsid w:val="00A4270B"/>
    <w:rsid w:val="00A47A5B"/>
    <w:rsid w:val="00A56251"/>
    <w:rsid w:val="00A56413"/>
    <w:rsid w:val="00A8612B"/>
    <w:rsid w:val="00A87046"/>
    <w:rsid w:val="00AA2285"/>
    <w:rsid w:val="00AA67A5"/>
    <w:rsid w:val="00AB215C"/>
    <w:rsid w:val="00AB4452"/>
    <w:rsid w:val="00AB6056"/>
    <w:rsid w:val="00AC08E6"/>
    <w:rsid w:val="00AC3622"/>
    <w:rsid w:val="00AD05D1"/>
    <w:rsid w:val="00AD0E41"/>
    <w:rsid w:val="00AF260B"/>
    <w:rsid w:val="00B07E47"/>
    <w:rsid w:val="00B11731"/>
    <w:rsid w:val="00B13C11"/>
    <w:rsid w:val="00B245F1"/>
    <w:rsid w:val="00B35CA3"/>
    <w:rsid w:val="00B35E5D"/>
    <w:rsid w:val="00B455E4"/>
    <w:rsid w:val="00B50387"/>
    <w:rsid w:val="00B51413"/>
    <w:rsid w:val="00B52613"/>
    <w:rsid w:val="00B53DAD"/>
    <w:rsid w:val="00B5612B"/>
    <w:rsid w:val="00B567D4"/>
    <w:rsid w:val="00B63809"/>
    <w:rsid w:val="00B77279"/>
    <w:rsid w:val="00B80200"/>
    <w:rsid w:val="00B81F95"/>
    <w:rsid w:val="00B857D2"/>
    <w:rsid w:val="00B865FE"/>
    <w:rsid w:val="00B92C5D"/>
    <w:rsid w:val="00BA531A"/>
    <w:rsid w:val="00BB0355"/>
    <w:rsid w:val="00BB0A11"/>
    <w:rsid w:val="00BC093C"/>
    <w:rsid w:val="00BC20B1"/>
    <w:rsid w:val="00BD52B8"/>
    <w:rsid w:val="00BD7B7E"/>
    <w:rsid w:val="00BE7C63"/>
    <w:rsid w:val="00BF1113"/>
    <w:rsid w:val="00BF2746"/>
    <w:rsid w:val="00C0312C"/>
    <w:rsid w:val="00C3085C"/>
    <w:rsid w:val="00C3451C"/>
    <w:rsid w:val="00C428E9"/>
    <w:rsid w:val="00C4502C"/>
    <w:rsid w:val="00C5462B"/>
    <w:rsid w:val="00C56B8A"/>
    <w:rsid w:val="00C57E16"/>
    <w:rsid w:val="00C6531F"/>
    <w:rsid w:val="00C66336"/>
    <w:rsid w:val="00C71EEB"/>
    <w:rsid w:val="00C72AE2"/>
    <w:rsid w:val="00C8311A"/>
    <w:rsid w:val="00C865C0"/>
    <w:rsid w:val="00C91E96"/>
    <w:rsid w:val="00CA612C"/>
    <w:rsid w:val="00CC2F59"/>
    <w:rsid w:val="00CC63AE"/>
    <w:rsid w:val="00CD55BC"/>
    <w:rsid w:val="00CE3610"/>
    <w:rsid w:val="00CE4F42"/>
    <w:rsid w:val="00CE50B5"/>
    <w:rsid w:val="00CE5B64"/>
    <w:rsid w:val="00CE7DE7"/>
    <w:rsid w:val="00CF010D"/>
    <w:rsid w:val="00CF211E"/>
    <w:rsid w:val="00D02F1F"/>
    <w:rsid w:val="00D039E8"/>
    <w:rsid w:val="00D05D15"/>
    <w:rsid w:val="00D15524"/>
    <w:rsid w:val="00D35D93"/>
    <w:rsid w:val="00D60431"/>
    <w:rsid w:val="00D641EF"/>
    <w:rsid w:val="00D8701B"/>
    <w:rsid w:val="00D93609"/>
    <w:rsid w:val="00D95C08"/>
    <w:rsid w:val="00D95E4C"/>
    <w:rsid w:val="00D97A01"/>
    <w:rsid w:val="00DA5189"/>
    <w:rsid w:val="00DB35B9"/>
    <w:rsid w:val="00DB67CD"/>
    <w:rsid w:val="00DD32EF"/>
    <w:rsid w:val="00DE3CBE"/>
    <w:rsid w:val="00DE4D5E"/>
    <w:rsid w:val="00DE4F7E"/>
    <w:rsid w:val="00DE7F6D"/>
    <w:rsid w:val="00E074A8"/>
    <w:rsid w:val="00E15670"/>
    <w:rsid w:val="00E170BD"/>
    <w:rsid w:val="00E22CFE"/>
    <w:rsid w:val="00E22D34"/>
    <w:rsid w:val="00E24C7A"/>
    <w:rsid w:val="00E279EA"/>
    <w:rsid w:val="00E27C31"/>
    <w:rsid w:val="00E27E19"/>
    <w:rsid w:val="00E32571"/>
    <w:rsid w:val="00E36C0F"/>
    <w:rsid w:val="00E46CEC"/>
    <w:rsid w:val="00E56D8B"/>
    <w:rsid w:val="00E57CBF"/>
    <w:rsid w:val="00E716CC"/>
    <w:rsid w:val="00E73CF0"/>
    <w:rsid w:val="00E80AB6"/>
    <w:rsid w:val="00E9271E"/>
    <w:rsid w:val="00EA5522"/>
    <w:rsid w:val="00EA730C"/>
    <w:rsid w:val="00EA7AB1"/>
    <w:rsid w:val="00EB143A"/>
    <w:rsid w:val="00EB266E"/>
    <w:rsid w:val="00EC3D24"/>
    <w:rsid w:val="00EC5ADB"/>
    <w:rsid w:val="00ED1823"/>
    <w:rsid w:val="00EE4D09"/>
    <w:rsid w:val="00EF3175"/>
    <w:rsid w:val="00EF667B"/>
    <w:rsid w:val="00EF7396"/>
    <w:rsid w:val="00F029B0"/>
    <w:rsid w:val="00F179B2"/>
    <w:rsid w:val="00F256E3"/>
    <w:rsid w:val="00F27D84"/>
    <w:rsid w:val="00F328AC"/>
    <w:rsid w:val="00F33E13"/>
    <w:rsid w:val="00F4653E"/>
    <w:rsid w:val="00F528CC"/>
    <w:rsid w:val="00F6035C"/>
    <w:rsid w:val="00F628C1"/>
    <w:rsid w:val="00F634F7"/>
    <w:rsid w:val="00F670C5"/>
    <w:rsid w:val="00F702BD"/>
    <w:rsid w:val="00F72921"/>
    <w:rsid w:val="00F73F58"/>
    <w:rsid w:val="00F8590B"/>
    <w:rsid w:val="00F863DF"/>
    <w:rsid w:val="00FA1901"/>
    <w:rsid w:val="00FA3016"/>
    <w:rsid w:val="00FA7AD0"/>
    <w:rsid w:val="00FA7C42"/>
    <w:rsid w:val="00FB27ED"/>
    <w:rsid w:val="00FD1DF5"/>
    <w:rsid w:val="00FD6883"/>
    <w:rsid w:val="00FF1BB9"/>
    <w:rsid w:val="00FF29E6"/>
    <w:rsid w:val="00FF39DF"/>
    <w:rsid w:val="00FF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03"/>
    <w:rPr>
      <w:rFonts w:ascii="Times New Roman" w:hAnsi="Times New Roman"/>
      <w:sz w:val="24"/>
    </w:rPr>
  </w:style>
  <w:style w:type="paragraph" w:styleId="Heading1">
    <w:name w:val="heading 1"/>
    <w:basedOn w:val="Normal"/>
    <w:next w:val="Normal"/>
    <w:link w:val="Heading1Char"/>
    <w:qFormat/>
    <w:rsid w:val="006545BB"/>
    <w:pPr>
      <w:keepNext/>
      <w:spacing w:after="0" w:line="240" w:lineRule="auto"/>
      <w:outlineLvl w:val="0"/>
    </w:pPr>
    <w:rPr>
      <w:rFonts w:eastAsia="Times New Roman"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semiHidden/>
    <w:unhideWhenUsed/>
    <w:rsid w:val="00C865C0"/>
    <w:rPr>
      <w:sz w:val="16"/>
      <w:szCs w:val="16"/>
    </w:rPr>
  </w:style>
  <w:style w:type="paragraph" w:styleId="CommentText">
    <w:name w:val="annotation text"/>
    <w:basedOn w:val="Normal"/>
    <w:link w:val="CommentTextChar"/>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uiPriority w:val="99"/>
    <w:semiHidden/>
    <w:unhideWhenUsed/>
    <w:rsid w:val="00FF58FF"/>
    <w:pPr>
      <w:spacing w:before="120" w:after="0" w:line="240" w:lineRule="auto"/>
    </w:pPr>
    <w:rPr>
      <w:sz w:val="20"/>
      <w:szCs w:val="20"/>
    </w:rPr>
  </w:style>
  <w:style w:type="character" w:customStyle="1" w:styleId="FootnoteTextChar">
    <w:name w:val="Footnote Text Char"/>
    <w:basedOn w:val="DefaultParagraphFont"/>
    <w:link w:val="FootnoteText"/>
    <w:uiPriority w:val="99"/>
    <w:semiHidden/>
    <w:rsid w:val="00FF58FF"/>
    <w:rPr>
      <w:rFonts w:ascii="Times New Roman" w:hAnsi="Times New Roman"/>
      <w:sz w:val="20"/>
      <w:szCs w:val="20"/>
    </w:rPr>
  </w:style>
  <w:style w:type="character" w:styleId="FootnoteReference">
    <w:name w:val="footnote reference"/>
    <w:basedOn w:val="DefaultParagraphFont"/>
    <w:uiPriority w:val="99"/>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Heading1Char">
    <w:name w:val="Heading 1 Char"/>
    <w:basedOn w:val="DefaultParagraphFont"/>
    <w:link w:val="Heading1"/>
    <w:rsid w:val="006545BB"/>
    <w:rPr>
      <w:rFonts w:ascii="Times New Roman" w:eastAsia="Times New Roman" w:hAnsi="Times New Roman" w:cs="Times New Roman"/>
      <w:b/>
      <w:sz w:val="24"/>
      <w:szCs w:val="24"/>
      <w:u w:val="single"/>
    </w:rPr>
  </w:style>
  <w:style w:type="paragraph" w:styleId="BodyTextIndent3">
    <w:name w:val="Body Text Indent 3"/>
    <w:basedOn w:val="Normal"/>
    <w:link w:val="BodyTextIndent3Char"/>
    <w:rsid w:val="006545BB"/>
    <w:pPr>
      <w:spacing w:after="0"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6545BB"/>
    <w:rPr>
      <w:rFonts w:ascii="Times New Roman" w:eastAsia="Times New Roman" w:hAnsi="Times New Roman" w:cs="Times New Roman"/>
      <w:sz w:val="24"/>
      <w:szCs w:val="20"/>
    </w:rPr>
  </w:style>
  <w:style w:type="paragraph" w:styleId="NormalWeb">
    <w:name w:val="Normal (Web)"/>
    <w:basedOn w:val="Normal"/>
    <w:uiPriority w:val="99"/>
    <w:unhideWhenUsed/>
    <w:rsid w:val="009A2867"/>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9A2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50709">
      <w:bodyDiv w:val="1"/>
      <w:marLeft w:val="0"/>
      <w:marRight w:val="0"/>
      <w:marTop w:val="0"/>
      <w:marBottom w:val="0"/>
      <w:divBdr>
        <w:top w:val="none" w:sz="0" w:space="0" w:color="auto"/>
        <w:left w:val="none" w:sz="0" w:space="0" w:color="auto"/>
        <w:bottom w:val="none" w:sz="0" w:space="0" w:color="auto"/>
        <w:right w:val="none" w:sz="0" w:space="0" w:color="auto"/>
      </w:divBdr>
    </w:div>
    <w:div w:id="697049296">
      <w:bodyDiv w:val="1"/>
      <w:marLeft w:val="0"/>
      <w:marRight w:val="0"/>
      <w:marTop w:val="0"/>
      <w:marBottom w:val="0"/>
      <w:divBdr>
        <w:top w:val="none" w:sz="0" w:space="0" w:color="auto"/>
        <w:left w:val="none" w:sz="0" w:space="0" w:color="auto"/>
        <w:bottom w:val="none" w:sz="0" w:space="0" w:color="auto"/>
        <w:right w:val="none" w:sz="0" w:space="0" w:color="auto"/>
      </w:divBdr>
    </w:div>
    <w:div w:id="708383398">
      <w:bodyDiv w:val="1"/>
      <w:marLeft w:val="0"/>
      <w:marRight w:val="0"/>
      <w:marTop w:val="0"/>
      <w:marBottom w:val="0"/>
      <w:divBdr>
        <w:top w:val="none" w:sz="0" w:space="0" w:color="auto"/>
        <w:left w:val="none" w:sz="0" w:space="0" w:color="auto"/>
        <w:bottom w:val="none" w:sz="0" w:space="0" w:color="auto"/>
        <w:right w:val="none" w:sz="0" w:space="0" w:color="auto"/>
      </w:divBdr>
      <w:divsChild>
        <w:div w:id="1719619681">
          <w:marLeft w:val="0"/>
          <w:marRight w:val="0"/>
          <w:marTop w:val="0"/>
          <w:marBottom w:val="0"/>
          <w:divBdr>
            <w:top w:val="none" w:sz="0" w:space="0" w:color="auto"/>
            <w:left w:val="none" w:sz="0" w:space="0" w:color="auto"/>
            <w:bottom w:val="none" w:sz="0" w:space="0" w:color="auto"/>
            <w:right w:val="none" w:sz="0" w:space="0" w:color="auto"/>
          </w:divBdr>
          <w:divsChild>
            <w:div w:id="1794441560">
              <w:marLeft w:val="0"/>
              <w:marRight w:val="0"/>
              <w:marTop w:val="0"/>
              <w:marBottom w:val="0"/>
              <w:divBdr>
                <w:top w:val="none" w:sz="0" w:space="0" w:color="auto"/>
                <w:left w:val="none" w:sz="0" w:space="0" w:color="auto"/>
                <w:bottom w:val="none" w:sz="0" w:space="0" w:color="auto"/>
                <w:right w:val="none" w:sz="0" w:space="0" w:color="auto"/>
              </w:divBdr>
              <w:divsChild>
                <w:div w:id="428162372">
                  <w:marLeft w:val="0"/>
                  <w:marRight w:val="0"/>
                  <w:marTop w:val="0"/>
                  <w:marBottom w:val="0"/>
                  <w:divBdr>
                    <w:top w:val="none" w:sz="0" w:space="0" w:color="auto"/>
                    <w:left w:val="none" w:sz="0" w:space="0" w:color="auto"/>
                    <w:bottom w:val="none" w:sz="0" w:space="0" w:color="auto"/>
                    <w:right w:val="none" w:sz="0" w:space="0" w:color="auto"/>
                  </w:divBdr>
                  <w:divsChild>
                    <w:div w:id="16330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6720">
              <w:marLeft w:val="0"/>
              <w:marRight w:val="0"/>
              <w:marTop w:val="0"/>
              <w:marBottom w:val="0"/>
              <w:divBdr>
                <w:top w:val="none" w:sz="0" w:space="0" w:color="auto"/>
                <w:left w:val="none" w:sz="0" w:space="0" w:color="auto"/>
                <w:bottom w:val="none" w:sz="0" w:space="0" w:color="auto"/>
                <w:right w:val="none" w:sz="0" w:space="0" w:color="auto"/>
              </w:divBdr>
              <w:divsChild>
                <w:div w:id="85612265">
                  <w:marLeft w:val="0"/>
                  <w:marRight w:val="0"/>
                  <w:marTop w:val="0"/>
                  <w:marBottom w:val="0"/>
                  <w:divBdr>
                    <w:top w:val="none" w:sz="0" w:space="0" w:color="auto"/>
                    <w:left w:val="none" w:sz="0" w:space="0" w:color="auto"/>
                    <w:bottom w:val="none" w:sz="0" w:space="0" w:color="auto"/>
                    <w:right w:val="none" w:sz="0" w:space="0" w:color="auto"/>
                  </w:divBdr>
                  <w:divsChild>
                    <w:div w:id="1503547891">
                      <w:marLeft w:val="0"/>
                      <w:marRight w:val="0"/>
                      <w:marTop w:val="0"/>
                      <w:marBottom w:val="0"/>
                      <w:divBdr>
                        <w:top w:val="none" w:sz="0" w:space="0" w:color="auto"/>
                        <w:left w:val="none" w:sz="0" w:space="0" w:color="auto"/>
                        <w:bottom w:val="none" w:sz="0" w:space="0" w:color="auto"/>
                        <w:right w:val="none" w:sz="0" w:space="0" w:color="auto"/>
                      </w:divBdr>
                      <w:divsChild>
                        <w:div w:id="5083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9">
              <w:marLeft w:val="0"/>
              <w:marRight w:val="0"/>
              <w:marTop w:val="0"/>
              <w:marBottom w:val="0"/>
              <w:divBdr>
                <w:top w:val="none" w:sz="0" w:space="0" w:color="auto"/>
                <w:left w:val="none" w:sz="0" w:space="0" w:color="auto"/>
                <w:bottom w:val="none" w:sz="0" w:space="0" w:color="auto"/>
                <w:right w:val="none" w:sz="0" w:space="0" w:color="auto"/>
              </w:divBdr>
              <w:divsChild>
                <w:div w:id="1814757649">
                  <w:marLeft w:val="0"/>
                  <w:marRight w:val="0"/>
                  <w:marTop w:val="0"/>
                  <w:marBottom w:val="0"/>
                  <w:divBdr>
                    <w:top w:val="none" w:sz="0" w:space="0" w:color="auto"/>
                    <w:left w:val="none" w:sz="0" w:space="0" w:color="auto"/>
                    <w:bottom w:val="none" w:sz="0" w:space="0" w:color="auto"/>
                    <w:right w:val="none" w:sz="0" w:space="0" w:color="auto"/>
                  </w:divBdr>
                  <w:divsChild>
                    <w:div w:id="1517502338">
                      <w:marLeft w:val="0"/>
                      <w:marRight w:val="0"/>
                      <w:marTop w:val="0"/>
                      <w:marBottom w:val="0"/>
                      <w:divBdr>
                        <w:top w:val="none" w:sz="0" w:space="0" w:color="auto"/>
                        <w:left w:val="none" w:sz="0" w:space="0" w:color="auto"/>
                        <w:bottom w:val="none" w:sz="0" w:space="0" w:color="auto"/>
                        <w:right w:val="none" w:sz="0" w:space="0" w:color="auto"/>
                      </w:divBdr>
                      <w:divsChild>
                        <w:div w:id="12974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115">
      <w:bodyDiv w:val="1"/>
      <w:marLeft w:val="0"/>
      <w:marRight w:val="0"/>
      <w:marTop w:val="0"/>
      <w:marBottom w:val="0"/>
      <w:divBdr>
        <w:top w:val="none" w:sz="0" w:space="0" w:color="auto"/>
        <w:left w:val="none" w:sz="0" w:space="0" w:color="auto"/>
        <w:bottom w:val="none" w:sz="0" w:space="0" w:color="auto"/>
        <w:right w:val="none" w:sz="0" w:space="0" w:color="auto"/>
      </w:divBdr>
    </w:div>
    <w:div w:id="1482425258">
      <w:bodyDiv w:val="1"/>
      <w:marLeft w:val="0"/>
      <w:marRight w:val="0"/>
      <w:marTop w:val="0"/>
      <w:marBottom w:val="0"/>
      <w:divBdr>
        <w:top w:val="none" w:sz="0" w:space="0" w:color="auto"/>
        <w:left w:val="none" w:sz="0" w:space="0" w:color="auto"/>
        <w:bottom w:val="none" w:sz="0" w:space="0" w:color="auto"/>
        <w:right w:val="none" w:sz="0" w:space="0" w:color="auto"/>
      </w:divBdr>
    </w:div>
    <w:div w:id="21275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jko@carpenterlipps.com" TargetMode="External"/><Relationship Id="rId13" Type="http://schemas.openxmlformats.org/officeDocument/2006/relationships/footer" Target="footer2.xml"/><Relationship Id="rId18" Type="http://schemas.openxmlformats.org/officeDocument/2006/relationships/hyperlink" Target="mailto:Amy.spiller@duke-energy.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lane@drodermiller.com" TargetMode="External"/><Relationship Id="rId2" Type="http://schemas.openxmlformats.org/officeDocument/2006/relationships/styles" Target="styles.xml"/><Relationship Id="rId16" Type="http://schemas.openxmlformats.org/officeDocument/2006/relationships/hyperlink" Target="mailto:Bmcmahon@emclawyer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Elizabeth.watts@duke-energy.com" TargetMode="External"/><Relationship Id="rId4" Type="http://schemas.openxmlformats.org/officeDocument/2006/relationships/settings" Target="settings.xml"/><Relationship Id="rId9" Type="http://schemas.openxmlformats.org/officeDocument/2006/relationships/hyperlink" Target="mailto:terry.etter@occ.ohio.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2350</Words>
  <Characters>13400</Characters>
  <Application>Microsoft Office Word</Application>
  <DocSecurity>0</DocSecurity>
  <PresentationFormat/>
  <Lines>111</Lines>
  <Paragraphs>31</Paragraphs>
  <ScaleCrop>false</ScaleCrop>
  <HeadingPairs>
    <vt:vector size="2" baseType="variant">
      <vt:variant>
        <vt:lpstr>Title</vt:lpstr>
      </vt:variant>
      <vt:variant>
        <vt:i4>1</vt:i4>
      </vt:variant>
    </vt:vector>
  </HeadingPairs>
  <TitlesOfParts>
    <vt:vector size="1" baseType="lpstr">
      <vt:lpstr>Reply to Duke Memo in Opp to OCC Motion to Intervene (625516-2).DOCX</vt:lpstr>
    </vt:vector>
  </TitlesOfParts>
  <Manager/>
  <Company/>
  <LinksUpToDate>false</LinksUpToDate>
  <CharactersWithSpaces>15719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2015-05-28T17:42:00Z</cp:lastPrinted>
  <dcterms:created xsi:type="dcterms:W3CDTF">2015-10-30T21:12:00Z</dcterms:created>
  <dcterms:modified xsi:type="dcterms:W3CDTF">2015-10-30T21:22:00Z</dcterms:modified>
  <cp:category> </cp:category>
  <cp:contentStatus> </cp:contentStatus>
</cp:coreProperties>
</file>