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42A25" w:rsidRPr="00A329C2" w:rsidP="00042A25">
      <w:pPr>
        <w:pStyle w:val="HTMLPreformatted"/>
        <w:jc w:val="center"/>
        <w:rPr>
          <w:rFonts w:ascii="Times New Roman" w:hAnsi="Times New Roman" w:cs="Times New Roman"/>
          <w:b/>
          <w:bCs/>
          <w:sz w:val="24"/>
          <w:szCs w:val="24"/>
        </w:rPr>
      </w:pPr>
      <w:bookmarkStart w:id="0" w:name="_GoBack"/>
      <w:bookmarkEnd w:id="0"/>
      <w:r w:rsidRPr="00A329C2">
        <w:rPr>
          <w:rFonts w:ascii="Times New Roman" w:hAnsi="Times New Roman" w:cs="Times New Roman"/>
          <w:b/>
          <w:bCs/>
          <w:sz w:val="24"/>
          <w:szCs w:val="24"/>
        </w:rPr>
        <w:t>BEFORE</w:t>
      </w:r>
    </w:p>
    <w:p w:rsidR="00042A25" w:rsidRPr="00A329C2" w:rsidP="00042A25">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042A25" w:rsidRPr="00A329C2" w:rsidP="00042A25">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rsidTr="000E3426">
        <w:tblPrEx>
          <w:tblW w:w="9366" w:type="dxa"/>
          <w:tblInd w:w="-106" w:type="dxa"/>
          <w:tblCellMar>
            <w:top w:w="0" w:type="dxa"/>
            <w:left w:w="108" w:type="dxa"/>
            <w:bottom w:w="0" w:type="dxa"/>
            <w:right w:w="108" w:type="dxa"/>
          </w:tblCellMar>
          <w:tblLook w:val="01E0"/>
        </w:tblPrEx>
        <w:trPr>
          <w:trHeight w:val="807"/>
        </w:trPr>
        <w:tc>
          <w:tcPr>
            <w:tcW w:w="4606" w:type="dxa"/>
          </w:tcPr>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 xml:space="preserve">In the Matter of the Application of </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the Dayton Power and Light Company for</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Approval of its Electric Security Plan.</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tc>
        <w:tc>
          <w:tcPr>
            <w:tcW w:w="4400" w:type="dxa"/>
          </w:tcPr>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16-0395-EL-SSO</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16-0396-EL-ATA</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16-0397-EL-AAM</w:t>
            </w: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42A25"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042A25" w:rsidRPr="00A329C2" w:rsidP="00042A25">
      <w:pPr>
        <w:pStyle w:val="HTMLPreformatted"/>
        <w:pBdr>
          <w:bottom w:val="single" w:sz="12" w:space="1" w:color="auto"/>
        </w:pBdr>
        <w:rPr>
          <w:rFonts w:ascii="Times New Roman" w:hAnsi="Times New Roman" w:cs="Times New Roman"/>
          <w:b/>
          <w:bCs/>
          <w:sz w:val="24"/>
          <w:szCs w:val="24"/>
        </w:rPr>
      </w:pPr>
    </w:p>
    <w:p w:rsidR="00042A25" w:rsidRPr="00A329C2" w:rsidP="00042A25">
      <w:pPr>
        <w:pStyle w:val="HTMLPreformatted"/>
        <w:rPr>
          <w:rFonts w:ascii="Times New Roman" w:hAnsi="Times New Roman" w:cs="Times New Roman"/>
          <w:b/>
          <w:bCs/>
          <w:i/>
          <w:sz w:val="24"/>
          <w:szCs w:val="24"/>
        </w:rPr>
      </w:pPr>
    </w:p>
    <w:p w:rsidR="005B3E11" w:rsidRPr="00204A9A" w:rsidP="00042A25">
      <w:pPr>
        <w:spacing w:line="240" w:lineRule="auto"/>
        <w:jc w:val="center"/>
        <w:rPr>
          <w:rFonts w:cs="Times New Roman"/>
          <w:b/>
          <w:bCs/>
          <w:szCs w:val="24"/>
        </w:rPr>
      </w:pPr>
      <w:r>
        <w:rPr>
          <w:rFonts w:cs="Times New Roman"/>
          <w:b/>
          <w:bCs/>
          <w:szCs w:val="24"/>
        </w:rPr>
        <w:t>SUPPLEMENTAL BRIEF FOR ENDING DP&amp;L’S CHARGE TO CONSUMERS FOR ITS SO-CALLED DISTRIBUTION MODERNIZATION RIDER AND FOR MAKING THE CHARGE SUBJECT TO REFUND</w:t>
      </w:r>
    </w:p>
    <w:p w:rsidR="00042A25" w:rsidRPr="00A329C2" w:rsidP="00042A25">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r w:rsidRPr="00A329C2">
        <w:rPr>
          <w:rFonts w:ascii="Times New Roman" w:hAnsi="Times New Roman" w:cs="Times New Roman"/>
          <w:b/>
          <w:bCs/>
          <w:sz w:val="24"/>
          <w:szCs w:val="24"/>
        </w:rPr>
        <w:t xml:space="preserve"> </w:t>
      </w:r>
    </w:p>
    <w:p w:rsidR="00042A25" w:rsidRPr="00A329C2" w:rsidP="00042A25">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042A25" w:rsidRPr="00A329C2" w:rsidP="00042A25">
      <w:pPr>
        <w:pStyle w:val="HTMLPreformatted"/>
        <w:pBdr>
          <w:bottom w:val="single" w:sz="12" w:space="1" w:color="auto"/>
        </w:pBdr>
        <w:rPr>
          <w:rFonts w:ascii="Times New Roman" w:hAnsi="Times New Roman" w:cs="Times New Roman"/>
          <w:b/>
          <w:bCs/>
          <w:sz w:val="24"/>
          <w:szCs w:val="24"/>
        </w:rPr>
      </w:pPr>
    </w:p>
    <w:p w:rsidR="00042A25" w:rsidRPr="00A329C2" w:rsidP="00042A25">
      <w:pPr>
        <w:spacing w:line="240" w:lineRule="auto"/>
        <w:rPr>
          <w:rFonts w:cs="Times New Roman"/>
        </w:rPr>
      </w:pPr>
    </w:p>
    <w:p w:rsidR="00042A25" w:rsidP="000E3426">
      <w:pPr>
        <w:pStyle w:val="HTMLPreformatted"/>
        <w:jc w:val="center"/>
        <w:rPr>
          <w:rFonts w:ascii="Times New Roman" w:hAnsi="Times New Roman" w:cs="Times New Roman"/>
          <w:b/>
          <w:bCs/>
          <w:sz w:val="24"/>
          <w:szCs w:val="24"/>
        </w:rPr>
      </w:pPr>
    </w:p>
    <w:p w:rsidR="00042A25" w:rsidP="000E3426">
      <w:pPr>
        <w:pStyle w:val="HTMLPreformatted"/>
        <w:jc w:val="center"/>
        <w:rPr>
          <w:rFonts w:ascii="Times New Roman" w:hAnsi="Times New Roman" w:cs="Times New Roman"/>
          <w:b/>
          <w:bCs/>
          <w:sz w:val="24"/>
          <w:szCs w:val="24"/>
        </w:rPr>
      </w:pPr>
    </w:p>
    <w:p w:rsidR="00E52023" w:rsidP="00042A25">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E52023" w:rsidP="00042A25">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042A25" w:rsidRPr="00517C65" w:rsidP="00042A25">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042A25" w:rsidRPr="00517C65" w:rsidP="00042A25">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042A25" w:rsidRPr="00517C65" w:rsidP="00042A25">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42A25" w:rsidRPr="00517C65" w:rsidP="00042A25">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042A25" w:rsidRPr="00517C65" w:rsidP="00042A25">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042A25" w:rsidRPr="00517C65" w:rsidP="00042A25">
      <w:pPr>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042A25" w:rsidRPr="00517C65" w:rsidP="00042A25">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042A25" w:rsidRPr="00517C65" w:rsidP="00042A25">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42A25" w:rsidRPr="00517C65" w:rsidP="00042A25">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042A25" w:rsidRPr="00517C65" w:rsidP="00042A25">
      <w:pPr>
        <w:spacing w:line="240" w:lineRule="auto"/>
        <w:ind w:left="4320"/>
        <w:rPr>
          <w:rFonts w:eastAsia="Times New Roman" w:cs="Times New Roman"/>
          <w:szCs w:val="24"/>
        </w:rPr>
      </w:pPr>
      <w:r>
        <w:rPr>
          <w:rFonts w:eastAsia="Times New Roman" w:cs="Times New Roman"/>
          <w:szCs w:val="24"/>
        </w:rPr>
        <w:t>65 East State Street, 7</w:t>
      </w:r>
      <w:r w:rsidRPr="00084D2A">
        <w:rPr>
          <w:rFonts w:eastAsia="Times New Roman" w:cs="Times New Roman"/>
          <w:szCs w:val="24"/>
          <w:vertAlign w:val="superscript"/>
        </w:rPr>
        <w:t>th</w:t>
      </w:r>
      <w:r>
        <w:rPr>
          <w:rFonts w:eastAsia="Times New Roman" w:cs="Times New Roman"/>
          <w:szCs w:val="24"/>
        </w:rPr>
        <w:t xml:space="preserve"> Floor</w:t>
      </w:r>
    </w:p>
    <w:p w:rsidR="00042A25" w:rsidRPr="00517C65" w:rsidP="00042A25">
      <w:pPr>
        <w:spacing w:line="240" w:lineRule="auto"/>
        <w:ind w:left="4320"/>
        <w:rPr>
          <w:rFonts w:eastAsia="Times New Roman" w:cs="Times New Roman"/>
          <w:b/>
          <w:szCs w:val="24"/>
        </w:rPr>
      </w:pPr>
      <w:r w:rsidRPr="00517C65">
        <w:rPr>
          <w:rFonts w:eastAsia="Times New Roman" w:cs="Times New Roman"/>
          <w:szCs w:val="24"/>
        </w:rPr>
        <w:t>Columbus, Ohio 43215</w:t>
      </w:r>
    </w:p>
    <w:p w:rsidR="00042A25" w:rsidRPr="00517C65" w:rsidP="00042A25">
      <w:pPr>
        <w:spacing w:line="240" w:lineRule="auto"/>
        <w:ind w:left="4320"/>
        <w:rPr>
          <w:rFonts w:eastAsia="Times New Roman" w:cs="Times New Roman"/>
          <w:szCs w:val="24"/>
        </w:rPr>
      </w:pPr>
      <w:r w:rsidRPr="00517C65">
        <w:rPr>
          <w:rFonts w:eastAsia="Times New Roman" w:cs="Times New Roman"/>
          <w:szCs w:val="24"/>
        </w:rPr>
        <w:t>Telephone: [Michael] (614) 466-1291</w:t>
      </w:r>
    </w:p>
    <w:p w:rsidR="00042A25" w:rsidRPr="00517C65" w:rsidP="00042A25">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042A25" w:rsidP="00042A25">
      <w:pPr>
        <w:spacing w:line="240" w:lineRule="auto"/>
        <w:ind w:left="4320"/>
        <w:rPr>
          <w:rFonts w:eastAsia="Times New Roman" w:cs="Times New Roman"/>
          <w:color w:val="0563C1" w:themeColor="hyperlink"/>
          <w:szCs w:val="24"/>
          <w:u w:val="single"/>
        </w:rPr>
      </w:pPr>
      <w:r>
        <w:fldChar w:fldCharType="begin"/>
      </w:r>
      <w:r>
        <w:instrText xml:space="preserve"> HYPERLINK "mailto:william.michael@occ.ohio.gov" </w:instrText>
      </w:r>
      <w:r>
        <w:fldChar w:fldCharType="separate"/>
      </w:r>
      <w:r w:rsidRPr="002B2A60" w:rsidR="00026A01">
        <w:rPr>
          <w:rStyle w:val="Hyperlink"/>
          <w:rFonts w:eastAsia="Times New Roman" w:cs="Times New Roman"/>
          <w:szCs w:val="24"/>
        </w:rPr>
        <w:t>william.michael@occ.ohio.gov</w:t>
      </w:r>
      <w:r>
        <w:fldChar w:fldCharType="end"/>
      </w:r>
    </w:p>
    <w:p w:rsidR="00042A25" w:rsidRPr="00517C65" w:rsidP="00042A25">
      <w:pPr>
        <w:spacing w:line="240" w:lineRule="auto"/>
        <w:ind w:left="4320"/>
        <w:rPr>
          <w:rFonts w:eastAsia="Times New Roman" w:cs="Times New Roman"/>
          <w:szCs w:val="24"/>
        </w:rPr>
      </w:pPr>
      <w:r>
        <w:rPr>
          <w:rFonts w:eastAsia="Times New Roman" w:cs="Times New Roman"/>
          <w:color w:val="0563C1" w:themeColor="hyperlink"/>
          <w:szCs w:val="24"/>
          <w:u w:val="single"/>
        </w:rPr>
        <w:t>ambrosia.logsdon@occ.ohio.gov</w:t>
      </w:r>
    </w:p>
    <w:p w:rsidR="00042A25" w:rsidP="00042A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r w:rsidRPr="00723C0B">
        <w:rPr>
          <w:rFonts w:ascii="Times New Roman" w:eastAsia="Times New Roman" w:hAnsi="Times New Roman" w:cs="Times New Roman"/>
          <w:sz w:val="24"/>
          <w:szCs w:val="24"/>
        </w:rPr>
        <w:t>August 1, 2019</w:t>
      </w:r>
      <w:r w:rsidRPr="00723C0B">
        <w:rPr>
          <w:rFonts w:ascii="Times New Roman" w:eastAsia="Times New Roman" w:hAnsi="Times New Roman" w:cs="Times New Roman"/>
          <w:sz w:val="24"/>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311C2">
        <w:rPr>
          <w:rFonts w:ascii="Times New Roman" w:hAnsi="Times New Roman" w:cs="Times New Roman"/>
          <w:sz w:val="24"/>
          <w:szCs w:val="24"/>
        </w:rPr>
        <w:t>(W</w:t>
      </w:r>
      <w:r w:rsidRPr="00042A25">
        <w:rPr>
          <w:rFonts w:ascii="Times New Roman" w:eastAsia="Times New Roman" w:hAnsi="Times New Roman" w:cs="Times New Roman"/>
          <w:sz w:val="24"/>
          <w:szCs w:val="24"/>
        </w:rPr>
        <w:t>ill accept service via email)</w:t>
      </w:r>
    </w:p>
    <w:p w:rsidR="00042A25" w:rsidP="00042A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sectPr w:rsidSect="000E342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042A25" w:rsidRPr="00723C0B" w:rsidP="00042A25">
      <w:pPr>
        <w:pStyle w:val="HTMLPreformatted"/>
        <w:jc w:val="center"/>
        <w:rPr>
          <w:rFonts w:ascii="Times New Roman" w:hAnsi="Times New Roman" w:cs="Times New Roman"/>
          <w:b/>
          <w:bCs/>
          <w:sz w:val="24"/>
          <w:szCs w:val="24"/>
          <w:u w:val="single"/>
        </w:rPr>
      </w:pPr>
      <w:r w:rsidRPr="00723C0B">
        <w:rPr>
          <w:rFonts w:ascii="Times New Roman" w:hAnsi="Times New Roman" w:cs="Times New Roman"/>
          <w:b/>
          <w:bCs/>
          <w:sz w:val="24"/>
          <w:szCs w:val="24"/>
          <w:u w:val="single"/>
        </w:rPr>
        <w:t>TABLE OF CONTENTS</w:t>
      </w:r>
    </w:p>
    <w:p w:rsidR="00042A25" w:rsidP="00042A25">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PAGE</w:t>
      </w:r>
    </w:p>
    <w:p w:rsidR="00042A25" w:rsidP="00042A25">
      <w:pPr>
        <w:pStyle w:val="HTMLPreformatted"/>
        <w:rPr>
          <w:rFonts w:ascii="Times New Roman" w:hAnsi="Times New Roman" w:cs="Times New Roman"/>
          <w:b/>
          <w:bCs/>
          <w:sz w:val="24"/>
          <w:szCs w:val="24"/>
        </w:rPr>
      </w:pPr>
    </w:p>
    <w:p w:rsidR="00E04C9C">
      <w:pPr>
        <w:pStyle w:val="TOC1"/>
        <w:rPr>
          <w:rFonts w:asciiTheme="minorHAnsi" w:eastAsiaTheme="minorEastAsia" w:hAnsiTheme="minorHAnsi"/>
          <w:caps w:val="0"/>
          <w:noProof/>
          <w:sz w:val="22"/>
        </w:rPr>
      </w:pPr>
      <w:r>
        <w:rPr>
          <w:rFonts w:cs="Times New Roman"/>
          <w:b/>
          <w:bCs/>
          <w:szCs w:val="24"/>
        </w:rPr>
        <w:fldChar w:fldCharType="begin"/>
      </w:r>
      <w:r>
        <w:rPr>
          <w:rFonts w:cs="Times New Roman"/>
          <w:b/>
          <w:bCs/>
          <w:szCs w:val="24"/>
        </w:rPr>
        <w:instrText xml:space="preserve"> TOC \o "1-4" \h \z \u </w:instrText>
      </w:r>
      <w:r>
        <w:rPr>
          <w:rFonts w:cs="Times New Roman"/>
          <w:b/>
          <w:bCs/>
          <w:szCs w:val="24"/>
        </w:rPr>
        <w:fldChar w:fldCharType="separate"/>
      </w:r>
      <w:r>
        <w:fldChar w:fldCharType="begin"/>
      </w:r>
      <w:r>
        <w:instrText xml:space="preserve"> HYPERLINK \l "_Toc15566867" </w:instrText>
      </w:r>
      <w:r>
        <w:fldChar w:fldCharType="separate"/>
      </w:r>
      <w:r w:rsidRPr="00DC4958">
        <w:rPr>
          <w:rStyle w:val="Hyperlink"/>
          <w:noProof/>
        </w:rPr>
        <w:t>I.</w:t>
      </w:r>
      <w:r>
        <w:rPr>
          <w:rFonts w:asciiTheme="minorHAnsi" w:eastAsiaTheme="minorEastAsia" w:hAnsiTheme="minorHAnsi"/>
          <w:caps w:val="0"/>
          <w:noProof/>
          <w:sz w:val="22"/>
        </w:rPr>
        <w:tab/>
      </w:r>
      <w:r w:rsidRPr="00DC4958">
        <w:rPr>
          <w:rStyle w:val="Hyperlink"/>
          <w:noProof/>
        </w:rPr>
        <w:t>Introduction</w:t>
      </w:r>
      <w:r>
        <w:rPr>
          <w:noProof/>
          <w:webHidden/>
        </w:rPr>
        <w:tab/>
      </w:r>
      <w:r>
        <w:rPr>
          <w:noProof/>
          <w:webHidden/>
        </w:rPr>
        <w:fldChar w:fldCharType="begin"/>
      </w:r>
      <w:r>
        <w:rPr>
          <w:noProof/>
          <w:webHidden/>
        </w:rPr>
        <w:instrText xml:space="preserve"> PAGEREF _Toc15566867 \h </w:instrText>
      </w:r>
      <w:r>
        <w:rPr>
          <w:noProof/>
          <w:webHidden/>
        </w:rPr>
        <w:fldChar w:fldCharType="separate"/>
      </w:r>
      <w:r>
        <w:rPr>
          <w:noProof/>
          <w:webHidden/>
        </w:rPr>
        <w:t>1</w:t>
      </w:r>
      <w:r>
        <w:rPr>
          <w:noProof/>
          <w:webHidden/>
        </w:rPr>
        <w:fldChar w:fldCharType="end"/>
      </w:r>
      <w:r>
        <w:fldChar w:fldCharType="end"/>
      </w:r>
    </w:p>
    <w:p w:rsidR="00E04C9C">
      <w:pPr>
        <w:pStyle w:val="TOC1"/>
        <w:rPr>
          <w:rFonts w:asciiTheme="minorHAnsi" w:eastAsiaTheme="minorEastAsia" w:hAnsiTheme="minorHAnsi"/>
          <w:caps w:val="0"/>
          <w:noProof/>
          <w:sz w:val="22"/>
        </w:rPr>
      </w:pPr>
      <w:r>
        <w:fldChar w:fldCharType="begin"/>
      </w:r>
      <w:r>
        <w:instrText xml:space="preserve"> HYPERLINK \l "_Toc15566868" </w:instrText>
      </w:r>
      <w:r>
        <w:fldChar w:fldCharType="separate"/>
      </w:r>
      <w:r w:rsidRPr="00DC4958" w:rsidR="00026A01">
        <w:rPr>
          <w:rStyle w:val="Hyperlink"/>
          <w:noProof/>
        </w:rPr>
        <w:t>II.</w:t>
      </w:r>
      <w:r w:rsidR="00026A01">
        <w:rPr>
          <w:rFonts w:asciiTheme="minorHAnsi" w:eastAsiaTheme="minorEastAsia" w:hAnsiTheme="minorHAnsi"/>
          <w:caps w:val="0"/>
          <w:noProof/>
          <w:sz w:val="22"/>
        </w:rPr>
        <w:tab/>
      </w:r>
      <w:r w:rsidRPr="00DC4958" w:rsidR="00026A01">
        <w:rPr>
          <w:rStyle w:val="Hyperlink"/>
          <w:noProof/>
        </w:rPr>
        <w:t>STATEMENT OF THE CASE</w:t>
      </w:r>
      <w:r w:rsidR="00026A01">
        <w:rPr>
          <w:noProof/>
          <w:webHidden/>
        </w:rPr>
        <w:tab/>
      </w:r>
      <w:r w:rsidR="00026A01">
        <w:rPr>
          <w:noProof/>
          <w:webHidden/>
        </w:rPr>
        <w:fldChar w:fldCharType="begin"/>
      </w:r>
      <w:r w:rsidR="00026A01">
        <w:rPr>
          <w:noProof/>
          <w:webHidden/>
        </w:rPr>
        <w:instrText xml:space="preserve"> PAGEREF _Toc15566868 \h </w:instrText>
      </w:r>
      <w:r w:rsidR="00026A01">
        <w:rPr>
          <w:noProof/>
          <w:webHidden/>
        </w:rPr>
        <w:fldChar w:fldCharType="separate"/>
      </w:r>
      <w:r w:rsidR="00026A01">
        <w:rPr>
          <w:noProof/>
          <w:webHidden/>
        </w:rPr>
        <w:t>3</w:t>
      </w:r>
      <w:r w:rsidR="00026A01">
        <w:rPr>
          <w:noProof/>
          <w:webHidden/>
        </w:rPr>
        <w:fldChar w:fldCharType="end"/>
      </w:r>
      <w:r>
        <w:fldChar w:fldCharType="end"/>
      </w:r>
    </w:p>
    <w:p w:rsidR="00E04C9C">
      <w:pPr>
        <w:pStyle w:val="TOC1"/>
        <w:rPr>
          <w:rFonts w:asciiTheme="minorHAnsi" w:eastAsiaTheme="minorEastAsia" w:hAnsiTheme="minorHAnsi"/>
          <w:caps w:val="0"/>
          <w:noProof/>
          <w:sz w:val="22"/>
        </w:rPr>
      </w:pPr>
      <w:r>
        <w:fldChar w:fldCharType="begin"/>
      </w:r>
      <w:r>
        <w:instrText xml:space="preserve"> HYPERLINK \l "_Toc15566869" </w:instrText>
      </w:r>
      <w:r>
        <w:fldChar w:fldCharType="separate"/>
      </w:r>
      <w:r w:rsidRPr="00DC4958" w:rsidR="00026A01">
        <w:rPr>
          <w:rStyle w:val="Hyperlink"/>
          <w:noProof/>
        </w:rPr>
        <w:t>III.</w:t>
      </w:r>
      <w:r w:rsidR="00026A01">
        <w:rPr>
          <w:rFonts w:asciiTheme="minorHAnsi" w:eastAsiaTheme="minorEastAsia" w:hAnsiTheme="minorHAnsi"/>
          <w:caps w:val="0"/>
          <w:noProof/>
          <w:sz w:val="22"/>
        </w:rPr>
        <w:tab/>
      </w:r>
      <w:r w:rsidRPr="00DC4958" w:rsidR="00026A01">
        <w:rPr>
          <w:rStyle w:val="Hyperlink"/>
          <w:noProof/>
        </w:rPr>
        <w:t>STANDARD OF REVIEW</w:t>
      </w:r>
      <w:r w:rsidR="00026A01">
        <w:rPr>
          <w:noProof/>
          <w:webHidden/>
        </w:rPr>
        <w:tab/>
      </w:r>
      <w:r w:rsidR="00026A01">
        <w:rPr>
          <w:noProof/>
          <w:webHidden/>
        </w:rPr>
        <w:fldChar w:fldCharType="begin"/>
      </w:r>
      <w:r w:rsidR="00026A01">
        <w:rPr>
          <w:noProof/>
          <w:webHidden/>
        </w:rPr>
        <w:instrText xml:space="preserve"> PAGEREF _Toc15566869 \h </w:instrText>
      </w:r>
      <w:r w:rsidR="00026A01">
        <w:rPr>
          <w:noProof/>
          <w:webHidden/>
        </w:rPr>
        <w:fldChar w:fldCharType="separate"/>
      </w:r>
      <w:r w:rsidR="00026A01">
        <w:rPr>
          <w:noProof/>
          <w:webHidden/>
        </w:rPr>
        <w:t>6</w:t>
      </w:r>
      <w:r w:rsidR="00026A01">
        <w:rPr>
          <w:noProof/>
          <w:webHidden/>
        </w:rPr>
        <w:fldChar w:fldCharType="end"/>
      </w:r>
      <w:r>
        <w:fldChar w:fldCharType="end"/>
      </w:r>
    </w:p>
    <w:p w:rsidR="00E04C9C">
      <w:pPr>
        <w:pStyle w:val="TOC1"/>
        <w:rPr>
          <w:rFonts w:asciiTheme="minorHAnsi" w:eastAsiaTheme="minorEastAsia" w:hAnsiTheme="minorHAnsi"/>
          <w:caps w:val="0"/>
          <w:noProof/>
          <w:sz w:val="22"/>
        </w:rPr>
      </w:pPr>
      <w:r>
        <w:fldChar w:fldCharType="begin"/>
      </w:r>
      <w:r>
        <w:instrText xml:space="preserve"> HYPERLINK \l "_Toc15566870" </w:instrText>
      </w:r>
      <w:r>
        <w:fldChar w:fldCharType="separate"/>
      </w:r>
      <w:r w:rsidRPr="00DC4958" w:rsidR="00026A01">
        <w:rPr>
          <w:rStyle w:val="Hyperlink"/>
          <w:noProof/>
        </w:rPr>
        <w:t>IV.</w:t>
      </w:r>
      <w:r w:rsidR="00026A01">
        <w:rPr>
          <w:rFonts w:asciiTheme="minorHAnsi" w:eastAsiaTheme="minorEastAsia" w:hAnsiTheme="minorHAnsi"/>
          <w:caps w:val="0"/>
          <w:noProof/>
          <w:sz w:val="22"/>
        </w:rPr>
        <w:tab/>
      </w:r>
      <w:r w:rsidRPr="00DC4958" w:rsidR="00026A01">
        <w:rPr>
          <w:rStyle w:val="Hyperlink"/>
          <w:noProof/>
        </w:rPr>
        <w:t>RECOMMENDATIONS</w:t>
      </w:r>
      <w:r w:rsidR="00026A01">
        <w:rPr>
          <w:noProof/>
          <w:webHidden/>
        </w:rPr>
        <w:tab/>
      </w:r>
      <w:r w:rsidR="00026A01">
        <w:rPr>
          <w:noProof/>
          <w:webHidden/>
        </w:rPr>
        <w:fldChar w:fldCharType="begin"/>
      </w:r>
      <w:r w:rsidR="00026A01">
        <w:rPr>
          <w:noProof/>
          <w:webHidden/>
        </w:rPr>
        <w:instrText xml:space="preserve"> PAGEREF _Toc15566870 \h </w:instrText>
      </w:r>
      <w:r w:rsidR="00026A01">
        <w:rPr>
          <w:noProof/>
          <w:webHidden/>
        </w:rPr>
        <w:fldChar w:fldCharType="separate"/>
      </w:r>
      <w:r w:rsidR="00026A01">
        <w:rPr>
          <w:noProof/>
          <w:webHidden/>
        </w:rPr>
        <w:t>8</w:t>
      </w:r>
      <w:r w:rsidR="00026A01">
        <w:rPr>
          <w:noProof/>
          <w:webHidden/>
        </w:rPr>
        <w:fldChar w:fldCharType="end"/>
      </w:r>
      <w:r>
        <w:fldChar w:fldCharType="end"/>
      </w:r>
    </w:p>
    <w:p w:rsidR="00E04C9C">
      <w:pPr>
        <w:pStyle w:val="TOC2"/>
        <w:tabs>
          <w:tab w:val="left" w:pos="1440"/>
        </w:tabs>
        <w:rPr>
          <w:rFonts w:asciiTheme="minorHAnsi" w:eastAsiaTheme="minorEastAsia" w:hAnsiTheme="minorHAnsi"/>
          <w:noProof/>
          <w:sz w:val="22"/>
        </w:rPr>
      </w:pPr>
      <w:r>
        <w:fldChar w:fldCharType="begin"/>
      </w:r>
      <w:r>
        <w:instrText xml:space="preserve"> HYPERLINK \l "_Toc15566871" </w:instrText>
      </w:r>
      <w:r>
        <w:fldChar w:fldCharType="separate"/>
      </w:r>
      <w:r w:rsidRPr="00DC4958" w:rsidR="00026A01">
        <w:rPr>
          <w:rStyle w:val="Hyperlink"/>
          <w:noProof/>
        </w:rPr>
        <w:t>A.</w:t>
      </w:r>
      <w:r w:rsidR="00026A01">
        <w:rPr>
          <w:rFonts w:asciiTheme="minorHAnsi" w:eastAsiaTheme="minorEastAsia" w:hAnsiTheme="minorHAnsi"/>
          <w:noProof/>
          <w:sz w:val="22"/>
        </w:rPr>
        <w:tab/>
      </w:r>
      <w:r w:rsidRPr="00DC4958" w:rsidR="00026A01">
        <w:rPr>
          <w:rStyle w:val="Hyperlink"/>
          <w:iCs/>
          <w:noProof/>
        </w:rPr>
        <w:t xml:space="preserve">In its </w:t>
      </w:r>
      <w:r w:rsidRPr="00DC4958" w:rsidR="00026A01">
        <w:rPr>
          <w:rStyle w:val="Hyperlink"/>
          <w:i/>
          <w:iCs/>
          <w:noProof/>
        </w:rPr>
        <w:t>Ohio Edison</w:t>
      </w:r>
      <w:r w:rsidRPr="00DC4958" w:rsidR="00026A01">
        <w:rPr>
          <w:rStyle w:val="Hyperlink"/>
          <w:iCs/>
          <w:noProof/>
        </w:rPr>
        <w:t xml:space="preserve"> decision that now controls this DP&amp;L case, the Court explained what makes a “distribution modernization” charge unlawful</w:t>
      </w:r>
      <w:r w:rsidRPr="00DC4958" w:rsidR="00026A01">
        <w:rPr>
          <w:rStyle w:val="Hyperlink"/>
          <w:noProof/>
        </w:rPr>
        <w:t>.</w:t>
      </w:r>
      <w:r w:rsidR="00026A01">
        <w:rPr>
          <w:noProof/>
          <w:webHidden/>
        </w:rPr>
        <w:tab/>
      </w:r>
      <w:r w:rsidR="00026A01">
        <w:rPr>
          <w:noProof/>
          <w:webHidden/>
        </w:rPr>
        <w:fldChar w:fldCharType="begin"/>
      </w:r>
      <w:r w:rsidR="00026A01">
        <w:rPr>
          <w:noProof/>
          <w:webHidden/>
        </w:rPr>
        <w:instrText xml:space="preserve"> PAGEREF _Toc15566871 \h </w:instrText>
      </w:r>
      <w:r w:rsidR="00026A01">
        <w:rPr>
          <w:noProof/>
          <w:webHidden/>
        </w:rPr>
        <w:fldChar w:fldCharType="separate"/>
      </w:r>
      <w:r w:rsidR="00026A01">
        <w:rPr>
          <w:noProof/>
          <w:webHidden/>
        </w:rPr>
        <w:t>8</w:t>
      </w:r>
      <w:r w:rsidR="00026A01">
        <w:rPr>
          <w:noProof/>
          <w:webHidden/>
        </w:rPr>
        <w:fldChar w:fldCharType="end"/>
      </w:r>
      <w:r>
        <w:fldChar w:fldCharType="end"/>
      </w:r>
    </w:p>
    <w:p w:rsidR="00E04C9C">
      <w:pPr>
        <w:pStyle w:val="TOC3"/>
        <w:tabs>
          <w:tab w:val="left" w:pos="2160"/>
        </w:tabs>
        <w:rPr>
          <w:rFonts w:asciiTheme="minorHAnsi" w:eastAsiaTheme="minorEastAsia" w:hAnsiTheme="minorHAnsi"/>
          <w:noProof/>
          <w:sz w:val="22"/>
        </w:rPr>
      </w:pPr>
      <w:r>
        <w:fldChar w:fldCharType="begin"/>
      </w:r>
      <w:r>
        <w:instrText xml:space="preserve"> HYPERLINK \l "_Toc15566872" </w:instrText>
      </w:r>
      <w:r>
        <w:fldChar w:fldCharType="separate"/>
      </w:r>
      <w:r w:rsidRPr="00DC4958" w:rsidR="00026A01">
        <w:rPr>
          <w:rStyle w:val="Hyperlink"/>
          <w:noProof/>
        </w:rPr>
        <w:t>1.</w:t>
      </w:r>
      <w:r w:rsidR="00026A01">
        <w:rPr>
          <w:rFonts w:asciiTheme="minorHAnsi" w:eastAsiaTheme="minorEastAsia" w:hAnsiTheme="minorHAnsi"/>
          <w:noProof/>
          <w:sz w:val="22"/>
        </w:rPr>
        <w:tab/>
      </w:r>
      <w:r w:rsidRPr="00DC4958" w:rsidR="00026A01">
        <w:rPr>
          <w:rStyle w:val="Hyperlink"/>
          <w:noProof/>
        </w:rPr>
        <w:t xml:space="preserve">The Court’s analysis in </w:t>
      </w:r>
      <w:r w:rsidRPr="00DC4958" w:rsidR="00026A01">
        <w:rPr>
          <w:rStyle w:val="Hyperlink"/>
          <w:i/>
          <w:noProof/>
        </w:rPr>
        <w:t xml:space="preserve">Ohio Edison </w:t>
      </w:r>
      <w:r w:rsidRPr="00DC4958" w:rsidR="00026A01">
        <w:rPr>
          <w:rStyle w:val="Hyperlink"/>
          <w:noProof/>
        </w:rPr>
        <w:t>should be applied here to protect consumers.</w:t>
      </w:r>
      <w:r w:rsidR="00026A01">
        <w:rPr>
          <w:noProof/>
          <w:webHidden/>
        </w:rPr>
        <w:tab/>
      </w:r>
      <w:r w:rsidR="00026A01">
        <w:rPr>
          <w:noProof/>
          <w:webHidden/>
        </w:rPr>
        <w:fldChar w:fldCharType="begin"/>
      </w:r>
      <w:r w:rsidR="00026A01">
        <w:rPr>
          <w:noProof/>
          <w:webHidden/>
        </w:rPr>
        <w:instrText xml:space="preserve"> PAGEREF _Toc15566872 \h </w:instrText>
      </w:r>
      <w:r w:rsidR="00026A01">
        <w:rPr>
          <w:noProof/>
          <w:webHidden/>
        </w:rPr>
        <w:fldChar w:fldCharType="separate"/>
      </w:r>
      <w:r w:rsidR="00026A01">
        <w:rPr>
          <w:noProof/>
          <w:webHidden/>
        </w:rPr>
        <w:t>9</w:t>
      </w:r>
      <w:r w:rsidR="00026A01">
        <w:rPr>
          <w:noProof/>
          <w:webHidden/>
        </w:rPr>
        <w:fldChar w:fldCharType="end"/>
      </w:r>
      <w:r>
        <w:fldChar w:fldCharType="end"/>
      </w:r>
    </w:p>
    <w:p w:rsidR="00E04C9C">
      <w:pPr>
        <w:pStyle w:val="TOC4"/>
        <w:tabs>
          <w:tab w:val="left" w:pos="2880"/>
        </w:tabs>
        <w:rPr>
          <w:rFonts w:asciiTheme="minorHAnsi" w:eastAsiaTheme="minorEastAsia" w:hAnsiTheme="minorHAnsi"/>
          <w:noProof/>
          <w:sz w:val="22"/>
        </w:rPr>
      </w:pPr>
      <w:r>
        <w:fldChar w:fldCharType="begin"/>
      </w:r>
      <w:r>
        <w:instrText xml:space="preserve"> HYPERLINK \l "_Toc15566873" </w:instrText>
      </w:r>
      <w:r>
        <w:fldChar w:fldCharType="separate"/>
      </w:r>
      <w:r w:rsidRPr="00DC4958" w:rsidR="00026A01">
        <w:rPr>
          <w:rStyle w:val="Hyperlink"/>
          <w:noProof/>
        </w:rPr>
        <w:t>a.</w:t>
      </w:r>
      <w:r w:rsidR="00026A01">
        <w:rPr>
          <w:rFonts w:asciiTheme="minorHAnsi" w:eastAsiaTheme="minorEastAsia" w:hAnsiTheme="minorHAnsi"/>
          <w:noProof/>
          <w:sz w:val="22"/>
        </w:rPr>
        <w:tab/>
      </w:r>
      <w:r w:rsidRPr="00DC4958" w:rsidR="00026A01">
        <w:rPr>
          <w:rStyle w:val="Hyperlink"/>
          <w:noProof/>
        </w:rPr>
        <w:t>FirstEnergy’s charge was unlawful because it was not “conditioned</w:t>
      </w:r>
      <w:r w:rsidRPr="00DC4958" w:rsidR="00026A01">
        <w:rPr>
          <w:rStyle w:val="Hyperlink"/>
          <w:i/>
          <w:noProof/>
        </w:rPr>
        <w:t xml:space="preserve"> </w:t>
      </w:r>
      <w:r w:rsidRPr="00DC4958" w:rsidR="00026A01">
        <w:rPr>
          <w:rStyle w:val="Hyperlink"/>
          <w:noProof/>
        </w:rPr>
        <w:t>upon the completion” of a requirement to spend DMR funds on grid modernization, and so it was not an incentive within the meaning of R.C. 4928.143(B)(2)(h)</w:t>
      </w:r>
      <w:r w:rsidRPr="00DC4958" w:rsidR="00026A01">
        <w:rPr>
          <w:rStyle w:val="Hyperlink"/>
          <w:i/>
          <w:noProof/>
        </w:rPr>
        <w:t>.</w:t>
      </w:r>
      <w:r w:rsidR="00026A01">
        <w:rPr>
          <w:noProof/>
          <w:webHidden/>
        </w:rPr>
        <w:tab/>
      </w:r>
      <w:r w:rsidR="00026A01">
        <w:rPr>
          <w:noProof/>
          <w:webHidden/>
        </w:rPr>
        <w:fldChar w:fldCharType="begin"/>
      </w:r>
      <w:r w:rsidR="00026A01">
        <w:rPr>
          <w:noProof/>
          <w:webHidden/>
        </w:rPr>
        <w:instrText xml:space="preserve"> PAGEREF _Toc15566873 \h </w:instrText>
      </w:r>
      <w:r w:rsidR="00026A01">
        <w:rPr>
          <w:noProof/>
          <w:webHidden/>
        </w:rPr>
        <w:fldChar w:fldCharType="separate"/>
      </w:r>
      <w:r w:rsidR="00026A01">
        <w:rPr>
          <w:noProof/>
          <w:webHidden/>
        </w:rPr>
        <w:t>11</w:t>
      </w:r>
      <w:r w:rsidR="00026A01">
        <w:rPr>
          <w:noProof/>
          <w:webHidden/>
        </w:rPr>
        <w:fldChar w:fldCharType="end"/>
      </w:r>
      <w:r>
        <w:fldChar w:fldCharType="end"/>
      </w:r>
    </w:p>
    <w:p w:rsidR="00E04C9C">
      <w:pPr>
        <w:pStyle w:val="TOC4"/>
        <w:tabs>
          <w:tab w:val="left" w:pos="2880"/>
        </w:tabs>
        <w:rPr>
          <w:rFonts w:asciiTheme="minorHAnsi" w:eastAsiaTheme="minorEastAsia" w:hAnsiTheme="minorHAnsi"/>
          <w:noProof/>
          <w:sz w:val="22"/>
        </w:rPr>
      </w:pPr>
      <w:r>
        <w:fldChar w:fldCharType="begin"/>
      </w:r>
      <w:r>
        <w:instrText xml:space="preserve"> HYPERLINK \l "_Toc15566874" </w:instrText>
      </w:r>
      <w:r>
        <w:fldChar w:fldCharType="separate"/>
      </w:r>
      <w:r w:rsidRPr="00DC4958" w:rsidR="00026A01">
        <w:rPr>
          <w:rStyle w:val="Hyperlink"/>
          <w:noProof/>
        </w:rPr>
        <w:t>b.</w:t>
      </w:r>
      <w:r w:rsidR="00026A01">
        <w:rPr>
          <w:rFonts w:asciiTheme="minorHAnsi" w:eastAsiaTheme="minorEastAsia" w:hAnsiTheme="minorHAnsi"/>
          <w:noProof/>
          <w:sz w:val="22"/>
        </w:rPr>
        <w:tab/>
      </w:r>
      <w:r w:rsidRPr="00DC4958" w:rsidR="00026A01">
        <w:rPr>
          <w:rStyle w:val="Hyperlink"/>
          <w:noProof/>
        </w:rPr>
        <w:t>FirstEnergy’s charge was unlawful because there were insufficient consumer protections.</w:t>
      </w:r>
      <w:r w:rsidR="00026A01">
        <w:rPr>
          <w:noProof/>
          <w:webHidden/>
        </w:rPr>
        <w:tab/>
      </w:r>
      <w:r w:rsidR="00026A01">
        <w:rPr>
          <w:noProof/>
          <w:webHidden/>
        </w:rPr>
        <w:fldChar w:fldCharType="begin"/>
      </w:r>
      <w:r w:rsidR="00026A01">
        <w:rPr>
          <w:noProof/>
          <w:webHidden/>
        </w:rPr>
        <w:instrText xml:space="preserve"> PAGEREF _Toc15566874 \h </w:instrText>
      </w:r>
      <w:r w:rsidR="00026A01">
        <w:rPr>
          <w:noProof/>
          <w:webHidden/>
        </w:rPr>
        <w:fldChar w:fldCharType="separate"/>
      </w:r>
      <w:r w:rsidR="00026A01">
        <w:rPr>
          <w:noProof/>
          <w:webHidden/>
        </w:rPr>
        <w:t>12</w:t>
      </w:r>
      <w:r w:rsidR="00026A01">
        <w:rPr>
          <w:noProof/>
          <w:webHidden/>
        </w:rPr>
        <w:fldChar w:fldCharType="end"/>
      </w:r>
      <w:r>
        <w:fldChar w:fldCharType="end"/>
      </w:r>
    </w:p>
    <w:p w:rsidR="00E04C9C">
      <w:pPr>
        <w:pStyle w:val="TOC3"/>
        <w:tabs>
          <w:tab w:val="left" w:pos="2160"/>
        </w:tabs>
        <w:rPr>
          <w:rFonts w:asciiTheme="minorHAnsi" w:eastAsiaTheme="minorEastAsia" w:hAnsiTheme="minorHAnsi"/>
          <w:noProof/>
          <w:sz w:val="22"/>
        </w:rPr>
      </w:pPr>
      <w:r>
        <w:fldChar w:fldCharType="begin"/>
      </w:r>
      <w:r>
        <w:instrText xml:space="preserve"> HYPERLINK \l "_Toc15566875" </w:instrText>
      </w:r>
      <w:r>
        <w:fldChar w:fldCharType="separate"/>
      </w:r>
      <w:r w:rsidRPr="00DC4958" w:rsidR="00026A01">
        <w:rPr>
          <w:rStyle w:val="Hyperlink"/>
          <w:noProof/>
        </w:rPr>
        <w:t>2.</w:t>
      </w:r>
      <w:r w:rsidR="00026A01">
        <w:rPr>
          <w:rFonts w:asciiTheme="minorHAnsi" w:eastAsiaTheme="minorEastAsia" w:hAnsiTheme="minorHAnsi"/>
          <w:noProof/>
          <w:sz w:val="22"/>
        </w:rPr>
        <w:tab/>
      </w:r>
      <w:r w:rsidRPr="00DC4958" w:rsidR="00026A01">
        <w:rPr>
          <w:rStyle w:val="Hyperlink"/>
          <w:noProof/>
        </w:rPr>
        <w:t xml:space="preserve">DP&amp;L’s charge is unlawful under </w:t>
      </w:r>
      <w:r w:rsidRPr="00DC4958" w:rsidR="00026A01">
        <w:rPr>
          <w:rStyle w:val="Hyperlink"/>
          <w:i/>
          <w:noProof/>
        </w:rPr>
        <w:t>Ohio Edison</w:t>
      </w:r>
      <w:r w:rsidRPr="00DC4958" w:rsidR="00026A01">
        <w:rPr>
          <w:rStyle w:val="Hyperlink"/>
          <w:noProof/>
        </w:rPr>
        <w:t>, and should no longer be collected from consumers,</w:t>
      </w:r>
      <w:r w:rsidRPr="00DC4958" w:rsidR="00026A01">
        <w:rPr>
          <w:rStyle w:val="Hyperlink"/>
          <w:i/>
          <w:noProof/>
        </w:rPr>
        <w:t xml:space="preserve"> </w:t>
      </w:r>
      <w:r w:rsidRPr="00DC4958" w:rsidR="00026A01">
        <w:rPr>
          <w:rStyle w:val="Hyperlink"/>
          <w:noProof/>
        </w:rPr>
        <w:t>because DP&amp;L’s charge is not “conditioned</w:t>
      </w:r>
      <w:r w:rsidRPr="00DC4958" w:rsidR="00026A01">
        <w:rPr>
          <w:rStyle w:val="Hyperlink"/>
          <w:i/>
          <w:noProof/>
        </w:rPr>
        <w:t xml:space="preserve"> </w:t>
      </w:r>
      <w:r w:rsidRPr="00DC4958" w:rsidR="00026A01">
        <w:rPr>
          <w:rStyle w:val="Hyperlink"/>
          <w:noProof/>
        </w:rPr>
        <w:t>upon the completion” of spending funds from DP&amp;L’s charge on grid-modernization and there are insufficient consumer protections</w:t>
      </w:r>
      <w:r w:rsidRPr="00DC4958" w:rsidR="00026A01">
        <w:rPr>
          <w:rStyle w:val="Hyperlink"/>
          <w:i/>
          <w:noProof/>
        </w:rPr>
        <w:t>.</w:t>
      </w:r>
      <w:r w:rsidR="00026A01">
        <w:rPr>
          <w:noProof/>
          <w:webHidden/>
        </w:rPr>
        <w:tab/>
      </w:r>
      <w:r w:rsidR="00026A01">
        <w:rPr>
          <w:noProof/>
          <w:webHidden/>
        </w:rPr>
        <w:fldChar w:fldCharType="begin"/>
      </w:r>
      <w:r w:rsidR="00026A01">
        <w:rPr>
          <w:noProof/>
          <w:webHidden/>
        </w:rPr>
        <w:instrText xml:space="preserve"> PAGEREF _Toc15566875 \h </w:instrText>
      </w:r>
      <w:r w:rsidR="00026A01">
        <w:rPr>
          <w:noProof/>
          <w:webHidden/>
        </w:rPr>
        <w:fldChar w:fldCharType="separate"/>
      </w:r>
      <w:r w:rsidR="00026A01">
        <w:rPr>
          <w:noProof/>
          <w:webHidden/>
        </w:rPr>
        <w:t>16</w:t>
      </w:r>
      <w:r w:rsidR="00026A01">
        <w:rPr>
          <w:noProof/>
          <w:webHidden/>
        </w:rPr>
        <w:fldChar w:fldCharType="end"/>
      </w:r>
      <w:r>
        <w:fldChar w:fldCharType="end"/>
      </w:r>
    </w:p>
    <w:p w:rsidR="00E04C9C">
      <w:pPr>
        <w:pStyle w:val="TOC4"/>
        <w:tabs>
          <w:tab w:val="left" w:pos="2880"/>
        </w:tabs>
        <w:rPr>
          <w:rFonts w:asciiTheme="minorHAnsi" w:eastAsiaTheme="minorEastAsia" w:hAnsiTheme="minorHAnsi"/>
          <w:noProof/>
          <w:sz w:val="22"/>
        </w:rPr>
      </w:pPr>
      <w:r>
        <w:fldChar w:fldCharType="begin"/>
      </w:r>
      <w:r>
        <w:instrText xml:space="preserve"> HYPERLINK \l "_Toc15566876" </w:instrText>
      </w:r>
      <w:r>
        <w:fldChar w:fldCharType="separate"/>
      </w:r>
      <w:r w:rsidRPr="00DC4958" w:rsidR="00026A01">
        <w:rPr>
          <w:rStyle w:val="Hyperlink"/>
          <w:noProof/>
        </w:rPr>
        <w:t>a.</w:t>
      </w:r>
      <w:r w:rsidR="00026A01">
        <w:rPr>
          <w:rFonts w:asciiTheme="minorHAnsi" w:eastAsiaTheme="minorEastAsia" w:hAnsiTheme="minorHAnsi"/>
          <w:noProof/>
          <w:sz w:val="22"/>
        </w:rPr>
        <w:tab/>
      </w:r>
      <w:r w:rsidRPr="00DC4958" w:rsidR="00026A01">
        <w:rPr>
          <w:rStyle w:val="Hyperlink"/>
          <w:noProof/>
        </w:rPr>
        <w:t xml:space="preserve">DP&amp;L’s charge is unlawful under </w:t>
      </w:r>
      <w:r w:rsidRPr="00DC4958" w:rsidR="00026A01">
        <w:rPr>
          <w:rStyle w:val="Hyperlink"/>
          <w:i/>
          <w:noProof/>
        </w:rPr>
        <w:t>Ohio Edison</w:t>
      </w:r>
      <w:r w:rsidRPr="00DC4958" w:rsidR="00026A01">
        <w:rPr>
          <w:rStyle w:val="Hyperlink"/>
          <w:noProof/>
        </w:rPr>
        <w:t>, and would therefore harm consumers, because DP&amp;L is not required to spend DMR funds on grid-modernization.</w:t>
      </w:r>
      <w:r w:rsidR="00026A01">
        <w:rPr>
          <w:noProof/>
          <w:webHidden/>
        </w:rPr>
        <w:tab/>
      </w:r>
      <w:r w:rsidR="00026A01">
        <w:rPr>
          <w:noProof/>
          <w:webHidden/>
        </w:rPr>
        <w:fldChar w:fldCharType="begin"/>
      </w:r>
      <w:r w:rsidR="00026A01">
        <w:rPr>
          <w:noProof/>
          <w:webHidden/>
        </w:rPr>
        <w:instrText xml:space="preserve"> PAGEREF _Toc15566876 \h </w:instrText>
      </w:r>
      <w:r w:rsidR="00026A01">
        <w:rPr>
          <w:noProof/>
          <w:webHidden/>
        </w:rPr>
        <w:fldChar w:fldCharType="separate"/>
      </w:r>
      <w:r w:rsidR="00026A01">
        <w:rPr>
          <w:noProof/>
          <w:webHidden/>
        </w:rPr>
        <w:t>17</w:t>
      </w:r>
      <w:r w:rsidR="00026A01">
        <w:rPr>
          <w:noProof/>
          <w:webHidden/>
        </w:rPr>
        <w:fldChar w:fldCharType="end"/>
      </w:r>
      <w:r>
        <w:fldChar w:fldCharType="end"/>
      </w:r>
    </w:p>
    <w:p w:rsidR="00E04C9C">
      <w:pPr>
        <w:pStyle w:val="TOC4"/>
        <w:tabs>
          <w:tab w:val="left" w:pos="2880"/>
        </w:tabs>
        <w:rPr>
          <w:rFonts w:asciiTheme="minorHAnsi" w:eastAsiaTheme="minorEastAsia" w:hAnsiTheme="minorHAnsi"/>
          <w:noProof/>
          <w:sz w:val="22"/>
        </w:rPr>
      </w:pPr>
      <w:r>
        <w:fldChar w:fldCharType="begin"/>
      </w:r>
      <w:r>
        <w:instrText xml:space="preserve"> HYPERLINK \l "_Toc15566877" </w:instrText>
      </w:r>
      <w:r>
        <w:fldChar w:fldCharType="separate"/>
      </w:r>
      <w:r w:rsidRPr="00DC4958" w:rsidR="00026A01">
        <w:rPr>
          <w:rStyle w:val="Hyperlink"/>
          <w:noProof/>
        </w:rPr>
        <w:t>b.</w:t>
      </w:r>
      <w:r w:rsidR="00026A01">
        <w:rPr>
          <w:rFonts w:asciiTheme="minorHAnsi" w:eastAsiaTheme="minorEastAsia" w:hAnsiTheme="minorHAnsi"/>
          <w:noProof/>
          <w:sz w:val="22"/>
        </w:rPr>
        <w:tab/>
      </w:r>
      <w:r w:rsidRPr="00DC4958" w:rsidR="00026A01">
        <w:rPr>
          <w:rStyle w:val="Hyperlink"/>
          <w:noProof/>
        </w:rPr>
        <w:t xml:space="preserve">DP&amp;L’s charge is unlawful under </w:t>
      </w:r>
      <w:r w:rsidRPr="00DC4958" w:rsidR="00026A01">
        <w:rPr>
          <w:rStyle w:val="Hyperlink"/>
          <w:i/>
          <w:noProof/>
        </w:rPr>
        <w:t xml:space="preserve">Ohio Edison </w:t>
      </w:r>
      <w:r w:rsidRPr="00DC4958" w:rsidR="00026A01">
        <w:rPr>
          <w:rStyle w:val="Hyperlink"/>
          <w:noProof/>
        </w:rPr>
        <w:t>because there are insufficient consumer protections.</w:t>
      </w:r>
      <w:r w:rsidR="00026A01">
        <w:rPr>
          <w:noProof/>
          <w:webHidden/>
        </w:rPr>
        <w:tab/>
      </w:r>
      <w:r w:rsidR="00026A01">
        <w:rPr>
          <w:noProof/>
          <w:webHidden/>
        </w:rPr>
        <w:fldChar w:fldCharType="begin"/>
      </w:r>
      <w:r w:rsidR="00026A01">
        <w:rPr>
          <w:noProof/>
          <w:webHidden/>
        </w:rPr>
        <w:instrText xml:space="preserve"> PAGEREF _Toc15566877 \h </w:instrText>
      </w:r>
      <w:r w:rsidR="00026A01">
        <w:rPr>
          <w:noProof/>
          <w:webHidden/>
        </w:rPr>
        <w:fldChar w:fldCharType="separate"/>
      </w:r>
      <w:r w:rsidR="00026A01">
        <w:rPr>
          <w:noProof/>
          <w:webHidden/>
        </w:rPr>
        <w:t>21</w:t>
      </w:r>
      <w:r w:rsidR="00026A01">
        <w:rPr>
          <w:noProof/>
          <w:webHidden/>
        </w:rPr>
        <w:fldChar w:fldCharType="end"/>
      </w:r>
      <w:r>
        <w:fldChar w:fldCharType="end"/>
      </w:r>
    </w:p>
    <w:p w:rsidR="00E04C9C">
      <w:pPr>
        <w:pStyle w:val="TOC3"/>
        <w:tabs>
          <w:tab w:val="left" w:pos="2160"/>
        </w:tabs>
        <w:rPr>
          <w:rFonts w:asciiTheme="minorHAnsi" w:eastAsiaTheme="minorEastAsia" w:hAnsiTheme="minorHAnsi"/>
          <w:noProof/>
          <w:sz w:val="22"/>
        </w:rPr>
      </w:pPr>
      <w:r>
        <w:fldChar w:fldCharType="begin"/>
      </w:r>
      <w:r>
        <w:instrText xml:space="preserve"> HYPERLINK \l "_Toc15566878" </w:instrText>
      </w:r>
      <w:r>
        <w:fldChar w:fldCharType="separate"/>
      </w:r>
      <w:r w:rsidRPr="00DC4958" w:rsidR="00026A01">
        <w:rPr>
          <w:rStyle w:val="Hyperlink"/>
          <w:noProof/>
        </w:rPr>
        <w:t>3.</w:t>
      </w:r>
      <w:r w:rsidR="00026A01">
        <w:rPr>
          <w:rFonts w:asciiTheme="minorHAnsi" w:eastAsiaTheme="minorEastAsia" w:hAnsiTheme="minorHAnsi"/>
          <w:noProof/>
          <w:sz w:val="22"/>
        </w:rPr>
        <w:tab/>
      </w:r>
      <w:r w:rsidRPr="00DC4958" w:rsidR="00026A01">
        <w:rPr>
          <w:rStyle w:val="Hyperlink"/>
          <w:noProof/>
        </w:rPr>
        <w:t xml:space="preserve">FirstEnergy’s and DP&amp;L’s charge are the same in all material respects under the </w:t>
      </w:r>
      <w:r w:rsidRPr="00DC4958" w:rsidR="00026A01">
        <w:rPr>
          <w:rStyle w:val="Hyperlink"/>
          <w:i/>
          <w:noProof/>
        </w:rPr>
        <w:t>Ohio Edison</w:t>
      </w:r>
      <w:r w:rsidRPr="00DC4958" w:rsidR="00026A01">
        <w:rPr>
          <w:rStyle w:val="Hyperlink"/>
          <w:noProof/>
        </w:rPr>
        <w:t xml:space="preserve"> analysis and, therefore, DP&amp;L’s charge is unlawful under </w:t>
      </w:r>
      <w:r w:rsidRPr="00DC4958" w:rsidR="00026A01">
        <w:rPr>
          <w:rStyle w:val="Hyperlink"/>
          <w:i/>
          <w:noProof/>
        </w:rPr>
        <w:t xml:space="preserve">Ohio Edison </w:t>
      </w:r>
      <w:r w:rsidRPr="00DC4958" w:rsidR="00026A01">
        <w:rPr>
          <w:rStyle w:val="Hyperlink"/>
          <w:noProof/>
        </w:rPr>
        <w:t>and should no longer be collected from consumers</w:t>
      </w:r>
      <w:r w:rsidRPr="00DC4958" w:rsidR="00026A01">
        <w:rPr>
          <w:rStyle w:val="Hyperlink"/>
          <w:i/>
          <w:noProof/>
        </w:rPr>
        <w:t>.</w:t>
      </w:r>
      <w:r w:rsidR="00026A01">
        <w:rPr>
          <w:noProof/>
          <w:webHidden/>
        </w:rPr>
        <w:tab/>
      </w:r>
      <w:r w:rsidR="00026A01">
        <w:rPr>
          <w:noProof/>
          <w:webHidden/>
        </w:rPr>
        <w:fldChar w:fldCharType="begin"/>
      </w:r>
      <w:r w:rsidR="00026A01">
        <w:rPr>
          <w:noProof/>
          <w:webHidden/>
        </w:rPr>
        <w:instrText xml:space="preserve"> PAGEREF _Toc15566878 \h </w:instrText>
      </w:r>
      <w:r w:rsidR="00026A01">
        <w:rPr>
          <w:noProof/>
          <w:webHidden/>
        </w:rPr>
        <w:fldChar w:fldCharType="separate"/>
      </w:r>
      <w:r w:rsidR="00026A01">
        <w:rPr>
          <w:noProof/>
          <w:webHidden/>
        </w:rPr>
        <w:t>23</w:t>
      </w:r>
      <w:r w:rsidR="00026A01">
        <w:rPr>
          <w:noProof/>
          <w:webHidden/>
        </w:rPr>
        <w:fldChar w:fldCharType="end"/>
      </w:r>
      <w:r>
        <w:fldChar w:fldCharType="end"/>
      </w:r>
    </w:p>
    <w:p w:rsidR="00E04C9C">
      <w:pPr>
        <w:pStyle w:val="TOC2"/>
        <w:tabs>
          <w:tab w:val="left" w:pos="1440"/>
        </w:tabs>
        <w:rPr>
          <w:rFonts w:asciiTheme="minorHAnsi" w:eastAsiaTheme="minorEastAsia" w:hAnsiTheme="minorHAnsi"/>
          <w:noProof/>
          <w:sz w:val="22"/>
        </w:rPr>
      </w:pPr>
      <w:r>
        <w:fldChar w:fldCharType="begin"/>
      </w:r>
      <w:r>
        <w:instrText xml:space="preserve"> HYPERLINK \l "_Toc15566879" </w:instrText>
      </w:r>
      <w:r>
        <w:fldChar w:fldCharType="separate"/>
      </w:r>
      <w:r w:rsidRPr="00DC4958" w:rsidR="00026A01">
        <w:rPr>
          <w:rStyle w:val="Hyperlink"/>
          <w:noProof/>
        </w:rPr>
        <w:t>B.</w:t>
      </w:r>
      <w:r w:rsidR="00026A01">
        <w:rPr>
          <w:rFonts w:asciiTheme="minorHAnsi" w:eastAsiaTheme="minorEastAsia" w:hAnsiTheme="minorHAnsi"/>
          <w:noProof/>
          <w:sz w:val="22"/>
        </w:rPr>
        <w:tab/>
      </w:r>
      <w:r w:rsidRPr="00DC4958" w:rsidR="00026A01">
        <w:rPr>
          <w:rStyle w:val="Hyperlink"/>
          <w:noProof/>
        </w:rPr>
        <w:t>Alternatively, if the PUCO determines that DP&amp;L may continue to collect the charge from consumers, then it should make DP&amp;L’s charge subject to refund.</w:t>
      </w:r>
      <w:r w:rsidR="00026A01">
        <w:rPr>
          <w:noProof/>
          <w:webHidden/>
        </w:rPr>
        <w:tab/>
      </w:r>
      <w:r w:rsidR="00026A01">
        <w:rPr>
          <w:noProof/>
          <w:webHidden/>
        </w:rPr>
        <w:fldChar w:fldCharType="begin"/>
      </w:r>
      <w:r w:rsidR="00026A01">
        <w:rPr>
          <w:noProof/>
          <w:webHidden/>
        </w:rPr>
        <w:instrText xml:space="preserve"> PAGEREF _Toc15566879 \h </w:instrText>
      </w:r>
      <w:r w:rsidR="00026A01">
        <w:rPr>
          <w:noProof/>
          <w:webHidden/>
        </w:rPr>
        <w:fldChar w:fldCharType="separate"/>
      </w:r>
      <w:r w:rsidR="00026A01">
        <w:rPr>
          <w:noProof/>
          <w:webHidden/>
        </w:rPr>
        <w:t>24</w:t>
      </w:r>
      <w:r w:rsidR="00026A01">
        <w:rPr>
          <w:noProof/>
          <w:webHidden/>
        </w:rPr>
        <w:fldChar w:fldCharType="end"/>
      </w:r>
      <w:r>
        <w:fldChar w:fldCharType="end"/>
      </w:r>
    </w:p>
    <w:p w:rsidR="00E04C9C">
      <w:pPr>
        <w:pStyle w:val="TOC1"/>
        <w:rPr>
          <w:rFonts w:asciiTheme="minorHAnsi" w:eastAsiaTheme="minorEastAsia" w:hAnsiTheme="minorHAnsi"/>
          <w:caps w:val="0"/>
          <w:noProof/>
          <w:sz w:val="22"/>
        </w:rPr>
      </w:pPr>
      <w:r>
        <w:fldChar w:fldCharType="begin"/>
      </w:r>
      <w:r>
        <w:instrText xml:space="preserve"> HYPERLINK \l "_Toc15566880" </w:instrText>
      </w:r>
      <w:r>
        <w:fldChar w:fldCharType="separate"/>
      </w:r>
      <w:r w:rsidRPr="00DC4958" w:rsidR="00026A01">
        <w:rPr>
          <w:rStyle w:val="Hyperlink"/>
          <w:noProof/>
        </w:rPr>
        <w:t>V.</w:t>
      </w:r>
      <w:r w:rsidR="00026A01">
        <w:rPr>
          <w:rFonts w:asciiTheme="minorHAnsi" w:eastAsiaTheme="minorEastAsia" w:hAnsiTheme="minorHAnsi"/>
          <w:caps w:val="0"/>
          <w:noProof/>
          <w:sz w:val="22"/>
        </w:rPr>
        <w:tab/>
      </w:r>
      <w:r w:rsidRPr="00DC4958" w:rsidR="00026A01">
        <w:rPr>
          <w:rStyle w:val="Hyperlink"/>
          <w:noProof/>
        </w:rPr>
        <w:t>Conclusion</w:t>
      </w:r>
      <w:r w:rsidR="00026A01">
        <w:rPr>
          <w:noProof/>
          <w:webHidden/>
        </w:rPr>
        <w:tab/>
      </w:r>
      <w:r w:rsidR="00026A01">
        <w:rPr>
          <w:noProof/>
          <w:webHidden/>
        </w:rPr>
        <w:fldChar w:fldCharType="begin"/>
      </w:r>
      <w:r w:rsidR="00026A01">
        <w:rPr>
          <w:noProof/>
          <w:webHidden/>
        </w:rPr>
        <w:instrText xml:space="preserve"> PAGEREF _Toc15566880 \h </w:instrText>
      </w:r>
      <w:r w:rsidR="00026A01">
        <w:rPr>
          <w:noProof/>
          <w:webHidden/>
        </w:rPr>
        <w:fldChar w:fldCharType="separate"/>
      </w:r>
      <w:r w:rsidR="00026A01">
        <w:rPr>
          <w:noProof/>
          <w:webHidden/>
        </w:rPr>
        <w:t>31</w:t>
      </w:r>
      <w:r w:rsidR="00026A01">
        <w:rPr>
          <w:noProof/>
          <w:webHidden/>
        </w:rPr>
        <w:fldChar w:fldCharType="end"/>
      </w:r>
      <w:r>
        <w:fldChar w:fldCharType="end"/>
      </w:r>
    </w:p>
    <w:p w:rsidR="00723C0B" w:rsidP="00723C0B">
      <w:pPr>
        <w:pStyle w:val="HTMLPreformatted"/>
        <w:jc w:val="center"/>
        <w:rPr>
          <w:rFonts w:ascii="Times New Roman" w:hAnsi="Times New Roman" w:cs="Times New Roman"/>
          <w:b/>
          <w:bCs/>
          <w:sz w:val="24"/>
          <w:szCs w:val="24"/>
        </w:rPr>
        <w:sectPr w:rsidSect="00723C0B">
          <w:headerReference w:type="default" r:id="rId11"/>
          <w:footerReference w:type="default" r:id="rId12"/>
          <w:pgSz w:w="12240" w:h="15840"/>
          <w:pgMar w:top="1440" w:right="1800" w:bottom="1440" w:left="1800" w:header="720" w:footer="720" w:gutter="0"/>
          <w:pgNumType w:fmt="lowerRoman" w:start="1"/>
          <w:cols w:space="720"/>
          <w:docGrid w:linePitch="360"/>
        </w:sectPr>
      </w:pPr>
      <w:r>
        <w:rPr>
          <w:rFonts w:ascii="Times New Roman" w:hAnsi="Times New Roman" w:cs="Times New Roman"/>
          <w:b/>
          <w:bCs/>
          <w:sz w:val="24"/>
          <w:szCs w:val="24"/>
        </w:rPr>
        <w:fldChar w:fldCharType="end"/>
      </w:r>
    </w:p>
    <w:p w:rsidR="000E3426" w:rsidRPr="00A329C2" w:rsidP="00723C0B">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BEFORE</w:t>
      </w:r>
    </w:p>
    <w:p w:rsidR="000E3426" w:rsidRPr="00A329C2" w:rsidP="000E3426">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0E3426" w:rsidRPr="00A329C2" w:rsidP="000E3426">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rsidTr="000E3426">
        <w:tblPrEx>
          <w:tblW w:w="9366" w:type="dxa"/>
          <w:tblInd w:w="-106" w:type="dxa"/>
          <w:tblCellMar>
            <w:top w:w="0" w:type="dxa"/>
            <w:left w:w="108" w:type="dxa"/>
            <w:bottom w:w="0" w:type="dxa"/>
            <w:right w:w="108" w:type="dxa"/>
          </w:tblCellMar>
          <w:tblLook w:val="01E0"/>
        </w:tblPrEx>
        <w:trPr>
          <w:trHeight w:val="807"/>
        </w:trPr>
        <w:tc>
          <w:tcPr>
            <w:tcW w:w="4606" w:type="dxa"/>
          </w:tcPr>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 xml:space="preserve">In the Matter of the Application of </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the Dayton Power and Light Company for</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Approval of its Electric Security Plan.</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w:t>
            </w:r>
          </w:p>
        </w:tc>
        <w:tc>
          <w:tcPr>
            <w:tcW w:w="4400" w:type="dxa"/>
          </w:tcPr>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16-0395-EL-SSO</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16-0396-EL-ATA</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37F57">
              <w:rPr>
                <w:rFonts w:ascii="Times New Roman" w:eastAsia="Courier New" w:hAnsi="Times New Roman" w:cs="Times New Roman"/>
                <w:sz w:val="24"/>
                <w:szCs w:val="24"/>
                <w:lang w:val="en-US" w:eastAsia="en-US" w:bidi="ar-SA"/>
              </w:rPr>
              <w:t>Case No. 16-0397-EL-AAM</w:t>
            </w: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3426" w:rsidRPr="00937F57" w:rsidP="000E34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0E3426" w:rsidRPr="00A329C2" w:rsidP="000E3426">
      <w:pPr>
        <w:pStyle w:val="HTMLPreformatted"/>
        <w:pBdr>
          <w:bottom w:val="single" w:sz="12" w:space="1" w:color="auto"/>
        </w:pBdr>
        <w:rPr>
          <w:rFonts w:ascii="Times New Roman" w:hAnsi="Times New Roman" w:cs="Times New Roman"/>
          <w:b/>
          <w:bCs/>
          <w:sz w:val="24"/>
          <w:szCs w:val="24"/>
        </w:rPr>
      </w:pPr>
    </w:p>
    <w:p w:rsidR="000E3426" w:rsidRPr="00A329C2" w:rsidP="000E3426">
      <w:pPr>
        <w:pStyle w:val="HTMLPreformatted"/>
        <w:rPr>
          <w:rFonts w:ascii="Times New Roman" w:hAnsi="Times New Roman" w:cs="Times New Roman"/>
          <w:b/>
          <w:bCs/>
          <w:i/>
          <w:sz w:val="24"/>
          <w:szCs w:val="24"/>
        </w:rPr>
      </w:pPr>
    </w:p>
    <w:p w:rsidR="005B3E11" w:rsidRPr="00204A9A" w:rsidP="00042A25">
      <w:pPr>
        <w:spacing w:line="240" w:lineRule="auto"/>
        <w:jc w:val="center"/>
        <w:rPr>
          <w:rFonts w:cs="Times New Roman"/>
          <w:b/>
          <w:bCs/>
          <w:szCs w:val="24"/>
        </w:rPr>
      </w:pPr>
      <w:r>
        <w:rPr>
          <w:rFonts w:cs="Times New Roman"/>
          <w:b/>
          <w:bCs/>
          <w:szCs w:val="24"/>
        </w:rPr>
        <w:t>SUPPLEMENTAL BRIEF FOR ENDING DP&amp;L’S CHARGE TO CONSUMERS FOR ITS SO-CALLED DISTRIBUTION MODERNIZATION RIDER AND FOR MAKING THE CHARGE SUBJECT TO REFUND</w:t>
      </w:r>
    </w:p>
    <w:p w:rsidR="000E3426" w:rsidRPr="00A329C2" w:rsidP="000E3426">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r w:rsidRPr="00A329C2">
        <w:rPr>
          <w:rFonts w:ascii="Times New Roman" w:hAnsi="Times New Roman" w:cs="Times New Roman"/>
          <w:b/>
          <w:bCs/>
          <w:sz w:val="24"/>
          <w:szCs w:val="24"/>
        </w:rPr>
        <w:t xml:space="preserve"> </w:t>
      </w:r>
    </w:p>
    <w:p w:rsidR="000E3426" w:rsidRPr="00A329C2" w:rsidP="000E3426">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0E3426" w:rsidRPr="00A329C2" w:rsidP="000E3426">
      <w:pPr>
        <w:pStyle w:val="HTMLPreformatted"/>
        <w:pBdr>
          <w:bottom w:val="single" w:sz="12" w:space="1" w:color="auto"/>
        </w:pBdr>
        <w:rPr>
          <w:rFonts w:ascii="Times New Roman" w:hAnsi="Times New Roman" w:cs="Times New Roman"/>
          <w:b/>
          <w:bCs/>
          <w:sz w:val="24"/>
          <w:szCs w:val="24"/>
        </w:rPr>
      </w:pPr>
    </w:p>
    <w:p w:rsidR="000E3426" w:rsidRPr="00A329C2" w:rsidP="000E3426">
      <w:pPr>
        <w:spacing w:line="240" w:lineRule="auto"/>
        <w:rPr>
          <w:rFonts w:cs="Times New Roman"/>
        </w:rPr>
      </w:pPr>
    </w:p>
    <w:p w:rsidR="000E3426" w:rsidRPr="00D73BA7" w:rsidP="000E3426">
      <w:pPr>
        <w:pStyle w:val="Heading1"/>
      </w:pPr>
      <w:bookmarkStart w:id="1" w:name="_Toc8995076"/>
      <w:bookmarkStart w:id="2" w:name="_Toc15566867"/>
      <w:bookmarkStart w:id="3" w:name="_Toc8387995"/>
      <w:bookmarkStart w:id="4" w:name="_Toc8831499"/>
      <w:r>
        <w:t>I.</w:t>
      </w:r>
      <w:r>
        <w:tab/>
        <w:t>Introduction</w:t>
      </w:r>
      <w:bookmarkEnd w:id="1"/>
      <w:bookmarkEnd w:id="2"/>
    </w:p>
    <w:p w:rsidR="005B3E11" w:rsidP="005B3E11">
      <w:pPr>
        <w:ind w:firstLine="720"/>
        <w:rPr>
          <w:rFonts w:cs="Times New Roman"/>
          <w:szCs w:val="24"/>
        </w:rPr>
      </w:pPr>
      <w:r>
        <w:rPr>
          <w:rFonts w:cs="Times New Roman"/>
          <w:szCs w:val="24"/>
        </w:rPr>
        <w:t>The Public Utilities Commission of Ohio (“PUCO”) should order Dayton Power and Light (“DP&amp;L”) to immediately stop charging consumers for its Distribution Modernization Rider (“DMR” or “DP&amp;L’s charge”). But if the PUCO allows DP&amp;L to continue collecting the charge from consumers, the PUCO should make DP&amp;L’s charge subject to refund. Refundability of the charge will protect consumers in the event the Supreme Court of Ohio (“Court”) or the PUCO later finds the charge to be improper. The PUCO should not repeat the recent travesty of justice for consumers regarding FirstEnergy’s nearly identical charge that the Supreme Court found to be unlawful. There, FirstEnergy walked away with nearly a half-billion dollars of improper, so-called distribution modernization charges. FirstEnergy didn’t have to refund its charges to consumers, because the PUCO declined to make the charges subject to refund.  DP&amp;L’s customers have already paid approximately $175 million (about $8.75 million monthly) for the charge since November 1, 2017.  And these substantial charges are being paid by consumers in DP&amp;L’s service territory where approximately 35.5% of Dayton’s residents are at the poverty level, 30,000 DP&amp;L customers are on Percentage of Income Payment Plans, and another 187,000 customers were unable to pay their electric bills and were required to be on a PUCO-ordered payment plan to prevent loss of service.</w:t>
      </w:r>
      <w:r>
        <w:rPr>
          <w:rStyle w:val="FootnoteReference"/>
          <w:rFonts w:cs="Times New Roman"/>
          <w:szCs w:val="24"/>
        </w:rPr>
        <w:footnoteReference w:id="2"/>
      </w:r>
      <w:r>
        <w:rPr>
          <w:rFonts w:cs="Times New Roman"/>
          <w:szCs w:val="24"/>
        </w:rPr>
        <w:t xml:space="preserve">  </w:t>
      </w:r>
    </w:p>
    <w:p w:rsidR="005B3E11" w:rsidP="005B3E11">
      <w:pPr>
        <w:ind w:firstLine="720"/>
        <w:rPr>
          <w:rFonts w:cs="Times New Roman"/>
          <w:szCs w:val="24"/>
        </w:rPr>
      </w:pPr>
      <w:r>
        <w:rPr>
          <w:rFonts w:cs="Times New Roman"/>
          <w:szCs w:val="24"/>
        </w:rPr>
        <w:t xml:space="preserve"> </w:t>
      </w:r>
      <w:r>
        <w:rPr>
          <w:rFonts w:cs="Times New Roman"/>
          <w:i/>
          <w:iCs/>
          <w:szCs w:val="24"/>
        </w:rPr>
        <w:t xml:space="preserve"> </w:t>
      </w:r>
      <w:r>
        <w:rPr>
          <w:rFonts w:cs="Times New Roman"/>
          <w:szCs w:val="24"/>
        </w:rPr>
        <w:t xml:space="preserve">In its </w:t>
      </w:r>
      <w:r>
        <w:rPr>
          <w:rFonts w:cs="Times New Roman"/>
          <w:i/>
          <w:iCs/>
          <w:szCs w:val="24"/>
        </w:rPr>
        <w:t xml:space="preserve">Ohio Edison </w:t>
      </w:r>
      <w:r>
        <w:rPr>
          <w:rFonts w:cs="Times New Roman"/>
          <w:iCs/>
          <w:szCs w:val="24"/>
        </w:rPr>
        <w:t>decision</w:t>
      </w:r>
      <w:r>
        <w:rPr>
          <w:rFonts w:cs="Times New Roman"/>
          <w:szCs w:val="24"/>
        </w:rPr>
        <w:t xml:space="preserve">, the Court held that FirstEnergy’s nearly identical Distribution Modernization Rider (“FirstEnergy’s charge”) was unlawful because it was  </w:t>
      </w:r>
      <w:r w:rsidRPr="0016747A">
        <w:rPr>
          <w:rFonts w:cs="Times New Roman"/>
          <w:i/>
          <w:iCs/>
          <w:szCs w:val="24"/>
        </w:rPr>
        <w:t>not</w:t>
      </w:r>
      <w:r>
        <w:rPr>
          <w:rFonts w:cs="Times New Roman"/>
          <w:szCs w:val="24"/>
        </w:rPr>
        <w:t xml:space="preserve"> authorized by R.C. 4928.143(B)(2)(h).</w:t>
      </w:r>
      <w:r>
        <w:rPr>
          <w:rStyle w:val="FootnoteReference"/>
          <w:rFonts w:cs="Times New Roman"/>
          <w:szCs w:val="24"/>
        </w:rPr>
        <w:footnoteReference w:id="3"/>
      </w:r>
      <w:r>
        <w:rPr>
          <w:rFonts w:cs="Times New Roman"/>
          <w:szCs w:val="24"/>
        </w:rPr>
        <w:t xml:space="preserve"> It was unlawful because the PUCO did not require FirstEnergy to spend any funds from the charge on grid-modernization – its collection of funds was not “conditioned upon completion” of any requirement.</w:t>
      </w:r>
      <w:r>
        <w:rPr>
          <w:rStyle w:val="FootnoteReference"/>
          <w:rFonts w:cs="Times New Roman"/>
          <w:szCs w:val="24"/>
        </w:rPr>
        <w:footnoteReference w:id="4"/>
      </w:r>
      <w:r>
        <w:rPr>
          <w:rFonts w:cs="Times New Roman"/>
          <w:szCs w:val="24"/>
        </w:rPr>
        <w:t xml:space="preserve"> It was also ruled unlawful because it did not protect consumers who are paying FirstEnergy’s charge.</w:t>
      </w:r>
      <w:r>
        <w:rPr>
          <w:rStyle w:val="FootnoteReference"/>
          <w:rFonts w:cs="Times New Roman"/>
          <w:szCs w:val="24"/>
        </w:rPr>
        <w:footnoteReference w:id="5"/>
      </w:r>
      <w:r>
        <w:rPr>
          <w:rFonts w:cs="Times New Roman"/>
          <w:szCs w:val="24"/>
        </w:rPr>
        <w:t xml:space="preserve">  </w:t>
      </w:r>
    </w:p>
    <w:p w:rsidR="005B3E11" w:rsidP="005B3E11">
      <w:pPr>
        <w:ind w:firstLine="720"/>
        <w:rPr>
          <w:rFonts w:cs="Times New Roman"/>
          <w:szCs w:val="24"/>
        </w:rPr>
      </w:pPr>
      <w:r>
        <w:rPr>
          <w:rFonts w:cs="Times New Roman"/>
          <w:szCs w:val="24"/>
        </w:rPr>
        <w:t>DP&amp;L’s charge to customers is nearly identical to FirstEnergy’s. Like FirstEnergy, DP&amp;L is not required to spend a penny on grid-modernization – its receipt of funds from the charge is not “conditioned upon the completion” of any requirement.</w:t>
      </w:r>
      <w:r>
        <w:rPr>
          <w:rStyle w:val="FootnoteReference"/>
          <w:rFonts w:cs="Times New Roman"/>
          <w:szCs w:val="24"/>
        </w:rPr>
        <w:footnoteReference w:id="6"/>
      </w:r>
      <w:r>
        <w:rPr>
          <w:rFonts w:cs="Times New Roman"/>
          <w:szCs w:val="24"/>
        </w:rPr>
        <w:t xml:space="preserve"> Like FirstEnergy, DP&amp;L’s charge is not subject to adequate consumer protections. </w:t>
      </w:r>
    </w:p>
    <w:p w:rsidR="00841653" w:rsidP="00042A25">
      <w:pPr>
        <w:ind w:firstLine="720"/>
        <w:rPr>
          <w:rFonts w:cs="Times New Roman"/>
          <w:szCs w:val="24"/>
        </w:rPr>
      </w:pPr>
      <w:r>
        <w:rPr>
          <w:rFonts w:cs="Times New Roman"/>
          <w:szCs w:val="24"/>
        </w:rPr>
        <w:t>Under the Court’s recent decision, DP&amp;L’s charge is unlawful. To protect DP&amp;L’s nearly 460,000 residential consumers, the PUCO should immediately end DP&amp;L’s charge.  At the least, the PUCO should protect consumers by making DP&amp;L’s charge subject to refund.</w:t>
      </w:r>
    </w:p>
    <w:p w:rsidR="00D14D25" w:rsidP="00D14D25">
      <w:pPr>
        <w:spacing w:line="240" w:lineRule="auto"/>
        <w:ind w:firstLine="720"/>
        <w:rPr>
          <w:rFonts w:cs="Times New Roman"/>
          <w:szCs w:val="24"/>
        </w:rPr>
      </w:pPr>
    </w:p>
    <w:p w:rsidR="00DF7975" w:rsidP="00DD0E75">
      <w:pPr>
        <w:pStyle w:val="Heading1"/>
      </w:pPr>
      <w:bookmarkStart w:id="5" w:name="_Toc15566868"/>
      <w:r>
        <w:t>II.</w:t>
      </w:r>
      <w:r>
        <w:tab/>
        <w:t>STATEMENT OF THE CASE</w:t>
      </w:r>
      <w:bookmarkEnd w:id="5"/>
    </w:p>
    <w:p w:rsidR="007F320F" w:rsidP="00841653">
      <w:pPr>
        <w:ind w:firstLine="720"/>
      </w:pPr>
      <w:r>
        <w:t>This case began in February 2016 with DP&amp;L’s application to fulfill its obligation to provide a standard service offer with an electric security plan.</w:t>
      </w:r>
      <w:r>
        <w:rPr>
          <w:rStyle w:val="FootnoteReference"/>
        </w:rPr>
        <w:footnoteReference w:id="7"/>
      </w:r>
      <w:r>
        <w:t xml:space="preserve">  In its application, DP&amp;L proposed a charge to customers (“OVEC subsidy rider”) to subsidize the costs of producing power at two 1950s era coal plants in which it has interests (the OVEC units). DP&amp;L’s charge for credit support was also proposed.  The Office of the Ohio Consumers' Counsel (“OCC”) has demonstrated before the PUCO that customers should be protected from paying these charges.  </w:t>
      </w:r>
    </w:p>
    <w:p w:rsidR="00841653" w:rsidP="00841653">
      <w:pPr>
        <w:ind w:firstLine="720"/>
      </w:pPr>
      <w:r w:rsidRPr="000706C9">
        <w:t>On March 14, 2017, several parties</w:t>
      </w:r>
      <w:r>
        <w:t xml:space="preserve">, including IGS, </w:t>
      </w:r>
      <w:r w:rsidRPr="000706C9">
        <w:t xml:space="preserve">submitted </w:t>
      </w:r>
      <w:r>
        <w:t>an</w:t>
      </w:r>
      <w:r w:rsidRPr="000706C9">
        <w:t xml:space="preserve"> Amended Stipulation (“</w:t>
      </w:r>
      <w:r>
        <w:t>Settlement</w:t>
      </w:r>
      <w:r w:rsidRPr="000706C9">
        <w:t xml:space="preserve">”) for approval to </w:t>
      </w:r>
      <w:r>
        <w:t>the PUCO</w:t>
      </w:r>
      <w:r w:rsidRPr="000706C9">
        <w:t>.</w:t>
      </w:r>
      <w:r>
        <w:rPr>
          <w:rStyle w:val="FootnoteReference"/>
        </w:rPr>
        <w:footnoteReference w:id="8"/>
      </w:r>
      <w:r w:rsidRPr="000706C9">
        <w:t xml:space="preserve"> </w:t>
      </w:r>
      <w:r>
        <w:t>Under t</w:t>
      </w:r>
      <w:r w:rsidRPr="000706C9">
        <w:t xml:space="preserve">he </w:t>
      </w:r>
      <w:r>
        <w:t>Settlement,</w:t>
      </w:r>
      <w:r w:rsidRPr="000706C9">
        <w:t xml:space="preserve"> the </w:t>
      </w:r>
      <w:r>
        <w:t>OVEC subsidy rider</w:t>
      </w:r>
      <w:r w:rsidRPr="000706C9">
        <w:t xml:space="preserve"> </w:t>
      </w:r>
      <w:r>
        <w:t>would</w:t>
      </w:r>
      <w:r w:rsidRPr="000706C9">
        <w:t xml:space="preserve"> be bypassable</w:t>
      </w:r>
      <w:r>
        <w:t xml:space="preserve"> – shopping customers would not pay it.</w:t>
      </w:r>
      <w:r>
        <w:rPr>
          <w:rStyle w:val="FootnoteReference"/>
        </w:rPr>
        <w:footnoteReference w:id="9"/>
      </w:r>
      <w:r>
        <w:t xml:space="preserve">  The Settlement includes the DMR charge.</w:t>
      </w:r>
    </w:p>
    <w:p w:rsidR="00841653" w:rsidP="00841653">
      <w:pPr>
        <w:ind w:firstLine="720"/>
      </w:pPr>
      <w:r>
        <w:t xml:space="preserve">On October 20, 2017, the PUCO modified the March 14, 2017 Settlement and approved the OVEC subsidy rider and the DMR charge over several objections, </w:t>
      </w:r>
      <w:r w:rsidRPr="00723991">
        <w:t>including OCC’s objection to making customers pay any subsidy charge for the OVEC coal plants</w:t>
      </w:r>
      <w:r>
        <w:t xml:space="preserve"> and credit support</w:t>
      </w:r>
      <w:r w:rsidRPr="00723991">
        <w:t>.</w:t>
      </w:r>
      <w:r w:rsidRPr="00CE2E83">
        <w:t xml:space="preserve"> </w:t>
      </w:r>
      <w:r>
        <w:t>In modifying the Settlement, the PUCO made the OVEC subsidy rider non-bypassable and ordered DP&amp;L to charge the rate to all customers, shopping and non-shopping alike.</w:t>
      </w:r>
      <w:r>
        <w:rPr>
          <w:rStyle w:val="FootnoteReference"/>
        </w:rPr>
        <w:footnoteReference w:id="10"/>
      </w:r>
      <w:r>
        <w:t xml:space="preserve"> The PUCO agreed with OCC that the OVEC subsidy rider should be non-bypassable because under a bypassable rider there would be a potential for escalating bill impacts to standard service offer customers as shopping increases.</w:t>
      </w:r>
      <w:r>
        <w:rPr>
          <w:vertAlign w:val="superscript"/>
        </w:rPr>
        <w:footnoteReference w:id="11"/>
      </w:r>
      <w:r>
        <w:t xml:space="preserve">  </w:t>
      </w:r>
    </w:p>
    <w:p w:rsidR="00841653" w:rsidRPr="00590545" w:rsidP="00841653">
      <w:pPr>
        <w:ind w:firstLine="720"/>
      </w:pPr>
      <w:r>
        <w:t>Several parties, including OCC, sought rehearing on the PUCO’s modification of the Settlement but the PUCO denied them.</w:t>
      </w:r>
      <w:r>
        <w:rPr>
          <w:rStyle w:val="FootnoteReference"/>
        </w:rPr>
        <w:footnoteReference w:id="12"/>
      </w:r>
      <w:r w:rsidRPr="005B6D90">
        <w:rPr>
          <w:vertAlign w:val="superscript"/>
        </w:rPr>
        <w:t xml:space="preserve"> </w:t>
      </w:r>
      <w:r>
        <w:t>On October 19, 2018, and under Provision XI(5) of the Settlement, IGS filed a Notice of Withdrawal from the Amended Stipulation and Recommendation.</w:t>
      </w:r>
      <w:r>
        <w:rPr>
          <w:vertAlign w:val="superscript"/>
        </w:rPr>
        <w:footnoteReference w:id="13"/>
      </w:r>
      <w:r>
        <w:t xml:space="preserve"> IGS argued that the PUCO modification to the Settlement (making the OVEC subsidy rider non-bypassable) was material and undermined the benefit of the bargain for IGS.</w:t>
      </w:r>
      <w:r>
        <w:rPr>
          <w:rStyle w:val="FootnoteReference"/>
        </w:rPr>
        <w:footnoteReference w:id="14"/>
      </w:r>
      <w:r>
        <w:t xml:space="preserve"> After withdrawing, IGS submitted the Supplemental Direct Testimony of Matthew White on February 12, 2019.</w:t>
      </w:r>
      <w:r>
        <w:rPr>
          <w:rStyle w:val="FootnoteReference"/>
        </w:rPr>
        <w:footnoteReference w:id="15"/>
      </w:r>
    </w:p>
    <w:p w:rsidR="00841653" w:rsidP="00841653">
      <w:pPr>
        <w:ind w:firstLine="720"/>
      </w:pPr>
      <w:r>
        <w:t>IGS’s testimony presents two potential modifications to the Settlement. In the first, notwithstanding that the PUCO itself modified the Settlement to make the OVEC subsidy rider non-bypassable, IGS urges the PUCO to make the OVEC subsidy rider bypassable. This would enable customers of marketer providers (50% of total customers shop in DP&amp;L service territory</w:t>
      </w:r>
      <w:r>
        <w:rPr>
          <w:rStyle w:val="FootnoteReference"/>
        </w:rPr>
        <w:footnoteReference w:id="16"/>
      </w:r>
      <w:r>
        <w:t>) such as IGS to avoid the charges, while forcing DP&amp;L’s standard offer customers to pay more, as IGS admitted.</w:t>
      </w:r>
      <w:r>
        <w:rPr>
          <w:rStyle w:val="FootnoteReference"/>
        </w:rPr>
        <w:footnoteReference w:id="17"/>
      </w:r>
      <w:r>
        <w:t xml:space="preserve">  This effectively allows marketers like IGS to have more head room to make a profit. IGS also argues that a non-bypassable rider </w:t>
      </w:r>
      <w:r w:rsidRPr="00F11416">
        <w:t>would a</w:t>
      </w:r>
      <w:r w:rsidRPr="005B6D90">
        <w:t xml:space="preserve">llow DP&amp;L to </w:t>
      </w:r>
      <w:r>
        <w:t xml:space="preserve">collect </w:t>
      </w:r>
      <w:r w:rsidRPr="005B6D90">
        <w:t xml:space="preserve">generation-related revenue that it cannot otherwise </w:t>
      </w:r>
      <w:r>
        <w:t>collect</w:t>
      </w:r>
      <w:r w:rsidRPr="005B6D90">
        <w:t xml:space="preserve"> from the competitive market.</w:t>
      </w:r>
      <w:r>
        <w:rPr>
          <w:rStyle w:val="FootnoteReference"/>
        </w:rPr>
        <w:footnoteReference w:id="18"/>
      </w:r>
      <w:r>
        <w:t xml:space="preserve"> Finally, IGS argues that denying this cost recovery would prevent shopping customers from paying an “anticompetitive subsidy” for generation costs through distribution charges</w:t>
      </w:r>
      <w:r w:rsidRPr="00F11416">
        <w:t>.</w:t>
      </w:r>
      <w:r>
        <w:rPr>
          <w:vertAlign w:val="superscript"/>
        </w:rPr>
        <w:footnoteReference w:id="19"/>
      </w:r>
    </w:p>
    <w:p w:rsidR="00841653" w:rsidP="007F320F">
      <w:pPr>
        <w:ind w:firstLine="720"/>
      </w:pPr>
      <w:r>
        <w:t>IGS’s second proposal is to unbundle costs associated with standard service offer rates by creating two new riders.</w:t>
      </w:r>
      <w:r w:rsidRPr="009A55E0">
        <w:rPr>
          <w:rStyle w:val="FootnoteReference"/>
        </w:rPr>
        <w:t xml:space="preserve"> </w:t>
      </w:r>
      <w:r>
        <w:rPr>
          <w:rStyle w:val="FootnoteReference"/>
        </w:rPr>
        <w:footnoteReference w:id="20"/>
      </w:r>
      <w:r>
        <w:t xml:space="preserve"> The first would be a credit rider allowing all customers to avoid distribution costs that IGS claims are solely related to DP&amp;L’s standard offer.</w:t>
      </w:r>
      <w:r>
        <w:rPr>
          <w:rStyle w:val="FootnoteReference"/>
        </w:rPr>
        <w:footnoteReference w:id="21"/>
      </w:r>
      <w:r>
        <w:t xml:space="preserve"> The second would be paid only by SSO customers and the total negative revenue requirement under the first rider would be the same as the total positive revenue requirement under the second rider.</w:t>
      </w:r>
      <w:r>
        <w:rPr>
          <w:rStyle w:val="FootnoteReference"/>
        </w:rPr>
        <w:footnoteReference w:id="22"/>
      </w:r>
    </w:p>
    <w:p w:rsidR="004E2EC7" w:rsidP="007F320F">
      <w:pPr>
        <w:ind w:firstLine="720"/>
      </w:pPr>
      <w:r>
        <w:t>A hearing necessitated by IGS’s Notice of Withdrawal began on April 1, 2019, and continued through April 3, 2019, with rebuttal testimony taken on April 15, 2019.</w:t>
      </w:r>
      <w:r>
        <w:rPr>
          <w:rStyle w:val="FootnoteReference"/>
        </w:rPr>
        <w:footnoteReference w:id="23"/>
      </w:r>
      <w:r>
        <w:t xml:space="preserve">  Post-hearing briefs were filed May 15, 2019 and reply briefs May 30, 2019.</w:t>
      </w:r>
    </w:p>
    <w:p w:rsidR="004E2EC7" w:rsidP="007F320F">
      <w:pPr>
        <w:ind w:firstLine="720"/>
      </w:pPr>
      <w:r>
        <w:t xml:space="preserve">On June 19, 2019, the Supreme Court of Ohio issued its decision in </w:t>
      </w:r>
      <w:r>
        <w:rPr>
          <w:i/>
          <w:iCs/>
        </w:rPr>
        <w:t>In re Application of Ohio Edison Co.</w:t>
      </w:r>
      <w:r>
        <w:t>, reversing the PUCO’s approval of FirstEnergy’s DMR charge and remanding with instructions to remove the charge from FirstEnergy’s ESP.</w:t>
      </w:r>
      <w:r>
        <w:rPr>
          <w:rStyle w:val="FootnoteReference"/>
        </w:rPr>
        <w:footnoteReference w:id="24"/>
      </w:r>
    </w:p>
    <w:p w:rsidR="004E2EC7" w:rsidP="007F320F">
      <w:pPr>
        <w:ind w:firstLine="720"/>
      </w:pPr>
      <w:r>
        <w:t xml:space="preserve">The Opinion and Order in this case adopted a Settlement that included a charge similar to FirstEnergy’s charge held unlawful in </w:t>
      </w:r>
      <w:r>
        <w:rPr>
          <w:i/>
          <w:iCs/>
        </w:rPr>
        <w:t>Ohio Edison</w:t>
      </w:r>
      <w:r>
        <w:t xml:space="preserve">.  Given the Court’s ruling in </w:t>
      </w:r>
      <w:r>
        <w:rPr>
          <w:i/>
          <w:iCs/>
        </w:rPr>
        <w:t>Ohio Edison</w:t>
      </w:r>
      <w:r>
        <w:t xml:space="preserve">, the attorney examiner found “that parties should have the opportunity to brief the impact of </w:t>
      </w:r>
      <w:r>
        <w:rPr>
          <w:i/>
          <w:iCs/>
        </w:rPr>
        <w:t xml:space="preserve">Ohio Edison </w:t>
      </w:r>
      <w:r>
        <w:t>on this proceeding.”</w:t>
      </w:r>
      <w:r>
        <w:rPr>
          <w:rStyle w:val="FootnoteReference"/>
        </w:rPr>
        <w:footnoteReference w:id="25"/>
      </w:r>
      <w:r>
        <w:t xml:space="preserve">  The attorney examiner therefore permitted parties to file supplemental briefs “narrowly focused on the issue of the applicability” of </w:t>
      </w:r>
      <w:r>
        <w:rPr>
          <w:i/>
          <w:iCs/>
        </w:rPr>
        <w:t>Ohio Edison.</w:t>
      </w:r>
      <w:r>
        <w:rPr>
          <w:rStyle w:val="FootnoteReference"/>
          <w:i/>
          <w:iCs/>
        </w:rPr>
        <w:footnoteReference w:id="26"/>
      </w:r>
      <w:r>
        <w:t xml:space="preserve"> </w:t>
      </w:r>
    </w:p>
    <w:p w:rsidR="00D14D25" w:rsidRPr="00E52023" w:rsidP="00D14D25">
      <w:pPr>
        <w:spacing w:line="240" w:lineRule="auto"/>
        <w:ind w:firstLine="720"/>
        <w:rPr>
          <w:rFonts w:cs="Times New Roman"/>
          <w:b/>
          <w:bCs/>
          <w:szCs w:val="24"/>
        </w:rPr>
      </w:pPr>
    </w:p>
    <w:p w:rsidR="00042A25" w:rsidP="00DD0E75">
      <w:pPr>
        <w:pStyle w:val="Heading1"/>
      </w:pPr>
      <w:bookmarkStart w:id="6" w:name="_Toc15566869"/>
      <w:r>
        <w:t>III.</w:t>
      </w:r>
      <w:r>
        <w:tab/>
        <w:t>STANDARD OF REVIEW</w:t>
      </w:r>
      <w:bookmarkEnd w:id="6"/>
      <w:r>
        <w:t xml:space="preserve"> </w:t>
      </w:r>
    </w:p>
    <w:p w:rsidR="007818C0" w:rsidP="00841653">
      <w:pPr>
        <w:suppressLineNumbers/>
        <w:ind w:firstLine="720"/>
      </w:pPr>
      <w:r>
        <w:t xml:space="preserve">The Settlement is still before the PUCO for review.  The Settlement, IGS’s proposed changes to the Settlement, and the Settlement’s provisions in light of </w:t>
      </w:r>
      <w:r>
        <w:rPr>
          <w:i/>
          <w:iCs/>
        </w:rPr>
        <w:t xml:space="preserve">Ohio Edison </w:t>
      </w:r>
      <w:r>
        <w:t xml:space="preserve">must be reviewed under the settlement standard.  </w:t>
      </w:r>
    </w:p>
    <w:p w:rsidR="00841653" w:rsidP="00841653">
      <w:pPr>
        <w:suppressLineNumbers/>
        <w:ind w:firstLine="720"/>
        <w:rPr>
          <w:rFonts w:cs="Times New Roman"/>
          <w:szCs w:val="24"/>
        </w:rPr>
      </w:pPr>
      <w:r w:rsidRPr="00A329C2">
        <w:rPr>
          <w:rFonts w:cs="Times New Roman"/>
          <w:szCs w:val="24"/>
        </w:rPr>
        <w:t xml:space="preserve">The </w:t>
      </w:r>
      <w:r>
        <w:rPr>
          <w:rFonts w:cs="Times New Roman"/>
          <w:szCs w:val="24"/>
        </w:rPr>
        <w:t xml:space="preserve">Court </w:t>
      </w:r>
      <w:r w:rsidRPr="00A329C2">
        <w:rPr>
          <w:rFonts w:cs="Times New Roman"/>
          <w:szCs w:val="24"/>
        </w:rPr>
        <w:t xml:space="preserve">stated in </w:t>
      </w:r>
      <w:r w:rsidRPr="00A329C2">
        <w:rPr>
          <w:rFonts w:cs="Times New Roman"/>
          <w:i/>
          <w:szCs w:val="24"/>
        </w:rPr>
        <w:t>Duff v. Pub. Util. Comm.</w:t>
      </w:r>
      <w:r>
        <w:rPr>
          <w:rStyle w:val="FootnoteReference"/>
          <w:rFonts w:cs="Times New Roman"/>
          <w:szCs w:val="24"/>
        </w:rPr>
        <w:footnoteReference w:id="27"/>
      </w:r>
      <w:r w:rsidRPr="00A329C2">
        <w:rPr>
          <w:rFonts w:cs="Times New Roman"/>
          <w:szCs w:val="24"/>
        </w:rPr>
        <w:t xml:space="preserve"> that a </w:t>
      </w:r>
      <w:r>
        <w:rPr>
          <w:rFonts w:cs="Times New Roman"/>
          <w:szCs w:val="24"/>
        </w:rPr>
        <w:t>settlement</w:t>
      </w:r>
      <w:r w:rsidRPr="00A329C2">
        <w:rPr>
          <w:rFonts w:cs="Times New Roman"/>
          <w:szCs w:val="24"/>
        </w:rPr>
        <w:t xml:space="preserve"> is merely a recommendation that is not legally binding upon the PUCO. The PUCO “may take the stipulation into consideration but must determine what is just and reasonable from the evidence presented at the hearing.”</w:t>
      </w:r>
      <w:r>
        <w:rPr>
          <w:rStyle w:val="FootnoteReference"/>
          <w:rFonts w:cs="Times New Roman"/>
          <w:szCs w:val="24"/>
        </w:rPr>
        <w:footnoteReference w:id="28"/>
      </w:r>
      <w:r w:rsidRPr="00A329C2">
        <w:rPr>
          <w:rFonts w:cs="Times New Roman"/>
          <w:i/>
          <w:szCs w:val="24"/>
        </w:rPr>
        <w:t xml:space="preserve"> </w:t>
      </w:r>
      <w:r w:rsidRPr="00A329C2">
        <w:rPr>
          <w:rFonts w:cs="Times New Roman"/>
          <w:szCs w:val="24"/>
        </w:rPr>
        <w:t xml:space="preserve">The Court in </w:t>
      </w:r>
      <w:r w:rsidRPr="00A329C2">
        <w:rPr>
          <w:rFonts w:cs="Times New Roman"/>
          <w:i/>
          <w:szCs w:val="24"/>
        </w:rPr>
        <w:t>Consumers’ Counsel v. Pub. Util. Com.</w:t>
      </w:r>
      <w:r>
        <w:rPr>
          <w:rStyle w:val="FootnoteReference"/>
          <w:rFonts w:cs="Times New Roman"/>
          <w:szCs w:val="24"/>
        </w:rPr>
        <w:footnoteReference w:id="29"/>
      </w:r>
      <w:r w:rsidRPr="00A329C2">
        <w:rPr>
          <w:rFonts w:cs="Times New Roman"/>
          <w:szCs w:val="24"/>
        </w:rPr>
        <w:t xml:space="preserve"> considered whether a just and reasonable result was achieved with reference to the following criteria adopted by the PUCO in evaluating settlements:</w:t>
      </w:r>
    </w:p>
    <w:p w:rsidR="00841653" w:rsidRPr="00A329C2" w:rsidP="002E6045">
      <w:pPr>
        <w:pStyle w:val="ListParagraph"/>
        <w:numPr>
          <w:ilvl w:val="0"/>
          <w:numId w:val="11"/>
        </w:numPr>
        <w:ind w:left="1440" w:hanging="720"/>
        <w:rPr>
          <w:rFonts w:cs="Times New Roman"/>
        </w:rPr>
      </w:pPr>
      <w:r w:rsidRPr="00A329C2">
        <w:rPr>
          <w:rFonts w:cs="Times New Roman"/>
        </w:rPr>
        <w:t>Is the settlement a product of serious bargaining among capable, knowledgeable parties, where there is diversity of interests among the stipulating parties?</w:t>
      </w:r>
    </w:p>
    <w:p w:rsidR="00841653" w:rsidRPr="00A329C2" w:rsidP="002E6045">
      <w:pPr>
        <w:pStyle w:val="ListParagraph"/>
        <w:numPr>
          <w:ilvl w:val="0"/>
          <w:numId w:val="11"/>
        </w:numPr>
        <w:ind w:left="1440" w:hanging="720"/>
        <w:rPr>
          <w:rFonts w:cs="Times New Roman"/>
        </w:rPr>
      </w:pPr>
      <w:r w:rsidRPr="00A329C2">
        <w:rPr>
          <w:rFonts w:cs="Times New Roman"/>
        </w:rPr>
        <w:t>Does the settlement package violate any important regulatory principle or practice?</w:t>
      </w:r>
    </w:p>
    <w:p w:rsidR="00841653" w:rsidRPr="00A329C2" w:rsidP="002E6045">
      <w:pPr>
        <w:pStyle w:val="ListParagraph"/>
        <w:numPr>
          <w:ilvl w:val="0"/>
          <w:numId w:val="11"/>
        </w:numPr>
        <w:ind w:left="1440" w:hanging="720"/>
        <w:rPr>
          <w:rFonts w:cs="Times New Roman"/>
        </w:rPr>
      </w:pPr>
      <w:r w:rsidRPr="00A329C2">
        <w:rPr>
          <w:rFonts w:cs="Times New Roman"/>
        </w:rPr>
        <w:t xml:space="preserve">Does the settlement, as a package, benefit </w:t>
      </w:r>
      <w:r>
        <w:rPr>
          <w:rFonts w:cs="Times New Roman"/>
        </w:rPr>
        <w:t>customers</w:t>
      </w:r>
      <w:r w:rsidRPr="00A329C2">
        <w:rPr>
          <w:rFonts w:cs="Times New Roman"/>
        </w:rPr>
        <w:t xml:space="preserve"> and the public interest?</w:t>
      </w:r>
    </w:p>
    <w:p w:rsidR="00841653" w:rsidP="007818C0">
      <w:pPr>
        <w:suppressLineNumbers/>
        <w:rPr>
          <w:rFonts w:cs="Times New Roman"/>
          <w:szCs w:val="24"/>
        </w:rPr>
      </w:pPr>
      <w:r w:rsidRPr="003D68C1">
        <w:t>The PUCO also routinely considers whether the parties represent a diversity of interests.</w:t>
      </w:r>
    </w:p>
    <w:p w:rsidR="007818C0" w:rsidP="007818C0">
      <w:pPr>
        <w:suppressLineNumbers/>
        <w:ind w:firstLine="720"/>
        <w:rPr>
          <w:rFonts w:cs="Times New Roman"/>
        </w:rPr>
      </w:pPr>
      <w:r>
        <w:rPr>
          <w:rFonts w:cs="Times New Roman"/>
        </w:rPr>
        <w:t>The PUCO has applied the settlement standard to determine if the original proposed settlement, with a bypassable OVEC subsidy rider, was just and reasonable.</w:t>
      </w:r>
      <w:r>
        <w:rPr>
          <w:rStyle w:val="FootnoteReference"/>
          <w:rFonts w:cs="Times New Roman"/>
        </w:rPr>
        <w:footnoteReference w:id="30"/>
      </w:r>
      <w:r>
        <w:rPr>
          <w:rFonts w:cs="Times New Roman"/>
        </w:rPr>
        <w:t xml:space="preserve"> It was not. The PUCO agreed with OCC that leaving the OVEC subsidy rider bypassable would have an anti-competitive effect by artificially inflating standard service offer prices and increasing the risk for escalating bill impacts as shopping increases.</w:t>
      </w:r>
      <w:r>
        <w:rPr>
          <w:rStyle w:val="FootnoteReference"/>
          <w:rFonts w:cs="Times New Roman"/>
        </w:rPr>
        <w:footnoteReference w:id="31"/>
      </w:r>
      <w:r>
        <w:rPr>
          <w:rFonts w:cs="Times New Roman"/>
        </w:rPr>
        <w:t xml:space="preserve"> IGS’s proposal asks the PUCO to approve a settlement provision that it has already deemed unjust and unreasonable. IGS is not proposing something new for the PUCO to consider.  IGS’s proposal should be rejected.</w:t>
      </w:r>
    </w:p>
    <w:p w:rsidR="007818C0" w:rsidP="007818C0">
      <w:pPr>
        <w:ind w:firstLine="720"/>
        <w:rPr>
          <w:rFonts w:cs="Times New Roman"/>
          <w:szCs w:val="24"/>
        </w:rPr>
      </w:pPr>
      <w:r>
        <w:rPr>
          <w:rFonts w:cs="Times New Roman"/>
          <w:szCs w:val="24"/>
        </w:rPr>
        <w:t>Now, t</w:t>
      </w:r>
      <w:r w:rsidRPr="00A329C2">
        <w:rPr>
          <w:rFonts w:cs="Times New Roman"/>
          <w:szCs w:val="24"/>
        </w:rPr>
        <w:t xml:space="preserve">he </w:t>
      </w:r>
      <w:r>
        <w:rPr>
          <w:rFonts w:cs="Times New Roman"/>
          <w:szCs w:val="24"/>
        </w:rPr>
        <w:t>PUCO must apply its settlement test to decide</w:t>
      </w:r>
      <w:r w:rsidRPr="00A329C2">
        <w:rPr>
          <w:rFonts w:cs="Times New Roman"/>
          <w:szCs w:val="24"/>
        </w:rPr>
        <w:t xml:space="preserve"> </w:t>
      </w:r>
      <w:r>
        <w:rPr>
          <w:rFonts w:cs="Times New Roman"/>
          <w:szCs w:val="24"/>
        </w:rPr>
        <w:t>if the Settlement is</w:t>
      </w:r>
      <w:r w:rsidRPr="00A329C2">
        <w:rPr>
          <w:rFonts w:cs="Times New Roman"/>
          <w:szCs w:val="24"/>
        </w:rPr>
        <w:t xml:space="preserve"> reasonable</w:t>
      </w:r>
      <w:r>
        <w:rPr>
          <w:rFonts w:cs="Times New Roman"/>
          <w:szCs w:val="24"/>
        </w:rPr>
        <w:t xml:space="preserve">, </w:t>
      </w:r>
      <w:r w:rsidRPr="00A329C2">
        <w:rPr>
          <w:rFonts w:cs="Times New Roman"/>
          <w:szCs w:val="24"/>
        </w:rPr>
        <w:t>in the public interest</w:t>
      </w:r>
      <w:r>
        <w:rPr>
          <w:rFonts w:cs="Times New Roman"/>
          <w:szCs w:val="24"/>
        </w:rPr>
        <w:t xml:space="preserve">, and complies with Ohio law in light of </w:t>
      </w:r>
      <w:r>
        <w:rPr>
          <w:rFonts w:cs="Times New Roman"/>
          <w:i/>
          <w:iCs/>
          <w:szCs w:val="24"/>
        </w:rPr>
        <w:t>Ohio Edison</w:t>
      </w:r>
      <w:r w:rsidRPr="00A329C2">
        <w:rPr>
          <w:rFonts w:cs="Times New Roman"/>
          <w:szCs w:val="24"/>
        </w:rPr>
        <w:t>.</w:t>
      </w:r>
      <w:r>
        <w:rPr>
          <w:rStyle w:val="FootnoteReference"/>
          <w:rFonts w:cs="Times New Roman"/>
          <w:szCs w:val="24"/>
        </w:rPr>
        <w:footnoteReference w:id="32"/>
      </w:r>
      <w:r>
        <w:rPr>
          <w:rFonts w:cs="Times New Roman"/>
          <w:szCs w:val="24"/>
        </w:rPr>
        <w:t xml:space="preserve"> A settlement must satisfy</w:t>
      </w:r>
      <w:r w:rsidRPr="00A329C2">
        <w:rPr>
          <w:rFonts w:cs="Times New Roman"/>
          <w:szCs w:val="24"/>
        </w:rPr>
        <w:t xml:space="preserve"> the provisions in R.C. 4905.22, which requires that every public utility furnish necessary and adequate service and facilities, and that all charges for any service must be just and reasonable. </w:t>
      </w:r>
    </w:p>
    <w:p w:rsidR="00841653" w:rsidRPr="00B74B28" w:rsidP="007818C0">
      <w:pPr>
        <w:ind w:firstLine="720"/>
        <w:rPr>
          <w:rFonts w:cs="Times New Roman"/>
          <w:szCs w:val="24"/>
        </w:rPr>
      </w:pPr>
      <w:r w:rsidRPr="00A329C2">
        <w:rPr>
          <w:rFonts w:cs="Times New Roman"/>
          <w:szCs w:val="24"/>
        </w:rPr>
        <w:t xml:space="preserve">As OCC demonstrates below, </w:t>
      </w:r>
      <w:r>
        <w:rPr>
          <w:rFonts w:cs="Times New Roman"/>
          <w:szCs w:val="24"/>
        </w:rPr>
        <w:t xml:space="preserve">the Settlement </w:t>
      </w:r>
      <w:r w:rsidRPr="00A329C2">
        <w:rPr>
          <w:rFonts w:cs="Times New Roman"/>
          <w:szCs w:val="24"/>
        </w:rPr>
        <w:t>fail</w:t>
      </w:r>
      <w:r>
        <w:rPr>
          <w:rFonts w:cs="Times New Roman"/>
          <w:szCs w:val="24"/>
        </w:rPr>
        <w:t>s</w:t>
      </w:r>
      <w:r w:rsidRPr="00A329C2">
        <w:rPr>
          <w:rFonts w:cs="Times New Roman"/>
          <w:szCs w:val="24"/>
        </w:rPr>
        <w:t xml:space="preserve"> to satisfy this standard</w:t>
      </w:r>
      <w:r>
        <w:rPr>
          <w:rFonts w:cs="Times New Roman"/>
          <w:szCs w:val="24"/>
        </w:rPr>
        <w:t xml:space="preserve"> as well as the settlement test</w:t>
      </w:r>
      <w:r w:rsidRPr="00A329C2">
        <w:rPr>
          <w:rFonts w:cs="Times New Roman"/>
          <w:szCs w:val="24"/>
        </w:rPr>
        <w:t>.</w:t>
      </w:r>
      <w:r>
        <w:rPr>
          <w:rFonts w:cs="Times New Roman"/>
          <w:szCs w:val="24"/>
        </w:rPr>
        <w:t xml:space="preserve">  The Settlement including DP&amp;L’s charge fails the second and third prongs of the settlement test.  Because DP&amp;L’s charge is unlawful under </w:t>
      </w:r>
      <w:r>
        <w:rPr>
          <w:rFonts w:cs="Times New Roman"/>
          <w:i/>
          <w:iCs/>
          <w:szCs w:val="24"/>
        </w:rPr>
        <w:t>Ohio Edison</w:t>
      </w:r>
      <w:r>
        <w:rPr>
          <w:rFonts w:cs="Times New Roman"/>
          <w:szCs w:val="24"/>
        </w:rPr>
        <w:t>, the settlement violates important regulatory principles and practices and, as a package, does not benefit customers and the public interest.</w:t>
      </w:r>
    </w:p>
    <w:p w:rsidR="00723C0B" w:rsidRPr="00BF734F" w:rsidP="00723C0B">
      <w:pPr>
        <w:spacing w:line="240" w:lineRule="auto"/>
        <w:ind w:firstLine="720"/>
        <w:rPr>
          <w:rFonts w:cs="Times New Roman"/>
          <w:szCs w:val="24"/>
        </w:rPr>
      </w:pPr>
    </w:p>
    <w:p w:rsidR="00042A25" w:rsidP="00DD0E75">
      <w:pPr>
        <w:pStyle w:val="Heading1"/>
      </w:pPr>
      <w:bookmarkStart w:id="7" w:name="_Toc15566870"/>
      <w:r>
        <w:t>IV.</w:t>
      </w:r>
      <w:r>
        <w:tab/>
        <w:t>RECOMMENDATIONS</w:t>
      </w:r>
      <w:bookmarkEnd w:id="7"/>
      <w:r>
        <w:t xml:space="preserve">  </w:t>
      </w:r>
    </w:p>
    <w:p w:rsidR="00042A25" w:rsidRPr="000E3426" w:rsidP="009B6D71">
      <w:pPr>
        <w:pStyle w:val="Heading2"/>
      </w:pPr>
      <w:bookmarkStart w:id="8" w:name="_Toc15566871"/>
      <w:r w:rsidRPr="009B6D71">
        <w:t>A.</w:t>
      </w:r>
      <w:r>
        <w:rPr>
          <w:i/>
          <w:iCs/>
        </w:rPr>
        <w:tab/>
      </w:r>
      <w:r>
        <w:rPr>
          <w:iCs/>
        </w:rPr>
        <w:t xml:space="preserve">In its </w:t>
      </w:r>
      <w:r w:rsidRPr="000E3426">
        <w:rPr>
          <w:i/>
          <w:iCs/>
        </w:rPr>
        <w:t>Ohio Edison</w:t>
      </w:r>
      <w:r>
        <w:rPr>
          <w:iCs/>
        </w:rPr>
        <w:t xml:space="preserve"> decision that now controls this DP&amp;L case, the Court explained what makes a “distribution modernization” charge unlawful</w:t>
      </w:r>
      <w:r w:rsidRPr="000E3426">
        <w:t>.</w:t>
      </w:r>
      <w:bookmarkEnd w:id="8"/>
    </w:p>
    <w:p w:rsidR="005B3E11" w:rsidP="00042A25">
      <w:pPr>
        <w:autoSpaceDE w:val="0"/>
        <w:autoSpaceDN w:val="0"/>
        <w:adjustRightInd w:val="0"/>
        <w:ind w:firstLine="720"/>
        <w:rPr>
          <w:rFonts w:cs="Times New Roman"/>
          <w:szCs w:val="24"/>
        </w:rPr>
      </w:pPr>
      <w:bookmarkStart w:id="9" w:name="_Hlk13578909"/>
      <w:r w:rsidRPr="00204A9A">
        <w:rPr>
          <w:rFonts w:cs="Times New Roman"/>
          <w:szCs w:val="24"/>
        </w:rPr>
        <w:t xml:space="preserve">In </w:t>
      </w:r>
      <w:r>
        <w:rPr>
          <w:rFonts w:cs="Times New Roman"/>
          <w:szCs w:val="24"/>
        </w:rPr>
        <w:t xml:space="preserve">its recent </w:t>
      </w:r>
      <w:r w:rsidRPr="00204A9A">
        <w:rPr>
          <w:rFonts w:cs="Times New Roman"/>
          <w:i/>
          <w:iCs/>
          <w:szCs w:val="24"/>
        </w:rPr>
        <w:t>Ohio Edison</w:t>
      </w:r>
      <w:r>
        <w:rPr>
          <w:rFonts w:cs="Times New Roman"/>
          <w:i/>
          <w:iCs/>
          <w:szCs w:val="24"/>
        </w:rPr>
        <w:t xml:space="preserve"> </w:t>
      </w:r>
      <w:r>
        <w:rPr>
          <w:rFonts w:cs="Times New Roman"/>
          <w:iCs/>
          <w:szCs w:val="24"/>
        </w:rPr>
        <w:t>decision</w:t>
      </w:r>
      <w:r w:rsidRPr="00204A9A">
        <w:rPr>
          <w:rFonts w:cs="Times New Roman"/>
          <w:szCs w:val="24"/>
        </w:rPr>
        <w:t xml:space="preserve">, the Court found that FirstEnergy’s </w:t>
      </w:r>
      <w:r>
        <w:rPr>
          <w:rFonts w:cs="Times New Roman"/>
          <w:szCs w:val="24"/>
        </w:rPr>
        <w:t>charge</w:t>
      </w:r>
      <w:r w:rsidRPr="00204A9A">
        <w:rPr>
          <w:rFonts w:cs="Times New Roman"/>
          <w:szCs w:val="24"/>
        </w:rPr>
        <w:t xml:space="preserve"> was unlawful for two reasons.</w:t>
      </w:r>
      <w:r>
        <w:rPr>
          <w:rStyle w:val="FootnoteReference"/>
          <w:rFonts w:cs="Times New Roman"/>
          <w:szCs w:val="24"/>
        </w:rPr>
        <w:footnoteReference w:id="33"/>
      </w:r>
      <w:r>
        <w:rPr>
          <w:rFonts w:cs="Times New Roman"/>
          <w:szCs w:val="24"/>
        </w:rPr>
        <w:t xml:space="preserve"> </w:t>
      </w:r>
      <w:r w:rsidRPr="00204A9A">
        <w:rPr>
          <w:rFonts w:cs="Times New Roman"/>
          <w:szCs w:val="24"/>
        </w:rPr>
        <w:t xml:space="preserve">First, </w:t>
      </w:r>
      <w:r>
        <w:rPr>
          <w:rFonts w:cs="Times New Roman"/>
          <w:szCs w:val="24"/>
        </w:rPr>
        <w:t>FirstEnergy’s charge</w:t>
      </w:r>
      <w:r w:rsidRPr="00204A9A">
        <w:rPr>
          <w:rFonts w:cs="Times New Roman"/>
          <w:szCs w:val="24"/>
        </w:rPr>
        <w:t xml:space="preserve"> was unlawful because it did not qualify as an </w:t>
      </w:r>
      <w:r>
        <w:rPr>
          <w:rFonts w:cs="Times New Roman"/>
          <w:szCs w:val="24"/>
        </w:rPr>
        <w:t>“</w:t>
      </w:r>
      <w:r w:rsidRPr="00204A9A">
        <w:rPr>
          <w:rFonts w:cs="Times New Roman"/>
          <w:szCs w:val="24"/>
        </w:rPr>
        <w:t>incentive</w:t>
      </w:r>
      <w:r>
        <w:rPr>
          <w:rFonts w:cs="Times New Roman"/>
          <w:szCs w:val="24"/>
        </w:rPr>
        <w:t>”</w:t>
      </w:r>
      <w:r w:rsidRPr="00204A9A">
        <w:rPr>
          <w:rFonts w:cs="Times New Roman"/>
          <w:szCs w:val="24"/>
        </w:rPr>
        <w:t xml:space="preserve"> under R.C. 4928.143(B)(2)(h)</w:t>
      </w:r>
      <w:r>
        <w:rPr>
          <w:rFonts w:cs="Times New Roman"/>
          <w:szCs w:val="24"/>
        </w:rPr>
        <w:t>.</w:t>
      </w:r>
      <w:r>
        <w:rPr>
          <w:rStyle w:val="FootnoteReference"/>
          <w:rFonts w:cs="Times New Roman"/>
          <w:szCs w:val="24"/>
        </w:rPr>
        <w:footnoteReference w:id="34"/>
      </w:r>
      <w:r>
        <w:rPr>
          <w:rFonts w:cs="Times New Roman"/>
          <w:szCs w:val="24"/>
        </w:rPr>
        <w:t xml:space="preserve"> </w:t>
      </w:r>
    </w:p>
    <w:p w:rsidR="005B3E11" w:rsidP="005B3E11">
      <w:pPr>
        <w:autoSpaceDE w:val="0"/>
        <w:autoSpaceDN w:val="0"/>
        <w:adjustRightInd w:val="0"/>
        <w:ind w:firstLine="720"/>
        <w:rPr>
          <w:rFonts w:cs="Times New Roman"/>
          <w:i/>
          <w:iCs/>
          <w:szCs w:val="24"/>
        </w:rPr>
      </w:pPr>
      <w:r>
        <w:rPr>
          <w:rFonts w:cs="Times New Roman"/>
          <w:szCs w:val="24"/>
        </w:rPr>
        <w:t>FirstEnergy’s charge was authorized by the PUCO solely under R.C. 4928.143(B)(2)(h).</w:t>
      </w:r>
      <w:r>
        <w:rPr>
          <w:rStyle w:val="FootnoteReference"/>
          <w:rFonts w:cs="Times New Roman"/>
          <w:szCs w:val="24"/>
        </w:rPr>
        <w:footnoteReference w:id="35"/>
      </w:r>
      <w:r>
        <w:rPr>
          <w:rFonts w:cs="Times New Roman"/>
          <w:szCs w:val="24"/>
        </w:rPr>
        <w:t xml:space="preserve">  That statute authorizes “[p]rovisions regarding the utility’s distribution service, including, without limitation and notwithstanding any provision of Title XLIX of the Revised Code to the contrary,…provisions regarding distribution infrastructure and modernization incentives for the electric distribution utility.”</w:t>
      </w:r>
      <w:r>
        <w:rPr>
          <w:rStyle w:val="FootnoteReference"/>
          <w:rFonts w:cs="Times New Roman"/>
          <w:szCs w:val="24"/>
        </w:rPr>
        <w:footnoteReference w:id="36"/>
      </w:r>
      <w:r>
        <w:rPr>
          <w:rFonts w:cs="Times New Roman"/>
          <w:szCs w:val="24"/>
        </w:rPr>
        <w:t xml:space="preserve">  The Court ruled that </w:t>
      </w:r>
      <w:r>
        <w:rPr>
          <w:rFonts w:cs="Times New Roman"/>
          <w:iCs/>
          <w:szCs w:val="24"/>
        </w:rPr>
        <w:t xml:space="preserve">FirstEnergy’s charge </w:t>
      </w:r>
      <w:r>
        <w:rPr>
          <w:rFonts w:cs="Times New Roman"/>
          <w:szCs w:val="24"/>
        </w:rPr>
        <w:t>did not qualify as an “incentive” because FirstEnergy’s collection of funds from the charge was not “conditioned upon the completion” of any requirement to spend the funds on grid-modernization.</w:t>
      </w:r>
      <w:r>
        <w:rPr>
          <w:rStyle w:val="FootnoteReference"/>
          <w:rFonts w:cs="Times New Roman"/>
          <w:szCs w:val="24"/>
        </w:rPr>
        <w:footnoteReference w:id="37"/>
      </w:r>
      <w:r>
        <w:rPr>
          <w:rFonts w:cs="Times New Roman"/>
          <w:i/>
          <w:iCs/>
          <w:szCs w:val="24"/>
        </w:rPr>
        <w:t xml:space="preserve"> </w:t>
      </w:r>
    </w:p>
    <w:p w:rsidR="005B3E11" w:rsidP="005B3E11">
      <w:pPr>
        <w:autoSpaceDE w:val="0"/>
        <w:autoSpaceDN w:val="0"/>
        <w:adjustRightInd w:val="0"/>
        <w:ind w:firstLine="720"/>
        <w:rPr>
          <w:rFonts w:cs="Times New Roman"/>
          <w:szCs w:val="24"/>
        </w:rPr>
      </w:pPr>
      <w:r w:rsidRPr="00204A9A">
        <w:rPr>
          <w:rFonts w:cs="Times New Roman"/>
          <w:szCs w:val="24"/>
        </w:rPr>
        <w:t xml:space="preserve">Second, the Court determined that </w:t>
      </w:r>
      <w:r>
        <w:rPr>
          <w:rFonts w:cs="Times New Roman"/>
          <w:szCs w:val="24"/>
        </w:rPr>
        <w:t>FirstEnergy’s charge</w:t>
      </w:r>
      <w:r w:rsidRPr="00204A9A">
        <w:rPr>
          <w:rFonts w:cs="Times New Roman"/>
          <w:szCs w:val="24"/>
        </w:rPr>
        <w:t xml:space="preserve"> was unlawful because there were insufficient consumer protections attached to the </w:t>
      </w:r>
      <w:r>
        <w:rPr>
          <w:rFonts w:cs="Times New Roman"/>
          <w:szCs w:val="24"/>
        </w:rPr>
        <w:t>charge</w:t>
      </w:r>
      <w:r w:rsidRPr="00204A9A">
        <w:rPr>
          <w:rFonts w:cs="Times New Roman"/>
          <w:szCs w:val="24"/>
        </w:rPr>
        <w:t xml:space="preserve"> as a condition to </w:t>
      </w:r>
      <w:r>
        <w:rPr>
          <w:rFonts w:cs="Times New Roman"/>
          <w:szCs w:val="24"/>
        </w:rPr>
        <w:t>collecting</w:t>
      </w:r>
      <w:r w:rsidRPr="00204A9A">
        <w:rPr>
          <w:rFonts w:cs="Times New Roman"/>
          <w:szCs w:val="24"/>
        </w:rPr>
        <w:t xml:space="preserve"> DMR revenue.</w:t>
      </w:r>
      <w:r>
        <w:rPr>
          <w:rStyle w:val="FootnoteReference"/>
          <w:rFonts w:cs="Times New Roman"/>
          <w:szCs w:val="24"/>
        </w:rPr>
        <w:footnoteReference w:id="38"/>
      </w:r>
      <w:r w:rsidRPr="00204A9A">
        <w:rPr>
          <w:rFonts w:cs="Times New Roman"/>
          <w:szCs w:val="24"/>
        </w:rPr>
        <w:t xml:space="preserve"> </w:t>
      </w:r>
    </w:p>
    <w:p w:rsidR="00D14D25" w:rsidP="002E6045">
      <w:pPr>
        <w:ind w:firstLine="720"/>
        <w:rPr>
          <w:b/>
          <w:bCs/>
        </w:rPr>
      </w:pPr>
      <w:r>
        <w:t>FirstEnergy was not required to spend a penny on grid-modernization.</w:t>
      </w:r>
      <w:r>
        <w:rPr>
          <w:rStyle w:val="FootnoteReference"/>
          <w:rFonts w:cs="Times New Roman"/>
          <w:szCs w:val="24"/>
        </w:rPr>
        <w:footnoteReference w:id="39"/>
      </w:r>
      <w:r>
        <w:t xml:space="preserve"> FirstEnergy is not under any PUCO directives or timeline to begin or complete any grid-modernization </w:t>
      </w:r>
      <w:r w:rsidRPr="00A939BE">
        <w:rPr>
          <w:i/>
          <w:iCs/>
        </w:rPr>
        <w:t>as a condition</w:t>
      </w:r>
      <w:r>
        <w:t xml:space="preserve"> to receiving DMR funds.</w:t>
      </w:r>
      <w:r>
        <w:rPr>
          <w:rStyle w:val="FootnoteReference"/>
          <w:rFonts w:cs="Times New Roman"/>
          <w:szCs w:val="24"/>
        </w:rPr>
        <w:footnoteReference w:id="40"/>
      </w:r>
      <w:r>
        <w:t xml:space="preserve"> FirstEnergy’s charge is not subject to any effective conditions or penalties on collecting revenues if the DMR funds do not serve their intended purpose.</w:t>
      </w:r>
      <w:r>
        <w:rPr>
          <w:rStyle w:val="FootnoteReference"/>
          <w:rFonts w:cs="Times New Roman"/>
          <w:szCs w:val="24"/>
        </w:rPr>
        <w:footnoteReference w:id="41"/>
      </w:r>
    </w:p>
    <w:p w:rsidR="00C25F45" w:rsidRPr="00C25F45" w:rsidP="002E6045">
      <w:pPr>
        <w:pStyle w:val="Heading3"/>
        <w:rPr>
          <w:i/>
        </w:rPr>
      </w:pPr>
      <w:bookmarkStart w:id="10" w:name="_Toc15566872"/>
      <w:r>
        <w:t>1.</w:t>
      </w:r>
      <w:r>
        <w:tab/>
        <w:t xml:space="preserve">The Court’s analysis in </w:t>
      </w:r>
      <w:r>
        <w:rPr>
          <w:i/>
        </w:rPr>
        <w:t xml:space="preserve">Ohio Edison </w:t>
      </w:r>
      <w:r>
        <w:t>should be applied here to protect consumers.</w:t>
      </w:r>
      <w:bookmarkEnd w:id="10"/>
      <w:r w:rsidRPr="00C25F45">
        <w:rPr>
          <w:i/>
        </w:rPr>
        <w:t xml:space="preserve"> </w:t>
      </w:r>
    </w:p>
    <w:p w:rsidR="00363549" w:rsidP="00E52023">
      <w:pPr>
        <w:pStyle w:val="ListParagraph"/>
        <w:spacing w:line="240" w:lineRule="auto"/>
        <w:ind w:left="1800"/>
      </w:pPr>
    </w:p>
    <w:p w:rsidR="00042A25" w:rsidP="00363549">
      <w:pPr>
        <w:ind w:firstLine="720"/>
        <w:rPr>
          <w:rFonts w:cs="Times New Roman"/>
          <w:szCs w:val="24"/>
        </w:rPr>
      </w:pPr>
      <w:bookmarkEnd w:id="9"/>
      <w:r>
        <w:rPr>
          <w:rFonts w:cs="Times New Roman"/>
          <w:szCs w:val="24"/>
        </w:rPr>
        <w:t xml:space="preserve">In </w:t>
      </w:r>
      <w:r>
        <w:rPr>
          <w:rFonts w:cs="Times New Roman"/>
          <w:i/>
          <w:iCs/>
          <w:szCs w:val="24"/>
        </w:rPr>
        <w:t>Ohio Edison</w:t>
      </w:r>
      <w:r>
        <w:rPr>
          <w:rFonts w:cs="Times New Roman"/>
          <w:szCs w:val="24"/>
        </w:rPr>
        <w:t>, the Court analyzed if FirstEnergy’s charge was an “incentive” to grid-modernization within the meaning of</w:t>
      </w:r>
      <w:r w:rsidRPr="002659A7">
        <w:rPr>
          <w:rFonts w:cs="Times New Roman"/>
          <w:szCs w:val="24"/>
        </w:rPr>
        <w:t xml:space="preserve"> </w:t>
      </w:r>
      <w:r w:rsidRPr="00AA1848">
        <w:rPr>
          <w:rFonts w:cs="Times New Roman"/>
          <w:szCs w:val="24"/>
        </w:rPr>
        <w:t>R.C. 4928.143(B)(2)(h)</w:t>
      </w:r>
      <w:r>
        <w:rPr>
          <w:rFonts w:cs="Times New Roman"/>
          <w:szCs w:val="24"/>
        </w:rPr>
        <w:t xml:space="preserve">.  Although the Court noted that </w:t>
      </w:r>
      <w:r w:rsidRPr="00AA1848">
        <w:rPr>
          <w:rFonts w:cs="Times New Roman"/>
          <w:szCs w:val="24"/>
        </w:rPr>
        <w:t xml:space="preserve">R.C. 4928.143(B)(2)(h) </w:t>
      </w:r>
      <w:r>
        <w:rPr>
          <w:rFonts w:cs="Times New Roman"/>
          <w:szCs w:val="24"/>
        </w:rPr>
        <w:t>does not define “incentive,”  it  specifically rejected the PUCO’s dictionary definition of “incentive” as something that stimulates one to take action or work harder.</w:t>
      </w:r>
      <w:r>
        <w:rPr>
          <w:rStyle w:val="FootnoteReference"/>
          <w:rFonts w:cs="Times New Roman"/>
          <w:szCs w:val="24"/>
        </w:rPr>
        <w:footnoteReference w:id="42"/>
      </w:r>
      <w:r>
        <w:rPr>
          <w:rFonts w:cs="Times New Roman"/>
          <w:szCs w:val="24"/>
        </w:rPr>
        <w:t xml:space="preserve"> The Court explained that the credit support that FirstEnergy’s charge was providing for FirstEnergy and its parent was not an incentive.</w:t>
      </w:r>
      <w:r>
        <w:rPr>
          <w:rStyle w:val="FootnoteReference"/>
          <w:rFonts w:cs="Times New Roman"/>
          <w:szCs w:val="24"/>
        </w:rPr>
        <w:footnoteReference w:id="43"/>
      </w:r>
      <w:r>
        <w:rPr>
          <w:rFonts w:cs="Times New Roman"/>
          <w:szCs w:val="24"/>
        </w:rPr>
        <w:t xml:space="preserve"> Enabling a utility to potentially obtain capital for </w:t>
      </w:r>
      <w:r>
        <w:rPr>
          <w:rFonts w:cs="Times New Roman"/>
          <w:i/>
          <w:iCs/>
          <w:szCs w:val="24"/>
        </w:rPr>
        <w:t>future</w:t>
      </w:r>
      <w:r>
        <w:rPr>
          <w:rFonts w:cs="Times New Roman"/>
          <w:szCs w:val="24"/>
        </w:rPr>
        <w:t xml:space="preserve"> infrastructure projects on favorable credit terms is not an incentive, the Court ruled.</w:t>
      </w:r>
      <w:r>
        <w:rPr>
          <w:rStyle w:val="FootnoteReference"/>
          <w:rFonts w:cs="Times New Roman"/>
          <w:szCs w:val="24"/>
        </w:rPr>
        <w:footnoteReference w:id="44"/>
      </w:r>
      <w:r>
        <w:rPr>
          <w:rFonts w:cs="Times New Roman"/>
          <w:szCs w:val="24"/>
        </w:rPr>
        <w:t xml:space="preserve"> A regulatory body’s </w:t>
      </w:r>
      <w:r>
        <w:rPr>
          <w:rFonts w:cs="Times New Roman"/>
          <w:i/>
          <w:iCs/>
          <w:szCs w:val="24"/>
        </w:rPr>
        <w:t>intention</w:t>
      </w:r>
      <w:r>
        <w:rPr>
          <w:rFonts w:cs="Times New Roman"/>
          <w:szCs w:val="24"/>
        </w:rPr>
        <w:t xml:space="preserve"> for how funds are supposed to be used is not an incentive.</w:t>
      </w:r>
      <w:r>
        <w:rPr>
          <w:rStyle w:val="FootnoteReference"/>
          <w:rFonts w:cs="Times New Roman"/>
          <w:szCs w:val="24"/>
        </w:rPr>
        <w:footnoteReference w:id="45"/>
      </w:r>
      <w:r>
        <w:rPr>
          <w:rFonts w:cs="Times New Roman"/>
          <w:szCs w:val="24"/>
        </w:rPr>
        <w:t xml:space="preserve"> Upfront monetary awards with no meaningful conditions attached are not incentives.</w:t>
      </w:r>
      <w:r>
        <w:rPr>
          <w:rStyle w:val="FootnoteReference"/>
          <w:rFonts w:cs="Times New Roman"/>
          <w:szCs w:val="24"/>
        </w:rPr>
        <w:footnoteReference w:id="46"/>
      </w:r>
      <w:r>
        <w:rPr>
          <w:rFonts w:cs="Times New Roman"/>
          <w:szCs w:val="24"/>
        </w:rPr>
        <w:t xml:space="preserve"> </w:t>
      </w:r>
    </w:p>
    <w:p w:rsidR="00042A25" w:rsidP="00042A25">
      <w:pPr>
        <w:ind w:firstLine="720"/>
        <w:rPr>
          <w:rFonts w:cs="Times New Roman"/>
          <w:szCs w:val="24"/>
        </w:rPr>
      </w:pPr>
      <w:r>
        <w:rPr>
          <w:rFonts w:cs="Times New Roman"/>
          <w:szCs w:val="24"/>
        </w:rPr>
        <w:t>The Court explained that “incentive” within the meaning of</w:t>
      </w:r>
      <w:r w:rsidRPr="002659A7">
        <w:rPr>
          <w:rFonts w:cs="Times New Roman"/>
          <w:szCs w:val="24"/>
        </w:rPr>
        <w:t xml:space="preserve"> </w:t>
      </w:r>
      <w:r w:rsidRPr="00AA1848">
        <w:rPr>
          <w:rFonts w:cs="Times New Roman"/>
          <w:szCs w:val="24"/>
        </w:rPr>
        <w:t>R.C. 4928.143(B)(2)(h)</w:t>
      </w:r>
      <w:r>
        <w:rPr>
          <w:rFonts w:cs="Times New Roman"/>
          <w:szCs w:val="24"/>
        </w:rPr>
        <w:t xml:space="preserve"> is something that “generally serves to induce someone to take some action that otherwise would not be taken but for the incentive.”</w:t>
      </w:r>
      <w:r>
        <w:rPr>
          <w:rStyle w:val="FootnoteReference"/>
          <w:rFonts w:cs="Times New Roman"/>
          <w:szCs w:val="24"/>
        </w:rPr>
        <w:footnoteReference w:id="47"/>
      </w:r>
      <w:r>
        <w:rPr>
          <w:rFonts w:cs="Times New Roman"/>
          <w:szCs w:val="24"/>
        </w:rPr>
        <w:t xml:space="preserve"> Further, the Court explained that although FirstEnergy’s charge was intended as a financial “incentive,” it is “inherent in an incentive payment that the recipient must do something to be paid.”</w:t>
      </w:r>
      <w:r>
        <w:rPr>
          <w:rStyle w:val="FootnoteReference"/>
          <w:rFonts w:cs="Times New Roman"/>
          <w:szCs w:val="24"/>
        </w:rPr>
        <w:footnoteReference w:id="48"/>
      </w:r>
      <w:r>
        <w:rPr>
          <w:rFonts w:cs="Times New Roman"/>
          <w:szCs w:val="24"/>
        </w:rPr>
        <w:t xml:space="preserve"> A financial incentive “is generally conditioned upon completion of a particular action.”</w:t>
      </w:r>
      <w:r>
        <w:rPr>
          <w:rStyle w:val="FootnoteReference"/>
          <w:rFonts w:cs="Times New Roman"/>
          <w:szCs w:val="24"/>
        </w:rPr>
        <w:footnoteReference w:id="49"/>
      </w:r>
      <w:r>
        <w:rPr>
          <w:rFonts w:cs="Times New Roman"/>
          <w:szCs w:val="24"/>
        </w:rPr>
        <w:t xml:space="preserve">  According to the Court, an </w:t>
      </w:r>
      <w:r w:rsidRPr="00204A9A">
        <w:rPr>
          <w:rFonts w:cs="Times New Roman"/>
          <w:szCs w:val="24"/>
        </w:rPr>
        <w:t>incentive</w:t>
      </w:r>
      <w:r>
        <w:rPr>
          <w:rFonts w:cs="Times New Roman"/>
          <w:szCs w:val="24"/>
        </w:rPr>
        <w:t xml:space="preserve"> under R.C. 4928.143(B)(2)(h) is a mechanism that induces action that otherwise would not be taken but for the incentive, financial or otherwise, “</w:t>
      </w:r>
      <w:r w:rsidRPr="00EF2CEE">
        <w:rPr>
          <w:rFonts w:cs="Times New Roman"/>
          <w:szCs w:val="24"/>
        </w:rPr>
        <w:t xml:space="preserve">conditioned </w:t>
      </w:r>
      <w:r>
        <w:rPr>
          <w:rFonts w:cs="Times New Roman"/>
          <w:szCs w:val="24"/>
        </w:rPr>
        <w:t xml:space="preserve">upon the </w:t>
      </w:r>
      <w:r w:rsidRPr="00204A9A">
        <w:rPr>
          <w:rFonts w:cs="Times New Roman"/>
          <w:szCs w:val="24"/>
        </w:rPr>
        <w:t>completion”</w:t>
      </w:r>
      <w:r>
        <w:rPr>
          <w:rFonts w:cs="Times New Roman"/>
          <w:szCs w:val="24"/>
        </w:rPr>
        <w:t xml:space="preserve"> of a particular action.</w:t>
      </w:r>
      <w:r>
        <w:rPr>
          <w:rStyle w:val="FootnoteReference"/>
          <w:rFonts w:cs="Times New Roman"/>
          <w:szCs w:val="24"/>
        </w:rPr>
        <w:footnoteReference w:id="50"/>
      </w:r>
      <w:r w:rsidRPr="002B5157">
        <w:rPr>
          <w:rFonts w:cs="Times New Roman"/>
          <w:szCs w:val="24"/>
        </w:rPr>
        <w:t xml:space="preserve"> </w:t>
      </w:r>
      <w:r>
        <w:rPr>
          <w:rFonts w:cs="Times New Roman"/>
          <w:szCs w:val="24"/>
        </w:rPr>
        <w:t>FirstEnergy’s charge did not fit the Court’s interpretation of “incentive.”</w:t>
      </w:r>
      <w:r w:rsidRPr="002B5157">
        <w:rPr>
          <w:rFonts w:cs="Times New Roman"/>
          <w:szCs w:val="24"/>
        </w:rPr>
        <w:t xml:space="preserve"> </w:t>
      </w:r>
      <w:r>
        <w:rPr>
          <w:rFonts w:cs="Times New Roman"/>
          <w:szCs w:val="24"/>
        </w:rPr>
        <w:t>The Court</w:t>
      </w:r>
      <w:r w:rsidRPr="00AA1848">
        <w:rPr>
          <w:rFonts w:cs="Times New Roman"/>
          <w:szCs w:val="24"/>
        </w:rPr>
        <w:t xml:space="preserve"> ordered the PUCO to remove </w:t>
      </w:r>
      <w:r>
        <w:rPr>
          <w:rFonts w:cs="Times New Roman"/>
          <w:szCs w:val="24"/>
        </w:rPr>
        <w:t>FirstEnergy’s charge</w:t>
      </w:r>
      <w:r w:rsidRPr="00AA1848">
        <w:rPr>
          <w:rFonts w:cs="Times New Roman"/>
          <w:szCs w:val="24"/>
        </w:rPr>
        <w:t xml:space="preserve"> from its ESP.</w:t>
      </w:r>
      <w:r>
        <w:rPr>
          <w:rStyle w:val="FootnoteReference"/>
          <w:rFonts w:cs="Times New Roman"/>
          <w:szCs w:val="24"/>
        </w:rPr>
        <w:footnoteReference w:id="51"/>
      </w:r>
      <w:r>
        <w:rPr>
          <w:rFonts w:cs="Times New Roman"/>
          <w:szCs w:val="24"/>
        </w:rPr>
        <w:t xml:space="preserve">   </w:t>
      </w:r>
    </w:p>
    <w:p w:rsidR="00042A25" w:rsidRPr="00D762C4" w:rsidP="002E6045">
      <w:pPr>
        <w:pStyle w:val="Heading4"/>
      </w:pPr>
      <w:bookmarkStart w:id="11" w:name="_Toc15566873"/>
      <w:r>
        <w:t>a.</w:t>
      </w:r>
      <w:r>
        <w:tab/>
        <w:t xml:space="preserve">FirstEnergy’s charge was unlawful because it </w:t>
      </w:r>
      <w:r w:rsidRPr="00204A9A">
        <w:t xml:space="preserve">was not </w:t>
      </w:r>
      <w:r>
        <w:t>“</w:t>
      </w:r>
      <w:r w:rsidRPr="00204A9A">
        <w:t>conditioned</w:t>
      </w:r>
      <w:r>
        <w:rPr>
          <w:i/>
        </w:rPr>
        <w:t xml:space="preserve"> </w:t>
      </w:r>
      <w:r>
        <w:t xml:space="preserve">upon the </w:t>
      </w:r>
      <w:r w:rsidRPr="00EF2CEE">
        <w:t>completion</w:t>
      </w:r>
      <w:r w:rsidRPr="00204A9A">
        <w:t>”</w:t>
      </w:r>
      <w:r>
        <w:t xml:space="preserve"> of a </w:t>
      </w:r>
      <w:r w:rsidRPr="00204A9A">
        <w:t>require</w:t>
      </w:r>
      <w:r>
        <w:t>ment</w:t>
      </w:r>
      <w:r w:rsidRPr="00204A9A">
        <w:t xml:space="preserve"> to spend DMR funds on grid modernization</w:t>
      </w:r>
      <w:r>
        <w:t xml:space="preserve">, and so it was not an incentive </w:t>
      </w:r>
      <w:r w:rsidRPr="00D762C4">
        <w:t>within the meaning of R.C. 4928.143(B)(2)(h)</w:t>
      </w:r>
      <w:r w:rsidRPr="00D762C4">
        <w:rPr>
          <w:i/>
        </w:rPr>
        <w:t>.</w:t>
      </w:r>
      <w:bookmarkEnd w:id="11"/>
    </w:p>
    <w:p w:rsidR="00A23752" w:rsidP="00A23752">
      <w:pPr>
        <w:autoSpaceDE w:val="0"/>
        <w:autoSpaceDN w:val="0"/>
        <w:adjustRightInd w:val="0"/>
        <w:ind w:firstLine="720"/>
        <w:rPr>
          <w:rFonts w:cs="Times New Roman"/>
          <w:szCs w:val="24"/>
        </w:rPr>
      </w:pPr>
      <w:r>
        <w:rPr>
          <w:rFonts w:cs="Times New Roman"/>
          <w:szCs w:val="24"/>
        </w:rPr>
        <w:t>In finding that FirstEnergy’s charge was not an “incentive,” the Court explained that “i</w:t>
      </w:r>
      <w:r w:rsidRPr="00204A9A">
        <w:rPr>
          <w:rFonts w:cs="Times New Roman"/>
          <w:szCs w:val="24"/>
        </w:rPr>
        <w:t>ncentive</w:t>
      </w:r>
      <w:r>
        <w:rPr>
          <w:rFonts w:cs="Times New Roman"/>
          <w:szCs w:val="24"/>
        </w:rPr>
        <w:t>”</w:t>
      </w:r>
      <w:r w:rsidRPr="00204A9A">
        <w:rPr>
          <w:rFonts w:cs="Times New Roman"/>
          <w:szCs w:val="24"/>
        </w:rPr>
        <w:t xml:space="preserve"> ratemaking uses rewards and penalties that link utility revenues to various standards or goals.</w:t>
      </w:r>
      <w:r>
        <w:rPr>
          <w:rStyle w:val="FootnoteReference"/>
          <w:rFonts w:cs="Times New Roman"/>
          <w:szCs w:val="24"/>
        </w:rPr>
        <w:footnoteReference w:id="52"/>
      </w:r>
      <w:r w:rsidRPr="00204A9A">
        <w:rPr>
          <w:rFonts w:cs="Times New Roman"/>
          <w:szCs w:val="24"/>
        </w:rPr>
        <w:t xml:space="preserve"> </w:t>
      </w:r>
      <w:r>
        <w:rPr>
          <w:rFonts w:cs="Times New Roman"/>
          <w:szCs w:val="24"/>
        </w:rPr>
        <w:t>The PUCO in approving FirstEnergy’s charge did not use rewards and penalties that linked FirstEnergy’s revenues to various standards or goals.  Instead of placing some requirement to invest directly in grid-modernization, the PUCO merely relied on “Staff’s intent for Rider DMR to jump start the Companies’ grid-modernization efforts.”</w:t>
      </w:r>
      <w:r>
        <w:rPr>
          <w:rStyle w:val="FootnoteReference"/>
          <w:rFonts w:cs="Times New Roman"/>
          <w:szCs w:val="24"/>
        </w:rPr>
        <w:footnoteReference w:id="53"/>
      </w:r>
      <w:r w:rsidRPr="00204A9A">
        <w:rPr>
          <w:rFonts w:cs="Times New Roman"/>
          <w:i/>
          <w:iCs/>
          <w:szCs w:val="24"/>
        </w:rPr>
        <w:t xml:space="preserve"> </w:t>
      </w:r>
      <w:r>
        <w:rPr>
          <w:rFonts w:cs="Times New Roman"/>
          <w:szCs w:val="24"/>
        </w:rPr>
        <w:t>“The PUCO staff’s wishful thinking cannot take the place of real requirements, restrictions, or conditions imposed by the commission for the use of [FE] DMR funds.”</w:t>
      </w:r>
      <w:r>
        <w:rPr>
          <w:rStyle w:val="FootnoteReference"/>
          <w:rFonts w:cs="Times New Roman"/>
          <w:szCs w:val="24"/>
        </w:rPr>
        <w:footnoteReference w:id="54"/>
      </w:r>
      <w:r>
        <w:rPr>
          <w:rFonts w:cs="Times New Roman"/>
          <w:szCs w:val="24"/>
        </w:rPr>
        <w:t xml:space="preserve">  The Court found that this was not sufficient to explain how FirstEnergy’s charge would encourage investment in the grid.</w:t>
      </w:r>
      <w:r>
        <w:rPr>
          <w:rStyle w:val="FootnoteReference"/>
          <w:rFonts w:cs="Times New Roman"/>
          <w:szCs w:val="24"/>
        </w:rPr>
        <w:footnoteReference w:id="55"/>
      </w:r>
      <w:r>
        <w:rPr>
          <w:rFonts w:cs="Times New Roman"/>
          <w:szCs w:val="24"/>
        </w:rPr>
        <w:t xml:space="preserve"> </w:t>
      </w:r>
      <w:r w:rsidRPr="00204A9A">
        <w:rPr>
          <w:rFonts w:cs="Times New Roman"/>
          <w:szCs w:val="24"/>
        </w:rPr>
        <w:t>FirstEnergy receive</w:t>
      </w:r>
      <w:r>
        <w:rPr>
          <w:rFonts w:cs="Times New Roman"/>
          <w:szCs w:val="24"/>
        </w:rPr>
        <w:t>d</w:t>
      </w:r>
      <w:r w:rsidRPr="00204A9A">
        <w:rPr>
          <w:rFonts w:cs="Times New Roman"/>
          <w:szCs w:val="24"/>
        </w:rPr>
        <w:t xml:space="preserve"> DMR funds upfront before any projects were undertaken or completed.</w:t>
      </w:r>
      <w:r>
        <w:rPr>
          <w:rStyle w:val="FootnoteReference"/>
          <w:rFonts w:cs="Times New Roman"/>
          <w:szCs w:val="24"/>
        </w:rPr>
        <w:footnoteReference w:id="56"/>
      </w:r>
      <w:r w:rsidRPr="00204A9A">
        <w:rPr>
          <w:rFonts w:cs="Times New Roman"/>
          <w:szCs w:val="24"/>
        </w:rPr>
        <w:t xml:space="preserve"> </w:t>
      </w:r>
      <w:r>
        <w:rPr>
          <w:rFonts w:cs="Times New Roman"/>
          <w:szCs w:val="24"/>
        </w:rPr>
        <w:t>There were</w:t>
      </w:r>
      <w:r w:rsidRPr="008A12E8">
        <w:rPr>
          <w:rFonts w:cs="Times New Roman"/>
          <w:szCs w:val="24"/>
        </w:rPr>
        <w:t xml:space="preserve"> no directives or timelines regarding specific projects, and the PUCO made </w:t>
      </w:r>
      <w:r>
        <w:rPr>
          <w:rFonts w:cs="Times New Roman"/>
          <w:szCs w:val="24"/>
        </w:rPr>
        <w:t xml:space="preserve">it </w:t>
      </w:r>
      <w:r w:rsidRPr="008A12E8">
        <w:rPr>
          <w:rFonts w:cs="Times New Roman"/>
          <w:szCs w:val="24"/>
        </w:rPr>
        <w:t>clear that there were no projects planned in the immediate future.</w:t>
      </w:r>
      <w:r>
        <w:rPr>
          <w:rStyle w:val="FootnoteReference"/>
          <w:rFonts w:cs="Times New Roman"/>
          <w:szCs w:val="24"/>
        </w:rPr>
        <w:footnoteReference w:id="57"/>
      </w:r>
      <w:r w:rsidRPr="008A12E8">
        <w:rPr>
          <w:rFonts w:cs="Times New Roman"/>
          <w:szCs w:val="24"/>
        </w:rPr>
        <w:t xml:space="preserve"> </w:t>
      </w:r>
    </w:p>
    <w:p w:rsidR="00042A25" w:rsidRPr="00A008DA" w:rsidP="00A23752">
      <w:pPr>
        <w:autoSpaceDE w:val="0"/>
        <w:autoSpaceDN w:val="0"/>
        <w:adjustRightInd w:val="0"/>
        <w:ind w:firstLine="720"/>
        <w:rPr>
          <w:rFonts w:cs="Times New Roman"/>
          <w:szCs w:val="24"/>
        </w:rPr>
      </w:pPr>
      <w:r w:rsidRPr="00204A9A">
        <w:rPr>
          <w:rFonts w:cs="Times New Roman"/>
          <w:szCs w:val="24"/>
        </w:rPr>
        <w:t xml:space="preserve">The Court </w:t>
      </w:r>
      <w:r>
        <w:rPr>
          <w:rFonts w:cs="Times New Roman"/>
          <w:szCs w:val="24"/>
        </w:rPr>
        <w:t xml:space="preserve">in </w:t>
      </w:r>
      <w:r>
        <w:rPr>
          <w:rFonts w:cs="Times New Roman"/>
          <w:i/>
          <w:iCs/>
          <w:szCs w:val="24"/>
        </w:rPr>
        <w:t xml:space="preserve">Ohio Edison </w:t>
      </w:r>
      <w:r w:rsidRPr="00204A9A">
        <w:rPr>
          <w:rFonts w:cs="Times New Roman"/>
          <w:szCs w:val="24"/>
        </w:rPr>
        <w:t xml:space="preserve">concluded that the PUCO failed to place any effective condition or penalty </w:t>
      </w:r>
      <w:r>
        <w:rPr>
          <w:rFonts w:cs="Times New Roman"/>
          <w:szCs w:val="24"/>
        </w:rPr>
        <w:t xml:space="preserve">on FirstEnergy if </w:t>
      </w:r>
      <w:r w:rsidRPr="00204A9A">
        <w:rPr>
          <w:rFonts w:cs="Times New Roman"/>
          <w:szCs w:val="24"/>
        </w:rPr>
        <w:t xml:space="preserve">the DMR funds </w:t>
      </w:r>
      <w:r>
        <w:rPr>
          <w:rFonts w:cs="Times New Roman"/>
          <w:szCs w:val="24"/>
        </w:rPr>
        <w:t>were</w:t>
      </w:r>
      <w:r w:rsidRPr="00204A9A">
        <w:rPr>
          <w:rFonts w:cs="Times New Roman"/>
          <w:szCs w:val="24"/>
        </w:rPr>
        <w:t xml:space="preserve"> not </w:t>
      </w:r>
      <w:r>
        <w:rPr>
          <w:rFonts w:cs="Times New Roman"/>
          <w:szCs w:val="24"/>
        </w:rPr>
        <w:t xml:space="preserve">used for their </w:t>
      </w:r>
      <w:r w:rsidRPr="00204A9A">
        <w:rPr>
          <w:rFonts w:cs="Times New Roman"/>
          <w:szCs w:val="24"/>
        </w:rPr>
        <w:t>intended purpose.</w:t>
      </w:r>
      <w:r>
        <w:rPr>
          <w:rStyle w:val="FootnoteReference"/>
          <w:rFonts w:cs="Times New Roman"/>
          <w:szCs w:val="24"/>
        </w:rPr>
        <w:footnoteReference w:id="58"/>
      </w:r>
      <w:r>
        <w:rPr>
          <w:rFonts w:cs="Times New Roman"/>
          <w:szCs w:val="24"/>
        </w:rPr>
        <w:t xml:space="preserve">  FirstEnergy’s charge was therefore not an “incentive.”</w:t>
      </w:r>
    </w:p>
    <w:p w:rsidR="00042A25" w:rsidRPr="00A008DA" w:rsidP="002E6045">
      <w:pPr>
        <w:pStyle w:val="Heading4"/>
      </w:pPr>
      <w:bookmarkStart w:id="12" w:name="_Toc15566874"/>
      <w:r>
        <w:t>b.</w:t>
      </w:r>
      <w:r>
        <w:tab/>
        <w:t>FirstEnergy’s charge</w:t>
      </w:r>
      <w:r w:rsidRPr="00A008DA">
        <w:t xml:space="preserve"> was unlawful because there were insufficient consumer protections.</w:t>
      </w:r>
      <w:bookmarkEnd w:id="12"/>
    </w:p>
    <w:p w:rsidR="00042A25" w:rsidRPr="00101B06" w:rsidP="00101B06">
      <w:pPr>
        <w:autoSpaceDE w:val="0"/>
        <w:autoSpaceDN w:val="0"/>
        <w:adjustRightInd w:val="0"/>
        <w:ind w:left="90" w:firstLine="630"/>
        <w:rPr>
          <w:rFonts w:cs="Times New Roman"/>
          <w:i/>
          <w:iCs/>
          <w:szCs w:val="24"/>
        </w:rPr>
      </w:pPr>
      <w:r>
        <w:rPr>
          <w:rFonts w:cs="Times New Roman"/>
          <w:szCs w:val="24"/>
        </w:rPr>
        <w:t>In addition to finding no “incentive” for FirstEnergy to invest in grid-modernization, t</w:t>
      </w:r>
      <w:r w:rsidRPr="008A12E8">
        <w:rPr>
          <w:rFonts w:cs="Times New Roman"/>
          <w:szCs w:val="24"/>
        </w:rPr>
        <w:t xml:space="preserve">he Court also </w:t>
      </w:r>
      <w:r>
        <w:rPr>
          <w:rFonts w:cs="Times New Roman"/>
          <w:szCs w:val="24"/>
        </w:rPr>
        <w:t>determined that</w:t>
      </w:r>
      <w:r w:rsidRPr="008A12E8">
        <w:rPr>
          <w:rFonts w:cs="Times New Roman"/>
          <w:szCs w:val="24"/>
        </w:rPr>
        <w:t xml:space="preserve"> there were insufficient consumer protections attached to </w:t>
      </w:r>
      <w:r>
        <w:rPr>
          <w:rFonts w:cs="Times New Roman"/>
          <w:szCs w:val="24"/>
        </w:rPr>
        <w:t>FirstEnergy’s charge</w:t>
      </w:r>
      <w:r w:rsidRPr="008A12E8">
        <w:rPr>
          <w:rFonts w:cs="Times New Roman"/>
          <w:szCs w:val="24"/>
        </w:rPr>
        <w:t>.</w:t>
      </w:r>
      <w:r>
        <w:rPr>
          <w:rStyle w:val="FootnoteReference"/>
          <w:rFonts w:cs="Times New Roman"/>
          <w:szCs w:val="24"/>
        </w:rPr>
        <w:footnoteReference w:id="59"/>
      </w:r>
      <w:r w:rsidRPr="008A12E8">
        <w:rPr>
          <w:rFonts w:cs="Times New Roman"/>
          <w:szCs w:val="24"/>
        </w:rPr>
        <w:t xml:space="preserve"> </w:t>
      </w:r>
      <w:r>
        <w:rPr>
          <w:rFonts w:cs="Times New Roman"/>
          <w:szCs w:val="24"/>
        </w:rPr>
        <w:t>The Court considered (and rejected) three “</w:t>
      </w:r>
      <w:r w:rsidRPr="000C5ABC">
        <w:rPr>
          <w:rFonts w:cs="Times New Roman"/>
          <w:szCs w:val="24"/>
        </w:rPr>
        <w:t>conditions</w:t>
      </w:r>
      <w:r>
        <w:rPr>
          <w:rFonts w:cs="Times New Roman"/>
          <w:szCs w:val="24"/>
        </w:rPr>
        <w:t>” that the PUCO put</w:t>
      </w:r>
      <w:r w:rsidRPr="000C5ABC">
        <w:rPr>
          <w:rFonts w:cs="Times New Roman"/>
          <w:szCs w:val="24"/>
        </w:rPr>
        <w:t xml:space="preserve"> on </w:t>
      </w:r>
      <w:r>
        <w:rPr>
          <w:rFonts w:cs="Times New Roman"/>
          <w:szCs w:val="24"/>
        </w:rPr>
        <w:t>FirstEnergy’s charge</w:t>
      </w:r>
      <w:r w:rsidRPr="000C5ABC">
        <w:rPr>
          <w:rFonts w:cs="Times New Roman"/>
          <w:szCs w:val="24"/>
        </w:rPr>
        <w:t>.</w:t>
      </w:r>
      <w:r>
        <w:rPr>
          <w:rStyle w:val="FootnoteReference"/>
          <w:rFonts w:cs="Times New Roman"/>
          <w:szCs w:val="24"/>
        </w:rPr>
        <w:footnoteReference w:id="60"/>
      </w:r>
      <w:r w:rsidRPr="000C5ABC">
        <w:rPr>
          <w:rFonts w:cs="Times New Roman"/>
          <w:szCs w:val="24"/>
        </w:rPr>
        <w:t xml:space="preserve"> First, </w:t>
      </w:r>
      <w:r>
        <w:rPr>
          <w:rFonts w:cs="Times New Roman"/>
          <w:szCs w:val="24"/>
        </w:rPr>
        <w:t>FirstEnergy</w:t>
      </w:r>
      <w:r w:rsidRPr="000C5ABC">
        <w:rPr>
          <w:rFonts w:cs="Times New Roman"/>
          <w:szCs w:val="24"/>
        </w:rPr>
        <w:t xml:space="preserve"> </w:t>
      </w:r>
      <w:r>
        <w:rPr>
          <w:rFonts w:cs="Times New Roman"/>
          <w:szCs w:val="24"/>
        </w:rPr>
        <w:t>had to</w:t>
      </w:r>
      <w:r w:rsidRPr="000C5ABC">
        <w:rPr>
          <w:rFonts w:cs="Times New Roman"/>
          <w:szCs w:val="24"/>
        </w:rPr>
        <w:t xml:space="preserve"> keep its corporate headquarters and nexus of operations in Akron.</w:t>
      </w:r>
      <w:r>
        <w:rPr>
          <w:rStyle w:val="FootnoteReference"/>
          <w:rFonts w:cs="Times New Roman"/>
          <w:szCs w:val="24"/>
        </w:rPr>
        <w:footnoteReference w:id="61"/>
      </w:r>
      <w:r w:rsidRPr="000C5ABC">
        <w:rPr>
          <w:rFonts w:cs="Times New Roman"/>
          <w:szCs w:val="24"/>
        </w:rPr>
        <w:t xml:space="preserve"> Second, there </w:t>
      </w:r>
      <w:r>
        <w:rPr>
          <w:rFonts w:cs="Times New Roman"/>
          <w:szCs w:val="24"/>
        </w:rPr>
        <w:t>could</w:t>
      </w:r>
      <w:r w:rsidRPr="000C5ABC">
        <w:rPr>
          <w:rFonts w:cs="Times New Roman"/>
          <w:szCs w:val="24"/>
        </w:rPr>
        <w:t xml:space="preserve"> be no change in the “control” of the </w:t>
      </w:r>
      <w:r>
        <w:rPr>
          <w:rFonts w:cs="Times New Roman"/>
          <w:szCs w:val="24"/>
        </w:rPr>
        <w:t>FirstEnergy companies</w:t>
      </w:r>
      <w:r>
        <w:rPr>
          <w:rStyle w:val="FootnoteReference"/>
          <w:rFonts w:cs="Times New Roman"/>
          <w:szCs w:val="24"/>
        </w:rPr>
        <w:footnoteReference w:id="62"/>
      </w:r>
      <w:r w:rsidRPr="000C5ABC">
        <w:rPr>
          <w:rFonts w:cs="Times New Roman"/>
          <w:szCs w:val="24"/>
        </w:rPr>
        <w:t xml:space="preserve"> as that term is defined in R.C. 4905.402(A)(1).</w:t>
      </w:r>
      <w:r>
        <w:rPr>
          <w:rStyle w:val="FootnoteReference"/>
          <w:rFonts w:cs="Times New Roman"/>
          <w:szCs w:val="24"/>
        </w:rPr>
        <w:footnoteReference w:id="63"/>
      </w:r>
      <w:r w:rsidRPr="000C5ABC">
        <w:rPr>
          <w:rFonts w:cs="Times New Roman"/>
          <w:szCs w:val="24"/>
        </w:rPr>
        <w:t xml:space="preserve"> Third, </w:t>
      </w:r>
      <w:r>
        <w:rPr>
          <w:rFonts w:cs="Times New Roman"/>
          <w:szCs w:val="24"/>
        </w:rPr>
        <w:t>FirstEnergy had to demonstrate</w:t>
      </w:r>
      <w:r w:rsidRPr="000C5ABC">
        <w:rPr>
          <w:rFonts w:cs="Times New Roman"/>
          <w:szCs w:val="24"/>
        </w:rPr>
        <w:t xml:space="preserve"> sufficient progress in implementing and deploying grid-modernization programs approved by the </w:t>
      </w:r>
      <w:r>
        <w:rPr>
          <w:rFonts w:cs="Times New Roman"/>
          <w:szCs w:val="24"/>
        </w:rPr>
        <w:t>PUCO</w:t>
      </w:r>
      <w:r w:rsidRPr="000C5ABC">
        <w:rPr>
          <w:rFonts w:cs="Times New Roman"/>
          <w:szCs w:val="24"/>
        </w:rPr>
        <w:t>.</w:t>
      </w:r>
      <w:r>
        <w:rPr>
          <w:rStyle w:val="FootnoteReference"/>
          <w:rFonts w:cs="Times New Roman"/>
          <w:szCs w:val="24"/>
        </w:rPr>
        <w:footnoteReference w:id="64"/>
      </w:r>
      <w:r>
        <w:rPr>
          <w:rFonts w:cs="Times New Roman"/>
          <w:szCs w:val="24"/>
        </w:rPr>
        <w:t xml:space="preserve"> FirstEnergy</w:t>
      </w:r>
      <w:r w:rsidRPr="000C5ABC">
        <w:rPr>
          <w:rFonts w:cs="Times New Roman"/>
          <w:szCs w:val="24"/>
        </w:rPr>
        <w:t xml:space="preserve"> argued that the</w:t>
      </w:r>
      <w:r>
        <w:rPr>
          <w:rFonts w:cs="Times New Roman"/>
          <w:szCs w:val="24"/>
        </w:rPr>
        <w:t>se</w:t>
      </w:r>
      <w:r w:rsidRPr="000C5ABC">
        <w:rPr>
          <w:rFonts w:cs="Times New Roman"/>
          <w:szCs w:val="24"/>
        </w:rPr>
        <w:t xml:space="preserve"> “conditions” ensure</w:t>
      </w:r>
      <w:r>
        <w:rPr>
          <w:rFonts w:cs="Times New Roman"/>
          <w:szCs w:val="24"/>
        </w:rPr>
        <w:t>d</w:t>
      </w:r>
      <w:r w:rsidRPr="000C5ABC">
        <w:rPr>
          <w:rFonts w:cs="Times New Roman"/>
          <w:szCs w:val="24"/>
        </w:rPr>
        <w:t xml:space="preserve"> that the DMR funds </w:t>
      </w:r>
      <w:r>
        <w:rPr>
          <w:rFonts w:cs="Times New Roman"/>
          <w:szCs w:val="24"/>
        </w:rPr>
        <w:t>were</w:t>
      </w:r>
      <w:r w:rsidRPr="000C5ABC">
        <w:rPr>
          <w:rFonts w:cs="Times New Roman"/>
          <w:szCs w:val="24"/>
        </w:rPr>
        <w:t xml:space="preserve"> not just a gift and that they </w:t>
      </w:r>
      <w:r>
        <w:rPr>
          <w:rFonts w:cs="Times New Roman"/>
          <w:szCs w:val="24"/>
        </w:rPr>
        <w:t>would</w:t>
      </w:r>
      <w:r w:rsidRPr="000C5ABC">
        <w:rPr>
          <w:rFonts w:cs="Times New Roman"/>
          <w:szCs w:val="24"/>
        </w:rPr>
        <w:t xml:space="preserve"> be used to jump-start grid</w:t>
      </w:r>
      <w:r>
        <w:rPr>
          <w:rFonts w:cs="Times New Roman"/>
          <w:szCs w:val="24"/>
        </w:rPr>
        <w:t>-</w:t>
      </w:r>
      <w:r w:rsidRPr="000C5ABC">
        <w:rPr>
          <w:rFonts w:cs="Times New Roman"/>
          <w:szCs w:val="24"/>
        </w:rPr>
        <w:t>modernization initiatives.</w:t>
      </w:r>
      <w:r>
        <w:rPr>
          <w:rStyle w:val="FootnoteReference"/>
          <w:rFonts w:cs="Times New Roman"/>
          <w:szCs w:val="24"/>
        </w:rPr>
        <w:footnoteReference w:id="65"/>
      </w:r>
      <w:r w:rsidRPr="000C5ABC">
        <w:rPr>
          <w:rFonts w:cs="Times New Roman"/>
          <w:szCs w:val="24"/>
        </w:rPr>
        <w:t xml:space="preserve"> </w:t>
      </w:r>
    </w:p>
    <w:p w:rsidR="00042A25" w:rsidRPr="00EC779E" w:rsidP="00042A25">
      <w:pPr>
        <w:autoSpaceDE w:val="0"/>
        <w:autoSpaceDN w:val="0"/>
        <w:adjustRightInd w:val="0"/>
        <w:ind w:left="90" w:firstLine="630"/>
        <w:rPr>
          <w:rFonts w:cs="Times New Roman"/>
          <w:szCs w:val="24"/>
        </w:rPr>
      </w:pPr>
      <w:r>
        <w:rPr>
          <w:rFonts w:cs="Times New Roman"/>
          <w:szCs w:val="24"/>
        </w:rPr>
        <w:t>But</w:t>
      </w:r>
      <w:r w:rsidRPr="000C5ABC">
        <w:rPr>
          <w:rFonts w:cs="Times New Roman"/>
          <w:szCs w:val="24"/>
        </w:rPr>
        <w:t xml:space="preserve"> the Supreme Court of Ohio agreed with appellants</w:t>
      </w:r>
      <w:r>
        <w:rPr>
          <w:rFonts w:cs="Times New Roman"/>
          <w:szCs w:val="24"/>
        </w:rPr>
        <w:t>, OCC included,</w:t>
      </w:r>
      <w:r w:rsidRPr="000C5ABC">
        <w:rPr>
          <w:rFonts w:cs="Times New Roman"/>
          <w:szCs w:val="24"/>
        </w:rPr>
        <w:t xml:space="preserve"> that these “conditions” were meaningless and failed to sufficiently protect </w:t>
      </w:r>
      <w:r>
        <w:rPr>
          <w:rFonts w:cs="Times New Roman"/>
          <w:szCs w:val="24"/>
        </w:rPr>
        <w:t>consumers</w:t>
      </w:r>
      <w:r w:rsidRPr="000C5ABC">
        <w:rPr>
          <w:rFonts w:cs="Times New Roman"/>
          <w:szCs w:val="24"/>
        </w:rPr>
        <w:t>.</w:t>
      </w:r>
      <w:r>
        <w:rPr>
          <w:rStyle w:val="FootnoteReference"/>
          <w:rFonts w:cs="Times New Roman"/>
          <w:szCs w:val="24"/>
        </w:rPr>
        <w:footnoteReference w:id="66"/>
      </w:r>
      <w:r w:rsidRPr="000C5ABC">
        <w:rPr>
          <w:rFonts w:cs="Times New Roman"/>
          <w:szCs w:val="24"/>
        </w:rPr>
        <w:t xml:space="preserve"> The Court explained that there </w:t>
      </w:r>
      <w:r>
        <w:rPr>
          <w:rFonts w:cs="Times New Roman"/>
          <w:szCs w:val="24"/>
        </w:rPr>
        <w:t>was</w:t>
      </w:r>
      <w:r w:rsidRPr="000C5ABC">
        <w:rPr>
          <w:rFonts w:cs="Times New Roman"/>
          <w:szCs w:val="24"/>
        </w:rPr>
        <w:t xml:space="preserve"> no </w:t>
      </w:r>
      <w:r>
        <w:rPr>
          <w:rFonts w:cs="Times New Roman"/>
          <w:szCs w:val="24"/>
        </w:rPr>
        <w:t>distinguishable</w:t>
      </w:r>
      <w:r w:rsidRPr="000C5ABC">
        <w:rPr>
          <w:rFonts w:cs="Times New Roman"/>
          <w:szCs w:val="24"/>
        </w:rPr>
        <w:t xml:space="preserve"> penalty if </w:t>
      </w:r>
      <w:r>
        <w:rPr>
          <w:rFonts w:cs="Times New Roman"/>
          <w:szCs w:val="24"/>
        </w:rPr>
        <w:t>FirstEnergy</w:t>
      </w:r>
      <w:r w:rsidRPr="000C5ABC">
        <w:rPr>
          <w:rFonts w:cs="Times New Roman"/>
          <w:szCs w:val="24"/>
        </w:rPr>
        <w:t xml:space="preserve"> </w:t>
      </w:r>
      <w:r>
        <w:rPr>
          <w:rFonts w:cs="Times New Roman"/>
          <w:szCs w:val="24"/>
        </w:rPr>
        <w:t>did not</w:t>
      </w:r>
      <w:r w:rsidRPr="000C5ABC">
        <w:rPr>
          <w:rFonts w:cs="Times New Roman"/>
          <w:szCs w:val="24"/>
        </w:rPr>
        <w:t xml:space="preserve"> comply with the PUCO’s “conditions” on </w:t>
      </w:r>
      <w:r>
        <w:rPr>
          <w:rFonts w:cs="Times New Roman"/>
          <w:szCs w:val="24"/>
        </w:rPr>
        <w:t>collecting</w:t>
      </w:r>
      <w:r w:rsidRPr="000C5ABC">
        <w:rPr>
          <w:rFonts w:cs="Times New Roman"/>
          <w:szCs w:val="24"/>
        </w:rPr>
        <w:t xml:space="preserve"> </w:t>
      </w:r>
      <w:r>
        <w:rPr>
          <w:rFonts w:cs="Times New Roman"/>
          <w:szCs w:val="24"/>
        </w:rPr>
        <w:t>FirstEnergy’s charge</w:t>
      </w:r>
      <w:r w:rsidRPr="000C5ABC">
        <w:rPr>
          <w:rFonts w:cs="Times New Roman"/>
          <w:szCs w:val="24"/>
        </w:rPr>
        <w:t>.</w:t>
      </w:r>
      <w:r>
        <w:rPr>
          <w:rStyle w:val="FootnoteReference"/>
          <w:rFonts w:cs="Times New Roman"/>
          <w:szCs w:val="24"/>
        </w:rPr>
        <w:footnoteReference w:id="67"/>
      </w:r>
      <w:r w:rsidRPr="000C5ABC">
        <w:rPr>
          <w:rFonts w:cs="Times New Roman"/>
          <w:szCs w:val="24"/>
        </w:rPr>
        <w:t xml:space="preserve"> </w:t>
      </w:r>
      <w:r>
        <w:rPr>
          <w:rFonts w:cs="Times New Roman"/>
          <w:szCs w:val="24"/>
        </w:rPr>
        <w:t>The Court dismissed the idea that FirstEnergy would actually be required to forfeit funds from the charge if it failed to comply with any of the PUCO’s “conditions.” FirstEnergy</w:t>
      </w:r>
      <w:r w:rsidRPr="008A12E8">
        <w:rPr>
          <w:rFonts w:cs="Times New Roman"/>
          <w:szCs w:val="24"/>
        </w:rPr>
        <w:t xml:space="preserve"> ha</w:t>
      </w:r>
      <w:r>
        <w:rPr>
          <w:rFonts w:cs="Times New Roman"/>
          <w:szCs w:val="24"/>
        </w:rPr>
        <w:t>d</w:t>
      </w:r>
      <w:r w:rsidRPr="008A12E8">
        <w:rPr>
          <w:rFonts w:cs="Times New Roman"/>
          <w:szCs w:val="24"/>
        </w:rPr>
        <w:t xml:space="preserve"> been </w:t>
      </w:r>
      <w:r>
        <w:rPr>
          <w:rFonts w:cs="Times New Roman"/>
          <w:szCs w:val="24"/>
        </w:rPr>
        <w:t>collecting</w:t>
      </w:r>
      <w:r w:rsidRPr="008A12E8">
        <w:rPr>
          <w:rFonts w:cs="Times New Roman"/>
          <w:szCs w:val="24"/>
        </w:rPr>
        <w:t xml:space="preserve"> </w:t>
      </w:r>
      <w:r>
        <w:rPr>
          <w:rFonts w:cs="Times New Roman"/>
          <w:szCs w:val="24"/>
        </w:rPr>
        <w:t xml:space="preserve">under the DMR charge </w:t>
      </w:r>
      <w:r w:rsidRPr="008A12E8">
        <w:rPr>
          <w:rFonts w:cs="Times New Roman"/>
          <w:szCs w:val="24"/>
        </w:rPr>
        <w:t xml:space="preserve">since </w:t>
      </w:r>
      <w:r>
        <w:rPr>
          <w:rFonts w:cs="Times New Roman"/>
          <w:szCs w:val="24"/>
        </w:rPr>
        <w:t>January 1, 2017.</w:t>
      </w:r>
      <w:r>
        <w:rPr>
          <w:rStyle w:val="FootnoteReference"/>
          <w:rFonts w:cs="Times New Roman"/>
          <w:szCs w:val="24"/>
        </w:rPr>
        <w:footnoteReference w:id="68"/>
      </w:r>
      <w:r>
        <w:rPr>
          <w:rFonts w:cs="Times New Roman"/>
          <w:szCs w:val="24"/>
        </w:rPr>
        <w:t xml:space="preserve"> But under </w:t>
      </w:r>
      <w:r w:rsidRPr="008A12E8">
        <w:rPr>
          <w:rFonts w:cs="Times New Roman"/>
          <w:szCs w:val="24"/>
        </w:rPr>
        <w:t>R.C.</w:t>
      </w:r>
      <w:r w:rsidRPr="00C86CFE">
        <w:rPr>
          <w:rFonts w:cs="Times New Roman"/>
          <w:szCs w:val="24"/>
        </w:rPr>
        <w:t xml:space="preserve"> </w:t>
      </w:r>
      <w:r>
        <w:rPr>
          <w:rFonts w:cs="Times New Roman"/>
          <w:szCs w:val="24"/>
        </w:rPr>
        <w:t xml:space="preserve">§ </w:t>
      </w:r>
      <w:r w:rsidRPr="008A12E8">
        <w:rPr>
          <w:rFonts w:cs="Times New Roman"/>
          <w:szCs w:val="24"/>
        </w:rPr>
        <w:t>4905.32</w:t>
      </w:r>
      <w:r>
        <w:rPr>
          <w:rFonts w:cs="Times New Roman"/>
          <w:szCs w:val="24"/>
        </w:rPr>
        <w:t>,</w:t>
      </w:r>
      <w:r w:rsidRPr="008A12E8">
        <w:rPr>
          <w:rFonts w:cs="Times New Roman"/>
          <w:szCs w:val="24"/>
        </w:rPr>
        <w:t xml:space="preserve"> any refund of </w:t>
      </w:r>
      <w:r>
        <w:rPr>
          <w:rFonts w:cs="Times New Roman"/>
          <w:szCs w:val="24"/>
        </w:rPr>
        <w:t>collected funds</w:t>
      </w:r>
      <w:r w:rsidRPr="008A12E8">
        <w:rPr>
          <w:rFonts w:cs="Times New Roman"/>
          <w:szCs w:val="24"/>
        </w:rPr>
        <w:t xml:space="preserve"> </w:t>
      </w:r>
      <w:r>
        <w:rPr>
          <w:rFonts w:cs="Times New Roman"/>
          <w:szCs w:val="24"/>
        </w:rPr>
        <w:t xml:space="preserve">would not be permitted </w:t>
      </w:r>
      <w:r w:rsidRPr="008A12E8">
        <w:rPr>
          <w:rFonts w:cs="Times New Roman"/>
          <w:szCs w:val="24"/>
        </w:rPr>
        <w:t xml:space="preserve">unless the tariff </w:t>
      </w:r>
      <w:r>
        <w:rPr>
          <w:rFonts w:cs="Times New Roman"/>
          <w:szCs w:val="24"/>
        </w:rPr>
        <w:t>applying those</w:t>
      </w:r>
      <w:r w:rsidRPr="008A12E8">
        <w:rPr>
          <w:rFonts w:cs="Times New Roman"/>
          <w:szCs w:val="24"/>
        </w:rPr>
        <w:t xml:space="preserve"> rates</w:t>
      </w:r>
      <w:r w:rsidRPr="00C86CFE">
        <w:rPr>
          <w:rFonts w:cs="Times New Roman"/>
          <w:szCs w:val="24"/>
        </w:rPr>
        <w:t xml:space="preserve"> </w:t>
      </w:r>
      <w:r>
        <w:rPr>
          <w:rFonts w:cs="Times New Roman"/>
          <w:szCs w:val="24"/>
        </w:rPr>
        <w:t>included</w:t>
      </w:r>
      <w:r w:rsidRPr="008A12E8">
        <w:rPr>
          <w:rFonts w:cs="Times New Roman"/>
          <w:szCs w:val="24"/>
        </w:rPr>
        <w:t xml:space="preserve"> a refund mechanism.</w:t>
      </w:r>
      <w:r>
        <w:rPr>
          <w:rStyle w:val="FootnoteReference"/>
          <w:rFonts w:cs="Times New Roman"/>
          <w:szCs w:val="24"/>
        </w:rPr>
        <w:footnoteReference w:id="69"/>
      </w:r>
      <w:r w:rsidRPr="008A12E8">
        <w:rPr>
          <w:rFonts w:cs="Times New Roman"/>
          <w:szCs w:val="24"/>
        </w:rPr>
        <w:t xml:space="preserve"> </w:t>
      </w:r>
      <w:r>
        <w:rPr>
          <w:rFonts w:cs="Times New Roman"/>
          <w:szCs w:val="24"/>
        </w:rPr>
        <w:t>The PUCO did not subject FirstEnergy’s charge collected from customers to refund if FirstEnergy failed to comply with the “conditions.”</w:t>
      </w:r>
      <w:r>
        <w:rPr>
          <w:rStyle w:val="FootnoteReference"/>
          <w:rFonts w:cs="Times New Roman"/>
          <w:szCs w:val="24"/>
        </w:rPr>
        <w:footnoteReference w:id="70"/>
      </w:r>
      <w:r>
        <w:rPr>
          <w:rFonts w:cs="Times New Roman"/>
          <w:szCs w:val="24"/>
        </w:rPr>
        <w:t xml:space="preserve"> The Court found that consumers were not adequately protected because FirstEnergy’s charge collected from customers could not be refunded.</w:t>
      </w:r>
      <w:r>
        <w:rPr>
          <w:rStyle w:val="FootnoteReference"/>
          <w:rFonts w:cs="Times New Roman"/>
          <w:szCs w:val="24"/>
        </w:rPr>
        <w:footnoteReference w:id="71"/>
      </w:r>
      <w:r>
        <w:rPr>
          <w:rFonts w:cs="Times New Roman"/>
          <w:szCs w:val="24"/>
        </w:rPr>
        <w:t xml:space="preserve"> </w:t>
      </w:r>
    </w:p>
    <w:p w:rsidR="00042A25" w:rsidP="00042A25">
      <w:pPr>
        <w:rPr>
          <w:rFonts w:cs="Times New Roman"/>
          <w:szCs w:val="24"/>
        </w:rPr>
      </w:pPr>
      <w:r>
        <w:rPr>
          <w:rFonts w:cs="Times New Roman"/>
          <w:szCs w:val="24"/>
        </w:rPr>
        <w:tab/>
        <w:t>The Court also found that the PUCO’s audit review of DMR spending was insufficient to protect consumers from the misuse of DMR funds.</w:t>
      </w:r>
      <w:r>
        <w:rPr>
          <w:rStyle w:val="FootnoteReference"/>
          <w:rFonts w:cs="Times New Roman"/>
          <w:szCs w:val="24"/>
        </w:rPr>
        <w:footnoteReference w:id="72"/>
      </w:r>
      <w:r>
        <w:rPr>
          <w:rFonts w:cs="Times New Roman"/>
          <w:szCs w:val="24"/>
        </w:rPr>
        <w:t xml:space="preserve"> When it approved FirstEnergy’s ESP, the PUCO directed its Staff to periodically review how FirstEnergy used funds from FirstEnergy’s charge in support of grid-modernization.</w:t>
      </w:r>
      <w:r>
        <w:rPr>
          <w:rStyle w:val="FootnoteReference"/>
          <w:rFonts w:cs="Times New Roman"/>
          <w:szCs w:val="24"/>
        </w:rPr>
        <w:footnoteReference w:id="73"/>
      </w:r>
      <w:r>
        <w:rPr>
          <w:rFonts w:cs="Times New Roman"/>
          <w:szCs w:val="24"/>
        </w:rPr>
        <w:t xml:space="preserve"> The PUCO clarified on rehearing that this review would be ongoing and in real time by a third-party monitor.</w:t>
      </w:r>
      <w:r>
        <w:rPr>
          <w:rStyle w:val="FootnoteReference"/>
          <w:rFonts w:cs="Times New Roman"/>
          <w:szCs w:val="24"/>
        </w:rPr>
        <w:footnoteReference w:id="74"/>
      </w:r>
      <w:r>
        <w:rPr>
          <w:rFonts w:cs="Times New Roman"/>
          <w:szCs w:val="24"/>
        </w:rPr>
        <w:t xml:space="preserve"> The monitor, Oxford Advisors, L.L.C. (“Oxford”), was directed to submit quarterly reports to PUCO Staff to document whether FirstEnergy had implemented its DMR charge in compliance with the PUCO’s orders.</w:t>
      </w:r>
      <w:r>
        <w:rPr>
          <w:rStyle w:val="FootnoteReference"/>
          <w:rFonts w:cs="Times New Roman"/>
          <w:szCs w:val="24"/>
        </w:rPr>
        <w:footnoteReference w:id="75"/>
      </w:r>
      <w:r>
        <w:rPr>
          <w:rFonts w:cs="Times New Roman"/>
          <w:szCs w:val="24"/>
        </w:rPr>
        <w:t xml:space="preserve"> Oxford was also to submit a midterm report if FirstEnergy sought to extend the DMR charge beyond its initial three-year term, and a final report within 90 days of the termination of the DMR charge.</w:t>
      </w:r>
      <w:r>
        <w:rPr>
          <w:rStyle w:val="FootnoteReference"/>
          <w:rFonts w:cs="Times New Roman"/>
          <w:szCs w:val="24"/>
        </w:rPr>
        <w:footnoteReference w:id="76"/>
      </w:r>
      <w:r>
        <w:rPr>
          <w:rFonts w:cs="Times New Roman"/>
          <w:szCs w:val="24"/>
        </w:rPr>
        <w:t xml:space="preserve"> </w:t>
      </w:r>
    </w:p>
    <w:p w:rsidR="00042A25" w:rsidP="00042A25">
      <w:pPr>
        <w:ind w:firstLine="720"/>
        <w:rPr>
          <w:rFonts w:cs="Times New Roman"/>
          <w:szCs w:val="24"/>
        </w:rPr>
      </w:pPr>
      <w:r>
        <w:rPr>
          <w:rFonts w:cs="Times New Roman"/>
          <w:szCs w:val="24"/>
        </w:rPr>
        <w:t>Although the PUCO ordered that any participant in the proceeding could examine Oxford’s</w:t>
      </w:r>
      <w:r w:rsidRPr="00204A9A">
        <w:rPr>
          <w:rFonts w:cs="Times New Roman"/>
          <w:szCs w:val="24"/>
        </w:rPr>
        <w:t xml:space="preserve"> conclusions, results, and recommendations</w:t>
      </w:r>
      <w:r>
        <w:rPr>
          <w:rFonts w:cs="Times New Roman"/>
          <w:szCs w:val="24"/>
        </w:rPr>
        <w:t>, they were</w:t>
      </w:r>
      <w:r w:rsidRPr="00204A9A">
        <w:rPr>
          <w:rFonts w:cs="Times New Roman"/>
          <w:szCs w:val="24"/>
        </w:rPr>
        <w:t xml:space="preserve"> not available until they </w:t>
      </w:r>
      <w:r>
        <w:rPr>
          <w:rFonts w:cs="Times New Roman"/>
          <w:szCs w:val="24"/>
        </w:rPr>
        <w:t>were</w:t>
      </w:r>
      <w:r w:rsidRPr="00204A9A">
        <w:rPr>
          <w:rFonts w:cs="Times New Roman"/>
          <w:szCs w:val="24"/>
        </w:rPr>
        <w:t xml:space="preserve"> filed with the PUCO.</w:t>
      </w:r>
      <w:r>
        <w:rPr>
          <w:rStyle w:val="FootnoteReference"/>
          <w:rFonts w:cs="Times New Roman"/>
          <w:szCs w:val="24"/>
        </w:rPr>
        <w:footnoteReference w:id="77"/>
      </w:r>
      <w:r w:rsidRPr="00204A9A">
        <w:rPr>
          <w:rFonts w:cs="Times New Roman"/>
          <w:szCs w:val="24"/>
        </w:rPr>
        <w:t xml:space="preserve"> </w:t>
      </w:r>
      <w:r>
        <w:rPr>
          <w:rFonts w:cs="Times New Roman"/>
          <w:szCs w:val="24"/>
        </w:rPr>
        <w:t>And that would only occur if FirstEnergy filed to extend or terminate the its charge – long after funds from the DMR charge were already collected and spent.</w:t>
      </w:r>
      <w:r>
        <w:rPr>
          <w:rStyle w:val="FootnoteReference"/>
          <w:rFonts w:cs="Times New Roman"/>
          <w:szCs w:val="24"/>
        </w:rPr>
        <w:footnoteReference w:id="78"/>
      </w:r>
      <w:r>
        <w:rPr>
          <w:rFonts w:cs="Times New Roman"/>
          <w:szCs w:val="24"/>
        </w:rPr>
        <w:t xml:space="preserve"> The Court found that there was no clear remedy available to parties, the PUCO, or the Supreme Court of Ohio should it find that FirstEnergy improperly spent funds from the DMR charge.</w:t>
      </w:r>
      <w:r>
        <w:rPr>
          <w:rStyle w:val="FootnoteReference"/>
          <w:rFonts w:cs="Times New Roman"/>
          <w:szCs w:val="24"/>
        </w:rPr>
        <w:footnoteReference w:id="79"/>
      </w:r>
      <w:r>
        <w:rPr>
          <w:rFonts w:cs="Times New Roman"/>
          <w:szCs w:val="24"/>
        </w:rPr>
        <w:t xml:space="preserve"> Therefore, the Court found the audit review unhelpful in protecting consumers against improper spending of FirstEnergy’s charge.  The reports generated as a result of the review would not be available until </w:t>
      </w:r>
      <w:r w:rsidRPr="00C55C85">
        <w:rPr>
          <w:rFonts w:cs="Times New Roman"/>
          <w:i/>
          <w:iCs/>
          <w:szCs w:val="24"/>
        </w:rPr>
        <w:t>after</w:t>
      </w:r>
      <w:r>
        <w:rPr>
          <w:rFonts w:cs="Times New Roman"/>
          <w:szCs w:val="24"/>
        </w:rPr>
        <w:t xml:space="preserve"> FirstEnergy’s charge was collected and spent.  And there would be no remedy if FirstEnergy’s spending is found improper.</w:t>
      </w:r>
      <w:r>
        <w:rPr>
          <w:rStyle w:val="FootnoteReference"/>
          <w:rFonts w:cs="Times New Roman"/>
          <w:szCs w:val="24"/>
        </w:rPr>
        <w:footnoteReference w:id="80"/>
      </w:r>
      <w:r>
        <w:rPr>
          <w:rFonts w:cs="Times New Roman"/>
          <w:szCs w:val="24"/>
        </w:rPr>
        <w:t xml:space="preserve"> </w:t>
      </w:r>
    </w:p>
    <w:p w:rsidR="00754E72" w:rsidRPr="00204A9A" w:rsidP="00042A25">
      <w:pPr>
        <w:ind w:firstLine="720"/>
        <w:rPr>
          <w:rFonts w:cs="Times New Roman"/>
          <w:i/>
          <w:iCs/>
          <w:szCs w:val="24"/>
        </w:rPr>
      </w:pPr>
      <w:r>
        <w:rPr>
          <w:rFonts w:cs="Times New Roman"/>
          <w:szCs w:val="24"/>
        </w:rPr>
        <w:t>Tragically, the PUCO failed to protect customers because the $456 million collected from customers through FirstEnergy’s charge was not collected subject to refund.  As the Court correctly noted,</w:t>
      </w:r>
      <w:r>
        <w:rPr>
          <w:rStyle w:val="FootnoteReference"/>
          <w:rFonts w:cs="Times New Roman"/>
          <w:szCs w:val="24"/>
        </w:rPr>
        <w:footnoteReference w:id="81"/>
      </w:r>
      <w:r>
        <w:rPr>
          <w:rFonts w:cs="Times New Roman"/>
          <w:szCs w:val="24"/>
        </w:rPr>
        <w:t xml:space="preserve"> there is no consequence (and no protection for customers) for FirstEnergy’s behavior – not spending a penny on distribution service for customers but using customers’ money to give higher dividends to its parent and potentially to its parent’s shareholders.</w:t>
      </w:r>
    </w:p>
    <w:p w:rsidR="00042A25" w:rsidP="00042A25">
      <w:pPr>
        <w:autoSpaceDE w:val="0"/>
        <w:autoSpaceDN w:val="0"/>
        <w:adjustRightInd w:val="0"/>
        <w:rPr>
          <w:rFonts w:cs="Times New Roman"/>
          <w:szCs w:val="24"/>
        </w:rPr>
      </w:pPr>
      <w:r>
        <w:rPr>
          <w:rFonts w:cs="Times New Roman"/>
          <w:szCs w:val="24"/>
        </w:rPr>
        <w:tab/>
        <w:t>Further, the Court found that the PUCO’s PowerForward initiative delays the implementation of FirstEnergy’s grid-modernization plan.</w:t>
      </w:r>
      <w:r>
        <w:rPr>
          <w:rStyle w:val="FootnoteReference"/>
          <w:rFonts w:cs="Times New Roman"/>
          <w:szCs w:val="24"/>
        </w:rPr>
        <w:footnoteReference w:id="82"/>
      </w:r>
      <w:r>
        <w:rPr>
          <w:rFonts w:cs="Times New Roman"/>
          <w:szCs w:val="24"/>
        </w:rPr>
        <w:t xml:space="preserve"> The Court acknowledged that the PUCO conditioned FirstEnergy’s charge on demonstrating sufficient progress in implementing and deploying </w:t>
      </w:r>
      <w:r>
        <w:rPr>
          <w:rFonts w:cs="Times New Roman"/>
          <w:i/>
          <w:iCs/>
          <w:szCs w:val="24"/>
        </w:rPr>
        <w:t>PUCO approved</w:t>
      </w:r>
      <w:r>
        <w:rPr>
          <w:rFonts w:cs="Times New Roman"/>
          <w:szCs w:val="24"/>
        </w:rPr>
        <w:t xml:space="preserve"> grid-modernization projects</w:t>
      </w:r>
      <w:r w:rsidRPr="00F8138C">
        <w:rPr>
          <w:rFonts w:cs="Times New Roman"/>
          <w:szCs w:val="24"/>
        </w:rPr>
        <w:t>.</w:t>
      </w:r>
      <w:r>
        <w:rPr>
          <w:rStyle w:val="FootnoteReference"/>
          <w:rFonts w:cs="Times New Roman"/>
          <w:szCs w:val="24"/>
        </w:rPr>
        <w:footnoteReference w:id="83"/>
      </w:r>
      <w:r w:rsidRPr="00F8138C">
        <w:rPr>
          <w:rFonts w:cs="Times New Roman"/>
          <w:szCs w:val="24"/>
        </w:rPr>
        <w:t xml:space="preserve"> </w:t>
      </w:r>
      <w:r>
        <w:rPr>
          <w:rFonts w:cs="Times New Roman"/>
          <w:szCs w:val="24"/>
        </w:rPr>
        <w:t>And although FirstEnergy</w:t>
      </w:r>
      <w:r w:rsidRPr="008A12E8">
        <w:rPr>
          <w:rFonts w:cs="Times New Roman"/>
          <w:szCs w:val="24"/>
        </w:rPr>
        <w:t xml:space="preserve"> file</w:t>
      </w:r>
      <w:r>
        <w:rPr>
          <w:rFonts w:cs="Times New Roman"/>
          <w:szCs w:val="24"/>
        </w:rPr>
        <w:t>d</w:t>
      </w:r>
      <w:r w:rsidRPr="008A12E8">
        <w:rPr>
          <w:rFonts w:cs="Times New Roman"/>
          <w:szCs w:val="24"/>
        </w:rPr>
        <w:t xml:space="preserve"> an application on February 29, 2016</w:t>
      </w:r>
      <w:r>
        <w:rPr>
          <w:rFonts w:cs="Times New Roman"/>
          <w:szCs w:val="24"/>
        </w:rPr>
        <w:t xml:space="preserve"> proposing a  grid-modernization plan, the PUCO made the condition of “sufficient progress” in implementing and deploying PUCO-approved projects practically impossible to comply with.</w:t>
      </w:r>
      <w:r>
        <w:rPr>
          <w:rStyle w:val="FootnoteReference"/>
          <w:rFonts w:cs="Times New Roman"/>
          <w:szCs w:val="24"/>
        </w:rPr>
        <w:footnoteReference w:id="84"/>
      </w:r>
      <w:r>
        <w:rPr>
          <w:rFonts w:cs="Times New Roman"/>
          <w:szCs w:val="24"/>
        </w:rPr>
        <w:t xml:space="preserve"> This is because it ordered that no projects would be approved until </w:t>
      </w:r>
      <w:r w:rsidRPr="00A43C34">
        <w:rPr>
          <w:rFonts w:cs="Times New Roman"/>
          <w:i/>
          <w:iCs/>
          <w:szCs w:val="24"/>
        </w:rPr>
        <w:t>after</w:t>
      </w:r>
      <w:r>
        <w:rPr>
          <w:rFonts w:cs="Times New Roman"/>
          <w:szCs w:val="24"/>
        </w:rPr>
        <w:t xml:space="preserve"> the completion of its PowerForward initiative.</w:t>
      </w:r>
      <w:r>
        <w:rPr>
          <w:rStyle w:val="FootnoteReference"/>
          <w:rFonts w:cs="Times New Roman"/>
          <w:szCs w:val="24"/>
        </w:rPr>
        <w:footnoteReference w:id="85"/>
      </w:r>
      <w:r>
        <w:rPr>
          <w:rFonts w:cs="Times New Roman"/>
          <w:szCs w:val="24"/>
        </w:rPr>
        <w:t xml:space="preserve"> </w:t>
      </w:r>
    </w:p>
    <w:p w:rsidR="00042A25" w:rsidRPr="00204A9A" w:rsidP="00042A25">
      <w:pPr>
        <w:autoSpaceDE w:val="0"/>
        <w:autoSpaceDN w:val="0"/>
        <w:adjustRightInd w:val="0"/>
        <w:ind w:firstLine="720"/>
        <w:rPr>
          <w:rFonts w:cs="Times New Roman"/>
          <w:i/>
          <w:iCs/>
          <w:szCs w:val="24"/>
        </w:rPr>
      </w:pPr>
      <w:r>
        <w:rPr>
          <w:rFonts w:cs="Times New Roman"/>
          <w:szCs w:val="24"/>
        </w:rPr>
        <w:t>The PowerForward Roadmap was completed on August 29, 2018, and the PUCO is still in the process of implementing it.</w:t>
      </w:r>
      <w:r>
        <w:rPr>
          <w:rStyle w:val="FootnoteReference"/>
          <w:rFonts w:cs="Times New Roman"/>
          <w:szCs w:val="24"/>
        </w:rPr>
        <w:footnoteReference w:id="86"/>
      </w:r>
      <w:r>
        <w:rPr>
          <w:rFonts w:cs="Times New Roman"/>
          <w:szCs w:val="24"/>
        </w:rPr>
        <w:t xml:space="preserve">  But at the same time FirstEnergy’s charge was initially approved for three years beginning January 1, 2017.</w:t>
      </w:r>
      <w:r>
        <w:rPr>
          <w:rStyle w:val="FootnoteReference"/>
          <w:rFonts w:cs="Times New Roman"/>
          <w:szCs w:val="24"/>
        </w:rPr>
        <w:footnoteReference w:id="87"/>
      </w:r>
      <w:r>
        <w:rPr>
          <w:rFonts w:cs="Times New Roman"/>
          <w:szCs w:val="24"/>
        </w:rPr>
        <w:t xml:space="preserve"> The Court found that this delay made it likely that FirstEnergy would collect most, if not all, of the DMR charge </w:t>
      </w:r>
      <w:r w:rsidRPr="00C55C85">
        <w:rPr>
          <w:rFonts w:cs="Times New Roman"/>
          <w:i/>
          <w:iCs/>
          <w:szCs w:val="24"/>
        </w:rPr>
        <w:t>before</w:t>
      </w:r>
      <w:r>
        <w:rPr>
          <w:rFonts w:cs="Times New Roman"/>
          <w:szCs w:val="24"/>
        </w:rPr>
        <w:t xml:space="preserve"> the PUCO actually approved any distribution modernization projects.</w:t>
      </w:r>
      <w:r>
        <w:rPr>
          <w:rStyle w:val="FootnoteReference"/>
          <w:rFonts w:cs="Times New Roman"/>
          <w:szCs w:val="24"/>
        </w:rPr>
        <w:footnoteReference w:id="88"/>
      </w:r>
      <w:r>
        <w:rPr>
          <w:rFonts w:cs="Times New Roman"/>
          <w:szCs w:val="24"/>
        </w:rPr>
        <w:t xml:space="preserve"> The  Court found that delays due to PowerForward undermined the “condition” of demonstrating sufficient progress in implementing and deploying PUCO approved grid-modernization projects and was insufficient to protect consumers.</w:t>
      </w:r>
      <w:r>
        <w:rPr>
          <w:rStyle w:val="FootnoteReference"/>
          <w:rFonts w:cs="Times New Roman"/>
          <w:szCs w:val="24"/>
        </w:rPr>
        <w:footnoteReference w:id="89"/>
      </w:r>
      <w:r>
        <w:rPr>
          <w:rFonts w:cs="Times New Roman"/>
          <w:szCs w:val="24"/>
        </w:rPr>
        <w:t xml:space="preserve"> </w:t>
      </w:r>
    </w:p>
    <w:p w:rsidR="00DD0E75" w:rsidP="002E6045">
      <w:pPr>
        <w:autoSpaceDE w:val="0"/>
        <w:autoSpaceDN w:val="0"/>
        <w:adjustRightInd w:val="0"/>
        <w:ind w:firstLine="720"/>
        <w:rPr>
          <w:rFonts w:ascii="Times New Roman Bold" w:hAnsi="Times New Roman Bold" w:eastAsiaTheme="majorEastAsia" w:cstheme="majorBidi"/>
          <w:b/>
          <w:iCs/>
          <w:szCs w:val="24"/>
        </w:rPr>
      </w:pPr>
      <w:r>
        <w:rPr>
          <w:rFonts w:cs="Times New Roman"/>
          <w:szCs w:val="24"/>
        </w:rPr>
        <w:t xml:space="preserve">The Supreme Court of Ohio found that the alleged “conditions” </w:t>
      </w:r>
      <w:r w:rsidRPr="00204A9A">
        <w:rPr>
          <w:rFonts w:cs="Times New Roman"/>
          <w:szCs w:val="24"/>
        </w:rPr>
        <w:t xml:space="preserve">on </w:t>
      </w:r>
      <w:r>
        <w:rPr>
          <w:rFonts w:cs="Times New Roman"/>
          <w:szCs w:val="24"/>
        </w:rPr>
        <w:t>FirstEnergy’s charge</w:t>
      </w:r>
      <w:r w:rsidRPr="00204A9A">
        <w:rPr>
          <w:rFonts w:cs="Times New Roman"/>
          <w:szCs w:val="24"/>
        </w:rPr>
        <w:t xml:space="preserve"> contain</w:t>
      </w:r>
      <w:r>
        <w:rPr>
          <w:rFonts w:cs="Times New Roman"/>
          <w:szCs w:val="24"/>
        </w:rPr>
        <w:t>ed</w:t>
      </w:r>
      <w:r w:rsidRPr="00204A9A">
        <w:rPr>
          <w:rFonts w:cs="Times New Roman"/>
          <w:szCs w:val="24"/>
        </w:rPr>
        <w:t xml:space="preserve"> no </w:t>
      </w:r>
      <w:r>
        <w:rPr>
          <w:rFonts w:cs="Times New Roman"/>
          <w:szCs w:val="24"/>
        </w:rPr>
        <w:t xml:space="preserve">actual </w:t>
      </w:r>
      <w:r w:rsidRPr="00204A9A">
        <w:rPr>
          <w:rFonts w:cs="Times New Roman"/>
          <w:szCs w:val="24"/>
        </w:rPr>
        <w:t>consequences</w:t>
      </w:r>
      <w:r>
        <w:rPr>
          <w:rFonts w:cs="Times New Roman"/>
          <w:szCs w:val="24"/>
        </w:rPr>
        <w:t xml:space="preserve">, and therefore no consumer protections, </w:t>
      </w:r>
      <w:r w:rsidRPr="00204A9A">
        <w:rPr>
          <w:rFonts w:cs="Times New Roman"/>
          <w:szCs w:val="24"/>
        </w:rPr>
        <w:t>if FirstEnergy fail</w:t>
      </w:r>
      <w:r>
        <w:rPr>
          <w:rFonts w:cs="Times New Roman"/>
          <w:szCs w:val="24"/>
        </w:rPr>
        <w:t>ed</w:t>
      </w:r>
      <w:r w:rsidRPr="00204A9A">
        <w:rPr>
          <w:rFonts w:cs="Times New Roman"/>
          <w:szCs w:val="24"/>
        </w:rPr>
        <w:t xml:space="preserve"> to honor them.</w:t>
      </w:r>
      <w:r>
        <w:rPr>
          <w:rStyle w:val="FootnoteReference"/>
          <w:rFonts w:cs="Times New Roman"/>
          <w:szCs w:val="24"/>
        </w:rPr>
        <w:footnoteReference w:id="90"/>
      </w:r>
      <w:r>
        <w:rPr>
          <w:rFonts w:cs="Times New Roman"/>
          <w:szCs w:val="24"/>
        </w:rPr>
        <w:t xml:space="preserve"> Therefore, the Court concluded that the FE DMR was not subject to sufficient consumer protections and was unlawful under R.C. § 4928.143(B)(2)(h).</w:t>
      </w:r>
      <w:r>
        <w:rPr>
          <w:rStyle w:val="FootnoteReference"/>
          <w:rFonts w:cs="Times New Roman"/>
          <w:szCs w:val="24"/>
        </w:rPr>
        <w:footnoteReference w:id="91"/>
      </w:r>
      <w:r>
        <w:rPr>
          <w:rFonts w:cs="Times New Roman"/>
          <w:szCs w:val="24"/>
        </w:rPr>
        <w:t xml:space="preserve"> </w:t>
      </w:r>
    </w:p>
    <w:p w:rsidR="00042A25" w:rsidP="002E6045">
      <w:pPr>
        <w:pStyle w:val="Heading3"/>
        <w:rPr>
          <w:i/>
        </w:rPr>
      </w:pPr>
      <w:bookmarkStart w:id="13" w:name="_Toc15566875"/>
      <w:r>
        <w:t>2.</w:t>
      </w:r>
      <w:r>
        <w:tab/>
      </w:r>
      <w:r w:rsidRPr="00A008DA">
        <w:t xml:space="preserve">DP&amp;L’s </w:t>
      </w:r>
      <w:r>
        <w:t>charge</w:t>
      </w:r>
      <w:r w:rsidRPr="00A008DA">
        <w:t xml:space="preserve"> is unlawful under </w:t>
      </w:r>
      <w:r w:rsidRPr="00A008DA">
        <w:rPr>
          <w:i/>
        </w:rPr>
        <w:t>Ohio Edison</w:t>
      </w:r>
      <w:r>
        <w:t>, and should no longer be collected from consumers,</w:t>
      </w:r>
      <w:r w:rsidRPr="00A008DA">
        <w:rPr>
          <w:i/>
        </w:rPr>
        <w:t xml:space="preserve"> </w:t>
      </w:r>
      <w:r w:rsidRPr="00A008DA">
        <w:t xml:space="preserve">because </w:t>
      </w:r>
      <w:r>
        <w:t>DP&amp;L’s charge is</w:t>
      </w:r>
      <w:r w:rsidRPr="00A008DA">
        <w:t xml:space="preserve"> not “conditioned</w:t>
      </w:r>
      <w:r w:rsidRPr="00A008DA">
        <w:rPr>
          <w:i/>
        </w:rPr>
        <w:t xml:space="preserve"> </w:t>
      </w:r>
      <w:r w:rsidRPr="00A008DA">
        <w:t>upon the completion” of spending funds</w:t>
      </w:r>
      <w:r>
        <w:t xml:space="preserve"> from DP&amp;L’s charge</w:t>
      </w:r>
      <w:r w:rsidRPr="00A008DA">
        <w:t xml:space="preserve"> on grid-modernization and there are insufficient consumer protections</w:t>
      </w:r>
      <w:r w:rsidRPr="00A008DA">
        <w:rPr>
          <w:i/>
        </w:rPr>
        <w:t>.</w:t>
      </w:r>
      <w:bookmarkEnd w:id="13"/>
    </w:p>
    <w:p w:rsidR="00DD0E75" w:rsidRPr="00DD0E75" w:rsidP="00DD0E75">
      <w:pPr>
        <w:spacing w:line="240" w:lineRule="auto"/>
      </w:pPr>
    </w:p>
    <w:p w:rsidR="00363549" w:rsidP="00363549">
      <w:pPr>
        <w:ind w:firstLine="720"/>
        <w:rPr>
          <w:rFonts w:cs="Times New Roman"/>
          <w:szCs w:val="24"/>
        </w:rPr>
      </w:pPr>
      <w:r>
        <w:rPr>
          <w:rFonts w:cs="Times New Roman"/>
          <w:szCs w:val="24"/>
        </w:rPr>
        <w:t>As the PUCO has recognized, DP&amp;L’s charge is “similar” to FirstEnergy’s.</w:t>
      </w:r>
      <w:r>
        <w:rPr>
          <w:rStyle w:val="FootnoteReference"/>
          <w:rFonts w:cs="Times New Roman"/>
          <w:szCs w:val="24"/>
        </w:rPr>
        <w:footnoteReference w:id="92"/>
      </w:r>
      <w:r>
        <w:rPr>
          <w:rFonts w:cs="Times New Roman"/>
          <w:szCs w:val="24"/>
        </w:rPr>
        <w:t xml:space="preserve">  But it is more than just “similar.”  It is nearly identical to the FirstEnergy’s unlawful charge.  </w:t>
      </w:r>
      <w:r w:rsidRPr="008A12E8">
        <w:rPr>
          <w:rFonts w:cs="Times New Roman"/>
          <w:szCs w:val="24"/>
        </w:rPr>
        <w:t xml:space="preserve">DP&amp;L’s </w:t>
      </w:r>
      <w:r>
        <w:rPr>
          <w:rFonts w:cs="Times New Roman"/>
          <w:szCs w:val="24"/>
        </w:rPr>
        <w:t xml:space="preserve">charge suffers from </w:t>
      </w:r>
      <w:r w:rsidRPr="008A12E8">
        <w:rPr>
          <w:rFonts w:cs="Times New Roman"/>
          <w:szCs w:val="24"/>
        </w:rPr>
        <w:t>the same fatal flaws</w:t>
      </w:r>
      <w:r>
        <w:rPr>
          <w:rFonts w:cs="Times New Roman"/>
          <w:szCs w:val="24"/>
        </w:rPr>
        <w:t xml:space="preserve"> as FirstEnergy’s unlawful charge. </w:t>
      </w:r>
      <w:r w:rsidRPr="00363549">
        <w:t xml:space="preserve"> </w:t>
      </w:r>
      <w:r>
        <w:t>DP&amp;L’s charge is not “</w:t>
      </w:r>
      <w:r w:rsidRPr="008A12E8">
        <w:t>conditioned</w:t>
      </w:r>
      <w:r w:rsidRPr="008A12E8">
        <w:rPr>
          <w:i/>
          <w:iCs/>
        </w:rPr>
        <w:t xml:space="preserve"> </w:t>
      </w:r>
      <w:r w:rsidRPr="008A12E8">
        <w:t>upon the completion</w:t>
      </w:r>
      <w:r>
        <w:t>”</w:t>
      </w:r>
      <w:r w:rsidRPr="008A12E8">
        <w:t xml:space="preserve"> </w:t>
      </w:r>
      <w:r>
        <w:t xml:space="preserve">of </w:t>
      </w:r>
      <w:r>
        <w:rPr>
          <w:i/>
          <w:iCs/>
        </w:rPr>
        <w:t>any</w:t>
      </w:r>
      <w:r>
        <w:t xml:space="preserve"> grid-modernization.</w:t>
      </w:r>
      <w:r>
        <w:rPr>
          <w:rStyle w:val="FootnoteReference"/>
          <w:rFonts w:cs="Times New Roman"/>
          <w:szCs w:val="24"/>
        </w:rPr>
        <w:footnoteReference w:id="93"/>
      </w:r>
      <w:r>
        <w:t xml:space="preserve">  DP&amp;L’s charge lacks sufficient consumer protections.</w:t>
      </w:r>
      <w:r>
        <w:rPr>
          <w:rStyle w:val="FootnoteReference"/>
          <w:rFonts w:cs="Times New Roman"/>
          <w:szCs w:val="24"/>
        </w:rPr>
        <w:footnoteReference w:id="94"/>
      </w:r>
      <w:r>
        <w:t xml:space="preserve"> </w:t>
      </w:r>
    </w:p>
    <w:p w:rsidR="00042A25" w:rsidRPr="00963C46" w:rsidP="00042A25">
      <w:pPr>
        <w:ind w:firstLine="720"/>
        <w:rPr>
          <w:rFonts w:cs="Times New Roman"/>
          <w:szCs w:val="24"/>
        </w:rPr>
      </w:pPr>
      <w:r>
        <w:rPr>
          <w:rFonts w:cs="Times New Roman"/>
          <w:szCs w:val="24"/>
        </w:rPr>
        <w:t xml:space="preserve">Like FirstEnergy’s charge found unlawful in </w:t>
      </w:r>
      <w:r>
        <w:rPr>
          <w:rFonts w:cs="Times New Roman"/>
          <w:i/>
          <w:iCs/>
          <w:szCs w:val="24"/>
        </w:rPr>
        <w:t xml:space="preserve">Ohio Edison, </w:t>
      </w:r>
      <w:r>
        <w:rPr>
          <w:rFonts w:cs="Times New Roman"/>
          <w:szCs w:val="24"/>
        </w:rPr>
        <w:t>DP&amp;L’s charge is unlawful.</w:t>
      </w:r>
      <w:r>
        <w:rPr>
          <w:rStyle w:val="FootnoteReference"/>
          <w:rFonts w:cs="Times New Roman"/>
          <w:szCs w:val="24"/>
        </w:rPr>
        <w:footnoteReference w:id="95"/>
      </w:r>
      <w:r>
        <w:rPr>
          <w:rFonts w:cs="Times New Roman"/>
          <w:szCs w:val="24"/>
        </w:rPr>
        <w:t xml:space="preserve"> It is not an “incentive” under R.C. 4928.143(B)(2)(h).  Like it did in connection with the unlawful FirstEnergy charge, the PUCO relied on the dictionary definition of “incentive.”</w:t>
      </w:r>
      <w:r>
        <w:rPr>
          <w:rStyle w:val="FootnoteReference"/>
          <w:rFonts w:cs="Times New Roman"/>
          <w:szCs w:val="24"/>
        </w:rPr>
        <w:footnoteReference w:id="96"/>
      </w:r>
      <w:r>
        <w:rPr>
          <w:rFonts w:cs="Times New Roman"/>
          <w:szCs w:val="24"/>
        </w:rPr>
        <w:t xml:space="preserve">  And like it did in connection with the unlawful FirstEnergy charge, the PUCO asserted that “the DMR provides DP&amp;L with the ability to access the capital markets at favorable rates to ensure investment in the distribution system and that accessing the capital markets will enable the Company to procure funds to jumpstart their distribution gird modernization initiatives.”</w:t>
      </w:r>
      <w:r>
        <w:rPr>
          <w:rStyle w:val="FootnoteReference"/>
          <w:rFonts w:cs="Times New Roman"/>
          <w:szCs w:val="24"/>
        </w:rPr>
        <w:footnoteReference w:id="97"/>
      </w:r>
      <w:r>
        <w:rPr>
          <w:rFonts w:cs="Times New Roman"/>
          <w:szCs w:val="24"/>
        </w:rPr>
        <w:t xml:space="preserve">  And like the FirstEnergy charge, DP&amp;L’s charge is unlawful because DP&amp;L’s collection of funds from the charge are not an “incentive.”  It is not “conditioned upon the completion” of spending DMR funds on grid-modernization.</w:t>
      </w:r>
      <w:r>
        <w:rPr>
          <w:rStyle w:val="FootnoteReference"/>
          <w:rFonts w:cs="Times New Roman"/>
          <w:szCs w:val="24"/>
        </w:rPr>
        <w:footnoteReference w:id="98"/>
      </w:r>
      <w:r>
        <w:rPr>
          <w:rFonts w:cs="Times New Roman"/>
          <w:szCs w:val="24"/>
        </w:rPr>
        <w:t xml:space="preserve"> It is also unlawful because there are insufficient consumer protections attached to DP&amp;L’s charge.</w:t>
      </w:r>
      <w:r>
        <w:rPr>
          <w:rStyle w:val="FootnoteReference"/>
          <w:rFonts w:cs="Times New Roman"/>
          <w:szCs w:val="24"/>
        </w:rPr>
        <w:footnoteReference w:id="99"/>
      </w:r>
      <w:r>
        <w:rPr>
          <w:rFonts w:cs="Times New Roman"/>
          <w:szCs w:val="24"/>
        </w:rPr>
        <w:t xml:space="preserve">  Because these charges are unlawful they violate the second prong of the PUCO’s settlement standard.  Additionally, it is not in the public interest to collect unlawful charges from customers, thus violating the third prong of the PUCO’s settlement standard.</w:t>
      </w:r>
    </w:p>
    <w:p w:rsidR="00042A25" w:rsidRPr="00C50B7E" w:rsidP="002E6045">
      <w:pPr>
        <w:pStyle w:val="Heading4"/>
      </w:pPr>
      <w:bookmarkStart w:id="14" w:name="_Toc15566876"/>
      <w:r>
        <w:t>a.</w:t>
      </w:r>
      <w:r>
        <w:tab/>
      </w:r>
      <w:r w:rsidRPr="00C50B7E">
        <w:t xml:space="preserve">DP&amp;L’s </w:t>
      </w:r>
      <w:r>
        <w:t>charge</w:t>
      </w:r>
      <w:r w:rsidRPr="00C50B7E">
        <w:t xml:space="preserve"> is unlawful under </w:t>
      </w:r>
      <w:r w:rsidRPr="00C50B7E">
        <w:rPr>
          <w:i/>
        </w:rPr>
        <w:t>Ohio Edison</w:t>
      </w:r>
      <w:r>
        <w:t>, and would therefore harm consumers,</w:t>
      </w:r>
      <w:r w:rsidRPr="00C50B7E">
        <w:t xml:space="preserve"> because DP&amp;L is not required to spend DMR funds on grid-modernization.</w:t>
      </w:r>
      <w:bookmarkEnd w:id="14"/>
    </w:p>
    <w:p w:rsidR="00042A25" w:rsidRPr="00963C46" w:rsidP="00042A25">
      <w:pPr>
        <w:ind w:firstLine="720"/>
        <w:rPr>
          <w:rFonts w:cs="Times New Roman"/>
          <w:szCs w:val="24"/>
        </w:rPr>
      </w:pPr>
      <w:r w:rsidRPr="00963C46">
        <w:rPr>
          <w:rFonts w:cs="Times New Roman"/>
          <w:szCs w:val="24"/>
        </w:rPr>
        <w:t xml:space="preserve">Under </w:t>
      </w:r>
      <w:r w:rsidRPr="00963C46">
        <w:rPr>
          <w:rFonts w:cs="Times New Roman"/>
          <w:i/>
          <w:iCs/>
          <w:szCs w:val="24"/>
        </w:rPr>
        <w:t>Ohio Edison</w:t>
      </w:r>
      <w:r w:rsidRPr="00963C46">
        <w:rPr>
          <w:rFonts w:cs="Times New Roman"/>
          <w:szCs w:val="24"/>
        </w:rPr>
        <w:t xml:space="preserve">, the Supreme Court of Ohio found that FirstEnergy’s </w:t>
      </w:r>
      <w:r>
        <w:rPr>
          <w:rFonts w:cs="Times New Roman"/>
          <w:szCs w:val="24"/>
        </w:rPr>
        <w:t>charge</w:t>
      </w:r>
      <w:r w:rsidRPr="00963C46">
        <w:rPr>
          <w:rFonts w:cs="Times New Roman"/>
          <w:szCs w:val="24"/>
        </w:rPr>
        <w:t xml:space="preserve"> was unlawful because </w:t>
      </w:r>
      <w:r>
        <w:rPr>
          <w:rFonts w:cs="Times New Roman"/>
          <w:szCs w:val="24"/>
        </w:rPr>
        <w:t>collecting it from consumers</w:t>
      </w:r>
      <w:r w:rsidRPr="00963C46">
        <w:rPr>
          <w:rFonts w:cs="Times New Roman"/>
          <w:szCs w:val="24"/>
        </w:rPr>
        <w:t xml:space="preserve"> was not “conditioned upon completion” of </w:t>
      </w:r>
      <w:r>
        <w:rPr>
          <w:rFonts w:cs="Times New Roman"/>
          <w:szCs w:val="24"/>
        </w:rPr>
        <w:t>spending</w:t>
      </w:r>
      <w:r w:rsidRPr="00963C46">
        <w:rPr>
          <w:rFonts w:cs="Times New Roman"/>
          <w:szCs w:val="24"/>
        </w:rPr>
        <w:t xml:space="preserve"> on grid</w:t>
      </w:r>
      <w:r>
        <w:rPr>
          <w:rFonts w:cs="Times New Roman"/>
          <w:szCs w:val="24"/>
        </w:rPr>
        <w:t>-</w:t>
      </w:r>
      <w:r w:rsidRPr="00963C46">
        <w:rPr>
          <w:rFonts w:cs="Times New Roman"/>
          <w:szCs w:val="24"/>
        </w:rPr>
        <w:t>modernization</w:t>
      </w:r>
      <w:r>
        <w:rPr>
          <w:rFonts w:cs="Times New Roman"/>
          <w:szCs w:val="24"/>
        </w:rPr>
        <w:t xml:space="preserve"> – it was not an “incentive</w:t>
      </w:r>
      <w:r w:rsidRPr="00963C46">
        <w:rPr>
          <w:rFonts w:cs="Times New Roman"/>
          <w:szCs w:val="24"/>
        </w:rPr>
        <w:t>.</w:t>
      </w:r>
      <w:r>
        <w:rPr>
          <w:rFonts w:cs="Times New Roman"/>
          <w:szCs w:val="24"/>
        </w:rPr>
        <w:t>”</w:t>
      </w:r>
      <w:r>
        <w:rPr>
          <w:rStyle w:val="FootnoteReference"/>
          <w:rFonts w:cs="Times New Roman"/>
          <w:szCs w:val="24"/>
        </w:rPr>
        <w:footnoteReference w:id="100"/>
      </w:r>
      <w:r w:rsidRPr="00963C46">
        <w:rPr>
          <w:rFonts w:cs="Times New Roman"/>
          <w:szCs w:val="24"/>
        </w:rPr>
        <w:t xml:space="preserve"> </w:t>
      </w:r>
      <w:r>
        <w:rPr>
          <w:rFonts w:cs="Times New Roman"/>
          <w:szCs w:val="24"/>
        </w:rPr>
        <w:t>T</w:t>
      </w:r>
      <w:r w:rsidRPr="00963C46">
        <w:rPr>
          <w:rFonts w:cs="Times New Roman"/>
          <w:szCs w:val="24"/>
        </w:rPr>
        <w:t>he Court held that “credit support” is not an incentive under R.C. 4928.143(B)(2)(h).</w:t>
      </w:r>
      <w:r>
        <w:rPr>
          <w:rStyle w:val="FootnoteReference"/>
          <w:rFonts w:cs="Times New Roman"/>
          <w:szCs w:val="24"/>
        </w:rPr>
        <w:footnoteReference w:id="101"/>
      </w:r>
      <w:r w:rsidRPr="00963C46">
        <w:rPr>
          <w:rFonts w:cs="Times New Roman"/>
          <w:szCs w:val="24"/>
        </w:rPr>
        <w:t xml:space="preserve"> Likewise, PUCO Staff’s “intentions” are not an incentive under R.C. 4928.143(B)(2)(h).</w:t>
      </w:r>
      <w:r>
        <w:rPr>
          <w:rStyle w:val="FootnoteReference"/>
          <w:rFonts w:cs="Times New Roman"/>
          <w:szCs w:val="24"/>
        </w:rPr>
        <w:footnoteReference w:id="102"/>
      </w:r>
      <w:r w:rsidRPr="00963C46">
        <w:rPr>
          <w:rFonts w:cs="Times New Roman"/>
          <w:szCs w:val="24"/>
        </w:rPr>
        <w:t xml:space="preserve"> </w:t>
      </w:r>
      <w:r>
        <w:rPr>
          <w:rFonts w:cs="Times New Roman"/>
          <w:szCs w:val="24"/>
        </w:rPr>
        <w:t xml:space="preserve">And </w:t>
      </w:r>
      <w:r w:rsidRPr="00963C46">
        <w:rPr>
          <w:rFonts w:cs="Times New Roman"/>
          <w:szCs w:val="24"/>
        </w:rPr>
        <w:t>any alleged “conditions” are meaningless where there is no penalty if the “condition” is not met.</w:t>
      </w:r>
      <w:r>
        <w:rPr>
          <w:rStyle w:val="FootnoteReference"/>
          <w:rFonts w:cs="Times New Roman"/>
          <w:szCs w:val="24"/>
        </w:rPr>
        <w:footnoteReference w:id="103"/>
      </w:r>
      <w:r w:rsidRPr="00963C46">
        <w:rPr>
          <w:rFonts w:cs="Times New Roman"/>
          <w:szCs w:val="24"/>
        </w:rPr>
        <w:t xml:space="preserve"> </w:t>
      </w:r>
    </w:p>
    <w:p w:rsidR="00042A25" w:rsidP="00042A25">
      <w:pPr>
        <w:ind w:firstLine="720"/>
        <w:rPr>
          <w:rFonts w:cs="Times New Roman"/>
          <w:szCs w:val="24"/>
        </w:rPr>
      </w:pPr>
      <w:r>
        <w:rPr>
          <w:rFonts w:cs="Times New Roman"/>
          <w:szCs w:val="24"/>
        </w:rPr>
        <w:t>On March 14, 2017 DP&amp;L filed, and the PUCO later approved, an Amended Stipulation and Recommendation that did not contain any requirements that DP&amp;L’s charge was “conditioned upon completion” of any grid-modernization.</w:t>
      </w:r>
      <w:r>
        <w:rPr>
          <w:rStyle w:val="FootnoteReference"/>
          <w:rFonts w:cs="Times New Roman"/>
          <w:szCs w:val="24"/>
        </w:rPr>
        <w:footnoteReference w:id="104"/>
      </w:r>
      <w:r>
        <w:rPr>
          <w:rFonts w:cs="Times New Roman"/>
          <w:szCs w:val="24"/>
        </w:rPr>
        <w:t xml:space="preserve"> </w:t>
      </w:r>
      <w:r w:rsidRPr="00203527">
        <w:rPr>
          <w:rFonts w:cs="Times New Roman"/>
          <w:szCs w:val="24"/>
        </w:rPr>
        <w:t>The Amended Stipulation specifically state</w:t>
      </w:r>
      <w:r>
        <w:rPr>
          <w:rFonts w:cs="Times New Roman"/>
          <w:szCs w:val="24"/>
        </w:rPr>
        <w:t>s</w:t>
      </w:r>
      <w:r w:rsidRPr="00203527">
        <w:rPr>
          <w:rFonts w:cs="Times New Roman"/>
          <w:szCs w:val="24"/>
        </w:rPr>
        <w:t xml:space="preserve"> that “Cash flow from the DMR will be used to (a) </w:t>
      </w:r>
      <w:r w:rsidRPr="00204A9A">
        <w:rPr>
          <w:rFonts w:cs="Times New Roman"/>
          <w:szCs w:val="24"/>
        </w:rPr>
        <w:t>pay interest obligations on existing debt at DPL Inc. and DP&amp;L; (b) make discretionary debt prepayments at DPL Inc. and DP&amp;L; and (c) position DP&amp;L to make capital expenditures to modernize and/or maintain DP&amp;L's transmission and distribution infrastructure.</w:t>
      </w:r>
      <w:r>
        <w:rPr>
          <w:rFonts w:cs="Times New Roman"/>
          <w:szCs w:val="24"/>
        </w:rPr>
        <w:t>”</w:t>
      </w:r>
      <w:r>
        <w:rPr>
          <w:rStyle w:val="FootnoteReference"/>
          <w:rFonts w:cs="Times New Roman"/>
          <w:szCs w:val="24"/>
        </w:rPr>
        <w:footnoteReference w:id="105"/>
      </w:r>
      <w:r>
        <w:rPr>
          <w:rFonts w:cs="Times New Roman"/>
          <w:szCs w:val="24"/>
        </w:rPr>
        <w:t xml:space="preserve"> </w:t>
      </w:r>
    </w:p>
    <w:p w:rsidR="00042A25" w:rsidP="00042A25">
      <w:pPr>
        <w:ind w:firstLine="720"/>
        <w:rPr>
          <w:rFonts w:cs="Times New Roman"/>
          <w:szCs w:val="24"/>
        </w:rPr>
      </w:pPr>
      <w:r>
        <w:rPr>
          <w:rFonts w:cs="Times New Roman"/>
          <w:szCs w:val="24"/>
        </w:rPr>
        <w:t xml:space="preserve">Nowhere in the Amended Stipulation, or the PUCO decisions approving it, is DP&amp;L required to spend </w:t>
      </w:r>
      <w:r w:rsidRPr="00204A9A">
        <w:rPr>
          <w:rFonts w:cs="Times New Roman"/>
          <w:i/>
          <w:iCs/>
          <w:szCs w:val="24"/>
        </w:rPr>
        <w:t>any</w:t>
      </w:r>
      <w:r>
        <w:rPr>
          <w:rFonts w:cs="Times New Roman"/>
          <w:szCs w:val="24"/>
        </w:rPr>
        <w:t xml:space="preserve"> of the DMR charge </w:t>
      </w:r>
      <w:r w:rsidRPr="0095086F">
        <w:rPr>
          <w:rFonts w:cs="Times New Roman"/>
          <w:i/>
          <w:iCs/>
          <w:szCs w:val="24"/>
        </w:rPr>
        <w:t>directly</w:t>
      </w:r>
      <w:r>
        <w:rPr>
          <w:rFonts w:cs="Times New Roman"/>
          <w:szCs w:val="24"/>
        </w:rPr>
        <w:t xml:space="preserve"> on grid-modernization. Although in its Third Entry on Rehearing, the PUCO explained that DP&amp;L is required to file a Grid Modernization Plan, this is not a requirement that makes DP&amp;L’s collection of the DMR charge “conditioned upon completion” of the Plan.</w:t>
      </w:r>
      <w:r>
        <w:rPr>
          <w:rStyle w:val="FootnoteReference"/>
          <w:rFonts w:cs="Times New Roman"/>
          <w:szCs w:val="24"/>
        </w:rPr>
        <w:footnoteReference w:id="106"/>
      </w:r>
      <w:r>
        <w:rPr>
          <w:rFonts w:cs="Times New Roman"/>
          <w:szCs w:val="24"/>
        </w:rPr>
        <w:t xml:space="preserve"> It is not a requirement because the PUCO attached a disclaimer to its requirement stating “we cannot commit that the grid modernization plan will be fully implemented by the end of the ESP…in fact, it is unlikely….”</w:t>
      </w:r>
      <w:r>
        <w:rPr>
          <w:rStyle w:val="FootnoteReference"/>
          <w:rFonts w:cs="Times New Roman"/>
          <w:szCs w:val="24"/>
        </w:rPr>
        <w:footnoteReference w:id="107"/>
      </w:r>
      <w:r>
        <w:t xml:space="preserve"> </w:t>
      </w:r>
      <w:r>
        <w:rPr>
          <w:rFonts w:cs="Times New Roman"/>
          <w:szCs w:val="24"/>
        </w:rPr>
        <w:t>The Third Entry on Rehearing also</w:t>
      </w:r>
      <w:r w:rsidRPr="00F87082">
        <w:rPr>
          <w:rFonts w:cs="Times New Roman"/>
          <w:szCs w:val="24"/>
        </w:rPr>
        <w:t xml:space="preserve"> made it clear that DP&amp;L’s </w:t>
      </w:r>
      <w:r>
        <w:rPr>
          <w:rFonts w:cs="Times New Roman"/>
          <w:szCs w:val="24"/>
        </w:rPr>
        <w:t xml:space="preserve">spending of the </w:t>
      </w:r>
      <w:r w:rsidRPr="00F87082">
        <w:rPr>
          <w:rFonts w:cs="Times New Roman"/>
          <w:szCs w:val="24"/>
        </w:rPr>
        <w:t xml:space="preserve">DMR </w:t>
      </w:r>
      <w:r>
        <w:rPr>
          <w:rFonts w:cs="Times New Roman"/>
          <w:szCs w:val="24"/>
        </w:rPr>
        <w:t>charge on grid-modernization is</w:t>
      </w:r>
      <w:r w:rsidRPr="00F87082">
        <w:rPr>
          <w:rFonts w:cs="Times New Roman"/>
          <w:szCs w:val="24"/>
        </w:rPr>
        <w:t xml:space="preserve"> delayed by PowerForward, just </w:t>
      </w:r>
      <w:r>
        <w:rPr>
          <w:rFonts w:cs="Times New Roman"/>
          <w:szCs w:val="24"/>
        </w:rPr>
        <w:t>as</w:t>
      </w:r>
      <w:r w:rsidRPr="00F87082">
        <w:rPr>
          <w:rFonts w:cs="Times New Roman"/>
          <w:szCs w:val="24"/>
        </w:rPr>
        <w:t xml:space="preserve"> FirstEnergy’s was.</w:t>
      </w:r>
      <w:r>
        <w:rPr>
          <w:rStyle w:val="FootnoteReference"/>
          <w:rFonts w:cs="Times New Roman"/>
          <w:szCs w:val="24"/>
        </w:rPr>
        <w:footnoteReference w:id="108"/>
      </w:r>
      <w:r w:rsidRPr="00F87082">
        <w:rPr>
          <w:rFonts w:cs="Times New Roman"/>
          <w:szCs w:val="24"/>
        </w:rPr>
        <w:t xml:space="preserve"> </w:t>
      </w:r>
    </w:p>
    <w:p w:rsidR="00042A25" w:rsidP="00042A25">
      <w:pPr>
        <w:ind w:firstLine="720"/>
        <w:rPr>
          <w:rFonts w:cs="Times New Roman"/>
          <w:szCs w:val="24"/>
        </w:rPr>
      </w:pPr>
      <w:r w:rsidRPr="00F87082">
        <w:rPr>
          <w:rFonts w:cs="Times New Roman"/>
          <w:szCs w:val="24"/>
        </w:rPr>
        <w:t xml:space="preserve">The PUCO’s assertion that </w:t>
      </w:r>
      <w:r>
        <w:rPr>
          <w:rFonts w:cs="Times New Roman"/>
          <w:szCs w:val="24"/>
        </w:rPr>
        <w:t>“</w:t>
      </w:r>
      <w:r w:rsidRPr="00F87082">
        <w:rPr>
          <w:rFonts w:cs="Times New Roman"/>
          <w:szCs w:val="24"/>
        </w:rPr>
        <w:t>the Amended Stipulation, rather than the DMR, requires that DP&amp;L invest in grid modernization, subject to Commission approval of the modernization plan</w:t>
      </w:r>
      <w:r>
        <w:rPr>
          <w:rFonts w:cs="Times New Roman"/>
          <w:szCs w:val="24"/>
        </w:rPr>
        <w:t>,” and that “[t]</w:t>
      </w:r>
      <w:r w:rsidRPr="00F87082">
        <w:rPr>
          <w:rFonts w:cs="Times New Roman"/>
          <w:szCs w:val="24"/>
        </w:rPr>
        <w:t xml:space="preserve">he DMR provides DP&amp;L with the means to improve its credit worthiness and overall financial integrity so that it can satisfy the requirement to make grid modernization investments, and to do so in a financially efficient manner” </w:t>
      </w:r>
      <w:r>
        <w:rPr>
          <w:rFonts w:cs="Times New Roman"/>
          <w:szCs w:val="24"/>
        </w:rPr>
        <w:t>does not save DP&amp;L’s charge.</w:t>
      </w:r>
      <w:r>
        <w:rPr>
          <w:rStyle w:val="FootnoteReference"/>
          <w:rFonts w:cs="Times New Roman"/>
          <w:szCs w:val="24"/>
        </w:rPr>
        <w:footnoteReference w:id="109"/>
      </w:r>
      <w:r>
        <w:rPr>
          <w:rFonts w:cs="Times New Roman"/>
          <w:szCs w:val="24"/>
        </w:rPr>
        <w:t xml:space="preserve"> There is no</w:t>
      </w:r>
      <w:r w:rsidRPr="00F87082">
        <w:rPr>
          <w:rFonts w:cs="Times New Roman"/>
          <w:szCs w:val="24"/>
        </w:rPr>
        <w:t xml:space="preserve"> </w:t>
      </w:r>
      <w:r w:rsidRPr="00F87082">
        <w:rPr>
          <w:rFonts w:cs="Times New Roman"/>
          <w:i/>
          <w:iCs/>
          <w:szCs w:val="24"/>
        </w:rPr>
        <w:t>requirement</w:t>
      </w:r>
      <w:r w:rsidRPr="00F87082">
        <w:rPr>
          <w:rFonts w:cs="Times New Roman"/>
          <w:szCs w:val="24"/>
        </w:rPr>
        <w:t xml:space="preserve"> to spend the DMR </w:t>
      </w:r>
      <w:r>
        <w:rPr>
          <w:rFonts w:cs="Times New Roman"/>
          <w:szCs w:val="24"/>
        </w:rPr>
        <w:t>charge</w:t>
      </w:r>
      <w:r w:rsidRPr="00F87082">
        <w:rPr>
          <w:rFonts w:cs="Times New Roman"/>
          <w:szCs w:val="24"/>
        </w:rPr>
        <w:t xml:space="preserve"> on grid-modernization.</w:t>
      </w:r>
      <w:r>
        <w:rPr>
          <w:rStyle w:val="FootnoteReference"/>
          <w:rFonts w:cs="Times New Roman"/>
          <w:szCs w:val="24"/>
        </w:rPr>
        <w:footnoteReference w:id="110"/>
      </w:r>
      <w:r w:rsidRPr="00F87082">
        <w:rPr>
          <w:rFonts w:cs="Times New Roman"/>
          <w:szCs w:val="24"/>
        </w:rPr>
        <w:t xml:space="preserve"> </w:t>
      </w:r>
      <w:r>
        <w:rPr>
          <w:rFonts w:cs="Times New Roman"/>
          <w:szCs w:val="24"/>
        </w:rPr>
        <w:t>The Third Entry on Rehearing</w:t>
      </w:r>
      <w:r w:rsidRPr="00F87082">
        <w:rPr>
          <w:rFonts w:cs="Times New Roman"/>
          <w:szCs w:val="24"/>
        </w:rPr>
        <w:t xml:space="preserve"> makes this even more clear</w:t>
      </w:r>
      <w:r>
        <w:rPr>
          <w:rFonts w:cs="Times New Roman"/>
          <w:szCs w:val="24"/>
        </w:rPr>
        <w:t>, stating:</w:t>
      </w:r>
      <w:r w:rsidRPr="00F87082">
        <w:rPr>
          <w:rFonts w:cs="Times New Roman"/>
          <w:szCs w:val="24"/>
        </w:rPr>
        <w:t xml:space="preserve"> </w:t>
      </w:r>
    </w:p>
    <w:p w:rsidR="00042A25" w:rsidP="002E6045">
      <w:pPr>
        <w:spacing w:line="240" w:lineRule="auto"/>
        <w:ind w:left="720" w:right="720"/>
        <w:rPr>
          <w:rFonts w:cs="Times New Roman"/>
          <w:szCs w:val="24"/>
        </w:rPr>
      </w:pPr>
      <w:r>
        <w:rPr>
          <w:rFonts w:cs="Times New Roman"/>
          <w:szCs w:val="24"/>
        </w:rPr>
        <w:t>I</w:t>
      </w:r>
      <w:r w:rsidRPr="00F87082">
        <w:rPr>
          <w:rFonts w:cs="Times New Roman"/>
          <w:szCs w:val="24"/>
        </w:rPr>
        <w:t>t is important to note that the term of the ESP is six years, commencing November 1,</w:t>
      </w:r>
      <w:r>
        <w:rPr>
          <w:rFonts w:cs="Times New Roman"/>
          <w:szCs w:val="24"/>
        </w:rPr>
        <w:t xml:space="preserve"> </w:t>
      </w:r>
      <w:r w:rsidRPr="00F87082">
        <w:rPr>
          <w:rFonts w:cs="Times New Roman"/>
          <w:szCs w:val="24"/>
        </w:rPr>
        <w:t xml:space="preserve">2017, which allows the Commission, the Company and stakeholders to take a long-term perspective on the modernization plan. We </w:t>
      </w:r>
      <w:r w:rsidRPr="00F87082">
        <w:rPr>
          <w:rFonts w:cs="Times New Roman"/>
          <w:b/>
          <w:bCs/>
          <w:szCs w:val="24"/>
        </w:rPr>
        <w:t>cannot commit</w:t>
      </w:r>
      <w:r w:rsidRPr="00F87082">
        <w:rPr>
          <w:rFonts w:cs="Times New Roman"/>
          <w:szCs w:val="24"/>
        </w:rPr>
        <w:t xml:space="preserve"> that the grid modernization plan will be fully implemented by the end of the ESP on October 31, 2023; in fact, </w:t>
      </w:r>
      <w:r w:rsidRPr="00F87082">
        <w:rPr>
          <w:rFonts w:cs="Times New Roman"/>
          <w:b/>
          <w:bCs/>
          <w:szCs w:val="24"/>
        </w:rPr>
        <w:t>it is unlikely</w:t>
      </w:r>
      <w:r w:rsidRPr="00F87082">
        <w:rPr>
          <w:rFonts w:cs="Times New Roman"/>
          <w:szCs w:val="24"/>
        </w:rPr>
        <w:t xml:space="preserve"> that technology approved under the plan can be fully deployed by that date. However, by the end of the ESP, DP&amp;L will have a long-term grid modernization </w:t>
      </w:r>
      <w:r w:rsidRPr="00F87082">
        <w:rPr>
          <w:rFonts w:cs="Times New Roman"/>
          <w:b/>
          <w:bCs/>
          <w:szCs w:val="24"/>
        </w:rPr>
        <w:t>plan</w:t>
      </w:r>
      <w:r w:rsidRPr="00F87082">
        <w:rPr>
          <w:rFonts w:cs="Times New Roman"/>
          <w:szCs w:val="24"/>
        </w:rPr>
        <w:t xml:space="preserve"> in place and substantial progress </w:t>
      </w:r>
      <w:r w:rsidRPr="00F87082">
        <w:rPr>
          <w:rFonts w:cs="Times New Roman"/>
          <w:b/>
          <w:bCs/>
          <w:szCs w:val="24"/>
        </w:rPr>
        <w:t>in implementing the</w:t>
      </w:r>
      <w:r w:rsidRPr="00F87082">
        <w:rPr>
          <w:rFonts w:cs="Times New Roman"/>
          <w:szCs w:val="24"/>
        </w:rPr>
        <w:t xml:space="preserve"> grid modernization </w:t>
      </w:r>
      <w:r w:rsidRPr="00F87082">
        <w:rPr>
          <w:rFonts w:cs="Times New Roman"/>
          <w:b/>
          <w:bCs/>
          <w:szCs w:val="24"/>
        </w:rPr>
        <w:t>plan</w:t>
      </w:r>
      <w:r w:rsidRPr="00F87082">
        <w:rPr>
          <w:rFonts w:cs="Times New Roman"/>
          <w:szCs w:val="24"/>
        </w:rPr>
        <w:t xml:space="preserve"> will be achieved.</w:t>
      </w:r>
      <w:r>
        <w:rPr>
          <w:rStyle w:val="FootnoteReference"/>
          <w:rFonts w:cs="Times New Roman"/>
          <w:szCs w:val="24"/>
        </w:rPr>
        <w:footnoteReference w:id="111"/>
      </w:r>
      <w:r w:rsidRPr="00F87082">
        <w:rPr>
          <w:rFonts w:cs="Times New Roman"/>
          <w:szCs w:val="24"/>
        </w:rPr>
        <w:t xml:space="preserve">  </w:t>
      </w:r>
    </w:p>
    <w:p w:rsidR="005148DD" w:rsidP="005148DD">
      <w:pPr>
        <w:spacing w:line="240" w:lineRule="auto"/>
        <w:ind w:left="1440" w:right="720"/>
        <w:rPr>
          <w:rFonts w:cs="Times New Roman"/>
          <w:szCs w:val="24"/>
        </w:rPr>
      </w:pPr>
    </w:p>
    <w:p w:rsidR="00042A25" w:rsidRPr="00204A9A" w:rsidP="00042A25">
      <w:pPr>
        <w:ind w:firstLine="720"/>
        <w:rPr>
          <w:rFonts w:cs="Times New Roman"/>
          <w:szCs w:val="24"/>
        </w:rPr>
      </w:pPr>
      <w:r w:rsidRPr="00F87082">
        <w:rPr>
          <w:rFonts w:cs="Times New Roman"/>
          <w:szCs w:val="24"/>
        </w:rPr>
        <w:t>While it</w:t>
      </w:r>
      <w:r>
        <w:rPr>
          <w:rFonts w:cs="Times New Roman"/>
          <w:szCs w:val="24"/>
        </w:rPr>
        <w:t xml:space="preserve"> i</w:t>
      </w:r>
      <w:r w:rsidRPr="00F87082">
        <w:rPr>
          <w:rFonts w:cs="Times New Roman"/>
          <w:szCs w:val="24"/>
        </w:rPr>
        <w:t xml:space="preserve">s </w:t>
      </w:r>
      <w:r>
        <w:rPr>
          <w:rFonts w:cs="Times New Roman"/>
          <w:szCs w:val="24"/>
        </w:rPr>
        <w:t>commendable</w:t>
      </w:r>
      <w:r w:rsidRPr="00F87082">
        <w:rPr>
          <w:rFonts w:cs="Times New Roman"/>
          <w:szCs w:val="24"/>
        </w:rPr>
        <w:t xml:space="preserve"> that the PUCO wants DP&amp;L to have a grid-modernization plan, there </w:t>
      </w:r>
      <w:r>
        <w:rPr>
          <w:rFonts w:cs="Times New Roman"/>
          <w:szCs w:val="24"/>
        </w:rPr>
        <w:t>is no</w:t>
      </w:r>
      <w:r w:rsidRPr="00F87082">
        <w:rPr>
          <w:rFonts w:cs="Times New Roman"/>
          <w:szCs w:val="24"/>
        </w:rPr>
        <w:t xml:space="preserve"> condition or requirement that DP&amp;L do so to </w:t>
      </w:r>
      <w:r>
        <w:rPr>
          <w:rFonts w:cs="Times New Roman"/>
          <w:szCs w:val="24"/>
        </w:rPr>
        <w:t>collect the</w:t>
      </w:r>
      <w:r w:rsidRPr="00F87082">
        <w:rPr>
          <w:rFonts w:cs="Times New Roman"/>
          <w:szCs w:val="24"/>
        </w:rPr>
        <w:t xml:space="preserve"> DMR </w:t>
      </w:r>
      <w:r>
        <w:rPr>
          <w:rFonts w:cs="Times New Roman"/>
          <w:szCs w:val="24"/>
        </w:rPr>
        <w:t>charge from consumers</w:t>
      </w:r>
      <w:r w:rsidRPr="00F87082">
        <w:rPr>
          <w:rFonts w:cs="Times New Roman"/>
          <w:szCs w:val="24"/>
        </w:rPr>
        <w:t xml:space="preserve">. Under </w:t>
      </w:r>
      <w:r w:rsidRPr="00C55C85">
        <w:rPr>
          <w:rFonts w:cs="Times New Roman"/>
          <w:i/>
          <w:iCs/>
          <w:szCs w:val="24"/>
        </w:rPr>
        <w:t>Ohio Edison</w:t>
      </w:r>
      <w:r w:rsidRPr="00F87082">
        <w:rPr>
          <w:rFonts w:cs="Times New Roman"/>
          <w:szCs w:val="24"/>
        </w:rPr>
        <w:t>, this is not a “condition,” or “requirement” under R.C. 4928.143(B)(2)(h)</w:t>
      </w:r>
      <w:r>
        <w:rPr>
          <w:rFonts w:cs="Times New Roman"/>
          <w:szCs w:val="24"/>
        </w:rPr>
        <w:t xml:space="preserve">. Also, the PUCO’s reasoning and intention for approving DP&amp;L’s charge was for DP&amp;L to “use the funds recovered under the DMR </w:t>
      </w:r>
      <w:r w:rsidRPr="00FD48C6">
        <w:rPr>
          <w:rFonts w:cs="Times New Roman"/>
          <w:b/>
          <w:bCs/>
          <w:szCs w:val="24"/>
        </w:rPr>
        <w:t>exclusively</w:t>
      </w:r>
      <w:r>
        <w:rPr>
          <w:rFonts w:cs="Times New Roman"/>
          <w:szCs w:val="24"/>
        </w:rPr>
        <w:t xml:space="preserve"> to </w:t>
      </w:r>
      <w:r w:rsidRPr="00204A9A">
        <w:rPr>
          <w:rFonts w:cs="Times New Roman"/>
          <w:b/>
          <w:bCs/>
          <w:szCs w:val="24"/>
        </w:rPr>
        <w:t>improve its ability to access capital markets</w:t>
      </w:r>
      <w:r>
        <w:rPr>
          <w:rFonts w:cs="Times New Roman"/>
          <w:szCs w:val="24"/>
        </w:rPr>
        <w:t>…the DMR will enable DPL, Inc. and DP&amp;L to pay down their existing debt.”</w:t>
      </w:r>
      <w:r>
        <w:rPr>
          <w:rStyle w:val="FootnoteReference"/>
          <w:rFonts w:cs="Times New Roman"/>
          <w:szCs w:val="24"/>
        </w:rPr>
        <w:footnoteReference w:id="112"/>
      </w:r>
      <w:r>
        <w:rPr>
          <w:rFonts w:cs="Times New Roman"/>
          <w:szCs w:val="24"/>
        </w:rPr>
        <w:t xml:space="preserve">  This language of what the PUCO intended is almost identical to the language used in approving FirstEnergy’s charge, discussed above, which the Supreme Court of Ohio found unlawful.</w:t>
      </w:r>
      <w:r>
        <w:rPr>
          <w:rStyle w:val="FootnoteReference"/>
          <w:rFonts w:cs="Times New Roman"/>
          <w:szCs w:val="24"/>
        </w:rPr>
        <w:footnoteReference w:id="113"/>
      </w:r>
      <w:r>
        <w:rPr>
          <w:rFonts w:cs="Times New Roman"/>
          <w:szCs w:val="24"/>
        </w:rPr>
        <w:t xml:space="preserve"> </w:t>
      </w:r>
    </w:p>
    <w:p w:rsidR="00042A25" w:rsidRPr="00627E88" w:rsidP="001B416A">
      <w:pPr>
        <w:autoSpaceDE w:val="0"/>
        <w:autoSpaceDN w:val="0"/>
        <w:adjustRightInd w:val="0"/>
        <w:ind w:firstLine="720"/>
        <w:rPr>
          <w:rFonts w:cs="Times New Roman"/>
          <w:szCs w:val="24"/>
        </w:rPr>
      </w:pPr>
      <w:r>
        <w:rPr>
          <w:rFonts w:cs="Times New Roman"/>
          <w:szCs w:val="24"/>
        </w:rPr>
        <w:t>Like FirstEnergy, DP&amp;L’s charge is subject to audit “in order to ensure that DMR revenues are used in a manner consistent with the Amended Stipulation.”</w:t>
      </w:r>
      <w:r>
        <w:rPr>
          <w:rStyle w:val="FootnoteReference"/>
          <w:rFonts w:cs="Times New Roman"/>
          <w:szCs w:val="24"/>
        </w:rPr>
        <w:footnoteReference w:id="114"/>
      </w:r>
      <w:r>
        <w:rPr>
          <w:rFonts w:cs="Times New Roman"/>
          <w:szCs w:val="24"/>
        </w:rPr>
        <w:t xml:space="preserve"> The Auditor selected for DP&amp;L was Oxford.</w:t>
      </w:r>
      <w:r>
        <w:rPr>
          <w:rStyle w:val="FootnoteReference"/>
          <w:rFonts w:cs="Times New Roman"/>
          <w:szCs w:val="24"/>
        </w:rPr>
        <w:footnoteReference w:id="115"/>
      </w:r>
      <w:r>
        <w:rPr>
          <w:rFonts w:cs="Times New Roman"/>
          <w:szCs w:val="24"/>
        </w:rPr>
        <w:t xml:space="preserve"> </w:t>
      </w:r>
    </w:p>
    <w:p w:rsidR="00042A25" w:rsidRPr="00204A9A" w:rsidP="00042A25">
      <w:pPr>
        <w:ind w:firstLine="720"/>
        <w:rPr>
          <w:rFonts w:cs="Times New Roman"/>
          <w:szCs w:val="24"/>
        </w:rPr>
      </w:pPr>
      <w:r>
        <w:rPr>
          <w:rFonts w:cs="Times New Roman"/>
          <w:szCs w:val="24"/>
        </w:rPr>
        <w:t xml:space="preserve"> D</w:t>
      </w:r>
      <w:r w:rsidRPr="008A12E8">
        <w:rPr>
          <w:rFonts w:cs="Times New Roman"/>
          <w:szCs w:val="24"/>
        </w:rPr>
        <w:t xml:space="preserve">P&amp;L’s </w:t>
      </w:r>
      <w:r>
        <w:rPr>
          <w:rFonts w:cs="Times New Roman"/>
          <w:szCs w:val="24"/>
        </w:rPr>
        <w:t>charge, and the language used by the PUCO to approve it,</w:t>
      </w:r>
      <w:r w:rsidRPr="008A12E8">
        <w:rPr>
          <w:rFonts w:cs="Times New Roman"/>
          <w:szCs w:val="24"/>
        </w:rPr>
        <w:t xml:space="preserve"> is </w:t>
      </w:r>
      <w:r>
        <w:rPr>
          <w:rFonts w:cs="Times New Roman"/>
          <w:szCs w:val="24"/>
        </w:rPr>
        <w:t>nearly identical</w:t>
      </w:r>
      <w:r w:rsidRPr="008A12E8">
        <w:rPr>
          <w:rFonts w:cs="Times New Roman"/>
          <w:szCs w:val="24"/>
        </w:rPr>
        <w:t xml:space="preserve"> to FirstEnergy’s </w:t>
      </w:r>
      <w:r>
        <w:rPr>
          <w:rFonts w:cs="Times New Roman"/>
          <w:szCs w:val="24"/>
        </w:rPr>
        <w:t>charge</w:t>
      </w:r>
      <w:r w:rsidRPr="008A12E8">
        <w:rPr>
          <w:rFonts w:cs="Times New Roman"/>
          <w:szCs w:val="24"/>
        </w:rPr>
        <w:t xml:space="preserve"> that </w:t>
      </w:r>
      <w:r>
        <w:rPr>
          <w:rFonts w:cs="Times New Roman"/>
          <w:szCs w:val="24"/>
        </w:rPr>
        <w:t xml:space="preserve">the Supreme Court of Ohio </w:t>
      </w:r>
      <w:r w:rsidRPr="008A12E8">
        <w:rPr>
          <w:rFonts w:cs="Times New Roman"/>
          <w:szCs w:val="24"/>
        </w:rPr>
        <w:t xml:space="preserve">found unlawful in </w:t>
      </w:r>
      <w:r w:rsidRPr="008A12E8">
        <w:rPr>
          <w:rFonts w:cs="Times New Roman"/>
          <w:i/>
          <w:iCs/>
          <w:szCs w:val="24"/>
        </w:rPr>
        <w:t>Ohio Edison.</w:t>
      </w:r>
      <w:r>
        <w:rPr>
          <w:rFonts w:cs="Times New Roman"/>
          <w:i/>
          <w:iCs/>
          <w:szCs w:val="24"/>
        </w:rPr>
        <w:t xml:space="preserve"> </w:t>
      </w:r>
      <w:r>
        <w:rPr>
          <w:rFonts w:cs="Times New Roman"/>
          <w:szCs w:val="24"/>
        </w:rPr>
        <w:t xml:space="preserve">Like </w:t>
      </w:r>
      <w:r>
        <w:rPr>
          <w:rFonts w:cs="Times New Roman"/>
          <w:i/>
          <w:iCs/>
          <w:szCs w:val="24"/>
        </w:rPr>
        <w:t xml:space="preserve">Ohio Edison, </w:t>
      </w:r>
      <w:r>
        <w:rPr>
          <w:rFonts w:cs="Times New Roman"/>
          <w:szCs w:val="24"/>
        </w:rPr>
        <w:t>DP&amp;L’s charge is not “conditioned upon the completion” of spending DMR funds on grid-modernization.</w:t>
      </w:r>
      <w:r>
        <w:rPr>
          <w:rStyle w:val="FootnoteReference"/>
          <w:rFonts w:cs="Times New Roman"/>
          <w:szCs w:val="24"/>
        </w:rPr>
        <w:footnoteReference w:id="116"/>
      </w:r>
      <w:r>
        <w:rPr>
          <w:rFonts w:cs="Times New Roman"/>
          <w:i/>
          <w:iCs/>
          <w:szCs w:val="24"/>
        </w:rPr>
        <w:t xml:space="preserve"> </w:t>
      </w:r>
      <w:r>
        <w:rPr>
          <w:rFonts w:cs="Times New Roman"/>
          <w:szCs w:val="24"/>
        </w:rPr>
        <w:t xml:space="preserve">Also like </w:t>
      </w:r>
      <w:r>
        <w:rPr>
          <w:rFonts w:cs="Times New Roman"/>
          <w:i/>
          <w:iCs/>
          <w:szCs w:val="24"/>
        </w:rPr>
        <w:t>Ohio Edison</w:t>
      </w:r>
      <w:r>
        <w:rPr>
          <w:rFonts w:cs="Times New Roman"/>
          <w:szCs w:val="24"/>
        </w:rPr>
        <w:t>, the PUCO found that DP&amp;L could use its DMR charge for “credit support” and “access to capital markets.”</w:t>
      </w:r>
      <w:r>
        <w:rPr>
          <w:rStyle w:val="FootnoteReference"/>
          <w:rFonts w:cs="Times New Roman"/>
          <w:szCs w:val="24"/>
        </w:rPr>
        <w:footnoteReference w:id="117"/>
      </w:r>
      <w:r>
        <w:rPr>
          <w:rFonts w:cs="Times New Roman"/>
          <w:i/>
          <w:iCs/>
          <w:szCs w:val="24"/>
        </w:rPr>
        <w:t xml:space="preserve"> </w:t>
      </w:r>
      <w:r>
        <w:rPr>
          <w:rFonts w:cs="Times New Roman"/>
          <w:szCs w:val="24"/>
        </w:rPr>
        <w:t xml:space="preserve">Finally, as the Supreme Court of Ohio found in </w:t>
      </w:r>
      <w:r>
        <w:rPr>
          <w:rFonts w:cs="Times New Roman"/>
          <w:i/>
          <w:iCs/>
          <w:szCs w:val="24"/>
        </w:rPr>
        <w:t xml:space="preserve">Ohio </w:t>
      </w:r>
      <w:r w:rsidRPr="00627E88">
        <w:rPr>
          <w:rFonts w:cs="Times New Roman"/>
          <w:i/>
          <w:iCs/>
          <w:szCs w:val="24"/>
        </w:rPr>
        <w:t>Edison</w:t>
      </w:r>
      <w:r>
        <w:rPr>
          <w:rFonts w:cs="Times New Roman"/>
          <w:szCs w:val="24"/>
        </w:rPr>
        <w:t>, the PUCO-ordered audit by Oxford does not save DP&amp;L’s charge. Therefore, u</w:t>
      </w:r>
      <w:r w:rsidRPr="00627E88">
        <w:rPr>
          <w:rFonts w:cs="Times New Roman"/>
          <w:szCs w:val="24"/>
        </w:rPr>
        <w:t>nder</w:t>
      </w:r>
      <w:r>
        <w:rPr>
          <w:rFonts w:cs="Times New Roman"/>
          <w:szCs w:val="24"/>
        </w:rPr>
        <w:t xml:space="preserve"> </w:t>
      </w:r>
      <w:r w:rsidRPr="008A12E8">
        <w:rPr>
          <w:rFonts w:cs="Times New Roman"/>
          <w:i/>
          <w:iCs/>
          <w:szCs w:val="24"/>
        </w:rPr>
        <w:t>Ohio Edison</w:t>
      </w:r>
      <w:r>
        <w:rPr>
          <w:rFonts w:cs="Times New Roman"/>
          <w:szCs w:val="24"/>
        </w:rPr>
        <w:t>, DP&amp;L’s charge is not an “incentive” under R.C. 4928.143(B)(2)(h).  It is unlawful.</w:t>
      </w:r>
      <w:r>
        <w:rPr>
          <w:rStyle w:val="FootnoteReference"/>
          <w:rFonts w:cs="Times New Roman"/>
          <w:szCs w:val="24"/>
        </w:rPr>
        <w:footnoteReference w:id="118"/>
      </w:r>
    </w:p>
    <w:p w:rsidR="00042A25" w:rsidRPr="00F44F8E" w:rsidP="002E6045">
      <w:pPr>
        <w:pStyle w:val="Heading4"/>
      </w:pPr>
      <w:bookmarkStart w:id="15" w:name="_Toc15566877"/>
      <w:r>
        <w:t>b.</w:t>
      </w:r>
      <w:r>
        <w:tab/>
      </w:r>
      <w:r w:rsidRPr="00F44F8E">
        <w:t xml:space="preserve">DP&amp;L’s </w:t>
      </w:r>
      <w:r>
        <w:t>charge</w:t>
      </w:r>
      <w:r w:rsidRPr="00F44F8E">
        <w:t xml:space="preserve"> is unlawful under </w:t>
      </w:r>
      <w:r w:rsidRPr="00F44F8E">
        <w:rPr>
          <w:i/>
        </w:rPr>
        <w:t xml:space="preserve">Ohio Edison </w:t>
      </w:r>
      <w:r w:rsidRPr="00F44F8E">
        <w:t>because there are insufficient consumer protections.</w:t>
      </w:r>
      <w:bookmarkEnd w:id="15"/>
    </w:p>
    <w:p w:rsidR="00042A25" w:rsidP="00042A25">
      <w:pPr>
        <w:autoSpaceDE w:val="0"/>
        <w:autoSpaceDN w:val="0"/>
        <w:adjustRightInd w:val="0"/>
        <w:ind w:firstLine="720"/>
        <w:rPr>
          <w:rFonts w:cs="Times New Roman"/>
          <w:szCs w:val="24"/>
        </w:rPr>
      </w:pPr>
      <w:r>
        <w:rPr>
          <w:rFonts w:cs="Times New Roman"/>
          <w:szCs w:val="24"/>
        </w:rPr>
        <w:t xml:space="preserve">Under </w:t>
      </w:r>
      <w:r>
        <w:rPr>
          <w:rFonts w:cs="Times New Roman"/>
          <w:i/>
          <w:iCs/>
          <w:szCs w:val="24"/>
        </w:rPr>
        <w:t xml:space="preserve">Ohio </w:t>
      </w:r>
      <w:r w:rsidRPr="007F7235">
        <w:rPr>
          <w:rFonts w:cs="Times New Roman"/>
          <w:i/>
          <w:iCs/>
          <w:szCs w:val="24"/>
        </w:rPr>
        <w:t>Edison</w:t>
      </w:r>
      <w:r>
        <w:rPr>
          <w:rFonts w:cs="Times New Roman"/>
          <w:szCs w:val="24"/>
        </w:rPr>
        <w:t xml:space="preserve">, DP&amp;L’s charge is unlawful because there are insufficient consumer protections. In </w:t>
      </w:r>
      <w:r>
        <w:rPr>
          <w:rFonts w:cs="Times New Roman"/>
          <w:i/>
          <w:iCs/>
          <w:szCs w:val="24"/>
        </w:rPr>
        <w:t xml:space="preserve">Ohio </w:t>
      </w:r>
      <w:r w:rsidRPr="007F7235">
        <w:rPr>
          <w:rFonts w:cs="Times New Roman"/>
          <w:i/>
          <w:iCs/>
          <w:szCs w:val="24"/>
        </w:rPr>
        <w:t>Edison</w:t>
      </w:r>
      <w:r>
        <w:rPr>
          <w:rFonts w:cs="Times New Roman"/>
          <w:szCs w:val="24"/>
        </w:rPr>
        <w:t>, t</w:t>
      </w:r>
      <w:r w:rsidRPr="00204A9A">
        <w:rPr>
          <w:rFonts w:cs="Times New Roman"/>
          <w:szCs w:val="24"/>
        </w:rPr>
        <w:t xml:space="preserve">he Supreme Court of Ohio </w:t>
      </w:r>
      <w:r>
        <w:rPr>
          <w:rFonts w:cs="Times New Roman"/>
          <w:szCs w:val="24"/>
        </w:rPr>
        <w:t>f</w:t>
      </w:r>
      <w:r w:rsidRPr="00204A9A">
        <w:rPr>
          <w:rFonts w:cs="Times New Roman"/>
          <w:szCs w:val="24"/>
        </w:rPr>
        <w:t>ound that F</w:t>
      </w:r>
      <w:r>
        <w:rPr>
          <w:rFonts w:cs="Times New Roman"/>
          <w:szCs w:val="24"/>
        </w:rPr>
        <w:t>irstEnergy’s</w:t>
      </w:r>
      <w:r w:rsidRPr="00204A9A">
        <w:rPr>
          <w:rFonts w:cs="Times New Roman"/>
          <w:szCs w:val="24"/>
        </w:rPr>
        <w:t xml:space="preserve"> </w:t>
      </w:r>
      <w:r>
        <w:rPr>
          <w:rFonts w:cs="Times New Roman"/>
          <w:szCs w:val="24"/>
        </w:rPr>
        <w:t>charge</w:t>
      </w:r>
      <w:r w:rsidRPr="00204A9A">
        <w:rPr>
          <w:rFonts w:cs="Times New Roman"/>
          <w:szCs w:val="24"/>
        </w:rPr>
        <w:t xml:space="preserve"> </w:t>
      </w:r>
      <w:r>
        <w:rPr>
          <w:rFonts w:cs="Times New Roman"/>
          <w:szCs w:val="24"/>
        </w:rPr>
        <w:t xml:space="preserve">(nearly identical to DP&amp;L’s) contained provisions that were </w:t>
      </w:r>
      <w:r w:rsidRPr="00204A9A">
        <w:rPr>
          <w:rFonts w:cs="Times New Roman"/>
          <w:szCs w:val="24"/>
        </w:rPr>
        <w:t xml:space="preserve">insufficient </w:t>
      </w:r>
      <w:r>
        <w:rPr>
          <w:rFonts w:cs="Times New Roman"/>
          <w:szCs w:val="24"/>
        </w:rPr>
        <w:t xml:space="preserve">to protect </w:t>
      </w:r>
      <w:r w:rsidRPr="00204A9A">
        <w:rPr>
          <w:rFonts w:cs="Times New Roman"/>
          <w:szCs w:val="24"/>
        </w:rPr>
        <w:t>consumer</w:t>
      </w:r>
      <w:r>
        <w:rPr>
          <w:rFonts w:cs="Times New Roman"/>
          <w:szCs w:val="24"/>
        </w:rPr>
        <w:t>s.</w:t>
      </w:r>
      <w:r>
        <w:rPr>
          <w:rStyle w:val="FootnoteReference"/>
          <w:rFonts w:cs="Times New Roman"/>
          <w:szCs w:val="24"/>
        </w:rPr>
        <w:footnoteReference w:id="119"/>
      </w:r>
      <w:r w:rsidRPr="00204A9A">
        <w:rPr>
          <w:rFonts w:cs="Times New Roman"/>
          <w:szCs w:val="24"/>
        </w:rPr>
        <w:t xml:space="preserve"> </w:t>
      </w:r>
      <w:r>
        <w:rPr>
          <w:rFonts w:cs="Times New Roman"/>
          <w:szCs w:val="24"/>
        </w:rPr>
        <w:t xml:space="preserve">The Court found </w:t>
      </w:r>
      <w:r w:rsidRPr="008A12E8">
        <w:rPr>
          <w:rFonts w:cs="Times New Roman"/>
          <w:szCs w:val="24"/>
        </w:rPr>
        <w:t xml:space="preserve">that there was no PUCO imposed penalty on FirstEnergy if it failed to meet the terms of the DMR </w:t>
      </w:r>
      <w:r>
        <w:rPr>
          <w:rFonts w:cs="Times New Roman"/>
          <w:szCs w:val="24"/>
        </w:rPr>
        <w:t xml:space="preserve">charge </w:t>
      </w:r>
      <w:r w:rsidRPr="008A12E8">
        <w:rPr>
          <w:rFonts w:cs="Times New Roman"/>
          <w:szCs w:val="24"/>
        </w:rPr>
        <w:t xml:space="preserve">or the </w:t>
      </w:r>
      <w:r>
        <w:rPr>
          <w:rFonts w:cs="Times New Roman"/>
          <w:szCs w:val="24"/>
        </w:rPr>
        <w:t>“</w:t>
      </w:r>
      <w:r w:rsidRPr="008A12E8">
        <w:rPr>
          <w:rFonts w:cs="Times New Roman"/>
          <w:szCs w:val="24"/>
        </w:rPr>
        <w:t>conditions</w:t>
      </w:r>
      <w:r>
        <w:rPr>
          <w:rFonts w:cs="Times New Roman"/>
          <w:szCs w:val="24"/>
        </w:rPr>
        <w:t>”</w:t>
      </w:r>
      <w:r w:rsidRPr="008A12E8">
        <w:rPr>
          <w:rFonts w:cs="Times New Roman"/>
          <w:szCs w:val="24"/>
        </w:rPr>
        <w:t xml:space="preserve"> placed on the DMR</w:t>
      </w:r>
      <w:r>
        <w:rPr>
          <w:rFonts w:cs="Times New Roman"/>
          <w:szCs w:val="24"/>
        </w:rPr>
        <w:t xml:space="preserve"> charge</w:t>
      </w:r>
      <w:r w:rsidRPr="008A12E8">
        <w:rPr>
          <w:rFonts w:cs="Times New Roman"/>
          <w:szCs w:val="24"/>
        </w:rPr>
        <w:t>.</w:t>
      </w:r>
      <w:r>
        <w:rPr>
          <w:rStyle w:val="FootnoteReference"/>
          <w:rFonts w:cs="Times New Roman"/>
          <w:szCs w:val="24"/>
        </w:rPr>
        <w:footnoteReference w:id="120"/>
      </w:r>
      <w:r w:rsidRPr="008A12E8">
        <w:rPr>
          <w:rFonts w:cs="Times New Roman"/>
          <w:szCs w:val="24"/>
        </w:rPr>
        <w:t xml:space="preserve"> </w:t>
      </w:r>
      <w:r>
        <w:rPr>
          <w:rFonts w:cs="Times New Roman"/>
          <w:szCs w:val="24"/>
        </w:rPr>
        <w:t xml:space="preserve">Finally, </w:t>
      </w:r>
      <w:r w:rsidRPr="008A12E8">
        <w:rPr>
          <w:rFonts w:cs="Times New Roman"/>
          <w:szCs w:val="24"/>
        </w:rPr>
        <w:t xml:space="preserve">the Court found </w:t>
      </w:r>
      <w:r>
        <w:rPr>
          <w:rFonts w:cs="Times New Roman"/>
          <w:szCs w:val="24"/>
        </w:rPr>
        <w:t>insufficient consumer protections</w:t>
      </w:r>
      <w:r w:rsidRPr="008A12E8">
        <w:rPr>
          <w:rFonts w:cs="Times New Roman"/>
          <w:szCs w:val="24"/>
        </w:rPr>
        <w:t xml:space="preserve"> because FirstEnergy’s </w:t>
      </w:r>
      <w:r>
        <w:rPr>
          <w:rFonts w:cs="Times New Roman"/>
          <w:szCs w:val="24"/>
        </w:rPr>
        <w:t>charge</w:t>
      </w:r>
      <w:r w:rsidRPr="008A12E8">
        <w:rPr>
          <w:rFonts w:cs="Times New Roman"/>
          <w:szCs w:val="24"/>
        </w:rPr>
        <w:t xml:space="preserve"> did not contain a refund provision</w:t>
      </w:r>
      <w:r>
        <w:rPr>
          <w:rFonts w:cs="Times New Roman"/>
          <w:szCs w:val="24"/>
        </w:rPr>
        <w:t>.</w:t>
      </w:r>
      <w:r>
        <w:rPr>
          <w:rStyle w:val="FootnoteReference"/>
          <w:rFonts w:cs="Times New Roman"/>
          <w:szCs w:val="24"/>
        </w:rPr>
        <w:footnoteReference w:id="121"/>
      </w:r>
      <w:r>
        <w:rPr>
          <w:rFonts w:cs="Times New Roman"/>
          <w:i/>
          <w:iCs/>
          <w:szCs w:val="24"/>
        </w:rPr>
        <w:t xml:space="preserve"> </w:t>
      </w:r>
      <w:r>
        <w:rPr>
          <w:rFonts w:cs="Times New Roman"/>
          <w:szCs w:val="24"/>
        </w:rPr>
        <w:t>DP&amp;L’s nearly identical charge has the same flaws.</w:t>
      </w:r>
    </w:p>
    <w:p w:rsidR="00042A25" w:rsidP="00042A25">
      <w:pPr>
        <w:autoSpaceDE w:val="0"/>
        <w:autoSpaceDN w:val="0"/>
        <w:adjustRightInd w:val="0"/>
        <w:rPr>
          <w:rFonts w:cs="Times New Roman"/>
          <w:szCs w:val="24"/>
        </w:rPr>
      </w:pPr>
      <w:r>
        <w:rPr>
          <w:rFonts w:cs="Times New Roman"/>
          <w:szCs w:val="24"/>
        </w:rPr>
        <w:tab/>
        <w:t xml:space="preserve">Like the unlawful charge in </w:t>
      </w:r>
      <w:r>
        <w:rPr>
          <w:rFonts w:cs="Times New Roman"/>
          <w:i/>
          <w:iCs/>
          <w:szCs w:val="24"/>
        </w:rPr>
        <w:t xml:space="preserve">Ohio Edison, </w:t>
      </w:r>
      <w:r>
        <w:rPr>
          <w:rFonts w:cs="Times New Roman"/>
          <w:szCs w:val="24"/>
        </w:rPr>
        <w:t>DP&amp;L’s charge is subject to meaningless conditions.</w:t>
      </w:r>
      <w:r>
        <w:rPr>
          <w:rStyle w:val="FootnoteReference"/>
          <w:rFonts w:cs="Times New Roman"/>
          <w:szCs w:val="24"/>
        </w:rPr>
        <w:footnoteReference w:id="122"/>
      </w:r>
      <w:r>
        <w:rPr>
          <w:rFonts w:cs="Times New Roman"/>
          <w:szCs w:val="24"/>
        </w:rPr>
        <w:t xml:space="preserve"> The only requirement on DP&amp;L’s charge is that it spends the funds to “(a) pay interest obligations on existing debt at DPL and DP&amp;L; (b) make discretionary debt prepayments at DPL and DP&amp;L; and (c) position DP&amp;L to make capital expenditures to modernize and/or maintain DP&amp;L's transmission and distribution infrastructure.”</w:t>
      </w:r>
      <w:r>
        <w:rPr>
          <w:rStyle w:val="FootnoteReference"/>
          <w:rFonts w:cs="Times New Roman"/>
          <w:szCs w:val="24"/>
        </w:rPr>
        <w:footnoteReference w:id="123"/>
      </w:r>
      <w:r>
        <w:rPr>
          <w:rFonts w:cs="Times New Roman"/>
          <w:szCs w:val="24"/>
        </w:rPr>
        <w:t xml:space="preserve"> To ensure compliance with this “condition,” the PUCO ordered that DP&amp;L’s charge would be subject to a third-party auditor review and that “[t]his review process is consistent with reviews established for riders similar to the DMR.”</w:t>
      </w:r>
      <w:r>
        <w:rPr>
          <w:rStyle w:val="FootnoteReference"/>
          <w:rFonts w:cs="Times New Roman"/>
          <w:szCs w:val="24"/>
        </w:rPr>
        <w:footnoteReference w:id="124"/>
      </w:r>
      <w:r>
        <w:rPr>
          <w:rFonts w:cs="Times New Roman"/>
          <w:szCs w:val="24"/>
        </w:rPr>
        <w:t xml:space="preserve"> But the </w:t>
      </w:r>
      <w:r>
        <w:rPr>
          <w:rFonts w:cs="Times New Roman"/>
          <w:i/>
          <w:iCs/>
          <w:szCs w:val="24"/>
        </w:rPr>
        <w:t xml:space="preserve">Ohio Edison </w:t>
      </w:r>
      <w:r>
        <w:rPr>
          <w:rFonts w:cs="Times New Roman"/>
          <w:szCs w:val="24"/>
        </w:rPr>
        <w:t>Court specifically held that audit review is  “unhelpful” as a condition.</w:t>
      </w:r>
      <w:r>
        <w:rPr>
          <w:rStyle w:val="FootnoteReference"/>
          <w:rFonts w:cs="Times New Roman"/>
          <w:szCs w:val="24"/>
        </w:rPr>
        <w:footnoteReference w:id="125"/>
      </w:r>
      <w:r>
        <w:rPr>
          <w:rFonts w:cs="Times New Roman"/>
          <w:szCs w:val="24"/>
        </w:rPr>
        <w:t xml:space="preserve"> </w:t>
      </w:r>
    </w:p>
    <w:p w:rsidR="00042A25" w:rsidP="00042A25">
      <w:pPr>
        <w:autoSpaceDE w:val="0"/>
        <w:autoSpaceDN w:val="0"/>
        <w:adjustRightInd w:val="0"/>
        <w:ind w:firstLine="720"/>
        <w:rPr>
          <w:rFonts w:cs="Times New Roman"/>
          <w:szCs w:val="24"/>
        </w:rPr>
      </w:pPr>
      <w:r>
        <w:rPr>
          <w:rFonts w:cs="Times New Roman"/>
          <w:szCs w:val="24"/>
        </w:rPr>
        <w:t>DP&amp;L’s audit review requires a third-party “monitor” (Oxford) to assist Staff in reviewing DP&amp;L’s compliance with the Amended Stipulation (identical to FirstEnergy).</w:t>
      </w:r>
      <w:r>
        <w:rPr>
          <w:rStyle w:val="FootnoteReference"/>
          <w:rFonts w:cs="Times New Roman"/>
          <w:szCs w:val="24"/>
        </w:rPr>
        <w:footnoteReference w:id="126"/>
      </w:r>
      <w:r>
        <w:rPr>
          <w:rFonts w:cs="Times New Roman"/>
          <w:szCs w:val="24"/>
        </w:rPr>
        <w:t xml:space="preserve"> This “monitor” is required to provide quarterly interim updates on use of the DMR charge (identical to FirstEnergy), a midterm report within 60 days in any proceeding where DP&amp;L seeks an extension of the DMR charge (identical to FirstEnergy), and a final report within 90 days after termination of the DMR charge or its extension (identical to FirstEnergy).</w:t>
      </w:r>
      <w:r>
        <w:rPr>
          <w:rStyle w:val="FootnoteReference"/>
          <w:rFonts w:cs="Times New Roman"/>
          <w:szCs w:val="24"/>
        </w:rPr>
        <w:footnoteReference w:id="127"/>
      </w:r>
      <w:r>
        <w:rPr>
          <w:rFonts w:cs="Times New Roman"/>
          <w:szCs w:val="24"/>
        </w:rPr>
        <w:t xml:space="preserve"> </w:t>
      </w:r>
    </w:p>
    <w:p w:rsidR="00042A25" w:rsidP="00042A25">
      <w:pPr>
        <w:ind w:firstLine="720"/>
        <w:rPr>
          <w:rFonts w:cs="Times New Roman"/>
          <w:szCs w:val="24"/>
        </w:rPr>
      </w:pPr>
      <w:r>
        <w:rPr>
          <w:rFonts w:cs="Times New Roman"/>
          <w:szCs w:val="24"/>
        </w:rPr>
        <w:t>The PUCO also ordered that any participant in this proceeding could examine Oxford’s</w:t>
      </w:r>
      <w:r w:rsidRPr="008A12E8">
        <w:rPr>
          <w:rFonts w:cs="Times New Roman"/>
          <w:szCs w:val="24"/>
        </w:rPr>
        <w:t xml:space="preserve"> conclusions, results, and recommendations</w:t>
      </w:r>
      <w:r>
        <w:rPr>
          <w:rFonts w:cs="Times New Roman"/>
          <w:szCs w:val="24"/>
        </w:rPr>
        <w:t>, but they are</w:t>
      </w:r>
      <w:r w:rsidRPr="008A12E8">
        <w:rPr>
          <w:rFonts w:cs="Times New Roman"/>
          <w:szCs w:val="24"/>
        </w:rPr>
        <w:t xml:space="preserve"> not available </w:t>
      </w:r>
      <w:r>
        <w:rPr>
          <w:rFonts w:cs="Times New Roman"/>
          <w:szCs w:val="24"/>
        </w:rPr>
        <w:t xml:space="preserve">unless and </w:t>
      </w:r>
      <w:r w:rsidRPr="008A12E8">
        <w:rPr>
          <w:rFonts w:cs="Times New Roman"/>
          <w:szCs w:val="24"/>
        </w:rPr>
        <w:t xml:space="preserve">until they </w:t>
      </w:r>
      <w:r>
        <w:rPr>
          <w:rFonts w:cs="Times New Roman"/>
          <w:szCs w:val="24"/>
        </w:rPr>
        <w:t>are</w:t>
      </w:r>
      <w:r w:rsidRPr="008A12E8">
        <w:rPr>
          <w:rFonts w:cs="Times New Roman"/>
          <w:szCs w:val="24"/>
        </w:rPr>
        <w:t xml:space="preserve"> filed with the PUCO</w:t>
      </w:r>
      <w:r>
        <w:rPr>
          <w:rFonts w:cs="Times New Roman"/>
          <w:szCs w:val="24"/>
        </w:rPr>
        <w:t xml:space="preserve"> (identical to FirstEnergy)</w:t>
      </w:r>
      <w:r w:rsidRPr="008A12E8">
        <w:rPr>
          <w:rFonts w:cs="Times New Roman"/>
          <w:szCs w:val="24"/>
        </w:rPr>
        <w:t>.</w:t>
      </w:r>
      <w:r>
        <w:rPr>
          <w:rStyle w:val="FootnoteReference"/>
          <w:rFonts w:cs="Times New Roman"/>
          <w:szCs w:val="24"/>
        </w:rPr>
        <w:footnoteReference w:id="128"/>
      </w:r>
      <w:r w:rsidRPr="008A12E8">
        <w:rPr>
          <w:rFonts w:cs="Times New Roman"/>
          <w:szCs w:val="24"/>
        </w:rPr>
        <w:t xml:space="preserve"> </w:t>
      </w:r>
      <w:r>
        <w:rPr>
          <w:rFonts w:cs="Times New Roman"/>
          <w:szCs w:val="24"/>
        </w:rPr>
        <w:t>But this will only occur if DP&amp;L files to extend or terminate the DMR charge -- long after funds from the DMR charge are already spent (just like FirstEnergy).</w:t>
      </w:r>
      <w:r>
        <w:rPr>
          <w:rStyle w:val="FootnoteReference"/>
          <w:rFonts w:cs="Times New Roman"/>
          <w:szCs w:val="24"/>
        </w:rPr>
        <w:footnoteReference w:id="129"/>
      </w:r>
      <w:r>
        <w:rPr>
          <w:rFonts w:cs="Times New Roman"/>
          <w:szCs w:val="24"/>
        </w:rPr>
        <w:t xml:space="preserve"> DP&amp;L filed its extension case on January 23, 2019.</w:t>
      </w:r>
      <w:r>
        <w:rPr>
          <w:rStyle w:val="FootnoteReference"/>
          <w:rFonts w:cs="Times New Roman"/>
          <w:szCs w:val="24"/>
        </w:rPr>
        <w:footnoteReference w:id="130"/>
      </w:r>
      <w:r>
        <w:rPr>
          <w:rFonts w:cs="Times New Roman"/>
          <w:szCs w:val="24"/>
        </w:rPr>
        <w:t xml:space="preserve"> The auditor, Oxford, filed its Midterm Report on June 14, 2019.</w:t>
      </w:r>
      <w:r>
        <w:rPr>
          <w:rStyle w:val="FootnoteReference"/>
          <w:rFonts w:cs="Times New Roman"/>
          <w:szCs w:val="24"/>
        </w:rPr>
        <w:footnoteReference w:id="131"/>
      </w:r>
      <w:r>
        <w:rPr>
          <w:rFonts w:cs="Times New Roman"/>
          <w:szCs w:val="24"/>
        </w:rPr>
        <w:t xml:space="preserve">  </w:t>
      </w:r>
    </w:p>
    <w:p w:rsidR="00042A25" w:rsidP="00042A25">
      <w:pPr>
        <w:ind w:firstLine="720"/>
        <w:rPr>
          <w:rFonts w:cs="Times New Roman"/>
          <w:szCs w:val="24"/>
        </w:rPr>
      </w:pPr>
      <w:r>
        <w:rPr>
          <w:rFonts w:cs="Times New Roman"/>
          <w:szCs w:val="24"/>
        </w:rPr>
        <w:t>The audit review here is unhelpful in protecting consumers against improper spending of DP&amp;L’s charge (just like FirstEnergy’s).</w:t>
      </w:r>
      <w:r>
        <w:rPr>
          <w:rStyle w:val="FootnoteReference"/>
          <w:rFonts w:cs="Times New Roman"/>
          <w:szCs w:val="24"/>
        </w:rPr>
        <w:footnoteReference w:id="132"/>
      </w:r>
      <w:r>
        <w:rPr>
          <w:rFonts w:cs="Times New Roman"/>
          <w:szCs w:val="24"/>
        </w:rPr>
        <w:t xml:space="preserve"> This is true because the auditor reports are unavailable until after DP&amp;L’s charge is nearly spent (just like FirstEnergy’s), nearly $175 million in this case thus far.</w:t>
      </w:r>
      <w:r>
        <w:rPr>
          <w:rStyle w:val="FootnoteReference"/>
          <w:rFonts w:cs="Times New Roman"/>
          <w:szCs w:val="24"/>
        </w:rPr>
        <w:footnoteReference w:id="133"/>
      </w:r>
      <w:r>
        <w:rPr>
          <w:rFonts w:cs="Times New Roman"/>
          <w:szCs w:val="24"/>
        </w:rPr>
        <w:t xml:space="preserve"> Worse, there is likely no remedy if this spending is found improper due to the Court’s ruling in </w:t>
      </w:r>
      <w:r w:rsidRPr="008A12E8">
        <w:rPr>
          <w:rFonts w:cs="Times New Roman"/>
          <w:i/>
          <w:iCs/>
          <w:szCs w:val="24"/>
        </w:rPr>
        <w:t>Keco</w:t>
      </w:r>
      <w:r>
        <w:rPr>
          <w:rFonts w:cs="Times New Roman"/>
          <w:i/>
          <w:iCs/>
          <w:szCs w:val="24"/>
        </w:rPr>
        <w:t xml:space="preserve"> </w:t>
      </w:r>
      <w:r>
        <w:rPr>
          <w:rFonts w:cs="Times New Roman"/>
          <w:szCs w:val="24"/>
        </w:rPr>
        <w:t>(just like in FirstEnergy).</w:t>
      </w:r>
      <w:r>
        <w:rPr>
          <w:rStyle w:val="FootnoteReference"/>
          <w:rFonts w:cs="Times New Roman"/>
          <w:szCs w:val="24"/>
        </w:rPr>
        <w:footnoteReference w:id="134"/>
      </w:r>
      <w:r>
        <w:rPr>
          <w:rFonts w:cs="Times New Roman"/>
          <w:szCs w:val="24"/>
        </w:rPr>
        <w:t xml:space="preserve"> </w:t>
      </w:r>
    </w:p>
    <w:p w:rsidR="00042A25" w:rsidP="00042A25">
      <w:pPr>
        <w:ind w:firstLine="720"/>
        <w:rPr>
          <w:rFonts w:cs="Times New Roman"/>
          <w:szCs w:val="24"/>
        </w:rPr>
      </w:pPr>
      <w:r>
        <w:rPr>
          <w:rFonts w:cs="Times New Roman"/>
          <w:szCs w:val="24"/>
        </w:rPr>
        <w:t xml:space="preserve">The audit provision of DP&amp;L’s charge (just like FirstEnergy) and the inability to refund unlawful charges to consumers (just like FirstEnergy) are insufficient to protect consumers (just like FirstEnergy). Accordingly, the PUCO should find that DP&amp;L’s charge is unlawful under </w:t>
      </w:r>
      <w:r>
        <w:rPr>
          <w:rFonts w:cs="Times New Roman"/>
          <w:i/>
          <w:iCs/>
          <w:szCs w:val="24"/>
        </w:rPr>
        <w:t>Ohio Edison</w:t>
      </w:r>
      <w:r>
        <w:rPr>
          <w:rFonts w:cs="Times New Roman"/>
          <w:szCs w:val="24"/>
        </w:rPr>
        <w:t>.  The PUCO should order that the DMR charge be removed from DP&amp;L’s ESP.</w:t>
      </w:r>
    </w:p>
    <w:p w:rsidR="00AA1F81" w:rsidP="002E6045">
      <w:pPr>
        <w:pStyle w:val="Heading3"/>
        <w:numPr>
          <w:ilvl w:val="0"/>
          <w:numId w:val="42"/>
        </w:numPr>
        <w:ind w:left="2160" w:hanging="720"/>
        <w:rPr>
          <w:i/>
        </w:rPr>
      </w:pPr>
      <w:bookmarkStart w:id="16" w:name="_Toc15566878"/>
      <w:r>
        <w:t>FirstEnergy’s</w:t>
      </w:r>
      <w:r w:rsidRPr="006F3536">
        <w:t xml:space="preserve"> and DP&amp;L’s </w:t>
      </w:r>
      <w:r>
        <w:t>charge</w:t>
      </w:r>
      <w:r w:rsidRPr="006F3536">
        <w:t xml:space="preserve"> are the same in all material respects under the </w:t>
      </w:r>
      <w:r w:rsidRPr="002E6045">
        <w:rPr>
          <w:i/>
        </w:rPr>
        <w:t>Ohio Edison</w:t>
      </w:r>
      <w:r w:rsidRPr="006F3536">
        <w:t xml:space="preserve"> analysis and, therefore, DP&amp;L’s </w:t>
      </w:r>
      <w:r>
        <w:t>charge</w:t>
      </w:r>
      <w:r w:rsidRPr="006F3536">
        <w:t xml:space="preserve"> is unlawful under </w:t>
      </w:r>
      <w:r w:rsidRPr="002E6045">
        <w:rPr>
          <w:i/>
        </w:rPr>
        <w:t xml:space="preserve">Ohio Edison </w:t>
      </w:r>
      <w:r>
        <w:t>and should no longer be collected from consumers</w:t>
      </w:r>
      <w:r w:rsidRPr="002E6045">
        <w:rPr>
          <w:i/>
        </w:rPr>
        <w:t>.</w:t>
      </w:r>
      <w:bookmarkEnd w:id="16"/>
    </w:p>
    <w:p w:rsidR="002E6045" w:rsidRPr="002E6045" w:rsidP="002E6045">
      <w:pPr>
        <w:spacing w:line="240" w:lineRule="auto"/>
      </w:pPr>
    </w:p>
    <w:p w:rsidR="00DD0E75" w:rsidP="00042A25">
      <w:pPr>
        <w:ind w:firstLine="720"/>
        <w:rPr>
          <w:rFonts w:cs="Times New Roman"/>
          <w:szCs w:val="24"/>
        </w:rPr>
        <w:sectPr w:rsidSect="00723C0B">
          <w:pgSz w:w="12240" w:h="15840"/>
          <w:pgMar w:top="1440" w:right="1800" w:bottom="1440" w:left="1800" w:header="720" w:footer="720" w:gutter="0"/>
          <w:pgNumType w:start="1"/>
          <w:cols w:space="720"/>
          <w:docGrid w:linePitch="360"/>
        </w:sectPr>
      </w:pPr>
      <w:r>
        <w:rPr>
          <w:rFonts w:cs="Times New Roman"/>
          <w:szCs w:val="24"/>
        </w:rPr>
        <w:t xml:space="preserve">As the chart below illustrates, FirstEnergy and DP&amp;L’s charges are the same in all material respects under the Court’s analysis in </w:t>
      </w:r>
      <w:r>
        <w:rPr>
          <w:rFonts w:cs="Times New Roman"/>
          <w:i/>
          <w:iCs/>
          <w:szCs w:val="24"/>
        </w:rPr>
        <w:t xml:space="preserve">Ohio Edison. </w:t>
      </w:r>
      <w:r>
        <w:rPr>
          <w:rFonts w:cs="Times New Roman"/>
          <w:szCs w:val="24"/>
        </w:rPr>
        <w:t>Neither charge required spending on grid-modernization. Neither charge has sufficient consumer protections. Neither charge was subject to PUCO directives, timelines, or effective conditions. Neither charge was subject to penalty, nor refunds for noncompliance. The Supreme Court of Ohio found that FirstEnergy’s charge was unlawful and should be removed from its ESP. To protect consumers, the PUCO should do the same for DP&amp;L’s unlawful charge.</w:t>
      </w:r>
    </w:p>
    <w:tbl>
      <w:tblPr>
        <w:tblW w:w="9888" w:type="dxa"/>
        <w:tblInd w:w="0" w:type="dxa"/>
        <w:tblCellMar>
          <w:top w:w="0" w:type="dxa"/>
          <w:left w:w="108" w:type="dxa"/>
          <w:bottom w:w="0" w:type="dxa"/>
          <w:right w:w="108" w:type="dxa"/>
        </w:tblCellMar>
        <w:tblLook w:val="04A0"/>
      </w:tblPr>
      <w:tblGrid>
        <w:gridCol w:w="3775"/>
        <w:gridCol w:w="1163"/>
        <w:gridCol w:w="3787"/>
        <w:gridCol w:w="1163"/>
      </w:tblGrid>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b/>
                <w:bCs/>
                <w:color w:val="000000"/>
                <w:sz w:val="24"/>
                <w:szCs w:val="24"/>
                <w:lang w:val="en-US" w:eastAsia="en-US" w:bidi="ar-SA"/>
              </w:rPr>
            </w:pPr>
            <w:r>
              <w:rPr>
                <w:rFonts w:ascii="Times New Roman" w:eastAsia="Times New Roman" w:hAnsi="Times New Roman" w:cs="Times New Roman"/>
                <w:b/>
                <w:bCs/>
                <w:color w:val="000000"/>
                <w:sz w:val="24"/>
                <w:szCs w:val="24"/>
                <w:lang w:val="en-US" w:eastAsia="en-US" w:bidi="ar-SA"/>
              </w:rPr>
              <w:t>F</w:t>
            </w:r>
            <w:r w:rsidRPr="00204A9A">
              <w:rPr>
                <w:rFonts w:ascii="Times New Roman" w:eastAsia="Times New Roman" w:hAnsi="Times New Roman" w:cs="Times New Roman"/>
                <w:b/>
                <w:bCs/>
                <w:color w:val="000000"/>
                <w:sz w:val="24"/>
                <w:szCs w:val="24"/>
                <w:lang w:val="en-US" w:eastAsia="en-US" w:bidi="ar-SA"/>
              </w:rPr>
              <w:t xml:space="preserve">E's </w:t>
            </w:r>
            <w:r>
              <w:rPr>
                <w:rFonts w:ascii="Times New Roman" w:eastAsia="Times New Roman" w:hAnsi="Times New Roman" w:cs="Times New Roman"/>
                <w:b/>
                <w:bCs/>
                <w:color w:val="000000"/>
                <w:sz w:val="24"/>
                <w:szCs w:val="24"/>
                <w:lang w:val="en-US" w:eastAsia="en-US" w:bidi="ar-SA"/>
              </w:rPr>
              <w:t>charge</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b/>
                <w:bCs/>
                <w:color w:val="000000"/>
                <w:sz w:val="24"/>
                <w:szCs w:val="24"/>
                <w:lang w:val="en-US" w:eastAsia="en-US" w:bidi="ar-SA"/>
              </w:rPr>
            </w:pPr>
            <w:r w:rsidRPr="00204A9A">
              <w:rPr>
                <w:rFonts w:ascii="Times New Roman" w:eastAsia="Times New Roman" w:hAnsi="Times New Roman" w:cs="Times New Roman"/>
                <w:b/>
                <w:bCs/>
                <w:color w:val="000000"/>
                <w:sz w:val="24"/>
                <w:szCs w:val="24"/>
                <w:lang w:val="en-US" w:eastAsia="en-US" w:bidi="ar-SA"/>
              </w:rPr>
              <w:t>Unlawful</w:t>
            </w:r>
          </w:p>
        </w:tc>
        <w:tc>
          <w:tcPr>
            <w:tcW w:w="3787" w:type="dxa"/>
            <w:tcBorders>
              <w:top w:val="single" w:sz="4" w:space="0" w:color="auto"/>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b/>
                <w:bCs/>
                <w:color w:val="000000"/>
                <w:sz w:val="24"/>
                <w:szCs w:val="24"/>
                <w:lang w:val="en-US" w:eastAsia="en-US" w:bidi="ar-SA"/>
              </w:rPr>
            </w:pPr>
            <w:r w:rsidRPr="00204A9A">
              <w:rPr>
                <w:rFonts w:ascii="Times New Roman" w:eastAsia="Times New Roman" w:hAnsi="Times New Roman" w:cs="Times New Roman"/>
                <w:b/>
                <w:bCs/>
                <w:color w:val="000000"/>
                <w:sz w:val="24"/>
                <w:szCs w:val="24"/>
                <w:lang w:val="en-US" w:eastAsia="en-US" w:bidi="ar-SA"/>
              </w:rPr>
              <w:t xml:space="preserve">DP&amp;L's </w:t>
            </w:r>
            <w:r>
              <w:rPr>
                <w:rFonts w:ascii="Times New Roman" w:eastAsia="Times New Roman" w:hAnsi="Times New Roman" w:cs="Times New Roman"/>
                <w:b/>
                <w:bCs/>
                <w:color w:val="000000"/>
                <w:sz w:val="24"/>
                <w:szCs w:val="24"/>
                <w:lang w:val="en-US" w:eastAsia="en-US" w:bidi="ar-SA"/>
              </w:rPr>
              <w:t>charge</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b/>
                <w:bCs/>
                <w:color w:val="000000"/>
                <w:sz w:val="24"/>
                <w:szCs w:val="24"/>
                <w:lang w:val="en-US" w:eastAsia="en-US" w:bidi="ar-SA"/>
              </w:rPr>
            </w:pPr>
            <w:r w:rsidRPr="00204A9A">
              <w:rPr>
                <w:rFonts w:ascii="Times New Roman" w:eastAsia="Times New Roman" w:hAnsi="Times New Roman" w:cs="Times New Roman"/>
                <w:b/>
                <w:bCs/>
                <w:color w:val="000000"/>
                <w:sz w:val="24"/>
                <w:szCs w:val="24"/>
                <w:lang w:val="en-US" w:eastAsia="en-US" w:bidi="ar-SA"/>
              </w:rPr>
              <w:t>Unlawful</w:t>
            </w:r>
          </w:p>
        </w:tc>
      </w:tr>
      <w:tr w:rsidTr="000E3426">
        <w:tblPrEx>
          <w:tblW w:w="9888" w:type="dxa"/>
          <w:tblInd w:w="0" w:type="dxa"/>
          <w:tblCellMar>
            <w:top w:w="0" w:type="dxa"/>
            <w:left w:w="108" w:type="dxa"/>
            <w:bottom w:w="0" w:type="dxa"/>
            <w:right w:w="108" w:type="dxa"/>
          </w:tblCellMar>
          <w:tblLook w:val="04A0"/>
        </w:tblPrEx>
        <w:trPr>
          <w:trHeight w:val="585"/>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 xml:space="preserve">Incentive with no requirement to spend on grid modernization. </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 xml:space="preserve">Incentive with no requirement to spend on grid modernization. </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Insufficient Consumer Protections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Insufficient Consumer Protections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PUCO directives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PUCO directives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PUCO timelines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PUCO timelines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PUCO effective conditions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PUCO effective conditions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penalty</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penalty</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r w:rsidTr="000E3426">
        <w:tblPrEx>
          <w:tblW w:w="9888" w:type="dxa"/>
          <w:tblInd w:w="0" w:type="dxa"/>
          <w:tblCellMar>
            <w:top w:w="0" w:type="dxa"/>
            <w:left w:w="108" w:type="dxa"/>
            <w:bottom w:w="0" w:type="dxa"/>
            <w:right w:w="108" w:type="dxa"/>
          </w:tblCellMar>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refunds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c>
          <w:tcPr>
            <w:tcW w:w="3787"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rPr>
                <w:rStyle w:val="DefaultParagraphFont"/>
                <w:rFonts w:ascii="Times New Roman" w:eastAsia="Times New Roman" w:hAnsi="Times New Roman" w:cs="Times New Roman"/>
                <w:color w:val="000000"/>
                <w:sz w:val="24"/>
                <w:szCs w:val="24"/>
                <w:lang w:val="en-US" w:eastAsia="en-US" w:bidi="ar-SA"/>
              </w:rPr>
            </w:pPr>
            <w:r w:rsidRPr="00204A9A">
              <w:rPr>
                <w:rFonts w:ascii="Times New Roman" w:eastAsia="Times New Roman" w:hAnsi="Times New Roman" w:cs="Times New Roman"/>
                <w:color w:val="000000"/>
                <w:sz w:val="24"/>
                <w:szCs w:val="24"/>
                <w:lang w:val="en-US" w:eastAsia="en-US" w:bidi="ar-SA"/>
              </w:rPr>
              <w:t>No refunds</w:t>
            </w:r>
          </w:p>
        </w:tc>
        <w:tc>
          <w:tcPr>
            <w:tcW w:w="1163" w:type="dxa"/>
            <w:tcBorders>
              <w:top w:val="nil"/>
              <w:left w:val="nil"/>
              <w:bottom w:val="single" w:sz="4" w:space="0" w:color="auto"/>
              <w:right w:val="single" w:sz="4" w:space="0" w:color="auto"/>
            </w:tcBorders>
            <w:shd w:val="clear" w:color="auto" w:fill="auto"/>
            <w:noWrap/>
            <w:vAlign w:val="bottom"/>
            <w:hideMark/>
          </w:tcPr>
          <w:p w:rsidR="00042A25" w:rsidRPr="00204A9A" w:rsidP="000E3426">
            <w:pPr>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YES</w:t>
            </w:r>
          </w:p>
        </w:tc>
      </w:tr>
    </w:tbl>
    <w:p w:rsidR="000E3426" w:rsidP="00DD0E75">
      <w:pPr>
        <w:spacing w:line="240" w:lineRule="auto"/>
        <w:rPr>
          <w:rFonts w:cs="Times New Roman"/>
          <w:szCs w:val="24"/>
        </w:rPr>
      </w:pPr>
    </w:p>
    <w:p w:rsidR="00882658" w:rsidRPr="00882658" w:rsidP="00882658">
      <w:pPr>
        <w:rPr>
          <w:rFonts w:cs="Times New Roman"/>
          <w:szCs w:val="24"/>
        </w:rPr>
      </w:pPr>
      <w:r>
        <w:rPr>
          <w:rFonts w:cs="Times New Roman"/>
          <w:szCs w:val="24"/>
        </w:rPr>
        <w:tab/>
        <w:t xml:space="preserve">DP&amp;L’s charge is unlawful under </w:t>
      </w:r>
      <w:r>
        <w:rPr>
          <w:rFonts w:cs="Times New Roman"/>
          <w:i/>
          <w:iCs/>
          <w:szCs w:val="24"/>
        </w:rPr>
        <w:t>Ohio Edison.</w:t>
      </w:r>
      <w:r>
        <w:rPr>
          <w:rFonts w:cs="Times New Roman"/>
          <w:szCs w:val="24"/>
        </w:rPr>
        <w:t xml:space="preserve">  Therefore, it violates the second prong of the PUCO’s settlement standard.  Further, it is not in the public interest to collect unlawful charges from customers, thus violating the third prong of the PUCO’s settlement standard.</w:t>
      </w:r>
    </w:p>
    <w:p w:rsidR="000E3426" w:rsidP="002E6045">
      <w:pPr>
        <w:pStyle w:val="Heading2"/>
      </w:pPr>
      <w:bookmarkStart w:id="17" w:name="_Toc15566879"/>
      <w:r>
        <w:t>B.</w:t>
      </w:r>
      <w:r>
        <w:tab/>
        <w:t>Alternatively, if the PUCO determines that DP&amp;L may continue to collect the charge from consumers, then it should make DP&amp;L’s charge subject to refund.</w:t>
      </w:r>
      <w:bookmarkEnd w:id="17"/>
    </w:p>
    <w:p w:rsidR="00215C0A" w:rsidP="00DD0E75">
      <w:pPr>
        <w:tabs>
          <w:tab w:val="right" w:pos="8640"/>
        </w:tabs>
      </w:pPr>
      <w:r>
        <w:rPr>
          <w:rFonts w:eastAsia="Calibri"/>
          <w:bCs/>
        </w:rPr>
        <w:tab/>
        <w:t xml:space="preserve">As explained above, based on the Ohio Supreme Court’s ruling in </w:t>
      </w:r>
      <w:r w:rsidRPr="00E52023">
        <w:rPr>
          <w:rFonts w:eastAsia="Calibri"/>
          <w:bCs/>
          <w:i/>
          <w:iCs/>
        </w:rPr>
        <w:t>Ohio Edison</w:t>
      </w:r>
      <w:r>
        <w:rPr>
          <w:rFonts w:eastAsia="Calibri"/>
          <w:bCs/>
        </w:rPr>
        <w:t>, the PUCO should immediately remove DP&amp;L’s nearly identical charge.  If the PUCO does not do so, it should for c</w:t>
      </w:r>
      <w:r w:rsidRPr="00CF23AF">
        <w:rPr>
          <w:rFonts w:eastAsia="Calibri"/>
          <w:bCs/>
        </w:rPr>
        <w:t>onsumer protection require DP&amp;L</w:t>
      </w:r>
      <w:r>
        <w:rPr>
          <w:rFonts w:eastAsia="Calibri"/>
          <w:bCs/>
        </w:rPr>
        <w:t>’s</w:t>
      </w:r>
      <w:r w:rsidRPr="00CF23AF">
        <w:rPr>
          <w:rFonts w:eastAsia="Calibri"/>
          <w:bCs/>
        </w:rPr>
        <w:t xml:space="preserve"> </w:t>
      </w:r>
      <w:r>
        <w:rPr>
          <w:rFonts w:eastAsia="Calibri"/>
          <w:bCs/>
        </w:rPr>
        <w:t>charge</w:t>
      </w:r>
      <w:r w:rsidRPr="00CF23AF">
        <w:rPr>
          <w:rFonts w:eastAsia="Calibri"/>
          <w:bCs/>
        </w:rPr>
        <w:t xml:space="preserve"> </w:t>
      </w:r>
      <w:r>
        <w:rPr>
          <w:rFonts w:eastAsia="Calibri"/>
          <w:bCs/>
        </w:rPr>
        <w:t xml:space="preserve">to be collected </w:t>
      </w:r>
      <w:r w:rsidRPr="00CF23AF">
        <w:rPr>
          <w:rFonts w:eastAsia="Calibri"/>
          <w:bCs/>
        </w:rPr>
        <w:t>subject to refund</w:t>
      </w:r>
      <w:r w:rsidRPr="00CF23AF">
        <w:t xml:space="preserve"> pending the outcome of this case and any appeals to the Ohio Supreme Court</w:t>
      </w:r>
      <w:r w:rsidRPr="00CF23AF">
        <w:rPr>
          <w:rFonts w:eastAsia="Calibri"/>
          <w:bCs/>
        </w:rPr>
        <w:t xml:space="preserve">. </w:t>
      </w:r>
      <w:r>
        <w:t xml:space="preserve">Given </w:t>
      </w:r>
      <w:r>
        <w:rPr>
          <w:i/>
          <w:iCs/>
        </w:rPr>
        <w:t>Ohio Edison</w:t>
      </w:r>
      <w:r>
        <w:t xml:space="preserve">, which struck down a “similar” DMR charge, the PUCO should act now to stem the injury to customers that will ensue if DP&amp;L’s charge, like FirstEnergy’s charge,  is found to be unlawful,  yet consumers receive no refund of the unlawful charges paid.  </w:t>
      </w:r>
    </w:p>
    <w:p w:rsidR="00215C0A" w:rsidP="00215C0A">
      <w:pPr>
        <w:autoSpaceDE w:val="0"/>
        <w:autoSpaceDN w:val="0"/>
        <w:ind w:firstLine="720"/>
        <w:rPr>
          <w:rFonts w:eastAsia="Calibri"/>
          <w:bCs/>
        </w:rPr>
      </w:pPr>
      <w:r>
        <w:t>Customers in this state have already lost out on refunds of over a billion dollars under Ohio Supreme Court precedent that allows utilities to keep charges (without refunding) that they collected from consumers even after the Court’s decisions finding that the charges are unlawful.</w:t>
      </w:r>
      <w:r>
        <w:rPr>
          <w:rStyle w:val="FootnoteReference"/>
        </w:rPr>
        <w:footnoteReference w:id="135"/>
      </w:r>
      <w:r>
        <w:t xml:space="preserve">  The PUCO has the authority to put a stop to this continuing travesty of justice.  As the Court pointed out in </w:t>
      </w:r>
      <w:r>
        <w:rPr>
          <w:i/>
          <w:iCs/>
        </w:rPr>
        <w:t>Ohio Edison</w:t>
      </w:r>
      <w:r>
        <w:t>, the unlawful charges collected from consumers by FirstEnergy are not refundable because the PUCO did not make FirstEnergy’s charge subject to refund.</w:t>
      </w:r>
      <w:r>
        <w:rPr>
          <w:rStyle w:val="FootnoteReference"/>
        </w:rPr>
        <w:footnoteReference w:id="136"/>
      </w:r>
      <w:r>
        <w:rPr>
          <w:i/>
          <w:iCs/>
        </w:rPr>
        <w:t xml:space="preserve"> </w:t>
      </w:r>
      <w:r>
        <w:t>The PUCO can simply make the tariffs that collect DP&amp;L’s charge subject to refund, as OCC Witness Kahal urged in testimony filed earlier in this case. E</w:t>
      </w:r>
      <w:r w:rsidRPr="00CF23AF">
        <w:t xml:space="preserve">xercising this option will prevent injury to the interests of the public and will prevent irreparable harm to customers. </w:t>
      </w:r>
      <w:r w:rsidRPr="00CF23AF">
        <w:rPr>
          <w:rFonts w:eastAsia="Calibri"/>
          <w:bCs/>
        </w:rPr>
        <w:t xml:space="preserve"> </w:t>
      </w:r>
    </w:p>
    <w:p w:rsidR="00882658" w:rsidP="00215C0A">
      <w:pPr>
        <w:autoSpaceDE w:val="0"/>
        <w:autoSpaceDN w:val="0"/>
        <w:ind w:firstLine="720"/>
        <w:rPr>
          <w:rFonts w:eastAsia="Calibri"/>
          <w:bCs/>
        </w:rPr>
      </w:pPr>
      <w:bookmarkStart w:id="18" w:name="_Hlk15564757"/>
      <w:r>
        <w:rPr>
          <w:rFonts w:eastAsia="Calibri"/>
          <w:bCs/>
        </w:rPr>
        <w:t>It is not in the public interest to collect potentially unlawful charges from customers without those charges being collected from customers subject to refund, thus violating the third prong of the PUCO’s settlement standard.</w:t>
      </w:r>
    </w:p>
    <w:p w:rsidR="000E3426" w:rsidRPr="00DD0E75" w:rsidP="00DD0E75">
      <w:pPr>
        <w:spacing w:line="240" w:lineRule="auto"/>
        <w:ind w:left="1440" w:right="720"/>
        <w:rPr>
          <w:rFonts w:eastAsia="Calibri"/>
          <w:b/>
          <w:bCs/>
        </w:rPr>
      </w:pPr>
      <w:bookmarkEnd w:id="18"/>
      <w:r w:rsidRPr="00DD0E75">
        <w:rPr>
          <w:b/>
          <w:bCs/>
        </w:rPr>
        <w:t>The PUCO has authority to make DP&amp;L’s charge subject to refund.</w:t>
      </w:r>
      <w:r w:rsidRPr="00DD0E75">
        <w:rPr>
          <w:rFonts w:eastAsia="Calibri"/>
          <w:b/>
          <w:bCs/>
        </w:rPr>
        <w:t xml:space="preserve">  </w:t>
      </w:r>
    </w:p>
    <w:p w:rsidR="00D14D25" w:rsidRPr="00D14D25" w:rsidP="00D14D25">
      <w:pPr>
        <w:spacing w:line="240" w:lineRule="auto"/>
      </w:pPr>
    </w:p>
    <w:p w:rsidR="00A1653C" w:rsidP="00A1653C">
      <w:pPr>
        <w:tabs>
          <w:tab w:val="left" w:pos="-720"/>
        </w:tabs>
        <w:suppressAutoHyphens/>
        <w:rPr>
          <w:spacing w:val="-3"/>
        </w:rPr>
      </w:pPr>
      <w:r>
        <w:tab/>
      </w:r>
      <w:r w:rsidRPr="00CF23AF">
        <w:t>DP&amp;L’s</w:t>
      </w:r>
      <w:r w:rsidRPr="00CF23AF">
        <w:rPr>
          <w:spacing w:val="-3"/>
        </w:rPr>
        <w:t xml:space="preserve"> customers have been paying the DMR </w:t>
      </w:r>
      <w:r>
        <w:rPr>
          <w:spacing w:val="-3"/>
        </w:rPr>
        <w:t xml:space="preserve">charge </w:t>
      </w:r>
      <w:r w:rsidRPr="00CF23AF">
        <w:rPr>
          <w:spacing w:val="-3"/>
        </w:rPr>
        <w:t xml:space="preserve">for </w:t>
      </w:r>
      <w:r>
        <w:rPr>
          <w:spacing w:val="-3"/>
        </w:rPr>
        <w:t xml:space="preserve">unlawful </w:t>
      </w:r>
      <w:r w:rsidRPr="00CF23AF">
        <w:rPr>
          <w:spacing w:val="-3"/>
        </w:rPr>
        <w:t xml:space="preserve">credit support </w:t>
      </w:r>
      <w:r>
        <w:rPr>
          <w:spacing w:val="-3"/>
        </w:rPr>
        <w:t xml:space="preserve">since November 1, 2017, with approximately $ 175 million being collected to date.  Consumers will not likely be able to receive a refund of what has already been paid even if the Court (or the PUCO) determines the charge is unlawful. </w:t>
      </w:r>
      <w:r w:rsidRPr="00CF23AF">
        <w:rPr>
          <w:spacing w:val="-3"/>
        </w:rPr>
        <w:t xml:space="preserve"> </w:t>
      </w:r>
      <w:r>
        <w:rPr>
          <w:spacing w:val="-3"/>
        </w:rPr>
        <w:t>T</w:t>
      </w:r>
      <w:r w:rsidRPr="00CF23AF">
        <w:rPr>
          <w:spacing w:val="-3"/>
        </w:rPr>
        <w:t>he Court recognized that there is an apparent unfairness when a charge is determined to be unlawful yet customers get no refund of charges unlawfully collected.</w:t>
      </w:r>
      <w:r>
        <w:rPr>
          <w:rStyle w:val="FootnoteReference"/>
          <w:spacing w:val="-3"/>
        </w:rPr>
        <w:footnoteReference w:id="137"/>
      </w:r>
      <w:r w:rsidRPr="00CF23AF">
        <w:rPr>
          <w:spacing w:val="-3"/>
        </w:rPr>
        <w:t xml:space="preserve"> </w:t>
      </w:r>
    </w:p>
    <w:p w:rsidR="00A1653C" w:rsidRPr="00CF23AF" w:rsidP="00A1653C">
      <w:pPr>
        <w:tabs>
          <w:tab w:val="left" w:pos="-720"/>
        </w:tabs>
        <w:suppressAutoHyphens/>
        <w:rPr>
          <w:spacing w:val="-3"/>
        </w:rPr>
      </w:pPr>
      <w:r>
        <w:rPr>
          <w:spacing w:val="-3"/>
        </w:rPr>
        <w:tab/>
      </w:r>
      <w:r w:rsidRPr="00CF23AF">
        <w:rPr>
          <w:spacing w:val="-3"/>
        </w:rPr>
        <w:t xml:space="preserve"> But if the PUCO directs that the DMR </w:t>
      </w:r>
      <w:r>
        <w:rPr>
          <w:spacing w:val="-3"/>
        </w:rPr>
        <w:t xml:space="preserve">charge </w:t>
      </w:r>
      <w:r w:rsidRPr="00CF23AF">
        <w:rPr>
          <w:spacing w:val="-3"/>
        </w:rPr>
        <w:t>be collected subject to refund, the PUCO can avoid these unfair and unjust results</w:t>
      </w:r>
      <w:r>
        <w:rPr>
          <w:spacing w:val="-3"/>
        </w:rPr>
        <w:t xml:space="preserve"> and stem the harm DP&amp;L’s customers may incur.  </w:t>
      </w:r>
      <w:r w:rsidRPr="00CF23AF">
        <w:t>The PUCO</w:t>
      </w:r>
      <w:r>
        <w:t xml:space="preserve">’s </w:t>
      </w:r>
      <w:r w:rsidRPr="00CF23AF">
        <w:t>authority to take action to protect customers can be found under various statutes and case precedent</w:t>
      </w:r>
      <w:r w:rsidRPr="00CF23AF">
        <w:rPr>
          <w:spacing w:val="-3"/>
        </w:rPr>
        <w:t xml:space="preserve">.  </w:t>
      </w:r>
    </w:p>
    <w:p w:rsidR="00A1653C" w:rsidRPr="00CF23AF" w:rsidP="00A1653C">
      <w:pPr>
        <w:tabs>
          <w:tab w:val="left" w:pos="-720"/>
        </w:tabs>
        <w:suppressAutoHyphens/>
      </w:pPr>
      <w:r w:rsidRPr="00CF23AF">
        <w:rPr>
          <w:spacing w:val="-3"/>
        </w:rPr>
        <w:tab/>
        <w:t xml:space="preserve"> </w:t>
      </w:r>
      <w:r w:rsidRPr="00CF23AF">
        <w:t>The PUCO has acted to prevent harm from occurring by ordering utilities, on an ongoing basis, to collect an existing rate increase subject to refund and subject to appropriate interest charges.  The PUCO has used this approach to permit it to explore the reasonableness of rates in light of events that occurred after the issuance of its orders.  For instance, the PUCO granted rehearing and ordered rates to be collected subject to refund in a rate case filed by the Columbus &amp; Southern Ohio Electric Company.</w:t>
      </w:r>
      <w:r>
        <w:rPr>
          <w:vertAlign w:val="superscript"/>
        </w:rPr>
        <w:footnoteReference w:id="138"/>
      </w:r>
      <w:r w:rsidRPr="00CF23AF">
        <w:t xml:space="preserve">  In that rate case, one week after the issuance of the PUCO’s rate order, the Nuclear Regulatory Commission issued an Order that suspended construction at the Zimmer Nuclear Power Plant (“Zimmer”).  The original Opinion and Order included a rate base allowance for construction work in progress (“CWIP”) for Zimmer.</w:t>
      </w:r>
      <w:r>
        <w:rPr>
          <w:vertAlign w:val="superscript"/>
        </w:rPr>
        <w:footnoteReference w:id="139"/>
      </w:r>
      <w:r w:rsidRPr="00CF23AF">
        <w:t xml:space="preserve">  </w:t>
      </w:r>
    </w:p>
    <w:p w:rsidR="00A1653C" w:rsidP="00A1653C">
      <w:pPr>
        <w:ind w:firstLine="720"/>
      </w:pPr>
      <w:r w:rsidRPr="00CF23AF">
        <w:t>In its order setting the rehearing, the PUCO approved the utility’s filed tariffs but expressly found the portion of the increase granted attributable to Zimmer CWIP “should be made subject to refund, pending a rehearing on the CWIP issue.”</w:t>
      </w:r>
      <w:r>
        <w:rPr>
          <w:vertAlign w:val="superscript"/>
        </w:rPr>
        <w:footnoteReference w:id="140"/>
      </w:r>
      <w:r w:rsidRPr="00CF23AF">
        <w:t xml:space="preserve">  A rehearing was held and the PUCO ordered that all of the Zimmer costs should be excluded from CWIP.  The PUCO ordered the utility to file tariffs reducing the total revenue requirements by approximately $13 million.</w:t>
      </w:r>
      <w:r>
        <w:rPr>
          <w:vertAlign w:val="superscript"/>
        </w:rPr>
        <w:footnoteReference w:id="141"/>
      </w:r>
      <w:r w:rsidRPr="00CF23AF">
        <w:t xml:space="preserve">  The utility appealed and sought a stay of the PUCO's Order on Rehearing from the Supreme Court of Ohio. The Court granted the stay but subsequently affirmed the PUCO's denial of a CWIP allowance.</w:t>
      </w:r>
      <w:r>
        <w:rPr>
          <w:vertAlign w:val="superscript"/>
        </w:rPr>
        <w:footnoteReference w:id="142"/>
      </w:r>
      <w:r w:rsidRPr="00CF23AF">
        <w:t xml:space="preserve">  After the PUCO’s action was upheld on appeal,</w:t>
      </w:r>
      <w:r>
        <w:rPr>
          <w:vertAlign w:val="superscript"/>
        </w:rPr>
        <w:footnoteReference w:id="143"/>
      </w:r>
      <w:r w:rsidRPr="00CF23AF">
        <w:t xml:space="preserve"> the PUCO ordered the utility to refund approximately $4.5 million to its customers.</w:t>
      </w:r>
      <w:r>
        <w:rPr>
          <w:vertAlign w:val="superscript"/>
        </w:rPr>
        <w:footnoteReference w:id="144"/>
      </w:r>
      <w:r w:rsidRPr="00CF23AF">
        <w:t xml:space="preserve">  The PUCO ordered the collection, subject to refund to protect customers in the event of a later decision that the utility was collecting more from customers than warranted by law, rule, or reason. </w:t>
      </w:r>
    </w:p>
    <w:p w:rsidR="00617B5D" w:rsidP="00E52023">
      <w:pPr>
        <w:ind w:firstLine="720"/>
      </w:pPr>
      <w:r w:rsidRPr="00CF23AF">
        <w:t>Another example where the PUCO has collected rates subject to refund involved the Ohio Utilities Company.</w:t>
      </w:r>
      <w:r>
        <w:rPr>
          <w:vertAlign w:val="superscript"/>
        </w:rPr>
        <w:footnoteReference w:id="145"/>
      </w:r>
      <w:r w:rsidRPr="00CF23AF">
        <w:t xml:space="preserve">  After a rate order was issued,</w:t>
      </w:r>
      <w:r>
        <w:rPr>
          <w:vertAlign w:val="superscript"/>
        </w:rPr>
        <w:footnoteReference w:id="146"/>
      </w:r>
      <w:r w:rsidRPr="00CF23AF">
        <w:t xml:space="preserve"> legislation was enacted that changed Ohio’s ratemaking formula.  The PUCO opened an investigation to determine if the previously-established rates were still reasonable in light of the new law.</w:t>
      </w:r>
      <w:r>
        <w:rPr>
          <w:vertAlign w:val="superscript"/>
        </w:rPr>
        <w:footnoteReference w:id="147"/>
      </w:r>
      <w:r w:rsidRPr="00CF23AF">
        <w:t xml:space="preserve">  The PUCO determined that the rates were excessive, taking into account the new law, and ordered the utility to withdraw its tariffs and file new lower rates consistent with the PUCO’s findings.</w:t>
      </w:r>
      <w:r>
        <w:rPr>
          <w:i/>
          <w:iCs/>
          <w:vertAlign w:val="superscript"/>
        </w:rPr>
        <w:footnoteReference w:id="148"/>
      </w:r>
      <w:r w:rsidRPr="00CF23AF">
        <w:t xml:space="preserve">  The utility sought a stay of the PUCO’s order, pending further </w:t>
      </w:r>
    </w:p>
    <w:p w:rsidR="00A23752">
      <w:pPr>
        <w:spacing w:after="160" w:line="259" w:lineRule="auto"/>
      </w:pPr>
      <w:r>
        <w:br w:type="page"/>
      </w:r>
    </w:p>
    <w:p w:rsidR="00A1653C" w:rsidRPr="00CF23AF" w:rsidP="00617B5D">
      <w:r w:rsidRPr="00CF23AF">
        <w:t>review, which was granted with the condition that the utility was required to collect rates subject to refund.</w:t>
      </w:r>
      <w:r>
        <w:rPr>
          <w:vertAlign w:val="superscript"/>
        </w:rPr>
        <w:footnoteReference w:id="149"/>
      </w:r>
    </w:p>
    <w:p w:rsidR="00A1653C" w:rsidRPr="00CF23AF" w:rsidP="009B6D71">
      <w:pPr>
        <w:ind w:firstLine="720"/>
      </w:pPr>
      <w:r w:rsidRPr="00CF23AF">
        <w:t>In a case involving AEP’s Rate Stability Rider</w:t>
      </w:r>
      <w:r>
        <w:t xml:space="preserve"> (“RSR”)</w:t>
      </w:r>
      <w:r w:rsidRPr="00CF23AF">
        <w:t>, the PUCO ordered that the RSR be collected subject to refund after the case was remanded by the Court.</w:t>
      </w:r>
      <w:r>
        <w:rPr>
          <w:rStyle w:val="FootnoteReference"/>
        </w:rPr>
        <w:footnoteReference w:id="150"/>
      </w:r>
      <w:r w:rsidRPr="00CF23AF">
        <w:t xml:space="preserve">  The PUCO “direct[ed] AEP Ohio to file revised tariffs that provide that the RSR is being collected subject to refund” in order to protect consumers from irreparable harm – continuing to pay the RSR without the potential of getting a refund.</w:t>
      </w:r>
      <w:r>
        <w:rPr>
          <w:rStyle w:val="FootnoteReference"/>
        </w:rPr>
        <w:footnoteReference w:id="151"/>
      </w:r>
      <w:r w:rsidRPr="00CF23AF">
        <w:t xml:space="preserve"> </w:t>
      </w:r>
    </w:p>
    <w:p w:rsidR="00A1653C" w:rsidRPr="00CF23AF" w:rsidP="00A1653C">
      <w:pPr>
        <w:ind w:firstLine="720"/>
      </w:pPr>
      <w:r w:rsidRPr="00CF23AF">
        <w:t>And of course, the PUCO just recently</w:t>
      </w:r>
      <w:r w:rsidRPr="00CF23AF">
        <w:rPr>
          <w:rFonts w:eastAsia="Calibri"/>
          <w:bCs/>
        </w:rPr>
        <w:t xml:space="preserve"> issued an Entry making FirstEnergy’s </w:t>
      </w:r>
      <w:r>
        <w:rPr>
          <w:rFonts w:eastAsia="Calibri"/>
          <w:bCs/>
        </w:rPr>
        <w:t>charge</w:t>
      </w:r>
      <w:r w:rsidRPr="00CF23AF">
        <w:rPr>
          <w:rFonts w:eastAsia="Calibri"/>
          <w:bCs/>
        </w:rPr>
        <w:t xml:space="preserve"> subject to refund.</w:t>
      </w:r>
      <w:r>
        <w:rPr>
          <w:rStyle w:val="FootnoteReference"/>
          <w:rFonts w:eastAsia="Calibri"/>
          <w:bCs/>
        </w:rPr>
        <w:footnoteReference w:id="152"/>
      </w:r>
      <w:r w:rsidRPr="00CF23AF">
        <w:rPr>
          <w:rFonts w:eastAsia="Calibri"/>
          <w:bCs/>
        </w:rPr>
        <w:t xml:space="preserve"> The PUCO issued an Entry making FirstEnergy’s </w:t>
      </w:r>
      <w:r>
        <w:rPr>
          <w:rFonts w:eastAsia="Calibri"/>
          <w:bCs/>
        </w:rPr>
        <w:t>charge</w:t>
      </w:r>
      <w:r w:rsidRPr="00CF23AF">
        <w:rPr>
          <w:rFonts w:eastAsia="Calibri"/>
          <w:bCs/>
        </w:rPr>
        <w:t xml:space="preserve"> subject to refund pending the Court’s ruling on FirstEnergy’s motion </w:t>
      </w:r>
      <w:r>
        <w:rPr>
          <w:rFonts w:eastAsia="Calibri"/>
          <w:bCs/>
        </w:rPr>
        <w:t>for reconsideration, filed with the Court on July 1, 2019.</w:t>
      </w:r>
      <w:r>
        <w:rPr>
          <w:rStyle w:val="FootnoteReference"/>
          <w:rFonts w:eastAsia="Calibri"/>
          <w:bCs/>
        </w:rPr>
        <w:footnoteReference w:id="153"/>
      </w:r>
      <w:r w:rsidRPr="00CF23AF">
        <w:rPr>
          <w:rFonts w:eastAsia="Calibri"/>
          <w:bCs/>
        </w:rPr>
        <w:t xml:space="preserve">    </w:t>
      </w:r>
      <w:r w:rsidRPr="00CF23AF">
        <w:t xml:space="preserve">    </w:t>
      </w:r>
    </w:p>
    <w:p w:rsidR="008C2665" w:rsidP="00A1653C">
      <w:pPr>
        <w:tabs>
          <w:tab w:val="left" w:pos="-720"/>
        </w:tabs>
        <w:suppressAutoHyphens/>
        <w:ind w:firstLine="720"/>
        <w:rPr>
          <w:rFonts w:eastAsia="Calibri"/>
          <w:bCs/>
        </w:rPr>
      </w:pPr>
      <w:r w:rsidRPr="00CF23AF">
        <w:t xml:space="preserve">The PUCO can act now to prevent </w:t>
      </w:r>
      <w:r>
        <w:t xml:space="preserve">further </w:t>
      </w:r>
      <w:r w:rsidRPr="00CF23AF">
        <w:t xml:space="preserve">harm to </w:t>
      </w:r>
      <w:r>
        <w:t xml:space="preserve">DP&amp;L’s </w:t>
      </w:r>
      <w:r w:rsidRPr="00CF23AF">
        <w:t>consumers under the DMR</w:t>
      </w:r>
      <w:r>
        <w:t xml:space="preserve"> charge</w:t>
      </w:r>
      <w:r w:rsidRPr="00CF23AF">
        <w:t xml:space="preserve">.  It should do so.  </w:t>
      </w:r>
      <w:r>
        <w:rPr>
          <w:rFonts w:eastAsia="Calibri"/>
          <w:bCs/>
        </w:rPr>
        <w:t xml:space="preserve">It is fair to DP&amp;L’s consumers who should not be paying the unwarranted charge in the first place.  In an earlier phase of this proceeding, OCC Witness Kahal urged the PUCO to order that DP&amp;L’s charge be refundable.  </w:t>
      </w:r>
    </w:p>
    <w:p w:rsidR="008C2665" w:rsidRPr="00CF23AF" w:rsidP="008C2665">
      <w:pPr>
        <w:tabs>
          <w:tab w:val="left" w:pos="-720"/>
        </w:tabs>
        <w:suppressAutoHyphens/>
        <w:ind w:firstLine="720"/>
        <w:rPr>
          <w:rFonts w:eastAsia="Calibri"/>
          <w:bCs/>
        </w:rPr>
      </w:pPr>
      <w:r w:rsidRPr="00CF23AF">
        <w:rPr>
          <w:rFonts w:eastAsia="Calibri"/>
          <w:bCs/>
        </w:rPr>
        <w:t>OCC Witness Kahal explained</w:t>
      </w:r>
      <w:r>
        <w:rPr>
          <w:rFonts w:eastAsia="Calibri"/>
          <w:bCs/>
        </w:rPr>
        <w:t xml:space="preserve"> that </w:t>
      </w:r>
      <w:r w:rsidRPr="00CF23AF">
        <w:rPr>
          <w:rFonts w:eastAsia="Calibri"/>
          <w:bCs/>
        </w:rPr>
        <w:t xml:space="preserve"> the “overriding concern [with not making the DMR subject to refund] is one of inequity between shareholder and utility customers.”</w:t>
      </w:r>
      <w:r>
        <w:rPr>
          <w:rStyle w:val="FootnoteReference"/>
          <w:rFonts w:eastAsia="Calibri"/>
          <w:bCs/>
        </w:rPr>
        <w:footnoteReference w:id="154"/>
      </w:r>
      <w:r w:rsidRPr="00CF23AF">
        <w:rPr>
          <w:rFonts w:eastAsia="Calibri"/>
          <w:bCs/>
        </w:rPr>
        <w:t xml:space="preserve">  Were the PUCO, or the Supreme Court of Ohio on appeal, to find </w:t>
      </w:r>
      <w:r>
        <w:rPr>
          <w:rFonts w:eastAsia="Calibri"/>
          <w:bCs/>
        </w:rPr>
        <w:t>DP&amp;L’s charge</w:t>
      </w:r>
      <w:r w:rsidRPr="00CF23AF">
        <w:rPr>
          <w:rFonts w:eastAsia="Calibri"/>
          <w:bCs/>
        </w:rPr>
        <w:t xml:space="preserve"> unlawful, DP&amp;L was never entitled to the revenue in the first place.</w:t>
      </w:r>
      <w:r>
        <w:rPr>
          <w:rStyle w:val="FootnoteReference"/>
          <w:rFonts w:eastAsia="Calibri"/>
          <w:bCs/>
        </w:rPr>
        <w:footnoteReference w:id="155"/>
      </w:r>
      <w:r w:rsidRPr="00CF23AF">
        <w:rPr>
          <w:rFonts w:eastAsia="Calibri"/>
          <w:bCs/>
        </w:rPr>
        <w:t xml:space="preserve">    “Therefore, absent a subject to refund provision, inevitably, utility customers experience very substantial irreparable harm.”</w:t>
      </w:r>
      <w:r>
        <w:rPr>
          <w:rStyle w:val="FootnoteReference"/>
          <w:rFonts w:eastAsia="Calibri"/>
          <w:bCs/>
        </w:rPr>
        <w:footnoteReference w:id="156"/>
      </w:r>
      <w:r w:rsidRPr="00CF23AF">
        <w:rPr>
          <w:rFonts w:eastAsia="Calibri"/>
          <w:bCs/>
        </w:rPr>
        <w:t xml:space="preserve">  Accordingly, a subject to refund provision is required as a matter of basic equity.</w:t>
      </w:r>
      <w:r>
        <w:rPr>
          <w:rStyle w:val="FootnoteReference"/>
          <w:rFonts w:eastAsia="Calibri"/>
          <w:bCs/>
        </w:rPr>
        <w:footnoteReference w:id="157"/>
      </w:r>
    </w:p>
    <w:p w:rsidR="008C2665" w:rsidRPr="00CF23AF" w:rsidP="008C2665">
      <w:pPr>
        <w:tabs>
          <w:tab w:val="left" w:pos="-720"/>
        </w:tabs>
        <w:suppressAutoHyphens/>
        <w:ind w:firstLine="720"/>
        <w:rPr>
          <w:rFonts w:eastAsia="Calibri"/>
          <w:bCs/>
        </w:rPr>
      </w:pPr>
      <w:r>
        <w:rPr>
          <w:rFonts w:eastAsia="Calibri"/>
          <w:bCs/>
        </w:rPr>
        <w:t>OCC Witness Kahal also testified that i</w:t>
      </w:r>
      <w:r w:rsidRPr="00CF23AF">
        <w:rPr>
          <w:rFonts w:eastAsia="Calibri"/>
          <w:bCs/>
        </w:rPr>
        <w:t>t is a tool routinely used by regulators,</w:t>
      </w:r>
      <w:r>
        <w:rPr>
          <w:rStyle w:val="FootnoteReference"/>
          <w:rFonts w:eastAsia="Calibri"/>
          <w:bCs/>
        </w:rPr>
        <w:footnoteReference w:id="158"/>
      </w:r>
      <w:r>
        <w:rPr>
          <w:rFonts w:eastAsia="Calibri"/>
          <w:bCs/>
        </w:rPr>
        <w:t>including the Federal Energy Regulatory Commission.</w:t>
      </w:r>
      <w:r w:rsidRPr="00CF23AF">
        <w:rPr>
          <w:rFonts w:eastAsia="Calibri"/>
          <w:bCs/>
        </w:rPr>
        <w:t xml:space="preserve">  And although making </w:t>
      </w:r>
      <w:r>
        <w:rPr>
          <w:rFonts w:eastAsia="Calibri"/>
          <w:bCs/>
        </w:rPr>
        <w:t>DP&amp;L’s charge</w:t>
      </w:r>
      <w:r w:rsidRPr="00CF23AF">
        <w:rPr>
          <w:rFonts w:eastAsia="Calibri"/>
          <w:bCs/>
        </w:rPr>
        <w:t xml:space="preserve"> subject to refund involves more risk</w:t>
      </w:r>
      <w:r>
        <w:rPr>
          <w:rFonts w:eastAsia="Calibri"/>
          <w:bCs/>
        </w:rPr>
        <w:t xml:space="preserve">, OCC Witness Kahal observed that </w:t>
      </w:r>
      <w:r w:rsidRPr="00CF23AF">
        <w:rPr>
          <w:rFonts w:eastAsia="Calibri"/>
          <w:bCs/>
        </w:rPr>
        <w:t xml:space="preserve"> “DP&amp;L is being well compensated for that risk . . . .”</w:t>
      </w:r>
      <w:r>
        <w:rPr>
          <w:rStyle w:val="FootnoteReference"/>
          <w:rFonts w:eastAsia="Calibri"/>
          <w:bCs/>
        </w:rPr>
        <w:footnoteReference w:id="159"/>
      </w:r>
      <w:r w:rsidRPr="00CF23AF">
        <w:rPr>
          <w:rFonts w:eastAsia="Calibri"/>
          <w:bCs/>
        </w:rPr>
        <w:t xml:space="preserve">  </w:t>
      </w:r>
      <w:r>
        <w:rPr>
          <w:rFonts w:eastAsia="Calibri"/>
          <w:bCs/>
        </w:rPr>
        <w:t>Mr. Kahal testified that g</w:t>
      </w:r>
      <w:r w:rsidRPr="00CF23AF">
        <w:rPr>
          <w:rFonts w:eastAsia="Calibri"/>
          <w:bCs/>
        </w:rPr>
        <w:t>iven the “very lucrative” returns on equity DP&amp;L obtains as a result of the DMR</w:t>
      </w:r>
      <w:r>
        <w:rPr>
          <w:rFonts w:eastAsia="Calibri"/>
          <w:bCs/>
        </w:rPr>
        <w:t xml:space="preserve"> charge</w:t>
      </w:r>
      <w:r w:rsidRPr="00CF23AF">
        <w:rPr>
          <w:rFonts w:eastAsia="Calibri"/>
          <w:bCs/>
        </w:rPr>
        <w:t>, “it is entirely reasonable to ask DP&amp;L to bear the refund risk[.]”</w:t>
      </w:r>
      <w:r>
        <w:rPr>
          <w:rStyle w:val="FootnoteReference"/>
          <w:rFonts w:eastAsia="Calibri"/>
          <w:bCs/>
        </w:rPr>
        <w:footnoteReference w:id="160"/>
      </w:r>
      <w:r w:rsidRPr="00CF23AF">
        <w:rPr>
          <w:rFonts w:eastAsia="Calibri"/>
          <w:bCs/>
        </w:rPr>
        <w:t xml:space="preserve">  </w:t>
      </w:r>
      <w:r>
        <w:rPr>
          <w:rFonts w:eastAsia="Calibri"/>
          <w:bCs/>
        </w:rPr>
        <w:t>Mr. Kahal also testified that</w:t>
      </w:r>
      <w:r w:rsidRPr="00CF23AF">
        <w:rPr>
          <w:rFonts w:eastAsia="Calibri"/>
          <w:bCs/>
        </w:rPr>
        <w:t xml:space="preserve"> any argument that a potential refund would harm financial integrity “really does not apply, or at best is unpersuasive.”</w:t>
      </w:r>
      <w:r>
        <w:rPr>
          <w:rStyle w:val="FootnoteReference"/>
          <w:rFonts w:eastAsia="Calibri"/>
          <w:bCs/>
        </w:rPr>
        <w:footnoteReference w:id="161"/>
      </w:r>
      <w:r w:rsidRPr="00CF23AF">
        <w:rPr>
          <w:rFonts w:eastAsia="Calibri"/>
          <w:bCs/>
        </w:rPr>
        <w:t xml:space="preserve">  AES, as DP&amp;L’s ultimate parent, is responsible for ensuring the financial integrity of the utility that it owns.</w:t>
      </w:r>
      <w:r>
        <w:rPr>
          <w:rStyle w:val="FootnoteReference"/>
          <w:rFonts w:eastAsia="Calibri"/>
          <w:bCs/>
        </w:rPr>
        <w:footnoteReference w:id="162"/>
      </w:r>
      <w:r w:rsidRPr="00CF23AF">
        <w:rPr>
          <w:rFonts w:eastAsia="Calibri"/>
          <w:bCs/>
        </w:rPr>
        <w:t xml:space="preserve">  </w:t>
      </w:r>
      <w:r>
        <w:rPr>
          <w:rFonts w:eastAsia="Calibri"/>
          <w:bCs/>
        </w:rPr>
        <w:t xml:space="preserve">According to Witness Kahal </w:t>
      </w:r>
      <w:r w:rsidRPr="00CF23AF">
        <w:rPr>
          <w:rFonts w:eastAsia="Calibri"/>
          <w:bCs/>
        </w:rPr>
        <w:t>“AES clear</w:t>
      </w:r>
      <w:r>
        <w:rPr>
          <w:rFonts w:eastAsia="Calibri"/>
          <w:bCs/>
        </w:rPr>
        <w:t>ly</w:t>
      </w:r>
      <w:r w:rsidRPr="00CF23AF">
        <w:rPr>
          <w:rFonts w:eastAsia="Calibri"/>
          <w:bCs/>
        </w:rPr>
        <w:t xml:space="preserve"> has the capability of replacing the refunded earnings. . . .  [A refund] is only a very small percentage of the AES equity and annual cash slow.”</w:t>
      </w:r>
      <w:r>
        <w:rPr>
          <w:rStyle w:val="FootnoteReference"/>
          <w:rFonts w:eastAsia="Calibri"/>
          <w:bCs/>
        </w:rPr>
        <w:footnoteReference w:id="163"/>
      </w:r>
    </w:p>
    <w:p w:rsidR="008C2665" w:rsidP="008C2665">
      <w:pPr>
        <w:tabs>
          <w:tab w:val="left" w:pos="-720"/>
        </w:tabs>
        <w:suppressAutoHyphens/>
        <w:ind w:firstLine="720"/>
        <w:rPr>
          <w:rFonts w:eastAsia="Calibri"/>
          <w:bCs/>
        </w:rPr>
      </w:pPr>
      <w:r>
        <w:rPr>
          <w:rFonts w:eastAsia="Calibri"/>
          <w:bCs/>
        </w:rPr>
        <w:t xml:space="preserve">The PUCO should have considered the testimony and recommendations of OCC Witness Kahal in this regard.  It did not.  The PUCO should now order that DP&amp;L’s charge be collected subject to refund, especially given the Supreme Court’s holding in </w:t>
      </w:r>
      <w:r w:rsidRPr="00E52023">
        <w:rPr>
          <w:rFonts w:eastAsia="Calibri"/>
          <w:bCs/>
          <w:i/>
          <w:iCs/>
        </w:rPr>
        <w:t>Ohio Edison</w:t>
      </w:r>
      <w:r>
        <w:rPr>
          <w:rFonts w:eastAsia="Calibri"/>
          <w:bCs/>
        </w:rPr>
        <w:t xml:space="preserve">.  And in the interest of fairness, if refunds are ordered the refunds should include carrying charges equal to DP&amp;L’s PUCO-authorized return on debt.  </w:t>
      </w:r>
    </w:p>
    <w:p w:rsidR="00D14D25" w:rsidP="00D14D25">
      <w:pPr>
        <w:tabs>
          <w:tab w:val="left" w:pos="-720"/>
        </w:tabs>
        <w:suppressAutoHyphens/>
        <w:ind w:firstLine="720"/>
        <w:rPr>
          <w:rFonts w:eastAsia="Calibri"/>
          <w:bCs/>
        </w:rPr>
      </w:pPr>
      <w:r w:rsidRPr="00CF23AF">
        <w:t>The PUCO should make DP&amp;L’s collection of DMR charges subject to refund pending the outcome of this case and any appeals to the Court</w:t>
      </w:r>
      <w:r w:rsidRPr="00CF23AF">
        <w:rPr>
          <w:color w:val="231F20"/>
        </w:rPr>
        <w:t>.</w:t>
      </w:r>
      <w:r>
        <w:t xml:space="preserve">  </w:t>
      </w:r>
      <w:r w:rsidRPr="00CF23AF">
        <w:rPr>
          <w:rFonts w:eastAsia="Calibri"/>
          <w:bCs/>
        </w:rPr>
        <w:t xml:space="preserve">The PUCO has acknowledged that DP&amp;L’s </w:t>
      </w:r>
      <w:r>
        <w:rPr>
          <w:rFonts w:eastAsia="Calibri"/>
          <w:bCs/>
        </w:rPr>
        <w:t>charge</w:t>
      </w:r>
      <w:r w:rsidRPr="00CF23AF">
        <w:rPr>
          <w:rFonts w:eastAsia="Calibri"/>
          <w:bCs/>
        </w:rPr>
        <w:t xml:space="preserve"> is similar to </w:t>
      </w:r>
      <w:r>
        <w:rPr>
          <w:rFonts w:eastAsia="Calibri"/>
          <w:bCs/>
        </w:rPr>
        <w:t xml:space="preserve">the </w:t>
      </w:r>
      <w:r w:rsidRPr="00CF23AF">
        <w:rPr>
          <w:rFonts w:eastAsia="Calibri"/>
          <w:bCs/>
        </w:rPr>
        <w:t>FirstEnergy</w:t>
      </w:r>
      <w:r>
        <w:rPr>
          <w:rFonts w:eastAsia="Calibri"/>
          <w:bCs/>
        </w:rPr>
        <w:t xml:space="preserve"> unlawful charge to consumers</w:t>
      </w:r>
      <w:r w:rsidRPr="00CF23AF">
        <w:rPr>
          <w:rFonts w:eastAsia="Calibri"/>
          <w:bCs/>
        </w:rPr>
        <w:t>.</w:t>
      </w:r>
      <w:r>
        <w:rPr>
          <w:rStyle w:val="FootnoteReference"/>
          <w:rFonts w:eastAsia="Calibri"/>
          <w:bCs/>
        </w:rPr>
        <w:footnoteReference w:id="164"/>
      </w:r>
      <w:r w:rsidRPr="00CF23AF">
        <w:rPr>
          <w:rFonts w:eastAsia="Calibri"/>
          <w:bCs/>
        </w:rPr>
        <w:t xml:space="preserve">  It has invited parties to brief the impact of </w:t>
      </w:r>
      <w:r w:rsidRPr="00CF23AF">
        <w:rPr>
          <w:rFonts w:eastAsia="Calibri"/>
          <w:bCs/>
          <w:i/>
          <w:iCs/>
        </w:rPr>
        <w:t>Ohio Edison</w:t>
      </w:r>
      <w:r w:rsidRPr="00CF23AF">
        <w:rPr>
          <w:rFonts w:eastAsia="Calibri"/>
          <w:bCs/>
        </w:rPr>
        <w:t xml:space="preserve"> on this proceeding.</w:t>
      </w:r>
      <w:r>
        <w:rPr>
          <w:rStyle w:val="FootnoteReference"/>
          <w:rFonts w:eastAsia="Calibri"/>
          <w:bCs/>
        </w:rPr>
        <w:footnoteReference w:id="165"/>
      </w:r>
      <w:r w:rsidRPr="00CF23AF">
        <w:rPr>
          <w:rFonts w:eastAsia="Calibri"/>
          <w:bCs/>
        </w:rPr>
        <w:t xml:space="preserve">  Given the unlawfulness of DP&amp;L’s </w:t>
      </w:r>
      <w:r>
        <w:rPr>
          <w:rFonts w:eastAsia="Calibri"/>
          <w:bCs/>
        </w:rPr>
        <w:t>charge</w:t>
      </w:r>
      <w:r w:rsidRPr="00CF23AF">
        <w:rPr>
          <w:rFonts w:eastAsia="Calibri"/>
          <w:bCs/>
        </w:rPr>
        <w:t xml:space="preserve"> under </w:t>
      </w:r>
      <w:r w:rsidRPr="00CF23AF">
        <w:rPr>
          <w:rFonts w:eastAsia="Calibri"/>
          <w:bCs/>
          <w:i/>
          <w:iCs/>
        </w:rPr>
        <w:t>Ohio Edison</w:t>
      </w:r>
      <w:r w:rsidRPr="00CF23AF">
        <w:rPr>
          <w:rFonts w:eastAsia="Calibri"/>
          <w:bCs/>
        </w:rPr>
        <w:t xml:space="preserve">, the PUCO should protect consumers by making DP&amp;L’s </w:t>
      </w:r>
      <w:r>
        <w:rPr>
          <w:rFonts w:eastAsia="Calibri"/>
          <w:bCs/>
        </w:rPr>
        <w:t>charge</w:t>
      </w:r>
      <w:r w:rsidRPr="00CF23AF">
        <w:rPr>
          <w:rFonts w:eastAsia="Calibri"/>
          <w:bCs/>
        </w:rPr>
        <w:t xml:space="preserve"> subject to refund </w:t>
      </w:r>
      <w:r>
        <w:rPr>
          <w:rFonts w:eastAsia="Calibri"/>
          <w:bCs/>
        </w:rPr>
        <w:t>and should require refunds, if eventually ordered, to be paid back with interest. Making DP&amp;L’s charge subject to refund</w:t>
      </w:r>
      <w:r w:rsidRPr="00CF23AF">
        <w:rPr>
          <w:rFonts w:eastAsia="Calibri"/>
          <w:bCs/>
        </w:rPr>
        <w:t xml:space="preserve"> is consistent with the PUCO’s precedent, as outlined above.  It is also consistent with the PUCO’s treatment of Firs</w:t>
      </w:r>
      <w:r>
        <w:rPr>
          <w:rFonts w:eastAsia="Calibri"/>
          <w:bCs/>
        </w:rPr>
        <w:t>t</w:t>
      </w:r>
      <w:r w:rsidRPr="00CF23AF">
        <w:rPr>
          <w:rFonts w:eastAsia="Calibri"/>
          <w:bCs/>
        </w:rPr>
        <w:t xml:space="preserve">Energy’s </w:t>
      </w:r>
      <w:r>
        <w:rPr>
          <w:rFonts w:eastAsia="Calibri"/>
          <w:bCs/>
        </w:rPr>
        <w:t>charge</w:t>
      </w:r>
      <w:r w:rsidRPr="00CF23AF">
        <w:rPr>
          <w:rFonts w:eastAsia="Calibri"/>
          <w:bCs/>
        </w:rPr>
        <w:t xml:space="preserve"> in light of </w:t>
      </w:r>
      <w:r w:rsidRPr="00CF23AF">
        <w:rPr>
          <w:rFonts w:eastAsia="Calibri"/>
          <w:bCs/>
          <w:i/>
          <w:iCs/>
        </w:rPr>
        <w:t>Ohio Edison.</w:t>
      </w:r>
      <w:r>
        <w:rPr>
          <w:rFonts w:eastAsia="Calibri"/>
          <w:bCs/>
        </w:rPr>
        <w:t xml:space="preserve"> </w:t>
      </w:r>
    </w:p>
    <w:p w:rsidR="00215C0A" w:rsidRPr="000E3426" w:rsidP="00D14D25">
      <w:pPr>
        <w:tabs>
          <w:tab w:val="left" w:pos="-720"/>
        </w:tabs>
        <w:suppressAutoHyphens/>
        <w:spacing w:line="240" w:lineRule="auto"/>
        <w:ind w:firstLine="720"/>
        <w:rPr>
          <w:rFonts w:cs="Times New Roman"/>
          <w:b/>
          <w:bCs/>
          <w:szCs w:val="24"/>
        </w:rPr>
      </w:pPr>
      <w:r>
        <w:rPr>
          <w:rFonts w:eastAsia="Calibri"/>
          <w:bCs/>
        </w:rPr>
        <w:tab/>
        <w:t xml:space="preserve"> </w:t>
      </w:r>
    </w:p>
    <w:p w:rsidR="00042A25" w:rsidP="00042A25">
      <w:pPr>
        <w:pStyle w:val="Heading1"/>
      </w:pPr>
      <w:bookmarkStart w:id="19" w:name="_Toc15566880"/>
      <w:r>
        <w:t>V.</w:t>
      </w:r>
      <w:r>
        <w:tab/>
      </w:r>
      <w:r w:rsidRPr="00204A9A">
        <w:t>Conclusion</w:t>
      </w:r>
      <w:bookmarkEnd w:id="19"/>
    </w:p>
    <w:p w:rsidR="00FB48F8" w:rsidP="00042A25">
      <w:pPr>
        <w:ind w:firstLine="720"/>
        <w:rPr>
          <w:rFonts w:cs="Times New Roman"/>
          <w:i/>
          <w:iCs/>
          <w:szCs w:val="24"/>
        </w:rPr>
      </w:pPr>
      <w:r>
        <w:rPr>
          <w:rFonts w:cs="Times New Roman"/>
          <w:szCs w:val="24"/>
        </w:rPr>
        <w:t xml:space="preserve">The Settlement including DP&amp;L’s charge fails the second and third prongs of the settlement test.  Because DP&amp;L’s charge is unlawful under </w:t>
      </w:r>
      <w:r>
        <w:rPr>
          <w:rFonts w:cs="Times New Roman"/>
          <w:i/>
          <w:iCs/>
          <w:szCs w:val="24"/>
        </w:rPr>
        <w:t>Ohio Edison</w:t>
      </w:r>
      <w:r>
        <w:rPr>
          <w:rFonts w:cs="Times New Roman"/>
          <w:szCs w:val="24"/>
        </w:rPr>
        <w:t>, the settlement violates important regulatory principles and practices and, as a package, does not benefit customers and the public interest.</w:t>
      </w:r>
      <w:r>
        <w:rPr>
          <w:rFonts w:cs="Times New Roman"/>
          <w:i/>
          <w:iCs/>
          <w:szCs w:val="24"/>
        </w:rPr>
        <w:t xml:space="preserve"> </w:t>
      </w:r>
    </w:p>
    <w:p w:rsidR="00042A25" w:rsidP="00042A25">
      <w:pPr>
        <w:ind w:firstLine="720"/>
        <w:rPr>
          <w:rFonts w:cs="Times New Roman"/>
          <w:szCs w:val="24"/>
        </w:rPr>
      </w:pPr>
      <w:r w:rsidRPr="00CE0FB6">
        <w:rPr>
          <w:rFonts w:cs="Times New Roman"/>
          <w:szCs w:val="24"/>
        </w:rPr>
        <w:t xml:space="preserve">DP&amp;L’s </w:t>
      </w:r>
      <w:r>
        <w:rPr>
          <w:rFonts w:cs="Times New Roman"/>
          <w:szCs w:val="24"/>
        </w:rPr>
        <w:t xml:space="preserve">charge is nearly identical to First Energy’s charge, which was held unlawful in </w:t>
      </w:r>
      <w:r>
        <w:rPr>
          <w:rFonts w:cs="Times New Roman"/>
          <w:i/>
          <w:iCs/>
          <w:szCs w:val="24"/>
        </w:rPr>
        <w:t>Ohio Edison.</w:t>
      </w:r>
      <w:r>
        <w:rPr>
          <w:rFonts w:cs="Times New Roman"/>
          <w:szCs w:val="24"/>
        </w:rPr>
        <w:t xml:space="preserve"> Neither charge qualifies as an incentive provision that is allowable under Ohio law.  Both charges provide financial rewards to utilities with no requirement to spend them on grid-modernization. Neither charge is subject to effective consumer protections. The Supreme Court of Ohio held that FirstEnergy’s charge was unlawful and ordered it removed from FirstEnergy’s ESP in </w:t>
      </w:r>
      <w:r w:rsidRPr="00CE0FB6">
        <w:rPr>
          <w:rFonts w:cs="Times New Roman"/>
          <w:i/>
          <w:iCs/>
          <w:szCs w:val="24"/>
        </w:rPr>
        <w:t>Ohio Edison</w:t>
      </w:r>
      <w:r>
        <w:rPr>
          <w:rFonts w:cs="Times New Roman"/>
          <w:szCs w:val="24"/>
        </w:rPr>
        <w:t xml:space="preserve">. DP&amp;L’s nearly identical charge is also unlawful. The PUCO should likewise order DP&amp;L’s charge removed from its ESP immediately to protect consumers.  </w:t>
      </w:r>
    </w:p>
    <w:p w:rsidR="00A1653C" w:rsidP="00A1653C">
      <w:pPr>
        <w:tabs>
          <w:tab w:val="left" w:pos="-720"/>
        </w:tabs>
        <w:suppressAutoHyphens/>
      </w:pPr>
      <w:r>
        <w:rPr>
          <w:rFonts w:eastAsia="Calibri"/>
          <w:bCs/>
        </w:rPr>
        <w:tab/>
        <w:t>Further, the</w:t>
      </w:r>
      <w:r w:rsidRPr="00CF23AF">
        <w:t xml:space="preserve"> PUCO should protect consumers by ruling that any DMR credit support payments are to be collected subject to refund</w:t>
      </w:r>
      <w:r>
        <w:t>,</w:t>
      </w:r>
      <w:r w:rsidRPr="00CF23AF">
        <w:t xml:space="preserve"> including carrying charges.</w:t>
      </w:r>
      <w:r>
        <w:t xml:space="preserve">  Without this consumer protection, c</w:t>
      </w:r>
      <w:r>
        <w:rPr>
          <w:spacing w:val="-3"/>
        </w:rPr>
        <w:t xml:space="preserve">onsumers will not likely be able to receive a refund of what has already been paid even if the Court (or the PUCO) determines the charge is unlawful. </w:t>
      </w:r>
      <w:r w:rsidRPr="00CF23AF">
        <w:rPr>
          <w:spacing w:val="-3"/>
        </w:rPr>
        <w:t xml:space="preserve"> </w:t>
      </w:r>
      <w:r w:rsidRPr="00CF23AF">
        <w:t xml:space="preserve"> </w:t>
      </w:r>
    </w:p>
    <w:p w:rsidR="00E04C9C">
      <w:pPr>
        <w:spacing w:after="160" w:line="259" w:lineRule="auto"/>
        <w:rPr>
          <w:rFonts w:cs="Times New Roman"/>
          <w:szCs w:val="24"/>
        </w:rPr>
      </w:pPr>
      <w:bookmarkEnd w:id="3"/>
      <w:bookmarkEnd w:id="4"/>
      <w:r>
        <w:rPr>
          <w:rFonts w:cs="Times New Roman"/>
          <w:szCs w:val="24"/>
        </w:rPr>
        <w:br w:type="page"/>
      </w:r>
    </w:p>
    <w:p w:rsidR="000E3426" w:rsidP="00723C0B">
      <w:pPr>
        <w:spacing w:after="160" w:line="259" w:lineRule="auto"/>
        <w:ind w:left="3600" w:firstLine="720"/>
        <w:rPr>
          <w:rFonts w:cs="Times New Roman"/>
          <w:szCs w:val="24"/>
        </w:rPr>
      </w:pPr>
      <w:r>
        <w:rPr>
          <w:rFonts w:cs="Times New Roman"/>
          <w:szCs w:val="24"/>
        </w:rPr>
        <w:t>Respectfully submitted,</w:t>
      </w:r>
    </w:p>
    <w:p w:rsidR="000E3426" w:rsidRPr="00517C65" w:rsidP="000E3426">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0E3426" w:rsidRPr="00517C65" w:rsidP="000E3426">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0E3426" w:rsidRPr="00517C65" w:rsidP="000E3426">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E3426" w:rsidRPr="00084D2A" w:rsidP="000E3426">
      <w:pPr>
        <w:tabs>
          <w:tab w:val="left" w:pos="4320"/>
        </w:tabs>
        <w:spacing w:line="240" w:lineRule="auto"/>
        <w:ind w:left="4320"/>
        <w:rPr>
          <w:rFonts w:eastAsia="Times New Roman" w:cs="Times New Roman"/>
          <w:i/>
          <w:szCs w:val="24"/>
          <w:u w:val="single"/>
        </w:rPr>
      </w:pPr>
      <w:r>
        <w:rPr>
          <w:rFonts w:eastAsia="Times New Roman" w:cs="Times New Roman"/>
          <w:i/>
          <w:szCs w:val="24"/>
          <w:u w:val="single"/>
        </w:rPr>
        <w:t>/s/ William J. Michael</w:t>
      </w:r>
    </w:p>
    <w:p w:rsidR="000E3426" w:rsidRPr="00517C65" w:rsidP="000E3426">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0E3426" w:rsidRPr="00517C65" w:rsidP="000E3426">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0E3426" w:rsidRPr="00517C65" w:rsidP="000E3426">
      <w:pPr>
        <w:tabs>
          <w:tab w:val="left" w:pos="4320"/>
        </w:tabs>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0E3426" w:rsidRPr="00517C65" w:rsidP="000E3426">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0E3426" w:rsidRPr="00517C65" w:rsidP="000E3426">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E3426" w:rsidRPr="00517C65" w:rsidP="000E3426">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0E3426" w:rsidRPr="00517C65" w:rsidP="000E3426">
      <w:pPr>
        <w:spacing w:line="240" w:lineRule="auto"/>
        <w:ind w:left="4320"/>
        <w:rPr>
          <w:rFonts w:eastAsia="Times New Roman" w:cs="Times New Roman"/>
          <w:szCs w:val="24"/>
        </w:rPr>
      </w:pPr>
      <w:r>
        <w:rPr>
          <w:rFonts w:eastAsia="Times New Roman" w:cs="Times New Roman"/>
          <w:szCs w:val="24"/>
        </w:rPr>
        <w:t>65 East State Street, 7</w:t>
      </w:r>
      <w:r w:rsidRPr="00084D2A">
        <w:rPr>
          <w:rFonts w:eastAsia="Times New Roman" w:cs="Times New Roman"/>
          <w:szCs w:val="24"/>
          <w:vertAlign w:val="superscript"/>
        </w:rPr>
        <w:t>th</w:t>
      </w:r>
      <w:r>
        <w:rPr>
          <w:rFonts w:eastAsia="Times New Roman" w:cs="Times New Roman"/>
          <w:szCs w:val="24"/>
        </w:rPr>
        <w:t xml:space="preserve"> Floor</w:t>
      </w:r>
    </w:p>
    <w:p w:rsidR="000E3426" w:rsidRPr="00517C65" w:rsidP="000E3426">
      <w:pPr>
        <w:spacing w:line="240" w:lineRule="auto"/>
        <w:ind w:left="4320"/>
        <w:rPr>
          <w:rFonts w:eastAsia="Times New Roman" w:cs="Times New Roman"/>
          <w:b/>
          <w:szCs w:val="24"/>
        </w:rPr>
      </w:pPr>
      <w:r w:rsidRPr="00517C65">
        <w:rPr>
          <w:rFonts w:eastAsia="Times New Roman" w:cs="Times New Roman"/>
          <w:szCs w:val="24"/>
        </w:rPr>
        <w:t>Columbus, Ohio 43215</w:t>
      </w:r>
    </w:p>
    <w:p w:rsidR="000E3426" w:rsidRPr="00517C65" w:rsidP="000E3426">
      <w:pPr>
        <w:spacing w:line="240" w:lineRule="auto"/>
        <w:ind w:left="4320"/>
        <w:rPr>
          <w:rFonts w:eastAsia="Times New Roman" w:cs="Times New Roman"/>
          <w:szCs w:val="24"/>
        </w:rPr>
      </w:pPr>
      <w:r w:rsidRPr="00517C65">
        <w:rPr>
          <w:rFonts w:eastAsia="Times New Roman" w:cs="Times New Roman"/>
          <w:szCs w:val="24"/>
        </w:rPr>
        <w:t>Telephone: [Michael] (614) 466-1291</w:t>
      </w:r>
    </w:p>
    <w:p w:rsidR="000E3426" w:rsidRPr="00517C65" w:rsidP="000E3426">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0E3426" w:rsidP="000E3426">
      <w:pPr>
        <w:spacing w:line="240" w:lineRule="auto"/>
        <w:ind w:left="4320"/>
        <w:rPr>
          <w:rFonts w:eastAsia="Times New Roman" w:cs="Times New Roman"/>
          <w:color w:val="0563C1" w:themeColor="hyperlink"/>
          <w:szCs w:val="24"/>
          <w:u w:val="single"/>
        </w:rPr>
      </w:pPr>
      <w:r>
        <w:fldChar w:fldCharType="begin"/>
      </w:r>
      <w:r>
        <w:instrText xml:space="preserve"> HYPERLINK "mailto:william.michael@occ.ohio.gov" </w:instrText>
      </w:r>
      <w:r>
        <w:fldChar w:fldCharType="separate"/>
      </w:r>
      <w:r w:rsidRPr="002B2A60" w:rsidR="00026A01">
        <w:rPr>
          <w:rStyle w:val="Hyperlink"/>
          <w:rFonts w:eastAsia="Times New Roman" w:cs="Times New Roman"/>
          <w:szCs w:val="24"/>
        </w:rPr>
        <w:t>william.michael@occ.ohio.gov</w:t>
      </w:r>
      <w:r>
        <w:fldChar w:fldCharType="end"/>
      </w:r>
    </w:p>
    <w:p w:rsidR="000E3426" w:rsidRPr="00517C65" w:rsidP="000E3426">
      <w:pPr>
        <w:spacing w:line="240" w:lineRule="auto"/>
        <w:ind w:left="4320"/>
        <w:rPr>
          <w:rFonts w:eastAsia="Times New Roman" w:cs="Times New Roman"/>
          <w:szCs w:val="24"/>
        </w:rPr>
      </w:pPr>
      <w:r>
        <w:rPr>
          <w:rFonts w:eastAsia="Times New Roman" w:cs="Times New Roman"/>
          <w:color w:val="0563C1" w:themeColor="hyperlink"/>
          <w:szCs w:val="24"/>
          <w:u w:val="single"/>
        </w:rPr>
        <w:t>ambrosia.logsdon@occ.ohio.gov</w:t>
      </w:r>
    </w:p>
    <w:p w:rsidR="000E3426" w:rsidRPr="00517C65" w:rsidP="000E3426">
      <w:pPr>
        <w:spacing w:line="240" w:lineRule="auto"/>
        <w:rPr>
          <w:rFonts w:eastAsia="Times New Roman" w:cs="Times New Roman"/>
          <w:szCs w:val="24"/>
        </w:rPr>
        <w:sectPr w:rsidSect="002E6045">
          <w:pgSz w:w="12240" w:h="15840"/>
          <w:pgMar w:top="1440" w:right="1800" w:bottom="1440" w:left="1800" w:header="720" w:footer="720" w:gutter="0"/>
          <w:cols w:space="720"/>
          <w:docGrid w:linePitch="360"/>
        </w:sectPr>
      </w:pPr>
      <w:r>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t xml:space="preserve">            (Will accept service via email)</w:t>
      </w:r>
    </w:p>
    <w:p w:rsidR="000E3426" w:rsidRPr="00A329C2" w:rsidP="000E3426">
      <w:pPr>
        <w:jc w:val="center"/>
        <w:rPr>
          <w:rFonts w:cs="Times New Roman"/>
          <w:b/>
          <w:bCs/>
          <w:color w:val="000000"/>
          <w:u w:val="single"/>
        </w:rPr>
      </w:pPr>
      <w:r w:rsidRPr="00A329C2">
        <w:rPr>
          <w:rFonts w:cs="Times New Roman"/>
          <w:b/>
          <w:bCs/>
          <w:color w:val="000000"/>
          <w:u w:val="single"/>
        </w:rPr>
        <w:t>CERTIFICATE OF SERVICE</w:t>
      </w:r>
    </w:p>
    <w:p w:rsidR="000E3426" w:rsidRPr="00A329C2" w:rsidP="000E3426">
      <w:pPr>
        <w:autoSpaceDE w:val="0"/>
        <w:autoSpaceDN w:val="0"/>
        <w:adjustRightInd w:val="0"/>
        <w:ind w:firstLine="720"/>
        <w:contextualSpacing/>
        <w:rPr>
          <w:rFonts w:cs="Times New Roman"/>
          <w:color w:val="000000"/>
        </w:rPr>
      </w:pPr>
      <w:r w:rsidRPr="00A329C2">
        <w:rPr>
          <w:rFonts w:cs="Times New Roman"/>
          <w:color w:val="000000"/>
        </w:rPr>
        <w:t xml:space="preserve">I hereby certify that a true and accurate copy of the </w:t>
      </w:r>
      <w:r>
        <w:rPr>
          <w:rFonts w:cs="Times New Roman"/>
          <w:color w:val="000000"/>
        </w:rPr>
        <w:t xml:space="preserve">Supplemental </w:t>
      </w:r>
      <w:r w:rsidRPr="00A329C2">
        <w:rPr>
          <w:rFonts w:cs="Times New Roman"/>
          <w:color w:val="000000"/>
        </w:rPr>
        <w:t xml:space="preserve">Brief </w:t>
      </w:r>
      <w:r w:rsidRPr="00A329C2">
        <w:rPr>
          <w:rFonts w:cs="Times New Roman"/>
          <w:iCs/>
          <w:color w:val="000000"/>
        </w:rPr>
        <w:t>was</w:t>
      </w:r>
      <w:r w:rsidRPr="00A329C2">
        <w:rPr>
          <w:rFonts w:cs="Times New Roman"/>
          <w:color w:val="000000"/>
        </w:rPr>
        <w:t xml:space="preserve"> served upon the following parties via electronic transmission this</w:t>
      </w:r>
      <w:r>
        <w:rPr>
          <w:rFonts w:cs="Times New Roman"/>
          <w:color w:val="000000"/>
        </w:rPr>
        <w:t xml:space="preserve"> 1</w:t>
      </w:r>
      <w:r w:rsidRPr="00723C0B">
        <w:rPr>
          <w:rFonts w:cs="Times New Roman"/>
          <w:color w:val="000000"/>
          <w:vertAlign w:val="superscript"/>
        </w:rPr>
        <w:t>st</w:t>
      </w:r>
      <w:r>
        <w:rPr>
          <w:rFonts w:cs="Times New Roman"/>
          <w:color w:val="000000"/>
        </w:rPr>
        <w:t xml:space="preserve"> day of August</w:t>
      </w:r>
      <w:r w:rsidRPr="00A329C2">
        <w:rPr>
          <w:rFonts w:cs="Times New Roman"/>
          <w:color w:val="000000"/>
        </w:rPr>
        <w:t xml:space="preserve"> 2019.</w:t>
      </w:r>
    </w:p>
    <w:p w:rsidR="000E3426" w:rsidRPr="00A329C2" w:rsidP="000E3426">
      <w:pPr>
        <w:autoSpaceDE w:val="0"/>
        <w:autoSpaceDN w:val="0"/>
        <w:adjustRightInd w:val="0"/>
        <w:spacing w:line="240" w:lineRule="auto"/>
        <w:rPr>
          <w:rFonts w:cs="Times New Roman"/>
          <w:i/>
          <w:color w:val="000000"/>
          <w:u w:val="single"/>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i/>
          <w:color w:val="000000"/>
          <w:u w:val="single"/>
        </w:rPr>
        <w:t>/s/ William J. Michael___</w:t>
      </w:r>
    </w:p>
    <w:p w:rsidR="000E3426" w:rsidRPr="00A329C2" w:rsidP="000E3426">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William J. Michael</w:t>
      </w:r>
    </w:p>
    <w:p w:rsidR="000E3426" w:rsidRPr="00A329C2" w:rsidP="000E3426">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Assistant Consumers’ Counsel</w:t>
      </w:r>
    </w:p>
    <w:p w:rsidR="000E3426" w:rsidRPr="00A329C2" w:rsidP="000E3426">
      <w:pPr>
        <w:autoSpaceDE w:val="0"/>
        <w:autoSpaceDN w:val="0"/>
        <w:adjustRightInd w:val="0"/>
        <w:spacing w:line="240" w:lineRule="auto"/>
        <w:rPr>
          <w:rFonts w:cs="Times New Roman"/>
          <w:color w:val="000000"/>
        </w:rPr>
      </w:pPr>
    </w:p>
    <w:p w:rsidR="000E3426" w:rsidRPr="007318B0" w:rsidP="000E3426">
      <w:pPr>
        <w:pStyle w:val="CommentText"/>
        <w:jc w:val="center"/>
        <w:rPr>
          <w:b/>
          <w:bCs/>
          <w:u w:val="single"/>
        </w:rPr>
      </w:pPr>
      <w:r w:rsidRPr="007318B0">
        <w:rPr>
          <w:b/>
          <w:bCs/>
          <w:u w:val="single"/>
        </w:rPr>
        <w:t>SERVICE LIST</w:t>
      </w:r>
    </w:p>
    <w:p w:rsidR="000E3426" w:rsidRPr="007318B0" w:rsidP="000E3426">
      <w:pPr>
        <w:pStyle w:val="CommentText"/>
        <w:jc w:val="center"/>
        <w:rPr>
          <w:b/>
          <w:u w:val="single"/>
        </w:rPr>
      </w:pPr>
    </w:p>
    <w:p w:rsidR="000E3426" w:rsidRPr="007318B0" w:rsidP="000E3426">
      <w:pPr>
        <w:spacing w:line="240" w:lineRule="auto"/>
        <w:ind w:right="576" w:hanging="14"/>
        <w:jc w:val="center"/>
        <w:textAlignment w:val="baseline"/>
        <w:rPr>
          <w:rFonts w:eastAsia="Times New Roman" w:cs="Times New Roman"/>
          <w:b/>
          <w:color w:val="000000"/>
          <w:sz w:val="22"/>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32"/>
        <w:gridCol w:w="4208"/>
      </w:tblGrid>
      <w:tr w:rsidTr="000E342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20" w:type="dxa"/>
          </w:tcPr>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"mailto:Thomas.mcnamee@ohioattorneygeneral.gov"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Thomas.mcnamee@ohioattorneygeneral.gov</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"mailto:dboehm@bkllawfirm.com"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dboehm@bkllawfirm.com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mkurtz@bkllawfirm.com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jkylercohn@bkllawfirm.com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kboehm@bkllawfirm.com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fdarr@mwncmh.com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mpritchard@mwncmh.com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mjsettineri@vorys.com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glpetrucci@vorys.com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"mailto:ibatikov@vorys.com"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ibatikov@vorys.com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"mailto:wasieck@vorys.com"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wasieck@vorys.com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mleppla@theoec.org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cmooney@ohiopartners.org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joliker@igsenergy.com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"mailto:mswhite@igsenergy.com"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mswhite@igsenergy.com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"mailto:ebetterton@igsenergy.com"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ebetterton@igsenergy.com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Slesser@calfee.com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"mailto:jlang@calfee.com"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jlang@calfee.com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"mailto:talexander@calfee.com"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talexander@calfee.com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"mailto:mkeaney@calfee.com"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mkeaney@calfee.com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slesser@calfee.com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elizabeth.watts@duke-energy.com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jeanne.kingery@duke-energy.com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"mailto:gthomas@gtpowergroup.com"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gthomas@gtpowergroup.com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"mailto:stheodore@epsa.org"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stheodore@epsa.org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"mailto:laurac@chappelleconsulting.net"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laurac@chappelleconsulting.net</w:t>
            </w:r>
            <w:r>
              <w:fldChar w:fldCharType="end"/>
            </w: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"mailto:jdoll@djflawfirm.com" </w:instrText>
            </w:r>
            <w:r>
              <w:fldChar w:fldCharType="separate"/>
            </w:r>
            <w:r w:rsidRPr="007318B0" w:rsidR="00026A01">
              <w:rPr>
                <w:rStyle w:val="Hyperlink"/>
                <w:rFonts w:ascii="Times New Roman" w:hAnsi="Times New Roman" w:eastAsiaTheme="minorHAnsi" w:cs="Times New Roman"/>
                <w:color w:val="0563C1" w:themeColor="hyperlink"/>
                <w:sz w:val="22"/>
                <w:szCs w:val="22"/>
                <w:u w:val="single"/>
                <w:lang w:val="en-US" w:eastAsia="en-US" w:bidi="ar-SA"/>
              </w:rPr>
              <w:t>jdoll@djflawfirm.com</w:t>
            </w:r>
            <w:r>
              <w:fldChar w:fldCharType="end"/>
            </w: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Attorney Examiners:</w:t>
            </w: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"mailto:gregory.price@puco.ohio.gov"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gregory.price@puco.ohio.gov</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"mailto:patricia.schabo@puco.ohio.gov"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patricia.schabo@puco.ohio.gov</w:t>
            </w:r>
            <w:r>
              <w:fldChar w:fldCharType="end"/>
            </w: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tc>
        <w:tc>
          <w:tcPr>
            <w:tcW w:w="4640" w:type="dxa"/>
          </w:tcPr>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"mailto:michael.schuler@aes.com"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michael.schuler@aes.com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"mailto:djireland@ficlaw.com"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djireland@ficlaw.com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"mailto:jsharkey@ficlaw.com"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jsharkey@ficlaw.com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mfleisher@elpc.org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"mailto:kfield@elpc.org"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kfield@elpc.org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"mailto:jeffrey.mayes@monitoringanalytics.com"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jeffrey.mayes@monitoringanalytics.com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"mailto:evelyn.robinson@pjm.com"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evelyn.robinson@pjm.com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"mailto:schmidt@sppgrp.com"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schmidt@sppgrp.com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"mailto:rsahli@columbus.rr.com"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rsahli@columbus.rr.com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"mailto:tony.mendoza@sierraclub.org"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tony.mendoza@sierraclub.org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"mailto:kristin.henry@sierraclub.org"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kristin.henry@sierraclub.org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mdortch@kravitzllc.com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"mailto:rparsons@kravitzllc.com"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rparsons@kravitzllc.com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Bojko@carpenterlipps.com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perko@carpenterlipps.com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"mailto:Ghiloni@carpenterlipps.com"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Ghiloni@carpenterlipps.com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paul@carpenterlipps.com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"mailto:sechler@carpenterlipps.com"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sechler@carpenterlipps.com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"mailto:mwarnock@bricker.com"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mwarnock@bricker.com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dparram@bricker.com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dborchers@bricker.com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"mailto:lhawrot@spilmanlaw.com"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lhawrot@spilmanlaw.com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"mailto:dwilliamson@spilmanlaw.com"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dwilliamson@spilmanlaw.com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"mailto:charris@spilmanlaw.com"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charris@spilmanlaw.com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"mailto:ejacobs@ablelaw.org"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ejacobs@ablelaw.org</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"mailto:rseiler@dickinsonwright.com"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rseiler@dickinsonwright.com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"mailto:cpirik@dickinsonwright.com"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cpirik@dickinsonwright.com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"mailto:wvorys@dickinsonwright.com"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wvorys@dickinsonwright.com</w:t>
            </w:r>
            <w:r>
              <w:fldChar w:fldCharType="end"/>
            </w:r>
          </w:p>
          <w:p w:rsidR="000E3426"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"mailto:todonnell@dickinsonwright.com" </w:instrText>
            </w:r>
            <w:r>
              <w:fldChar w:fldCharType="separate"/>
            </w:r>
            <w:r w:rsidRPr="00532027" w:rsidR="00026A01">
              <w:rPr>
                <w:rStyle w:val="Hyperlink"/>
                <w:rFonts w:ascii="Times New Roman" w:hAnsi="Times New Roman" w:eastAsiaTheme="minorHAnsi" w:cs="Times New Roman"/>
                <w:color w:val="0563C1" w:themeColor="hyperlink"/>
                <w:sz w:val="22"/>
                <w:szCs w:val="22"/>
                <w:u w:val="single"/>
                <w:lang w:val="en-US" w:eastAsia="en-US" w:bidi="ar-SA"/>
              </w:rPr>
              <w:t>todonnell@dickinsonwright.com</w:t>
            </w:r>
            <w:r>
              <w:fldChar w:fldCharType="end"/>
            </w: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0E3426" w:rsidRPr="007318B0" w:rsidP="000E3426">
            <w:pPr>
              <w:adjustRightInd w:val="0"/>
              <w:spacing w:after="0" w:line="240" w:lineRule="auto"/>
              <w:rPr>
                <w:rStyle w:val="DefaultParagraphFont"/>
                <w:rFonts w:ascii="Times New Roman" w:hAnsi="Times New Roman" w:eastAsiaTheme="minorHAnsi" w:cs="Times New Roman"/>
                <w:sz w:val="22"/>
                <w:szCs w:val="22"/>
                <w:lang w:val="en-US" w:eastAsia="en-US" w:bidi="ar-SA"/>
              </w:rPr>
            </w:pPr>
          </w:p>
        </w:tc>
      </w:tr>
    </w:tbl>
    <w:p w:rsidR="000E3426" w:rsidRPr="00A329C2" w:rsidP="000E3426">
      <w:pPr>
        <w:ind w:firstLine="720"/>
        <w:contextualSpacing/>
        <w:rPr>
          <w:rFonts w:cs="Times New Roman"/>
          <w:szCs w:val="24"/>
        </w:rPr>
      </w:pPr>
    </w:p>
    <w:sectPr w:rsidSect="000E3426">
      <w:foot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1474950"/>
      <w:docPartObj>
        <w:docPartGallery w:val="Page Numbers (Bottom of Page)"/>
        <w:docPartUnique/>
      </w:docPartObj>
    </w:sdtPr>
    <w:sdtEndPr>
      <w:rPr>
        <w:noProof/>
      </w:rPr>
    </w:sdtEndPr>
    <w:sdtContent>
      <w:p w:rsidR="00A23752">
        <w:pPr>
          <w:pStyle w:val="Footer"/>
          <w:jc w:val="center"/>
        </w:pPr>
      </w:p>
    </w:sdtContent>
  </w:sdt>
  <w:p w:rsidR="00A2375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487819"/>
      <w:docPartObj>
        <w:docPartGallery w:val="Page Numbers (Bottom of Page)"/>
        <w:docPartUnique/>
      </w:docPartObj>
    </w:sdtPr>
    <w:sdtEndPr>
      <w:rPr>
        <w:noProof/>
      </w:rPr>
    </w:sdtEndPr>
    <w:sdtContent>
      <w:p w:rsidR="00A23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375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7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3752" w:rsidP="000E3426">
      <w:pPr>
        <w:spacing w:line="240" w:lineRule="auto"/>
      </w:pPr>
      <w:r>
        <w:separator/>
      </w:r>
    </w:p>
  </w:footnote>
  <w:footnote w:type="continuationSeparator" w:id="1">
    <w:p w:rsidR="00A23752" w:rsidP="000E3426">
      <w:pPr>
        <w:spacing w:line="240" w:lineRule="auto"/>
      </w:pPr>
      <w:r>
        <w:continuationSeparator/>
      </w:r>
    </w:p>
  </w:footnote>
  <w:footnote w:id="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Supplemental Direct Testimony of James D. Williams (OCC Ex. 13) filed March 29, 2017 at 12:13-13:18.</w:t>
      </w:r>
    </w:p>
  </w:footnote>
  <w:footnote w:id="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In re Application of Ohio Edison Co., </w:t>
      </w:r>
      <w:r w:rsidRPr="00E52023">
        <w:rPr>
          <w:rFonts w:cs="Times New Roman"/>
        </w:rPr>
        <w:t xml:space="preserve">Slip Opinion No. 2019-Ohio-2401. </w:t>
      </w:r>
    </w:p>
  </w:footnote>
  <w:footnote w:id="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at ¶¶ 14-19.</w:t>
      </w:r>
    </w:p>
  </w:footnote>
  <w:footnote w:id="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at ¶¶ 20-29.</w:t>
      </w:r>
    </w:p>
  </w:footnote>
  <w:footnote w:id="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w:t>
      </w:r>
      <w:r w:rsidRPr="00E52023">
        <w:rPr>
          <w:rFonts w:cs="Times New Roman"/>
        </w:rPr>
        <w:t xml:space="preserve"> Opinion and Order at 26-27 (Oct. 20, 2017).</w:t>
      </w:r>
    </w:p>
  </w:footnote>
  <w:footnote w:id="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w:t>
      </w:r>
      <w:r w:rsidRPr="00E52023">
        <w:rPr>
          <w:rFonts w:cs="Times New Roman"/>
        </w:rPr>
        <w:t>DP&amp;L’s Application (February 22, 2016).</w:t>
      </w:r>
    </w:p>
  </w:footnote>
  <w:footnote w:id="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w:t>
      </w:r>
      <w:r w:rsidRPr="00E52023">
        <w:rPr>
          <w:rFonts w:cs="Times New Roman"/>
        </w:rPr>
        <w:t xml:space="preserve"> </w:t>
      </w:r>
      <w:r w:rsidRPr="00E52023">
        <w:rPr>
          <w:rFonts w:cs="Times New Roman"/>
          <w:i/>
        </w:rPr>
        <w:t>Amended Stipulation and Recommendation</w:t>
      </w:r>
      <w:r w:rsidRPr="00E52023">
        <w:rPr>
          <w:rFonts w:cs="Times New Roman"/>
        </w:rPr>
        <w:t>, March 14, 2017 (“Settlement”).</w:t>
      </w:r>
    </w:p>
  </w:footnote>
  <w:footnote w:id="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Settlement at 13.</w:t>
      </w:r>
    </w:p>
  </w:footnote>
  <w:footnote w:id="1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35 (Oct. 20, 2017).</w:t>
      </w:r>
    </w:p>
  </w:footnote>
  <w:footnote w:id="1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rPr>
        <w:t>Id</w:t>
      </w:r>
      <w:r w:rsidRPr="00E52023">
        <w:rPr>
          <w:rFonts w:cs="Times New Roman"/>
        </w:rPr>
        <w:t>.</w:t>
      </w:r>
    </w:p>
  </w:footnote>
  <w:footnote w:id="1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OCC opposed the Settlement and has appealed the PUCO Order approving the settlement. </w:t>
      </w:r>
      <w:r w:rsidRPr="00E52023">
        <w:rPr>
          <w:rFonts w:cs="Times New Roman"/>
          <w:i/>
        </w:rPr>
        <w:t>In the Matter of the Application of The Dayton Power and Light Company for Approval of Its Electric Security Plan</w:t>
      </w:r>
      <w:r w:rsidRPr="00E52023">
        <w:rPr>
          <w:rFonts w:cs="Times New Roman"/>
        </w:rPr>
        <w:t>,</w:t>
      </w:r>
      <w:r>
        <w:rPr>
          <w:rFonts w:cs="Times New Roman"/>
        </w:rPr>
        <w:t xml:space="preserve"> </w:t>
      </w:r>
      <w:r w:rsidRPr="00E52023">
        <w:rPr>
          <w:rFonts w:cs="Times New Roman"/>
        </w:rPr>
        <w:t>Sup. Ct. 2019-0020, OCC Notice of Appeal (Jan. 7, 2019).</w:t>
      </w:r>
    </w:p>
  </w:footnote>
  <w:footnote w:id="1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color w:val="232323"/>
        </w:rPr>
        <w:t>Notice of withdrawal from Amended Stipulation and Recommendation</w:t>
      </w:r>
      <w:r w:rsidRPr="00E52023">
        <w:rPr>
          <w:rFonts w:cs="Times New Roman"/>
          <w:color w:val="232323"/>
        </w:rPr>
        <w:t xml:space="preserve"> at 2, (October 19, 2018) (“Notice of Withdrawal”) (</w:t>
      </w:r>
      <w:r w:rsidRPr="00E52023">
        <w:rPr>
          <w:rFonts w:cs="Times New Roman"/>
        </w:rPr>
        <w:t>If any party withdraws as a signatory party to the Stipulation, “the Commission will convene an evidentiary hearing to afford that Signatory Party the opportunity to contest the Stipulation by presenting evidence through witnesses, to cross-examine witnesses, to present rebuttal testimony, and to brief all issues that the Commission shall decide based upon the record and briefs.”).</w:t>
      </w:r>
    </w:p>
  </w:footnote>
  <w:footnote w:id="1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color w:val="232323"/>
        </w:rPr>
        <w:t>Id.</w:t>
      </w:r>
    </w:p>
  </w:footnote>
  <w:footnote w:id="1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Supplemental Direct Testimony of Matthew White on Behalf of Interstate Gas Supply, Inc. (February 12, 2019) (“White’s Testimony”).</w:t>
      </w:r>
    </w:p>
  </w:footnote>
  <w:footnote w:id="1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Hearing Transcript, Vol. III at 1399:19-22. </w:t>
      </w:r>
    </w:p>
  </w:footnote>
  <w:footnote w:id="1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Hearing Transcript Vol. III at 1401:18-19; Willis Testimony at 3:18-20.  </w:t>
      </w:r>
    </w:p>
  </w:footnote>
  <w:footnote w:id="1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White’s Testimony at 4:7-9.</w:t>
      </w:r>
    </w:p>
  </w:footnote>
  <w:footnote w:id="1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White’s Testimony at 5:14-18.</w:t>
      </w:r>
    </w:p>
  </w:footnote>
  <w:footnote w:id="2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White’s Testimony at 3:17-20, 9:21,10:11-21.</w:t>
      </w:r>
    </w:p>
  </w:footnote>
  <w:footnote w:id="2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rPr>
        <w:t>Id.</w:t>
      </w:r>
    </w:p>
  </w:footnote>
  <w:footnote w:id="22">
    <w:p w:rsidR="00A23752" w:rsidRPr="00E52023" w:rsidP="00E52023">
      <w:pPr>
        <w:pStyle w:val="FootnoteText"/>
        <w:spacing w:after="120"/>
        <w:rPr>
          <w:rFonts w:cs="Times New Roman"/>
          <w:i/>
        </w:rPr>
      </w:pPr>
      <w:r w:rsidRPr="00E52023">
        <w:rPr>
          <w:rStyle w:val="FootnoteReference"/>
          <w:rFonts w:cs="Times New Roman"/>
        </w:rPr>
        <w:footnoteRef/>
      </w:r>
      <w:r w:rsidRPr="00E52023">
        <w:rPr>
          <w:rFonts w:cs="Times New Roman"/>
        </w:rPr>
        <w:t xml:space="preserve"> </w:t>
      </w:r>
      <w:r w:rsidRPr="00E52023">
        <w:rPr>
          <w:rFonts w:cs="Times New Roman"/>
          <w:i/>
        </w:rPr>
        <w:t>Id.</w:t>
      </w:r>
    </w:p>
  </w:footnote>
  <w:footnote w:id="2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w:t>
      </w:r>
      <w:r w:rsidRPr="00E52023">
        <w:rPr>
          <w:rFonts w:cs="Times New Roman"/>
        </w:rPr>
        <w:t>Entry (July 2, 2019) at 2.</w:t>
      </w:r>
    </w:p>
  </w:footnote>
  <w:footnote w:id="2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id. </w:t>
      </w:r>
      <w:r w:rsidRPr="00E52023">
        <w:rPr>
          <w:rFonts w:cs="Times New Roman"/>
        </w:rPr>
        <w:t>at 3.</w:t>
      </w:r>
    </w:p>
  </w:footnote>
  <w:footnote w:id="25">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26">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2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i/>
        </w:rPr>
        <w:t xml:space="preserve"> Duff v. Pub. Util. Comm</w:t>
      </w:r>
      <w:r w:rsidRPr="00E52023">
        <w:rPr>
          <w:rFonts w:cs="Times New Roman"/>
        </w:rPr>
        <w:t xml:space="preserve">., 56 Ohio St.2d 367 (1978); </w:t>
      </w:r>
      <w:r w:rsidRPr="00E52023">
        <w:rPr>
          <w:rFonts w:cs="Times New Roman"/>
          <w:i/>
        </w:rPr>
        <w:t>see also</w:t>
      </w:r>
      <w:r w:rsidRPr="00E52023">
        <w:rPr>
          <w:rFonts w:cs="Times New Roman"/>
        </w:rPr>
        <w:t xml:space="preserve"> Ohio Adm. Code 4901-1-30(E).</w:t>
      </w:r>
    </w:p>
  </w:footnote>
  <w:footnote w:id="28">
    <w:p w:rsidR="00A23752" w:rsidRPr="00E52023" w:rsidP="00E52023">
      <w:pPr>
        <w:pStyle w:val="FootnoteText"/>
        <w:spacing w:after="120"/>
        <w:rPr>
          <w:rFonts w:cs="Times New Roman"/>
          <w:i/>
        </w:rPr>
      </w:pPr>
      <w:r w:rsidRPr="00E52023">
        <w:rPr>
          <w:rStyle w:val="FootnoteReference"/>
          <w:rFonts w:cs="Times New Roman"/>
        </w:rPr>
        <w:footnoteRef/>
      </w:r>
      <w:r w:rsidRPr="00E52023">
        <w:rPr>
          <w:rFonts w:cs="Times New Roman"/>
        </w:rPr>
        <w:t xml:space="preserve"> </w:t>
      </w:r>
      <w:r w:rsidRPr="00E52023">
        <w:rPr>
          <w:rFonts w:cs="Times New Roman"/>
          <w:i/>
        </w:rPr>
        <w:t>See id.</w:t>
      </w:r>
    </w:p>
  </w:footnote>
  <w:footnote w:id="2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i/>
        </w:rPr>
        <w:t xml:space="preserve"> Consumers’ Counsel v. Pub. Util. Comm.</w:t>
      </w:r>
      <w:r w:rsidRPr="00E52023">
        <w:rPr>
          <w:rFonts w:cs="Times New Roman"/>
        </w:rPr>
        <w:t>, 64 Ohio St.3d 123, 126 (1992).</w:t>
      </w:r>
    </w:p>
  </w:footnote>
  <w:footnote w:id="30">
    <w:p w:rsidR="00A23752" w:rsidRPr="00084D2A" w:rsidP="007818C0">
      <w:pPr>
        <w:pStyle w:val="FootnoteText"/>
        <w:spacing w:after="120"/>
        <w:rPr>
          <w:rFonts w:cs="Times New Roman"/>
        </w:rPr>
      </w:pPr>
      <w:r w:rsidRPr="00084D2A">
        <w:rPr>
          <w:rStyle w:val="FootnoteReference"/>
          <w:rFonts w:cs="Times New Roman"/>
        </w:rPr>
        <w:footnoteRef/>
      </w:r>
      <w:r w:rsidRPr="00084D2A">
        <w:rPr>
          <w:rFonts w:cs="Times New Roman"/>
        </w:rPr>
        <w:t xml:space="preserve"> Opinion and Order at 60.</w:t>
      </w:r>
    </w:p>
  </w:footnote>
  <w:footnote w:id="31">
    <w:p w:rsidR="00A23752" w:rsidRPr="00084D2A" w:rsidP="007818C0">
      <w:pPr>
        <w:pStyle w:val="FootnoteText"/>
        <w:spacing w:after="120"/>
        <w:rPr>
          <w:rFonts w:cs="Times New Roman"/>
        </w:rPr>
      </w:pPr>
      <w:r w:rsidRPr="00084D2A">
        <w:rPr>
          <w:rStyle w:val="FootnoteReference"/>
          <w:rFonts w:cs="Times New Roman"/>
        </w:rPr>
        <w:footnoteRef/>
      </w:r>
      <w:r w:rsidRPr="00084D2A">
        <w:rPr>
          <w:rFonts w:cs="Times New Roman"/>
        </w:rPr>
        <w:t xml:space="preserve"> </w:t>
      </w:r>
      <w:r w:rsidRPr="00084D2A">
        <w:rPr>
          <w:rFonts w:cs="Times New Roman"/>
          <w:i/>
        </w:rPr>
        <w:t>Id</w:t>
      </w:r>
      <w:r w:rsidRPr="00084D2A">
        <w:rPr>
          <w:rFonts w:cs="Times New Roman"/>
        </w:rPr>
        <w:t>. at 34-35.</w:t>
      </w:r>
    </w:p>
  </w:footnote>
  <w:footnote w:id="32">
    <w:p w:rsidR="00A23752" w:rsidRPr="00084D2A" w:rsidP="007818C0">
      <w:pPr>
        <w:pStyle w:val="FootnoteText"/>
        <w:spacing w:after="120"/>
        <w:rPr>
          <w:rFonts w:cs="Times New Roman"/>
        </w:rPr>
      </w:pPr>
      <w:r w:rsidRPr="00084D2A">
        <w:rPr>
          <w:rStyle w:val="FootnoteReference"/>
          <w:rFonts w:cs="Times New Roman"/>
        </w:rPr>
        <w:footnoteRef/>
      </w:r>
      <w:r w:rsidRPr="00084D2A">
        <w:rPr>
          <w:rFonts w:cs="Times New Roman"/>
        </w:rPr>
        <w:t xml:space="preserve"> </w:t>
      </w:r>
      <w:r w:rsidRPr="00084D2A">
        <w:rPr>
          <w:rFonts w:cs="Times New Roman"/>
          <w:i/>
        </w:rPr>
        <w:t>Duff v. Pub. Util. Comm</w:t>
      </w:r>
      <w:r w:rsidRPr="00084D2A">
        <w:rPr>
          <w:rFonts w:cs="Times New Roman"/>
        </w:rPr>
        <w:t xml:space="preserve">., 56 Ohio St.2d 367 (1978); </w:t>
      </w:r>
      <w:r w:rsidRPr="00084D2A">
        <w:rPr>
          <w:rFonts w:cs="Times New Roman"/>
          <w:i/>
        </w:rPr>
        <w:t>see also</w:t>
      </w:r>
      <w:r w:rsidRPr="00084D2A">
        <w:rPr>
          <w:rFonts w:cs="Times New Roman"/>
        </w:rPr>
        <w:t xml:space="preserve"> Ohio Adm. Code 4901-1-30(E).</w:t>
      </w:r>
    </w:p>
  </w:footnote>
  <w:footnote w:id="3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Ohio Edison</w:t>
      </w:r>
      <w:r w:rsidRPr="00E52023">
        <w:rPr>
          <w:rFonts w:cs="Times New Roman"/>
        </w:rPr>
        <w:t xml:space="preserve"> at ¶¶ 14-29. </w:t>
      </w:r>
    </w:p>
  </w:footnote>
  <w:footnote w:id="3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at ¶¶ 14-19.</w:t>
      </w:r>
    </w:p>
  </w:footnote>
  <w:footnote w:id="3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First Energy Case 14-1297-EL-SSO, Fifth Entry on Rehearing at 56 (Oct. 12, 2016).</w:t>
      </w:r>
    </w:p>
  </w:footnote>
  <w:footnote w:id="3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R.C. 4928.143(B)(2)(h).</w:t>
      </w:r>
    </w:p>
  </w:footnote>
  <w:footnote w:id="37">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14-19</w:t>
      </w:r>
      <w:r w:rsidRPr="00E52023">
        <w:rPr>
          <w:rFonts w:cs="Times New Roman"/>
          <w:i/>
          <w:iCs/>
        </w:rPr>
        <w:t>.</w:t>
      </w:r>
    </w:p>
  </w:footnote>
  <w:footnote w:id="3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at ¶¶ 20-29.</w:t>
      </w:r>
    </w:p>
  </w:footnote>
  <w:footnote w:id="3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w:t>
      </w:r>
      <w:r w:rsidRPr="00E52023">
        <w:rPr>
          <w:rFonts w:cs="Times New Roman"/>
        </w:rPr>
        <w:t>Opinion and Order at 26-27 (Oct. 20, 2017).</w:t>
      </w:r>
    </w:p>
  </w:footnote>
  <w:footnote w:id="40">
    <w:p w:rsidR="00A23752" w:rsidRPr="00E52023" w:rsidP="00E52023">
      <w:pPr>
        <w:spacing w:after="120" w:line="240" w:lineRule="auto"/>
        <w:rPr>
          <w:rFonts w:cs="Times New Roman"/>
          <w:sz w:val="20"/>
          <w:szCs w:val="20"/>
        </w:rPr>
      </w:pPr>
      <w:r w:rsidRPr="00E52023">
        <w:rPr>
          <w:rStyle w:val="FootnoteReference"/>
          <w:rFonts w:cs="Times New Roman"/>
          <w:sz w:val="20"/>
          <w:szCs w:val="20"/>
        </w:rPr>
        <w:footnoteRef/>
      </w:r>
      <w:r w:rsidRPr="00E52023">
        <w:rPr>
          <w:rFonts w:cs="Times New Roman"/>
          <w:sz w:val="20"/>
          <w:szCs w:val="20"/>
        </w:rPr>
        <w:t xml:space="preserve"> In its Third Entry on Rehearing p. 23, the PUCO did argue that the Amended Stipulation provides for grid-modernization because it required DP&amp;L to file a grid-modernization plan. However, filing a plan and conditioning the receipt of DMR funds upon actual grid-modernization spending are very different. </w:t>
      </w:r>
    </w:p>
  </w:footnote>
  <w:footnote w:id="41">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4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at ¶ 15.</w:t>
      </w:r>
    </w:p>
  </w:footnote>
  <w:footnote w:id="4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14.</w:t>
      </w:r>
    </w:p>
  </w:footnote>
  <w:footnote w:id="4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4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19.</w:t>
      </w:r>
    </w:p>
  </w:footnote>
  <w:footnote w:id="4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4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at ¶ 16.</w:t>
      </w:r>
    </w:p>
  </w:footnote>
  <w:footnote w:id="4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4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5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 at ¶¶ 16-17.</w:t>
      </w:r>
    </w:p>
  </w:footnote>
  <w:footnote w:id="5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29.</w:t>
      </w:r>
    </w:p>
  </w:footnote>
  <w:footnote w:id="5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17.</w:t>
      </w:r>
    </w:p>
  </w:footnote>
  <w:footnote w:id="5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19.</w:t>
      </w:r>
    </w:p>
  </w:footnote>
  <w:footnote w:id="5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p>
  </w:footnote>
  <w:footnote w:id="5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Pr>
          <w:rFonts w:cs="Times New Roman"/>
          <w:i/>
          <w:iCs/>
        </w:rPr>
        <w:t>.</w:t>
      </w:r>
    </w:p>
  </w:footnote>
  <w:footnote w:id="5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18.</w:t>
      </w:r>
    </w:p>
  </w:footnote>
  <w:footnote w:id="5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 </w:t>
      </w:r>
    </w:p>
  </w:footnote>
  <w:footnote w:id="5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 </w:t>
      </w:r>
    </w:p>
  </w:footnote>
  <w:footnote w:id="59">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6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20</w:t>
      </w:r>
      <w:r w:rsidRPr="00E52023">
        <w:rPr>
          <w:rFonts w:cs="Times New Roman"/>
          <w:i/>
          <w:iCs/>
        </w:rPr>
        <w:t>.</w:t>
      </w:r>
    </w:p>
  </w:footnote>
  <w:footnote w:id="6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6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The FirstEnergy Companies are Ohio Edison, the Cleveland Electric Illuminating Company, and the Toledo Edison Company.</w:t>
      </w:r>
    </w:p>
  </w:footnote>
  <w:footnote w:id="6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6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6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21.</w:t>
      </w:r>
    </w:p>
  </w:footnote>
  <w:footnote w:id="6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22.</w:t>
      </w:r>
    </w:p>
  </w:footnote>
  <w:footnote w:id="6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6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w:t>
      </w:r>
    </w:p>
  </w:footnote>
  <w:footnote w:id="6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In re Rev. of Alternative Energy Rider Contained in Tariffs of Ohio Edison Co.</w:t>
      </w:r>
      <w:r w:rsidRPr="00E52023">
        <w:rPr>
          <w:rFonts w:cs="Times New Roman"/>
        </w:rPr>
        <w:t xml:space="preserve">, 153 Ohio St.3d 289, 2018-Ohio-229, 106 N.E.3d 1, ¶ 15-20; </w:t>
      </w:r>
      <w:r w:rsidRPr="00E52023">
        <w:rPr>
          <w:rFonts w:cs="Times New Roman"/>
          <w:i/>
          <w:iCs/>
        </w:rPr>
        <w:t>Ohio Edison</w:t>
      </w:r>
      <w:r w:rsidRPr="00E52023">
        <w:rPr>
          <w:rFonts w:cs="Times New Roman"/>
        </w:rPr>
        <w:t xml:space="preserve"> at ¶ 23.</w:t>
      </w:r>
    </w:p>
  </w:footnote>
  <w:footnote w:id="7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7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23.</w:t>
      </w:r>
    </w:p>
  </w:footnote>
  <w:footnote w:id="7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24.</w:t>
      </w:r>
    </w:p>
  </w:footnote>
  <w:footnote w:id="7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27; </w:t>
      </w:r>
      <w:r w:rsidRPr="00E52023">
        <w:rPr>
          <w:rFonts w:cs="Times New Roman"/>
          <w:i/>
          <w:iCs/>
        </w:rPr>
        <w:t xml:space="preserve">Ohio Edison </w:t>
      </w:r>
      <w:r w:rsidRPr="00E52023">
        <w:rPr>
          <w:rFonts w:cs="Times New Roman"/>
        </w:rPr>
        <w:t>at ¶ 24.</w:t>
      </w:r>
    </w:p>
  </w:footnote>
  <w:footnote w:id="7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7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25.</w:t>
      </w:r>
    </w:p>
  </w:footnote>
  <w:footnote w:id="7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25.</w:t>
      </w:r>
    </w:p>
  </w:footnote>
  <w:footnote w:id="7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First Energy Case 14-1297-EL-SSO, Opinion and Order at 49-50 (Aug. 16, 2017); </w:t>
      </w:r>
      <w:r w:rsidRPr="00E52023">
        <w:rPr>
          <w:rFonts w:cs="Times New Roman"/>
          <w:i/>
          <w:iCs/>
        </w:rPr>
        <w:t xml:space="preserve">Ohio Edison </w:t>
      </w:r>
      <w:r w:rsidRPr="00E52023">
        <w:rPr>
          <w:rFonts w:cs="Times New Roman"/>
        </w:rPr>
        <w:t>at ¶ 26.</w:t>
      </w:r>
    </w:p>
  </w:footnote>
  <w:footnote w:id="7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7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8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81">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 xml:space="preserve">at ¶29.  </w:t>
      </w:r>
    </w:p>
  </w:footnote>
  <w:footnote w:id="8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27-29.</w:t>
      </w:r>
    </w:p>
  </w:footnote>
  <w:footnote w:id="8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27.</w:t>
      </w:r>
    </w:p>
  </w:footnote>
  <w:footnote w:id="8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8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 xml:space="preserve">at ¶¶ 27-28; </w:t>
      </w:r>
      <w:r w:rsidRPr="00E52023">
        <w:rPr>
          <w:rFonts w:cs="Times New Roman"/>
          <w:i/>
          <w:iCs/>
        </w:rPr>
        <w:t>FirstEnergy Grid Modernization Business Plan</w:t>
      </w:r>
      <w:r w:rsidRPr="00E52023">
        <w:rPr>
          <w:rFonts w:cs="Times New Roman"/>
        </w:rPr>
        <w:t>, Pub. Util. Comm. No. 16- 481-EL-UNC.</w:t>
      </w:r>
    </w:p>
  </w:footnote>
  <w:footnote w:id="8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www.puco.ohio.gov/industryinformation/industry-topics/powerforward/ (accessed July 15, 2019).</w:t>
      </w:r>
    </w:p>
  </w:footnote>
  <w:footnote w:id="8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Ohio Edison</w:t>
      </w:r>
      <w:r w:rsidRPr="00E52023">
        <w:rPr>
          <w:rFonts w:cs="Times New Roman"/>
        </w:rPr>
        <w:t xml:space="preserve"> at ¶ 28.</w:t>
      </w:r>
    </w:p>
  </w:footnote>
  <w:footnote w:id="8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28.</w:t>
      </w:r>
    </w:p>
  </w:footnote>
  <w:footnote w:id="8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9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 </w:t>
      </w:r>
    </w:p>
  </w:footnote>
  <w:footnote w:id="9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 </w:t>
      </w:r>
    </w:p>
  </w:footnote>
  <w:footnote w:id="9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w:t>
      </w:r>
      <w:r w:rsidRPr="00E52023">
        <w:rPr>
          <w:rFonts w:cs="Times New Roman"/>
        </w:rPr>
        <w:t>Case No. 16-395-EL-SSO, Entry (July 2, 2019).</w:t>
      </w:r>
    </w:p>
  </w:footnote>
  <w:footnote w:id="9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w:t>
      </w:r>
      <w:r w:rsidRPr="00E52023">
        <w:rPr>
          <w:rFonts w:cs="Times New Roman"/>
        </w:rPr>
        <w:t xml:space="preserve"> Opinion and Order at 26-27 (Oct. 20, 2017).</w:t>
      </w:r>
    </w:p>
  </w:footnote>
  <w:footnote w:id="9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20-29.</w:t>
      </w:r>
    </w:p>
  </w:footnote>
  <w:footnote w:id="95">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29.</w:t>
      </w:r>
    </w:p>
  </w:footnote>
  <w:footnote w:id="9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48.</w:t>
      </w:r>
    </w:p>
  </w:footnote>
  <w:footnote w:id="9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49.</w:t>
      </w:r>
    </w:p>
  </w:footnote>
  <w:footnote w:id="9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 xml:space="preserve">at ¶¶ 14-19.  </w:t>
      </w:r>
    </w:p>
  </w:footnote>
  <w:footnote w:id="9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20-26.</w:t>
      </w:r>
    </w:p>
  </w:footnote>
  <w:footnote w:id="10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at ¶¶ 14-19.  </w:t>
      </w:r>
    </w:p>
  </w:footnote>
  <w:footnote w:id="10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19.</w:t>
      </w:r>
    </w:p>
  </w:footnote>
  <w:footnote w:id="10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 xml:space="preserve">at ¶¶ 18-19. </w:t>
      </w:r>
    </w:p>
  </w:footnote>
  <w:footnote w:id="10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29.</w:t>
      </w:r>
    </w:p>
  </w:footnote>
  <w:footnote w:id="10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In re the Matter of the Application of the Dayton Power and Light Company for Approval of its Electric Security Plan, et al, </w:t>
      </w:r>
      <w:r w:rsidRPr="00E52023">
        <w:rPr>
          <w:rFonts w:cs="Times New Roman"/>
        </w:rPr>
        <w:t xml:space="preserve">Case No. 16-395-EL-SSO, Amended Stipulation and Recommendation (filed March 14, 2017); </w:t>
      </w:r>
      <w:r w:rsidRPr="00E52023">
        <w:rPr>
          <w:rFonts w:cs="Times New Roman"/>
          <w:i/>
          <w:iCs/>
        </w:rPr>
        <w:t xml:space="preserve">In re the Matter of the Application of the Dayton Power and Light Company for Approval of its Electric Security Plan, et al, </w:t>
      </w:r>
      <w:r w:rsidRPr="00E52023">
        <w:rPr>
          <w:rFonts w:cs="Times New Roman"/>
        </w:rPr>
        <w:t>Case No. 16-395-EL-SSO, Opinion and Order at ¶¶ 42-45 (October 20, 2017).</w:t>
      </w:r>
    </w:p>
  </w:footnote>
  <w:footnote w:id="10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Amended Stipulation at 5; Opinion and Order at ¶ 27.</w:t>
      </w:r>
    </w:p>
  </w:footnote>
  <w:footnote w:id="10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Third Entry on Rehearing at 9.</w:t>
      </w:r>
    </w:p>
  </w:footnote>
  <w:footnote w:id="107">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10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i/>
          <w:iCs/>
        </w:rPr>
        <w:t xml:space="preserve"> See Id.</w:t>
      </w:r>
      <w:r w:rsidRPr="00E52023">
        <w:rPr>
          <w:rFonts w:cs="Times New Roman"/>
        </w:rPr>
        <w:t xml:space="preserve"> at 23 (September 19, 2018 (“We expect that the modernization plan will be guided by the Commission’s PowerForward Initiative”); </w:t>
      </w:r>
      <w:r w:rsidRPr="00E52023">
        <w:rPr>
          <w:rFonts w:cs="Times New Roman"/>
          <w:i/>
          <w:iCs/>
        </w:rPr>
        <w:t>see also</w:t>
      </w:r>
      <w:r w:rsidRPr="00E52023">
        <w:rPr>
          <w:rFonts w:cs="Times New Roman"/>
        </w:rPr>
        <w:t xml:space="preserve"> Entry at 2 (July 12, 2018) (“However, because the Commission is currently continuing its work in the PowerForward initiative and because DP&amp;L should have a full opportunity to incorporate the results of the initiative into its comprehensive infrastructure modernization plan, the attorney examiner finds, </w:t>
      </w:r>
      <w:r w:rsidRPr="00D14D25">
        <w:rPr>
          <w:rFonts w:cs="Times New Roman"/>
          <w:i/>
          <w:iCs/>
        </w:rPr>
        <w:t>sua sponte</w:t>
      </w:r>
      <w:r w:rsidRPr="00E52023">
        <w:rPr>
          <w:rFonts w:cs="Times New Roman"/>
        </w:rPr>
        <w:t>, that the deadline for the filing of the comprehensive infrastructure modernization plan should be extended to the earlier of three months after the completion of the Commission’s PowerForward initiative or December 3, 2018, unless otherwise ordered by the Commission.”).</w:t>
      </w:r>
    </w:p>
  </w:footnote>
  <w:footnote w:id="10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9.</w:t>
      </w:r>
    </w:p>
  </w:footnote>
  <w:footnote w:id="11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Third Entry on Rehearing at 9 (internal punctuation removed). </w:t>
      </w:r>
    </w:p>
  </w:footnote>
  <w:footnote w:id="11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(emphasis added).</w:t>
      </w:r>
    </w:p>
  </w:footnote>
  <w:footnote w:id="11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r w:rsidRPr="00E52023">
        <w:rPr>
          <w:rFonts w:cs="Times New Roman"/>
        </w:rPr>
        <w:t xml:space="preserve"> Opinion and Order at ¶ 42.</w:t>
      </w:r>
    </w:p>
  </w:footnote>
  <w:footnote w:id="11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11, 19.</w:t>
      </w:r>
    </w:p>
  </w:footnote>
  <w:footnote w:id="11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27.</w:t>
      </w:r>
    </w:p>
  </w:footnote>
  <w:footnote w:id="11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Case 18-264-EL-RDR, Entry at 1 (April 11, 2018).</w:t>
      </w:r>
    </w:p>
  </w:footnote>
  <w:footnote w:id="11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2E6045">
        <w:rPr>
          <w:rFonts w:cs="Times New Roman"/>
          <w:i/>
          <w:iCs/>
        </w:rPr>
        <w:t>Ohio Edison</w:t>
      </w:r>
      <w:r w:rsidRPr="00E52023">
        <w:rPr>
          <w:rFonts w:cs="Times New Roman"/>
        </w:rPr>
        <w:t xml:space="preserve"> at ¶ 14.</w:t>
      </w:r>
    </w:p>
  </w:footnote>
  <w:footnote w:id="11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26-27.</w:t>
      </w:r>
    </w:p>
  </w:footnote>
  <w:footnote w:id="11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Ohio Edison </w:t>
      </w:r>
      <w:r w:rsidRPr="00E52023">
        <w:rPr>
          <w:rFonts w:cs="Times New Roman"/>
        </w:rPr>
        <w:t>at ¶ 29.</w:t>
      </w:r>
    </w:p>
  </w:footnote>
  <w:footnote w:id="11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20-29.</w:t>
      </w:r>
    </w:p>
  </w:footnote>
  <w:footnote w:id="12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22.</w:t>
      </w:r>
    </w:p>
  </w:footnote>
  <w:footnote w:id="121">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12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Id. </w:t>
      </w:r>
      <w:r w:rsidRPr="00E52023">
        <w:rPr>
          <w:rFonts w:cs="Times New Roman"/>
        </w:rPr>
        <w:t>at ¶ 21.</w:t>
      </w:r>
    </w:p>
  </w:footnote>
  <w:footnote w:id="12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26-27.</w:t>
      </w:r>
    </w:p>
  </w:footnote>
  <w:footnote w:id="12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27. The PUCO also cited directly to is decision in FirstEnergy’s case, which the court has found unlawful.</w:t>
      </w:r>
    </w:p>
  </w:footnote>
  <w:footnote w:id="12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 43; </w:t>
      </w:r>
      <w:r w:rsidRPr="00E52023">
        <w:rPr>
          <w:rFonts w:cs="Times New Roman"/>
          <w:i/>
          <w:iCs/>
        </w:rPr>
        <w:t xml:space="preserve">Ohio Edison </w:t>
      </w:r>
      <w:r w:rsidRPr="00E52023">
        <w:rPr>
          <w:rFonts w:cs="Times New Roman"/>
        </w:rPr>
        <w:t>at ¶ 24.</w:t>
      </w:r>
    </w:p>
  </w:footnote>
  <w:footnote w:id="12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Opinion and Order at ¶ 43.</w:t>
      </w:r>
    </w:p>
  </w:footnote>
  <w:footnote w:id="12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128">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12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13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Case 19-0162-EL-RDR</w:t>
      </w:r>
    </w:p>
  </w:footnote>
  <w:footnote w:id="131">
    <w:p w:rsidR="00A23752" w:rsidRPr="00E52023" w:rsidP="00E52023">
      <w:pPr>
        <w:autoSpaceDE w:val="0"/>
        <w:autoSpaceDN w:val="0"/>
        <w:adjustRightInd w:val="0"/>
        <w:spacing w:after="120" w:line="240" w:lineRule="auto"/>
        <w:rPr>
          <w:rFonts w:cs="Times New Roman"/>
          <w:sz w:val="20"/>
          <w:szCs w:val="20"/>
        </w:rPr>
      </w:pPr>
      <w:r w:rsidRPr="00E52023">
        <w:rPr>
          <w:rStyle w:val="FootnoteReference"/>
          <w:rFonts w:cs="Times New Roman"/>
          <w:sz w:val="20"/>
          <w:szCs w:val="20"/>
        </w:rPr>
        <w:footnoteRef/>
      </w:r>
      <w:r w:rsidRPr="00E52023">
        <w:rPr>
          <w:rFonts w:cs="Times New Roman"/>
          <w:sz w:val="20"/>
          <w:szCs w:val="20"/>
        </w:rPr>
        <w:t xml:space="preserve"> </w:t>
      </w:r>
      <w:r w:rsidRPr="00E52023">
        <w:rPr>
          <w:rFonts w:cs="Times New Roman"/>
          <w:i/>
          <w:iCs/>
          <w:sz w:val="20"/>
          <w:szCs w:val="20"/>
        </w:rPr>
        <w:t xml:space="preserve">In re Matter of the Review of the Distribution Modernization Rider of the Dayton Power and Light Company, </w:t>
      </w:r>
      <w:r w:rsidRPr="00E52023">
        <w:rPr>
          <w:rFonts w:cs="Times New Roman"/>
          <w:sz w:val="20"/>
          <w:szCs w:val="20"/>
        </w:rPr>
        <w:t xml:space="preserve">Case 18-264-EL-RDR, Midterm Report (Filed June 14, 2019). </w:t>
      </w:r>
    </w:p>
  </w:footnote>
  <w:footnote w:id="13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Ohio Edison</w:t>
      </w:r>
      <w:r w:rsidRPr="00E52023">
        <w:rPr>
          <w:rFonts w:cs="Times New Roman"/>
        </w:rPr>
        <w:t xml:space="preserve"> at ¶ 24.  </w:t>
      </w:r>
    </w:p>
  </w:footnote>
  <w:footnote w:id="133">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Id.</w:t>
      </w:r>
    </w:p>
  </w:footnote>
  <w:footnote w:id="13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bdr w:val="none" w:sz="0" w:space="0" w:color="auto" w:frame="1"/>
          <w:shd w:val="clear" w:color="auto" w:fill="FFFFFF"/>
        </w:rPr>
        <w:t>Keco Industries, Inc. v. Cincinnati &amp; Suburban Bell Tel. Co.</w:t>
      </w:r>
      <w:r w:rsidRPr="00E52023">
        <w:rPr>
          <w:rFonts w:cs="Times New Roman"/>
          <w:bdr w:val="none" w:sz="0" w:space="0" w:color="auto" w:frame="1"/>
          <w:shd w:val="clear" w:color="auto" w:fill="FFFFFF"/>
        </w:rPr>
        <w:t>, 166 Ohio St. 254, 141 N.E.2d 465 (1957).</w:t>
      </w:r>
    </w:p>
  </w:footnote>
  <w:footnote w:id="135">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 In re Columbus S. Power Co</w:t>
      </w:r>
      <w:r w:rsidRPr="00E52023">
        <w:rPr>
          <w:rFonts w:cs="Times New Roman"/>
        </w:rPr>
        <w:t xml:space="preserve">, 128 Ohio St.3d 512 ($63 million); </w:t>
      </w:r>
      <w:r w:rsidRPr="00E52023">
        <w:rPr>
          <w:rFonts w:cs="Times New Roman"/>
          <w:i/>
          <w:iCs/>
        </w:rPr>
        <w:t>In re Columbus Southern Power Co.</w:t>
      </w:r>
      <w:r w:rsidRPr="00E52023">
        <w:rPr>
          <w:rFonts w:cs="Times New Roman"/>
        </w:rPr>
        <w:t xml:space="preserve">, 138 Ohio St.3d 448 ($368 million); </w:t>
      </w:r>
      <w:r w:rsidRPr="00E52023">
        <w:rPr>
          <w:rFonts w:cs="Times New Roman"/>
          <w:i/>
          <w:iCs/>
        </w:rPr>
        <w:t>In re: Application of Dayton Power &amp; Light Co</w:t>
      </w:r>
      <w:r w:rsidRPr="00E52023">
        <w:rPr>
          <w:rFonts w:cs="Times New Roman"/>
        </w:rPr>
        <w:t xml:space="preserve">., 147 Ohio St.3d 166 ($330 million); </w:t>
      </w:r>
      <w:r w:rsidRPr="00E52023">
        <w:rPr>
          <w:rFonts w:cs="Times New Roman"/>
          <w:i/>
          <w:iCs/>
        </w:rPr>
        <w:t>In re Application of Ohio Edison Co</w:t>
      </w:r>
      <w:r w:rsidRPr="00E52023">
        <w:rPr>
          <w:rFonts w:cs="Times New Roman"/>
        </w:rPr>
        <w:t xml:space="preserve">., Slip Opinion No. 2019-Ohio-2401 ($456 million).  </w:t>
      </w:r>
    </w:p>
  </w:footnote>
  <w:footnote w:id="136">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 Ohio Edison</w:t>
      </w:r>
      <w:r w:rsidRPr="00E52023">
        <w:rPr>
          <w:rFonts w:cs="Times New Roman"/>
        </w:rPr>
        <w:t xml:space="preserve"> at ¶¶ 22-23.</w:t>
      </w:r>
    </w:p>
  </w:footnote>
  <w:footnote w:id="137">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w:t>
      </w:r>
      <w:r w:rsidRPr="00E52023">
        <w:rPr>
          <w:rFonts w:cs="Times New Roman"/>
        </w:rPr>
        <w:t xml:space="preserve"> </w:t>
      </w:r>
      <w:r w:rsidRPr="00E52023">
        <w:rPr>
          <w:rFonts w:cs="Times New Roman"/>
          <w:i/>
        </w:rPr>
        <w:t>In re Columbus S. Power Co.</w:t>
      </w:r>
      <w:r w:rsidRPr="00E52023">
        <w:rPr>
          <w:rFonts w:cs="Times New Roman"/>
        </w:rPr>
        <w:t>, 128 Ohio St.3d 512, 2011-Ohio-1788 ¶15-21.</w:t>
      </w:r>
    </w:p>
  </w:footnote>
  <w:footnote w:id="138">
    <w:p w:rsidR="00A23752" w:rsidRPr="00E52023" w:rsidP="00E52023">
      <w:pPr>
        <w:spacing w:after="120" w:line="240" w:lineRule="auto"/>
        <w:ind w:right="-70"/>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In re Columbus &amp; Southern Ohio Electric Co.</w:t>
      </w:r>
      <w:r w:rsidRPr="00E52023">
        <w:rPr>
          <w:rFonts w:cs="Times New Roman"/>
          <w:sz w:val="20"/>
          <w:szCs w:val="20"/>
        </w:rPr>
        <w:t>, Case No. 83-1058-EL-AIR, Entry (November 17, 1982).</w:t>
      </w:r>
    </w:p>
  </w:footnote>
  <w:footnote w:id="139">
    <w:p w:rsidR="00A23752" w:rsidRPr="00E52023" w:rsidP="00E52023">
      <w:pPr>
        <w:spacing w:after="120" w:line="240" w:lineRule="auto"/>
        <w:ind w:right="-70"/>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 xml:space="preserve">Id., </w:t>
      </w:r>
      <w:r w:rsidRPr="00E52023">
        <w:rPr>
          <w:rFonts w:cs="Times New Roman"/>
          <w:sz w:val="20"/>
          <w:szCs w:val="20"/>
        </w:rPr>
        <w:t xml:space="preserve">Opinion and Order at 8-14 (November 5, 1982).  </w:t>
      </w:r>
    </w:p>
  </w:footnote>
  <w:footnote w:id="140">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Id</w:t>
      </w:r>
      <w:r w:rsidRPr="00E52023">
        <w:rPr>
          <w:rFonts w:cs="Times New Roman"/>
          <w:sz w:val="20"/>
          <w:szCs w:val="20"/>
        </w:rPr>
        <w:t>., Entry at 1 (November 17, 1982).</w:t>
      </w:r>
    </w:p>
  </w:footnote>
  <w:footnote w:id="141">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 xml:space="preserve">Id., </w:t>
      </w:r>
      <w:r w:rsidRPr="00E52023">
        <w:rPr>
          <w:rFonts w:cs="Times New Roman"/>
          <w:sz w:val="20"/>
          <w:szCs w:val="20"/>
        </w:rPr>
        <w:t>Order on Rehearing (March 16, 1983).</w:t>
      </w:r>
    </w:p>
  </w:footnote>
  <w:footnote w:id="142">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Columbus &amp; Southern Ohio Electric Co. v. Pub. Util. Comm.</w:t>
      </w:r>
      <w:r w:rsidRPr="00E52023">
        <w:rPr>
          <w:rFonts w:cs="Times New Roman"/>
          <w:sz w:val="20"/>
          <w:szCs w:val="20"/>
        </w:rPr>
        <w:t xml:space="preserve">, (1984) 10 Ohio St.3d 12.  </w:t>
      </w:r>
    </w:p>
  </w:footnote>
  <w:footnote w:id="143">
    <w:p w:rsidR="00A23752" w:rsidRPr="00E52023" w:rsidP="00E52023">
      <w:pPr>
        <w:tabs>
          <w:tab w:val="left" w:pos="-720"/>
        </w:tabs>
        <w:suppressAutoHyphens/>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Columbus &amp; Southern Ohio Electric Co. v. Pub. Util. Comm.,</w:t>
      </w:r>
      <w:r w:rsidRPr="00E52023">
        <w:rPr>
          <w:rFonts w:cs="Times New Roman"/>
          <w:sz w:val="20"/>
          <w:szCs w:val="20"/>
        </w:rPr>
        <w:t xml:space="preserve"> (1984) 10 Ohio St.3d 12.</w:t>
      </w:r>
    </w:p>
  </w:footnote>
  <w:footnote w:id="144">
    <w:p w:rsidR="00A23752" w:rsidRPr="00E52023" w:rsidP="00E52023">
      <w:pPr>
        <w:tabs>
          <w:tab w:val="left" w:pos="-720"/>
        </w:tabs>
        <w:suppressAutoHyphens/>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In re Columbus &amp; Southern Ohio Electric Co</w:t>
      </w:r>
      <w:r w:rsidRPr="00E52023">
        <w:rPr>
          <w:rFonts w:cs="Times New Roman"/>
          <w:sz w:val="20"/>
          <w:szCs w:val="20"/>
        </w:rPr>
        <w:t>., Case No. 81-1058-EL-AIR, Order on Rehearing (May 1, 1984).</w:t>
      </w:r>
    </w:p>
  </w:footnote>
  <w:footnote w:id="145">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 xml:space="preserve">In the Matter of the Commission’s Investigation of the Current Rates, Revenues, Rate Base, and Rate of Return of the Ohio Utilities Company, </w:t>
      </w:r>
      <w:r w:rsidRPr="00E52023">
        <w:rPr>
          <w:rFonts w:cs="Times New Roman"/>
          <w:sz w:val="20"/>
          <w:szCs w:val="20"/>
        </w:rPr>
        <w:t>Case No. 77-1073-WS-COI, Entry at 2 (June 7, 1978).</w:t>
      </w:r>
    </w:p>
  </w:footnote>
  <w:footnote w:id="146">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In the Matter of the Ohio Utilities Co. Application for an Increase in Rates,</w:t>
      </w:r>
      <w:r w:rsidRPr="00E52023">
        <w:rPr>
          <w:rFonts w:cs="Times New Roman"/>
          <w:sz w:val="20"/>
          <w:szCs w:val="20"/>
        </w:rPr>
        <w:t xml:space="preserve"> Case No. 79-529-WS-AIR, Opinion and Order (January 18, 1977).  </w:t>
      </w:r>
    </w:p>
  </w:footnote>
  <w:footnote w:id="147">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 xml:space="preserve">In the Matter of the Commission’s Investigation of the Current Rates, Revenues, Rate Base, and Rate of Return of the Ohio Utilities Company, </w:t>
      </w:r>
      <w:r w:rsidRPr="00E52023">
        <w:rPr>
          <w:rFonts w:cs="Times New Roman"/>
          <w:sz w:val="20"/>
          <w:szCs w:val="20"/>
        </w:rPr>
        <w:t xml:space="preserve">Case No. 77-1073-WS-COI, Entry (September 7, 1977).  </w:t>
      </w:r>
    </w:p>
  </w:footnote>
  <w:footnote w:id="148">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 xml:space="preserve">In the Matter of the Commission’s Investigation of the Current Rates, Revenues, Rate Base, and Rate of Return of the Ohio Utilities Company, </w:t>
      </w:r>
      <w:r w:rsidRPr="00E52023">
        <w:rPr>
          <w:rFonts w:cs="Times New Roman"/>
          <w:sz w:val="20"/>
          <w:szCs w:val="20"/>
        </w:rPr>
        <w:t>Case No. 77-1073-WS-COI</w:t>
      </w:r>
      <w:r w:rsidRPr="00E52023">
        <w:rPr>
          <w:rFonts w:cs="Times New Roman"/>
          <w:i/>
          <w:iCs/>
          <w:sz w:val="20"/>
          <w:szCs w:val="20"/>
        </w:rPr>
        <w:t xml:space="preserve">, </w:t>
      </w:r>
      <w:r w:rsidRPr="00E52023">
        <w:rPr>
          <w:rFonts w:cs="Times New Roman"/>
          <w:sz w:val="20"/>
          <w:szCs w:val="20"/>
        </w:rPr>
        <w:t>Opinion and Order (May 18, 1978).</w:t>
      </w:r>
      <w:r w:rsidRPr="00E52023">
        <w:rPr>
          <w:rFonts w:cs="Times New Roman"/>
          <w:i/>
          <w:iCs/>
          <w:sz w:val="20"/>
          <w:szCs w:val="20"/>
        </w:rPr>
        <w:t xml:space="preserve">  </w:t>
      </w:r>
    </w:p>
  </w:footnote>
  <w:footnote w:id="149">
    <w:p w:rsidR="00A23752" w:rsidRPr="00E52023" w:rsidP="00E52023">
      <w:pPr>
        <w:spacing w:after="120" w:line="240" w:lineRule="auto"/>
        <w:rPr>
          <w:rFonts w:cs="Times New Roman"/>
          <w:sz w:val="20"/>
          <w:szCs w:val="20"/>
        </w:rPr>
      </w:pPr>
      <w:r w:rsidRPr="00E52023">
        <w:rPr>
          <w:rFonts w:cs="Times New Roman"/>
          <w:sz w:val="20"/>
          <w:szCs w:val="20"/>
          <w:vertAlign w:val="superscript"/>
        </w:rPr>
        <w:footnoteRef/>
      </w:r>
      <w:r w:rsidRPr="00E52023">
        <w:rPr>
          <w:rFonts w:cs="Times New Roman"/>
          <w:sz w:val="20"/>
          <w:szCs w:val="20"/>
        </w:rPr>
        <w:t xml:space="preserve"> </w:t>
      </w:r>
      <w:r w:rsidRPr="00E52023">
        <w:rPr>
          <w:rFonts w:cs="Times New Roman"/>
          <w:i/>
          <w:iCs/>
          <w:sz w:val="20"/>
          <w:szCs w:val="20"/>
        </w:rPr>
        <w:t>In the Matter of the Commission’s Investigation of the Current Rates, Revenues, Rate Base, and Rate of Return of the Ohio Utilities Company</w:t>
      </w:r>
      <w:r w:rsidRPr="00E52023">
        <w:rPr>
          <w:rFonts w:cs="Times New Roman"/>
          <w:sz w:val="20"/>
          <w:szCs w:val="20"/>
        </w:rPr>
        <w:t>, Case No. 77-1073-WS-COI, Entry (June 7, 1978). The utility was also required to file an “undertaking” consisting of a promise to refund any amount collected for service rendered after the date of the Entry by a method later determined by the Commission (either cash refund or as a credit to future bills).  The undertaking was required to be under oath by an officer of the company and was to include a promise to include interest.  The amount ordered for refund was the amount collected for service in excess of those rates ultimately determined to be lawful.  Id.</w:t>
      </w:r>
    </w:p>
  </w:footnote>
  <w:footnote w:id="150">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rPr>
        <w:t>In the Matter of the Commission Review of the Capacity Charges of Ohio Power Company and</w:t>
      </w:r>
      <w:r w:rsidRPr="00E52023">
        <w:rPr>
          <w:rFonts w:cs="Times New Roman"/>
        </w:rPr>
        <w:t xml:space="preserve"> </w:t>
      </w:r>
      <w:r w:rsidRPr="00E52023">
        <w:rPr>
          <w:rFonts w:cs="Times New Roman"/>
          <w:i/>
        </w:rPr>
        <w:t>Columbus Southern Power Company</w:t>
      </w:r>
      <w:r w:rsidRPr="00E52023">
        <w:rPr>
          <w:rFonts w:cs="Times New Roman"/>
        </w:rPr>
        <w:t>, Case No. 10-2929-EL-UNC et. al. (May 18, 2016).</w:t>
      </w:r>
    </w:p>
  </w:footnote>
  <w:footnote w:id="151">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rPr>
        <w:t>In the Matter of the Commission Review of the Capacity Charges of Ohio Power Company and</w:t>
      </w:r>
      <w:r w:rsidRPr="00E52023">
        <w:rPr>
          <w:rFonts w:cs="Times New Roman"/>
        </w:rPr>
        <w:t xml:space="preserve"> </w:t>
      </w:r>
      <w:r w:rsidRPr="00E52023">
        <w:rPr>
          <w:rFonts w:cs="Times New Roman"/>
          <w:i/>
        </w:rPr>
        <w:t>Columbus Southern Power Company</w:t>
      </w:r>
      <w:r w:rsidRPr="00E52023">
        <w:rPr>
          <w:rFonts w:cs="Times New Roman"/>
        </w:rPr>
        <w:t xml:space="preserve">, Case No. 10-2929-EL-UNC et. al. at 4 (May 18, 2016).  </w:t>
      </w:r>
    </w:p>
  </w:footnote>
  <w:footnote w:id="152">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 In the Matter of the Application of Ohio Edison Company, The Cleveland Electric Illuminating Company, and The Toledo Edison Company for Authority to Provide for a Standard Service Offer Pursuant to R.C. 4928.143 in the Form of an Electric Security Plan</w:t>
      </w:r>
      <w:r w:rsidRPr="00E52023">
        <w:rPr>
          <w:rFonts w:cs="Times New Roman"/>
        </w:rPr>
        <w:t>, Case No. 14-1297-EL-SSO, Entry (July 2, 2019).</w:t>
      </w:r>
    </w:p>
  </w:footnote>
  <w:footnote w:id="153">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See In the Matter of the Application of Ohio Edison Company, The Cleveland Electric Illuminating Company, and The Toledo Edison Company for Authority to Provide for a Standard Service Offer Pursuant to R.C. 4928.143 in the Form of an Electric Security Plan</w:t>
      </w:r>
      <w:r w:rsidRPr="00E52023">
        <w:rPr>
          <w:rFonts w:cs="Times New Roman"/>
        </w:rPr>
        <w:t>, Case No. 14-1297-EL-SSO, Entry (July 2, 2019).</w:t>
      </w:r>
    </w:p>
  </w:footnote>
  <w:footnote w:id="15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Supplemental Direct Testimony of Matthew I. Kahal (March 29, 2017) (OCC Ex. 12) at 52.</w:t>
      </w:r>
    </w:p>
  </w:footnote>
  <w:footnote w:id="155">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56">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57">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58">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59">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id. </w:t>
      </w:r>
      <w:r w:rsidRPr="00E52023">
        <w:rPr>
          <w:rFonts w:cs="Times New Roman"/>
        </w:rPr>
        <w:t>at 53.</w:t>
      </w:r>
    </w:p>
  </w:footnote>
  <w:footnote w:id="160">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61">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62">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63">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 w:id="164">
    <w:p w:rsidR="00A23752" w:rsidRPr="00E52023" w:rsidP="00E52023">
      <w:pPr>
        <w:pStyle w:val="FootnoteText"/>
        <w:spacing w:after="120"/>
        <w:rPr>
          <w:rFonts w:cs="Times New Roman"/>
        </w:rPr>
      </w:pPr>
      <w:r w:rsidRPr="00E52023">
        <w:rPr>
          <w:rStyle w:val="FootnoteReference"/>
          <w:rFonts w:cs="Times New Roman"/>
        </w:rPr>
        <w:footnoteRef/>
      </w:r>
      <w:r w:rsidRPr="00E52023">
        <w:rPr>
          <w:rFonts w:cs="Times New Roman"/>
        </w:rPr>
        <w:t xml:space="preserve"> </w:t>
      </w:r>
      <w:r w:rsidRPr="00E52023">
        <w:rPr>
          <w:rFonts w:cs="Times New Roman"/>
          <w:i/>
          <w:iCs/>
        </w:rPr>
        <w:t xml:space="preserve">See </w:t>
      </w:r>
      <w:r w:rsidRPr="00E52023">
        <w:rPr>
          <w:rFonts w:cs="Times New Roman"/>
        </w:rPr>
        <w:t>Case No. 16-395-EL-SSO, Entry (July 2, 2019).</w:t>
      </w:r>
    </w:p>
  </w:footnote>
  <w:footnote w:id="165">
    <w:p w:rsidR="00A23752" w:rsidRPr="00E52023" w:rsidP="00E52023">
      <w:pPr>
        <w:pStyle w:val="FootnoteText"/>
        <w:spacing w:after="120"/>
        <w:rPr>
          <w:rFonts w:cs="Times New Roman"/>
          <w:i/>
          <w:iCs/>
        </w:rPr>
      </w:pPr>
      <w:r w:rsidRPr="00E52023">
        <w:rPr>
          <w:rStyle w:val="FootnoteReference"/>
          <w:rFonts w:cs="Times New Roman"/>
        </w:rPr>
        <w:footnoteRef/>
      </w:r>
      <w:r w:rsidRPr="00E52023">
        <w:rPr>
          <w:rFonts w:cs="Times New Roman"/>
        </w:rPr>
        <w:t xml:space="preserve"> </w:t>
      </w:r>
      <w:r w:rsidRPr="00E52023">
        <w:rPr>
          <w:rFonts w:cs="Times New Roman"/>
          <w:i/>
          <w:iCs/>
        </w:rPr>
        <w:t>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6704762"/>
    <w:lvl w:ilvl="0">
      <w:start w:val="1"/>
      <w:numFmt w:val="decimal"/>
      <w:lvlText w:val="%1."/>
      <w:lvlJc w:val="left"/>
      <w:pPr>
        <w:tabs>
          <w:tab w:val="num" w:pos="1800"/>
        </w:tabs>
        <w:ind w:left="1800" w:hanging="360"/>
      </w:pPr>
    </w:lvl>
  </w:abstractNum>
  <w:abstractNum w:abstractNumId="1">
    <w:nsid w:val="FFFFFF7D"/>
    <w:multiLevelType w:val="singleLevel"/>
    <w:tmpl w:val="24DE9F1A"/>
    <w:lvl w:ilvl="0">
      <w:start w:val="1"/>
      <w:numFmt w:val="decimal"/>
      <w:lvlText w:val="%1."/>
      <w:lvlJc w:val="left"/>
      <w:pPr>
        <w:tabs>
          <w:tab w:val="num" w:pos="1440"/>
        </w:tabs>
        <w:ind w:left="1440" w:hanging="360"/>
      </w:pPr>
    </w:lvl>
  </w:abstractNum>
  <w:abstractNum w:abstractNumId="2">
    <w:nsid w:val="FFFFFF7E"/>
    <w:multiLevelType w:val="singleLevel"/>
    <w:tmpl w:val="E88A7FBE"/>
    <w:lvl w:ilvl="0">
      <w:start w:val="1"/>
      <w:numFmt w:val="decimal"/>
      <w:lvlText w:val="%1."/>
      <w:lvlJc w:val="left"/>
      <w:pPr>
        <w:tabs>
          <w:tab w:val="num" w:pos="1080"/>
        </w:tabs>
        <w:ind w:left="1080" w:hanging="360"/>
      </w:pPr>
    </w:lvl>
  </w:abstractNum>
  <w:abstractNum w:abstractNumId="3">
    <w:nsid w:val="FFFFFF7F"/>
    <w:multiLevelType w:val="singleLevel"/>
    <w:tmpl w:val="FA16BE2A"/>
    <w:lvl w:ilvl="0">
      <w:start w:val="1"/>
      <w:numFmt w:val="decimal"/>
      <w:lvlText w:val="%1."/>
      <w:lvlJc w:val="left"/>
      <w:pPr>
        <w:tabs>
          <w:tab w:val="num" w:pos="720"/>
        </w:tabs>
        <w:ind w:left="720" w:hanging="360"/>
      </w:pPr>
    </w:lvl>
  </w:abstractNum>
  <w:abstractNum w:abstractNumId="4">
    <w:nsid w:val="FFFFFF80"/>
    <w:multiLevelType w:val="singleLevel"/>
    <w:tmpl w:val="70A87C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B4E2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F2B4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9068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800CF8"/>
    <w:lvl w:ilvl="0">
      <w:start w:val="1"/>
      <w:numFmt w:val="decimal"/>
      <w:lvlText w:val="%1."/>
      <w:lvlJc w:val="left"/>
      <w:pPr>
        <w:tabs>
          <w:tab w:val="num" w:pos="360"/>
        </w:tabs>
        <w:ind w:left="360" w:hanging="360"/>
      </w:pPr>
    </w:lvl>
  </w:abstractNum>
  <w:abstractNum w:abstractNumId="9">
    <w:nsid w:val="FFFFFF89"/>
    <w:multiLevelType w:val="singleLevel"/>
    <w:tmpl w:val="8CAC3BE2"/>
    <w:lvl w:ilvl="0">
      <w:start w:val="1"/>
      <w:numFmt w:val="bullet"/>
      <w:lvlText w:val=""/>
      <w:lvlJc w:val="left"/>
      <w:pPr>
        <w:tabs>
          <w:tab w:val="num" w:pos="360"/>
        </w:tabs>
        <w:ind w:left="360" w:hanging="360"/>
      </w:pPr>
      <w:rPr>
        <w:rFonts w:ascii="Symbol" w:hAnsi="Symbol" w:hint="default"/>
      </w:rPr>
    </w:lvl>
  </w:abstractNum>
  <w:abstractNum w:abstractNumId="10">
    <w:nsid w:val="020D6352"/>
    <w:multiLevelType w:val="hybridMultilevel"/>
    <w:tmpl w:val="42120E6C"/>
    <w:lvl w:ilvl="0">
      <w:start w:val="1"/>
      <w:numFmt w:val="decimal"/>
      <w:lvlText w:val="%1."/>
      <w:lvlJc w:val="left"/>
      <w:pPr>
        <w:ind w:left="1800" w:hanging="360"/>
      </w:pPr>
      <w:rPr>
        <w:rFonts w:hint="default"/>
        <w:b/>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9CF0572"/>
    <w:multiLevelType w:val="hybridMultilevel"/>
    <w:tmpl w:val="2E8C3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51370F"/>
    <w:multiLevelType w:val="hybridMultilevel"/>
    <w:tmpl w:val="5352DF8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2D635E4"/>
    <w:multiLevelType w:val="hybridMultilevel"/>
    <w:tmpl w:val="3FA4D90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19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570348"/>
    <w:multiLevelType w:val="hybridMultilevel"/>
    <w:tmpl w:val="2EFE3AA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415B7B"/>
    <w:multiLevelType w:val="hybridMultilevel"/>
    <w:tmpl w:val="D93A337A"/>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9">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0FD6A8C"/>
    <w:multiLevelType w:val="hybridMultilevel"/>
    <w:tmpl w:val="C55AB4C2"/>
    <w:lvl w:ilvl="0">
      <w:start w:val="3"/>
      <w:numFmt w:val="decimal"/>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439D16EF"/>
    <w:multiLevelType w:val="hybridMultilevel"/>
    <w:tmpl w:val="FCF275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81B07ED"/>
    <w:multiLevelType w:val="hybridMultilevel"/>
    <w:tmpl w:val="5B3C91C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484E26D6"/>
    <w:multiLevelType w:val="hybridMultilevel"/>
    <w:tmpl w:val="E4844ED4"/>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4F1F2E92"/>
    <w:multiLevelType w:val="hybridMultilevel"/>
    <w:tmpl w:val="962ECBC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00173D6"/>
    <w:multiLevelType w:val="hybridMultilevel"/>
    <w:tmpl w:val="193698F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2780983"/>
    <w:multiLevelType w:val="hybridMultilevel"/>
    <w:tmpl w:val="56A0A0C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4312DCA"/>
    <w:multiLevelType w:val="hybridMultilevel"/>
    <w:tmpl w:val="BB16E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8C24333"/>
    <w:multiLevelType w:val="hybridMultilevel"/>
    <w:tmpl w:val="D4AED7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AE26595"/>
    <w:multiLevelType w:val="hybridMultilevel"/>
    <w:tmpl w:val="8B5A73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B3E1702"/>
    <w:multiLevelType w:val="hybridMultilevel"/>
    <w:tmpl w:val="B6C2B3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2743A51"/>
    <w:multiLevelType w:val="hybridMultilevel"/>
    <w:tmpl w:val="E8F23C4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55D5D78"/>
    <w:multiLevelType w:val="hybridMultilevel"/>
    <w:tmpl w:val="3CB8D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6E8285C"/>
    <w:multiLevelType w:val="hybridMultilevel"/>
    <w:tmpl w:val="4A2E4D6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9B05F0B"/>
    <w:multiLevelType w:val="hybridMultilevel"/>
    <w:tmpl w:val="13005C28"/>
    <w:lvl w:ilvl="0">
      <w:start w:val="1"/>
      <w:numFmt w:val="decimal"/>
      <w:lvlText w:val="%1."/>
      <w:lvlJc w:val="left"/>
      <w:pPr>
        <w:ind w:left="2160" w:hanging="360"/>
      </w:pPr>
      <w:rPr>
        <w:rFonts w:hint="default"/>
        <w:b/>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9">
    <w:nsid w:val="6EF91E7C"/>
    <w:multiLevelType w:val="hybridMultilevel"/>
    <w:tmpl w:val="198443B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2"/>
  </w:num>
  <w:num w:numId="2">
    <w:abstractNumId w:val="14"/>
  </w:num>
  <w:num w:numId="3">
    <w:abstractNumId w:val="13"/>
  </w:num>
  <w:num w:numId="4">
    <w:abstractNumId w:val="34"/>
  </w:num>
  <w:num w:numId="5">
    <w:abstractNumId w:val="40"/>
  </w:num>
  <w:num w:numId="6">
    <w:abstractNumId w:val="20"/>
  </w:num>
  <w:num w:numId="7">
    <w:abstractNumId w:val="41"/>
  </w:num>
  <w:num w:numId="8">
    <w:abstractNumId w:val="11"/>
  </w:num>
  <w:num w:numId="9">
    <w:abstractNumId w:val="16"/>
  </w:num>
  <w:num w:numId="10">
    <w:abstractNumId w:val="28"/>
  </w:num>
  <w:num w:numId="11">
    <w:abstractNumId w:val="30"/>
  </w:num>
  <w:num w:numId="12">
    <w:abstractNumId w:val="19"/>
  </w:num>
  <w:num w:numId="13">
    <w:abstractNumId w:val="36"/>
  </w:num>
  <w:num w:numId="14">
    <w:abstractNumId w:val="31"/>
  </w:num>
  <w:num w:numId="15">
    <w:abstractNumId w:val="29"/>
  </w:num>
  <w:num w:numId="16">
    <w:abstractNumId w:val="17"/>
  </w:num>
  <w:num w:numId="17">
    <w:abstractNumId w:val="35"/>
  </w:num>
  <w:num w:numId="18">
    <w:abstractNumId w:val="26"/>
  </w:num>
  <w:num w:numId="19">
    <w:abstractNumId w:val="33"/>
  </w:num>
  <w:num w:numId="20">
    <w:abstractNumId w:val="39"/>
  </w:num>
  <w:num w:numId="21">
    <w:abstractNumId w:val="23"/>
  </w:num>
  <w:num w:numId="22">
    <w:abstractNumId w:val="25"/>
  </w:num>
  <w:num w:numId="23">
    <w:abstractNumId w:val="15"/>
  </w:num>
  <w:num w:numId="24">
    <w:abstractNumId w:val="27"/>
  </w:num>
  <w:num w:numId="25">
    <w:abstractNumId w:val="18"/>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4"/>
  </w:num>
  <w:num w:numId="39">
    <w:abstractNumId w:val="37"/>
  </w:num>
  <w:num w:numId="40">
    <w:abstractNumId w:val="10"/>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25"/>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51E64"/>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2E6045"/>
    <w:pPr>
      <w:keepNext/>
      <w:keepLines/>
      <w:spacing w:line="240" w:lineRule="auto"/>
      <w:ind w:left="2160" w:hanging="720"/>
      <w:outlineLvl w:val="2"/>
    </w:pPr>
    <w:rPr>
      <w:rFonts w:ascii="Times New Roman Bold" w:hAnsi="Times New Roman Bold" w:eastAsiaTheme="majorEastAsia" w:cstheme="majorBidi"/>
      <w:b/>
      <w:iCs/>
      <w:szCs w:val="24"/>
    </w:rPr>
  </w:style>
  <w:style w:type="paragraph" w:styleId="Heading4">
    <w:name w:val="heading 4"/>
    <w:basedOn w:val="Normal"/>
    <w:next w:val="Normal"/>
    <w:link w:val="Heading4Char"/>
    <w:autoRedefine/>
    <w:uiPriority w:val="9"/>
    <w:unhideWhenUsed/>
    <w:qFormat/>
    <w:rsid w:val="002E6045"/>
    <w:pPr>
      <w:keepNext/>
      <w:keepLines/>
      <w:spacing w:after="240" w:line="240" w:lineRule="auto"/>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1">
    <w:name w:val="Unresolved Mention1"/>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D51E64"/>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rsid w:val="00FA60F5"/>
    <w:pPr>
      <w:tabs>
        <w:tab w:val="left" w:pos="720"/>
        <w:tab w:val="decimal" w:leader="dot" w:pos="8640"/>
      </w:tabs>
      <w:spacing w:after="240" w:line="240" w:lineRule="auto"/>
    </w:pPr>
    <w:rPr>
      <w:caps/>
    </w:rPr>
  </w:style>
  <w:style w:type="paragraph" w:styleId="TOC2">
    <w:name w:val="toc 2"/>
    <w:basedOn w:val="Normal"/>
    <w:next w:val="Normal"/>
    <w:autoRedefine/>
    <w:uiPriority w:val="39"/>
    <w:unhideWhenUsed/>
    <w:rsid w:val="00FA60F5"/>
    <w:pPr>
      <w:tabs>
        <w:tab w:val="left" w:pos="720"/>
        <w:tab w:val="decimal" w:leader="dot" w:pos="8640"/>
      </w:tabs>
      <w:spacing w:after="240" w:line="240" w:lineRule="auto"/>
      <w:ind w:left="1440" w:hanging="720"/>
    </w:pPr>
  </w:style>
  <w:style w:type="table" w:styleId="TableGrid">
    <w:name w:val="Table Grid"/>
    <w:basedOn w:val="TableNormal"/>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084D2A"/>
    <w:rPr>
      <w:color w:val="605E5C"/>
      <w:shd w:val="clear" w:color="auto" w:fill="E1DFDD"/>
    </w:rPr>
  </w:style>
  <w:style w:type="character" w:customStyle="1" w:styleId="Heading3Char">
    <w:name w:val="Heading 3 Char"/>
    <w:basedOn w:val="DefaultParagraphFont"/>
    <w:link w:val="Heading3"/>
    <w:uiPriority w:val="9"/>
    <w:rsid w:val="002E6045"/>
    <w:rPr>
      <w:rFonts w:ascii="Times New Roman Bold" w:hAnsi="Times New Roman Bold" w:eastAsiaTheme="majorEastAsia" w:cstheme="majorBidi"/>
      <w:b/>
      <w:iCs/>
      <w:sz w:val="24"/>
      <w:szCs w:val="24"/>
    </w:rPr>
  </w:style>
  <w:style w:type="paragraph" w:styleId="TOC3">
    <w:name w:val="toc 3"/>
    <w:basedOn w:val="Normal"/>
    <w:next w:val="Normal"/>
    <w:autoRedefine/>
    <w:uiPriority w:val="39"/>
    <w:unhideWhenUsed/>
    <w:qFormat/>
    <w:rsid w:val="007318B0"/>
    <w:pPr>
      <w:tabs>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2E6045"/>
    <w:rPr>
      <w:rFonts w:ascii="Times New Roman Bold" w:hAnsi="Times New Roman Bold" w:eastAsiaTheme="majorEastAsia" w:cstheme="majorBidi"/>
      <w:b/>
      <w:iCs/>
      <w:sz w:val="24"/>
    </w:rPr>
  </w:style>
  <w:style w:type="paragraph" w:styleId="TOC4">
    <w:name w:val="toc 4"/>
    <w:basedOn w:val="Normal"/>
    <w:next w:val="Normal"/>
    <w:autoRedefine/>
    <w:uiPriority w:val="39"/>
    <w:unhideWhenUsed/>
    <w:qFormat/>
    <w:rsid w:val="00042A25"/>
    <w:pPr>
      <w:tabs>
        <w:tab w:val="decimal" w:leader="dot" w:pos="8640"/>
      </w:tabs>
      <w:spacing w:after="240" w:line="240" w:lineRule="auto"/>
      <w:ind w:left="2880" w:hanging="72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7634</Words>
  <Characters>43515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DP&amp;L Final.docx</vt:lpstr>
    </vt:vector>
  </TitlesOfParts>
  <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2019-08-01T19:51:38Z</dcterms:created>
  <dcterms:modified xsi:type="dcterms:W3CDTF">2019-08-01T19:51:38Z</dcterms:modified>
</cp:coreProperties>
</file>