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15FF4" w:rsidP="00A15FF4">
      <w:pPr>
        <w:pStyle w:val="BodyText"/>
        <w:spacing w:line="240" w:lineRule="auto"/>
        <w:jc w:val="right"/>
        <w:rPr>
          <w:b/>
          <w:i/>
        </w:rPr>
      </w:pPr>
      <w:bookmarkStart w:id="0" w:name="_Toc249780366"/>
      <w:bookmarkStart w:id="1" w:name="_Toc249782093"/>
      <w:bookmarkStart w:id="2" w:name="_GoBack"/>
      <w:bookmarkEnd w:id="2"/>
      <w:r>
        <w:rPr>
          <w:b/>
          <w:i/>
        </w:rPr>
        <w:t>OCC EXHIBIT NO. ______</w:t>
      </w:r>
      <w:bookmarkEnd w:id="0"/>
      <w:bookmarkEnd w:id="1"/>
    </w:p>
    <w:p w:rsidR="00A15FF4" w:rsidP="00A15FF4">
      <w:pPr>
        <w:pStyle w:val="BodyText"/>
        <w:spacing w:line="240" w:lineRule="auto"/>
        <w:jc w:val="right"/>
        <w:rPr>
          <w:b/>
          <w:i/>
        </w:rPr>
      </w:pPr>
    </w:p>
    <w:p w:rsidR="00A15FF4" w:rsidP="00A15FF4">
      <w:pPr>
        <w:pStyle w:val="BodyText"/>
        <w:spacing w:line="240" w:lineRule="auto"/>
        <w:ind w:left="0"/>
        <w:jc w:val="center"/>
        <w:rPr>
          <w:b/>
        </w:rPr>
      </w:pPr>
      <w:bookmarkStart w:id="3" w:name="_Toc249780368"/>
      <w:bookmarkStart w:id="4" w:name="_Toc249782095"/>
      <w:r>
        <w:rPr>
          <w:b/>
        </w:rPr>
        <w:t>BEFORE</w:t>
      </w:r>
      <w:bookmarkEnd w:id="3"/>
      <w:bookmarkEnd w:id="4"/>
    </w:p>
    <w:p w:rsidR="00A15FF4" w:rsidP="00A15FF4">
      <w:pPr>
        <w:jc w:val="center"/>
        <w:rPr>
          <w:b/>
          <w:bCs/>
        </w:rPr>
      </w:pPr>
      <w:bookmarkStart w:id="5" w:name="_Toc249780369"/>
      <w:bookmarkStart w:id="6" w:name="_Toc249782096"/>
      <w:r>
        <w:rPr>
          <w:b/>
          <w:bCs/>
        </w:rPr>
        <w:t>THE PUBLIC UTILITIES COMMISSION OF OHIO</w:t>
      </w:r>
      <w:bookmarkEnd w:id="5"/>
      <w:bookmarkEnd w:id="6"/>
    </w:p>
    <w:p w:rsidR="00A15FF4" w:rsidP="00A15FF4">
      <w:pPr>
        <w:jc w:val="center"/>
      </w:pPr>
    </w:p>
    <w:p w:rsidR="00A15FF4" w:rsidP="00A15FF4">
      <w:pPr>
        <w:jc w:val="center"/>
      </w:pPr>
    </w:p>
    <w:tbl>
      <w:tblPr>
        <w:tblW w:w="0" w:type="auto"/>
        <w:tblInd w:w="0" w:type="dxa"/>
        <w:tblLayout w:type="fixed"/>
        <w:tblCellMar>
          <w:top w:w="0" w:type="dxa"/>
          <w:left w:w="108" w:type="dxa"/>
          <w:bottom w:w="0" w:type="dxa"/>
          <w:right w:w="108" w:type="dxa"/>
        </w:tblCellMar>
        <w:tblLook w:val="0000"/>
      </w:tblPr>
      <w:tblGrid>
        <w:gridCol w:w="4428"/>
        <w:gridCol w:w="450"/>
        <w:gridCol w:w="3978"/>
      </w:tblGrid>
      <w:tr w:rsidTr="000023DA">
        <w:tblPrEx>
          <w:tblW w:w="0" w:type="auto"/>
          <w:tblInd w:w="0" w:type="dxa"/>
          <w:tblLayout w:type="fixed"/>
          <w:tblCellMar>
            <w:top w:w="0" w:type="dxa"/>
            <w:left w:w="108" w:type="dxa"/>
            <w:bottom w:w="0" w:type="dxa"/>
            <w:right w:w="108" w:type="dxa"/>
          </w:tblCellMar>
          <w:tblLook w:val="0000"/>
        </w:tblPrEx>
        <w:tc>
          <w:tcPr>
            <w:tcW w:w="4428" w:type="dxa"/>
            <w:shd w:val="clear" w:color="auto" w:fill="auto"/>
          </w:tcPr>
          <w:p w:rsidR="00FC07DD" w:rsidRPr="00FC07DD" w:rsidP="000023DA">
            <w:pPr>
              <w:widowControl w:val="0"/>
              <w:tabs>
                <w:tab w:val="left" w:pos="5670"/>
                <w:tab w:val="right" w:pos="9936"/>
              </w:tabs>
              <w:autoSpaceDE w:val="0"/>
              <w:autoSpaceDN w:val="0"/>
              <w:rPr>
                <w:rStyle w:val="DefaultParagraphFont"/>
                <w:rFonts w:eastAsia="PMingLiU" w:asciiTheme="majorBidi" w:hAnsiTheme="majorBidi" w:cstheme="majorBidi"/>
                <w:sz w:val="24"/>
                <w:szCs w:val="24"/>
                <w:lang w:val="en-US" w:eastAsia="en-US" w:bidi="ar-SA"/>
              </w:rPr>
            </w:pPr>
            <w:r w:rsidRPr="00FC07DD">
              <w:rPr>
                <w:rStyle w:val="StyleCourier12pt"/>
                <w:rFonts w:eastAsia="PMingLiU" w:asciiTheme="majorBidi" w:hAnsiTheme="majorBidi" w:cstheme="majorBidi"/>
                <w:sz w:val="24"/>
                <w:szCs w:val="24"/>
                <w:lang w:val="en-US" w:eastAsia="en-US" w:bidi="ar-SA"/>
              </w:rPr>
              <w:t xml:space="preserve">In the Matter of the Application of Suburban Natural Gas Company for an Increase in Gas Distribution Rates.  </w:t>
            </w:r>
          </w:p>
        </w:tc>
        <w:tc>
          <w:tcPr>
            <w:tcW w:w="450" w:type="dxa"/>
            <w:shd w:val="clear" w:color="auto" w:fill="auto"/>
          </w:tcPr>
          <w:p w:rsidR="00FC07DD" w:rsidRPr="00FC07DD" w:rsidP="000023DA">
            <w:pPr>
              <w:tabs>
                <w:tab w:val="left" w:pos="4320"/>
              </w:tabs>
              <w:autoSpaceDE w:val="0"/>
              <w:autoSpaceDN w:val="0"/>
              <w:snapToGrid w:val="0"/>
              <w:ind w:left="-18" w:hanging="18"/>
              <w:rPr>
                <w:rStyle w:val="DefaultParagraphFont"/>
                <w:rFonts w:eastAsia="PMingLiU" w:asciiTheme="majorBidi" w:hAnsiTheme="majorBidi" w:cstheme="majorBidi"/>
                <w:sz w:val="24"/>
                <w:szCs w:val="24"/>
                <w:lang w:val="en-US" w:eastAsia="en-US" w:bidi="ar-SA"/>
              </w:rPr>
            </w:pPr>
            <w:r w:rsidRPr="00FC07DD">
              <w:rPr>
                <w:rFonts w:eastAsia="PMingLiU" w:asciiTheme="majorBidi" w:hAnsiTheme="majorBidi" w:cstheme="majorBidi"/>
                <w:sz w:val="24"/>
                <w:szCs w:val="24"/>
                <w:lang w:val="en-US" w:eastAsia="en-US" w:bidi="ar-SA"/>
              </w:rPr>
              <w:t>)</w:t>
            </w:r>
          </w:p>
          <w:p w:rsidR="00FC07DD" w:rsidRPr="00FC07DD" w:rsidP="000023DA">
            <w:pPr>
              <w:tabs>
                <w:tab w:val="left" w:pos="4320"/>
              </w:tabs>
              <w:autoSpaceDE w:val="0"/>
              <w:autoSpaceDN w:val="0"/>
              <w:ind w:left="-18" w:hanging="18"/>
              <w:rPr>
                <w:rStyle w:val="DefaultParagraphFont"/>
                <w:rFonts w:eastAsia="PMingLiU" w:asciiTheme="majorBidi" w:hAnsiTheme="majorBidi" w:cstheme="majorBidi"/>
                <w:sz w:val="24"/>
                <w:szCs w:val="24"/>
                <w:lang w:val="en-US" w:eastAsia="en-US" w:bidi="ar-SA"/>
              </w:rPr>
            </w:pPr>
            <w:r w:rsidRPr="00FC07DD">
              <w:rPr>
                <w:rFonts w:eastAsia="PMingLiU" w:asciiTheme="majorBidi" w:hAnsiTheme="majorBidi" w:cstheme="majorBidi"/>
                <w:sz w:val="24"/>
                <w:szCs w:val="24"/>
                <w:lang w:val="en-US" w:eastAsia="en-US" w:bidi="ar-SA"/>
              </w:rPr>
              <w:t>)</w:t>
            </w:r>
          </w:p>
          <w:p w:rsidR="00FC07DD" w:rsidRPr="00FC07DD" w:rsidP="000023DA">
            <w:pPr>
              <w:tabs>
                <w:tab w:val="left" w:pos="4320"/>
              </w:tabs>
              <w:autoSpaceDE w:val="0"/>
              <w:autoSpaceDN w:val="0"/>
              <w:ind w:left="-18" w:hanging="18"/>
              <w:rPr>
                <w:rStyle w:val="DefaultParagraphFont"/>
                <w:rFonts w:eastAsia="PMingLiU" w:asciiTheme="majorBidi" w:hAnsiTheme="majorBidi" w:cstheme="majorBidi"/>
                <w:sz w:val="24"/>
                <w:szCs w:val="24"/>
                <w:lang w:val="en-US" w:eastAsia="en-US" w:bidi="ar-SA"/>
              </w:rPr>
            </w:pPr>
            <w:r w:rsidRPr="00FC07DD">
              <w:rPr>
                <w:rFonts w:eastAsia="PMingLiU" w:asciiTheme="majorBidi" w:hAnsiTheme="majorBidi" w:cstheme="majorBidi"/>
                <w:sz w:val="24"/>
                <w:szCs w:val="24"/>
                <w:lang w:val="en-US" w:eastAsia="en-US" w:bidi="ar-SA"/>
              </w:rPr>
              <w:t>)</w:t>
            </w:r>
          </w:p>
          <w:p w:rsidR="00FC07DD" w:rsidRPr="00FC07DD" w:rsidP="000023DA">
            <w:pPr>
              <w:tabs>
                <w:tab w:val="left" w:pos="4320"/>
              </w:tabs>
              <w:autoSpaceDE w:val="0"/>
              <w:autoSpaceDN w:val="0"/>
              <w:ind w:left="-18" w:hanging="18"/>
              <w:rPr>
                <w:rStyle w:val="DefaultParagraphFont"/>
                <w:rFonts w:eastAsia="PMingLiU" w:asciiTheme="majorBidi" w:hAnsiTheme="majorBidi" w:cstheme="majorBidi"/>
                <w:sz w:val="24"/>
                <w:szCs w:val="24"/>
                <w:lang w:val="en-US" w:eastAsia="en-US" w:bidi="ar-SA"/>
              </w:rPr>
            </w:pPr>
          </w:p>
        </w:tc>
        <w:tc>
          <w:tcPr>
            <w:tcW w:w="3978" w:type="dxa"/>
            <w:shd w:val="clear" w:color="auto" w:fill="auto"/>
          </w:tcPr>
          <w:p w:rsidR="00FC07DD" w:rsidRPr="00FC07DD" w:rsidP="000023DA">
            <w:pPr>
              <w:autoSpaceDE w:val="0"/>
              <w:autoSpaceDN w:val="0"/>
              <w:rPr>
                <w:rStyle w:val="DefaultParagraphFont"/>
                <w:rFonts w:eastAsia="PMingLiU" w:asciiTheme="majorBidi" w:hAnsiTheme="majorBidi" w:cstheme="majorBidi"/>
                <w:sz w:val="24"/>
                <w:szCs w:val="24"/>
                <w:lang w:val="en-US" w:eastAsia="en-US" w:bidi="ar-SA"/>
              </w:rPr>
            </w:pPr>
          </w:p>
          <w:p w:rsidR="00FC07DD" w:rsidRPr="00FC07DD" w:rsidP="000023DA">
            <w:pPr>
              <w:autoSpaceDE w:val="0"/>
              <w:autoSpaceDN w:val="0"/>
              <w:rPr>
                <w:rStyle w:val="DefaultParagraphFont"/>
                <w:rFonts w:eastAsia="PMingLiU" w:asciiTheme="majorBidi" w:hAnsiTheme="majorBidi" w:cstheme="majorBidi"/>
                <w:sz w:val="24"/>
                <w:szCs w:val="24"/>
                <w:lang w:val="en-US" w:eastAsia="en-US" w:bidi="ar-SA"/>
              </w:rPr>
            </w:pPr>
            <w:r w:rsidRPr="00FC07DD">
              <w:rPr>
                <w:rStyle w:val="StyleCourier12pt"/>
                <w:rFonts w:eastAsia="PMingLiU" w:asciiTheme="majorBidi" w:hAnsiTheme="majorBidi" w:cstheme="majorBidi"/>
                <w:sz w:val="24"/>
                <w:szCs w:val="24"/>
                <w:lang w:val="en-US" w:eastAsia="en-US" w:bidi="ar-SA"/>
              </w:rPr>
              <w:t>Case No. 18-1205-GA-AIR</w:t>
            </w:r>
            <w:r w:rsidRPr="00FC07DD">
              <w:rPr>
                <w:rFonts w:eastAsia="PMingLiU" w:asciiTheme="majorBidi" w:hAnsiTheme="majorBidi" w:cstheme="majorBidi"/>
                <w:sz w:val="24"/>
                <w:szCs w:val="24"/>
                <w:lang w:val="en-US" w:eastAsia="en-US" w:bidi="ar-SA"/>
              </w:rPr>
              <w:t xml:space="preserve"> </w:t>
            </w:r>
          </w:p>
          <w:p w:rsidR="00FC07DD" w:rsidRPr="00FC07DD" w:rsidP="000023DA">
            <w:pPr>
              <w:autoSpaceDE w:val="0"/>
              <w:autoSpaceDN w:val="0"/>
              <w:rPr>
                <w:rStyle w:val="DefaultParagraphFont"/>
                <w:rFonts w:eastAsia="PMingLiU" w:asciiTheme="majorBidi" w:hAnsiTheme="majorBidi" w:cstheme="majorBidi"/>
                <w:sz w:val="24"/>
                <w:szCs w:val="24"/>
                <w:lang w:val="en-US" w:eastAsia="en-US" w:bidi="ar-SA"/>
              </w:rPr>
            </w:pPr>
          </w:p>
          <w:p w:rsidR="00FC07DD" w:rsidRPr="00FC07DD" w:rsidP="000023DA">
            <w:pPr>
              <w:autoSpaceDE w:val="0"/>
              <w:autoSpaceDN w:val="0"/>
              <w:rPr>
                <w:rStyle w:val="DefaultParagraphFont"/>
                <w:rFonts w:eastAsia="PMingLiU" w:asciiTheme="majorBidi" w:hAnsiTheme="majorBidi" w:cstheme="majorBidi"/>
                <w:sz w:val="24"/>
                <w:szCs w:val="24"/>
                <w:lang w:val="en-US" w:eastAsia="en-US" w:bidi="ar-SA"/>
              </w:rPr>
            </w:pPr>
          </w:p>
        </w:tc>
      </w:tr>
      <w:tr w:rsidTr="000023DA">
        <w:tblPrEx>
          <w:tblW w:w="0" w:type="auto"/>
          <w:tblInd w:w="0" w:type="dxa"/>
          <w:tblLayout w:type="fixed"/>
          <w:tblCellMar>
            <w:top w:w="0" w:type="dxa"/>
            <w:left w:w="108" w:type="dxa"/>
            <w:bottom w:w="0" w:type="dxa"/>
            <w:right w:w="108" w:type="dxa"/>
          </w:tblCellMar>
          <w:tblLook w:val="0000"/>
        </w:tblPrEx>
        <w:tc>
          <w:tcPr>
            <w:tcW w:w="4428" w:type="dxa"/>
            <w:shd w:val="clear" w:color="auto" w:fill="auto"/>
          </w:tcPr>
          <w:p w:rsidR="00FC07DD" w:rsidRPr="00FC07DD" w:rsidP="000023DA">
            <w:pPr>
              <w:widowControl w:val="0"/>
              <w:tabs>
                <w:tab w:val="left" w:pos="5670"/>
                <w:tab w:val="right" w:pos="9936"/>
              </w:tabs>
              <w:autoSpaceDE w:val="0"/>
              <w:autoSpaceDN w:val="0"/>
              <w:rPr>
                <w:rStyle w:val="StyleCourier12pt"/>
                <w:rFonts w:eastAsia="PMingLiU" w:asciiTheme="majorBidi" w:hAnsiTheme="majorBidi" w:cstheme="majorBidi"/>
                <w:sz w:val="24"/>
                <w:szCs w:val="24"/>
                <w:lang w:val="en-US" w:eastAsia="en-US" w:bidi="ar-SA"/>
              </w:rPr>
            </w:pPr>
            <w:r w:rsidRPr="00FC07DD">
              <w:rPr>
                <w:rStyle w:val="StyleCourier12pt"/>
                <w:rFonts w:eastAsia="PMingLiU" w:asciiTheme="majorBidi" w:hAnsiTheme="majorBidi" w:cstheme="majorBidi"/>
                <w:sz w:val="24"/>
                <w:szCs w:val="24"/>
                <w:lang w:val="en-US" w:eastAsia="en-US" w:bidi="ar-SA"/>
              </w:rPr>
              <w:t xml:space="preserve">In the Matter of the Application of Suburban Natural Gas Company for Tariff Approval.   </w:t>
            </w:r>
          </w:p>
          <w:p w:rsidR="00FC07DD" w:rsidRPr="00FC07DD" w:rsidP="000023DA">
            <w:pPr>
              <w:widowControl w:val="0"/>
              <w:tabs>
                <w:tab w:val="left" w:pos="5670"/>
                <w:tab w:val="right" w:pos="9936"/>
              </w:tabs>
              <w:autoSpaceDE w:val="0"/>
              <w:autoSpaceDN w:val="0"/>
              <w:rPr>
                <w:rStyle w:val="DefaultParagraphFont"/>
                <w:rFonts w:eastAsia="PMingLiU" w:asciiTheme="majorBidi" w:hAnsiTheme="majorBidi" w:cstheme="majorBidi"/>
                <w:sz w:val="24"/>
                <w:szCs w:val="24"/>
                <w:lang w:val="en-US" w:eastAsia="en-US" w:bidi="ar-SA"/>
              </w:rPr>
            </w:pPr>
          </w:p>
        </w:tc>
        <w:tc>
          <w:tcPr>
            <w:tcW w:w="450" w:type="dxa"/>
            <w:shd w:val="clear" w:color="auto" w:fill="auto"/>
          </w:tcPr>
          <w:p w:rsidR="00FC07DD" w:rsidRPr="00FC07DD" w:rsidP="000023DA">
            <w:pPr>
              <w:tabs>
                <w:tab w:val="left" w:pos="4320"/>
              </w:tabs>
              <w:autoSpaceDE w:val="0"/>
              <w:autoSpaceDN w:val="0"/>
              <w:snapToGrid w:val="0"/>
              <w:ind w:left="-18" w:hanging="18"/>
              <w:rPr>
                <w:rStyle w:val="DefaultParagraphFont"/>
                <w:rFonts w:eastAsia="PMingLiU" w:asciiTheme="majorBidi" w:hAnsiTheme="majorBidi" w:cstheme="majorBidi"/>
                <w:sz w:val="24"/>
                <w:szCs w:val="24"/>
                <w:lang w:val="en-US" w:eastAsia="en-US" w:bidi="ar-SA"/>
              </w:rPr>
            </w:pPr>
            <w:r w:rsidRPr="00FC07DD">
              <w:rPr>
                <w:rFonts w:eastAsia="PMingLiU" w:asciiTheme="majorBidi" w:hAnsiTheme="majorBidi" w:cstheme="majorBidi"/>
                <w:sz w:val="24"/>
                <w:szCs w:val="24"/>
                <w:lang w:val="en-US" w:eastAsia="en-US" w:bidi="ar-SA"/>
              </w:rPr>
              <w:t>)</w:t>
            </w:r>
          </w:p>
          <w:p w:rsidR="00FC07DD" w:rsidRPr="00FC07DD" w:rsidP="000023DA">
            <w:pPr>
              <w:tabs>
                <w:tab w:val="left" w:pos="4320"/>
              </w:tabs>
              <w:autoSpaceDE w:val="0"/>
              <w:autoSpaceDN w:val="0"/>
              <w:ind w:left="-18" w:hanging="18"/>
              <w:rPr>
                <w:rStyle w:val="DefaultParagraphFont"/>
                <w:rFonts w:eastAsia="PMingLiU" w:asciiTheme="majorBidi" w:hAnsiTheme="majorBidi" w:cstheme="majorBidi"/>
                <w:sz w:val="24"/>
                <w:szCs w:val="24"/>
                <w:lang w:val="en-US" w:eastAsia="en-US" w:bidi="ar-SA"/>
              </w:rPr>
            </w:pPr>
            <w:r w:rsidRPr="00FC07DD">
              <w:rPr>
                <w:rFonts w:eastAsia="PMingLiU" w:asciiTheme="majorBidi" w:hAnsiTheme="majorBidi" w:cstheme="majorBidi"/>
                <w:sz w:val="24"/>
                <w:szCs w:val="24"/>
                <w:lang w:val="en-US" w:eastAsia="en-US" w:bidi="ar-SA"/>
              </w:rPr>
              <w:t>)</w:t>
            </w:r>
          </w:p>
          <w:p w:rsidR="00FC07DD" w:rsidRPr="00FC07DD" w:rsidP="000023DA">
            <w:pPr>
              <w:tabs>
                <w:tab w:val="left" w:pos="4320"/>
              </w:tabs>
              <w:autoSpaceDE w:val="0"/>
              <w:autoSpaceDN w:val="0"/>
              <w:ind w:left="-18" w:hanging="18"/>
              <w:rPr>
                <w:rStyle w:val="DefaultParagraphFont"/>
                <w:rFonts w:eastAsia="PMingLiU" w:asciiTheme="majorBidi" w:hAnsiTheme="majorBidi" w:cstheme="majorBidi"/>
                <w:sz w:val="24"/>
                <w:szCs w:val="24"/>
                <w:lang w:val="en-US" w:eastAsia="en-US" w:bidi="ar-SA"/>
              </w:rPr>
            </w:pPr>
            <w:r w:rsidRPr="00FC07DD">
              <w:rPr>
                <w:rFonts w:eastAsia="PMingLiU" w:asciiTheme="majorBidi" w:hAnsiTheme="majorBidi" w:cstheme="majorBidi"/>
                <w:sz w:val="24"/>
                <w:szCs w:val="24"/>
                <w:lang w:val="en-US" w:eastAsia="en-US" w:bidi="ar-SA"/>
              </w:rPr>
              <w:t>)</w:t>
            </w:r>
          </w:p>
        </w:tc>
        <w:tc>
          <w:tcPr>
            <w:tcW w:w="3978" w:type="dxa"/>
            <w:shd w:val="clear" w:color="auto" w:fill="auto"/>
          </w:tcPr>
          <w:p w:rsidR="00FC07DD" w:rsidRPr="00FC07DD" w:rsidP="000023DA">
            <w:pPr>
              <w:autoSpaceDE w:val="0"/>
              <w:autoSpaceDN w:val="0"/>
              <w:rPr>
                <w:rStyle w:val="DefaultParagraphFont"/>
                <w:rFonts w:eastAsia="PMingLiU" w:asciiTheme="majorBidi" w:hAnsiTheme="majorBidi" w:cstheme="majorBidi"/>
                <w:sz w:val="24"/>
                <w:szCs w:val="24"/>
                <w:lang w:val="en-US" w:eastAsia="en-US" w:bidi="ar-SA"/>
              </w:rPr>
            </w:pPr>
          </w:p>
          <w:p w:rsidR="00FC07DD" w:rsidRPr="00FC07DD" w:rsidP="000023DA">
            <w:pPr>
              <w:autoSpaceDE w:val="0"/>
              <w:autoSpaceDN w:val="0"/>
              <w:rPr>
                <w:rStyle w:val="DefaultParagraphFont"/>
                <w:rFonts w:eastAsia="PMingLiU" w:asciiTheme="majorBidi" w:hAnsiTheme="majorBidi" w:cstheme="majorBidi"/>
                <w:sz w:val="24"/>
                <w:szCs w:val="24"/>
                <w:lang w:val="en-US" w:eastAsia="en-US" w:bidi="ar-SA"/>
              </w:rPr>
            </w:pPr>
            <w:r w:rsidRPr="00FC07DD">
              <w:rPr>
                <w:rStyle w:val="StyleCourier12pt"/>
                <w:rFonts w:eastAsia="PMingLiU" w:asciiTheme="majorBidi" w:hAnsiTheme="majorBidi" w:cstheme="majorBidi"/>
                <w:sz w:val="24"/>
                <w:szCs w:val="24"/>
                <w:lang w:val="en-US" w:eastAsia="en-US" w:bidi="ar-SA"/>
              </w:rPr>
              <w:t>Case No. 18-1206-GA-ATA</w:t>
            </w:r>
            <w:r w:rsidRPr="00FC07DD">
              <w:rPr>
                <w:rFonts w:eastAsia="PMingLiU" w:asciiTheme="majorBidi" w:hAnsiTheme="majorBidi" w:cstheme="majorBidi"/>
                <w:sz w:val="24"/>
                <w:szCs w:val="24"/>
                <w:lang w:val="en-US" w:eastAsia="en-US" w:bidi="ar-SA"/>
              </w:rPr>
              <w:t xml:space="preserve"> </w:t>
            </w:r>
          </w:p>
          <w:p w:rsidR="00FC07DD" w:rsidRPr="00FC07DD" w:rsidP="000023DA">
            <w:pPr>
              <w:autoSpaceDE w:val="0"/>
              <w:autoSpaceDN w:val="0"/>
              <w:rPr>
                <w:rStyle w:val="DefaultParagraphFont"/>
                <w:rFonts w:eastAsia="PMingLiU" w:asciiTheme="majorBidi" w:hAnsiTheme="majorBidi" w:cstheme="majorBidi"/>
                <w:sz w:val="24"/>
                <w:szCs w:val="24"/>
                <w:lang w:val="en-US" w:eastAsia="en-US" w:bidi="ar-SA"/>
              </w:rPr>
            </w:pPr>
          </w:p>
        </w:tc>
      </w:tr>
      <w:tr w:rsidTr="000023DA">
        <w:tblPrEx>
          <w:tblW w:w="0" w:type="auto"/>
          <w:tblInd w:w="0" w:type="dxa"/>
          <w:tblLayout w:type="fixed"/>
          <w:tblCellMar>
            <w:top w:w="0" w:type="dxa"/>
            <w:left w:w="108" w:type="dxa"/>
            <w:bottom w:w="0" w:type="dxa"/>
            <w:right w:w="108" w:type="dxa"/>
          </w:tblCellMar>
          <w:tblLook w:val="0000"/>
        </w:tblPrEx>
        <w:tc>
          <w:tcPr>
            <w:tcW w:w="4428" w:type="dxa"/>
            <w:shd w:val="clear" w:color="auto" w:fill="auto"/>
          </w:tcPr>
          <w:p w:rsidR="00FC07DD" w:rsidRPr="00FC07DD" w:rsidP="000023DA">
            <w:pPr>
              <w:widowControl w:val="0"/>
              <w:tabs>
                <w:tab w:val="left" w:pos="5670"/>
                <w:tab w:val="right" w:pos="9936"/>
              </w:tabs>
              <w:autoSpaceDE w:val="0"/>
              <w:autoSpaceDN w:val="0"/>
              <w:rPr>
                <w:rStyle w:val="DefaultParagraphFont"/>
                <w:rFonts w:eastAsia="PMingLiU" w:asciiTheme="majorBidi" w:hAnsiTheme="majorBidi" w:cstheme="majorBidi"/>
                <w:sz w:val="24"/>
                <w:szCs w:val="24"/>
                <w:lang w:val="en-US" w:eastAsia="en-US" w:bidi="ar-SA"/>
              </w:rPr>
            </w:pPr>
            <w:r w:rsidRPr="00FC07DD">
              <w:rPr>
                <w:rStyle w:val="StyleCourier12pt"/>
                <w:rFonts w:eastAsia="PMingLiU" w:asciiTheme="majorBidi" w:hAnsiTheme="majorBidi" w:cstheme="majorBidi"/>
                <w:sz w:val="24"/>
                <w:szCs w:val="24"/>
                <w:lang w:val="en-US" w:eastAsia="en-US" w:bidi="ar-SA"/>
              </w:rPr>
              <w:t>In the Matter of the Application of Suburban Natural Gas Company for Approval of Certain Accounting Authority.</w:t>
            </w:r>
          </w:p>
        </w:tc>
        <w:tc>
          <w:tcPr>
            <w:tcW w:w="450" w:type="dxa"/>
            <w:shd w:val="clear" w:color="auto" w:fill="auto"/>
          </w:tcPr>
          <w:p w:rsidR="00FC07DD" w:rsidRPr="00FC07DD" w:rsidP="000023DA">
            <w:pPr>
              <w:tabs>
                <w:tab w:val="left" w:pos="4320"/>
              </w:tabs>
              <w:autoSpaceDE w:val="0"/>
              <w:autoSpaceDN w:val="0"/>
              <w:snapToGrid w:val="0"/>
              <w:ind w:left="-18" w:hanging="18"/>
              <w:rPr>
                <w:rStyle w:val="DefaultParagraphFont"/>
                <w:rFonts w:eastAsia="PMingLiU" w:asciiTheme="majorBidi" w:hAnsiTheme="majorBidi" w:cstheme="majorBidi"/>
                <w:sz w:val="24"/>
                <w:szCs w:val="24"/>
                <w:lang w:val="en-US" w:eastAsia="en-US" w:bidi="ar-SA"/>
              </w:rPr>
            </w:pPr>
            <w:r w:rsidRPr="00FC07DD">
              <w:rPr>
                <w:rFonts w:eastAsia="PMingLiU" w:asciiTheme="majorBidi" w:hAnsiTheme="majorBidi" w:cstheme="majorBidi"/>
                <w:sz w:val="24"/>
                <w:szCs w:val="24"/>
                <w:lang w:val="en-US" w:eastAsia="en-US" w:bidi="ar-SA"/>
              </w:rPr>
              <w:t>)</w:t>
            </w:r>
          </w:p>
          <w:p w:rsidR="00FC07DD" w:rsidRPr="00FC07DD" w:rsidP="000023DA">
            <w:pPr>
              <w:tabs>
                <w:tab w:val="left" w:pos="4320"/>
              </w:tabs>
              <w:autoSpaceDE w:val="0"/>
              <w:autoSpaceDN w:val="0"/>
              <w:ind w:left="-18" w:hanging="18"/>
              <w:rPr>
                <w:rStyle w:val="DefaultParagraphFont"/>
                <w:rFonts w:eastAsia="PMingLiU" w:asciiTheme="majorBidi" w:hAnsiTheme="majorBidi" w:cstheme="majorBidi"/>
                <w:sz w:val="24"/>
                <w:szCs w:val="24"/>
                <w:lang w:val="en-US" w:eastAsia="en-US" w:bidi="ar-SA"/>
              </w:rPr>
            </w:pPr>
            <w:r w:rsidRPr="00FC07DD">
              <w:rPr>
                <w:rFonts w:eastAsia="PMingLiU" w:asciiTheme="majorBidi" w:hAnsiTheme="majorBidi" w:cstheme="majorBidi"/>
                <w:sz w:val="24"/>
                <w:szCs w:val="24"/>
                <w:lang w:val="en-US" w:eastAsia="en-US" w:bidi="ar-SA"/>
              </w:rPr>
              <w:t>)</w:t>
            </w:r>
          </w:p>
          <w:p w:rsidR="00FC07DD" w:rsidRPr="00FC07DD" w:rsidP="000023DA">
            <w:pPr>
              <w:tabs>
                <w:tab w:val="left" w:pos="4320"/>
              </w:tabs>
              <w:autoSpaceDE w:val="0"/>
              <w:autoSpaceDN w:val="0"/>
              <w:ind w:left="-18" w:hanging="18"/>
              <w:rPr>
                <w:rStyle w:val="DefaultParagraphFont"/>
                <w:rFonts w:eastAsia="PMingLiU" w:asciiTheme="majorBidi" w:hAnsiTheme="majorBidi" w:cstheme="majorBidi"/>
                <w:sz w:val="24"/>
                <w:szCs w:val="24"/>
                <w:lang w:val="en-US" w:eastAsia="en-US" w:bidi="ar-SA"/>
              </w:rPr>
            </w:pPr>
            <w:r w:rsidRPr="00FC07DD">
              <w:rPr>
                <w:rFonts w:eastAsia="PMingLiU" w:asciiTheme="majorBidi" w:hAnsiTheme="majorBidi" w:cstheme="majorBidi"/>
                <w:sz w:val="24"/>
                <w:szCs w:val="24"/>
                <w:lang w:val="en-US" w:eastAsia="en-US" w:bidi="ar-SA"/>
              </w:rPr>
              <w:t>)</w:t>
            </w:r>
          </w:p>
          <w:p w:rsidR="00FC07DD" w:rsidRPr="00FC07DD" w:rsidP="000023DA">
            <w:pPr>
              <w:tabs>
                <w:tab w:val="left" w:pos="4320"/>
              </w:tabs>
              <w:autoSpaceDE w:val="0"/>
              <w:autoSpaceDN w:val="0"/>
              <w:ind w:left="-18" w:hanging="18"/>
              <w:rPr>
                <w:rStyle w:val="DefaultParagraphFont"/>
                <w:rFonts w:eastAsia="PMingLiU" w:asciiTheme="majorBidi" w:hAnsiTheme="majorBidi" w:cstheme="majorBidi"/>
                <w:sz w:val="24"/>
                <w:szCs w:val="24"/>
                <w:lang w:val="en-US" w:eastAsia="en-US" w:bidi="ar-SA"/>
              </w:rPr>
            </w:pPr>
          </w:p>
        </w:tc>
        <w:tc>
          <w:tcPr>
            <w:tcW w:w="3978" w:type="dxa"/>
            <w:shd w:val="clear" w:color="auto" w:fill="auto"/>
          </w:tcPr>
          <w:p w:rsidR="00FC07DD" w:rsidRPr="00FC07DD" w:rsidP="000023DA">
            <w:pPr>
              <w:autoSpaceDE w:val="0"/>
              <w:autoSpaceDN w:val="0"/>
              <w:rPr>
                <w:rStyle w:val="DefaultParagraphFont"/>
                <w:rFonts w:eastAsia="PMingLiU" w:asciiTheme="majorBidi" w:hAnsiTheme="majorBidi" w:cstheme="majorBidi"/>
                <w:sz w:val="24"/>
                <w:szCs w:val="24"/>
                <w:lang w:val="en-US" w:eastAsia="en-US" w:bidi="ar-SA"/>
              </w:rPr>
            </w:pPr>
          </w:p>
          <w:p w:rsidR="00FC07DD" w:rsidRPr="00FC07DD" w:rsidP="000023DA">
            <w:pPr>
              <w:autoSpaceDE w:val="0"/>
              <w:autoSpaceDN w:val="0"/>
              <w:rPr>
                <w:rStyle w:val="DefaultParagraphFont"/>
                <w:rFonts w:eastAsia="PMingLiU" w:asciiTheme="majorBidi" w:hAnsiTheme="majorBidi" w:cstheme="majorBidi"/>
                <w:sz w:val="24"/>
                <w:szCs w:val="24"/>
                <w:lang w:val="en-US" w:eastAsia="en-US" w:bidi="ar-SA"/>
              </w:rPr>
            </w:pPr>
            <w:r w:rsidRPr="00FC07DD">
              <w:rPr>
                <w:rStyle w:val="StyleCourier12pt"/>
                <w:rFonts w:eastAsia="PMingLiU" w:asciiTheme="majorBidi" w:hAnsiTheme="majorBidi" w:cstheme="majorBidi"/>
                <w:sz w:val="24"/>
                <w:szCs w:val="24"/>
                <w:lang w:val="en-US" w:eastAsia="en-US" w:bidi="ar-SA"/>
              </w:rPr>
              <w:t>Case No. 18-1207-GA-AAM</w:t>
            </w:r>
            <w:r w:rsidRPr="00FC07DD">
              <w:rPr>
                <w:rFonts w:eastAsia="PMingLiU" w:asciiTheme="majorBidi" w:hAnsiTheme="majorBidi" w:cstheme="majorBidi"/>
                <w:sz w:val="24"/>
                <w:szCs w:val="24"/>
                <w:lang w:val="en-US" w:eastAsia="en-US" w:bidi="ar-SA"/>
              </w:rPr>
              <w:t xml:space="preserve"> </w:t>
            </w:r>
          </w:p>
          <w:p w:rsidR="00FC07DD" w:rsidRPr="00FC07DD" w:rsidP="000023DA">
            <w:pPr>
              <w:autoSpaceDE w:val="0"/>
              <w:autoSpaceDN w:val="0"/>
              <w:rPr>
                <w:rStyle w:val="DefaultParagraphFont"/>
                <w:rFonts w:eastAsia="PMingLiU" w:asciiTheme="majorBidi" w:hAnsiTheme="majorBidi" w:cstheme="majorBidi"/>
                <w:sz w:val="24"/>
                <w:szCs w:val="24"/>
                <w:lang w:val="en-US" w:eastAsia="en-US" w:bidi="ar-SA"/>
              </w:rPr>
            </w:pPr>
          </w:p>
          <w:p w:rsidR="00FC07DD" w:rsidRPr="00FC07DD" w:rsidP="000023DA">
            <w:pPr>
              <w:autoSpaceDE w:val="0"/>
              <w:autoSpaceDN w:val="0"/>
              <w:rPr>
                <w:rStyle w:val="DefaultParagraphFont"/>
                <w:rFonts w:eastAsia="PMingLiU" w:asciiTheme="majorBidi" w:hAnsiTheme="majorBidi" w:cstheme="majorBidi"/>
                <w:sz w:val="24"/>
                <w:szCs w:val="24"/>
                <w:lang w:val="en-US" w:eastAsia="en-US" w:bidi="ar-SA"/>
              </w:rPr>
            </w:pPr>
          </w:p>
        </w:tc>
      </w:tr>
    </w:tbl>
    <w:p w:rsidR="00FC07DD" w:rsidP="00A15FF4">
      <w:pPr>
        <w:pStyle w:val="BodyText"/>
        <w:spacing w:line="240" w:lineRule="auto"/>
        <w:ind w:left="0"/>
        <w:jc w:val="center"/>
        <w:rPr>
          <w:b/>
        </w:rPr>
      </w:pPr>
    </w:p>
    <w:p w:rsidR="00FC07DD" w:rsidP="00A15FF4">
      <w:pPr>
        <w:pStyle w:val="BodyText"/>
        <w:spacing w:line="240" w:lineRule="auto"/>
        <w:ind w:left="0"/>
        <w:jc w:val="center"/>
        <w:rPr>
          <w:b/>
        </w:rPr>
      </w:pPr>
    </w:p>
    <w:p w:rsidR="00FC07DD" w:rsidP="00A15FF4">
      <w:pPr>
        <w:pStyle w:val="BodyText"/>
        <w:spacing w:line="240" w:lineRule="auto"/>
        <w:ind w:left="0"/>
        <w:jc w:val="center"/>
        <w:rPr>
          <w:b/>
        </w:rPr>
      </w:pPr>
    </w:p>
    <w:p w:rsidR="00FC07DD" w:rsidP="00A15FF4">
      <w:pPr>
        <w:pStyle w:val="BodyText"/>
        <w:spacing w:line="240" w:lineRule="auto"/>
        <w:ind w:left="0"/>
        <w:jc w:val="center"/>
        <w:rPr>
          <w:b/>
        </w:rPr>
      </w:pPr>
    </w:p>
    <w:p w:rsidR="00A15FF4" w:rsidP="00A15FF4">
      <w:pPr>
        <w:pStyle w:val="BodyText"/>
        <w:spacing w:line="240" w:lineRule="auto"/>
        <w:ind w:left="0"/>
        <w:jc w:val="center"/>
        <w:rPr>
          <w:b/>
        </w:rPr>
      </w:pPr>
      <w:r>
        <w:rPr>
          <w:b/>
        </w:rPr>
        <w:t>DIRECT TESTIMONY</w:t>
      </w:r>
    </w:p>
    <w:p w:rsidR="00A15FF4" w:rsidP="00A15FF4">
      <w:pPr>
        <w:pStyle w:val="BodyText"/>
        <w:spacing w:line="240" w:lineRule="auto"/>
        <w:ind w:left="0"/>
        <w:jc w:val="center"/>
        <w:rPr>
          <w:b/>
          <w:bCs/>
        </w:rPr>
      </w:pPr>
      <w:r>
        <w:rPr>
          <w:b/>
          <w:bCs/>
        </w:rPr>
        <w:t>OF</w:t>
      </w:r>
    </w:p>
    <w:p w:rsidR="00A15FF4" w:rsidP="00A15FF4">
      <w:pPr>
        <w:pStyle w:val="List2"/>
        <w:ind w:left="540" w:hanging="540"/>
        <w:jc w:val="center"/>
        <w:rPr>
          <w:b/>
          <w:bCs/>
        </w:rPr>
      </w:pPr>
      <w:r>
        <w:rPr>
          <w:b/>
          <w:bCs/>
        </w:rPr>
        <w:t>DANIEL J. DUANN, Ph.D.</w:t>
      </w:r>
    </w:p>
    <w:p w:rsidR="00A15FF4" w:rsidP="00A15FF4">
      <w:pPr>
        <w:pStyle w:val="List2"/>
        <w:ind w:left="540" w:hanging="540"/>
        <w:jc w:val="center"/>
      </w:pPr>
    </w:p>
    <w:p w:rsidR="00A15FF4" w:rsidP="00A15FF4">
      <w:pPr>
        <w:pStyle w:val="List2"/>
        <w:ind w:left="540" w:hanging="540"/>
        <w:jc w:val="center"/>
      </w:pPr>
    </w:p>
    <w:p w:rsidR="00A15FF4" w:rsidP="00A15FF4">
      <w:pPr>
        <w:pStyle w:val="List2"/>
        <w:ind w:left="540" w:hanging="540"/>
        <w:jc w:val="center"/>
      </w:pPr>
    </w:p>
    <w:p w:rsidR="00A15FF4" w:rsidP="00A15FF4">
      <w:pPr>
        <w:pStyle w:val="List2"/>
        <w:ind w:left="540" w:hanging="540"/>
        <w:jc w:val="center"/>
      </w:pPr>
    </w:p>
    <w:p w:rsidR="00A15FF4" w:rsidP="00A15FF4">
      <w:pPr>
        <w:jc w:val="center"/>
        <w:rPr>
          <w:b/>
          <w:bCs/>
        </w:rPr>
      </w:pPr>
      <w:bookmarkStart w:id="7" w:name="_Toc249780371"/>
      <w:bookmarkStart w:id="8" w:name="_Toc249782097"/>
      <w:r>
        <w:rPr>
          <w:b/>
          <w:bCs/>
        </w:rPr>
        <w:t>On Behalf of</w:t>
      </w:r>
    </w:p>
    <w:p w:rsidR="00A15FF4" w:rsidP="00A15FF4">
      <w:pPr>
        <w:jc w:val="center"/>
        <w:rPr>
          <w:b/>
          <w:bCs/>
          <w:caps/>
        </w:rPr>
      </w:pPr>
      <w:r>
        <w:rPr>
          <w:b/>
          <w:bCs/>
        </w:rPr>
        <w:t>The Office of the Ohio Consumers’ Counsel</w:t>
      </w:r>
    </w:p>
    <w:p w:rsidR="00A15FF4" w:rsidP="00A15FF4">
      <w:pPr>
        <w:jc w:val="center"/>
        <w:rPr>
          <w:i/>
          <w:iCs/>
        </w:rPr>
      </w:pPr>
      <w:r>
        <w:rPr>
          <w:i/>
          <w:iCs/>
        </w:rPr>
        <w:t>65 East State Street, 7</w:t>
      </w:r>
      <w:r w:rsidR="00D23907">
        <w:rPr>
          <w:i/>
          <w:iCs/>
        </w:rPr>
        <w:t>th</w:t>
      </w:r>
      <w:r>
        <w:rPr>
          <w:i/>
          <w:iCs/>
        </w:rPr>
        <w:t xml:space="preserve"> Floor</w:t>
      </w:r>
    </w:p>
    <w:p w:rsidR="00A15FF4" w:rsidP="00A15FF4">
      <w:pPr>
        <w:jc w:val="center"/>
        <w:rPr>
          <w:i/>
          <w:iCs/>
        </w:rPr>
      </w:pPr>
      <w:r>
        <w:rPr>
          <w:i/>
          <w:iCs/>
        </w:rPr>
        <w:t>Columbus, Ohio 43215</w:t>
      </w:r>
    </w:p>
    <w:p w:rsidR="00A15FF4" w:rsidP="00A15FF4">
      <w:pPr>
        <w:jc w:val="center"/>
      </w:pPr>
      <w:bookmarkEnd w:id="7"/>
      <w:bookmarkEnd w:id="8"/>
    </w:p>
    <w:p w:rsidR="00A15FF4" w:rsidP="00A15FF4">
      <w:pPr>
        <w:jc w:val="center"/>
      </w:pPr>
    </w:p>
    <w:p w:rsidR="00A15FF4" w:rsidP="00A15FF4">
      <w:pPr>
        <w:jc w:val="center"/>
      </w:pPr>
    </w:p>
    <w:p w:rsidR="00A15FF4" w:rsidP="00A15FF4">
      <w:pPr>
        <w:jc w:val="center"/>
      </w:pPr>
    </w:p>
    <w:p w:rsidR="00A15FF4" w:rsidRPr="00565748">
      <w:pPr>
        <w:jc w:val="center"/>
        <w:rPr>
          <w:b/>
          <w:bCs/>
          <w:iCs/>
        </w:rPr>
      </w:pPr>
      <w:r>
        <w:rPr>
          <w:b/>
          <w:bCs/>
          <w:iCs/>
        </w:rPr>
        <w:t xml:space="preserve">March 8, </w:t>
      </w:r>
      <w:r w:rsidRPr="00565748">
        <w:rPr>
          <w:b/>
          <w:bCs/>
          <w:iCs/>
        </w:rPr>
        <w:t>201</w:t>
      </w:r>
      <w:r>
        <w:rPr>
          <w:b/>
          <w:bCs/>
          <w:iCs/>
        </w:rPr>
        <w:t>9</w:t>
      </w:r>
    </w:p>
    <w:p w:rsidR="00A15FF4">
      <w:pPr>
        <w:jc w:val="center"/>
        <w:rPr>
          <w:b/>
          <w:bCs/>
          <w:i/>
          <w:iCs/>
        </w:rPr>
        <w:sectPr w:rsidSect="00A15FF4">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720" w:footer="720" w:gutter="0"/>
          <w:cols w:space="720"/>
          <w:titlePg/>
          <w:docGrid w:linePitch="360"/>
        </w:sectPr>
      </w:pPr>
    </w:p>
    <w:p w:rsidR="00A15FF4" w:rsidRPr="00333581" w:rsidP="00A15FF4">
      <w:pPr>
        <w:pStyle w:val="BodyText"/>
        <w:spacing w:line="240" w:lineRule="auto"/>
        <w:ind w:left="0"/>
        <w:jc w:val="center"/>
        <w:rPr>
          <w:b/>
        </w:rPr>
      </w:pPr>
      <w:r w:rsidRPr="00333581">
        <w:rPr>
          <w:b/>
        </w:rPr>
        <w:t>TABLE OF CONTENTS</w:t>
      </w:r>
    </w:p>
    <w:p w:rsidR="00A15FF4" w:rsidP="00A15FF4">
      <w:pPr>
        <w:pStyle w:val="BodyText"/>
        <w:spacing w:line="240" w:lineRule="auto"/>
        <w:ind w:left="0"/>
        <w:jc w:val="right"/>
        <w:rPr>
          <w:b/>
        </w:rPr>
      </w:pPr>
      <w:r w:rsidRPr="00333581">
        <w:rPr>
          <w:b/>
        </w:rPr>
        <w:t>PAGE</w:t>
      </w:r>
    </w:p>
    <w:p w:rsidR="00A15FF4" w:rsidP="00A15FF4">
      <w:pPr>
        <w:pStyle w:val="BodyText"/>
        <w:spacing w:line="240" w:lineRule="auto"/>
        <w:ind w:left="0"/>
        <w:jc w:val="right"/>
        <w:rPr>
          <w:b/>
        </w:rPr>
      </w:pPr>
    </w:p>
    <w:p w:rsidR="00F542D8">
      <w:pPr>
        <w:pStyle w:val="TOC1"/>
        <w:rPr>
          <w:rFonts w:asciiTheme="minorHAnsi" w:hAnsiTheme="minorHAnsi" w:cstheme="minorBidi"/>
          <w:caps w:val="0"/>
          <w:sz w:val="22"/>
          <w:lang w:bidi="he-IL"/>
        </w:rPr>
      </w:pPr>
      <w:r>
        <w:rPr>
          <w:b/>
        </w:rPr>
        <w:fldChar w:fldCharType="begin"/>
      </w:r>
      <w:r>
        <w:rPr>
          <w:b/>
        </w:rPr>
        <w:instrText xml:space="preserve"> TOC \o "1-3" \h \z \u </w:instrText>
      </w:r>
      <w:r>
        <w:rPr>
          <w:b/>
        </w:rPr>
        <w:fldChar w:fldCharType="separate"/>
      </w:r>
      <w:r>
        <w:fldChar w:fldCharType="begin"/>
      </w:r>
      <w:r>
        <w:instrText xml:space="preserve"> HYPERLINK \l "_Toc2939450" </w:instrText>
      </w:r>
      <w:r>
        <w:fldChar w:fldCharType="separate"/>
      </w:r>
      <w:r w:rsidRPr="00C17B6C">
        <w:rPr>
          <w:rStyle w:val="Hyperlink"/>
        </w:rPr>
        <w:t>I.</w:t>
      </w:r>
      <w:r>
        <w:rPr>
          <w:rFonts w:asciiTheme="minorHAnsi" w:hAnsiTheme="minorHAnsi" w:cstheme="minorBidi"/>
          <w:caps w:val="0"/>
          <w:sz w:val="22"/>
          <w:lang w:bidi="he-IL"/>
        </w:rPr>
        <w:tab/>
      </w:r>
      <w:r w:rsidRPr="00C17B6C">
        <w:rPr>
          <w:rStyle w:val="Hyperlink"/>
        </w:rPr>
        <w:t>INTRODUCTION</w:t>
      </w:r>
      <w:r>
        <w:rPr>
          <w:webHidden/>
        </w:rPr>
        <w:tab/>
      </w:r>
      <w:r>
        <w:rPr>
          <w:webHidden/>
        </w:rPr>
        <w:fldChar w:fldCharType="begin"/>
      </w:r>
      <w:r>
        <w:rPr>
          <w:webHidden/>
        </w:rPr>
        <w:instrText xml:space="preserve"> PAGEREF _Toc2939450 \h </w:instrText>
      </w:r>
      <w:r>
        <w:rPr>
          <w:webHidden/>
        </w:rPr>
        <w:fldChar w:fldCharType="separate"/>
      </w:r>
      <w:r>
        <w:rPr>
          <w:webHidden/>
        </w:rPr>
        <w:t>1</w:t>
      </w:r>
      <w:r>
        <w:rPr>
          <w:webHidden/>
        </w:rPr>
        <w:fldChar w:fldCharType="end"/>
      </w:r>
      <w:r>
        <w:fldChar w:fldCharType="end"/>
      </w:r>
    </w:p>
    <w:p w:rsidR="00F542D8">
      <w:pPr>
        <w:pStyle w:val="TOC1"/>
        <w:rPr>
          <w:rFonts w:asciiTheme="minorHAnsi" w:hAnsiTheme="minorHAnsi" w:cstheme="minorBidi"/>
          <w:caps w:val="0"/>
          <w:sz w:val="22"/>
          <w:lang w:bidi="he-IL"/>
        </w:rPr>
      </w:pPr>
      <w:r>
        <w:fldChar w:fldCharType="begin"/>
      </w:r>
      <w:r>
        <w:instrText xml:space="preserve"> HYPERLINK \l "_Toc2939451" </w:instrText>
      </w:r>
      <w:r>
        <w:fldChar w:fldCharType="separate"/>
      </w:r>
      <w:r w:rsidRPr="00C17B6C">
        <w:rPr>
          <w:rStyle w:val="Hyperlink"/>
        </w:rPr>
        <w:t>II.</w:t>
      </w:r>
      <w:r>
        <w:rPr>
          <w:rFonts w:asciiTheme="minorHAnsi" w:hAnsiTheme="minorHAnsi" w:cstheme="minorBidi"/>
          <w:caps w:val="0"/>
          <w:sz w:val="22"/>
          <w:lang w:bidi="he-IL"/>
        </w:rPr>
        <w:tab/>
      </w:r>
      <w:r w:rsidRPr="00C17B6C">
        <w:rPr>
          <w:rStyle w:val="Hyperlink"/>
        </w:rPr>
        <w:t>PURPOSE AND RECOMMENDATION</w:t>
      </w:r>
      <w:r>
        <w:rPr>
          <w:webHidden/>
        </w:rPr>
        <w:tab/>
      </w:r>
      <w:r>
        <w:rPr>
          <w:webHidden/>
        </w:rPr>
        <w:fldChar w:fldCharType="begin"/>
      </w:r>
      <w:r>
        <w:rPr>
          <w:webHidden/>
        </w:rPr>
        <w:instrText xml:space="preserve"> PAGEREF _Toc2939451 \h </w:instrText>
      </w:r>
      <w:r>
        <w:rPr>
          <w:webHidden/>
        </w:rPr>
        <w:fldChar w:fldCharType="separate"/>
      </w:r>
      <w:r>
        <w:rPr>
          <w:webHidden/>
        </w:rPr>
        <w:t>3</w:t>
      </w:r>
      <w:r>
        <w:rPr>
          <w:webHidden/>
        </w:rPr>
        <w:fldChar w:fldCharType="end"/>
      </w:r>
      <w:r>
        <w:fldChar w:fldCharType="end"/>
      </w:r>
    </w:p>
    <w:p w:rsidR="00F542D8">
      <w:pPr>
        <w:pStyle w:val="TOC1"/>
        <w:rPr>
          <w:rFonts w:asciiTheme="minorHAnsi" w:hAnsiTheme="minorHAnsi" w:cstheme="minorBidi"/>
          <w:caps w:val="0"/>
          <w:sz w:val="22"/>
          <w:lang w:bidi="he-IL"/>
        </w:rPr>
      </w:pPr>
      <w:r>
        <w:fldChar w:fldCharType="begin"/>
      </w:r>
      <w:r>
        <w:instrText xml:space="preserve"> HYPERLINK \l "_Toc2939452" </w:instrText>
      </w:r>
      <w:r>
        <w:fldChar w:fldCharType="separate"/>
      </w:r>
      <w:r w:rsidRPr="00C17B6C">
        <w:rPr>
          <w:rStyle w:val="Hyperlink"/>
        </w:rPr>
        <w:t>III.</w:t>
      </w:r>
      <w:r>
        <w:rPr>
          <w:rFonts w:asciiTheme="minorHAnsi" w:hAnsiTheme="minorHAnsi" w:cstheme="minorBidi"/>
          <w:caps w:val="0"/>
          <w:sz w:val="22"/>
          <w:lang w:bidi="he-IL"/>
        </w:rPr>
        <w:tab/>
      </w:r>
      <w:r w:rsidRPr="00C17B6C">
        <w:rPr>
          <w:rStyle w:val="Hyperlink"/>
        </w:rPr>
        <w:t>THE RATE OF RETURN ANALYSIS IN THE STAFF REPORT IS FLAWED AND UNREASONABLE</w:t>
      </w:r>
      <w:r>
        <w:rPr>
          <w:webHidden/>
        </w:rPr>
        <w:tab/>
      </w:r>
      <w:r>
        <w:rPr>
          <w:webHidden/>
        </w:rPr>
        <w:fldChar w:fldCharType="begin"/>
      </w:r>
      <w:r>
        <w:rPr>
          <w:webHidden/>
        </w:rPr>
        <w:instrText xml:space="preserve"> PAGEREF _Toc2939452 \h </w:instrText>
      </w:r>
      <w:r>
        <w:rPr>
          <w:webHidden/>
        </w:rPr>
        <w:fldChar w:fldCharType="separate"/>
      </w:r>
      <w:r>
        <w:rPr>
          <w:webHidden/>
        </w:rPr>
        <w:t>4</w:t>
      </w:r>
      <w:r>
        <w:rPr>
          <w:webHidden/>
        </w:rPr>
        <w:fldChar w:fldCharType="end"/>
      </w:r>
      <w:r>
        <w:fldChar w:fldCharType="end"/>
      </w:r>
    </w:p>
    <w:p w:rsidR="00F542D8">
      <w:pPr>
        <w:pStyle w:val="TOC1"/>
        <w:rPr>
          <w:rFonts w:asciiTheme="minorHAnsi" w:hAnsiTheme="minorHAnsi" w:cstheme="minorBidi"/>
          <w:caps w:val="0"/>
          <w:sz w:val="22"/>
          <w:lang w:bidi="he-IL"/>
        </w:rPr>
      </w:pPr>
      <w:r>
        <w:fldChar w:fldCharType="begin"/>
      </w:r>
      <w:r>
        <w:instrText xml:space="preserve"> HYPERLINK \l "_Toc2939453" </w:instrText>
      </w:r>
      <w:r>
        <w:fldChar w:fldCharType="separate"/>
      </w:r>
      <w:r w:rsidRPr="00C17B6C">
        <w:rPr>
          <w:rStyle w:val="Hyperlink"/>
        </w:rPr>
        <w:t>IV.</w:t>
      </w:r>
      <w:r>
        <w:rPr>
          <w:rFonts w:asciiTheme="minorHAnsi" w:hAnsiTheme="minorHAnsi" w:cstheme="minorBidi"/>
          <w:caps w:val="0"/>
          <w:sz w:val="22"/>
          <w:lang w:bidi="he-IL"/>
        </w:rPr>
        <w:tab/>
      </w:r>
      <w:r w:rsidRPr="00C17B6C">
        <w:rPr>
          <w:rStyle w:val="Hyperlink"/>
        </w:rPr>
        <w:t>A RATE OF RETURN OF 6.95% IS REASONABLE AND FAIR FOR SUBURBAN’S CUSTOMERS AND SHAREHOLDERS</w:t>
      </w:r>
      <w:r>
        <w:rPr>
          <w:webHidden/>
        </w:rPr>
        <w:tab/>
      </w:r>
      <w:r>
        <w:rPr>
          <w:webHidden/>
        </w:rPr>
        <w:fldChar w:fldCharType="begin"/>
      </w:r>
      <w:r>
        <w:rPr>
          <w:webHidden/>
        </w:rPr>
        <w:instrText xml:space="preserve"> PAGEREF _Toc2939453 \h </w:instrText>
      </w:r>
      <w:r>
        <w:rPr>
          <w:webHidden/>
        </w:rPr>
        <w:fldChar w:fldCharType="separate"/>
      </w:r>
      <w:r>
        <w:rPr>
          <w:webHidden/>
        </w:rPr>
        <w:t>13</w:t>
      </w:r>
      <w:r>
        <w:rPr>
          <w:webHidden/>
        </w:rPr>
        <w:fldChar w:fldCharType="end"/>
      </w:r>
      <w:r>
        <w:fldChar w:fldCharType="end"/>
      </w:r>
    </w:p>
    <w:p w:rsidR="00F542D8">
      <w:pPr>
        <w:pStyle w:val="TOC1"/>
        <w:rPr>
          <w:rFonts w:asciiTheme="minorHAnsi" w:hAnsiTheme="minorHAnsi" w:cstheme="minorBidi"/>
          <w:caps w:val="0"/>
          <w:sz w:val="22"/>
          <w:lang w:bidi="he-IL"/>
        </w:rPr>
      </w:pPr>
      <w:r>
        <w:fldChar w:fldCharType="begin"/>
      </w:r>
      <w:r>
        <w:instrText xml:space="preserve"> HYPERLINK \l "_Toc2939454" </w:instrText>
      </w:r>
      <w:r>
        <w:fldChar w:fldCharType="separate"/>
      </w:r>
      <w:r w:rsidRPr="00C17B6C">
        <w:rPr>
          <w:rStyle w:val="Hyperlink"/>
        </w:rPr>
        <w:t>V.</w:t>
      </w:r>
      <w:r>
        <w:rPr>
          <w:rFonts w:asciiTheme="minorHAnsi" w:hAnsiTheme="minorHAnsi" w:cstheme="minorBidi"/>
          <w:caps w:val="0"/>
          <w:sz w:val="22"/>
          <w:lang w:bidi="he-IL"/>
        </w:rPr>
        <w:tab/>
      </w:r>
      <w:r w:rsidRPr="00C17B6C">
        <w:rPr>
          <w:rStyle w:val="Hyperlink"/>
        </w:rPr>
        <w:t>CONCLUSION</w:t>
      </w:r>
      <w:r>
        <w:rPr>
          <w:webHidden/>
        </w:rPr>
        <w:tab/>
      </w:r>
      <w:r>
        <w:rPr>
          <w:webHidden/>
        </w:rPr>
        <w:fldChar w:fldCharType="begin"/>
      </w:r>
      <w:r>
        <w:rPr>
          <w:webHidden/>
        </w:rPr>
        <w:instrText xml:space="preserve"> PAGEREF _Toc2939454 \h </w:instrText>
      </w:r>
      <w:r>
        <w:rPr>
          <w:webHidden/>
        </w:rPr>
        <w:fldChar w:fldCharType="separate"/>
      </w:r>
      <w:r>
        <w:rPr>
          <w:webHidden/>
        </w:rPr>
        <w:t>15</w:t>
      </w:r>
      <w:r>
        <w:rPr>
          <w:webHidden/>
        </w:rPr>
        <w:fldChar w:fldCharType="end"/>
      </w:r>
      <w:r>
        <w:fldChar w:fldCharType="end"/>
      </w:r>
    </w:p>
    <w:p w:rsidR="00A15FF4" w:rsidRPr="00A15FF4" w:rsidP="005E0851">
      <w:pPr>
        <w:pStyle w:val="TOC1"/>
      </w:pPr>
      <w:r>
        <w:rPr>
          <w:b/>
          <w:iCs/>
        </w:rPr>
        <w:fldChar w:fldCharType="end"/>
      </w:r>
      <w:r w:rsidRPr="00A15FF4">
        <w:tab/>
      </w:r>
    </w:p>
    <w:p w:rsidR="00A15FF4" w:rsidP="00A15FF4">
      <w:pPr>
        <w:pStyle w:val="TOC1"/>
        <w:rPr>
          <w:b/>
        </w:rPr>
      </w:pPr>
    </w:p>
    <w:p w:rsidR="00A15FF4" w:rsidRPr="007B7E4E" w:rsidP="00A15FF4">
      <w:pPr>
        <w:pStyle w:val="TOC1"/>
        <w:rPr>
          <w:b/>
        </w:rPr>
      </w:pPr>
      <w:r w:rsidRPr="007B7E4E">
        <w:rPr>
          <w:b/>
        </w:rPr>
        <w:t>LIST OF ATTACHMENTS</w:t>
      </w:r>
    </w:p>
    <w:p w:rsidR="00A15FF4">
      <w:pPr>
        <w:pStyle w:val="BodyText"/>
        <w:ind w:left="0"/>
      </w:pPr>
      <w:r>
        <w:t>Attachment DJD-1</w:t>
      </w:r>
    </w:p>
    <w:p w:rsidR="00A15FF4">
      <w:pPr>
        <w:pStyle w:val="BodyText"/>
        <w:ind w:left="0"/>
      </w:pPr>
      <w:r>
        <w:t>Attachment DJD-2</w:t>
      </w:r>
    </w:p>
    <w:p w:rsidR="00A15FF4">
      <w:pPr>
        <w:pStyle w:val="BodyText"/>
        <w:ind w:left="0"/>
      </w:pPr>
    </w:p>
    <w:p w:rsidR="00A15FF4" w:rsidP="00A15FF4">
      <w:pPr>
        <w:pStyle w:val="BodyText"/>
        <w:ind w:left="0"/>
      </w:pPr>
    </w:p>
    <w:p w:rsidR="00A15FF4" w:rsidP="00A15FF4">
      <w:pPr>
        <w:pStyle w:val="BodyText"/>
        <w:ind w:left="0"/>
      </w:pPr>
    </w:p>
    <w:p w:rsidR="00A15FF4" w:rsidP="00A15FF4">
      <w:pPr>
        <w:pStyle w:val="BodyText"/>
        <w:ind w:left="0"/>
        <w:sectPr w:rsidSect="00A15FF4">
          <w:headerReference w:type="even" r:id="rId11"/>
          <w:headerReference w:type="default" r:id="rId12"/>
          <w:footerReference w:type="default" r:id="rId13"/>
          <w:headerReference w:type="first" r:id="rId14"/>
          <w:pgSz w:w="12240" w:h="15840" w:code="1"/>
          <w:pgMar w:top="1440" w:right="1800" w:bottom="1440" w:left="1800" w:header="720" w:footer="720" w:gutter="0"/>
          <w:pgNumType w:start="1"/>
          <w:cols w:space="720"/>
          <w:docGrid w:linePitch="360"/>
        </w:sectPr>
      </w:pPr>
    </w:p>
    <w:p w:rsidR="00A15FF4" w:rsidRPr="00C27B49" w:rsidP="00C27B49">
      <w:pPr>
        <w:pStyle w:val="Heading1"/>
      </w:pPr>
      <w:bookmarkStart w:id="9" w:name="_Toc2939450"/>
      <w:bookmarkStart w:id="10" w:name="_Toc469906196"/>
      <w:r w:rsidRPr="00C27B49">
        <w:t>I.</w:t>
      </w:r>
      <w:r w:rsidRPr="00C27B49">
        <w:tab/>
        <w:t>INTRODUCTION</w:t>
      </w:r>
      <w:bookmarkEnd w:id="9"/>
    </w:p>
    <w:p w:rsidR="00A15FF4" w:rsidRPr="00504249" w:rsidP="00A15FF4">
      <w:pPr>
        <w:spacing w:line="480" w:lineRule="auto"/>
        <w:rPr>
          <w:b/>
          <w:bCs/>
        </w:rPr>
      </w:pPr>
    </w:p>
    <w:p w:rsidR="00A15FF4" w:rsidRPr="00504249" w:rsidP="00A15FF4">
      <w:pPr>
        <w:spacing w:line="480" w:lineRule="auto"/>
        <w:rPr>
          <w:b/>
          <w:bCs/>
          <w:i/>
        </w:rPr>
      </w:pPr>
      <w:r w:rsidRPr="00504249">
        <w:rPr>
          <w:b/>
          <w:bCs/>
          <w:i/>
          <w:iCs/>
        </w:rPr>
        <w:t>Q1.</w:t>
      </w:r>
      <w:r w:rsidRPr="00504249">
        <w:rPr>
          <w:b/>
          <w:bCs/>
          <w:i/>
          <w:iCs/>
        </w:rPr>
        <w:tab/>
        <w:t>PLEASE STATE YOUR NAME, BUSINESS ADDRESS AND POSITION.</w:t>
      </w:r>
    </w:p>
    <w:p w:rsidR="00A15FF4" w:rsidRPr="004961C1" w:rsidP="00A15FF4">
      <w:pPr>
        <w:spacing w:line="480" w:lineRule="auto"/>
        <w:ind w:left="720" w:hanging="720"/>
      </w:pPr>
      <w:r w:rsidRPr="004961C1">
        <w:rPr>
          <w:b/>
          <w:i/>
          <w:iCs/>
        </w:rPr>
        <w:t>A1.</w:t>
      </w:r>
      <w:r w:rsidRPr="004961C1">
        <w:rPr>
          <w:i/>
          <w:iCs/>
        </w:rPr>
        <w:tab/>
      </w:r>
      <w:r w:rsidRPr="004961C1">
        <w:t xml:space="preserve">My name is Daniel J. Duann.  My business address is </w:t>
      </w:r>
      <w:r>
        <w:t>65 East State Street</w:t>
      </w:r>
      <w:r w:rsidRPr="004961C1">
        <w:t xml:space="preserve">, </w:t>
      </w:r>
      <w:r>
        <w:t>7</w:t>
      </w:r>
      <w:r w:rsidRPr="00366385">
        <w:rPr>
          <w:vertAlign w:val="superscript"/>
        </w:rPr>
        <w:t>th</w:t>
      </w:r>
      <w:r>
        <w:t xml:space="preserve"> Floor, Columbus,</w:t>
      </w:r>
      <w:r w:rsidRPr="004961C1">
        <w:t xml:space="preserve"> Ohio, 43215</w:t>
      </w:r>
      <w:r>
        <w:t>-4213</w:t>
      </w:r>
      <w:r w:rsidRPr="004961C1">
        <w:t xml:space="preserve">.  I am </w:t>
      </w:r>
      <w:r>
        <w:t xml:space="preserve">the Assistant Director of Analytical Services </w:t>
      </w:r>
      <w:r w:rsidRPr="004961C1">
        <w:t>with the Office of the Ohio Consumers’ Counsel (“OCC”).</w:t>
      </w:r>
    </w:p>
    <w:p w:rsidR="00A15FF4" w:rsidRPr="004961C1" w:rsidP="00A15FF4">
      <w:pPr>
        <w:autoSpaceDE w:val="0"/>
        <w:autoSpaceDN w:val="0"/>
        <w:adjustRightInd w:val="0"/>
        <w:spacing w:line="480" w:lineRule="auto"/>
        <w:ind w:left="720" w:hanging="720"/>
      </w:pPr>
    </w:p>
    <w:p w:rsidR="00A15FF4" w:rsidRPr="004961C1" w:rsidP="00A15FF4">
      <w:pPr>
        <w:autoSpaceDE w:val="0"/>
        <w:autoSpaceDN w:val="0"/>
        <w:adjustRightInd w:val="0"/>
        <w:spacing w:line="480" w:lineRule="auto"/>
        <w:ind w:left="720" w:hanging="720"/>
        <w:rPr>
          <w:b/>
          <w:bCs/>
        </w:rPr>
      </w:pPr>
      <w:r w:rsidRPr="004961C1">
        <w:rPr>
          <w:b/>
          <w:bCs/>
          <w:i/>
          <w:iCs/>
        </w:rPr>
        <w:t>Q2.</w:t>
      </w:r>
      <w:r w:rsidRPr="004961C1">
        <w:rPr>
          <w:b/>
          <w:bCs/>
          <w:i/>
          <w:iCs/>
        </w:rPr>
        <w:tab/>
        <w:t xml:space="preserve">PLEASE DESCRIBE YOUR PROFESSIONAL EXPERIENCE </w:t>
      </w:r>
      <w:r>
        <w:rPr>
          <w:b/>
          <w:bCs/>
          <w:i/>
          <w:iCs/>
        </w:rPr>
        <w:t xml:space="preserve">AND </w:t>
      </w:r>
      <w:r w:rsidRPr="004961C1">
        <w:rPr>
          <w:b/>
          <w:bCs/>
          <w:i/>
          <w:iCs/>
        </w:rPr>
        <w:t>EDUCATIONAL BACKGROUND</w:t>
      </w:r>
      <w:r>
        <w:rPr>
          <w:b/>
          <w:bCs/>
          <w:i/>
          <w:iCs/>
        </w:rPr>
        <w:t>.</w:t>
      </w:r>
    </w:p>
    <w:p w:rsidR="00A15FF4" w:rsidRPr="004961C1" w:rsidP="00A15FF4">
      <w:pPr>
        <w:autoSpaceDE w:val="0"/>
        <w:autoSpaceDN w:val="0"/>
        <w:adjustRightInd w:val="0"/>
        <w:spacing w:line="480" w:lineRule="auto"/>
        <w:ind w:left="720" w:hanging="720"/>
      </w:pPr>
      <w:r w:rsidRPr="004961C1">
        <w:rPr>
          <w:b/>
          <w:bCs/>
          <w:i/>
          <w:iCs/>
        </w:rPr>
        <w:t>A2.</w:t>
      </w:r>
      <w:r w:rsidRPr="004961C1">
        <w:rPr>
          <w:b/>
          <w:bCs/>
          <w:i/>
          <w:iCs/>
        </w:rPr>
        <w:tab/>
      </w:r>
      <w:r w:rsidRPr="004961C1">
        <w:t xml:space="preserve">I joined OCC in January 2008 as a Senior Regulatory Analyst. I was promoted to </w:t>
      </w:r>
      <w:r>
        <w:t xml:space="preserve">the position of Principal Regulatory Analyst </w:t>
      </w:r>
      <w:r w:rsidRPr="004961C1">
        <w:t>in November 2011</w:t>
      </w:r>
      <w:r>
        <w:t xml:space="preserve"> and to my current position in June 2018</w:t>
      </w:r>
      <w:r w:rsidRPr="004961C1">
        <w:t>. My primary responsibility is to assist OCC by participating in proceedings before the P</w:t>
      </w:r>
      <w:r>
        <w:t>ublic Utilities Commission of Ohio (“P</w:t>
      </w:r>
      <w:r w:rsidRPr="004961C1">
        <w:t>UCO</w:t>
      </w:r>
      <w:r>
        <w:t>”)</w:t>
      </w:r>
      <w:r w:rsidRPr="004961C1">
        <w:t xml:space="preserve">. These proceedings include rate cases, cost of capital, fuel </w:t>
      </w:r>
      <w:r>
        <w:t>adjustment clause</w:t>
      </w:r>
      <w:r w:rsidRPr="004961C1">
        <w:t xml:space="preserve">, </w:t>
      </w:r>
      <w:r>
        <w:t xml:space="preserve">standard service offer, </w:t>
      </w:r>
      <w:r w:rsidRPr="004961C1">
        <w:t>and other types of cases filed by Ohio’s electric, gas, and water utilities.</w:t>
      </w:r>
    </w:p>
    <w:p w:rsidR="00A15FF4" w:rsidP="00A15FF4">
      <w:pPr>
        <w:autoSpaceDE w:val="0"/>
        <w:autoSpaceDN w:val="0"/>
        <w:adjustRightInd w:val="0"/>
        <w:spacing w:line="480" w:lineRule="auto"/>
        <w:ind w:left="720" w:hanging="720"/>
      </w:pPr>
    </w:p>
    <w:p w:rsidR="00A15FF4" w:rsidRPr="004961C1" w:rsidP="00A15FF4">
      <w:pPr>
        <w:autoSpaceDE w:val="0"/>
        <w:autoSpaceDN w:val="0"/>
        <w:adjustRightInd w:val="0"/>
        <w:spacing w:line="480" w:lineRule="auto"/>
        <w:ind w:left="720"/>
      </w:pPr>
      <w:r>
        <w:t>Prior to join</w:t>
      </w:r>
      <w:r w:rsidR="00FA2173">
        <w:t>ing</w:t>
      </w:r>
      <w:r>
        <w:t xml:space="preserve"> OCC</w:t>
      </w:r>
      <w:r w:rsidR="00915DE1">
        <w:t xml:space="preserve">, </w:t>
      </w:r>
      <w:r w:rsidRPr="004961C1">
        <w:t>I was a Utility Examiner II in the Forecasting Section of the Ohio Division of Energy, Ohio Department of Development</w:t>
      </w:r>
      <w:r w:rsidR="00915DE1">
        <w:t xml:space="preserve"> from 1983 to 1985</w:t>
      </w:r>
      <w:r w:rsidR="0095649C">
        <w:t xml:space="preserve">. </w:t>
      </w:r>
      <w:r w:rsidRPr="004961C1">
        <w:t>The Forecasting Section was later transferred to the P</w:t>
      </w:r>
      <w:r>
        <w:t xml:space="preserve">UCO. </w:t>
      </w:r>
      <w:r w:rsidRPr="004961C1">
        <w:t xml:space="preserve">From 1985 to 1986, I was an Economist with the Center of Health Policy Research at the American Medical Association in Chicago. In late 1986, I joined the Illinois Commerce Commission as a Senior Economist at its Policy Analysis and Research Division. From 1987 to 1995, I was employed as a Senior Institute Economist at the National Regulatory Research Institute (“NRRI”) at The Ohio State University. NRRI </w:t>
      </w:r>
      <w:r>
        <w:t xml:space="preserve">has been </w:t>
      </w:r>
      <w:r w:rsidRPr="004961C1">
        <w:t xml:space="preserve">a policy research center funded by </w:t>
      </w:r>
      <w:r>
        <w:t xml:space="preserve">the National Association of Regulatory Utility Commissioners and </w:t>
      </w:r>
      <w:r w:rsidRPr="004961C1">
        <w:t xml:space="preserve">state public utilities commissions since 1976. NRRI is currently located in </w:t>
      </w:r>
      <w:r w:rsidR="0095649C">
        <w:t xml:space="preserve">Washington, DC </w:t>
      </w:r>
      <w:r w:rsidRPr="004961C1">
        <w:t>and is no longer a part of The Ohio State University. My work at NRRI involved research, authoring publications, and public services in many areas of utility regulation and energy policy. I was an independent consultant from 1996 to 2007.</w:t>
      </w:r>
    </w:p>
    <w:p w:rsidR="00A15FF4" w:rsidP="00A15FF4">
      <w:pPr>
        <w:autoSpaceDE w:val="0"/>
        <w:autoSpaceDN w:val="0"/>
        <w:adjustRightInd w:val="0"/>
        <w:spacing w:line="480" w:lineRule="auto"/>
        <w:ind w:left="720"/>
      </w:pPr>
    </w:p>
    <w:p w:rsidR="00A15FF4" w:rsidRPr="004961C1" w:rsidP="00A15FF4">
      <w:pPr>
        <w:autoSpaceDE w:val="0"/>
        <w:autoSpaceDN w:val="0"/>
        <w:adjustRightInd w:val="0"/>
        <w:spacing w:line="480" w:lineRule="auto"/>
        <w:ind w:left="720"/>
      </w:pPr>
      <w:r w:rsidRPr="004961C1">
        <w:t>I received my Ph.D. degree in Public Policy Analysis from the Wharton School, University of Pennsylvania</w:t>
      </w:r>
      <w:r>
        <w:t xml:space="preserve"> in 1984</w:t>
      </w:r>
      <w:r w:rsidRPr="004961C1">
        <w:t>. I also have an M.S. degree</w:t>
      </w:r>
      <w:r>
        <w:t xml:space="preserve"> </w:t>
      </w:r>
      <w:r w:rsidRPr="004961C1">
        <w:t>in Energy Management and Policy from the University of Pennsylvania, and an M.A. degree in Economics from the University of Kansas. I completed my undergraduate study in Business Administration at the National Taiwan University, Taiwan, Republic of China</w:t>
      </w:r>
      <w:r>
        <w:t xml:space="preserve"> in 1977</w:t>
      </w:r>
      <w:r w:rsidRPr="004961C1">
        <w:t>. I have been a Certified Rate of Return Analyst by the Society of Utility and Regulatory Financial Analysts since 2011.</w:t>
      </w:r>
    </w:p>
    <w:p w:rsidR="00A15FF4" w:rsidRPr="004961C1" w:rsidP="00A15FF4">
      <w:pPr>
        <w:autoSpaceDE w:val="0"/>
        <w:autoSpaceDN w:val="0"/>
        <w:adjustRightInd w:val="0"/>
        <w:spacing w:line="480" w:lineRule="auto"/>
      </w:pPr>
    </w:p>
    <w:p w:rsidR="00A15FF4" w:rsidRPr="004961C1" w:rsidP="00A15FF4">
      <w:pPr>
        <w:autoSpaceDE w:val="0"/>
        <w:autoSpaceDN w:val="0"/>
        <w:adjustRightInd w:val="0"/>
        <w:spacing w:line="480" w:lineRule="auto"/>
        <w:ind w:left="720" w:hanging="720"/>
      </w:pPr>
      <w:bookmarkStart w:id="11" w:name="_Hlk525717523"/>
      <w:r w:rsidRPr="004961C1">
        <w:rPr>
          <w:b/>
          <w:bCs/>
          <w:i/>
          <w:iCs/>
        </w:rPr>
        <w:t>Q3.</w:t>
      </w:r>
      <w:r w:rsidRPr="004961C1">
        <w:rPr>
          <w:b/>
          <w:bCs/>
          <w:i/>
          <w:iCs/>
        </w:rPr>
        <w:tab/>
        <w:t>HAVE YOU PREVIOUSLY SUBMITTED TESTIMONY OR TESTIFIED BEFORE THE PUBLIC UTILITIES COMMISSION OF OHIO?</w:t>
      </w:r>
    </w:p>
    <w:p w:rsidR="00FC07DD" w:rsidP="00A15FF4">
      <w:pPr>
        <w:autoSpaceDE w:val="0"/>
        <w:autoSpaceDN w:val="0"/>
        <w:adjustRightInd w:val="0"/>
        <w:spacing w:line="480" w:lineRule="auto"/>
        <w:ind w:left="720" w:hanging="720"/>
        <w:sectPr w:rsidSect="008345DA">
          <w:headerReference w:type="default" r:id="rId15"/>
          <w:footerReference w:type="default" r:id="rId16"/>
          <w:headerReference w:type="first" r:id="rId17"/>
          <w:footerReference w:type="first" r:id="rId18"/>
          <w:pgSz w:w="12240" w:h="15840" w:code="1"/>
          <w:pgMar w:top="1440" w:right="1440" w:bottom="1440" w:left="1440" w:header="720" w:footer="720" w:gutter="0"/>
          <w:lnNumType w:countBy="1"/>
          <w:pgNumType w:start="1"/>
          <w:cols w:space="720"/>
          <w:titlePg/>
          <w:docGrid w:linePitch="360"/>
        </w:sectPr>
      </w:pPr>
      <w:r w:rsidRPr="004961C1">
        <w:rPr>
          <w:b/>
          <w:bCs/>
          <w:i/>
          <w:iCs/>
        </w:rPr>
        <w:t>A3.</w:t>
      </w:r>
      <w:r w:rsidRPr="004961C1">
        <w:tab/>
        <w:t xml:space="preserve">Yes. I have submitted expert testimony or testified on behalf of the OCC before the PUCO in </w:t>
      </w:r>
      <w:r>
        <w:t xml:space="preserve">numerous </w:t>
      </w:r>
      <w:r w:rsidRPr="004961C1">
        <w:t>cases. A list of these cases is included in Attachment DJD-1.</w:t>
      </w:r>
    </w:p>
    <w:p w:rsidR="00A15FF4" w:rsidRPr="004961C1" w:rsidP="00425F44">
      <w:pPr>
        <w:keepNext/>
        <w:autoSpaceDE w:val="0"/>
        <w:autoSpaceDN w:val="0"/>
        <w:adjustRightInd w:val="0"/>
        <w:spacing w:line="480" w:lineRule="auto"/>
        <w:ind w:left="720" w:hanging="720"/>
      </w:pPr>
      <w:bookmarkEnd w:id="11"/>
      <w:r w:rsidRPr="004961C1">
        <w:rPr>
          <w:b/>
          <w:bCs/>
          <w:i/>
          <w:iCs/>
        </w:rPr>
        <w:t>Q4.</w:t>
      </w:r>
      <w:r w:rsidRPr="004961C1">
        <w:rPr>
          <w:b/>
          <w:bCs/>
          <w:i/>
          <w:iCs/>
        </w:rPr>
        <w:tab/>
        <w:t>HAVE YOU PREVIOUSLY TESTIFIED BEFORE OTHER REGULATORY AGENCIES AND LEGISLATURES?</w:t>
      </w:r>
    </w:p>
    <w:p w:rsidR="00A15FF4" w:rsidRPr="004961C1" w:rsidP="00A15FF4">
      <w:pPr>
        <w:autoSpaceDE w:val="0"/>
        <w:autoSpaceDN w:val="0"/>
        <w:adjustRightInd w:val="0"/>
        <w:spacing w:line="480" w:lineRule="auto"/>
        <w:ind w:left="720" w:hanging="720"/>
        <w:rPr>
          <w:bCs/>
          <w:iCs/>
        </w:rPr>
      </w:pPr>
      <w:r w:rsidRPr="004961C1">
        <w:rPr>
          <w:b/>
          <w:bCs/>
          <w:i/>
          <w:iCs/>
        </w:rPr>
        <w:t>A4.</w:t>
      </w:r>
      <w:r w:rsidRPr="004961C1">
        <w:rPr>
          <w:b/>
          <w:bCs/>
          <w:i/>
          <w:iCs/>
        </w:rPr>
        <w:tab/>
      </w:r>
      <w:r w:rsidRPr="004961C1">
        <w:rPr>
          <w:bCs/>
          <w:iCs/>
        </w:rPr>
        <w:t xml:space="preserve">Yes. I have testified before the Illinois Commerce Commission </w:t>
      </w:r>
      <w:r>
        <w:rPr>
          <w:bCs/>
          <w:iCs/>
        </w:rPr>
        <w:t xml:space="preserve">in 1987 regarding the proposed divestiture of three nuclear power plants by Commonwealth Edison Company. I also testified before </w:t>
      </w:r>
      <w:r w:rsidRPr="004961C1">
        <w:rPr>
          <w:bCs/>
          <w:iCs/>
        </w:rPr>
        <w:t xml:space="preserve">the California </w:t>
      </w:r>
      <w:r>
        <w:rPr>
          <w:bCs/>
          <w:iCs/>
        </w:rPr>
        <w:t xml:space="preserve">State </w:t>
      </w:r>
      <w:r w:rsidRPr="004961C1">
        <w:rPr>
          <w:bCs/>
          <w:iCs/>
        </w:rPr>
        <w:t xml:space="preserve">Legislature </w:t>
      </w:r>
      <w:r>
        <w:rPr>
          <w:bCs/>
          <w:iCs/>
        </w:rPr>
        <w:t>(specifically, the Senate Committee on Energy and Public Utilities) in 1989 regarding proposed legislation banning “sweetheart deals” between electric utilities and their non-regulated affiliates (SB 769)</w:t>
      </w:r>
      <w:r w:rsidRPr="004961C1">
        <w:rPr>
          <w:bCs/>
          <w:iCs/>
        </w:rPr>
        <w:t>.</w:t>
      </w:r>
    </w:p>
    <w:p w:rsidR="00A15FF4" w:rsidP="00A15FF4">
      <w:pPr>
        <w:autoSpaceDE w:val="0"/>
        <w:autoSpaceDN w:val="0"/>
        <w:adjustRightInd w:val="0"/>
        <w:spacing w:line="480" w:lineRule="auto"/>
        <w:ind w:left="720" w:hanging="720"/>
        <w:rPr>
          <w:b/>
          <w:bCs/>
          <w:i/>
          <w:iCs/>
        </w:rPr>
      </w:pPr>
    </w:p>
    <w:p w:rsidR="00A15FF4" w:rsidRPr="004961C1" w:rsidP="00A15FF4">
      <w:pPr>
        <w:autoSpaceDE w:val="0"/>
        <w:autoSpaceDN w:val="0"/>
        <w:adjustRightInd w:val="0"/>
        <w:spacing w:line="480" w:lineRule="auto"/>
        <w:ind w:left="720" w:hanging="720"/>
      </w:pPr>
      <w:r w:rsidRPr="004961C1">
        <w:rPr>
          <w:b/>
          <w:bCs/>
          <w:i/>
          <w:iCs/>
        </w:rPr>
        <w:t>Q</w:t>
      </w:r>
      <w:r>
        <w:rPr>
          <w:b/>
          <w:bCs/>
          <w:i/>
          <w:iCs/>
        </w:rPr>
        <w:t>5</w:t>
      </w:r>
      <w:r w:rsidRPr="004961C1">
        <w:rPr>
          <w:b/>
          <w:bCs/>
          <w:i/>
          <w:iCs/>
        </w:rPr>
        <w:t>.</w:t>
      </w:r>
      <w:r w:rsidRPr="004961C1">
        <w:rPr>
          <w:b/>
          <w:bCs/>
          <w:i/>
          <w:iCs/>
        </w:rPr>
        <w:tab/>
        <w:t xml:space="preserve">HAVE YOU PREVIOUSLY </w:t>
      </w:r>
      <w:r>
        <w:rPr>
          <w:b/>
          <w:bCs/>
          <w:i/>
          <w:iCs/>
        </w:rPr>
        <w:t xml:space="preserve">PUBLISHED OR PRESENTED IN ACADEMIC JOURNALS, TRADE PUBLICATIONS, AND PROFESSIONAL CONFERENCES? </w:t>
      </w:r>
    </w:p>
    <w:p w:rsidR="00A15FF4" w:rsidP="00A15FF4">
      <w:pPr>
        <w:autoSpaceDE w:val="0"/>
        <w:autoSpaceDN w:val="0"/>
        <w:adjustRightInd w:val="0"/>
        <w:spacing w:line="480" w:lineRule="auto"/>
        <w:ind w:left="720" w:hanging="720"/>
        <w:rPr>
          <w:b/>
          <w:bCs/>
          <w:i/>
          <w:iCs/>
        </w:rPr>
      </w:pPr>
      <w:r w:rsidRPr="004961C1">
        <w:rPr>
          <w:b/>
          <w:bCs/>
          <w:i/>
          <w:iCs/>
        </w:rPr>
        <w:t>A</w:t>
      </w:r>
      <w:r>
        <w:rPr>
          <w:b/>
          <w:bCs/>
          <w:i/>
          <w:iCs/>
        </w:rPr>
        <w:t>5</w:t>
      </w:r>
      <w:r w:rsidRPr="004961C1">
        <w:rPr>
          <w:b/>
          <w:bCs/>
          <w:i/>
          <w:iCs/>
        </w:rPr>
        <w:t>.</w:t>
      </w:r>
      <w:r w:rsidRPr="004961C1">
        <w:tab/>
        <w:t xml:space="preserve">Yes. I have </w:t>
      </w:r>
      <w:r>
        <w:t>published</w:t>
      </w:r>
      <w:r w:rsidR="00FD05C8">
        <w:t xml:space="preserve"> </w:t>
      </w:r>
      <w:r>
        <w:t xml:space="preserve">and presented in </w:t>
      </w:r>
      <w:r w:rsidR="0095649C">
        <w:t xml:space="preserve">many </w:t>
      </w:r>
      <w:r>
        <w:t>academic journals, trade publications, and professional conferences on issues related to public utility regulation, energy policy, and alternative energy. T</w:t>
      </w:r>
      <w:r w:rsidRPr="004961C1">
        <w:t xml:space="preserve">hese </w:t>
      </w:r>
      <w:r>
        <w:t xml:space="preserve">publications and presentations are listed </w:t>
      </w:r>
      <w:r w:rsidRPr="004961C1">
        <w:t>in Attachment DJD-</w:t>
      </w:r>
      <w:r>
        <w:t>2</w:t>
      </w:r>
      <w:r w:rsidRPr="004961C1">
        <w:t>.</w:t>
      </w:r>
    </w:p>
    <w:p w:rsidR="00A15FF4" w:rsidP="00A15FF4">
      <w:pPr>
        <w:autoSpaceDE w:val="0"/>
        <w:autoSpaceDN w:val="0"/>
        <w:adjustRightInd w:val="0"/>
        <w:spacing w:line="480" w:lineRule="auto"/>
        <w:rPr>
          <w:b/>
          <w:bCs/>
          <w:iCs/>
        </w:rPr>
      </w:pPr>
    </w:p>
    <w:p w:rsidR="00A15FF4" w:rsidP="00C27B49">
      <w:pPr>
        <w:pStyle w:val="Heading1"/>
      </w:pPr>
      <w:bookmarkStart w:id="13" w:name="_Toc2939451"/>
      <w:r>
        <w:t>II.</w:t>
      </w:r>
      <w:r>
        <w:tab/>
        <w:t>PURPOSE AND RECOMMENDATION</w:t>
      </w:r>
      <w:bookmarkEnd w:id="13"/>
    </w:p>
    <w:p w:rsidR="00A15FF4" w:rsidRPr="004961C1" w:rsidP="00A15FF4">
      <w:pPr>
        <w:autoSpaceDE w:val="0"/>
        <w:autoSpaceDN w:val="0"/>
        <w:adjustRightInd w:val="0"/>
        <w:spacing w:line="480" w:lineRule="auto"/>
        <w:rPr>
          <w:b/>
          <w:bCs/>
          <w:iCs/>
        </w:rPr>
      </w:pPr>
    </w:p>
    <w:p w:rsidR="00A15FF4" w:rsidRPr="004961C1" w:rsidP="00A15FF4">
      <w:pPr>
        <w:autoSpaceDE w:val="0"/>
        <w:autoSpaceDN w:val="0"/>
        <w:adjustRightInd w:val="0"/>
        <w:spacing w:line="480" w:lineRule="auto"/>
        <w:ind w:left="720" w:hanging="720"/>
        <w:rPr>
          <w:b/>
          <w:bCs/>
          <w:i/>
          <w:iCs/>
        </w:rPr>
      </w:pPr>
      <w:r w:rsidRPr="004961C1">
        <w:rPr>
          <w:b/>
          <w:bCs/>
          <w:i/>
          <w:iCs/>
        </w:rPr>
        <w:t>Q</w:t>
      </w:r>
      <w:r>
        <w:rPr>
          <w:b/>
          <w:bCs/>
          <w:i/>
          <w:iCs/>
        </w:rPr>
        <w:t>6</w:t>
      </w:r>
      <w:r w:rsidRPr="004961C1">
        <w:rPr>
          <w:b/>
          <w:bCs/>
          <w:i/>
          <w:iCs/>
        </w:rPr>
        <w:t>.</w:t>
      </w:r>
      <w:r w:rsidRPr="004961C1">
        <w:rPr>
          <w:b/>
          <w:bCs/>
          <w:i/>
          <w:iCs/>
        </w:rPr>
        <w:tab/>
        <w:t>WHAT IS THE PURPOSE OF YOUR TESTIMONY?</w:t>
      </w:r>
    </w:p>
    <w:p w:rsidR="00A15FF4" w:rsidP="00C27B49">
      <w:pPr>
        <w:spacing w:line="480" w:lineRule="auto"/>
        <w:ind w:left="720" w:hanging="720"/>
      </w:pPr>
      <w:r w:rsidRPr="004961C1">
        <w:rPr>
          <w:b/>
          <w:bCs/>
          <w:i/>
        </w:rPr>
        <w:t>A</w:t>
      </w:r>
      <w:r>
        <w:rPr>
          <w:b/>
          <w:bCs/>
          <w:i/>
        </w:rPr>
        <w:t>6</w:t>
      </w:r>
      <w:r w:rsidRPr="004961C1">
        <w:rPr>
          <w:b/>
          <w:bCs/>
          <w:i/>
        </w:rPr>
        <w:t>.</w:t>
      </w:r>
      <w:r w:rsidRPr="004961C1">
        <w:tab/>
      </w:r>
      <w:r w:rsidR="00635B0E">
        <w:t>M</w:t>
      </w:r>
      <w:r w:rsidRPr="004961C1">
        <w:t xml:space="preserve">y testimony </w:t>
      </w:r>
      <w:r w:rsidR="004648E3">
        <w:t>explain</w:t>
      </w:r>
      <w:r w:rsidR="00D23907">
        <w:t>s</w:t>
      </w:r>
      <w:r w:rsidR="004648E3">
        <w:t xml:space="preserve"> and support</w:t>
      </w:r>
      <w:r w:rsidR="00D23907">
        <w:t>s</w:t>
      </w:r>
      <w:r w:rsidR="004648E3">
        <w:t xml:space="preserve"> </w:t>
      </w:r>
      <w:r w:rsidR="00FD05C8">
        <w:t xml:space="preserve">three </w:t>
      </w:r>
      <w:r w:rsidR="004648E3">
        <w:t xml:space="preserve">OCC </w:t>
      </w:r>
      <w:r w:rsidR="00635B0E">
        <w:t>O</w:t>
      </w:r>
      <w:r w:rsidR="004648E3">
        <w:t>bjections (</w:t>
      </w:r>
      <w:r w:rsidRPr="005C4C07" w:rsidR="004648E3">
        <w:t>OCC Objections</w:t>
      </w:r>
      <w:r w:rsidR="002B334A">
        <w:t xml:space="preserve"> 1</w:t>
      </w:r>
      <w:r w:rsidRPr="002B334A" w:rsidR="004648E3">
        <w:t xml:space="preserve"> to </w:t>
      </w:r>
      <w:r w:rsidR="00425F44">
        <w:t>3)</w:t>
      </w:r>
      <w:r w:rsidR="004648E3">
        <w:t xml:space="preserve"> to the rate of return analysis in the Staff Report (“Staff Report”) </w:t>
      </w:r>
      <w:r w:rsidR="00FD05C8">
        <w:t>filed on February 6, 2019 in this proceeding.</w:t>
      </w:r>
      <w:r>
        <w:rPr>
          <w:rStyle w:val="FootnoteReference"/>
        </w:rPr>
        <w:footnoteReference w:id="2"/>
      </w:r>
      <w:r w:rsidR="00FD05C8">
        <w:t xml:space="preserve"> </w:t>
      </w:r>
      <w:r w:rsidR="00915DE1">
        <w:t>M</w:t>
      </w:r>
      <w:r w:rsidR="0095649C">
        <w:t xml:space="preserve">y testimony will </w:t>
      </w:r>
      <w:r w:rsidR="00915DE1">
        <w:t xml:space="preserve">also </w:t>
      </w:r>
      <w:r w:rsidRPr="004961C1">
        <w:t xml:space="preserve">explain and support </w:t>
      </w:r>
      <w:r w:rsidR="00A63A7A">
        <w:t xml:space="preserve">OCC’s </w:t>
      </w:r>
      <w:r w:rsidR="00915DE1">
        <w:t xml:space="preserve">recommendation </w:t>
      </w:r>
      <w:r w:rsidR="00AC3FC7">
        <w:t xml:space="preserve">for </w:t>
      </w:r>
      <w:r w:rsidR="00A63A7A">
        <w:t xml:space="preserve">a </w:t>
      </w:r>
      <w:r w:rsidR="00635B0E">
        <w:t xml:space="preserve">just and reasonable </w:t>
      </w:r>
      <w:r w:rsidR="004648E3">
        <w:t xml:space="preserve">rate of return </w:t>
      </w:r>
      <w:r w:rsidR="00635B0E">
        <w:t xml:space="preserve">to be used </w:t>
      </w:r>
      <w:r w:rsidR="004648E3">
        <w:t xml:space="preserve">in setting the rates </w:t>
      </w:r>
      <w:r w:rsidR="00D20D6F">
        <w:t>for</w:t>
      </w:r>
      <w:r w:rsidR="00A63A7A">
        <w:t xml:space="preserve"> </w:t>
      </w:r>
      <w:r w:rsidR="004648E3">
        <w:t xml:space="preserve">base distribution service and related riders. </w:t>
      </w:r>
    </w:p>
    <w:p w:rsidR="004648E3" w:rsidP="00A15FF4">
      <w:pPr>
        <w:spacing w:line="480" w:lineRule="auto"/>
        <w:ind w:left="720" w:hanging="720"/>
      </w:pPr>
    </w:p>
    <w:p w:rsidR="00A15FF4" w:rsidP="00A15FF4">
      <w:pPr>
        <w:spacing w:line="480" w:lineRule="auto"/>
        <w:ind w:left="720" w:hanging="720"/>
        <w:rPr>
          <w:b/>
          <w:i/>
        </w:rPr>
      </w:pPr>
      <w:r w:rsidRPr="004961C1">
        <w:rPr>
          <w:b/>
          <w:bCs/>
          <w:i/>
          <w:iCs/>
        </w:rPr>
        <w:t>Q</w:t>
      </w:r>
      <w:r>
        <w:rPr>
          <w:b/>
          <w:bCs/>
          <w:i/>
          <w:iCs/>
        </w:rPr>
        <w:t>7</w:t>
      </w:r>
      <w:r w:rsidRPr="004961C1">
        <w:rPr>
          <w:b/>
          <w:bCs/>
          <w:i/>
          <w:iCs/>
        </w:rPr>
        <w:t>.</w:t>
      </w:r>
      <w:r w:rsidRPr="004961C1">
        <w:rPr>
          <w:b/>
          <w:bCs/>
          <w:i/>
          <w:iCs/>
        </w:rPr>
        <w:tab/>
      </w:r>
      <w:r>
        <w:rPr>
          <w:b/>
          <w:bCs/>
          <w:i/>
          <w:iCs/>
        </w:rPr>
        <w:t xml:space="preserve">PLEASE SUMMARIZE YOUR </w:t>
      </w:r>
      <w:r w:rsidRPr="004961C1">
        <w:rPr>
          <w:b/>
          <w:i/>
        </w:rPr>
        <w:t>RECOMMENDATION</w:t>
      </w:r>
      <w:r>
        <w:rPr>
          <w:b/>
          <w:i/>
        </w:rPr>
        <w:t>?</w:t>
      </w:r>
    </w:p>
    <w:p w:rsidR="004648E3" w:rsidP="004648E3">
      <w:pPr>
        <w:widowControl w:val="0"/>
        <w:spacing w:line="480" w:lineRule="auto"/>
        <w:ind w:left="720" w:hanging="720"/>
        <w:rPr>
          <w:kern w:val="2"/>
          <w:lang w:eastAsia="zh-TW"/>
        </w:rPr>
      </w:pPr>
      <w:r w:rsidRPr="00D81758">
        <w:rPr>
          <w:b/>
          <w:i/>
        </w:rPr>
        <w:t>A7.</w:t>
      </w:r>
      <w:r>
        <w:tab/>
        <w:t xml:space="preserve">I recommend </w:t>
      </w:r>
      <w:r w:rsidR="00D23907">
        <w:t xml:space="preserve">that </w:t>
      </w:r>
      <w:r>
        <w:t xml:space="preserve">the PUCO </w:t>
      </w:r>
      <w:r w:rsidR="00475BA6">
        <w:t>adopt OCC’s Objection</w:t>
      </w:r>
      <w:r w:rsidR="00EF4086">
        <w:t>s</w:t>
      </w:r>
      <w:r w:rsidR="00475BA6">
        <w:t xml:space="preserve"> </w:t>
      </w:r>
      <w:r w:rsidR="002B334A">
        <w:t xml:space="preserve">1 </w:t>
      </w:r>
      <w:r w:rsidRPr="002B334A" w:rsidR="00475BA6">
        <w:t xml:space="preserve">to </w:t>
      </w:r>
      <w:r w:rsidRPr="00425F44" w:rsidR="002B334A">
        <w:t>3</w:t>
      </w:r>
      <w:r w:rsidR="00475BA6">
        <w:t xml:space="preserve"> to the Staff Report</w:t>
      </w:r>
      <w:r w:rsidR="007D128F">
        <w:t>.</w:t>
      </w:r>
      <w:r w:rsidR="00475BA6">
        <w:t xml:space="preserve"> </w:t>
      </w:r>
      <w:r w:rsidR="007D128F">
        <w:t xml:space="preserve">The PUCO should </w:t>
      </w:r>
      <w:r>
        <w:t>reject the</w:t>
      </w:r>
      <w:r w:rsidR="007D128F">
        <w:t xml:space="preserve"> Staff Report’s recommended</w:t>
      </w:r>
      <w:r>
        <w:t xml:space="preserve"> </w:t>
      </w:r>
      <w:r w:rsidR="00941C2E">
        <w:t xml:space="preserve">rate of return </w:t>
      </w:r>
      <w:r w:rsidR="00DE318D">
        <w:t xml:space="preserve">(“ROR”) </w:t>
      </w:r>
      <w:r w:rsidR="00A63A7A">
        <w:t xml:space="preserve">of 7.22% </w:t>
      </w:r>
      <w:r w:rsidR="00DE318D">
        <w:t xml:space="preserve">for Suburban Natural Gas Company (“Suburban”) </w:t>
      </w:r>
      <w:r w:rsidR="00635B0E">
        <w:t xml:space="preserve">as </w:t>
      </w:r>
      <w:r w:rsidR="00D20D6F">
        <w:t>unjust</w:t>
      </w:r>
      <w:r w:rsidR="00635B0E">
        <w:t xml:space="preserve"> and unreasonable</w:t>
      </w:r>
      <w:r w:rsidR="00475BA6">
        <w:t xml:space="preserve">. </w:t>
      </w:r>
      <w:r>
        <w:t xml:space="preserve">I recommend </w:t>
      </w:r>
      <w:r w:rsidR="00475BA6">
        <w:t xml:space="preserve">that the </w:t>
      </w:r>
      <w:r w:rsidR="00DE318D">
        <w:t xml:space="preserve">PUCO adopt a cost of equity or a </w:t>
      </w:r>
      <w:r w:rsidR="00635B0E">
        <w:t>return on common equity</w:t>
      </w:r>
      <w:r w:rsidR="00DE318D">
        <w:t xml:space="preserve"> (“ROE”) </w:t>
      </w:r>
      <w:r w:rsidR="007D128F">
        <w:t xml:space="preserve">for Suburban </w:t>
      </w:r>
      <w:r w:rsidR="00FA2173">
        <w:t>th</w:t>
      </w:r>
      <w:r w:rsidR="000D0FDD">
        <w:t>at</w:t>
      </w:r>
      <w:r w:rsidR="00FA2173">
        <w:t xml:space="preserve"> is </w:t>
      </w:r>
      <w:r w:rsidR="00635B0E">
        <w:t>no higher than 9.5</w:t>
      </w:r>
      <w:r w:rsidR="00D76A66">
        <w:t>9</w:t>
      </w:r>
      <w:r w:rsidR="00635B0E">
        <w:t xml:space="preserve">% and </w:t>
      </w:r>
      <w:r w:rsidR="00FA2173">
        <w:t>a</w:t>
      </w:r>
      <w:r w:rsidR="00635B0E">
        <w:t xml:space="preserve"> </w:t>
      </w:r>
      <w:r w:rsidR="00475BA6">
        <w:t xml:space="preserve">rate of return </w:t>
      </w:r>
      <w:r w:rsidR="00FA2173">
        <w:t xml:space="preserve">that is </w:t>
      </w:r>
      <w:r w:rsidR="00475BA6">
        <w:t>no higher than 6.9</w:t>
      </w:r>
      <w:r w:rsidR="00D76A66">
        <w:t>5</w:t>
      </w:r>
      <w:r w:rsidR="00475BA6">
        <w:t>%</w:t>
      </w:r>
      <w:r w:rsidR="00635B0E">
        <w:t xml:space="preserve"> in order to protect </w:t>
      </w:r>
      <w:r w:rsidR="000D0FDD">
        <w:t xml:space="preserve">its </w:t>
      </w:r>
      <w:r w:rsidR="00635B0E">
        <w:t xml:space="preserve">customers from paying </w:t>
      </w:r>
      <w:r w:rsidR="00D20D6F">
        <w:t>unjust</w:t>
      </w:r>
      <w:r w:rsidR="00536DBC">
        <w:t xml:space="preserve"> and unreasonable rates.</w:t>
      </w:r>
      <w:r w:rsidR="00475BA6">
        <w:t xml:space="preserve"> </w:t>
      </w:r>
    </w:p>
    <w:p w:rsidR="00A15FF4" w:rsidP="00941C2E">
      <w:pPr>
        <w:spacing w:line="480" w:lineRule="auto"/>
        <w:ind w:left="720" w:right="720" w:hanging="720"/>
      </w:pPr>
    </w:p>
    <w:p w:rsidR="00941C2E" w:rsidRPr="00A20D8F" w:rsidP="00C27B49">
      <w:pPr>
        <w:pStyle w:val="Heading1"/>
      </w:pPr>
      <w:bookmarkStart w:id="14" w:name="_Toc502125223"/>
      <w:bookmarkStart w:id="15" w:name="_Toc516746377"/>
      <w:bookmarkStart w:id="16" w:name="_Toc517269602"/>
      <w:bookmarkStart w:id="17" w:name="_Toc517704637"/>
      <w:bookmarkStart w:id="18" w:name="_Toc2939452"/>
      <w:r w:rsidRPr="00A20D8F">
        <w:t>III.</w:t>
      </w:r>
      <w:r w:rsidRPr="00A20D8F">
        <w:tab/>
        <w:t xml:space="preserve">THE </w:t>
      </w:r>
      <w:r>
        <w:t xml:space="preserve">RATE OF RETURN ANALYSIS IN THE </w:t>
      </w:r>
      <w:r w:rsidRPr="00A20D8F">
        <w:t>STAFF REPORT</w:t>
      </w:r>
      <w:bookmarkEnd w:id="14"/>
      <w:r>
        <w:t xml:space="preserve"> IS FLAWED AND UNREASONABLE</w:t>
      </w:r>
      <w:bookmarkEnd w:id="15"/>
      <w:bookmarkEnd w:id="16"/>
      <w:bookmarkEnd w:id="17"/>
      <w:bookmarkEnd w:id="18"/>
    </w:p>
    <w:p w:rsidR="00475BA6" w:rsidP="00941C2E">
      <w:pPr>
        <w:tabs>
          <w:tab w:val="num" w:pos="720"/>
        </w:tabs>
        <w:spacing w:line="480" w:lineRule="auto"/>
        <w:ind w:left="720" w:hanging="720"/>
        <w:rPr>
          <w:b/>
          <w:bCs/>
          <w:i/>
        </w:rPr>
      </w:pPr>
    </w:p>
    <w:p w:rsidR="00941C2E" w:rsidRPr="0020191C" w:rsidP="00941C2E">
      <w:pPr>
        <w:tabs>
          <w:tab w:val="num" w:pos="720"/>
        </w:tabs>
        <w:spacing w:line="480" w:lineRule="auto"/>
        <w:ind w:left="720" w:hanging="720"/>
        <w:rPr>
          <w:b/>
          <w:bCs/>
          <w:i/>
        </w:rPr>
      </w:pPr>
      <w:r w:rsidRPr="0020191C">
        <w:rPr>
          <w:b/>
          <w:bCs/>
          <w:i/>
        </w:rPr>
        <w:t>Q</w:t>
      </w:r>
      <w:r>
        <w:rPr>
          <w:b/>
          <w:bCs/>
          <w:i/>
        </w:rPr>
        <w:t>8</w:t>
      </w:r>
      <w:r w:rsidRPr="0020191C">
        <w:rPr>
          <w:b/>
          <w:bCs/>
          <w:i/>
        </w:rPr>
        <w:t>.</w:t>
      </w:r>
      <w:r w:rsidRPr="0020191C">
        <w:rPr>
          <w:bCs/>
        </w:rPr>
        <w:tab/>
      </w:r>
      <w:r w:rsidRPr="0020191C">
        <w:rPr>
          <w:b/>
          <w:bCs/>
          <w:i/>
        </w:rPr>
        <w:t xml:space="preserve">WHAT </w:t>
      </w:r>
      <w:r>
        <w:rPr>
          <w:b/>
          <w:bCs/>
          <w:i/>
        </w:rPr>
        <w:t xml:space="preserve">ARE </w:t>
      </w:r>
      <w:r w:rsidRPr="0020191C">
        <w:rPr>
          <w:b/>
          <w:bCs/>
          <w:i/>
        </w:rPr>
        <w:t xml:space="preserve">THE REGULATORY PRINCIPLES </w:t>
      </w:r>
      <w:r>
        <w:rPr>
          <w:b/>
          <w:bCs/>
          <w:i/>
        </w:rPr>
        <w:t xml:space="preserve">COMMONLY USED </w:t>
      </w:r>
      <w:r w:rsidRPr="0020191C">
        <w:rPr>
          <w:b/>
          <w:bCs/>
          <w:i/>
        </w:rPr>
        <w:t xml:space="preserve">IN SETTING A REASONABLE RATE OF </w:t>
      </w:r>
      <w:r>
        <w:rPr>
          <w:b/>
          <w:bCs/>
          <w:i/>
        </w:rPr>
        <w:t>RETURN FOR A REGULATED UTILITY SUCH AS</w:t>
      </w:r>
      <w:r w:rsidR="000D0FDD">
        <w:rPr>
          <w:b/>
          <w:bCs/>
          <w:i/>
        </w:rPr>
        <w:t xml:space="preserve"> SUBURBAN</w:t>
      </w:r>
      <w:r>
        <w:rPr>
          <w:b/>
          <w:bCs/>
          <w:i/>
        </w:rPr>
        <w:t>?</w:t>
      </w:r>
    </w:p>
    <w:p w:rsidR="00D23907" w:rsidP="00941C2E">
      <w:pPr>
        <w:spacing w:line="480" w:lineRule="auto"/>
        <w:ind w:left="720" w:hanging="720"/>
        <w:rPr>
          <w:bCs/>
        </w:rPr>
      </w:pPr>
      <w:r w:rsidRPr="0020191C">
        <w:rPr>
          <w:b/>
          <w:bCs/>
          <w:i/>
        </w:rPr>
        <w:t>A</w:t>
      </w:r>
      <w:r>
        <w:rPr>
          <w:b/>
          <w:bCs/>
          <w:i/>
        </w:rPr>
        <w:t>8</w:t>
      </w:r>
      <w:r w:rsidRPr="0020191C">
        <w:rPr>
          <w:b/>
          <w:bCs/>
          <w:i/>
        </w:rPr>
        <w:t>.</w:t>
      </w:r>
      <w:r w:rsidRPr="0020191C">
        <w:rPr>
          <w:b/>
          <w:bCs/>
          <w:i/>
        </w:rPr>
        <w:tab/>
      </w:r>
      <w:r>
        <w:rPr>
          <w:bCs/>
        </w:rPr>
        <w:t xml:space="preserve">Based on my experience and knowledge, the </w:t>
      </w:r>
      <w:r w:rsidRPr="0020191C">
        <w:rPr>
          <w:bCs/>
        </w:rPr>
        <w:t xml:space="preserve">regulatory principles </w:t>
      </w:r>
      <w:r>
        <w:rPr>
          <w:bCs/>
        </w:rPr>
        <w:t xml:space="preserve">in setting </w:t>
      </w:r>
      <w:r w:rsidRPr="0020191C">
        <w:rPr>
          <w:bCs/>
        </w:rPr>
        <w:t xml:space="preserve">a reasonable rate of return </w:t>
      </w:r>
      <w:r>
        <w:rPr>
          <w:bCs/>
        </w:rPr>
        <w:t xml:space="preserve">(and its associated components such as return on equity, cost of debt, and capital structure) for a regulated utility in the United States </w:t>
      </w:r>
      <w:r w:rsidRPr="0020191C">
        <w:rPr>
          <w:bCs/>
        </w:rPr>
        <w:t>are well</w:t>
      </w:r>
      <w:r w:rsidR="00425F44">
        <w:rPr>
          <w:bCs/>
        </w:rPr>
        <w:t xml:space="preserve"> </w:t>
      </w:r>
      <w:r w:rsidRPr="0020191C">
        <w:rPr>
          <w:bCs/>
        </w:rPr>
        <w:t xml:space="preserve">established and recognized. </w:t>
      </w:r>
      <w:r>
        <w:rPr>
          <w:bCs/>
        </w:rPr>
        <w:t xml:space="preserve">There is </w:t>
      </w:r>
      <w:r w:rsidR="00BA275F">
        <w:rPr>
          <w:bCs/>
        </w:rPr>
        <w:t>widespread agreement</w:t>
      </w:r>
      <w:r>
        <w:rPr>
          <w:bCs/>
        </w:rPr>
        <w:t xml:space="preserve"> regarding these fundamental regulatory principles. </w:t>
      </w:r>
    </w:p>
    <w:p w:rsidR="00941C2E" w:rsidRPr="0020191C" w:rsidP="00D23907">
      <w:pPr>
        <w:spacing w:line="480" w:lineRule="auto"/>
        <w:ind w:left="720"/>
        <w:rPr>
          <w:bCs/>
        </w:rPr>
      </w:pPr>
      <w:r>
        <w:rPr>
          <w:bCs/>
        </w:rPr>
        <w:t>These fundamental regulatory principles</w:t>
      </w:r>
      <w:r w:rsidR="009146DD">
        <w:rPr>
          <w:bCs/>
        </w:rPr>
        <w:t>, based on my understanding,</w:t>
      </w:r>
      <w:r>
        <w:rPr>
          <w:bCs/>
        </w:rPr>
        <w:t xml:space="preserve"> </w:t>
      </w:r>
      <w:r>
        <w:rPr>
          <w:bCs/>
        </w:rPr>
        <w:t xml:space="preserve">are summarized here: </w:t>
      </w:r>
    </w:p>
    <w:p w:rsidR="00941C2E" w:rsidRPr="0020191C" w:rsidP="00941C2E">
      <w:pPr>
        <w:widowControl w:val="0"/>
        <w:numPr>
          <w:ilvl w:val="0"/>
          <w:numId w:val="4"/>
        </w:numPr>
        <w:spacing w:line="480" w:lineRule="auto"/>
        <w:ind w:left="2160" w:right="720" w:hanging="720"/>
        <w:rPr>
          <w:bCs/>
          <w:kern w:val="2"/>
          <w:szCs w:val="22"/>
          <w:lang w:eastAsia="zh-TW"/>
        </w:rPr>
      </w:pPr>
      <w:r w:rsidRPr="0020191C">
        <w:rPr>
          <w:bCs/>
          <w:kern w:val="2"/>
          <w:szCs w:val="22"/>
          <w:lang w:eastAsia="zh-TW"/>
        </w:rPr>
        <w:t xml:space="preserve">The resulting rates </w:t>
      </w:r>
      <w:r>
        <w:rPr>
          <w:bCs/>
          <w:kern w:val="2"/>
          <w:szCs w:val="22"/>
          <w:lang w:eastAsia="zh-TW"/>
        </w:rPr>
        <w:t xml:space="preserve">(as set based on the authorized rate of return) </w:t>
      </w:r>
      <w:r w:rsidRPr="0020191C">
        <w:rPr>
          <w:bCs/>
          <w:kern w:val="2"/>
          <w:szCs w:val="22"/>
          <w:lang w:eastAsia="zh-TW"/>
        </w:rPr>
        <w:t>paid by the customers of the regulated utility should be just and reasonable;</w:t>
      </w:r>
    </w:p>
    <w:p w:rsidR="00941C2E" w:rsidRPr="0020191C" w:rsidP="00941C2E">
      <w:pPr>
        <w:widowControl w:val="0"/>
        <w:numPr>
          <w:ilvl w:val="0"/>
          <w:numId w:val="4"/>
        </w:numPr>
        <w:spacing w:line="480" w:lineRule="auto"/>
        <w:ind w:left="2160" w:right="720" w:hanging="720"/>
        <w:rPr>
          <w:bCs/>
          <w:kern w:val="2"/>
          <w:szCs w:val="22"/>
          <w:lang w:eastAsia="zh-TW"/>
        </w:rPr>
      </w:pPr>
      <w:r w:rsidRPr="0020191C">
        <w:rPr>
          <w:bCs/>
          <w:kern w:val="2"/>
          <w:szCs w:val="22"/>
          <w:lang w:eastAsia="zh-TW"/>
        </w:rPr>
        <w:t>The regulated utility should have funds available to continue its normal course of business;</w:t>
      </w:r>
    </w:p>
    <w:p w:rsidR="00941C2E" w:rsidRPr="0020191C" w:rsidP="00941C2E">
      <w:pPr>
        <w:widowControl w:val="0"/>
        <w:numPr>
          <w:ilvl w:val="0"/>
          <w:numId w:val="4"/>
        </w:numPr>
        <w:spacing w:line="480" w:lineRule="auto"/>
        <w:ind w:left="2160" w:right="720" w:hanging="720"/>
        <w:rPr>
          <w:bCs/>
          <w:kern w:val="2"/>
          <w:szCs w:val="22"/>
          <w:lang w:eastAsia="zh-TW"/>
        </w:rPr>
      </w:pPr>
      <w:r w:rsidRPr="0020191C">
        <w:rPr>
          <w:bCs/>
          <w:kern w:val="2"/>
          <w:szCs w:val="22"/>
          <w:lang w:eastAsia="zh-TW"/>
        </w:rPr>
        <w:t xml:space="preserve">The regulated utility should have access to capital (both equity and debt) at </w:t>
      </w:r>
      <w:r w:rsidR="00BB016C">
        <w:rPr>
          <w:bCs/>
          <w:kern w:val="2"/>
          <w:szCs w:val="22"/>
          <w:lang w:eastAsia="zh-TW"/>
        </w:rPr>
        <w:t xml:space="preserve">a </w:t>
      </w:r>
      <w:r w:rsidRPr="0020191C">
        <w:rPr>
          <w:bCs/>
          <w:kern w:val="2"/>
          <w:szCs w:val="22"/>
          <w:lang w:eastAsia="zh-TW"/>
        </w:rPr>
        <w:t>reasonable cost under current market condition</w:t>
      </w:r>
      <w:r>
        <w:rPr>
          <w:bCs/>
          <w:kern w:val="2"/>
          <w:szCs w:val="22"/>
          <w:lang w:eastAsia="zh-TW"/>
        </w:rPr>
        <w:t>s</w:t>
      </w:r>
      <w:r w:rsidRPr="0020191C">
        <w:rPr>
          <w:bCs/>
          <w:kern w:val="2"/>
          <w:szCs w:val="22"/>
          <w:lang w:eastAsia="zh-TW"/>
        </w:rPr>
        <w:t>; and</w:t>
      </w:r>
    </w:p>
    <w:p w:rsidR="00941C2E" w:rsidRPr="005B33AD" w:rsidP="00941C2E">
      <w:pPr>
        <w:widowControl w:val="0"/>
        <w:numPr>
          <w:ilvl w:val="0"/>
          <w:numId w:val="4"/>
        </w:numPr>
        <w:spacing w:line="480" w:lineRule="auto"/>
        <w:ind w:left="2160" w:right="720" w:hanging="720"/>
        <w:rPr>
          <w:rFonts w:eastAsia="Times New Roman"/>
          <w:b/>
          <w:i/>
        </w:rPr>
      </w:pPr>
      <w:r w:rsidRPr="00454438">
        <w:rPr>
          <w:bCs/>
          <w:kern w:val="2"/>
          <w:szCs w:val="22"/>
          <w:lang w:eastAsia="zh-TW"/>
        </w:rPr>
        <w:t xml:space="preserve">The shareholders of the regulated utility should be provided the opportunity </w:t>
      </w:r>
      <w:r>
        <w:rPr>
          <w:bCs/>
          <w:kern w:val="2"/>
          <w:szCs w:val="22"/>
          <w:lang w:eastAsia="zh-TW"/>
        </w:rPr>
        <w:t xml:space="preserve">(not a guarantee) </w:t>
      </w:r>
      <w:r w:rsidRPr="00454438">
        <w:rPr>
          <w:bCs/>
          <w:kern w:val="2"/>
          <w:szCs w:val="22"/>
          <w:lang w:eastAsia="zh-TW"/>
        </w:rPr>
        <w:t>to earn a fair (but not excessive) return on their invested capital in comparison to other investments available.</w:t>
      </w:r>
    </w:p>
    <w:p w:rsidR="00941C2E" w:rsidP="00941C2E">
      <w:pPr>
        <w:widowControl w:val="0"/>
        <w:spacing w:line="480" w:lineRule="auto"/>
        <w:ind w:right="720"/>
        <w:rPr>
          <w:rFonts w:eastAsia="Times New Roman"/>
          <w:b/>
          <w:i/>
        </w:rPr>
      </w:pPr>
    </w:p>
    <w:p w:rsidR="00941C2E" w:rsidP="00941C2E">
      <w:pPr>
        <w:spacing w:line="480" w:lineRule="auto"/>
        <w:ind w:left="720" w:hanging="720"/>
        <w:rPr>
          <w:rFonts w:eastAsia="Times New Roman"/>
          <w:b/>
          <w:i/>
        </w:rPr>
      </w:pPr>
      <w:r>
        <w:rPr>
          <w:rFonts w:eastAsia="Times New Roman"/>
          <w:b/>
          <w:i/>
        </w:rPr>
        <w:t>Q9.</w:t>
      </w:r>
      <w:r>
        <w:rPr>
          <w:rFonts w:eastAsia="Times New Roman"/>
          <w:b/>
          <w:i/>
        </w:rPr>
        <w:tab/>
        <w:t>PLEASE SUMMARIZE THE RATE OF RETURN ANALYSIS IN THE STAFF REPORT.</w:t>
      </w:r>
    </w:p>
    <w:p w:rsidR="00E46D38" w:rsidP="00DE318D">
      <w:pPr>
        <w:spacing w:line="480" w:lineRule="auto"/>
        <w:ind w:left="720" w:hanging="720"/>
      </w:pPr>
      <w:r>
        <w:rPr>
          <w:rFonts w:eastAsia="Times New Roman"/>
          <w:b/>
          <w:i/>
        </w:rPr>
        <w:t>A9.</w:t>
      </w:r>
      <w:r>
        <w:rPr>
          <w:rFonts w:eastAsia="Times New Roman"/>
        </w:rPr>
        <w:tab/>
        <w:t xml:space="preserve">The </w:t>
      </w:r>
      <w:r w:rsidR="00536DBC">
        <w:rPr>
          <w:rFonts w:eastAsia="Times New Roman"/>
        </w:rPr>
        <w:t xml:space="preserve">PUCO </w:t>
      </w:r>
      <w:r>
        <w:t xml:space="preserve">Staff </w:t>
      </w:r>
      <w:r w:rsidR="00536DBC">
        <w:t>adopted the capital structure (52.25% debt and 47.75% equity) proposed by Suburban.</w:t>
      </w:r>
      <w:r>
        <w:rPr>
          <w:rStyle w:val="FootnoteReference"/>
        </w:rPr>
        <w:footnoteReference w:id="3"/>
      </w:r>
      <w:r w:rsidR="00536DBC">
        <w:t xml:space="preserve"> Staff also adopted the cost of debt (4.53%) proposed by</w:t>
      </w:r>
      <w:r w:rsidR="00BA275F">
        <w:t xml:space="preserve"> </w:t>
      </w:r>
      <w:r w:rsidR="0097772A">
        <w:t>Suburban</w:t>
      </w:r>
      <w:r w:rsidR="00536DBC">
        <w:t>.</w:t>
      </w:r>
      <w:r>
        <w:rPr>
          <w:rStyle w:val="FootnoteReference"/>
        </w:rPr>
        <w:footnoteReference w:id="4"/>
      </w:r>
      <w:r w:rsidR="00536DBC">
        <w:t xml:space="preserve"> The PUCO Staff believed</w:t>
      </w:r>
      <w:r w:rsidR="009146DD">
        <w:t>, for various reasons,</w:t>
      </w:r>
      <w:r w:rsidR="00536DBC">
        <w:t xml:space="preserve"> it was unable to use the traditional methods of </w:t>
      </w:r>
      <w:r>
        <w:t xml:space="preserve">Discounted Cash Flow </w:t>
      </w:r>
      <w:r w:rsidR="00982A46">
        <w:t xml:space="preserve">(“DCF”) </w:t>
      </w:r>
      <w:r>
        <w:t xml:space="preserve">or Capital Asset Pricing Model </w:t>
      </w:r>
      <w:r w:rsidR="00982A46">
        <w:t xml:space="preserve">(“CAPM”) </w:t>
      </w:r>
      <w:r>
        <w:t>to calculate the cost of equity of Suburban.</w:t>
      </w:r>
      <w:r>
        <w:rPr>
          <w:rStyle w:val="FootnoteReference"/>
        </w:rPr>
        <w:footnoteReference w:id="5"/>
      </w:r>
      <w:r>
        <w:t xml:space="preserve"> Instead, the PUCO Staff used </w:t>
      </w:r>
      <w:r w:rsidR="00C27B49">
        <w:t>“</w:t>
      </w:r>
      <w:r>
        <w:t xml:space="preserve">a simple 20-year average of the </w:t>
      </w:r>
      <w:r w:rsidR="00C27B49">
        <w:t>return on equities granted for gas distribution companies in the United States for companies with rate base</w:t>
      </w:r>
      <w:r w:rsidR="00FA2173">
        <w:t>s</w:t>
      </w:r>
      <w:r w:rsidR="00C27B49">
        <w:t xml:space="preserve"> under $100 million” as the baseline mid-point return on equity </w:t>
      </w:r>
      <w:r w:rsidR="00102CC1">
        <w:t xml:space="preserve">(10.16%) </w:t>
      </w:r>
      <w:r w:rsidR="00C27B49">
        <w:t>for Suburban.</w:t>
      </w:r>
      <w:r>
        <w:rPr>
          <w:rStyle w:val="FootnoteReference"/>
        </w:rPr>
        <w:footnoteReference w:id="6"/>
      </w:r>
      <w:r w:rsidR="00C27B49">
        <w:t xml:space="preserve"> </w:t>
      </w:r>
      <w:r w:rsidR="00102CC1">
        <w:t>When applying this return on equity to the adopted capital structure and cost of debt discussed above, the resulting mid-point rate of return is 7.22%.</w:t>
      </w:r>
      <w:r>
        <w:rPr>
          <w:rStyle w:val="FootnoteReference"/>
        </w:rPr>
        <w:footnoteReference w:id="7"/>
      </w:r>
      <w:r w:rsidR="00102CC1">
        <w:t xml:space="preserve"> Staff also believed that a 50 basis point</w:t>
      </w:r>
      <w:r w:rsidR="00BA275F">
        <w:t xml:space="preserve"> range</w:t>
      </w:r>
      <w:r w:rsidR="00102CC1">
        <w:t xml:space="preserve"> of reasonableness was appropriate and recommended a range of rate of return of 6.72% to 7.72%.</w:t>
      </w:r>
      <w:r>
        <w:rPr>
          <w:rStyle w:val="FootnoteReference"/>
        </w:rPr>
        <w:footnoteReference w:id="8"/>
      </w:r>
      <w:r w:rsidR="00102CC1">
        <w:t xml:space="preserve"> </w:t>
      </w:r>
    </w:p>
    <w:p w:rsidR="00102CC1" w:rsidP="00DE318D">
      <w:pPr>
        <w:spacing w:line="480" w:lineRule="auto"/>
      </w:pPr>
    </w:p>
    <w:p w:rsidR="00DE318D" w:rsidP="00DE318D">
      <w:pPr>
        <w:spacing w:line="480" w:lineRule="auto"/>
        <w:ind w:left="720" w:hanging="720"/>
        <w:rPr>
          <w:rFonts w:eastAsia="Times New Roman"/>
          <w:b/>
          <w:i/>
        </w:rPr>
      </w:pPr>
      <w:bookmarkStart w:id="19" w:name="_Hlk1716606"/>
      <w:r>
        <w:rPr>
          <w:rFonts w:eastAsia="Times New Roman"/>
          <w:b/>
          <w:i/>
        </w:rPr>
        <w:t>Q10.</w:t>
      </w:r>
      <w:r>
        <w:rPr>
          <w:rFonts w:eastAsia="Times New Roman"/>
        </w:rPr>
        <w:tab/>
      </w:r>
      <w:r>
        <w:rPr>
          <w:rFonts w:eastAsia="Times New Roman"/>
          <w:b/>
          <w:i/>
        </w:rPr>
        <w:t xml:space="preserve">DO YOU HAVE ANY OBJECTION </w:t>
      </w:r>
      <w:r w:rsidR="00982A46">
        <w:rPr>
          <w:rFonts w:eastAsia="Times New Roman"/>
          <w:b/>
          <w:i/>
        </w:rPr>
        <w:t xml:space="preserve">TO THE STAFF’S DECISION </w:t>
      </w:r>
      <w:r w:rsidR="00BA275F">
        <w:rPr>
          <w:rFonts w:eastAsia="Times New Roman"/>
          <w:b/>
          <w:i/>
        </w:rPr>
        <w:t xml:space="preserve">TO </w:t>
      </w:r>
      <w:r w:rsidR="00D76A66">
        <w:rPr>
          <w:rFonts w:eastAsia="Times New Roman"/>
          <w:b/>
          <w:i/>
        </w:rPr>
        <w:t xml:space="preserve">ADOPT </w:t>
      </w:r>
      <w:r w:rsidR="00982A46">
        <w:rPr>
          <w:rFonts w:eastAsia="Times New Roman"/>
          <w:b/>
          <w:i/>
        </w:rPr>
        <w:t xml:space="preserve">THE CAPITAL STRUCTURE AND COST OF DEBT </w:t>
      </w:r>
      <w:r w:rsidR="00BA275F">
        <w:rPr>
          <w:rFonts w:eastAsia="Times New Roman"/>
          <w:b/>
          <w:i/>
        </w:rPr>
        <w:t xml:space="preserve">THAT SUBURBAN </w:t>
      </w:r>
      <w:r w:rsidR="00982A46">
        <w:rPr>
          <w:rFonts w:eastAsia="Times New Roman"/>
          <w:b/>
          <w:i/>
        </w:rPr>
        <w:t>PROPOSED?</w:t>
      </w:r>
      <w:r>
        <w:rPr>
          <w:rFonts w:eastAsia="Times New Roman"/>
          <w:b/>
          <w:i/>
        </w:rPr>
        <w:t xml:space="preserve"> </w:t>
      </w:r>
    </w:p>
    <w:p w:rsidR="00DE318D" w:rsidP="00DE318D">
      <w:pPr>
        <w:spacing w:line="480" w:lineRule="auto"/>
        <w:rPr>
          <w:rFonts w:eastAsia="Times New Roman"/>
        </w:rPr>
      </w:pPr>
      <w:r>
        <w:rPr>
          <w:rFonts w:eastAsia="Times New Roman"/>
          <w:b/>
          <w:i/>
        </w:rPr>
        <w:t>A10.</w:t>
      </w:r>
      <w:r>
        <w:rPr>
          <w:rFonts w:eastAsia="Times New Roman"/>
          <w:b/>
          <w:i/>
        </w:rPr>
        <w:tab/>
      </w:r>
      <w:r w:rsidR="00982A46">
        <w:rPr>
          <w:rFonts w:eastAsia="Times New Roman"/>
        </w:rPr>
        <w:t xml:space="preserve">No.  </w:t>
      </w:r>
    </w:p>
    <w:p w:rsidR="00982A46" w:rsidP="00DE318D">
      <w:pPr>
        <w:spacing w:line="480" w:lineRule="auto"/>
        <w:rPr>
          <w:rFonts w:eastAsia="Times New Roman"/>
        </w:rPr>
      </w:pPr>
      <w:bookmarkEnd w:id="19"/>
    </w:p>
    <w:p w:rsidR="00982A46" w:rsidP="00982A46">
      <w:pPr>
        <w:spacing w:line="480" w:lineRule="auto"/>
        <w:ind w:left="720" w:hanging="720"/>
        <w:rPr>
          <w:rFonts w:eastAsia="Times New Roman"/>
          <w:b/>
          <w:i/>
        </w:rPr>
      </w:pPr>
      <w:r>
        <w:rPr>
          <w:rFonts w:eastAsia="Times New Roman"/>
          <w:b/>
          <w:i/>
        </w:rPr>
        <w:t>Q11.</w:t>
      </w:r>
      <w:r>
        <w:rPr>
          <w:rFonts w:eastAsia="Times New Roman"/>
        </w:rPr>
        <w:tab/>
      </w:r>
      <w:r>
        <w:rPr>
          <w:rFonts w:eastAsia="Times New Roman"/>
          <w:b/>
          <w:i/>
        </w:rPr>
        <w:t xml:space="preserve">DO YOU HAVE ANY OBJECTION TO THE STAFF’S DECISION </w:t>
      </w:r>
      <w:r w:rsidR="00BA275F">
        <w:rPr>
          <w:rFonts w:eastAsia="Times New Roman"/>
          <w:b/>
          <w:i/>
        </w:rPr>
        <w:t xml:space="preserve">TO </w:t>
      </w:r>
      <w:r>
        <w:rPr>
          <w:rFonts w:eastAsia="Times New Roman"/>
          <w:b/>
          <w:i/>
        </w:rPr>
        <w:t xml:space="preserve">NOT </w:t>
      </w:r>
      <w:r w:rsidR="00D76A66">
        <w:rPr>
          <w:rFonts w:eastAsia="Times New Roman"/>
          <w:b/>
          <w:i/>
        </w:rPr>
        <w:t xml:space="preserve">APPLY </w:t>
      </w:r>
      <w:r>
        <w:rPr>
          <w:rFonts w:eastAsia="Times New Roman"/>
          <w:b/>
          <w:i/>
        </w:rPr>
        <w:t xml:space="preserve">THE DISCOUNTED CASH FLOW OR THE CAPITAL ASSET PRICING MODEL IN ESTIMATING THE COST OF EQUITY OF SUBURBAN? </w:t>
      </w:r>
    </w:p>
    <w:p w:rsidR="00982A46" w:rsidP="00982A46">
      <w:pPr>
        <w:spacing w:line="480" w:lineRule="auto"/>
        <w:ind w:left="720" w:hanging="720"/>
        <w:rPr>
          <w:rFonts w:eastAsia="Times New Roman"/>
        </w:rPr>
      </w:pPr>
      <w:r>
        <w:rPr>
          <w:rFonts w:eastAsia="Times New Roman"/>
          <w:b/>
          <w:i/>
        </w:rPr>
        <w:t>A11.</w:t>
      </w:r>
      <w:r>
        <w:rPr>
          <w:rFonts w:eastAsia="Times New Roman"/>
          <w:b/>
          <w:i/>
        </w:rPr>
        <w:tab/>
      </w:r>
      <w:r>
        <w:rPr>
          <w:rFonts w:eastAsia="Times New Roman"/>
        </w:rPr>
        <w:t>No. I do not object to the Staff’s approach of not using the DCF or the CAPM in estimating the cost of equity of Suburban</w:t>
      </w:r>
      <w:r w:rsidR="0062012F">
        <w:rPr>
          <w:rFonts w:eastAsia="Times New Roman"/>
        </w:rPr>
        <w:t xml:space="preserve">. However, I do not </w:t>
      </w:r>
      <w:r w:rsidR="009146DD">
        <w:rPr>
          <w:rFonts w:eastAsia="Times New Roman"/>
        </w:rPr>
        <w:t xml:space="preserve">necessarily </w:t>
      </w:r>
      <w:r w:rsidR="0062012F">
        <w:rPr>
          <w:rFonts w:eastAsia="Times New Roman"/>
        </w:rPr>
        <w:t>agree with the reasons cited by the Staff for doing so.</w:t>
      </w:r>
      <w:r>
        <w:rPr>
          <w:rStyle w:val="FootnoteReference"/>
          <w:rFonts w:eastAsia="Times New Roman"/>
        </w:rPr>
        <w:footnoteReference w:id="9"/>
      </w:r>
      <w:r w:rsidR="0062012F">
        <w:rPr>
          <w:rFonts w:eastAsia="Times New Roman"/>
        </w:rPr>
        <w:t xml:space="preserve"> </w:t>
      </w:r>
      <w:r>
        <w:rPr>
          <w:rFonts w:eastAsia="Times New Roman"/>
        </w:rPr>
        <w:t xml:space="preserve"> </w:t>
      </w:r>
    </w:p>
    <w:p w:rsidR="00941C2E" w:rsidP="00941C2E">
      <w:pPr>
        <w:spacing w:line="480" w:lineRule="auto"/>
        <w:ind w:left="720" w:hanging="720"/>
        <w:rPr>
          <w:rFonts w:eastAsia="Times New Roman"/>
          <w:b/>
          <w:i/>
        </w:rPr>
      </w:pPr>
      <w:r>
        <w:rPr>
          <w:rFonts w:eastAsia="Times New Roman"/>
          <w:b/>
          <w:i/>
        </w:rPr>
        <w:t>Q1</w:t>
      </w:r>
      <w:r w:rsidR="0062012F">
        <w:rPr>
          <w:rFonts w:eastAsia="Times New Roman"/>
          <w:b/>
          <w:i/>
        </w:rPr>
        <w:t>2</w:t>
      </w:r>
      <w:r>
        <w:rPr>
          <w:rFonts w:eastAsia="Times New Roman"/>
          <w:b/>
          <w:i/>
        </w:rPr>
        <w:t>.</w:t>
      </w:r>
      <w:r>
        <w:rPr>
          <w:rFonts w:eastAsia="Times New Roman"/>
        </w:rPr>
        <w:tab/>
      </w:r>
      <w:r>
        <w:rPr>
          <w:rFonts w:eastAsia="Times New Roman"/>
          <w:b/>
          <w:i/>
        </w:rPr>
        <w:t xml:space="preserve">PLEASE SUMMARIZE </w:t>
      </w:r>
      <w:r w:rsidR="00D76A66">
        <w:rPr>
          <w:rFonts w:eastAsia="Times New Roman"/>
          <w:b/>
          <w:i/>
        </w:rPr>
        <w:t xml:space="preserve">YOUR </w:t>
      </w:r>
      <w:r>
        <w:rPr>
          <w:rFonts w:eastAsia="Times New Roman"/>
          <w:b/>
          <w:i/>
        </w:rPr>
        <w:t xml:space="preserve">OBJECTIONS REGARDING THE RATE OF RETURN ANALYSIS IN THE STAFF REPORT. </w:t>
      </w:r>
    </w:p>
    <w:p w:rsidR="002515F9" w:rsidRPr="002515F9" w:rsidP="002515F9">
      <w:pPr>
        <w:autoSpaceDE w:val="0"/>
        <w:autoSpaceDN w:val="0"/>
        <w:adjustRightInd w:val="0"/>
        <w:spacing w:line="480" w:lineRule="auto"/>
        <w:ind w:left="720" w:hanging="720"/>
        <w:rPr>
          <w:bCs/>
        </w:rPr>
      </w:pPr>
      <w:r>
        <w:rPr>
          <w:rFonts w:eastAsia="Times New Roman"/>
          <w:b/>
          <w:i/>
        </w:rPr>
        <w:t>A1</w:t>
      </w:r>
      <w:r w:rsidR="0062012F">
        <w:rPr>
          <w:rFonts w:eastAsia="Times New Roman"/>
          <w:b/>
          <w:i/>
        </w:rPr>
        <w:t>2</w:t>
      </w:r>
      <w:r>
        <w:rPr>
          <w:rFonts w:eastAsia="Times New Roman"/>
          <w:b/>
          <w:i/>
        </w:rPr>
        <w:t>.</w:t>
      </w:r>
      <w:r>
        <w:rPr>
          <w:rFonts w:eastAsia="Times New Roman"/>
          <w:b/>
          <w:i/>
        </w:rPr>
        <w:tab/>
      </w:r>
      <w:r w:rsidR="0062012F">
        <w:rPr>
          <w:rFonts w:eastAsia="Times New Roman"/>
        </w:rPr>
        <w:t xml:space="preserve">Even though I do not object to certain aspects of the rate of return analysis by the </w:t>
      </w:r>
      <w:r w:rsidR="00220865">
        <w:rPr>
          <w:rFonts w:eastAsia="Times New Roman"/>
        </w:rPr>
        <w:t xml:space="preserve">PUCO </w:t>
      </w:r>
      <w:r w:rsidR="0062012F">
        <w:rPr>
          <w:rFonts w:eastAsia="Times New Roman"/>
        </w:rPr>
        <w:t>Staff</w:t>
      </w:r>
      <w:r w:rsidR="00D76A66">
        <w:rPr>
          <w:rFonts w:eastAsia="Times New Roman"/>
        </w:rPr>
        <w:t>,</w:t>
      </w:r>
      <w:r w:rsidR="0062012F">
        <w:rPr>
          <w:rFonts w:eastAsia="Times New Roman"/>
        </w:rPr>
        <w:t xml:space="preserve"> the </w:t>
      </w:r>
      <w:r>
        <w:rPr>
          <w:rFonts w:eastAsia="Times New Roman"/>
        </w:rPr>
        <w:t>rate of return analysis in the Staff Report is flawed</w:t>
      </w:r>
      <w:r w:rsidR="00220865">
        <w:rPr>
          <w:rFonts w:eastAsia="Times New Roman"/>
        </w:rPr>
        <w:t>,</w:t>
      </w:r>
      <w:r>
        <w:rPr>
          <w:rFonts w:eastAsia="Times New Roman"/>
        </w:rPr>
        <w:t xml:space="preserve"> </w:t>
      </w:r>
      <w:r w:rsidR="0062012F">
        <w:rPr>
          <w:rFonts w:eastAsia="Times New Roman"/>
        </w:rPr>
        <w:t xml:space="preserve">and the recommended rate of return </w:t>
      </w:r>
      <w:r w:rsidR="00197B36">
        <w:rPr>
          <w:rFonts w:eastAsia="Times New Roman"/>
        </w:rPr>
        <w:t xml:space="preserve">is </w:t>
      </w:r>
      <w:r w:rsidR="0062012F">
        <w:rPr>
          <w:rFonts w:eastAsia="Times New Roman"/>
        </w:rPr>
        <w:t>excessive</w:t>
      </w:r>
      <w:r w:rsidR="00D76A66">
        <w:rPr>
          <w:rFonts w:eastAsia="Times New Roman"/>
        </w:rPr>
        <w:t>ly high</w:t>
      </w:r>
      <w:r w:rsidR="0062012F">
        <w:rPr>
          <w:rFonts w:eastAsia="Times New Roman"/>
        </w:rPr>
        <w:t xml:space="preserve"> </w:t>
      </w:r>
      <w:r>
        <w:rPr>
          <w:rFonts w:eastAsia="Times New Roman"/>
        </w:rPr>
        <w:t>and unreasonable</w:t>
      </w:r>
      <w:r w:rsidR="00E46D38">
        <w:rPr>
          <w:rFonts w:eastAsia="Times New Roman"/>
        </w:rPr>
        <w:t xml:space="preserve">. </w:t>
      </w:r>
      <w:r w:rsidR="006A6CFD">
        <w:rPr>
          <w:rFonts w:eastAsia="Times New Roman"/>
        </w:rPr>
        <w:t xml:space="preserve">Specifically, </w:t>
      </w:r>
      <w:r w:rsidR="00D76A66">
        <w:rPr>
          <w:rFonts w:eastAsia="Times New Roman"/>
        </w:rPr>
        <w:t xml:space="preserve">I </w:t>
      </w:r>
      <w:r w:rsidRPr="006A6CFD" w:rsidR="006A6CFD">
        <w:rPr>
          <w:bCs/>
        </w:rPr>
        <w:t>object to the</w:t>
      </w:r>
      <w:r w:rsidRPr="006A6CFD" w:rsidR="006A6CFD">
        <w:t xml:space="preserve"> Staff</w:t>
      </w:r>
      <w:r w:rsidR="00220865">
        <w:t xml:space="preserve"> Report</w:t>
      </w:r>
      <w:r w:rsidRPr="006A6CFD" w:rsidR="006A6CFD">
        <w:t>’s use of the 20-year average of the return</w:t>
      </w:r>
      <w:r w:rsidR="0097772A">
        <w:t>s</w:t>
      </w:r>
      <w:r w:rsidRPr="006A6CFD" w:rsidR="006A6CFD">
        <w:t xml:space="preserve"> on equit</w:t>
      </w:r>
      <w:r w:rsidR="0097772A">
        <w:t>y</w:t>
      </w:r>
      <w:r w:rsidRPr="006A6CFD" w:rsidR="006A6CFD">
        <w:t xml:space="preserve"> granted for gas distribution companies in the United States with rate base</w:t>
      </w:r>
      <w:r w:rsidR="00CD3A71">
        <w:t>s</w:t>
      </w:r>
      <w:r w:rsidRPr="006A6CFD" w:rsidR="006A6CFD">
        <w:t xml:space="preserve"> under $100 million as a proxy for </w:t>
      </w:r>
      <w:r w:rsidR="00CD3A71">
        <w:t xml:space="preserve">Suburban’s </w:t>
      </w:r>
      <w:r w:rsidRPr="006A6CFD" w:rsidR="006A6CFD">
        <w:t>current cost of common equity.</w:t>
      </w:r>
      <w:r w:rsidR="006A6CFD">
        <w:t xml:space="preserve"> </w:t>
      </w:r>
      <w:r w:rsidR="00D76A66">
        <w:t xml:space="preserve">I </w:t>
      </w:r>
      <w:r>
        <w:rPr>
          <w:rFonts w:eastAsia="Times New Roman"/>
        </w:rPr>
        <w:t xml:space="preserve">also object to </w:t>
      </w:r>
      <w:r w:rsidRPr="002515F9">
        <w:rPr>
          <w:bCs/>
        </w:rPr>
        <w:t>the Staff</w:t>
      </w:r>
      <w:r w:rsidR="00220865">
        <w:rPr>
          <w:bCs/>
        </w:rPr>
        <w:t xml:space="preserve"> Report</w:t>
      </w:r>
      <w:r w:rsidRPr="002515F9">
        <w:rPr>
          <w:bCs/>
        </w:rPr>
        <w:t>’s recommended mid-point rate of return of 7.22%</w:t>
      </w:r>
      <w:r w:rsidR="00220865">
        <w:rPr>
          <w:bCs/>
        </w:rPr>
        <w:t xml:space="preserve">, which </w:t>
      </w:r>
      <w:r>
        <w:rPr>
          <w:bCs/>
        </w:rPr>
        <w:t xml:space="preserve">was derived from </w:t>
      </w:r>
      <w:r w:rsidR="0062012F">
        <w:rPr>
          <w:bCs/>
        </w:rPr>
        <w:t xml:space="preserve">the </w:t>
      </w:r>
      <w:r>
        <w:rPr>
          <w:bCs/>
        </w:rPr>
        <w:t>excessively and unreasonably high ROE</w:t>
      </w:r>
      <w:r w:rsidR="00C51E85">
        <w:rPr>
          <w:bCs/>
        </w:rPr>
        <w:t xml:space="preserve"> of 10.16%</w:t>
      </w:r>
      <w:r>
        <w:rPr>
          <w:bCs/>
        </w:rPr>
        <w:t xml:space="preserve">. </w:t>
      </w:r>
      <w:r>
        <w:t xml:space="preserve">Additionally, </w:t>
      </w:r>
      <w:r w:rsidR="00D76A66">
        <w:t xml:space="preserve">I </w:t>
      </w:r>
      <w:r w:rsidR="00801438">
        <w:t>object</w:t>
      </w:r>
      <w:r>
        <w:t xml:space="preserve"> to </w:t>
      </w:r>
      <w:r w:rsidRPr="002515F9">
        <w:rPr>
          <w:bCs/>
        </w:rPr>
        <w:t>the Staff</w:t>
      </w:r>
      <w:r w:rsidR="00220865">
        <w:rPr>
          <w:bCs/>
        </w:rPr>
        <w:t xml:space="preserve"> Report</w:t>
      </w:r>
      <w:r w:rsidRPr="002515F9">
        <w:rPr>
          <w:bCs/>
        </w:rPr>
        <w:t>’s recommended rate of return range of 6.72% to 7.72%</w:t>
      </w:r>
      <w:r w:rsidR="00BA275F">
        <w:rPr>
          <w:bCs/>
        </w:rPr>
        <w:t>, which</w:t>
      </w:r>
      <w:r w:rsidRPr="002515F9">
        <w:rPr>
          <w:bCs/>
        </w:rPr>
        <w:t xml:space="preserve"> </w:t>
      </w:r>
      <w:r>
        <w:rPr>
          <w:bCs/>
        </w:rPr>
        <w:t xml:space="preserve">was incorrectly applied </w:t>
      </w:r>
      <w:r w:rsidR="0062012F">
        <w:rPr>
          <w:bCs/>
        </w:rPr>
        <w:t xml:space="preserve">even using </w:t>
      </w:r>
      <w:r w:rsidR="00220865">
        <w:rPr>
          <w:bCs/>
        </w:rPr>
        <w:t xml:space="preserve">the </w:t>
      </w:r>
      <w:r w:rsidR="0062012F">
        <w:rPr>
          <w:bCs/>
        </w:rPr>
        <w:t>Staff</w:t>
      </w:r>
      <w:r w:rsidR="00220865">
        <w:rPr>
          <w:bCs/>
        </w:rPr>
        <w:t xml:space="preserve"> Report</w:t>
      </w:r>
      <w:r w:rsidR="0062012F">
        <w:rPr>
          <w:bCs/>
        </w:rPr>
        <w:t>’s own standard</w:t>
      </w:r>
      <w:r w:rsidR="001B4BF4">
        <w:rPr>
          <w:bCs/>
        </w:rPr>
        <w:t xml:space="preserve"> of </w:t>
      </w:r>
      <w:r w:rsidR="00CD3A71">
        <w:rPr>
          <w:bCs/>
        </w:rPr>
        <w:t xml:space="preserve">a </w:t>
      </w:r>
      <w:r w:rsidR="001B4BF4">
        <w:rPr>
          <w:bCs/>
        </w:rPr>
        <w:t>50</w:t>
      </w:r>
      <w:r w:rsidR="009332C2">
        <w:rPr>
          <w:bCs/>
        </w:rPr>
        <w:t>-</w:t>
      </w:r>
      <w:r w:rsidR="001B4BF4">
        <w:rPr>
          <w:bCs/>
        </w:rPr>
        <w:t>basis point range of reasonableness</w:t>
      </w:r>
      <w:r w:rsidR="0062012F">
        <w:rPr>
          <w:bCs/>
        </w:rPr>
        <w:t>.</w:t>
      </w:r>
    </w:p>
    <w:p w:rsidR="00941C2E" w:rsidP="002515F9">
      <w:pPr>
        <w:autoSpaceDE w:val="0"/>
        <w:autoSpaceDN w:val="0"/>
        <w:adjustRightInd w:val="0"/>
        <w:spacing w:line="480" w:lineRule="auto"/>
        <w:ind w:left="720" w:hanging="720"/>
      </w:pPr>
    </w:p>
    <w:p w:rsidR="00941C2E" w:rsidP="00941C2E">
      <w:pPr>
        <w:spacing w:line="480" w:lineRule="auto"/>
        <w:ind w:left="720" w:hanging="720"/>
        <w:jc w:val="both"/>
        <w:rPr>
          <w:rFonts w:eastAsia="Times New Roman"/>
          <w:b/>
          <w:i/>
        </w:rPr>
      </w:pPr>
      <w:bookmarkStart w:id="20" w:name="_Hlk1637629"/>
      <w:r>
        <w:rPr>
          <w:rFonts w:eastAsia="Times New Roman"/>
          <w:b/>
          <w:i/>
        </w:rPr>
        <w:t>Q1</w:t>
      </w:r>
      <w:r w:rsidR="0062012F">
        <w:rPr>
          <w:rFonts w:eastAsia="Times New Roman"/>
          <w:b/>
          <w:i/>
        </w:rPr>
        <w:t>3</w:t>
      </w:r>
      <w:r>
        <w:rPr>
          <w:rFonts w:eastAsia="Times New Roman"/>
          <w:b/>
          <w:i/>
        </w:rPr>
        <w:t>.</w:t>
      </w:r>
      <w:r>
        <w:rPr>
          <w:rFonts w:eastAsia="Times New Roman"/>
        </w:rPr>
        <w:tab/>
      </w:r>
      <w:r>
        <w:rPr>
          <w:rFonts w:eastAsia="Times New Roman"/>
          <w:b/>
          <w:i/>
        </w:rPr>
        <w:t xml:space="preserve">PLEASE EXPLAIN OCC </w:t>
      </w:r>
      <w:r w:rsidRPr="007238AE">
        <w:rPr>
          <w:rFonts w:eastAsia="Times New Roman"/>
          <w:b/>
          <w:i/>
        </w:rPr>
        <w:t xml:space="preserve">OBJECTION </w:t>
      </w:r>
      <w:r w:rsidR="002B334A">
        <w:rPr>
          <w:rFonts w:eastAsia="Times New Roman"/>
          <w:b/>
          <w:i/>
        </w:rPr>
        <w:t>1</w:t>
      </w:r>
      <w:r>
        <w:rPr>
          <w:rFonts w:eastAsia="Times New Roman"/>
          <w:b/>
          <w:i/>
        </w:rPr>
        <w:t>.</w:t>
      </w:r>
    </w:p>
    <w:p w:rsidR="00C51E85" w:rsidP="005E0851">
      <w:pPr>
        <w:spacing w:line="480" w:lineRule="auto"/>
        <w:ind w:left="720" w:hanging="720"/>
      </w:pPr>
      <w:r w:rsidRPr="005E0851">
        <w:rPr>
          <w:b/>
          <w:bCs/>
          <w:i/>
        </w:rPr>
        <w:t>A1</w:t>
      </w:r>
      <w:r w:rsidRPr="005E0851" w:rsidR="0062012F">
        <w:rPr>
          <w:b/>
          <w:bCs/>
          <w:i/>
        </w:rPr>
        <w:t>3</w:t>
      </w:r>
      <w:r w:rsidRPr="005E0851">
        <w:rPr>
          <w:b/>
          <w:bCs/>
          <w:i/>
        </w:rPr>
        <w:t>.</w:t>
      </w:r>
      <w:r w:rsidRPr="002515F9">
        <w:tab/>
      </w:r>
      <w:bookmarkEnd w:id="10"/>
      <w:bookmarkEnd w:id="20"/>
      <w:r w:rsidR="00E21C60">
        <w:t>Staff proposes the use of a</w:t>
      </w:r>
      <w:r w:rsidR="004F07FC">
        <w:t xml:space="preserve"> </w:t>
      </w:r>
      <w:r w:rsidRPr="00102CC1" w:rsidR="00AC6EDB">
        <w:t>20-year average of the return</w:t>
      </w:r>
      <w:r w:rsidR="0099782B">
        <w:t>s</w:t>
      </w:r>
      <w:r w:rsidRPr="00102CC1" w:rsidR="00AC6EDB">
        <w:t xml:space="preserve"> on equit</w:t>
      </w:r>
      <w:r w:rsidR="00FA2173">
        <w:t>y</w:t>
      </w:r>
      <w:r w:rsidR="0099782B">
        <w:t xml:space="preserve"> </w:t>
      </w:r>
      <w:r w:rsidR="00A75C35">
        <w:t>(“ROEs”)</w:t>
      </w:r>
      <w:r w:rsidRPr="00102CC1" w:rsidR="00AC6EDB">
        <w:t xml:space="preserve"> granted </w:t>
      </w:r>
      <w:r w:rsidR="00E21C60">
        <w:t xml:space="preserve">to United States </w:t>
      </w:r>
      <w:r w:rsidRPr="00102CC1" w:rsidR="00AC6EDB">
        <w:t>gas distribution companies with rate base</w:t>
      </w:r>
      <w:r w:rsidR="00A75C35">
        <w:t>s</w:t>
      </w:r>
      <w:r w:rsidRPr="00102CC1" w:rsidR="00AC6EDB">
        <w:t xml:space="preserve"> under $100 million</w:t>
      </w:r>
      <w:r w:rsidR="00A75C35">
        <w:t>.</w:t>
      </w:r>
      <w:r w:rsidR="007F68EF">
        <w:t xml:space="preserve"> </w:t>
      </w:r>
      <w:r w:rsidR="00A75C35">
        <w:t xml:space="preserve">But that </w:t>
      </w:r>
      <w:r w:rsidR="007F68EF">
        <w:t xml:space="preserve">is </w:t>
      </w:r>
      <w:r w:rsidR="009332C2">
        <w:t xml:space="preserve">neither </w:t>
      </w:r>
      <w:r w:rsidR="007F68EF">
        <w:t xml:space="preserve">a valid </w:t>
      </w:r>
      <w:r w:rsidR="009332C2">
        <w:t xml:space="preserve">nor </w:t>
      </w:r>
      <w:r w:rsidR="007F68EF">
        <w:t xml:space="preserve">reasonable indicator </w:t>
      </w:r>
      <w:r w:rsidRPr="00102CC1" w:rsidR="00AC6EDB">
        <w:t xml:space="preserve">for the </w:t>
      </w:r>
      <w:r w:rsidRPr="0062012F" w:rsidR="00AC6EDB">
        <w:rPr>
          <w:i/>
        </w:rPr>
        <w:t xml:space="preserve">current </w:t>
      </w:r>
      <w:r w:rsidRPr="00102CC1" w:rsidR="00AC6EDB">
        <w:t xml:space="preserve">cost of common equity for Suburban. </w:t>
      </w:r>
      <w:r w:rsidR="004C3D0E">
        <w:t xml:space="preserve">The average of the ROEs granted </w:t>
      </w:r>
      <w:r w:rsidR="001B4BF4">
        <w:t xml:space="preserve">for regulated utilities </w:t>
      </w:r>
      <w:r w:rsidR="004C3D0E">
        <w:t xml:space="preserve">over the last </w:t>
      </w:r>
      <w:r w:rsidR="009332C2">
        <w:t xml:space="preserve">20 </w:t>
      </w:r>
      <w:r w:rsidR="004C3D0E">
        <w:t xml:space="preserve">years </w:t>
      </w:r>
      <w:r w:rsidR="007F68EF">
        <w:t xml:space="preserve">bears </w:t>
      </w:r>
      <w:r w:rsidR="00BA275F">
        <w:t xml:space="preserve">little, if any, </w:t>
      </w:r>
      <w:r w:rsidR="004C3D0E">
        <w:t xml:space="preserve">relationship to the </w:t>
      </w:r>
      <w:r w:rsidR="007F68EF">
        <w:t xml:space="preserve">cost of equity </w:t>
      </w:r>
      <w:r w:rsidR="001B4BF4">
        <w:t xml:space="preserve">of regulated utilities </w:t>
      </w:r>
      <w:r w:rsidR="007F68EF">
        <w:t xml:space="preserve">under </w:t>
      </w:r>
      <w:r w:rsidR="004C3D0E">
        <w:t xml:space="preserve">current financial market and economic conditions. The </w:t>
      </w:r>
      <w:r w:rsidR="007F68EF">
        <w:t xml:space="preserve">yearly </w:t>
      </w:r>
      <w:r w:rsidR="004C3D0E">
        <w:t>average</w:t>
      </w:r>
      <w:r w:rsidR="007F68EF">
        <w:t>s</w:t>
      </w:r>
      <w:r w:rsidR="004C3D0E">
        <w:t xml:space="preserve"> of the ROEs granted over the last </w:t>
      </w:r>
      <w:r w:rsidR="009332C2">
        <w:t xml:space="preserve">20 </w:t>
      </w:r>
      <w:r w:rsidR="004C3D0E">
        <w:t xml:space="preserve">years </w:t>
      </w:r>
      <w:r w:rsidR="007F68EF">
        <w:t>have varied considerably</w:t>
      </w:r>
      <w:r w:rsidR="004573AF">
        <w:t>,</w:t>
      </w:r>
      <w:r w:rsidR="007F68EF">
        <w:t xml:space="preserve"> and </w:t>
      </w:r>
      <w:r w:rsidR="005D7027">
        <w:t xml:space="preserve">the average ROE over such a long period of time will be </w:t>
      </w:r>
      <w:r w:rsidR="007F68EF">
        <w:t xml:space="preserve">a poor proxy of the </w:t>
      </w:r>
      <w:r w:rsidR="004C3D0E">
        <w:t>current cost of equity</w:t>
      </w:r>
      <w:r w:rsidR="007F68EF">
        <w:t xml:space="preserve"> for a regulated utility</w:t>
      </w:r>
      <w:r w:rsidR="004C3D0E">
        <w:t>.</w:t>
      </w:r>
      <w:r w:rsidR="007F68EF">
        <w:t xml:space="preserve"> For example, </w:t>
      </w:r>
      <w:r w:rsidR="00576FD1">
        <w:t xml:space="preserve">according to S&amp;P Global Market Intelligence, </w:t>
      </w:r>
      <w:r w:rsidR="007F68EF">
        <w:t>the yearly average ROEs for gas utilities for the time period of 199</w:t>
      </w:r>
      <w:r w:rsidR="005424CD">
        <w:t>8</w:t>
      </w:r>
      <w:r w:rsidR="007F68EF">
        <w:t xml:space="preserve"> to 2018 </w:t>
      </w:r>
      <w:r w:rsidR="00514036">
        <w:t>range from 11.</w:t>
      </w:r>
      <w:r w:rsidR="005424CD">
        <w:t>51</w:t>
      </w:r>
      <w:r w:rsidR="00514036">
        <w:t xml:space="preserve">% (in </w:t>
      </w:r>
      <w:r w:rsidR="005424CD">
        <w:t>1998</w:t>
      </w:r>
      <w:r w:rsidR="00514036">
        <w:t>) to 9.54% (in 2016).</w:t>
      </w:r>
      <w:r>
        <w:rPr>
          <w:rStyle w:val="FootnoteReference"/>
          <w:b/>
        </w:rPr>
        <w:footnoteReference w:id="10"/>
      </w:r>
    </w:p>
    <w:p w:rsidR="007F68EF" w:rsidP="00C51E85">
      <w:pPr>
        <w:spacing w:line="480" w:lineRule="auto"/>
        <w:ind w:left="720" w:hanging="720"/>
        <w:jc w:val="both"/>
        <w:rPr>
          <w:rFonts w:eastAsia="Times New Roman"/>
          <w:b/>
          <w:i/>
        </w:rPr>
      </w:pPr>
    </w:p>
    <w:p w:rsidR="00C51E85" w:rsidP="00C51E85">
      <w:pPr>
        <w:spacing w:line="480" w:lineRule="auto"/>
        <w:ind w:left="720" w:hanging="720"/>
        <w:jc w:val="both"/>
        <w:rPr>
          <w:rFonts w:eastAsia="Times New Roman"/>
          <w:b/>
          <w:i/>
        </w:rPr>
      </w:pPr>
      <w:bookmarkStart w:id="22" w:name="_Hlk1637875"/>
      <w:r>
        <w:rPr>
          <w:rFonts w:eastAsia="Times New Roman"/>
          <w:b/>
          <w:i/>
        </w:rPr>
        <w:t>Q1</w:t>
      </w:r>
      <w:r w:rsidR="004C3D0E">
        <w:rPr>
          <w:rFonts w:eastAsia="Times New Roman"/>
          <w:b/>
          <w:i/>
        </w:rPr>
        <w:t>4</w:t>
      </w:r>
      <w:r>
        <w:rPr>
          <w:rFonts w:eastAsia="Times New Roman"/>
          <w:b/>
          <w:i/>
        </w:rPr>
        <w:t>.</w:t>
      </w:r>
      <w:r>
        <w:rPr>
          <w:rFonts w:eastAsia="Times New Roman"/>
        </w:rPr>
        <w:tab/>
      </w:r>
      <w:r w:rsidR="004C3D0E">
        <w:rPr>
          <w:rFonts w:eastAsia="Times New Roman"/>
          <w:b/>
          <w:i/>
        </w:rPr>
        <w:t xml:space="preserve">DOES THE </w:t>
      </w:r>
      <w:r>
        <w:rPr>
          <w:rFonts w:eastAsia="Times New Roman"/>
          <w:b/>
          <w:i/>
        </w:rPr>
        <w:t>STAFF</w:t>
      </w:r>
      <w:r w:rsidR="00220865">
        <w:rPr>
          <w:rFonts w:eastAsia="Times New Roman"/>
          <w:b/>
          <w:i/>
        </w:rPr>
        <w:t xml:space="preserve"> REPORT</w:t>
      </w:r>
      <w:r>
        <w:rPr>
          <w:rFonts w:eastAsia="Times New Roman"/>
          <w:b/>
          <w:i/>
        </w:rPr>
        <w:t>’S USE OF THE 20-YEAR AVERAGE ROE VIOLATE WELL-ESTABLISHED REGULATORY PRINCIPLES</w:t>
      </w:r>
      <w:r w:rsidR="004C3D0E">
        <w:rPr>
          <w:rFonts w:eastAsia="Times New Roman"/>
          <w:b/>
          <w:i/>
        </w:rPr>
        <w:t>?</w:t>
      </w:r>
      <w:r>
        <w:rPr>
          <w:rFonts w:eastAsia="Times New Roman"/>
          <w:b/>
          <w:i/>
        </w:rPr>
        <w:t xml:space="preserve"> </w:t>
      </w:r>
    </w:p>
    <w:p w:rsidR="009244CC" w:rsidP="005E0851">
      <w:pPr>
        <w:spacing w:line="480" w:lineRule="auto"/>
        <w:ind w:left="720" w:hanging="720"/>
        <w:rPr>
          <w:rFonts w:eastAsia="Times New Roman"/>
        </w:rPr>
      </w:pPr>
      <w:r w:rsidRPr="005E0851">
        <w:rPr>
          <w:b/>
          <w:bCs/>
          <w:i/>
        </w:rPr>
        <w:t>A1</w:t>
      </w:r>
      <w:r w:rsidRPr="005E0851" w:rsidR="004C3D0E">
        <w:rPr>
          <w:b/>
          <w:bCs/>
          <w:i/>
        </w:rPr>
        <w:t>4</w:t>
      </w:r>
      <w:r w:rsidRPr="005E0851">
        <w:rPr>
          <w:b/>
          <w:bCs/>
          <w:i/>
        </w:rPr>
        <w:t>.</w:t>
      </w:r>
      <w:bookmarkEnd w:id="22"/>
      <w:r w:rsidRPr="002515F9">
        <w:tab/>
      </w:r>
      <w:r w:rsidRPr="00B03CE9" w:rsidR="004C3D0E">
        <w:t xml:space="preserve">Yes. </w:t>
      </w:r>
      <w:r w:rsidRPr="00B03CE9" w:rsidR="00AC6EDB">
        <w:t xml:space="preserve">The use of the simple 20-year average of </w:t>
      </w:r>
      <w:r w:rsidR="00794E1B">
        <w:t xml:space="preserve">ROEs </w:t>
      </w:r>
      <w:r w:rsidRPr="00B03CE9" w:rsidR="00AC6EDB">
        <w:t xml:space="preserve">granted for </w:t>
      </w:r>
      <w:r w:rsidRPr="00B03CE9" w:rsidR="00794E1B">
        <w:t xml:space="preserve">United States </w:t>
      </w:r>
      <w:r w:rsidRPr="00B03CE9" w:rsidR="00AC6EDB">
        <w:t xml:space="preserve">gas distribution companies as a proxy for the current cost of equity for Suburban </w:t>
      </w:r>
      <w:r w:rsidRPr="00B03CE9" w:rsidR="004C3D0E">
        <w:t xml:space="preserve">violates </w:t>
      </w:r>
      <w:r w:rsidRPr="00B03CE9" w:rsidR="00AC6EDB">
        <w:rPr>
          <w:rFonts w:eastAsia="Times New Roman"/>
        </w:rPr>
        <w:t xml:space="preserve">the </w:t>
      </w:r>
      <w:r w:rsidRPr="00B03CE9" w:rsidR="004C3D0E">
        <w:rPr>
          <w:rFonts w:eastAsia="Times New Roman"/>
        </w:rPr>
        <w:t xml:space="preserve">fundamental and </w:t>
      </w:r>
      <w:r w:rsidRPr="00B03CE9" w:rsidR="00AC6EDB">
        <w:rPr>
          <w:rFonts w:eastAsia="Times New Roman"/>
        </w:rPr>
        <w:t>well-established regulatory principle</w:t>
      </w:r>
      <w:r w:rsidRPr="00B03CE9" w:rsidR="004C3D0E">
        <w:rPr>
          <w:rFonts w:eastAsia="Times New Roman"/>
        </w:rPr>
        <w:t>s</w:t>
      </w:r>
      <w:r w:rsidRPr="00B03CE9" w:rsidR="00AC6EDB">
        <w:rPr>
          <w:rFonts w:eastAsia="Times New Roman"/>
        </w:rPr>
        <w:t xml:space="preserve"> of setting rate</w:t>
      </w:r>
      <w:r w:rsidR="00794E1B">
        <w:rPr>
          <w:rFonts w:eastAsia="Times New Roman"/>
        </w:rPr>
        <w:t>s</w:t>
      </w:r>
      <w:r w:rsidRPr="00B03CE9" w:rsidR="00AC6EDB">
        <w:rPr>
          <w:rFonts w:eastAsia="Times New Roman"/>
        </w:rPr>
        <w:t xml:space="preserve"> of return based on current market condition</w:t>
      </w:r>
      <w:r w:rsidR="00794E1B">
        <w:rPr>
          <w:rFonts w:eastAsia="Times New Roman"/>
        </w:rPr>
        <w:t>s</w:t>
      </w:r>
      <w:r w:rsidRPr="00B03CE9" w:rsidR="00AC6EDB">
        <w:rPr>
          <w:rFonts w:eastAsia="Times New Roman"/>
        </w:rPr>
        <w:t xml:space="preserve"> and business and financial risks facing the regulated utilit</w:t>
      </w:r>
      <w:r w:rsidR="00794E1B">
        <w:rPr>
          <w:rFonts w:eastAsia="Times New Roman"/>
        </w:rPr>
        <w:t>ies</w:t>
      </w:r>
      <w:r w:rsidRPr="00B03CE9" w:rsidR="00AC6EDB">
        <w:rPr>
          <w:rFonts w:eastAsia="Times New Roman"/>
        </w:rPr>
        <w:t xml:space="preserve">. </w:t>
      </w:r>
      <w:r w:rsidRPr="00B03CE9" w:rsidR="004C3D0E">
        <w:rPr>
          <w:rFonts w:eastAsia="Times New Roman"/>
        </w:rPr>
        <w:t xml:space="preserve">Specifically, </w:t>
      </w:r>
      <w:r w:rsidRPr="00B03CE9" w:rsidR="00B03CE9">
        <w:rPr>
          <w:rFonts w:eastAsia="Times New Roman"/>
        </w:rPr>
        <w:t xml:space="preserve">in the case of </w:t>
      </w:r>
      <w:r w:rsidRPr="00B03CE9" w:rsidR="00B03CE9">
        <w:rPr>
          <w:rFonts w:eastAsia="Times New Roman"/>
          <w:i/>
          <w:color w:val="000000"/>
        </w:rPr>
        <w:t xml:space="preserve">Bluefield Water Works v. Public Service Comm'n, </w:t>
      </w:r>
      <w:r w:rsidRPr="00220865" w:rsidR="00B03CE9">
        <w:rPr>
          <w:rFonts w:eastAsia="Times New Roman"/>
          <w:color w:val="000000"/>
        </w:rPr>
        <w:t>262 U.S. 679 (1923)</w:t>
      </w:r>
      <w:r>
        <w:rPr>
          <w:rFonts w:eastAsia="Times New Roman"/>
          <w:i/>
          <w:color w:val="000000"/>
        </w:rPr>
        <w:t>,</w:t>
      </w:r>
      <w:r w:rsidR="00B03CE9">
        <w:rPr>
          <w:rFonts w:eastAsia="Times New Roman"/>
        </w:rPr>
        <w:t xml:space="preserve"> </w:t>
      </w:r>
      <w:r w:rsidRPr="009244CC" w:rsidR="00B03CE9">
        <w:rPr>
          <w:rFonts w:eastAsia="Times New Roman"/>
        </w:rPr>
        <w:t>the U.S</w:t>
      </w:r>
      <w:r w:rsidR="00D23907">
        <w:rPr>
          <w:rFonts w:eastAsia="Times New Roman"/>
        </w:rPr>
        <w:t>.</w:t>
      </w:r>
      <w:r w:rsidRPr="009244CC" w:rsidR="00B03CE9">
        <w:rPr>
          <w:rFonts w:eastAsia="Times New Roman"/>
        </w:rPr>
        <w:t xml:space="preserve"> Supreme Court ruled that</w:t>
      </w:r>
      <w:r w:rsidR="00BB2FFD">
        <w:rPr>
          <w:rFonts w:eastAsia="Times New Roman"/>
        </w:rPr>
        <w:t>:</w:t>
      </w:r>
      <w:r w:rsidRPr="009244CC" w:rsidR="00B03CE9">
        <w:rPr>
          <w:rFonts w:eastAsia="Times New Roman"/>
        </w:rPr>
        <w:t xml:space="preserve"> </w:t>
      </w:r>
    </w:p>
    <w:p w:rsidR="00FC07DD" w:rsidP="00425F44">
      <w:pPr>
        <w:ind w:left="1440" w:right="1440"/>
        <w:jc w:val="both"/>
        <w:rPr>
          <w:rFonts w:eastAsia="Times New Roman"/>
        </w:rPr>
        <w:sectPr w:rsidSect="00FC07DD">
          <w:pgSz w:w="12240" w:h="15840" w:code="1"/>
          <w:pgMar w:top="1440" w:right="1440" w:bottom="1440" w:left="1440" w:header="720" w:footer="720" w:gutter="0"/>
          <w:lnNumType w:countBy="1"/>
          <w:cols w:space="720"/>
          <w:titlePg/>
          <w:docGrid w:linePitch="360"/>
        </w:sectPr>
      </w:pPr>
      <w:r>
        <w:t xml:space="preserve">A public utility is entitled to such rates as will permit it to earn a return on the value of the property which it employs for the convenience of the public </w:t>
      </w:r>
      <w:r w:rsidRPr="00C41DA3">
        <w:rPr>
          <w:b/>
        </w:rPr>
        <w:t xml:space="preserve">equal to that generally being made at the same time </w:t>
      </w:r>
      <w:r w:rsidRPr="0099782B">
        <w:t>and in the same general part of the country on investments in other business undertakings which are attended by corresponding risks and uncertainties</w:t>
      </w:r>
      <w:r>
        <w:t>;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 management, to maintain and support its credit and enable it to raise the money necessary for the proper</w:t>
      </w:r>
      <w:r w:rsidR="00BB2FFD">
        <w:t xml:space="preserve"> discharge of its public duties. </w:t>
      </w:r>
      <w:r w:rsidRPr="00C41DA3" w:rsidR="00BB2FFD">
        <w:rPr>
          <w:b/>
        </w:rPr>
        <w:t xml:space="preserve">A rate of return may be reasonable at one </w:t>
      </w:r>
      <w:r w:rsidRPr="00C41DA3" w:rsidR="00801438">
        <w:rPr>
          <w:b/>
        </w:rPr>
        <w:t>time and</w:t>
      </w:r>
      <w:r w:rsidRPr="00C41DA3" w:rsidR="00BB2FFD">
        <w:rPr>
          <w:b/>
        </w:rPr>
        <w:t xml:space="preserve"> become too high or too low by changes affecting opportunities for investment, the money market, and business conditions generally</w:t>
      </w:r>
      <w:r w:rsidR="00BB2FFD">
        <w:t>.</w:t>
      </w:r>
      <w:r w:rsidR="001364CD">
        <w:t xml:space="preserve"> </w:t>
      </w:r>
      <w:r w:rsidRPr="00D0652A" w:rsidR="009E37D1">
        <w:t>(emphasis added)</w:t>
      </w:r>
      <w:r w:rsidR="00BB2FFD">
        <w:t xml:space="preserve"> </w:t>
      </w:r>
      <w:r>
        <w:t xml:space="preserve"> </w:t>
      </w:r>
      <w:r w:rsidR="00B03CE9">
        <w:rPr>
          <w:rFonts w:eastAsia="Times New Roman"/>
        </w:rPr>
        <w:t xml:space="preserve"> </w:t>
      </w:r>
    </w:p>
    <w:p w:rsidR="00BB2FFD" w:rsidP="00BB2FFD">
      <w:pPr>
        <w:spacing w:line="480" w:lineRule="auto"/>
        <w:ind w:left="720"/>
      </w:pPr>
      <w:r>
        <w:t xml:space="preserve">As discussed earlier, the ROEs granted over the </w:t>
      </w:r>
      <w:r w:rsidR="006F0F22">
        <w:t>20</w:t>
      </w:r>
      <w:r>
        <w:t xml:space="preserve">-year period have </w:t>
      </w:r>
      <w:r w:rsidR="00DB6317">
        <w:t xml:space="preserve">varied </w:t>
      </w:r>
      <w:r w:rsidR="002F07CC">
        <w:t xml:space="preserve">with the changes in financial market and economic conditions. </w:t>
      </w:r>
      <w:r>
        <w:t>The 11.</w:t>
      </w:r>
      <w:r w:rsidR="002F07CC">
        <w:t>51</w:t>
      </w:r>
      <w:r>
        <w:t xml:space="preserve">% ROE granted in </w:t>
      </w:r>
      <w:r w:rsidR="002F07CC">
        <w:t>1998</w:t>
      </w:r>
      <w:r>
        <w:t xml:space="preserve"> might </w:t>
      </w:r>
      <w:r w:rsidR="004573AF">
        <w:t xml:space="preserve">have </w:t>
      </w:r>
      <w:r>
        <w:t>b</w:t>
      </w:r>
      <w:r w:rsidR="004573AF">
        <w:t>e</w:t>
      </w:r>
      <w:r w:rsidR="00DB6317">
        <w:t>e</w:t>
      </w:r>
      <w:r w:rsidR="004573AF">
        <w:t>n</w:t>
      </w:r>
      <w:r>
        <w:t xml:space="preserve"> reasonable at that time, but it would certainly be considered excessive and unreasonable in 2016 (when the yearly average ROE was only 9.54%)</w:t>
      </w:r>
      <w:r w:rsidR="007D60EA">
        <w:t>,</w:t>
      </w:r>
      <w:r>
        <w:t xml:space="preserve"> or </w:t>
      </w:r>
      <w:r w:rsidR="007D60EA">
        <w:t xml:space="preserve">in </w:t>
      </w:r>
      <w:r>
        <w:t>any other years after 2011 (when the yearly average ROEs fell below 10%).</w:t>
      </w:r>
      <w:r>
        <w:rPr>
          <w:rStyle w:val="FootnoteReference"/>
        </w:rPr>
        <w:footnoteReference w:id="11"/>
      </w:r>
      <w:r>
        <w:t xml:space="preserve"> Consequently, t</w:t>
      </w:r>
      <w:r>
        <w:t xml:space="preserve">here is simply no rational basis </w:t>
      </w:r>
      <w:r w:rsidR="007D60EA">
        <w:t xml:space="preserve">for </w:t>
      </w:r>
      <w:r w:rsidR="00DB6317">
        <w:t>the Staff</w:t>
      </w:r>
      <w:r w:rsidR="00220865">
        <w:t xml:space="preserve"> Report</w:t>
      </w:r>
      <w:r w:rsidR="00DB6317">
        <w:t xml:space="preserve">’s proposal of </w:t>
      </w:r>
      <w:r>
        <w:t>equat</w:t>
      </w:r>
      <w:r w:rsidR="00DB6317">
        <w:t>ing</w:t>
      </w:r>
      <w:r>
        <w:t xml:space="preserve"> the average of ROEs granted over the last </w:t>
      </w:r>
      <w:r w:rsidR="007D60EA">
        <w:t xml:space="preserve">20 </w:t>
      </w:r>
      <w:r>
        <w:t>years to the current cost of equity for a regulated utility.</w:t>
      </w:r>
    </w:p>
    <w:p w:rsidR="005D7027" w:rsidP="00FC07DD">
      <w:pPr>
        <w:spacing w:line="480" w:lineRule="auto"/>
        <w:rPr>
          <w:rFonts w:eastAsia="Times New Roman"/>
          <w:b/>
          <w:i/>
        </w:rPr>
      </w:pPr>
      <w:r>
        <w:t xml:space="preserve">  </w:t>
      </w:r>
    </w:p>
    <w:p w:rsidR="00C51E85" w:rsidP="00C41DA3">
      <w:pPr>
        <w:spacing w:line="480" w:lineRule="auto"/>
        <w:ind w:left="720" w:hanging="720"/>
        <w:jc w:val="both"/>
        <w:rPr>
          <w:rFonts w:eastAsia="Times New Roman"/>
          <w:b/>
          <w:i/>
        </w:rPr>
      </w:pPr>
      <w:r>
        <w:rPr>
          <w:rFonts w:eastAsia="Times New Roman"/>
          <w:b/>
          <w:i/>
        </w:rPr>
        <w:t>Q1</w:t>
      </w:r>
      <w:r w:rsidR="004C3D0E">
        <w:rPr>
          <w:rFonts w:eastAsia="Times New Roman"/>
          <w:b/>
          <w:i/>
        </w:rPr>
        <w:t>5</w:t>
      </w:r>
      <w:r>
        <w:rPr>
          <w:rFonts w:eastAsia="Times New Roman"/>
          <w:b/>
          <w:i/>
        </w:rPr>
        <w:t>.</w:t>
      </w:r>
      <w:r>
        <w:rPr>
          <w:rFonts w:eastAsia="Times New Roman"/>
        </w:rPr>
        <w:tab/>
      </w:r>
      <w:r w:rsidR="00102CC1">
        <w:rPr>
          <w:rFonts w:eastAsia="Times New Roman"/>
          <w:b/>
          <w:i/>
        </w:rPr>
        <w:t>HA</w:t>
      </w:r>
      <w:r w:rsidR="007D60EA">
        <w:rPr>
          <w:rFonts w:eastAsia="Times New Roman"/>
          <w:b/>
          <w:i/>
        </w:rPr>
        <w:t>S</w:t>
      </w:r>
      <w:r w:rsidR="00102CC1">
        <w:rPr>
          <w:rFonts w:eastAsia="Times New Roman"/>
          <w:b/>
          <w:i/>
        </w:rPr>
        <w:t xml:space="preserve"> THE PUCO OR </w:t>
      </w:r>
      <w:r w:rsidR="007D60EA">
        <w:rPr>
          <w:rFonts w:eastAsia="Times New Roman"/>
          <w:b/>
          <w:i/>
        </w:rPr>
        <w:t xml:space="preserve">ANY </w:t>
      </w:r>
      <w:r w:rsidR="00102CC1">
        <w:rPr>
          <w:rFonts w:eastAsia="Times New Roman"/>
          <w:b/>
          <w:i/>
        </w:rPr>
        <w:t>OTHER REGULATORY AGENC</w:t>
      </w:r>
      <w:r w:rsidR="007D60EA">
        <w:rPr>
          <w:rFonts w:eastAsia="Times New Roman"/>
          <w:b/>
          <w:i/>
        </w:rPr>
        <w:t>Y</w:t>
      </w:r>
      <w:r w:rsidR="00102CC1">
        <w:rPr>
          <w:rFonts w:eastAsia="Times New Roman"/>
          <w:b/>
          <w:i/>
        </w:rPr>
        <w:t xml:space="preserve"> USED </w:t>
      </w:r>
      <w:r w:rsidR="007D60EA">
        <w:rPr>
          <w:rFonts w:eastAsia="Times New Roman"/>
          <w:b/>
          <w:i/>
        </w:rPr>
        <w:t xml:space="preserve">AN </w:t>
      </w:r>
      <w:r w:rsidR="00EF3415">
        <w:rPr>
          <w:rFonts w:eastAsia="Times New Roman"/>
          <w:b/>
          <w:i/>
        </w:rPr>
        <w:t xml:space="preserve">AVERAGE OF </w:t>
      </w:r>
      <w:r w:rsidR="007D60EA">
        <w:rPr>
          <w:rFonts w:eastAsia="Times New Roman"/>
          <w:b/>
          <w:i/>
        </w:rPr>
        <w:t xml:space="preserve">RETURNS ON EQUITY </w:t>
      </w:r>
      <w:r w:rsidR="00EF3415">
        <w:rPr>
          <w:rFonts w:eastAsia="Times New Roman"/>
          <w:b/>
          <w:i/>
        </w:rPr>
        <w:t xml:space="preserve">GRANTED OVER THE LAST </w:t>
      </w:r>
      <w:r>
        <w:rPr>
          <w:rFonts w:eastAsia="Times New Roman"/>
          <w:b/>
          <w:i/>
        </w:rPr>
        <w:t xml:space="preserve">20 </w:t>
      </w:r>
      <w:r w:rsidR="00EF3415">
        <w:rPr>
          <w:rFonts w:eastAsia="Times New Roman"/>
          <w:b/>
          <w:i/>
        </w:rPr>
        <w:t xml:space="preserve">YEARS </w:t>
      </w:r>
      <w:r w:rsidR="002C2790">
        <w:rPr>
          <w:rFonts w:eastAsia="Times New Roman"/>
          <w:b/>
          <w:i/>
        </w:rPr>
        <w:t>IN SETTING THE ROE FOR A REGULATED GAS UTILIT</w:t>
      </w:r>
      <w:r w:rsidR="007D60EA">
        <w:rPr>
          <w:rFonts w:eastAsia="Times New Roman"/>
          <w:b/>
          <w:i/>
        </w:rPr>
        <w:t>Y</w:t>
      </w:r>
      <w:r w:rsidR="002C2790">
        <w:rPr>
          <w:rFonts w:eastAsia="Times New Roman"/>
          <w:b/>
          <w:i/>
        </w:rPr>
        <w:t>?</w:t>
      </w:r>
      <w:r>
        <w:rPr>
          <w:rFonts w:eastAsia="Times New Roman"/>
          <w:b/>
          <w:i/>
        </w:rPr>
        <w:t xml:space="preserve"> </w:t>
      </w:r>
    </w:p>
    <w:p w:rsidR="008345DA" w:rsidP="00C41DA3">
      <w:pPr>
        <w:spacing w:line="480" w:lineRule="auto"/>
      </w:pPr>
      <w:r w:rsidRPr="002C2790">
        <w:rPr>
          <w:b/>
          <w:i/>
        </w:rPr>
        <w:t>A1</w:t>
      </w:r>
      <w:r w:rsidR="004C3D0E">
        <w:rPr>
          <w:b/>
          <w:i/>
        </w:rPr>
        <w:t>5</w:t>
      </w:r>
      <w:r w:rsidRPr="002C2790">
        <w:rPr>
          <w:b/>
          <w:i/>
        </w:rPr>
        <w:t>.</w:t>
      </w:r>
      <w:r w:rsidR="004C3D0E">
        <w:rPr>
          <w:b/>
          <w:i/>
        </w:rPr>
        <w:tab/>
      </w:r>
      <w:r w:rsidR="004C3D0E">
        <w:t xml:space="preserve">No. I am not aware of any such </w:t>
      </w:r>
      <w:r w:rsidR="00BB2FFD">
        <w:t xml:space="preserve">instances </w:t>
      </w:r>
      <w:r w:rsidR="004C3D0E">
        <w:t xml:space="preserve">in Ohio </w:t>
      </w:r>
      <w:r w:rsidR="00CC5B40">
        <w:t xml:space="preserve">or </w:t>
      </w:r>
      <w:r w:rsidR="004C3D0E">
        <w:t xml:space="preserve">in </w:t>
      </w:r>
      <w:r w:rsidR="00CC5B40">
        <w:t xml:space="preserve">any </w:t>
      </w:r>
      <w:r w:rsidR="004C3D0E">
        <w:t>other jurisdiction.</w:t>
      </w:r>
    </w:p>
    <w:p w:rsidR="00C41DA3" w:rsidRPr="004C3D0E" w:rsidP="00C41DA3">
      <w:pPr>
        <w:spacing w:line="480" w:lineRule="auto"/>
      </w:pPr>
    </w:p>
    <w:p w:rsidR="002C2790" w:rsidP="002C2790">
      <w:pPr>
        <w:spacing w:line="480" w:lineRule="auto"/>
        <w:ind w:left="720" w:hanging="720"/>
        <w:jc w:val="both"/>
        <w:rPr>
          <w:rFonts w:eastAsia="Times New Roman"/>
          <w:b/>
          <w:i/>
        </w:rPr>
      </w:pPr>
      <w:bookmarkStart w:id="23" w:name="_Hlk1648861"/>
      <w:r>
        <w:rPr>
          <w:rFonts w:eastAsia="Times New Roman"/>
          <w:b/>
          <w:i/>
        </w:rPr>
        <w:t>Q1</w:t>
      </w:r>
      <w:r w:rsidR="004C3D0E">
        <w:rPr>
          <w:rFonts w:eastAsia="Times New Roman"/>
          <w:b/>
          <w:i/>
        </w:rPr>
        <w:t>6</w:t>
      </w:r>
      <w:r>
        <w:rPr>
          <w:rFonts w:eastAsia="Times New Roman"/>
          <w:b/>
          <w:i/>
        </w:rPr>
        <w:t>.</w:t>
      </w:r>
      <w:r>
        <w:rPr>
          <w:rFonts w:eastAsia="Times New Roman"/>
        </w:rPr>
        <w:tab/>
      </w:r>
      <w:r>
        <w:rPr>
          <w:rFonts w:eastAsia="Times New Roman"/>
          <w:b/>
          <w:i/>
        </w:rPr>
        <w:t xml:space="preserve">HAS THE </w:t>
      </w:r>
      <w:r w:rsidR="00220865">
        <w:rPr>
          <w:rFonts w:eastAsia="Times New Roman"/>
          <w:b/>
          <w:i/>
        </w:rPr>
        <w:t xml:space="preserve">PUCO </w:t>
      </w:r>
      <w:r>
        <w:rPr>
          <w:rFonts w:eastAsia="Times New Roman"/>
          <w:b/>
          <w:i/>
        </w:rPr>
        <w:t xml:space="preserve">STAFF EVER USED THE 20-YEAR AVERAGE ROE </w:t>
      </w:r>
      <w:r w:rsidR="006C56E2">
        <w:rPr>
          <w:rFonts w:eastAsia="Times New Roman"/>
          <w:b/>
          <w:i/>
        </w:rPr>
        <w:t xml:space="preserve">AS </w:t>
      </w:r>
      <w:r w:rsidR="00EF3415">
        <w:rPr>
          <w:rFonts w:eastAsia="Times New Roman"/>
          <w:b/>
          <w:i/>
        </w:rPr>
        <w:t xml:space="preserve">THE </w:t>
      </w:r>
      <w:r w:rsidR="006C56E2">
        <w:rPr>
          <w:rFonts w:eastAsia="Times New Roman"/>
          <w:b/>
          <w:i/>
        </w:rPr>
        <w:t xml:space="preserve">RECOMMENDED ROE </w:t>
      </w:r>
      <w:r>
        <w:rPr>
          <w:rFonts w:eastAsia="Times New Roman"/>
          <w:b/>
          <w:i/>
        </w:rPr>
        <w:t xml:space="preserve">IN ITS STAFF REPORT FOR A GAS RATE CASE? </w:t>
      </w:r>
    </w:p>
    <w:p w:rsidR="008345DA" w:rsidP="008A7D39">
      <w:pPr>
        <w:spacing w:line="480" w:lineRule="auto"/>
        <w:ind w:left="720" w:hanging="720"/>
        <w:sectPr w:rsidSect="00FC07DD">
          <w:pgSz w:w="12240" w:h="15840" w:code="1"/>
          <w:pgMar w:top="1440" w:right="1440" w:bottom="1440" w:left="1440" w:header="720" w:footer="720" w:gutter="0"/>
          <w:lnNumType w:countBy="1"/>
          <w:cols w:space="720"/>
          <w:titlePg/>
          <w:docGrid w:linePitch="360"/>
        </w:sectPr>
      </w:pPr>
      <w:r w:rsidRPr="002C2790">
        <w:rPr>
          <w:b/>
          <w:i/>
        </w:rPr>
        <w:t>A1</w:t>
      </w:r>
      <w:r w:rsidR="004C3D0E">
        <w:rPr>
          <w:b/>
          <w:i/>
        </w:rPr>
        <w:t>6</w:t>
      </w:r>
      <w:r w:rsidRPr="002C2790">
        <w:rPr>
          <w:b/>
          <w:i/>
        </w:rPr>
        <w:t>.</w:t>
      </w:r>
      <w:r w:rsidR="004C3D0E">
        <w:rPr>
          <w:b/>
          <w:i/>
        </w:rPr>
        <w:tab/>
      </w:r>
      <w:r w:rsidR="004C3D0E">
        <w:t xml:space="preserve">No. Based on my review of the </w:t>
      </w:r>
      <w:r w:rsidR="008A7D39">
        <w:t xml:space="preserve">numerous </w:t>
      </w:r>
      <w:r w:rsidR="004C3D0E">
        <w:t xml:space="preserve">Staff Reports </w:t>
      </w:r>
      <w:r w:rsidR="008A7D39">
        <w:t>of rate case proceedings in Ohio, I have not found any such instances.</w:t>
      </w:r>
    </w:p>
    <w:p w:rsidR="002C2790" w:rsidP="002C2790">
      <w:pPr>
        <w:spacing w:line="480" w:lineRule="auto"/>
        <w:ind w:left="720" w:hanging="720"/>
        <w:jc w:val="both"/>
        <w:rPr>
          <w:rFonts w:eastAsia="Times New Roman"/>
          <w:b/>
          <w:i/>
        </w:rPr>
      </w:pPr>
      <w:bookmarkEnd w:id="23"/>
      <w:r>
        <w:rPr>
          <w:rFonts w:eastAsia="Times New Roman"/>
          <w:b/>
          <w:i/>
        </w:rPr>
        <w:t>Q1</w:t>
      </w:r>
      <w:r w:rsidR="008A7D39">
        <w:rPr>
          <w:rFonts w:eastAsia="Times New Roman"/>
          <w:b/>
          <w:i/>
        </w:rPr>
        <w:t>7</w:t>
      </w:r>
      <w:r>
        <w:rPr>
          <w:rFonts w:eastAsia="Times New Roman"/>
          <w:b/>
          <w:i/>
        </w:rPr>
        <w:t>.</w:t>
      </w:r>
      <w:r>
        <w:rPr>
          <w:rFonts w:eastAsia="Times New Roman"/>
        </w:rPr>
        <w:tab/>
      </w:r>
      <w:r>
        <w:rPr>
          <w:rFonts w:eastAsia="Times New Roman"/>
          <w:b/>
          <w:i/>
        </w:rPr>
        <w:t>ARE YOU AWARE OF ANY FINANCIAL ANALYST OR ECONOMIST WHO</w:t>
      </w:r>
      <w:r w:rsidR="007D60EA">
        <w:rPr>
          <w:rFonts w:eastAsia="Times New Roman"/>
          <w:b/>
          <w:i/>
        </w:rPr>
        <w:t xml:space="preserve"> HAS</w:t>
      </w:r>
      <w:r>
        <w:rPr>
          <w:rFonts w:eastAsia="Times New Roman"/>
          <w:b/>
          <w:i/>
        </w:rPr>
        <w:t xml:space="preserve"> </w:t>
      </w:r>
      <w:r w:rsidR="00BB2FFD">
        <w:rPr>
          <w:rFonts w:eastAsia="Times New Roman"/>
          <w:b/>
          <w:i/>
        </w:rPr>
        <w:t xml:space="preserve">PROPOSED OR </w:t>
      </w:r>
      <w:r>
        <w:rPr>
          <w:rFonts w:eastAsia="Times New Roman"/>
          <w:b/>
          <w:i/>
        </w:rPr>
        <w:t xml:space="preserve">USED </w:t>
      </w:r>
      <w:r w:rsidR="007D60EA">
        <w:rPr>
          <w:rFonts w:eastAsia="Times New Roman"/>
          <w:b/>
          <w:i/>
        </w:rPr>
        <w:t xml:space="preserve">A </w:t>
      </w:r>
      <w:r>
        <w:rPr>
          <w:rFonts w:eastAsia="Times New Roman"/>
          <w:b/>
          <w:i/>
        </w:rPr>
        <w:t xml:space="preserve">20-YEAR AVERAGE </w:t>
      </w:r>
      <w:r w:rsidR="007D60EA">
        <w:rPr>
          <w:rFonts w:eastAsia="Times New Roman"/>
          <w:b/>
          <w:i/>
        </w:rPr>
        <w:t>ROE</w:t>
      </w:r>
      <w:r>
        <w:rPr>
          <w:rFonts w:eastAsia="Times New Roman"/>
          <w:b/>
          <w:i/>
        </w:rPr>
        <w:t xml:space="preserve"> IN </w:t>
      </w:r>
      <w:r w:rsidR="006C56E2">
        <w:rPr>
          <w:rFonts w:eastAsia="Times New Roman"/>
          <w:b/>
          <w:i/>
        </w:rPr>
        <w:t xml:space="preserve">THE </w:t>
      </w:r>
      <w:r>
        <w:rPr>
          <w:rFonts w:eastAsia="Times New Roman"/>
          <w:b/>
          <w:i/>
        </w:rPr>
        <w:t xml:space="preserve">RATE OF RETURN ANALYSIS?  </w:t>
      </w:r>
    </w:p>
    <w:p w:rsidR="002C2790" w:rsidRPr="008A7D39" w:rsidP="00C41DA3">
      <w:pPr>
        <w:spacing w:line="480" w:lineRule="auto"/>
        <w:ind w:left="720" w:hanging="720"/>
      </w:pPr>
      <w:r w:rsidRPr="002C2790">
        <w:rPr>
          <w:b/>
          <w:i/>
        </w:rPr>
        <w:t>A1</w:t>
      </w:r>
      <w:r w:rsidR="008A7D39">
        <w:rPr>
          <w:b/>
          <w:i/>
        </w:rPr>
        <w:t>7</w:t>
      </w:r>
      <w:r w:rsidRPr="002C2790">
        <w:rPr>
          <w:b/>
          <w:i/>
        </w:rPr>
        <w:t>.</w:t>
      </w:r>
      <w:r w:rsidR="008A7D39">
        <w:rPr>
          <w:b/>
          <w:i/>
        </w:rPr>
        <w:tab/>
      </w:r>
      <w:r w:rsidR="008A7D39">
        <w:t xml:space="preserve">No. I </w:t>
      </w:r>
      <w:r w:rsidR="00784ECA">
        <w:t xml:space="preserve">am not aware of </w:t>
      </w:r>
      <w:r w:rsidR="008A7D39">
        <w:t xml:space="preserve">any financial analyst or economist, other than </w:t>
      </w:r>
      <w:r w:rsidR="007D60EA">
        <w:t xml:space="preserve">those </w:t>
      </w:r>
      <w:r w:rsidR="00B43424">
        <w:t xml:space="preserve">who prepared </w:t>
      </w:r>
      <w:r w:rsidR="008A7D39">
        <w:t>the Staff</w:t>
      </w:r>
      <w:r w:rsidR="00B43424">
        <w:t xml:space="preserve"> Report in this case</w:t>
      </w:r>
      <w:r w:rsidR="008A7D39">
        <w:t xml:space="preserve">, that </w:t>
      </w:r>
      <w:r w:rsidR="00EF3415">
        <w:t>ha</w:t>
      </w:r>
      <w:r w:rsidR="004573AF">
        <w:t>s</w:t>
      </w:r>
      <w:r w:rsidR="00EF3415">
        <w:t xml:space="preserve"> </w:t>
      </w:r>
      <w:r w:rsidR="008A7D39">
        <w:t>propose</w:t>
      </w:r>
      <w:r w:rsidR="00EF3415">
        <w:t>d</w:t>
      </w:r>
      <w:r w:rsidR="008A7D39">
        <w:t xml:space="preserve"> </w:t>
      </w:r>
      <w:r w:rsidR="00784ECA">
        <w:t xml:space="preserve">or </w:t>
      </w:r>
      <w:r w:rsidR="008A7D39">
        <w:t>use</w:t>
      </w:r>
      <w:r w:rsidR="00EF3415">
        <w:t>d</w:t>
      </w:r>
      <w:r w:rsidR="008A7D39">
        <w:t xml:space="preserve"> the</w:t>
      </w:r>
      <w:r w:rsidR="00B43424">
        <w:t xml:space="preserve"> 20-year</w:t>
      </w:r>
      <w:r w:rsidR="008A7D39">
        <w:t xml:space="preserve"> average</w:t>
      </w:r>
      <w:r w:rsidR="00EF3415">
        <w:t xml:space="preserve"> </w:t>
      </w:r>
      <w:r w:rsidR="008A7D39">
        <w:t xml:space="preserve">ROE as a proxy for the current cost of equity. </w:t>
      </w:r>
    </w:p>
    <w:p w:rsidR="00C51E85" w:rsidP="00C41DA3">
      <w:pPr>
        <w:spacing w:line="480" w:lineRule="auto"/>
      </w:pPr>
    </w:p>
    <w:p w:rsidR="00C51E85" w:rsidP="00C41DA3">
      <w:pPr>
        <w:spacing w:line="480" w:lineRule="auto"/>
        <w:ind w:left="720" w:hanging="720"/>
        <w:jc w:val="both"/>
        <w:rPr>
          <w:rFonts w:eastAsia="Times New Roman"/>
          <w:b/>
          <w:i/>
        </w:rPr>
      </w:pPr>
      <w:bookmarkStart w:id="24" w:name="_Hlk1649549"/>
      <w:r>
        <w:rPr>
          <w:rFonts w:eastAsia="Times New Roman"/>
          <w:b/>
          <w:i/>
        </w:rPr>
        <w:t>Q1</w:t>
      </w:r>
      <w:r w:rsidR="00784ECA">
        <w:rPr>
          <w:rFonts w:eastAsia="Times New Roman"/>
          <w:b/>
          <w:i/>
        </w:rPr>
        <w:t>8</w:t>
      </w:r>
      <w:r>
        <w:rPr>
          <w:rFonts w:eastAsia="Times New Roman"/>
          <w:b/>
          <w:i/>
        </w:rPr>
        <w:t>.</w:t>
      </w:r>
      <w:r>
        <w:rPr>
          <w:rFonts w:eastAsia="Times New Roman"/>
        </w:rPr>
        <w:tab/>
      </w:r>
      <w:r w:rsidR="00784ECA">
        <w:rPr>
          <w:rFonts w:eastAsia="Times New Roman"/>
          <w:b/>
          <w:i/>
        </w:rPr>
        <w:t>DO YOU AGREE WITH THE STAFF</w:t>
      </w:r>
      <w:r w:rsidR="006D244B">
        <w:rPr>
          <w:rFonts w:eastAsia="Times New Roman"/>
          <w:b/>
          <w:i/>
        </w:rPr>
        <w:t xml:space="preserve"> REPORT</w:t>
      </w:r>
      <w:r w:rsidR="00784ECA">
        <w:rPr>
          <w:rFonts w:eastAsia="Times New Roman"/>
          <w:b/>
          <w:i/>
        </w:rPr>
        <w:t xml:space="preserve">’S ASSERTION THAT “USING THE $100 MILLION THRESHOLD SHOULD CAPTURE ANY SIZE PREMIUM THAT REGULATORS EMPLOYED IN GRANTING RETURN ON EQUITY”? </w:t>
      </w:r>
    </w:p>
    <w:p w:rsidR="00C22A36" w:rsidP="00C22A36">
      <w:pPr>
        <w:spacing w:line="480" w:lineRule="auto"/>
        <w:ind w:left="720" w:hanging="720"/>
      </w:pPr>
      <w:r w:rsidRPr="00C22A36">
        <w:rPr>
          <w:b/>
          <w:i/>
        </w:rPr>
        <w:t>A1</w:t>
      </w:r>
      <w:r w:rsidR="00784ECA">
        <w:rPr>
          <w:b/>
          <w:i/>
        </w:rPr>
        <w:t>8</w:t>
      </w:r>
      <w:r w:rsidRPr="00C22A36">
        <w:rPr>
          <w:b/>
          <w:i/>
        </w:rPr>
        <w:t>.</w:t>
      </w:r>
      <w:r>
        <w:rPr>
          <w:b/>
          <w:i/>
        </w:rPr>
        <w:tab/>
      </w:r>
      <w:bookmarkEnd w:id="24"/>
      <w:r w:rsidR="00784ECA">
        <w:t xml:space="preserve">No. </w:t>
      </w:r>
      <w:r w:rsidR="00ED2A57">
        <w:t>A</w:t>
      </w:r>
      <w:r w:rsidR="00784ECA">
        <w:t xml:space="preserve">s discussed earlier, </w:t>
      </w:r>
      <w:r w:rsidR="00ED2A57">
        <w:t>using a simple</w:t>
      </w:r>
      <w:r w:rsidR="00B43424">
        <w:t xml:space="preserve"> 20-year</w:t>
      </w:r>
      <w:r w:rsidR="00ED2A57">
        <w:t xml:space="preserve"> average </w:t>
      </w:r>
      <w:r w:rsidR="00B43424">
        <w:t xml:space="preserve">ROE </w:t>
      </w:r>
      <w:r w:rsidR="00ED2A57">
        <w:t>as a proxy for the cost of equity under current market and economic conditions</w:t>
      </w:r>
      <w:r w:rsidR="00B43424">
        <w:t xml:space="preserve"> is unreasonable</w:t>
      </w:r>
      <w:r w:rsidR="00ED2A57">
        <w:t xml:space="preserve">. Furthermore, </w:t>
      </w:r>
      <w:r w:rsidR="00E36563">
        <w:t xml:space="preserve">even if such an approach </w:t>
      </w:r>
      <w:r w:rsidR="00220865">
        <w:t>were</w:t>
      </w:r>
      <w:r w:rsidR="006C56E2">
        <w:t xml:space="preserve"> </w:t>
      </w:r>
      <w:r w:rsidR="00E36563">
        <w:t xml:space="preserve">used, </w:t>
      </w:r>
      <w:r w:rsidR="00ED2A57">
        <w:t xml:space="preserve">the </w:t>
      </w:r>
      <w:r w:rsidR="006C56E2">
        <w:t>Staff</w:t>
      </w:r>
      <w:r w:rsidR="00B43424">
        <w:t xml:space="preserve"> Report unreasonably and unnecessarily</w:t>
      </w:r>
      <w:r w:rsidR="006C56E2">
        <w:t xml:space="preserve"> </w:t>
      </w:r>
      <w:r w:rsidR="00ED2A57">
        <w:t>use</w:t>
      </w:r>
      <w:r w:rsidR="00B43424">
        <w:t>d</w:t>
      </w:r>
      <w:r w:rsidR="00ED2A57">
        <w:t xml:space="preserve"> </w:t>
      </w:r>
      <w:r w:rsidR="00B43424">
        <w:t xml:space="preserve">a </w:t>
      </w:r>
      <w:r w:rsidR="00ED2A57">
        <w:t xml:space="preserve">$100 million rate base threshold </w:t>
      </w:r>
      <w:r w:rsidR="00B43424">
        <w:t xml:space="preserve">to </w:t>
      </w:r>
      <w:r w:rsidR="00E36563">
        <w:t xml:space="preserve">select the companies </w:t>
      </w:r>
      <w:r w:rsidR="004C2F1C">
        <w:t xml:space="preserve">for calculating the average </w:t>
      </w:r>
      <w:r w:rsidR="00E36563">
        <w:t>ROE</w:t>
      </w:r>
      <w:r w:rsidR="00ED2A57">
        <w:t xml:space="preserve">.  </w:t>
      </w:r>
    </w:p>
    <w:p w:rsidR="00E36563" w:rsidP="00C22A36">
      <w:pPr>
        <w:spacing w:line="480" w:lineRule="auto"/>
        <w:ind w:left="720" w:hanging="720"/>
        <w:rPr>
          <w:rFonts w:eastAsia="Times New Roman"/>
        </w:rPr>
      </w:pPr>
    </w:p>
    <w:p w:rsidR="00ED2A57" w:rsidP="00ED2A57">
      <w:pPr>
        <w:spacing w:line="480" w:lineRule="auto"/>
        <w:ind w:left="720" w:hanging="720"/>
        <w:jc w:val="both"/>
        <w:rPr>
          <w:rFonts w:eastAsia="Times New Roman"/>
          <w:b/>
          <w:i/>
        </w:rPr>
      </w:pPr>
      <w:r>
        <w:rPr>
          <w:rFonts w:eastAsia="Times New Roman"/>
          <w:b/>
          <w:i/>
        </w:rPr>
        <w:t>Q19.</w:t>
      </w:r>
      <w:r>
        <w:rPr>
          <w:rFonts w:eastAsia="Times New Roman"/>
        </w:rPr>
        <w:tab/>
      </w:r>
      <w:r w:rsidR="004C2F1C">
        <w:rPr>
          <w:rFonts w:eastAsia="Times New Roman"/>
          <w:b/>
          <w:i/>
        </w:rPr>
        <w:t xml:space="preserve">IS IT NECESSARY TO USE </w:t>
      </w:r>
      <w:r w:rsidR="006C56E2">
        <w:rPr>
          <w:rFonts w:eastAsia="Times New Roman"/>
          <w:b/>
          <w:i/>
        </w:rPr>
        <w:t>A</w:t>
      </w:r>
      <w:r w:rsidR="003A7D84">
        <w:rPr>
          <w:rFonts w:eastAsia="Times New Roman"/>
          <w:b/>
          <w:i/>
        </w:rPr>
        <w:t xml:space="preserve"> </w:t>
      </w:r>
      <w:r w:rsidR="006C56E2">
        <w:rPr>
          <w:rFonts w:eastAsia="Times New Roman"/>
          <w:b/>
          <w:i/>
        </w:rPr>
        <w:t>SI</w:t>
      </w:r>
      <w:r>
        <w:rPr>
          <w:rFonts w:eastAsia="Times New Roman"/>
          <w:b/>
          <w:i/>
        </w:rPr>
        <w:t xml:space="preserve">ZE PREMIUM </w:t>
      </w:r>
      <w:r w:rsidR="006C56E2">
        <w:rPr>
          <w:rFonts w:eastAsia="Times New Roman"/>
          <w:b/>
          <w:i/>
        </w:rPr>
        <w:t>FOR SMALL REGULATED UTILIT</w:t>
      </w:r>
      <w:r w:rsidR="00FA2173">
        <w:rPr>
          <w:rFonts w:eastAsia="Times New Roman"/>
          <w:b/>
          <w:i/>
        </w:rPr>
        <w:t>IES</w:t>
      </w:r>
      <w:r w:rsidR="006C56E2">
        <w:rPr>
          <w:rFonts w:eastAsia="Times New Roman"/>
          <w:b/>
          <w:i/>
        </w:rPr>
        <w:t xml:space="preserve">? </w:t>
      </w:r>
    </w:p>
    <w:p w:rsidR="00E36563" w:rsidP="00E36563">
      <w:pPr>
        <w:spacing w:line="480" w:lineRule="auto"/>
        <w:ind w:left="720" w:hanging="720"/>
        <w:rPr>
          <w:rFonts w:eastAsia="Times New Roman"/>
        </w:rPr>
      </w:pPr>
      <w:r w:rsidRPr="00C22A36">
        <w:rPr>
          <w:b/>
          <w:i/>
        </w:rPr>
        <w:t>A1</w:t>
      </w:r>
      <w:r>
        <w:rPr>
          <w:b/>
          <w:i/>
        </w:rPr>
        <w:t>9</w:t>
      </w:r>
      <w:r w:rsidRPr="00C22A36">
        <w:rPr>
          <w:b/>
          <w:i/>
        </w:rPr>
        <w:t>.</w:t>
      </w:r>
      <w:r>
        <w:rPr>
          <w:b/>
          <w:i/>
        </w:rPr>
        <w:tab/>
      </w:r>
      <w:r>
        <w:t>No. The so-called size premium</w:t>
      </w:r>
      <w:r w:rsidRPr="00C41DA3" w:rsidR="006D244B">
        <w:t xml:space="preserve">, as used by certain financial analysts, typically </w:t>
      </w:r>
      <w:r w:rsidRPr="00C41DA3">
        <w:t>refers</w:t>
      </w:r>
      <w:r>
        <w:t xml:space="preserve"> to the </w:t>
      </w:r>
      <w:r w:rsidR="004C2F1C">
        <w:t>theory that a small regulated utility should have a higher ROE</w:t>
      </w:r>
      <w:r w:rsidR="00E45BC2">
        <w:t xml:space="preserve"> because it is purportedly riskier to operate a </w:t>
      </w:r>
      <w:r>
        <w:t xml:space="preserve">small regulated utility </w:t>
      </w:r>
      <w:r w:rsidR="003A7D84">
        <w:t>than</w:t>
      </w:r>
      <w:r w:rsidR="004C2F1C">
        <w:t xml:space="preserve"> </w:t>
      </w:r>
      <w:r w:rsidR="00E45BC2">
        <w:t xml:space="preserve">to </w:t>
      </w:r>
      <w:r w:rsidR="004C2F1C">
        <w:t>operat</w:t>
      </w:r>
      <w:r w:rsidR="00E45BC2">
        <w:t>e</w:t>
      </w:r>
      <w:r w:rsidR="003A7D84">
        <w:t xml:space="preserve"> a large </w:t>
      </w:r>
      <w:r w:rsidR="00470851">
        <w:t xml:space="preserve">regulated </w:t>
      </w:r>
      <w:r w:rsidR="003A7D84">
        <w:t xml:space="preserve">utility. </w:t>
      </w:r>
      <w:r w:rsidR="00E45BC2">
        <w:t xml:space="preserve">However, </w:t>
      </w:r>
      <w:r w:rsidR="003A7D84">
        <w:t xml:space="preserve">I have not seen any </w:t>
      </w:r>
      <w:r w:rsidR="00E45BC2">
        <w:rPr>
          <w:rFonts w:eastAsia="Times New Roman"/>
        </w:rPr>
        <w:t xml:space="preserve">empirical or theoretical evidence to suggest </w:t>
      </w:r>
      <w:r w:rsidRPr="000574B5">
        <w:rPr>
          <w:rFonts w:eastAsia="Times New Roman"/>
        </w:rPr>
        <w:t>that</w:t>
      </w:r>
      <w:r w:rsidR="00E45BC2">
        <w:rPr>
          <w:rFonts w:eastAsia="Times New Roman"/>
        </w:rPr>
        <w:t xml:space="preserve"> operating</w:t>
      </w:r>
      <w:r w:rsidRPr="000574B5">
        <w:rPr>
          <w:rFonts w:eastAsia="Times New Roman"/>
        </w:rPr>
        <w:t xml:space="preserve"> small gas utilities </w:t>
      </w:r>
      <w:r w:rsidR="00E45BC2">
        <w:rPr>
          <w:rFonts w:eastAsia="Times New Roman"/>
        </w:rPr>
        <w:t xml:space="preserve">is any </w:t>
      </w:r>
      <w:r w:rsidRPr="000574B5">
        <w:rPr>
          <w:rFonts w:eastAsia="Times New Roman"/>
        </w:rPr>
        <w:t>risk</w:t>
      </w:r>
      <w:r w:rsidR="00FA2173">
        <w:rPr>
          <w:rFonts w:eastAsia="Times New Roman"/>
        </w:rPr>
        <w:t>i</w:t>
      </w:r>
      <w:r w:rsidRPr="000574B5">
        <w:rPr>
          <w:rFonts w:eastAsia="Times New Roman"/>
        </w:rPr>
        <w:t>er</w:t>
      </w:r>
      <w:r w:rsidR="004573AF">
        <w:rPr>
          <w:rFonts w:eastAsia="Times New Roman"/>
        </w:rPr>
        <w:t xml:space="preserve"> than</w:t>
      </w:r>
      <w:r w:rsidR="00E45BC2">
        <w:rPr>
          <w:rFonts w:eastAsia="Times New Roman"/>
        </w:rPr>
        <w:t xml:space="preserve"> operating</w:t>
      </w:r>
      <w:r w:rsidR="004573AF">
        <w:rPr>
          <w:rFonts w:eastAsia="Times New Roman"/>
        </w:rPr>
        <w:t xml:space="preserve"> </w:t>
      </w:r>
      <w:r w:rsidR="00E45BC2">
        <w:rPr>
          <w:rFonts w:eastAsia="Times New Roman"/>
        </w:rPr>
        <w:t xml:space="preserve">larger </w:t>
      </w:r>
      <w:r w:rsidR="004573AF">
        <w:rPr>
          <w:rFonts w:eastAsia="Times New Roman"/>
        </w:rPr>
        <w:t xml:space="preserve">gas utilities in </w:t>
      </w:r>
      <w:r w:rsidRPr="00C41DA3" w:rsidR="004573AF">
        <w:rPr>
          <w:rFonts w:eastAsia="Times New Roman"/>
        </w:rPr>
        <w:t>general</w:t>
      </w:r>
      <w:r w:rsidRPr="00C41DA3" w:rsidR="00E45BC2">
        <w:rPr>
          <w:rFonts w:eastAsia="Times New Roman"/>
        </w:rPr>
        <w:t>.</w:t>
      </w:r>
      <w:r w:rsidRPr="00C41DA3" w:rsidR="006D244B">
        <w:rPr>
          <w:rFonts w:eastAsia="Times New Roman"/>
        </w:rPr>
        <w:t xml:space="preserve"> The operational and financial risks of regulated utilities are affected by many other factors other than the</w:t>
      </w:r>
      <w:r w:rsidRPr="00C41DA3" w:rsidR="00E96DB4">
        <w:rPr>
          <w:rFonts w:eastAsia="Times New Roman"/>
        </w:rPr>
        <w:t>ir</w:t>
      </w:r>
      <w:r w:rsidRPr="00C41DA3" w:rsidR="006D244B">
        <w:rPr>
          <w:rFonts w:eastAsia="Times New Roman"/>
        </w:rPr>
        <w:t xml:space="preserve"> size.</w:t>
      </w:r>
      <w:r w:rsidR="006D244B">
        <w:rPr>
          <w:rFonts w:eastAsia="Times New Roman"/>
        </w:rPr>
        <w:t xml:space="preserve"> </w:t>
      </w:r>
      <w:r w:rsidR="006B267F">
        <w:rPr>
          <w:rFonts w:eastAsia="Times New Roman"/>
        </w:rPr>
        <w:t>Based on my experience and knowledge, t</w:t>
      </w:r>
      <w:r w:rsidRPr="000574B5">
        <w:rPr>
          <w:rFonts w:eastAsia="Times New Roman"/>
        </w:rPr>
        <w:t xml:space="preserve">here is no </w:t>
      </w:r>
      <w:r w:rsidR="00E45BC2">
        <w:rPr>
          <w:rFonts w:eastAsia="Times New Roman"/>
        </w:rPr>
        <w:t>reason to apply the</w:t>
      </w:r>
      <w:r w:rsidR="001E5408">
        <w:rPr>
          <w:rFonts w:eastAsia="Times New Roman"/>
        </w:rPr>
        <w:t xml:space="preserve"> </w:t>
      </w:r>
      <w:r w:rsidRPr="000574B5">
        <w:rPr>
          <w:rFonts w:eastAsia="Times New Roman"/>
        </w:rPr>
        <w:t>so-called size-premium</w:t>
      </w:r>
      <w:r>
        <w:rPr>
          <w:rFonts w:eastAsia="Times New Roman"/>
        </w:rPr>
        <w:t xml:space="preserve"> </w:t>
      </w:r>
      <w:r w:rsidR="00E45BC2">
        <w:rPr>
          <w:rFonts w:eastAsia="Times New Roman"/>
        </w:rPr>
        <w:t xml:space="preserve">to </w:t>
      </w:r>
      <w:r>
        <w:rPr>
          <w:rFonts w:eastAsia="Times New Roman"/>
        </w:rPr>
        <w:t>small regulated</w:t>
      </w:r>
      <w:r w:rsidR="00E45BC2">
        <w:rPr>
          <w:rFonts w:eastAsia="Times New Roman"/>
        </w:rPr>
        <w:t xml:space="preserve"> gas</w:t>
      </w:r>
      <w:r>
        <w:rPr>
          <w:rFonts w:eastAsia="Times New Roman"/>
        </w:rPr>
        <w:t xml:space="preserve"> utilities</w:t>
      </w:r>
      <w:r w:rsidRPr="000574B5">
        <w:rPr>
          <w:rFonts w:eastAsia="Times New Roman"/>
        </w:rPr>
        <w:t>.</w:t>
      </w:r>
    </w:p>
    <w:p w:rsidR="00ED2A57" w:rsidP="00ED2A57">
      <w:pPr>
        <w:spacing w:line="480" w:lineRule="auto"/>
        <w:ind w:left="720" w:hanging="720"/>
        <w:rPr>
          <w:rFonts w:eastAsia="Times New Roman"/>
        </w:rPr>
      </w:pPr>
    </w:p>
    <w:p w:rsidR="003A7D84" w:rsidP="003A7D84">
      <w:pPr>
        <w:spacing w:line="480" w:lineRule="auto"/>
        <w:ind w:left="720" w:hanging="720"/>
        <w:jc w:val="both"/>
        <w:rPr>
          <w:rFonts w:eastAsia="Times New Roman"/>
          <w:b/>
          <w:i/>
        </w:rPr>
      </w:pPr>
      <w:r>
        <w:rPr>
          <w:rFonts w:eastAsia="Times New Roman"/>
          <w:b/>
          <w:i/>
        </w:rPr>
        <w:t>Q20.</w:t>
      </w:r>
      <w:r>
        <w:rPr>
          <w:rFonts w:eastAsia="Times New Roman"/>
        </w:rPr>
        <w:tab/>
      </w:r>
      <w:r>
        <w:rPr>
          <w:rFonts w:eastAsia="Times New Roman"/>
          <w:b/>
          <w:i/>
        </w:rPr>
        <w:t>HAS THE PUCO OR THE PUCO STAFF CONSIDER</w:t>
      </w:r>
      <w:r w:rsidR="00295DC9">
        <w:rPr>
          <w:rFonts w:eastAsia="Times New Roman"/>
          <w:b/>
          <w:i/>
        </w:rPr>
        <w:t>ED OR GRANTED</w:t>
      </w:r>
      <w:r>
        <w:rPr>
          <w:rFonts w:eastAsia="Times New Roman"/>
          <w:b/>
          <w:i/>
        </w:rPr>
        <w:t xml:space="preserve"> </w:t>
      </w:r>
      <w:r w:rsidR="00514787">
        <w:rPr>
          <w:rFonts w:eastAsia="Times New Roman"/>
          <w:b/>
          <w:i/>
        </w:rPr>
        <w:t xml:space="preserve">A </w:t>
      </w:r>
      <w:r>
        <w:rPr>
          <w:rFonts w:eastAsia="Times New Roman"/>
          <w:b/>
          <w:i/>
        </w:rPr>
        <w:t>SIZE PREMIUM IN SETTING THE RATE</w:t>
      </w:r>
      <w:r w:rsidR="003F6C78">
        <w:rPr>
          <w:rFonts w:eastAsia="Times New Roman"/>
          <w:b/>
          <w:i/>
        </w:rPr>
        <w:t>S</w:t>
      </w:r>
      <w:r>
        <w:rPr>
          <w:rFonts w:eastAsia="Times New Roman"/>
          <w:b/>
          <w:i/>
        </w:rPr>
        <w:t xml:space="preserve"> OF RETURN FOR REGULATED UTILITIES OR REGULATED GAS UTILITIES IN OHIO?  </w:t>
      </w:r>
    </w:p>
    <w:p w:rsidR="003A7D84" w:rsidRPr="000574B5" w:rsidP="00C41DA3">
      <w:pPr>
        <w:spacing w:line="480" w:lineRule="auto"/>
        <w:ind w:left="720" w:hanging="720"/>
        <w:rPr>
          <w:rFonts w:eastAsia="Times New Roman"/>
        </w:rPr>
      </w:pPr>
      <w:r w:rsidRPr="00C22A36">
        <w:rPr>
          <w:b/>
          <w:i/>
        </w:rPr>
        <w:t>A</w:t>
      </w:r>
      <w:r>
        <w:rPr>
          <w:b/>
          <w:i/>
        </w:rPr>
        <w:t>20</w:t>
      </w:r>
      <w:r w:rsidRPr="00C22A36">
        <w:rPr>
          <w:b/>
          <w:i/>
        </w:rPr>
        <w:t>.</w:t>
      </w:r>
      <w:r>
        <w:rPr>
          <w:b/>
          <w:i/>
        </w:rPr>
        <w:tab/>
      </w:r>
      <w:r>
        <w:t xml:space="preserve">No. </w:t>
      </w:r>
      <w:r w:rsidR="00295DC9">
        <w:t>Based on my review</w:t>
      </w:r>
      <w:r w:rsidR="00D210FF">
        <w:t xml:space="preserve"> </w:t>
      </w:r>
      <w:r w:rsidR="00D210FF">
        <w:rPr>
          <w:rFonts w:eastAsia="Times New Roman"/>
        </w:rPr>
        <w:t>of</w:t>
      </w:r>
      <w:r w:rsidR="00CC0A25">
        <w:rPr>
          <w:rFonts w:eastAsia="Times New Roman"/>
        </w:rPr>
        <w:t xml:space="preserve"> and participation in</w:t>
      </w:r>
      <w:r w:rsidRPr="000574B5" w:rsidR="00D210FF">
        <w:rPr>
          <w:rFonts w:eastAsia="Times New Roman"/>
        </w:rPr>
        <w:t xml:space="preserve"> </w:t>
      </w:r>
      <w:r w:rsidR="00D210FF">
        <w:rPr>
          <w:rFonts w:eastAsia="Times New Roman"/>
        </w:rPr>
        <w:t>numerous</w:t>
      </w:r>
      <w:r w:rsidR="00CC0A25">
        <w:rPr>
          <w:rFonts w:eastAsia="Times New Roman"/>
        </w:rPr>
        <w:t xml:space="preserve"> </w:t>
      </w:r>
      <w:r w:rsidR="00D210FF">
        <w:rPr>
          <w:rFonts w:eastAsia="Times New Roman"/>
        </w:rPr>
        <w:t>rate cases in the past</w:t>
      </w:r>
      <w:r w:rsidR="00295DC9">
        <w:t xml:space="preserve">, </w:t>
      </w:r>
      <w:r w:rsidR="003F6C78">
        <w:rPr>
          <w:rFonts w:eastAsia="Times New Roman"/>
        </w:rPr>
        <w:t xml:space="preserve">neither the </w:t>
      </w:r>
      <w:r w:rsidRPr="000574B5">
        <w:rPr>
          <w:rFonts w:eastAsia="Times New Roman"/>
        </w:rPr>
        <w:t xml:space="preserve">PUCO Staff </w:t>
      </w:r>
      <w:r w:rsidR="003F6C78">
        <w:rPr>
          <w:rFonts w:eastAsia="Times New Roman"/>
        </w:rPr>
        <w:t xml:space="preserve">nor the </w:t>
      </w:r>
      <w:r w:rsidRPr="000574B5">
        <w:rPr>
          <w:rFonts w:eastAsia="Times New Roman"/>
        </w:rPr>
        <w:t xml:space="preserve">PUCO has </w:t>
      </w:r>
      <w:r w:rsidR="00D210FF">
        <w:rPr>
          <w:rFonts w:eastAsia="Times New Roman"/>
        </w:rPr>
        <w:t xml:space="preserve">used or </w:t>
      </w:r>
      <w:r w:rsidRPr="000574B5">
        <w:rPr>
          <w:rFonts w:eastAsia="Times New Roman"/>
        </w:rPr>
        <w:t xml:space="preserve">granted the so-called size premium in setting </w:t>
      </w:r>
      <w:r w:rsidR="004573AF">
        <w:rPr>
          <w:rFonts w:eastAsia="Times New Roman"/>
        </w:rPr>
        <w:t>a</w:t>
      </w:r>
      <w:r w:rsidRPr="000574B5" w:rsidR="004573AF">
        <w:rPr>
          <w:rFonts w:eastAsia="Times New Roman"/>
        </w:rPr>
        <w:t xml:space="preserve"> </w:t>
      </w:r>
      <w:r w:rsidRPr="000574B5">
        <w:rPr>
          <w:rFonts w:eastAsia="Times New Roman"/>
        </w:rPr>
        <w:t>rate of return.</w:t>
      </w:r>
      <w:r w:rsidR="00470851">
        <w:rPr>
          <w:rFonts w:eastAsia="Times New Roman"/>
        </w:rPr>
        <w:t xml:space="preserve"> There is</w:t>
      </w:r>
      <w:r w:rsidR="00D210FF">
        <w:rPr>
          <w:rFonts w:eastAsia="Times New Roman"/>
        </w:rPr>
        <w:t xml:space="preserve"> also</w:t>
      </w:r>
      <w:r w:rsidR="00470851">
        <w:rPr>
          <w:rFonts w:eastAsia="Times New Roman"/>
        </w:rPr>
        <w:t xml:space="preserve"> no indication that </w:t>
      </w:r>
      <w:r w:rsidR="00D210FF">
        <w:rPr>
          <w:rFonts w:eastAsia="Times New Roman"/>
        </w:rPr>
        <w:t xml:space="preserve">other </w:t>
      </w:r>
      <w:r w:rsidR="00470851">
        <w:rPr>
          <w:rFonts w:eastAsia="Times New Roman"/>
        </w:rPr>
        <w:t xml:space="preserve">regulatory agencies </w:t>
      </w:r>
      <w:r w:rsidR="007F7A22">
        <w:rPr>
          <w:rFonts w:eastAsia="Times New Roman"/>
        </w:rPr>
        <w:t>generally</w:t>
      </w:r>
      <w:r w:rsidR="008345DA">
        <w:rPr>
          <w:rFonts w:eastAsia="Times New Roman"/>
        </w:rPr>
        <w:t xml:space="preserve"> </w:t>
      </w:r>
      <w:r w:rsidR="00470851">
        <w:rPr>
          <w:rFonts w:eastAsia="Times New Roman"/>
        </w:rPr>
        <w:t>consider or grant size-premium</w:t>
      </w:r>
      <w:r w:rsidR="007F7A22">
        <w:rPr>
          <w:rFonts w:eastAsia="Times New Roman"/>
        </w:rPr>
        <w:t>s</w:t>
      </w:r>
      <w:r w:rsidR="00470851">
        <w:rPr>
          <w:rFonts w:eastAsia="Times New Roman"/>
        </w:rPr>
        <w:t xml:space="preserve"> in setting the ROEs of regulated </w:t>
      </w:r>
      <w:r w:rsidR="00D210FF">
        <w:rPr>
          <w:rFonts w:eastAsia="Times New Roman"/>
        </w:rPr>
        <w:t xml:space="preserve">gas </w:t>
      </w:r>
      <w:r w:rsidR="00470851">
        <w:rPr>
          <w:rFonts w:eastAsia="Times New Roman"/>
        </w:rPr>
        <w:t>utilities.</w:t>
      </w:r>
    </w:p>
    <w:p w:rsidR="00C51E85" w:rsidP="00C41DA3">
      <w:pPr>
        <w:autoSpaceDE w:val="0"/>
        <w:autoSpaceDN w:val="0"/>
        <w:adjustRightInd w:val="0"/>
        <w:spacing w:line="480" w:lineRule="auto"/>
        <w:rPr>
          <w:b/>
          <w:bCs/>
        </w:rPr>
      </w:pPr>
    </w:p>
    <w:p w:rsidR="00C51E85" w:rsidP="00C41DA3">
      <w:pPr>
        <w:spacing w:line="480" w:lineRule="auto"/>
        <w:ind w:left="720" w:hanging="720"/>
        <w:jc w:val="both"/>
        <w:rPr>
          <w:rFonts w:eastAsia="Times New Roman"/>
          <w:b/>
          <w:i/>
        </w:rPr>
      </w:pPr>
      <w:bookmarkStart w:id="25" w:name="_Hlk1649929"/>
      <w:r>
        <w:rPr>
          <w:rFonts w:eastAsia="Times New Roman"/>
          <w:b/>
          <w:i/>
        </w:rPr>
        <w:t>Q</w:t>
      </w:r>
      <w:r w:rsidR="00295DC9">
        <w:rPr>
          <w:rFonts w:eastAsia="Times New Roman"/>
          <w:b/>
          <w:i/>
        </w:rPr>
        <w:t>2</w:t>
      </w:r>
      <w:r>
        <w:rPr>
          <w:rFonts w:eastAsia="Times New Roman"/>
          <w:b/>
          <w:i/>
        </w:rPr>
        <w:t>1.</w:t>
      </w:r>
      <w:r>
        <w:rPr>
          <w:rFonts w:eastAsia="Times New Roman"/>
        </w:rPr>
        <w:tab/>
      </w:r>
      <w:r>
        <w:rPr>
          <w:rFonts w:eastAsia="Times New Roman"/>
          <w:b/>
          <w:i/>
        </w:rPr>
        <w:t xml:space="preserve">PLEASE EXPLAIN </w:t>
      </w:r>
      <w:r w:rsidR="00C22A36">
        <w:rPr>
          <w:rFonts w:eastAsia="Times New Roman"/>
          <w:b/>
          <w:i/>
        </w:rPr>
        <w:t xml:space="preserve">OCC OBJECTION </w:t>
      </w:r>
      <w:r w:rsidR="002B334A">
        <w:rPr>
          <w:rFonts w:eastAsia="Times New Roman"/>
          <w:b/>
          <w:i/>
        </w:rPr>
        <w:t>2</w:t>
      </w:r>
      <w:r w:rsidR="00C22A36">
        <w:rPr>
          <w:rFonts w:eastAsia="Times New Roman"/>
          <w:b/>
          <w:i/>
        </w:rPr>
        <w:t xml:space="preserve">. </w:t>
      </w:r>
      <w:r>
        <w:rPr>
          <w:rFonts w:eastAsia="Times New Roman"/>
          <w:b/>
          <w:i/>
        </w:rPr>
        <w:t xml:space="preserve"> </w:t>
      </w:r>
    </w:p>
    <w:p w:rsidR="00FC07DD" w:rsidP="00220865">
      <w:pPr>
        <w:autoSpaceDE w:val="0"/>
        <w:autoSpaceDN w:val="0"/>
        <w:adjustRightInd w:val="0"/>
        <w:spacing w:line="480" w:lineRule="auto"/>
        <w:ind w:left="720" w:hanging="720"/>
        <w:sectPr w:rsidSect="005E0851">
          <w:pgSz w:w="12240" w:h="15840" w:code="1"/>
          <w:pgMar w:top="1440" w:right="1440" w:bottom="1440" w:left="1440" w:header="720" w:footer="720" w:gutter="0"/>
          <w:lnNumType w:countBy="1"/>
          <w:cols w:space="720"/>
          <w:titlePg/>
          <w:docGrid w:linePitch="360"/>
        </w:sectPr>
      </w:pPr>
      <w:r w:rsidRPr="00C22A36">
        <w:rPr>
          <w:b/>
          <w:i/>
        </w:rPr>
        <w:t>A</w:t>
      </w:r>
      <w:r w:rsidR="00295DC9">
        <w:rPr>
          <w:b/>
          <w:i/>
        </w:rPr>
        <w:t>2</w:t>
      </w:r>
      <w:bookmarkEnd w:id="25"/>
      <w:r w:rsidR="00470851">
        <w:rPr>
          <w:b/>
          <w:i/>
        </w:rPr>
        <w:t>1.</w:t>
      </w:r>
      <w:r w:rsidR="00470851">
        <w:rPr>
          <w:b/>
          <w:i/>
        </w:rPr>
        <w:tab/>
      </w:r>
      <w:r w:rsidR="00470851">
        <w:rPr>
          <w:bCs/>
        </w:rPr>
        <w:t>The S</w:t>
      </w:r>
      <w:r w:rsidRPr="00C22A36" w:rsidR="00AC6EDB">
        <w:rPr>
          <w:bCs/>
        </w:rPr>
        <w:t>taff</w:t>
      </w:r>
      <w:r w:rsidR="007F7A22">
        <w:rPr>
          <w:bCs/>
        </w:rPr>
        <w:t xml:space="preserve"> Report</w:t>
      </w:r>
      <w:r w:rsidRPr="00C22A36" w:rsidR="00AC6EDB">
        <w:rPr>
          <w:bCs/>
        </w:rPr>
        <w:t>’s recommended mid-point rate of return of 7.22%</w:t>
      </w:r>
      <w:r w:rsidR="00470851">
        <w:rPr>
          <w:bCs/>
        </w:rPr>
        <w:t xml:space="preserve"> is </w:t>
      </w:r>
      <w:r w:rsidR="007F7A22">
        <w:rPr>
          <w:bCs/>
        </w:rPr>
        <w:t xml:space="preserve">excessive </w:t>
      </w:r>
      <w:bookmarkStart w:id="26" w:name="_Hlk964645"/>
      <w:r w:rsidRPr="00C22A36" w:rsidR="00AC6EDB">
        <w:t xml:space="preserve">because it is derived from </w:t>
      </w:r>
      <w:r w:rsidR="007F7A22">
        <w:t xml:space="preserve">the </w:t>
      </w:r>
      <w:r w:rsidRPr="00C22A36" w:rsidR="00AC6EDB">
        <w:t xml:space="preserve">unreasonably high </w:t>
      </w:r>
      <w:r w:rsidRPr="00C22A36" w:rsidR="007F7A22">
        <w:t>10.16%</w:t>
      </w:r>
      <w:r w:rsidR="007F7A22">
        <w:t xml:space="preserve"> ROE</w:t>
      </w:r>
      <w:r w:rsidRPr="00C22A36" w:rsidR="00AC6EDB">
        <w:t xml:space="preserve"> </w:t>
      </w:r>
      <w:r w:rsidR="00295DC9">
        <w:t>recommend</w:t>
      </w:r>
      <w:r w:rsidR="00470851">
        <w:t xml:space="preserve">ed </w:t>
      </w:r>
      <w:r w:rsidR="00295DC9">
        <w:t>in the Staff Report.</w:t>
      </w:r>
      <w:r>
        <w:rPr>
          <w:rStyle w:val="FootnoteReference"/>
        </w:rPr>
        <w:footnoteReference w:id="12"/>
      </w:r>
      <w:r w:rsidR="00295DC9">
        <w:t xml:space="preserve"> As discussed earlier, th</w:t>
      </w:r>
      <w:r w:rsidR="00D43616">
        <w:t>e</w:t>
      </w:r>
      <w:r w:rsidR="00295DC9">
        <w:t xml:space="preserve"> </w:t>
      </w:r>
      <w:r w:rsidR="007F7A22">
        <w:t xml:space="preserve">Staff Report’s </w:t>
      </w:r>
      <w:r w:rsidR="00295DC9">
        <w:t>ROE recommen</w:t>
      </w:r>
      <w:r w:rsidRPr="00C22A36" w:rsidR="00AC6EDB">
        <w:t xml:space="preserve">dation </w:t>
      </w:r>
      <w:r w:rsidR="00470851">
        <w:t xml:space="preserve">of 10.16% </w:t>
      </w:r>
      <w:r w:rsidR="00295DC9">
        <w:t xml:space="preserve">is </w:t>
      </w:r>
      <w:r w:rsidRPr="00C22A36" w:rsidR="00AC6EDB">
        <w:t xml:space="preserve">based on unreasonable methodologies and data used in the rate of return analysis. </w:t>
      </w:r>
      <w:r w:rsidR="00E94B25">
        <w:t>Thus, t</w:t>
      </w:r>
      <w:r w:rsidR="007F7A22">
        <w:t xml:space="preserve">he </w:t>
      </w:r>
      <w:r w:rsidR="00E94B25">
        <w:t xml:space="preserve">proposed </w:t>
      </w:r>
      <w:r w:rsidRPr="00C22A36" w:rsidR="00AC6EDB">
        <w:t xml:space="preserve">rate of return </w:t>
      </w:r>
      <w:r w:rsidR="00BF5D17">
        <w:t xml:space="preserve">in the Staff Report </w:t>
      </w:r>
      <w:r w:rsidR="00E94B25">
        <w:t>is</w:t>
      </w:r>
      <w:r w:rsidR="00142CB0">
        <w:t xml:space="preserve"> also </w:t>
      </w:r>
      <w:r w:rsidRPr="00C22A36" w:rsidR="00E94B25">
        <w:t xml:space="preserve">unreasonably high </w:t>
      </w:r>
      <w:r w:rsidR="00E94B25">
        <w:t xml:space="preserve">and </w:t>
      </w:r>
      <w:r w:rsidR="00A419DD">
        <w:t>would</w:t>
      </w:r>
      <w:r w:rsidRPr="00C22A36" w:rsidR="00A419DD">
        <w:t xml:space="preserve"> </w:t>
      </w:r>
      <w:r w:rsidR="00470851">
        <w:t xml:space="preserve">result in </w:t>
      </w:r>
      <w:r w:rsidR="00A419DD">
        <w:t xml:space="preserve">Suburban’s customers paying </w:t>
      </w:r>
      <w:r w:rsidR="00470851">
        <w:t>unjust and unreasonable rates</w:t>
      </w:r>
      <w:r w:rsidRPr="00C22A36" w:rsidR="00AC6EDB">
        <w:t>.</w:t>
      </w:r>
      <w:bookmarkEnd w:id="26"/>
    </w:p>
    <w:p w:rsidR="004A77A4" w:rsidP="00220865">
      <w:pPr>
        <w:keepNext/>
        <w:autoSpaceDE w:val="0"/>
        <w:autoSpaceDN w:val="0"/>
        <w:adjustRightInd w:val="0"/>
        <w:spacing w:line="480" w:lineRule="auto"/>
        <w:ind w:left="720" w:hanging="720"/>
        <w:rPr>
          <w:rFonts w:eastAsia="Times New Roman"/>
          <w:b/>
          <w:i/>
        </w:rPr>
      </w:pPr>
      <w:r>
        <w:rPr>
          <w:rFonts w:eastAsia="Times New Roman"/>
          <w:b/>
          <w:i/>
        </w:rPr>
        <w:t>Q</w:t>
      </w:r>
      <w:r w:rsidR="00295DC9">
        <w:rPr>
          <w:rFonts w:eastAsia="Times New Roman"/>
          <w:b/>
          <w:i/>
        </w:rPr>
        <w:t>22</w:t>
      </w:r>
      <w:r>
        <w:rPr>
          <w:rFonts w:eastAsia="Times New Roman"/>
          <w:b/>
          <w:i/>
        </w:rPr>
        <w:t>.</w:t>
      </w:r>
      <w:r>
        <w:rPr>
          <w:rFonts w:eastAsia="Times New Roman"/>
        </w:rPr>
        <w:tab/>
      </w:r>
      <w:r>
        <w:rPr>
          <w:rFonts w:eastAsia="Times New Roman"/>
          <w:b/>
          <w:i/>
        </w:rPr>
        <w:t xml:space="preserve">PLEASE EXPLAIN OCC OBJECTION </w:t>
      </w:r>
      <w:r w:rsidR="002B334A">
        <w:rPr>
          <w:rFonts w:eastAsia="Times New Roman"/>
          <w:b/>
          <w:i/>
        </w:rPr>
        <w:t>3</w:t>
      </w:r>
      <w:r>
        <w:rPr>
          <w:rFonts w:eastAsia="Times New Roman"/>
          <w:b/>
          <w:i/>
        </w:rPr>
        <w:t xml:space="preserve">.  </w:t>
      </w:r>
    </w:p>
    <w:p w:rsidR="004A77A4" w:rsidP="00AB7354">
      <w:pPr>
        <w:autoSpaceDE w:val="0"/>
        <w:autoSpaceDN w:val="0"/>
        <w:adjustRightInd w:val="0"/>
        <w:spacing w:line="480" w:lineRule="auto"/>
        <w:ind w:left="720" w:hanging="720"/>
        <w:rPr>
          <w:rFonts w:eastAsia="Times New Roman"/>
        </w:rPr>
      </w:pPr>
      <w:r w:rsidRPr="00C22A36">
        <w:rPr>
          <w:b/>
          <w:i/>
        </w:rPr>
        <w:t>A</w:t>
      </w:r>
      <w:r w:rsidR="00295DC9">
        <w:rPr>
          <w:b/>
          <w:i/>
        </w:rPr>
        <w:t>22</w:t>
      </w:r>
      <w:r w:rsidRPr="00C22A36">
        <w:rPr>
          <w:b/>
          <w:i/>
        </w:rPr>
        <w:t>.</w:t>
      </w:r>
      <w:r>
        <w:rPr>
          <w:b/>
          <w:i/>
        </w:rPr>
        <w:tab/>
      </w:r>
      <w:r w:rsidR="00470851">
        <w:rPr>
          <w:bCs/>
        </w:rPr>
        <w:t>T</w:t>
      </w:r>
      <w:r w:rsidRPr="004A77A4" w:rsidR="00AC6EDB">
        <w:rPr>
          <w:bCs/>
        </w:rPr>
        <w:t>he Staff</w:t>
      </w:r>
      <w:r w:rsidR="00142CB0">
        <w:rPr>
          <w:bCs/>
        </w:rPr>
        <w:t xml:space="preserve"> Report</w:t>
      </w:r>
      <w:r w:rsidR="00425F44">
        <w:rPr>
          <w:bCs/>
        </w:rPr>
        <w:t>’s</w:t>
      </w:r>
      <w:r w:rsidRPr="004A77A4" w:rsidR="00AC6EDB">
        <w:rPr>
          <w:bCs/>
        </w:rPr>
        <w:t xml:space="preserve"> recommend</w:t>
      </w:r>
      <w:r w:rsidR="00142CB0">
        <w:rPr>
          <w:bCs/>
        </w:rPr>
        <w:t xml:space="preserve">ed </w:t>
      </w:r>
      <w:r w:rsidRPr="004A77A4" w:rsidR="00AC6EDB">
        <w:rPr>
          <w:bCs/>
        </w:rPr>
        <w:t>rate of return range of 6.72% to 7.72%</w:t>
      </w:r>
      <w:r>
        <w:rPr>
          <w:rStyle w:val="FootnoteReference"/>
          <w:bCs/>
        </w:rPr>
        <w:footnoteReference w:id="13"/>
      </w:r>
      <w:r w:rsidR="00470851">
        <w:rPr>
          <w:bCs/>
        </w:rPr>
        <w:t xml:space="preserve"> is unreasonable</w:t>
      </w:r>
      <w:r w:rsidR="00AC6EDB">
        <w:t xml:space="preserve"> for t</w:t>
      </w:r>
      <w:r w:rsidR="00C423DD">
        <w:t xml:space="preserve">hree </w:t>
      </w:r>
      <w:r w:rsidR="00AC6EDB">
        <w:t xml:space="preserve">reasons. First, </w:t>
      </w:r>
      <w:r w:rsidR="00142CB0">
        <w:t xml:space="preserve">the </w:t>
      </w:r>
      <w:r w:rsidR="00AC6EDB">
        <w:t xml:space="preserve">6.72% to 7.72% </w:t>
      </w:r>
      <w:r w:rsidR="00142CB0">
        <w:t xml:space="preserve">range </w:t>
      </w:r>
      <w:r w:rsidR="00AC6EDB">
        <w:t xml:space="preserve">is derived from </w:t>
      </w:r>
      <w:r w:rsidR="00142CB0">
        <w:t xml:space="preserve">the Staff Report’s proposed </w:t>
      </w:r>
      <w:r w:rsidR="00AC6EDB">
        <w:t>mid-point rate of return of 7.22%</w:t>
      </w:r>
      <w:r w:rsidR="00142CB0">
        <w:t>, which, as I previously testified, is unreasonably high</w:t>
      </w:r>
      <w:r w:rsidR="00AC6EDB">
        <w:t xml:space="preserve">. </w:t>
      </w:r>
      <w:r w:rsidRPr="00BE4D5C" w:rsidR="00AC6EDB">
        <w:t>Second, t</w:t>
      </w:r>
      <w:r w:rsidRPr="00BE4D5C" w:rsidR="00AC6EDB">
        <w:rPr>
          <w:rFonts w:eastAsia="Times New Roman"/>
        </w:rPr>
        <w:t xml:space="preserve">his </w:t>
      </w:r>
      <w:r w:rsidR="00AC6EDB">
        <w:rPr>
          <w:rFonts w:eastAsia="Times New Roman"/>
        </w:rPr>
        <w:t xml:space="preserve">proposed </w:t>
      </w:r>
      <w:r w:rsidRPr="00BE4D5C" w:rsidR="00AC6EDB">
        <w:rPr>
          <w:rFonts w:eastAsia="Times New Roman"/>
        </w:rPr>
        <w:t xml:space="preserve">range </w:t>
      </w:r>
      <w:r w:rsidR="006B267F">
        <w:rPr>
          <w:rFonts w:eastAsia="Times New Roman"/>
        </w:rPr>
        <w:t xml:space="preserve">actually </w:t>
      </w:r>
      <w:r w:rsidRPr="00BE4D5C" w:rsidR="00AC6EDB">
        <w:rPr>
          <w:rFonts w:eastAsia="Times New Roman"/>
        </w:rPr>
        <w:t>reflects a range of reasonableness of 100 basis point</w:t>
      </w:r>
      <w:r w:rsidR="00E271E4">
        <w:rPr>
          <w:rFonts w:eastAsia="Times New Roman"/>
        </w:rPr>
        <w:t>s</w:t>
      </w:r>
      <w:r>
        <w:rPr>
          <w:rFonts w:eastAsia="Times New Roman"/>
        </w:rPr>
        <w:t xml:space="preserve"> (100 basis points = 7.72% - 6.72%)</w:t>
      </w:r>
      <w:r w:rsidRPr="00BE4D5C" w:rsidR="00AC6EDB">
        <w:rPr>
          <w:rFonts w:eastAsia="Times New Roman"/>
        </w:rPr>
        <w:t xml:space="preserve">, </w:t>
      </w:r>
      <w:r w:rsidR="00A419DD">
        <w:rPr>
          <w:rFonts w:eastAsia="Times New Roman"/>
        </w:rPr>
        <w:t>even though the Staff Report states that the range of reasonableness is 50 basis points</w:t>
      </w:r>
      <w:r w:rsidRPr="00BE4D5C" w:rsidR="00AC6EDB">
        <w:rPr>
          <w:rFonts w:eastAsia="Times New Roman"/>
        </w:rPr>
        <w:t>.</w:t>
      </w:r>
      <w:r>
        <w:rPr>
          <w:rStyle w:val="FootnoteReference"/>
          <w:rFonts w:eastAsia="Times New Roman"/>
        </w:rPr>
        <w:footnoteReference w:id="14"/>
      </w:r>
      <w:r w:rsidRPr="00BE4D5C" w:rsidR="00AC6EDB">
        <w:rPr>
          <w:rFonts w:eastAsia="Times New Roman"/>
        </w:rPr>
        <w:t xml:space="preserve"> </w:t>
      </w:r>
      <w:r w:rsidR="00142CB0">
        <w:rPr>
          <w:rFonts w:eastAsia="Times New Roman"/>
        </w:rPr>
        <w:t xml:space="preserve">Using </w:t>
      </w:r>
      <w:r w:rsidRPr="00BE4D5C" w:rsidR="00AC6EDB">
        <w:rPr>
          <w:rFonts w:eastAsia="Times New Roman"/>
        </w:rPr>
        <w:t>a range of 100 basis point</w:t>
      </w:r>
      <w:r w:rsidR="00E271E4">
        <w:rPr>
          <w:rFonts w:eastAsia="Times New Roman"/>
        </w:rPr>
        <w:t>s</w:t>
      </w:r>
      <w:r w:rsidRPr="00BE4D5C" w:rsidR="00AC6EDB">
        <w:rPr>
          <w:rFonts w:eastAsia="Times New Roman"/>
        </w:rPr>
        <w:t xml:space="preserve"> of reasonableness is inconsistent with the </w:t>
      </w:r>
      <w:r w:rsidR="00244C9F">
        <w:rPr>
          <w:rFonts w:eastAsia="Times New Roman"/>
        </w:rPr>
        <w:t xml:space="preserve">approximate </w:t>
      </w:r>
      <w:r w:rsidR="00AC6EDB">
        <w:rPr>
          <w:rFonts w:eastAsia="Times New Roman"/>
        </w:rPr>
        <w:t>50</w:t>
      </w:r>
      <w:r w:rsidR="00E96DB4">
        <w:rPr>
          <w:rFonts w:eastAsia="Times New Roman"/>
        </w:rPr>
        <w:t xml:space="preserve"> </w:t>
      </w:r>
      <w:r w:rsidR="00AC6EDB">
        <w:rPr>
          <w:rFonts w:eastAsia="Times New Roman"/>
        </w:rPr>
        <w:t xml:space="preserve">basis point </w:t>
      </w:r>
      <w:r w:rsidRPr="00BE4D5C" w:rsidR="00AC6EDB">
        <w:rPr>
          <w:rFonts w:eastAsia="Times New Roman"/>
        </w:rPr>
        <w:t xml:space="preserve">range </w:t>
      </w:r>
      <w:r w:rsidR="00AB7354">
        <w:rPr>
          <w:rFonts w:eastAsia="Times New Roman"/>
        </w:rPr>
        <w:t xml:space="preserve">of reasonableness </w:t>
      </w:r>
      <w:r w:rsidRPr="00BE4D5C" w:rsidR="00AC6EDB">
        <w:rPr>
          <w:rFonts w:eastAsia="Times New Roman"/>
        </w:rPr>
        <w:t xml:space="preserve">commonly recommended </w:t>
      </w:r>
      <w:r w:rsidR="00BF5D17">
        <w:rPr>
          <w:rFonts w:eastAsia="Times New Roman"/>
        </w:rPr>
        <w:t>by</w:t>
      </w:r>
      <w:r w:rsidRPr="00BE4D5C" w:rsidR="00AC6EDB">
        <w:rPr>
          <w:rFonts w:eastAsia="Times New Roman"/>
        </w:rPr>
        <w:t xml:space="preserve"> </w:t>
      </w:r>
      <w:r w:rsidR="00220865">
        <w:rPr>
          <w:rFonts w:eastAsia="Times New Roman"/>
        </w:rPr>
        <w:t xml:space="preserve">the PUCO </w:t>
      </w:r>
      <w:r w:rsidRPr="00BE4D5C" w:rsidR="00AC6EDB">
        <w:rPr>
          <w:rFonts w:eastAsia="Times New Roman"/>
        </w:rPr>
        <w:t xml:space="preserve">Staff </w:t>
      </w:r>
      <w:r w:rsidR="00E271E4">
        <w:rPr>
          <w:rFonts w:eastAsia="Times New Roman"/>
        </w:rPr>
        <w:t xml:space="preserve">in </w:t>
      </w:r>
      <w:r w:rsidR="002B334A">
        <w:rPr>
          <w:rFonts w:eastAsia="Times New Roman"/>
        </w:rPr>
        <w:t xml:space="preserve">many </w:t>
      </w:r>
      <w:r w:rsidRPr="00BE4D5C" w:rsidR="00AC6EDB">
        <w:rPr>
          <w:rFonts w:eastAsia="Times New Roman"/>
        </w:rPr>
        <w:t>previous rate cases</w:t>
      </w:r>
      <w:r w:rsidR="00AC6EDB">
        <w:rPr>
          <w:rFonts w:eastAsia="Times New Roman"/>
        </w:rPr>
        <w:t xml:space="preserve"> </w:t>
      </w:r>
      <w:r w:rsidR="00E271E4">
        <w:rPr>
          <w:rFonts w:eastAsia="Times New Roman"/>
        </w:rPr>
        <w:t xml:space="preserve">where </w:t>
      </w:r>
      <w:r w:rsidRPr="00BE4D5C" w:rsidR="00AC6EDB">
        <w:rPr>
          <w:rFonts w:eastAsia="Times New Roman"/>
        </w:rPr>
        <w:t xml:space="preserve">a range of reasonableness was </w:t>
      </w:r>
      <w:r w:rsidR="00AC6EDB">
        <w:rPr>
          <w:rFonts w:eastAsia="Times New Roman"/>
        </w:rPr>
        <w:t>p</w:t>
      </w:r>
      <w:r w:rsidRPr="00BE4D5C" w:rsidR="00AC6EDB">
        <w:rPr>
          <w:rFonts w:eastAsia="Times New Roman"/>
        </w:rPr>
        <w:t>roposed.</w:t>
      </w:r>
      <w:r w:rsidR="00C423DD">
        <w:rPr>
          <w:rFonts w:eastAsia="Times New Roman"/>
        </w:rPr>
        <w:t xml:space="preserve"> </w:t>
      </w:r>
      <w:r w:rsidRPr="00BE4D5C" w:rsidR="00AC6EDB">
        <w:rPr>
          <w:rFonts w:eastAsia="Times New Roman"/>
        </w:rPr>
        <w:t>The</w:t>
      </w:r>
      <w:r w:rsidR="00C423DD">
        <w:rPr>
          <w:rFonts w:eastAsia="Times New Roman"/>
        </w:rPr>
        <w:t xml:space="preserve"> Staff</w:t>
      </w:r>
      <w:r w:rsidR="006F58F6">
        <w:rPr>
          <w:rFonts w:eastAsia="Times New Roman"/>
        </w:rPr>
        <w:t xml:space="preserve"> Report</w:t>
      </w:r>
      <w:r w:rsidR="00C423DD">
        <w:rPr>
          <w:rFonts w:eastAsia="Times New Roman"/>
        </w:rPr>
        <w:t xml:space="preserve"> did not provide any </w:t>
      </w:r>
      <w:r w:rsidRPr="00BE4D5C" w:rsidR="00AC6EDB">
        <w:rPr>
          <w:rFonts w:eastAsia="Times New Roman"/>
        </w:rPr>
        <w:t>explanation for the doubling of the range of reasonableness for</w:t>
      </w:r>
      <w:r w:rsidR="00E271E4">
        <w:rPr>
          <w:rFonts w:eastAsia="Times New Roman"/>
        </w:rPr>
        <w:t xml:space="preserve"> the</w:t>
      </w:r>
      <w:r w:rsidRPr="00BE4D5C" w:rsidR="00AC6EDB">
        <w:rPr>
          <w:rFonts w:eastAsia="Times New Roman"/>
        </w:rPr>
        <w:t xml:space="preserve"> rate of return in this case.  </w:t>
      </w:r>
    </w:p>
    <w:p w:rsidR="004A77A4" w:rsidP="004A77A4">
      <w:pPr>
        <w:autoSpaceDE w:val="0"/>
        <w:autoSpaceDN w:val="0"/>
        <w:adjustRightInd w:val="0"/>
        <w:spacing w:line="480" w:lineRule="auto"/>
        <w:ind w:left="720" w:hanging="720"/>
        <w:rPr>
          <w:rFonts w:eastAsia="Times New Roman"/>
        </w:rPr>
      </w:pPr>
    </w:p>
    <w:p w:rsidR="00C41DA3" w:rsidP="004A77A4">
      <w:pPr>
        <w:autoSpaceDE w:val="0"/>
        <w:autoSpaceDN w:val="0"/>
        <w:adjustRightInd w:val="0"/>
        <w:spacing w:line="480" w:lineRule="auto"/>
        <w:ind w:left="720"/>
        <w:rPr>
          <w:rFonts w:eastAsia="Times New Roman"/>
        </w:rPr>
        <w:sectPr w:rsidSect="005E0851">
          <w:pgSz w:w="12240" w:h="15840" w:code="1"/>
          <w:pgMar w:top="1440" w:right="1440" w:bottom="1440" w:left="1440" w:header="720" w:footer="720" w:gutter="0"/>
          <w:lnNumType w:countBy="1"/>
          <w:cols w:space="720"/>
          <w:titlePg/>
          <w:docGrid w:linePitch="360"/>
        </w:sectPr>
      </w:pPr>
      <w:r>
        <w:rPr>
          <w:rFonts w:eastAsia="Times New Roman"/>
        </w:rPr>
        <w:t>Third, i</w:t>
      </w:r>
      <w:r w:rsidRPr="00BE4D5C" w:rsidR="00AC6EDB">
        <w:rPr>
          <w:rFonts w:eastAsia="Times New Roman"/>
        </w:rPr>
        <w:t xml:space="preserve">f the highest rate of return </w:t>
      </w:r>
      <w:r w:rsidR="006F58F6">
        <w:rPr>
          <w:rFonts w:eastAsia="Times New Roman"/>
        </w:rPr>
        <w:t xml:space="preserve">in </w:t>
      </w:r>
      <w:r w:rsidRPr="00BE4D5C" w:rsidR="00AC6EDB">
        <w:rPr>
          <w:rFonts w:eastAsia="Times New Roman"/>
        </w:rPr>
        <w:t xml:space="preserve">the range </w:t>
      </w:r>
      <w:r w:rsidR="006F58F6">
        <w:rPr>
          <w:rFonts w:eastAsia="Times New Roman"/>
        </w:rPr>
        <w:t>(</w:t>
      </w:r>
      <w:r w:rsidRPr="00BE4D5C" w:rsidR="00AC6EDB">
        <w:rPr>
          <w:rFonts w:eastAsia="Times New Roman"/>
        </w:rPr>
        <w:t>7.72%</w:t>
      </w:r>
      <w:r w:rsidR="006F58F6">
        <w:rPr>
          <w:rFonts w:eastAsia="Times New Roman"/>
        </w:rPr>
        <w:t>)</w:t>
      </w:r>
      <w:r w:rsidRPr="00BE4D5C" w:rsidR="00AC6EDB">
        <w:rPr>
          <w:rFonts w:eastAsia="Times New Roman"/>
        </w:rPr>
        <w:t xml:space="preserve"> </w:t>
      </w:r>
      <w:r w:rsidR="00220865">
        <w:rPr>
          <w:rFonts w:eastAsia="Times New Roman"/>
        </w:rPr>
        <w:t>were</w:t>
      </w:r>
      <w:r w:rsidR="006F58F6">
        <w:rPr>
          <w:rFonts w:eastAsia="Times New Roman"/>
        </w:rPr>
        <w:t xml:space="preserve"> </w:t>
      </w:r>
      <w:r w:rsidRPr="00BE4D5C" w:rsidR="00AC6EDB">
        <w:rPr>
          <w:rFonts w:eastAsia="Times New Roman"/>
        </w:rPr>
        <w:t>adopted, it would</w:t>
      </w:r>
      <w:r w:rsidR="006F58F6">
        <w:rPr>
          <w:rFonts w:eastAsia="Times New Roman"/>
        </w:rPr>
        <w:t xml:space="preserve"> reflect </w:t>
      </w:r>
      <w:r w:rsidRPr="00BE4D5C" w:rsidR="00AC6EDB">
        <w:rPr>
          <w:rFonts w:eastAsia="Times New Roman"/>
        </w:rPr>
        <w:t>a</w:t>
      </w:r>
      <w:r w:rsidR="00220865">
        <w:rPr>
          <w:rFonts w:eastAsia="Times New Roman"/>
        </w:rPr>
        <w:t>n</w:t>
      </w:r>
      <w:r w:rsidRPr="00BE4D5C" w:rsidR="00AC6EDB">
        <w:rPr>
          <w:rFonts w:eastAsia="Times New Roman"/>
        </w:rPr>
        <w:t xml:space="preserve"> ROE of </w:t>
      </w:r>
      <w:r w:rsidR="00AC6EDB">
        <w:rPr>
          <w:rFonts w:eastAsia="Times New Roman"/>
        </w:rPr>
        <w:t>11.21%</w:t>
      </w:r>
      <w:r>
        <w:rPr>
          <w:rFonts w:eastAsia="Times New Roman"/>
        </w:rPr>
        <w:t xml:space="preserve"> </w:t>
      </w:r>
      <w:r w:rsidR="006B267F">
        <w:rPr>
          <w:rFonts w:eastAsia="Times New Roman"/>
        </w:rPr>
        <w:t xml:space="preserve">for Suburban </w:t>
      </w:r>
      <w:r>
        <w:rPr>
          <w:rFonts w:eastAsia="Times New Roman"/>
        </w:rPr>
        <w:t>based on the proposed capital structure and cost of debt</w:t>
      </w:r>
      <w:r w:rsidRPr="00BE4D5C" w:rsidR="00AC6EDB">
        <w:rPr>
          <w:rFonts w:eastAsia="Times New Roman"/>
        </w:rPr>
        <w:t>.</w:t>
      </w:r>
      <w:r>
        <w:rPr>
          <w:rStyle w:val="FootnoteReference"/>
          <w:rFonts w:eastAsia="Times New Roman"/>
        </w:rPr>
        <w:footnoteReference w:id="15"/>
      </w:r>
      <w:r w:rsidRPr="00BE4D5C" w:rsidR="00AC6EDB">
        <w:rPr>
          <w:rFonts w:eastAsia="Times New Roman"/>
        </w:rPr>
        <w:t xml:space="preserve">  Such a high ROE</w:t>
      </w:r>
      <w:r w:rsidR="00A419DD">
        <w:rPr>
          <w:rFonts w:eastAsia="Times New Roman"/>
        </w:rPr>
        <w:t xml:space="preserve"> </w:t>
      </w:r>
      <w:r w:rsidRPr="00BE4D5C" w:rsidR="00AC6EDB">
        <w:rPr>
          <w:rFonts w:eastAsia="Times New Roman"/>
        </w:rPr>
        <w:t xml:space="preserve">is clearly </w:t>
      </w:r>
      <w:r w:rsidR="00BF5D17">
        <w:rPr>
          <w:rFonts w:eastAsia="Times New Roman"/>
        </w:rPr>
        <w:t xml:space="preserve">unjust and </w:t>
      </w:r>
      <w:r w:rsidRPr="00BE4D5C" w:rsidR="00AC6EDB">
        <w:rPr>
          <w:rFonts w:eastAsia="Times New Roman"/>
        </w:rPr>
        <w:t>unreasonable</w:t>
      </w:r>
      <w:r w:rsidR="00425F44">
        <w:rPr>
          <w:rFonts w:eastAsia="Times New Roman"/>
        </w:rPr>
        <w:t xml:space="preserve"> </w:t>
      </w:r>
      <w:r>
        <w:rPr>
          <w:rFonts w:eastAsia="Times New Roman"/>
        </w:rPr>
        <w:t xml:space="preserve">under current market and economic conditions. </w:t>
      </w:r>
      <w:r w:rsidR="00E271E4">
        <w:rPr>
          <w:rFonts w:eastAsia="Times New Roman"/>
        </w:rPr>
        <w:t>Therefore</w:t>
      </w:r>
      <w:r>
        <w:rPr>
          <w:rFonts w:eastAsia="Times New Roman"/>
        </w:rPr>
        <w:t xml:space="preserve">, the 7.72% rate of return </w:t>
      </w:r>
      <w:r w:rsidRPr="00BE4D5C" w:rsidR="00AC6EDB">
        <w:rPr>
          <w:rFonts w:eastAsia="Times New Roman"/>
        </w:rPr>
        <w:t xml:space="preserve">should be </w:t>
      </w:r>
      <w:r>
        <w:rPr>
          <w:rFonts w:eastAsia="Times New Roman"/>
        </w:rPr>
        <w:t xml:space="preserve">considered as </w:t>
      </w:r>
      <w:r w:rsidRPr="00BE4D5C" w:rsidR="00AC6EDB">
        <w:rPr>
          <w:rFonts w:eastAsia="Times New Roman"/>
        </w:rPr>
        <w:t>outside the range of reasonableness</w:t>
      </w:r>
      <w:r w:rsidR="00843B6B">
        <w:rPr>
          <w:rFonts w:eastAsia="Times New Roman"/>
        </w:rPr>
        <w:t>,</w:t>
      </w:r>
      <w:r w:rsidR="00665BAD">
        <w:rPr>
          <w:rFonts w:eastAsia="Times New Roman"/>
        </w:rPr>
        <w:t xml:space="preserve"> and </w:t>
      </w:r>
      <w:r w:rsidR="00843B6B">
        <w:rPr>
          <w:rFonts w:eastAsia="Times New Roman"/>
        </w:rPr>
        <w:t xml:space="preserve">the </w:t>
      </w:r>
      <w:r w:rsidR="00665BAD">
        <w:rPr>
          <w:rFonts w:eastAsia="Times New Roman"/>
        </w:rPr>
        <w:t xml:space="preserve">rate of return </w:t>
      </w:r>
      <w:r w:rsidR="00843B6B">
        <w:rPr>
          <w:rFonts w:eastAsia="Times New Roman"/>
        </w:rPr>
        <w:t xml:space="preserve">range </w:t>
      </w:r>
      <w:r w:rsidR="00665BAD">
        <w:rPr>
          <w:rFonts w:eastAsia="Times New Roman"/>
        </w:rPr>
        <w:t>of 6.72% to 7.72% is</w:t>
      </w:r>
      <w:r w:rsidR="006F58F6">
        <w:rPr>
          <w:rFonts w:eastAsia="Times New Roman"/>
        </w:rPr>
        <w:t xml:space="preserve"> likewise</w:t>
      </w:r>
      <w:r w:rsidR="00665BAD">
        <w:rPr>
          <w:rFonts w:eastAsia="Times New Roman"/>
        </w:rPr>
        <w:t xml:space="preserve"> unreasonable</w:t>
      </w:r>
      <w:r w:rsidR="00843B6B">
        <w:rPr>
          <w:rFonts w:eastAsia="Times New Roman"/>
        </w:rPr>
        <w:t xml:space="preserve"> and should be rej</w:t>
      </w:r>
      <w:r w:rsidR="008827CD">
        <w:rPr>
          <w:rFonts w:eastAsia="Times New Roman"/>
        </w:rPr>
        <w:t>e</w:t>
      </w:r>
      <w:r w:rsidR="00843B6B">
        <w:rPr>
          <w:rFonts w:eastAsia="Times New Roman"/>
        </w:rPr>
        <w:t>cted</w:t>
      </w:r>
      <w:r w:rsidRPr="00BE4D5C" w:rsidR="00AC6EDB">
        <w:rPr>
          <w:rFonts w:eastAsia="Times New Roman"/>
        </w:rPr>
        <w:t xml:space="preserve">.   </w:t>
      </w:r>
    </w:p>
    <w:p w:rsidR="00AE4863" w:rsidP="00AE4863">
      <w:pPr>
        <w:pStyle w:val="Heading1"/>
      </w:pPr>
      <w:bookmarkStart w:id="27" w:name="_Toc516746378"/>
      <w:bookmarkStart w:id="28" w:name="_Toc517269603"/>
      <w:bookmarkStart w:id="29" w:name="_Toc517704638"/>
      <w:bookmarkStart w:id="30" w:name="_Toc2939453"/>
      <w:bookmarkStart w:id="31" w:name="_Toc502125224"/>
      <w:r>
        <w:t>IV</w:t>
      </w:r>
      <w:r w:rsidRPr="00B178C4">
        <w:t>.</w:t>
      </w:r>
      <w:r w:rsidRPr="00B178C4">
        <w:tab/>
      </w:r>
      <w:r>
        <w:t xml:space="preserve">A RATE OF RETURN OF </w:t>
      </w:r>
      <w:r w:rsidR="00665BAD">
        <w:t xml:space="preserve">6.95% </w:t>
      </w:r>
      <w:r>
        <w:t>IS REASONABLE AND FAIR FOR SUBURBAN’S CUSTOMERS AND SHAREHOLDERS</w:t>
      </w:r>
      <w:bookmarkEnd w:id="27"/>
      <w:bookmarkEnd w:id="28"/>
      <w:bookmarkEnd w:id="29"/>
      <w:bookmarkEnd w:id="30"/>
      <w:r>
        <w:t xml:space="preserve"> </w:t>
      </w:r>
      <w:bookmarkEnd w:id="31"/>
      <w:r>
        <w:t xml:space="preserve"> </w:t>
      </w:r>
    </w:p>
    <w:p w:rsidR="00AE4863" w:rsidP="00AE4863">
      <w:pPr>
        <w:spacing w:line="480" w:lineRule="auto"/>
        <w:ind w:left="720" w:hanging="720"/>
        <w:rPr>
          <w:rFonts w:eastAsia="Times New Roman"/>
          <w:b/>
          <w:i/>
        </w:rPr>
      </w:pPr>
    </w:p>
    <w:p w:rsidR="00AE4863" w:rsidP="00AE4863">
      <w:pPr>
        <w:spacing w:line="480" w:lineRule="auto"/>
        <w:ind w:left="720" w:hanging="720"/>
        <w:rPr>
          <w:rFonts w:eastAsia="Times New Roman"/>
          <w:b/>
          <w:i/>
        </w:rPr>
      </w:pPr>
      <w:bookmarkStart w:id="32" w:name="_Hlk1739158"/>
      <w:r>
        <w:rPr>
          <w:rFonts w:eastAsia="Times New Roman"/>
          <w:b/>
          <w:i/>
        </w:rPr>
        <w:t>Q</w:t>
      </w:r>
      <w:r w:rsidR="004601A0">
        <w:rPr>
          <w:rFonts w:eastAsia="Times New Roman"/>
          <w:b/>
          <w:i/>
        </w:rPr>
        <w:t>23</w:t>
      </w:r>
      <w:r>
        <w:rPr>
          <w:rFonts w:eastAsia="Times New Roman"/>
          <w:b/>
          <w:i/>
        </w:rPr>
        <w:t>.</w:t>
      </w:r>
      <w:r>
        <w:rPr>
          <w:rFonts w:eastAsia="Times New Roman"/>
          <w:b/>
          <w:i/>
        </w:rPr>
        <w:tab/>
        <w:t xml:space="preserve">PLEASE </w:t>
      </w:r>
      <w:r w:rsidR="00C423DD">
        <w:rPr>
          <w:rFonts w:eastAsia="Times New Roman"/>
          <w:b/>
          <w:i/>
        </w:rPr>
        <w:t>EXPLAIN</w:t>
      </w:r>
      <w:r>
        <w:rPr>
          <w:rFonts w:eastAsia="Times New Roman"/>
          <w:b/>
          <w:i/>
        </w:rPr>
        <w:t xml:space="preserve"> OCC’S RECOMMENDED RETURN ON EQUITY </w:t>
      </w:r>
      <w:r w:rsidR="00C423DD">
        <w:rPr>
          <w:rFonts w:eastAsia="Times New Roman"/>
          <w:b/>
          <w:i/>
        </w:rPr>
        <w:t>FOR SUBURBAN</w:t>
      </w:r>
      <w:r>
        <w:rPr>
          <w:rFonts w:eastAsia="Times New Roman"/>
          <w:b/>
          <w:i/>
        </w:rPr>
        <w:t>.</w:t>
      </w:r>
    </w:p>
    <w:p w:rsidR="00665BAD" w:rsidP="00843B6B">
      <w:pPr>
        <w:spacing w:line="480" w:lineRule="auto"/>
        <w:ind w:left="720" w:hanging="720"/>
      </w:pPr>
      <w:r w:rsidRPr="00266648">
        <w:rPr>
          <w:rFonts w:eastAsia="Times New Roman"/>
          <w:b/>
          <w:i/>
        </w:rPr>
        <w:t>A</w:t>
      </w:r>
      <w:r w:rsidR="004601A0">
        <w:rPr>
          <w:rFonts w:eastAsia="Times New Roman"/>
          <w:b/>
          <w:i/>
        </w:rPr>
        <w:t>23</w:t>
      </w:r>
      <w:r w:rsidRPr="00266648">
        <w:rPr>
          <w:rFonts w:eastAsia="Times New Roman"/>
          <w:b/>
          <w:i/>
        </w:rPr>
        <w:t>.</w:t>
      </w:r>
      <w:bookmarkEnd w:id="32"/>
      <w:r w:rsidRPr="00266648">
        <w:rPr>
          <w:rFonts w:eastAsia="Times New Roman"/>
          <w:b/>
          <w:i/>
        </w:rPr>
        <w:tab/>
      </w:r>
      <w:r>
        <w:t>Based on the OCC objections discussed above</w:t>
      </w:r>
      <w:r w:rsidR="006F58F6">
        <w:t>,</w:t>
      </w:r>
      <w:r w:rsidR="003C2F5A">
        <w:t xml:space="preserve"> and </w:t>
      </w:r>
      <w:r w:rsidR="006F58F6">
        <w:t xml:space="preserve">in </w:t>
      </w:r>
      <w:r w:rsidR="003C2F5A">
        <w:t xml:space="preserve">the absence of a direct estimate of </w:t>
      </w:r>
      <w:r w:rsidR="00A65D94">
        <w:t xml:space="preserve">Suburban’s </w:t>
      </w:r>
      <w:r w:rsidR="003C2F5A">
        <w:t>ROE</w:t>
      </w:r>
      <w:r w:rsidR="006F58F6">
        <w:t xml:space="preserve"> calculated</w:t>
      </w:r>
      <w:r w:rsidR="003C2F5A">
        <w:t xml:space="preserve"> through the D</w:t>
      </w:r>
      <w:r w:rsidR="00A65D94">
        <w:t xml:space="preserve">iscounted </w:t>
      </w:r>
      <w:r w:rsidR="003C2F5A">
        <w:t>C</w:t>
      </w:r>
      <w:r w:rsidR="00A65D94">
        <w:t xml:space="preserve">ash </w:t>
      </w:r>
      <w:r w:rsidR="003C2F5A">
        <w:t>F</w:t>
      </w:r>
      <w:r w:rsidR="00A65D94">
        <w:t>low</w:t>
      </w:r>
      <w:r w:rsidR="003C2F5A">
        <w:t xml:space="preserve"> and </w:t>
      </w:r>
      <w:r w:rsidR="00A65D94">
        <w:t xml:space="preserve">the </w:t>
      </w:r>
      <w:r w:rsidR="003C2F5A">
        <w:t>C</w:t>
      </w:r>
      <w:r w:rsidR="00A65D94">
        <w:t xml:space="preserve">apital </w:t>
      </w:r>
      <w:r w:rsidR="003C2F5A">
        <w:t>A</w:t>
      </w:r>
      <w:r w:rsidR="00A65D94">
        <w:t xml:space="preserve">sset </w:t>
      </w:r>
      <w:r w:rsidR="003C2F5A">
        <w:t>P</w:t>
      </w:r>
      <w:r w:rsidR="00A65D94">
        <w:t xml:space="preserve">ricing </w:t>
      </w:r>
      <w:r w:rsidR="003C2F5A">
        <w:t>M</w:t>
      </w:r>
      <w:r w:rsidR="00A65D94">
        <w:t>odel</w:t>
      </w:r>
      <w:r w:rsidR="003C2F5A">
        <w:t xml:space="preserve"> analysis</w:t>
      </w:r>
      <w:r>
        <w:t xml:space="preserve">, I propose to use the average </w:t>
      </w:r>
      <w:r w:rsidR="00843B6B">
        <w:t xml:space="preserve">of the </w:t>
      </w:r>
      <w:r w:rsidR="006F58F6">
        <w:t xml:space="preserve">ROEs </w:t>
      </w:r>
      <w:r w:rsidR="00114BBC">
        <w:t xml:space="preserve">granted for gas distribution utilities nationwide in 2018 as the baseline ROE for Suburban in this proceeding. </w:t>
      </w:r>
      <w:r>
        <w:t xml:space="preserve">Based on the rate case data compiled by S&amp;P Global Market Intelligence, the average </w:t>
      </w:r>
      <w:r w:rsidR="006F58F6">
        <w:t xml:space="preserve">ROE </w:t>
      </w:r>
      <w:r>
        <w:t>granted in 40 gas utilities</w:t>
      </w:r>
      <w:r w:rsidR="00843B6B">
        <w:t>’</w:t>
      </w:r>
      <w:r>
        <w:t xml:space="preserve"> rate cases in 2018 nationwide was 9.59%.</w:t>
      </w:r>
      <w:r>
        <w:rPr>
          <w:rStyle w:val="FootnoteReference"/>
        </w:rPr>
        <w:footnoteReference w:id="16"/>
      </w:r>
      <w:r>
        <w:t xml:space="preserve"> </w:t>
      </w:r>
      <w:r w:rsidR="00843B6B">
        <w:t xml:space="preserve">In proposing a reasonable ROE for Suburban in this case, </w:t>
      </w:r>
      <w:r>
        <w:t>I also considered other factors such as the average ROE granted in each quarter of 2018 and 2017</w:t>
      </w:r>
      <w:r w:rsidR="00A65D94">
        <w:t xml:space="preserve"> nationwide</w:t>
      </w:r>
      <w:r w:rsidR="00843B6B">
        <w:t>,</w:t>
      </w:r>
      <w:r>
        <w:t xml:space="preserve"> and the ROE</w:t>
      </w:r>
      <w:r w:rsidR="00843B6B">
        <w:t>s</w:t>
      </w:r>
      <w:r>
        <w:t xml:space="preserve"> granted in recent  rate cases</w:t>
      </w:r>
      <w:r w:rsidR="003C2F5A">
        <w:t xml:space="preserve"> or related proceedings by the PUCO.</w:t>
      </w:r>
      <w:r w:rsidR="000D5473">
        <w:t xml:space="preserve"> </w:t>
      </w:r>
      <w:r w:rsidR="00843B6B">
        <w:t xml:space="preserve">Based on my analyses, </w:t>
      </w:r>
      <w:r w:rsidR="000D5473">
        <w:t>I conclude that 9.59% is a reasonable ROE for Suburban.</w:t>
      </w:r>
      <w:r>
        <w:t xml:space="preserve">  </w:t>
      </w:r>
    </w:p>
    <w:p w:rsidR="004601A0" w:rsidP="00114BBC">
      <w:pPr>
        <w:spacing w:line="480" w:lineRule="auto"/>
        <w:ind w:left="720" w:hanging="720"/>
      </w:pPr>
    </w:p>
    <w:p w:rsidR="000D5473" w:rsidP="000D5473">
      <w:pPr>
        <w:spacing w:line="480" w:lineRule="auto"/>
        <w:ind w:left="720" w:hanging="720"/>
        <w:rPr>
          <w:rFonts w:eastAsia="Times New Roman"/>
          <w:b/>
          <w:i/>
        </w:rPr>
      </w:pPr>
      <w:r>
        <w:rPr>
          <w:rFonts w:eastAsia="Times New Roman"/>
          <w:b/>
          <w:i/>
        </w:rPr>
        <w:t>Q24.</w:t>
      </w:r>
      <w:r>
        <w:rPr>
          <w:rFonts w:eastAsia="Times New Roman"/>
          <w:b/>
          <w:i/>
        </w:rPr>
        <w:tab/>
        <w:t>CAN YOU ELABORATE MORE ON WHY YOU USE THE MOST RECENT YEARLY AVERAGE ROE GRANTED AS A PROXY FOR ESTIMATING THE CURRENT ROE</w:t>
      </w:r>
      <w:r w:rsidR="00A65D94">
        <w:rPr>
          <w:rFonts w:eastAsia="Times New Roman"/>
          <w:b/>
          <w:i/>
        </w:rPr>
        <w:t xml:space="preserve"> OF SUBURBAN</w:t>
      </w:r>
      <w:r>
        <w:rPr>
          <w:rFonts w:eastAsia="Times New Roman"/>
          <w:b/>
          <w:i/>
        </w:rPr>
        <w:t xml:space="preserve">? </w:t>
      </w:r>
    </w:p>
    <w:p w:rsidR="002637FC" w:rsidP="004601A0">
      <w:pPr>
        <w:spacing w:line="480" w:lineRule="auto"/>
        <w:ind w:left="720" w:hanging="720"/>
      </w:pPr>
      <w:r w:rsidRPr="00266648">
        <w:rPr>
          <w:rFonts w:eastAsia="Times New Roman"/>
          <w:b/>
          <w:i/>
        </w:rPr>
        <w:t>A</w:t>
      </w:r>
      <w:r>
        <w:rPr>
          <w:rFonts w:eastAsia="Times New Roman"/>
          <w:b/>
          <w:i/>
        </w:rPr>
        <w:t>24</w:t>
      </w:r>
      <w:r w:rsidRPr="00266648">
        <w:rPr>
          <w:rFonts w:eastAsia="Times New Roman"/>
          <w:b/>
          <w:i/>
        </w:rPr>
        <w:t>.</w:t>
      </w:r>
      <w:r>
        <w:rPr>
          <w:rFonts w:eastAsia="Times New Roman"/>
          <w:b/>
          <w:i/>
        </w:rPr>
        <w:tab/>
      </w:r>
      <w:r>
        <w:rPr>
          <w:rFonts w:eastAsia="Times New Roman"/>
        </w:rPr>
        <w:t xml:space="preserve">Yes. </w:t>
      </w:r>
      <w:r w:rsidR="004601A0">
        <w:t xml:space="preserve">As discussed earlier, one of the fundamental principles in setting a reasonable ROE for a regulated utility is to set </w:t>
      </w:r>
      <w:r w:rsidR="00AB4D7D">
        <w:t xml:space="preserve">it </w:t>
      </w:r>
      <w:r w:rsidR="004601A0">
        <w:t xml:space="preserve">so that an ordinary investor can earn a return from investing in </w:t>
      </w:r>
      <w:r w:rsidR="00E03BDB">
        <w:t xml:space="preserve">the </w:t>
      </w:r>
      <w:r w:rsidR="004601A0">
        <w:t xml:space="preserve">regulated utility comparable to the returns he or she </w:t>
      </w:r>
      <w:r w:rsidR="00AB4D7D">
        <w:t xml:space="preserve">would </w:t>
      </w:r>
      <w:r w:rsidR="004601A0">
        <w:t xml:space="preserve">expect to earn from other investments with similar risk. If a comparable ROE is authorized by the regulatory agency, the regulated utility </w:t>
      </w:r>
      <w:r w:rsidR="00AB4D7D">
        <w:t xml:space="preserve">has </w:t>
      </w:r>
      <w:r w:rsidR="004601A0">
        <w:t xml:space="preserve">an opportunity to attract capital </w:t>
      </w:r>
      <w:r w:rsidR="00AB4D7D">
        <w:t xml:space="preserve">on </w:t>
      </w:r>
      <w:r w:rsidR="004601A0">
        <w:t xml:space="preserve">reasonable terms, to maintain its financial integrity, and to have funds available to conduct its normal business of providing utility services. In this regard, the average ROE authorized nationwide in the most recent year can be </w:t>
      </w:r>
      <w:r w:rsidR="00E03BDB">
        <w:t xml:space="preserve">used </w:t>
      </w:r>
      <w:r w:rsidR="004601A0">
        <w:t xml:space="preserve">as a reasonable proxy for the opportunity cost to an investor (or owner) of Suburban. At the same time, the average ROE authorized in the most recent year can </w:t>
      </w:r>
      <w:r w:rsidR="00A65D94">
        <w:t xml:space="preserve">also </w:t>
      </w:r>
      <w:r w:rsidR="004601A0">
        <w:t>be considered a useful “yardstick” in determining if a</w:t>
      </w:r>
      <w:r w:rsidR="004C7076">
        <w:t>n</w:t>
      </w:r>
      <w:r w:rsidR="004601A0">
        <w:t xml:space="preserve"> </w:t>
      </w:r>
      <w:r w:rsidR="00AB4D7D">
        <w:t xml:space="preserve">ROE </w:t>
      </w:r>
      <w:r w:rsidR="004601A0">
        <w:t xml:space="preserve">is reasonable for Suburban’s consumers to pay. </w:t>
      </w:r>
    </w:p>
    <w:p w:rsidR="002637FC" w:rsidP="004601A0">
      <w:pPr>
        <w:spacing w:line="480" w:lineRule="auto"/>
        <w:ind w:left="720" w:hanging="720"/>
      </w:pPr>
    </w:p>
    <w:p w:rsidR="004601A0" w:rsidP="002637FC">
      <w:pPr>
        <w:spacing w:line="480" w:lineRule="auto"/>
        <w:ind w:left="720"/>
      </w:pPr>
      <w:r>
        <w:t xml:space="preserve">In addition, some financial analysts </w:t>
      </w:r>
      <w:r w:rsidRPr="004961C1">
        <w:t>ha</w:t>
      </w:r>
      <w:r>
        <w:t xml:space="preserve">ve </w:t>
      </w:r>
      <w:r w:rsidRPr="004961C1">
        <w:t xml:space="preserve">advocated </w:t>
      </w:r>
      <w:r w:rsidR="00E03BDB">
        <w:t xml:space="preserve">for </w:t>
      </w:r>
      <w:r w:rsidRPr="004961C1">
        <w:t xml:space="preserve">the use of the authorized ROEs of comparable utilities in setting a reasonable </w:t>
      </w:r>
      <w:r w:rsidR="00AB4D7D">
        <w:t xml:space="preserve">ROE </w:t>
      </w:r>
      <w:r w:rsidRPr="004961C1">
        <w:t>for a regulated utility.</w:t>
      </w:r>
      <w:r>
        <w:rPr>
          <w:vertAlign w:val="superscript"/>
        </w:rPr>
        <w:footnoteReference w:id="17"/>
      </w:r>
      <w:r>
        <w:t xml:space="preserve"> </w:t>
      </w:r>
      <w:r w:rsidR="007816A2">
        <w:t xml:space="preserve">Therefore, in setting a reasonable ROE for Suburban in this proceeding, </w:t>
      </w:r>
      <w:r>
        <w:t xml:space="preserve">the PUCO </w:t>
      </w:r>
      <w:r w:rsidR="007816A2">
        <w:t xml:space="preserve">may properly </w:t>
      </w:r>
      <w:r>
        <w:t xml:space="preserve">consider </w:t>
      </w:r>
      <w:r w:rsidRPr="004961C1">
        <w:t>the average</w:t>
      </w:r>
      <w:r w:rsidR="007816A2">
        <w:t xml:space="preserve"> of</w:t>
      </w:r>
      <w:r w:rsidRPr="004961C1">
        <w:t xml:space="preserve"> </w:t>
      </w:r>
      <w:r w:rsidR="00AB4D7D">
        <w:t>ROE</w:t>
      </w:r>
      <w:r w:rsidR="007816A2">
        <w:t>s</w:t>
      </w:r>
      <w:r w:rsidR="00AB4D7D">
        <w:t xml:space="preserve"> </w:t>
      </w:r>
      <w:r>
        <w:t>and rate</w:t>
      </w:r>
      <w:r w:rsidR="007816A2">
        <w:t>s</w:t>
      </w:r>
      <w:r>
        <w:t xml:space="preserve"> of return </w:t>
      </w:r>
      <w:r w:rsidR="007816A2">
        <w:t xml:space="preserve">approved in rate cases </w:t>
      </w:r>
      <w:r w:rsidRPr="004961C1">
        <w:t xml:space="preserve">for distribution-only </w:t>
      </w:r>
      <w:r w:rsidR="00897E3D">
        <w:t xml:space="preserve">gas </w:t>
      </w:r>
      <w:r w:rsidRPr="004961C1">
        <w:t>utilities in other jurisdictions</w:t>
      </w:r>
      <w:r>
        <w:t>.</w:t>
      </w:r>
    </w:p>
    <w:p w:rsidR="002637FC" w:rsidP="002637FC">
      <w:pPr>
        <w:spacing w:line="480" w:lineRule="auto"/>
        <w:ind w:left="720"/>
      </w:pPr>
    </w:p>
    <w:p w:rsidR="002637FC" w:rsidP="002637FC">
      <w:pPr>
        <w:spacing w:line="480" w:lineRule="auto"/>
        <w:ind w:left="720"/>
      </w:pPr>
      <w:r>
        <w:t>T</w:t>
      </w:r>
      <w:r>
        <w:t xml:space="preserve">he use of the average ROE granted in the most recent year is not the only way of estimating the ROE of a regulated utility. </w:t>
      </w:r>
      <w:r w:rsidR="00A65D94">
        <w:t>In certain instances, t</w:t>
      </w:r>
      <w:r>
        <w:t xml:space="preserve">he use of a comparable group of companies and the application of the DCF or the CAPM analysis to directly estimate the ROE of a regulated utility is still </w:t>
      </w:r>
      <w:r w:rsidR="00A65D94">
        <w:t>considered by some financial analysts</w:t>
      </w:r>
      <w:r w:rsidR="00697C98">
        <w:t xml:space="preserve"> to be </w:t>
      </w:r>
      <w:r w:rsidR="00A65D94">
        <w:t xml:space="preserve">the </w:t>
      </w:r>
      <w:r>
        <w:t>preferred</w:t>
      </w:r>
      <w:r w:rsidR="00A65D94">
        <w:t xml:space="preserve"> approach</w:t>
      </w:r>
      <w:r>
        <w:t xml:space="preserve">. However, in this proceeding, </w:t>
      </w:r>
      <w:r w:rsidR="00A65D94">
        <w:t xml:space="preserve">both Suburban and the </w:t>
      </w:r>
      <w:r w:rsidR="004C7076">
        <w:t xml:space="preserve">PUCO </w:t>
      </w:r>
      <w:r w:rsidR="00A65D94">
        <w:t xml:space="preserve">Staff decided not to </w:t>
      </w:r>
      <w:r w:rsidR="007D75C6">
        <w:t xml:space="preserve">use the DCF or the CAPM analysis to directly estimate </w:t>
      </w:r>
      <w:r w:rsidR="003E1DC0">
        <w:t xml:space="preserve">Suburban’s </w:t>
      </w:r>
      <w:r w:rsidR="007D75C6">
        <w:t xml:space="preserve">ROE. </w:t>
      </w:r>
      <w:r w:rsidRPr="00C41DA3" w:rsidR="00387542">
        <w:t>I</w:t>
      </w:r>
      <w:r w:rsidRPr="00C41DA3" w:rsidR="007D75C6">
        <w:t xml:space="preserve">t would be difficult to compare the results of </w:t>
      </w:r>
      <w:r w:rsidRPr="00C41DA3" w:rsidR="00697C98">
        <w:t xml:space="preserve">a </w:t>
      </w:r>
      <w:r w:rsidRPr="00C41DA3" w:rsidR="007D75C6">
        <w:t>direct ROE estimate</w:t>
      </w:r>
      <w:r w:rsidRPr="00C41DA3" w:rsidR="00387542">
        <w:t xml:space="preserve"> obtained in my analysis</w:t>
      </w:r>
      <w:r w:rsidRPr="00C41DA3" w:rsidR="00E96DB4">
        <w:t xml:space="preserve"> </w:t>
      </w:r>
      <w:r w:rsidRPr="00C41DA3" w:rsidR="00697C98">
        <w:t>with the results of the Staff Report</w:t>
      </w:r>
      <w:r w:rsidRPr="00C41DA3" w:rsidR="00387542">
        <w:t xml:space="preserve"> and Suburban’s Application</w:t>
      </w:r>
      <w:r w:rsidR="004C7076">
        <w:t>.</w:t>
      </w:r>
      <w:r w:rsidRPr="00C41DA3" w:rsidR="00697C98">
        <w:t xml:space="preserve"> </w:t>
      </w:r>
      <w:r w:rsidRPr="00C41DA3" w:rsidR="00387542">
        <w:t xml:space="preserve">I </w:t>
      </w:r>
      <w:r w:rsidRPr="00C41DA3" w:rsidR="00697C98">
        <w:t xml:space="preserve">instead </w:t>
      </w:r>
      <w:r w:rsidRPr="00C41DA3" w:rsidR="007D75C6">
        <w:t>use</w:t>
      </w:r>
      <w:r w:rsidRPr="00C41DA3" w:rsidR="00697C98">
        <w:t>d</w:t>
      </w:r>
      <w:r w:rsidRPr="00C41DA3" w:rsidR="007D75C6">
        <w:t xml:space="preserve"> the 2018 average ROE for gas utilities</w:t>
      </w:r>
      <w:r w:rsidRPr="00C41DA3" w:rsidR="00697C98">
        <w:t xml:space="preserve"> nationwide</w:t>
      </w:r>
      <w:r w:rsidRPr="00C41DA3" w:rsidR="007D75C6">
        <w:t xml:space="preserve"> as the baseline ROE for Suburban in this proceeding.</w:t>
      </w:r>
      <w:r w:rsidR="007D75C6">
        <w:t xml:space="preserve"> </w:t>
      </w:r>
      <w:r w:rsidR="00697C98">
        <w:t xml:space="preserve">My approach </w:t>
      </w:r>
      <w:r>
        <w:t>is reasonable and should be adopted by the PUCO.</w:t>
      </w:r>
    </w:p>
    <w:p w:rsidR="00AE4863" w:rsidP="00AE4863">
      <w:pPr>
        <w:spacing w:line="480" w:lineRule="auto"/>
        <w:ind w:left="720" w:hanging="720"/>
        <w:rPr>
          <w:b/>
          <w:i/>
        </w:rPr>
      </w:pPr>
    </w:p>
    <w:p w:rsidR="00AE4863" w:rsidP="00AE4863">
      <w:pPr>
        <w:spacing w:line="480" w:lineRule="auto"/>
        <w:ind w:left="720" w:hanging="720"/>
        <w:rPr>
          <w:b/>
          <w:i/>
        </w:rPr>
      </w:pPr>
      <w:r>
        <w:rPr>
          <w:b/>
          <w:i/>
        </w:rPr>
        <w:t>Q</w:t>
      </w:r>
      <w:r w:rsidR="00114BBC">
        <w:rPr>
          <w:b/>
          <w:i/>
        </w:rPr>
        <w:t>2</w:t>
      </w:r>
      <w:r w:rsidR="002637FC">
        <w:rPr>
          <w:b/>
          <w:i/>
        </w:rPr>
        <w:t>5</w:t>
      </w:r>
      <w:r>
        <w:rPr>
          <w:b/>
          <w:i/>
        </w:rPr>
        <w:t>.</w:t>
      </w:r>
      <w:r>
        <w:rPr>
          <w:b/>
          <w:i/>
        </w:rPr>
        <w:tab/>
        <w:t xml:space="preserve">PLEASE EXPLAIN OCC’S RECOMMENDED RATE OF RETURN FOR </w:t>
      </w:r>
      <w:r w:rsidR="00114BBC">
        <w:rPr>
          <w:b/>
          <w:i/>
        </w:rPr>
        <w:t>SUBURBAN</w:t>
      </w:r>
      <w:r>
        <w:rPr>
          <w:b/>
          <w:i/>
        </w:rPr>
        <w:t xml:space="preserve">. </w:t>
      </w:r>
    </w:p>
    <w:p w:rsidR="00AE4863" w:rsidP="002637FC">
      <w:pPr>
        <w:spacing w:line="480" w:lineRule="auto"/>
        <w:ind w:left="720" w:hanging="720"/>
        <w:rPr>
          <w:rFonts w:eastAsia="Times New Roman"/>
        </w:rPr>
      </w:pPr>
      <w:r>
        <w:rPr>
          <w:b/>
          <w:i/>
        </w:rPr>
        <w:t>A</w:t>
      </w:r>
      <w:r w:rsidR="00114BBC">
        <w:rPr>
          <w:b/>
          <w:i/>
        </w:rPr>
        <w:t>2</w:t>
      </w:r>
      <w:r w:rsidR="002637FC">
        <w:rPr>
          <w:b/>
          <w:i/>
        </w:rPr>
        <w:t>5</w:t>
      </w:r>
      <w:r>
        <w:rPr>
          <w:b/>
          <w:i/>
        </w:rPr>
        <w:t>.</w:t>
      </w:r>
      <w:r>
        <w:rPr>
          <w:b/>
          <w:i/>
        </w:rPr>
        <w:tab/>
      </w:r>
      <w:r>
        <w:t xml:space="preserve">If OCC’s proposed </w:t>
      </w:r>
      <w:r w:rsidR="000940CB">
        <w:t xml:space="preserve">ROE were adopted and applied to the capital structure </w:t>
      </w:r>
      <w:r w:rsidR="002637FC">
        <w:t xml:space="preserve">(52.25% debt and 47.75% equity) </w:t>
      </w:r>
      <w:r w:rsidR="000940CB">
        <w:t>and cost of debt</w:t>
      </w:r>
      <w:r w:rsidR="002637FC">
        <w:t xml:space="preserve"> (4.53%),</w:t>
      </w:r>
      <w:r>
        <w:rPr>
          <w:rFonts w:eastAsia="Times New Roman"/>
        </w:rPr>
        <w:t xml:space="preserve"> </w:t>
      </w:r>
      <w:r w:rsidRPr="00266648">
        <w:rPr>
          <w:rFonts w:eastAsia="Times New Roman"/>
        </w:rPr>
        <w:t xml:space="preserve">the overall rate of return for </w:t>
      </w:r>
      <w:r w:rsidR="00BA275F">
        <w:rPr>
          <w:rFonts w:eastAsia="Times New Roman"/>
        </w:rPr>
        <w:t>Suburban</w:t>
      </w:r>
      <w:r w:rsidRPr="00266648" w:rsidR="00BA275F">
        <w:rPr>
          <w:rFonts w:eastAsia="Times New Roman"/>
        </w:rPr>
        <w:t xml:space="preserve"> </w:t>
      </w:r>
      <w:r>
        <w:rPr>
          <w:rFonts w:eastAsia="Times New Roman"/>
        </w:rPr>
        <w:t xml:space="preserve">would </w:t>
      </w:r>
      <w:r w:rsidRPr="00266648">
        <w:rPr>
          <w:rFonts w:eastAsia="Times New Roman"/>
        </w:rPr>
        <w:t>be 6.</w:t>
      </w:r>
      <w:r w:rsidR="002637FC">
        <w:rPr>
          <w:rFonts w:eastAsia="Times New Roman"/>
        </w:rPr>
        <w:t>95</w:t>
      </w:r>
      <w:r w:rsidR="00A61A84">
        <w:rPr>
          <w:rFonts w:eastAsia="Times New Roman"/>
        </w:rPr>
        <w:t>%</w:t>
      </w:r>
      <w:r>
        <w:rPr>
          <w:rFonts w:eastAsia="Times New Roman"/>
        </w:rPr>
        <w:t xml:space="preserve">. </w:t>
      </w:r>
    </w:p>
    <w:p w:rsidR="00AE4863" w:rsidP="00AE4863">
      <w:pPr>
        <w:tabs>
          <w:tab w:val="left" w:pos="1440"/>
        </w:tabs>
        <w:spacing w:line="480" w:lineRule="auto"/>
        <w:ind w:left="720"/>
      </w:pPr>
      <w:r>
        <w:tab/>
      </w:r>
      <w:r w:rsidRPr="00926EF0">
        <w:t>6.</w:t>
      </w:r>
      <w:r w:rsidR="002637FC">
        <w:t>95</w:t>
      </w:r>
      <w:r w:rsidRPr="00926EF0">
        <w:t>% = (0.</w:t>
      </w:r>
      <w:r w:rsidR="002637FC">
        <w:t>5225</w:t>
      </w:r>
      <w:r w:rsidRPr="00926EF0">
        <w:t xml:space="preserve"> </w:t>
      </w:r>
      <w:r w:rsidR="002637FC">
        <w:t>*</w:t>
      </w:r>
      <w:r w:rsidRPr="00926EF0">
        <w:t xml:space="preserve"> </w:t>
      </w:r>
      <w:r w:rsidR="002637FC">
        <w:t>4.53</w:t>
      </w:r>
      <w:r w:rsidRPr="00926EF0">
        <w:t>%) + (0.</w:t>
      </w:r>
      <w:r w:rsidR="002637FC">
        <w:t>4775</w:t>
      </w:r>
      <w:r w:rsidRPr="00926EF0">
        <w:t xml:space="preserve"> </w:t>
      </w:r>
      <w:r w:rsidR="002637FC">
        <w:t>*</w:t>
      </w:r>
      <w:r w:rsidRPr="00926EF0">
        <w:t xml:space="preserve"> </w:t>
      </w:r>
      <w:r w:rsidR="002637FC">
        <w:t>9.59</w:t>
      </w:r>
      <w:r w:rsidRPr="00926EF0">
        <w:t>%).</w:t>
      </w:r>
    </w:p>
    <w:p w:rsidR="00AE4863" w:rsidP="00AE4863">
      <w:pPr>
        <w:tabs>
          <w:tab w:val="left" w:pos="1440"/>
        </w:tabs>
        <w:spacing w:line="480" w:lineRule="auto"/>
        <w:ind w:left="720"/>
        <w:rPr>
          <w:b/>
          <w:i/>
        </w:rPr>
      </w:pPr>
    </w:p>
    <w:p w:rsidR="00AE4863" w:rsidP="00AE4863">
      <w:pPr>
        <w:spacing w:line="480" w:lineRule="auto"/>
        <w:ind w:left="720"/>
      </w:pPr>
      <w:r>
        <w:t>This 6.</w:t>
      </w:r>
      <w:r w:rsidR="002637FC">
        <w:t>95</w:t>
      </w:r>
      <w:r w:rsidR="00A61A84">
        <w:t>%</w:t>
      </w:r>
      <w:r>
        <w:t xml:space="preserve"> is OCC’s recommended rate of return for </w:t>
      </w:r>
      <w:r w:rsidR="002637FC">
        <w:t xml:space="preserve">Suburban </w:t>
      </w:r>
      <w:r>
        <w:t>in th</w:t>
      </w:r>
      <w:r w:rsidR="002637FC">
        <w:t xml:space="preserve">is </w:t>
      </w:r>
      <w:r>
        <w:t xml:space="preserve">proceeding.  </w:t>
      </w:r>
    </w:p>
    <w:p w:rsidR="00AE4863" w:rsidRPr="0076261A" w:rsidP="00AE4863">
      <w:pPr>
        <w:spacing w:line="480" w:lineRule="auto"/>
      </w:pPr>
    </w:p>
    <w:p w:rsidR="00553EE9" w:rsidRPr="00441DF2" w:rsidP="008345DA">
      <w:pPr>
        <w:pStyle w:val="Heading1"/>
      </w:pPr>
      <w:bookmarkStart w:id="33" w:name="_Toc516746383"/>
      <w:bookmarkStart w:id="34" w:name="_Toc517269608"/>
      <w:bookmarkStart w:id="35" w:name="_Toc517704643"/>
      <w:bookmarkStart w:id="36" w:name="_Toc2939454"/>
      <w:r>
        <w:t>V</w:t>
      </w:r>
      <w:r w:rsidRPr="00441DF2">
        <w:t>.</w:t>
      </w:r>
      <w:r w:rsidRPr="00441DF2">
        <w:tab/>
        <w:t>CONCLUSION</w:t>
      </w:r>
      <w:bookmarkEnd w:id="33"/>
      <w:bookmarkEnd w:id="34"/>
      <w:bookmarkEnd w:id="35"/>
      <w:bookmarkEnd w:id="36"/>
    </w:p>
    <w:p w:rsidR="00553EE9" w:rsidRPr="00441DF2" w:rsidP="00553EE9">
      <w:pPr>
        <w:spacing w:line="480" w:lineRule="auto"/>
        <w:ind w:left="720" w:hanging="720"/>
        <w:rPr>
          <w:rFonts w:eastAsia="Times New Roman"/>
          <w:b/>
          <w:i/>
        </w:rPr>
      </w:pPr>
    </w:p>
    <w:p w:rsidR="00553EE9" w:rsidRPr="00441DF2" w:rsidP="00553EE9">
      <w:pPr>
        <w:spacing w:line="480" w:lineRule="auto"/>
        <w:ind w:left="720" w:hanging="720"/>
        <w:rPr>
          <w:rFonts w:eastAsia="Times New Roman"/>
          <w:b/>
          <w:i/>
        </w:rPr>
      </w:pPr>
      <w:r w:rsidRPr="00441DF2">
        <w:rPr>
          <w:rFonts w:eastAsia="Times New Roman"/>
          <w:b/>
          <w:i/>
        </w:rPr>
        <w:t>Q</w:t>
      </w:r>
      <w:r w:rsidR="00801438">
        <w:rPr>
          <w:rFonts w:eastAsia="Times New Roman"/>
          <w:b/>
          <w:i/>
        </w:rPr>
        <w:t>26</w:t>
      </w:r>
      <w:r w:rsidRPr="00441DF2">
        <w:rPr>
          <w:rFonts w:eastAsia="Times New Roman"/>
          <w:b/>
          <w:i/>
        </w:rPr>
        <w:t>.</w:t>
      </w:r>
      <w:r w:rsidRPr="00441DF2">
        <w:rPr>
          <w:rFonts w:eastAsia="Times New Roman"/>
        </w:rPr>
        <w:tab/>
      </w:r>
      <w:r w:rsidRPr="00441DF2">
        <w:rPr>
          <w:rFonts w:eastAsia="Times New Roman"/>
          <w:b/>
          <w:i/>
        </w:rPr>
        <w:t xml:space="preserve">PLEASE SUMMARIZE YOUR RECOMMENDATION. </w:t>
      </w:r>
    </w:p>
    <w:p w:rsidR="008345DA" w:rsidP="00553EE9">
      <w:pPr>
        <w:spacing w:line="480" w:lineRule="auto"/>
        <w:ind w:left="720" w:hanging="720"/>
        <w:sectPr w:rsidSect="005E0851">
          <w:pgSz w:w="12240" w:h="15840" w:code="1"/>
          <w:pgMar w:top="1440" w:right="1440" w:bottom="1440" w:left="1440" w:header="720" w:footer="720" w:gutter="0"/>
          <w:lnNumType w:countBy="1"/>
          <w:cols w:space="720"/>
          <w:titlePg/>
          <w:docGrid w:linePitch="360"/>
        </w:sectPr>
      </w:pPr>
      <w:r w:rsidRPr="00441DF2">
        <w:rPr>
          <w:b/>
          <w:bCs/>
          <w:i/>
          <w:iCs/>
        </w:rPr>
        <w:t>A</w:t>
      </w:r>
      <w:r w:rsidR="00801438">
        <w:rPr>
          <w:b/>
          <w:bCs/>
          <w:i/>
          <w:iCs/>
        </w:rPr>
        <w:t>26</w:t>
      </w:r>
      <w:r w:rsidRPr="00441DF2">
        <w:rPr>
          <w:b/>
          <w:bCs/>
          <w:i/>
          <w:iCs/>
        </w:rPr>
        <w:t>.</w:t>
      </w:r>
      <w:r w:rsidRPr="00441DF2">
        <w:rPr>
          <w:b/>
          <w:bCs/>
          <w:i/>
          <w:iCs/>
        </w:rPr>
        <w:tab/>
      </w:r>
      <w:r w:rsidRPr="00441DF2">
        <w:t xml:space="preserve">I recommend the PUCO adopt OCC’s </w:t>
      </w:r>
      <w:r w:rsidR="00801438">
        <w:t>O</w:t>
      </w:r>
      <w:r w:rsidRPr="00441DF2">
        <w:t xml:space="preserve">bjections </w:t>
      </w:r>
      <w:r w:rsidR="00801438">
        <w:t xml:space="preserve">and proposed adjustments </w:t>
      </w:r>
      <w:r w:rsidRPr="00441DF2">
        <w:t>regarding the rate of return analysis in the Staff Report</w:t>
      </w:r>
      <w:r w:rsidR="00801438">
        <w:t>.  T</w:t>
      </w:r>
      <w:r w:rsidRPr="00441DF2">
        <w:t xml:space="preserve">he PUCO should set an after-tax rate of return of </w:t>
      </w:r>
      <w:r w:rsidR="00D6711B">
        <w:t xml:space="preserve">no higher than </w:t>
      </w:r>
      <w:r w:rsidRPr="00441DF2">
        <w:t>6.</w:t>
      </w:r>
      <w:r w:rsidR="00801438">
        <w:t>95</w:t>
      </w:r>
      <w:r w:rsidR="00D6711B">
        <w:t>%</w:t>
      </w:r>
      <w:r w:rsidRPr="00441DF2">
        <w:t xml:space="preserve"> and a </w:t>
      </w:r>
      <w:r w:rsidR="00697C98">
        <w:t xml:space="preserve">ROE </w:t>
      </w:r>
      <w:r w:rsidRPr="00441DF2">
        <w:t xml:space="preserve">of </w:t>
      </w:r>
      <w:r w:rsidR="00D6711B">
        <w:t xml:space="preserve">no higher than </w:t>
      </w:r>
      <w:r w:rsidR="00801438">
        <w:t>9.59</w:t>
      </w:r>
      <w:r w:rsidR="00D6711B">
        <w:t>%</w:t>
      </w:r>
      <w:r w:rsidRPr="00441DF2">
        <w:t xml:space="preserve"> for </w:t>
      </w:r>
      <w:r w:rsidR="00801438">
        <w:t>Suburban</w:t>
      </w:r>
      <w:r>
        <w:t xml:space="preserve">.  </w:t>
      </w:r>
      <w:r w:rsidRPr="00441DF2">
        <w:t xml:space="preserve"> </w:t>
      </w:r>
    </w:p>
    <w:p w:rsidR="00553EE9" w:rsidRPr="00441DF2" w:rsidP="00553EE9">
      <w:pPr>
        <w:autoSpaceDE w:val="0"/>
        <w:autoSpaceDN w:val="0"/>
        <w:adjustRightInd w:val="0"/>
        <w:spacing w:line="480" w:lineRule="auto"/>
        <w:ind w:left="720" w:hanging="720"/>
        <w:rPr>
          <w:b/>
          <w:bCs/>
          <w:i/>
        </w:rPr>
      </w:pPr>
      <w:r w:rsidRPr="00441DF2">
        <w:rPr>
          <w:b/>
          <w:i/>
        </w:rPr>
        <w:t>Q</w:t>
      </w:r>
      <w:r w:rsidR="00801438">
        <w:rPr>
          <w:b/>
          <w:i/>
        </w:rPr>
        <w:t>27</w:t>
      </w:r>
      <w:r w:rsidRPr="00441DF2">
        <w:rPr>
          <w:b/>
          <w:i/>
        </w:rPr>
        <w:t>.</w:t>
      </w:r>
      <w:r w:rsidRPr="00441DF2">
        <w:rPr>
          <w:b/>
          <w:i/>
        </w:rPr>
        <w:tab/>
        <w:t>DOES THIS CONCLUDE YOUR TESTIMONY?</w:t>
      </w:r>
    </w:p>
    <w:p w:rsidR="005E0851" w:rsidP="005E0851">
      <w:pPr>
        <w:spacing w:line="480" w:lineRule="auto"/>
        <w:ind w:left="720" w:hanging="720"/>
        <w:sectPr w:rsidSect="005E0851">
          <w:headerReference w:type="default" r:id="rId19"/>
          <w:pgSz w:w="12240" w:h="15840" w:code="1"/>
          <w:pgMar w:top="1440" w:right="1440" w:bottom="1440" w:left="1440" w:header="720" w:footer="720" w:gutter="0"/>
          <w:lnNumType w:countBy="1"/>
          <w:cols w:space="720"/>
          <w:titlePg/>
          <w:docGrid w:linePitch="360"/>
        </w:sectPr>
      </w:pPr>
      <w:r w:rsidRPr="00441DF2">
        <w:rPr>
          <w:b/>
          <w:bCs/>
          <w:i/>
        </w:rPr>
        <w:t>A</w:t>
      </w:r>
      <w:r w:rsidR="00801438">
        <w:rPr>
          <w:b/>
          <w:bCs/>
          <w:i/>
        </w:rPr>
        <w:t>27</w:t>
      </w:r>
      <w:r w:rsidRPr="00441DF2">
        <w:rPr>
          <w:b/>
          <w:bCs/>
          <w:i/>
        </w:rPr>
        <w:t>.</w:t>
      </w:r>
      <w:r w:rsidRPr="00441DF2">
        <w:rPr>
          <w:b/>
          <w:bCs/>
          <w:i/>
        </w:rPr>
        <w:tab/>
      </w:r>
      <w:r w:rsidRPr="00441DF2">
        <w:t xml:space="preserve">Yes.  However, I reserve the right to supplement my testimony </w:t>
      </w:r>
      <w:r w:rsidR="004C7076">
        <w:t>if</w:t>
      </w:r>
      <w:r w:rsidRPr="00441DF2">
        <w:t xml:space="preserve"> additional testimony is filed, or if new information or data in connection with this proceeding becomes available</w:t>
      </w:r>
      <w:r>
        <w:t>.</w:t>
      </w:r>
    </w:p>
    <w:p w:rsidR="008345DA" w:rsidRPr="004D288C" w:rsidP="005E0851">
      <w:pPr>
        <w:pStyle w:val="ANSWER"/>
        <w:suppressLineNumbers/>
        <w:ind w:left="720"/>
        <w:jc w:val="center"/>
        <w:rPr>
          <w:rFonts w:asciiTheme="majorBidi" w:hAnsiTheme="majorBidi" w:cstheme="majorBidi"/>
          <w:b/>
          <w:szCs w:val="24"/>
          <w:u w:val="single"/>
        </w:rPr>
      </w:pPr>
      <w:r w:rsidRPr="004D288C">
        <w:rPr>
          <w:rFonts w:asciiTheme="majorBidi" w:hAnsiTheme="majorBidi" w:cstheme="majorBidi"/>
          <w:b/>
          <w:szCs w:val="24"/>
          <w:u w:val="single"/>
        </w:rPr>
        <w:t>CERTIFICATE OF SERVICE</w:t>
      </w:r>
    </w:p>
    <w:p w:rsidR="008345DA" w:rsidP="005E0851">
      <w:pPr>
        <w:suppressLineNumbers/>
        <w:spacing w:line="480" w:lineRule="auto"/>
        <w:ind w:firstLine="720"/>
        <w:rPr>
          <w:rFonts w:asciiTheme="majorBidi" w:hAnsiTheme="majorBidi" w:cstheme="majorBidi"/>
        </w:rPr>
      </w:pPr>
      <w:r w:rsidRPr="004D288C">
        <w:rPr>
          <w:rFonts w:asciiTheme="majorBidi" w:hAnsiTheme="majorBidi" w:cstheme="majorBidi"/>
        </w:rPr>
        <w:t xml:space="preserve">I hereby certify that a copy of the foregoing </w:t>
      </w:r>
      <w:r w:rsidRPr="004D288C">
        <w:rPr>
          <w:rFonts w:asciiTheme="majorBidi" w:hAnsiTheme="majorBidi" w:cstheme="majorBidi"/>
          <w:i/>
        </w:rPr>
        <w:t xml:space="preserve">Direct Testimony of </w:t>
      </w:r>
      <w:r w:rsidR="005E0851">
        <w:rPr>
          <w:rFonts w:asciiTheme="majorBidi" w:hAnsiTheme="majorBidi" w:cstheme="majorBidi"/>
          <w:i/>
        </w:rPr>
        <w:t>Daniel J. Duann, Ph.D.</w:t>
      </w:r>
      <w:r w:rsidRPr="004D288C">
        <w:rPr>
          <w:rFonts w:asciiTheme="majorBidi" w:hAnsiTheme="majorBidi" w:cstheme="majorBidi"/>
          <w:i/>
        </w:rPr>
        <w:t xml:space="preserve"> on behalf of the Office of the Ohio Consumers’ Counsel</w:t>
      </w:r>
      <w:r w:rsidRPr="004D288C">
        <w:rPr>
          <w:rFonts w:asciiTheme="majorBidi" w:hAnsiTheme="majorBidi" w:cstheme="majorBidi"/>
        </w:rPr>
        <w:t xml:space="preserve"> has been served upon those persons listed below via electronic service this 8</w:t>
      </w:r>
      <w:r w:rsidR="00425F44">
        <w:rPr>
          <w:rFonts w:asciiTheme="majorBidi" w:hAnsiTheme="majorBidi" w:cstheme="majorBidi"/>
        </w:rPr>
        <w:t>th</w:t>
      </w:r>
      <w:r>
        <w:rPr>
          <w:rFonts w:asciiTheme="majorBidi" w:hAnsiTheme="majorBidi" w:cstheme="majorBidi"/>
          <w:vertAlign w:val="superscript"/>
        </w:rPr>
        <w:t xml:space="preserve"> </w:t>
      </w:r>
      <w:r w:rsidRPr="004D288C">
        <w:rPr>
          <w:rFonts w:asciiTheme="majorBidi" w:hAnsiTheme="majorBidi" w:cstheme="majorBidi"/>
        </w:rPr>
        <w:t xml:space="preserve">day of </w:t>
      </w:r>
      <w:r w:rsidR="005E0851">
        <w:rPr>
          <w:rFonts w:asciiTheme="majorBidi" w:hAnsiTheme="majorBidi" w:cstheme="majorBidi"/>
        </w:rPr>
        <w:t>March</w:t>
      </w:r>
      <w:r w:rsidRPr="004D288C">
        <w:rPr>
          <w:rFonts w:asciiTheme="majorBidi" w:hAnsiTheme="majorBidi" w:cstheme="majorBidi"/>
        </w:rPr>
        <w:t xml:space="preserve"> 2019.</w:t>
      </w:r>
    </w:p>
    <w:p w:rsidR="005E0851" w:rsidP="005E0851">
      <w:pPr>
        <w:suppressLineNumbers/>
        <w:ind w:firstLine="720"/>
        <w:rPr>
          <w:rFonts w:asciiTheme="majorBidi" w:hAnsiTheme="majorBidi" w:cstheme="majorBidi"/>
        </w:rPr>
      </w:pPr>
    </w:p>
    <w:p w:rsidR="008345DA" w:rsidP="005E0851">
      <w:pPr>
        <w:suppressLineNumbers/>
        <w:tabs>
          <w:tab w:val="left" w:pos="4320"/>
        </w:tabs>
      </w:pPr>
      <w:r w:rsidRPr="005E0851">
        <w:rPr>
          <w:i/>
        </w:rPr>
        <w:tab/>
      </w:r>
      <w:r>
        <w:rPr>
          <w:i/>
          <w:u w:val="single"/>
        </w:rPr>
        <w:t>/s/ Christopher Healey</w:t>
      </w:r>
      <w:r w:rsidR="00425F44">
        <w:rPr>
          <w:i/>
          <w:u w:val="single"/>
        </w:rPr>
        <w:tab/>
      </w:r>
    </w:p>
    <w:p w:rsidR="008345DA" w:rsidP="005E0851">
      <w:pPr>
        <w:suppressLineNumbers/>
        <w:tabs>
          <w:tab w:val="left" w:pos="4320"/>
        </w:tabs>
      </w:pPr>
      <w:r>
        <w:tab/>
        <w:t>Christopher Healey</w:t>
      </w:r>
    </w:p>
    <w:p w:rsidR="008345DA" w:rsidP="005E0851">
      <w:pPr>
        <w:suppressLineNumbers/>
        <w:tabs>
          <w:tab w:val="left" w:pos="4320"/>
        </w:tabs>
      </w:pPr>
      <w:r>
        <w:tab/>
        <w:t>Counsel</w:t>
      </w:r>
      <w:r w:rsidR="00425F44">
        <w:t xml:space="preserve"> of Record</w:t>
      </w:r>
    </w:p>
    <w:p w:rsidR="008345DA" w:rsidRPr="004D288C" w:rsidP="005E0851">
      <w:pPr>
        <w:suppressLineNumbers/>
        <w:spacing w:line="480" w:lineRule="auto"/>
        <w:ind w:firstLine="720"/>
        <w:rPr>
          <w:rFonts w:asciiTheme="majorBidi" w:hAnsiTheme="majorBidi" w:cstheme="majorBidi"/>
        </w:rPr>
      </w:pPr>
    </w:p>
    <w:p w:rsidR="008345DA" w:rsidP="005E0851">
      <w:pPr>
        <w:pStyle w:val="CommentText"/>
        <w:suppressLineNumbers/>
        <w:jc w:val="center"/>
        <w:rPr>
          <w:b/>
          <w:sz w:val="24"/>
          <w:szCs w:val="24"/>
          <w:u w:val="single"/>
        </w:rPr>
      </w:pPr>
    </w:p>
    <w:p w:rsidR="008345DA" w:rsidP="005E0851">
      <w:pPr>
        <w:pStyle w:val="CommentText"/>
        <w:suppressLineNumbers/>
        <w:jc w:val="center"/>
        <w:rPr>
          <w:b/>
          <w:sz w:val="24"/>
          <w:szCs w:val="24"/>
          <w:u w:val="single"/>
        </w:rPr>
      </w:pPr>
      <w:r w:rsidRPr="00FB7D74">
        <w:rPr>
          <w:b/>
          <w:sz w:val="24"/>
          <w:szCs w:val="24"/>
          <w:u w:val="single"/>
        </w:rPr>
        <w:t>SERVICE LIST</w:t>
      </w:r>
    </w:p>
    <w:p w:rsidR="005E0851" w:rsidP="005E0851">
      <w:pPr>
        <w:pStyle w:val="CommentText"/>
        <w:suppressLineNumbers/>
        <w:jc w:val="center"/>
        <w:rPr>
          <w:b/>
          <w:sz w:val="24"/>
          <w:szCs w:val="24"/>
          <w:u w:val="single"/>
        </w:rPr>
      </w:pPr>
    </w:p>
    <w:tbl>
      <w:tblPr>
        <w:tblW w:w="0" w:type="auto"/>
        <w:tblInd w:w="0" w:type="dxa"/>
        <w:tblCellMar>
          <w:top w:w="0" w:type="dxa"/>
          <w:left w:w="108" w:type="dxa"/>
          <w:bottom w:w="0" w:type="dxa"/>
          <w:right w:w="108" w:type="dxa"/>
        </w:tblCellMar>
        <w:tblLook w:val="04A0"/>
      </w:tblPr>
      <w:tblGrid>
        <w:gridCol w:w="4428"/>
        <w:gridCol w:w="4428"/>
      </w:tblGrid>
      <w:tr w:rsidTr="000023DA">
        <w:tblPrEx>
          <w:tblW w:w="0" w:type="auto"/>
          <w:tblInd w:w="0" w:type="dxa"/>
          <w:tblCellMar>
            <w:top w:w="0" w:type="dxa"/>
            <w:left w:w="108" w:type="dxa"/>
            <w:bottom w:w="0" w:type="dxa"/>
            <w:right w:w="108" w:type="dxa"/>
          </w:tblCellMar>
          <w:tblLook w:val="04A0"/>
        </w:tblPrEx>
        <w:tc>
          <w:tcPr>
            <w:tcW w:w="4428" w:type="dxa"/>
            <w:shd w:val="clear" w:color="auto" w:fill="auto"/>
          </w:tcPr>
          <w:p w:rsidR="00FC07DD" w:rsidRPr="00B33759" w:rsidP="000023DA">
            <w:pPr>
              <w:pStyle w:val="CommentText"/>
              <w:autoSpaceDE w:val="0"/>
              <w:autoSpaceDN w:val="0"/>
              <w:rPr>
                <w:rStyle w:val="DefaultParagraphFont"/>
                <w:rFonts w:eastAsia="PMingLiU"/>
                <w:bCs/>
                <w:sz w:val="24"/>
                <w:szCs w:val="24"/>
                <w:lang w:val="en-US" w:eastAsia="en-US" w:bidi="ar-SA"/>
              </w:rPr>
            </w:pPr>
            <w:bookmarkStart w:id="37" w:name="_Hlk2166818"/>
            <w:r w:rsidRPr="00B33759">
              <w:rPr>
                <w:rFonts w:eastAsia="PMingLiU"/>
                <w:bCs/>
                <w:sz w:val="24"/>
                <w:szCs w:val="24"/>
                <w:lang w:val="en-US" w:eastAsia="en-US" w:bidi="ar-SA"/>
              </w:rPr>
              <w:t>robert.eubanks@ohioattorneygenerral.gov</w:t>
            </w:r>
          </w:p>
          <w:p w:rsidR="00FC07DD" w:rsidRPr="00B33759" w:rsidP="000023DA">
            <w:pPr>
              <w:pStyle w:val="CommentText"/>
              <w:autoSpaceDE w:val="0"/>
              <w:autoSpaceDN w:val="0"/>
              <w:rPr>
                <w:rStyle w:val="DefaultParagraphFont"/>
                <w:rFonts w:eastAsia="PMingLiU"/>
                <w:bCs/>
                <w:sz w:val="24"/>
                <w:szCs w:val="24"/>
                <w:lang w:val="en-US" w:eastAsia="en-US" w:bidi="ar-SA"/>
              </w:rPr>
            </w:pPr>
            <w:r w:rsidRPr="00B33759">
              <w:rPr>
                <w:rFonts w:eastAsia="PMingLiU"/>
                <w:bCs/>
                <w:sz w:val="24"/>
                <w:szCs w:val="24"/>
                <w:lang w:val="en-US" w:eastAsia="en-US" w:bidi="ar-SA"/>
              </w:rPr>
              <w:t>werner.margard@ohioattorneygeneral.gov</w:t>
            </w:r>
          </w:p>
          <w:p w:rsidR="00FC07DD" w:rsidRPr="00B33759" w:rsidP="000023DA">
            <w:pPr>
              <w:pStyle w:val="CommentText"/>
              <w:autoSpaceDE w:val="0"/>
              <w:autoSpaceDN w:val="0"/>
              <w:rPr>
                <w:rStyle w:val="DefaultParagraphFont"/>
                <w:rFonts w:eastAsia="PMingLiU"/>
                <w:bCs/>
                <w:sz w:val="24"/>
                <w:szCs w:val="24"/>
                <w:lang w:val="en-US" w:eastAsia="en-US" w:bidi="ar-SA"/>
              </w:rPr>
            </w:pPr>
            <w:r w:rsidRPr="00B33759">
              <w:rPr>
                <w:rFonts w:eastAsia="PMingLiU"/>
                <w:bCs/>
                <w:sz w:val="24"/>
                <w:szCs w:val="24"/>
                <w:lang w:val="en-US" w:eastAsia="en-US" w:bidi="ar-SA"/>
              </w:rPr>
              <w:t>cmooney@opae.org</w:t>
            </w:r>
          </w:p>
          <w:p w:rsidR="00FC07DD" w:rsidRPr="00B33759" w:rsidP="000023DA">
            <w:pPr>
              <w:pStyle w:val="CommentText"/>
              <w:autoSpaceDE w:val="0"/>
              <w:autoSpaceDN w:val="0"/>
              <w:rPr>
                <w:rStyle w:val="DefaultParagraphFont"/>
                <w:rFonts w:eastAsia="PMingLiU"/>
                <w:bCs/>
                <w:sz w:val="24"/>
                <w:szCs w:val="24"/>
                <w:lang w:val="en-US" w:eastAsia="en-US" w:bidi="ar-SA"/>
              </w:rPr>
            </w:pPr>
          </w:p>
          <w:p w:rsidR="00FC07DD" w:rsidRPr="00B33759" w:rsidP="000023DA">
            <w:pPr>
              <w:pStyle w:val="CommentText"/>
              <w:autoSpaceDE w:val="0"/>
              <w:autoSpaceDN w:val="0"/>
              <w:rPr>
                <w:rStyle w:val="DefaultParagraphFont"/>
                <w:rFonts w:eastAsia="PMingLiU"/>
                <w:bCs/>
                <w:sz w:val="24"/>
                <w:szCs w:val="24"/>
                <w:lang w:val="en-US" w:eastAsia="en-US" w:bidi="ar-SA"/>
              </w:rPr>
            </w:pPr>
            <w:r w:rsidRPr="00B33759">
              <w:rPr>
                <w:rFonts w:eastAsia="PMingLiU"/>
                <w:bCs/>
                <w:sz w:val="24"/>
                <w:szCs w:val="24"/>
                <w:lang w:val="en-US" w:eastAsia="en-US" w:bidi="ar-SA"/>
              </w:rPr>
              <w:t>Attorney Examiners:</w:t>
            </w:r>
          </w:p>
          <w:p w:rsidR="00FC07DD" w:rsidRPr="00B33759" w:rsidP="000023DA">
            <w:pPr>
              <w:pStyle w:val="CommentText"/>
              <w:autoSpaceDE w:val="0"/>
              <w:autoSpaceDN w:val="0"/>
              <w:rPr>
                <w:rStyle w:val="DefaultParagraphFont"/>
                <w:rFonts w:eastAsia="PMingLiU"/>
                <w:bCs/>
                <w:sz w:val="24"/>
                <w:szCs w:val="24"/>
                <w:lang w:val="en-US" w:eastAsia="en-US" w:bidi="ar-SA"/>
              </w:rPr>
            </w:pPr>
            <w:r w:rsidRPr="00B33759">
              <w:rPr>
                <w:rFonts w:eastAsia="PMingLiU"/>
                <w:bCs/>
                <w:sz w:val="24"/>
                <w:szCs w:val="24"/>
                <w:lang w:val="en-US" w:eastAsia="en-US" w:bidi="ar-SA"/>
              </w:rPr>
              <w:t>Sarah.parrot@puc.state.oh.us</w:t>
            </w:r>
          </w:p>
          <w:p w:rsidR="00FC07DD" w:rsidRPr="00B33759" w:rsidP="000023DA">
            <w:pPr>
              <w:pStyle w:val="CommentText"/>
              <w:autoSpaceDE w:val="0"/>
              <w:autoSpaceDN w:val="0"/>
              <w:rPr>
                <w:rStyle w:val="DefaultParagraphFont"/>
                <w:rFonts w:eastAsia="PMingLiU"/>
                <w:bCs/>
                <w:sz w:val="24"/>
                <w:szCs w:val="24"/>
                <w:lang w:val="en-US" w:eastAsia="en-US" w:bidi="ar-SA"/>
              </w:rPr>
            </w:pPr>
            <w:r w:rsidRPr="00B33759">
              <w:rPr>
                <w:rFonts w:eastAsia="PMingLiU"/>
                <w:bCs/>
                <w:sz w:val="24"/>
                <w:szCs w:val="24"/>
                <w:lang w:val="en-US" w:eastAsia="en-US" w:bidi="ar-SA"/>
              </w:rPr>
              <w:t>Anna.sanyal@puc.state.oh.us</w:t>
            </w:r>
          </w:p>
          <w:p w:rsidR="00FC07DD" w:rsidRPr="00B33759" w:rsidP="000023DA">
            <w:pPr>
              <w:pStyle w:val="CommentText"/>
              <w:autoSpaceDE w:val="0"/>
              <w:autoSpaceDN w:val="0"/>
              <w:rPr>
                <w:rStyle w:val="DefaultParagraphFont"/>
                <w:rFonts w:eastAsia="PMingLiU"/>
                <w:bCs/>
                <w:sz w:val="24"/>
                <w:szCs w:val="24"/>
                <w:lang w:val="en-US" w:eastAsia="en-US" w:bidi="ar-SA"/>
              </w:rPr>
            </w:pPr>
          </w:p>
          <w:p w:rsidR="00FC07DD" w:rsidRPr="00B33759" w:rsidP="000023DA">
            <w:pPr>
              <w:pStyle w:val="CommentText"/>
              <w:autoSpaceDE w:val="0"/>
              <w:autoSpaceDN w:val="0"/>
              <w:rPr>
                <w:rStyle w:val="DefaultParagraphFont"/>
                <w:rFonts w:eastAsia="PMingLiU"/>
                <w:bCs/>
                <w:sz w:val="24"/>
                <w:szCs w:val="24"/>
                <w:lang w:val="en-US" w:eastAsia="en-US" w:bidi="ar-SA"/>
              </w:rPr>
            </w:pPr>
          </w:p>
          <w:p w:rsidR="00FC07DD" w:rsidRPr="00B33759" w:rsidP="000023DA">
            <w:pPr>
              <w:pStyle w:val="CommentText"/>
              <w:autoSpaceDE w:val="0"/>
              <w:autoSpaceDN w:val="0"/>
              <w:rPr>
                <w:rStyle w:val="DefaultParagraphFont"/>
                <w:rFonts w:eastAsia="PMingLiU"/>
                <w:bCs/>
                <w:sz w:val="24"/>
                <w:szCs w:val="24"/>
                <w:lang w:val="en-US" w:eastAsia="en-US" w:bidi="ar-SA"/>
              </w:rPr>
            </w:pPr>
          </w:p>
          <w:p w:rsidR="00FC07DD" w:rsidRPr="00B33759" w:rsidP="000023DA">
            <w:pPr>
              <w:pStyle w:val="CommentText"/>
              <w:autoSpaceDE w:val="0"/>
              <w:autoSpaceDN w:val="0"/>
              <w:rPr>
                <w:rStyle w:val="DefaultParagraphFont"/>
                <w:rFonts w:eastAsia="PMingLiU"/>
                <w:bCs/>
                <w:sz w:val="24"/>
                <w:szCs w:val="24"/>
                <w:lang w:val="en-US" w:eastAsia="en-US" w:bidi="ar-SA"/>
              </w:rPr>
            </w:pPr>
            <w:r w:rsidRPr="00B33759">
              <w:rPr>
                <w:rFonts w:eastAsia="PMingLiU"/>
                <w:bCs/>
                <w:sz w:val="24"/>
                <w:szCs w:val="24"/>
                <w:lang w:val="en-US" w:eastAsia="en-US" w:bidi="ar-SA"/>
              </w:rPr>
              <w:t xml:space="preserve"> </w:t>
            </w:r>
          </w:p>
        </w:tc>
        <w:tc>
          <w:tcPr>
            <w:tcW w:w="4428" w:type="dxa"/>
            <w:shd w:val="clear" w:color="auto" w:fill="auto"/>
          </w:tcPr>
          <w:p w:rsidR="00FC07DD" w:rsidRPr="00B33759" w:rsidP="000023DA">
            <w:pPr>
              <w:pStyle w:val="CommentText"/>
              <w:autoSpaceDE w:val="0"/>
              <w:autoSpaceDN w:val="0"/>
              <w:ind w:left="604"/>
              <w:rPr>
                <w:rStyle w:val="DefaultParagraphFont"/>
                <w:rFonts w:eastAsia="PMingLiU"/>
                <w:bCs/>
                <w:sz w:val="24"/>
                <w:szCs w:val="24"/>
                <w:lang w:val="en-US" w:eastAsia="en-US" w:bidi="ar-SA"/>
              </w:rPr>
            </w:pPr>
            <w:r w:rsidRPr="00B33759">
              <w:rPr>
                <w:rFonts w:eastAsia="PMingLiU"/>
                <w:bCs/>
                <w:sz w:val="24"/>
                <w:szCs w:val="24"/>
                <w:lang w:val="en-US" w:eastAsia="en-US" w:bidi="ar-SA"/>
              </w:rPr>
              <w:t>bojko@carpenterlipps.com</w:t>
            </w:r>
          </w:p>
          <w:p w:rsidR="00FC07DD" w:rsidRPr="00B33759" w:rsidP="000023DA">
            <w:pPr>
              <w:pStyle w:val="CommentText"/>
              <w:autoSpaceDE w:val="0"/>
              <w:autoSpaceDN w:val="0"/>
              <w:ind w:left="604"/>
              <w:rPr>
                <w:rStyle w:val="DefaultParagraphFont"/>
                <w:rFonts w:eastAsia="PMingLiU"/>
                <w:bCs/>
                <w:sz w:val="24"/>
                <w:szCs w:val="24"/>
                <w:lang w:val="en-US" w:eastAsia="en-US" w:bidi="ar-SA"/>
              </w:rPr>
            </w:pPr>
            <w:r w:rsidRPr="00B33759">
              <w:rPr>
                <w:rFonts w:eastAsia="PMingLiU"/>
                <w:bCs/>
                <w:sz w:val="24"/>
                <w:szCs w:val="24"/>
                <w:lang w:val="en-US" w:eastAsia="en-US" w:bidi="ar-SA"/>
              </w:rPr>
              <w:t>see@carpenterlipps.com</w:t>
            </w:r>
          </w:p>
          <w:p w:rsidR="00FC07DD" w:rsidRPr="00B33759" w:rsidP="000023DA">
            <w:pPr>
              <w:pStyle w:val="CommentText"/>
              <w:autoSpaceDE w:val="0"/>
              <w:autoSpaceDN w:val="0"/>
              <w:ind w:left="604"/>
              <w:rPr>
                <w:rStyle w:val="DefaultParagraphFont"/>
                <w:rFonts w:eastAsia="PMingLiU"/>
                <w:bCs/>
                <w:sz w:val="24"/>
                <w:szCs w:val="24"/>
                <w:lang w:val="en-US" w:eastAsia="en-US" w:bidi="ar-SA"/>
              </w:rPr>
            </w:pPr>
            <w:r w:rsidRPr="00B33759">
              <w:rPr>
                <w:rFonts w:eastAsia="PMingLiU"/>
                <w:bCs/>
                <w:sz w:val="24"/>
                <w:szCs w:val="24"/>
                <w:lang w:val="en-US" w:eastAsia="en-US" w:bidi="ar-SA"/>
              </w:rPr>
              <w:t>dressel@carpenterlipps.com</w:t>
            </w:r>
          </w:p>
          <w:p w:rsidR="00FC07DD" w:rsidRPr="00B33759" w:rsidP="000023DA">
            <w:pPr>
              <w:pStyle w:val="CommentText"/>
              <w:autoSpaceDE w:val="0"/>
              <w:autoSpaceDN w:val="0"/>
              <w:ind w:left="604"/>
              <w:rPr>
                <w:rStyle w:val="DefaultParagraphFont"/>
                <w:rFonts w:eastAsia="PMingLiU"/>
                <w:bCs/>
                <w:sz w:val="24"/>
                <w:szCs w:val="24"/>
                <w:lang w:val="en-US" w:eastAsia="en-US" w:bidi="ar-SA"/>
              </w:rPr>
            </w:pPr>
          </w:p>
          <w:p w:rsidR="00FC07DD" w:rsidRPr="00B33759" w:rsidP="000023DA">
            <w:pPr>
              <w:pStyle w:val="CommentText"/>
              <w:autoSpaceDE w:val="0"/>
              <w:autoSpaceDN w:val="0"/>
              <w:rPr>
                <w:rStyle w:val="DefaultParagraphFont"/>
                <w:rFonts w:eastAsia="PMingLiU"/>
                <w:bCs/>
                <w:sz w:val="24"/>
                <w:szCs w:val="24"/>
                <w:lang w:val="en-US" w:eastAsia="en-US" w:bidi="ar-SA"/>
              </w:rPr>
            </w:pPr>
            <w:r w:rsidRPr="00B33759">
              <w:rPr>
                <w:rFonts w:eastAsia="PMingLiU"/>
                <w:bCs/>
                <w:sz w:val="24"/>
                <w:szCs w:val="24"/>
                <w:lang w:val="en-US" w:eastAsia="en-US" w:bidi="ar-SA"/>
              </w:rPr>
              <w:t xml:space="preserve"> </w:t>
            </w:r>
          </w:p>
          <w:p w:rsidR="00FC07DD" w:rsidRPr="00B33759" w:rsidP="000023DA">
            <w:pPr>
              <w:pStyle w:val="CommentText"/>
              <w:autoSpaceDE w:val="0"/>
              <w:autoSpaceDN w:val="0"/>
              <w:rPr>
                <w:rStyle w:val="DefaultParagraphFont"/>
                <w:rFonts w:eastAsia="PMingLiU"/>
                <w:bCs/>
                <w:sz w:val="24"/>
                <w:szCs w:val="24"/>
                <w:lang w:val="en-US" w:eastAsia="en-US" w:bidi="ar-SA"/>
              </w:rPr>
            </w:pPr>
          </w:p>
          <w:p w:rsidR="00FC07DD" w:rsidRPr="00B33759" w:rsidP="000023DA">
            <w:pPr>
              <w:pStyle w:val="CommentText"/>
              <w:autoSpaceDE w:val="0"/>
              <w:autoSpaceDN w:val="0"/>
              <w:rPr>
                <w:rStyle w:val="DefaultParagraphFont"/>
                <w:rFonts w:eastAsia="PMingLiU"/>
                <w:bCs/>
                <w:sz w:val="24"/>
                <w:szCs w:val="24"/>
                <w:lang w:val="en-US" w:eastAsia="en-US" w:bidi="ar-SA"/>
              </w:rPr>
            </w:pPr>
          </w:p>
        </w:tc>
      </w:tr>
    </w:tbl>
    <w:p w:rsidR="008345DA" w:rsidP="005E0851">
      <w:pPr>
        <w:suppressLineNumbers/>
        <w:spacing w:line="480" w:lineRule="auto"/>
      </w:pPr>
      <w:bookmarkEnd w:id="37"/>
    </w:p>
    <w:p w:rsidR="008345DA" w:rsidP="005E0851">
      <w:pPr>
        <w:suppressLineNumbers/>
        <w:spacing w:line="480" w:lineRule="auto"/>
      </w:pPr>
    </w:p>
    <w:p w:rsidR="00AE4863" w:rsidP="008345DA">
      <w:pPr>
        <w:suppressLineNumbers/>
        <w:spacing w:line="480" w:lineRule="auto"/>
      </w:pPr>
      <w:r>
        <w:br w:type="page"/>
      </w:r>
    </w:p>
    <w:p w:rsidR="00A15FF4" w:rsidP="00C41DA3">
      <w:pPr>
        <w:suppressLineNumbers/>
        <w:ind w:left="720" w:hanging="720"/>
        <w:jc w:val="right"/>
        <w:rPr>
          <w:b/>
        </w:rPr>
      </w:pPr>
      <w:r>
        <w:rPr>
          <w:b/>
        </w:rPr>
        <w:t>ATTACHMENT DJD-1</w:t>
      </w:r>
    </w:p>
    <w:p w:rsidR="00A15FF4" w:rsidP="00C41DA3">
      <w:pPr>
        <w:suppressLineNumbers/>
        <w:jc w:val="right"/>
      </w:pPr>
      <w:r>
        <w:t>Page 1 of 3</w:t>
      </w:r>
    </w:p>
    <w:p w:rsidR="00A15FF4" w:rsidP="00C41DA3">
      <w:pPr>
        <w:suppressLineNumbers/>
        <w:rPr>
          <w:b/>
        </w:rPr>
      </w:pPr>
    </w:p>
    <w:p w:rsidR="00A15FF4" w:rsidP="00C41DA3">
      <w:pPr>
        <w:suppressLineNumbers/>
        <w:jc w:val="center"/>
        <w:rPr>
          <w:b/>
        </w:rPr>
      </w:pPr>
      <w:bookmarkStart w:id="38" w:name="_Toc249780404"/>
      <w:bookmarkStart w:id="39" w:name="_Toc249782130"/>
      <w:r>
        <w:rPr>
          <w:b/>
        </w:rPr>
        <w:t xml:space="preserve">Daniel J. Duann, Ph.D. </w:t>
      </w:r>
    </w:p>
    <w:p w:rsidR="00A15FF4" w:rsidP="00C41DA3">
      <w:pPr>
        <w:suppressLineNumbers/>
        <w:jc w:val="center"/>
        <w:rPr>
          <w:b/>
        </w:rPr>
      </w:pPr>
      <w:r>
        <w:rPr>
          <w:b/>
        </w:rPr>
        <w:t xml:space="preserve">List of Testimonies Filed Before PUCO </w:t>
      </w:r>
      <w:bookmarkEnd w:id="38"/>
      <w:bookmarkEnd w:id="39"/>
    </w:p>
    <w:p w:rsidR="00A15FF4" w:rsidP="00C41DA3">
      <w:pPr>
        <w:pStyle w:val="FootnoteText"/>
        <w:suppressLineNumbers/>
        <w:spacing w:after="120"/>
      </w:pPr>
    </w:p>
    <w:p w:rsidR="00A15FF4" w:rsidP="00C41DA3">
      <w:pPr>
        <w:pStyle w:val="FootnoteText"/>
        <w:numPr>
          <w:ilvl w:val="0"/>
          <w:numId w:val="1"/>
        </w:numPr>
        <w:suppressLineNumbers/>
        <w:tabs>
          <w:tab w:val="clear" w:pos="360"/>
        </w:tabs>
        <w:spacing w:before="0" w:after="180"/>
        <w:ind w:left="720" w:hanging="720"/>
        <w:rPr>
          <w:sz w:val="24"/>
          <w:szCs w:val="24"/>
        </w:rPr>
      </w:pPr>
      <w:r>
        <w:rPr>
          <w:i/>
          <w:sz w:val="24"/>
          <w:szCs w:val="24"/>
        </w:rPr>
        <w:t>Application of The Dayton Power and Light Company for Approval of Its Electric Security Plan</w:t>
      </w:r>
      <w:r>
        <w:rPr>
          <w:sz w:val="24"/>
          <w:szCs w:val="24"/>
        </w:rPr>
        <w:t>, Case No. 08-1094-EL-SSO (January 26, 2009).</w:t>
      </w:r>
    </w:p>
    <w:p w:rsidR="00A15FF4" w:rsidP="00C41DA3">
      <w:pPr>
        <w:pStyle w:val="FootnoteText"/>
        <w:numPr>
          <w:ilvl w:val="0"/>
          <w:numId w:val="1"/>
        </w:numPr>
        <w:suppressLineNumbers/>
        <w:tabs>
          <w:tab w:val="clear" w:pos="360"/>
        </w:tabs>
        <w:spacing w:before="0" w:after="180"/>
        <w:ind w:left="720" w:hanging="720"/>
        <w:rPr>
          <w:sz w:val="24"/>
          <w:szCs w:val="24"/>
        </w:rPr>
      </w:pPr>
      <w:r>
        <w:rPr>
          <w:i/>
          <w:sz w:val="24"/>
          <w:szCs w:val="24"/>
        </w:rPr>
        <w:t>Application of Ohio American Water Company to Increase Its Rates for Water and Sewer Service Provided to Its Entire Service Area</w:t>
      </w:r>
      <w:r>
        <w:rPr>
          <w:sz w:val="24"/>
          <w:szCs w:val="24"/>
        </w:rPr>
        <w:t>, Case No. 09-391-WS-AIR (January 4,2010).</w:t>
      </w:r>
    </w:p>
    <w:p w:rsidR="00A15FF4" w:rsidP="00C41DA3">
      <w:pPr>
        <w:pStyle w:val="FootnoteText"/>
        <w:numPr>
          <w:ilvl w:val="0"/>
          <w:numId w:val="1"/>
        </w:numPr>
        <w:suppressLineNumbers/>
        <w:tabs>
          <w:tab w:val="clear" w:pos="360"/>
        </w:tabs>
        <w:spacing w:before="0" w:after="180"/>
        <w:ind w:left="720" w:hanging="720"/>
        <w:rPr>
          <w:sz w:val="24"/>
          <w:szCs w:val="24"/>
        </w:rPr>
      </w:pPr>
      <w:r>
        <w:rPr>
          <w:i/>
          <w:sz w:val="24"/>
          <w:szCs w:val="24"/>
        </w:rPr>
        <w:t>Application of Aqua Ohio, Inc. for Authority to Increase its Rates and Charges in its Masury Division</w:t>
      </w:r>
      <w:r>
        <w:rPr>
          <w:sz w:val="24"/>
          <w:szCs w:val="24"/>
        </w:rPr>
        <w:t>, Case No. 09-560-WW-AIR (February 22, 2010).</w:t>
      </w:r>
    </w:p>
    <w:p w:rsidR="00A15FF4" w:rsidP="00C41DA3">
      <w:pPr>
        <w:pStyle w:val="FootnoteText"/>
        <w:numPr>
          <w:ilvl w:val="0"/>
          <w:numId w:val="1"/>
        </w:numPr>
        <w:suppressLineNumbers/>
        <w:tabs>
          <w:tab w:val="clear" w:pos="360"/>
        </w:tabs>
        <w:spacing w:before="0" w:after="180"/>
        <w:ind w:left="720" w:hanging="720"/>
        <w:rPr>
          <w:sz w:val="24"/>
          <w:szCs w:val="24"/>
        </w:rPr>
      </w:pPr>
      <w:r>
        <w:rPr>
          <w:i/>
          <w:sz w:val="24"/>
          <w:szCs w:val="24"/>
        </w:rPr>
        <w:t>Application of Aqua Ohio, Inc. for Authority to increase its Rates and Charges in its Lake Erie Division</w:t>
      </w:r>
      <w:r>
        <w:rPr>
          <w:sz w:val="24"/>
          <w:szCs w:val="24"/>
        </w:rPr>
        <w:t>, Case No. 09-1044-WW-AIR (June 21, 2010).</w:t>
      </w:r>
    </w:p>
    <w:p w:rsidR="00A15FF4" w:rsidP="00C41DA3">
      <w:pPr>
        <w:pStyle w:val="FootnoteText"/>
        <w:numPr>
          <w:ilvl w:val="0"/>
          <w:numId w:val="1"/>
        </w:numPr>
        <w:suppressLineNumbers/>
        <w:tabs>
          <w:tab w:val="clear" w:pos="360"/>
        </w:tabs>
        <w:spacing w:before="0" w:after="180"/>
        <w:ind w:left="720" w:hanging="720"/>
        <w:rPr>
          <w:sz w:val="24"/>
          <w:szCs w:val="24"/>
        </w:rPr>
      </w:pPr>
      <w:r>
        <w:rPr>
          <w:i/>
          <w:sz w:val="24"/>
          <w:szCs w:val="24"/>
        </w:rPr>
        <w:t>In the Matter of the Fuel Adjustment Clauses for Columbus Southern Power Company and AEP Company</w:t>
      </w:r>
      <w:r>
        <w:rPr>
          <w:sz w:val="24"/>
          <w:szCs w:val="24"/>
        </w:rPr>
        <w:t>, Case Nos. 09-872-EL-FAC and 09-873-EL-FAC (August 16, 2010).</w:t>
      </w:r>
    </w:p>
    <w:p w:rsidR="00A15FF4" w:rsidP="00C41DA3">
      <w:pPr>
        <w:pStyle w:val="FootnoteText"/>
        <w:numPr>
          <w:ilvl w:val="0"/>
          <w:numId w:val="1"/>
        </w:numPr>
        <w:suppressLineNumbers/>
        <w:tabs>
          <w:tab w:val="clear" w:pos="360"/>
        </w:tabs>
        <w:spacing w:before="0" w:after="180"/>
        <w:ind w:left="720" w:hanging="720"/>
        <w:rPr>
          <w:sz w:val="24"/>
          <w:szCs w:val="24"/>
        </w:rPr>
      </w:pPr>
      <w:r>
        <w:rPr>
          <w:i/>
          <w:sz w:val="24"/>
          <w:szCs w:val="24"/>
        </w:rPr>
        <w:t>In the Matter of the Application of Columbus Southern Power Company for Approval of an Electric Security Plan; an Amendment to its Corporate Separation Plan; and the Sale or Transfer of Certain Generating Asset (Remand)</w:t>
      </w:r>
      <w:r>
        <w:rPr>
          <w:sz w:val="24"/>
          <w:szCs w:val="24"/>
        </w:rPr>
        <w:t>, Case Nos. 08-917-EL-SSO et al (June 30, 2011).</w:t>
      </w:r>
    </w:p>
    <w:p w:rsidR="00A15FF4" w:rsidP="00C41DA3">
      <w:pPr>
        <w:pStyle w:val="FootnoteText"/>
        <w:numPr>
          <w:ilvl w:val="0"/>
          <w:numId w:val="1"/>
        </w:numPr>
        <w:suppressLineNumbers/>
        <w:tabs>
          <w:tab w:val="clear" w:pos="360"/>
        </w:tabs>
        <w:spacing w:before="0" w:after="180"/>
        <w:ind w:left="720" w:hanging="720"/>
        <w:rPr>
          <w:sz w:val="24"/>
          <w:szCs w:val="24"/>
        </w:rPr>
      </w:pPr>
      <w:r>
        <w:rPr>
          <w:i/>
          <w:sz w:val="24"/>
          <w:szCs w:val="24"/>
        </w:rPr>
        <w:t>In the Matter of the Application of The East Ohio Gas Company d/b/a Dominion East Ohio for Approval of Tariffs to Modify and further Accelerate its Pipeline Infrastructure Replacement Program and to Recover the Associated Costs et al.</w:t>
      </w:r>
      <w:r>
        <w:rPr>
          <w:sz w:val="24"/>
          <w:szCs w:val="24"/>
        </w:rPr>
        <w:t>, Case Nos. 11-2401-GA-ALT and 08-169-GA-ALT (July 15, 2011).</w:t>
      </w:r>
    </w:p>
    <w:p w:rsidR="00A15FF4" w:rsidP="00C41DA3">
      <w:pPr>
        <w:pStyle w:val="FootnoteText"/>
        <w:numPr>
          <w:ilvl w:val="0"/>
          <w:numId w:val="1"/>
        </w:numPr>
        <w:suppressLineNumbers/>
        <w:tabs>
          <w:tab w:val="clear" w:pos="360"/>
        </w:tabs>
        <w:spacing w:before="0" w:after="180"/>
        <w:ind w:left="720" w:hanging="720"/>
        <w:rPr>
          <w:sz w:val="24"/>
          <w:szCs w:val="24"/>
        </w:rPr>
      </w:pPr>
      <w:r>
        <w:rPr>
          <w:i/>
          <w:sz w:val="24"/>
          <w:szCs w:val="24"/>
        </w:rPr>
        <w:t>In the Matter of the Application of Columbus Southern Power Company and AEP Company for Authority to Establish a Standard Service Offer Pursuant to 4928.143, Ohio Rev. Code in the Form of an Electric Security Plan (ESP)</w:t>
      </w:r>
      <w:r>
        <w:rPr>
          <w:sz w:val="24"/>
          <w:szCs w:val="24"/>
        </w:rPr>
        <w:t>, Case Nos. 11-346-EL-SSO, et al (July 25,</w:t>
      </w:r>
      <w:r w:rsidR="00FA2173">
        <w:rPr>
          <w:sz w:val="24"/>
          <w:szCs w:val="24"/>
        </w:rPr>
        <w:t xml:space="preserve"> </w:t>
      </w:r>
      <w:r>
        <w:rPr>
          <w:sz w:val="24"/>
          <w:szCs w:val="24"/>
        </w:rPr>
        <w:t>2011).</w:t>
      </w:r>
    </w:p>
    <w:p w:rsidR="00A15FF4" w:rsidP="00C41DA3">
      <w:pPr>
        <w:pStyle w:val="FootnoteText"/>
        <w:numPr>
          <w:ilvl w:val="0"/>
          <w:numId w:val="1"/>
        </w:numPr>
        <w:suppressLineNumbers/>
        <w:tabs>
          <w:tab w:val="clear" w:pos="360"/>
        </w:tabs>
        <w:spacing w:before="0" w:after="180"/>
        <w:ind w:left="720" w:hanging="720"/>
        <w:rPr>
          <w:sz w:val="24"/>
          <w:szCs w:val="24"/>
        </w:rPr>
      </w:pPr>
      <w:r>
        <w:rPr>
          <w:i/>
          <w:sz w:val="24"/>
          <w:szCs w:val="24"/>
        </w:rPr>
        <w:t>In the Matter of the Application of Columbus Southern Power Company and AEP Company for Authority to Merge and Related Approval (ESP Stipulation)</w:t>
      </w:r>
      <w:r>
        <w:rPr>
          <w:sz w:val="24"/>
          <w:szCs w:val="24"/>
        </w:rPr>
        <w:t>, Case Nos. 10-2376-EL-UNC, et al (September 27, 2011).</w:t>
      </w:r>
    </w:p>
    <w:p w:rsidR="00A15FF4" w:rsidP="00C41DA3">
      <w:pPr>
        <w:pStyle w:val="FootnoteText"/>
        <w:numPr>
          <w:ilvl w:val="0"/>
          <w:numId w:val="1"/>
        </w:numPr>
        <w:suppressLineNumbers/>
        <w:tabs>
          <w:tab w:val="clear" w:pos="360"/>
        </w:tabs>
        <w:spacing w:before="0" w:after="180"/>
        <w:ind w:left="720" w:hanging="720"/>
        <w:rPr>
          <w:sz w:val="24"/>
          <w:szCs w:val="24"/>
        </w:rPr>
      </w:pPr>
      <w:r>
        <w:rPr>
          <w:i/>
          <w:sz w:val="24"/>
          <w:szCs w:val="24"/>
        </w:rPr>
        <w:t xml:space="preserve">In the Matter of the 2010 Annual Filing of Columbus Southern Power Company and AEP Company Required by Rule 4901:1-35-10, Ohio Administrative Code, </w:t>
      </w:r>
      <w:r>
        <w:rPr>
          <w:sz w:val="24"/>
          <w:szCs w:val="24"/>
        </w:rPr>
        <w:t>Case Nos. 11-4571-EL-UNC and 11-4572-EL-UNC (October 12, 2011).</w:t>
      </w:r>
    </w:p>
    <w:p w:rsidR="00A15FF4" w:rsidRPr="00823BD8" w:rsidP="00C41DA3">
      <w:pPr>
        <w:pStyle w:val="FootnoteText"/>
        <w:numPr>
          <w:ilvl w:val="0"/>
          <w:numId w:val="1"/>
        </w:numPr>
        <w:suppressLineNumbers/>
        <w:tabs>
          <w:tab w:val="clear" w:pos="360"/>
        </w:tabs>
        <w:spacing w:before="0" w:after="180"/>
        <w:ind w:left="720" w:hanging="720"/>
        <w:rPr>
          <w:b/>
        </w:rPr>
      </w:pPr>
      <w:r w:rsidRPr="00823BD8">
        <w:rPr>
          <w:i/>
          <w:sz w:val="24"/>
        </w:rPr>
        <w:t>In the Matter of the Application of Ohio American Water Company to Increase Its Rates for Water and Sewer Service Provided to Its Entire Service Area</w:t>
      </w:r>
      <w:r>
        <w:rPr>
          <w:sz w:val="24"/>
        </w:rPr>
        <w:t>, Case No. 11-4161-WS-AIR (March 1, 2012).</w:t>
      </w:r>
      <w:r w:rsidRPr="00823BD8">
        <w:rPr>
          <w:b/>
        </w:rPr>
        <w:br w:type="page"/>
      </w:r>
    </w:p>
    <w:p w:rsidR="00A15FF4" w:rsidP="00C41DA3">
      <w:pPr>
        <w:suppressLineNumbers/>
        <w:ind w:left="630"/>
        <w:jc w:val="right"/>
        <w:rPr>
          <w:b/>
        </w:rPr>
      </w:pPr>
      <w:r>
        <w:rPr>
          <w:b/>
        </w:rPr>
        <w:t>ATTACHMENT DJD-1</w:t>
      </w:r>
    </w:p>
    <w:p w:rsidR="00A15FF4" w:rsidP="00C41DA3">
      <w:pPr>
        <w:suppressLineNumbers/>
        <w:ind w:left="630"/>
        <w:jc w:val="right"/>
      </w:pPr>
      <w:r>
        <w:t>Page 2 of 3</w:t>
      </w:r>
    </w:p>
    <w:p w:rsidR="00A15FF4" w:rsidP="00C41DA3">
      <w:pPr>
        <w:pStyle w:val="FootnoteText"/>
        <w:suppressLineNumbers/>
        <w:spacing w:after="180"/>
        <w:ind w:left="720"/>
        <w:rPr>
          <w:sz w:val="24"/>
          <w:szCs w:val="24"/>
        </w:rPr>
      </w:pPr>
    </w:p>
    <w:p w:rsidR="00A15FF4" w:rsidP="00C41DA3">
      <w:pPr>
        <w:pStyle w:val="FootnoteText"/>
        <w:numPr>
          <w:ilvl w:val="0"/>
          <w:numId w:val="1"/>
        </w:numPr>
        <w:suppressLineNumbers/>
        <w:tabs>
          <w:tab w:val="clear" w:pos="360"/>
        </w:tabs>
        <w:spacing w:before="0" w:after="180"/>
        <w:ind w:left="720" w:hanging="720"/>
        <w:rPr>
          <w:sz w:val="24"/>
          <w:szCs w:val="24"/>
        </w:rPr>
      </w:pPr>
      <w:r>
        <w:rPr>
          <w:i/>
          <w:sz w:val="24"/>
          <w:szCs w:val="24"/>
        </w:rPr>
        <w:t xml:space="preserve">In the Matter of the Application of Columbus Southern Power Company and </w:t>
      </w:r>
      <w:r w:rsidR="00FA2173">
        <w:rPr>
          <w:i/>
          <w:sz w:val="24"/>
          <w:szCs w:val="24"/>
        </w:rPr>
        <w:t xml:space="preserve">Ohio Power </w:t>
      </w:r>
      <w:r>
        <w:rPr>
          <w:i/>
          <w:sz w:val="24"/>
          <w:szCs w:val="24"/>
        </w:rPr>
        <w:t>Company for Authority to Establish a Standard Service Offer Pursuant to 4928.143, Ohio Rev. Code in the Form of an Electric Security Plan (Modified ESP)</w:t>
      </w:r>
      <w:r>
        <w:rPr>
          <w:sz w:val="24"/>
          <w:szCs w:val="24"/>
        </w:rPr>
        <w:t>, Case Nos. 11-346-EL-SSO, et al (May 4, 2012).</w:t>
      </w:r>
    </w:p>
    <w:p w:rsidR="00A15FF4" w:rsidP="00C41DA3">
      <w:pPr>
        <w:numPr>
          <w:ilvl w:val="0"/>
          <w:numId w:val="1"/>
        </w:numPr>
        <w:suppressLineNumbers/>
        <w:tabs>
          <w:tab w:val="clear" w:pos="360"/>
          <w:tab w:val="num" w:pos="720"/>
        </w:tabs>
        <w:autoSpaceDE w:val="0"/>
        <w:autoSpaceDN w:val="0"/>
        <w:adjustRightInd w:val="0"/>
        <w:spacing w:after="180"/>
        <w:ind w:left="720" w:hanging="720"/>
      </w:pPr>
      <w:r>
        <w:rPr>
          <w:i/>
        </w:rPr>
        <w:t xml:space="preserve">In the Matter of the Application of Ohio Edison Company, The Cleveland Electric Illuminating Company, and The Toledo Edison Company For Authority to Establish a Standard Service Offer Pursuant to R.C. § 4928.143 in the Form Of an Electric Security Plan, </w:t>
      </w:r>
      <w:r>
        <w:t>Case No. 12-1230-EL-SSO (May 21, 2012).</w:t>
      </w:r>
    </w:p>
    <w:p w:rsidR="00A15FF4" w:rsidP="00C41DA3">
      <w:pPr>
        <w:numPr>
          <w:ilvl w:val="0"/>
          <w:numId w:val="1"/>
        </w:numPr>
        <w:suppressLineNumbers/>
        <w:tabs>
          <w:tab w:val="clear" w:pos="360"/>
        </w:tabs>
        <w:autoSpaceDE w:val="0"/>
        <w:autoSpaceDN w:val="0"/>
        <w:adjustRightInd w:val="0"/>
        <w:spacing w:after="180"/>
        <w:ind w:left="720" w:hanging="720"/>
      </w:pPr>
      <w:r>
        <w:rPr>
          <w:i/>
        </w:rPr>
        <w:t xml:space="preserve">In the Matter of the Application of Duke Energy Ohio, Inc., for an Increase in Electric Distribution Rates, et al. </w:t>
      </w:r>
      <w:r>
        <w:t xml:space="preserve">Case Nos. 12-1682-EL-AIR (February 19, 2013). </w:t>
      </w:r>
    </w:p>
    <w:p w:rsidR="00A15FF4" w:rsidP="00C41DA3">
      <w:pPr>
        <w:numPr>
          <w:ilvl w:val="0"/>
          <w:numId w:val="1"/>
        </w:numPr>
        <w:suppressLineNumbers/>
        <w:tabs>
          <w:tab w:val="clear" w:pos="360"/>
        </w:tabs>
        <w:autoSpaceDE w:val="0"/>
        <w:autoSpaceDN w:val="0"/>
        <w:adjustRightInd w:val="0"/>
        <w:spacing w:after="180"/>
        <w:ind w:left="720" w:hanging="720"/>
      </w:pPr>
      <w:r>
        <w:rPr>
          <w:i/>
        </w:rPr>
        <w:t xml:space="preserve">In the Matter of the Application of Duke Energy Ohio, Inc., for an Increase in Gas Rates, </w:t>
      </w:r>
      <w:r>
        <w:t>Case Nos. 12-1685-GA-AIR, et al (February 25, 2013).</w:t>
      </w:r>
    </w:p>
    <w:p w:rsidR="00A15FF4" w:rsidP="00C41DA3">
      <w:pPr>
        <w:numPr>
          <w:ilvl w:val="0"/>
          <w:numId w:val="1"/>
        </w:numPr>
        <w:suppressLineNumbers/>
        <w:tabs>
          <w:tab w:val="clear" w:pos="360"/>
        </w:tabs>
        <w:autoSpaceDE w:val="0"/>
        <w:autoSpaceDN w:val="0"/>
        <w:adjustRightInd w:val="0"/>
        <w:spacing w:after="180"/>
        <w:ind w:left="720" w:hanging="720"/>
      </w:pPr>
      <w:r w:rsidRPr="000C34C6">
        <w:rPr>
          <w:i/>
        </w:rPr>
        <w:t xml:space="preserve">In the Matter of the Application of Dayton Power &amp; Light Company for Authority to Establish a Standard Service Offer in the Form Of an Electric Security Plan Pursuant to R.C. 4928.143, </w:t>
      </w:r>
      <w:r>
        <w:t>Case No. 12-426-EL-SSO et al. (March 1, 2013).</w:t>
      </w:r>
    </w:p>
    <w:p w:rsidR="00A15FF4" w:rsidP="00C41DA3">
      <w:pPr>
        <w:numPr>
          <w:ilvl w:val="0"/>
          <w:numId w:val="1"/>
        </w:numPr>
        <w:suppressLineNumbers/>
        <w:tabs>
          <w:tab w:val="clear" w:pos="360"/>
        </w:tabs>
        <w:autoSpaceDE w:val="0"/>
        <w:autoSpaceDN w:val="0"/>
        <w:adjustRightInd w:val="0"/>
        <w:spacing w:after="180"/>
        <w:ind w:left="720" w:hanging="720"/>
      </w:pPr>
      <w:r w:rsidRPr="000C34C6">
        <w:rPr>
          <w:i/>
        </w:rPr>
        <w:t xml:space="preserve">In the Matter of the Application of The Dayton Power and Light Company for Authority to Recover of Certain Storm-related Service Restoration Costs, </w:t>
      </w:r>
      <w:r>
        <w:t xml:space="preserve">Case Nos. 12-3062-EL-RDR, et al. (January 31, 2014). </w:t>
      </w:r>
    </w:p>
    <w:p w:rsidR="00A15FF4" w:rsidRPr="00122265" w:rsidP="00C41DA3">
      <w:pPr>
        <w:numPr>
          <w:ilvl w:val="0"/>
          <w:numId w:val="1"/>
        </w:numPr>
        <w:suppressLineNumbers/>
        <w:tabs>
          <w:tab w:val="clear" w:pos="360"/>
        </w:tabs>
        <w:autoSpaceDE w:val="0"/>
        <w:autoSpaceDN w:val="0"/>
        <w:adjustRightInd w:val="0"/>
        <w:spacing w:after="180"/>
        <w:ind w:left="720" w:hanging="720"/>
      </w:pPr>
      <w:r>
        <w:rPr>
          <w:i/>
        </w:rPr>
        <w:t xml:space="preserve">In the Matter of the Application of The Dayton Power and Light Company for Authority to Recover of Certain Storm-related Service Restoration Costs, </w:t>
      </w:r>
      <w:r>
        <w:t xml:space="preserve">Case Nos. 12-3062-EL-RDR, et al. (May 23, 2014). </w:t>
      </w:r>
    </w:p>
    <w:p w:rsidR="00A15FF4" w:rsidP="00C41DA3">
      <w:pPr>
        <w:numPr>
          <w:ilvl w:val="0"/>
          <w:numId w:val="1"/>
        </w:numPr>
        <w:suppressLineNumbers/>
        <w:tabs>
          <w:tab w:val="clear" w:pos="360"/>
        </w:tabs>
        <w:autoSpaceDE w:val="0"/>
        <w:autoSpaceDN w:val="0"/>
        <w:adjustRightInd w:val="0"/>
        <w:spacing w:after="180"/>
        <w:ind w:left="720" w:hanging="720"/>
      </w:pPr>
      <w:r>
        <w:rPr>
          <w:i/>
        </w:rPr>
        <w:t xml:space="preserve">In the Matter of the Application of Aqua Ohio, Inc. to Increase Its Rates and Charges for Its Waterworks Service, </w:t>
      </w:r>
      <w:r>
        <w:t>Case No. 13-2124-WW-AIR (August 4, 2014).</w:t>
      </w:r>
    </w:p>
    <w:p w:rsidR="00A15FF4" w:rsidRPr="00833ED5" w:rsidP="00C41DA3">
      <w:pPr>
        <w:numPr>
          <w:ilvl w:val="0"/>
          <w:numId w:val="1"/>
        </w:numPr>
        <w:suppressLineNumbers/>
        <w:tabs>
          <w:tab w:val="clear" w:pos="360"/>
        </w:tabs>
        <w:autoSpaceDE w:val="0"/>
        <w:autoSpaceDN w:val="0"/>
        <w:adjustRightInd w:val="0"/>
        <w:spacing w:after="180"/>
        <w:ind w:left="720" w:hanging="630"/>
        <w:rPr>
          <w:i/>
        </w:rPr>
      </w:pPr>
      <w:r w:rsidRPr="0027190E">
        <w:rPr>
          <w:i/>
        </w:rPr>
        <w:t xml:space="preserve">In the Matter of the Application Seeking Approval of </w:t>
      </w:r>
      <w:r>
        <w:rPr>
          <w:i/>
        </w:rPr>
        <w:t>AEP</w:t>
      </w:r>
      <w:r w:rsidRPr="0027190E">
        <w:rPr>
          <w:i/>
        </w:rPr>
        <w:t xml:space="preserve"> Company’s Proposal to Enter into an Affiliate Power Purchase Agreement for Inclusion in th</w:t>
      </w:r>
      <w:r>
        <w:rPr>
          <w:i/>
        </w:rPr>
        <w:t>e Power Purchase Agreement Ride,</w:t>
      </w:r>
      <w:r w:rsidRPr="0027190E">
        <w:t xml:space="preserve"> Case No. 14-1693-EL-RDR</w:t>
      </w:r>
      <w:r>
        <w:t>, et al. (September 11, 2015).</w:t>
      </w:r>
    </w:p>
    <w:p w:rsidR="00A15FF4" w:rsidP="00C41DA3">
      <w:pPr>
        <w:numPr>
          <w:ilvl w:val="0"/>
          <w:numId w:val="1"/>
        </w:numPr>
        <w:suppressLineNumbers/>
        <w:tabs>
          <w:tab w:val="clear" w:pos="360"/>
        </w:tabs>
        <w:ind w:left="720" w:hanging="630"/>
      </w:pPr>
      <w:r>
        <w:rPr>
          <w:i/>
          <w:iCs/>
        </w:rPr>
        <w:t>In the matter of the Application of Duke Energy Ohio, Inc. for Approval of an Alternative Rate Plan Pursuant to R.C. 4929.05, Revised Code, for an Accelerated Service Line Replacement Program</w:t>
      </w:r>
      <w:r>
        <w:t>, Case No. 14-1622-GA-ALT (November 6, 2015).</w:t>
      </w:r>
    </w:p>
    <w:p w:rsidR="00A15FF4" w:rsidP="00C41DA3">
      <w:pPr>
        <w:suppressLineNumbers/>
        <w:ind w:left="720"/>
      </w:pPr>
    </w:p>
    <w:p w:rsidR="00A15FF4" w:rsidP="00C41DA3">
      <w:pPr>
        <w:numPr>
          <w:ilvl w:val="0"/>
          <w:numId w:val="1"/>
        </w:numPr>
        <w:suppressLineNumbers/>
        <w:tabs>
          <w:tab w:val="clear" w:pos="360"/>
        </w:tabs>
        <w:ind w:left="720" w:hanging="630"/>
      </w:pPr>
      <w:r w:rsidRPr="00D35192">
        <w:rPr>
          <w:i/>
        </w:rPr>
        <w:t>In the Matter of the Application of Ohio Edison Company, The Cleveland Electric Illuminating Company, and The Toledo Edison Company for Authority to Establish a Standard Service Offer Pursuant to R.C. 4928.141 in the Form of an Electric Security Plan</w:t>
      </w:r>
      <w:r>
        <w:rPr>
          <w:i/>
        </w:rPr>
        <w:t xml:space="preserve">, </w:t>
      </w:r>
      <w:r w:rsidRPr="00D35192">
        <w:t>Case No. 14-1297-EL-SSO</w:t>
      </w:r>
      <w:r>
        <w:t xml:space="preserve"> (June 22, 2016).</w:t>
      </w:r>
    </w:p>
    <w:p w:rsidR="00A15FF4" w:rsidP="00C41DA3">
      <w:pPr>
        <w:pStyle w:val="ListParagraph"/>
        <w:suppressLineNumbers/>
      </w:pPr>
    </w:p>
    <w:p w:rsidR="00A15FF4" w:rsidRPr="003247AD" w:rsidP="00C41DA3">
      <w:pPr>
        <w:suppressLineNumbers/>
        <w:ind w:left="720"/>
      </w:pPr>
    </w:p>
    <w:p w:rsidR="00A15FF4" w:rsidRPr="003247AD" w:rsidP="00C41DA3">
      <w:pPr>
        <w:suppressLineNumbers/>
        <w:ind w:left="5760" w:firstLine="720"/>
        <w:jc w:val="center"/>
        <w:rPr>
          <w:b/>
        </w:rPr>
      </w:pPr>
      <w:r>
        <w:rPr>
          <w:b/>
        </w:rPr>
        <w:t xml:space="preserve">     </w:t>
      </w:r>
      <w:r w:rsidRPr="003247AD">
        <w:rPr>
          <w:b/>
        </w:rPr>
        <w:t>ATTACHMENT DJD-1</w:t>
      </w:r>
    </w:p>
    <w:p w:rsidR="00A15FF4" w:rsidP="00C41DA3">
      <w:pPr>
        <w:suppressLineNumbers/>
        <w:ind w:left="7200" w:firstLine="720"/>
      </w:pPr>
      <w:r>
        <w:t xml:space="preserve">     </w:t>
      </w:r>
      <w:r w:rsidRPr="003247AD">
        <w:t xml:space="preserve">Page </w:t>
      </w:r>
      <w:r>
        <w:t>3</w:t>
      </w:r>
      <w:r w:rsidRPr="003247AD">
        <w:t xml:space="preserve"> of 3</w:t>
      </w:r>
    </w:p>
    <w:p w:rsidR="00A15FF4" w:rsidRPr="003247AD" w:rsidP="00C41DA3">
      <w:pPr>
        <w:suppressLineNumbers/>
        <w:ind w:left="7200" w:firstLine="720"/>
      </w:pPr>
    </w:p>
    <w:p w:rsidR="00A15FF4" w:rsidP="00C41DA3">
      <w:pPr>
        <w:pStyle w:val="ListParagraph"/>
        <w:suppressLineNumbers/>
        <w:rPr>
          <w:i/>
        </w:rPr>
      </w:pPr>
    </w:p>
    <w:p w:rsidR="00A15FF4" w:rsidP="00C41DA3">
      <w:pPr>
        <w:numPr>
          <w:ilvl w:val="0"/>
          <w:numId w:val="1"/>
        </w:numPr>
        <w:suppressLineNumbers/>
        <w:tabs>
          <w:tab w:val="clear" w:pos="360"/>
        </w:tabs>
        <w:ind w:left="720" w:hanging="720"/>
      </w:pPr>
      <w:r w:rsidRPr="007B7E4E">
        <w:rPr>
          <w:i/>
        </w:rPr>
        <w:t xml:space="preserve">In the Matter of the Application of Ohio Power Company for Administration of the Significantly Excessive Earnings Test for 2014 </w:t>
      </w:r>
      <w:r w:rsidRPr="004C7C73">
        <w:rPr>
          <w:i/>
        </w:rPr>
        <w:t>u</w:t>
      </w:r>
      <w:r w:rsidRPr="007B7E4E">
        <w:rPr>
          <w:i/>
        </w:rPr>
        <w:t>nder Section 4928.143 (F), Revised Code, and Rule 4901:1-35-10, Ohio Administrative Code</w:t>
      </w:r>
      <w:r w:rsidRPr="004C7C73">
        <w:rPr>
          <w:i/>
        </w:rPr>
        <w:t>,</w:t>
      </w:r>
      <w:r w:rsidRPr="007B7E4E">
        <w:rPr>
          <w:i/>
        </w:rPr>
        <w:t xml:space="preserve"> </w:t>
      </w:r>
      <w:r>
        <w:t>Case No. 16-1105-El-UNC (August 15, 2016).</w:t>
      </w:r>
    </w:p>
    <w:p w:rsidR="00A15FF4" w:rsidP="00C41DA3">
      <w:pPr>
        <w:suppressLineNumbers/>
        <w:ind w:left="720" w:hanging="720"/>
      </w:pPr>
    </w:p>
    <w:p w:rsidR="00A15FF4" w:rsidP="00C41DA3">
      <w:pPr>
        <w:numPr>
          <w:ilvl w:val="0"/>
          <w:numId w:val="1"/>
        </w:numPr>
        <w:suppressLineNumbers/>
        <w:tabs>
          <w:tab w:val="clear" w:pos="360"/>
        </w:tabs>
        <w:ind w:left="720" w:hanging="720"/>
      </w:pPr>
      <w:r w:rsidRPr="00361B88">
        <w:rPr>
          <w:i/>
        </w:rPr>
        <w:t xml:space="preserve">In the Matter of the Application of Ohio Power Company for Administration of the Significantly Excessive Earnings Test for 2014 </w:t>
      </w:r>
      <w:r>
        <w:rPr>
          <w:i/>
        </w:rPr>
        <w:t>u</w:t>
      </w:r>
      <w:r w:rsidRPr="00361B88">
        <w:rPr>
          <w:i/>
        </w:rPr>
        <w:t>nder Section 4928.143 (F), Revised Code, and Rule 4901:1-35-10, Ohio Administrative Code</w:t>
      </w:r>
      <w:r>
        <w:rPr>
          <w:i/>
        </w:rPr>
        <w:t>,</w:t>
      </w:r>
      <w:r w:rsidRPr="00361B88">
        <w:rPr>
          <w:i/>
        </w:rPr>
        <w:t xml:space="preserve"> </w:t>
      </w:r>
      <w:r>
        <w:t>Case No. 16-1105-El-UNC (September 19, 2016).</w:t>
      </w:r>
    </w:p>
    <w:p w:rsidR="00A15FF4" w:rsidP="00C41DA3">
      <w:pPr>
        <w:pStyle w:val="ListParagraph"/>
        <w:suppressLineNumbers/>
        <w:ind w:left="1200" w:hanging="720"/>
      </w:pPr>
    </w:p>
    <w:p w:rsidR="00A15FF4" w:rsidP="00C41DA3">
      <w:pPr>
        <w:numPr>
          <w:ilvl w:val="0"/>
          <w:numId w:val="1"/>
        </w:numPr>
        <w:suppressLineNumbers/>
        <w:tabs>
          <w:tab w:val="clear" w:pos="360"/>
        </w:tabs>
        <w:ind w:left="720" w:hanging="720"/>
      </w:pPr>
      <w:r w:rsidRPr="007B7E4E">
        <w:rPr>
          <w:i/>
        </w:rPr>
        <w:t>In the Matter of the Application of Aqua Ohio, Inc. for Authority to Increase Its Rates and Charges for Its Waterworks Service.</w:t>
      </w:r>
      <w:r>
        <w:t xml:space="preserve"> Case No. 16-0997-WW-AIR (December 19, 2016).</w:t>
      </w:r>
    </w:p>
    <w:p w:rsidR="00A15FF4" w:rsidP="00C41DA3">
      <w:pPr>
        <w:pStyle w:val="ListParagraph"/>
        <w:suppressLineNumbers/>
        <w:ind w:left="1200" w:hanging="720"/>
      </w:pPr>
    </w:p>
    <w:p w:rsidR="00A15FF4" w:rsidP="00C41DA3">
      <w:pPr>
        <w:numPr>
          <w:ilvl w:val="0"/>
          <w:numId w:val="1"/>
        </w:numPr>
        <w:suppressLineNumbers/>
        <w:tabs>
          <w:tab w:val="clear" w:pos="360"/>
        </w:tabs>
        <w:ind w:left="720" w:hanging="720"/>
      </w:pPr>
      <w:r w:rsidRPr="007B7E4E">
        <w:rPr>
          <w:i/>
        </w:rPr>
        <w:t>In the Matter of the Application of Ohio  Power Company for Administration of the  Significantly Excessive Earnings Test for 2016 Under Section 4928.143(F), Revised Code, and Rule 4901:1-35-10, Ohio Administrative Code</w:t>
      </w:r>
      <w:r w:rsidRPr="004C7C73">
        <w:rPr>
          <w:i/>
        </w:rPr>
        <w:t xml:space="preserve">, </w:t>
      </w:r>
      <w:r>
        <w:t xml:space="preserve">Case No. 17-1230-EL-UNC (January 12, 2018). </w:t>
      </w:r>
    </w:p>
    <w:p w:rsidR="00A15FF4" w:rsidP="00C41DA3">
      <w:pPr>
        <w:pStyle w:val="ListParagraph"/>
        <w:suppressLineNumbers/>
        <w:ind w:left="1200" w:hanging="720"/>
      </w:pPr>
    </w:p>
    <w:p w:rsidR="00A15FF4" w:rsidP="00C41DA3">
      <w:pPr>
        <w:numPr>
          <w:ilvl w:val="0"/>
          <w:numId w:val="1"/>
        </w:numPr>
        <w:suppressLineNumbers/>
        <w:tabs>
          <w:tab w:val="clear" w:pos="360"/>
        </w:tabs>
        <w:ind w:left="720" w:hanging="720"/>
      </w:pPr>
      <w:r w:rsidRPr="004C7C73">
        <w:rPr>
          <w:i/>
        </w:rPr>
        <w:t xml:space="preserve">In the Matter of the Annual Application of Duke Energy Ohio, Inc., for an Adjustment to Rider AMRP Rates. </w:t>
      </w:r>
      <w:r w:rsidRPr="00D35192">
        <w:t>Case No. 1</w:t>
      </w:r>
      <w:r>
        <w:t>7</w:t>
      </w:r>
      <w:r w:rsidRPr="00D35192">
        <w:t>-</w:t>
      </w:r>
      <w:r>
        <w:t>2318</w:t>
      </w:r>
      <w:r w:rsidRPr="00D35192">
        <w:t>-</w:t>
      </w:r>
      <w:r>
        <w:t>GA</w:t>
      </w:r>
      <w:r w:rsidRPr="00D35192">
        <w:t>-</w:t>
      </w:r>
      <w:r>
        <w:t>AIR (April 5, 2018).</w:t>
      </w:r>
    </w:p>
    <w:p w:rsidR="00A15FF4" w:rsidP="00C41DA3">
      <w:pPr>
        <w:pStyle w:val="ListParagraph"/>
        <w:suppressLineNumbers/>
        <w:ind w:left="1200" w:hanging="720"/>
      </w:pPr>
    </w:p>
    <w:p w:rsidR="00A15FF4" w:rsidP="00C41DA3">
      <w:pPr>
        <w:numPr>
          <w:ilvl w:val="0"/>
          <w:numId w:val="1"/>
        </w:numPr>
        <w:suppressLineNumbers/>
        <w:tabs>
          <w:tab w:val="clear" w:pos="360"/>
        </w:tabs>
        <w:ind w:left="720" w:hanging="720"/>
      </w:pPr>
      <w:r w:rsidRPr="001777E6">
        <w:rPr>
          <w:i/>
        </w:rPr>
        <w:t xml:space="preserve">In the Matter of the Application of the Dayton Power and Light Company for an Increase in Electric Distribution Rates. </w:t>
      </w:r>
      <w:r w:rsidRPr="00D35192">
        <w:t>Case No. 1</w:t>
      </w:r>
      <w:r>
        <w:t>5</w:t>
      </w:r>
      <w:r w:rsidRPr="00D35192">
        <w:t>-1</w:t>
      </w:r>
      <w:r>
        <w:t>380</w:t>
      </w:r>
      <w:r w:rsidRPr="00D35192">
        <w:t>-EL-</w:t>
      </w:r>
      <w:r>
        <w:t>AIR (April 11, 2018).</w:t>
      </w:r>
    </w:p>
    <w:p w:rsidR="00A15FF4" w:rsidP="00C41DA3">
      <w:pPr>
        <w:suppressLineNumbers/>
        <w:ind w:left="720" w:hanging="720"/>
      </w:pPr>
    </w:p>
    <w:p w:rsidR="00A15FF4" w:rsidRPr="007B7E4E" w:rsidP="00C41DA3">
      <w:pPr>
        <w:numPr>
          <w:ilvl w:val="0"/>
          <w:numId w:val="1"/>
        </w:numPr>
        <w:suppressLineNumbers/>
        <w:tabs>
          <w:tab w:val="clear" w:pos="360"/>
        </w:tabs>
        <w:ind w:left="720" w:hanging="720"/>
      </w:pPr>
      <w:r w:rsidRPr="00D35192">
        <w:rPr>
          <w:i/>
        </w:rPr>
        <w:t xml:space="preserve">In </w:t>
      </w:r>
      <w:r w:rsidRPr="00CF21A8">
        <w:rPr>
          <w:i/>
        </w:rPr>
        <w:t xml:space="preserve">the Matter of the Application of Duke Energy Ohio, Inc., for an Increase in </w:t>
      </w:r>
    </w:p>
    <w:p w:rsidR="00A15FF4" w:rsidP="00C41DA3">
      <w:pPr>
        <w:suppressLineNumbers/>
        <w:ind w:left="720" w:hanging="720"/>
      </w:pPr>
      <w:r>
        <w:rPr>
          <w:i/>
        </w:rPr>
        <w:t xml:space="preserve">    </w:t>
      </w:r>
      <w:r>
        <w:rPr>
          <w:i/>
        </w:rPr>
        <w:tab/>
      </w:r>
      <w:r w:rsidRPr="00CF21A8">
        <w:rPr>
          <w:i/>
        </w:rPr>
        <w:t>Distribution Rates</w:t>
      </w:r>
      <w:r>
        <w:rPr>
          <w:i/>
        </w:rPr>
        <w:t xml:space="preserve">. </w:t>
      </w:r>
      <w:r w:rsidRPr="00D35192">
        <w:t xml:space="preserve">Case No. </w:t>
      </w:r>
      <w:r>
        <w:t>17-0032-</w:t>
      </w:r>
      <w:r w:rsidRPr="00D35192">
        <w:t>EL-</w:t>
      </w:r>
      <w:r>
        <w:t>AIR et al., (June 25, 2018).</w:t>
      </w: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P="00C41DA3">
      <w:pPr>
        <w:suppressLineNumbers/>
        <w:ind w:left="720" w:hanging="720"/>
      </w:pPr>
    </w:p>
    <w:p w:rsidR="00D6711B" w:rsidRPr="00052EFE" w:rsidP="00C41DA3">
      <w:pPr>
        <w:suppressLineNumbers/>
        <w:autoSpaceDE w:val="0"/>
        <w:autoSpaceDN w:val="0"/>
        <w:adjustRightInd w:val="0"/>
        <w:jc w:val="right"/>
        <w:rPr>
          <w:b/>
        </w:rPr>
      </w:pPr>
      <w:r w:rsidRPr="00052EFE">
        <w:rPr>
          <w:b/>
        </w:rPr>
        <w:t>ATTACHMENT DJD-2</w:t>
      </w:r>
    </w:p>
    <w:p w:rsidR="00D6711B" w:rsidRPr="00052EFE" w:rsidP="00C41DA3">
      <w:pPr>
        <w:suppressLineNumbers/>
        <w:autoSpaceDE w:val="0"/>
        <w:autoSpaceDN w:val="0"/>
        <w:adjustRightInd w:val="0"/>
        <w:jc w:val="right"/>
        <w:rPr>
          <w:b/>
        </w:rPr>
      </w:pPr>
      <w:r w:rsidRPr="00052EFE">
        <w:rPr>
          <w:b/>
        </w:rPr>
        <w:t>Page 1 of 2</w:t>
      </w:r>
    </w:p>
    <w:p w:rsidR="00D6711B" w:rsidP="00C41DA3">
      <w:pPr>
        <w:suppressLineNumbers/>
        <w:autoSpaceDE w:val="0"/>
        <w:autoSpaceDN w:val="0"/>
        <w:adjustRightInd w:val="0"/>
      </w:pPr>
    </w:p>
    <w:p w:rsidR="00D6711B" w:rsidRPr="00052EFE" w:rsidP="00C41DA3">
      <w:pPr>
        <w:suppressLineNumbers/>
        <w:autoSpaceDE w:val="0"/>
        <w:autoSpaceDN w:val="0"/>
        <w:adjustRightInd w:val="0"/>
        <w:jc w:val="center"/>
        <w:rPr>
          <w:b/>
        </w:rPr>
      </w:pPr>
      <w:r w:rsidRPr="00052EFE">
        <w:rPr>
          <w:b/>
        </w:rPr>
        <w:t>Selected Publications of Daniel J. Duann, Ph.D.</w:t>
      </w:r>
    </w:p>
    <w:p w:rsidR="00D6711B" w:rsidP="00C41DA3">
      <w:pPr>
        <w:suppressLineNumbers/>
        <w:autoSpaceDE w:val="0"/>
        <w:autoSpaceDN w:val="0"/>
        <w:adjustRightInd w:val="0"/>
      </w:pPr>
    </w:p>
    <w:p w:rsidR="00D6711B" w:rsidRPr="000B0C3B" w:rsidP="00C41DA3">
      <w:pPr>
        <w:suppressLineNumbers/>
        <w:autoSpaceDE w:val="0"/>
        <w:autoSpaceDN w:val="0"/>
        <w:adjustRightInd w:val="0"/>
        <w:rPr>
          <w:b/>
          <w:sz w:val="28"/>
          <w:szCs w:val="28"/>
          <w:u w:val="single"/>
        </w:rPr>
      </w:pPr>
      <w:r w:rsidRPr="000B0C3B">
        <w:rPr>
          <w:b/>
          <w:sz w:val="28"/>
          <w:szCs w:val="28"/>
          <w:u w:val="single"/>
        </w:rPr>
        <w:t>Journal Articles</w:t>
      </w:r>
    </w:p>
    <w:p w:rsidR="00D6711B" w:rsidRPr="00052EFE" w:rsidP="00C41DA3">
      <w:pPr>
        <w:suppressLineNumbers/>
        <w:autoSpaceDE w:val="0"/>
        <w:autoSpaceDN w:val="0"/>
        <w:adjustRightInd w:val="0"/>
        <w:rPr>
          <w:b/>
        </w:rPr>
      </w:pPr>
    </w:p>
    <w:p w:rsidR="00D6711B" w:rsidP="00C41DA3">
      <w:pPr>
        <w:suppressLineNumbers/>
        <w:autoSpaceDE w:val="0"/>
        <w:autoSpaceDN w:val="0"/>
        <w:adjustRightInd w:val="0"/>
      </w:pPr>
      <w:r w:rsidRPr="00052EFE">
        <w:rPr>
          <w:b/>
          <w:i/>
        </w:rPr>
        <w:t>Regulation: The Cato Review of Business &amp;. Government</w:t>
      </w:r>
      <w:r>
        <w:t>, "Turning up the Heat in the</w:t>
      </w:r>
    </w:p>
    <w:p w:rsidR="00D6711B" w:rsidP="00C41DA3">
      <w:pPr>
        <w:suppressLineNumbers/>
        <w:autoSpaceDE w:val="0"/>
        <w:autoSpaceDN w:val="0"/>
        <w:adjustRightInd w:val="0"/>
      </w:pPr>
      <w:r>
        <w:t>Natural Gas Industry," Vol. 19, 1996, (with Kenneth W. Costello).</w:t>
      </w:r>
    </w:p>
    <w:p w:rsidR="00D6711B" w:rsidP="00C41DA3">
      <w:pPr>
        <w:suppressLineNumbers/>
        <w:autoSpaceDE w:val="0"/>
        <w:autoSpaceDN w:val="0"/>
        <w:adjustRightInd w:val="0"/>
      </w:pPr>
    </w:p>
    <w:p w:rsidR="00D6711B" w:rsidP="00C41DA3">
      <w:pPr>
        <w:suppressLineNumbers/>
        <w:autoSpaceDE w:val="0"/>
        <w:autoSpaceDN w:val="0"/>
        <w:adjustRightInd w:val="0"/>
      </w:pPr>
      <w:r w:rsidRPr="00052EFE">
        <w:rPr>
          <w:b/>
          <w:i/>
        </w:rPr>
        <w:t>Managerial and Decision Economics</w:t>
      </w:r>
      <w:r>
        <w:t>, "Designing a Preferred Bidding Procedure for</w:t>
      </w:r>
    </w:p>
    <w:p w:rsidR="00D6711B" w:rsidP="00C41DA3">
      <w:pPr>
        <w:suppressLineNumbers/>
        <w:autoSpaceDE w:val="0"/>
        <w:autoSpaceDN w:val="0"/>
        <w:adjustRightInd w:val="0"/>
      </w:pPr>
      <w:r>
        <w:t>Securing Electric Generating Capacity," Vol. 12, 1991.</w:t>
      </w:r>
    </w:p>
    <w:p w:rsidR="00D6711B" w:rsidP="00C41DA3">
      <w:pPr>
        <w:suppressLineNumbers/>
        <w:autoSpaceDE w:val="0"/>
        <w:autoSpaceDN w:val="0"/>
        <w:adjustRightInd w:val="0"/>
      </w:pPr>
    </w:p>
    <w:p w:rsidR="00D6711B" w:rsidP="00C41DA3">
      <w:pPr>
        <w:suppressLineNumbers/>
        <w:autoSpaceDE w:val="0"/>
        <w:autoSpaceDN w:val="0"/>
        <w:adjustRightInd w:val="0"/>
      </w:pPr>
      <w:r w:rsidRPr="00052EFE">
        <w:rPr>
          <w:b/>
          <w:i/>
        </w:rPr>
        <w:t>The Journal of Energy and Development</w:t>
      </w:r>
      <w:r>
        <w:t>, "Direct Gas Purchases by Local Distribution</w:t>
      </w:r>
    </w:p>
    <w:p w:rsidR="00D6711B" w:rsidP="00C41DA3">
      <w:pPr>
        <w:suppressLineNumbers/>
        <w:autoSpaceDE w:val="0"/>
        <w:autoSpaceDN w:val="0"/>
        <w:adjustRightInd w:val="0"/>
      </w:pPr>
      <w:r>
        <w:t>Companies: Supply Reliability and Cost Implications," Vol. 14,1989.</w:t>
      </w:r>
    </w:p>
    <w:p w:rsidR="00D6711B" w:rsidP="00C41DA3">
      <w:pPr>
        <w:suppressLineNumbers/>
        <w:autoSpaceDE w:val="0"/>
        <w:autoSpaceDN w:val="0"/>
        <w:adjustRightInd w:val="0"/>
      </w:pPr>
    </w:p>
    <w:p w:rsidR="00D6711B" w:rsidP="00C41DA3">
      <w:pPr>
        <w:suppressLineNumbers/>
        <w:autoSpaceDE w:val="0"/>
        <w:autoSpaceDN w:val="0"/>
        <w:adjustRightInd w:val="0"/>
      </w:pPr>
      <w:r w:rsidRPr="00052EFE">
        <w:rPr>
          <w:b/>
          <w:i/>
        </w:rPr>
        <w:t>Public Utilities Fortnightly</w:t>
      </w:r>
      <w:r>
        <w:t>, "Alternative Searching and Maximum Benefit in Electric</w:t>
      </w:r>
    </w:p>
    <w:p w:rsidR="00D6711B" w:rsidP="00C41DA3">
      <w:pPr>
        <w:suppressLineNumbers/>
        <w:autoSpaceDE w:val="0"/>
        <w:autoSpaceDN w:val="0"/>
        <w:adjustRightInd w:val="0"/>
      </w:pPr>
      <w:r>
        <w:t>Least-Cost Planning," December 21,1989.</w:t>
      </w:r>
    </w:p>
    <w:p w:rsidR="00D6711B" w:rsidP="00C41DA3">
      <w:pPr>
        <w:suppressLineNumbers/>
        <w:autoSpaceDE w:val="0"/>
        <w:autoSpaceDN w:val="0"/>
        <w:adjustRightInd w:val="0"/>
      </w:pPr>
    </w:p>
    <w:p w:rsidR="00D6711B" w:rsidP="00C41DA3">
      <w:pPr>
        <w:suppressLineNumbers/>
        <w:autoSpaceDE w:val="0"/>
        <w:autoSpaceDN w:val="0"/>
        <w:adjustRightInd w:val="0"/>
      </w:pPr>
    </w:p>
    <w:p w:rsidR="00D6711B" w:rsidRPr="000B0C3B" w:rsidP="00C41DA3">
      <w:pPr>
        <w:suppressLineNumbers/>
        <w:autoSpaceDE w:val="0"/>
        <w:autoSpaceDN w:val="0"/>
        <w:adjustRightInd w:val="0"/>
        <w:rPr>
          <w:b/>
          <w:sz w:val="28"/>
          <w:szCs w:val="28"/>
          <w:u w:val="single"/>
        </w:rPr>
      </w:pPr>
      <w:r w:rsidRPr="000B0C3B">
        <w:rPr>
          <w:b/>
          <w:sz w:val="28"/>
          <w:szCs w:val="28"/>
          <w:u w:val="single"/>
        </w:rPr>
        <w:t>Research Reports and Presentations</w:t>
      </w:r>
    </w:p>
    <w:p w:rsidR="00D6711B" w:rsidRPr="00052EFE" w:rsidP="00C41DA3">
      <w:pPr>
        <w:suppressLineNumbers/>
        <w:autoSpaceDE w:val="0"/>
        <w:autoSpaceDN w:val="0"/>
        <w:adjustRightInd w:val="0"/>
        <w:rPr>
          <w:b/>
        </w:rPr>
      </w:pPr>
    </w:p>
    <w:p w:rsidR="00D6711B" w:rsidRPr="00052EFE" w:rsidP="00C41DA3">
      <w:pPr>
        <w:suppressLineNumbers/>
        <w:autoSpaceDE w:val="0"/>
        <w:autoSpaceDN w:val="0"/>
        <w:adjustRightInd w:val="0"/>
        <w:rPr>
          <w:b/>
        </w:rPr>
      </w:pPr>
      <w:r>
        <w:t xml:space="preserve">The National Regulatory Research Institute, </w:t>
      </w:r>
      <w:r w:rsidRPr="00052EFE">
        <w:rPr>
          <w:b/>
        </w:rPr>
        <w:t>Pricing Local Distribution Services in A</w:t>
      </w:r>
    </w:p>
    <w:p w:rsidR="00D6711B" w:rsidP="00C41DA3">
      <w:pPr>
        <w:suppressLineNumbers/>
        <w:autoSpaceDE w:val="0"/>
        <w:autoSpaceDN w:val="0"/>
        <w:adjustRightInd w:val="0"/>
      </w:pPr>
      <w:r w:rsidRPr="00052EFE">
        <w:rPr>
          <w:b/>
        </w:rPr>
        <w:t>Competitive Market</w:t>
      </w:r>
      <w:r>
        <w:t>, 1995.</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Ninth NARUC Biennial Regulatory Information Conference, Ohio State University, </w:t>
      </w:r>
      <w:r w:rsidRPr="00052EFE">
        <w:rPr>
          <w:b/>
        </w:rPr>
        <w:t>The</w:t>
      </w:r>
    </w:p>
    <w:p w:rsidR="00D6711B" w:rsidRPr="00052EFE" w:rsidP="00C41DA3">
      <w:pPr>
        <w:suppressLineNumbers/>
        <w:autoSpaceDE w:val="0"/>
        <w:autoSpaceDN w:val="0"/>
        <w:adjustRightInd w:val="0"/>
        <w:rPr>
          <w:b/>
        </w:rPr>
      </w:pPr>
      <w:r w:rsidRPr="00052EFE">
        <w:rPr>
          <w:b/>
        </w:rPr>
        <w:t>Unbundling and Restructuring of Local Distribution Services in the Post-636 Gas</w:t>
      </w:r>
    </w:p>
    <w:p w:rsidR="00D6711B" w:rsidP="00C41DA3">
      <w:pPr>
        <w:suppressLineNumbers/>
        <w:autoSpaceDE w:val="0"/>
        <w:autoSpaceDN w:val="0"/>
        <w:adjustRightInd w:val="0"/>
      </w:pPr>
      <w:r w:rsidRPr="00052EFE">
        <w:rPr>
          <w:b/>
        </w:rPr>
        <w:t xml:space="preserve">Market, </w:t>
      </w:r>
      <w:r>
        <w:t>1994.</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The National Regulatory Research Institute, </w:t>
      </w:r>
      <w:r w:rsidRPr="00052EFE">
        <w:rPr>
          <w:b/>
        </w:rPr>
        <w:t>A Survey of Recent State Initiatives on</w:t>
      </w:r>
    </w:p>
    <w:p w:rsidR="00D6711B" w:rsidP="00C41DA3">
      <w:pPr>
        <w:suppressLineNumbers/>
        <w:autoSpaceDE w:val="0"/>
        <w:autoSpaceDN w:val="0"/>
        <w:adjustRightInd w:val="0"/>
      </w:pPr>
      <w:r w:rsidRPr="00052EFE">
        <w:rPr>
          <w:b/>
        </w:rPr>
        <w:t>EPACT</w:t>
      </w:r>
      <w:r>
        <w:rPr>
          <w:b/>
        </w:rPr>
        <w:t xml:space="preserve"> </w:t>
      </w:r>
      <w:r w:rsidRPr="00052EFE">
        <w:rPr>
          <w:b/>
        </w:rPr>
        <w:t>and</w:t>
      </w:r>
      <w:r>
        <w:rPr>
          <w:b/>
        </w:rPr>
        <w:t xml:space="preserve"> </w:t>
      </w:r>
      <w:r w:rsidRPr="00052EFE">
        <w:rPr>
          <w:b/>
        </w:rPr>
        <w:t>FERC Order 636</w:t>
      </w:r>
      <w:r>
        <w:t>, 1994 (with Belle Chen).</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The National Regulatory Research Institute, </w:t>
      </w:r>
      <w:r w:rsidRPr="00052EFE">
        <w:rPr>
          <w:b/>
        </w:rPr>
        <w:t>Restructuring Local Distribution Services:</w:t>
      </w:r>
    </w:p>
    <w:p w:rsidR="00D6711B" w:rsidP="00C41DA3">
      <w:pPr>
        <w:suppressLineNumbers/>
        <w:autoSpaceDE w:val="0"/>
        <w:autoSpaceDN w:val="0"/>
        <w:adjustRightInd w:val="0"/>
      </w:pPr>
      <w:r w:rsidRPr="00052EFE">
        <w:rPr>
          <w:b/>
        </w:rPr>
        <w:t>Possibilities and Limitations</w:t>
      </w:r>
      <w:r>
        <w:t>, 1994.</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The National Regulatory Research Institute, </w:t>
      </w:r>
      <w:r w:rsidRPr="00052EFE">
        <w:rPr>
          <w:b/>
        </w:rPr>
        <w:t>The FERC Restructuring Rule: Implications</w:t>
      </w:r>
    </w:p>
    <w:p w:rsidR="00D6711B" w:rsidP="00C41DA3">
      <w:pPr>
        <w:suppressLineNumbers/>
        <w:autoSpaceDE w:val="0"/>
        <w:autoSpaceDN w:val="0"/>
        <w:adjustRightInd w:val="0"/>
      </w:pPr>
      <w:r w:rsidRPr="00052EFE">
        <w:rPr>
          <w:b/>
        </w:rPr>
        <w:t>for Local Distribution Companies and State Public Utilities Commissions</w:t>
      </w:r>
      <w:r>
        <w:t>, 1993.</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The National Regulatory Research Institute, </w:t>
      </w:r>
      <w:r w:rsidRPr="00052EFE">
        <w:rPr>
          <w:b/>
        </w:rPr>
        <w:t>A Synopsis of the Energy Policy Act of 1992:</w:t>
      </w:r>
    </w:p>
    <w:p w:rsidR="00D6711B" w:rsidP="00C41DA3">
      <w:pPr>
        <w:suppressLineNumbers/>
        <w:autoSpaceDE w:val="0"/>
        <w:autoSpaceDN w:val="0"/>
        <w:adjustRightInd w:val="0"/>
      </w:pPr>
      <w:r w:rsidRPr="00052EFE">
        <w:rPr>
          <w:b/>
        </w:rPr>
        <w:t>New Tasks for State Public Utility Commissions</w:t>
      </w:r>
      <w:r>
        <w:t>, 1993.</w:t>
      </w:r>
    </w:p>
    <w:p w:rsidR="00D6711B" w:rsidP="00C41DA3">
      <w:pPr>
        <w:suppressLineNumbers/>
        <w:autoSpaceDE w:val="0"/>
        <w:autoSpaceDN w:val="0"/>
        <w:adjustRightInd w:val="0"/>
      </w:pPr>
    </w:p>
    <w:p w:rsidR="00D6711B" w:rsidP="00C41DA3">
      <w:pPr>
        <w:suppressLineNumbers/>
        <w:autoSpaceDE w:val="0"/>
        <w:autoSpaceDN w:val="0"/>
        <w:adjustRightInd w:val="0"/>
      </w:pPr>
      <w:r>
        <w:t>International Symposium on Energy, Environment &amp; Information Management, Argonne</w:t>
      </w:r>
    </w:p>
    <w:p w:rsidR="00D6711B" w:rsidRPr="00052EFE" w:rsidP="00C41DA3">
      <w:pPr>
        <w:suppressLineNumbers/>
        <w:autoSpaceDE w:val="0"/>
        <w:autoSpaceDN w:val="0"/>
        <w:adjustRightInd w:val="0"/>
        <w:rPr>
          <w:b/>
        </w:rPr>
      </w:pPr>
      <w:r>
        <w:t xml:space="preserve">National Laboratory, </w:t>
      </w:r>
      <w:r w:rsidRPr="00052EFE">
        <w:rPr>
          <w:b/>
        </w:rPr>
        <w:t>Natural Gas Vehicles: Barriers, Potentials, and Government</w:t>
      </w:r>
    </w:p>
    <w:p w:rsidR="00D6711B" w:rsidP="00C41DA3">
      <w:pPr>
        <w:suppressLineNumbers/>
        <w:autoSpaceDE w:val="0"/>
        <w:autoSpaceDN w:val="0"/>
        <w:adjustRightInd w:val="0"/>
      </w:pPr>
      <w:r w:rsidRPr="00052EFE">
        <w:rPr>
          <w:b/>
        </w:rPr>
        <w:t>Policies</w:t>
      </w:r>
      <w:r>
        <w:t>, 1992.</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The National Regulatory Research Institute, </w:t>
      </w:r>
      <w:r w:rsidRPr="00052EFE">
        <w:rPr>
          <w:b/>
        </w:rPr>
        <w:t>Natural Gas Vehicles and the Role of State</w:t>
      </w:r>
    </w:p>
    <w:p w:rsidR="00D6711B" w:rsidRPr="00361B88" w:rsidP="00C41DA3">
      <w:pPr>
        <w:suppressLineNumbers/>
        <w:autoSpaceDE w:val="0"/>
        <w:autoSpaceDN w:val="0"/>
        <w:adjustRightInd w:val="0"/>
        <w:jc w:val="right"/>
        <w:rPr>
          <w:b/>
        </w:rPr>
      </w:pPr>
      <w:r w:rsidRPr="00361B88">
        <w:rPr>
          <w:b/>
        </w:rPr>
        <w:t>ATTACHMENT DJD-2</w:t>
      </w:r>
    </w:p>
    <w:p w:rsidR="00D6711B" w:rsidRPr="00361B88" w:rsidP="00C41DA3">
      <w:pPr>
        <w:suppressLineNumbers/>
        <w:autoSpaceDE w:val="0"/>
        <w:autoSpaceDN w:val="0"/>
        <w:adjustRightInd w:val="0"/>
        <w:jc w:val="right"/>
        <w:rPr>
          <w:b/>
        </w:rPr>
      </w:pPr>
      <w:r w:rsidRPr="00361B88">
        <w:rPr>
          <w:b/>
        </w:rPr>
        <w:t>Page 1 of 2</w:t>
      </w:r>
    </w:p>
    <w:p w:rsidR="00D6711B" w:rsidP="00C41DA3">
      <w:pPr>
        <w:suppressLineNumbers/>
        <w:autoSpaceDE w:val="0"/>
        <w:autoSpaceDN w:val="0"/>
        <w:adjustRightInd w:val="0"/>
        <w:rPr>
          <w:b/>
        </w:rPr>
      </w:pPr>
    </w:p>
    <w:p w:rsidR="00D6711B" w:rsidP="00C41DA3">
      <w:pPr>
        <w:suppressLineNumbers/>
        <w:autoSpaceDE w:val="0"/>
        <w:autoSpaceDN w:val="0"/>
        <w:adjustRightInd w:val="0"/>
      </w:pPr>
      <w:r w:rsidRPr="00052EFE">
        <w:rPr>
          <w:b/>
        </w:rPr>
        <w:t>Public Service Commissions</w:t>
      </w:r>
      <w:r>
        <w:t>, 1992 (with Youssef Hegazy).</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The National Regulatory Research Institute, </w:t>
      </w:r>
      <w:r w:rsidRPr="00052EFE">
        <w:rPr>
          <w:b/>
        </w:rPr>
        <w:t>Incentive Regulation for Local Gas</w:t>
      </w:r>
    </w:p>
    <w:p w:rsidR="00D6711B" w:rsidP="00C41DA3">
      <w:pPr>
        <w:suppressLineNumbers/>
        <w:autoSpaceDE w:val="0"/>
        <w:autoSpaceDN w:val="0"/>
        <w:adjustRightInd w:val="0"/>
      </w:pPr>
      <w:r w:rsidRPr="00052EFE">
        <w:rPr>
          <w:b/>
        </w:rPr>
        <w:t>Distribution Companies under Changing Industry Structure</w:t>
      </w:r>
      <w:r>
        <w:t>, 1991 (with Mohammad</w:t>
      </w:r>
    </w:p>
    <w:p w:rsidR="00D6711B" w:rsidP="00C41DA3">
      <w:pPr>
        <w:suppressLineNumbers/>
        <w:autoSpaceDE w:val="0"/>
        <w:autoSpaceDN w:val="0"/>
        <w:adjustRightInd w:val="0"/>
      </w:pPr>
      <w:r>
        <w:t>Harunuzzaman, Kenneth W. Costello, and Sung-Bong Cho).</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The National Regulatory Research Institute, </w:t>
      </w:r>
      <w:r w:rsidRPr="00052EFE">
        <w:rPr>
          <w:b/>
        </w:rPr>
        <w:t>Discussion Papers on Competitive Bidding</w:t>
      </w:r>
    </w:p>
    <w:p w:rsidR="00D6711B" w:rsidRPr="00052EFE" w:rsidP="00C41DA3">
      <w:pPr>
        <w:suppressLineNumbers/>
        <w:autoSpaceDE w:val="0"/>
        <w:autoSpaceDN w:val="0"/>
        <w:adjustRightInd w:val="0"/>
        <w:rPr>
          <w:b/>
        </w:rPr>
      </w:pPr>
      <w:r w:rsidRPr="00052EFE">
        <w:rPr>
          <w:b/>
        </w:rPr>
        <w:t>And Transmission Access and Pricing issues in the Context of Integrated Resource</w:t>
      </w:r>
    </w:p>
    <w:p w:rsidR="00D6711B" w:rsidP="00C41DA3">
      <w:pPr>
        <w:suppressLineNumbers/>
        <w:autoSpaceDE w:val="0"/>
        <w:autoSpaceDN w:val="0"/>
        <w:adjustRightInd w:val="0"/>
      </w:pPr>
      <w:r w:rsidRPr="00052EFE">
        <w:rPr>
          <w:b/>
        </w:rPr>
        <w:t>Planning</w:t>
      </w:r>
      <w:r>
        <w:t>, 1990 (with Robert E. Bums, Kenneth Rose, Kevin Kelly, and Narayan Rau).</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The National Regulatory Research Institute, </w:t>
      </w:r>
      <w:r w:rsidRPr="00052EFE">
        <w:rPr>
          <w:b/>
        </w:rPr>
        <w:t>Gas Storage: Strategy, Regulation, and</w:t>
      </w:r>
    </w:p>
    <w:p w:rsidR="00D6711B" w:rsidP="00C41DA3">
      <w:pPr>
        <w:suppressLineNumbers/>
        <w:autoSpaceDE w:val="0"/>
        <w:autoSpaceDN w:val="0"/>
        <w:adjustRightInd w:val="0"/>
      </w:pPr>
      <w:r w:rsidRPr="00052EFE">
        <w:rPr>
          <w:b/>
        </w:rPr>
        <w:t>Some Competitive Implications</w:t>
      </w:r>
      <w:r>
        <w:t>, 1990 (with Peter A. Nagler, Mohammad Harunuzzaman,</w:t>
      </w:r>
    </w:p>
    <w:p w:rsidR="00D6711B" w:rsidP="00C41DA3">
      <w:pPr>
        <w:suppressLineNumbers/>
        <w:autoSpaceDE w:val="0"/>
        <w:autoSpaceDN w:val="0"/>
        <w:adjustRightInd w:val="0"/>
      </w:pPr>
      <w:r>
        <w:t>and Govindarajan lyyuni).</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The National Regulatory Research Institute, </w:t>
      </w:r>
      <w:r w:rsidRPr="00052EFE">
        <w:rPr>
          <w:b/>
        </w:rPr>
        <w:t>State Gas Transportation Policies: An</w:t>
      </w:r>
    </w:p>
    <w:p w:rsidR="00D6711B" w:rsidP="00C41DA3">
      <w:pPr>
        <w:suppressLineNumbers/>
        <w:autoSpaceDE w:val="0"/>
        <w:autoSpaceDN w:val="0"/>
        <w:adjustRightInd w:val="0"/>
      </w:pPr>
      <w:r w:rsidRPr="00052EFE">
        <w:rPr>
          <w:b/>
        </w:rPr>
        <w:t>Evaluation of Approaches</w:t>
      </w:r>
      <w:r>
        <w:t>, 1989 (with Robert E. Bums and Peter A. Nagler).</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The National Regulatory Research Institute, </w:t>
      </w:r>
      <w:r w:rsidRPr="00052EFE">
        <w:rPr>
          <w:b/>
        </w:rPr>
        <w:t>Direct Gas Purchases by Gas Distribution</w:t>
      </w:r>
    </w:p>
    <w:p w:rsidR="00D6711B" w:rsidP="00C41DA3">
      <w:pPr>
        <w:suppressLineNumbers/>
        <w:autoSpaceDE w:val="0"/>
        <w:autoSpaceDN w:val="0"/>
        <w:adjustRightInd w:val="0"/>
      </w:pPr>
      <w:r w:rsidRPr="00052EFE">
        <w:rPr>
          <w:b/>
        </w:rPr>
        <w:t>Companies: Supply Reliability and Cost Implications</w:t>
      </w:r>
      <w:r>
        <w:t>, 1989, (with Robert E. Bums and</w:t>
      </w:r>
    </w:p>
    <w:p w:rsidR="00D6711B" w:rsidP="00C41DA3">
      <w:pPr>
        <w:suppressLineNumbers/>
        <w:autoSpaceDE w:val="0"/>
        <w:autoSpaceDN w:val="0"/>
        <w:adjustRightInd w:val="0"/>
      </w:pPr>
      <w:r>
        <w:t>Peter A. Nagler).</w:t>
      </w:r>
    </w:p>
    <w:p w:rsidR="00D6711B" w:rsidP="00C41DA3">
      <w:pPr>
        <w:suppressLineNumbers/>
        <w:autoSpaceDE w:val="0"/>
        <w:autoSpaceDN w:val="0"/>
        <w:adjustRightInd w:val="0"/>
      </w:pPr>
    </w:p>
    <w:p w:rsidR="00D6711B" w:rsidRPr="00052EFE" w:rsidP="00C41DA3">
      <w:pPr>
        <w:suppressLineNumbers/>
        <w:autoSpaceDE w:val="0"/>
        <w:autoSpaceDN w:val="0"/>
        <w:adjustRightInd w:val="0"/>
        <w:rPr>
          <w:b/>
        </w:rPr>
      </w:pPr>
      <w:r>
        <w:t xml:space="preserve">The National Regulatory Research Institute, </w:t>
      </w:r>
      <w:r w:rsidRPr="00052EFE">
        <w:rPr>
          <w:b/>
        </w:rPr>
        <w:t>Competitive Bidding for Electric Generating</w:t>
      </w:r>
    </w:p>
    <w:p w:rsidR="00D6711B" w:rsidP="00C41DA3">
      <w:pPr>
        <w:suppressLineNumbers/>
        <w:autoSpaceDE w:val="0"/>
        <w:autoSpaceDN w:val="0"/>
        <w:adjustRightInd w:val="0"/>
      </w:pPr>
      <w:r w:rsidRPr="00052EFE">
        <w:rPr>
          <w:b/>
        </w:rPr>
        <w:t>Capacity: Application and Implementation</w:t>
      </w:r>
      <w:r>
        <w:t>, 1988 (with Robert E. Bums, Douglas N.</w:t>
      </w:r>
    </w:p>
    <w:p w:rsidR="00D6711B" w:rsidP="00C41DA3">
      <w:pPr>
        <w:suppressLineNumbers/>
        <w:rPr>
          <w:rFonts w:ascii="Calibri" w:eastAsia="Calibri" w:hAnsi="Calibri" w:cs="Calibri"/>
          <w:b/>
        </w:rPr>
      </w:pPr>
      <w:r>
        <w:t>Jones, and Mark Eifert).</w:t>
      </w:r>
    </w:p>
    <w:p w:rsidR="00D6711B" w:rsidP="00C41DA3">
      <w:pPr>
        <w:suppressLineNumbers/>
        <w:rPr>
          <w:rFonts w:ascii="Calibri" w:eastAsia="Calibri" w:hAnsi="Calibri" w:cs="Calibri"/>
          <w:b/>
        </w:rPr>
      </w:pPr>
    </w:p>
    <w:p w:rsidR="00D6711B" w:rsidP="00C41DA3">
      <w:pPr>
        <w:suppressLineNumbers/>
        <w:rPr>
          <w:rFonts w:ascii="Calibri" w:eastAsia="Calibri" w:hAnsi="Calibri" w:cs="Calibri"/>
        </w:rPr>
      </w:pPr>
    </w:p>
    <w:p w:rsidR="00D6711B" w:rsidP="00C41DA3">
      <w:pPr>
        <w:suppressLineNumbers/>
        <w:ind w:left="720" w:hanging="720"/>
      </w:pPr>
    </w:p>
    <w:p w:rsidR="00A15FF4" w:rsidP="00C41DA3">
      <w:pPr>
        <w:suppressLineNumbers/>
        <w:ind w:left="720" w:hanging="720"/>
      </w:pPr>
    </w:p>
    <w:p w:rsidR="00A15FF4" w:rsidP="00C41DA3">
      <w:pPr>
        <w:suppressLineNumbers/>
        <w:ind w:left="630"/>
      </w:pPr>
    </w:p>
    <w:p w:rsidR="00A15FF4" w:rsidP="00C41DA3">
      <w:pPr>
        <w:suppressLineNumbers/>
        <w:ind w:left="360"/>
      </w:pPr>
    </w:p>
    <w:sectPr w:rsidSect="005E0851">
      <w:footerReference w:type="default" r:id="rId20"/>
      <w:headerReference w:type="first" r:id="rId21"/>
      <w:footerReference w:type="first" r:id="rId22"/>
      <w:pgSz w:w="12240" w:h="15840" w:code="1"/>
      <w:pgMar w:top="1440" w:right="1440" w:bottom="1440" w:left="1440" w:header="720" w:footer="720" w:gutter="0"/>
      <w:lnNumType w:countBy="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2C4" w:rsidRPr="0007378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8137080"/>
      <w:docPartObj>
        <w:docPartGallery w:val="Page Numbers (Bottom of Page)"/>
        <w:docPartUnique/>
      </w:docPartObj>
    </w:sdtPr>
    <w:sdtEndPr>
      <w:rPr>
        <w:noProof/>
      </w:rPr>
    </w:sdtEndPr>
    <w:sdtContent>
      <w:p w:rsidR="006372C4">
        <w:pPr>
          <w:pStyle w:val="Footer"/>
          <w:jc w:val="center"/>
        </w:pPr>
      </w:p>
    </w:sdtContent>
  </w:sdt>
  <w:p w:rsidR="006372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8475329"/>
      <w:docPartObj>
        <w:docPartGallery w:val="Page Numbers (Bottom of Page)"/>
        <w:docPartUnique/>
      </w:docPartObj>
    </w:sdtPr>
    <w:sdtEndPr>
      <w:rPr>
        <w:noProof/>
      </w:rPr>
    </w:sdtEndPr>
    <w:sdtContent>
      <w:p w:rsidR="006372C4" w:rsidRPr="00073783">
        <w:pPr>
          <w:pStyle w:val="Footer"/>
          <w:jc w:val="center"/>
        </w:pPr>
        <w:r w:rsidRPr="00073783">
          <w:t>i</w:t>
        </w:r>
      </w:p>
    </w:sdtContent>
  </w:sdt>
  <w:p w:rsidR="006372C4" w:rsidRPr="0007378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2375116"/>
      <w:docPartObj>
        <w:docPartGallery w:val="Page Numbers (Bottom of Page)"/>
        <w:docPartUnique/>
      </w:docPartObj>
    </w:sdtPr>
    <w:sdtEndPr>
      <w:rPr>
        <w:noProof/>
      </w:rPr>
    </w:sdtEndPr>
    <w:sdtContent>
      <w:p w:rsidR="008345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5812071"/>
      <w:docPartObj>
        <w:docPartGallery w:val="Page Numbers (Bottom of Page)"/>
        <w:docPartUnique/>
      </w:docPartObj>
    </w:sdtPr>
    <w:sdtEndPr>
      <w:rPr>
        <w:noProof/>
      </w:rPr>
    </w:sdtEndPr>
    <w:sdtContent>
      <w:p w:rsidR="008345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DA3">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8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0575">
      <w:r>
        <w:separator/>
      </w:r>
    </w:p>
  </w:footnote>
  <w:footnote w:type="continuationSeparator" w:id="1">
    <w:p w:rsidR="00E80575">
      <w:r>
        <w:continuationSeparator/>
      </w:r>
    </w:p>
  </w:footnote>
  <w:footnote w:id="2">
    <w:p w:rsidR="006372C4" w:rsidP="008345DA">
      <w:pPr>
        <w:pStyle w:val="FootnoteText"/>
        <w:spacing w:before="0" w:after="120"/>
      </w:pPr>
      <w:r>
        <w:rPr>
          <w:rStyle w:val="FootnoteReference"/>
        </w:rPr>
        <w:footnoteRef/>
      </w:r>
      <w:r>
        <w:t xml:space="preserve"> PUCO Case No. 18-1205-GA-AIR, </w:t>
      </w:r>
      <w:r w:rsidRPr="009146DD">
        <w:t>A report by the Staff of the Public Utilities Commission of Ohio</w:t>
      </w:r>
      <w:r>
        <w:t xml:space="preserve"> (Feb. 6, 2019). </w:t>
      </w:r>
    </w:p>
  </w:footnote>
  <w:footnote w:id="3">
    <w:p w:rsidR="006372C4" w:rsidP="008345DA">
      <w:pPr>
        <w:pStyle w:val="FootnoteText"/>
        <w:spacing w:before="0" w:after="120"/>
      </w:pPr>
      <w:r>
        <w:rPr>
          <w:rStyle w:val="FootnoteReference"/>
        </w:rPr>
        <w:footnoteRef/>
      </w:r>
      <w:r>
        <w:t xml:space="preserve"> Staff Report at 16.</w:t>
      </w:r>
    </w:p>
  </w:footnote>
  <w:footnote w:id="4">
    <w:p w:rsidR="006372C4" w:rsidP="008345DA">
      <w:pPr>
        <w:pStyle w:val="FootnoteText"/>
        <w:spacing w:before="0" w:after="120"/>
      </w:pPr>
      <w:r>
        <w:rPr>
          <w:rStyle w:val="FootnoteReference"/>
        </w:rPr>
        <w:footnoteRef/>
      </w:r>
      <w:r>
        <w:t xml:space="preserve"> Id.</w:t>
      </w:r>
    </w:p>
  </w:footnote>
  <w:footnote w:id="5">
    <w:p w:rsidR="006372C4" w:rsidP="008345DA">
      <w:pPr>
        <w:pStyle w:val="FootnoteText"/>
        <w:spacing w:before="0" w:after="120"/>
      </w:pPr>
      <w:r>
        <w:rPr>
          <w:rStyle w:val="FootnoteReference"/>
        </w:rPr>
        <w:footnoteRef/>
      </w:r>
      <w:r>
        <w:t xml:space="preserve"> Id.</w:t>
      </w:r>
    </w:p>
  </w:footnote>
  <w:footnote w:id="6">
    <w:p w:rsidR="006372C4" w:rsidP="008345DA">
      <w:pPr>
        <w:pStyle w:val="FootnoteText"/>
        <w:spacing w:before="0" w:after="120"/>
      </w:pPr>
      <w:r>
        <w:rPr>
          <w:rStyle w:val="FootnoteReference"/>
        </w:rPr>
        <w:footnoteRef/>
      </w:r>
      <w:r>
        <w:t xml:space="preserve"> Staff Report at 16.</w:t>
      </w:r>
    </w:p>
  </w:footnote>
  <w:footnote w:id="7">
    <w:p w:rsidR="006372C4" w:rsidP="008345DA">
      <w:pPr>
        <w:pStyle w:val="FootnoteText"/>
        <w:spacing w:before="0" w:after="120"/>
      </w:pPr>
      <w:r>
        <w:rPr>
          <w:rStyle w:val="FootnoteReference"/>
        </w:rPr>
        <w:footnoteRef/>
      </w:r>
      <w:r>
        <w:t xml:space="preserve"> Id.</w:t>
      </w:r>
    </w:p>
  </w:footnote>
  <w:footnote w:id="8">
    <w:p w:rsidR="006372C4" w:rsidP="008345DA">
      <w:pPr>
        <w:pStyle w:val="FootnoteText"/>
        <w:spacing w:before="0" w:after="120"/>
      </w:pPr>
      <w:r>
        <w:rPr>
          <w:rStyle w:val="FootnoteReference"/>
        </w:rPr>
        <w:footnoteRef/>
      </w:r>
      <w:r>
        <w:t xml:space="preserve"> Id.</w:t>
      </w:r>
    </w:p>
  </w:footnote>
  <w:footnote w:id="9">
    <w:p w:rsidR="006372C4" w:rsidP="008345DA">
      <w:pPr>
        <w:pStyle w:val="FootnoteText"/>
        <w:spacing w:before="0" w:after="120"/>
      </w:pPr>
      <w:r>
        <w:rPr>
          <w:rStyle w:val="FootnoteReference"/>
        </w:rPr>
        <w:footnoteRef/>
      </w:r>
      <w:r>
        <w:t xml:space="preserve"> </w:t>
      </w:r>
      <w:r w:rsidR="00425F44">
        <w:rPr>
          <w:i/>
        </w:rPr>
        <w:t>Id</w:t>
      </w:r>
      <w:r>
        <w:t>.</w:t>
      </w:r>
    </w:p>
  </w:footnote>
  <w:footnote w:id="10">
    <w:p w:rsidR="006372C4" w:rsidP="008345DA">
      <w:pPr>
        <w:pStyle w:val="FootnoteText"/>
        <w:spacing w:before="0" w:after="120"/>
      </w:pPr>
      <w:r>
        <w:rPr>
          <w:rStyle w:val="FootnoteReference"/>
        </w:rPr>
        <w:footnoteRef/>
      </w:r>
      <w:r>
        <w:t xml:space="preserve"> </w:t>
      </w:r>
      <w:bookmarkStart w:id="21" w:name="_Hlk1735554"/>
      <w:r>
        <w:t xml:space="preserve">See S&amp;P Global Market Intelligence, </w:t>
      </w:r>
      <w:r w:rsidRPr="005D7027">
        <w:rPr>
          <w:i/>
        </w:rPr>
        <w:t>RRA Regulatory Focus Major Rate Case Decisions – January -December 2018</w:t>
      </w:r>
      <w:r>
        <w:t xml:space="preserve"> (January 31, 2019) at 7.</w:t>
      </w:r>
      <w:bookmarkEnd w:id="21"/>
    </w:p>
  </w:footnote>
  <w:footnote w:id="11">
    <w:p w:rsidR="006372C4" w:rsidP="008345DA">
      <w:pPr>
        <w:pStyle w:val="FootnoteText"/>
        <w:spacing w:before="0" w:after="120"/>
      </w:pPr>
      <w:r>
        <w:rPr>
          <w:rStyle w:val="FootnoteReference"/>
        </w:rPr>
        <w:footnoteRef/>
      </w:r>
      <w:r>
        <w:t xml:space="preserve"> See S&amp;P Global Market Intelligence, </w:t>
      </w:r>
      <w:r w:rsidRPr="005D7027">
        <w:rPr>
          <w:i/>
        </w:rPr>
        <w:t>RRA Regulatory Focus Major Rate Case Decisions – January -December 2018</w:t>
      </w:r>
      <w:r>
        <w:t xml:space="preserve"> (January 31, 2019) at 7.</w:t>
      </w:r>
    </w:p>
  </w:footnote>
  <w:footnote w:id="12">
    <w:p w:rsidR="006372C4" w:rsidP="008345DA">
      <w:pPr>
        <w:pStyle w:val="FootnoteText"/>
        <w:spacing w:before="0" w:after="120"/>
      </w:pPr>
      <w:r>
        <w:rPr>
          <w:rStyle w:val="FootnoteReference"/>
        </w:rPr>
        <w:footnoteRef/>
      </w:r>
      <w:r>
        <w:t xml:space="preserve"> </w:t>
      </w:r>
      <w:r w:rsidRPr="00295DC9">
        <w:t>Staff Report at 16.</w:t>
      </w:r>
    </w:p>
  </w:footnote>
  <w:footnote w:id="13">
    <w:p w:rsidR="006372C4" w:rsidP="008345DA">
      <w:pPr>
        <w:pStyle w:val="FootnoteText"/>
        <w:spacing w:before="0" w:after="120"/>
      </w:pPr>
      <w:r>
        <w:rPr>
          <w:rStyle w:val="FootnoteReference"/>
        </w:rPr>
        <w:footnoteRef/>
      </w:r>
      <w:r>
        <w:t xml:space="preserve"> Staff Report at 16-17.</w:t>
      </w:r>
    </w:p>
  </w:footnote>
  <w:footnote w:id="14">
    <w:p w:rsidR="002B334A">
      <w:pPr>
        <w:pStyle w:val="FootnoteText"/>
      </w:pPr>
      <w:r>
        <w:rPr>
          <w:rStyle w:val="FootnoteReference"/>
        </w:rPr>
        <w:footnoteRef/>
      </w:r>
      <w:r>
        <w:t xml:space="preserve"> Staff Report at 17.</w:t>
      </w:r>
    </w:p>
  </w:footnote>
  <w:footnote w:id="15">
    <w:p w:rsidR="006372C4" w:rsidP="008345DA">
      <w:pPr>
        <w:pStyle w:val="FootnoteText"/>
        <w:spacing w:before="0" w:after="120"/>
      </w:pPr>
      <w:r>
        <w:rPr>
          <w:rStyle w:val="FootnoteReference"/>
        </w:rPr>
        <w:footnoteRef/>
      </w:r>
      <w:r>
        <w:t xml:space="preserve"> 11.21% = (7.72% - (4.53% * 0.5225)) /0.4775</w:t>
      </w:r>
    </w:p>
  </w:footnote>
  <w:footnote w:id="16">
    <w:p w:rsidR="006372C4" w:rsidP="008345DA">
      <w:pPr>
        <w:pStyle w:val="FootnoteText"/>
        <w:spacing w:before="0" w:after="120"/>
      </w:pPr>
      <w:r>
        <w:rPr>
          <w:rStyle w:val="FootnoteReference"/>
        </w:rPr>
        <w:footnoteRef/>
      </w:r>
      <w:r>
        <w:t xml:space="preserve"> </w:t>
      </w:r>
      <w:r w:rsidR="00C41DA3">
        <w:t xml:space="preserve">See S&amp;P Global Market Intelligence, </w:t>
      </w:r>
      <w:r w:rsidRPr="005D7027" w:rsidR="00C41DA3">
        <w:rPr>
          <w:i/>
        </w:rPr>
        <w:t>RRA Regulatory Focus Major Rate Case Decisions – January -December 2018</w:t>
      </w:r>
      <w:r w:rsidR="00C41DA3">
        <w:t xml:space="preserve"> (January 31, 2019) at 7.</w:t>
      </w:r>
    </w:p>
  </w:footnote>
  <w:footnote w:id="17">
    <w:p w:rsidR="006372C4" w:rsidRPr="004F7B27" w:rsidP="008345DA">
      <w:pPr>
        <w:pStyle w:val="FootnoteText"/>
        <w:spacing w:before="0" w:after="120"/>
      </w:pPr>
      <w:r w:rsidRPr="004F7B27">
        <w:rPr>
          <w:rStyle w:val="FootnoteReference"/>
        </w:rPr>
        <w:footnoteRef/>
      </w:r>
      <w:r w:rsidRPr="004F7B27">
        <w:t xml:space="preserve"> PUCO Case No. 12-1682-EL-AIR </w:t>
      </w:r>
      <w:r w:rsidRPr="00EF1C6D">
        <w:rPr>
          <w:i/>
        </w:rPr>
        <w:t>et al.</w:t>
      </w:r>
      <w:r w:rsidRPr="004F7B27">
        <w:t xml:space="preserve">, Supplemental Direct Testimony of </w:t>
      </w:r>
      <w:r>
        <w:t xml:space="preserve">Roger A. </w:t>
      </w:r>
      <w:r w:rsidRPr="004F7B27">
        <w:t>Morin</w:t>
      </w:r>
      <w:r>
        <w:t xml:space="preserve"> </w:t>
      </w:r>
      <w:r w:rsidRPr="004F7B27">
        <w:t>at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2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7579" o:spid="_x0000_s2049" type="#_x0000_t136" style="width:565.5pt;height:43.5pt;margin-top:0;margin-left:0;mso-position-horizontal:center;mso-position-horizontal-relative:margin;mso-position-vertical:center;mso-position-vertical-relative:margin;position:absolute;rotation:315;z-index:-251658240" o:allowincell="f" fillcolor="#7f7f7f" stroked="f">
          <v:textpath style="font-family:'Times New Roman';font-size:1pt" string="Confidential Work Produc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851" w:rsidRPr="000F4EF7" w:rsidP="006372C4">
    <w:pPr>
      <w:pStyle w:val="Header"/>
      <w:jc w:val="center"/>
      <w:rPr>
        <w:i/>
      </w:rPr>
    </w:pPr>
    <w:r>
      <w:rPr>
        <w:i/>
      </w:rPr>
      <w:t>.</w:t>
    </w:r>
  </w:p>
  <w:p w:rsidR="005E0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2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7580" o:spid="_x0000_s2050" type="#_x0000_t136" style="width:565.5pt;height:43.5pt;margin-top:0;margin-left:0;mso-position-horizontal:center;mso-position-horizontal-relative:margin;mso-position-vertical:center;mso-position-vertical-relative:margin;position:absolute;rotation:315;z-index:-251657216" o:allowincell="f" fillcolor="#7f7f7f" stroked="f">
          <v:textpath style="font-family:'Times New Roman';font-size:1pt" string="Confidential Work Product"/>
          <w10:wrap anchorx="margin" anchory="margin"/>
        </v:shape>
      </w:pict>
    </w:r>
  </w:p>
  <w:p w:rsidR="00637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D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2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7582" o:spid="_x0000_s2051" type="#_x0000_t136" style="width:565.5pt;height:43.5pt;margin-top:0;margin-left:0;mso-position-horizontal:center;mso-position-horizontal-relative:margin;mso-position-vertical:center;mso-position-vertical-relative:margin;position:absolute;rotation:315;z-index:-251655168" o:allowincell="f" fillcolor="#7f7f7f" stroked="f">
          <v:textpath style="font-family:'Times New Roman';font-size:1pt" string="Confidential Work Produc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2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2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7581" o:spid="_x0000_s2052" type="#_x0000_t136" style="width:565.5pt;height:43.5pt;margin-top:0;margin-left:0;mso-position-horizontal:center;mso-position-horizontal-relative:margin;mso-position-vertical:center;mso-position-vertical-relative:margin;position:absolute;rotation:315;z-index:-251656192" o:allowincell="f" fillcolor="#7f7f7f" stroked="f">
          <v:textpath style="font-family:'Times New Roman';font-size:1pt" string="Confidential Work Produc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45DA" w:rsidRPr="000F4EF7" w:rsidP="008345DA">
    <w:pPr>
      <w:jc w:val="center"/>
      <w:rPr>
        <w:i/>
      </w:rPr>
    </w:pPr>
    <w:r w:rsidRPr="000F4EF7">
      <w:rPr>
        <w:i/>
      </w:rPr>
      <w:t xml:space="preserve">Direct Testimony of </w:t>
    </w:r>
    <w:r>
      <w:rPr>
        <w:i/>
      </w:rPr>
      <w:t>Daniel J. Duann, Ph.D.</w:t>
    </w:r>
  </w:p>
  <w:p w:rsidR="008345DA" w:rsidRPr="000F4EF7" w:rsidP="008345DA">
    <w:pPr>
      <w:pStyle w:val="Header"/>
      <w:jc w:val="center"/>
      <w:rPr>
        <w:i/>
      </w:rPr>
    </w:pPr>
    <w:r w:rsidRPr="000F4EF7">
      <w:rPr>
        <w:i/>
      </w:rPr>
      <w:t>On Behalf of the Office of the Ohio Consumers’ Counsel</w:t>
    </w:r>
  </w:p>
  <w:p w:rsidR="008345DA" w:rsidRPr="000F4EF7" w:rsidP="008345DA">
    <w:pPr>
      <w:pStyle w:val="Header"/>
      <w:jc w:val="center"/>
      <w:rPr>
        <w:i/>
      </w:rPr>
    </w:pPr>
    <w:r w:rsidRPr="000F4EF7">
      <w:rPr>
        <w:i/>
      </w:rPr>
      <w:t xml:space="preserve">PUCO Case No. </w:t>
    </w:r>
    <w:r>
      <w:rPr>
        <w:i/>
      </w:rPr>
      <w:t>18-1205-GA-AIR et al.</w:t>
    </w:r>
  </w:p>
  <w:p w:rsidR="006372C4" w:rsidRPr="00503CC7" w:rsidP="00A15FF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2C4" w:rsidRPr="000F4EF7" w:rsidP="006372C4">
    <w:pPr>
      <w:jc w:val="center"/>
      <w:rPr>
        <w:i/>
      </w:rPr>
    </w:pPr>
    <w:bookmarkStart w:id="12" w:name="_Hlk2093606"/>
    <w:r w:rsidRPr="000F4EF7">
      <w:rPr>
        <w:i/>
      </w:rPr>
      <w:t xml:space="preserve">Direct Testimony of </w:t>
    </w:r>
    <w:r>
      <w:rPr>
        <w:i/>
      </w:rPr>
      <w:t>Daniel J. Duann, Ph.D.</w:t>
    </w:r>
  </w:p>
  <w:p w:rsidR="006372C4" w:rsidRPr="000F4EF7" w:rsidP="006372C4">
    <w:pPr>
      <w:pStyle w:val="Header"/>
      <w:jc w:val="center"/>
      <w:rPr>
        <w:i/>
      </w:rPr>
    </w:pPr>
    <w:r w:rsidRPr="000F4EF7">
      <w:rPr>
        <w:i/>
      </w:rPr>
      <w:t>On Behalf of the Office of the Ohio Consumers’ Counsel</w:t>
    </w:r>
  </w:p>
  <w:p w:rsidR="006372C4" w:rsidRPr="000F4EF7" w:rsidP="006372C4">
    <w:pPr>
      <w:pStyle w:val="Header"/>
      <w:jc w:val="center"/>
      <w:rPr>
        <w:i/>
      </w:rPr>
    </w:pPr>
    <w:r w:rsidRPr="000F4EF7">
      <w:rPr>
        <w:i/>
      </w:rPr>
      <w:t xml:space="preserve">PUCO Case No. </w:t>
    </w:r>
    <w:r>
      <w:rPr>
        <w:i/>
      </w:rPr>
      <w:t>18-1205-GA-AIR</w:t>
    </w:r>
    <w:r w:rsidR="008345DA">
      <w:rPr>
        <w:i/>
      </w:rPr>
      <w:t xml:space="preserve"> et al.</w:t>
    </w:r>
  </w:p>
  <w:p w:rsidR="006372C4">
    <w:pPr>
      <w:pStyle w:val="Header"/>
    </w:pPr>
    <w:bookmarkEnd w:id="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45DA" w:rsidRPr="00503CC7" w:rsidP="00A15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21EF5"/>
    <w:multiLevelType w:val="hybridMultilevel"/>
    <w:tmpl w:val="79D8C994"/>
    <w:lvl w:ilvl="0">
      <w:start w:val="1"/>
      <w:numFmt w:val="decimal"/>
      <w:lvlText w:val="(%1)"/>
      <w:lvlJc w:val="left"/>
      <w:pPr>
        <w:ind w:left="1800" w:hanging="360"/>
      </w:pPr>
      <w:rPr>
        <w:rFonts w:eastAsia="Times New Roman"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74B06B0"/>
    <w:multiLevelType w:val="hybridMultilevel"/>
    <w:tmpl w:val="5EEC0AC2"/>
    <w:lvl w:ilvl="0">
      <w:start w:val="1"/>
      <w:numFmt w:val="upperLetter"/>
      <w:pStyle w:val="Heading2"/>
      <w:lvlText w:val="%1."/>
      <w:lvlJc w:val="left"/>
      <w:pPr>
        <w:ind w:left="360" w:hanging="360"/>
      </w:pPr>
      <w:rPr>
        <w:rFonts w:asciiTheme="majorBidi" w:hAnsiTheme="majorBidi" w:cstheme="maj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B2C3A76"/>
    <w:multiLevelType w:val="hybridMultilevel"/>
    <w:tmpl w:val="B202911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DB4DBF"/>
    <w:multiLevelType w:val="hybridMultilevel"/>
    <w:tmpl w:val="54F8346E"/>
    <w:lvl w:ilvl="0">
      <w:start w:val="1"/>
      <w:numFmt w:val="decimal"/>
      <w:lvlText w:val="%1."/>
      <w:lvlJc w:val="left"/>
      <w:pPr>
        <w:tabs>
          <w:tab w:val="num" w:pos="360"/>
        </w:tabs>
        <w:ind w:left="360" w:hanging="360"/>
      </w:pPr>
      <w:rPr>
        <w:rFonts w:hint="default"/>
        <w:b w:val="0"/>
        <w:bCs/>
        <w:i w:val="0"/>
        <w:sz w:val="24"/>
      </w:rPr>
    </w:lvl>
    <w:lvl w:ilvl="1">
      <w:start w:val="1"/>
      <w:numFmt w:val="lowerLetter"/>
      <w:lvlText w:val="%2."/>
      <w:lvlJc w:val="left"/>
      <w:pPr>
        <w:tabs>
          <w:tab w:val="num" w:pos="360"/>
        </w:tabs>
        <w:ind w:left="36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864BAF"/>
    <w:multiLevelType w:val="hybridMultilevel"/>
    <w:tmpl w:val="FDEABCD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5B052E"/>
    <w:multiLevelType w:val="hybridMultilevel"/>
    <w:tmpl w:val="9BBE5F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401743"/>
    <w:multiLevelType w:val="hybridMultilevel"/>
    <w:tmpl w:val="B9AC9C8C"/>
    <w:lvl w:ilvl="0">
      <w:start w:val="1"/>
      <w:numFmt w:val="decimal"/>
      <w:lvlText w:val="(%1)"/>
      <w:lvlJc w:val="left"/>
      <w:pPr>
        <w:ind w:left="1080" w:hanging="360"/>
      </w:pPr>
      <w:rPr>
        <w:rFonts w:ascii="Times New Roman" w:eastAsia="PMingLiU" w:hAnsi="Times New Roman" w:cs="Times New Roman"/>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774475C"/>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AE94CDB"/>
    <w:multiLevelType w:val="hybridMultilevel"/>
    <w:tmpl w:val="3DAA0C9C"/>
    <w:lvl w:ilvl="0">
      <w:start w:val="1"/>
      <w:numFmt w:val="decimal"/>
      <w:lvlText w:val="(%1)"/>
      <w:lvlJc w:val="left"/>
      <w:pPr>
        <w:ind w:left="2880" w:hanging="360"/>
      </w:pPr>
      <w:rPr>
        <w:rFonts w:ascii="Times New Roman" w:hAnsi="Times New Roman" w:cs="Times New Roman" w:hint="default"/>
        <w:b w:val="0"/>
        <w:sz w:val="24"/>
        <w:szCs w:val="24"/>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9">
    <w:nsid w:val="3EE51053"/>
    <w:multiLevelType w:val="hybridMultilevel"/>
    <w:tmpl w:val="22FC8560"/>
    <w:lvl w:ilvl="0">
      <w:start w:val="1"/>
      <w:numFmt w:val="decimal"/>
      <w:lvlText w:val="(%1)"/>
      <w:lvlJc w:val="left"/>
      <w:pPr>
        <w:ind w:left="2070" w:hanging="360"/>
      </w:pPr>
      <w:rPr>
        <w:rFonts w:ascii="Times New Roman" w:eastAsia="PMingLiU" w:hAnsi="Times New Roman" w:cs="Times New Roman"/>
        <w:b w:val="0"/>
        <w:i w:val="0"/>
      </w:rPr>
    </w:lvl>
    <w:lvl w:ilvl="1">
      <w:start w:val="1"/>
      <w:numFmt w:val="lowerLetter"/>
      <w:lvlText w:val="%2."/>
      <w:lvlJc w:val="left"/>
      <w:pPr>
        <w:ind w:left="270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10">
    <w:nsid w:val="5172483E"/>
    <w:multiLevelType w:val="hybridMultilevel"/>
    <w:tmpl w:val="8096735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3DC6D21"/>
    <w:multiLevelType w:val="hybridMultilevel"/>
    <w:tmpl w:val="2552FE60"/>
    <w:lvl w:ilvl="0">
      <w:start w:val="1"/>
      <w:numFmt w:val="decimal"/>
      <w:lvlText w:val="(%1)"/>
      <w:lvlJc w:val="left"/>
      <w:pPr>
        <w:ind w:left="1800" w:hanging="360"/>
      </w:pPr>
      <w:rPr>
        <w:rFonts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651816A0"/>
    <w:multiLevelType w:val="hybridMultilevel"/>
    <w:tmpl w:val="57E2007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7C546FC"/>
    <w:multiLevelType w:val="hybridMultilevel"/>
    <w:tmpl w:val="B546DD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A6A38A4"/>
    <w:multiLevelType w:val="hybridMultilevel"/>
    <w:tmpl w:val="26BA31CE"/>
    <w:lvl w:ilvl="0">
      <w:start w:val="1"/>
      <w:numFmt w:val="decimal"/>
      <w:lvlText w:val="(%1)"/>
      <w:lvlJc w:val="left"/>
      <w:pPr>
        <w:ind w:left="1800" w:hanging="360"/>
      </w:pPr>
      <w:rPr>
        <w:rFonts w:ascii="Times New Roman" w:eastAsia="PMingLiU" w:hAnsi="Times New Roman" w:cs="Times New Roman"/>
        <w:b w:val="0"/>
        <w:i w:val="0"/>
      </w:rPr>
    </w:lvl>
    <w:lvl w:ilvl="1">
      <w:start w:val="1"/>
      <w:numFmt w:val="lowerLetter"/>
      <w:lvlText w:val="%2."/>
      <w:lvlJc w:val="left"/>
      <w:pPr>
        <w:ind w:left="351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nsid w:val="6F7F292F"/>
    <w:multiLevelType w:val="hybridMultilevel"/>
    <w:tmpl w:val="C27ED6D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1"/>
  </w:num>
  <w:num w:numId="5">
    <w:abstractNumId w:val="0"/>
  </w:num>
  <w:num w:numId="6">
    <w:abstractNumId w:val="5"/>
  </w:num>
  <w:num w:numId="7">
    <w:abstractNumId w:val="7"/>
  </w:num>
  <w:num w:numId="8">
    <w:abstractNumId w:val="12"/>
  </w:num>
  <w:num w:numId="9">
    <w:abstractNumId w:val="10"/>
  </w:num>
  <w:num w:numId="10">
    <w:abstractNumId w:val="14"/>
  </w:num>
  <w:num w:numId="11">
    <w:abstractNumId w:val="9"/>
  </w:num>
  <w:num w:numId="12">
    <w:abstractNumId w:val="6"/>
  </w:num>
  <w:num w:numId="13">
    <w:abstractNumId w:val="15"/>
  </w:num>
  <w:num w:numId="14">
    <w:abstractNumId w:val="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75" w:qFormat="1"/>
    <w:lsdException w:name="heading 2" w:locked="1" w:uiPriority="0" w:qFormat="1"/>
    <w:lsdException w:name="heading 3" w:locked="1" w:uiPriority="0" w:unhideWhenUsed="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05"/>
    <w:rPr>
      <w:sz w:val="24"/>
      <w:szCs w:val="24"/>
    </w:rPr>
  </w:style>
  <w:style w:type="paragraph" w:styleId="Heading1">
    <w:name w:val="heading 1"/>
    <w:basedOn w:val="Normal"/>
    <w:next w:val="Normal"/>
    <w:link w:val="Heading1Char"/>
    <w:autoRedefine/>
    <w:uiPriority w:val="75"/>
    <w:qFormat/>
    <w:rsid w:val="00C27B49"/>
    <w:pPr>
      <w:autoSpaceDE w:val="0"/>
      <w:autoSpaceDN w:val="0"/>
      <w:adjustRightInd w:val="0"/>
      <w:spacing w:line="480" w:lineRule="auto"/>
      <w:ind w:left="720" w:hanging="720"/>
      <w:outlineLvl w:val="0"/>
    </w:pPr>
    <w:rPr>
      <w:b/>
      <w:bCs/>
      <w:iCs/>
    </w:rPr>
  </w:style>
  <w:style w:type="paragraph" w:styleId="Heading2">
    <w:name w:val="heading 2"/>
    <w:basedOn w:val="ListParagraph"/>
    <w:next w:val="Normal"/>
    <w:link w:val="Heading2Char"/>
    <w:uiPriority w:val="99"/>
    <w:qFormat/>
    <w:pPr>
      <w:numPr>
        <w:numId w:val="2"/>
      </w:numPr>
      <w:spacing w:line="480" w:lineRule="auto"/>
      <w:ind w:left="1440" w:hanging="720" w:leftChars="0"/>
      <w:outlineLvl w:val="1"/>
    </w:pPr>
    <w:rPr>
      <w:rFonts w:ascii="Times New Roman" w:hAnsi="Times New Roman"/>
      <w:b/>
    </w:rPr>
  </w:style>
  <w:style w:type="paragraph" w:styleId="Heading3">
    <w:name w:val="heading 3"/>
    <w:basedOn w:val="Normal"/>
    <w:next w:val="Normal"/>
    <w:link w:val="Heading3Char"/>
    <w:uiPriority w:val="99"/>
    <w:semiHidden/>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75"/>
    <w:locked/>
    <w:rsid w:val="00C27B49"/>
    <w:rPr>
      <w:b/>
      <w:bCs/>
      <w:iCs/>
      <w:sz w:val="24"/>
      <w:szCs w:val="24"/>
    </w:rPr>
  </w:style>
  <w:style w:type="character" w:customStyle="1" w:styleId="Heading2Char">
    <w:name w:val="Heading 2 Char"/>
    <w:link w:val="Heading2"/>
    <w:uiPriority w:val="99"/>
    <w:locked/>
    <w:rsid w:val="00806805"/>
    <w:rPr>
      <w:b/>
      <w:kern w:val="2"/>
      <w:sz w:val="24"/>
      <w:szCs w:val="22"/>
      <w:lang w:eastAsia="zh-TW"/>
    </w:rPr>
  </w:style>
  <w:style w:type="character" w:customStyle="1" w:styleId="Heading3Char">
    <w:name w:val="Heading 3 Char"/>
    <w:link w:val="Heading3"/>
    <w:uiPriority w:val="99"/>
    <w:semiHidden/>
    <w:locked/>
    <w:rsid w:val="00806805"/>
    <w:rPr>
      <w:rFonts w:ascii="Cambria" w:hAnsi="Cambria"/>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806805"/>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806805"/>
    <w:rPr>
      <w:sz w:val="24"/>
      <w:szCs w:val="24"/>
    </w:rPr>
  </w:style>
  <w:style w:type="character" w:styleId="PageNumber">
    <w:name w:val="page number"/>
    <w:basedOn w:val="DefaultParagraphFont"/>
    <w:uiPriority w:val="99"/>
    <w:semiHidden/>
  </w:style>
  <w:style w:type="paragraph" w:styleId="BodyText">
    <w:name w:val="Body Text"/>
    <w:basedOn w:val="Normal"/>
    <w:link w:val="BodyTextChar"/>
    <w:uiPriority w:val="99"/>
    <w:semiHidden/>
    <w:pPr>
      <w:spacing w:line="480" w:lineRule="auto"/>
      <w:ind w:left="720"/>
    </w:pPr>
    <w:rPr>
      <w:iCs/>
    </w:rPr>
  </w:style>
  <w:style w:type="character" w:customStyle="1" w:styleId="BodyTextChar">
    <w:name w:val="Body Text Char"/>
    <w:link w:val="BodyText"/>
    <w:uiPriority w:val="99"/>
    <w:semiHidden/>
    <w:locked/>
    <w:rsid w:val="00806805"/>
    <w:rPr>
      <w:iCs/>
      <w:sz w:val="24"/>
      <w:szCs w:val="24"/>
    </w:rPr>
  </w:style>
  <w:style w:type="paragraph" w:styleId="FootnoteText">
    <w:name w:val="footnote text"/>
    <w:aliases w:val="ALTS FOOTNOTE,Footnote Text Char,Footnote Text Char Char,Footnote Text Char Char Char Char,Footnote Text Char1,Footnote Text Char1 Char Char1,Footnote Text Char1 Char Char1 Char Char Char,Footnote Text Char2 Char Char Char Char1,fn,fn C,ft"/>
    <w:basedOn w:val="Normal"/>
    <w:link w:val="FootnoteTextChar3"/>
    <w:pPr>
      <w:spacing w:before="120"/>
    </w:pPr>
    <w:rPr>
      <w:sz w:val="20"/>
      <w:szCs w:val="20"/>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semiHidden/>
    <w:rPr>
      <w:sz w:val="20"/>
      <w:szCs w:val="20"/>
    </w:rPr>
  </w:style>
  <w:style w:type="character" w:customStyle="1" w:styleId="FootnoteTextChar21">
    <w:name w:val="Footnote Text Char21"/>
    <w:aliases w:val="Footnote Text Char Char Char Char Char3,Footnote Text Char Char Char3,Footnote Text Char1 Char Char1 Char Char Char Char3,Footnote Text Char1 Char Char1 Char3,Footnote Text Char1 Char3,Footnote Text Char2 Char Char Char Char1 Char3"/>
    <w:uiPriority w:val="99"/>
    <w:semiHidden/>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rPr>
      <w:vertAlign w:val="superscript"/>
    </w:rPr>
  </w:style>
  <w:style w:type="character" w:customStyle="1" w:styleId="FootnoteTextChar1Char2">
    <w:name w:val="Footnote Text Char1 Char2"/>
    <w:aliases w:val="ALTS FOOTNOTE Char,Footnote Text Char Char Char Char Char2,Footnote Text Char Char Char2,Footnote Text Char1 Char Char1 Char Char Char Char2,Footnote Text Char1 Char Char1 Char2,Footnote Text Char2 Char Char Char Char1 Char2"/>
    <w:uiPriority w:val="99"/>
    <w:semiHidden/>
    <w:locked/>
    <w:rPr>
      <w:lang w:val="en-US" w:eastAsia="en-US"/>
    </w:rPr>
  </w:style>
  <w:style w:type="character" w:styleId="Hyperlink">
    <w:name w:val="Hyperlink"/>
    <w:uiPriority w:val="99"/>
    <w:rPr>
      <w:color w:val="0000FF"/>
      <w:u w:val="single"/>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aliases w:val=" Char Char,Char Char1"/>
    <w:link w:val="HTMLPreformatted"/>
    <w:semiHidden/>
    <w:locked/>
    <w:rsid w:val="00806805"/>
    <w:rPr>
      <w:rFonts w:ascii="Courier New" w:hAnsi="Courier New"/>
    </w:rPr>
  </w:style>
  <w:style w:type="paragraph" w:styleId="Title">
    <w:name w:val="Title"/>
    <w:basedOn w:val="Normal"/>
    <w:link w:val="TitleChar"/>
    <w:uiPriority w:val="99"/>
    <w:semiHidden/>
    <w:pPr>
      <w:jc w:val="center"/>
    </w:pPr>
    <w:rPr>
      <w:b/>
      <w:bCs/>
    </w:rPr>
  </w:style>
  <w:style w:type="character" w:customStyle="1" w:styleId="TitleChar">
    <w:name w:val="Title Char"/>
    <w:link w:val="Title"/>
    <w:uiPriority w:val="99"/>
    <w:semiHidden/>
    <w:locked/>
    <w:rsid w:val="00806805"/>
    <w:rPr>
      <w:b/>
      <w:bCs/>
      <w:sz w:val="24"/>
      <w:szCs w:val="24"/>
    </w:rPr>
  </w:style>
  <w:style w:type="paragraph" w:styleId="PlainText">
    <w:name w:val="Plain Text"/>
    <w:basedOn w:val="Normal"/>
    <w:link w:val="PlainTextChar"/>
    <w:uiPriority w:val="99"/>
    <w:semiHidden/>
    <w:rPr>
      <w:rFonts w:ascii="Courier New" w:hAnsi="Courier New"/>
      <w:sz w:val="20"/>
      <w:szCs w:val="20"/>
    </w:rPr>
  </w:style>
  <w:style w:type="character" w:customStyle="1" w:styleId="PlainTextChar">
    <w:name w:val="Plain Text Char"/>
    <w:link w:val="PlainText"/>
    <w:uiPriority w:val="99"/>
    <w:semiHidden/>
    <w:locked/>
    <w:rsid w:val="00806805"/>
    <w:rPr>
      <w:rFonts w:ascii="Courier New" w:hAnsi="Courier New"/>
    </w:rPr>
  </w:style>
  <w:style w:type="paragraph" w:styleId="TOC1">
    <w:name w:val="toc 1"/>
    <w:basedOn w:val="Normal"/>
    <w:next w:val="Normal"/>
    <w:autoRedefine/>
    <w:uiPriority w:val="39"/>
    <w:qFormat/>
    <w:rsid w:val="002E2F9B"/>
    <w:pPr>
      <w:tabs>
        <w:tab w:val="decimal" w:leader="dot" w:pos="8640"/>
      </w:tabs>
      <w:spacing w:after="240"/>
      <w:ind w:left="720" w:hanging="720"/>
    </w:pPr>
    <w:rPr>
      <w:rFonts w:eastAsiaTheme="minorEastAsia"/>
      <w:caps/>
      <w:noProof/>
      <w:szCs w:val="22"/>
    </w:rPr>
  </w:style>
  <w:style w:type="paragraph" w:styleId="List2">
    <w:name w:val="List 2"/>
    <w:basedOn w:val="Normal"/>
    <w:uiPriority w:val="99"/>
    <w:semiHidden/>
    <w:pPr>
      <w:ind w:left="720" w:hanging="36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uiPriority w:val="99"/>
    <w:semiHidden/>
    <w:locked/>
    <w:rPr>
      <w:rFonts w:ascii="Courier New" w:hAnsi="Courier New" w:cs="Courier New"/>
      <w:lang w:val="en-US" w:eastAsia="en-US"/>
    </w:rPr>
  </w:style>
  <w:style w:type="character" w:styleId="LineNumber">
    <w:name w:val="line number"/>
    <w:basedOn w:val="DefaultParagraphFont"/>
    <w:uiPriority w:val="99"/>
    <w:semiHidden/>
  </w:style>
  <w:style w:type="paragraph" w:styleId="EndnoteText">
    <w:name w:val="endnote text"/>
    <w:basedOn w:val="Normal"/>
    <w:link w:val="EndnoteTextChar"/>
    <w:pPr>
      <w:widowControl w:val="0"/>
      <w:snapToGrid w:val="0"/>
    </w:pPr>
    <w:rPr>
      <w:rFonts w:ascii="Courier New" w:hAnsi="Courier New"/>
    </w:rPr>
  </w:style>
  <w:style w:type="character" w:customStyle="1" w:styleId="EndnoteTextChar">
    <w:name w:val="Endnote Text Char"/>
    <w:link w:val="EndnoteText"/>
    <w:locked/>
    <w:rsid w:val="00806805"/>
    <w:rPr>
      <w:rFonts w:ascii="Courier New" w:hAnsi="Courier New"/>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806805"/>
  </w:style>
  <w:style w:type="paragraph" w:styleId="DocumentMap">
    <w:name w:val="Document Map"/>
    <w:basedOn w:val="Normal"/>
    <w:link w:val="DocumentMapChar"/>
    <w:uiPriority w:val="99"/>
    <w:semiHidden/>
    <w:pPr>
      <w:shd w:val="clear" w:color="auto" w:fill="000080"/>
    </w:pPr>
    <w:rPr>
      <w:sz w:val="2"/>
      <w:szCs w:val="2"/>
    </w:rPr>
  </w:style>
  <w:style w:type="character" w:customStyle="1" w:styleId="DocumentMapChar">
    <w:name w:val="Document Map Char"/>
    <w:link w:val="DocumentMap"/>
    <w:uiPriority w:val="99"/>
    <w:semiHidden/>
    <w:locked/>
    <w:rsid w:val="00806805"/>
    <w:rPr>
      <w:sz w:val="2"/>
      <w:szCs w:val="2"/>
      <w:shd w:val="clear" w:color="auto" w:fill="000080"/>
    </w:rPr>
  </w:style>
  <w:style w:type="paragraph" w:customStyle="1" w:styleId="DefaultParagraphFontParaCharCharCharCharCharCharChar">
    <w:name w:val="Default Paragraph Font Para Char Char Char Char Char Char Char"/>
    <w:basedOn w:val="Normal"/>
    <w:uiPriority w:val="99"/>
    <w:semiHidden/>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Pr>
      <w:sz w:val="16"/>
      <w:szCs w:val="2"/>
    </w:rPr>
  </w:style>
  <w:style w:type="character" w:customStyle="1" w:styleId="BalloonTextChar">
    <w:name w:val="Balloon Text Char"/>
    <w:link w:val="BalloonText"/>
    <w:uiPriority w:val="99"/>
    <w:semiHidden/>
    <w:locked/>
    <w:rsid w:val="00806805"/>
    <w:rPr>
      <w:sz w:val="16"/>
      <w:szCs w:val="2"/>
    </w:rPr>
  </w:style>
  <w:style w:type="character" w:styleId="CommentReference">
    <w:name w:val="annotation reference"/>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sid w:val="00806805"/>
    <w:rPr>
      <w:b/>
      <w:bCs/>
    </w:rPr>
  </w:style>
  <w:style w:type="paragraph" w:styleId="Subtitle">
    <w:name w:val="Subtitle"/>
    <w:basedOn w:val="Normal"/>
    <w:link w:val="SubtitleChar"/>
    <w:uiPriority w:val="99"/>
    <w:semiHidden/>
    <w:pPr>
      <w:jc w:val="center"/>
    </w:pPr>
    <w:rPr>
      <w:rFonts w:ascii="Verdana" w:hAnsi="Verdana"/>
      <w:b/>
      <w:bCs/>
      <w:sz w:val="32"/>
      <w:szCs w:val="32"/>
    </w:rPr>
  </w:style>
  <w:style w:type="character" w:customStyle="1" w:styleId="SubtitleChar">
    <w:name w:val="Subtitle Char"/>
    <w:link w:val="Subtitle"/>
    <w:uiPriority w:val="99"/>
    <w:semiHidden/>
    <w:locked/>
    <w:rsid w:val="00806805"/>
    <w:rPr>
      <w:rFonts w:ascii="Verdana" w:hAnsi="Verdana"/>
      <w:b/>
      <w:bCs/>
      <w:sz w:val="32"/>
      <w:szCs w:val="32"/>
    </w:rPr>
  </w:style>
  <w:style w:type="paragraph" w:styleId="TOC2">
    <w:name w:val="toc 2"/>
    <w:basedOn w:val="Normal"/>
    <w:next w:val="Normal"/>
    <w:autoRedefine/>
    <w:uiPriority w:val="39"/>
    <w:qFormat/>
    <w:pPr>
      <w:tabs>
        <w:tab w:val="left" w:pos="720"/>
        <w:tab w:val="decimal" w:leader="dot" w:pos="8640"/>
      </w:tabs>
      <w:spacing w:after="240"/>
      <w:ind w:left="1440" w:hanging="720"/>
    </w:pPr>
  </w:style>
  <w:style w:type="paragraph" w:styleId="TOC3">
    <w:name w:val="toc 3"/>
    <w:basedOn w:val="Normal"/>
    <w:next w:val="Normal"/>
    <w:autoRedefine/>
    <w:uiPriority w:val="39"/>
    <w:pPr>
      <w:ind w:left="480"/>
    </w:pPr>
  </w:style>
  <w:style w:type="paragraph" w:customStyle="1" w:styleId="ColorfulShading-Accent11">
    <w:name w:val="Colorful Shading - Accent 11"/>
    <w:hidden/>
    <w:uiPriority w:val="99"/>
    <w:semiHidden/>
    <w:rPr>
      <w:sz w:val="24"/>
      <w:szCs w:val="24"/>
    </w:rPr>
  </w:style>
  <w:style w:type="paragraph" w:styleId="TOAHeading">
    <w:name w:val="toa heading"/>
    <w:basedOn w:val="Normal"/>
    <w:next w:val="Normal"/>
    <w:autoRedefine/>
    <w:uiPriority w:val="99"/>
    <w:semiHidden/>
    <w:pPr>
      <w:spacing w:after="240"/>
    </w:pPr>
    <w:rPr>
      <w:b/>
      <w:bCs/>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link w:val="FootnoteText"/>
    <w:uiPriority w:val="99"/>
    <w:locked/>
    <w:rsid w:val="00806805"/>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locked/>
    <w:rsid w:val="00806805"/>
    <w:rPr>
      <w:sz w:val="24"/>
      <w:szCs w:val="24"/>
    </w:rPr>
  </w:style>
  <w:style w:type="character" w:customStyle="1" w:styleId="TagStyle">
    <w:name w:val="TagStyle"/>
    <w:uiPriority w:val="99"/>
    <w:semiHidden/>
    <w:rPr>
      <w:rFonts w:ascii="Times New Roman" w:hAnsi="Times New Roman" w:cs="Times New Roman"/>
      <w:color w:val="FF00FF"/>
      <w:sz w:val="24"/>
      <w:szCs w:val="24"/>
    </w:rPr>
  </w:style>
  <w:style w:type="paragraph" w:customStyle="1" w:styleId="BodyTextSingle">
    <w:name w:val="Body Text Single"/>
    <w:aliases w:val="bs"/>
    <w:basedOn w:val="Normal"/>
    <w:uiPriority w:val="99"/>
    <w:semiHidden/>
    <w:pPr>
      <w:spacing w:after="240"/>
      <w:jc w:val="both"/>
    </w:pPr>
  </w:style>
  <w:style w:type="paragraph" w:styleId="TOCHeading">
    <w:name w:val="TOC Heading"/>
    <w:basedOn w:val="Heading1"/>
    <w:next w:val="Normal"/>
    <w:uiPriority w:val="99"/>
    <w:semiHidden/>
    <w:qFormat/>
    <w:pPr>
      <w:keepLines/>
      <w:spacing w:before="480" w:line="276" w:lineRule="auto"/>
      <w:outlineLvl w:val="9"/>
    </w:pPr>
    <w:rPr>
      <w:rFonts w:ascii="Cambria" w:hAnsi="Cambria" w:cs="Cambria"/>
      <w:caps/>
      <w:color w:val="365F91"/>
      <w:sz w:val="28"/>
      <w:szCs w:val="28"/>
    </w:rPr>
  </w:style>
  <w:style w:type="paragraph" w:customStyle="1" w:styleId="ColorfulList-Accent11">
    <w:name w:val="Colorful List - Accent 11"/>
    <w:basedOn w:val="Normal"/>
    <w:uiPriority w:val="99"/>
    <w:semiHidden/>
    <w:pPr>
      <w:ind w:left="720"/>
    </w:pPr>
  </w:style>
  <w:style w:type="paragraph" w:styleId="NoSpacing">
    <w:name w:val="No Spacing"/>
    <w:uiPriority w:val="1"/>
    <w:semiHidden/>
    <w:rPr>
      <w:sz w:val="24"/>
      <w:szCs w:val="24"/>
    </w:rPr>
  </w:style>
  <w:style w:type="paragraph" w:styleId="HTMLTopofForm">
    <w:name w:val="HTML Top of Form"/>
    <w:basedOn w:val="Normal"/>
    <w:next w:val="Normal"/>
    <w:link w:val="z-TopofFormChar"/>
    <w:hidden/>
    <w:uiPriority w:val="99"/>
    <w:semiHidden/>
    <w:pPr>
      <w:pBdr>
        <w:bottom w:val="single" w:sz="6" w:space="1" w:color="auto"/>
      </w:pBdr>
      <w:jc w:val="center"/>
    </w:pPr>
    <w:rPr>
      <w:rFonts w:ascii="Arial" w:hAnsi="Arial"/>
      <w:vanish/>
      <w:sz w:val="16"/>
      <w:szCs w:val="16"/>
    </w:rPr>
  </w:style>
  <w:style w:type="character" w:customStyle="1" w:styleId="z-TopofFormChar">
    <w:name w:val="z-Top of Form Char"/>
    <w:link w:val="HTMLTopofForm"/>
    <w:uiPriority w:val="99"/>
    <w:semiHidden/>
    <w:locked/>
    <w:rPr>
      <w:rFonts w:ascii="Arial" w:hAnsi="Arial" w:cs="Arial"/>
      <w:vanish/>
      <w:sz w:val="16"/>
      <w:szCs w:val="16"/>
    </w:rPr>
  </w:style>
  <w:style w:type="paragraph" w:styleId="HTMLBottomofForm">
    <w:name w:val="HTML Bottom of Form"/>
    <w:basedOn w:val="Normal"/>
    <w:next w:val="Normal"/>
    <w:link w:val="z-BottomofFormChar"/>
    <w:hidden/>
    <w:uiPriority w:val="99"/>
    <w:semiHidden/>
    <w:pPr>
      <w:pBdr>
        <w:top w:val="single" w:sz="6" w:space="1" w:color="auto"/>
      </w:pBdr>
      <w:jc w:val="center"/>
    </w:pPr>
    <w:rPr>
      <w:rFonts w:ascii="Arial" w:hAnsi="Arial"/>
      <w:vanish/>
      <w:sz w:val="16"/>
      <w:szCs w:val="16"/>
    </w:rPr>
  </w:style>
  <w:style w:type="character" w:customStyle="1" w:styleId="z-BottomofFormChar">
    <w:name w:val="z-Bottom of Form Char"/>
    <w:link w:val="HTMLBottomofForm"/>
    <w:uiPriority w:val="99"/>
    <w:semiHidden/>
    <w:locked/>
    <w:rPr>
      <w:rFonts w:ascii="Arial" w:hAnsi="Arial" w:cs="Arial"/>
      <w:vanish/>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widowControl w:val="0"/>
      <w:ind w:left="480" w:leftChars="20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semiHidden/>
    <w:rPr>
      <w:lang w:val="en-US" w:eastAsia="en-US" w:bidi="ar-SA"/>
    </w:rPr>
  </w:style>
  <w:style w:type="character" w:customStyle="1" w:styleId="FootnoteTextChar4CharChar1">
    <w:name w:val="Footnote Text Char4 Char Char1"/>
    <w:aliases w:val="Footnote Text Char Char4 Char Char1,Footnote Text Char Char4 Char1 Char Char Char1,Footnote Text Char4 Char1 Char Char Char1,Footnote Text Char5 Char1 Char Char Char Char Char Char1"/>
    <w:uiPriority w:val="99"/>
    <w:semiHidden/>
    <w:locked/>
  </w:style>
  <w:style w:type="paragraph" w:customStyle="1" w:styleId="ANSWER">
    <w:name w:val="ANSWER"/>
    <w:basedOn w:val="Normal"/>
    <w:pPr>
      <w:spacing w:line="480" w:lineRule="auto"/>
      <w:ind w:left="1008" w:hanging="720"/>
    </w:pPr>
    <w:rPr>
      <w:rFonts w:eastAsia="Times New Roman"/>
      <w:szCs w:val="20"/>
    </w:rPr>
  </w:style>
  <w:style w:type="character" w:customStyle="1" w:styleId="UnresolvedMention1">
    <w:name w:val="Unresolved Mention1"/>
    <w:basedOn w:val="DefaultParagraphFont"/>
    <w:uiPriority w:val="99"/>
    <w:semiHidden/>
    <w:unhideWhenUsed/>
    <w:rsid w:val="008A43F3"/>
    <w:rPr>
      <w:color w:val="605E5C"/>
      <w:shd w:val="clear" w:color="auto" w:fill="E1DFDD"/>
    </w:rPr>
  </w:style>
  <w:style w:type="paragraph" w:customStyle="1" w:styleId="xmsolistparagraph">
    <w:name w:val="x_msolistparagraph"/>
    <w:basedOn w:val="Normal"/>
    <w:rsid w:val="00AC6EDB"/>
    <w:pPr>
      <w:ind w:left="720"/>
    </w:pPr>
    <w:rPr>
      <w:rFonts w:ascii="Calibri" w:hAnsi="Calibri" w:eastAsiaTheme="minorHAnsi" w:cs="Calibri"/>
      <w:sz w:val="22"/>
      <w:szCs w:val="22"/>
    </w:rPr>
  </w:style>
  <w:style w:type="character" w:customStyle="1" w:styleId="StyleCourier12pt">
    <w:name w:val="Style Courier 12 pt"/>
    <w:rsid w:val="00FC07D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5.xml" /><Relationship Id="rId17" Type="http://schemas.openxmlformats.org/officeDocument/2006/relationships/header" Target="header8.xml" /><Relationship Id="rId18" Type="http://schemas.openxmlformats.org/officeDocument/2006/relationships/footer" Target="footer6.xml" /><Relationship Id="rId19" Type="http://schemas.openxmlformats.org/officeDocument/2006/relationships/header" Target="header9.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10.xml" /><Relationship Id="rId22" Type="http://schemas.openxmlformats.org/officeDocument/2006/relationships/footer" Target="footer8.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Suburban 18-1205 - Duann Testimony - FINAL  (00124569.DOCX;1)</vt:lpstr>
    </vt:vector>
  </TitlesOfParts>
  <Company/>
  <LinksUpToDate>false</LinksUpToDate>
  <CharactersWithSpaces>31644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2019-03-08T17:12:32Z</dcterms:created>
  <dcterms:modified xsi:type="dcterms:W3CDTF">2019-03-08T17:12:32Z</dcterms:modified>
</cp:coreProperties>
</file>