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BB" w:rsidRDefault="00A77DBB" w:rsidP="00A77DBB">
      <w:pPr>
        <w:spacing w:after="0" w:line="240" w:lineRule="auto"/>
        <w:jc w:val="center"/>
        <w:rPr>
          <w:rFonts w:ascii="Times New Roman" w:hAnsi="Times New Roman"/>
          <w:b/>
          <w:bCs/>
          <w:sz w:val="24"/>
          <w:szCs w:val="24"/>
        </w:rPr>
      </w:pPr>
      <w:r>
        <w:rPr>
          <w:rFonts w:ascii="Times New Roman" w:hAnsi="Times New Roman"/>
          <w:b/>
          <w:bCs/>
          <w:sz w:val="24"/>
          <w:szCs w:val="24"/>
        </w:rPr>
        <w:t>BEFORE</w:t>
      </w:r>
      <w:r w:rsidRPr="00CC02C7">
        <w:rPr>
          <w:rFonts w:ascii="Times New Roman" w:hAnsi="Times New Roman"/>
          <w:b/>
          <w:bCs/>
          <w:sz w:val="24"/>
          <w:szCs w:val="24"/>
        </w:rPr>
        <w:t xml:space="preserve"> </w:t>
      </w:r>
    </w:p>
    <w:p w:rsidR="00A77DBB" w:rsidRPr="00CC02C7" w:rsidRDefault="00A77DBB" w:rsidP="00A77DBB">
      <w:pPr>
        <w:spacing w:after="0" w:line="240" w:lineRule="auto"/>
        <w:jc w:val="center"/>
        <w:rPr>
          <w:rFonts w:ascii="Times New Roman" w:hAnsi="Times New Roman"/>
          <w:b/>
          <w:bCs/>
          <w:sz w:val="24"/>
          <w:szCs w:val="24"/>
        </w:rPr>
      </w:pPr>
      <w:r w:rsidRPr="00CC02C7">
        <w:rPr>
          <w:rFonts w:ascii="Times New Roman" w:hAnsi="Times New Roman"/>
          <w:b/>
          <w:bCs/>
          <w:sz w:val="24"/>
          <w:szCs w:val="24"/>
        </w:rPr>
        <w:t xml:space="preserve">THE </w:t>
      </w:r>
      <w:r>
        <w:rPr>
          <w:rFonts w:ascii="Times New Roman" w:hAnsi="Times New Roman"/>
          <w:b/>
          <w:bCs/>
          <w:sz w:val="24"/>
          <w:szCs w:val="24"/>
        </w:rPr>
        <w:t>PUBLIC UTILITIES</w:t>
      </w:r>
      <w:r w:rsidRPr="00CC02C7">
        <w:rPr>
          <w:rFonts w:ascii="Times New Roman" w:hAnsi="Times New Roman"/>
          <w:b/>
          <w:bCs/>
          <w:sz w:val="24"/>
          <w:szCs w:val="24"/>
        </w:rPr>
        <w:t xml:space="preserve"> COMMISSION</w:t>
      </w:r>
      <w:r>
        <w:rPr>
          <w:rFonts w:ascii="Times New Roman" w:hAnsi="Times New Roman"/>
          <w:b/>
          <w:bCs/>
          <w:sz w:val="24"/>
          <w:szCs w:val="24"/>
        </w:rPr>
        <w:t xml:space="preserve"> OF OHIO</w:t>
      </w:r>
    </w:p>
    <w:p w:rsidR="00A77DBB" w:rsidRDefault="00A77DBB" w:rsidP="00A77DBB">
      <w:pPr>
        <w:spacing w:after="0" w:line="240" w:lineRule="auto"/>
        <w:rPr>
          <w:rFonts w:ascii="Times New Roman" w:hAnsi="Times New Roman"/>
          <w:b/>
          <w:bCs/>
          <w:sz w:val="24"/>
          <w:szCs w:val="24"/>
        </w:rPr>
      </w:pPr>
    </w:p>
    <w:p w:rsidR="00A77DBB" w:rsidRDefault="00A77DBB" w:rsidP="00A77DBB">
      <w:pPr>
        <w:spacing w:after="0" w:line="240" w:lineRule="auto"/>
        <w:rPr>
          <w:rFonts w:ascii="Times New Roman" w:hAnsi="Times New Roman"/>
          <w:b/>
          <w:bCs/>
          <w:sz w:val="24"/>
          <w:szCs w:val="24"/>
        </w:rPr>
      </w:pPr>
    </w:p>
    <w:p w:rsidR="00A77DBB" w:rsidRDefault="00A77DBB" w:rsidP="00A77DBB">
      <w:pPr>
        <w:spacing w:after="0" w:line="240" w:lineRule="auto"/>
        <w:rPr>
          <w:rFonts w:ascii="Times New Roman" w:hAnsi="Times New Roman"/>
          <w:b/>
          <w:bCs/>
          <w:sz w:val="24"/>
          <w:szCs w:val="24"/>
        </w:rPr>
      </w:pPr>
    </w:p>
    <w:p w:rsidR="00A77DBB" w:rsidRPr="00CC02C7" w:rsidRDefault="00A77DBB" w:rsidP="00A77DBB">
      <w:pPr>
        <w:spacing w:after="0" w:line="240" w:lineRule="auto"/>
        <w:rPr>
          <w:rFonts w:ascii="Times New Roman" w:hAnsi="Times New Roman"/>
          <w:b/>
          <w:bCs/>
          <w:sz w:val="24"/>
          <w:szCs w:val="24"/>
        </w:rPr>
      </w:pPr>
    </w:p>
    <w:p w:rsidR="00A77DBB" w:rsidRPr="00CC02C7" w:rsidRDefault="00A77DBB" w:rsidP="00A77DBB">
      <w:pPr>
        <w:spacing w:after="0" w:line="240" w:lineRule="auto"/>
        <w:rPr>
          <w:rFonts w:ascii="Times New Roman" w:hAnsi="Times New Roman"/>
          <w:b/>
          <w:bCs/>
          <w:sz w:val="24"/>
          <w:szCs w:val="24"/>
        </w:rPr>
      </w:pPr>
      <w:r>
        <w:rPr>
          <w:rFonts w:ascii="Times New Roman" w:hAnsi="Times New Roman"/>
          <w:b/>
          <w:bCs/>
          <w:sz w:val="24"/>
          <w:szCs w:val="24"/>
        </w:rPr>
        <w:t xml:space="preserve">In the Matter of the Joint Motion to Modify the </w:t>
      </w:r>
      <w:r>
        <w:rPr>
          <w:rFonts w:ascii="Times New Roman" w:hAnsi="Times New Roman"/>
          <w:b/>
          <w:bCs/>
          <w:sz w:val="24"/>
          <w:szCs w:val="24"/>
        </w:rPr>
        <w:tab/>
      </w:r>
      <w:r>
        <w:rPr>
          <w:rFonts w:ascii="Times New Roman" w:hAnsi="Times New Roman"/>
          <w:b/>
          <w:bCs/>
          <w:sz w:val="24"/>
          <w:szCs w:val="24"/>
        </w:rPr>
        <w:tab/>
        <w:t>)</w:t>
      </w:r>
    </w:p>
    <w:p w:rsidR="00A77DBB" w:rsidRPr="00CC02C7" w:rsidRDefault="00A77DBB" w:rsidP="00A77DBB">
      <w:pPr>
        <w:spacing w:after="0" w:line="240" w:lineRule="auto"/>
        <w:rPr>
          <w:rFonts w:ascii="Times New Roman" w:hAnsi="Times New Roman"/>
          <w:b/>
          <w:bCs/>
          <w:sz w:val="24"/>
          <w:szCs w:val="24"/>
        </w:rPr>
      </w:pPr>
      <w:r>
        <w:rPr>
          <w:rFonts w:ascii="Times New Roman" w:hAnsi="Times New Roman"/>
          <w:b/>
          <w:bCs/>
          <w:sz w:val="24"/>
          <w:szCs w:val="24"/>
        </w:rPr>
        <w:t xml:space="preserve">December 2, 2009 Opinion and Order and the </w:t>
      </w:r>
      <w:r>
        <w:rPr>
          <w:rFonts w:ascii="Times New Roman" w:hAnsi="Times New Roman"/>
          <w:b/>
          <w:bCs/>
          <w:sz w:val="24"/>
          <w:szCs w:val="24"/>
        </w:rPr>
        <w:tab/>
      </w:r>
      <w:r>
        <w:rPr>
          <w:rFonts w:ascii="Times New Roman" w:hAnsi="Times New Roman"/>
          <w:b/>
          <w:bCs/>
          <w:sz w:val="24"/>
          <w:szCs w:val="24"/>
        </w:rPr>
        <w:tab/>
        <w:t>)     Case No. 12-2637-GA-EXM</w:t>
      </w:r>
    </w:p>
    <w:p w:rsidR="00A77DBB" w:rsidRPr="00CC02C7" w:rsidRDefault="00A77DBB" w:rsidP="00A77DBB">
      <w:pPr>
        <w:spacing w:after="0" w:line="240" w:lineRule="auto"/>
        <w:rPr>
          <w:rFonts w:ascii="Times New Roman" w:hAnsi="Times New Roman"/>
          <w:b/>
          <w:bCs/>
          <w:sz w:val="24"/>
          <w:szCs w:val="24"/>
        </w:rPr>
      </w:pPr>
      <w:r>
        <w:rPr>
          <w:rFonts w:ascii="Times New Roman" w:hAnsi="Times New Roman"/>
          <w:b/>
          <w:bCs/>
          <w:sz w:val="24"/>
          <w:szCs w:val="24"/>
        </w:rPr>
        <w:t>September 7, 2011 Second Opinion and Order in</w:t>
      </w:r>
      <w:r>
        <w:rPr>
          <w:rFonts w:ascii="Times New Roman" w:hAnsi="Times New Roman"/>
          <w:b/>
          <w:bCs/>
          <w:sz w:val="24"/>
          <w:szCs w:val="24"/>
        </w:rPr>
        <w:tab/>
      </w:r>
      <w:r>
        <w:rPr>
          <w:rFonts w:ascii="Times New Roman" w:hAnsi="Times New Roman"/>
          <w:b/>
          <w:bCs/>
          <w:sz w:val="24"/>
          <w:szCs w:val="24"/>
        </w:rPr>
        <w:tab/>
        <w:t>)</w:t>
      </w:r>
    </w:p>
    <w:p w:rsidR="00A77DBB" w:rsidRPr="00FE4225" w:rsidRDefault="00A77DBB" w:rsidP="00A77DBB">
      <w:pPr>
        <w:spacing w:after="0" w:line="240" w:lineRule="auto"/>
        <w:rPr>
          <w:rFonts w:ascii="Times New Roman" w:hAnsi="Times New Roman"/>
          <w:b/>
          <w:sz w:val="24"/>
          <w:szCs w:val="24"/>
        </w:rPr>
      </w:pPr>
      <w:r w:rsidRPr="00FE4225">
        <w:rPr>
          <w:rFonts w:ascii="Times New Roman" w:hAnsi="Times New Roman"/>
          <w:b/>
          <w:sz w:val="24"/>
          <w:szCs w:val="24"/>
        </w:rPr>
        <w:t xml:space="preserve">Case </w:t>
      </w:r>
      <w:r>
        <w:rPr>
          <w:rFonts w:ascii="Times New Roman" w:hAnsi="Times New Roman"/>
          <w:b/>
          <w:sz w:val="24"/>
          <w:szCs w:val="24"/>
        </w:rPr>
        <w:t>No.</w:t>
      </w:r>
      <w:r w:rsidRPr="00FE4225">
        <w:rPr>
          <w:rFonts w:ascii="Times New Roman" w:hAnsi="Times New Roman"/>
          <w:b/>
          <w:sz w:val="24"/>
          <w:szCs w:val="24"/>
        </w:rPr>
        <w:t xml:space="preserve"> 08-1344-GA-EXM</w:t>
      </w:r>
      <w:r w:rsidRPr="00FE4225">
        <w:rPr>
          <w:rFonts w:ascii="Times New Roman" w:hAnsi="Times New Roman"/>
          <w:b/>
          <w:sz w:val="24"/>
          <w:szCs w:val="24"/>
        </w:rPr>
        <w:tab/>
      </w:r>
      <w:r w:rsidRPr="00FE4225">
        <w:rPr>
          <w:rFonts w:ascii="Times New Roman" w:hAnsi="Times New Roman"/>
          <w:b/>
          <w:sz w:val="24"/>
          <w:szCs w:val="24"/>
        </w:rPr>
        <w:tab/>
      </w:r>
      <w:r w:rsidRPr="00FE4225">
        <w:rPr>
          <w:rFonts w:ascii="Times New Roman" w:hAnsi="Times New Roman"/>
          <w:b/>
          <w:sz w:val="24"/>
          <w:szCs w:val="24"/>
        </w:rPr>
        <w:tab/>
      </w:r>
      <w:r w:rsidRPr="00FE4225">
        <w:rPr>
          <w:rFonts w:ascii="Times New Roman" w:hAnsi="Times New Roman"/>
          <w:b/>
          <w:sz w:val="24"/>
          <w:szCs w:val="24"/>
        </w:rPr>
        <w:tab/>
      </w:r>
      <w:r w:rsidRPr="00FE4225">
        <w:rPr>
          <w:rFonts w:ascii="Times New Roman" w:hAnsi="Times New Roman"/>
          <w:b/>
          <w:sz w:val="24"/>
          <w:szCs w:val="24"/>
        </w:rPr>
        <w:tab/>
        <w:t>)</w:t>
      </w: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Default="00A77DBB" w:rsidP="00A77DBB">
      <w:pPr>
        <w:spacing w:after="0" w:line="240" w:lineRule="auto"/>
        <w:rPr>
          <w:rFonts w:ascii="Times New Roman" w:hAnsi="Times New Roman"/>
          <w:sz w:val="24"/>
          <w:szCs w:val="24"/>
        </w:rPr>
      </w:pPr>
    </w:p>
    <w:p w:rsidR="00A77DBB" w:rsidRPr="006C66A0" w:rsidRDefault="00A77DBB" w:rsidP="00A77DBB">
      <w:pPr>
        <w:spacing w:after="0" w:line="240" w:lineRule="auto"/>
        <w:rPr>
          <w:rFonts w:ascii="Times New Roman" w:hAnsi="Times New Roman"/>
          <w:sz w:val="24"/>
          <w:szCs w:val="24"/>
        </w:rPr>
      </w:pPr>
    </w:p>
    <w:p w:rsidR="00A77DBB" w:rsidRPr="006C66A0" w:rsidRDefault="00A77DBB" w:rsidP="00A77DBB">
      <w:pPr>
        <w:spacing w:after="0" w:line="240" w:lineRule="auto"/>
        <w:rPr>
          <w:rFonts w:ascii="Times New Roman" w:hAnsi="Times New Roman"/>
          <w:sz w:val="24"/>
          <w:szCs w:val="24"/>
        </w:rPr>
      </w:pP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r w:rsidRPr="006C66A0">
        <w:rPr>
          <w:rFonts w:ascii="Times New Roman" w:hAnsi="Times New Roman"/>
          <w:sz w:val="24"/>
          <w:szCs w:val="24"/>
        </w:rPr>
        <w:tab/>
      </w:r>
    </w:p>
    <w:p w:rsidR="00A77DBB" w:rsidRPr="006C66A0" w:rsidRDefault="00A77DBB" w:rsidP="00A77DBB">
      <w:pPr>
        <w:spacing w:after="0"/>
        <w:jc w:val="center"/>
        <w:rPr>
          <w:rFonts w:ascii="Times New Roman" w:hAnsi="Times New Roman"/>
          <w:b/>
          <w:sz w:val="24"/>
          <w:szCs w:val="24"/>
        </w:rPr>
      </w:pPr>
      <w:r w:rsidRPr="006C66A0">
        <w:rPr>
          <w:rFonts w:ascii="Times New Roman" w:hAnsi="Times New Roman"/>
          <w:b/>
          <w:sz w:val="24"/>
          <w:szCs w:val="24"/>
        </w:rPr>
        <w:t>________________________________________</w:t>
      </w:r>
    </w:p>
    <w:p w:rsidR="00A77DBB" w:rsidRPr="006C66A0" w:rsidRDefault="00A77DBB" w:rsidP="00A77DBB">
      <w:pPr>
        <w:spacing w:after="0"/>
        <w:jc w:val="center"/>
        <w:rPr>
          <w:rFonts w:ascii="Times New Roman" w:hAnsi="Times New Roman"/>
          <w:b/>
          <w:sz w:val="24"/>
          <w:szCs w:val="24"/>
        </w:rPr>
      </w:pPr>
    </w:p>
    <w:p w:rsidR="00A77DBB" w:rsidRPr="006C66A0" w:rsidRDefault="00B16882" w:rsidP="00A77DBB">
      <w:pPr>
        <w:spacing w:after="0"/>
        <w:jc w:val="center"/>
        <w:rPr>
          <w:rFonts w:ascii="Times New Roman" w:hAnsi="Times New Roman"/>
          <w:b/>
          <w:sz w:val="24"/>
          <w:szCs w:val="24"/>
        </w:rPr>
      </w:pPr>
      <w:r>
        <w:rPr>
          <w:rFonts w:ascii="Times New Roman" w:hAnsi="Times New Roman"/>
          <w:b/>
          <w:sz w:val="24"/>
          <w:szCs w:val="24"/>
        </w:rPr>
        <w:t xml:space="preserve">POST HEARING </w:t>
      </w:r>
      <w:r w:rsidR="00A77DBB">
        <w:rPr>
          <w:rFonts w:ascii="Times New Roman" w:hAnsi="Times New Roman"/>
          <w:b/>
          <w:sz w:val="24"/>
          <w:szCs w:val="24"/>
        </w:rPr>
        <w:t xml:space="preserve">BRIEF </w:t>
      </w:r>
      <w:r w:rsidR="00A77DBB" w:rsidRPr="006C66A0">
        <w:rPr>
          <w:rFonts w:ascii="Times New Roman" w:hAnsi="Times New Roman"/>
          <w:b/>
          <w:sz w:val="24"/>
          <w:szCs w:val="24"/>
        </w:rPr>
        <w:t xml:space="preserve">OF </w:t>
      </w:r>
      <w:r w:rsidR="00A77DBB">
        <w:rPr>
          <w:rFonts w:ascii="Times New Roman" w:hAnsi="Times New Roman"/>
          <w:b/>
          <w:sz w:val="24"/>
          <w:szCs w:val="24"/>
        </w:rPr>
        <w:t>HESS CORPORATION</w:t>
      </w:r>
    </w:p>
    <w:p w:rsidR="00A77DBB" w:rsidRPr="006C66A0" w:rsidRDefault="00A77DBB" w:rsidP="00A77DBB">
      <w:pPr>
        <w:jc w:val="center"/>
        <w:rPr>
          <w:rFonts w:ascii="Times New Roman" w:hAnsi="Times New Roman"/>
          <w:b/>
          <w:sz w:val="24"/>
          <w:szCs w:val="24"/>
        </w:rPr>
      </w:pPr>
      <w:r w:rsidRPr="006C66A0">
        <w:rPr>
          <w:rFonts w:ascii="Times New Roman" w:hAnsi="Times New Roman"/>
          <w:b/>
          <w:sz w:val="24"/>
          <w:szCs w:val="24"/>
        </w:rPr>
        <w:t>__________________________________________</w:t>
      </w:r>
    </w:p>
    <w:p w:rsidR="00A77DBB" w:rsidRPr="006C66A0" w:rsidRDefault="00A77DBB" w:rsidP="00A77DBB">
      <w:pPr>
        <w:jc w:val="center"/>
        <w:rPr>
          <w:rFonts w:ascii="Times New Roman" w:hAnsi="Times New Roman"/>
          <w:b/>
          <w:sz w:val="24"/>
          <w:szCs w:val="24"/>
          <w:u w:val="single"/>
        </w:rPr>
      </w:pPr>
    </w:p>
    <w:p w:rsidR="00A77DBB" w:rsidRPr="006C66A0" w:rsidRDefault="00A77DBB" w:rsidP="00A77DBB">
      <w:pPr>
        <w:jc w:val="center"/>
        <w:rPr>
          <w:rFonts w:ascii="Times New Roman" w:hAnsi="Times New Roman"/>
          <w:b/>
          <w:sz w:val="24"/>
          <w:szCs w:val="24"/>
          <w:u w:val="single"/>
        </w:rPr>
      </w:pPr>
    </w:p>
    <w:p w:rsidR="00A77DBB" w:rsidRPr="006C66A0" w:rsidRDefault="00A77DBB" w:rsidP="00A77DBB">
      <w:pPr>
        <w:jc w:val="center"/>
        <w:rPr>
          <w:rFonts w:ascii="Times New Roman" w:hAnsi="Times New Roman"/>
          <w:b/>
          <w:sz w:val="24"/>
          <w:szCs w:val="24"/>
          <w:u w:val="single"/>
        </w:rPr>
      </w:pPr>
    </w:p>
    <w:p w:rsidR="00A77DBB" w:rsidRPr="006C66A0" w:rsidRDefault="00A77DBB" w:rsidP="00A77DBB">
      <w:pPr>
        <w:jc w:val="center"/>
        <w:rPr>
          <w:rFonts w:ascii="Times New Roman" w:hAnsi="Times New Roman"/>
          <w:b/>
          <w:sz w:val="24"/>
          <w:szCs w:val="24"/>
          <w:u w:val="single"/>
        </w:rPr>
      </w:pPr>
    </w:p>
    <w:p w:rsidR="00A77DBB" w:rsidRPr="006C66A0" w:rsidRDefault="00A77DBB" w:rsidP="00A77DBB">
      <w:pPr>
        <w:jc w:val="center"/>
        <w:rPr>
          <w:rFonts w:ascii="Times New Roman" w:hAnsi="Times New Roman"/>
          <w:b/>
          <w:sz w:val="24"/>
          <w:szCs w:val="24"/>
          <w:u w:val="single"/>
        </w:rPr>
      </w:pPr>
    </w:p>
    <w:p w:rsidR="00A77DBB" w:rsidRPr="006C66A0" w:rsidRDefault="00A77DBB" w:rsidP="00A77DBB">
      <w:pPr>
        <w:rPr>
          <w:rFonts w:ascii="Times New Roman" w:hAnsi="Times New Roman"/>
          <w:b/>
          <w:sz w:val="24"/>
          <w:szCs w:val="24"/>
        </w:rPr>
      </w:pPr>
    </w:p>
    <w:p w:rsidR="00A77DBB" w:rsidRPr="006C66A0" w:rsidRDefault="00A77DBB" w:rsidP="00A77DBB">
      <w:pPr>
        <w:rPr>
          <w:rFonts w:ascii="Times New Roman" w:hAnsi="Times New Roman"/>
          <w:b/>
          <w:sz w:val="24"/>
          <w:szCs w:val="24"/>
        </w:rPr>
      </w:pPr>
    </w:p>
    <w:p w:rsidR="00A77DBB" w:rsidRPr="006C66A0" w:rsidRDefault="00A77DBB" w:rsidP="00A77DBB">
      <w:pPr>
        <w:rPr>
          <w:rFonts w:ascii="Times New Roman" w:hAnsi="Times New Roman"/>
          <w:b/>
          <w:sz w:val="24"/>
          <w:szCs w:val="24"/>
        </w:rPr>
      </w:pPr>
    </w:p>
    <w:p w:rsidR="00A77DBB" w:rsidRPr="006C66A0" w:rsidRDefault="00A77DBB" w:rsidP="00A77DBB">
      <w:pPr>
        <w:rPr>
          <w:rFonts w:ascii="Times New Roman" w:hAnsi="Times New Roman"/>
          <w:b/>
          <w:sz w:val="24"/>
          <w:szCs w:val="24"/>
        </w:rPr>
      </w:pPr>
    </w:p>
    <w:p w:rsidR="00A77DBB" w:rsidRPr="006C66A0" w:rsidRDefault="00A77DBB" w:rsidP="00A77DBB">
      <w:pPr>
        <w:rPr>
          <w:rFonts w:ascii="Times New Roman" w:hAnsi="Times New Roman"/>
          <w:b/>
          <w:sz w:val="24"/>
          <w:szCs w:val="24"/>
        </w:rPr>
      </w:pPr>
      <w:r>
        <w:rPr>
          <w:rFonts w:ascii="Times New Roman" w:hAnsi="Times New Roman"/>
          <w:b/>
          <w:sz w:val="24"/>
          <w:szCs w:val="24"/>
        </w:rPr>
        <w:t>December 11</w:t>
      </w:r>
      <w:r w:rsidRPr="006C66A0">
        <w:rPr>
          <w:rFonts w:ascii="Times New Roman" w:hAnsi="Times New Roman"/>
          <w:b/>
          <w:sz w:val="24"/>
          <w:szCs w:val="24"/>
        </w:rPr>
        <w:t>, 2012</w:t>
      </w:r>
    </w:p>
    <w:p w:rsidR="00840AF3" w:rsidRDefault="00840AF3">
      <w:pPr>
        <w:rPr>
          <w:rFonts w:ascii="Times New Roman" w:hAnsi="Times New Roman" w:cs="Times New Roman"/>
          <w:b/>
          <w:sz w:val="24"/>
          <w:szCs w:val="24"/>
        </w:rPr>
        <w:sectPr w:rsidR="00840AF3" w:rsidSect="00AF195B">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rsidR="00CC1F46" w:rsidRPr="00CC1F46" w:rsidRDefault="003A4174" w:rsidP="00CC1F46">
      <w:pPr>
        <w:jc w:val="center"/>
        <w:rPr>
          <w:rFonts w:ascii="Times New Roman" w:hAnsi="Times New Roman" w:cs="Times New Roman"/>
          <w:b/>
          <w:sz w:val="24"/>
          <w:szCs w:val="24"/>
          <w:u w:val="single"/>
        </w:rPr>
      </w:pPr>
      <w:r w:rsidRPr="003A4174">
        <w:rPr>
          <w:rFonts w:ascii="Times New Roman" w:hAnsi="Times New Roman" w:cs="Times New Roman"/>
          <w:b/>
          <w:sz w:val="24"/>
          <w:szCs w:val="24"/>
          <w:u w:val="single"/>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gridCol w:w="900"/>
      </w:tblGrid>
      <w:tr w:rsidR="00CC1F46" w:rsidRPr="00CC1F46" w:rsidTr="00531BF2">
        <w:tc>
          <w:tcPr>
            <w:tcW w:w="8568" w:type="dxa"/>
          </w:tcPr>
          <w:p w:rsidR="00CC1F46" w:rsidRPr="00CC1F46" w:rsidRDefault="00CC1F46" w:rsidP="00AF195B">
            <w:pPr>
              <w:spacing w:after="120"/>
              <w:rPr>
                <w:sz w:val="24"/>
                <w:szCs w:val="24"/>
              </w:rPr>
            </w:pPr>
          </w:p>
        </w:tc>
        <w:tc>
          <w:tcPr>
            <w:tcW w:w="900" w:type="dxa"/>
            <w:shd w:val="clear" w:color="auto" w:fill="auto"/>
          </w:tcPr>
          <w:p w:rsidR="00CC1F46" w:rsidRPr="00CC1F46" w:rsidRDefault="00CC1F46" w:rsidP="00AF195B">
            <w:pPr>
              <w:spacing w:after="120"/>
              <w:rPr>
                <w:sz w:val="24"/>
                <w:szCs w:val="24"/>
              </w:rPr>
            </w:pPr>
          </w:p>
        </w:tc>
      </w:tr>
      <w:tr w:rsidR="00CC1F46" w:rsidRPr="00CC1F46" w:rsidTr="00531BF2">
        <w:tc>
          <w:tcPr>
            <w:tcW w:w="8568" w:type="dxa"/>
          </w:tcPr>
          <w:p w:rsidR="00CC1F46" w:rsidRPr="00CC1F46" w:rsidRDefault="003A4174" w:rsidP="00B16882">
            <w:pPr>
              <w:rPr>
                <w:sz w:val="24"/>
                <w:szCs w:val="24"/>
              </w:rPr>
            </w:pPr>
            <w:r w:rsidRPr="003A4174">
              <w:rPr>
                <w:sz w:val="24"/>
                <w:szCs w:val="24"/>
              </w:rPr>
              <w:t>I.</w:t>
            </w:r>
            <w:r w:rsidRPr="003A4174">
              <w:rPr>
                <w:sz w:val="24"/>
                <w:szCs w:val="24"/>
              </w:rPr>
              <w:tab/>
              <w:t>HISTORY OF THE PROCEEDINGS………………………………………….</w:t>
            </w:r>
          </w:p>
          <w:p w:rsidR="00CC1F46" w:rsidRPr="00CC1F46" w:rsidRDefault="00CC1F46" w:rsidP="00B16882">
            <w:pPr>
              <w:rPr>
                <w:sz w:val="24"/>
                <w:szCs w:val="24"/>
              </w:rPr>
            </w:pPr>
          </w:p>
        </w:tc>
        <w:tc>
          <w:tcPr>
            <w:tcW w:w="900" w:type="dxa"/>
            <w:shd w:val="clear" w:color="auto" w:fill="auto"/>
          </w:tcPr>
          <w:p w:rsidR="00CC1F46" w:rsidRPr="00CC1F46" w:rsidRDefault="003A4174" w:rsidP="00B16882">
            <w:pPr>
              <w:rPr>
                <w:sz w:val="24"/>
                <w:szCs w:val="24"/>
              </w:rPr>
            </w:pPr>
            <w:r w:rsidRPr="003A4174">
              <w:rPr>
                <w:sz w:val="24"/>
                <w:szCs w:val="24"/>
              </w:rPr>
              <w:t>1</w:t>
            </w:r>
          </w:p>
        </w:tc>
      </w:tr>
      <w:tr w:rsidR="00CC1F46" w:rsidRPr="00CC1F46" w:rsidTr="00531BF2">
        <w:tc>
          <w:tcPr>
            <w:tcW w:w="8568" w:type="dxa"/>
          </w:tcPr>
          <w:p w:rsidR="00CC1F46" w:rsidRPr="00CC1F46" w:rsidRDefault="003A4174" w:rsidP="00B16882">
            <w:pPr>
              <w:rPr>
                <w:sz w:val="24"/>
                <w:szCs w:val="24"/>
              </w:rPr>
            </w:pPr>
            <w:r w:rsidRPr="003A4174">
              <w:rPr>
                <w:sz w:val="24"/>
                <w:szCs w:val="24"/>
              </w:rPr>
              <w:t>II.</w:t>
            </w:r>
            <w:r w:rsidRPr="003A4174">
              <w:rPr>
                <w:sz w:val="24"/>
                <w:szCs w:val="24"/>
              </w:rPr>
              <w:tab/>
              <w:t>STATEMENT OF THE CASE ………………………………………………...</w:t>
            </w:r>
          </w:p>
          <w:p w:rsidR="00CC1F46" w:rsidRPr="00CC1F46" w:rsidRDefault="00CC1F46" w:rsidP="00B16882">
            <w:pPr>
              <w:rPr>
                <w:sz w:val="24"/>
                <w:szCs w:val="24"/>
              </w:rPr>
            </w:pPr>
          </w:p>
        </w:tc>
        <w:tc>
          <w:tcPr>
            <w:tcW w:w="900" w:type="dxa"/>
            <w:shd w:val="clear" w:color="auto" w:fill="auto"/>
          </w:tcPr>
          <w:p w:rsidR="00CC1F46" w:rsidRPr="00CC1F46" w:rsidRDefault="00D30CD1" w:rsidP="00B16882">
            <w:pPr>
              <w:rPr>
                <w:sz w:val="24"/>
                <w:szCs w:val="24"/>
              </w:rPr>
            </w:pPr>
            <w:r>
              <w:rPr>
                <w:sz w:val="24"/>
                <w:szCs w:val="24"/>
              </w:rPr>
              <w:t>2</w:t>
            </w:r>
          </w:p>
        </w:tc>
      </w:tr>
      <w:tr w:rsidR="00CC1F46" w:rsidRPr="00CC1F46" w:rsidTr="00531BF2">
        <w:tc>
          <w:tcPr>
            <w:tcW w:w="8568" w:type="dxa"/>
          </w:tcPr>
          <w:p w:rsidR="00CC1F46" w:rsidRPr="00CC1F46" w:rsidRDefault="003A4174" w:rsidP="00B16882">
            <w:pPr>
              <w:rPr>
                <w:sz w:val="24"/>
                <w:szCs w:val="24"/>
              </w:rPr>
            </w:pPr>
            <w:r w:rsidRPr="003A4174">
              <w:rPr>
                <w:sz w:val="24"/>
                <w:szCs w:val="24"/>
              </w:rPr>
              <w:t>III.</w:t>
            </w:r>
            <w:r w:rsidRPr="003A4174">
              <w:rPr>
                <w:sz w:val="24"/>
                <w:szCs w:val="24"/>
              </w:rPr>
              <w:tab/>
              <w:t>ARGUMENT……………………………………………………………………</w:t>
            </w:r>
          </w:p>
          <w:p w:rsidR="00CC1F46" w:rsidRPr="00CC1F46" w:rsidRDefault="00CC1F46" w:rsidP="00B16882">
            <w:pPr>
              <w:rPr>
                <w:sz w:val="24"/>
                <w:szCs w:val="24"/>
              </w:rPr>
            </w:pPr>
          </w:p>
        </w:tc>
        <w:tc>
          <w:tcPr>
            <w:tcW w:w="900" w:type="dxa"/>
            <w:shd w:val="clear" w:color="auto" w:fill="auto"/>
          </w:tcPr>
          <w:p w:rsidR="00CC1F46" w:rsidRPr="00CC1F46" w:rsidRDefault="00D30CD1" w:rsidP="00B16882">
            <w:pPr>
              <w:rPr>
                <w:sz w:val="24"/>
                <w:szCs w:val="24"/>
              </w:rPr>
            </w:pPr>
            <w:r>
              <w:rPr>
                <w:sz w:val="24"/>
                <w:szCs w:val="24"/>
              </w:rPr>
              <w:t>4</w:t>
            </w:r>
          </w:p>
        </w:tc>
      </w:tr>
      <w:tr w:rsidR="00CC1F46" w:rsidRPr="00CC1F46" w:rsidTr="00531BF2">
        <w:tc>
          <w:tcPr>
            <w:tcW w:w="8568" w:type="dxa"/>
          </w:tcPr>
          <w:p w:rsidR="00CC1F46" w:rsidRPr="00CC1F46" w:rsidRDefault="003A4174" w:rsidP="00B16882">
            <w:pPr>
              <w:numPr>
                <w:ilvl w:val="0"/>
                <w:numId w:val="10"/>
              </w:numPr>
              <w:ind w:right="72"/>
              <w:rPr>
                <w:sz w:val="24"/>
                <w:szCs w:val="24"/>
              </w:rPr>
            </w:pPr>
            <w:r w:rsidRPr="003A4174">
              <w:rPr>
                <w:sz w:val="24"/>
                <w:szCs w:val="24"/>
              </w:rPr>
              <w:t>THE AMENDED STIPULATIONS’S PROPOSED FRAMEWORK TO EXIT THE RESIDENTIAL MERCHANT FUNCTION IS NOT IN THE PUBLIC INTEREST BECAUSE IT WOULD LEAD TO THE PREMATURE ELIMINATION OF COLUMBIA’S SCO PROGRAM, RESIDENTIAL CONSUMERS’ LOWEST PRICED COMPETITIVE NATURAL GAS SUPPLY OPTION……………………………………………….………………..</w:t>
            </w:r>
          </w:p>
          <w:p w:rsidR="00CC1F46" w:rsidRPr="00CC1F46" w:rsidRDefault="00CC1F46" w:rsidP="00B16882">
            <w:pPr>
              <w:tabs>
                <w:tab w:val="left" w:pos="1425"/>
              </w:tabs>
              <w:ind w:left="720"/>
              <w:rPr>
                <w:sz w:val="24"/>
                <w:szCs w:val="24"/>
              </w:rPr>
            </w:pPr>
          </w:p>
        </w:tc>
        <w:tc>
          <w:tcPr>
            <w:tcW w:w="900" w:type="dxa"/>
            <w:shd w:val="clear" w:color="auto" w:fill="auto"/>
          </w:tcPr>
          <w:p w:rsidR="00CC1F46" w:rsidRPr="00CC1F46" w:rsidRDefault="00CC1F46" w:rsidP="00B16882">
            <w:pPr>
              <w:rPr>
                <w:sz w:val="24"/>
                <w:szCs w:val="24"/>
              </w:rPr>
            </w:pPr>
          </w:p>
          <w:p w:rsidR="00CC1F46" w:rsidRPr="00CC1F46" w:rsidRDefault="00CC1F46" w:rsidP="00B16882">
            <w:pPr>
              <w:rPr>
                <w:sz w:val="24"/>
                <w:szCs w:val="24"/>
              </w:rPr>
            </w:pPr>
          </w:p>
          <w:p w:rsidR="00CC1F46" w:rsidRPr="00CC1F46" w:rsidRDefault="00CC1F46" w:rsidP="00B16882">
            <w:pPr>
              <w:rPr>
                <w:sz w:val="24"/>
                <w:szCs w:val="24"/>
              </w:rPr>
            </w:pPr>
          </w:p>
          <w:p w:rsidR="00CC1F46" w:rsidRPr="00CC1F46" w:rsidRDefault="00CC1F46" w:rsidP="00B16882">
            <w:pPr>
              <w:rPr>
                <w:sz w:val="24"/>
                <w:szCs w:val="24"/>
              </w:rPr>
            </w:pPr>
          </w:p>
          <w:p w:rsidR="00CC1F46" w:rsidRDefault="00CC1F46" w:rsidP="00B16882">
            <w:pPr>
              <w:rPr>
                <w:sz w:val="24"/>
                <w:szCs w:val="24"/>
              </w:rPr>
            </w:pPr>
          </w:p>
          <w:p w:rsidR="00D30CD1" w:rsidRDefault="00D30CD1" w:rsidP="00B16882">
            <w:pPr>
              <w:rPr>
                <w:sz w:val="24"/>
                <w:szCs w:val="24"/>
              </w:rPr>
            </w:pPr>
          </w:p>
          <w:p w:rsidR="00D30CD1" w:rsidRPr="00CC1F46" w:rsidRDefault="00D30CD1" w:rsidP="00B16882">
            <w:pPr>
              <w:rPr>
                <w:sz w:val="24"/>
                <w:szCs w:val="24"/>
              </w:rPr>
            </w:pPr>
            <w:r>
              <w:rPr>
                <w:sz w:val="24"/>
                <w:szCs w:val="24"/>
              </w:rPr>
              <w:t>4</w:t>
            </w:r>
          </w:p>
        </w:tc>
      </w:tr>
      <w:tr w:rsidR="00CC1F46" w:rsidRPr="00CC1F46" w:rsidTr="00531BF2">
        <w:tc>
          <w:tcPr>
            <w:tcW w:w="8568" w:type="dxa"/>
          </w:tcPr>
          <w:p w:rsidR="00CC1F46" w:rsidRPr="00CC1F46" w:rsidRDefault="003A4174" w:rsidP="00B16882">
            <w:pPr>
              <w:tabs>
                <w:tab w:val="left" w:pos="2160"/>
              </w:tabs>
              <w:ind w:left="2160" w:right="158" w:hanging="720"/>
              <w:rPr>
                <w:sz w:val="24"/>
                <w:szCs w:val="24"/>
              </w:rPr>
            </w:pPr>
            <w:r w:rsidRPr="003A4174">
              <w:rPr>
                <w:sz w:val="24"/>
                <w:szCs w:val="24"/>
              </w:rPr>
              <w:t xml:space="preserve">1.         </w:t>
            </w:r>
            <w:r w:rsidR="00CC1F46" w:rsidRPr="00CC1F46">
              <w:rPr>
                <w:sz w:val="24"/>
                <w:szCs w:val="24"/>
              </w:rPr>
              <w:t>Endorsing the Amended Stipulation’s Proposed Residential Exit Framework will Create Regulatory Uncertainty in the SCO and Retail Markets, which will Increases Prices to Customers</w:t>
            </w:r>
            <w:r w:rsidRPr="003A4174">
              <w:rPr>
                <w:sz w:val="24"/>
                <w:szCs w:val="24"/>
              </w:rPr>
              <w:t>……………………………………………………...</w:t>
            </w:r>
          </w:p>
          <w:p w:rsidR="00CC1F46" w:rsidRPr="00CC1F46" w:rsidRDefault="00CC1F46" w:rsidP="00B16882">
            <w:pPr>
              <w:ind w:left="2160" w:hanging="720"/>
              <w:rPr>
                <w:sz w:val="24"/>
                <w:szCs w:val="24"/>
              </w:rPr>
            </w:pPr>
          </w:p>
        </w:tc>
        <w:tc>
          <w:tcPr>
            <w:tcW w:w="900" w:type="dxa"/>
            <w:shd w:val="clear" w:color="auto" w:fill="auto"/>
          </w:tcPr>
          <w:p w:rsidR="00CC1F46" w:rsidRPr="00CC1F46" w:rsidRDefault="003A4174" w:rsidP="00B16882">
            <w:pPr>
              <w:rPr>
                <w:sz w:val="24"/>
                <w:szCs w:val="24"/>
              </w:rPr>
            </w:pPr>
            <w:r w:rsidRPr="003A4174">
              <w:rPr>
                <w:sz w:val="24"/>
                <w:szCs w:val="24"/>
              </w:rPr>
              <w:t xml:space="preserve">  </w:t>
            </w:r>
          </w:p>
          <w:p w:rsidR="00CC1F46" w:rsidRPr="00CC1F46" w:rsidRDefault="00CC1F46" w:rsidP="00B16882">
            <w:pPr>
              <w:rPr>
                <w:sz w:val="24"/>
                <w:szCs w:val="24"/>
              </w:rPr>
            </w:pPr>
          </w:p>
          <w:p w:rsidR="00CC1F46" w:rsidRPr="00CC1F46" w:rsidRDefault="00CC1F46" w:rsidP="00B16882">
            <w:pPr>
              <w:rPr>
                <w:sz w:val="24"/>
                <w:szCs w:val="24"/>
              </w:rPr>
            </w:pPr>
          </w:p>
          <w:p w:rsidR="00CC1F46" w:rsidRPr="00CC1F46" w:rsidRDefault="003A4174" w:rsidP="00B16882">
            <w:pPr>
              <w:rPr>
                <w:sz w:val="24"/>
                <w:szCs w:val="24"/>
              </w:rPr>
            </w:pPr>
            <w:r w:rsidRPr="003A4174">
              <w:rPr>
                <w:sz w:val="24"/>
                <w:szCs w:val="24"/>
              </w:rPr>
              <w:t xml:space="preserve"> </w:t>
            </w:r>
            <w:r w:rsidR="00D30CD1">
              <w:rPr>
                <w:sz w:val="24"/>
                <w:szCs w:val="24"/>
              </w:rPr>
              <w:t>5</w:t>
            </w:r>
          </w:p>
        </w:tc>
      </w:tr>
      <w:tr w:rsidR="00CC1F46" w:rsidRPr="00CC1F46" w:rsidTr="00531BF2">
        <w:tc>
          <w:tcPr>
            <w:tcW w:w="8568" w:type="dxa"/>
          </w:tcPr>
          <w:p w:rsidR="00CC1F46" w:rsidRPr="00CC1F46" w:rsidRDefault="003A4174" w:rsidP="00B16882">
            <w:pPr>
              <w:tabs>
                <w:tab w:val="left" w:pos="2160"/>
              </w:tabs>
              <w:ind w:left="2160" w:right="162" w:hanging="720"/>
              <w:rPr>
                <w:sz w:val="24"/>
                <w:szCs w:val="24"/>
              </w:rPr>
            </w:pPr>
            <w:r w:rsidRPr="003A4174">
              <w:rPr>
                <w:sz w:val="24"/>
                <w:szCs w:val="24"/>
              </w:rPr>
              <w:t xml:space="preserve">2.         Removing the Lowest-Cost Benchmark from the Residential Market is Not in the Public </w:t>
            </w:r>
            <w:proofErr w:type="gramStart"/>
            <w:r w:rsidRPr="003A4174">
              <w:rPr>
                <w:sz w:val="24"/>
                <w:szCs w:val="24"/>
              </w:rPr>
              <w:t>Interest .</w:t>
            </w:r>
            <w:proofErr w:type="gramEnd"/>
            <w:r w:rsidRPr="003A4174">
              <w:rPr>
                <w:sz w:val="24"/>
                <w:szCs w:val="24"/>
              </w:rPr>
              <w:t>………………..………...</w:t>
            </w:r>
          </w:p>
          <w:p w:rsidR="00CC1F46" w:rsidRPr="00CC1F46" w:rsidRDefault="00CC1F46" w:rsidP="00B16882">
            <w:pPr>
              <w:ind w:left="1440" w:hanging="720"/>
              <w:rPr>
                <w:sz w:val="24"/>
                <w:szCs w:val="24"/>
              </w:rPr>
            </w:pPr>
          </w:p>
        </w:tc>
        <w:tc>
          <w:tcPr>
            <w:tcW w:w="900" w:type="dxa"/>
            <w:shd w:val="clear" w:color="auto" w:fill="auto"/>
          </w:tcPr>
          <w:p w:rsidR="00CC1F46" w:rsidRPr="00CC1F46" w:rsidRDefault="00CC1F46" w:rsidP="00B16882">
            <w:pPr>
              <w:rPr>
                <w:sz w:val="24"/>
                <w:szCs w:val="24"/>
              </w:rPr>
            </w:pPr>
          </w:p>
          <w:p w:rsidR="00CC1F46" w:rsidRPr="00CC1F46" w:rsidRDefault="00D30CD1" w:rsidP="00B16882">
            <w:pPr>
              <w:rPr>
                <w:sz w:val="24"/>
                <w:szCs w:val="24"/>
              </w:rPr>
            </w:pPr>
            <w:r>
              <w:rPr>
                <w:sz w:val="24"/>
                <w:szCs w:val="24"/>
              </w:rPr>
              <w:t>8</w:t>
            </w:r>
          </w:p>
        </w:tc>
      </w:tr>
      <w:tr w:rsidR="00CC1F46" w:rsidRPr="00CC1F46" w:rsidTr="00531BF2">
        <w:tc>
          <w:tcPr>
            <w:tcW w:w="8568" w:type="dxa"/>
          </w:tcPr>
          <w:p w:rsidR="00CC1F46" w:rsidRPr="00CC1F46" w:rsidRDefault="003A4174" w:rsidP="00B16882">
            <w:pPr>
              <w:tabs>
                <w:tab w:val="left" w:pos="2160"/>
              </w:tabs>
              <w:ind w:left="2160" w:right="162" w:hanging="720"/>
              <w:rPr>
                <w:sz w:val="24"/>
                <w:szCs w:val="24"/>
              </w:rPr>
            </w:pPr>
            <w:r w:rsidRPr="003A4174">
              <w:rPr>
                <w:sz w:val="24"/>
                <w:szCs w:val="24"/>
              </w:rPr>
              <w:t>3.         At Some Point, a Residential Exit Makes Sense; However, a 70% Shopping Level Trigger is Way Too Low</w:t>
            </w:r>
            <w:proofErr w:type="gramStart"/>
            <w:r w:rsidRPr="003A4174">
              <w:rPr>
                <w:sz w:val="24"/>
                <w:szCs w:val="24"/>
              </w:rPr>
              <w:t>..</w:t>
            </w:r>
            <w:proofErr w:type="gramEnd"/>
            <w:r w:rsidRPr="003A4174">
              <w:rPr>
                <w:sz w:val="24"/>
                <w:szCs w:val="24"/>
              </w:rPr>
              <w:t>……………...</w:t>
            </w:r>
          </w:p>
          <w:p w:rsidR="00CC1F46" w:rsidRPr="00CC1F46" w:rsidRDefault="00CC1F46" w:rsidP="00B16882">
            <w:pPr>
              <w:ind w:left="1440" w:hanging="720"/>
              <w:rPr>
                <w:sz w:val="24"/>
                <w:szCs w:val="24"/>
              </w:rPr>
            </w:pPr>
          </w:p>
        </w:tc>
        <w:tc>
          <w:tcPr>
            <w:tcW w:w="900" w:type="dxa"/>
            <w:shd w:val="clear" w:color="auto" w:fill="auto"/>
          </w:tcPr>
          <w:p w:rsidR="00CC1F46" w:rsidRPr="00CC1F46" w:rsidRDefault="00CC1F46" w:rsidP="00B16882">
            <w:pPr>
              <w:rPr>
                <w:sz w:val="24"/>
                <w:szCs w:val="24"/>
              </w:rPr>
            </w:pPr>
          </w:p>
          <w:p w:rsidR="00CC1F46" w:rsidRPr="00CC1F46" w:rsidRDefault="00D30CD1" w:rsidP="00B16882">
            <w:pPr>
              <w:rPr>
                <w:sz w:val="24"/>
                <w:szCs w:val="24"/>
              </w:rPr>
            </w:pPr>
            <w:r>
              <w:rPr>
                <w:sz w:val="24"/>
                <w:szCs w:val="24"/>
              </w:rPr>
              <w:t>9</w:t>
            </w:r>
          </w:p>
        </w:tc>
      </w:tr>
      <w:tr w:rsidR="00CC1F46" w:rsidRPr="00CC1F46" w:rsidTr="00531BF2">
        <w:tc>
          <w:tcPr>
            <w:tcW w:w="8568" w:type="dxa"/>
          </w:tcPr>
          <w:p w:rsidR="00CC1F46" w:rsidRPr="00CC1F46" w:rsidRDefault="003A4174" w:rsidP="00B16882">
            <w:pPr>
              <w:ind w:left="1440" w:hanging="720"/>
              <w:rPr>
                <w:sz w:val="24"/>
                <w:szCs w:val="24"/>
              </w:rPr>
            </w:pPr>
            <w:r w:rsidRPr="003A4174">
              <w:rPr>
                <w:sz w:val="24"/>
                <w:szCs w:val="24"/>
              </w:rPr>
              <w:t>B.</w:t>
            </w:r>
            <w:r w:rsidRPr="003A4174">
              <w:rPr>
                <w:b/>
                <w:i/>
                <w:sz w:val="24"/>
                <w:szCs w:val="24"/>
              </w:rPr>
              <w:t xml:space="preserve"> </w:t>
            </w:r>
            <w:r w:rsidRPr="003A4174">
              <w:rPr>
                <w:b/>
                <w:i/>
                <w:sz w:val="24"/>
                <w:szCs w:val="24"/>
              </w:rPr>
              <w:tab/>
            </w:r>
            <w:r w:rsidRPr="003A4174">
              <w:rPr>
                <w:sz w:val="24"/>
                <w:szCs w:val="24"/>
              </w:rPr>
              <w:t xml:space="preserve">THE PROPOSED SCO SECURITY “DEPOSIT” IS NOT IN THE PUBLIC INTEREST AND VIOLATES REGULATORY POLICY AS IT WOULD NEEDLESSLY INCREASE PRICES FOR SCO CUSTOMERS AND DISRUPT THE COMPETITIVE BALANCE BETWEEN SCO AND RETAIL SUPPLIERS.…………………………………………………………..        </w:t>
            </w:r>
          </w:p>
          <w:p w:rsidR="00CC1F46" w:rsidRPr="00CC1F46" w:rsidRDefault="00CC1F46" w:rsidP="00B16882">
            <w:pPr>
              <w:rPr>
                <w:sz w:val="24"/>
                <w:szCs w:val="24"/>
              </w:rPr>
            </w:pPr>
          </w:p>
        </w:tc>
        <w:tc>
          <w:tcPr>
            <w:tcW w:w="900" w:type="dxa"/>
            <w:shd w:val="clear" w:color="auto" w:fill="auto"/>
          </w:tcPr>
          <w:p w:rsidR="00CC1F46" w:rsidRPr="00CC1F46" w:rsidRDefault="00CC1F46" w:rsidP="00B16882">
            <w:pPr>
              <w:rPr>
                <w:sz w:val="24"/>
                <w:szCs w:val="24"/>
              </w:rPr>
            </w:pPr>
          </w:p>
          <w:p w:rsidR="00CC1F46" w:rsidRPr="00CC1F46" w:rsidRDefault="00CC1F46" w:rsidP="00B16882">
            <w:pPr>
              <w:rPr>
                <w:sz w:val="24"/>
                <w:szCs w:val="24"/>
              </w:rPr>
            </w:pPr>
          </w:p>
          <w:p w:rsidR="00CC1F46" w:rsidRPr="00CC1F46" w:rsidRDefault="00CC1F46" w:rsidP="00B16882">
            <w:pPr>
              <w:rPr>
                <w:sz w:val="24"/>
                <w:szCs w:val="24"/>
              </w:rPr>
            </w:pPr>
          </w:p>
          <w:p w:rsidR="00CC1F46" w:rsidRDefault="00CC1F46" w:rsidP="00B16882">
            <w:pPr>
              <w:rPr>
                <w:sz w:val="24"/>
                <w:szCs w:val="24"/>
              </w:rPr>
            </w:pPr>
          </w:p>
          <w:p w:rsidR="00D30CD1" w:rsidRPr="00CC1F46" w:rsidRDefault="00D30CD1" w:rsidP="00B16882">
            <w:pPr>
              <w:rPr>
                <w:sz w:val="24"/>
                <w:szCs w:val="24"/>
              </w:rPr>
            </w:pPr>
          </w:p>
          <w:p w:rsidR="00CC1F46" w:rsidRPr="00CC1F46" w:rsidRDefault="00D30CD1" w:rsidP="00B16882">
            <w:pPr>
              <w:rPr>
                <w:sz w:val="24"/>
                <w:szCs w:val="24"/>
              </w:rPr>
            </w:pPr>
            <w:r>
              <w:rPr>
                <w:sz w:val="24"/>
                <w:szCs w:val="24"/>
              </w:rPr>
              <w:t>10</w:t>
            </w:r>
          </w:p>
        </w:tc>
      </w:tr>
      <w:tr w:rsidR="00B16882" w:rsidRPr="00CC1F46" w:rsidTr="00531BF2">
        <w:tc>
          <w:tcPr>
            <w:tcW w:w="8568" w:type="dxa"/>
          </w:tcPr>
          <w:p w:rsidR="00B16882" w:rsidRPr="00B16882" w:rsidRDefault="00B16882" w:rsidP="00B16882">
            <w:pPr>
              <w:pStyle w:val="ListParagraph"/>
              <w:numPr>
                <w:ilvl w:val="0"/>
                <w:numId w:val="11"/>
              </w:numPr>
              <w:ind w:left="1440" w:hanging="720"/>
              <w:rPr>
                <w:sz w:val="24"/>
                <w:szCs w:val="24"/>
              </w:rPr>
            </w:pPr>
            <w:r w:rsidRPr="00B16882">
              <w:rPr>
                <w:sz w:val="24"/>
                <w:szCs w:val="24"/>
              </w:rPr>
              <w:t>HESS SUPPORTS THE NON-RESIDENTIAL EXIT FRAMEWORK AND AN MVR ALLOCATION METHODOLOGY AT THE NON-RESIDENTIAL EXIT THAT RECOGNIZES SSO/SCO TRANCHE OWNERSHIP………………………………………………………….</w:t>
            </w:r>
          </w:p>
          <w:p w:rsidR="00B16882" w:rsidRPr="003A4174" w:rsidRDefault="00B16882" w:rsidP="00B16882">
            <w:pPr>
              <w:ind w:left="1440" w:hanging="720"/>
              <w:rPr>
                <w:sz w:val="24"/>
                <w:szCs w:val="24"/>
              </w:rPr>
            </w:pPr>
          </w:p>
        </w:tc>
        <w:tc>
          <w:tcPr>
            <w:tcW w:w="900" w:type="dxa"/>
            <w:shd w:val="clear" w:color="auto" w:fill="auto"/>
          </w:tcPr>
          <w:p w:rsidR="00B16882" w:rsidRDefault="00B16882" w:rsidP="00B16882">
            <w:pPr>
              <w:rPr>
                <w:sz w:val="24"/>
                <w:szCs w:val="24"/>
              </w:rPr>
            </w:pPr>
          </w:p>
          <w:p w:rsidR="00D30CD1" w:rsidRDefault="00D30CD1" w:rsidP="00B16882">
            <w:pPr>
              <w:rPr>
                <w:sz w:val="24"/>
                <w:szCs w:val="24"/>
              </w:rPr>
            </w:pPr>
          </w:p>
          <w:p w:rsidR="00D30CD1" w:rsidRDefault="00D30CD1" w:rsidP="00B16882">
            <w:pPr>
              <w:rPr>
                <w:sz w:val="24"/>
                <w:szCs w:val="24"/>
              </w:rPr>
            </w:pPr>
          </w:p>
          <w:p w:rsidR="00D30CD1" w:rsidRPr="00CC1F46" w:rsidRDefault="00D30CD1" w:rsidP="00B16882">
            <w:pPr>
              <w:rPr>
                <w:sz w:val="24"/>
                <w:szCs w:val="24"/>
              </w:rPr>
            </w:pPr>
            <w:r>
              <w:rPr>
                <w:sz w:val="24"/>
                <w:szCs w:val="24"/>
              </w:rPr>
              <w:t>13</w:t>
            </w:r>
          </w:p>
        </w:tc>
      </w:tr>
    </w:tbl>
    <w:p w:rsidR="00CC1F46" w:rsidRPr="00CC1F46" w:rsidRDefault="003A4174" w:rsidP="00B16882">
      <w:pPr>
        <w:spacing w:after="0" w:line="240" w:lineRule="auto"/>
        <w:rPr>
          <w:rFonts w:ascii="Times New Roman" w:hAnsi="Times New Roman" w:cs="Times New Roman"/>
          <w:sz w:val="24"/>
          <w:szCs w:val="24"/>
        </w:rPr>
      </w:pPr>
      <w:r w:rsidRPr="003A4174">
        <w:rPr>
          <w:rFonts w:ascii="Times New Roman" w:hAnsi="Times New Roman" w:cs="Times New Roman"/>
          <w:sz w:val="24"/>
          <w:szCs w:val="24"/>
        </w:rPr>
        <w:t>IV.</w:t>
      </w:r>
      <w:r w:rsidRPr="003A4174">
        <w:rPr>
          <w:rFonts w:ascii="Times New Roman" w:hAnsi="Times New Roman" w:cs="Times New Roman"/>
          <w:sz w:val="24"/>
          <w:szCs w:val="24"/>
        </w:rPr>
        <w:tab/>
        <w:t>CONCLUSION…………………………………………………………………     1</w:t>
      </w:r>
      <w:r w:rsidR="00D30CD1">
        <w:rPr>
          <w:rFonts w:ascii="Times New Roman" w:hAnsi="Times New Roman" w:cs="Times New Roman"/>
          <w:sz w:val="24"/>
          <w:szCs w:val="24"/>
        </w:rPr>
        <w:t>8</w:t>
      </w:r>
    </w:p>
    <w:p w:rsidR="00A77DBB" w:rsidRDefault="00A77DBB" w:rsidP="00AF195B">
      <w:pPr>
        <w:spacing w:after="120" w:line="240" w:lineRule="auto"/>
        <w:rPr>
          <w:rFonts w:ascii="Times New Roman" w:hAnsi="Times New Roman" w:cs="Times New Roman"/>
          <w:b/>
          <w:sz w:val="24"/>
          <w:szCs w:val="24"/>
        </w:rPr>
      </w:pPr>
    </w:p>
    <w:p w:rsidR="00840AF3" w:rsidRDefault="00840AF3" w:rsidP="00AF195B">
      <w:pPr>
        <w:spacing w:after="120" w:line="240" w:lineRule="auto"/>
        <w:rPr>
          <w:rFonts w:ascii="Times New Roman" w:hAnsi="Times New Roman" w:cs="Times New Roman"/>
          <w:b/>
          <w:sz w:val="24"/>
          <w:szCs w:val="24"/>
        </w:rPr>
        <w:sectPr w:rsidR="00840AF3" w:rsidSect="00840AF3">
          <w:footerReference w:type="first" r:id="rId11"/>
          <w:pgSz w:w="12240" w:h="15840" w:code="1"/>
          <w:pgMar w:top="1440" w:right="1440" w:bottom="1440" w:left="1440" w:header="720" w:footer="720" w:gutter="0"/>
          <w:pgNumType w:fmt="lowerRoman" w:start="1"/>
          <w:cols w:space="720"/>
          <w:titlePg/>
          <w:docGrid w:linePitch="360"/>
        </w:sectPr>
      </w:pPr>
    </w:p>
    <w:p w:rsidR="005C3BE2" w:rsidRDefault="005C3BE2" w:rsidP="005C3BE2">
      <w:pPr>
        <w:spacing w:after="0" w:line="480" w:lineRule="auto"/>
        <w:rPr>
          <w:rFonts w:ascii="Times New Roman" w:hAnsi="Times New Roman" w:cs="Times New Roman"/>
          <w:b/>
          <w:sz w:val="24"/>
          <w:szCs w:val="24"/>
        </w:rPr>
      </w:pPr>
    </w:p>
    <w:p w:rsidR="005C3BE2" w:rsidRDefault="005C3BE2" w:rsidP="005C3BE2">
      <w:pPr>
        <w:spacing w:after="0" w:line="480" w:lineRule="auto"/>
        <w:rPr>
          <w:rFonts w:ascii="Times New Roman" w:hAnsi="Times New Roman" w:cs="Times New Roman"/>
          <w:b/>
          <w:sz w:val="24"/>
          <w:szCs w:val="24"/>
        </w:rPr>
      </w:pPr>
    </w:p>
    <w:p w:rsidR="00A77DBB" w:rsidRPr="005C3BE2" w:rsidRDefault="00A77DBB" w:rsidP="005C3BE2">
      <w:pPr>
        <w:pStyle w:val="ListParagraph"/>
        <w:keepNext/>
        <w:keepLines/>
        <w:numPr>
          <w:ilvl w:val="0"/>
          <w:numId w:val="1"/>
        </w:numPr>
        <w:spacing w:before="120" w:after="0" w:line="480" w:lineRule="auto"/>
        <w:contextualSpacing w:val="0"/>
        <w:jc w:val="both"/>
        <w:rPr>
          <w:rFonts w:ascii="Times New Roman" w:hAnsi="Times New Roman" w:cs="Times New Roman"/>
          <w:b/>
          <w:sz w:val="24"/>
          <w:szCs w:val="24"/>
        </w:rPr>
      </w:pPr>
      <w:r w:rsidRPr="005C3BE2">
        <w:rPr>
          <w:rFonts w:ascii="Times New Roman" w:hAnsi="Times New Roman" w:cs="Times New Roman"/>
          <w:b/>
          <w:sz w:val="24"/>
          <w:szCs w:val="24"/>
        </w:rPr>
        <w:t>HISTORY OF THE PROCEEDINGS</w:t>
      </w:r>
    </w:p>
    <w:p w:rsidR="00A77DBB" w:rsidRDefault="00A77DBB" w:rsidP="00C9446D">
      <w:pPr>
        <w:spacing w:after="0" w:line="480" w:lineRule="auto"/>
        <w:ind w:firstLine="720"/>
        <w:jc w:val="both"/>
        <w:rPr>
          <w:rFonts w:ascii="Times New Roman" w:hAnsi="Times New Roman"/>
          <w:sz w:val="24"/>
          <w:szCs w:val="24"/>
        </w:rPr>
      </w:pPr>
      <w:r>
        <w:rPr>
          <w:rFonts w:ascii="Times New Roman" w:hAnsi="Times New Roman"/>
          <w:sz w:val="24"/>
          <w:szCs w:val="24"/>
        </w:rPr>
        <w:t xml:space="preserve">On October 4, 2012, </w:t>
      </w:r>
      <w:r w:rsidR="00373E1E">
        <w:rPr>
          <w:rFonts w:ascii="Times New Roman" w:hAnsi="Times New Roman"/>
          <w:sz w:val="24"/>
          <w:szCs w:val="24"/>
        </w:rPr>
        <w:t>Columbia</w:t>
      </w:r>
      <w:r>
        <w:rPr>
          <w:rFonts w:ascii="Times New Roman" w:hAnsi="Times New Roman"/>
          <w:sz w:val="24"/>
          <w:szCs w:val="24"/>
        </w:rPr>
        <w:t xml:space="preserve"> Gas of Ohio (“</w:t>
      </w:r>
      <w:r w:rsidR="00373E1E">
        <w:rPr>
          <w:rFonts w:ascii="Times New Roman" w:hAnsi="Times New Roman"/>
          <w:sz w:val="24"/>
          <w:szCs w:val="24"/>
        </w:rPr>
        <w:t>Columbia</w:t>
      </w:r>
      <w:r>
        <w:rPr>
          <w:rFonts w:ascii="Times New Roman" w:hAnsi="Times New Roman"/>
          <w:sz w:val="24"/>
          <w:szCs w:val="24"/>
        </w:rPr>
        <w:t xml:space="preserve">”), the Staff of the Public Utilities Commission of Ohio, the Ohio Gas Marketers Group (“OGMG”), the Retail Energy Supply Association (“RESA”), and Dominion Retail, Inc. </w:t>
      </w:r>
      <w:r w:rsidR="00AF1AD3">
        <w:rPr>
          <w:rFonts w:ascii="Times New Roman" w:hAnsi="Times New Roman"/>
          <w:sz w:val="24"/>
          <w:szCs w:val="24"/>
        </w:rPr>
        <w:t xml:space="preserve">(“Dominion”) </w:t>
      </w:r>
      <w:r>
        <w:rPr>
          <w:rFonts w:ascii="Times New Roman" w:hAnsi="Times New Roman"/>
          <w:sz w:val="24"/>
          <w:szCs w:val="24"/>
        </w:rPr>
        <w:t xml:space="preserve">filed a Joint Stipulation and Recommendation (“Original Stipulation”) in this proceeding and a Joint Motion requesting the Commission to approve the Original Stipulation which contains several modifications to </w:t>
      </w:r>
      <w:r w:rsidR="00373E1E">
        <w:rPr>
          <w:rFonts w:ascii="Times New Roman" w:hAnsi="Times New Roman"/>
          <w:sz w:val="24"/>
          <w:szCs w:val="24"/>
        </w:rPr>
        <w:t>Columbia</w:t>
      </w:r>
      <w:r>
        <w:rPr>
          <w:rFonts w:ascii="Times New Roman" w:hAnsi="Times New Roman"/>
          <w:sz w:val="24"/>
          <w:szCs w:val="24"/>
        </w:rPr>
        <w:t xml:space="preserve">’s current Standard Choice Offer (“SCO”) auction program established in the Commission’s December 2, 2009 Opinion and Order and the September 7, 2011 Second Opinion and Order in Case No. 08-1344-GA-EXM (the “Exemption Orders”).  On November 27, 2012, the Office of the Ohio Consumers’ Counsel (“OCC”) joined the Original Stipulation and the signatory parties (“Joint </w:t>
      </w:r>
      <w:proofErr w:type="spellStart"/>
      <w:r>
        <w:rPr>
          <w:rFonts w:ascii="Times New Roman" w:hAnsi="Times New Roman"/>
          <w:sz w:val="24"/>
          <w:szCs w:val="24"/>
        </w:rPr>
        <w:t>Movants</w:t>
      </w:r>
      <w:proofErr w:type="spellEnd"/>
      <w:r>
        <w:rPr>
          <w:rFonts w:ascii="Times New Roman" w:hAnsi="Times New Roman"/>
          <w:sz w:val="24"/>
          <w:szCs w:val="24"/>
        </w:rPr>
        <w:t xml:space="preserve">”) filed an Amended Stipulation and Recommendation (“Amended Stipulation”) (Joint Ex. 1) and an Amended Joint Motion (Joint Ex. 2) for the Commission’s consideration.  Hess Corporation (“Hess”) was granted intervention by entry </w:t>
      </w:r>
      <w:r w:rsidRPr="00CB5B38">
        <w:rPr>
          <w:rFonts w:ascii="Times New Roman" w:hAnsi="Times New Roman" w:cs="Times New Roman"/>
          <w:sz w:val="24"/>
          <w:szCs w:val="24"/>
        </w:rPr>
        <w:t>issued October 18, 2012, and an evidentiary hearing was conducted on December 3, 5, and 6, 2012.</w:t>
      </w:r>
      <w:r w:rsidR="00CB5B38" w:rsidRPr="00CB5B38">
        <w:rPr>
          <w:rFonts w:ascii="Times New Roman" w:hAnsi="Times New Roman" w:cs="Times New Roman"/>
          <w:sz w:val="24"/>
          <w:szCs w:val="24"/>
        </w:rPr>
        <w:t xml:space="preserve">  </w:t>
      </w:r>
      <w:r w:rsidR="00CB5B38" w:rsidRPr="00337D8E">
        <w:rPr>
          <w:rFonts w:ascii="Times New Roman" w:hAnsi="Times New Roman" w:cs="Times New Roman"/>
          <w:sz w:val="24"/>
          <w:szCs w:val="24"/>
        </w:rPr>
        <w:t xml:space="preserve">Testimony was presented by the Joint </w:t>
      </w:r>
      <w:proofErr w:type="spellStart"/>
      <w:r w:rsidR="00CB5B38" w:rsidRPr="00337D8E">
        <w:rPr>
          <w:rFonts w:ascii="Times New Roman" w:hAnsi="Times New Roman" w:cs="Times New Roman"/>
          <w:sz w:val="24"/>
          <w:szCs w:val="24"/>
        </w:rPr>
        <w:t>Movants</w:t>
      </w:r>
      <w:proofErr w:type="spellEnd"/>
      <w:r w:rsidR="00CB5B38" w:rsidRPr="00337D8E">
        <w:rPr>
          <w:rFonts w:ascii="Times New Roman" w:hAnsi="Times New Roman" w:cs="Times New Roman"/>
          <w:sz w:val="24"/>
          <w:szCs w:val="24"/>
        </w:rPr>
        <w:t xml:space="preserve"> (Columbia, OGMG/RESA, and OCC), and </w:t>
      </w:r>
      <w:proofErr w:type="spellStart"/>
      <w:r w:rsidR="00CB5B38" w:rsidRPr="00337D8E">
        <w:rPr>
          <w:rFonts w:ascii="Times New Roman" w:hAnsi="Times New Roman" w:cs="Times New Roman"/>
          <w:sz w:val="24"/>
          <w:szCs w:val="24"/>
        </w:rPr>
        <w:t>intervenors</w:t>
      </w:r>
      <w:proofErr w:type="spellEnd"/>
      <w:r w:rsidR="00CB5B38" w:rsidRPr="00337D8E">
        <w:rPr>
          <w:rFonts w:ascii="Times New Roman" w:hAnsi="Times New Roman" w:cs="Times New Roman"/>
          <w:sz w:val="24"/>
          <w:szCs w:val="24"/>
        </w:rPr>
        <w:t xml:space="preserve"> Hess, Direct Energy Services, LLC (“Direct Energy”) and Interstate Gas Supply, Inc. (“IGS”).</w:t>
      </w:r>
    </w:p>
    <w:p w:rsidR="00A77DBB" w:rsidRPr="00945006" w:rsidRDefault="00A77DBB" w:rsidP="00840AF3">
      <w:pPr>
        <w:pStyle w:val="ListParagraph"/>
        <w:keepNext/>
        <w:keepLines/>
        <w:numPr>
          <w:ilvl w:val="0"/>
          <w:numId w:val="1"/>
        </w:numPr>
        <w:spacing w:before="120"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STATEMENT OF THE CASE</w:t>
      </w:r>
    </w:p>
    <w:p w:rsidR="00A77DBB" w:rsidRDefault="00A77DBB" w:rsidP="00840AF3">
      <w:pPr>
        <w:keepNext/>
        <w:keepLine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filed the instant proceeding to modify </w:t>
      </w:r>
      <w:r w:rsidR="00373E1E">
        <w:rPr>
          <w:rFonts w:ascii="Times New Roman" w:hAnsi="Times New Roman" w:cs="Times New Roman"/>
          <w:sz w:val="24"/>
          <w:szCs w:val="24"/>
        </w:rPr>
        <w:t>Columbia</w:t>
      </w:r>
      <w:r>
        <w:rPr>
          <w:rFonts w:ascii="Times New Roman" w:hAnsi="Times New Roman" w:cs="Times New Roman"/>
          <w:sz w:val="24"/>
          <w:szCs w:val="24"/>
        </w:rPr>
        <w:t>’s Exemption Orders pursuant to section 4929.08(A), Ohio Rev. Code.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For purposes of this proceeding, the statute provides that the Commission may modify a prior exemption order upon the motion of an </w:t>
      </w:r>
      <w:r w:rsidRPr="00590DB9">
        <w:rPr>
          <w:rFonts w:ascii="Times New Roman" w:hAnsi="Times New Roman" w:cs="Times New Roman"/>
          <w:sz w:val="24"/>
          <w:szCs w:val="24"/>
        </w:rPr>
        <w:t>adversely affected person</w:t>
      </w:r>
      <w:r>
        <w:rPr>
          <w:rFonts w:ascii="Times New Roman" w:hAnsi="Times New Roman" w:cs="Times New Roman"/>
          <w:sz w:val="24"/>
          <w:szCs w:val="24"/>
        </w:rPr>
        <w:t xml:space="preserve">, if it determines (1) that the findings upon which the order is based are no longer valid and (2) that the modification is in the public interest.  </w:t>
      </w:r>
      <w:r w:rsidR="00373E1E">
        <w:rPr>
          <w:rFonts w:ascii="Times New Roman" w:hAnsi="Times New Roman" w:cs="Times New Roman"/>
          <w:sz w:val="24"/>
          <w:szCs w:val="24"/>
        </w:rPr>
        <w:t xml:space="preserve">The </w:t>
      </w:r>
      <w:r>
        <w:rPr>
          <w:rFonts w:ascii="Times New Roman" w:hAnsi="Times New Roman" w:cs="Times New Roman"/>
          <w:sz w:val="24"/>
          <w:szCs w:val="24"/>
        </w:rPr>
        <w:t xml:space="preserve">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point to no specific findings in the </w:t>
      </w:r>
      <w:r w:rsidR="00B16882">
        <w:rPr>
          <w:rFonts w:ascii="Times New Roman" w:hAnsi="Times New Roman" w:cs="Times New Roman"/>
          <w:sz w:val="24"/>
          <w:szCs w:val="24"/>
        </w:rPr>
        <w:t xml:space="preserve">Exemption Orders </w:t>
      </w:r>
      <w:r>
        <w:rPr>
          <w:rFonts w:ascii="Times New Roman" w:hAnsi="Times New Roman" w:cs="Times New Roman"/>
          <w:sz w:val="24"/>
          <w:szCs w:val="24"/>
        </w:rPr>
        <w:t xml:space="preserve">that are no longer valid, but instead generally state that the SCO auction process is no longer new or novel.   </w:t>
      </w:r>
      <w:proofErr w:type="gramStart"/>
      <w:r w:rsidR="00373E1E">
        <w:rPr>
          <w:rFonts w:ascii="Times New Roman" w:hAnsi="Times New Roman" w:cs="Times New Roman"/>
          <w:sz w:val="24"/>
          <w:szCs w:val="24"/>
        </w:rPr>
        <w:t>Columbia</w:t>
      </w:r>
      <w:r>
        <w:rPr>
          <w:rFonts w:ascii="Times New Roman" w:hAnsi="Times New Roman" w:cs="Times New Roman"/>
          <w:sz w:val="24"/>
          <w:szCs w:val="24"/>
        </w:rPr>
        <w:t xml:space="preserve"> Ex. 6, at 18.</w:t>
      </w:r>
      <w:proofErr w:type="gramEnd"/>
      <w:r>
        <w:rPr>
          <w:rFonts w:ascii="Times New Roman" w:hAnsi="Times New Roman" w:cs="Times New Roman"/>
          <w:sz w:val="24"/>
          <w:szCs w:val="24"/>
        </w:rPr>
        <w:t xml:space="preserve">  </w:t>
      </w:r>
      <w:r w:rsidR="00373E1E">
        <w:rPr>
          <w:rFonts w:ascii="Times New Roman" w:hAnsi="Times New Roman" w:cs="Times New Roman"/>
          <w:sz w:val="24"/>
          <w:szCs w:val="24"/>
        </w:rPr>
        <w:t xml:space="preserve">The </w:t>
      </w:r>
      <w:r>
        <w:rPr>
          <w:rFonts w:ascii="Times New Roman" w:hAnsi="Times New Roman" w:cs="Times New Roman"/>
          <w:sz w:val="24"/>
          <w:szCs w:val="24"/>
        </w:rPr>
        <w:t xml:space="preserve">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also assert that they were adversely affected by the prior orders because (1) the advent of shale gas opportunities could potentially affect </w:t>
      </w:r>
      <w:r w:rsidR="00373E1E">
        <w:rPr>
          <w:rFonts w:ascii="Times New Roman" w:hAnsi="Times New Roman" w:cs="Times New Roman"/>
          <w:sz w:val="24"/>
          <w:szCs w:val="24"/>
        </w:rPr>
        <w:t>Columbia</w:t>
      </w:r>
      <w:r>
        <w:rPr>
          <w:rFonts w:ascii="Times New Roman" w:hAnsi="Times New Roman" w:cs="Times New Roman"/>
          <w:sz w:val="24"/>
          <w:szCs w:val="24"/>
        </w:rPr>
        <w:t xml:space="preserve">’s long term interstate pipeline capacity decisions, and (2)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now believe a possible exit from the merchant function may be warranted, but the </w:t>
      </w:r>
      <w:r w:rsidR="00AF1AD3">
        <w:rPr>
          <w:rFonts w:ascii="Times New Roman" w:hAnsi="Times New Roman" w:cs="Times New Roman"/>
          <w:sz w:val="24"/>
          <w:szCs w:val="24"/>
        </w:rPr>
        <w:t>Exemption Orders</w:t>
      </w:r>
      <w:r>
        <w:rPr>
          <w:rFonts w:ascii="Times New Roman" w:hAnsi="Times New Roman" w:cs="Times New Roman"/>
          <w:sz w:val="24"/>
          <w:szCs w:val="24"/>
        </w:rPr>
        <w:t xml:space="preserve"> approved a stipulation in which </w:t>
      </w:r>
      <w:r w:rsidR="00373E1E">
        <w:rPr>
          <w:rFonts w:ascii="Times New Roman" w:hAnsi="Times New Roman" w:cs="Times New Roman"/>
          <w:sz w:val="24"/>
          <w:szCs w:val="24"/>
        </w:rPr>
        <w:t>Columbia</w:t>
      </w:r>
      <w:r>
        <w:rPr>
          <w:rFonts w:ascii="Times New Roman" w:hAnsi="Times New Roman" w:cs="Times New Roman"/>
          <w:sz w:val="24"/>
          <w:szCs w:val="24"/>
        </w:rPr>
        <w:t xml:space="preserve"> expressed its intent not to exit the merchant function.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373E1E">
        <w:rPr>
          <w:rFonts w:ascii="Times New Roman" w:hAnsi="Times New Roman" w:cs="Times New Roman"/>
          <w:sz w:val="24"/>
          <w:szCs w:val="24"/>
        </w:rPr>
        <w:t xml:space="preserve"> Columbia</w:t>
      </w:r>
      <w:r>
        <w:rPr>
          <w:rFonts w:ascii="Times New Roman" w:hAnsi="Times New Roman" w:cs="Times New Roman"/>
          <w:sz w:val="24"/>
          <w:szCs w:val="24"/>
        </w:rPr>
        <w:t xml:space="preserve"> Ex. 6, at 18-19.  </w:t>
      </w:r>
    </w:p>
    <w:p w:rsidR="00A77DBB" w:rsidRDefault="00A77DBB" w:rsidP="00A77D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statute contemplates that the modifications that the Commission approves to the </w:t>
      </w:r>
      <w:r w:rsidR="00AF1AD3">
        <w:rPr>
          <w:rFonts w:ascii="Times New Roman" w:hAnsi="Times New Roman" w:cs="Times New Roman"/>
          <w:sz w:val="24"/>
          <w:szCs w:val="24"/>
        </w:rPr>
        <w:t xml:space="preserve">Exemption Orders </w:t>
      </w:r>
      <w:r>
        <w:rPr>
          <w:rFonts w:ascii="Times New Roman" w:hAnsi="Times New Roman" w:cs="Times New Roman"/>
          <w:sz w:val="24"/>
          <w:szCs w:val="24"/>
        </w:rPr>
        <w:t xml:space="preserve">remedy the adverse effects they caused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In that vein, the </w:t>
      </w:r>
      <w:r>
        <w:rPr>
          <w:rFonts w:ascii="Times New Roman" w:hAnsi="Times New Roman" w:cs="Times New Roman"/>
          <w:sz w:val="24"/>
          <w:szCs w:val="24"/>
        </w:rPr>
        <w:lastRenderedPageBreak/>
        <w:t>Amended Stipulation (Joint Ex. 1) and Second Revised Program Outline (</w:t>
      </w:r>
      <w:r w:rsidR="00373E1E">
        <w:rPr>
          <w:rFonts w:ascii="Times New Roman" w:hAnsi="Times New Roman" w:cs="Times New Roman"/>
          <w:sz w:val="24"/>
          <w:szCs w:val="24"/>
        </w:rPr>
        <w:t>Columbia</w:t>
      </w:r>
      <w:r>
        <w:rPr>
          <w:rFonts w:ascii="Times New Roman" w:hAnsi="Times New Roman" w:cs="Times New Roman"/>
          <w:sz w:val="24"/>
          <w:szCs w:val="24"/>
        </w:rPr>
        <w:t xml:space="preserve"> Ex. 2) appropriately provide relief to </w:t>
      </w:r>
      <w:r w:rsidR="00373E1E">
        <w:rPr>
          <w:rFonts w:ascii="Times New Roman" w:hAnsi="Times New Roman" w:cs="Times New Roman"/>
          <w:sz w:val="24"/>
          <w:szCs w:val="24"/>
        </w:rPr>
        <w:t>Columbia</w:t>
      </w:r>
      <w:r>
        <w:rPr>
          <w:rFonts w:ascii="Times New Roman" w:hAnsi="Times New Roman" w:cs="Times New Roman"/>
          <w:sz w:val="24"/>
          <w:szCs w:val="24"/>
        </w:rPr>
        <w:t xml:space="preserve"> regarding the capacity issue and provide for </w:t>
      </w:r>
      <w:r w:rsidR="00373E1E">
        <w:rPr>
          <w:rFonts w:ascii="Times New Roman" w:hAnsi="Times New Roman" w:cs="Times New Roman"/>
          <w:sz w:val="24"/>
          <w:szCs w:val="24"/>
        </w:rPr>
        <w:t>Columbia</w:t>
      </w:r>
      <w:r>
        <w:rPr>
          <w:rFonts w:ascii="Times New Roman" w:hAnsi="Times New Roman" w:cs="Times New Roman"/>
          <w:sz w:val="24"/>
          <w:szCs w:val="24"/>
        </w:rPr>
        <w:t xml:space="preserve">’s exit from the merchant function for non-residential customers upon meeting certain conditions.   Hess does not oppose these provisions of the Amended Stipulation and, indeed, supports the framework for </w:t>
      </w:r>
      <w:r w:rsidR="00373E1E">
        <w:rPr>
          <w:rFonts w:ascii="Times New Roman" w:hAnsi="Times New Roman" w:cs="Times New Roman"/>
          <w:sz w:val="24"/>
          <w:szCs w:val="24"/>
        </w:rPr>
        <w:t>Columbia</w:t>
      </w:r>
      <w:r>
        <w:rPr>
          <w:rFonts w:ascii="Times New Roman" w:hAnsi="Times New Roman" w:cs="Times New Roman"/>
          <w:sz w:val="24"/>
          <w:szCs w:val="24"/>
        </w:rPr>
        <w:t xml:space="preserve">’s exit of the merchant function for non-residential customers.  Hess Ex. 1, at 6-7.  To that end, Hess offers its methodology to allocate non-residential customers to monthly variable rate (“MVR”) suppliers upon the non-residential exit. </w:t>
      </w:r>
    </w:p>
    <w:p w:rsidR="00A77DBB" w:rsidRDefault="00A77DBB" w:rsidP="00A77D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Hess strongly opposes the Amended Stipulation’s framework to exit the residential merchant function and the Amended Stipulation’s proposed new SCO security </w:t>
      </w:r>
      <w:r w:rsidR="00DE0EE4">
        <w:rPr>
          <w:rFonts w:ascii="Times New Roman" w:hAnsi="Times New Roman" w:cs="Times New Roman"/>
          <w:sz w:val="24"/>
          <w:szCs w:val="24"/>
        </w:rPr>
        <w:t>charge</w:t>
      </w:r>
      <w:r>
        <w:rPr>
          <w:rFonts w:ascii="Times New Roman" w:hAnsi="Times New Roman" w:cs="Times New Roman"/>
          <w:sz w:val="24"/>
          <w:szCs w:val="24"/>
        </w:rPr>
        <w:t xml:space="preserve">.  The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have used the stipulation process to endorse a framework </w:t>
      </w:r>
      <w:r w:rsidR="00DE0EE4">
        <w:rPr>
          <w:rFonts w:ascii="Times New Roman" w:hAnsi="Times New Roman" w:cs="Times New Roman"/>
          <w:sz w:val="24"/>
          <w:szCs w:val="24"/>
        </w:rPr>
        <w:t xml:space="preserve">where Columbia would </w:t>
      </w:r>
      <w:r>
        <w:rPr>
          <w:rFonts w:ascii="Times New Roman" w:hAnsi="Times New Roman" w:cs="Times New Roman"/>
          <w:sz w:val="24"/>
          <w:szCs w:val="24"/>
        </w:rPr>
        <w:t>exit the merchant function and eliminate the low</w:t>
      </w:r>
      <w:r w:rsidR="00373E1E">
        <w:rPr>
          <w:rFonts w:ascii="Times New Roman" w:hAnsi="Times New Roman" w:cs="Times New Roman"/>
          <w:sz w:val="24"/>
          <w:szCs w:val="24"/>
        </w:rPr>
        <w:t>est-</w:t>
      </w:r>
      <w:r>
        <w:rPr>
          <w:rFonts w:ascii="Times New Roman" w:hAnsi="Times New Roman" w:cs="Times New Roman"/>
          <w:sz w:val="24"/>
          <w:szCs w:val="24"/>
        </w:rPr>
        <w:t xml:space="preserve">priced supply service </w:t>
      </w:r>
      <w:r w:rsidR="00373E1E">
        <w:rPr>
          <w:rFonts w:ascii="Times New Roman" w:hAnsi="Times New Roman" w:cs="Times New Roman"/>
          <w:sz w:val="24"/>
          <w:szCs w:val="24"/>
        </w:rPr>
        <w:t xml:space="preserve">option </w:t>
      </w:r>
      <w:r>
        <w:rPr>
          <w:rFonts w:ascii="Times New Roman" w:hAnsi="Times New Roman" w:cs="Times New Roman"/>
          <w:sz w:val="24"/>
          <w:szCs w:val="24"/>
        </w:rPr>
        <w:t xml:space="preserve">available to </w:t>
      </w:r>
      <w:r w:rsidR="00DE0EE4">
        <w:rPr>
          <w:rFonts w:ascii="Times New Roman" w:hAnsi="Times New Roman" w:cs="Times New Roman"/>
          <w:sz w:val="24"/>
          <w:szCs w:val="24"/>
        </w:rPr>
        <w:t xml:space="preserve">Choice-eligible, </w:t>
      </w:r>
      <w:r>
        <w:rPr>
          <w:rFonts w:ascii="Times New Roman" w:hAnsi="Times New Roman" w:cs="Times New Roman"/>
          <w:sz w:val="24"/>
          <w:szCs w:val="24"/>
        </w:rPr>
        <w:t xml:space="preserve">residential customers.  The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seek to do so by requesting that the Commission </w:t>
      </w:r>
      <w:r w:rsidR="00373E1E">
        <w:rPr>
          <w:rFonts w:ascii="Times New Roman" w:hAnsi="Times New Roman" w:cs="Times New Roman"/>
          <w:sz w:val="24"/>
          <w:szCs w:val="24"/>
        </w:rPr>
        <w:t xml:space="preserve">(1) </w:t>
      </w:r>
      <w:r>
        <w:rPr>
          <w:rFonts w:ascii="Times New Roman" w:hAnsi="Times New Roman" w:cs="Times New Roman"/>
          <w:sz w:val="24"/>
          <w:szCs w:val="24"/>
        </w:rPr>
        <w:t xml:space="preserve">endorse a </w:t>
      </w:r>
      <w:r w:rsidR="00373E1E">
        <w:rPr>
          <w:rFonts w:ascii="Times New Roman" w:hAnsi="Times New Roman" w:cs="Times New Roman"/>
          <w:sz w:val="24"/>
          <w:szCs w:val="24"/>
        </w:rPr>
        <w:t>methodology</w:t>
      </w:r>
      <w:r>
        <w:rPr>
          <w:rFonts w:ascii="Times New Roman" w:hAnsi="Times New Roman" w:cs="Times New Roman"/>
          <w:sz w:val="24"/>
          <w:szCs w:val="24"/>
        </w:rPr>
        <w:t xml:space="preserve"> </w:t>
      </w:r>
      <w:r w:rsidR="00373E1E">
        <w:rPr>
          <w:rFonts w:ascii="Times New Roman" w:hAnsi="Times New Roman" w:cs="Times New Roman"/>
          <w:sz w:val="24"/>
          <w:szCs w:val="24"/>
        </w:rPr>
        <w:t xml:space="preserve">where, </w:t>
      </w:r>
      <w:r>
        <w:rPr>
          <w:rFonts w:ascii="Times New Roman" w:hAnsi="Times New Roman" w:cs="Times New Roman"/>
          <w:sz w:val="24"/>
          <w:szCs w:val="24"/>
        </w:rPr>
        <w:t>at a 70% shopping level</w:t>
      </w:r>
      <w:r w:rsidR="00373E1E">
        <w:rPr>
          <w:rFonts w:ascii="Times New Roman" w:hAnsi="Times New Roman" w:cs="Times New Roman"/>
          <w:sz w:val="24"/>
          <w:szCs w:val="24"/>
        </w:rPr>
        <w:t>, Columbia could file to exit the merchant function for residential customers</w:t>
      </w:r>
      <w:r>
        <w:rPr>
          <w:rFonts w:ascii="Times New Roman" w:hAnsi="Times New Roman" w:cs="Times New Roman"/>
          <w:sz w:val="24"/>
          <w:szCs w:val="24"/>
        </w:rPr>
        <w:t xml:space="preserve"> and </w:t>
      </w:r>
      <w:r w:rsidR="00373E1E">
        <w:rPr>
          <w:rFonts w:ascii="Times New Roman" w:hAnsi="Times New Roman" w:cs="Times New Roman"/>
          <w:sz w:val="24"/>
          <w:szCs w:val="24"/>
        </w:rPr>
        <w:t>(2)</w:t>
      </w:r>
      <w:r>
        <w:rPr>
          <w:rFonts w:ascii="Times New Roman" w:hAnsi="Times New Roman" w:cs="Times New Roman"/>
          <w:sz w:val="24"/>
          <w:szCs w:val="24"/>
        </w:rPr>
        <w:t xml:space="preserve"> impose an unjustifiable $0.06/</w:t>
      </w:r>
      <w:proofErr w:type="spellStart"/>
      <w:r>
        <w:rPr>
          <w:rFonts w:ascii="Times New Roman" w:hAnsi="Times New Roman" w:cs="Times New Roman"/>
          <w:sz w:val="24"/>
          <w:szCs w:val="24"/>
        </w:rPr>
        <w:t>Mcf</w:t>
      </w:r>
      <w:proofErr w:type="spellEnd"/>
      <w:r>
        <w:rPr>
          <w:rFonts w:ascii="Times New Roman" w:hAnsi="Times New Roman" w:cs="Times New Roman"/>
          <w:sz w:val="24"/>
          <w:szCs w:val="24"/>
        </w:rPr>
        <w:t xml:space="preserve"> tax on SCO suppliers.    </w:t>
      </w:r>
    </w:p>
    <w:p w:rsidR="00A77DBB" w:rsidRDefault="00A77DBB" w:rsidP="00A77D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Hess respectfully requests that the Commission make the following orders:</w:t>
      </w:r>
    </w:p>
    <w:p w:rsidR="00A77DBB" w:rsidRDefault="00A77DBB" w:rsidP="00A77DBB">
      <w:pPr>
        <w:pStyle w:val="ListParagraph"/>
        <w:numPr>
          <w:ilvl w:val="0"/>
          <w:numId w:val="2"/>
        </w:numPr>
        <w:spacing w:after="0" w:line="240" w:lineRule="auto"/>
        <w:ind w:right="1350"/>
        <w:jc w:val="both"/>
        <w:rPr>
          <w:rFonts w:ascii="Times New Roman" w:hAnsi="Times New Roman" w:cs="Times New Roman"/>
          <w:sz w:val="24"/>
          <w:szCs w:val="24"/>
        </w:rPr>
      </w:pPr>
      <w:r>
        <w:rPr>
          <w:rFonts w:ascii="Times New Roman" w:hAnsi="Times New Roman" w:cs="Times New Roman"/>
          <w:sz w:val="24"/>
          <w:szCs w:val="24"/>
        </w:rPr>
        <w:t xml:space="preserve">The Commission should reject the Amended Stipulation’s proposed </w:t>
      </w:r>
      <w:r w:rsidR="00373E1E">
        <w:rPr>
          <w:rFonts w:ascii="Times New Roman" w:hAnsi="Times New Roman" w:cs="Times New Roman"/>
          <w:sz w:val="24"/>
          <w:szCs w:val="24"/>
        </w:rPr>
        <w:t xml:space="preserve">exit </w:t>
      </w:r>
      <w:r>
        <w:rPr>
          <w:rFonts w:ascii="Times New Roman" w:hAnsi="Times New Roman" w:cs="Times New Roman"/>
          <w:sz w:val="24"/>
          <w:szCs w:val="24"/>
        </w:rPr>
        <w:t xml:space="preserve">framework for residential customers as the 70% shopping trigger is way too low, and would create regulatory uncertainty in the SCO and retail markets leading to an increase in prices for all residential customers.     </w:t>
      </w:r>
    </w:p>
    <w:p w:rsidR="00A77DBB" w:rsidRDefault="00A77DBB" w:rsidP="00A77DBB">
      <w:pPr>
        <w:pStyle w:val="ListParagraph"/>
        <w:numPr>
          <w:ilvl w:val="0"/>
          <w:numId w:val="2"/>
        </w:numPr>
        <w:spacing w:before="240" w:after="0" w:line="240" w:lineRule="auto"/>
        <w:ind w:right="1354"/>
        <w:contextualSpacing w:val="0"/>
        <w:jc w:val="both"/>
        <w:rPr>
          <w:rFonts w:ascii="Times New Roman" w:hAnsi="Times New Roman" w:cs="Times New Roman"/>
          <w:sz w:val="24"/>
          <w:szCs w:val="24"/>
        </w:rPr>
      </w:pPr>
      <w:r>
        <w:rPr>
          <w:rFonts w:ascii="Times New Roman" w:hAnsi="Times New Roman" w:cs="Times New Roman"/>
          <w:sz w:val="24"/>
          <w:szCs w:val="24"/>
        </w:rPr>
        <w:t>The Commission should reject the Amended Stipulation’s proposed SCO security “deposit” as it would needlessly increase prices for SCO customers and disrupt the competitive balance between SCO and retail suppliers.</w:t>
      </w:r>
    </w:p>
    <w:p w:rsidR="00A77DBB" w:rsidRDefault="00A77DBB" w:rsidP="00A77DBB">
      <w:pPr>
        <w:pStyle w:val="ListParagraph"/>
        <w:numPr>
          <w:ilvl w:val="0"/>
          <w:numId w:val="2"/>
        </w:numPr>
        <w:spacing w:before="240" w:after="0" w:line="240" w:lineRule="auto"/>
        <w:ind w:right="1354"/>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Commission should approve the Amended Stipulation’s </w:t>
      </w:r>
      <w:r w:rsidR="00373E1E">
        <w:rPr>
          <w:rFonts w:ascii="Times New Roman" w:hAnsi="Times New Roman" w:cs="Times New Roman"/>
          <w:sz w:val="24"/>
          <w:szCs w:val="24"/>
        </w:rPr>
        <w:t xml:space="preserve">proposed </w:t>
      </w:r>
      <w:r>
        <w:rPr>
          <w:rFonts w:ascii="Times New Roman" w:hAnsi="Times New Roman" w:cs="Times New Roman"/>
          <w:sz w:val="24"/>
          <w:szCs w:val="24"/>
        </w:rPr>
        <w:t>framework for the exiting the non-residential merchant function.</w:t>
      </w:r>
    </w:p>
    <w:p w:rsidR="00A77DBB" w:rsidRPr="00413FB5" w:rsidRDefault="00A77DBB" w:rsidP="00B16882">
      <w:pPr>
        <w:pStyle w:val="ListParagraph"/>
        <w:numPr>
          <w:ilvl w:val="0"/>
          <w:numId w:val="2"/>
        </w:numPr>
        <w:spacing w:before="240" w:after="0" w:line="240" w:lineRule="auto"/>
        <w:ind w:right="135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Commission should approve Hess’ methodology to allocate remaining non-residential customers to the MVR, as Hess’ methodology fairly assigns such customers to both SCO and Choice suppliers.  </w:t>
      </w:r>
    </w:p>
    <w:p w:rsidR="00A77DBB" w:rsidRPr="00AF1AD3" w:rsidRDefault="003A4174" w:rsidP="00B16882">
      <w:pPr>
        <w:spacing w:before="360" w:after="0" w:line="480" w:lineRule="auto"/>
        <w:jc w:val="both"/>
        <w:rPr>
          <w:rFonts w:ascii="Times New Roman" w:hAnsi="Times New Roman" w:cs="Times New Roman"/>
          <w:b/>
          <w:i/>
          <w:sz w:val="24"/>
          <w:szCs w:val="24"/>
        </w:rPr>
      </w:pPr>
      <w:r w:rsidRPr="003A4174">
        <w:rPr>
          <w:rFonts w:ascii="Times New Roman" w:hAnsi="Times New Roman" w:cs="Times New Roman"/>
          <w:b/>
          <w:i/>
          <w:sz w:val="24"/>
          <w:szCs w:val="24"/>
        </w:rPr>
        <w:t>III.</w:t>
      </w:r>
      <w:r w:rsidRPr="003A4174">
        <w:rPr>
          <w:rFonts w:ascii="Times New Roman" w:hAnsi="Times New Roman" w:cs="Times New Roman"/>
          <w:b/>
          <w:i/>
          <w:sz w:val="24"/>
          <w:szCs w:val="24"/>
        </w:rPr>
        <w:tab/>
        <w:t>ARGUMENT</w:t>
      </w:r>
    </w:p>
    <w:p w:rsidR="00A77DBB" w:rsidRDefault="00A77DBB" w:rsidP="00A77DBB">
      <w:pPr>
        <w:pStyle w:val="ListParagraph"/>
        <w:numPr>
          <w:ilvl w:val="0"/>
          <w:numId w:val="3"/>
        </w:numPr>
        <w:spacing w:after="0" w:line="240" w:lineRule="auto"/>
        <w:ind w:left="1440" w:hanging="720"/>
        <w:jc w:val="both"/>
        <w:rPr>
          <w:rFonts w:ascii="Times New Roman" w:hAnsi="Times New Roman" w:cs="Times New Roman"/>
          <w:sz w:val="24"/>
          <w:szCs w:val="24"/>
        </w:rPr>
      </w:pPr>
      <w:r w:rsidRPr="00C27004">
        <w:rPr>
          <w:rFonts w:ascii="Times New Roman Bold" w:hAnsi="Times New Roman Bold" w:cs="Times New Roman"/>
          <w:b/>
          <w:caps/>
          <w:sz w:val="24"/>
          <w:szCs w:val="24"/>
        </w:rPr>
        <w:t>The Amended Stipulation’s Proposed Framework to Exit the Residential Merchant Function is Not in the Public Interest Because it would Lead to the</w:t>
      </w:r>
      <w:r w:rsidR="00C712DD">
        <w:rPr>
          <w:rFonts w:ascii="Times New Roman Bold" w:hAnsi="Times New Roman Bold" w:cs="Times New Roman"/>
          <w:b/>
          <w:caps/>
          <w:sz w:val="24"/>
          <w:szCs w:val="24"/>
        </w:rPr>
        <w:t xml:space="preserve"> PREMATURE</w:t>
      </w:r>
      <w:r w:rsidRPr="00C27004">
        <w:rPr>
          <w:rFonts w:ascii="Times New Roman Bold" w:hAnsi="Times New Roman Bold" w:cs="Times New Roman"/>
          <w:b/>
          <w:caps/>
          <w:sz w:val="24"/>
          <w:szCs w:val="24"/>
        </w:rPr>
        <w:t xml:space="preserve"> Elimination of </w:t>
      </w:r>
      <w:r w:rsidR="00DE0EE4">
        <w:rPr>
          <w:rFonts w:ascii="Times New Roman Bold" w:hAnsi="Times New Roman Bold" w:cs="Times New Roman"/>
          <w:b/>
          <w:caps/>
          <w:sz w:val="24"/>
          <w:szCs w:val="24"/>
        </w:rPr>
        <w:t>COLUMBIA’s</w:t>
      </w:r>
      <w:r w:rsidR="00DE0EE4" w:rsidRPr="00C27004">
        <w:rPr>
          <w:rFonts w:ascii="Times New Roman Bold" w:hAnsi="Times New Roman Bold" w:cs="Times New Roman"/>
          <w:b/>
          <w:caps/>
          <w:sz w:val="24"/>
          <w:szCs w:val="24"/>
        </w:rPr>
        <w:t xml:space="preserve"> </w:t>
      </w:r>
      <w:r w:rsidRPr="00C27004">
        <w:rPr>
          <w:rFonts w:ascii="Times New Roman Bold" w:hAnsi="Times New Roman Bold" w:cs="Times New Roman"/>
          <w:b/>
          <w:caps/>
          <w:sz w:val="24"/>
          <w:szCs w:val="24"/>
        </w:rPr>
        <w:t>SCO</w:t>
      </w:r>
      <w:r w:rsidR="00DE0EE4">
        <w:rPr>
          <w:rFonts w:ascii="Times New Roman Bold" w:hAnsi="Times New Roman Bold" w:cs="Times New Roman"/>
          <w:b/>
          <w:caps/>
          <w:sz w:val="24"/>
          <w:szCs w:val="24"/>
        </w:rPr>
        <w:t xml:space="preserve"> PROGRAM</w:t>
      </w:r>
      <w:r w:rsidRPr="00C27004">
        <w:rPr>
          <w:rFonts w:ascii="Times New Roman Bold" w:hAnsi="Times New Roman Bold" w:cs="Times New Roman"/>
          <w:b/>
          <w:caps/>
          <w:sz w:val="24"/>
          <w:szCs w:val="24"/>
        </w:rPr>
        <w:t>, Residential Consumers’ Lowest Priced Competitive Natural Gas Supply Option</w:t>
      </w:r>
      <w:r w:rsidRPr="005C5702">
        <w:rPr>
          <w:rFonts w:ascii="Times New Roman" w:hAnsi="Times New Roman" w:cs="Times New Roman"/>
          <w:b/>
          <w:i/>
          <w:sz w:val="24"/>
          <w:szCs w:val="24"/>
        </w:rPr>
        <w:t>.</w:t>
      </w:r>
    </w:p>
    <w:p w:rsidR="00C712DD" w:rsidRDefault="00C712DD" w:rsidP="00A77DBB">
      <w:pPr>
        <w:spacing w:before="240" w:after="0" w:line="480" w:lineRule="auto"/>
        <w:ind w:firstLine="720"/>
        <w:jc w:val="both"/>
        <w:rPr>
          <w:rFonts w:ascii="Times New Roman" w:hAnsi="Times New Roman"/>
          <w:sz w:val="24"/>
          <w:szCs w:val="24"/>
        </w:rPr>
      </w:pPr>
      <w:r>
        <w:rPr>
          <w:rFonts w:ascii="Times New Roman" w:hAnsi="Times New Roman"/>
          <w:sz w:val="24"/>
          <w:szCs w:val="24"/>
        </w:rPr>
        <w:t xml:space="preserve">The Amended Stipulation provides that if residential customer participation in the </w:t>
      </w:r>
      <w:r w:rsidR="00373E1E">
        <w:rPr>
          <w:rFonts w:ascii="Times New Roman" w:hAnsi="Times New Roman"/>
          <w:sz w:val="24"/>
          <w:szCs w:val="24"/>
        </w:rPr>
        <w:t>Columbia</w:t>
      </w:r>
      <w:r>
        <w:rPr>
          <w:rFonts w:ascii="Times New Roman" w:hAnsi="Times New Roman"/>
          <w:sz w:val="24"/>
          <w:szCs w:val="24"/>
        </w:rPr>
        <w:t xml:space="preserve"> Choice program meets or exceeds 70% of Choice-eligible, residential customers for three consecutive months, </w:t>
      </w:r>
      <w:r w:rsidRPr="00FB77BD">
        <w:rPr>
          <w:rFonts w:ascii="Times New Roman" w:hAnsi="Times New Roman"/>
          <w:sz w:val="24"/>
          <w:szCs w:val="24"/>
        </w:rPr>
        <w:t xml:space="preserve">then </w:t>
      </w:r>
      <w:r w:rsidR="00373E1E">
        <w:rPr>
          <w:rFonts w:ascii="Times New Roman" w:hAnsi="Times New Roman"/>
          <w:sz w:val="24"/>
          <w:szCs w:val="24"/>
        </w:rPr>
        <w:t>Columbia</w:t>
      </w:r>
      <w:r w:rsidRPr="00FB77BD">
        <w:rPr>
          <w:rFonts w:ascii="Times New Roman" w:hAnsi="Times New Roman"/>
          <w:sz w:val="24"/>
          <w:szCs w:val="24"/>
        </w:rPr>
        <w:t xml:space="preserve"> </w:t>
      </w:r>
      <w:r>
        <w:rPr>
          <w:rFonts w:ascii="Times New Roman" w:hAnsi="Times New Roman"/>
          <w:sz w:val="24"/>
          <w:szCs w:val="24"/>
        </w:rPr>
        <w:t>may</w:t>
      </w:r>
      <w:r w:rsidRPr="00FB77BD">
        <w:rPr>
          <w:rFonts w:ascii="Times New Roman" w:hAnsi="Times New Roman"/>
          <w:sz w:val="24"/>
          <w:szCs w:val="24"/>
        </w:rPr>
        <w:t xml:space="preserve"> file an application with the Commission to exit the merchant function for all </w:t>
      </w:r>
      <w:r>
        <w:rPr>
          <w:rFonts w:ascii="Times New Roman" w:hAnsi="Times New Roman"/>
          <w:sz w:val="24"/>
          <w:szCs w:val="24"/>
        </w:rPr>
        <w:t>Choice-eligible r</w:t>
      </w:r>
      <w:r w:rsidRPr="00FB77BD">
        <w:rPr>
          <w:rFonts w:ascii="Times New Roman" w:hAnsi="Times New Roman"/>
          <w:sz w:val="24"/>
          <w:szCs w:val="24"/>
        </w:rPr>
        <w:t xml:space="preserve">esidential </w:t>
      </w:r>
      <w:r>
        <w:rPr>
          <w:rFonts w:ascii="Times New Roman" w:hAnsi="Times New Roman"/>
          <w:sz w:val="24"/>
          <w:szCs w:val="24"/>
        </w:rPr>
        <w:t>c</w:t>
      </w:r>
      <w:r w:rsidRPr="00FB77BD">
        <w:rPr>
          <w:rFonts w:ascii="Times New Roman" w:hAnsi="Times New Roman"/>
          <w:sz w:val="24"/>
          <w:szCs w:val="24"/>
        </w:rPr>
        <w:t>ustomers on the first April that is at least t</w:t>
      </w:r>
      <w:r>
        <w:rPr>
          <w:rFonts w:ascii="Times New Roman" w:hAnsi="Times New Roman"/>
          <w:sz w:val="24"/>
          <w:szCs w:val="24"/>
        </w:rPr>
        <w:t>wenty-two (22)</w:t>
      </w:r>
      <w:r w:rsidRPr="00FB77BD">
        <w:rPr>
          <w:rFonts w:ascii="Times New Roman" w:hAnsi="Times New Roman"/>
          <w:sz w:val="24"/>
          <w:szCs w:val="24"/>
        </w:rPr>
        <w:t xml:space="preserve"> months after </w:t>
      </w:r>
      <w:r w:rsidR="00373E1E">
        <w:rPr>
          <w:rFonts w:ascii="Times New Roman" w:hAnsi="Times New Roman"/>
          <w:sz w:val="24"/>
          <w:szCs w:val="24"/>
        </w:rPr>
        <w:t>Columbia</w:t>
      </w:r>
      <w:r w:rsidRPr="00FB77BD">
        <w:rPr>
          <w:rFonts w:ascii="Times New Roman" w:hAnsi="Times New Roman"/>
          <w:sz w:val="24"/>
          <w:szCs w:val="24"/>
        </w:rPr>
        <w:t xml:space="preserve"> exits the merchant function with regard to </w:t>
      </w:r>
      <w:r>
        <w:rPr>
          <w:rFonts w:ascii="Times New Roman" w:hAnsi="Times New Roman"/>
          <w:sz w:val="24"/>
          <w:szCs w:val="24"/>
        </w:rPr>
        <w:t>non-residential c</w:t>
      </w:r>
      <w:r w:rsidRPr="00FB77BD">
        <w:rPr>
          <w:rFonts w:ascii="Times New Roman" w:hAnsi="Times New Roman"/>
          <w:sz w:val="24"/>
          <w:szCs w:val="24"/>
        </w:rPr>
        <w:t xml:space="preserve">ustomers. </w:t>
      </w:r>
      <w:r w:rsidR="00373E1E">
        <w:rPr>
          <w:rFonts w:ascii="Times New Roman" w:hAnsi="Times New Roman"/>
          <w:sz w:val="24"/>
          <w:szCs w:val="24"/>
        </w:rPr>
        <w:t xml:space="preserve"> </w:t>
      </w:r>
      <w:r w:rsidR="00DE0EE4">
        <w:rPr>
          <w:rFonts w:ascii="Times New Roman" w:hAnsi="Times New Roman"/>
          <w:sz w:val="24"/>
          <w:szCs w:val="24"/>
        </w:rPr>
        <w:t xml:space="preserve">Joint Ex. 1, at </w:t>
      </w:r>
      <w:r w:rsidR="00AF1AD3">
        <w:rPr>
          <w:rFonts w:ascii="Times New Roman" w:hAnsi="Times New Roman"/>
          <w:sz w:val="24"/>
          <w:szCs w:val="24"/>
        </w:rPr>
        <w:t>10-</w:t>
      </w:r>
      <w:r w:rsidR="00CD0D51">
        <w:rPr>
          <w:rFonts w:ascii="Times New Roman" w:hAnsi="Times New Roman"/>
          <w:sz w:val="24"/>
          <w:szCs w:val="24"/>
        </w:rPr>
        <w:t xml:space="preserve">11.  </w:t>
      </w:r>
      <w:r w:rsidR="00373E1E">
        <w:rPr>
          <w:rFonts w:ascii="Times New Roman" w:hAnsi="Times New Roman"/>
          <w:sz w:val="24"/>
          <w:szCs w:val="24"/>
        </w:rPr>
        <w:t>In the application, Columbia</w:t>
      </w:r>
      <w:r w:rsidRPr="00FB77BD">
        <w:rPr>
          <w:rFonts w:ascii="Times New Roman" w:hAnsi="Times New Roman"/>
          <w:sz w:val="24"/>
          <w:szCs w:val="24"/>
        </w:rPr>
        <w:t xml:space="preserve"> and the </w:t>
      </w:r>
      <w:r>
        <w:rPr>
          <w:rFonts w:ascii="Times New Roman" w:hAnsi="Times New Roman"/>
          <w:sz w:val="24"/>
          <w:szCs w:val="24"/>
        </w:rPr>
        <w:t>OGMG</w:t>
      </w:r>
      <w:r w:rsidRPr="00FB77BD">
        <w:rPr>
          <w:rFonts w:ascii="Times New Roman" w:hAnsi="Times New Roman"/>
          <w:sz w:val="24"/>
          <w:szCs w:val="24"/>
        </w:rPr>
        <w:t xml:space="preserve"> </w:t>
      </w:r>
      <w:r>
        <w:rPr>
          <w:rFonts w:ascii="Times New Roman" w:hAnsi="Times New Roman"/>
          <w:sz w:val="24"/>
          <w:szCs w:val="24"/>
        </w:rPr>
        <w:t>will</w:t>
      </w:r>
      <w:r w:rsidRPr="00FB77BD">
        <w:rPr>
          <w:rFonts w:ascii="Times New Roman" w:hAnsi="Times New Roman"/>
          <w:sz w:val="24"/>
          <w:szCs w:val="24"/>
        </w:rPr>
        <w:t xml:space="preserve"> prepare testimony supporting that final exit-the-merchant-function application.</w:t>
      </w:r>
      <w:r w:rsidR="00CD0D51">
        <w:rPr>
          <w:rFonts w:ascii="Times New Roman" w:hAnsi="Times New Roman"/>
          <w:sz w:val="24"/>
          <w:szCs w:val="24"/>
        </w:rPr>
        <w:t xml:space="preserve">  </w:t>
      </w:r>
      <w:r w:rsidR="00CD0D51" w:rsidRPr="00337D8E">
        <w:rPr>
          <w:rFonts w:ascii="Times New Roman" w:hAnsi="Times New Roman"/>
          <w:i/>
          <w:sz w:val="24"/>
          <w:szCs w:val="24"/>
        </w:rPr>
        <w:t>Id</w:t>
      </w:r>
      <w:r w:rsidR="00CD0D51">
        <w:rPr>
          <w:rFonts w:ascii="Times New Roman" w:hAnsi="Times New Roman"/>
          <w:sz w:val="24"/>
          <w:szCs w:val="24"/>
        </w:rPr>
        <w:t>.</w:t>
      </w:r>
    </w:p>
    <w:p w:rsidR="00B16882" w:rsidRDefault="00C712DD" w:rsidP="00C712DD">
      <w:pPr>
        <w:spacing w:after="0" w:line="480" w:lineRule="auto"/>
        <w:ind w:firstLine="720"/>
        <w:jc w:val="both"/>
        <w:rPr>
          <w:rFonts w:ascii="Times New Roman" w:hAnsi="Times New Roman"/>
          <w:sz w:val="24"/>
          <w:szCs w:val="24"/>
        </w:rPr>
      </w:pPr>
      <w:r>
        <w:rPr>
          <w:rFonts w:ascii="Times New Roman" w:hAnsi="Times New Roman"/>
          <w:sz w:val="24"/>
          <w:szCs w:val="24"/>
        </w:rPr>
        <w:t>Hess understands that (</w:t>
      </w:r>
      <w:proofErr w:type="spellStart"/>
      <w:r>
        <w:rPr>
          <w:rFonts w:ascii="Times New Roman" w:hAnsi="Times New Roman"/>
          <w:sz w:val="24"/>
          <w:szCs w:val="24"/>
        </w:rPr>
        <w:t>i</w:t>
      </w:r>
      <w:proofErr w:type="spellEnd"/>
      <w:r>
        <w:rPr>
          <w:rFonts w:ascii="Times New Roman" w:hAnsi="Times New Roman"/>
          <w:sz w:val="24"/>
          <w:szCs w:val="24"/>
        </w:rPr>
        <w:t>) given current shopping statistics, it could take several years to reach the residential exit trigger;</w:t>
      </w:r>
      <w:r>
        <w:rPr>
          <w:rStyle w:val="FootnoteReference"/>
          <w:rFonts w:ascii="Times New Roman" w:hAnsi="Times New Roman"/>
          <w:sz w:val="24"/>
          <w:szCs w:val="24"/>
        </w:rPr>
        <w:footnoteReference w:id="3"/>
      </w:r>
      <w:r>
        <w:rPr>
          <w:rFonts w:ascii="Times New Roman" w:hAnsi="Times New Roman"/>
          <w:sz w:val="24"/>
          <w:szCs w:val="24"/>
        </w:rPr>
        <w:t xml:space="preserve"> and (ii) the Amended Stipulation provides that </w:t>
      </w:r>
      <w:r w:rsidR="00373E1E">
        <w:rPr>
          <w:rFonts w:ascii="Times New Roman" w:hAnsi="Times New Roman"/>
          <w:sz w:val="24"/>
          <w:szCs w:val="24"/>
        </w:rPr>
        <w:t>Columbia</w:t>
      </w:r>
      <w:r>
        <w:rPr>
          <w:rFonts w:ascii="Times New Roman" w:hAnsi="Times New Roman"/>
          <w:sz w:val="24"/>
          <w:szCs w:val="24"/>
        </w:rPr>
        <w:t xml:space="preserve"> may file an application to exit and is not calling for an automatic exit like the </w:t>
      </w:r>
      <w:r w:rsidR="00AF1AD3">
        <w:rPr>
          <w:rFonts w:ascii="Times New Roman" w:hAnsi="Times New Roman"/>
          <w:sz w:val="24"/>
          <w:szCs w:val="24"/>
        </w:rPr>
        <w:t xml:space="preserve">Amended </w:t>
      </w:r>
      <w:r>
        <w:rPr>
          <w:rFonts w:ascii="Times New Roman" w:hAnsi="Times New Roman"/>
          <w:sz w:val="24"/>
          <w:szCs w:val="24"/>
        </w:rPr>
        <w:t xml:space="preserve">Stipulation does for non-residential customers.  However, Hess still recommends that the Commission reject the Amended Stipulation’s </w:t>
      </w:r>
      <w:r w:rsidR="00373E1E">
        <w:rPr>
          <w:rFonts w:ascii="Times New Roman" w:hAnsi="Times New Roman"/>
          <w:sz w:val="24"/>
          <w:szCs w:val="24"/>
        </w:rPr>
        <w:t xml:space="preserve">proposed </w:t>
      </w:r>
      <w:r>
        <w:rPr>
          <w:rFonts w:ascii="Times New Roman" w:hAnsi="Times New Roman"/>
          <w:sz w:val="24"/>
          <w:szCs w:val="24"/>
        </w:rPr>
        <w:t>residential exit framework</w:t>
      </w:r>
      <w:r w:rsidR="001F3CC5">
        <w:rPr>
          <w:rFonts w:ascii="Times New Roman" w:hAnsi="Times New Roman"/>
          <w:sz w:val="24"/>
          <w:szCs w:val="24"/>
        </w:rPr>
        <w:t xml:space="preserve"> as it is not in the public interest </w:t>
      </w:r>
    </w:p>
    <w:p w:rsidR="00B16882" w:rsidRDefault="00B16882">
      <w:pPr>
        <w:rPr>
          <w:rFonts w:ascii="Times New Roman" w:hAnsi="Times New Roman"/>
          <w:sz w:val="24"/>
          <w:szCs w:val="24"/>
        </w:rPr>
      </w:pPr>
      <w:r>
        <w:rPr>
          <w:rFonts w:ascii="Times New Roman" w:hAnsi="Times New Roman"/>
          <w:sz w:val="24"/>
          <w:szCs w:val="24"/>
        </w:rPr>
        <w:br w:type="page"/>
      </w:r>
    </w:p>
    <w:p w:rsidR="00C712DD" w:rsidRDefault="001F3CC5" w:rsidP="00B16882">
      <w:pPr>
        <w:spacing w:after="0" w:line="480" w:lineRule="auto"/>
        <w:jc w:val="both"/>
        <w:rPr>
          <w:rFonts w:ascii="Times New Roman" w:hAnsi="Times New Roman"/>
          <w:sz w:val="24"/>
          <w:szCs w:val="24"/>
        </w:rPr>
      </w:pPr>
      <w:proofErr w:type="gramStart"/>
      <w:r>
        <w:rPr>
          <w:rFonts w:ascii="Times New Roman" w:hAnsi="Times New Roman"/>
          <w:sz w:val="24"/>
          <w:szCs w:val="24"/>
        </w:rPr>
        <w:lastRenderedPageBreak/>
        <w:t>and</w:t>
      </w:r>
      <w:proofErr w:type="gramEnd"/>
      <w:r>
        <w:rPr>
          <w:rFonts w:ascii="Times New Roman" w:hAnsi="Times New Roman"/>
          <w:sz w:val="24"/>
          <w:szCs w:val="24"/>
        </w:rPr>
        <w:t xml:space="preserve"> violates important regulatory principles</w:t>
      </w:r>
      <w:r>
        <w:rPr>
          <w:rStyle w:val="FootnoteReference"/>
          <w:rFonts w:ascii="Times New Roman" w:hAnsi="Times New Roman"/>
          <w:sz w:val="24"/>
          <w:szCs w:val="24"/>
        </w:rPr>
        <w:footnoteReference w:id="4"/>
      </w:r>
      <w:r w:rsidR="00C712DD">
        <w:rPr>
          <w:rFonts w:ascii="Times New Roman" w:hAnsi="Times New Roman"/>
          <w:sz w:val="24"/>
          <w:szCs w:val="24"/>
        </w:rPr>
        <w:t xml:space="preserve"> because the Commission would be: </w:t>
      </w:r>
    </w:p>
    <w:p w:rsidR="00C712DD" w:rsidRDefault="00C712DD" w:rsidP="00B16882">
      <w:pPr>
        <w:spacing w:after="0" w:line="240" w:lineRule="auto"/>
        <w:ind w:left="1260" w:right="720" w:hanging="54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sidR="00B16882">
        <w:rPr>
          <w:rFonts w:ascii="Times New Roman" w:hAnsi="Times New Roman"/>
          <w:sz w:val="24"/>
          <w:szCs w:val="24"/>
        </w:rPr>
        <w:tab/>
      </w:r>
      <w:r>
        <w:rPr>
          <w:rFonts w:ascii="Times New Roman" w:hAnsi="Times New Roman"/>
          <w:sz w:val="24"/>
          <w:szCs w:val="24"/>
        </w:rPr>
        <w:t xml:space="preserve">Creating regulatory uncertainty in the SCO and retail markets, </w:t>
      </w:r>
      <w:proofErr w:type="gramStart"/>
      <w:r>
        <w:rPr>
          <w:rFonts w:ascii="Times New Roman" w:hAnsi="Times New Roman"/>
          <w:sz w:val="24"/>
          <w:szCs w:val="24"/>
        </w:rPr>
        <w:t>which will lead to higher prices for residential customers;</w:t>
      </w:r>
      <w:proofErr w:type="gramEnd"/>
    </w:p>
    <w:p w:rsidR="00C712DD" w:rsidRDefault="00C712DD" w:rsidP="00B16882">
      <w:pPr>
        <w:spacing w:after="0" w:line="240" w:lineRule="auto"/>
        <w:ind w:left="720" w:right="720"/>
        <w:jc w:val="both"/>
        <w:rPr>
          <w:rFonts w:ascii="Times New Roman" w:hAnsi="Times New Roman"/>
          <w:sz w:val="24"/>
          <w:szCs w:val="24"/>
        </w:rPr>
      </w:pPr>
    </w:p>
    <w:p w:rsidR="00C712DD" w:rsidRDefault="00C712DD" w:rsidP="00B16882">
      <w:pPr>
        <w:spacing w:after="0" w:line="240" w:lineRule="auto"/>
        <w:ind w:left="1260" w:right="720" w:hanging="540"/>
        <w:jc w:val="both"/>
        <w:rPr>
          <w:rFonts w:ascii="Times New Roman" w:hAnsi="Times New Roman"/>
          <w:sz w:val="24"/>
          <w:szCs w:val="24"/>
        </w:rPr>
      </w:pPr>
      <w:r>
        <w:rPr>
          <w:rFonts w:ascii="Times New Roman" w:hAnsi="Times New Roman"/>
          <w:sz w:val="24"/>
          <w:szCs w:val="24"/>
        </w:rPr>
        <w:t xml:space="preserve">(ii) </w:t>
      </w:r>
      <w:r w:rsidR="00B16882">
        <w:rPr>
          <w:rFonts w:ascii="Times New Roman" w:hAnsi="Times New Roman"/>
          <w:sz w:val="24"/>
          <w:szCs w:val="24"/>
        </w:rPr>
        <w:tab/>
      </w:r>
      <w:r>
        <w:rPr>
          <w:rFonts w:ascii="Times New Roman" w:hAnsi="Times New Roman"/>
          <w:sz w:val="24"/>
          <w:szCs w:val="24"/>
        </w:rPr>
        <w:t xml:space="preserve">Removing the lowest-cost benchmark price, which provides extremely valuable transparency for residential customers; and </w:t>
      </w:r>
    </w:p>
    <w:p w:rsidR="00C712DD" w:rsidRDefault="00C712DD" w:rsidP="00B16882">
      <w:pPr>
        <w:spacing w:after="0" w:line="240" w:lineRule="auto"/>
        <w:ind w:left="720" w:right="720"/>
        <w:jc w:val="both"/>
        <w:rPr>
          <w:rFonts w:ascii="Times New Roman" w:hAnsi="Times New Roman"/>
          <w:sz w:val="24"/>
          <w:szCs w:val="24"/>
        </w:rPr>
      </w:pPr>
    </w:p>
    <w:p w:rsidR="00C712DD" w:rsidRDefault="00C712DD" w:rsidP="00B16882">
      <w:pPr>
        <w:spacing w:after="0" w:line="240" w:lineRule="auto"/>
        <w:ind w:left="1260" w:right="720" w:hanging="540"/>
        <w:jc w:val="both"/>
        <w:rPr>
          <w:rFonts w:ascii="Times New Roman" w:hAnsi="Times New Roman"/>
          <w:sz w:val="24"/>
          <w:szCs w:val="24"/>
        </w:rPr>
      </w:pPr>
      <w:r>
        <w:rPr>
          <w:rFonts w:ascii="Times New Roman" w:hAnsi="Times New Roman"/>
          <w:sz w:val="24"/>
          <w:szCs w:val="24"/>
        </w:rPr>
        <w:t xml:space="preserve">(iii) </w:t>
      </w:r>
      <w:r w:rsidR="00B16882">
        <w:rPr>
          <w:rFonts w:ascii="Times New Roman" w:hAnsi="Times New Roman"/>
          <w:sz w:val="24"/>
          <w:szCs w:val="24"/>
        </w:rPr>
        <w:tab/>
      </w:r>
      <w:r>
        <w:rPr>
          <w:rFonts w:ascii="Times New Roman" w:hAnsi="Times New Roman"/>
          <w:sz w:val="24"/>
          <w:szCs w:val="24"/>
        </w:rPr>
        <w:t xml:space="preserve">Subjecting numerous SCO residential customers to higher prices without their consent, </w:t>
      </w:r>
      <w:proofErr w:type="gramStart"/>
      <w:r>
        <w:rPr>
          <w:rFonts w:ascii="Times New Roman" w:hAnsi="Times New Roman"/>
          <w:sz w:val="24"/>
          <w:szCs w:val="24"/>
        </w:rPr>
        <w:t>which is inconsistent with prevailing Ohio policy and not in the public interest.</w:t>
      </w:r>
      <w:proofErr w:type="gramEnd"/>
      <w:r>
        <w:rPr>
          <w:rFonts w:ascii="Times New Roman" w:hAnsi="Times New Roman"/>
          <w:sz w:val="24"/>
          <w:szCs w:val="24"/>
        </w:rPr>
        <w:t xml:space="preserve">  </w:t>
      </w:r>
    </w:p>
    <w:p w:rsidR="0092730E" w:rsidRPr="00AF1AD3" w:rsidRDefault="003A4174" w:rsidP="00B16882">
      <w:pPr>
        <w:pStyle w:val="ListParagraph"/>
        <w:numPr>
          <w:ilvl w:val="0"/>
          <w:numId w:val="5"/>
        </w:numPr>
        <w:spacing w:before="360" w:after="0" w:line="240" w:lineRule="auto"/>
        <w:contextualSpacing w:val="0"/>
        <w:jc w:val="both"/>
        <w:rPr>
          <w:rFonts w:ascii="Times New Roman" w:hAnsi="Times New Roman"/>
          <w:b/>
          <w:i/>
          <w:sz w:val="24"/>
          <w:szCs w:val="24"/>
        </w:rPr>
      </w:pPr>
      <w:r w:rsidRPr="003A4174">
        <w:rPr>
          <w:rFonts w:ascii="Times New Roman" w:hAnsi="Times New Roman"/>
          <w:b/>
          <w:i/>
          <w:sz w:val="24"/>
          <w:szCs w:val="24"/>
        </w:rPr>
        <w:t>Endorsing the Amended Stipulation’s Proposed Residential Exit Framework will Create Regulatory Uncertainty in the SCO and Reta</w:t>
      </w:r>
      <w:r w:rsidR="00B16882">
        <w:rPr>
          <w:rFonts w:ascii="Times New Roman" w:hAnsi="Times New Roman"/>
          <w:b/>
          <w:i/>
          <w:sz w:val="24"/>
          <w:szCs w:val="24"/>
        </w:rPr>
        <w:t>il Markets, which will Increase</w:t>
      </w:r>
      <w:r w:rsidRPr="003A4174">
        <w:rPr>
          <w:rFonts w:ascii="Times New Roman" w:hAnsi="Times New Roman"/>
          <w:b/>
          <w:i/>
          <w:sz w:val="24"/>
          <w:szCs w:val="24"/>
        </w:rPr>
        <w:t xml:space="preserve"> Prices to Customers.</w:t>
      </w:r>
    </w:p>
    <w:p w:rsidR="0092730E" w:rsidRPr="0092730E" w:rsidRDefault="0092730E" w:rsidP="0092730E">
      <w:pPr>
        <w:pStyle w:val="ListParagraph"/>
        <w:spacing w:after="0" w:line="240" w:lineRule="auto"/>
        <w:jc w:val="both"/>
        <w:rPr>
          <w:rFonts w:ascii="Times New Roman" w:hAnsi="Times New Roman"/>
          <w:sz w:val="24"/>
          <w:szCs w:val="24"/>
        </w:rPr>
      </w:pPr>
    </w:p>
    <w:p w:rsidR="00C712DD" w:rsidRDefault="00C712DD" w:rsidP="00B16882">
      <w:pPr>
        <w:spacing w:after="0" w:line="480" w:lineRule="auto"/>
        <w:ind w:firstLine="720"/>
        <w:jc w:val="both"/>
        <w:rPr>
          <w:rFonts w:ascii="Times New Roman" w:hAnsi="Times New Roman"/>
          <w:sz w:val="24"/>
          <w:szCs w:val="24"/>
        </w:rPr>
      </w:pPr>
      <w:r>
        <w:rPr>
          <w:rFonts w:ascii="Times New Roman" w:hAnsi="Times New Roman"/>
          <w:sz w:val="24"/>
          <w:szCs w:val="24"/>
        </w:rPr>
        <w:t xml:space="preserve">Hess witness Magnani testified that, if the Commission approved the Amended Stipulation’s residential exit framework, most participating SCO bidders would infer that the Commission considers 70% a reasonable level at which to terminate SCO service.  </w:t>
      </w:r>
      <w:proofErr w:type="gramStart"/>
      <w:r w:rsidR="00373E1E">
        <w:rPr>
          <w:rFonts w:ascii="Times New Roman" w:hAnsi="Times New Roman"/>
          <w:sz w:val="24"/>
          <w:szCs w:val="24"/>
        </w:rPr>
        <w:t>Tr. II</w:t>
      </w:r>
      <w:r w:rsidR="00CB5B38">
        <w:rPr>
          <w:rFonts w:ascii="Times New Roman" w:hAnsi="Times New Roman"/>
          <w:sz w:val="24"/>
          <w:szCs w:val="24"/>
        </w:rPr>
        <w:t>I</w:t>
      </w:r>
      <w:r w:rsidR="00373E1E">
        <w:rPr>
          <w:rFonts w:ascii="Times New Roman" w:hAnsi="Times New Roman"/>
          <w:sz w:val="24"/>
          <w:szCs w:val="24"/>
        </w:rPr>
        <w:t>, at 174 175.</w:t>
      </w:r>
      <w:proofErr w:type="gramEnd"/>
      <w:r w:rsidR="00373E1E">
        <w:rPr>
          <w:rFonts w:ascii="Times New Roman" w:hAnsi="Times New Roman"/>
          <w:sz w:val="24"/>
          <w:szCs w:val="24"/>
        </w:rPr>
        <w:t xml:space="preserve">  </w:t>
      </w:r>
      <w:r>
        <w:rPr>
          <w:rFonts w:ascii="Times New Roman" w:hAnsi="Times New Roman"/>
          <w:sz w:val="24"/>
          <w:szCs w:val="24"/>
        </w:rPr>
        <w:t>Adoption of this termination level would create a great deal of regulatory unce</w:t>
      </w:r>
      <w:r w:rsidR="00373E1E">
        <w:rPr>
          <w:rFonts w:ascii="Times New Roman" w:hAnsi="Times New Roman"/>
          <w:sz w:val="24"/>
          <w:szCs w:val="24"/>
        </w:rPr>
        <w:t xml:space="preserve">rtainty in the SCO market, and </w:t>
      </w:r>
      <w:r>
        <w:rPr>
          <w:rFonts w:ascii="Times New Roman" w:hAnsi="Times New Roman"/>
          <w:sz w:val="24"/>
          <w:szCs w:val="24"/>
        </w:rPr>
        <w:t xml:space="preserve">SCO bidders would </w:t>
      </w:r>
      <w:r w:rsidR="00373E1E">
        <w:rPr>
          <w:rFonts w:ascii="Times New Roman" w:hAnsi="Times New Roman"/>
          <w:sz w:val="24"/>
          <w:szCs w:val="24"/>
        </w:rPr>
        <w:t>no longer</w:t>
      </w:r>
      <w:r>
        <w:rPr>
          <w:rFonts w:ascii="Times New Roman" w:hAnsi="Times New Roman"/>
          <w:sz w:val="24"/>
          <w:szCs w:val="24"/>
        </w:rPr>
        <w:t xml:space="preserve"> be incented to continue to make long-term investments if there were the potential that the SCO program could be discontinued.  Hess Ex. 1, at 15-16.  </w:t>
      </w:r>
      <w:r w:rsidR="00373E1E">
        <w:rPr>
          <w:rFonts w:ascii="Times New Roman" w:hAnsi="Times New Roman"/>
          <w:sz w:val="24"/>
          <w:szCs w:val="24"/>
        </w:rPr>
        <w:t>Mr. Magnani</w:t>
      </w:r>
      <w:r>
        <w:rPr>
          <w:rFonts w:ascii="Times New Roman" w:hAnsi="Times New Roman"/>
          <w:sz w:val="24"/>
          <w:szCs w:val="24"/>
        </w:rPr>
        <w:t xml:space="preserve"> explained that, even if the exit were not probable for a number of years, at some point SCO suppliers would be unwillin</w:t>
      </w:r>
      <w:r w:rsidR="00CB75D2">
        <w:rPr>
          <w:rFonts w:ascii="Times New Roman" w:hAnsi="Times New Roman"/>
          <w:sz w:val="24"/>
          <w:szCs w:val="24"/>
        </w:rPr>
        <w:t>g to make long term investments</w:t>
      </w:r>
      <w:r>
        <w:rPr>
          <w:rFonts w:ascii="Times New Roman" w:hAnsi="Times New Roman"/>
          <w:sz w:val="24"/>
          <w:szCs w:val="24"/>
        </w:rPr>
        <w:t xml:space="preserve"> if the </w:t>
      </w:r>
      <w:r w:rsidR="00CB75D2">
        <w:rPr>
          <w:rFonts w:ascii="Times New Roman" w:hAnsi="Times New Roman"/>
          <w:sz w:val="24"/>
          <w:szCs w:val="24"/>
        </w:rPr>
        <w:t>SCO program was only likely to continue for a few years.</w:t>
      </w:r>
      <w:r>
        <w:rPr>
          <w:rFonts w:ascii="Times New Roman" w:hAnsi="Times New Roman"/>
          <w:sz w:val="24"/>
          <w:szCs w:val="24"/>
        </w:rPr>
        <w:t xml:space="preserve">  Tr. II</w:t>
      </w:r>
      <w:r w:rsidR="00CB5B38">
        <w:rPr>
          <w:rFonts w:ascii="Times New Roman" w:hAnsi="Times New Roman"/>
          <w:sz w:val="24"/>
          <w:szCs w:val="24"/>
        </w:rPr>
        <w:t>I</w:t>
      </w:r>
      <w:r>
        <w:rPr>
          <w:rFonts w:ascii="Times New Roman" w:hAnsi="Times New Roman"/>
          <w:sz w:val="24"/>
          <w:szCs w:val="24"/>
        </w:rPr>
        <w:t xml:space="preserve">, at 165-166.  For example, SCO suppliers have had to make and must continue to make considerable investments in their “back-office” resources (traders, market analysts, customer enrollment personnel and IT systems) to stay competitive in the SCO market.  </w:t>
      </w:r>
      <w:proofErr w:type="gramStart"/>
      <w:r w:rsidR="00CD0D51">
        <w:rPr>
          <w:rFonts w:ascii="Times New Roman" w:hAnsi="Times New Roman"/>
          <w:sz w:val="24"/>
          <w:szCs w:val="24"/>
        </w:rPr>
        <w:t>Hess Ex. 1, at 8; Tr. II</w:t>
      </w:r>
      <w:r w:rsidR="00CB5B38">
        <w:rPr>
          <w:rFonts w:ascii="Times New Roman" w:hAnsi="Times New Roman"/>
          <w:sz w:val="24"/>
          <w:szCs w:val="24"/>
        </w:rPr>
        <w:t>I</w:t>
      </w:r>
      <w:r w:rsidR="00CD0D51">
        <w:rPr>
          <w:rFonts w:ascii="Times New Roman" w:hAnsi="Times New Roman"/>
          <w:sz w:val="24"/>
          <w:szCs w:val="24"/>
        </w:rPr>
        <w:t>, at 171.</w:t>
      </w:r>
      <w:proofErr w:type="gramEnd"/>
      <w:r w:rsidR="00CD0D51">
        <w:rPr>
          <w:rFonts w:ascii="Times New Roman" w:hAnsi="Times New Roman"/>
          <w:sz w:val="24"/>
          <w:szCs w:val="24"/>
        </w:rPr>
        <w:t xml:space="preserve">  </w:t>
      </w:r>
      <w:r>
        <w:rPr>
          <w:rFonts w:ascii="Times New Roman" w:hAnsi="Times New Roman"/>
          <w:sz w:val="24"/>
          <w:szCs w:val="24"/>
        </w:rPr>
        <w:t xml:space="preserve">Additionally, as Mr. </w:t>
      </w:r>
      <w:r>
        <w:rPr>
          <w:rFonts w:ascii="Times New Roman" w:hAnsi="Times New Roman"/>
          <w:sz w:val="24"/>
          <w:szCs w:val="24"/>
        </w:rPr>
        <w:lastRenderedPageBreak/>
        <w:t>Magnani pointed out, if the Commission sends a signal to the market that a residential exit looms in the horizon, an SCO supplier would not make the longer-</w:t>
      </w:r>
      <w:proofErr w:type="gramStart"/>
      <w:r>
        <w:rPr>
          <w:rFonts w:ascii="Times New Roman" w:hAnsi="Times New Roman"/>
          <w:sz w:val="24"/>
          <w:szCs w:val="24"/>
        </w:rPr>
        <w:t>term  investments</w:t>
      </w:r>
      <w:proofErr w:type="gramEnd"/>
      <w:r>
        <w:rPr>
          <w:rFonts w:ascii="Times New Roman" w:hAnsi="Times New Roman"/>
          <w:sz w:val="24"/>
          <w:szCs w:val="24"/>
        </w:rPr>
        <w:t xml:space="preserve"> in capacity and peaking needs</w:t>
      </w:r>
      <w:r w:rsidR="006E5FC4">
        <w:rPr>
          <w:rFonts w:ascii="Times New Roman" w:hAnsi="Times New Roman"/>
          <w:sz w:val="24"/>
          <w:szCs w:val="24"/>
        </w:rPr>
        <w:t xml:space="preserve"> (which can require commitments of at least five years or more)</w:t>
      </w:r>
      <w:r>
        <w:rPr>
          <w:rFonts w:ascii="Times New Roman" w:hAnsi="Times New Roman"/>
          <w:sz w:val="24"/>
          <w:szCs w:val="24"/>
        </w:rPr>
        <w:t xml:space="preserve"> that currently are necessary to stay competitive in the SCO market and </w:t>
      </w:r>
      <w:r w:rsidR="00CB5B38">
        <w:rPr>
          <w:rFonts w:ascii="Times New Roman" w:hAnsi="Times New Roman"/>
          <w:sz w:val="24"/>
          <w:szCs w:val="24"/>
        </w:rPr>
        <w:t>further reduce the SCO price</w:t>
      </w:r>
      <w:r>
        <w:rPr>
          <w:rFonts w:ascii="Times New Roman" w:hAnsi="Times New Roman"/>
          <w:sz w:val="24"/>
          <w:szCs w:val="24"/>
        </w:rPr>
        <w:t>. Tr. II</w:t>
      </w:r>
      <w:r w:rsidR="00CB5B38">
        <w:rPr>
          <w:rFonts w:ascii="Times New Roman" w:hAnsi="Times New Roman"/>
          <w:sz w:val="24"/>
          <w:szCs w:val="24"/>
        </w:rPr>
        <w:t>I</w:t>
      </w:r>
      <w:r>
        <w:rPr>
          <w:rFonts w:ascii="Times New Roman" w:hAnsi="Times New Roman"/>
          <w:sz w:val="24"/>
          <w:szCs w:val="24"/>
        </w:rPr>
        <w:t xml:space="preserve">, at 165-166.  As a result, SCO prices would increase without the proper long-term incentives in place. </w:t>
      </w:r>
      <w:r w:rsidR="00CB75D2">
        <w:rPr>
          <w:rFonts w:ascii="Times New Roman" w:hAnsi="Times New Roman"/>
          <w:sz w:val="24"/>
          <w:szCs w:val="24"/>
        </w:rPr>
        <w:t xml:space="preserve"> </w:t>
      </w:r>
      <w:proofErr w:type="gramStart"/>
      <w:r w:rsidR="00AF1AD3" w:rsidRPr="00B16882">
        <w:rPr>
          <w:rFonts w:ascii="Times New Roman" w:hAnsi="Times New Roman"/>
          <w:sz w:val="24"/>
          <w:szCs w:val="24"/>
        </w:rPr>
        <w:t>Hess Ex. 1, at 15</w:t>
      </w:r>
      <w:r w:rsidR="00AF1AD3">
        <w:rPr>
          <w:rFonts w:ascii="Times New Roman" w:hAnsi="Times New Roman"/>
          <w:i/>
          <w:sz w:val="24"/>
          <w:szCs w:val="24"/>
        </w:rPr>
        <w:t>.</w:t>
      </w:r>
      <w:proofErr w:type="gramEnd"/>
    </w:p>
    <w:p w:rsidR="007331B8" w:rsidRDefault="00C712DD" w:rsidP="00B16882">
      <w:pPr>
        <w:spacing w:after="0" w:line="480" w:lineRule="auto"/>
        <w:ind w:firstLine="720"/>
        <w:jc w:val="both"/>
        <w:rPr>
          <w:rFonts w:ascii="Times New Roman" w:hAnsi="Times New Roman"/>
          <w:sz w:val="24"/>
          <w:szCs w:val="24"/>
        </w:rPr>
      </w:pPr>
      <w:r>
        <w:rPr>
          <w:rFonts w:ascii="Times New Roman" w:hAnsi="Times New Roman"/>
          <w:sz w:val="24"/>
          <w:szCs w:val="24"/>
        </w:rPr>
        <w:t xml:space="preserve">Moreover, </w:t>
      </w:r>
      <w:r w:rsidR="00D01A2E">
        <w:rPr>
          <w:rFonts w:ascii="Times New Roman" w:hAnsi="Times New Roman"/>
          <w:sz w:val="24"/>
          <w:szCs w:val="24"/>
        </w:rPr>
        <w:t xml:space="preserve">the negative impacts of the proposed framework are not isolated to the SCO market as it will also introduce regulatory uncertainty and open the door for inefficiencies in the retail </w:t>
      </w:r>
      <w:r w:rsidR="00CB75D2">
        <w:rPr>
          <w:rFonts w:ascii="Times New Roman" w:hAnsi="Times New Roman"/>
          <w:sz w:val="24"/>
          <w:szCs w:val="24"/>
        </w:rPr>
        <w:t xml:space="preserve">Choice </w:t>
      </w:r>
      <w:r w:rsidR="00D01A2E">
        <w:rPr>
          <w:rFonts w:ascii="Times New Roman" w:hAnsi="Times New Roman"/>
          <w:sz w:val="24"/>
          <w:szCs w:val="24"/>
        </w:rPr>
        <w:t>market.   With the potential elimination of the SCO program</w:t>
      </w:r>
      <w:r w:rsidR="00CB75D2">
        <w:rPr>
          <w:rFonts w:ascii="Times New Roman" w:hAnsi="Times New Roman"/>
          <w:sz w:val="24"/>
          <w:szCs w:val="24"/>
        </w:rPr>
        <w:t xml:space="preserve"> once the 70% shopping level is reached</w:t>
      </w:r>
      <w:r w:rsidR="00D01A2E">
        <w:rPr>
          <w:rFonts w:ascii="Times New Roman" w:hAnsi="Times New Roman"/>
          <w:sz w:val="24"/>
          <w:szCs w:val="24"/>
        </w:rPr>
        <w:t xml:space="preserve">, retail suppliers will be incented to make investments that they otherwise would not make.  </w:t>
      </w:r>
      <w:r w:rsidR="00CD0D51">
        <w:rPr>
          <w:rFonts w:ascii="Times New Roman" w:hAnsi="Times New Roman"/>
          <w:sz w:val="24"/>
          <w:szCs w:val="24"/>
        </w:rPr>
        <w:t xml:space="preserve">Hess Ex. 1, at 15-16.  </w:t>
      </w:r>
      <w:r w:rsidR="00D01A2E">
        <w:rPr>
          <w:rFonts w:ascii="Times New Roman" w:hAnsi="Times New Roman"/>
          <w:sz w:val="24"/>
          <w:szCs w:val="24"/>
        </w:rPr>
        <w:t xml:space="preserve">For instance, if an MVR assignment methodology is predicated on some form of proportional market share at the time of exit, retail suppliers will be highly motivated to increase their shopping market shares to increase the number of non-shopping customers that they are assigned at exit.  This incentive will certainly lead suppliers to invest significantly more resources into marketing efforts and bombard residential customers with telemarketing calls and mailings.  </w:t>
      </w:r>
      <w:proofErr w:type="gramStart"/>
      <w:r w:rsidR="00D01A2E">
        <w:rPr>
          <w:rFonts w:ascii="Times New Roman" w:hAnsi="Times New Roman"/>
          <w:sz w:val="24"/>
          <w:szCs w:val="24"/>
        </w:rPr>
        <w:t>Tr. II</w:t>
      </w:r>
      <w:r w:rsidR="00CB5B38">
        <w:rPr>
          <w:rFonts w:ascii="Times New Roman" w:hAnsi="Times New Roman"/>
          <w:sz w:val="24"/>
          <w:szCs w:val="24"/>
        </w:rPr>
        <w:t>I</w:t>
      </w:r>
      <w:r w:rsidR="00D01A2E">
        <w:rPr>
          <w:rFonts w:ascii="Times New Roman" w:hAnsi="Times New Roman"/>
          <w:sz w:val="24"/>
          <w:szCs w:val="24"/>
        </w:rPr>
        <w:t>, at 166.</w:t>
      </w:r>
      <w:proofErr w:type="gramEnd"/>
      <w:r w:rsidR="00D01A2E">
        <w:rPr>
          <w:rFonts w:ascii="Times New Roman" w:hAnsi="Times New Roman"/>
          <w:sz w:val="24"/>
          <w:szCs w:val="24"/>
        </w:rPr>
        <w:t xml:space="preserve">  Customers should be presented with options, but the Commission should not endorse a framework where residential customers </w:t>
      </w:r>
      <w:r w:rsidR="00CB5B38">
        <w:rPr>
          <w:rFonts w:ascii="Times New Roman" w:hAnsi="Times New Roman"/>
          <w:sz w:val="24"/>
          <w:szCs w:val="24"/>
        </w:rPr>
        <w:t xml:space="preserve">could </w:t>
      </w:r>
      <w:r w:rsidR="00D01A2E">
        <w:rPr>
          <w:rFonts w:ascii="Times New Roman" w:hAnsi="Times New Roman"/>
          <w:sz w:val="24"/>
          <w:szCs w:val="24"/>
        </w:rPr>
        <w:t xml:space="preserve">be harassed by retail suppliers.  </w:t>
      </w:r>
      <w:proofErr w:type="gramStart"/>
      <w:r w:rsidR="00CD0D51" w:rsidRPr="00337D8E">
        <w:rPr>
          <w:rFonts w:ascii="Times New Roman" w:hAnsi="Times New Roman"/>
          <w:i/>
          <w:sz w:val="24"/>
          <w:szCs w:val="24"/>
        </w:rPr>
        <w:t>Id</w:t>
      </w:r>
      <w:r w:rsidR="00CD0D51">
        <w:rPr>
          <w:rFonts w:ascii="Times New Roman" w:hAnsi="Times New Roman"/>
          <w:sz w:val="24"/>
          <w:szCs w:val="24"/>
        </w:rPr>
        <w:t>., at 167.</w:t>
      </w:r>
      <w:proofErr w:type="gramEnd"/>
    </w:p>
    <w:p w:rsidR="00C712DD" w:rsidRDefault="00D01A2E" w:rsidP="00C9446D">
      <w:pPr>
        <w:spacing w:after="0" w:line="480" w:lineRule="auto"/>
        <w:ind w:firstLine="720"/>
        <w:jc w:val="both"/>
        <w:rPr>
          <w:rFonts w:ascii="Times New Roman" w:hAnsi="Times New Roman"/>
          <w:sz w:val="24"/>
          <w:szCs w:val="24"/>
        </w:rPr>
      </w:pPr>
      <w:r>
        <w:rPr>
          <w:rFonts w:ascii="Times New Roman" w:hAnsi="Times New Roman"/>
          <w:sz w:val="24"/>
          <w:szCs w:val="24"/>
        </w:rPr>
        <w:t xml:space="preserve">Further, retail suppliers, incentivized by the prospect of being assigned tens of thousands of customers at exit, could begin to offer customers more aggressive introductory or “teaser” rates below market </w:t>
      </w:r>
      <w:r w:rsidR="00CB75D2">
        <w:rPr>
          <w:rFonts w:ascii="Times New Roman" w:hAnsi="Times New Roman"/>
          <w:sz w:val="24"/>
          <w:szCs w:val="24"/>
        </w:rPr>
        <w:t xml:space="preserve">prices just </w:t>
      </w:r>
      <w:r>
        <w:rPr>
          <w:rFonts w:ascii="Times New Roman" w:hAnsi="Times New Roman"/>
          <w:sz w:val="24"/>
          <w:szCs w:val="24"/>
        </w:rPr>
        <w:t>to get customers to sign up with them to reach the 70% shopping tri</w:t>
      </w:r>
      <w:r w:rsidR="007331B8">
        <w:rPr>
          <w:rFonts w:ascii="Times New Roman" w:hAnsi="Times New Roman"/>
          <w:sz w:val="24"/>
          <w:szCs w:val="24"/>
        </w:rPr>
        <w:t xml:space="preserve">gger more quickly.  </w:t>
      </w:r>
      <w:r w:rsidR="00CD0D51" w:rsidRPr="00337D8E">
        <w:rPr>
          <w:rFonts w:ascii="Times New Roman" w:hAnsi="Times New Roman"/>
          <w:i/>
          <w:sz w:val="24"/>
          <w:szCs w:val="24"/>
        </w:rPr>
        <w:t>Id</w:t>
      </w:r>
      <w:r w:rsidR="00CD0D51">
        <w:rPr>
          <w:rFonts w:ascii="Times New Roman" w:hAnsi="Times New Roman"/>
          <w:sz w:val="24"/>
          <w:szCs w:val="24"/>
        </w:rPr>
        <w:t>., at 154, 157-1</w:t>
      </w:r>
      <w:r w:rsidR="00AF1AD3">
        <w:rPr>
          <w:rFonts w:ascii="Times New Roman" w:hAnsi="Times New Roman"/>
          <w:sz w:val="24"/>
          <w:szCs w:val="24"/>
        </w:rPr>
        <w:t>60</w:t>
      </w:r>
      <w:r w:rsidR="00CD0D51">
        <w:rPr>
          <w:rFonts w:ascii="Times New Roman" w:hAnsi="Times New Roman"/>
          <w:sz w:val="24"/>
          <w:szCs w:val="24"/>
        </w:rPr>
        <w:t xml:space="preserve">.  </w:t>
      </w:r>
      <w:r w:rsidR="007331B8">
        <w:rPr>
          <w:rFonts w:ascii="Times New Roman" w:hAnsi="Times New Roman"/>
          <w:sz w:val="24"/>
          <w:szCs w:val="24"/>
        </w:rPr>
        <w:t xml:space="preserve">These </w:t>
      </w:r>
      <w:r w:rsidR="00CB75D2">
        <w:rPr>
          <w:rFonts w:ascii="Times New Roman" w:hAnsi="Times New Roman"/>
          <w:sz w:val="24"/>
          <w:szCs w:val="24"/>
        </w:rPr>
        <w:t xml:space="preserve">below market </w:t>
      </w:r>
      <w:r w:rsidR="007331B8">
        <w:rPr>
          <w:rFonts w:ascii="Times New Roman" w:hAnsi="Times New Roman"/>
          <w:sz w:val="24"/>
          <w:szCs w:val="24"/>
        </w:rPr>
        <w:t xml:space="preserve">offers may seem to be beneficial to customers on their face, but customers could be subject to dramatic increases either within the </w:t>
      </w:r>
      <w:r w:rsidR="007331B8">
        <w:rPr>
          <w:rFonts w:ascii="Times New Roman" w:hAnsi="Times New Roman"/>
          <w:sz w:val="24"/>
          <w:szCs w:val="24"/>
        </w:rPr>
        <w:lastRenderedPageBreak/>
        <w:t xml:space="preserve">contract term (when the introductory rates lapse) or down the road once the exit is achieved and the retail suppliers no longer have </w:t>
      </w:r>
      <w:r w:rsidR="00CB5B38">
        <w:rPr>
          <w:rFonts w:ascii="Times New Roman" w:hAnsi="Times New Roman"/>
          <w:sz w:val="24"/>
          <w:szCs w:val="24"/>
        </w:rPr>
        <w:t>the</w:t>
      </w:r>
      <w:r w:rsidR="007331B8">
        <w:rPr>
          <w:rFonts w:ascii="Times New Roman" w:hAnsi="Times New Roman"/>
          <w:sz w:val="24"/>
          <w:szCs w:val="24"/>
        </w:rPr>
        <w:t xml:space="preserve"> low</w:t>
      </w:r>
      <w:r w:rsidR="00CB5B38">
        <w:rPr>
          <w:rFonts w:ascii="Times New Roman" w:hAnsi="Times New Roman"/>
          <w:sz w:val="24"/>
          <w:szCs w:val="24"/>
        </w:rPr>
        <w:t>est</w:t>
      </w:r>
      <w:r w:rsidR="007331B8">
        <w:rPr>
          <w:rFonts w:ascii="Times New Roman" w:hAnsi="Times New Roman"/>
          <w:sz w:val="24"/>
          <w:szCs w:val="24"/>
        </w:rPr>
        <w:t xml:space="preserve">-cost </w:t>
      </w:r>
      <w:r w:rsidR="00CB5B38">
        <w:rPr>
          <w:rFonts w:ascii="Times New Roman" w:hAnsi="Times New Roman"/>
          <w:sz w:val="24"/>
          <w:szCs w:val="24"/>
        </w:rPr>
        <w:t xml:space="preserve">benchmark (i.e., the SCO) </w:t>
      </w:r>
      <w:r w:rsidR="007331B8">
        <w:rPr>
          <w:rFonts w:ascii="Times New Roman" w:hAnsi="Times New Roman"/>
          <w:sz w:val="24"/>
          <w:szCs w:val="24"/>
        </w:rPr>
        <w:t>to compete against in the market.</w:t>
      </w:r>
      <w:r w:rsidR="00CD0D51">
        <w:rPr>
          <w:rFonts w:ascii="Times New Roman" w:hAnsi="Times New Roman"/>
          <w:sz w:val="24"/>
          <w:szCs w:val="24"/>
        </w:rPr>
        <w:t xml:space="preserve">  </w:t>
      </w:r>
    </w:p>
    <w:p w:rsidR="005162DF" w:rsidRDefault="005162DF" w:rsidP="00C9446D">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Joint </w:t>
      </w:r>
      <w:proofErr w:type="spellStart"/>
      <w:r>
        <w:rPr>
          <w:rFonts w:ascii="Times New Roman" w:hAnsi="Times New Roman"/>
          <w:sz w:val="24"/>
          <w:szCs w:val="24"/>
        </w:rPr>
        <w:t>Movants</w:t>
      </w:r>
      <w:proofErr w:type="spellEnd"/>
      <w:r>
        <w:rPr>
          <w:rFonts w:ascii="Times New Roman" w:hAnsi="Times New Roman"/>
          <w:sz w:val="24"/>
          <w:szCs w:val="24"/>
        </w:rPr>
        <w:t xml:space="preserve"> will argue that currently, </w:t>
      </w:r>
      <w:r w:rsidR="00CB75D2">
        <w:rPr>
          <w:rFonts w:ascii="Times New Roman" w:hAnsi="Times New Roman"/>
          <w:sz w:val="24"/>
          <w:szCs w:val="24"/>
        </w:rPr>
        <w:t>Columbia</w:t>
      </w:r>
      <w:r>
        <w:rPr>
          <w:rFonts w:ascii="Times New Roman" w:hAnsi="Times New Roman"/>
          <w:sz w:val="24"/>
          <w:szCs w:val="24"/>
        </w:rPr>
        <w:t xml:space="preserve"> has the right to file an application for </w:t>
      </w:r>
      <w:r w:rsidR="00E03F62">
        <w:rPr>
          <w:rFonts w:ascii="Times New Roman" w:hAnsi="Times New Roman"/>
          <w:sz w:val="24"/>
          <w:szCs w:val="24"/>
        </w:rPr>
        <w:t>a residential exit at any time</w:t>
      </w:r>
      <w:r w:rsidR="006B597D">
        <w:rPr>
          <w:rFonts w:ascii="Times New Roman" w:hAnsi="Times New Roman"/>
          <w:sz w:val="24"/>
          <w:szCs w:val="24"/>
        </w:rPr>
        <w:t>.  Conversely,</w:t>
      </w:r>
      <w:r w:rsidR="00E03F62">
        <w:rPr>
          <w:rFonts w:ascii="Times New Roman" w:hAnsi="Times New Roman"/>
          <w:sz w:val="24"/>
          <w:szCs w:val="24"/>
        </w:rPr>
        <w:t xml:space="preserve"> t</w:t>
      </w:r>
      <w:r>
        <w:rPr>
          <w:rFonts w:ascii="Times New Roman" w:hAnsi="Times New Roman"/>
          <w:sz w:val="24"/>
          <w:szCs w:val="24"/>
        </w:rPr>
        <w:t xml:space="preserve">he Amended Stipulation provides that </w:t>
      </w:r>
      <w:r w:rsidR="00CB75D2">
        <w:rPr>
          <w:rFonts w:ascii="Times New Roman" w:hAnsi="Times New Roman"/>
          <w:sz w:val="24"/>
          <w:szCs w:val="24"/>
        </w:rPr>
        <w:t>Columbia</w:t>
      </w:r>
      <w:r>
        <w:rPr>
          <w:rFonts w:ascii="Times New Roman" w:hAnsi="Times New Roman"/>
          <w:sz w:val="24"/>
          <w:szCs w:val="24"/>
        </w:rPr>
        <w:t xml:space="preserve"> may file a residential exit application once the thresholds are met and increases the time period before which </w:t>
      </w:r>
      <w:r w:rsidR="00CB75D2">
        <w:rPr>
          <w:rFonts w:ascii="Times New Roman" w:hAnsi="Times New Roman"/>
          <w:sz w:val="24"/>
          <w:szCs w:val="24"/>
        </w:rPr>
        <w:t>Columbia</w:t>
      </w:r>
      <w:r>
        <w:rPr>
          <w:rFonts w:ascii="Times New Roman" w:hAnsi="Times New Roman"/>
          <w:sz w:val="24"/>
          <w:szCs w:val="24"/>
        </w:rPr>
        <w:t xml:space="preserve"> may file a residential exit application.    As such, the Joint </w:t>
      </w:r>
      <w:proofErr w:type="spellStart"/>
      <w:r>
        <w:rPr>
          <w:rFonts w:ascii="Times New Roman" w:hAnsi="Times New Roman"/>
          <w:sz w:val="24"/>
          <w:szCs w:val="24"/>
        </w:rPr>
        <w:t>Movants</w:t>
      </w:r>
      <w:proofErr w:type="spellEnd"/>
      <w:r>
        <w:rPr>
          <w:rFonts w:ascii="Times New Roman" w:hAnsi="Times New Roman"/>
          <w:sz w:val="24"/>
          <w:szCs w:val="24"/>
        </w:rPr>
        <w:t xml:space="preserve"> will argue that the Amended Stipulation</w:t>
      </w:r>
      <w:r w:rsidR="00E03F62">
        <w:rPr>
          <w:rFonts w:ascii="Times New Roman" w:hAnsi="Times New Roman"/>
          <w:sz w:val="24"/>
          <w:szCs w:val="24"/>
        </w:rPr>
        <w:t xml:space="preserve"> actually</w:t>
      </w:r>
      <w:r>
        <w:rPr>
          <w:rFonts w:ascii="Times New Roman" w:hAnsi="Times New Roman"/>
          <w:sz w:val="24"/>
          <w:szCs w:val="24"/>
        </w:rPr>
        <w:t xml:space="preserve"> provides greater certainty to the market.</w:t>
      </w:r>
      <w:r w:rsidR="00E03F62">
        <w:rPr>
          <w:rFonts w:ascii="Times New Roman" w:hAnsi="Times New Roman"/>
          <w:sz w:val="24"/>
          <w:szCs w:val="24"/>
        </w:rPr>
        <w:t xml:space="preserve">  </w:t>
      </w:r>
      <w:r w:rsidR="006B597D">
        <w:rPr>
          <w:rFonts w:ascii="Times New Roman" w:hAnsi="Times New Roman"/>
          <w:sz w:val="24"/>
          <w:szCs w:val="24"/>
        </w:rPr>
        <w:t xml:space="preserve">The Joint </w:t>
      </w:r>
      <w:proofErr w:type="spellStart"/>
      <w:r w:rsidR="006B597D">
        <w:rPr>
          <w:rFonts w:ascii="Times New Roman" w:hAnsi="Times New Roman"/>
          <w:sz w:val="24"/>
          <w:szCs w:val="24"/>
        </w:rPr>
        <w:t>Movant’s</w:t>
      </w:r>
      <w:proofErr w:type="spellEnd"/>
      <w:r w:rsidR="006B597D">
        <w:rPr>
          <w:rFonts w:ascii="Times New Roman" w:hAnsi="Times New Roman"/>
          <w:sz w:val="24"/>
          <w:szCs w:val="24"/>
        </w:rPr>
        <w:t xml:space="preserve"> argument fails to recognize the real importance of the Commission’s decision in this case.  This case is not about when </w:t>
      </w:r>
      <w:r w:rsidR="00CB75D2">
        <w:rPr>
          <w:rFonts w:ascii="Times New Roman" w:hAnsi="Times New Roman"/>
          <w:sz w:val="24"/>
          <w:szCs w:val="24"/>
        </w:rPr>
        <w:t>Columbia</w:t>
      </w:r>
      <w:r w:rsidR="006B597D">
        <w:rPr>
          <w:rFonts w:ascii="Times New Roman" w:hAnsi="Times New Roman"/>
          <w:sz w:val="24"/>
          <w:szCs w:val="24"/>
        </w:rPr>
        <w:t xml:space="preserve"> may file for a residential exit, but, rather, when the Commission would </w:t>
      </w:r>
      <w:r w:rsidR="00CB75D2">
        <w:rPr>
          <w:rFonts w:ascii="Times New Roman" w:hAnsi="Times New Roman"/>
          <w:sz w:val="24"/>
          <w:szCs w:val="24"/>
        </w:rPr>
        <w:t xml:space="preserve">consider </w:t>
      </w:r>
      <w:r w:rsidR="00CB75D2" w:rsidRPr="00CB75D2">
        <w:rPr>
          <w:rFonts w:ascii="Times New Roman" w:hAnsi="Times New Roman"/>
          <w:i/>
          <w:sz w:val="24"/>
          <w:szCs w:val="24"/>
        </w:rPr>
        <w:t>approving</w:t>
      </w:r>
      <w:r w:rsidR="00CB75D2">
        <w:rPr>
          <w:rFonts w:ascii="Times New Roman" w:hAnsi="Times New Roman"/>
          <w:sz w:val="24"/>
          <w:szCs w:val="24"/>
        </w:rPr>
        <w:t xml:space="preserve"> </w:t>
      </w:r>
      <w:r w:rsidR="006B597D">
        <w:rPr>
          <w:rFonts w:ascii="Times New Roman" w:hAnsi="Times New Roman"/>
          <w:sz w:val="24"/>
          <w:szCs w:val="24"/>
        </w:rPr>
        <w:t>such an exit.  A</w:t>
      </w:r>
      <w:r>
        <w:rPr>
          <w:rFonts w:ascii="Times New Roman" w:hAnsi="Times New Roman"/>
          <w:sz w:val="24"/>
          <w:szCs w:val="24"/>
        </w:rPr>
        <w:t xml:space="preserve">s Mr. Magnani explained, </w:t>
      </w:r>
    </w:p>
    <w:p w:rsidR="006B597D" w:rsidRDefault="006B597D" w:rsidP="00C9446D">
      <w:pPr>
        <w:spacing w:after="0" w:line="240" w:lineRule="auto"/>
        <w:ind w:left="1440" w:right="1440"/>
        <w:jc w:val="both"/>
        <w:rPr>
          <w:rFonts w:ascii="Times New Roman" w:hAnsi="Times New Roman"/>
          <w:sz w:val="24"/>
          <w:szCs w:val="24"/>
        </w:rPr>
      </w:pPr>
      <w:r>
        <w:rPr>
          <w:rFonts w:ascii="Times New Roman" w:hAnsi="Times New Roman"/>
          <w:sz w:val="24"/>
          <w:szCs w:val="24"/>
        </w:rPr>
        <w:t xml:space="preserve">…I think the Commission is key here, not </w:t>
      </w:r>
      <w:r w:rsidR="00373E1E">
        <w:rPr>
          <w:rFonts w:ascii="Times New Roman" w:hAnsi="Times New Roman"/>
          <w:sz w:val="24"/>
          <w:szCs w:val="24"/>
        </w:rPr>
        <w:t>Columbia</w:t>
      </w:r>
      <w:r>
        <w:rPr>
          <w:rFonts w:ascii="Times New Roman" w:hAnsi="Times New Roman"/>
          <w:sz w:val="24"/>
          <w:szCs w:val="24"/>
        </w:rPr>
        <w:t xml:space="preserve">.  </w:t>
      </w:r>
      <w:r w:rsidR="00373E1E">
        <w:rPr>
          <w:rFonts w:ascii="Times New Roman" w:hAnsi="Times New Roman"/>
          <w:sz w:val="24"/>
          <w:szCs w:val="24"/>
        </w:rPr>
        <w:t>Columbia</w:t>
      </w:r>
      <w:r>
        <w:rPr>
          <w:rFonts w:ascii="Times New Roman" w:hAnsi="Times New Roman"/>
          <w:sz w:val="24"/>
          <w:szCs w:val="24"/>
        </w:rPr>
        <w:t xml:space="preserve"> can do whatever it wants, but the Commission has to approve it.  The Commission, if they give an indication that 70 percent is an acceptable </w:t>
      </w:r>
      <w:proofErr w:type="gramStart"/>
      <w:r>
        <w:rPr>
          <w:rFonts w:ascii="Times New Roman" w:hAnsi="Times New Roman"/>
          <w:sz w:val="24"/>
          <w:szCs w:val="24"/>
        </w:rPr>
        <w:t>figure, that</w:t>
      </w:r>
      <w:proofErr w:type="gramEnd"/>
      <w:r>
        <w:rPr>
          <w:rFonts w:ascii="Times New Roman" w:hAnsi="Times New Roman"/>
          <w:sz w:val="24"/>
          <w:szCs w:val="24"/>
        </w:rPr>
        <w:t xml:space="preserve"> will have ramifications in the marketplace.  If they say right now no, 70 percent isn’t going to do </w:t>
      </w:r>
      <w:proofErr w:type="gramStart"/>
      <w:r>
        <w:rPr>
          <w:rFonts w:ascii="Times New Roman" w:hAnsi="Times New Roman"/>
          <w:sz w:val="24"/>
          <w:szCs w:val="24"/>
        </w:rPr>
        <w:t>it, that</w:t>
      </w:r>
      <w:proofErr w:type="gramEnd"/>
      <w:r>
        <w:rPr>
          <w:rFonts w:ascii="Times New Roman" w:hAnsi="Times New Roman"/>
          <w:sz w:val="24"/>
          <w:szCs w:val="24"/>
        </w:rPr>
        <w:t xml:space="preserve"> will change things</w:t>
      </w:r>
      <w:r w:rsidR="00CB75D2">
        <w:rPr>
          <w:rFonts w:ascii="Times New Roman" w:hAnsi="Times New Roman"/>
          <w:sz w:val="24"/>
          <w:szCs w:val="24"/>
        </w:rPr>
        <w:t xml:space="preserve">.  </w:t>
      </w:r>
      <w:proofErr w:type="gramStart"/>
      <w:r w:rsidR="00CB75D2">
        <w:rPr>
          <w:rFonts w:ascii="Times New Roman" w:hAnsi="Times New Roman"/>
          <w:sz w:val="24"/>
          <w:szCs w:val="24"/>
        </w:rPr>
        <w:t>Tr. II</w:t>
      </w:r>
      <w:r w:rsidR="00CB5B38">
        <w:rPr>
          <w:rFonts w:ascii="Times New Roman" w:hAnsi="Times New Roman"/>
          <w:sz w:val="24"/>
          <w:szCs w:val="24"/>
        </w:rPr>
        <w:t>I</w:t>
      </w:r>
      <w:r w:rsidR="00CB75D2">
        <w:rPr>
          <w:rFonts w:ascii="Times New Roman" w:hAnsi="Times New Roman"/>
          <w:sz w:val="24"/>
          <w:szCs w:val="24"/>
        </w:rPr>
        <w:t>, at 175.</w:t>
      </w:r>
      <w:proofErr w:type="gramEnd"/>
    </w:p>
    <w:p w:rsidR="005162DF" w:rsidRDefault="00A6034A" w:rsidP="00CB75D2">
      <w:pPr>
        <w:spacing w:before="240" w:after="0" w:line="480" w:lineRule="auto"/>
        <w:ind w:firstLine="720"/>
        <w:jc w:val="both"/>
        <w:rPr>
          <w:rFonts w:ascii="Times New Roman" w:hAnsi="Times New Roman"/>
          <w:sz w:val="24"/>
          <w:szCs w:val="24"/>
        </w:rPr>
      </w:pPr>
      <w:r>
        <w:rPr>
          <w:rFonts w:ascii="Times New Roman" w:hAnsi="Times New Roman"/>
          <w:sz w:val="24"/>
          <w:szCs w:val="24"/>
        </w:rPr>
        <w:t xml:space="preserve">Mr. Magnani correctly pointed out that </w:t>
      </w:r>
      <w:r w:rsidR="00CB75D2">
        <w:rPr>
          <w:rFonts w:ascii="Times New Roman" w:hAnsi="Times New Roman"/>
          <w:sz w:val="24"/>
          <w:szCs w:val="24"/>
        </w:rPr>
        <w:t>Columbia</w:t>
      </w:r>
      <w:r>
        <w:rPr>
          <w:rFonts w:ascii="Times New Roman" w:hAnsi="Times New Roman"/>
          <w:sz w:val="24"/>
          <w:szCs w:val="24"/>
        </w:rPr>
        <w:t xml:space="preserve"> </w:t>
      </w:r>
      <w:r w:rsidR="00CB75D2">
        <w:rPr>
          <w:rFonts w:ascii="Times New Roman" w:hAnsi="Times New Roman"/>
          <w:sz w:val="24"/>
          <w:szCs w:val="24"/>
        </w:rPr>
        <w:t>was never realistically going to</w:t>
      </w:r>
      <w:r>
        <w:rPr>
          <w:rFonts w:ascii="Times New Roman" w:hAnsi="Times New Roman"/>
          <w:sz w:val="24"/>
          <w:szCs w:val="24"/>
        </w:rPr>
        <w:t xml:space="preserve"> apply for a residential exit before the parameters that the Amended Stipulation provides occurred.  </w:t>
      </w:r>
      <w:proofErr w:type="gramStart"/>
      <w:r w:rsidR="00CB75D2">
        <w:rPr>
          <w:rFonts w:ascii="Times New Roman" w:hAnsi="Times New Roman"/>
          <w:sz w:val="24"/>
          <w:szCs w:val="24"/>
        </w:rPr>
        <w:t>Tr. II</w:t>
      </w:r>
      <w:r w:rsidR="00CB5B38">
        <w:rPr>
          <w:rFonts w:ascii="Times New Roman" w:hAnsi="Times New Roman"/>
          <w:sz w:val="24"/>
          <w:szCs w:val="24"/>
        </w:rPr>
        <w:t>I</w:t>
      </w:r>
      <w:r w:rsidR="00CB75D2">
        <w:rPr>
          <w:rFonts w:ascii="Times New Roman" w:hAnsi="Times New Roman"/>
          <w:sz w:val="24"/>
          <w:szCs w:val="24"/>
        </w:rPr>
        <w:t>, at 174.</w:t>
      </w:r>
      <w:proofErr w:type="gramEnd"/>
      <w:r w:rsidR="00CB75D2">
        <w:rPr>
          <w:rFonts w:ascii="Times New Roman" w:hAnsi="Times New Roman"/>
          <w:sz w:val="24"/>
          <w:szCs w:val="24"/>
        </w:rPr>
        <w:t xml:space="preserve">  </w:t>
      </w:r>
      <w:r>
        <w:rPr>
          <w:rFonts w:ascii="Times New Roman" w:hAnsi="Times New Roman"/>
          <w:sz w:val="24"/>
          <w:szCs w:val="24"/>
        </w:rPr>
        <w:t>If, however, the Commission</w:t>
      </w:r>
      <w:r w:rsidR="00CD0D51">
        <w:rPr>
          <w:rFonts w:ascii="Times New Roman" w:hAnsi="Times New Roman"/>
          <w:sz w:val="24"/>
          <w:szCs w:val="24"/>
        </w:rPr>
        <w:t xml:space="preserve"> approves the proposed residential exit framework </w:t>
      </w:r>
      <w:r>
        <w:rPr>
          <w:rFonts w:ascii="Times New Roman" w:hAnsi="Times New Roman"/>
          <w:sz w:val="24"/>
          <w:szCs w:val="24"/>
        </w:rPr>
        <w:t xml:space="preserve"> send</w:t>
      </w:r>
      <w:r w:rsidR="00CD0D51">
        <w:rPr>
          <w:rFonts w:ascii="Times New Roman" w:hAnsi="Times New Roman"/>
          <w:sz w:val="24"/>
          <w:szCs w:val="24"/>
        </w:rPr>
        <w:t>ing</w:t>
      </w:r>
      <w:r>
        <w:rPr>
          <w:rFonts w:ascii="Times New Roman" w:hAnsi="Times New Roman"/>
          <w:sz w:val="24"/>
          <w:szCs w:val="24"/>
        </w:rPr>
        <w:t xml:space="preserve"> the signal to the market that it will consider a residential exit application at 70% shopping, that’s where the harm to the market</w:t>
      </w:r>
      <w:r w:rsidR="00CB75D2">
        <w:rPr>
          <w:rFonts w:ascii="Times New Roman" w:hAnsi="Times New Roman"/>
          <w:sz w:val="24"/>
          <w:szCs w:val="24"/>
        </w:rPr>
        <w:t xml:space="preserve"> would occur.  </w:t>
      </w:r>
      <w:proofErr w:type="gramStart"/>
      <w:r w:rsidR="00CB75D2">
        <w:rPr>
          <w:rFonts w:ascii="Times New Roman" w:hAnsi="Times New Roman"/>
          <w:sz w:val="24"/>
          <w:szCs w:val="24"/>
        </w:rPr>
        <w:t>Tr. II</w:t>
      </w:r>
      <w:r w:rsidR="00CB5B38">
        <w:rPr>
          <w:rFonts w:ascii="Times New Roman" w:hAnsi="Times New Roman"/>
          <w:sz w:val="24"/>
          <w:szCs w:val="24"/>
        </w:rPr>
        <w:t>I</w:t>
      </w:r>
      <w:r w:rsidR="00CB75D2">
        <w:rPr>
          <w:rFonts w:ascii="Times New Roman" w:hAnsi="Times New Roman"/>
          <w:sz w:val="24"/>
          <w:szCs w:val="24"/>
        </w:rPr>
        <w:t>, at 174.</w:t>
      </w:r>
      <w:proofErr w:type="gramEnd"/>
      <w:r w:rsidR="00CB75D2">
        <w:rPr>
          <w:rFonts w:ascii="Times New Roman" w:hAnsi="Times New Roman"/>
          <w:sz w:val="24"/>
          <w:szCs w:val="24"/>
        </w:rPr>
        <w:t xml:space="preserve"> The harm would be </w:t>
      </w:r>
      <w:r>
        <w:rPr>
          <w:rFonts w:ascii="Times New Roman" w:hAnsi="Times New Roman"/>
          <w:sz w:val="24"/>
          <w:szCs w:val="24"/>
        </w:rPr>
        <w:t xml:space="preserve">the price increases </w:t>
      </w:r>
      <w:r w:rsidR="00CD0D51">
        <w:rPr>
          <w:rFonts w:ascii="Times New Roman" w:hAnsi="Times New Roman"/>
          <w:sz w:val="24"/>
          <w:szCs w:val="24"/>
        </w:rPr>
        <w:t xml:space="preserve">to residential customers that will come </w:t>
      </w:r>
      <w:r>
        <w:rPr>
          <w:rFonts w:ascii="Times New Roman" w:hAnsi="Times New Roman"/>
          <w:sz w:val="24"/>
          <w:szCs w:val="24"/>
        </w:rPr>
        <w:t xml:space="preserve">as a </w:t>
      </w:r>
      <w:r w:rsidR="00CD0D51">
        <w:rPr>
          <w:rFonts w:ascii="Times New Roman" w:hAnsi="Times New Roman"/>
          <w:sz w:val="24"/>
          <w:szCs w:val="24"/>
        </w:rPr>
        <w:t xml:space="preserve">direct result </w:t>
      </w:r>
      <w:r>
        <w:rPr>
          <w:rFonts w:ascii="Times New Roman" w:hAnsi="Times New Roman"/>
          <w:sz w:val="24"/>
          <w:szCs w:val="24"/>
        </w:rPr>
        <w:t>of the S</w:t>
      </w:r>
      <w:r w:rsidR="00CB75D2">
        <w:rPr>
          <w:rFonts w:ascii="Times New Roman" w:hAnsi="Times New Roman"/>
          <w:sz w:val="24"/>
          <w:szCs w:val="24"/>
        </w:rPr>
        <w:t xml:space="preserve">CO and retail </w:t>
      </w:r>
      <w:r w:rsidR="00CD0D51">
        <w:rPr>
          <w:rFonts w:ascii="Times New Roman" w:hAnsi="Times New Roman"/>
          <w:sz w:val="24"/>
          <w:szCs w:val="24"/>
        </w:rPr>
        <w:t xml:space="preserve">regulatory </w:t>
      </w:r>
      <w:r w:rsidR="00CB75D2">
        <w:rPr>
          <w:rFonts w:ascii="Times New Roman" w:hAnsi="Times New Roman"/>
          <w:sz w:val="24"/>
          <w:szCs w:val="24"/>
        </w:rPr>
        <w:t>uncertainty</w:t>
      </w:r>
      <w:r w:rsidR="00CD0D51">
        <w:rPr>
          <w:rFonts w:ascii="Times New Roman" w:hAnsi="Times New Roman"/>
          <w:sz w:val="24"/>
          <w:szCs w:val="24"/>
        </w:rPr>
        <w:t xml:space="preserve"> and market inefficiencies</w:t>
      </w:r>
      <w:r>
        <w:rPr>
          <w:rFonts w:ascii="Times New Roman" w:hAnsi="Times New Roman"/>
          <w:sz w:val="24"/>
          <w:szCs w:val="24"/>
        </w:rPr>
        <w:t>.</w:t>
      </w:r>
    </w:p>
    <w:p w:rsidR="00B16882" w:rsidRDefault="00B16882">
      <w:pPr>
        <w:rPr>
          <w:rFonts w:ascii="Times New Roman" w:hAnsi="Times New Roman"/>
          <w:b/>
          <w:i/>
          <w:sz w:val="24"/>
          <w:szCs w:val="24"/>
        </w:rPr>
      </w:pPr>
      <w:r>
        <w:rPr>
          <w:rFonts w:ascii="Times New Roman" w:hAnsi="Times New Roman"/>
          <w:b/>
          <w:i/>
          <w:sz w:val="24"/>
          <w:szCs w:val="24"/>
        </w:rPr>
        <w:br w:type="page"/>
      </w:r>
    </w:p>
    <w:p w:rsidR="00050B6A" w:rsidRPr="00C9446D" w:rsidRDefault="003A4174" w:rsidP="00050B6A">
      <w:pPr>
        <w:pStyle w:val="ListParagraph"/>
        <w:numPr>
          <w:ilvl w:val="0"/>
          <w:numId w:val="5"/>
        </w:numPr>
        <w:spacing w:after="0" w:line="240" w:lineRule="auto"/>
        <w:jc w:val="both"/>
        <w:rPr>
          <w:rFonts w:ascii="Times New Roman" w:hAnsi="Times New Roman"/>
          <w:b/>
          <w:sz w:val="24"/>
          <w:szCs w:val="24"/>
        </w:rPr>
      </w:pPr>
      <w:r w:rsidRPr="003A4174">
        <w:rPr>
          <w:rFonts w:ascii="Times New Roman" w:hAnsi="Times New Roman"/>
          <w:b/>
          <w:i/>
          <w:sz w:val="24"/>
          <w:szCs w:val="24"/>
        </w:rPr>
        <w:lastRenderedPageBreak/>
        <w:t>Removing the Lowest-Cost Benchmark from the Residential Market is Not in the Public Interest</w:t>
      </w:r>
      <w:r w:rsidRPr="003A4174">
        <w:rPr>
          <w:rFonts w:ascii="Times New Roman" w:hAnsi="Times New Roman"/>
          <w:b/>
          <w:sz w:val="24"/>
          <w:szCs w:val="24"/>
        </w:rPr>
        <w:t>.</w:t>
      </w:r>
    </w:p>
    <w:p w:rsidR="00050B6A" w:rsidRPr="00050B6A" w:rsidRDefault="00050B6A" w:rsidP="00050B6A">
      <w:pPr>
        <w:pStyle w:val="ListParagraph"/>
        <w:spacing w:after="0" w:line="240" w:lineRule="auto"/>
        <w:jc w:val="both"/>
        <w:rPr>
          <w:rFonts w:ascii="Times New Roman" w:hAnsi="Times New Roman"/>
          <w:sz w:val="24"/>
          <w:szCs w:val="24"/>
        </w:rPr>
      </w:pPr>
    </w:p>
    <w:p w:rsidR="00CB75D2" w:rsidRDefault="0092730E" w:rsidP="00C9446D">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SCO auction is a proven benchmark from which residential customers (and the Commission) can vet suppliers’ offerings.  </w:t>
      </w:r>
      <w:proofErr w:type="gramStart"/>
      <w:r w:rsidR="00CB75D2">
        <w:rPr>
          <w:rFonts w:ascii="Times New Roman" w:hAnsi="Times New Roman"/>
          <w:sz w:val="24"/>
          <w:szCs w:val="24"/>
        </w:rPr>
        <w:t>Hess Ex. 1, at 10.</w:t>
      </w:r>
      <w:proofErr w:type="gramEnd"/>
      <w:r w:rsidR="00CB75D2">
        <w:rPr>
          <w:rFonts w:ascii="Times New Roman" w:hAnsi="Times New Roman"/>
          <w:sz w:val="24"/>
          <w:szCs w:val="24"/>
        </w:rPr>
        <w:t xml:space="preserve">  </w:t>
      </w:r>
      <w:r>
        <w:rPr>
          <w:rFonts w:ascii="Times New Roman" w:hAnsi="Times New Roman"/>
          <w:sz w:val="24"/>
          <w:szCs w:val="24"/>
        </w:rPr>
        <w:t xml:space="preserve">In fact, the record in this case is clear that SCO service has proved to be the lowest-cost option for residential customers.  As shown in </w:t>
      </w:r>
      <w:r w:rsidR="00CB75D2">
        <w:rPr>
          <w:rFonts w:ascii="Times New Roman" w:hAnsi="Times New Roman"/>
          <w:sz w:val="24"/>
          <w:szCs w:val="24"/>
        </w:rPr>
        <w:t>Columbia’s</w:t>
      </w:r>
      <w:r>
        <w:rPr>
          <w:rFonts w:ascii="Times New Roman" w:hAnsi="Times New Roman"/>
          <w:sz w:val="24"/>
          <w:szCs w:val="24"/>
        </w:rPr>
        <w:t xml:space="preserve"> response to the Office of Consumers’ Counsel Request for Production of Documents No. 65 (Exhibit OM – 4), since the initiation of the SSO in April 2010, </w:t>
      </w:r>
      <w:r w:rsidR="00373E1E">
        <w:rPr>
          <w:rFonts w:ascii="Times New Roman" w:hAnsi="Times New Roman"/>
          <w:sz w:val="24"/>
          <w:szCs w:val="24"/>
        </w:rPr>
        <w:t>C</w:t>
      </w:r>
      <w:r w:rsidR="00AF1AD3">
        <w:rPr>
          <w:rFonts w:ascii="Times New Roman" w:hAnsi="Times New Roman"/>
          <w:sz w:val="24"/>
          <w:szCs w:val="24"/>
        </w:rPr>
        <w:t>olumbia</w:t>
      </w:r>
      <w:r>
        <w:rPr>
          <w:rFonts w:ascii="Times New Roman" w:hAnsi="Times New Roman"/>
          <w:sz w:val="24"/>
          <w:szCs w:val="24"/>
        </w:rPr>
        <w:t xml:space="preserve">’s Shadow Bill data demonstrates that, on a monthly basis, Choice customers (in the aggregate) paid more than $300 million over the SSO/SCO price.  During that time period, there was not one month where Choice customers (in the aggregate) paid less than the SCO price.  </w:t>
      </w:r>
      <w:r w:rsidR="00CD0D51" w:rsidRPr="00337D8E">
        <w:rPr>
          <w:rFonts w:ascii="Times New Roman" w:hAnsi="Times New Roman"/>
          <w:i/>
          <w:sz w:val="24"/>
          <w:szCs w:val="24"/>
        </w:rPr>
        <w:t>Id</w:t>
      </w:r>
      <w:r w:rsidR="00CD0D51">
        <w:rPr>
          <w:rFonts w:ascii="Times New Roman" w:hAnsi="Times New Roman"/>
          <w:sz w:val="24"/>
          <w:szCs w:val="24"/>
        </w:rPr>
        <w:t>.</w:t>
      </w:r>
    </w:p>
    <w:p w:rsidR="00050B6A" w:rsidRDefault="0092730E" w:rsidP="009273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will claim that its “shadow billing” data is only a crude measure of the cost differences between Choice and SSO/SCO rates and does not represent an apples-to-apples comparison of Choice service to default service.  </w:t>
      </w:r>
      <w:proofErr w:type="gramStart"/>
      <w:r w:rsidRPr="00337D8E">
        <w:rPr>
          <w:rFonts w:ascii="Times New Roman" w:hAnsi="Times New Roman" w:cs="Times New Roman"/>
          <w:i/>
          <w:sz w:val="24"/>
          <w:szCs w:val="24"/>
        </w:rPr>
        <w:t>See</w:t>
      </w:r>
      <w:r>
        <w:rPr>
          <w:rFonts w:ascii="Times New Roman" w:hAnsi="Times New Roman" w:cs="Times New Roman"/>
          <w:sz w:val="24"/>
          <w:szCs w:val="24"/>
        </w:rPr>
        <w:t xml:space="preserve">, e.g., </w:t>
      </w:r>
      <w:r w:rsidR="00373E1E">
        <w:rPr>
          <w:rFonts w:ascii="Times New Roman" w:hAnsi="Times New Roman" w:cs="Times New Roman"/>
          <w:sz w:val="24"/>
          <w:szCs w:val="24"/>
        </w:rPr>
        <w:t>Columbia</w:t>
      </w:r>
      <w:r>
        <w:rPr>
          <w:rFonts w:ascii="Times New Roman" w:hAnsi="Times New Roman" w:cs="Times New Roman"/>
          <w:sz w:val="24"/>
          <w:szCs w:val="24"/>
        </w:rPr>
        <w:t xml:space="preserve"> Ex. 6, at 20.</w:t>
      </w:r>
      <w:proofErr w:type="gramEnd"/>
      <w:r>
        <w:rPr>
          <w:rFonts w:ascii="Times New Roman" w:hAnsi="Times New Roman" w:cs="Times New Roman"/>
          <w:sz w:val="24"/>
          <w:szCs w:val="24"/>
        </w:rPr>
        <w:t xml:space="preserve">  Hess witness Magnani does not quibble with the precise differential between the Choice and SSO/SCO rates since April 2010.  Although </w:t>
      </w:r>
      <w:r w:rsidR="00373E1E">
        <w:rPr>
          <w:rFonts w:ascii="Times New Roman" w:hAnsi="Times New Roman" w:cs="Times New Roman"/>
          <w:sz w:val="24"/>
          <w:szCs w:val="24"/>
        </w:rPr>
        <w:t>Columbia</w:t>
      </w:r>
      <w:r>
        <w:rPr>
          <w:rFonts w:ascii="Times New Roman" w:hAnsi="Times New Roman" w:cs="Times New Roman"/>
          <w:sz w:val="24"/>
          <w:szCs w:val="24"/>
        </w:rPr>
        <w:t xml:space="preserve">’s data shows the differential to be approximately $300 million, </w:t>
      </w:r>
      <w:r w:rsidR="00050B6A">
        <w:rPr>
          <w:rFonts w:ascii="Times New Roman" w:hAnsi="Times New Roman" w:cs="Times New Roman"/>
          <w:sz w:val="24"/>
          <w:szCs w:val="24"/>
        </w:rPr>
        <w:t xml:space="preserve">Mr. </w:t>
      </w:r>
      <w:r>
        <w:rPr>
          <w:rFonts w:ascii="Times New Roman" w:hAnsi="Times New Roman" w:cs="Times New Roman"/>
          <w:sz w:val="24"/>
          <w:szCs w:val="24"/>
        </w:rPr>
        <w:t xml:space="preserve">Magnani accurately reasons that, even if the differential were $200 million, the data still unequivocally demonstrates that SSO/SCO service is the least-cost option on a purely cost basis. </w:t>
      </w:r>
      <w:r w:rsidR="00CB75D2">
        <w:rPr>
          <w:rFonts w:ascii="Times New Roman" w:hAnsi="Times New Roman" w:cs="Times New Roman"/>
          <w:sz w:val="24"/>
          <w:szCs w:val="24"/>
        </w:rPr>
        <w:t xml:space="preserve"> </w:t>
      </w:r>
      <w:r>
        <w:rPr>
          <w:rFonts w:ascii="Times New Roman" w:hAnsi="Times New Roman" w:cs="Times New Roman"/>
          <w:sz w:val="24"/>
          <w:szCs w:val="24"/>
        </w:rPr>
        <w:t>Tr. II</w:t>
      </w:r>
      <w:r w:rsidR="00CB5B38">
        <w:rPr>
          <w:rFonts w:ascii="Times New Roman" w:hAnsi="Times New Roman" w:cs="Times New Roman"/>
          <w:sz w:val="24"/>
          <w:szCs w:val="24"/>
        </w:rPr>
        <w:t>I</w:t>
      </w:r>
      <w:r>
        <w:rPr>
          <w:rFonts w:ascii="Times New Roman" w:hAnsi="Times New Roman" w:cs="Times New Roman"/>
          <w:sz w:val="24"/>
          <w:szCs w:val="24"/>
        </w:rPr>
        <w:t xml:space="preserve">, at 160-162. </w:t>
      </w:r>
    </w:p>
    <w:p w:rsidR="0092730E" w:rsidRDefault="0092730E" w:rsidP="00050B6A">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SCO’s low price is intuitive given the fact that when </w:t>
      </w:r>
      <w:r w:rsidR="00E96D4C">
        <w:rPr>
          <w:rFonts w:ascii="Times New Roman" w:hAnsi="Times New Roman"/>
          <w:sz w:val="24"/>
          <w:szCs w:val="24"/>
        </w:rPr>
        <w:t>Columbia</w:t>
      </w:r>
      <w:r>
        <w:rPr>
          <w:rFonts w:ascii="Times New Roman" w:hAnsi="Times New Roman"/>
          <w:sz w:val="24"/>
          <w:szCs w:val="24"/>
        </w:rPr>
        <w:t xml:space="preserve"> aggregates the large number of Choice customers that have elected SCO service, the suppliers bid on the fixed basis component at a wholesale level.  </w:t>
      </w:r>
      <w:proofErr w:type="gramStart"/>
      <w:r w:rsidR="00E96D4C">
        <w:rPr>
          <w:rFonts w:ascii="Times New Roman" w:hAnsi="Times New Roman"/>
          <w:sz w:val="24"/>
          <w:szCs w:val="24"/>
        </w:rPr>
        <w:t>Hess Ex. 1, at 10</w:t>
      </w:r>
      <w:r w:rsidR="00CD0D51">
        <w:rPr>
          <w:rFonts w:ascii="Times New Roman" w:hAnsi="Times New Roman"/>
          <w:sz w:val="24"/>
          <w:szCs w:val="24"/>
        </w:rPr>
        <w:t>; Tr. I</w:t>
      </w:r>
      <w:r w:rsidR="00CB5B38">
        <w:rPr>
          <w:rFonts w:ascii="Times New Roman" w:hAnsi="Times New Roman"/>
          <w:sz w:val="24"/>
          <w:szCs w:val="24"/>
        </w:rPr>
        <w:t>I</w:t>
      </w:r>
      <w:r w:rsidR="00CD0D51">
        <w:rPr>
          <w:rFonts w:ascii="Times New Roman" w:hAnsi="Times New Roman"/>
          <w:sz w:val="24"/>
          <w:szCs w:val="24"/>
        </w:rPr>
        <w:t>I, at 154</w:t>
      </w:r>
      <w:r w:rsidR="00E96D4C">
        <w:rPr>
          <w:rFonts w:ascii="Times New Roman" w:hAnsi="Times New Roman"/>
          <w:sz w:val="24"/>
          <w:szCs w:val="24"/>
        </w:rPr>
        <w:t>.</w:t>
      </w:r>
      <w:proofErr w:type="gramEnd"/>
      <w:r w:rsidR="00E96D4C">
        <w:rPr>
          <w:rFonts w:ascii="Times New Roman" w:hAnsi="Times New Roman"/>
          <w:sz w:val="24"/>
          <w:szCs w:val="24"/>
        </w:rPr>
        <w:t xml:space="preserve">  </w:t>
      </w:r>
      <w:r>
        <w:rPr>
          <w:rFonts w:ascii="Times New Roman" w:hAnsi="Times New Roman"/>
          <w:sz w:val="24"/>
          <w:szCs w:val="24"/>
        </w:rPr>
        <w:t>It is extraordinarily difficult for retail suppliers to compete against the SCO price on a straight cost basis because the SCO program allows suppliers to bid on a huge pool of customers at one time and optimize upstream assets for that large, q</w:t>
      </w:r>
      <w:r w:rsidR="00050B6A">
        <w:rPr>
          <w:rFonts w:ascii="Times New Roman" w:hAnsi="Times New Roman"/>
          <w:sz w:val="24"/>
          <w:szCs w:val="24"/>
        </w:rPr>
        <w:t>uantifiable group of customers.</w:t>
      </w:r>
      <w:r w:rsidR="00E96D4C">
        <w:rPr>
          <w:rFonts w:ascii="Times New Roman" w:hAnsi="Times New Roman"/>
          <w:sz w:val="24"/>
          <w:szCs w:val="24"/>
        </w:rPr>
        <w:t xml:space="preserve">  </w:t>
      </w:r>
      <w:proofErr w:type="gramStart"/>
      <w:r w:rsidR="00C21472">
        <w:rPr>
          <w:rFonts w:ascii="Times New Roman" w:hAnsi="Times New Roman"/>
          <w:sz w:val="24"/>
          <w:szCs w:val="24"/>
        </w:rPr>
        <w:t xml:space="preserve">Hess Ex. 1, at 10; Tr. </w:t>
      </w:r>
      <w:r w:rsidR="00CB5B38">
        <w:rPr>
          <w:rFonts w:ascii="Times New Roman" w:hAnsi="Times New Roman"/>
          <w:sz w:val="24"/>
          <w:szCs w:val="24"/>
        </w:rPr>
        <w:t>I</w:t>
      </w:r>
      <w:r w:rsidR="00C21472">
        <w:rPr>
          <w:rFonts w:ascii="Times New Roman" w:hAnsi="Times New Roman"/>
          <w:sz w:val="24"/>
          <w:szCs w:val="24"/>
        </w:rPr>
        <w:t>II, at 154</w:t>
      </w:r>
      <w:r w:rsidR="00E96D4C">
        <w:rPr>
          <w:rFonts w:ascii="Times New Roman" w:hAnsi="Times New Roman"/>
          <w:sz w:val="24"/>
          <w:szCs w:val="24"/>
        </w:rPr>
        <w:t>.</w:t>
      </w:r>
      <w:proofErr w:type="gramEnd"/>
    </w:p>
    <w:p w:rsidR="003A4174" w:rsidRDefault="0092730E" w:rsidP="003A4174">
      <w:pPr>
        <w:spacing w:after="0" w:line="480" w:lineRule="auto"/>
        <w:ind w:firstLine="720"/>
        <w:jc w:val="both"/>
        <w:rPr>
          <w:rFonts w:ascii="Times New Roman" w:hAnsi="Times New Roman" w:cs="Times New Roman"/>
          <w:sz w:val="24"/>
          <w:szCs w:val="24"/>
        </w:rPr>
      </w:pPr>
      <w:r>
        <w:rPr>
          <w:rFonts w:ascii="Times New Roman" w:hAnsi="Times New Roman"/>
          <w:sz w:val="24"/>
          <w:szCs w:val="24"/>
        </w:rPr>
        <w:lastRenderedPageBreak/>
        <w:t xml:space="preserve">Besides representing the lowest-cost alternative for residential customers, the SCO provides transparency throughout the competitive market place for the residential customers to evaluate various supply offerings.  Without the SCO, retail competition can still be robust, but it will be at a higher price than it would with the SCO in place.   </w:t>
      </w:r>
      <w:proofErr w:type="gramStart"/>
      <w:r w:rsidR="00E96D4C">
        <w:rPr>
          <w:rFonts w:ascii="Times New Roman" w:hAnsi="Times New Roman"/>
          <w:sz w:val="24"/>
          <w:szCs w:val="24"/>
        </w:rPr>
        <w:t>Hess Ex. 1, at 10.</w:t>
      </w:r>
      <w:proofErr w:type="gramEnd"/>
      <w:r w:rsidR="00E96D4C">
        <w:rPr>
          <w:rFonts w:ascii="Times New Roman" w:hAnsi="Times New Roman"/>
          <w:sz w:val="24"/>
          <w:szCs w:val="24"/>
        </w:rPr>
        <w:t xml:space="preserve">  </w:t>
      </w:r>
      <w:r w:rsidR="00050B6A">
        <w:rPr>
          <w:rFonts w:ascii="Times New Roman" w:hAnsi="Times New Roman"/>
          <w:sz w:val="24"/>
          <w:szCs w:val="24"/>
        </w:rPr>
        <w:t xml:space="preserve">As Mr. Magnani points out, without the certainty that the SCO program will continue until it is no longer </w:t>
      </w:r>
      <w:r w:rsidR="00E96D4C">
        <w:rPr>
          <w:rFonts w:ascii="Times New Roman" w:hAnsi="Times New Roman"/>
          <w:sz w:val="24"/>
          <w:szCs w:val="24"/>
        </w:rPr>
        <w:t>efficient from a cost-perspective</w:t>
      </w:r>
      <w:r w:rsidR="00050B6A">
        <w:rPr>
          <w:rFonts w:ascii="Times New Roman" w:hAnsi="Times New Roman"/>
          <w:sz w:val="24"/>
          <w:szCs w:val="24"/>
        </w:rPr>
        <w:t xml:space="preserve"> (at some point way above 70% shopping),</w:t>
      </w:r>
      <w:r w:rsidR="00C21472">
        <w:rPr>
          <w:rStyle w:val="FootnoteReference"/>
          <w:rFonts w:ascii="Times New Roman" w:hAnsi="Times New Roman"/>
          <w:sz w:val="24"/>
          <w:szCs w:val="24"/>
        </w:rPr>
        <w:footnoteReference w:id="5"/>
      </w:r>
      <w:r w:rsidR="00050B6A">
        <w:rPr>
          <w:rFonts w:ascii="Times New Roman" w:hAnsi="Times New Roman"/>
          <w:sz w:val="24"/>
          <w:szCs w:val="24"/>
        </w:rPr>
        <w:t xml:space="preserve"> SCO suppliers will no longer make the long-term investments necessary to put downward pressure on SCO prices.  </w:t>
      </w:r>
      <w:r w:rsidR="00E96D4C">
        <w:rPr>
          <w:rFonts w:ascii="Times New Roman" w:hAnsi="Times New Roman"/>
          <w:sz w:val="24"/>
          <w:szCs w:val="24"/>
        </w:rPr>
        <w:t xml:space="preserve">Hess Ex. 1, at 13-14.  </w:t>
      </w:r>
      <w:r w:rsidR="00050B6A">
        <w:rPr>
          <w:rFonts w:ascii="Times New Roman" w:hAnsi="Times New Roman"/>
          <w:sz w:val="24"/>
          <w:szCs w:val="24"/>
        </w:rPr>
        <w:t xml:space="preserve">Once the residential exit is approved and the SCO is eliminated, SCO suppliers will obviously cease to exist behind </w:t>
      </w:r>
      <w:r w:rsidR="00E96D4C">
        <w:rPr>
          <w:rFonts w:ascii="Times New Roman" w:hAnsi="Times New Roman"/>
          <w:sz w:val="24"/>
          <w:szCs w:val="24"/>
        </w:rPr>
        <w:t>Columbia</w:t>
      </w:r>
      <w:r w:rsidR="00050B6A">
        <w:rPr>
          <w:rFonts w:ascii="Times New Roman" w:hAnsi="Times New Roman"/>
          <w:sz w:val="24"/>
          <w:szCs w:val="24"/>
        </w:rPr>
        <w:t xml:space="preserve"> and the Commission will lose the benefits that the SCO program brings to the market forever.  </w:t>
      </w:r>
    </w:p>
    <w:p w:rsidR="003A4174" w:rsidRPr="003A4174" w:rsidRDefault="003A4174" w:rsidP="003A4174">
      <w:pPr>
        <w:pStyle w:val="ListParagraph"/>
        <w:numPr>
          <w:ilvl w:val="0"/>
          <w:numId w:val="5"/>
        </w:numPr>
        <w:spacing w:after="0" w:line="240" w:lineRule="auto"/>
        <w:jc w:val="both"/>
        <w:rPr>
          <w:rFonts w:ascii="Times New Roman" w:hAnsi="Times New Roman" w:cs="Times New Roman"/>
          <w:b/>
          <w:sz w:val="24"/>
          <w:szCs w:val="24"/>
        </w:rPr>
      </w:pPr>
      <w:r w:rsidRPr="003A4174">
        <w:rPr>
          <w:rFonts w:ascii="Times New Roman" w:hAnsi="Times New Roman" w:cs="Times New Roman"/>
          <w:b/>
          <w:i/>
          <w:sz w:val="24"/>
          <w:szCs w:val="24"/>
        </w:rPr>
        <w:t>At Some Point, a Residential Exit Makes Sense; However, a 70% Shopping Level Trigger is Way Too Low</w:t>
      </w:r>
      <w:r w:rsidRPr="003A4174">
        <w:rPr>
          <w:rFonts w:ascii="Times New Roman" w:hAnsi="Times New Roman" w:cs="Times New Roman"/>
          <w:b/>
          <w:sz w:val="24"/>
          <w:szCs w:val="24"/>
        </w:rPr>
        <w:t>.</w:t>
      </w:r>
    </w:p>
    <w:p w:rsidR="005162DF" w:rsidRDefault="005162DF" w:rsidP="005162DF">
      <w:pPr>
        <w:pStyle w:val="ListParagraph"/>
        <w:spacing w:before="240" w:after="0" w:line="240" w:lineRule="auto"/>
        <w:jc w:val="both"/>
        <w:rPr>
          <w:rFonts w:ascii="Times New Roman" w:hAnsi="Times New Roman" w:cs="Times New Roman"/>
          <w:sz w:val="24"/>
          <w:szCs w:val="24"/>
        </w:rPr>
      </w:pPr>
    </w:p>
    <w:p w:rsidR="005162DF" w:rsidRDefault="00E96D4C" w:rsidP="00E96D4C">
      <w:pPr>
        <w:spacing w:after="0" w:line="480" w:lineRule="auto"/>
        <w:ind w:firstLine="720"/>
        <w:jc w:val="both"/>
        <w:rPr>
          <w:rFonts w:ascii="Times New Roman" w:hAnsi="Times New Roman"/>
          <w:sz w:val="24"/>
          <w:szCs w:val="24"/>
        </w:rPr>
      </w:pPr>
      <w:r>
        <w:rPr>
          <w:rFonts w:ascii="Times New Roman" w:hAnsi="Times New Roman"/>
          <w:sz w:val="24"/>
          <w:szCs w:val="24"/>
        </w:rPr>
        <w:t>Hess admits that</w:t>
      </w:r>
      <w:r w:rsidR="00C21472">
        <w:rPr>
          <w:rFonts w:ascii="Times New Roman" w:hAnsi="Times New Roman"/>
          <w:sz w:val="24"/>
          <w:szCs w:val="24"/>
        </w:rPr>
        <w:t>,</w:t>
      </w:r>
      <w:r>
        <w:rPr>
          <w:rFonts w:ascii="Times New Roman" w:hAnsi="Times New Roman"/>
          <w:sz w:val="24"/>
          <w:szCs w:val="24"/>
        </w:rPr>
        <w:t xml:space="preserve"> a</w:t>
      </w:r>
      <w:r w:rsidR="005162DF">
        <w:rPr>
          <w:rFonts w:ascii="Times New Roman" w:hAnsi="Times New Roman"/>
          <w:sz w:val="24"/>
          <w:szCs w:val="24"/>
        </w:rPr>
        <w:t xml:space="preserve">t some point, where there is advanced shopping, it becomes inefficient from a cost perspective for an LDC to continue to operate and SCO suppliers to continue to participate in an SCO auction program.  </w:t>
      </w:r>
      <w:r>
        <w:rPr>
          <w:rFonts w:ascii="Times New Roman" w:hAnsi="Times New Roman"/>
          <w:sz w:val="24"/>
          <w:szCs w:val="24"/>
        </w:rPr>
        <w:t>Hess Ex. 1, at 13; Tr. I</w:t>
      </w:r>
      <w:r w:rsidR="00CB5B38">
        <w:rPr>
          <w:rFonts w:ascii="Times New Roman" w:hAnsi="Times New Roman"/>
          <w:sz w:val="24"/>
          <w:szCs w:val="24"/>
        </w:rPr>
        <w:t>I</w:t>
      </w:r>
      <w:r>
        <w:rPr>
          <w:rFonts w:ascii="Times New Roman" w:hAnsi="Times New Roman"/>
          <w:sz w:val="24"/>
          <w:szCs w:val="24"/>
        </w:rPr>
        <w:t xml:space="preserve">I, at 143-144.  </w:t>
      </w:r>
      <w:r w:rsidR="005162DF">
        <w:rPr>
          <w:rFonts w:ascii="Times New Roman" w:hAnsi="Times New Roman"/>
          <w:sz w:val="24"/>
          <w:szCs w:val="24"/>
        </w:rPr>
        <w:t xml:space="preserve">However, if </w:t>
      </w:r>
      <w:r>
        <w:rPr>
          <w:rFonts w:ascii="Times New Roman" w:hAnsi="Times New Roman"/>
          <w:sz w:val="24"/>
          <w:szCs w:val="24"/>
        </w:rPr>
        <w:t>Columbia</w:t>
      </w:r>
      <w:r w:rsidR="005162DF">
        <w:rPr>
          <w:rFonts w:ascii="Times New Roman" w:hAnsi="Times New Roman"/>
          <w:sz w:val="24"/>
          <w:szCs w:val="24"/>
        </w:rPr>
        <w:t xml:space="preserve"> exits at the residential 70% shopping trigger, over 364,000 customers will be assigned to MVR suppliers.  </w:t>
      </w:r>
      <w:proofErr w:type="gramStart"/>
      <w:r>
        <w:rPr>
          <w:rFonts w:ascii="Times New Roman" w:hAnsi="Times New Roman"/>
          <w:sz w:val="24"/>
          <w:szCs w:val="24"/>
        </w:rPr>
        <w:t>Hess Ex. 1, at 14.</w:t>
      </w:r>
      <w:proofErr w:type="gramEnd"/>
      <w:r>
        <w:rPr>
          <w:rFonts w:ascii="Times New Roman" w:hAnsi="Times New Roman"/>
          <w:sz w:val="24"/>
          <w:szCs w:val="24"/>
        </w:rPr>
        <w:t xml:space="preserve">  </w:t>
      </w:r>
      <w:r w:rsidR="005162DF">
        <w:rPr>
          <w:rFonts w:ascii="Times New Roman" w:hAnsi="Times New Roman"/>
          <w:sz w:val="24"/>
          <w:szCs w:val="24"/>
        </w:rPr>
        <w:t>As the Commission is well aware, Section 4929.02(A</w:t>
      </w:r>
      <w:proofErr w:type="gramStart"/>
      <w:r w:rsidR="005162DF">
        <w:rPr>
          <w:rFonts w:ascii="Times New Roman" w:hAnsi="Times New Roman"/>
          <w:sz w:val="24"/>
          <w:szCs w:val="24"/>
        </w:rPr>
        <w:t>)(</w:t>
      </w:r>
      <w:proofErr w:type="gramEnd"/>
      <w:r w:rsidR="005162DF">
        <w:rPr>
          <w:rFonts w:ascii="Times New Roman" w:hAnsi="Times New Roman"/>
          <w:sz w:val="24"/>
          <w:szCs w:val="24"/>
        </w:rPr>
        <w:t>7) of the Ohio Revised Code provides that:</w:t>
      </w:r>
    </w:p>
    <w:p w:rsidR="005162DF" w:rsidRDefault="005162DF" w:rsidP="005162DF">
      <w:pPr>
        <w:spacing w:after="0" w:line="240" w:lineRule="auto"/>
        <w:ind w:left="1152" w:right="1152"/>
        <w:jc w:val="both"/>
        <w:rPr>
          <w:rFonts w:ascii="Times New Roman" w:hAnsi="Times New Roman"/>
          <w:sz w:val="24"/>
          <w:szCs w:val="24"/>
        </w:rPr>
      </w:pPr>
      <w:r>
        <w:rPr>
          <w:rFonts w:ascii="Times New Roman" w:hAnsi="Times New Roman"/>
          <w:sz w:val="24"/>
          <w:szCs w:val="24"/>
        </w:rPr>
        <w:t>It is the policy of this state to, throughout the state:</w:t>
      </w:r>
    </w:p>
    <w:p w:rsidR="005162DF" w:rsidRDefault="005162DF" w:rsidP="005162DF">
      <w:pPr>
        <w:spacing w:after="0" w:line="240" w:lineRule="auto"/>
        <w:ind w:left="1152" w:right="1152"/>
        <w:jc w:val="both"/>
        <w:rPr>
          <w:rFonts w:ascii="Times New Roman" w:hAnsi="Times New Roman"/>
          <w:sz w:val="24"/>
          <w:szCs w:val="24"/>
        </w:rPr>
      </w:pPr>
    </w:p>
    <w:p w:rsidR="005162DF" w:rsidRDefault="005162DF" w:rsidP="005162DF">
      <w:pPr>
        <w:spacing w:after="0" w:line="240" w:lineRule="auto"/>
        <w:ind w:left="1152" w:right="1152"/>
        <w:jc w:val="both"/>
        <w:rPr>
          <w:rFonts w:ascii="Times New Roman" w:hAnsi="Times New Roman"/>
          <w:sz w:val="24"/>
          <w:szCs w:val="24"/>
        </w:rPr>
      </w:pPr>
      <w:r>
        <w:rPr>
          <w:rFonts w:ascii="Times New Roman" w:hAnsi="Times New Roman"/>
          <w:sz w:val="24"/>
          <w:szCs w:val="24"/>
        </w:rPr>
        <w:t xml:space="preserve">Promote an expeditious transition to the provision of natural gas services and goods in a manner that </w:t>
      </w:r>
      <w:r w:rsidRPr="00C83CD2">
        <w:rPr>
          <w:rFonts w:ascii="Times New Roman" w:hAnsi="Times New Roman"/>
          <w:i/>
          <w:sz w:val="24"/>
          <w:szCs w:val="24"/>
        </w:rPr>
        <w:t>achieves effective competition</w:t>
      </w:r>
      <w:r>
        <w:rPr>
          <w:rFonts w:ascii="Times New Roman" w:hAnsi="Times New Roman"/>
          <w:sz w:val="24"/>
          <w:szCs w:val="24"/>
        </w:rPr>
        <w:t xml:space="preserve"> and transactions between </w:t>
      </w:r>
      <w:r>
        <w:rPr>
          <w:rFonts w:ascii="Times New Roman" w:hAnsi="Times New Roman"/>
          <w:i/>
          <w:sz w:val="24"/>
          <w:szCs w:val="24"/>
        </w:rPr>
        <w:t>willing buyers and willing sellers</w:t>
      </w:r>
      <w:r>
        <w:rPr>
          <w:rFonts w:ascii="Times New Roman" w:hAnsi="Times New Roman"/>
          <w:sz w:val="24"/>
          <w:szCs w:val="24"/>
        </w:rPr>
        <w:t xml:space="preserve"> to reduce or eliminate the need for regulation of natural gas services and goods under Chapters 4905. </w:t>
      </w:r>
      <w:proofErr w:type="gramStart"/>
      <w:r>
        <w:rPr>
          <w:rFonts w:ascii="Times New Roman" w:hAnsi="Times New Roman"/>
          <w:sz w:val="24"/>
          <w:szCs w:val="24"/>
        </w:rPr>
        <w:t>and</w:t>
      </w:r>
      <w:proofErr w:type="gramEnd"/>
      <w:r>
        <w:rPr>
          <w:rFonts w:ascii="Times New Roman" w:hAnsi="Times New Roman"/>
          <w:sz w:val="24"/>
          <w:szCs w:val="24"/>
        </w:rPr>
        <w:t xml:space="preserve"> 4909. </w:t>
      </w:r>
      <w:proofErr w:type="gramStart"/>
      <w:r>
        <w:rPr>
          <w:rFonts w:ascii="Times New Roman" w:hAnsi="Times New Roman"/>
          <w:sz w:val="24"/>
          <w:szCs w:val="24"/>
        </w:rPr>
        <w:t>of</w:t>
      </w:r>
      <w:proofErr w:type="gramEnd"/>
      <w:r>
        <w:rPr>
          <w:rFonts w:ascii="Times New Roman" w:hAnsi="Times New Roman"/>
          <w:sz w:val="24"/>
          <w:szCs w:val="24"/>
        </w:rPr>
        <w:t xml:space="preserve"> the Revised Code. (</w:t>
      </w:r>
      <w:proofErr w:type="gramStart"/>
      <w:r>
        <w:rPr>
          <w:rFonts w:ascii="Times New Roman" w:hAnsi="Times New Roman"/>
          <w:sz w:val="24"/>
          <w:szCs w:val="24"/>
        </w:rPr>
        <w:t>emphasis</w:t>
      </w:r>
      <w:proofErr w:type="gramEnd"/>
      <w:r>
        <w:rPr>
          <w:rFonts w:ascii="Times New Roman" w:hAnsi="Times New Roman"/>
          <w:sz w:val="24"/>
          <w:szCs w:val="24"/>
        </w:rPr>
        <w:t xml:space="preserve"> added)</w:t>
      </w:r>
    </w:p>
    <w:p w:rsidR="005162DF" w:rsidRDefault="005162DF" w:rsidP="00E96D4C">
      <w:pPr>
        <w:spacing w:before="240"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“Willing buyers” requires an affirmative decision by customers to select their competitive retail suppliers.  If the Commission orders the residential exit at 70% shopping, </w:t>
      </w:r>
      <w:r w:rsidR="006223A9">
        <w:rPr>
          <w:rFonts w:ascii="Times New Roman" w:hAnsi="Times New Roman"/>
          <w:sz w:val="24"/>
          <w:szCs w:val="24"/>
        </w:rPr>
        <w:t>Columbia</w:t>
      </w:r>
      <w:r>
        <w:rPr>
          <w:rFonts w:ascii="Times New Roman" w:hAnsi="Times New Roman"/>
          <w:sz w:val="24"/>
          <w:szCs w:val="24"/>
        </w:rPr>
        <w:t xml:space="preserve"> would be assigning over 364,000 customers to MVR suppliers </w:t>
      </w:r>
      <w:r w:rsidRPr="006223A9">
        <w:rPr>
          <w:rFonts w:ascii="Times New Roman" w:hAnsi="Times New Roman"/>
          <w:i/>
          <w:sz w:val="24"/>
          <w:szCs w:val="24"/>
        </w:rPr>
        <w:t>without their consent</w:t>
      </w:r>
      <w:r>
        <w:rPr>
          <w:rFonts w:ascii="Times New Roman" w:hAnsi="Times New Roman"/>
          <w:sz w:val="24"/>
          <w:szCs w:val="24"/>
        </w:rPr>
        <w:t xml:space="preserve">.  </w:t>
      </w:r>
      <w:proofErr w:type="gramStart"/>
      <w:r w:rsidR="00C21472">
        <w:rPr>
          <w:rFonts w:ascii="Times New Roman" w:hAnsi="Times New Roman"/>
          <w:sz w:val="24"/>
          <w:szCs w:val="24"/>
        </w:rPr>
        <w:t>Hess Ex. 1, at 14.</w:t>
      </w:r>
      <w:proofErr w:type="gramEnd"/>
      <w:r w:rsidR="00C21472">
        <w:rPr>
          <w:rFonts w:ascii="Times New Roman" w:hAnsi="Times New Roman"/>
          <w:sz w:val="24"/>
          <w:szCs w:val="24"/>
        </w:rPr>
        <w:t xml:space="preserve">  </w:t>
      </w:r>
      <w:r>
        <w:rPr>
          <w:rFonts w:ascii="Times New Roman" w:hAnsi="Times New Roman"/>
          <w:sz w:val="24"/>
          <w:szCs w:val="24"/>
        </w:rPr>
        <w:t xml:space="preserve">Additionally, as explained above, these assigned customers will be subjected to a higher rate than they were receiving under SCO service.  An assignment of this magnitude fails to satisfy Ohio’s “willing buyer” policy.  </w:t>
      </w:r>
      <w:r w:rsidR="00C21472" w:rsidRPr="00337D8E">
        <w:rPr>
          <w:rFonts w:ascii="Times New Roman" w:hAnsi="Times New Roman"/>
          <w:i/>
          <w:sz w:val="24"/>
          <w:szCs w:val="24"/>
        </w:rPr>
        <w:t>Id</w:t>
      </w:r>
      <w:r w:rsidR="00C21472">
        <w:rPr>
          <w:rFonts w:ascii="Times New Roman" w:hAnsi="Times New Roman"/>
          <w:sz w:val="24"/>
          <w:szCs w:val="24"/>
        </w:rPr>
        <w:t xml:space="preserve">.  </w:t>
      </w:r>
      <w:r>
        <w:rPr>
          <w:rFonts w:ascii="Times New Roman" w:hAnsi="Times New Roman"/>
          <w:sz w:val="24"/>
          <w:szCs w:val="24"/>
        </w:rPr>
        <w:t xml:space="preserve">Thus, the Amended Stipulation’s proposed residential exit framework </w:t>
      </w:r>
      <w:r w:rsidR="00C21472">
        <w:rPr>
          <w:rFonts w:ascii="Times New Roman" w:hAnsi="Times New Roman"/>
          <w:sz w:val="24"/>
          <w:szCs w:val="24"/>
        </w:rPr>
        <w:t xml:space="preserve">clearly </w:t>
      </w:r>
      <w:r>
        <w:rPr>
          <w:rFonts w:ascii="Times New Roman" w:hAnsi="Times New Roman"/>
          <w:sz w:val="24"/>
          <w:szCs w:val="24"/>
        </w:rPr>
        <w:t>contravenes prevailing state policy.</w:t>
      </w:r>
    </w:p>
    <w:p w:rsidR="005162DF" w:rsidRDefault="00A6034A" w:rsidP="00CC1F46">
      <w:pPr>
        <w:pStyle w:val="ListParagraph"/>
        <w:numPr>
          <w:ilvl w:val="0"/>
          <w:numId w:val="3"/>
        </w:num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THE PROPOSED SCO SECURITY “DEPOSIT” IS NOT IN THE PUBLIC INTEREST</w:t>
      </w:r>
      <w:r w:rsidR="006223A9">
        <w:rPr>
          <w:rFonts w:ascii="Times New Roman" w:hAnsi="Times New Roman" w:cs="Times New Roman"/>
          <w:b/>
          <w:sz w:val="24"/>
          <w:szCs w:val="24"/>
        </w:rPr>
        <w:t xml:space="preserve"> </w:t>
      </w:r>
      <w:r w:rsidR="00C21472">
        <w:rPr>
          <w:rFonts w:ascii="Times New Roman" w:hAnsi="Times New Roman" w:cs="Times New Roman"/>
          <w:b/>
          <w:sz w:val="24"/>
          <w:szCs w:val="24"/>
        </w:rPr>
        <w:t xml:space="preserve">AND VIOLATES REGULATORY PRINCIPLES </w:t>
      </w:r>
      <w:r w:rsidR="006223A9">
        <w:rPr>
          <w:rFonts w:ascii="Times New Roman" w:hAnsi="Times New Roman" w:cs="Times New Roman"/>
          <w:b/>
          <w:sz w:val="24"/>
          <w:szCs w:val="24"/>
        </w:rPr>
        <w:t>AS IT WOULD NEEDLESSLY INCREASE PRICES FOR SCO CUSTOMERS AND DISRUPT THE COMPETITIVE BALANCE BETWEEN SCO AND RETAIL SUPPLIERS</w:t>
      </w:r>
      <w:r>
        <w:rPr>
          <w:rFonts w:ascii="Times New Roman" w:hAnsi="Times New Roman" w:cs="Times New Roman"/>
          <w:b/>
          <w:sz w:val="24"/>
          <w:szCs w:val="24"/>
        </w:rPr>
        <w:t>.</w:t>
      </w:r>
    </w:p>
    <w:p w:rsidR="006223A9" w:rsidRDefault="006223A9" w:rsidP="006223A9">
      <w:pPr>
        <w:pStyle w:val="ListParagraph"/>
        <w:spacing w:before="240" w:after="0" w:line="240" w:lineRule="auto"/>
        <w:ind w:left="1080"/>
        <w:jc w:val="both"/>
        <w:rPr>
          <w:rFonts w:ascii="Times New Roman" w:hAnsi="Times New Roman" w:cs="Times New Roman"/>
          <w:b/>
          <w:sz w:val="24"/>
          <w:szCs w:val="24"/>
        </w:rPr>
      </w:pPr>
    </w:p>
    <w:p w:rsidR="00911E76" w:rsidRDefault="00A6034A" w:rsidP="00911E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Amended Stipulation provides that only SCO suppliers, and </w:t>
      </w:r>
      <w:r w:rsidRPr="00CB72B6">
        <w:rPr>
          <w:rFonts w:ascii="Times New Roman" w:hAnsi="Times New Roman" w:cs="Times New Roman"/>
          <w:b/>
          <w:sz w:val="24"/>
          <w:szCs w:val="24"/>
          <w:u w:val="single"/>
        </w:rPr>
        <w:t xml:space="preserve">not </w:t>
      </w:r>
      <w:r>
        <w:rPr>
          <w:rFonts w:ascii="Times New Roman" w:hAnsi="Times New Roman" w:cs="Times New Roman"/>
          <w:sz w:val="24"/>
          <w:szCs w:val="24"/>
        </w:rPr>
        <w:t xml:space="preserve">CHOICE suppliers, will be required to provide </w:t>
      </w:r>
      <w:r w:rsidR="00373E1E">
        <w:rPr>
          <w:rFonts w:ascii="Times New Roman" w:hAnsi="Times New Roman" w:cs="Times New Roman"/>
          <w:sz w:val="24"/>
          <w:szCs w:val="24"/>
        </w:rPr>
        <w:t>Columbia</w:t>
      </w:r>
      <w:r>
        <w:rPr>
          <w:rFonts w:ascii="Times New Roman" w:hAnsi="Times New Roman" w:cs="Times New Roman"/>
          <w:sz w:val="24"/>
          <w:szCs w:val="24"/>
        </w:rPr>
        <w:t xml:space="preserve"> with a cash “deposit” in the amount of $</w:t>
      </w:r>
      <w:r w:rsidR="006223A9">
        <w:rPr>
          <w:rFonts w:ascii="Times New Roman" w:hAnsi="Times New Roman" w:cs="Times New Roman"/>
          <w:sz w:val="24"/>
          <w:szCs w:val="24"/>
        </w:rPr>
        <w:t>0</w:t>
      </w:r>
      <w:r>
        <w:rPr>
          <w:rFonts w:ascii="Times New Roman" w:hAnsi="Times New Roman" w:cs="Times New Roman"/>
          <w:sz w:val="24"/>
          <w:szCs w:val="24"/>
        </w:rPr>
        <w:t>.06/</w:t>
      </w:r>
      <w:proofErr w:type="spellStart"/>
      <w:r>
        <w:rPr>
          <w:rFonts w:ascii="Times New Roman" w:hAnsi="Times New Roman" w:cs="Times New Roman"/>
          <w:sz w:val="24"/>
          <w:szCs w:val="24"/>
        </w:rPr>
        <w:t>Mcf</w:t>
      </w:r>
      <w:proofErr w:type="spellEnd"/>
      <w:r>
        <w:rPr>
          <w:rFonts w:ascii="Times New Roman" w:hAnsi="Times New Roman" w:cs="Times New Roman"/>
          <w:sz w:val="24"/>
          <w:szCs w:val="24"/>
        </w:rPr>
        <w:t xml:space="preserve"> of the annual delivery requirements for the SCO Program Year of the tranches won by that SCO supplier.  </w:t>
      </w:r>
      <w:proofErr w:type="gramStart"/>
      <w:r>
        <w:rPr>
          <w:rFonts w:ascii="Times New Roman" w:hAnsi="Times New Roman" w:cs="Times New Roman"/>
          <w:sz w:val="24"/>
          <w:szCs w:val="24"/>
        </w:rPr>
        <w:t xml:space="preserve">Jt. Ex. 1, at 4; </w:t>
      </w:r>
      <w:r w:rsidR="00911E76">
        <w:rPr>
          <w:rFonts w:ascii="Times New Roman" w:hAnsi="Times New Roman" w:cs="Times New Roman"/>
          <w:sz w:val="24"/>
          <w:szCs w:val="24"/>
        </w:rPr>
        <w:t xml:space="preserve">Columbia </w:t>
      </w:r>
      <w:r>
        <w:rPr>
          <w:rFonts w:ascii="Times New Roman" w:hAnsi="Times New Roman" w:cs="Times New Roman"/>
          <w:sz w:val="24"/>
          <w:szCs w:val="24"/>
        </w:rPr>
        <w:t>Ex 6, at 8; Tr. I</w:t>
      </w:r>
      <w:r w:rsidR="00CB5B38">
        <w:rPr>
          <w:rFonts w:ascii="Times New Roman" w:hAnsi="Times New Roman" w:cs="Times New Roman"/>
          <w:sz w:val="24"/>
          <w:szCs w:val="24"/>
        </w:rPr>
        <w:t>I</w:t>
      </w:r>
      <w:r>
        <w:rPr>
          <w:rFonts w:ascii="Times New Roman" w:hAnsi="Times New Roman" w:cs="Times New Roman"/>
          <w:sz w:val="24"/>
          <w:szCs w:val="24"/>
        </w:rPr>
        <w:t>, 43.</w:t>
      </w:r>
      <w:proofErr w:type="gramEnd"/>
      <w:r>
        <w:rPr>
          <w:rFonts w:ascii="Times New Roman" w:hAnsi="Times New Roman" w:cs="Times New Roman"/>
          <w:sz w:val="24"/>
          <w:szCs w:val="24"/>
        </w:rPr>
        <w:t xml:space="preserve">  </w:t>
      </w:r>
      <w:r w:rsidR="00373E1E">
        <w:rPr>
          <w:rFonts w:ascii="Times New Roman" w:hAnsi="Times New Roman" w:cs="Times New Roman"/>
          <w:sz w:val="24"/>
          <w:szCs w:val="24"/>
        </w:rPr>
        <w:t>Columbia</w:t>
      </w:r>
      <w:r>
        <w:rPr>
          <w:rFonts w:ascii="Times New Roman" w:hAnsi="Times New Roman" w:cs="Times New Roman"/>
          <w:sz w:val="24"/>
          <w:szCs w:val="24"/>
        </w:rPr>
        <w:t xml:space="preserve"> performed no cost studies or analyses to estimate the costs it would incur as a result of an SCO supplier default (Hess Ex. 1, at 19; Tr. I</w:t>
      </w:r>
      <w:r w:rsidR="00CB5B38">
        <w:rPr>
          <w:rFonts w:ascii="Times New Roman" w:hAnsi="Times New Roman" w:cs="Times New Roman"/>
          <w:sz w:val="24"/>
          <w:szCs w:val="24"/>
        </w:rPr>
        <w:t>I</w:t>
      </w:r>
      <w:r>
        <w:rPr>
          <w:rFonts w:ascii="Times New Roman" w:hAnsi="Times New Roman" w:cs="Times New Roman"/>
          <w:sz w:val="24"/>
          <w:szCs w:val="24"/>
        </w:rPr>
        <w:t>, at 41); rather, the size of the “deposit” was negotiated as a part of the stipulation package, as was the decision to impose it only upon SCO suppliers.  Tr. I</w:t>
      </w:r>
      <w:r w:rsidR="00CB5B38">
        <w:rPr>
          <w:rFonts w:ascii="Times New Roman" w:hAnsi="Times New Roman" w:cs="Times New Roman"/>
          <w:sz w:val="24"/>
          <w:szCs w:val="24"/>
        </w:rPr>
        <w:t>I</w:t>
      </w:r>
      <w:r>
        <w:rPr>
          <w:rFonts w:ascii="Times New Roman" w:hAnsi="Times New Roman" w:cs="Times New Roman"/>
          <w:sz w:val="24"/>
          <w:szCs w:val="24"/>
        </w:rPr>
        <w:t xml:space="preserve">, at 41-43. </w:t>
      </w:r>
      <w:r w:rsidR="001C616D">
        <w:rPr>
          <w:rFonts w:ascii="Times New Roman" w:hAnsi="Times New Roman" w:cs="Times New Roman"/>
          <w:sz w:val="24"/>
          <w:szCs w:val="24"/>
        </w:rPr>
        <w:t xml:space="preserve">  Moreover, a</w:t>
      </w:r>
      <w:r w:rsidR="001C616D">
        <w:rPr>
          <w:rFonts w:ascii="Times New Roman" w:hAnsi="Times New Roman"/>
          <w:sz w:val="24"/>
          <w:szCs w:val="24"/>
        </w:rPr>
        <w:t xml:space="preserve">ccording to the </w:t>
      </w:r>
      <w:r w:rsidR="00AF1AD3">
        <w:rPr>
          <w:rFonts w:ascii="Times New Roman" w:hAnsi="Times New Roman"/>
          <w:sz w:val="24"/>
          <w:szCs w:val="24"/>
        </w:rPr>
        <w:t xml:space="preserve">Second Revised </w:t>
      </w:r>
      <w:r w:rsidR="001C616D">
        <w:rPr>
          <w:rFonts w:ascii="Times New Roman" w:hAnsi="Times New Roman"/>
          <w:sz w:val="24"/>
          <w:szCs w:val="24"/>
        </w:rPr>
        <w:t xml:space="preserve">Program Outline </w:t>
      </w:r>
      <w:r w:rsidR="00AF1AD3">
        <w:rPr>
          <w:rFonts w:ascii="Times New Roman" w:hAnsi="Times New Roman"/>
          <w:sz w:val="24"/>
          <w:szCs w:val="24"/>
        </w:rPr>
        <w:t xml:space="preserve">(Columbia Ex. 2) </w:t>
      </w:r>
      <w:r w:rsidR="001C616D">
        <w:rPr>
          <w:rFonts w:ascii="Times New Roman" w:hAnsi="Times New Roman"/>
          <w:sz w:val="24"/>
          <w:szCs w:val="24"/>
        </w:rPr>
        <w:t xml:space="preserve">filed in this proceeding, </w:t>
      </w:r>
      <w:r w:rsidR="006223A9">
        <w:rPr>
          <w:rFonts w:ascii="Times New Roman" w:hAnsi="Times New Roman"/>
          <w:sz w:val="24"/>
          <w:szCs w:val="24"/>
        </w:rPr>
        <w:t>Columbia</w:t>
      </w:r>
      <w:r w:rsidR="001C616D">
        <w:rPr>
          <w:rFonts w:ascii="Times New Roman" w:hAnsi="Times New Roman"/>
          <w:sz w:val="24"/>
          <w:szCs w:val="24"/>
        </w:rPr>
        <w:t xml:space="preserve"> conducts pre-auction credit evaluations of all SCO bidders, and retains the right to make alternative credit arrangements with an SCO supplier should </w:t>
      </w:r>
      <w:r w:rsidR="006223A9">
        <w:rPr>
          <w:rFonts w:ascii="Times New Roman" w:hAnsi="Times New Roman"/>
          <w:sz w:val="24"/>
          <w:szCs w:val="24"/>
        </w:rPr>
        <w:t>Columbia</w:t>
      </w:r>
      <w:r w:rsidR="001C616D">
        <w:rPr>
          <w:rFonts w:ascii="Times New Roman" w:hAnsi="Times New Roman"/>
          <w:sz w:val="24"/>
          <w:szCs w:val="24"/>
        </w:rPr>
        <w:t xml:space="preserve"> deem it necessary (including requiring a guarantee, irrevocable letter of credit or a refundable cash deposit</w:t>
      </w:r>
      <w:r w:rsidR="001C616D" w:rsidRPr="008151E0">
        <w:rPr>
          <w:rFonts w:ascii="Times New Roman" w:hAnsi="Times New Roman"/>
          <w:sz w:val="24"/>
          <w:szCs w:val="24"/>
        </w:rPr>
        <w:t xml:space="preserve"> </w:t>
      </w:r>
      <w:r w:rsidR="001C616D">
        <w:rPr>
          <w:rFonts w:ascii="Times New Roman" w:hAnsi="Times New Roman"/>
          <w:sz w:val="24"/>
          <w:szCs w:val="24"/>
        </w:rPr>
        <w:t xml:space="preserve">in appropriate circumstances) and to investigate an SCO supplier’s creditworthiness during the SCO year if it believes that it has deteriorated.  </w:t>
      </w:r>
      <w:proofErr w:type="gramStart"/>
      <w:r w:rsidR="00AF1AD3">
        <w:rPr>
          <w:rFonts w:ascii="Times New Roman" w:hAnsi="Times New Roman"/>
          <w:sz w:val="24"/>
          <w:szCs w:val="24"/>
        </w:rPr>
        <w:t xml:space="preserve">Columbia Ex. 2, at 16-20; </w:t>
      </w:r>
      <w:r w:rsidR="00C21472">
        <w:rPr>
          <w:rFonts w:ascii="Times New Roman" w:hAnsi="Times New Roman"/>
          <w:sz w:val="24"/>
          <w:szCs w:val="24"/>
        </w:rPr>
        <w:t>Hess Ex. 1, at 18.</w:t>
      </w:r>
      <w:proofErr w:type="gramEnd"/>
      <w:r w:rsidR="00C21472">
        <w:rPr>
          <w:rFonts w:ascii="Times New Roman" w:hAnsi="Times New Roman"/>
          <w:sz w:val="24"/>
          <w:szCs w:val="24"/>
        </w:rPr>
        <w:t xml:space="preserve">  </w:t>
      </w:r>
      <w:r w:rsidR="001C616D">
        <w:rPr>
          <w:rFonts w:ascii="Times New Roman" w:hAnsi="Times New Roman"/>
          <w:sz w:val="24"/>
          <w:szCs w:val="24"/>
        </w:rPr>
        <w:lastRenderedPageBreak/>
        <w:t xml:space="preserve">These stringent requirements are more than adequate to protect </w:t>
      </w:r>
      <w:r w:rsidR="006223A9">
        <w:rPr>
          <w:rFonts w:ascii="Times New Roman" w:hAnsi="Times New Roman"/>
          <w:sz w:val="24"/>
          <w:szCs w:val="24"/>
        </w:rPr>
        <w:t>Columbia</w:t>
      </w:r>
      <w:r w:rsidR="001C616D">
        <w:rPr>
          <w:rFonts w:ascii="Times New Roman" w:hAnsi="Times New Roman"/>
          <w:sz w:val="24"/>
          <w:szCs w:val="24"/>
        </w:rPr>
        <w:t xml:space="preserve"> against default, especially considering there has been no SSO or SCO supplier default in Ohio to date.  </w:t>
      </w:r>
      <w:proofErr w:type="gramStart"/>
      <w:r w:rsidR="00C21472">
        <w:rPr>
          <w:rFonts w:ascii="Times New Roman" w:hAnsi="Times New Roman"/>
          <w:sz w:val="24"/>
          <w:szCs w:val="24"/>
        </w:rPr>
        <w:t>Hess Ex. 1, at 18.</w:t>
      </w:r>
      <w:proofErr w:type="gramEnd"/>
      <w:r w:rsidR="00C21472">
        <w:rPr>
          <w:rFonts w:ascii="Times New Roman" w:hAnsi="Times New Roman"/>
          <w:sz w:val="24"/>
          <w:szCs w:val="24"/>
        </w:rPr>
        <w:t xml:space="preserve">  </w:t>
      </w:r>
      <w:r w:rsidR="006223A9">
        <w:rPr>
          <w:rFonts w:ascii="Times New Roman" w:hAnsi="Times New Roman"/>
          <w:sz w:val="24"/>
          <w:szCs w:val="24"/>
        </w:rPr>
        <w:t>Columbia</w:t>
      </w:r>
      <w:r w:rsidR="001C616D">
        <w:rPr>
          <w:rFonts w:ascii="Times New Roman" w:hAnsi="Times New Roman"/>
          <w:sz w:val="24"/>
          <w:szCs w:val="24"/>
        </w:rPr>
        <w:t xml:space="preserve"> has provided no evidence that an additional safeguard, beyond the current requirements, is necessary to protect customers in the event of an SCO supplier </w:t>
      </w:r>
      <w:proofErr w:type="spellStart"/>
      <w:r w:rsidR="001C616D">
        <w:rPr>
          <w:rFonts w:ascii="Times New Roman" w:hAnsi="Times New Roman"/>
          <w:sz w:val="24"/>
          <w:szCs w:val="24"/>
        </w:rPr>
        <w:t>default</w:t>
      </w:r>
      <w:r w:rsidR="00911E76">
        <w:rPr>
          <w:rFonts w:ascii="Times New Roman" w:hAnsi="Times New Roman" w:cs="Times New Roman"/>
          <w:sz w:val="24"/>
          <w:szCs w:val="24"/>
        </w:rPr>
        <w:t>.A</w:t>
      </w:r>
      <w:r>
        <w:rPr>
          <w:rFonts w:ascii="Times New Roman" w:hAnsi="Times New Roman" w:cs="Times New Roman"/>
          <w:sz w:val="24"/>
          <w:szCs w:val="24"/>
        </w:rPr>
        <w:t>lthough</w:t>
      </w:r>
      <w:proofErr w:type="spellEnd"/>
      <w:r>
        <w:rPr>
          <w:rFonts w:ascii="Times New Roman" w:hAnsi="Times New Roman" w:cs="Times New Roman"/>
          <w:sz w:val="24"/>
          <w:szCs w:val="24"/>
        </w:rPr>
        <w:t xml:space="preserve"> the Joint </w:t>
      </w:r>
      <w:proofErr w:type="spellStart"/>
      <w:r>
        <w:rPr>
          <w:rFonts w:ascii="Times New Roman" w:hAnsi="Times New Roman" w:cs="Times New Roman"/>
          <w:sz w:val="24"/>
          <w:szCs w:val="24"/>
        </w:rPr>
        <w:t>Movants</w:t>
      </w:r>
      <w:proofErr w:type="spellEnd"/>
      <w:r>
        <w:rPr>
          <w:rFonts w:ascii="Times New Roman" w:hAnsi="Times New Roman" w:cs="Times New Roman"/>
          <w:sz w:val="24"/>
          <w:szCs w:val="24"/>
        </w:rPr>
        <w:t xml:space="preserve"> refer to this charge as a “deposit” in the Amended Stipulation, it is anything but – because it will </w:t>
      </w:r>
      <w:r>
        <w:rPr>
          <w:rFonts w:ascii="Times New Roman" w:hAnsi="Times New Roman" w:cs="Times New Roman"/>
          <w:b/>
          <w:sz w:val="24"/>
          <w:szCs w:val="24"/>
          <w:u w:val="single"/>
        </w:rPr>
        <w:t>never</w:t>
      </w:r>
      <w:r>
        <w:rPr>
          <w:rFonts w:ascii="Times New Roman" w:hAnsi="Times New Roman" w:cs="Times New Roman"/>
          <w:sz w:val="24"/>
          <w:szCs w:val="24"/>
        </w:rPr>
        <w:t xml:space="preserve"> be returned to the SCO supplier posting it.  </w:t>
      </w:r>
      <w:proofErr w:type="gramStart"/>
      <w:r>
        <w:rPr>
          <w:rFonts w:ascii="Times New Roman" w:hAnsi="Times New Roman" w:cs="Times New Roman"/>
          <w:sz w:val="24"/>
          <w:szCs w:val="24"/>
        </w:rPr>
        <w:t>Hess Ex. 1, at 18, Tr.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 at 110.</w:t>
      </w:r>
      <w:proofErr w:type="gramEnd"/>
      <w:r>
        <w:rPr>
          <w:rFonts w:ascii="Times New Roman" w:hAnsi="Times New Roman" w:cs="Times New Roman"/>
          <w:sz w:val="24"/>
          <w:szCs w:val="24"/>
        </w:rPr>
        <w:t xml:space="preserve">  Instead, assuming no SCO supplier defaults,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sum collected will be credited to the CSRR rider at the end of the SCO Program Year to reduce the rates not only of the SCO supplier’s customers, but </w:t>
      </w:r>
      <w:r>
        <w:rPr>
          <w:rFonts w:ascii="Times New Roman" w:hAnsi="Times New Roman" w:cs="Times New Roman"/>
          <w:b/>
          <w:sz w:val="24"/>
          <w:szCs w:val="24"/>
          <w:u w:val="single"/>
        </w:rPr>
        <w:t>also</w:t>
      </w:r>
      <w:r>
        <w:rPr>
          <w:rFonts w:ascii="Times New Roman" w:hAnsi="Times New Roman" w:cs="Times New Roman"/>
          <w:sz w:val="24"/>
          <w:szCs w:val="24"/>
        </w:rPr>
        <w:t xml:space="preserve"> Choice customers.  </w:t>
      </w:r>
      <w:proofErr w:type="gramStart"/>
      <w:r>
        <w:rPr>
          <w:rFonts w:ascii="Times New Roman" w:hAnsi="Times New Roman" w:cs="Times New Roman"/>
          <w:sz w:val="24"/>
          <w:szCs w:val="24"/>
        </w:rPr>
        <w:t>J</w:t>
      </w:r>
      <w:r w:rsidR="00C21472">
        <w:rPr>
          <w:rFonts w:ascii="Times New Roman" w:hAnsi="Times New Roman" w:cs="Times New Roman"/>
          <w:sz w:val="24"/>
          <w:szCs w:val="24"/>
        </w:rPr>
        <w:t>oin</w:t>
      </w:r>
      <w:r>
        <w:rPr>
          <w:rFonts w:ascii="Times New Roman" w:hAnsi="Times New Roman" w:cs="Times New Roman"/>
          <w:sz w:val="24"/>
          <w:szCs w:val="24"/>
        </w:rPr>
        <w:t xml:space="preserve">t Ex. 1, at 4; </w:t>
      </w:r>
      <w:r w:rsidR="006223A9">
        <w:rPr>
          <w:rFonts w:ascii="Times New Roman" w:hAnsi="Times New Roman" w:cs="Times New Roman"/>
          <w:sz w:val="24"/>
          <w:szCs w:val="24"/>
        </w:rPr>
        <w:t>Columbia</w:t>
      </w:r>
      <w:r>
        <w:rPr>
          <w:rFonts w:ascii="Times New Roman" w:hAnsi="Times New Roman" w:cs="Times New Roman"/>
          <w:sz w:val="24"/>
          <w:szCs w:val="24"/>
        </w:rPr>
        <w:t xml:space="preserve"> Ex 6, at 8, Tr. I</w:t>
      </w:r>
      <w:r w:rsidR="00CB5B38">
        <w:rPr>
          <w:rFonts w:ascii="Times New Roman" w:hAnsi="Times New Roman" w:cs="Times New Roman"/>
          <w:sz w:val="24"/>
          <w:szCs w:val="24"/>
        </w:rPr>
        <w:t>I</w:t>
      </w:r>
      <w:r>
        <w:rPr>
          <w:rFonts w:ascii="Times New Roman" w:hAnsi="Times New Roman" w:cs="Times New Roman"/>
          <w:sz w:val="24"/>
          <w:szCs w:val="24"/>
        </w:rPr>
        <w:t>, at 44.</w:t>
      </w:r>
      <w:proofErr w:type="gramEnd"/>
      <w:r>
        <w:rPr>
          <w:rFonts w:ascii="Times New Roman" w:hAnsi="Times New Roman" w:cs="Times New Roman"/>
          <w:sz w:val="24"/>
          <w:szCs w:val="24"/>
        </w:rPr>
        <w:t xml:space="preserve">   </w:t>
      </w:r>
    </w:p>
    <w:p w:rsidR="00A6034A" w:rsidRDefault="00AF1AD3" w:rsidP="00C9446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OGMG/RESA </w:t>
      </w:r>
      <w:r w:rsidR="00A6034A">
        <w:rPr>
          <w:rFonts w:ascii="Times New Roman" w:hAnsi="Times New Roman" w:cs="Times New Roman"/>
          <w:sz w:val="24"/>
          <w:szCs w:val="24"/>
        </w:rPr>
        <w:t>claim</w:t>
      </w:r>
      <w:r w:rsidR="00AF195B">
        <w:rPr>
          <w:rFonts w:ascii="Times New Roman" w:hAnsi="Times New Roman" w:cs="Times New Roman"/>
          <w:sz w:val="24"/>
          <w:szCs w:val="24"/>
        </w:rPr>
        <w:t>s</w:t>
      </w:r>
      <w:r w:rsidR="00A6034A">
        <w:rPr>
          <w:rFonts w:ascii="Times New Roman" w:hAnsi="Times New Roman" w:cs="Times New Roman"/>
          <w:sz w:val="24"/>
          <w:szCs w:val="24"/>
        </w:rPr>
        <w:t xml:space="preserve"> that crediting the SCO “deposit” to Choice customers is necessary to remedy subsidies that are being provided to SCO customers, </w:t>
      </w:r>
      <w:r w:rsidR="00A6034A" w:rsidRPr="00B218DD">
        <w:rPr>
          <w:rFonts w:ascii="Times New Roman" w:hAnsi="Times New Roman" w:cs="Times New Roman"/>
          <w:i/>
          <w:sz w:val="24"/>
          <w:szCs w:val="24"/>
        </w:rPr>
        <w:t>e.g</w:t>
      </w:r>
      <w:r w:rsidR="00A6034A">
        <w:rPr>
          <w:rFonts w:ascii="Times New Roman" w:hAnsi="Times New Roman" w:cs="Times New Roman"/>
          <w:sz w:val="24"/>
          <w:szCs w:val="24"/>
        </w:rPr>
        <w:t xml:space="preserve">., costs for the SCO auction, programming costs for enrollment protocols, and costs for educational programs.  OGMG/RESA Ex. 3, at 17-18.  Interestingly, only </w:t>
      </w:r>
      <w:r w:rsidR="006223A9">
        <w:rPr>
          <w:rFonts w:ascii="Times New Roman" w:hAnsi="Times New Roman" w:cs="Times New Roman"/>
          <w:sz w:val="24"/>
          <w:szCs w:val="24"/>
        </w:rPr>
        <w:t xml:space="preserve">the </w:t>
      </w:r>
      <w:r>
        <w:rPr>
          <w:rFonts w:ascii="Times New Roman" w:hAnsi="Times New Roman" w:cs="Times New Roman"/>
          <w:sz w:val="24"/>
          <w:szCs w:val="24"/>
        </w:rPr>
        <w:t>Choice s</w:t>
      </w:r>
      <w:r w:rsidR="006223A9">
        <w:rPr>
          <w:rFonts w:ascii="Times New Roman" w:hAnsi="Times New Roman" w:cs="Times New Roman"/>
          <w:sz w:val="24"/>
          <w:szCs w:val="24"/>
        </w:rPr>
        <w:t>uppliers</w:t>
      </w:r>
      <w:r w:rsidR="00A6034A">
        <w:rPr>
          <w:rFonts w:ascii="Times New Roman" w:hAnsi="Times New Roman" w:cs="Times New Roman"/>
          <w:sz w:val="24"/>
          <w:szCs w:val="24"/>
        </w:rPr>
        <w:t xml:space="preserve"> claim that these subsidies exist.  </w:t>
      </w:r>
      <w:r w:rsidR="00A6034A" w:rsidRPr="00090B89">
        <w:rPr>
          <w:rFonts w:ascii="Times New Roman" w:hAnsi="Times New Roman" w:cs="Times New Roman"/>
          <w:i/>
          <w:sz w:val="24"/>
          <w:szCs w:val="24"/>
        </w:rPr>
        <w:t>Id</w:t>
      </w:r>
      <w:r w:rsidR="00A6034A">
        <w:rPr>
          <w:rFonts w:ascii="Times New Roman" w:hAnsi="Times New Roman" w:cs="Times New Roman"/>
          <w:sz w:val="24"/>
          <w:szCs w:val="24"/>
        </w:rPr>
        <w:t xml:space="preserve">.  On the other hand, </w:t>
      </w:r>
      <w:r w:rsidR="00373E1E">
        <w:rPr>
          <w:rFonts w:ascii="Times New Roman" w:hAnsi="Times New Roman" w:cs="Times New Roman"/>
          <w:sz w:val="24"/>
          <w:szCs w:val="24"/>
        </w:rPr>
        <w:t>Columbia</w:t>
      </w:r>
      <w:r w:rsidR="00A6034A">
        <w:rPr>
          <w:rFonts w:ascii="Times New Roman" w:hAnsi="Times New Roman" w:cs="Times New Roman"/>
          <w:sz w:val="24"/>
          <w:szCs w:val="24"/>
        </w:rPr>
        <w:t xml:space="preserve">, the entity that actually is responsible for the cost of the auction, enrollment protocols, and educational programs, has made no such claim.  </w:t>
      </w:r>
      <w:proofErr w:type="gramStart"/>
      <w:r w:rsidR="00373E1E">
        <w:rPr>
          <w:rFonts w:ascii="Times New Roman" w:hAnsi="Times New Roman" w:cs="Times New Roman"/>
          <w:sz w:val="24"/>
          <w:szCs w:val="24"/>
        </w:rPr>
        <w:t>Columbia</w:t>
      </w:r>
      <w:r w:rsidR="00A6034A">
        <w:rPr>
          <w:rFonts w:ascii="Times New Roman" w:hAnsi="Times New Roman" w:cs="Times New Roman"/>
          <w:sz w:val="24"/>
          <w:szCs w:val="24"/>
        </w:rPr>
        <w:t xml:space="preserve"> Ex. 6.</w:t>
      </w:r>
      <w:proofErr w:type="gramEnd"/>
      <w:r w:rsidR="00A6034A">
        <w:rPr>
          <w:rFonts w:ascii="Times New Roman" w:hAnsi="Times New Roman" w:cs="Times New Roman"/>
          <w:sz w:val="24"/>
          <w:szCs w:val="24"/>
        </w:rPr>
        <w:t xml:space="preserve">  As with the estimated costs of SCO supplier default, the </w:t>
      </w:r>
      <w:r>
        <w:rPr>
          <w:rFonts w:ascii="Times New Roman" w:hAnsi="Times New Roman" w:cs="Times New Roman"/>
          <w:sz w:val="24"/>
          <w:szCs w:val="24"/>
        </w:rPr>
        <w:t>Choice s</w:t>
      </w:r>
      <w:r w:rsidR="00A6034A">
        <w:rPr>
          <w:rFonts w:ascii="Times New Roman" w:hAnsi="Times New Roman" w:cs="Times New Roman"/>
          <w:sz w:val="24"/>
          <w:szCs w:val="24"/>
        </w:rPr>
        <w:t xml:space="preserve">uppliers performed no studies or analyses to determine existence of alleged subsidies or their cost.  </w:t>
      </w:r>
      <w:proofErr w:type="gramStart"/>
      <w:r w:rsidR="00A6034A">
        <w:rPr>
          <w:rFonts w:ascii="Times New Roman" w:hAnsi="Times New Roman" w:cs="Times New Roman"/>
          <w:sz w:val="24"/>
          <w:szCs w:val="24"/>
        </w:rPr>
        <w:t>Hess Ex. 1, at 19</w:t>
      </w:r>
      <w:r w:rsidR="00FE1C70">
        <w:rPr>
          <w:rFonts w:ascii="Times New Roman" w:hAnsi="Times New Roman" w:cs="Times New Roman"/>
          <w:sz w:val="24"/>
          <w:szCs w:val="24"/>
        </w:rPr>
        <w:t>; Tr. I</w:t>
      </w:r>
      <w:r w:rsidR="00CB5B38">
        <w:rPr>
          <w:rFonts w:ascii="Times New Roman" w:hAnsi="Times New Roman" w:cs="Times New Roman"/>
          <w:sz w:val="24"/>
          <w:szCs w:val="24"/>
        </w:rPr>
        <w:t>I</w:t>
      </w:r>
      <w:r w:rsidR="00FE1C70">
        <w:rPr>
          <w:rFonts w:ascii="Times New Roman" w:hAnsi="Times New Roman" w:cs="Times New Roman"/>
          <w:sz w:val="24"/>
          <w:szCs w:val="24"/>
        </w:rPr>
        <w:t>I, at 215</w:t>
      </w:r>
      <w:r w:rsidR="00A6034A">
        <w:rPr>
          <w:rFonts w:ascii="Times New Roman" w:hAnsi="Times New Roman" w:cs="Times New Roman"/>
          <w:sz w:val="24"/>
          <w:szCs w:val="24"/>
        </w:rPr>
        <w:t>.</w:t>
      </w:r>
      <w:proofErr w:type="gramEnd"/>
      <w:r w:rsidR="00A6034A">
        <w:rPr>
          <w:rFonts w:ascii="Times New Roman" w:hAnsi="Times New Roman" w:cs="Times New Roman"/>
          <w:sz w:val="24"/>
          <w:szCs w:val="24"/>
        </w:rPr>
        <w:t xml:space="preserve">  </w:t>
      </w:r>
      <w:proofErr w:type="spellStart"/>
      <w:r w:rsidR="00911E76">
        <w:rPr>
          <w:rFonts w:ascii="Times New Roman" w:hAnsi="Times New Roman" w:cs="Times New Roman"/>
          <w:sz w:val="24"/>
          <w:szCs w:val="24"/>
        </w:rPr>
        <w:t>Morever</w:t>
      </w:r>
      <w:proofErr w:type="spellEnd"/>
      <w:r w:rsidR="00911E76">
        <w:rPr>
          <w:rFonts w:ascii="Times New Roman" w:hAnsi="Times New Roman" w:cs="Times New Roman"/>
          <w:sz w:val="24"/>
          <w:szCs w:val="24"/>
        </w:rPr>
        <w:t xml:space="preserve">, </w:t>
      </w:r>
      <w:r w:rsidR="00911E76">
        <w:rPr>
          <w:rFonts w:ascii="Times New Roman" w:hAnsi="Times New Roman"/>
          <w:sz w:val="24"/>
          <w:szCs w:val="24"/>
        </w:rPr>
        <w:t>the</w:t>
      </w:r>
      <w:r w:rsidR="00911E76" w:rsidRPr="00306866">
        <w:rPr>
          <w:rFonts w:ascii="Times New Roman" w:hAnsi="Times New Roman"/>
          <w:sz w:val="24"/>
          <w:szCs w:val="24"/>
        </w:rPr>
        <w:t xml:space="preserve"> </w:t>
      </w:r>
      <w:r>
        <w:rPr>
          <w:rFonts w:ascii="Times New Roman" w:hAnsi="Times New Roman"/>
          <w:sz w:val="24"/>
          <w:szCs w:val="24"/>
        </w:rPr>
        <w:t>Choice s</w:t>
      </w:r>
      <w:r w:rsidR="00911E76" w:rsidRPr="00306866">
        <w:rPr>
          <w:rFonts w:ascii="Times New Roman" w:hAnsi="Times New Roman"/>
          <w:sz w:val="24"/>
          <w:szCs w:val="24"/>
        </w:rPr>
        <w:t xml:space="preserve">uppliers conveniently ignore the </w:t>
      </w:r>
      <w:r w:rsidR="00911E76">
        <w:rPr>
          <w:rFonts w:ascii="Times New Roman" w:hAnsi="Times New Roman"/>
          <w:sz w:val="24"/>
          <w:szCs w:val="24"/>
        </w:rPr>
        <w:t xml:space="preserve">subsidies they will receive through COH’s </w:t>
      </w:r>
      <w:r w:rsidR="00911E76" w:rsidRPr="00306866">
        <w:rPr>
          <w:rFonts w:ascii="Times New Roman" w:hAnsi="Times New Roman"/>
          <w:sz w:val="24"/>
          <w:szCs w:val="24"/>
        </w:rPr>
        <w:t>commit</w:t>
      </w:r>
      <w:r w:rsidR="00911E76">
        <w:rPr>
          <w:rFonts w:ascii="Times New Roman" w:hAnsi="Times New Roman"/>
          <w:sz w:val="24"/>
          <w:szCs w:val="24"/>
        </w:rPr>
        <w:t xml:space="preserve">ment </w:t>
      </w:r>
      <w:r w:rsidR="00911E76" w:rsidRPr="00306866">
        <w:rPr>
          <w:rFonts w:ascii="Times New Roman" w:hAnsi="Times New Roman"/>
          <w:sz w:val="24"/>
          <w:szCs w:val="24"/>
        </w:rPr>
        <w:t>to expend millions</w:t>
      </w:r>
      <w:r w:rsidR="00911E76">
        <w:rPr>
          <w:rFonts w:ascii="Times New Roman" w:hAnsi="Times New Roman"/>
          <w:sz w:val="24"/>
          <w:szCs w:val="24"/>
        </w:rPr>
        <w:t xml:space="preserve"> of dollars</w:t>
      </w:r>
      <w:r w:rsidR="00911E76" w:rsidRPr="00306866">
        <w:rPr>
          <w:rFonts w:ascii="Times New Roman" w:hAnsi="Times New Roman"/>
          <w:sz w:val="24"/>
          <w:szCs w:val="24"/>
        </w:rPr>
        <w:t xml:space="preserve"> to expand the retail Choice markets to the direct benefit of the </w:t>
      </w:r>
      <w:r>
        <w:rPr>
          <w:rFonts w:ascii="Times New Roman" w:hAnsi="Times New Roman"/>
          <w:sz w:val="24"/>
          <w:szCs w:val="24"/>
        </w:rPr>
        <w:t>Choice s</w:t>
      </w:r>
      <w:r w:rsidR="00911E76" w:rsidRPr="00306866">
        <w:rPr>
          <w:rFonts w:ascii="Times New Roman" w:hAnsi="Times New Roman"/>
          <w:sz w:val="24"/>
          <w:szCs w:val="24"/>
        </w:rPr>
        <w:t>uppliers, including enhanced billing options, expanded rate and bill code capabilities, and rolling enrollment capabilities</w:t>
      </w:r>
      <w:r w:rsidR="00911E76">
        <w:rPr>
          <w:rFonts w:ascii="Times New Roman" w:hAnsi="Times New Roman"/>
          <w:sz w:val="24"/>
          <w:szCs w:val="24"/>
        </w:rPr>
        <w:t>, as confirmed by the Amended Stipulation.</w:t>
      </w:r>
      <w:r w:rsidR="00BD0B7A">
        <w:rPr>
          <w:rFonts w:ascii="Times New Roman" w:hAnsi="Times New Roman"/>
          <w:sz w:val="24"/>
          <w:szCs w:val="24"/>
        </w:rPr>
        <w:t xml:space="preserve">  </w:t>
      </w:r>
      <w:r w:rsidR="00BD0B7A">
        <w:rPr>
          <w:rFonts w:ascii="Times New Roman" w:hAnsi="Times New Roman"/>
          <w:sz w:val="24"/>
          <w:szCs w:val="24"/>
        </w:rPr>
        <w:lastRenderedPageBreak/>
        <w:t>Joint Ex. 1, Attachment 1</w:t>
      </w:r>
      <w:r w:rsidR="00FE1C70">
        <w:rPr>
          <w:rFonts w:ascii="Times New Roman" w:hAnsi="Times New Roman"/>
          <w:sz w:val="24"/>
          <w:szCs w:val="24"/>
        </w:rPr>
        <w:t xml:space="preserve">; Tr. </w:t>
      </w:r>
      <w:r w:rsidR="00CB5B38">
        <w:rPr>
          <w:rFonts w:ascii="Times New Roman" w:hAnsi="Times New Roman"/>
          <w:sz w:val="24"/>
          <w:szCs w:val="24"/>
        </w:rPr>
        <w:t>I</w:t>
      </w:r>
      <w:r w:rsidR="00FE1C70">
        <w:rPr>
          <w:rFonts w:ascii="Times New Roman" w:hAnsi="Times New Roman"/>
          <w:sz w:val="24"/>
          <w:szCs w:val="24"/>
        </w:rPr>
        <w:t>I, at 28-29</w:t>
      </w:r>
      <w:r w:rsidR="00BD0B7A">
        <w:rPr>
          <w:rFonts w:ascii="Times New Roman" w:hAnsi="Times New Roman"/>
          <w:sz w:val="24"/>
          <w:szCs w:val="24"/>
        </w:rPr>
        <w:t>.  Even if some limited SCO-related costs (e.g., $70,000 annual fee for a third-party vendor to perform the SCO auction)</w:t>
      </w:r>
      <w:r w:rsidR="00FE1C70">
        <w:rPr>
          <w:rStyle w:val="FootnoteReference"/>
          <w:rFonts w:ascii="Times New Roman" w:hAnsi="Times New Roman"/>
          <w:sz w:val="24"/>
          <w:szCs w:val="24"/>
        </w:rPr>
        <w:footnoteReference w:id="7"/>
      </w:r>
      <w:r w:rsidR="00BD0B7A">
        <w:rPr>
          <w:rFonts w:ascii="Times New Roman" w:hAnsi="Times New Roman"/>
          <w:sz w:val="24"/>
          <w:szCs w:val="24"/>
        </w:rPr>
        <w:t xml:space="preserve"> are paid for by all customers, the SCO-related costs are dwarfed by the costs borne by all customers for the direct benefit of the </w:t>
      </w:r>
      <w:r w:rsidR="00C9446D">
        <w:rPr>
          <w:rFonts w:ascii="Times New Roman" w:hAnsi="Times New Roman"/>
          <w:sz w:val="24"/>
          <w:szCs w:val="24"/>
        </w:rPr>
        <w:t>Choice s</w:t>
      </w:r>
      <w:r w:rsidR="00BD0B7A">
        <w:rPr>
          <w:rFonts w:ascii="Times New Roman" w:hAnsi="Times New Roman"/>
          <w:sz w:val="24"/>
          <w:szCs w:val="24"/>
        </w:rPr>
        <w:t>uppliers.</w:t>
      </w:r>
    </w:p>
    <w:p w:rsidR="00A6034A" w:rsidRDefault="00A6034A" w:rsidP="00A603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Hess witness Magnan</w:t>
      </w:r>
      <w:r w:rsidR="006223A9">
        <w:rPr>
          <w:rFonts w:ascii="Times New Roman" w:hAnsi="Times New Roman" w:cs="Times New Roman"/>
          <w:sz w:val="24"/>
          <w:szCs w:val="24"/>
        </w:rPr>
        <w:t>i testified as to the effect that the proposed SCO</w:t>
      </w:r>
      <w:r>
        <w:rPr>
          <w:rFonts w:ascii="Times New Roman" w:hAnsi="Times New Roman" w:cs="Times New Roman"/>
          <w:sz w:val="24"/>
          <w:szCs w:val="24"/>
        </w:rPr>
        <w:t xml:space="preserve"> security deposit would have on the </w:t>
      </w:r>
      <w:r w:rsidR="00373E1E">
        <w:rPr>
          <w:rFonts w:ascii="Times New Roman" w:hAnsi="Times New Roman" w:cs="Times New Roman"/>
          <w:sz w:val="24"/>
          <w:szCs w:val="24"/>
        </w:rPr>
        <w:t>Columbia</w:t>
      </w:r>
      <w:r>
        <w:rPr>
          <w:rFonts w:ascii="Times New Roman" w:hAnsi="Times New Roman" w:cs="Times New Roman"/>
          <w:sz w:val="24"/>
          <w:szCs w:val="24"/>
        </w:rPr>
        <w:t xml:space="preserve"> market:  </w:t>
      </w:r>
    </w:p>
    <w:p w:rsidR="00A6034A" w:rsidRPr="00A6034A" w:rsidRDefault="00A6034A" w:rsidP="006223A9">
      <w:pPr>
        <w:spacing w:after="0" w:line="240" w:lineRule="auto"/>
        <w:ind w:left="1440" w:right="1440" w:firstLine="720"/>
        <w:jc w:val="both"/>
        <w:rPr>
          <w:rFonts w:ascii="Times New Roman" w:hAnsi="Times New Roman"/>
          <w:sz w:val="24"/>
          <w:szCs w:val="24"/>
        </w:rPr>
      </w:pPr>
      <w:r w:rsidRPr="00A6034A">
        <w:rPr>
          <w:rFonts w:ascii="Times New Roman" w:hAnsi="Times New Roman" w:cs="Times New Roman"/>
          <w:sz w:val="24"/>
          <w:szCs w:val="24"/>
        </w:rPr>
        <w:t>T</w:t>
      </w:r>
      <w:r w:rsidRPr="00A6034A">
        <w:rPr>
          <w:rFonts w:ascii="Times New Roman" w:hAnsi="Times New Roman"/>
          <w:sz w:val="24"/>
          <w:szCs w:val="24"/>
        </w:rPr>
        <w:t xml:space="preserve">he SCO security charge is nothing more than an administrative mechanism designed to artificially bolster the competitive position of retail suppliers compared with the SCO price.  If approved, SCO suppliers will have to build this $0.06 per </w:t>
      </w:r>
      <w:proofErr w:type="spellStart"/>
      <w:r w:rsidRPr="00A6034A">
        <w:rPr>
          <w:rFonts w:ascii="Times New Roman" w:hAnsi="Times New Roman"/>
          <w:sz w:val="24"/>
          <w:szCs w:val="24"/>
        </w:rPr>
        <w:t>Mcf</w:t>
      </w:r>
      <w:proofErr w:type="spellEnd"/>
      <w:r w:rsidRPr="00A6034A">
        <w:rPr>
          <w:rFonts w:ascii="Times New Roman" w:hAnsi="Times New Roman"/>
          <w:sz w:val="24"/>
          <w:szCs w:val="24"/>
        </w:rPr>
        <w:t xml:space="preserve"> charge into their SCO bids each year because they will be unable to recover it at the end of the program year.   [Choice] suppliers, on the other hand, will not be assessed this charge and will not need to account for the charge in their offers to Choice customers.  Such a construct would make [Choice] suppliers’ offers more competitive to Choice-eligible customers.  </w:t>
      </w:r>
    </w:p>
    <w:p w:rsidR="00A6034A" w:rsidRPr="00A6034A" w:rsidRDefault="00A6034A" w:rsidP="00A6034A">
      <w:pPr>
        <w:spacing w:before="120" w:after="0" w:line="240" w:lineRule="auto"/>
        <w:ind w:left="1440" w:right="1440" w:firstLine="720"/>
        <w:jc w:val="both"/>
        <w:rPr>
          <w:rFonts w:ascii="Times New Roman" w:hAnsi="Times New Roman"/>
          <w:sz w:val="24"/>
          <w:szCs w:val="24"/>
        </w:rPr>
      </w:pPr>
      <w:r w:rsidRPr="00A6034A">
        <w:rPr>
          <w:rFonts w:ascii="Times New Roman" w:hAnsi="Times New Roman"/>
          <w:sz w:val="24"/>
          <w:szCs w:val="24"/>
        </w:rPr>
        <w:t xml:space="preserve">Further, since SCO suppliers will be forced to increase their SCO bids by $0.06 per </w:t>
      </w:r>
      <w:proofErr w:type="spellStart"/>
      <w:r w:rsidRPr="00A6034A">
        <w:rPr>
          <w:rFonts w:ascii="Times New Roman" w:hAnsi="Times New Roman"/>
          <w:sz w:val="24"/>
          <w:szCs w:val="24"/>
        </w:rPr>
        <w:t>Mcf</w:t>
      </w:r>
      <w:proofErr w:type="spellEnd"/>
      <w:r w:rsidRPr="00A6034A">
        <w:rPr>
          <w:rFonts w:ascii="Times New Roman" w:hAnsi="Times New Roman"/>
          <w:sz w:val="24"/>
          <w:szCs w:val="24"/>
        </w:rPr>
        <w:t xml:space="preserve">, the proposed SCO security charge will penalize SCO customers by subjecting them to higher prices.  Even though SCO customers will be paying all costs associated with the SCO security charge (via the SCO clearing price), the unused funds will be returned to </w:t>
      </w:r>
      <w:r w:rsidRPr="00A6034A">
        <w:rPr>
          <w:rFonts w:ascii="Times New Roman" w:hAnsi="Times New Roman"/>
          <w:sz w:val="24"/>
          <w:szCs w:val="24"/>
          <w:u w:val="single"/>
        </w:rPr>
        <w:t>all</w:t>
      </w:r>
      <w:r w:rsidRPr="00A6034A">
        <w:rPr>
          <w:rFonts w:ascii="Times New Roman" w:hAnsi="Times New Roman"/>
          <w:sz w:val="24"/>
          <w:szCs w:val="24"/>
        </w:rPr>
        <w:t xml:space="preserve"> customers (</w:t>
      </w:r>
      <w:r w:rsidRPr="00A6034A">
        <w:rPr>
          <w:rFonts w:ascii="Times New Roman" w:hAnsi="Times New Roman"/>
          <w:i/>
          <w:sz w:val="24"/>
          <w:szCs w:val="24"/>
        </w:rPr>
        <w:t>i.e.</w:t>
      </w:r>
      <w:r w:rsidRPr="00A6034A">
        <w:rPr>
          <w:rFonts w:ascii="Times New Roman" w:hAnsi="Times New Roman"/>
          <w:sz w:val="24"/>
          <w:szCs w:val="24"/>
        </w:rPr>
        <w:t xml:space="preserve">, SCO and Choice customers).  Thus, only a portion of the unused funds will be returning to SCO customers.  As a result, SCO customers will be inappropriately subjected to unequal treatment compared to shopping retail customers.  </w:t>
      </w:r>
    </w:p>
    <w:p w:rsidR="00A6034A" w:rsidRDefault="00A6034A" w:rsidP="00A6034A">
      <w:pPr>
        <w:spacing w:before="120" w:after="0" w:line="240" w:lineRule="auto"/>
        <w:ind w:left="1440" w:right="1440" w:firstLine="720"/>
        <w:jc w:val="both"/>
        <w:rPr>
          <w:rFonts w:ascii="Times New Roman" w:hAnsi="Times New Roman"/>
          <w:sz w:val="24"/>
          <w:szCs w:val="24"/>
        </w:rPr>
      </w:pPr>
      <w:r w:rsidRPr="00A6034A">
        <w:rPr>
          <w:rFonts w:ascii="Times New Roman" w:hAnsi="Times New Roman"/>
          <w:sz w:val="24"/>
          <w:szCs w:val="24"/>
        </w:rPr>
        <w:t xml:space="preserve">Even though the Amended Stipulation reduces the SCO security charge by 40% compared to the SCO security charge proposed in the Original Stipulation, the mere existence of the charge violates the most fundamental of competitive market principles by taxing only one subset of competitors and purposefully creating an unleveled playing field in the market.  If it approves the SCO security charge, the Commission will be endorsing an unprecedented market interference for no legitimate reason other than to “tip the scales” in the retail suppliers’ favor.  Artificially inflating the SCO price just to make retail suppliers’ offerings more competitive on a cost basis is clearly inconsistent with prevailing state policy to “achieve effective competition” in </w:t>
      </w:r>
      <w:r w:rsidRPr="00A6034A">
        <w:rPr>
          <w:rFonts w:ascii="Times New Roman" w:hAnsi="Times New Roman"/>
          <w:sz w:val="24"/>
          <w:szCs w:val="24"/>
        </w:rPr>
        <w:lastRenderedPageBreak/>
        <w:t xml:space="preserve">Ohio’s retail natural gas market.  For these reasons, the Commission should reject the Amended Stipulation’s proposed SCO security charge as it is not in the public interest.  </w:t>
      </w:r>
      <w:r w:rsidR="00C9446D">
        <w:rPr>
          <w:rFonts w:ascii="Times New Roman" w:hAnsi="Times New Roman" w:cs="Times New Roman"/>
          <w:sz w:val="24"/>
          <w:szCs w:val="24"/>
        </w:rPr>
        <w:t>Hess Ex. 1, at 19-20</w:t>
      </w:r>
    </w:p>
    <w:p w:rsidR="00A77DBB" w:rsidRDefault="001C616D" w:rsidP="00AF195B">
      <w:pPr>
        <w:spacing w:before="240" w:line="480" w:lineRule="auto"/>
        <w:ind w:firstLine="720"/>
        <w:jc w:val="both"/>
        <w:rPr>
          <w:rFonts w:ascii="Times New Roman" w:hAnsi="Times New Roman"/>
          <w:sz w:val="24"/>
          <w:szCs w:val="24"/>
        </w:rPr>
      </w:pPr>
      <w:r>
        <w:rPr>
          <w:rFonts w:ascii="Times New Roman" w:hAnsi="Times New Roman" w:cs="Times New Roman"/>
          <w:sz w:val="24"/>
          <w:szCs w:val="24"/>
        </w:rPr>
        <w:t>Based on the above-referenced evidence, the record is clear that there are no legitimate justifications for the imposition of the pro</w:t>
      </w:r>
      <w:r w:rsidR="006223A9">
        <w:rPr>
          <w:rFonts w:ascii="Times New Roman" w:hAnsi="Times New Roman" w:cs="Times New Roman"/>
          <w:sz w:val="24"/>
          <w:szCs w:val="24"/>
        </w:rPr>
        <w:t>posed SCO security charge</w:t>
      </w:r>
      <w:r w:rsidR="002C5D24">
        <w:rPr>
          <w:rFonts w:ascii="Times New Roman" w:hAnsi="Times New Roman" w:cs="Times New Roman"/>
          <w:sz w:val="24"/>
          <w:szCs w:val="24"/>
        </w:rPr>
        <w:t xml:space="preserve"> and it will needlessly increase prices to SCO customers</w:t>
      </w:r>
      <w:r w:rsidR="006223A9">
        <w:rPr>
          <w:rFonts w:ascii="Times New Roman" w:hAnsi="Times New Roman" w:cs="Times New Roman"/>
          <w:sz w:val="24"/>
          <w:szCs w:val="24"/>
        </w:rPr>
        <w:t>.  Rather</w:t>
      </w:r>
      <w:r w:rsidR="002C5D24">
        <w:rPr>
          <w:rFonts w:ascii="Times New Roman" w:hAnsi="Times New Roman" w:cs="Times New Roman"/>
          <w:sz w:val="24"/>
          <w:szCs w:val="24"/>
        </w:rPr>
        <w:t>, the</w:t>
      </w:r>
      <w:r w:rsidR="006223A9">
        <w:rPr>
          <w:rFonts w:ascii="Times New Roman" w:hAnsi="Times New Roman" w:cs="Times New Roman"/>
          <w:sz w:val="24"/>
          <w:szCs w:val="24"/>
        </w:rPr>
        <w:t xml:space="preserve"> proposed fee </w:t>
      </w:r>
      <w:r w:rsidR="002C5D24">
        <w:rPr>
          <w:rFonts w:ascii="Times New Roman" w:hAnsi="Times New Roman" w:cs="Times New Roman"/>
          <w:sz w:val="24"/>
          <w:szCs w:val="24"/>
        </w:rPr>
        <w:t xml:space="preserve">is simply designed to create an unleveled playing field to the benefit of retail suppliers.  </w:t>
      </w:r>
      <w:r>
        <w:rPr>
          <w:rFonts w:ascii="Times New Roman" w:hAnsi="Times New Roman" w:cs="Times New Roman"/>
          <w:sz w:val="24"/>
          <w:szCs w:val="24"/>
        </w:rPr>
        <w:t xml:space="preserve"> As such, the Commission should reject the proposed SCO security charge as it is not in the public interest</w:t>
      </w:r>
      <w:r w:rsidR="00C21472">
        <w:rPr>
          <w:rFonts w:ascii="Times New Roman" w:hAnsi="Times New Roman" w:cs="Times New Roman"/>
          <w:sz w:val="24"/>
          <w:szCs w:val="24"/>
        </w:rPr>
        <w:t xml:space="preserve"> and violates fundamental competitive market principles</w:t>
      </w:r>
      <w:r>
        <w:rPr>
          <w:rFonts w:ascii="Times New Roman" w:hAnsi="Times New Roman"/>
          <w:sz w:val="24"/>
          <w:szCs w:val="24"/>
        </w:rPr>
        <w:t>.</w:t>
      </w:r>
    </w:p>
    <w:p w:rsidR="001C616D" w:rsidRPr="001C616D" w:rsidRDefault="001C616D" w:rsidP="001C616D">
      <w:pPr>
        <w:pStyle w:val="ListParagraph"/>
        <w:numPr>
          <w:ilvl w:val="0"/>
          <w:numId w:val="3"/>
        </w:numPr>
        <w:spacing w:line="240" w:lineRule="auto"/>
        <w:rPr>
          <w:rFonts w:ascii="Times New Roman" w:hAnsi="Times New Roman"/>
          <w:b/>
          <w:sz w:val="24"/>
          <w:szCs w:val="24"/>
        </w:rPr>
      </w:pPr>
      <w:r w:rsidRPr="001C616D">
        <w:rPr>
          <w:rFonts w:ascii="Times New Roman" w:hAnsi="Times New Roman"/>
          <w:b/>
          <w:sz w:val="24"/>
          <w:szCs w:val="24"/>
        </w:rPr>
        <w:t xml:space="preserve">HESS SUPPORTS THE NON-RESIDENTIAL EXIT FRAMEWORK AND </w:t>
      </w:r>
      <w:r w:rsidR="00267EB3">
        <w:rPr>
          <w:rFonts w:ascii="Times New Roman" w:hAnsi="Times New Roman"/>
          <w:b/>
          <w:sz w:val="24"/>
          <w:szCs w:val="24"/>
        </w:rPr>
        <w:t>AN</w:t>
      </w:r>
      <w:r w:rsidRPr="001C616D">
        <w:rPr>
          <w:rFonts w:ascii="Times New Roman" w:hAnsi="Times New Roman"/>
          <w:b/>
          <w:sz w:val="24"/>
          <w:szCs w:val="24"/>
        </w:rPr>
        <w:t xml:space="preserve"> MVR ALLOCATION METHODOLO</w:t>
      </w:r>
      <w:r w:rsidR="00267EB3">
        <w:rPr>
          <w:rFonts w:ascii="Times New Roman" w:hAnsi="Times New Roman"/>
          <w:b/>
          <w:sz w:val="24"/>
          <w:szCs w:val="24"/>
        </w:rPr>
        <w:t xml:space="preserve">GY AT THE NON-RESIDENTIAL EXIT THAT </w:t>
      </w:r>
      <w:r w:rsidRPr="001C616D">
        <w:rPr>
          <w:rFonts w:ascii="Times New Roman" w:hAnsi="Times New Roman"/>
          <w:b/>
          <w:sz w:val="24"/>
          <w:szCs w:val="24"/>
        </w:rPr>
        <w:t>RECOGNIZE</w:t>
      </w:r>
      <w:r w:rsidR="00267EB3">
        <w:rPr>
          <w:rFonts w:ascii="Times New Roman" w:hAnsi="Times New Roman"/>
          <w:b/>
          <w:sz w:val="24"/>
          <w:szCs w:val="24"/>
        </w:rPr>
        <w:t>S</w:t>
      </w:r>
      <w:r w:rsidRPr="001C616D">
        <w:rPr>
          <w:rFonts w:ascii="Times New Roman" w:hAnsi="Times New Roman"/>
          <w:b/>
          <w:sz w:val="24"/>
          <w:szCs w:val="24"/>
        </w:rPr>
        <w:t xml:space="preserve"> SSO/SCO TRANCHE OWNERSHIP</w:t>
      </w:r>
    </w:p>
    <w:p w:rsidR="001C616D" w:rsidRPr="001C616D" w:rsidRDefault="001C616D" w:rsidP="001C616D">
      <w:pPr>
        <w:spacing w:after="0" w:line="480" w:lineRule="auto"/>
        <w:ind w:firstLine="720"/>
        <w:jc w:val="both"/>
        <w:rPr>
          <w:rFonts w:ascii="Times New Roman" w:hAnsi="Times New Roman"/>
          <w:sz w:val="24"/>
          <w:szCs w:val="24"/>
        </w:rPr>
      </w:pPr>
      <w:r w:rsidRPr="001C616D">
        <w:rPr>
          <w:rFonts w:ascii="Times New Roman" w:hAnsi="Times New Roman" w:cs="Times New Roman"/>
          <w:sz w:val="24"/>
          <w:szCs w:val="24"/>
        </w:rPr>
        <w:t xml:space="preserve">As stated above, although Hess is opposed to </w:t>
      </w:r>
      <w:r w:rsidR="00373E1E">
        <w:rPr>
          <w:rFonts w:ascii="Times New Roman" w:hAnsi="Times New Roman" w:cs="Times New Roman"/>
          <w:sz w:val="24"/>
          <w:szCs w:val="24"/>
        </w:rPr>
        <w:t>Columbia</w:t>
      </w:r>
      <w:r w:rsidRPr="001C616D">
        <w:rPr>
          <w:rFonts w:ascii="Times New Roman" w:hAnsi="Times New Roman" w:cs="Times New Roman"/>
          <w:sz w:val="24"/>
          <w:szCs w:val="24"/>
        </w:rPr>
        <w:t xml:space="preserve">’s residential exit of the merchant function, it supports </w:t>
      </w:r>
      <w:r w:rsidR="00373E1E">
        <w:rPr>
          <w:rFonts w:ascii="Times New Roman" w:hAnsi="Times New Roman" w:cs="Times New Roman"/>
          <w:sz w:val="24"/>
          <w:szCs w:val="24"/>
        </w:rPr>
        <w:t>Columbia</w:t>
      </w:r>
      <w:r w:rsidRPr="001C616D">
        <w:rPr>
          <w:rFonts w:ascii="Times New Roman" w:hAnsi="Times New Roman" w:cs="Times New Roman"/>
          <w:sz w:val="24"/>
          <w:szCs w:val="24"/>
        </w:rPr>
        <w:t>’s non-residential exit</w:t>
      </w:r>
      <w:r w:rsidRPr="001C616D">
        <w:rPr>
          <w:rFonts w:ascii="Times New Roman" w:hAnsi="Times New Roman"/>
          <w:sz w:val="24"/>
          <w:szCs w:val="24"/>
        </w:rPr>
        <w:t xml:space="preserve"> once 70% of these customers are taking natural gas supply directly from a Choice supplier.</w:t>
      </w:r>
      <w:r>
        <w:rPr>
          <w:rFonts w:ascii="Times New Roman" w:hAnsi="Times New Roman"/>
          <w:sz w:val="24"/>
          <w:szCs w:val="24"/>
        </w:rPr>
        <w:t xml:space="preserve">  </w:t>
      </w:r>
      <w:r w:rsidRPr="001C616D">
        <w:rPr>
          <w:rFonts w:ascii="Times New Roman" w:hAnsi="Times New Roman"/>
          <w:sz w:val="24"/>
          <w:szCs w:val="24"/>
        </w:rPr>
        <w:t xml:space="preserve">Hess witness Magnani testified: </w:t>
      </w:r>
    </w:p>
    <w:p w:rsidR="003A4174" w:rsidRDefault="001C616D" w:rsidP="00B16882">
      <w:pPr>
        <w:pStyle w:val="ListParagraph"/>
        <w:spacing w:after="0" w:line="240" w:lineRule="auto"/>
        <w:ind w:left="1440" w:right="1440"/>
        <w:contextualSpacing w:val="0"/>
        <w:jc w:val="both"/>
        <w:rPr>
          <w:rFonts w:ascii="Times New Roman" w:hAnsi="Times New Roman"/>
          <w:sz w:val="24"/>
          <w:szCs w:val="24"/>
        </w:rPr>
      </w:pPr>
      <w:r w:rsidRPr="001C616D">
        <w:rPr>
          <w:rFonts w:ascii="Times New Roman" w:hAnsi="Times New Roman"/>
          <w:sz w:val="24"/>
          <w:szCs w:val="24"/>
        </w:rPr>
        <w:t xml:space="preserve">…commercial customers have a more sophisticated understanding of their energy consumption needs than residential customers and tend to be more motivated, for business reasons, to achieve price certainty or price stability for their energy costs.  Additionally, commercial customers have usage levels that are large enough to take advantage of retail suppliers’ more complex supply-side products that are specifically tailored to a customer’s usage profile and risk tolerance, including, but not limited to, fixed price, index-following, and index with cap offerings.  In contrast, the SCO offering is only a monthly variable product.  In regards to the non-shopping, non-residential customers that are assigned to MVR suppliers at the time of exit, these customers have a better understanding of the gas market to evaluate multiple supply offerings and to make an informed decision that best fits their budgetary needs, risk tolerance and usage profile.  </w:t>
      </w:r>
      <w:r w:rsidR="00CC1F46" w:rsidRPr="001C616D">
        <w:rPr>
          <w:rFonts w:ascii="Times New Roman" w:hAnsi="Times New Roman" w:cs="Times New Roman"/>
          <w:sz w:val="24"/>
          <w:szCs w:val="24"/>
        </w:rPr>
        <w:t xml:space="preserve">Hess Ex. 1, at 6-7.  </w:t>
      </w:r>
    </w:p>
    <w:p w:rsidR="003A4174" w:rsidRDefault="001C616D" w:rsidP="003A4174">
      <w:pPr>
        <w:spacing w:before="240" w:after="0" w:line="480" w:lineRule="auto"/>
        <w:jc w:val="both"/>
        <w:rPr>
          <w:rFonts w:ascii="Times New Roman" w:hAnsi="Times New Roman" w:cs="Times New Roman"/>
          <w:sz w:val="24"/>
          <w:szCs w:val="24"/>
        </w:rPr>
      </w:pPr>
      <w:r w:rsidRPr="001C616D">
        <w:rPr>
          <w:rFonts w:ascii="Times New Roman" w:hAnsi="Times New Roman" w:cs="Times New Roman"/>
          <w:sz w:val="24"/>
          <w:szCs w:val="24"/>
        </w:rPr>
        <w:lastRenderedPageBreak/>
        <w:t xml:space="preserve">Therefore, Hess urges the Commission to modify the </w:t>
      </w:r>
      <w:r w:rsidR="00C9446D">
        <w:rPr>
          <w:rFonts w:ascii="Times New Roman" w:hAnsi="Times New Roman" w:cs="Times New Roman"/>
          <w:sz w:val="24"/>
          <w:szCs w:val="24"/>
        </w:rPr>
        <w:t>Exemption Orders</w:t>
      </w:r>
      <w:r w:rsidRPr="001C616D">
        <w:rPr>
          <w:rFonts w:ascii="Times New Roman" w:hAnsi="Times New Roman" w:cs="Times New Roman"/>
          <w:sz w:val="24"/>
          <w:szCs w:val="24"/>
        </w:rPr>
        <w:t xml:space="preserve"> to permit </w:t>
      </w:r>
      <w:r w:rsidR="00373E1E">
        <w:rPr>
          <w:rFonts w:ascii="Times New Roman" w:hAnsi="Times New Roman" w:cs="Times New Roman"/>
          <w:sz w:val="24"/>
          <w:szCs w:val="24"/>
        </w:rPr>
        <w:t>Columbia</w:t>
      </w:r>
      <w:r w:rsidRPr="001C616D">
        <w:rPr>
          <w:rFonts w:ascii="Times New Roman" w:hAnsi="Times New Roman" w:cs="Times New Roman"/>
          <w:sz w:val="24"/>
          <w:szCs w:val="24"/>
        </w:rPr>
        <w:t xml:space="preserve"> to exit the non-residential merchant function pursuant to the framework proposed</w:t>
      </w:r>
      <w:r w:rsidR="003728B5">
        <w:rPr>
          <w:rFonts w:ascii="Times New Roman" w:hAnsi="Times New Roman" w:cs="Times New Roman"/>
          <w:sz w:val="24"/>
          <w:szCs w:val="24"/>
        </w:rPr>
        <w:t>.</w:t>
      </w:r>
      <w:r w:rsidRPr="001C616D">
        <w:rPr>
          <w:rFonts w:ascii="Times New Roman" w:hAnsi="Times New Roman"/>
          <w:sz w:val="24"/>
          <w:szCs w:val="24"/>
        </w:rPr>
        <w:tab/>
        <w:t xml:space="preserve">The Amended Stipulation recognized the need for a methodology to assign non-shopping non-residential customers to MVR suppliers upon </w:t>
      </w:r>
      <w:r w:rsidR="00373E1E">
        <w:rPr>
          <w:rFonts w:ascii="Times New Roman" w:hAnsi="Times New Roman"/>
          <w:sz w:val="24"/>
          <w:szCs w:val="24"/>
        </w:rPr>
        <w:t>Columbia</w:t>
      </w:r>
      <w:r w:rsidRPr="001C616D">
        <w:rPr>
          <w:rFonts w:ascii="Times New Roman" w:hAnsi="Times New Roman"/>
          <w:sz w:val="24"/>
          <w:szCs w:val="24"/>
        </w:rPr>
        <w:t xml:space="preserve">’s exit of the non-residential merchant function, and reserved to the parties the right to advocate proposed allocation methodologies at the hearing held in this proceeding.  The </w:t>
      </w:r>
      <w:r>
        <w:rPr>
          <w:rFonts w:ascii="Times New Roman" w:hAnsi="Times New Roman"/>
          <w:sz w:val="24"/>
          <w:szCs w:val="24"/>
        </w:rPr>
        <w:t>Amended S</w:t>
      </w:r>
      <w:r w:rsidRPr="001C616D">
        <w:rPr>
          <w:rFonts w:ascii="Times New Roman" w:hAnsi="Times New Roman"/>
          <w:sz w:val="24"/>
          <w:szCs w:val="24"/>
        </w:rPr>
        <w:t xml:space="preserve">tipulation specifically reserved to the parties the right to propose alternative methodologies in the future in the event of a subsequent residential exit.  </w:t>
      </w:r>
      <w:proofErr w:type="gramStart"/>
      <w:r w:rsidRPr="001C616D">
        <w:rPr>
          <w:rFonts w:ascii="Times New Roman" w:hAnsi="Times New Roman"/>
          <w:sz w:val="24"/>
          <w:szCs w:val="24"/>
        </w:rPr>
        <w:t>Joint Ex. 1, at 13.</w:t>
      </w:r>
      <w:proofErr w:type="gramEnd"/>
      <w:r w:rsidRPr="001C616D">
        <w:rPr>
          <w:rFonts w:ascii="Times New Roman" w:hAnsi="Times New Roman"/>
          <w:sz w:val="24"/>
          <w:szCs w:val="24"/>
        </w:rPr>
        <w:t xml:space="preserve">  Three methodologies for non-residential allocation were proposed at hearing:  (1) OPAE proposed a rotational allocation under which customers are equally and randomly assigned to each certified competitive retail natural gas supplier</w:t>
      </w:r>
      <w:r w:rsidR="00267EB3">
        <w:rPr>
          <w:rFonts w:ascii="Times New Roman" w:hAnsi="Times New Roman"/>
          <w:sz w:val="24"/>
          <w:szCs w:val="24"/>
        </w:rPr>
        <w:t>;</w:t>
      </w:r>
      <w:r w:rsidRPr="001C616D">
        <w:rPr>
          <w:rFonts w:ascii="Times New Roman" w:hAnsi="Times New Roman"/>
          <w:sz w:val="24"/>
          <w:szCs w:val="24"/>
        </w:rPr>
        <w:t xml:space="preserve"> (2) IGS and Direct Energy advocated a proportional allocation based upon Ch</w:t>
      </w:r>
      <w:r w:rsidR="00267EB3">
        <w:rPr>
          <w:rFonts w:ascii="Times New Roman" w:hAnsi="Times New Roman"/>
          <w:sz w:val="24"/>
          <w:szCs w:val="24"/>
        </w:rPr>
        <w:t>oice customer market share only;</w:t>
      </w:r>
      <w:r w:rsidRPr="001C616D">
        <w:rPr>
          <w:rFonts w:ascii="Times New Roman" w:hAnsi="Times New Roman"/>
          <w:sz w:val="24"/>
          <w:szCs w:val="24"/>
        </w:rPr>
        <w:t xml:space="preserve"> and (3) Hess presented a proportional allocation based upon the market share of all non-residential Choice eligible customers, including the non-residential customers served under the SSO and SCO.    </w:t>
      </w:r>
    </w:p>
    <w:p w:rsidR="001C616D" w:rsidRPr="001C616D" w:rsidRDefault="001C616D" w:rsidP="00C9446D">
      <w:pPr>
        <w:spacing w:after="0" w:line="480" w:lineRule="auto"/>
        <w:jc w:val="both"/>
        <w:rPr>
          <w:rFonts w:ascii="Times New Roman" w:hAnsi="Times New Roman"/>
          <w:sz w:val="24"/>
          <w:szCs w:val="24"/>
        </w:rPr>
      </w:pPr>
      <w:r w:rsidRPr="001C616D">
        <w:rPr>
          <w:rFonts w:ascii="Times New Roman" w:hAnsi="Times New Roman"/>
          <w:sz w:val="24"/>
          <w:szCs w:val="24"/>
        </w:rPr>
        <w:tab/>
        <w:t xml:space="preserve">Hess and IGS/Direct Energy’s proposals are very similar in that both recognize Choice suppliers’ past investments in Ohio, and the need to incentivize Choice suppliers’ continued investment in the Choice market.     </w:t>
      </w:r>
      <w:proofErr w:type="gramStart"/>
      <w:r w:rsidRPr="001C616D">
        <w:rPr>
          <w:rFonts w:ascii="Times New Roman" w:hAnsi="Times New Roman"/>
          <w:sz w:val="24"/>
          <w:szCs w:val="24"/>
        </w:rPr>
        <w:t>Hess Ex. 1, at 7-8; IGS Ex. 1, at 4; Direct Energy Ex. 1, at 6.</w:t>
      </w:r>
      <w:proofErr w:type="gramEnd"/>
      <w:r w:rsidRPr="001C616D">
        <w:rPr>
          <w:rFonts w:ascii="Times New Roman" w:hAnsi="Times New Roman"/>
          <w:sz w:val="24"/>
          <w:szCs w:val="24"/>
        </w:rPr>
        <w:t xml:space="preserve">  However, Hess also believes that SSO/SCO suppliers past investments should be recognized in the allocation process and </w:t>
      </w:r>
      <w:proofErr w:type="gramStart"/>
      <w:r w:rsidRPr="001C616D">
        <w:rPr>
          <w:rFonts w:ascii="Times New Roman" w:hAnsi="Times New Roman"/>
          <w:sz w:val="24"/>
          <w:szCs w:val="24"/>
        </w:rPr>
        <w:t>that SCO suppliers</w:t>
      </w:r>
      <w:proofErr w:type="gramEnd"/>
      <w:r w:rsidRPr="001C616D">
        <w:rPr>
          <w:rFonts w:ascii="Times New Roman" w:hAnsi="Times New Roman"/>
          <w:sz w:val="24"/>
          <w:szCs w:val="24"/>
        </w:rPr>
        <w:t xml:space="preserve"> should be incentivized to continue investments in the SCO market.   Hess Ex. 1, at 7-8.  IGS and Direct Energy do not.  </w:t>
      </w:r>
      <w:r w:rsidR="006223A9">
        <w:rPr>
          <w:rFonts w:ascii="Times New Roman" w:hAnsi="Times New Roman"/>
          <w:sz w:val="24"/>
          <w:szCs w:val="24"/>
        </w:rPr>
        <w:t>Mr. Magnani explains that:</w:t>
      </w:r>
    </w:p>
    <w:p w:rsidR="006223A9" w:rsidRDefault="001C616D" w:rsidP="00B16882">
      <w:pPr>
        <w:spacing w:after="240" w:line="240" w:lineRule="auto"/>
        <w:ind w:left="1440" w:right="1440"/>
        <w:jc w:val="both"/>
        <w:rPr>
          <w:rFonts w:ascii="Times New Roman" w:hAnsi="Times New Roman"/>
          <w:sz w:val="24"/>
          <w:szCs w:val="24"/>
        </w:rPr>
      </w:pPr>
      <w:r w:rsidRPr="001C616D">
        <w:rPr>
          <w:rFonts w:ascii="Times New Roman" w:hAnsi="Times New Roman"/>
          <w:sz w:val="24"/>
          <w:szCs w:val="24"/>
        </w:rPr>
        <w:t xml:space="preserve">Hess’ proposed MVR assignment methodology strikes the appropriate balance between properly recognizing each supplier’s contribution and investment in reaching the 70% exit trigger, while continuing to incent all suppliers ([Choice] and SCO) to offer customers competitive products.  Incorporating historical SCO tranche ownership is critical because the SCO auction has been the primary tool in transitioning from LDC-procured default service to providing a market-based benchmark price that Choice customers </w:t>
      </w:r>
      <w:r w:rsidRPr="001C616D">
        <w:rPr>
          <w:rFonts w:ascii="Times New Roman" w:hAnsi="Times New Roman"/>
          <w:sz w:val="24"/>
          <w:szCs w:val="24"/>
        </w:rPr>
        <w:lastRenderedPageBreak/>
        <w:t xml:space="preserve">can use as a means of comparison.  </w:t>
      </w:r>
      <w:r w:rsidR="006223A9" w:rsidRPr="001C616D">
        <w:rPr>
          <w:rFonts w:ascii="Times New Roman" w:hAnsi="Times New Roman"/>
          <w:sz w:val="24"/>
          <w:szCs w:val="24"/>
        </w:rPr>
        <w:t>Not surprisingly, SCO suppliers, like Hess, have had to make and must continue to make considerable investments in</w:t>
      </w:r>
      <w:r w:rsidR="006223A9">
        <w:rPr>
          <w:rFonts w:ascii="Times New Roman" w:hAnsi="Times New Roman"/>
          <w:sz w:val="24"/>
          <w:szCs w:val="24"/>
        </w:rPr>
        <w:t xml:space="preserve"> capacity and peaking capabilities, as well as</w:t>
      </w:r>
      <w:r w:rsidR="006223A9" w:rsidRPr="001C616D">
        <w:rPr>
          <w:rFonts w:ascii="Times New Roman" w:hAnsi="Times New Roman"/>
          <w:sz w:val="24"/>
          <w:szCs w:val="24"/>
        </w:rPr>
        <w:t xml:space="preserve"> their “back-office” resources (traders, market analysts, customer enrollment personnel and IT systems) to stay competitive in the SCO market.  Adopting an MVR assignment methodology that incorporates SCO tranche ownership is necessary to continue to incent investment in the SCO market.  Otherwise, if the Commission does not recognize SCO tranche ownership, the Commission will be dissuading SCO suppliers from continuing to make the long-term investments to improve their probability of success in future SCO auctions.  Competitive market principles would dictate that this investment disincentive will increase prices to SCO customers</w:t>
      </w:r>
      <w:r w:rsidR="006223A9">
        <w:rPr>
          <w:rFonts w:ascii="Times New Roman" w:hAnsi="Times New Roman"/>
          <w:sz w:val="24"/>
          <w:szCs w:val="24"/>
        </w:rPr>
        <w:t>.  Hess Ex. 1, at 7-8.</w:t>
      </w:r>
    </w:p>
    <w:p w:rsidR="001C616D" w:rsidRPr="001C616D" w:rsidRDefault="001C616D" w:rsidP="00C9446D">
      <w:pPr>
        <w:spacing w:after="0" w:line="480" w:lineRule="auto"/>
        <w:jc w:val="both"/>
        <w:rPr>
          <w:rFonts w:ascii="Times New Roman" w:hAnsi="Times New Roman"/>
          <w:sz w:val="24"/>
          <w:szCs w:val="24"/>
        </w:rPr>
      </w:pPr>
      <w:r w:rsidRPr="001C616D">
        <w:rPr>
          <w:rFonts w:ascii="Times New Roman" w:hAnsi="Times New Roman"/>
          <w:sz w:val="24"/>
          <w:szCs w:val="24"/>
        </w:rPr>
        <w:tab/>
        <w:t>Direct Energy opposes inclusion of SSO/SCO customers in a supplier’s market share on the basis that (1) SSO/SCO customers are not served under bilateral contracts between the supplier and the customer and (2) the SCO supplier has no right to keep that customer after the end of the Program Year.  Direct Energy Ex. 1, at 4-5.  These distinctions lack merit because a segment of Choice suppliers’ market share consists of</w:t>
      </w:r>
      <w:r w:rsidR="00C9446D">
        <w:rPr>
          <w:rFonts w:ascii="Times New Roman" w:hAnsi="Times New Roman"/>
          <w:sz w:val="24"/>
          <w:szCs w:val="24"/>
        </w:rPr>
        <w:t xml:space="preserve"> opt-out</w:t>
      </w:r>
      <w:r w:rsidRPr="001C616D">
        <w:rPr>
          <w:rFonts w:ascii="Times New Roman" w:hAnsi="Times New Roman"/>
          <w:sz w:val="24"/>
          <w:szCs w:val="24"/>
        </w:rPr>
        <w:t xml:space="preserve"> governmental aggregation members, who lack these same attributes.  Indeed, on cross-examination, Direct Energy agrees that a Choice supplier actually enters into the bilateral contract with the aggregating community, not the aggregation member (Tr. I</w:t>
      </w:r>
      <w:r w:rsidR="00CB5B38">
        <w:rPr>
          <w:rFonts w:ascii="Times New Roman" w:hAnsi="Times New Roman"/>
          <w:sz w:val="24"/>
          <w:szCs w:val="24"/>
        </w:rPr>
        <w:t>I</w:t>
      </w:r>
      <w:r w:rsidRPr="001C616D">
        <w:rPr>
          <w:rFonts w:ascii="Times New Roman" w:hAnsi="Times New Roman"/>
          <w:sz w:val="24"/>
          <w:szCs w:val="24"/>
        </w:rPr>
        <w:t xml:space="preserve">, at 90), and that the Choice supplier has no right to the aggregation member as a customer upon the community’s termination or non-renewal of the supply agreement.  </w:t>
      </w:r>
      <w:proofErr w:type="gramStart"/>
      <w:r w:rsidRPr="001C616D">
        <w:rPr>
          <w:rFonts w:ascii="Times New Roman" w:hAnsi="Times New Roman"/>
          <w:sz w:val="24"/>
          <w:szCs w:val="24"/>
        </w:rPr>
        <w:t>Tr. I</w:t>
      </w:r>
      <w:r w:rsidR="00CB5B38">
        <w:rPr>
          <w:rFonts w:ascii="Times New Roman" w:hAnsi="Times New Roman"/>
          <w:sz w:val="24"/>
          <w:szCs w:val="24"/>
        </w:rPr>
        <w:t>I</w:t>
      </w:r>
      <w:r w:rsidRPr="001C616D">
        <w:rPr>
          <w:rFonts w:ascii="Times New Roman" w:hAnsi="Times New Roman"/>
          <w:sz w:val="24"/>
          <w:szCs w:val="24"/>
        </w:rPr>
        <w:t>, at 94.</w:t>
      </w:r>
      <w:proofErr w:type="gramEnd"/>
      <w:r w:rsidRPr="001C616D">
        <w:rPr>
          <w:rFonts w:ascii="Times New Roman" w:hAnsi="Times New Roman"/>
          <w:sz w:val="24"/>
          <w:szCs w:val="24"/>
        </w:rPr>
        <w:t xml:space="preserve">   Nevertheless, Choice and SSO/SCO suppliers do expend their resources on winning and serving these customers and it is fairest to include both in market share in determining the MVR allocation.  </w:t>
      </w:r>
    </w:p>
    <w:p w:rsidR="001C616D" w:rsidRPr="001C616D" w:rsidRDefault="001C616D" w:rsidP="00C9446D">
      <w:pPr>
        <w:spacing w:after="0" w:line="480" w:lineRule="auto"/>
        <w:jc w:val="both"/>
        <w:rPr>
          <w:rFonts w:ascii="Times New Roman" w:hAnsi="Times New Roman"/>
          <w:sz w:val="24"/>
          <w:szCs w:val="24"/>
        </w:rPr>
      </w:pPr>
      <w:r w:rsidRPr="001C616D">
        <w:rPr>
          <w:rFonts w:ascii="Times New Roman" w:hAnsi="Times New Roman"/>
          <w:sz w:val="24"/>
          <w:szCs w:val="24"/>
        </w:rPr>
        <w:tab/>
        <w:t xml:space="preserve">Indeed, failure to include SSO/SCO customer in market share would violate the very premise upon which Direct Energy advocates rejection of the rotational allocation methodology.  Direct Energy’s concern, one which is shared by Hess, is that under this methodology suppliers could enter the market and be assigned customers without making an investment – a process </w:t>
      </w:r>
      <w:r w:rsidRPr="001C616D">
        <w:rPr>
          <w:rFonts w:ascii="Times New Roman" w:hAnsi="Times New Roman"/>
          <w:sz w:val="24"/>
          <w:szCs w:val="24"/>
        </w:rPr>
        <w:lastRenderedPageBreak/>
        <w:t xml:space="preserve">which Direct Energy referred to as a “money for nothing option.”  Direct Energy Ex. 1, at 7; </w:t>
      </w:r>
      <w:r w:rsidRPr="00337D8E">
        <w:rPr>
          <w:rFonts w:ascii="Times New Roman" w:hAnsi="Times New Roman"/>
          <w:i/>
          <w:sz w:val="24"/>
          <w:szCs w:val="24"/>
        </w:rPr>
        <w:t>see also</w:t>
      </w:r>
      <w:r w:rsidRPr="001C616D">
        <w:rPr>
          <w:rFonts w:ascii="Times New Roman" w:hAnsi="Times New Roman"/>
          <w:sz w:val="24"/>
          <w:szCs w:val="24"/>
        </w:rPr>
        <w:t xml:space="preserve"> IGS Ex. 1, at 7.  On cross-examination, Direct Energy acknowledged that, under its proposed proportional allocation methodology, a supplier who never bid in, or won customers through, the SSO/SCO auction process would nevertheless be assigned those customers without making that investment.  </w:t>
      </w:r>
      <w:proofErr w:type="gramStart"/>
      <w:r w:rsidRPr="001C616D">
        <w:rPr>
          <w:rFonts w:ascii="Times New Roman" w:hAnsi="Times New Roman"/>
          <w:sz w:val="24"/>
          <w:szCs w:val="24"/>
        </w:rPr>
        <w:t>Tr.</w:t>
      </w:r>
      <w:proofErr w:type="gramEnd"/>
      <w:r w:rsidRPr="001C616D">
        <w:rPr>
          <w:rFonts w:ascii="Times New Roman" w:hAnsi="Times New Roman"/>
          <w:sz w:val="24"/>
          <w:szCs w:val="24"/>
        </w:rPr>
        <w:t xml:space="preserve"> </w:t>
      </w:r>
      <w:proofErr w:type="gramStart"/>
      <w:r w:rsidRPr="001C616D">
        <w:rPr>
          <w:rFonts w:ascii="Times New Roman" w:hAnsi="Times New Roman"/>
          <w:sz w:val="24"/>
          <w:szCs w:val="24"/>
        </w:rPr>
        <w:t>I, at 94.</w:t>
      </w:r>
      <w:proofErr w:type="gramEnd"/>
      <w:r w:rsidRPr="001C616D">
        <w:rPr>
          <w:rFonts w:ascii="Times New Roman" w:hAnsi="Times New Roman"/>
          <w:sz w:val="24"/>
          <w:szCs w:val="24"/>
        </w:rPr>
        <w:t xml:space="preserve">  As testified by Hess witness Magnani, SSO/SCO suppliers also should be recognized for their investments in the market, and SSO/SCO customers should be included in market share for purposes of the allocation to continue to incentivize continued investment in the SCO market.  Hess Ex. 1, at 7-8.  To do otherwise would disincentive investment and increase prices to SCO customers.  </w:t>
      </w:r>
      <w:r w:rsidRPr="00337D8E">
        <w:rPr>
          <w:rFonts w:ascii="Times New Roman" w:hAnsi="Times New Roman"/>
          <w:i/>
          <w:sz w:val="24"/>
          <w:szCs w:val="24"/>
        </w:rPr>
        <w:t>Id</w:t>
      </w:r>
      <w:r w:rsidRPr="001C616D">
        <w:rPr>
          <w:rFonts w:ascii="Times New Roman" w:hAnsi="Times New Roman"/>
          <w:sz w:val="24"/>
          <w:szCs w:val="24"/>
        </w:rPr>
        <w:t xml:space="preserve">. </w:t>
      </w:r>
    </w:p>
    <w:p w:rsidR="001C616D" w:rsidRPr="001C616D" w:rsidRDefault="001C616D" w:rsidP="00C9446D">
      <w:pPr>
        <w:spacing w:after="0" w:line="480" w:lineRule="auto"/>
        <w:jc w:val="both"/>
        <w:rPr>
          <w:rFonts w:ascii="Times New Roman" w:hAnsi="Times New Roman"/>
          <w:sz w:val="24"/>
          <w:szCs w:val="24"/>
        </w:rPr>
      </w:pPr>
      <w:r w:rsidRPr="001C616D">
        <w:rPr>
          <w:rFonts w:ascii="Times New Roman" w:hAnsi="Times New Roman"/>
          <w:sz w:val="24"/>
          <w:szCs w:val="24"/>
        </w:rPr>
        <w:tab/>
        <w:t xml:space="preserve">To determine how non-residential SCO customers would be allocated, Hess provided an illustrative example in its Exhibit OM-2 to Hess Ex. 1.  Under that example, if </w:t>
      </w:r>
      <w:r w:rsidR="00373E1E">
        <w:rPr>
          <w:rFonts w:ascii="Times New Roman" w:hAnsi="Times New Roman"/>
          <w:sz w:val="24"/>
          <w:szCs w:val="24"/>
        </w:rPr>
        <w:t>Columbia</w:t>
      </w:r>
      <w:r w:rsidRPr="001C616D">
        <w:rPr>
          <w:rFonts w:ascii="Times New Roman" w:hAnsi="Times New Roman"/>
          <w:sz w:val="24"/>
          <w:szCs w:val="24"/>
        </w:rPr>
        <w:t xml:space="preserve"> had held 8 auctions by the time of non-residential exit, a total of 128 tranches would have been auctioned.  If Supplier X served 24 tranches, it would have served 18.75% of total available auctions and, thus, its SCO market share would be 18.75%.  Because the non-residential exit would occur when a 70% shopping level was attained, Supplier X would have a total market share of 5.625% of the remaining 30% of non-shopping non-residential customers (18.75% x 30%).  </w:t>
      </w:r>
      <w:proofErr w:type="gramStart"/>
      <w:r w:rsidRPr="001C616D">
        <w:rPr>
          <w:rFonts w:ascii="Times New Roman" w:hAnsi="Times New Roman"/>
          <w:sz w:val="24"/>
          <w:szCs w:val="24"/>
        </w:rPr>
        <w:t>Hess Ex. 1, Exhibit OM-2.</w:t>
      </w:r>
      <w:proofErr w:type="gramEnd"/>
      <w:r w:rsidRPr="001C616D">
        <w:rPr>
          <w:rFonts w:ascii="Times New Roman" w:hAnsi="Times New Roman"/>
          <w:sz w:val="24"/>
          <w:szCs w:val="24"/>
        </w:rPr>
        <w:t xml:space="preserve">  Under current customer levels, only 32,464 non-residential customers would not be shopping at the 70% exit trigger, and Supplier X’s share would be 1,826 customers.</w:t>
      </w:r>
    </w:p>
    <w:p w:rsidR="001C616D" w:rsidRPr="001C616D" w:rsidRDefault="001C616D" w:rsidP="00C9446D">
      <w:pPr>
        <w:spacing w:after="0" w:line="480" w:lineRule="auto"/>
        <w:jc w:val="both"/>
        <w:rPr>
          <w:rFonts w:ascii="Times New Roman" w:hAnsi="Times New Roman"/>
          <w:sz w:val="24"/>
          <w:szCs w:val="24"/>
        </w:rPr>
      </w:pPr>
      <w:r w:rsidRPr="001C616D">
        <w:rPr>
          <w:rFonts w:ascii="Times New Roman" w:hAnsi="Times New Roman"/>
          <w:sz w:val="24"/>
          <w:szCs w:val="24"/>
        </w:rPr>
        <w:tab/>
        <w:t xml:space="preserve"> On cross-examination, Hess witness Magnani was asked how SSO/SCO customers would be allocated if a former SSO/SCO supplier no longer provided, or did not wish to provide, Choice service.  Tr. II</w:t>
      </w:r>
      <w:r w:rsidR="00CB5B38">
        <w:rPr>
          <w:rFonts w:ascii="Times New Roman" w:hAnsi="Times New Roman"/>
          <w:sz w:val="24"/>
          <w:szCs w:val="24"/>
        </w:rPr>
        <w:t>I</w:t>
      </w:r>
      <w:r w:rsidRPr="001C616D">
        <w:rPr>
          <w:rFonts w:ascii="Times New Roman" w:hAnsi="Times New Roman"/>
          <w:sz w:val="24"/>
          <w:szCs w:val="24"/>
        </w:rPr>
        <w:t xml:space="preserve">, at 145-152.  While Mr. Magnani appropriately deferred to the Commission on that point, he proposed that such supplier would be not be assigned any </w:t>
      </w:r>
      <w:r w:rsidRPr="001C616D">
        <w:rPr>
          <w:rFonts w:ascii="Times New Roman" w:hAnsi="Times New Roman"/>
          <w:sz w:val="24"/>
          <w:szCs w:val="24"/>
        </w:rPr>
        <w:lastRenderedPageBreak/>
        <w:t>allocation (Tr. I</w:t>
      </w:r>
      <w:r w:rsidR="00CB5B38">
        <w:rPr>
          <w:rFonts w:ascii="Times New Roman" w:hAnsi="Times New Roman"/>
          <w:sz w:val="24"/>
          <w:szCs w:val="24"/>
        </w:rPr>
        <w:t>I</w:t>
      </w:r>
      <w:r w:rsidRPr="001C616D">
        <w:rPr>
          <w:rFonts w:ascii="Times New Roman" w:hAnsi="Times New Roman"/>
          <w:sz w:val="24"/>
          <w:szCs w:val="24"/>
        </w:rPr>
        <w:t xml:space="preserve">, at 146), and that such supplier’s allocation would be reallocated to the remaining SCO suppliers.  </w:t>
      </w:r>
      <w:proofErr w:type="gramStart"/>
      <w:r w:rsidRPr="001C616D">
        <w:rPr>
          <w:rFonts w:ascii="Times New Roman" w:hAnsi="Times New Roman"/>
          <w:sz w:val="24"/>
          <w:szCs w:val="24"/>
        </w:rPr>
        <w:t>Tr. II</w:t>
      </w:r>
      <w:r w:rsidR="00CB5B38">
        <w:rPr>
          <w:rFonts w:ascii="Times New Roman" w:hAnsi="Times New Roman"/>
          <w:sz w:val="24"/>
          <w:szCs w:val="24"/>
        </w:rPr>
        <w:t>I</w:t>
      </w:r>
      <w:r w:rsidRPr="001C616D">
        <w:rPr>
          <w:rFonts w:ascii="Times New Roman" w:hAnsi="Times New Roman"/>
          <w:sz w:val="24"/>
          <w:szCs w:val="24"/>
        </w:rPr>
        <w:t>, at 150.</w:t>
      </w:r>
      <w:proofErr w:type="gramEnd"/>
      <w:r w:rsidRPr="001C616D">
        <w:rPr>
          <w:rFonts w:ascii="Times New Roman" w:hAnsi="Times New Roman"/>
          <w:sz w:val="24"/>
          <w:szCs w:val="24"/>
        </w:rPr>
        <w:t xml:space="preserve">  Although counsel for IGS/Dominion suggested that the remaining SCO customers should be allocated to Choice suppliers instead, Mr. Magnani rightly rejected that proposition, reiterating the concerns in his direct testimony that SCO suppliers who had made investments in the SCO market should be given the opportunity to serve it, and that allocation of the </w:t>
      </w:r>
      <w:r w:rsidR="001F3CC5">
        <w:rPr>
          <w:rFonts w:ascii="Times New Roman" w:hAnsi="Times New Roman"/>
          <w:sz w:val="24"/>
          <w:szCs w:val="24"/>
        </w:rPr>
        <w:t>c</w:t>
      </w:r>
      <w:r w:rsidRPr="001C616D">
        <w:rPr>
          <w:rFonts w:ascii="Times New Roman" w:hAnsi="Times New Roman"/>
          <w:sz w:val="24"/>
          <w:szCs w:val="24"/>
        </w:rPr>
        <w:t xml:space="preserve">ustomers to Choice suppliers would </w:t>
      </w:r>
      <w:proofErr w:type="spellStart"/>
      <w:r w:rsidR="001F3CC5">
        <w:rPr>
          <w:rFonts w:ascii="Times New Roman" w:hAnsi="Times New Roman"/>
          <w:sz w:val="24"/>
          <w:szCs w:val="24"/>
        </w:rPr>
        <w:t>disincent</w:t>
      </w:r>
      <w:proofErr w:type="spellEnd"/>
      <w:r w:rsidR="001F3CC5" w:rsidRPr="001C616D">
        <w:rPr>
          <w:rFonts w:ascii="Times New Roman" w:hAnsi="Times New Roman"/>
          <w:sz w:val="24"/>
          <w:szCs w:val="24"/>
        </w:rPr>
        <w:t xml:space="preserve"> </w:t>
      </w:r>
      <w:r w:rsidRPr="001C616D">
        <w:rPr>
          <w:rFonts w:ascii="Times New Roman" w:hAnsi="Times New Roman"/>
          <w:sz w:val="24"/>
          <w:szCs w:val="24"/>
        </w:rPr>
        <w:t xml:space="preserve">continued investment in the SCO market and increase consumers prices.   </w:t>
      </w:r>
      <w:proofErr w:type="gramStart"/>
      <w:r w:rsidRPr="001C616D">
        <w:rPr>
          <w:rFonts w:ascii="Times New Roman" w:hAnsi="Times New Roman"/>
          <w:sz w:val="24"/>
          <w:szCs w:val="24"/>
        </w:rPr>
        <w:t>Tr. I</w:t>
      </w:r>
      <w:r w:rsidR="00CB5B38">
        <w:rPr>
          <w:rFonts w:ascii="Times New Roman" w:hAnsi="Times New Roman"/>
          <w:sz w:val="24"/>
          <w:szCs w:val="24"/>
        </w:rPr>
        <w:t>I</w:t>
      </w:r>
      <w:r w:rsidRPr="001C616D">
        <w:rPr>
          <w:rFonts w:ascii="Times New Roman" w:hAnsi="Times New Roman"/>
          <w:sz w:val="24"/>
          <w:szCs w:val="24"/>
        </w:rPr>
        <w:t>I, at 149.</w:t>
      </w:r>
      <w:proofErr w:type="gramEnd"/>
      <w:r w:rsidRPr="001C616D">
        <w:rPr>
          <w:rFonts w:ascii="Times New Roman" w:hAnsi="Times New Roman"/>
          <w:sz w:val="24"/>
          <w:szCs w:val="24"/>
        </w:rPr>
        <w:t xml:space="preserve">  Indeed, if the Commission were to reassign SCO customers to Choice suppliers who had not engaged in the SSO/SCO markets, it would adopt</w:t>
      </w:r>
      <w:r w:rsidR="00C9446D">
        <w:rPr>
          <w:rFonts w:ascii="Times New Roman" w:hAnsi="Times New Roman"/>
          <w:sz w:val="24"/>
          <w:szCs w:val="24"/>
        </w:rPr>
        <w:t xml:space="preserve"> the</w:t>
      </w:r>
      <w:r w:rsidRPr="001C616D">
        <w:rPr>
          <w:rFonts w:ascii="Times New Roman" w:hAnsi="Times New Roman"/>
          <w:sz w:val="24"/>
          <w:szCs w:val="24"/>
        </w:rPr>
        <w:t xml:space="preserve"> “money for nothing option” that neither Hess nor IGS/Direct Energy advocate in this proceeding.  Direct Ene</w:t>
      </w:r>
      <w:r w:rsidR="00267EB3">
        <w:rPr>
          <w:rFonts w:ascii="Times New Roman" w:hAnsi="Times New Roman"/>
          <w:sz w:val="24"/>
          <w:szCs w:val="24"/>
        </w:rPr>
        <w:t>rgy Ex. 1, at 7.</w:t>
      </w:r>
    </w:p>
    <w:p w:rsidR="001C616D" w:rsidRPr="001C616D" w:rsidRDefault="001C616D" w:rsidP="00C9446D">
      <w:pPr>
        <w:spacing w:after="0" w:line="480" w:lineRule="auto"/>
        <w:rPr>
          <w:rFonts w:ascii="Times New Roman" w:hAnsi="Times New Roman"/>
          <w:sz w:val="24"/>
          <w:szCs w:val="24"/>
        </w:rPr>
      </w:pPr>
      <w:r w:rsidRPr="001C616D">
        <w:rPr>
          <w:rFonts w:ascii="Times New Roman" w:hAnsi="Times New Roman"/>
          <w:sz w:val="24"/>
          <w:szCs w:val="24"/>
        </w:rPr>
        <w:tab/>
        <w:t xml:space="preserve"> Direct Energy and IGS each presented testimony that the Commission should adopt their proportional allocation methodology for the residential exit as well as for the non-residential exit.  </w:t>
      </w:r>
      <w:proofErr w:type="gramStart"/>
      <w:r w:rsidRPr="001C616D">
        <w:rPr>
          <w:rFonts w:ascii="Times New Roman" w:hAnsi="Times New Roman"/>
          <w:sz w:val="24"/>
          <w:szCs w:val="24"/>
        </w:rPr>
        <w:t>Direct Energy Ex. 1, at 11; IGS Ex. 1, at 5.</w:t>
      </w:r>
      <w:proofErr w:type="gramEnd"/>
      <w:r w:rsidRPr="001C616D">
        <w:rPr>
          <w:rFonts w:ascii="Times New Roman" w:hAnsi="Times New Roman"/>
          <w:sz w:val="24"/>
          <w:szCs w:val="24"/>
        </w:rPr>
        <w:t xml:space="preserve">  The Amended Stipulation provides:</w:t>
      </w:r>
    </w:p>
    <w:p w:rsidR="001C616D" w:rsidRPr="001C616D" w:rsidRDefault="001C616D" w:rsidP="00C9446D">
      <w:pPr>
        <w:spacing w:line="240" w:lineRule="auto"/>
        <w:ind w:left="1440" w:right="1440"/>
        <w:jc w:val="both"/>
        <w:rPr>
          <w:rFonts w:ascii="Times New Roman" w:hAnsi="Times New Roman"/>
          <w:sz w:val="24"/>
          <w:szCs w:val="24"/>
        </w:rPr>
      </w:pPr>
      <w:r w:rsidRPr="001C616D">
        <w:rPr>
          <w:rFonts w:ascii="Times New Roman" w:hAnsi="Times New Roman"/>
          <w:sz w:val="24"/>
          <w:szCs w:val="24"/>
        </w:rPr>
        <w:t>…The Parties agree that the allocation methodology can be addressed by the undersigned in the testimony phase of this proceeding; however, this provision does not preclude any of the Parties from making proposals in the future with regard to the allocation methodology for Residential Customers.</w:t>
      </w:r>
      <w:r w:rsidR="00CC1F46" w:rsidRPr="00CC1F46">
        <w:rPr>
          <w:rFonts w:ascii="Times New Roman" w:hAnsi="Times New Roman"/>
          <w:sz w:val="24"/>
          <w:szCs w:val="24"/>
        </w:rPr>
        <w:t xml:space="preserve"> </w:t>
      </w:r>
      <w:proofErr w:type="gramStart"/>
      <w:r w:rsidR="00CC1F46" w:rsidRPr="001C616D">
        <w:rPr>
          <w:rFonts w:ascii="Times New Roman" w:hAnsi="Times New Roman"/>
          <w:sz w:val="24"/>
          <w:szCs w:val="24"/>
        </w:rPr>
        <w:t>Joint Ex. 1, at 13, ¶ 39.</w:t>
      </w:r>
      <w:proofErr w:type="gramEnd"/>
      <w:r w:rsidR="00CC1F46" w:rsidRPr="001C616D">
        <w:rPr>
          <w:rFonts w:ascii="Times New Roman" w:hAnsi="Times New Roman"/>
          <w:sz w:val="24"/>
          <w:szCs w:val="24"/>
        </w:rPr>
        <w:t xml:space="preserve">  </w:t>
      </w:r>
    </w:p>
    <w:p w:rsidR="001C616D" w:rsidRPr="001C616D" w:rsidRDefault="001C616D" w:rsidP="00B16882">
      <w:pPr>
        <w:spacing w:after="0" w:line="480" w:lineRule="auto"/>
        <w:jc w:val="both"/>
        <w:rPr>
          <w:rFonts w:ascii="Times New Roman" w:hAnsi="Times New Roman"/>
          <w:sz w:val="24"/>
          <w:szCs w:val="24"/>
        </w:rPr>
      </w:pPr>
      <w:r w:rsidRPr="001C616D">
        <w:rPr>
          <w:rFonts w:ascii="Times New Roman" w:hAnsi="Times New Roman"/>
          <w:sz w:val="24"/>
          <w:szCs w:val="24"/>
        </w:rPr>
        <w:t xml:space="preserve">Thus, even the signatory parties implicitly concur that the resolution of residential MVR allocation is reserved for future determination.  Considering the studies that will be undertaken of the successes or failures of the non-residential exit (Joint Ex. 1, at 9-10, ¶ 29), the Commission will be well-served to delay making a final determination on the residential MVR allocation if, and when, the residential exit occurs.  </w:t>
      </w:r>
    </w:p>
    <w:p w:rsidR="003A4174" w:rsidRDefault="001C616D" w:rsidP="00B16882">
      <w:pPr>
        <w:spacing w:after="120" w:line="480" w:lineRule="auto"/>
        <w:jc w:val="both"/>
        <w:rPr>
          <w:rFonts w:ascii="Times New Roman" w:hAnsi="Times New Roman"/>
          <w:sz w:val="24"/>
          <w:szCs w:val="24"/>
        </w:rPr>
      </w:pPr>
      <w:r w:rsidRPr="001C616D">
        <w:rPr>
          <w:rFonts w:ascii="Times New Roman" w:hAnsi="Times New Roman"/>
          <w:sz w:val="24"/>
          <w:szCs w:val="24"/>
        </w:rPr>
        <w:tab/>
        <w:t xml:space="preserve"> In this vein, Hess’ allocation methodology proposed in this proceeding was offered only to allocate non-residential customers upon </w:t>
      </w:r>
      <w:r w:rsidR="00373E1E">
        <w:rPr>
          <w:rFonts w:ascii="Times New Roman" w:hAnsi="Times New Roman"/>
          <w:sz w:val="24"/>
          <w:szCs w:val="24"/>
        </w:rPr>
        <w:t>Columbia</w:t>
      </w:r>
      <w:r w:rsidRPr="001C616D">
        <w:rPr>
          <w:rFonts w:ascii="Times New Roman" w:hAnsi="Times New Roman"/>
          <w:sz w:val="24"/>
          <w:szCs w:val="24"/>
        </w:rPr>
        <w:t>’s non-residential exit.  Hess Ex. 1, at 7</w:t>
      </w:r>
      <w:proofErr w:type="gramStart"/>
      <w:r w:rsidRPr="001C616D">
        <w:rPr>
          <w:rFonts w:ascii="Times New Roman" w:hAnsi="Times New Roman"/>
          <w:sz w:val="24"/>
          <w:szCs w:val="24"/>
        </w:rPr>
        <w:t>,;</w:t>
      </w:r>
      <w:proofErr w:type="gramEnd"/>
      <w:r w:rsidRPr="001C616D">
        <w:rPr>
          <w:rFonts w:ascii="Times New Roman" w:hAnsi="Times New Roman"/>
          <w:sz w:val="24"/>
          <w:szCs w:val="24"/>
        </w:rPr>
        <w:t xml:space="preserve"> </w:t>
      </w:r>
      <w:r w:rsidRPr="001C616D">
        <w:rPr>
          <w:rFonts w:ascii="Times New Roman" w:hAnsi="Times New Roman"/>
          <w:sz w:val="24"/>
          <w:szCs w:val="24"/>
        </w:rPr>
        <w:lastRenderedPageBreak/>
        <w:t xml:space="preserve">Exhibit OM-2.  Although Hess witness Magnani </w:t>
      </w:r>
      <w:r w:rsidR="00C21472">
        <w:rPr>
          <w:rFonts w:ascii="Times New Roman" w:hAnsi="Times New Roman"/>
          <w:sz w:val="24"/>
          <w:szCs w:val="24"/>
        </w:rPr>
        <w:t>supposed,</w:t>
      </w:r>
      <w:r w:rsidRPr="001C616D">
        <w:rPr>
          <w:rFonts w:ascii="Times New Roman" w:hAnsi="Times New Roman"/>
          <w:sz w:val="24"/>
          <w:szCs w:val="24"/>
        </w:rPr>
        <w:t xml:space="preserve"> on cross examination, that the methodology also could be used for the residential exit, it should be made clear that Hess has not offered any methodology for the residential exit when, or if, it occurs.  </w:t>
      </w:r>
      <w:proofErr w:type="gramStart"/>
      <w:r w:rsidR="00C21472">
        <w:rPr>
          <w:rFonts w:ascii="Times New Roman" w:hAnsi="Times New Roman"/>
          <w:sz w:val="24"/>
          <w:szCs w:val="24"/>
        </w:rPr>
        <w:t>Tr. II</w:t>
      </w:r>
      <w:r w:rsidR="00CB5B38">
        <w:rPr>
          <w:rFonts w:ascii="Times New Roman" w:hAnsi="Times New Roman"/>
          <w:sz w:val="24"/>
          <w:szCs w:val="24"/>
        </w:rPr>
        <w:t>I</w:t>
      </w:r>
      <w:bookmarkStart w:id="0" w:name="_GoBack"/>
      <w:bookmarkEnd w:id="0"/>
      <w:r w:rsidR="00C21472">
        <w:rPr>
          <w:rFonts w:ascii="Times New Roman" w:hAnsi="Times New Roman"/>
          <w:sz w:val="24"/>
          <w:szCs w:val="24"/>
        </w:rPr>
        <w:t>, at 144.</w:t>
      </w:r>
      <w:proofErr w:type="gramEnd"/>
      <w:r w:rsidR="00C21472">
        <w:rPr>
          <w:rFonts w:ascii="Times New Roman" w:hAnsi="Times New Roman"/>
          <w:sz w:val="24"/>
          <w:szCs w:val="24"/>
        </w:rPr>
        <w:t xml:space="preserve">  </w:t>
      </w:r>
      <w:r w:rsidRPr="001C616D">
        <w:rPr>
          <w:rFonts w:ascii="Times New Roman" w:hAnsi="Times New Roman"/>
          <w:sz w:val="24"/>
          <w:szCs w:val="24"/>
        </w:rPr>
        <w:t>Hess reserves the right to do so in the future</w:t>
      </w:r>
      <w:r>
        <w:rPr>
          <w:rFonts w:ascii="Times New Roman" w:hAnsi="Times New Roman"/>
          <w:sz w:val="24"/>
          <w:szCs w:val="24"/>
        </w:rPr>
        <w:t>.</w:t>
      </w:r>
    </w:p>
    <w:p w:rsidR="001C616D" w:rsidRPr="006223A9" w:rsidRDefault="00277645" w:rsidP="00C9446D">
      <w:pPr>
        <w:pStyle w:val="ListParagraph"/>
        <w:numPr>
          <w:ilvl w:val="0"/>
          <w:numId w:val="8"/>
        </w:numPr>
        <w:spacing w:after="0" w:line="480" w:lineRule="auto"/>
        <w:rPr>
          <w:rFonts w:ascii="Times New Roman" w:hAnsi="Times New Roman"/>
          <w:b/>
          <w:sz w:val="24"/>
          <w:szCs w:val="24"/>
        </w:rPr>
      </w:pPr>
      <w:r w:rsidRPr="006223A9">
        <w:rPr>
          <w:rFonts w:ascii="Times New Roman" w:hAnsi="Times New Roman"/>
          <w:b/>
          <w:sz w:val="24"/>
          <w:szCs w:val="24"/>
        </w:rPr>
        <w:t>CONCLUSION</w:t>
      </w:r>
    </w:p>
    <w:p w:rsidR="00633E61" w:rsidRDefault="00277645" w:rsidP="006223A9">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Commission </w:t>
      </w:r>
      <w:r w:rsidR="00C21472">
        <w:rPr>
          <w:rFonts w:ascii="Times New Roman" w:hAnsi="Times New Roman"/>
          <w:sz w:val="24"/>
          <w:szCs w:val="24"/>
        </w:rPr>
        <w:t xml:space="preserve">has and </w:t>
      </w:r>
      <w:r>
        <w:rPr>
          <w:rFonts w:ascii="Times New Roman" w:hAnsi="Times New Roman"/>
          <w:sz w:val="24"/>
          <w:szCs w:val="24"/>
        </w:rPr>
        <w:t>should</w:t>
      </w:r>
      <w:r w:rsidR="00C21472">
        <w:rPr>
          <w:rFonts w:ascii="Times New Roman" w:hAnsi="Times New Roman"/>
          <w:sz w:val="24"/>
          <w:szCs w:val="24"/>
        </w:rPr>
        <w:t xml:space="preserve"> continue to</w:t>
      </w:r>
      <w:r>
        <w:rPr>
          <w:rFonts w:ascii="Times New Roman" w:hAnsi="Times New Roman"/>
          <w:sz w:val="24"/>
          <w:szCs w:val="24"/>
        </w:rPr>
        <w:t xml:space="preserve"> strive for a robust retail competitive </w:t>
      </w:r>
      <w:r w:rsidR="00C21472">
        <w:rPr>
          <w:rFonts w:ascii="Times New Roman" w:hAnsi="Times New Roman"/>
          <w:sz w:val="24"/>
          <w:szCs w:val="24"/>
        </w:rPr>
        <w:t xml:space="preserve">natural gas </w:t>
      </w:r>
      <w:r>
        <w:rPr>
          <w:rFonts w:ascii="Times New Roman" w:hAnsi="Times New Roman"/>
          <w:sz w:val="24"/>
          <w:szCs w:val="24"/>
        </w:rPr>
        <w:t xml:space="preserve">market which results in the lowest possible price to customers.  As </w:t>
      </w:r>
      <w:r w:rsidR="00A05E52">
        <w:rPr>
          <w:rFonts w:ascii="Times New Roman" w:hAnsi="Times New Roman"/>
          <w:sz w:val="24"/>
          <w:szCs w:val="24"/>
        </w:rPr>
        <w:t>Hess has explained</w:t>
      </w:r>
      <w:r>
        <w:rPr>
          <w:rFonts w:ascii="Times New Roman" w:hAnsi="Times New Roman"/>
          <w:sz w:val="24"/>
          <w:szCs w:val="24"/>
        </w:rPr>
        <w:t xml:space="preserve">, the Commission </w:t>
      </w:r>
      <w:r w:rsidR="00633E61">
        <w:rPr>
          <w:rFonts w:ascii="Times New Roman" w:hAnsi="Times New Roman"/>
          <w:sz w:val="24"/>
          <w:szCs w:val="24"/>
        </w:rPr>
        <w:t>is at a critical crossroads in the development of Ohio’s natural gas retail market</w:t>
      </w:r>
      <w:r>
        <w:rPr>
          <w:rFonts w:ascii="Times New Roman" w:hAnsi="Times New Roman"/>
          <w:sz w:val="24"/>
          <w:szCs w:val="24"/>
        </w:rPr>
        <w:t xml:space="preserve">.  If the Commission approves the </w:t>
      </w:r>
      <w:r w:rsidR="00C21472">
        <w:rPr>
          <w:rFonts w:ascii="Times New Roman" w:hAnsi="Times New Roman"/>
          <w:sz w:val="24"/>
          <w:szCs w:val="24"/>
        </w:rPr>
        <w:t xml:space="preserve">Amended Stipulation’s </w:t>
      </w:r>
      <w:r>
        <w:rPr>
          <w:rFonts w:ascii="Times New Roman" w:hAnsi="Times New Roman"/>
          <w:sz w:val="24"/>
          <w:szCs w:val="24"/>
        </w:rPr>
        <w:t>proposed residential</w:t>
      </w:r>
      <w:r w:rsidR="00A05E52">
        <w:rPr>
          <w:rFonts w:ascii="Times New Roman" w:hAnsi="Times New Roman"/>
          <w:sz w:val="24"/>
          <w:szCs w:val="24"/>
        </w:rPr>
        <w:t xml:space="preserve"> exit</w:t>
      </w:r>
      <w:r>
        <w:rPr>
          <w:rFonts w:ascii="Times New Roman" w:hAnsi="Times New Roman"/>
          <w:sz w:val="24"/>
          <w:szCs w:val="24"/>
        </w:rPr>
        <w:t xml:space="preserve"> framework, the Commission will be introducing regulatory unce</w:t>
      </w:r>
      <w:r w:rsidR="00633E61">
        <w:rPr>
          <w:rFonts w:ascii="Times New Roman" w:hAnsi="Times New Roman"/>
          <w:sz w:val="24"/>
          <w:szCs w:val="24"/>
        </w:rPr>
        <w:t xml:space="preserve">rtainty and </w:t>
      </w:r>
      <w:r w:rsidR="005922CA">
        <w:rPr>
          <w:rFonts w:ascii="Times New Roman" w:hAnsi="Times New Roman"/>
          <w:sz w:val="24"/>
          <w:szCs w:val="24"/>
        </w:rPr>
        <w:t xml:space="preserve">market </w:t>
      </w:r>
      <w:r w:rsidR="00633E61">
        <w:rPr>
          <w:rFonts w:ascii="Times New Roman" w:hAnsi="Times New Roman"/>
          <w:sz w:val="24"/>
          <w:szCs w:val="24"/>
        </w:rPr>
        <w:t xml:space="preserve">inefficiency into a </w:t>
      </w:r>
      <w:r w:rsidR="005922CA">
        <w:rPr>
          <w:rFonts w:ascii="Times New Roman" w:hAnsi="Times New Roman"/>
          <w:sz w:val="24"/>
          <w:szCs w:val="24"/>
        </w:rPr>
        <w:t xml:space="preserve">proven and </w:t>
      </w:r>
      <w:r>
        <w:rPr>
          <w:rFonts w:ascii="Times New Roman" w:hAnsi="Times New Roman"/>
          <w:sz w:val="24"/>
          <w:szCs w:val="24"/>
        </w:rPr>
        <w:t xml:space="preserve">stable SCO and retail market.  </w:t>
      </w:r>
      <w:r w:rsidR="005922CA">
        <w:rPr>
          <w:rFonts w:ascii="Times New Roman" w:hAnsi="Times New Roman"/>
          <w:sz w:val="24"/>
          <w:szCs w:val="24"/>
        </w:rPr>
        <w:t>As Hess has demonstrated, r</w:t>
      </w:r>
      <w:r>
        <w:rPr>
          <w:rFonts w:ascii="Times New Roman" w:hAnsi="Times New Roman"/>
          <w:sz w:val="24"/>
          <w:szCs w:val="24"/>
        </w:rPr>
        <w:t xml:space="preserve">egulatory uncertainty </w:t>
      </w:r>
      <w:r w:rsidR="00633E61">
        <w:rPr>
          <w:rFonts w:ascii="Times New Roman" w:hAnsi="Times New Roman"/>
          <w:sz w:val="24"/>
          <w:szCs w:val="24"/>
        </w:rPr>
        <w:t>and market inefficienc</w:t>
      </w:r>
      <w:r w:rsidR="005922CA">
        <w:rPr>
          <w:rFonts w:ascii="Times New Roman" w:hAnsi="Times New Roman"/>
          <w:sz w:val="24"/>
          <w:szCs w:val="24"/>
        </w:rPr>
        <w:t>ies</w:t>
      </w:r>
      <w:r w:rsidR="00633E61">
        <w:rPr>
          <w:rFonts w:ascii="Times New Roman" w:hAnsi="Times New Roman"/>
          <w:sz w:val="24"/>
          <w:szCs w:val="24"/>
        </w:rPr>
        <w:t xml:space="preserve"> </w:t>
      </w:r>
      <w:r>
        <w:rPr>
          <w:rFonts w:ascii="Times New Roman" w:hAnsi="Times New Roman"/>
          <w:sz w:val="24"/>
          <w:szCs w:val="24"/>
        </w:rPr>
        <w:t xml:space="preserve">will result in SCO and retail prices rising in the short- and long-term.  </w:t>
      </w:r>
      <w:r w:rsidR="005922CA">
        <w:rPr>
          <w:rFonts w:ascii="Times New Roman" w:hAnsi="Times New Roman"/>
          <w:sz w:val="24"/>
          <w:szCs w:val="24"/>
        </w:rPr>
        <w:t>In contrast</w:t>
      </w:r>
      <w:r>
        <w:rPr>
          <w:rFonts w:ascii="Times New Roman" w:hAnsi="Times New Roman"/>
          <w:sz w:val="24"/>
          <w:szCs w:val="24"/>
        </w:rPr>
        <w:t xml:space="preserve">, if the Commission rejects the proposed residential exit framework, the Commission will be sending </w:t>
      </w:r>
      <w:r w:rsidR="00633E61">
        <w:rPr>
          <w:rFonts w:ascii="Times New Roman" w:hAnsi="Times New Roman"/>
          <w:sz w:val="24"/>
          <w:szCs w:val="24"/>
        </w:rPr>
        <w:t>a clear</w:t>
      </w:r>
      <w:r>
        <w:rPr>
          <w:rFonts w:ascii="Times New Roman" w:hAnsi="Times New Roman"/>
          <w:sz w:val="24"/>
          <w:szCs w:val="24"/>
        </w:rPr>
        <w:t xml:space="preserve"> signal that a residential exit at 70% shopping is way too low and that it will only consider a residential exit when the SCO is no longer </w:t>
      </w:r>
      <w:r w:rsidR="00A05E52">
        <w:rPr>
          <w:rFonts w:ascii="Times New Roman" w:hAnsi="Times New Roman"/>
          <w:sz w:val="24"/>
          <w:szCs w:val="24"/>
        </w:rPr>
        <w:t>efficient from a cost perspective</w:t>
      </w:r>
      <w:r>
        <w:rPr>
          <w:rFonts w:ascii="Times New Roman" w:hAnsi="Times New Roman"/>
          <w:sz w:val="24"/>
          <w:szCs w:val="24"/>
        </w:rPr>
        <w:t xml:space="preserve"> and </w:t>
      </w:r>
      <w:r w:rsidR="005922CA">
        <w:rPr>
          <w:rFonts w:ascii="Times New Roman" w:hAnsi="Times New Roman"/>
          <w:sz w:val="24"/>
          <w:szCs w:val="24"/>
        </w:rPr>
        <w:t xml:space="preserve">no longer </w:t>
      </w:r>
      <w:r w:rsidR="00A05E52">
        <w:rPr>
          <w:rFonts w:ascii="Times New Roman" w:hAnsi="Times New Roman"/>
          <w:sz w:val="24"/>
          <w:szCs w:val="24"/>
        </w:rPr>
        <w:t>continuing to provide</w:t>
      </w:r>
      <w:r>
        <w:rPr>
          <w:rFonts w:ascii="Times New Roman" w:hAnsi="Times New Roman"/>
          <w:sz w:val="24"/>
          <w:szCs w:val="24"/>
        </w:rPr>
        <w:t xml:space="preserve"> the lowest-cost </w:t>
      </w:r>
      <w:r w:rsidR="00A05E52">
        <w:rPr>
          <w:rFonts w:ascii="Times New Roman" w:hAnsi="Times New Roman"/>
          <w:sz w:val="24"/>
          <w:szCs w:val="24"/>
        </w:rPr>
        <w:t xml:space="preserve">supply </w:t>
      </w:r>
      <w:r>
        <w:rPr>
          <w:rFonts w:ascii="Times New Roman" w:hAnsi="Times New Roman"/>
          <w:sz w:val="24"/>
          <w:szCs w:val="24"/>
        </w:rPr>
        <w:t xml:space="preserve">option to residential customers.  </w:t>
      </w:r>
    </w:p>
    <w:p w:rsidR="00277645" w:rsidRDefault="005922CA" w:rsidP="00A05E52">
      <w:pPr>
        <w:spacing w:after="0" w:line="480" w:lineRule="auto"/>
        <w:ind w:firstLine="630"/>
        <w:jc w:val="both"/>
        <w:rPr>
          <w:rFonts w:ascii="Times New Roman" w:hAnsi="Times New Roman"/>
          <w:sz w:val="24"/>
          <w:szCs w:val="24"/>
        </w:rPr>
      </w:pPr>
      <w:r>
        <w:rPr>
          <w:rFonts w:ascii="Times New Roman" w:hAnsi="Times New Roman"/>
          <w:sz w:val="24"/>
          <w:szCs w:val="24"/>
        </w:rPr>
        <w:t>Further</w:t>
      </w:r>
      <w:r w:rsidR="00277645">
        <w:rPr>
          <w:rFonts w:ascii="Times New Roman" w:hAnsi="Times New Roman"/>
          <w:sz w:val="24"/>
          <w:szCs w:val="24"/>
        </w:rPr>
        <w:t>, the Commission</w:t>
      </w:r>
      <w:r w:rsidR="00633E61">
        <w:rPr>
          <w:rFonts w:ascii="Times New Roman" w:hAnsi="Times New Roman"/>
          <w:sz w:val="24"/>
          <w:szCs w:val="24"/>
        </w:rPr>
        <w:t>, by</w:t>
      </w:r>
      <w:r w:rsidR="00277645">
        <w:rPr>
          <w:rFonts w:ascii="Times New Roman" w:hAnsi="Times New Roman"/>
          <w:sz w:val="24"/>
          <w:szCs w:val="24"/>
        </w:rPr>
        <w:t xml:space="preserve"> </w:t>
      </w:r>
      <w:r w:rsidR="00633E61">
        <w:rPr>
          <w:rFonts w:ascii="Times New Roman" w:hAnsi="Times New Roman"/>
          <w:sz w:val="24"/>
          <w:szCs w:val="24"/>
        </w:rPr>
        <w:t xml:space="preserve">rejecting the proposed SCO security charge, will </w:t>
      </w:r>
      <w:r w:rsidR="00A05E52">
        <w:rPr>
          <w:rFonts w:ascii="Times New Roman" w:hAnsi="Times New Roman"/>
          <w:sz w:val="24"/>
          <w:szCs w:val="24"/>
        </w:rPr>
        <w:t>send a</w:t>
      </w:r>
      <w:r w:rsidR="00277645">
        <w:rPr>
          <w:rFonts w:ascii="Times New Roman" w:hAnsi="Times New Roman"/>
          <w:sz w:val="24"/>
          <w:szCs w:val="24"/>
        </w:rPr>
        <w:t xml:space="preserve"> clear </w:t>
      </w:r>
      <w:r w:rsidR="00A05E52">
        <w:rPr>
          <w:rFonts w:ascii="Times New Roman" w:hAnsi="Times New Roman"/>
          <w:sz w:val="24"/>
          <w:szCs w:val="24"/>
        </w:rPr>
        <w:t xml:space="preserve">signal </w:t>
      </w:r>
      <w:r w:rsidR="00277645">
        <w:rPr>
          <w:rFonts w:ascii="Times New Roman" w:hAnsi="Times New Roman"/>
          <w:sz w:val="24"/>
          <w:szCs w:val="24"/>
        </w:rPr>
        <w:t xml:space="preserve">that it will not </w:t>
      </w:r>
      <w:r w:rsidR="00A05E52">
        <w:rPr>
          <w:rFonts w:ascii="Times New Roman" w:hAnsi="Times New Roman"/>
          <w:sz w:val="24"/>
          <w:szCs w:val="24"/>
        </w:rPr>
        <w:t>endorse</w:t>
      </w:r>
      <w:r w:rsidR="00277645">
        <w:rPr>
          <w:rFonts w:ascii="Times New Roman" w:hAnsi="Times New Roman"/>
          <w:sz w:val="24"/>
          <w:szCs w:val="24"/>
        </w:rPr>
        <w:t xml:space="preserve"> a fee that</w:t>
      </w:r>
      <w:r w:rsidR="00633E61">
        <w:rPr>
          <w:rFonts w:ascii="Times New Roman" w:hAnsi="Times New Roman"/>
          <w:sz w:val="24"/>
          <w:szCs w:val="24"/>
        </w:rPr>
        <w:t xml:space="preserve"> only </w:t>
      </w:r>
      <w:r w:rsidR="00A05E52">
        <w:rPr>
          <w:rFonts w:ascii="Times New Roman" w:hAnsi="Times New Roman"/>
          <w:sz w:val="24"/>
          <w:szCs w:val="24"/>
        </w:rPr>
        <w:t xml:space="preserve">serves to </w:t>
      </w:r>
      <w:r w:rsidR="00633E61">
        <w:rPr>
          <w:rFonts w:ascii="Times New Roman" w:hAnsi="Times New Roman"/>
          <w:sz w:val="24"/>
          <w:szCs w:val="24"/>
        </w:rPr>
        <w:t>dis</w:t>
      </w:r>
      <w:r w:rsidR="00A05E52">
        <w:rPr>
          <w:rFonts w:ascii="Times New Roman" w:hAnsi="Times New Roman"/>
          <w:sz w:val="24"/>
          <w:szCs w:val="24"/>
        </w:rPr>
        <w:t>rupt</w:t>
      </w:r>
      <w:r w:rsidR="00633E61">
        <w:rPr>
          <w:rFonts w:ascii="Times New Roman" w:hAnsi="Times New Roman"/>
          <w:sz w:val="24"/>
          <w:szCs w:val="24"/>
        </w:rPr>
        <w:t xml:space="preserve"> the competitive balance </w:t>
      </w:r>
      <w:r w:rsidR="00A05E52">
        <w:rPr>
          <w:rFonts w:ascii="Times New Roman" w:hAnsi="Times New Roman"/>
          <w:sz w:val="24"/>
          <w:szCs w:val="24"/>
        </w:rPr>
        <w:t>between SCO and retail suppliers,</w:t>
      </w:r>
      <w:r w:rsidR="00633E61">
        <w:rPr>
          <w:rFonts w:ascii="Times New Roman" w:hAnsi="Times New Roman"/>
          <w:sz w:val="24"/>
          <w:szCs w:val="24"/>
        </w:rPr>
        <w:t xml:space="preserve"> and </w:t>
      </w:r>
      <w:r>
        <w:rPr>
          <w:rFonts w:ascii="Times New Roman" w:hAnsi="Times New Roman"/>
          <w:sz w:val="24"/>
          <w:szCs w:val="24"/>
        </w:rPr>
        <w:t xml:space="preserve">will result in an </w:t>
      </w:r>
      <w:r w:rsidR="00633E61">
        <w:rPr>
          <w:rFonts w:ascii="Times New Roman" w:hAnsi="Times New Roman"/>
          <w:sz w:val="24"/>
          <w:szCs w:val="24"/>
        </w:rPr>
        <w:t xml:space="preserve">increase </w:t>
      </w:r>
      <w:r>
        <w:rPr>
          <w:rFonts w:ascii="Times New Roman" w:hAnsi="Times New Roman"/>
          <w:sz w:val="24"/>
          <w:szCs w:val="24"/>
        </w:rPr>
        <w:t xml:space="preserve">in </w:t>
      </w:r>
      <w:r w:rsidR="00633E61">
        <w:rPr>
          <w:rFonts w:ascii="Times New Roman" w:hAnsi="Times New Roman"/>
          <w:sz w:val="24"/>
          <w:szCs w:val="24"/>
        </w:rPr>
        <w:t>costs to customers</w:t>
      </w:r>
      <w:r w:rsidR="00A05E52" w:rsidRPr="00A05E52">
        <w:rPr>
          <w:rFonts w:ascii="Times New Roman" w:hAnsi="Times New Roman"/>
          <w:sz w:val="24"/>
          <w:szCs w:val="24"/>
        </w:rPr>
        <w:t xml:space="preserve"> </w:t>
      </w:r>
      <w:r w:rsidR="00A05E52">
        <w:rPr>
          <w:rFonts w:ascii="Times New Roman" w:hAnsi="Times New Roman"/>
          <w:sz w:val="24"/>
          <w:szCs w:val="24"/>
        </w:rPr>
        <w:t>for no legitimate reason</w:t>
      </w:r>
      <w:r w:rsidR="00633E61">
        <w:rPr>
          <w:rFonts w:ascii="Times New Roman" w:hAnsi="Times New Roman"/>
          <w:sz w:val="24"/>
          <w:szCs w:val="24"/>
        </w:rPr>
        <w:t xml:space="preserve">.  </w:t>
      </w:r>
      <w:r w:rsidR="00277645">
        <w:rPr>
          <w:rFonts w:ascii="Times New Roman" w:hAnsi="Times New Roman"/>
          <w:sz w:val="24"/>
          <w:szCs w:val="24"/>
        </w:rPr>
        <w:t>Consistent with its positions presented herein, Hess recommends that the Commission order the following:</w:t>
      </w:r>
    </w:p>
    <w:p w:rsidR="00277645" w:rsidRDefault="00633E61" w:rsidP="00C9446D">
      <w:pPr>
        <w:numPr>
          <w:ilvl w:val="0"/>
          <w:numId w:val="6"/>
        </w:numPr>
        <w:spacing w:after="0" w:line="240" w:lineRule="auto"/>
        <w:ind w:left="1800" w:right="1440"/>
        <w:jc w:val="both"/>
        <w:rPr>
          <w:rFonts w:ascii="Times New Roman" w:hAnsi="Times New Roman"/>
          <w:sz w:val="24"/>
          <w:szCs w:val="24"/>
        </w:rPr>
      </w:pPr>
      <w:r>
        <w:rPr>
          <w:rFonts w:ascii="Times New Roman" w:hAnsi="Times New Roman"/>
          <w:sz w:val="24"/>
          <w:szCs w:val="24"/>
        </w:rPr>
        <w:t xml:space="preserve">Reject the </w:t>
      </w:r>
      <w:r w:rsidRPr="002D4BB8">
        <w:rPr>
          <w:rFonts w:ascii="Times New Roman" w:hAnsi="Times New Roman"/>
          <w:sz w:val="24"/>
          <w:szCs w:val="24"/>
        </w:rPr>
        <w:t>Amended</w:t>
      </w:r>
      <w:r>
        <w:rPr>
          <w:rFonts w:ascii="Times New Roman" w:hAnsi="Times New Roman"/>
          <w:b/>
          <w:sz w:val="24"/>
          <w:szCs w:val="24"/>
        </w:rPr>
        <w:t xml:space="preserve"> </w:t>
      </w:r>
      <w:r>
        <w:rPr>
          <w:rFonts w:ascii="Times New Roman" w:hAnsi="Times New Roman"/>
          <w:sz w:val="24"/>
          <w:szCs w:val="24"/>
        </w:rPr>
        <w:t xml:space="preserve">Stipulation’s framework that allows </w:t>
      </w:r>
      <w:r w:rsidR="00A05E52">
        <w:rPr>
          <w:rFonts w:ascii="Times New Roman" w:hAnsi="Times New Roman"/>
          <w:sz w:val="24"/>
          <w:szCs w:val="24"/>
        </w:rPr>
        <w:t>Columbia</w:t>
      </w:r>
      <w:r>
        <w:rPr>
          <w:rFonts w:ascii="Times New Roman" w:hAnsi="Times New Roman"/>
          <w:sz w:val="24"/>
          <w:szCs w:val="24"/>
        </w:rPr>
        <w:t xml:space="preserve"> to file an application to exit the merchant function for residential customers</w:t>
      </w:r>
      <w:r w:rsidR="00277645">
        <w:rPr>
          <w:rFonts w:ascii="Times New Roman" w:hAnsi="Times New Roman"/>
          <w:sz w:val="24"/>
          <w:szCs w:val="24"/>
        </w:rPr>
        <w:t>.</w:t>
      </w:r>
    </w:p>
    <w:p w:rsidR="00277645" w:rsidRDefault="00633E61" w:rsidP="00C9446D">
      <w:pPr>
        <w:numPr>
          <w:ilvl w:val="0"/>
          <w:numId w:val="6"/>
        </w:numPr>
        <w:spacing w:before="240" w:after="0" w:line="240" w:lineRule="auto"/>
        <w:ind w:left="1800" w:right="1440"/>
        <w:jc w:val="both"/>
        <w:rPr>
          <w:rFonts w:ascii="Times New Roman" w:hAnsi="Times New Roman"/>
          <w:sz w:val="24"/>
          <w:szCs w:val="24"/>
        </w:rPr>
      </w:pPr>
      <w:r>
        <w:rPr>
          <w:rFonts w:ascii="Times New Roman" w:hAnsi="Times New Roman"/>
          <w:sz w:val="24"/>
          <w:szCs w:val="24"/>
        </w:rPr>
        <w:lastRenderedPageBreak/>
        <w:t xml:space="preserve">Reject the </w:t>
      </w:r>
      <w:r w:rsidRPr="002D4BB8">
        <w:rPr>
          <w:rFonts w:ascii="Times New Roman" w:hAnsi="Times New Roman"/>
          <w:sz w:val="24"/>
          <w:szCs w:val="24"/>
        </w:rPr>
        <w:t>Amended</w:t>
      </w:r>
      <w:r>
        <w:rPr>
          <w:rFonts w:ascii="Times New Roman" w:hAnsi="Times New Roman"/>
          <w:b/>
          <w:sz w:val="24"/>
          <w:szCs w:val="24"/>
        </w:rPr>
        <w:t xml:space="preserve"> </w:t>
      </w:r>
      <w:r>
        <w:rPr>
          <w:rFonts w:ascii="Times New Roman" w:hAnsi="Times New Roman"/>
          <w:sz w:val="24"/>
          <w:szCs w:val="24"/>
        </w:rPr>
        <w:t xml:space="preserve">Stipulation’s proposed $0.06 per </w:t>
      </w:r>
      <w:proofErr w:type="spellStart"/>
      <w:r>
        <w:rPr>
          <w:rFonts w:ascii="Times New Roman" w:hAnsi="Times New Roman"/>
          <w:sz w:val="24"/>
          <w:szCs w:val="24"/>
        </w:rPr>
        <w:t>Mcf</w:t>
      </w:r>
      <w:proofErr w:type="spellEnd"/>
      <w:r>
        <w:rPr>
          <w:rFonts w:ascii="Times New Roman" w:hAnsi="Times New Roman"/>
          <w:sz w:val="24"/>
          <w:szCs w:val="24"/>
        </w:rPr>
        <w:t xml:space="preserve"> SCO security charge</w:t>
      </w:r>
      <w:r w:rsidR="00277645">
        <w:rPr>
          <w:rFonts w:ascii="Times New Roman" w:hAnsi="Times New Roman"/>
          <w:sz w:val="24"/>
          <w:szCs w:val="24"/>
        </w:rPr>
        <w:t>.</w:t>
      </w:r>
    </w:p>
    <w:p w:rsidR="00277645" w:rsidRDefault="00633E61" w:rsidP="00C9446D">
      <w:pPr>
        <w:numPr>
          <w:ilvl w:val="0"/>
          <w:numId w:val="6"/>
        </w:numPr>
        <w:spacing w:before="240" w:after="0" w:line="240" w:lineRule="auto"/>
        <w:ind w:left="1800" w:right="1440"/>
        <w:jc w:val="both"/>
        <w:rPr>
          <w:rFonts w:ascii="Times New Roman" w:hAnsi="Times New Roman"/>
          <w:sz w:val="24"/>
          <w:szCs w:val="24"/>
        </w:rPr>
      </w:pPr>
      <w:r>
        <w:rPr>
          <w:rFonts w:ascii="Times New Roman" w:hAnsi="Times New Roman"/>
          <w:sz w:val="24"/>
          <w:szCs w:val="24"/>
        </w:rPr>
        <w:t xml:space="preserve">Approve the </w:t>
      </w:r>
      <w:r w:rsidRPr="002D4BB8">
        <w:rPr>
          <w:rFonts w:ascii="Times New Roman" w:hAnsi="Times New Roman"/>
          <w:sz w:val="24"/>
          <w:szCs w:val="24"/>
        </w:rPr>
        <w:t>Amended</w:t>
      </w:r>
      <w:r>
        <w:rPr>
          <w:rFonts w:ascii="Times New Roman" w:hAnsi="Times New Roman"/>
          <w:b/>
          <w:sz w:val="24"/>
          <w:szCs w:val="24"/>
        </w:rPr>
        <w:t xml:space="preserve"> </w:t>
      </w:r>
      <w:r>
        <w:rPr>
          <w:rFonts w:ascii="Times New Roman" w:hAnsi="Times New Roman"/>
          <w:sz w:val="24"/>
          <w:szCs w:val="24"/>
        </w:rPr>
        <w:t xml:space="preserve">Stipulation’s framework for </w:t>
      </w:r>
      <w:r w:rsidR="00A05E52">
        <w:rPr>
          <w:rFonts w:ascii="Times New Roman" w:hAnsi="Times New Roman"/>
          <w:sz w:val="24"/>
          <w:szCs w:val="24"/>
        </w:rPr>
        <w:t>Columbia</w:t>
      </w:r>
      <w:r>
        <w:rPr>
          <w:rFonts w:ascii="Times New Roman" w:hAnsi="Times New Roman"/>
          <w:sz w:val="24"/>
          <w:szCs w:val="24"/>
        </w:rPr>
        <w:t xml:space="preserve"> to exit the merchant function for non-residential customers</w:t>
      </w:r>
      <w:r w:rsidR="00277645">
        <w:rPr>
          <w:rFonts w:ascii="Times New Roman" w:hAnsi="Times New Roman"/>
          <w:sz w:val="24"/>
          <w:szCs w:val="24"/>
        </w:rPr>
        <w:t>.</w:t>
      </w:r>
    </w:p>
    <w:p w:rsidR="00277645" w:rsidRPr="007950C4" w:rsidRDefault="00633E61" w:rsidP="00C9446D">
      <w:pPr>
        <w:numPr>
          <w:ilvl w:val="0"/>
          <w:numId w:val="6"/>
        </w:numPr>
        <w:spacing w:before="240" w:after="0" w:line="240" w:lineRule="auto"/>
        <w:ind w:left="1800" w:right="1440"/>
        <w:jc w:val="both"/>
        <w:rPr>
          <w:rFonts w:ascii="Times New Roman" w:hAnsi="Times New Roman"/>
          <w:sz w:val="24"/>
          <w:szCs w:val="24"/>
        </w:rPr>
      </w:pPr>
      <w:r>
        <w:rPr>
          <w:rFonts w:ascii="Times New Roman" w:hAnsi="Times New Roman"/>
          <w:sz w:val="24"/>
          <w:szCs w:val="24"/>
        </w:rPr>
        <w:t xml:space="preserve">Employ an MVR allocation methodology for non-residential </w:t>
      </w:r>
      <w:proofErr w:type="gramStart"/>
      <w:r>
        <w:rPr>
          <w:rFonts w:ascii="Times New Roman" w:hAnsi="Times New Roman"/>
          <w:sz w:val="24"/>
          <w:szCs w:val="24"/>
        </w:rPr>
        <w:t>customers that incorporates</w:t>
      </w:r>
      <w:proofErr w:type="gramEnd"/>
      <w:r>
        <w:rPr>
          <w:rFonts w:ascii="Times New Roman" w:hAnsi="Times New Roman"/>
          <w:sz w:val="24"/>
          <w:szCs w:val="24"/>
        </w:rPr>
        <w:t xml:space="preserve"> SSO/SCO tranche ownership</w:t>
      </w:r>
      <w:r w:rsidR="00277645">
        <w:rPr>
          <w:rFonts w:ascii="Times New Roman" w:hAnsi="Times New Roman"/>
          <w:sz w:val="24"/>
          <w:szCs w:val="24"/>
        </w:rPr>
        <w:t>.</w:t>
      </w:r>
    </w:p>
    <w:p w:rsidR="00C9446D" w:rsidRDefault="00C9446D" w:rsidP="00337D8E">
      <w:pPr>
        <w:spacing w:after="0" w:line="240" w:lineRule="auto"/>
        <w:ind w:left="4320" w:firstLine="720"/>
        <w:rPr>
          <w:rFonts w:ascii="Times New Roman" w:hAnsi="Times New Roman" w:cs="Times New Roman"/>
          <w:sz w:val="24"/>
          <w:szCs w:val="24"/>
        </w:rPr>
      </w:pP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r w:rsidRPr="00337D8E">
        <w:rPr>
          <w:rFonts w:ascii="Times New Roman" w:hAnsi="Times New Roman" w:cs="Times New Roman"/>
          <w:sz w:val="24"/>
          <w:szCs w:val="24"/>
        </w:rPr>
        <w:t>Respectfully submitted,</w:t>
      </w: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r w:rsidRPr="00337D8E">
        <w:rPr>
          <w:rFonts w:ascii="Times New Roman" w:hAnsi="Times New Roman" w:cs="Times New Roman"/>
          <w:sz w:val="24"/>
          <w:szCs w:val="24"/>
        </w:rPr>
        <w:t>______________________</w:t>
      </w:r>
    </w:p>
    <w:p w:rsidR="005922CA" w:rsidRPr="00337D8E" w:rsidRDefault="005922CA" w:rsidP="00840AF3">
      <w:pPr>
        <w:keepNext/>
        <w:keepLines/>
        <w:spacing w:after="0" w:line="240" w:lineRule="auto"/>
        <w:ind w:left="4320" w:firstLine="720"/>
        <w:rPr>
          <w:rFonts w:ascii="Times New Roman" w:hAnsi="Times New Roman" w:cs="Times New Roman"/>
          <w:sz w:val="24"/>
          <w:szCs w:val="24"/>
        </w:rPr>
      </w:pPr>
      <w:proofErr w:type="gramStart"/>
      <w:r w:rsidRPr="00337D8E">
        <w:rPr>
          <w:rFonts w:ascii="Times New Roman" w:hAnsi="Times New Roman" w:cs="Times New Roman"/>
          <w:sz w:val="24"/>
          <w:szCs w:val="24"/>
        </w:rPr>
        <w:t>Dane Stinson, Esq.</w:t>
      </w:r>
      <w:proofErr w:type="gramEnd"/>
    </w:p>
    <w:p w:rsidR="005922CA" w:rsidRPr="00337D8E" w:rsidRDefault="005922CA" w:rsidP="00840AF3">
      <w:pPr>
        <w:keepNext/>
        <w:keepLines/>
        <w:tabs>
          <w:tab w:val="right" w:pos="720"/>
          <w:tab w:val="left" w:pos="1440"/>
          <w:tab w:val="left" w:pos="4320"/>
          <w:tab w:val="left" w:pos="5040"/>
          <w:tab w:val="left" w:pos="5760"/>
          <w:tab w:val="left" w:pos="8640"/>
        </w:tabs>
        <w:spacing w:after="0"/>
        <w:ind w:left="4590"/>
        <w:jc w:val="both"/>
        <w:rPr>
          <w:rFonts w:ascii="Times New Roman" w:hAnsi="Times New Roman" w:cs="Times New Roman"/>
          <w:sz w:val="24"/>
          <w:szCs w:val="24"/>
        </w:rPr>
      </w:pPr>
      <w:r w:rsidRPr="00337D8E">
        <w:rPr>
          <w:rFonts w:ascii="Times New Roman" w:hAnsi="Times New Roman" w:cs="Times New Roman"/>
          <w:sz w:val="24"/>
          <w:szCs w:val="24"/>
        </w:rPr>
        <w:tab/>
        <w:t>BAILEY CAVALIERI LLC</w:t>
      </w:r>
    </w:p>
    <w:p w:rsidR="005922CA" w:rsidRPr="00337D8E" w:rsidRDefault="005922CA" w:rsidP="00840AF3">
      <w:pPr>
        <w:keepNext/>
        <w:keepLines/>
        <w:tabs>
          <w:tab w:val="right" w:pos="720"/>
          <w:tab w:val="left" w:pos="1440"/>
          <w:tab w:val="left" w:pos="4320"/>
          <w:tab w:val="left" w:pos="5040"/>
          <w:tab w:val="left" w:pos="5760"/>
          <w:tab w:val="left" w:pos="8640"/>
        </w:tabs>
        <w:spacing w:after="0" w:line="240" w:lineRule="auto"/>
        <w:jc w:val="both"/>
        <w:rPr>
          <w:rFonts w:ascii="Times New Roman" w:hAnsi="Times New Roman" w:cs="Times New Roman"/>
          <w:sz w:val="24"/>
          <w:szCs w:val="24"/>
        </w:rPr>
      </w:pPr>
      <w:r w:rsidRPr="00337D8E">
        <w:rPr>
          <w:rFonts w:ascii="Times New Roman" w:hAnsi="Times New Roman" w:cs="Times New Roman"/>
          <w:sz w:val="24"/>
          <w:szCs w:val="24"/>
        </w:rPr>
        <w:tab/>
      </w:r>
      <w:r w:rsidRPr="00337D8E">
        <w:rPr>
          <w:rFonts w:ascii="Times New Roman" w:hAnsi="Times New Roman" w:cs="Times New Roman"/>
          <w:sz w:val="24"/>
          <w:szCs w:val="24"/>
        </w:rPr>
        <w:tab/>
      </w:r>
      <w:r w:rsidRPr="00337D8E">
        <w:rPr>
          <w:rFonts w:ascii="Times New Roman" w:hAnsi="Times New Roman" w:cs="Times New Roman"/>
          <w:sz w:val="24"/>
          <w:szCs w:val="24"/>
        </w:rPr>
        <w:tab/>
      </w:r>
      <w:r w:rsidRPr="00337D8E">
        <w:rPr>
          <w:rFonts w:ascii="Times New Roman" w:hAnsi="Times New Roman" w:cs="Times New Roman"/>
          <w:sz w:val="24"/>
          <w:szCs w:val="24"/>
        </w:rPr>
        <w:tab/>
        <w:t>10 West Broad Street, Suite 2100</w:t>
      </w:r>
    </w:p>
    <w:p w:rsidR="005922CA" w:rsidRPr="00337D8E" w:rsidRDefault="005922CA" w:rsidP="00337D8E">
      <w:pPr>
        <w:tabs>
          <w:tab w:val="right" w:pos="720"/>
          <w:tab w:val="left" w:pos="1440"/>
          <w:tab w:val="left" w:pos="4320"/>
          <w:tab w:val="left" w:pos="5040"/>
          <w:tab w:val="left" w:pos="5760"/>
          <w:tab w:val="left" w:pos="8640"/>
        </w:tabs>
        <w:spacing w:after="0" w:line="240" w:lineRule="auto"/>
        <w:ind w:left="4590"/>
        <w:jc w:val="both"/>
        <w:rPr>
          <w:rFonts w:ascii="Times New Roman" w:hAnsi="Times New Roman" w:cs="Times New Roman"/>
          <w:sz w:val="24"/>
          <w:szCs w:val="24"/>
        </w:rPr>
      </w:pPr>
      <w:r w:rsidRPr="00337D8E">
        <w:rPr>
          <w:rFonts w:ascii="Times New Roman" w:hAnsi="Times New Roman" w:cs="Times New Roman"/>
          <w:sz w:val="24"/>
          <w:szCs w:val="24"/>
        </w:rPr>
        <w:tab/>
        <w:t>Columbus, Ohio 43215</w:t>
      </w:r>
    </w:p>
    <w:p w:rsidR="005922CA" w:rsidRPr="00337D8E" w:rsidRDefault="005922CA" w:rsidP="00337D8E">
      <w:pPr>
        <w:tabs>
          <w:tab w:val="right" w:pos="720"/>
          <w:tab w:val="left" w:pos="1440"/>
          <w:tab w:val="left" w:pos="4320"/>
          <w:tab w:val="left" w:pos="5040"/>
          <w:tab w:val="left" w:pos="5760"/>
          <w:tab w:val="left" w:pos="8640"/>
        </w:tabs>
        <w:spacing w:after="0" w:line="240" w:lineRule="auto"/>
        <w:ind w:left="4590"/>
        <w:jc w:val="both"/>
        <w:rPr>
          <w:rFonts w:ascii="Times New Roman" w:hAnsi="Times New Roman" w:cs="Times New Roman"/>
          <w:sz w:val="24"/>
          <w:szCs w:val="24"/>
        </w:rPr>
      </w:pPr>
      <w:r w:rsidRPr="00337D8E">
        <w:rPr>
          <w:rFonts w:ascii="Times New Roman" w:hAnsi="Times New Roman" w:cs="Times New Roman"/>
          <w:sz w:val="24"/>
          <w:szCs w:val="24"/>
        </w:rPr>
        <w:tab/>
        <w:t>(614) 221-3155 (telephone)</w:t>
      </w:r>
      <w:r w:rsidRPr="00337D8E">
        <w:rPr>
          <w:rFonts w:ascii="Times New Roman" w:hAnsi="Times New Roman" w:cs="Times New Roman"/>
          <w:sz w:val="24"/>
          <w:szCs w:val="24"/>
        </w:rPr>
        <w:tab/>
      </w:r>
    </w:p>
    <w:p w:rsidR="005922CA" w:rsidRPr="00337D8E" w:rsidRDefault="005922CA" w:rsidP="00337D8E">
      <w:pPr>
        <w:tabs>
          <w:tab w:val="right" w:pos="720"/>
          <w:tab w:val="left" w:pos="1440"/>
          <w:tab w:val="left" w:pos="4320"/>
          <w:tab w:val="left" w:pos="5040"/>
          <w:tab w:val="left" w:pos="5760"/>
          <w:tab w:val="left" w:pos="8640"/>
        </w:tabs>
        <w:spacing w:after="0" w:line="240" w:lineRule="auto"/>
        <w:ind w:left="4590"/>
        <w:jc w:val="both"/>
        <w:rPr>
          <w:rFonts w:ascii="Times New Roman" w:hAnsi="Times New Roman" w:cs="Times New Roman"/>
          <w:sz w:val="24"/>
          <w:szCs w:val="24"/>
        </w:rPr>
      </w:pPr>
      <w:r w:rsidRPr="00337D8E">
        <w:rPr>
          <w:rFonts w:ascii="Times New Roman" w:hAnsi="Times New Roman" w:cs="Times New Roman"/>
          <w:sz w:val="24"/>
          <w:szCs w:val="24"/>
        </w:rPr>
        <w:tab/>
        <w:t>(614) 221-0479 (fax)</w:t>
      </w:r>
    </w:p>
    <w:p w:rsidR="005922CA" w:rsidRPr="00337D8E" w:rsidRDefault="005922CA" w:rsidP="00337D8E">
      <w:pPr>
        <w:tabs>
          <w:tab w:val="right" w:pos="720"/>
          <w:tab w:val="left" w:pos="1440"/>
          <w:tab w:val="left" w:pos="4320"/>
          <w:tab w:val="left" w:pos="5040"/>
          <w:tab w:val="left" w:pos="5760"/>
          <w:tab w:val="left" w:pos="8640"/>
        </w:tabs>
        <w:spacing w:after="0" w:line="240" w:lineRule="auto"/>
        <w:ind w:left="4590"/>
        <w:jc w:val="both"/>
        <w:rPr>
          <w:rFonts w:ascii="Times New Roman" w:hAnsi="Times New Roman" w:cs="Times New Roman"/>
          <w:sz w:val="24"/>
          <w:szCs w:val="24"/>
        </w:rPr>
      </w:pPr>
      <w:r w:rsidRPr="00337D8E">
        <w:rPr>
          <w:rFonts w:ascii="Times New Roman" w:hAnsi="Times New Roman" w:cs="Times New Roman"/>
          <w:sz w:val="24"/>
          <w:szCs w:val="24"/>
        </w:rPr>
        <w:tab/>
        <w:t>Dane.Stinson@BaileyCavalieri.com</w:t>
      </w:r>
    </w:p>
    <w:p w:rsidR="005922CA" w:rsidRPr="00337D8E" w:rsidRDefault="005922CA" w:rsidP="00337D8E">
      <w:pPr>
        <w:tabs>
          <w:tab w:val="right" w:pos="720"/>
          <w:tab w:val="left" w:pos="1440"/>
          <w:tab w:val="left" w:pos="4320"/>
          <w:tab w:val="left" w:pos="4590"/>
          <w:tab w:val="left" w:pos="5040"/>
          <w:tab w:val="left" w:pos="5760"/>
          <w:tab w:val="left" w:pos="8640"/>
        </w:tabs>
        <w:spacing w:before="120" w:after="0" w:line="240" w:lineRule="auto"/>
        <w:jc w:val="both"/>
        <w:rPr>
          <w:rFonts w:ascii="Times New Roman" w:hAnsi="Times New Roman" w:cs="Times New Roman"/>
          <w:sz w:val="24"/>
          <w:szCs w:val="24"/>
        </w:rPr>
      </w:pPr>
      <w:r w:rsidRPr="00337D8E">
        <w:rPr>
          <w:rFonts w:ascii="Times New Roman" w:hAnsi="Times New Roman" w:cs="Times New Roman"/>
          <w:sz w:val="24"/>
          <w:szCs w:val="24"/>
        </w:rPr>
        <w:tab/>
      </w:r>
      <w:r w:rsidRPr="00337D8E">
        <w:rPr>
          <w:rFonts w:ascii="Times New Roman" w:hAnsi="Times New Roman" w:cs="Times New Roman"/>
          <w:sz w:val="24"/>
          <w:szCs w:val="24"/>
        </w:rPr>
        <w:tab/>
      </w:r>
      <w:r w:rsidRPr="00337D8E">
        <w:rPr>
          <w:rFonts w:ascii="Times New Roman" w:hAnsi="Times New Roman" w:cs="Times New Roman"/>
          <w:sz w:val="24"/>
          <w:szCs w:val="24"/>
        </w:rPr>
        <w:tab/>
      </w:r>
      <w:r w:rsidRPr="00337D8E">
        <w:rPr>
          <w:rFonts w:ascii="Times New Roman" w:hAnsi="Times New Roman" w:cs="Times New Roman"/>
          <w:sz w:val="24"/>
          <w:szCs w:val="24"/>
        </w:rPr>
        <w:tab/>
      </w:r>
      <w:r w:rsidRPr="00337D8E">
        <w:rPr>
          <w:rFonts w:ascii="Times New Roman" w:hAnsi="Times New Roman" w:cs="Times New Roman"/>
          <w:sz w:val="24"/>
          <w:szCs w:val="24"/>
        </w:rPr>
        <w:tab/>
        <w:t>Attorney for Hess Corporation</w:t>
      </w:r>
    </w:p>
    <w:p w:rsidR="005922CA" w:rsidRPr="00D22F51" w:rsidRDefault="005922CA" w:rsidP="00337D8E">
      <w:pPr>
        <w:tabs>
          <w:tab w:val="right" w:pos="720"/>
          <w:tab w:val="left" w:pos="1440"/>
          <w:tab w:val="left" w:pos="4320"/>
          <w:tab w:val="left" w:pos="5040"/>
          <w:tab w:val="left" w:pos="5760"/>
          <w:tab w:val="left" w:pos="8640"/>
        </w:tabs>
        <w:spacing w:after="0" w:line="240" w:lineRule="auto"/>
        <w:ind w:left="4590"/>
        <w:jc w:val="both"/>
        <w:rPr>
          <w:sz w:val="24"/>
          <w:szCs w:val="24"/>
        </w:rPr>
      </w:pPr>
    </w:p>
    <w:p w:rsidR="005922CA" w:rsidRPr="00D22F51" w:rsidRDefault="005922CA" w:rsidP="00337D8E">
      <w:pPr>
        <w:tabs>
          <w:tab w:val="right" w:pos="720"/>
          <w:tab w:val="left" w:pos="1440"/>
          <w:tab w:val="left" w:pos="4320"/>
          <w:tab w:val="left" w:pos="5040"/>
          <w:tab w:val="left" w:pos="5760"/>
          <w:tab w:val="left" w:pos="8640"/>
        </w:tabs>
        <w:spacing w:after="0"/>
        <w:jc w:val="both"/>
        <w:rPr>
          <w:sz w:val="24"/>
          <w:szCs w:val="24"/>
        </w:rPr>
      </w:pPr>
    </w:p>
    <w:p w:rsidR="00B16882" w:rsidRDefault="00B16882">
      <w:pPr>
        <w:rPr>
          <w:rFonts w:ascii="Times New Roman" w:eastAsia="Times New Roman" w:hAnsi="Times New Roman" w:cs="Times New Roman"/>
          <w:b/>
          <w:sz w:val="24"/>
          <w:szCs w:val="24"/>
          <w:u w:val="single"/>
        </w:rPr>
      </w:pPr>
      <w:r>
        <w:rPr>
          <w:b/>
          <w:u w:val="single"/>
        </w:rPr>
        <w:br w:type="page"/>
      </w:r>
    </w:p>
    <w:p w:rsidR="00CC1F46" w:rsidRPr="00CC1F46" w:rsidRDefault="00CC1F46" w:rsidP="00CC1F46">
      <w:pPr>
        <w:pStyle w:val="BodyText"/>
        <w:spacing w:after="0" w:line="480" w:lineRule="auto"/>
        <w:jc w:val="center"/>
        <w:rPr>
          <w:b/>
          <w:u w:val="single"/>
        </w:rPr>
      </w:pPr>
      <w:r w:rsidRPr="00CC1F46">
        <w:rPr>
          <w:b/>
          <w:u w:val="single"/>
        </w:rPr>
        <w:lastRenderedPageBreak/>
        <w:t>CERTIFICATE OF SERVICE</w:t>
      </w:r>
    </w:p>
    <w:p w:rsidR="00CC1F46" w:rsidRPr="00CC1F46" w:rsidRDefault="00CC1F46" w:rsidP="00CC1F46">
      <w:pPr>
        <w:pStyle w:val="BodyText"/>
        <w:spacing w:after="0"/>
        <w:ind w:firstLine="720"/>
        <w:jc w:val="both"/>
      </w:pPr>
      <w:r w:rsidRPr="00CC1F46">
        <w:t xml:space="preserve">The undersigned hereby certifies that a true copy of the foregoing </w:t>
      </w:r>
      <w:r w:rsidR="00B16882" w:rsidRPr="00B16882">
        <w:rPr>
          <w:i/>
        </w:rPr>
        <w:t>Post Hearing</w:t>
      </w:r>
      <w:r w:rsidR="00B16882">
        <w:t xml:space="preserve"> </w:t>
      </w:r>
      <w:r w:rsidRPr="00CC1F46">
        <w:rPr>
          <w:i/>
        </w:rPr>
        <w:t>Brief of</w:t>
      </w:r>
      <w:r>
        <w:t xml:space="preserve"> </w:t>
      </w:r>
      <w:r w:rsidRPr="00CC1F46">
        <w:rPr>
          <w:i/>
        </w:rPr>
        <w:t>Hess Corporation</w:t>
      </w:r>
      <w:r>
        <w:rPr>
          <w:i/>
        </w:rPr>
        <w:t xml:space="preserve"> </w:t>
      </w:r>
      <w:r w:rsidRPr="00CC1F46">
        <w:t xml:space="preserve">was </w:t>
      </w:r>
      <w:r>
        <w:t>s</w:t>
      </w:r>
      <w:r w:rsidRPr="00CC1F46">
        <w:t xml:space="preserve">erved by electronic mail this </w:t>
      </w:r>
      <w:r>
        <w:t>11</w:t>
      </w:r>
      <w:r w:rsidRPr="00CC1F46">
        <w:rPr>
          <w:vertAlign w:val="superscript"/>
        </w:rPr>
        <w:t>th</w:t>
      </w:r>
      <w:r w:rsidRPr="00CC1F46">
        <w:t xml:space="preserve"> day of </w:t>
      </w:r>
      <w:r>
        <w:t>Dece</w:t>
      </w:r>
      <w:r w:rsidRPr="00CC1F46">
        <w:t xml:space="preserve">mber, 2012, upon the following. </w:t>
      </w:r>
    </w:p>
    <w:p w:rsidR="00CC1F46" w:rsidRPr="00CC1F46" w:rsidRDefault="00CC1F46" w:rsidP="00CC1F46">
      <w:pPr>
        <w:rPr>
          <w:rFonts w:ascii="Times New Roman" w:hAnsi="Times New Roman" w:cs="Times New Roman"/>
          <w:sz w:val="24"/>
          <w:szCs w:val="24"/>
        </w:rPr>
      </w:pPr>
    </w:p>
    <w:p w:rsidR="00840AF3" w:rsidRDefault="00CC1F46" w:rsidP="00CC1F46">
      <w:pPr>
        <w:tabs>
          <w:tab w:val="left" w:pos="4320"/>
        </w:tabs>
        <w:ind w:left="4320"/>
        <w:rPr>
          <w:rFonts w:ascii="Times New Roman" w:hAnsi="Times New Roman" w:cs="Times New Roman"/>
          <w:sz w:val="24"/>
          <w:szCs w:val="24"/>
        </w:rPr>
      </w:pPr>
      <w:r w:rsidRPr="00CC1F46">
        <w:rPr>
          <w:rFonts w:ascii="Times New Roman" w:hAnsi="Times New Roman" w:cs="Times New Roman"/>
          <w:sz w:val="24"/>
          <w:szCs w:val="24"/>
        </w:rPr>
        <w:tab/>
      </w:r>
      <w:r w:rsidRPr="00CC1F46">
        <w:rPr>
          <w:rFonts w:ascii="Times New Roman" w:hAnsi="Times New Roman" w:cs="Times New Roman"/>
          <w:sz w:val="24"/>
          <w:szCs w:val="24"/>
        </w:rPr>
        <w:tab/>
      </w:r>
      <w:r w:rsidRPr="00CC1F46">
        <w:rPr>
          <w:rFonts w:ascii="Times New Roman" w:hAnsi="Times New Roman" w:cs="Times New Roman"/>
          <w:sz w:val="24"/>
          <w:szCs w:val="24"/>
        </w:rPr>
        <w:tab/>
      </w:r>
      <w:r w:rsidRPr="00CC1F46">
        <w:rPr>
          <w:rFonts w:ascii="Times New Roman" w:hAnsi="Times New Roman" w:cs="Times New Roman"/>
          <w:sz w:val="24"/>
          <w:szCs w:val="24"/>
        </w:rPr>
        <w:tab/>
      </w:r>
      <w:r w:rsidRPr="00CC1F46">
        <w:rPr>
          <w:rFonts w:ascii="Times New Roman" w:hAnsi="Times New Roman" w:cs="Times New Roman"/>
          <w:sz w:val="24"/>
          <w:szCs w:val="24"/>
        </w:rPr>
        <w:tab/>
      </w:r>
      <w:r w:rsidRPr="00CC1F46">
        <w:rPr>
          <w:rFonts w:ascii="Times New Roman" w:hAnsi="Times New Roman" w:cs="Times New Roman"/>
          <w:sz w:val="24"/>
          <w:szCs w:val="24"/>
        </w:rPr>
        <w:tab/>
      </w:r>
    </w:p>
    <w:p w:rsidR="00CC1F46" w:rsidRPr="00840AF3" w:rsidRDefault="00840AF3" w:rsidP="00CC1F46">
      <w:pPr>
        <w:tabs>
          <w:tab w:val="left" w:pos="4320"/>
        </w:tabs>
        <w:ind w:left="4320"/>
        <w:rPr>
          <w:rFonts w:ascii="Times New Roman" w:hAnsi="Times New Roman" w:cs="Times New Roman"/>
          <w:sz w:val="24"/>
          <w:szCs w:val="24"/>
          <w:u w:val="single"/>
        </w:rPr>
      </w:pPr>
      <w:r>
        <w:rPr>
          <w:rFonts w:ascii="Times New Roman" w:hAnsi="Times New Roman" w:cs="Times New Roman"/>
          <w:sz w:val="24"/>
          <w:szCs w:val="24"/>
          <w:u w:val="single"/>
        </w:rPr>
        <w:tab/>
      </w:r>
      <w:r w:rsidR="00CC1F46" w:rsidRPr="00840AF3">
        <w:rPr>
          <w:rFonts w:ascii="Times New Roman" w:hAnsi="Times New Roman" w:cs="Times New Roman"/>
          <w:sz w:val="24"/>
          <w:szCs w:val="24"/>
          <w:u w:val="single"/>
        </w:rPr>
        <w:t>/s/ Dane Stinson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br/>
      </w:r>
      <w:r w:rsidRPr="00840AF3">
        <w:rPr>
          <w:rFonts w:ascii="Times New Roman" w:hAnsi="Times New Roman" w:cs="Times New Roman"/>
          <w:sz w:val="24"/>
          <w:szCs w:val="24"/>
        </w:rPr>
        <w:t>Dane Stinson</w:t>
      </w:r>
    </w:p>
    <w:tbl>
      <w:tblPr>
        <w:tblW w:w="0" w:type="auto"/>
        <w:tblLook w:val="01E0"/>
      </w:tblPr>
      <w:tblGrid>
        <w:gridCol w:w="4401"/>
        <w:gridCol w:w="4455"/>
      </w:tblGrid>
      <w:tr w:rsidR="00CC1F46" w:rsidRPr="00CC1F46" w:rsidTr="00531BF2">
        <w:tc>
          <w:tcPr>
            <w:tcW w:w="4401" w:type="dxa"/>
          </w:tcPr>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 xml:space="preserve">Stephen B. </w:t>
            </w:r>
            <w:proofErr w:type="spellStart"/>
            <w:r w:rsidRPr="00CC1F46">
              <w:rPr>
                <w:rFonts w:ascii="Times New Roman" w:hAnsi="Times New Roman" w:cs="Times New Roman"/>
                <w:sz w:val="24"/>
                <w:szCs w:val="24"/>
              </w:rPr>
              <w:t>Seiple</w:t>
            </w:r>
            <w:proofErr w:type="spellEnd"/>
            <w:r w:rsidRPr="00CC1F46">
              <w:rPr>
                <w:rFonts w:ascii="Times New Roman" w:hAnsi="Times New Roman" w:cs="Times New Roman"/>
                <w:sz w:val="24"/>
                <w:szCs w:val="24"/>
              </w:rPr>
              <w:t xml:space="preserve"> (Counsel of Record), </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Assistant General Counsel</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Brooke E. Leslie, Counsel</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200 Civic Center Drive</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P. O. Box 117</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Columbus, Ohio 43216-0117</w:t>
            </w:r>
          </w:p>
          <w:p w:rsidR="00CC1F46" w:rsidRPr="00CC1F46" w:rsidRDefault="00CC1F46" w:rsidP="00CC1F46">
            <w:pPr>
              <w:keepNext/>
              <w:tabs>
                <w:tab w:val="right" w:pos="6840"/>
              </w:tabs>
              <w:spacing w:after="0" w:line="240" w:lineRule="auto"/>
              <w:rPr>
                <w:rFonts w:ascii="Times New Roman" w:hAnsi="Times New Roman" w:cs="Times New Roman"/>
                <w:sz w:val="24"/>
                <w:szCs w:val="24"/>
              </w:rPr>
            </w:pPr>
            <w:r w:rsidRPr="00CC1F46">
              <w:rPr>
                <w:rFonts w:ascii="Times New Roman" w:hAnsi="Times New Roman" w:cs="Times New Roman"/>
                <w:sz w:val="24"/>
                <w:szCs w:val="24"/>
              </w:rPr>
              <w:t>sseiple@nisource.com</w:t>
            </w:r>
          </w:p>
          <w:p w:rsidR="00CC1F46" w:rsidRPr="00CC1F46" w:rsidRDefault="00CC1F46" w:rsidP="00CC1F46">
            <w:pPr>
              <w:keepNext/>
              <w:tabs>
                <w:tab w:val="right" w:pos="6840"/>
              </w:tabs>
              <w:spacing w:after="0" w:line="240" w:lineRule="auto"/>
              <w:rPr>
                <w:rFonts w:ascii="Times New Roman" w:hAnsi="Times New Roman" w:cs="Times New Roman"/>
                <w:sz w:val="24"/>
                <w:szCs w:val="24"/>
              </w:rPr>
            </w:pPr>
            <w:r w:rsidRPr="00CC1F46">
              <w:rPr>
                <w:rFonts w:ascii="Times New Roman" w:hAnsi="Times New Roman" w:cs="Times New Roman"/>
                <w:sz w:val="24"/>
                <w:szCs w:val="24"/>
              </w:rPr>
              <w:t>bleslie@nisource.com</w:t>
            </w: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Daniel R. Conway</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Eric B. Gallon</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Porter Wright Morris &amp; Arthur LLP</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Huntington Center</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41 South High Street</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Columbus, Ohio  43215</w:t>
            </w:r>
          </w:p>
          <w:p w:rsidR="00CC1F46" w:rsidRPr="00CC1F46" w:rsidRDefault="00CC1F46" w:rsidP="00CC1F46">
            <w:pPr>
              <w:keepNext/>
              <w:spacing w:after="0" w:line="240" w:lineRule="auto"/>
              <w:rPr>
                <w:rFonts w:ascii="Times New Roman" w:hAnsi="Times New Roman" w:cs="Times New Roman"/>
                <w:sz w:val="24"/>
                <w:szCs w:val="24"/>
              </w:rPr>
            </w:pPr>
            <w:r w:rsidRPr="00CC1F46">
              <w:rPr>
                <w:rFonts w:ascii="Times New Roman" w:hAnsi="Times New Roman" w:cs="Times New Roman"/>
                <w:sz w:val="24"/>
                <w:szCs w:val="24"/>
              </w:rPr>
              <w:t>Email:</w:t>
            </w:r>
            <w:r w:rsidRPr="00CC1F46">
              <w:rPr>
                <w:rFonts w:ascii="Times New Roman" w:hAnsi="Times New Roman" w:cs="Times New Roman"/>
                <w:sz w:val="24"/>
                <w:szCs w:val="24"/>
              </w:rPr>
              <w:tab/>
              <w:t>dconway@porterwright.com</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egallon@porterwright.com</w:t>
            </w:r>
          </w:p>
          <w:p w:rsidR="00CC1F46" w:rsidRPr="00CC1F46" w:rsidRDefault="00CC1F46" w:rsidP="00CC1F46">
            <w:pPr>
              <w:spacing w:after="0" w:line="240" w:lineRule="auto"/>
              <w:jc w:val="both"/>
              <w:rPr>
                <w:rFonts w:ascii="Times New Roman" w:hAnsi="Times New Roman" w:cs="Times New Roman"/>
                <w:sz w:val="24"/>
                <w:szCs w:val="24"/>
              </w:rPr>
            </w:pPr>
          </w:p>
        </w:tc>
        <w:tc>
          <w:tcPr>
            <w:tcW w:w="4455" w:type="dxa"/>
          </w:tcPr>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M. Howard Petricoff</w:t>
            </w:r>
          </w:p>
          <w:p w:rsidR="00CC1F46" w:rsidRPr="00CC1F46" w:rsidRDefault="00CC1F46" w:rsidP="00CC1F46">
            <w:pPr>
              <w:spacing w:after="0" w:line="240" w:lineRule="auto"/>
              <w:jc w:val="both"/>
              <w:rPr>
                <w:rFonts w:ascii="Times New Roman" w:hAnsi="Times New Roman" w:cs="Times New Roman"/>
                <w:sz w:val="24"/>
                <w:szCs w:val="24"/>
              </w:rPr>
            </w:pPr>
            <w:proofErr w:type="spellStart"/>
            <w:r w:rsidRPr="00CC1F46">
              <w:rPr>
                <w:rFonts w:ascii="Times New Roman" w:hAnsi="Times New Roman" w:cs="Times New Roman"/>
                <w:sz w:val="24"/>
                <w:szCs w:val="24"/>
              </w:rPr>
              <w:t>Vorys</w:t>
            </w:r>
            <w:proofErr w:type="spellEnd"/>
            <w:r w:rsidRPr="00CC1F46">
              <w:rPr>
                <w:rFonts w:ascii="Times New Roman" w:hAnsi="Times New Roman" w:cs="Times New Roman"/>
                <w:sz w:val="24"/>
                <w:szCs w:val="24"/>
              </w:rPr>
              <w:t xml:space="preserve">, </w:t>
            </w:r>
            <w:proofErr w:type="spellStart"/>
            <w:r w:rsidRPr="00CC1F46">
              <w:rPr>
                <w:rFonts w:ascii="Times New Roman" w:hAnsi="Times New Roman" w:cs="Times New Roman"/>
                <w:sz w:val="24"/>
                <w:szCs w:val="24"/>
              </w:rPr>
              <w:t>Sater</w:t>
            </w:r>
            <w:proofErr w:type="spellEnd"/>
            <w:r w:rsidRPr="00CC1F46">
              <w:rPr>
                <w:rFonts w:ascii="Times New Roman" w:hAnsi="Times New Roman" w:cs="Times New Roman"/>
                <w:sz w:val="24"/>
                <w:szCs w:val="24"/>
              </w:rPr>
              <w:t>, Seymour and Pease LLP</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52 East Gay Street</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P.O. Box 1008</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Columbus, OH 43216-1008</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mhpetricoff@vorys.com</w:t>
            </w: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Stephen Reilly</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Assistant Attorney General,</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Public Utilities Section</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Ohio Attorney General Mike DeWine</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180 East Broad Street, 6th Floor</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Columbus, Ohio 43215-3793</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stephen.reilly@puc.state.oh.us</w:t>
            </w:r>
          </w:p>
          <w:p w:rsidR="00CC1F46" w:rsidRPr="00CC1F46" w:rsidRDefault="00CC1F46" w:rsidP="00CC1F46">
            <w:pPr>
              <w:spacing w:after="0" w:line="240" w:lineRule="auto"/>
              <w:jc w:val="both"/>
              <w:rPr>
                <w:rFonts w:ascii="Times New Roman" w:hAnsi="Times New Roman" w:cs="Times New Roman"/>
                <w:sz w:val="24"/>
                <w:szCs w:val="24"/>
              </w:rPr>
            </w:pPr>
          </w:p>
        </w:tc>
      </w:tr>
    </w:tbl>
    <w:p w:rsidR="00840AF3" w:rsidRDefault="00840AF3">
      <w:r>
        <w:br w:type="page"/>
      </w:r>
    </w:p>
    <w:tbl>
      <w:tblPr>
        <w:tblW w:w="0" w:type="auto"/>
        <w:tblLook w:val="01E0"/>
      </w:tblPr>
      <w:tblGrid>
        <w:gridCol w:w="4401"/>
        <w:gridCol w:w="4455"/>
      </w:tblGrid>
      <w:tr w:rsidR="00CC1F46" w:rsidRPr="00CC1F46" w:rsidTr="00531BF2">
        <w:tc>
          <w:tcPr>
            <w:tcW w:w="4401" w:type="dxa"/>
          </w:tcPr>
          <w:p w:rsidR="00CC1F46" w:rsidRPr="00CC1F46" w:rsidRDefault="00CC1F46" w:rsidP="00CC1F46">
            <w:pPr>
              <w:spacing w:after="0" w:line="240" w:lineRule="auto"/>
              <w:rPr>
                <w:rFonts w:ascii="Times New Roman" w:hAnsi="Times New Roman" w:cs="Times New Roman"/>
                <w:sz w:val="24"/>
                <w:szCs w:val="24"/>
              </w:rPr>
            </w:pPr>
            <w:r w:rsidRPr="00CC1F46">
              <w:rPr>
                <w:rFonts w:ascii="Times New Roman" w:hAnsi="Times New Roman" w:cs="Times New Roman"/>
                <w:sz w:val="24"/>
                <w:szCs w:val="24"/>
              </w:rPr>
              <w:lastRenderedPageBreak/>
              <w:t>Barth E. Royer</w:t>
            </w:r>
            <w:r w:rsidRPr="00CC1F46">
              <w:rPr>
                <w:rFonts w:ascii="Times New Roman" w:hAnsi="Times New Roman" w:cs="Times New Roman"/>
                <w:sz w:val="24"/>
                <w:szCs w:val="24"/>
              </w:rPr>
              <w:br/>
              <w:t>Bell &amp; Royer Co., LPA</w:t>
            </w:r>
            <w:r w:rsidRPr="00CC1F46">
              <w:rPr>
                <w:rFonts w:ascii="Times New Roman" w:hAnsi="Times New Roman" w:cs="Times New Roman"/>
                <w:sz w:val="24"/>
                <w:szCs w:val="24"/>
              </w:rPr>
              <w:br/>
              <w:t>33 South Grant Avenue</w:t>
            </w:r>
            <w:r w:rsidRPr="00CC1F46">
              <w:rPr>
                <w:rFonts w:ascii="Times New Roman" w:hAnsi="Times New Roman" w:cs="Times New Roman"/>
                <w:sz w:val="24"/>
                <w:szCs w:val="24"/>
              </w:rPr>
              <w:br/>
              <w:t>Columbus, Ohio 43215-3927</w:t>
            </w:r>
            <w:r w:rsidRPr="00CC1F46">
              <w:rPr>
                <w:rFonts w:ascii="Times New Roman" w:hAnsi="Times New Roman" w:cs="Times New Roman"/>
                <w:sz w:val="24"/>
                <w:szCs w:val="24"/>
              </w:rPr>
              <w:br/>
              <w:t>BarthRoyer@aol.com</w:t>
            </w:r>
          </w:p>
          <w:p w:rsidR="00CC1F46" w:rsidRPr="00CC1F46" w:rsidRDefault="00CC1F46" w:rsidP="00CC1F46">
            <w:pPr>
              <w:spacing w:after="0" w:line="240" w:lineRule="auto"/>
              <w:jc w:val="both"/>
              <w:rPr>
                <w:rFonts w:ascii="Times New Roman" w:hAnsi="Times New Roman" w:cs="Times New Roman"/>
                <w:spacing w:val="-12"/>
                <w:sz w:val="24"/>
                <w:szCs w:val="24"/>
              </w:rPr>
            </w:pPr>
          </w:p>
        </w:tc>
        <w:tc>
          <w:tcPr>
            <w:tcW w:w="4455" w:type="dxa"/>
          </w:tcPr>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A. Brian McIntosh</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McIntosh &amp; McIntosh</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1136 Saint Gregory Street, Suite 100</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Cincinnati, Ohio 45202</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brian@mcintoshlaw.com</w:t>
            </w:r>
          </w:p>
          <w:p w:rsidR="00CC1F46" w:rsidRPr="00CC1F46" w:rsidRDefault="00CC1F46" w:rsidP="00CC1F46">
            <w:pPr>
              <w:spacing w:after="0" w:line="240" w:lineRule="auto"/>
              <w:jc w:val="both"/>
              <w:rPr>
                <w:rFonts w:ascii="Times New Roman" w:hAnsi="Times New Roman" w:cs="Times New Roman"/>
                <w:b/>
                <w:caps/>
                <w:spacing w:val="-12"/>
                <w:sz w:val="24"/>
                <w:szCs w:val="24"/>
              </w:rPr>
            </w:pPr>
          </w:p>
        </w:tc>
      </w:tr>
      <w:tr w:rsidR="00CC1F46" w:rsidRPr="00CC1F46" w:rsidTr="00531BF2">
        <w:tc>
          <w:tcPr>
            <w:tcW w:w="4401" w:type="dxa"/>
          </w:tcPr>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Larry S. Sauer</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Joseph P. Serio</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Assistant Consumers’ Counsel</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Office of the Ohio Consumers’ Counsel</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10 West Broad Street, Suite 1800</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Columbus, Ohio 43215-3485</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sauer@occ.state.oh.us</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serio@occ.state.oh.us</w:t>
            </w: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Glenn S. Krassen</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 xml:space="preserve">Bricker &amp; </w:t>
            </w:r>
            <w:proofErr w:type="spellStart"/>
            <w:r w:rsidRPr="00CC1F46">
              <w:rPr>
                <w:rFonts w:ascii="Times New Roman" w:hAnsi="Times New Roman" w:cs="Times New Roman"/>
                <w:sz w:val="24"/>
                <w:szCs w:val="24"/>
              </w:rPr>
              <w:t>Eckler</w:t>
            </w:r>
            <w:proofErr w:type="spellEnd"/>
            <w:r w:rsidRPr="00CC1F46">
              <w:rPr>
                <w:rFonts w:ascii="Times New Roman" w:hAnsi="Times New Roman" w:cs="Times New Roman"/>
                <w:sz w:val="24"/>
                <w:szCs w:val="24"/>
              </w:rPr>
              <w:t xml:space="preserve"> LLP</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1001 Lakeside Ave. East, Suite 1350</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Cleveland, Ohio 44114</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gkrassen@bricker.com</w:t>
            </w:r>
          </w:p>
          <w:p w:rsidR="00CC1F46" w:rsidRPr="00CC1F46" w:rsidRDefault="00CC1F46" w:rsidP="00CC1F46">
            <w:pPr>
              <w:adjustRightInd w:val="0"/>
              <w:spacing w:after="0" w:line="240" w:lineRule="auto"/>
              <w:rPr>
                <w:rFonts w:ascii="Times New Roman" w:hAnsi="Times New Roman" w:cs="Times New Roman"/>
                <w:sz w:val="24"/>
                <w:szCs w:val="24"/>
              </w:rPr>
            </w:pP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Matthew W. Warnock</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 xml:space="preserve">Bricker &amp; </w:t>
            </w:r>
            <w:proofErr w:type="spellStart"/>
            <w:r w:rsidRPr="00CC1F46">
              <w:rPr>
                <w:rFonts w:ascii="Times New Roman" w:hAnsi="Times New Roman" w:cs="Times New Roman"/>
                <w:sz w:val="24"/>
                <w:szCs w:val="24"/>
              </w:rPr>
              <w:t>Eckler</w:t>
            </w:r>
            <w:proofErr w:type="spellEnd"/>
            <w:r w:rsidRPr="00CC1F46">
              <w:rPr>
                <w:rFonts w:ascii="Times New Roman" w:hAnsi="Times New Roman" w:cs="Times New Roman"/>
                <w:sz w:val="24"/>
                <w:szCs w:val="24"/>
              </w:rPr>
              <w:t xml:space="preserve"> LLP</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100 S. Third Street</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Columbus, Ohio 43215</w:t>
            </w:r>
          </w:p>
          <w:p w:rsidR="00CC1F46" w:rsidRPr="00CC1F46" w:rsidRDefault="00CC1F46" w:rsidP="00CC1F46">
            <w:pPr>
              <w:spacing w:after="0" w:line="240" w:lineRule="auto"/>
              <w:jc w:val="both"/>
              <w:rPr>
                <w:rFonts w:ascii="Times New Roman" w:hAnsi="Times New Roman" w:cs="Times New Roman"/>
                <w:b/>
                <w:caps/>
                <w:spacing w:val="-12"/>
                <w:sz w:val="24"/>
                <w:szCs w:val="24"/>
              </w:rPr>
            </w:pPr>
            <w:r w:rsidRPr="00CC1F46">
              <w:rPr>
                <w:rFonts w:ascii="Times New Roman" w:hAnsi="Times New Roman" w:cs="Times New Roman"/>
                <w:sz w:val="24"/>
                <w:szCs w:val="24"/>
              </w:rPr>
              <w:t>mwarnock@bricker.com</w:t>
            </w:r>
          </w:p>
        </w:tc>
        <w:tc>
          <w:tcPr>
            <w:tcW w:w="4455" w:type="dxa"/>
          </w:tcPr>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Dave Rinebolt</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Colleen Mooney</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Ohio Partners for Affordable Energy</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231 West Lima Street</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P.O. Box 1793</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Findlay, OH 45839-1793</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drinebolt@ohiopartners.org</w:t>
            </w:r>
          </w:p>
          <w:p w:rsidR="00CC1F46" w:rsidRPr="00CC1F46" w:rsidRDefault="00CC1F46" w:rsidP="00CC1F46">
            <w:pPr>
              <w:spacing w:after="0" w:line="240" w:lineRule="auto"/>
              <w:jc w:val="both"/>
              <w:rPr>
                <w:rFonts w:ascii="Times New Roman" w:hAnsi="Times New Roman" w:cs="Times New Roman"/>
                <w:sz w:val="24"/>
                <w:szCs w:val="24"/>
              </w:rPr>
            </w:pPr>
            <w:r w:rsidRPr="00CC1F46">
              <w:rPr>
                <w:rFonts w:ascii="Times New Roman" w:hAnsi="Times New Roman" w:cs="Times New Roman"/>
                <w:sz w:val="24"/>
                <w:szCs w:val="24"/>
              </w:rPr>
              <w:t>cmooney@ohiopartners.org</w:t>
            </w: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Matthew White</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6100 Emerald Parkway</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Dublin, Ohio 43016</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mswhite@igsenergy.com</w:t>
            </w: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spacing w:after="0" w:line="240" w:lineRule="auto"/>
              <w:jc w:val="both"/>
              <w:rPr>
                <w:rFonts w:ascii="Times New Roman" w:hAnsi="Times New Roman" w:cs="Times New Roman"/>
                <w:sz w:val="24"/>
                <w:szCs w:val="24"/>
              </w:rPr>
            </w:pP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M. Anthony Long</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Honda of America Mfg., Inc.</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24000 Honda Parkway</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Marysville, Ohio 43040</w:t>
            </w:r>
          </w:p>
          <w:p w:rsidR="00CC1F46" w:rsidRPr="00CC1F46" w:rsidRDefault="00CC1F46" w:rsidP="00CC1F46">
            <w:pPr>
              <w:pStyle w:val="Signature"/>
              <w:ind w:left="0"/>
              <w:rPr>
                <w:szCs w:val="24"/>
              </w:rPr>
            </w:pPr>
            <w:r w:rsidRPr="00CC1F46">
              <w:rPr>
                <w:szCs w:val="24"/>
              </w:rPr>
              <w:t>Tony_long@ham.honda.com</w:t>
            </w:r>
          </w:p>
          <w:p w:rsidR="00CC1F46" w:rsidRPr="00CC1F46" w:rsidRDefault="00CC1F46" w:rsidP="00CC1F46">
            <w:pPr>
              <w:spacing w:after="0" w:line="240" w:lineRule="auto"/>
              <w:jc w:val="both"/>
              <w:rPr>
                <w:rFonts w:ascii="Times New Roman" w:hAnsi="Times New Roman" w:cs="Times New Roman"/>
                <w:sz w:val="24"/>
                <w:szCs w:val="24"/>
              </w:rPr>
            </w:pPr>
          </w:p>
        </w:tc>
      </w:tr>
      <w:tr w:rsidR="00CC1F46" w:rsidRPr="00CC1F46" w:rsidTr="00531BF2">
        <w:tc>
          <w:tcPr>
            <w:tcW w:w="4401" w:type="dxa"/>
          </w:tcPr>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John L. Einstein, IV</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 xml:space="preserve">790 </w:t>
            </w:r>
            <w:proofErr w:type="spellStart"/>
            <w:r w:rsidRPr="00CC1F46">
              <w:rPr>
                <w:rFonts w:ascii="Times New Roman" w:hAnsi="Times New Roman" w:cs="Times New Roman"/>
                <w:sz w:val="24"/>
                <w:szCs w:val="24"/>
              </w:rPr>
              <w:t>Windmiller</w:t>
            </w:r>
            <w:proofErr w:type="spellEnd"/>
            <w:r w:rsidRPr="00CC1F46">
              <w:rPr>
                <w:rFonts w:ascii="Times New Roman" w:hAnsi="Times New Roman" w:cs="Times New Roman"/>
                <w:sz w:val="24"/>
                <w:szCs w:val="24"/>
              </w:rPr>
              <w:t xml:space="preserve"> Drive</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Pickerington, OH 43147</w:t>
            </w:r>
          </w:p>
          <w:p w:rsidR="00CC1F46" w:rsidRPr="00CC1F46" w:rsidRDefault="00B61EB6" w:rsidP="00CC1F46">
            <w:pPr>
              <w:adjustRightInd w:val="0"/>
              <w:spacing w:after="0" w:line="240" w:lineRule="auto"/>
              <w:rPr>
                <w:rFonts w:ascii="Times New Roman" w:hAnsi="Times New Roman" w:cs="Times New Roman"/>
                <w:sz w:val="24"/>
                <w:szCs w:val="24"/>
              </w:rPr>
            </w:pPr>
            <w:hyperlink r:id="rId12" w:history="1">
              <w:r w:rsidR="00CC1F46" w:rsidRPr="00CC1F46">
                <w:rPr>
                  <w:rStyle w:val="Hyperlink"/>
                  <w:rFonts w:ascii="Times New Roman" w:hAnsi="Times New Roman" w:cs="Times New Roman"/>
                  <w:sz w:val="24"/>
                  <w:szCs w:val="24"/>
                </w:rPr>
                <w:t>jeinstein@volunteerenergy.com</w:t>
              </w:r>
            </w:hyperlink>
          </w:p>
          <w:p w:rsidR="00CC1F46" w:rsidRPr="00CC1F46" w:rsidRDefault="00CC1F46" w:rsidP="00CC1F46">
            <w:pPr>
              <w:spacing w:after="0" w:line="240" w:lineRule="auto"/>
              <w:jc w:val="both"/>
              <w:rPr>
                <w:rFonts w:ascii="Times New Roman" w:hAnsi="Times New Roman" w:cs="Times New Roman"/>
                <w:sz w:val="24"/>
                <w:szCs w:val="24"/>
              </w:rPr>
            </w:pPr>
          </w:p>
        </w:tc>
        <w:tc>
          <w:tcPr>
            <w:tcW w:w="4455" w:type="dxa"/>
          </w:tcPr>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Joseph M. Clark</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6641 North High Street, Suite 200</w:t>
            </w:r>
          </w:p>
          <w:p w:rsidR="00CC1F46" w:rsidRPr="00CC1F46" w:rsidRDefault="00CC1F46" w:rsidP="00CC1F46">
            <w:pPr>
              <w:adjustRightInd w:val="0"/>
              <w:spacing w:after="0" w:line="240" w:lineRule="auto"/>
              <w:rPr>
                <w:rFonts w:ascii="Times New Roman" w:hAnsi="Times New Roman" w:cs="Times New Roman"/>
                <w:sz w:val="24"/>
                <w:szCs w:val="24"/>
              </w:rPr>
            </w:pPr>
            <w:r w:rsidRPr="00CC1F46">
              <w:rPr>
                <w:rFonts w:ascii="Times New Roman" w:hAnsi="Times New Roman" w:cs="Times New Roman"/>
                <w:sz w:val="24"/>
                <w:szCs w:val="24"/>
              </w:rPr>
              <w:t>Worthington, OH 43085</w:t>
            </w:r>
          </w:p>
          <w:p w:rsidR="00CC1F46" w:rsidRPr="00CC1F46" w:rsidRDefault="00B61EB6" w:rsidP="00CC1F46">
            <w:pPr>
              <w:adjustRightInd w:val="0"/>
              <w:spacing w:after="0" w:line="240" w:lineRule="auto"/>
              <w:rPr>
                <w:rFonts w:ascii="Times New Roman" w:hAnsi="Times New Roman" w:cs="Times New Roman"/>
                <w:sz w:val="24"/>
                <w:szCs w:val="24"/>
              </w:rPr>
            </w:pPr>
            <w:hyperlink r:id="rId13" w:history="1">
              <w:r w:rsidR="00CC1F46" w:rsidRPr="00CC1F46">
                <w:rPr>
                  <w:rStyle w:val="Hyperlink"/>
                  <w:rFonts w:ascii="Times New Roman" w:hAnsi="Times New Roman" w:cs="Times New Roman"/>
                  <w:sz w:val="24"/>
                  <w:szCs w:val="24"/>
                </w:rPr>
                <w:t>Joseph.clark@directenergy.com</w:t>
              </w:r>
            </w:hyperlink>
          </w:p>
          <w:p w:rsidR="00CC1F46" w:rsidRPr="00CC1F46" w:rsidRDefault="00CC1F46" w:rsidP="00CC1F46">
            <w:pPr>
              <w:spacing w:after="0" w:line="240" w:lineRule="auto"/>
              <w:jc w:val="both"/>
              <w:rPr>
                <w:rFonts w:ascii="Times New Roman" w:hAnsi="Times New Roman" w:cs="Times New Roman"/>
                <w:sz w:val="24"/>
                <w:szCs w:val="24"/>
              </w:rPr>
            </w:pPr>
          </w:p>
        </w:tc>
      </w:tr>
    </w:tbl>
    <w:p w:rsidR="00CC1F46" w:rsidRPr="00CC1F46" w:rsidRDefault="00CC1F46" w:rsidP="00CC1F46">
      <w:pPr>
        <w:adjustRightInd w:val="0"/>
        <w:spacing w:after="0" w:line="240" w:lineRule="auto"/>
        <w:rPr>
          <w:rFonts w:ascii="Times New Roman" w:hAnsi="Times New Roman" w:cs="Times New Roman"/>
          <w:sz w:val="24"/>
          <w:szCs w:val="24"/>
        </w:rPr>
      </w:pPr>
    </w:p>
    <w:p w:rsidR="00CC1F46" w:rsidRPr="00CC1F46" w:rsidRDefault="00CC1F46" w:rsidP="00CC1F46">
      <w:pPr>
        <w:adjustRightInd w:val="0"/>
        <w:spacing w:after="0" w:line="240" w:lineRule="auto"/>
        <w:rPr>
          <w:rFonts w:ascii="Times New Roman" w:hAnsi="Times New Roman" w:cs="Times New Roman"/>
          <w:sz w:val="24"/>
          <w:szCs w:val="24"/>
        </w:rPr>
      </w:pPr>
    </w:p>
    <w:p w:rsidR="005922CA" w:rsidRPr="00CC1F46" w:rsidRDefault="005922CA" w:rsidP="00CC1F46">
      <w:pPr>
        <w:spacing w:after="0" w:line="240" w:lineRule="auto"/>
        <w:rPr>
          <w:rFonts w:ascii="Times New Roman" w:hAnsi="Times New Roman" w:cs="Times New Roman"/>
          <w:sz w:val="24"/>
          <w:szCs w:val="24"/>
        </w:rPr>
      </w:pPr>
    </w:p>
    <w:sectPr w:rsidR="005922CA" w:rsidRPr="00CC1F46" w:rsidSect="00840AF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D6" w:rsidRDefault="00D104D6" w:rsidP="00A77DBB">
      <w:pPr>
        <w:spacing w:after="0" w:line="240" w:lineRule="auto"/>
      </w:pPr>
      <w:r>
        <w:separator/>
      </w:r>
    </w:p>
  </w:endnote>
  <w:endnote w:type="continuationSeparator" w:id="0">
    <w:p w:rsidR="00D104D6" w:rsidRDefault="00D104D6" w:rsidP="00A77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5B" w:rsidRDefault="00B61EB6" w:rsidP="00325788">
    <w:pPr>
      <w:pStyle w:val="Footer"/>
      <w:framePr w:wrap="around" w:vAnchor="text" w:hAnchor="margin" w:xAlign="center" w:y="1"/>
      <w:rPr>
        <w:rStyle w:val="PageNumber"/>
      </w:rPr>
    </w:pPr>
    <w:r>
      <w:rPr>
        <w:rStyle w:val="PageNumber"/>
      </w:rPr>
      <w:fldChar w:fldCharType="begin"/>
    </w:r>
    <w:r w:rsidR="00AF195B">
      <w:rPr>
        <w:rStyle w:val="PageNumber"/>
      </w:rPr>
      <w:instrText xml:space="preserve">PAGE  </w:instrText>
    </w:r>
    <w:r>
      <w:rPr>
        <w:rStyle w:val="PageNumber"/>
      </w:rPr>
      <w:fldChar w:fldCharType="end"/>
    </w:r>
  </w:p>
  <w:p w:rsidR="00AF195B" w:rsidRDefault="00AF19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5B" w:rsidRDefault="00B61EB6" w:rsidP="00325788">
    <w:pPr>
      <w:pStyle w:val="Footer"/>
      <w:framePr w:wrap="around" w:vAnchor="text" w:hAnchor="margin" w:xAlign="center" w:y="1"/>
      <w:rPr>
        <w:rStyle w:val="PageNumber"/>
      </w:rPr>
    </w:pPr>
    <w:r>
      <w:rPr>
        <w:rStyle w:val="PageNumber"/>
      </w:rPr>
      <w:fldChar w:fldCharType="begin"/>
    </w:r>
    <w:r w:rsidR="00AF195B">
      <w:rPr>
        <w:rStyle w:val="PageNumber"/>
      </w:rPr>
      <w:instrText xml:space="preserve">PAGE  </w:instrText>
    </w:r>
    <w:r>
      <w:rPr>
        <w:rStyle w:val="PageNumber"/>
      </w:rPr>
      <w:fldChar w:fldCharType="separate"/>
    </w:r>
    <w:r w:rsidR="00C37BC0">
      <w:rPr>
        <w:rStyle w:val="PageNumber"/>
        <w:noProof/>
      </w:rPr>
      <w:t>21</w:t>
    </w:r>
    <w:r>
      <w:rPr>
        <w:rStyle w:val="PageNumber"/>
      </w:rPr>
      <w:fldChar w:fldCharType="end"/>
    </w:r>
  </w:p>
  <w:p w:rsidR="00337D8E" w:rsidRDefault="00337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5B" w:rsidRDefault="00AF195B" w:rsidP="00AF195B">
    <w:pPr>
      <w:pStyle w:val="Footer"/>
      <w:rPr>
        <w:rFonts w:ascii="Times New Roman" w:hAnsi="Times New Roman" w:cs="Times New Roman"/>
        <w:sz w:val="16"/>
      </w:rPr>
    </w:pPr>
    <w:r>
      <w:rPr>
        <w:rFonts w:ascii="Times New Roman" w:hAnsi="Times New Roman" w:cs="Times New Roman"/>
        <w:sz w:val="16"/>
      </w:rPr>
      <w:t>#732293v1</w:t>
    </w:r>
  </w:p>
  <w:p w:rsidR="00AE791C" w:rsidRPr="00AF195B" w:rsidRDefault="00AF195B">
    <w:pPr>
      <w:pStyle w:val="Footer"/>
      <w:rPr>
        <w:rFonts w:ascii="Times New Roman" w:hAnsi="Times New Roman" w:cs="Times New Roman"/>
        <w:sz w:val="16"/>
      </w:rPr>
    </w:pPr>
    <w:r>
      <w:rPr>
        <w:rFonts w:ascii="Times New Roman" w:hAnsi="Times New Roman" w:cs="Times New Roman"/>
        <w:sz w:val="16"/>
      </w:rPr>
      <w:t>97000.00850</w:t>
    </w:r>
    <w:r w:rsidR="00840AF3">
      <w:rPr>
        <w:rFonts w:ascii="Times New Roman" w:hAnsi="Times New Roman" w:cs="Times New Roman"/>
        <w:sz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F3" w:rsidRDefault="00B61EB6" w:rsidP="00906547">
    <w:pPr>
      <w:pStyle w:val="Footer"/>
      <w:framePr w:wrap="around" w:vAnchor="text" w:hAnchor="margin" w:xAlign="center" w:y="1"/>
      <w:rPr>
        <w:rStyle w:val="PageNumber"/>
      </w:rPr>
    </w:pPr>
    <w:r>
      <w:rPr>
        <w:rStyle w:val="PageNumber"/>
      </w:rPr>
      <w:fldChar w:fldCharType="begin"/>
    </w:r>
    <w:r w:rsidR="00840AF3">
      <w:rPr>
        <w:rStyle w:val="PageNumber"/>
      </w:rPr>
      <w:instrText xml:space="preserve">PAGE  </w:instrText>
    </w:r>
    <w:r>
      <w:rPr>
        <w:rStyle w:val="PageNumber"/>
      </w:rPr>
      <w:fldChar w:fldCharType="separate"/>
    </w:r>
    <w:r w:rsidR="00C37BC0">
      <w:rPr>
        <w:rStyle w:val="PageNumber"/>
        <w:noProof/>
      </w:rPr>
      <w:t>i</w:t>
    </w:r>
    <w:r>
      <w:rPr>
        <w:rStyle w:val="PageNumber"/>
      </w:rPr>
      <w:fldChar w:fldCharType="end"/>
    </w:r>
  </w:p>
  <w:p w:rsidR="00840AF3" w:rsidRDefault="00840AF3" w:rsidP="00AF195B">
    <w:pPr>
      <w:pStyle w:val="Footer"/>
      <w:rPr>
        <w:rFonts w:ascii="Times New Roman" w:hAnsi="Times New Roman" w:cs="Times New Roman"/>
        <w:sz w:val="16"/>
      </w:rPr>
    </w:pPr>
    <w:r>
      <w:rPr>
        <w:rFonts w:ascii="Times New Roman" w:hAnsi="Times New Roman" w:cs="Times New Roman"/>
        <w:sz w:val="16"/>
      </w:rPr>
      <w:t>#732293v1</w:t>
    </w:r>
  </w:p>
  <w:p w:rsidR="00840AF3" w:rsidRPr="00AF195B" w:rsidRDefault="00840AF3">
    <w:pPr>
      <w:pStyle w:val="Footer"/>
      <w:rPr>
        <w:rFonts w:ascii="Times New Roman" w:hAnsi="Times New Roman" w:cs="Times New Roman"/>
        <w:sz w:val="16"/>
      </w:rPr>
    </w:pPr>
    <w:r>
      <w:rPr>
        <w:rFonts w:ascii="Times New Roman" w:hAnsi="Times New Roman" w:cs="Times New Roman"/>
        <w:sz w:val="16"/>
      </w:rPr>
      <w:t>97000.00850</w:t>
    </w:r>
    <w:r>
      <w:rPr>
        <w:rFonts w:ascii="Times New Roman" w:hAnsi="Times New Roman" w:cs="Times New Roman"/>
        <w:sz w:val="16"/>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F3" w:rsidRDefault="00B61EB6" w:rsidP="00906547">
    <w:pPr>
      <w:pStyle w:val="Footer"/>
      <w:framePr w:wrap="around" w:vAnchor="text" w:hAnchor="margin" w:xAlign="center" w:y="1"/>
      <w:rPr>
        <w:rStyle w:val="PageNumber"/>
      </w:rPr>
    </w:pPr>
    <w:r>
      <w:rPr>
        <w:rStyle w:val="PageNumber"/>
      </w:rPr>
      <w:fldChar w:fldCharType="begin"/>
    </w:r>
    <w:r w:rsidR="00840AF3">
      <w:rPr>
        <w:rStyle w:val="PageNumber"/>
      </w:rPr>
      <w:instrText xml:space="preserve">PAGE  </w:instrText>
    </w:r>
    <w:r>
      <w:rPr>
        <w:rStyle w:val="PageNumber"/>
      </w:rPr>
      <w:fldChar w:fldCharType="separate"/>
    </w:r>
    <w:r w:rsidR="00D30CD1">
      <w:rPr>
        <w:rStyle w:val="PageNumber"/>
        <w:noProof/>
      </w:rPr>
      <w:t>1</w:t>
    </w:r>
    <w:r>
      <w:rPr>
        <w:rStyle w:val="PageNumber"/>
      </w:rPr>
      <w:fldChar w:fldCharType="end"/>
    </w:r>
  </w:p>
  <w:p w:rsidR="00840AF3" w:rsidRDefault="00840AF3" w:rsidP="00AF195B">
    <w:pPr>
      <w:pStyle w:val="Footer"/>
      <w:rPr>
        <w:rFonts w:ascii="Times New Roman" w:hAnsi="Times New Roman" w:cs="Times New Roman"/>
        <w:sz w:val="16"/>
      </w:rPr>
    </w:pPr>
    <w:r>
      <w:rPr>
        <w:rFonts w:ascii="Times New Roman" w:hAnsi="Times New Roman" w:cs="Times New Roman"/>
        <w:sz w:val="16"/>
      </w:rPr>
      <w:t>#732293v1</w:t>
    </w:r>
  </w:p>
  <w:p w:rsidR="00840AF3" w:rsidRPr="00AF195B" w:rsidRDefault="00840AF3">
    <w:pPr>
      <w:pStyle w:val="Footer"/>
      <w:rPr>
        <w:rFonts w:ascii="Times New Roman" w:hAnsi="Times New Roman" w:cs="Times New Roman"/>
        <w:sz w:val="16"/>
      </w:rPr>
    </w:pPr>
    <w:r>
      <w:rPr>
        <w:rFonts w:ascii="Times New Roman" w:hAnsi="Times New Roman" w:cs="Times New Roman"/>
        <w:sz w:val="16"/>
      </w:rPr>
      <w:t>97000.00850</w:t>
    </w:r>
    <w:r>
      <w:rPr>
        <w:rFonts w:ascii="Times New Roman" w:hAnsi="Times New Roman" w:cs="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D6" w:rsidRDefault="00D104D6" w:rsidP="00A77DBB">
      <w:pPr>
        <w:spacing w:after="0" w:line="240" w:lineRule="auto"/>
      </w:pPr>
      <w:r>
        <w:separator/>
      </w:r>
    </w:p>
  </w:footnote>
  <w:footnote w:type="continuationSeparator" w:id="0">
    <w:p w:rsidR="00D104D6" w:rsidRDefault="00D104D6" w:rsidP="00A77DBB">
      <w:pPr>
        <w:spacing w:after="0" w:line="240" w:lineRule="auto"/>
      </w:pPr>
      <w:r>
        <w:continuationSeparator/>
      </w:r>
    </w:p>
  </w:footnote>
  <w:footnote w:id="1">
    <w:p w:rsidR="00337D8E" w:rsidRPr="00865E66" w:rsidRDefault="00337D8E" w:rsidP="00A77DBB">
      <w:pPr>
        <w:pStyle w:val="FootnoteText"/>
        <w:spacing w:before="120"/>
        <w:ind w:left="1440" w:hanging="720"/>
        <w:rPr>
          <w:rFonts w:ascii="Times New Roman" w:hAnsi="Times New Roman" w:cs="Times New Roman"/>
        </w:rPr>
      </w:pPr>
      <w:r w:rsidRPr="00865E66">
        <w:rPr>
          <w:rStyle w:val="FootnoteReference"/>
          <w:rFonts w:ascii="Times New Roman" w:hAnsi="Times New Roman" w:cs="Times New Roman"/>
        </w:rPr>
        <w:footnoteRef/>
      </w:r>
      <w:r w:rsidRPr="00865E66">
        <w:rPr>
          <w:rFonts w:ascii="Times New Roman" w:hAnsi="Times New Roman" w:cs="Times New Roman"/>
        </w:rPr>
        <w:t xml:space="preserve">   Section 4929.08(A), Ohio Rev. Code, provides:  </w:t>
      </w:r>
    </w:p>
    <w:p w:rsidR="00337D8E" w:rsidRPr="00865E66" w:rsidRDefault="00337D8E" w:rsidP="00A77DBB">
      <w:pPr>
        <w:tabs>
          <w:tab w:val="left" w:pos="7920"/>
        </w:tabs>
        <w:spacing w:before="120" w:after="0" w:line="240" w:lineRule="auto"/>
        <w:ind w:left="1080" w:right="1354"/>
        <w:jc w:val="both"/>
        <w:rPr>
          <w:rFonts w:ascii="Times New Roman" w:eastAsia="Times New Roman" w:hAnsi="Times New Roman" w:cs="Times New Roman"/>
          <w:sz w:val="20"/>
          <w:szCs w:val="20"/>
        </w:rPr>
      </w:pPr>
      <w:r w:rsidRPr="00865E66">
        <w:rPr>
          <w:rFonts w:ascii="Times New Roman" w:hAnsi="Times New Roman" w:cs="Times New Roman"/>
          <w:sz w:val="20"/>
          <w:szCs w:val="20"/>
        </w:rPr>
        <w:t xml:space="preserve"> </w:t>
      </w:r>
      <w:r w:rsidRPr="00865E66">
        <w:rPr>
          <w:rFonts w:ascii="Times New Roman" w:eastAsia="Times New Roman" w:hAnsi="Times New Roman" w:cs="Times New Roman"/>
          <w:sz w:val="20"/>
          <w:szCs w:val="20"/>
        </w:rPr>
        <w:t>(A) The public utilities commission has jurisdiction over every natural gas company that has been granted an exemption or alternative rate regulation under section</w:t>
      </w:r>
      <w:r>
        <w:rPr>
          <w:rFonts w:ascii="Times New Roman" w:eastAsia="Times New Roman" w:hAnsi="Times New Roman" w:cs="Times New Roman"/>
          <w:sz w:val="20"/>
          <w:szCs w:val="20"/>
        </w:rPr>
        <w:t xml:space="preserve"> 4929.04 or 4929.05 </w:t>
      </w:r>
      <w:r w:rsidRPr="00865E66">
        <w:rPr>
          <w:rFonts w:ascii="Times New Roman" w:eastAsia="Times New Roman" w:hAnsi="Times New Roman" w:cs="Times New Roman"/>
          <w:sz w:val="20"/>
          <w:szCs w:val="20"/>
        </w:rPr>
        <w:t>of the Revised Code. As to any such company, the commission, upon its own motion or upon the motion of any person adversely affected by such exemption or alternative rate regulation authority, and after notice and hearing and subject to this division, may abrogate or modify any order granting such an exemption or authority only under both of the following conditions:</w:t>
      </w:r>
    </w:p>
    <w:p w:rsidR="00337D8E" w:rsidRPr="00865E66" w:rsidRDefault="00337D8E" w:rsidP="00A77DBB">
      <w:pPr>
        <w:tabs>
          <w:tab w:val="left" w:pos="7920"/>
        </w:tabs>
        <w:spacing w:before="120" w:after="0" w:line="240" w:lineRule="auto"/>
        <w:ind w:left="1080" w:right="1354"/>
        <w:jc w:val="both"/>
        <w:rPr>
          <w:rFonts w:ascii="Times New Roman" w:eastAsia="Times New Roman" w:hAnsi="Times New Roman" w:cs="Times New Roman"/>
          <w:sz w:val="20"/>
          <w:szCs w:val="20"/>
        </w:rPr>
      </w:pPr>
      <w:r w:rsidRPr="00865E66">
        <w:rPr>
          <w:rFonts w:ascii="Times New Roman" w:eastAsia="Times New Roman" w:hAnsi="Times New Roman" w:cs="Times New Roman"/>
          <w:sz w:val="20"/>
          <w:szCs w:val="20"/>
        </w:rPr>
        <w:t>(1) The commission determines that the findings upon which the order was based are no longer valid and that the abrogation or modification is in the public interest;</w:t>
      </w:r>
    </w:p>
    <w:p w:rsidR="00337D8E" w:rsidRPr="00865E66" w:rsidRDefault="00337D8E" w:rsidP="00A77DBB">
      <w:pPr>
        <w:tabs>
          <w:tab w:val="left" w:pos="7920"/>
        </w:tabs>
        <w:spacing w:before="120" w:after="0" w:line="240" w:lineRule="auto"/>
        <w:ind w:left="1080" w:right="1354"/>
        <w:jc w:val="both"/>
        <w:rPr>
          <w:rFonts w:ascii="Times New Roman" w:eastAsia="Times New Roman" w:hAnsi="Times New Roman" w:cs="Times New Roman"/>
          <w:sz w:val="20"/>
          <w:szCs w:val="20"/>
        </w:rPr>
      </w:pPr>
      <w:r w:rsidRPr="00865E66">
        <w:rPr>
          <w:rFonts w:ascii="Times New Roman" w:eastAsia="Times New Roman" w:hAnsi="Times New Roman" w:cs="Times New Roman"/>
          <w:sz w:val="20"/>
          <w:szCs w:val="20"/>
        </w:rPr>
        <w:t>(2) The abrogation or modification is not made more than eight years after the effective date of the order, unless the affected natural gas company consents.</w:t>
      </w:r>
    </w:p>
    <w:p w:rsidR="00337D8E" w:rsidRDefault="00337D8E" w:rsidP="00A77DBB">
      <w:pPr>
        <w:pStyle w:val="FootnoteText"/>
      </w:pPr>
    </w:p>
  </w:footnote>
  <w:footnote w:id="2">
    <w:p w:rsidR="00337D8E" w:rsidRDefault="00337D8E" w:rsidP="00C9446D">
      <w:pPr>
        <w:pStyle w:val="FootnoteText"/>
        <w:ind w:firstLine="720"/>
        <w:jc w:val="both"/>
      </w:pPr>
      <w:r w:rsidRPr="0003376E">
        <w:rPr>
          <w:rStyle w:val="FootnoteReference"/>
          <w:rFonts w:ascii="Times New Roman" w:hAnsi="Times New Roman" w:cs="Times New Roman"/>
        </w:rPr>
        <w:footnoteRef/>
      </w:r>
      <w:r w:rsidRPr="0003376E">
        <w:rPr>
          <w:rFonts w:ascii="Times New Roman" w:hAnsi="Times New Roman" w:cs="Times New Roman"/>
        </w:rPr>
        <w:t xml:space="preserve">  </w:t>
      </w:r>
      <w:r w:rsidRPr="00337D8E">
        <w:rPr>
          <w:rFonts w:ascii="Times New Roman" w:hAnsi="Times New Roman" w:cs="Times New Roman"/>
          <w:i/>
        </w:rPr>
        <w:t>See</w:t>
      </w:r>
      <w:r w:rsidRPr="0003376E">
        <w:rPr>
          <w:rFonts w:ascii="Times New Roman" w:hAnsi="Times New Roman" w:cs="Times New Roman"/>
        </w:rPr>
        <w:t xml:space="preserve"> </w:t>
      </w:r>
      <w:r>
        <w:rPr>
          <w:rFonts w:ascii="Times New Roman" w:hAnsi="Times New Roman" w:cs="Times New Roman"/>
        </w:rPr>
        <w:t xml:space="preserve">Exemption Orders </w:t>
      </w:r>
      <w:r w:rsidRPr="0003376E">
        <w:rPr>
          <w:rFonts w:ascii="Times New Roman" w:hAnsi="Times New Roman" w:cs="Times New Roman"/>
        </w:rPr>
        <w:t>(Stipulation, October 7, 2009</w:t>
      </w:r>
      <w:r>
        <w:rPr>
          <w:rFonts w:ascii="Times New Roman" w:hAnsi="Times New Roman" w:cs="Times New Roman"/>
        </w:rPr>
        <w:t xml:space="preserve">, at </w:t>
      </w:r>
      <w:r w:rsidR="00AF1AD3">
        <w:rPr>
          <w:rFonts w:ascii="Times New Roman" w:hAnsi="Times New Roman" w:cs="Times New Roman"/>
        </w:rPr>
        <w:t>9</w:t>
      </w:r>
      <w:r w:rsidRPr="0003376E">
        <w:rPr>
          <w:rFonts w:ascii="Times New Roman" w:hAnsi="Times New Roman" w:cs="Times New Roman"/>
        </w:rPr>
        <w:t>) (</w:t>
      </w:r>
      <w:r>
        <w:rPr>
          <w:rFonts w:ascii="Times New Roman" w:hAnsi="Times New Roman" w:cs="Times New Roman"/>
        </w:rPr>
        <w:t>“</w:t>
      </w:r>
      <w:r w:rsidRPr="0003376E">
        <w:rPr>
          <w:rFonts w:ascii="Times New Roman" w:hAnsi="Times New Roman" w:cs="Times New Roman"/>
        </w:rPr>
        <w:t>Columbia has not expressed a present intent to, nor does this Agreement contemplate that Columbia seeks to, exit the merchant function.</w:t>
      </w:r>
      <w:r>
        <w:rPr>
          <w:rFonts w:ascii="Times New Roman" w:hAnsi="Times New Roman" w:cs="Times New Roman"/>
        </w:rPr>
        <w:t>”)</w:t>
      </w:r>
    </w:p>
    <w:p w:rsidR="00337D8E" w:rsidRDefault="00337D8E" w:rsidP="00A77DBB">
      <w:pPr>
        <w:pStyle w:val="FootnoteText"/>
      </w:pPr>
    </w:p>
  </w:footnote>
  <w:footnote w:id="3">
    <w:p w:rsidR="003A4174" w:rsidRDefault="00337D8E" w:rsidP="003A4174">
      <w:pPr>
        <w:pStyle w:val="FootnoteText"/>
        <w:ind w:firstLine="720"/>
        <w:jc w:val="both"/>
      </w:pPr>
      <w:r w:rsidRPr="0067399B">
        <w:rPr>
          <w:rStyle w:val="FootnoteReference"/>
          <w:rFonts w:ascii="Times New Roman" w:hAnsi="Times New Roman"/>
        </w:rPr>
        <w:footnoteRef/>
      </w:r>
      <w:r w:rsidRPr="0067399B">
        <w:rPr>
          <w:rFonts w:ascii="Times New Roman" w:hAnsi="Times New Roman"/>
        </w:rPr>
        <w:t xml:space="preserve"> Though with only one or two large municipal aggregations, the residential (along with non-residential) shopping</w:t>
      </w:r>
      <w:r>
        <w:t xml:space="preserve"> </w:t>
      </w:r>
      <w:r w:rsidRPr="0067399B">
        <w:rPr>
          <w:rFonts w:ascii="Times New Roman" w:hAnsi="Times New Roman"/>
        </w:rPr>
        <w:t>statistics could increase dramatically.</w:t>
      </w:r>
    </w:p>
  </w:footnote>
  <w:footnote w:id="4">
    <w:p w:rsidR="003A4174" w:rsidRDefault="00337D8E" w:rsidP="003A4174">
      <w:pPr>
        <w:pStyle w:val="FootnoteText"/>
        <w:spacing w:before="120"/>
        <w:ind w:firstLine="720"/>
        <w:jc w:val="both"/>
        <w:rPr>
          <w:rFonts w:ascii="Times New Roman" w:hAnsi="Times New Roman" w:cs="Times New Roman"/>
        </w:rPr>
      </w:pPr>
      <w:r w:rsidRPr="00337D8E">
        <w:rPr>
          <w:rStyle w:val="FootnoteReference"/>
          <w:rFonts w:ascii="Times New Roman" w:hAnsi="Times New Roman" w:cs="Times New Roman"/>
        </w:rPr>
        <w:footnoteRef/>
      </w:r>
      <w:r w:rsidRPr="00337D8E">
        <w:rPr>
          <w:rFonts w:ascii="Times New Roman" w:hAnsi="Times New Roman" w:cs="Times New Roman"/>
        </w:rPr>
        <w:t xml:space="preserve"> The Ohio Supreme Court in </w:t>
      </w:r>
      <w:r w:rsidRPr="00337D8E">
        <w:rPr>
          <w:rFonts w:ascii="Times New Roman" w:hAnsi="Times New Roman" w:cs="Times New Roman"/>
          <w:i/>
        </w:rPr>
        <w:t>Office of Consumers’ Counsel v. Public Utilities Commission of Ohio</w:t>
      </w:r>
      <w:r w:rsidRPr="00337D8E">
        <w:rPr>
          <w:rFonts w:ascii="Times New Roman" w:hAnsi="Times New Roman" w:cs="Times New Roman"/>
        </w:rPr>
        <w:t xml:space="preserve"> laid out the three prong test to evaluate settlements.  The criteria include:</w:t>
      </w:r>
    </w:p>
    <w:p w:rsidR="003A4174" w:rsidRDefault="00337D8E" w:rsidP="00B16882">
      <w:pPr>
        <w:pStyle w:val="FootnoteText"/>
        <w:numPr>
          <w:ilvl w:val="0"/>
          <w:numId w:val="9"/>
        </w:numPr>
        <w:spacing w:before="120"/>
        <w:ind w:left="1440"/>
        <w:jc w:val="both"/>
        <w:rPr>
          <w:rFonts w:ascii="Times New Roman" w:hAnsi="Times New Roman" w:cs="Times New Roman"/>
        </w:rPr>
      </w:pPr>
      <w:r w:rsidRPr="00337D8E">
        <w:rPr>
          <w:rFonts w:ascii="Times New Roman" w:hAnsi="Times New Roman" w:cs="Times New Roman"/>
        </w:rPr>
        <w:t>Is the settlement a product of serious bargaining among capable, knowledgeable parties?</w:t>
      </w:r>
    </w:p>
    <w:p w:rsidR="00337D8E" w:rsidRPr="00337D8E" w:rsidRDefault="00337D8E" w:rsidP="00B16882">
      <w:pPr>
        <w:pStyle w:val="FootnoteText"/>
        <w:numPr>
          <w:ilvl w:val="0"/>
          <w:numId w:val="9"/>
        </w:numPr>
        <w:ind w:left="1440"/>
        <w:rPr>
          <w:rFonts w:ascii="Times New Roman" w:hAnsi="Times New Roman" w:cs="Times New Roman"/>
        </w:rPr>
      </w:pPr>
      <w:r w:rsidRPr="00337D8E">
        <w:rPr>
          <w:rFonts w:ascii="Times New Roman" w:hAnsi="Times New Roman" w:cs="Times New Roman"/>
        </w:rPr>
        <w:t>Does the settlement, as a package, benefit ratepayers and the public interest?</w:t>
      </w:r>
    </w:p>
    <w:p w:rsidR="00337D8E" w:rsidRPr="00337D8E" w:rsidRDefault="00337D8E" w:rsidP="00B16882">
      <w:pPr>
        <w:pStyle w:val="FootnoteText"/>
        <w:numPr>
          <w:ilvl w:val="0"/>
          <w:numId w:val="9"/>
        </w:numPr>
        <w:ind w:left="1440"/>
        <w:rPr>
          <w:rFonts w:ascii="Times New Roman" w:hAnsi="Times New Roman" w:cs="Times New Roman"/>
        </w:rPr>
      </w:pPr>
      <w:r w:rsidRPr="00337D8E">
        <w:rPr>
          <w:rFonts w:ascii="Times New Roman" w:hAnsi="Times New Roman" w:cs="Times New Roman"/>
        </w:rPr>
        <w:t>Does the settlement package violate any important regulatory principle or practice?</w:t>
      </w:r>
    </w:p>
    <w:p w:rsidR="00337D8E" w:rsidRDefault="00337D8E" w:rsidP="00AF1AD3">
      <w:pPr>
        <w:pStyle w:val="FootnoteText"/>
        <w:spacing w:before="120"/>
      </w:pPr>
      <w:proofErr w:type="gramStart"/>
      <w:r w:rsidRPr="00337D8E">
        <w:rPr>
          <w:rFonts w:ascii="Times New Roman" w:hAnsi="Times New Roman" w:cs="Times New Roman"/>
        </w:rPr>
        <w:t>64 Ohio St.3d 123, 126 (1992).</w:t>
      </w:r>
      <w:proofErr w:type="gramEnd"/>
    </w:p>
  </w:footnote>
  <w:footnote w:id="5">
    <w:p w:rsidR="00337D8E" w:rsidRPr="00337D8E" w:rsidRDefault="00337D8E" w:rsidP="00CC1F46">
      <w:pPr>
        <w:pStyle w:val="FootnoteText"/>
        <w:ind w:firstLine="720"/>
        <w:rPr>
          <w:rFonts w:ascii="Times New Roman" w:hAnsi="Times New Roman" w:cs="Times New Roman"/>
        </w:rPr>
      </w:pPr>
      <w:r w:rsidRPr="00337D8E">
        <w:rPr>
          <w:rStyle w:val="FootnoteReference"/>
          <w:rFonts w:ascii="Times New Roman" w:hAnsi="Times New Roman" w:cs="Times New Roman"/>
        </w:rPr>
        <w:footnoteRef/>
      </w:r>
      <w:r w:rsidRPr="00337D8E">
        <w:rPr>
          <w:rFonts w:ascii="Times New Roman" w:hAnsi="Times New Roman" w:cs="Times New Roman"/>
        </w:rPr>
        <w:t xml:space="preserve"> </w:t>
      </w:r>
      <w:proofErr w:type="gramStart"/>
      <w:r w:rsidRPr="00337D8E">
        <w:rPr>
          <w:rFonts w:ascii="Times New Roman" w:hAnsi="Times New Roman" w:cs="Times New Roman"/>
        </w:rPr>
        <w:t>Tr. II</w:t>
      </w:r>
      <w:r>
        <w:rPr>
          <w:rFonts w:ascii="Times New Roman" w:hAnsi="Times New Roman" w:cs="Times New Roman"/>
        </w:rPr>
        <w:t>I</w:t>
      </w:r>
      <w:r w:rsidRPr="00337D8E">
        <w:rPr>
          <w:rFonts w:ascii="Times New Roman" w:hAnsi="Times New Roman" w:cs="Times New Roman"/>
        </w:rPr>
        <w:t>, at 144.</w:t>
      </w:r>
      <w:proofErr w:type="gramEnd"/>
    </w:p>
  </w:footnote>
  <w:footnote w:id="6">
    <w:p w:rsidR="003A4174" w:rsidRDefault="00337D8E" w:rsidP="003A4174">
      <w:pPr>
        <w:pStyle w:val="FootnoteText"/>
        <w:spacing w:after="120"/>
        <w:ind w:firstLine="720"/>
        <w:jc w:val="both"/>
        <w:rPr>
          <w:rFonts w:ascii="Times New Roman" w:hAnsi="Times New Roman" w:cs="Times New Roman"/>
        </w:rPr>
      </w:pPr>
      <w:r w:rsidRPr="00D270EA">
        <w:rPr>
          <w:rStyle w:val="FootnoteReference"/>
          <w:rFonts w:ascii="Times New Roman" w:hAnsi="Times New Roman" w:cs="Times New Roman"/>
        </w:rPr>
        <w:footnoteRef/>
      </w:r>
      <w:r w:rsidRPr="00D270EA">
        <w:rPr>
          <w:rFonts w:ascii="Times New Roman" w:hAnsi="Times New Roman" w:cs="Times New Roman"/>
        </w:rPr>
        <w:t xml:space="preserve"> </w:t>
      </w:r>
      <w:r>
        <w:rPr>
          <w:rFonts w:ascii="Times New Roman" w:hAnsi="Times New Roman" w:cs="Times New Roman"/>
        </w:rPr>
        <w:t>This assumption is nearly a guarantee as n</w:t>
      </w:r>
      <w:r w:rsidRPr="00D270EA">
        <w:rPr>
          <w:rFonts w:ascii="Times New Roman" w:hAnsi="Times New Roman" w:cs="Times New Roman"/>
        </w:rPr>
        <w:t>o SSO or SCO supplier has defaulted in Columbia’s service territory.</w:t>
      </w:r>
      <w:r>
        <w:rPr>
          <w:rFonts w:ascii="Times New Roman" w:hAnsi="Times New Roman" w:cs="Times New Roman"/>
        </w:rPr>
        <w:t xml:space="preserve">  In the unlikely event of a default, the remaining SCO security deposit balance held by Columbia would be credited to the CSRR.</w:t>
      </w:r>
    </w:p>
  </w:footnote>
  <w:footnote w:id="7">
    <w:p w:rsidR="003A4174" w:rsidRDefault="00337D8E" w:rsidP="003A4174">
      <w:pPr>
        <w:pStyle w:val="FootnoteText"/>
        <w:ind w:firstLine="720"/>
        <w:rPr>
          <w:rFonts w:ascii="Times New Roman" w:hAnsi="Times New Roman" w:cs="Times New Roman"/>
        </w:rPr>
      </w:pPr>
      <w:r w:rsidRPr="00337D8E">
        <w:rPr>
          <w:rStyle w:val="FootnoteReference"/>
          <w:rFonts w:ascii="Times New Roman" w:hAnsi="Times New Roman" w:cs="Times New Roman"/>
        </w:rPr>
        <w:footnoteRef/>
      </w:r>
      <w:r w:rsidRPr="00337D8E">
        <w:rPr>
          <w:rFonts w:ascii="Times New Roman" w:hAnsi="Times New Roman" w:cs="Times New Roman"/>
        </w:rPr>
        <w:t xml:space="preserve"> </w:t>
      </w:r>
      <w:proofErr w:type="gramStart"/>
      <w:r w:rsidRPr="00337D8E">
        <w:rPr>
          <w:rFonts w:ascii="Times New Roman" w:hAnsi="Times New Roman" w:cs="Times New Roman"/>
        </w:rPr>
        <w:t>Tr. I</w:t>
      </w:r>
      <w:r>
        <w:rPr>
          <w:rFonts w:ascii="Times New Roman" w:hAnsi="Times New Roman" w:cs="Times New Roman"/>
        </w:rPr>
        <w:t>I</w:t>
      </w:r>
      <w:r w:rsidRPr="00337D8E">
        <w:rPr>
          <w:rFonts w:ascii="Times New Roman" w:hAnsi="Times New Roman" w:cs="Times New Roman"/>
        </w:rPr>
        <w:t>, at 44</w:t>
      </w:r>
      <w:r>
        <w:rPr>
          <w:rFonts w:ascii="Times New Roman" w:hAnsi="Times New Roman" w:cs="Times New Roman"/>
        </w:rPr>
        <w:t>; Tr., III, at 132.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D2C"/>
    <w:multiLevelType w:val="hybridMultilevel"/>
    <w:tmpl w:val="E5F46A6E"/>
    <w:lvl w:ilvl="0" w:tplc="CFBE3930">
      <w:start w:val="1"/>
      <w:numFmt w:val="decimal"/>
      <w:lvlText w:val="%1."/>
      <w:lvlJc w:val="left"/>
      <w:pPr>
        <w:ind w:left="1800" w:hanging="360"/>
      </w:pPr>
      <w:rPr>
        <w:rFonts w:hint="default"/>
        <w:b/>
      </w:rPr>
    </w:lvl>
    <w:lvl w:ilvl="1" w:tplc="9BE2CFD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4F621F"/>
    <w:multiLevelType w:val="hybridMultilevel"/>
    <w:tmpl w:val="1C401796"/>
    <w:lvl w:ilvl="0" w:tplc="C148654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91468"/>
    <w:multiLevelType w:val="hybridMultilevel"/>
    <w:tmpl w:val="F642FC98"/>
    <w:lvl w:ilvl="0" w:tplc="6BE48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A2647D"/>
    <w:multiLevelType w:val="hybridMultilevel"/>
    <w:tmpl w:val="BFACD280"/>
    <w:lvl w:ilvl="0" w:tplc="DBAC1436">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90430"/>
    <w:multiLevelType w:val="hybridMultilevel"/>
    <w:tmpl w:val="5C5ED756"/>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
    <w:nsid w:val="50F0490E"/>
    <w:multiLevelType w:val="hybridMultilevel"/>
    <w:tmpl w:val="16F6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B1241"/>
    <w:multiLevelType w:val="hybridMultilevel"/>
    <w:tmpl w:val="F37C9678"/>
    <w:lvl w:ilvl="0" w:tplc="BC42B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8282465"/>
    <w:multiLevelType w:val="hybridMultilevel"/>
    <w:tmpl w:val="D8C46958"/>
    <w:lvl w:ilvl="0" w:tplc="862264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342092"/>
    <w:multiLevelType w:val="hybridMultilevel"/>
    <w:tmpl w:val="322081A2"/>
    <w:lvl w:ilvl="0" w:tplc="D0640124">
      <w:start w:val="1"/>
      <w:numFmt w:val="upp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7BC26BC"/>
    <w:multiLevelType w:val="hybridMultilevel"/>
    <w:tmpl w:val="7B501256"/>
    <w:lvl w:ilvl="0" w:tplc="74985572">
      <w:start w:val="1"/>
      <w:numFmt w:val="upperRoman"/>
      <w:lvlText w:val="%1."/>
      <w:lvlJc w:val="left"/>
      <w:pPr>
        <w:ind w:left="720" w:hanging="720"/>
      </w:pPr>
      <w:rPr>
        <w:rFonts w:hint="default"/>
      </w:rPr>
    </w:lvl>
    <w:lvl w:ilvl="1" w:tplc="C1BE0ACA">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2079C5"/>
    <w:multiLevelType w:val="hybridMultilevel"/>
    <w:tmpl w:val="FF620EC2"/>
    <w:lvl w:ilvl="0" w:tplc="282C9916">
      <w:start w:val="1"/>
      <w:numFmt w:val="upperLetter"/>
      <w:lvlText w:val="%1."/>
      <w:lvlJc w:val="left"/>
      <w:pPr>
        <w:ind w:left="1080" w:hanging="360"/>
      </w:pPr>
      <w:rPr>
        <w:rFonts w:hint="default"/>
        <w:b/>
      </w:rPr>
    </w:lvl>
    <w:lvl w:ilvl="1" w:tplc="ACAE2EF8">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0"/>
  </w:num>
  <w:num w:numId="4">
    <w:abstractNumId w:val="0"/>
  </w:num>
  <w:num w:numId="5">
    <w:abstractNumId w:val="5"/>
  </w:num>
  <w:num w:numId="6">
    <w:abstractNumId w:val="4"/>
  </w:num>
  <w:num w:numId="7">
    <w:abstractNumId w:val="3"/>
  </w:num>
  <w:num w:numId="8">
    <w:abstractNumId w:val="1"/>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A77DBB"/>
    <w:rsid w:val="00050B6A"/>
    <w:rsid w:val="00195378"/>
    <w:rsid w:val="001C616D"/>
    <w:rsid w:val="001F3CC5"/>
    <w:rsid w:val="00267EB3"/>
    <w:rsid w:val="00277645"/>
    <w:rsid w:val="002C5D24"/>
    <w:rsid w:val="00337D8E"/>
    <w:rsid w:val="003728B5"/>
    <w:rsid w:val="00373E1E"/>
    <w:rsid w:val="003A4174"/>
    <w:rsid w:val="005162DF"/>
    <w:rsid w:val="005922CA"/>
    <w:rsid w:val="00593F85"/>
    <w:rsid w:val="005C3BE2"/>
    <w:rsid w:val="006223A9"/>
    <w:rsid w:val="00633E61"/>
    <w:rsid w:val="006B597D"/>
    <w:rsid w:val="006E1B0D"/>
    <w:rsid w:val="006E5FC4"/>
    <w:rsid w:val="007331B8"/>
    <w:rsid w:val="00840AF3"/>
    <w:rsid w:val="00872EA9"/>
    <w:rsid w:val="00911E76"/>
    <w:rsid w:val="00912B53"/>
    <w:rsid w:val="0092730E"/>
    <w:rsid w:val="00A05E52"/>
    <w:rsid w:val="00A6034A"/>
    <w:rsid w:val="00A77DBB"/>
    <w:rsid w:val="00AE791C"/>
    <w:rsid w:val="00AF195B"/>
    <w:rsid w:val="00AF1AD3"/>
    <w:rsid w:val="00B16882"/>
    <w:rsid w:val="00B61EB6"/>
    <w:rsid w:val="00BD0B7A"/>
    <w:rsid w:val="00C21472"/>
    <w:rsid w:val="00C37BC0"/>
    <w:rsid w:val="00C712DD"/>
    <w:rsid w:val="00C9446D"/>
    <w:rsid w:val="00CB2B4D"/>
    <w:rsid w:val="00CB5B38"/>
    <w:rsid w:val="00CB75D2"/>
    <w:rsid w:val="00CC1F46"/>
    <w:rsid w:val="00CD0D51"/>
    <w:rsid w:val="00D01A2E"/>
    <w:rsid w:val="00D104D6"/>
    <w:rsid w:val="00D30CD1"/>
    <w:rsid w:val="00DE0EE4"/>
    <w:rsid w:val="00DE3B19"/>
    <w:rsid w:val="00E03F62"/>
    <w:rsid w:val="00E96D4C"/>
    <w:rsid w:val="00FD0AF5"/>
    <w:rsid w:val="00FE1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BB"/>
    <w:rPr>
      <w:rFonts w:eastAsiaTheme="minorHAnsi"/>
      <w:lang w:eastAsia="en-US"/>
    </w:rPr>
  </w:style>
  <w:style w:type="paragraph" w:styleId="Heading1">
    <w:name w:val="heading 1"/>
    <w:basedOn w:val="Normal"/>
    <w:next w:val="Normal"/>
    <w:link w:val="Heading1Char"/>
    <w:uiPriority w:val="9"/>
    <w:qFormat/>
    <w:rsid w:val="00840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BB"/>
    <w:pPr>
      <w:ind w:left="720"/>
      <w:contextualSpacing/>
    </w:pPr>
  </w:style>
  <w:style w:type="paragraph" w:styleId="FootnoteText">
    <w:name w:val="footnote text"/>
    <w:basedOn w:val="Normal"/>
    <w:link w:val="FootnoteTextChar"/>
    <w:uiPriority w:val="99"/>
    <w:unhideWhenUsed/>
    <w:rsid w:val="00A77DBB"/>
    <w:pPr>
      <w:spacing w:after="0" w:line="240" w:lineRule="auto"/>
    </w:pPr>
    <w:rPr>
      <w:sz w:val="20"/>
      <w:szCs w:val="20"/>
    </w:rPr>
  </w:style>
  <w:style w:type="character" w:customStyle="1" w:styleId="FootnoteTextChar">
    <w:name w:val="Footnote Text Char"/>
    <w:basedOn w:val="DefaultParagraphFont"/>
    <w:link w:val="FootnoteText"/>
    <w:uiPriority w:val="99"/>
    <w:rsid w:val="00A77DBB"/>
    <w:rPr>
      <w:rFonts w:eastAsiaTheme="minorHAnsi"/>
      <w:sz w:val="20"/>
      <w:szCs w:val="20"/>
      <w:lang w:eastAsia="en-US"/>
    </w:rPr>
  </w:style>
  <w:style w:type="character" w:styleId="FootnoteReference">
    <w:name w:val="footnote reference"/>
    <w:basedOn w:val="DefaultParagraphFont"/>
    <w:uiPriority w:val="99"/>
    <w:semiHidden/>
    <w:unhideWhenUsed/>
    <w:rsid w:val="00A77DBB"/>
    <w:rPr>
      <w:vertAlign w:val="superscript"/>
    </w:rPr>
  </w:style>
  <w:style w:type="character" w:styleId="CommentReference">
    <w:name w:val="annotation reference"/>
    <w:basedOn w:val="DefaultParagraphFont"/>
    <w:uiPriority w:val="99"/>
    <w:semiHidden/>
    <w:unhideWhenUsed/>
    <w:rsid w:val="00A77DBB"/>
    <w:rPr>
      <w:sz w:val="16"/>
      <w:szCs w:val="16"/>
    </w:rPr>
  </w:style>
  <w:style w:type="paragraph" w:styleId="CommentText">
    <w:name w:val="annotation text"/>
    <w:basedOn w:val="Normal"/>
    <w:link w:val="CommentTextChar"/>
    <w:uiPriority w:val="99"/>
    <w:semiHidden/>
    <w:unhideWhenUsed/>
    <w:rsid w:val="00A77DBB"/>
    <w:pPr>
      <w:spacing w:line="240" w:lineRule="auto"/>
    </w:pPr>
    <w:rPr>
      <w:sz w:val="20"/>
      <w:szCs w:val="20"/>
    </w:rPr>
  </w:style>
  <w:style w:type="character" w:customStyle="1" w:styleId="CommentTextChar">
    <w:name w:val="Comment Text Char"/>
    <w:basedOn w:val="DefaultParagraphFont"/>
    <w:link w:val="CommentText"/>
    <w:uiPriority w:val="99"/>
    <w:semiHidden/>
    <w:rsid w:val="00A77DBB"/>
    <w:rPr>
      <w:rFonts w:eastAsiaTheme="minorHAnsi"/>
      <w:sz w:val="20"/>
      <w:szCs w:val="20"/>
      <w:lang w:eastAsia="en-US"/>
    </w:rPr>
  </w:style>
  <w:style w:type="paragraph" w:styleId="BalloonText">
    <w:name w:val="Balloon Text"/>
    <w:basedOn w:val="Normal"/>
    <w:link w:val="BalloonTextChar"/>
    <w:uiPriority w:val="99"/>
    <w:semiHidden/>
    <w:unhideWhenUsed/>
    <w:rsid w:val="00A7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BB"/>
    <w:rPr>
      <w:rFonts w:ascii="Tahoma" w:eastAsiaTheme="minorHAnsi" w:hAnsi="Tahoma" w:cs="Tahoma"/>
      <w:sz w:val="16"/>
      <w:szCs w:val="16"/>
      <w:lang w:eastAsia="en-US"/>
    </w:rPr>
  </w:style>
  <w:style w:type="paragraph" w:styleId="Header">
    <w:name w:val="header"/>
    <w:basedOn w:val="Normal"/>
    <w:link w:val="HeaderChar"/>
    <w:uiPriority w:val="99"/>
    <w:unhideWhenUsed/>
    <w:rsid w:val="002C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D24"/>
    <w:rPr>
      <w:rFonts w:eastAsiaTheme="minorHAnsi"/>
      <w:lang w:eastAsia="en-US"/>
    </w:rPr>
  </w:style>
  <w:style w:type="paragraph" w:styleId="Footer">
    <w:name w:val="footer"/>
    <w:basedOn w:val="Normal"/>
    <w:link w:val="FooterChar"/>
    <w:uiPriority w:val="99"/>
    <w:unhideWhenUsed/>
    <w:rsid w:val="002C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D24"/>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AF1AD3"/>
    <w:rPr>
      <w:b/>
      <w:bCs/>
    </w:rPr>
  </w:style>
  <w:style w:type="character" w:customStyle="1" w:styleId="CommentSubjectChar">
    <w:name w:val="Comment Subject Char"/>
    <w:basedOn w:val="CommentTextChar"/>
    <w:link w:val="CommentSubject"/>
    <w:uiPriority w:val="99"/>
    <w:semiHidden/>
    <w:rsid w:val="00AF1AD3"/>
    <w:rPr>
      <w:b/>
      <w:bCs/>
    </w:rPr>
  </w:style>
  <w:style w:type="paragraph" w:styleId="BodyText">
    <w:name w:val="Body Text"/>
    <w:basedOn w:val="Normal"/>
    <w:link w:val="BodyTextChar"/>
    <w:rsid w:val="00CC1F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1F46"/>
    <w:rPr>
      <w:rFonts w:ascii="Times New Roman" w:eastAsia="Times New Roman" w:hAnsi="Times New Roman" w:cs="Times New Roman"/>
      <w:sz w:val="24"/>
      <w:szCs w:val="24"/>
      <w:lang w:eastAsia="en-US"/>
    </w:rPr>
  </w:style>
  <w:style w:type="paragraph" w:styleId="Signature">
    <w:name w:val="Signature"/>
    <w:basedOn w:val="Normal"/>
    <w:link w:val="SignatureChar"/>
    <w:rsid w:val="00CC1F46"/>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CC1F46"/>
    <w:rPr>
      <w:rFonts w:ascii="Times New Roman" w:eastAsia="Times New Roman" w:hAnsi="Times New Roman" w:cs="Times New Roman"/>
      <w:kern w:val="24"/>
      <w:sz w:val="24"/>
      <w:szCs w:val="20"/>
      <w:lang w:eastAsia="en-US"/>
    </w:rPr>
  </w:style>
  <w:style w:type="character" w:styleId="Hyperlink">
    <w:name w:val="Hyperlink"/>
    <w:basedOn w:val="DefaultParagraphFont"/>
    <w:rsid w:val="00CC1F46"/>
    <w:rPr>
      <w:color w:val="0000FF"/>
      <w:u w:val="single"/>
    </w:rPr>
  </w:style>
  <w:style w:type="table" w:styleId="TableGrid">
    <w:name w:val="Table Grid"/>
    <w:basedOn w:val="TableNormal"/>
    <w:rsid w:val="00CC1F4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F195B"/>
  </w:style>
  <w:style w:type="character" w:customStyle="1" w:styleId="Heading1Char">
    <w:name w:val="Heading 1 Char"/>
    <w:basedOn w:val="DefaultParagraphFont"/>
    <w:link w:val="Heading1"/>
    <w:uiPriority w:val="9"/>
    <w:rsid w:val="00840AF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B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BB"/>
    <w:pPr>
      <w:ind w:left="720"/>
      <w:contextualSpacing/>
    </w:pPr>
  </w:style>
  <w:style w:type="paragraph" w:styleId="FootnoteText">
    <w:name w:val="footnote text"/>
    <w:basedOn w:val="Normal"/>
    <w:link w:val="FootnoteTextChar"/>
    <w:uiPriority w:val="99"/>
    <w:unhideWhenUsed/>
    <w:rsid w:val="00A77DBB"/>
    <w:pPr>
      <w:spacing w:after="0" w:line="240" w:lineRule="auto"/>
    </w:pPr>
    <w:rPr>
      <w:sz w:val="20"/>
      <w:szCs w:val="20"/>
    </w:rPr>
  </w:style>
  <w:style w:type="character" w:customStyle="1" w:styleId="FootnoteTextChar">
    <w:name w:val="Footnote Text Char"/>
    <w:basedOn w:val="DefaultParagraphFont"/>
    <w:link w:val="FootnoteText"/>
    <w:uiPriority w:val="99"/>
    <w:rsid w:val="00A77DBB"/>
    <w:rPr>
      <w:rFonts w:eastAsiaTheme="minorHAnsi"/>
      <w:sz w:val="20"/>
      <w:szCs w:val="20"/>
      <w:lang w:eastAsia="en-US"/>
    </w:rPr>
  </w:style>
  <w:style w:type="character" w:styleId="FootnoteReference">
    <w:name w:val="footnote reference"/>
    <w:basedOn w:val="DefaultParagraphFont"/>
    <w:uiPriority w:val="99"/>
    <w:semiHidden/>
    <w:unhideWhenUsed/>
    <w:rsid w:val="00A77DBB"/>
    <w:rPr>
      <w:vertAlign w:val="superscript"/>
    </w:rPr>
  </w:style>
  <w:style w:type="character" w:styleId="CommentReference">
    <w:name w:val="annotation reference"/>
    <w:basedOn w:val="DefaultParagraphFont"/>
    <w:uiPriority w:val="99"/>
    <w:semiHidden/>
    <w:unhideWhenUsed/>
    <w:rsid w:val="00A77DBB"/>
    <w:rPr>
      <w:sz w:val="16"/>
      <w:szCs w:val="16"/>
    </w:rPr>
  </w:style>
  <w:style w:type="paragraph" w:styleId="CommentText">
    <w:name w:val="annotation text"/>
    <w:basedOn w:val="Normal"/>
    <w:link w:val="CommentTextChar"/>
    <w:uiPriority w:val="99"/>
    <w:semiHidden/>
    <w:unhideWhenUsed/>
    <w:rsid w:val="00A77DBB"/>
    <w:pPr>
      <w:spacing w:line="240" w:lineRule="auto"/>
    </w:pPr>
    <w:rPr>
      <w:sz w:val="20"/>
      <w:szCs w:val="20"/>
    </w:rPr>
  </w:style>
  <w:style w:type="character" w:customStyle="1" w:styleId="CommentTextChar">
    <w:name w:val="Comment Text Char"/>
    <w:basedOn w:val="DefaultParagraphFont"/>
    <w:link w:val="CommentText"/>
    <w:uiPriority w:val="99"/>
    <w:semiHidden/>
    <w:rsid w:val="00A77DBB"/>
    <w:rPr>
      <w:rFonts w:eastAsiaTheme="minorHAnsi"/>
      <w:sz w:val="20"/>
      <w:szCs w:val="20"/>
      <w:lang w:eastAsia="en-US"/>
    </w:rPr>
  </w:style>
  <w:style w:type="paragraph" w:styleId="BalloonText">
    <w:name w:val="Balloon Text"/>
    <w:basedOn w:val="Normal"/>
    <w:link w:val="BalloonTextChar"/>
    <w:uiPriority w:val="99"/>
    <w:semiHidden/>
    <w:unhideWhenUsed/>
    <w:rsid w:val="00A7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BB"/>
    <w:rPr>
      <w:rFonts w:ascii="Tahoma" w:eastAsiaTheme="minorHAnsi" w:hAnsi="Tahoma" w:cs="Tahoma"/>
      <w:sz w:val="16"/>
      <w:szCs w:val="16"/>
      <w:lang w:eastAsia="en-US"/>
    </w:rPr>
  </w:style>
  <w:style w:type="paragraph" w:styleId="Header">
    <w:name w:val="header"/>
    <w:basedOn w:val="Normal"/>
    <w:link w:val="HeaderChar"/>
    <w:uiPriority w:val="99"/>
    <w:unhideWhenUsed/>
    <w:rsid w:val="002C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D24"/>
    <w:rPr>
      <w:rFonts w:eastAsiaTheme="minorHAnsi"/>
      <w:lang w:eastAsia="en-US"/>
    </w:rPr>
  </w:style>
  <w:style w:type="paragraph" w:styleId="Footer">
    <w:name w:val="footer"/>
    <w:basedOn w:val="Normal"/>
    <w:link w:val="FooterChar"/>
    <w:uiPriority w:val="99"/>
    <w:unhideWhenUsed/>
    <w:rsid w:val="002C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D2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seph.clark@direct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instein@volunteerenerg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F3E9-6089-45ED-951E-00715D73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2012-12-11T16:55:00Z</dcterms:created>
  <dcterms:modified xsi:type="dcterms:W3CDTF">2012-12-11T16:55:00Z</dcterms:modified>
</cp:coreProperties>
</file>