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D9" w:rsidRPr="00BD3EA7" w:rsidRDefault="00294DD9" w:rsidP="00294D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BD3EA7">
        <w:rPr>
          <w:rFonts w:ascii="Times New Roman" w:hAnsi="Times New Roman" w:cs="Times New Roman"/>
          <w:b/>
          <w:bCs/>
          <w:sz w:val="24"/>
          <w:szCs w:val="24"/>
        </w:rPr>
        <w:t>BEFORE</w:t>
      </w:r>
    </w:p>
    <w:p w:rsidR="00294DD9" w:rsidRPr="00BD3EA7" w:rsidRDefault="00294DD9" w:rsidP="00294DD9">
      <w:pPr>
        <w:pStyle w:val="HTMLPreformatted"/>
        <w:jc w:val="center"/>
        <w:rPr>
          <w:rFonts w:ascii="Times New Roman" w:hAnsi="Times New Roman" w:cs="Times New Roman"/>
          <w:sz w:val="24"/>
          <w:szCs w:val="24"/>
        </w:rPr>
      </w:pPr>
      <w:r w:rsidRPr="00BD3EA7">
        <w:rPr>
          <w:rFonts w:ascii="Times New Roman" w:hAnsi="Times New Roman" w:cs="Times New Roman"/>
          <w:b/>
          <w:bCs/>
          <w:sz w:val="24"/>
          <w:szCs w:val="24"/>
        </w:rPr>
        <w:t>THE PUBLIC UTILITIES COMMISSION OF OHIO</w:t>
      </w:r>
    </w:p>
    <w:p w:rsidR="00294DD9" w:rsidRPr="00BD3EA7" w:rsidRDefault="00294DD9" w:rsidP="00294DD9">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9308"/>
        <w:gridCol w:w="222"/>
        <w:gridCol w:w="222"/>
      </w:tblGrid>
      <w:tr w:rsidR="00294DD9" w:rsidRPr="00BD3EA7" w:rsidTr="00647CF4">
        <w:trPr>
          <w:trHeight w:val="807"/>
        </w:trPr>
        <w:tc>
          <w:tcPr>
            <w:tcW w:w="4332" w:type="dxa"/>
            <w:shd w:val="clear" w:color="auto" w:fill="auto"/>
          </w:tcPr>
          <w:tbl>
            <w:tblPr>
              <w:tblW w:w="9092" w:type="dxa"/>
              <w:tblLook w:val="01E0" w:firstRow="1" w:lastRow="1" w:firstColumn="1" w:lastColumn="1" w:noHBand="0" w:noVBand="0"/>
            </w:tblPr>
            <w:tblGrid>
              <w:gridCol w:w="4332"/>
              <w:gridCol w:w="360"/>
              <w:gridCol w:w="4400"/>
            </w:tblGrid>
            <w:tr w:rsidR="00294DD9" w:rsidRPr="00BD3EA7" w:rsidTr="00647CF4">
              <w:trPr>
                <w:trHeight w:val="807"/>
              </w:trPr>
              <w:tc>
                <w:tcPr>
                  <w:tcW w:w="4332" w:type="dxa"/>
                  <w:shd w:val="clear" w:color="auto" w:fill="auto"/>
                </w:tcPr>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 xml:space="preserve">In the Matter of the Application of Duke Energy Ohio, Inc., for approval of an Alternative Rate Plan Pursuant to Section 4929.05, Revised Code, for an Accelerated Service Line Replacement Program. </w:t>
                  </w:r>
                </w:p>
              </w:tc>
              <w:tc>
                <w:tcPr>
                  <w:tcW w:w="360" w:type="dxa"/>
                  <w:shd w:val="clear" w:color="auto" w:fill="auto"/>
                </w:tcPr>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tc>
              <w:tc>
                <w:tcPr>
                  <w:tcW w:w="4400" w:type="dxa"/>
                  <w:shd w:val="clear" w:color="auto" w:fill="auto"/>
                </w:tcPr>
                <w:p w:rsidR="00294DD9" w:rsidRPr="00BD3EA7" w:rsidRDefault="00294DD9" w:rsidP="00647CF4">
                  <w:pPr>
                    <w:pStyle w:val="HTMLPreformatted"/>
                    <w:rPr>
                      <w:rFonts w:ascii="Times New Roman" w:hAnsi="Times New Roman" w:cs="Times New Roman"/>
                      <w:sz w:val="24"/>
                      <w:szCs w:val="24"/>
                    </w:rPr>
                  </w:pPr>
                </w:p>
                <w:p w:rsidR="00294DD9" w:rsidRPr="00BD3EA7" w:rsidRDefault="00294DD9" w:rsidP="00647CF4">
                  <w:pPr>
                    <w:pStyle w:val="HTMLPreformatted"/>
                    <w:rPr>
                      <w:rFonts w:ascii="Times New Roman" w:hAnsi="Times New Roman" w:cs="Times New Roman"/>
                      <w:sz w:val="24"/>
                      <w:szCs w:val="24"/>
                    </w:rPr>
                  </w:pPr>
                </w:p>
                <w:p w:rsidR="00294DD9" w:rsidRPr="00BD3EA7" w:rsidRDefault="00294DD9" w:rsidP="00647CF4">
                  <w:pPr>
                    <w:pStyle w:val="HTMLPreformatted"/>
                    <w:rPr>
                      <w:rFonts w:ascii="Times New Roman" w:hAnsi="Times New Roman" w:cs="Times New Roman"/>
                      <w:sz w:val="24"/>
                      <w:szCs w:val="24"/>
                    </w:rPr>
                  </w:pPr>
                  <w:r w:rsidRPr="00BD3EA7">
                    <w:rPr>
                      <w:rFonts w:ascii="Times New Roman" w:hAnsi="Times New Roman" w:cs="Times New Roman"/>
                      <w:sz w:val="24"/>
                      <w:szCs w:val="24"/>
                    </w:rPr>
                    <w:t>Case No. 14-1622-GA-ALT</w:t>
                  </w:r>
                </w:p>
                <w:p w:rsidR="00294DD9" w:rsidRPr="00BD3EA7" w:rsidRDefault="00294DD9" w:rsidP="00647CF4">
                  <w:pPr>
                    <w:pStyle w:val="HTMLPreformatted"/>
                    <w:rPr>
                      <w:rFonts w:ascii="Times New Roman" w:hAnsi="Times New Roman" w:cs="Times New Roman"/>
                      <w:sz w:val="24"/>
                      <w:szCs w:val="24"/>
                    </w:rPr>
                  </w:pPr>
                </w:p>
                <w:p w:rsidR="00294DD9" w:rsidRPr="00BD3EA7" w:rsidRDefault="00294DD9" w:rsidP="00647CF4">
                  <w:pPr>
                    <w:pStyle w:val="HTMLPreformatted"/>
                    <w:rPr>
                      <w:rFonts w:ascii="Times New Roman" w:hAnsi="Times New Roman" w:cs="Times New Roman"/>
                      <w:sz w:val="24"/>
                      <w:szCs w:val="24"/>
                    </w:rPr>
                  </w:pPr>
                </w:p>
              </w:tc>
            </w:tr>
          </w:tbl>
          <w:p w:rsidR="00294DD9" w:rsidRPr="00BD3EA7" w:rsidRDefault="00294DD9" w:rsidP="00647CF4">
            <w:pPr>
              <w:pStyle w:val="HTMLPreformatted"/>
              <w:rPr>
                <w:rFonts w:ascii="Times New Roman" w:hAnsi="Times New Roman" w:cs="Times New Roman"/>
                <w:sz w:val="24"/>
                <w:szCs w:val="24"/>
              </w:rPr>
            </w:pPr>
          </w:p>
        </w:tc>
        <w:tc>
          <w:tcPr>
            <w:tcW w:w="360" w:type="dxa"/>
            <w:shd w:val="clear" w:color="auto" w:fill="auto"/>
          </w:tcPr>
          <w:p w:rsidR="00294DD9" w:rsidRPr="00BD3EA7" w:rsidRDefault="00294DD9" w:rsidP="00647CF4">
            <w:pPr>
              <w:pStyle w:val="HTMLPreformatted"/>
              <w:rPr>
                <w:rFonts w:ascii="Times New Roman" w:hAnsi="Times New Roman" w:cs="Times New Roman"/>
                <w:sz w:val="24"/>
                <w:szCs w:val="24"/>
              </w:rPr>
            </w:pPr>
          </w:p>
        </w:tc>
        <w:tc>
          <w:tcPr>
            <w:tcW w:w="4400" w:type="dxa"/>
            <w:shd w:val="clear" w:color="auto" w:fill="auto"/>
          </w:tcPr>
          <w:p w:rsidR="00294DD9" w:rsidRPr="00BD3EA7" w:rsidRDefault="00294DD9" w:rsidP="00647CF4">
            <w:pPr>
              <w:pStyle w:val="HTMLPreformatted"/>
              <w:rPr>
                <w:rFonts w:ascii="Times New Roman" w:hAnsi="Times New Roman" w:cs="Times New Roman"/>
                <w:sz w:val="24"/>
                <w:szCs w:val="24"/>
              </w:rPr>
            </w:pPr>
          </w:p>
        </w:tc>
      </w:tr>
    </w:tbl>
    <w:p w:rsidR="00294DD9" w:rsidRPr="00BD3EA7" w:rsidRDefault="00294DD9" w:rsidP="00294DD9">
      <w:pPr>
        <w:pStyle w:val="HTMLPreformatted"/>
        <w:pBdr>
          <w:bottom w:val="single" w:sz="12" w:space="4" w:color="auto"/>
        </w:pBdr>
        <w:rPr>
          <w:rFonts w:ascii="Times New Roman" w:hAnsi="Times New Roman" w:cs="Times New Roman"/>
          <w:sz w:val="24"/>
          <w:szCs w:val="24"/>
        </w:rPr>
      </w:pPr>
    </w:p>
    <w:p w:rsidR="00294DD9" w:rsidRPr="00BD3EA7" w:rsidRDefault="00294DD9" w:rsidP="00294DD9">
      <w:pPr>
        <w:contextualSpacing/>
        <w:rPr>
          <w:rFonts w:ascii="Times New Roman" w:hAnsi="Times New Roman" w:cs="Times New Roman"/>
          <w:sz w:val="24"/>
          <w:szCs w:val="24"/>
        </w:rPr>
      </w:pPr>
    </w:p>
    <w:p w:rsidR="00294DD9" w:rsidRPr="00BD3EA7" w:rsidRDefault="00294DD9" w:rsidP="00294DD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REPLY</w:t>
      </w:r>
      <w:r w:rsidRPr="00BD3EA7">
        <w:rPr>
          <w:rFonts w:ascii="Times New Roman" w:hAnsi="Times New Roman" w:cs="Times New Roman"/>
          <w:b/>
          <w:sz w:val="24"/>
          <w:szCs w:val="24"/>
        </w:rPr>
        <w:t xml:space="preserve"> BRIEF</w:t>
      </w:r>
    </w:p>
    <w:p w:rsidR="00294DD9" w:rsidRPr="00BD3EA7" w:rsidRDefault="00294DD9" w:rsidP="00294DD9">
      <w:pPr>
        <w:spacing w:line="240" w:lineRule="auto"/>
        <w:contextualSpacing/>
        <w:jc w:val="center"/>
        <w:rPr>
          <w:rFonts w:ascii="Times New Roman" w:hAnsi="Times New Roman" w:cs="Times New Roman"/>
          <w:b/>
          <w:sz w:val="24"/>
          <w:szCs w:val="24"/>
        </w:rPr>
      </w:pPr>
      <w:r w:rsidRPr="00BD3EA7">
        <w:rPr>
          <w:rFonts w:ascii="Times New Roman" w:hAnsi="Times New Roman" w:cs="Times New Roman"/>
          <w:b/>
          <w:sz w:val="24"/>
          <w:szCs w:val="24"/>
        </w:rPr>
        <w:t>BY</w:t>
      </w:r>
    </w:p>
    <w:p w:rsidR="00294DD9" w:rsidRPr="00BD3EA7" w:rsidRDefault="00294DD9" w:rsidP="00294DD9">
      <w:pPr>
        <w:pBdr>
          <w:bottom w:val="single" w:sz="12" w:space="1" w:color="auto"/>
        </w:pBdr>
        <w:spacing w:line="240" w:lineRule="auto"/>
        <w:contextualSpacing/>
        <w:jc w:val="center"/>
        <w:rPr>
          <w:rFonts w:ascii="Times New Roman" w:hAnsi="Times New Roman" w:cs="Times New Roman"/>
          <w:b/>
          <w:sz w:val="24"/>
          <w:szCs w:val="24"/>
        </w:rPr>
      </w:pPr>
      <w:r w:rsidRPr="00BD3EA7">
        <w:rPr>
          <w:rFonts w:ascii="Times New Roman" w:hAnsi="Times New Roman" w:cs="Times New Roman"/>
          <w:b/>
          <w:sz w:val="24"/>
          <w:szCs w:val="24"/>
        </w:rPr>
        <w:t>THE OFFICE OF THE OHIO CONSUMERS’ COUNSEL</w:t>
      </w:r>
    </w:p>
    <w:p w:rsidR="00294DD9" w:rsidRPr="00BD3EA7" w:rsidRDefault="00294DD9" w:rsidP="00294DD9">
      <w:pPr>
        <w:pBdr>
          <w:bottom w:val="single" w:sz="12" w:space="1" w:color="auto"/>
        </w:pBdr>
        <w:spacing w:line="240" w:lineRule="auto"/>
        <w:jc w:val="center"/>
        <w:rPr>
          <w:rFonts w:ascii="Times New Roman" w:hAnsi="Times New Roman" w:cs="Times New Roman"/>
          <w:b/>
          <w:sz w:val="24"/>
          <w:szCs w:val="24"/>
        </w:rPr>
      </w:pPr>
    </w:p>
    <w:p w:rsidR="00294DD9" w:rsidRPr="00BD3EA7" w:rsidRDefault="00294DD9" w:rsidP="00294DD9">
      <w:pPr>
        <w:spacing w:line="240" w:lineRule="auto"/>
        <w:jc w:val="center"/>
        <w:rPr>
          <w:rFonts w:ascii="Times New Roman" w:hAnsi="Times New Roman" w:cs="Times New Roman"/>
          <w:b/>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p>
    <w:p w:rsidR="00294DD9" w:rsidRDefault="00294DD9" w:rsidP="00294DD9">
      <w:pPr>
        <w:spacing w:after="0"/>
        <w:ind w:left="3600" w:firstLine="720"/>
        <w:rPr>
          <w:rFonts w:ascii="Times New Roman" w:hAnsi="Times New Roman" w:cs="Times New Roman"/>
          <w:sz w:val="24"/>
          <w:szCs w:val="24"/>
        </w:rPr>
      </w:pPr>
    </w:p>
    <w:p w:rsidR="00294DD9" w:rsidRDefault="00294DD9" w:rsidP="00294DD9">
      <w:pPr>
        <w:spacing w:after="0"/>
        <w:ind w:left="3600" w:firstLine="720"/>
        <w:rPr>
          <w:rFonts w:ascii="Times New Roman" w:hAnsi="Times New Roman" w:cs="Times New Roman"/>
          <w:sz w:val="24"/>
          <w:szCs w:val="24"/>
        </w:rPr>
      </w:pPr>
    </w:p>
    <w:p w:rsidR="00294DD9" w:rsidRDefault="00294DD9" w:rsidP="00294DD9">
      <w:pPr>
        <w:spacing w:after="0"/>
        <w:ind w:left="3600" w:firstLine="720"/>
        <w:rPr>
          <w:rFonts w:ascii="Times New Roman" w:hAnsi="Times New Roman" w:cs="Times New Roman"/>
          <w:sz w:val="24"/>
          <w:szCs w:val="24"/>
        </w:rPr>
      </w:pPr>
    </w:p>
    <w:p w:rsidR="00294DD9" w:rsidRDefault="00294DD9" w:rsidP="00294DD9">
      <w:pPr>
        <w:spacing w:after="0"/>
        <w:ind w:left="3600" w:firstLine="720"/>
        <w:rPr>
          <w:rFonts w:ascii="Times New Roman" w:hAnsi="Times New Roman" w:cs="Times New Roman"/>
          <w:sz w:val="24"/>
          <w:szCs w:val="24"/>
        </w:rPr>
      </w:pPr>
    </w:p>
    <w:p w:rsidR="00294DD9" w:rsidRPr="00BD3EA7" w:rsidRDefault="00294DD9" w:rsidP="00294DD9">
      <w:pPr>
        <w:spacing w:after="0"/>
        <w:ind w:left="3600" w:firstLine="720"/>
        <w:rPr>
          <w:rFonts w:ascii="Times New Roman" w:hAnsi="Times New Roman" w:cs="Times New Roman"/>
          <w:sz w:val="24"/>
          <w:szCs w:val="24"/>
        </w:rPr>
      </w:pPr>
      <w:r w:rsidRPr="00BD3EA7">
        <w:rPr>
          <w:rFonts w:ascii="Times New Roman" w:hAnsi="Times New Roman" w:cs="Times New Roman"/>
          <w:sz w:val="24"/>
          <w:szCs w:val="24"/>
        </w:rPr>
        <w:t>Bruce J. Weston (0016973)</w:t>
      </w:r>
    </w:p>
    <w:p w:rsidR="00294DD9" w:rsidRPr="00BD3EA7"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OHIO CONSUMERS’ COUNSEL</w:t>
      </w:r>
    </w:p>
    <w:p w:rsidR="00294DD9" w:rsidRPr="00BD3EA7"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p>
    <w:p w:rsidR="00294DD9" w:rsidRPr="00BD3EA7"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Kevin F. Moore (0089228)</w:t>
      </w:r>
    </w:p>
    <w:p w:rsidR="00294DD9" w:rsidRPr="00BD3EA7"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Assistant Consumers’ Counsel</w:t>
      </w:r>
    </w:p>
    <w:p w:rsidR="00294DD9" w:rsidRPr="00BD3EA7" w:rsidRDefault="00294DD9" w:rsidP="00294DD9">
      <w:pPr>
        <w:spacing w:after="0" w:line="240" w:lineRule="auto"/>
        <w:rPr>
          <w:rFonts w:ascii="Times New Roman" w:hAnsi="Times New Roman" w:cs="Times New Roman"/>
          <w:sz w:val="24"/>
          <w:szCs w:val="24"/>
        </w:rPr>
      </w:pPr>
    </w:p>
    <w:p w:rsidR="00294DD9" w:rsidRPr="00BD3EA7" w:rsidRDefault="00294DD9" w:rsidP="00294DD9">
      <w:pPr>
        <w:spacing w:after="0" w:line="240" w:lineRule="auto"/>
        <w:rPr>
          <w:rFonts w:ascii="Times New Roman" w:hAnsi="Times New Roman" w:cs="Times New Roman"/>
          <w:b/>
          <w:sz w:val="24"/>
          <w:szCs w:val="24"/>
        </w:rPr>
      </w:pP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t>Office of the Ohio Consumers’ Counsel</w:t>
      </w:r>
    </w:p>
    <w:p w:rsidR="00294DD9" w:rsidRPr="00BD3EA7"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10 W. Broad Street, Suite 1800</w:t>
      </w:r>
    </w:p>
    <w:p w:rsidR="00294DD9" w:rsidRPr="00BD3EA7"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Columbus, Ohio 43215-3485</w:t>
      </w:r>
    </w:p>
    <w:p w:rsidR="00294DD9" w:rsidRPr="00BD3EA7"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Telephone [Moore]: 614-466-2965</w:t>
      </w:r>
    </w:p>
    <w:p w:rsidR="00294DD9" w:rsidRDefault="00294DD9" w:rsidP="00294DD9">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hyperlink r:id="rId8" w:history="1">
        <w:r w:rsidRPr="00226DCB">
          <w:rPr>
            <w:rStyle w:val="Hyperlink"/>
            <w:rFonts w:ascii="Times New Roman" w:hAnsi="Times New Roman" w:cs="Times New Roman"/>
            <w:sz w:val="24"/>
            <w:szCs w:val="24"/>
          </w:rPr>
          <w:t>kevin.moore@occ.ohio.gov</w:t>
        </w:r>
      </w:hyperlink>
    </w:p>
    <w:p w:rsidR="00BD7D40" w:rsidRDefault="001A4844" w:rsidP="00294DD9">
      <w:pPr>
        <w:rPr>
          <w:rFonts w:ascii="Times New Roman" w:hAnsi="Times New Roman" w:cs="Times New Roman"/>
          <w:sz w:val="24"/>
          <w:szCs w:val="24"/>
        </w:rPr>
        <w:sectPr w:rsidR="00BD7D40" w:rsidSect="00BD7D40">
          <w:headerReference w:type="default" r:id="rId9"/>
          <w:footerReference w:type="even" r:id="rId10"/>
          <w:footerReference w:type="default" r:id="rId11"/>
          <w:pgSz w:w="12240" w:h="15840"/>
          <w:pgMar w:top="1440" w:right="1800" w:bottom="1440" w:left="1800" w:header="720" w:footer="720" w:gutter="0"/>
          <w:cols w:space="720"/>
          <w:docGrid w:linePitch="360"/>
        </w:sectPr>
      </w:pPr>
      <w:r>
        <w:rPr>
          <w:rFonts w:ascii="Times New Roman" w:hAnsi="Times New Roman" w:cs="Times New Roman"/>
          <w:sz w:val="24"/>
          <w:szCs w:val="24"/>
        </w:rPr>
        <w:t>December 23</w:t>
      </w:r>
      <w:r w:rsidR="00294DD9">
        <w:rPr>
          <w:rFonts w:ascii="Times New Roman" w:hAnsi="Times New Roman" w:cs="Times New Roman"/>
          <w:sz w:val="24"/>
          <w:szCs w:val="24"/>
        </w:rPr>
        <w:t>, 2015</w:t>
      </w:r>
      <w:r w:rsidR="00294DD9">
        <w:rPr>
          <w:rFonts w:ascii="Times New Roman" w:hAnsi="Times New Roman" w:cs="Times New Roman"/>
          <w:sz w:val="24"/>
          <w:szCs w:val="24"/>
        </w:rPr>
        <w:tab/>
      </w:r>
      <w:r w:rsidR="00294DD9">
        <w:rPr>
          <w:rFonts w:ascii="Times New Roman" w:hAnsi="Times New Roman" w:cs="Times New Roman"/>
          <w:sz w:val="24"/>
          <w:szCs w:val="24"/>
        </w:rPr>
        <w:tab/>
      </w:r>
      <w:r w:rsidR="00294DD9">
        <w:rPr>
          <w:rFonts w:ascii="Times New Roman" w:hAnsi="Times New Roman" w:cs="Times New Roman"/>
          <w:sz w:val="24"/>
          <w:szCs w:val="24"/>
        </w:rPr>
        <w:tab/>
      </w:r>
      <w:r w:rsidR="00294DD9">
        <w:rPr>
          <w:rFonts w:ascii="Times New Roman" w:hAnsi="Times New Roman" w:cs="Times New Roman"/>
          <w:sz w:val="24"/>
          <w:szCs w:val="24"/>
        </w:rPr>
        <w:tab/>
      </w:r>
      <w:r w:rsidR="00294DD9" w:rsidRPr="00BD3EA7">
        <w:rPr>
          <w:rFonts w:ascii="Times New Roman" w:hAnsi="Times New Roman" w:cs="Times New Roman"/>
          <w:sz w:val="24"/>
          <w:szCs w:val="24"/>
        </w:rPr>
        <w:t xml:space="preserve">(will accept service </w:t>
      </w:r>
      <w:r w:rsidR="00294DD9">
        <w:rPr>
          <w:rFonts w:ascii="Times New Roman" w:hAnsi="Times New Roman" w:cs="Times New Roman"/>
          <w:sz w:val="24"/>
          <w:szCs w:val="24"/>
        </w:rPr>
        <w:t>via email)</w:t>
      </w:r>
    </w:p>
    <w:p w:rsidR="00294DD9" w:rsidRPr="00BD7D40" w:rsidRDefault="00BD7D40" w:rsidP="00BD7D40">
      <w:pPr>
        <w:jc w:val="center"/>
        <w:rPr>
          <w:rFonts w:ascii="Times New Roman" w:hAnsi="Times New Roman" w:cs="Times New Roman"/>
          <w:b/>
          <w:sz w:val="24"/>
          <w:szCs w:val="24"/>
          <w:u w:val="single"/>
        </w:rPr>
      </w:pPr>
      <w:r w:rsidRPr="00BD7D40">
        <w:rPr>
          <w:rFonts w:ascii="Times New Roman" w:hAnsi="Times New Roman" w:cs="Times New Roman"/>
          <w:b/>
          <w:sz w:val="24"/>
          <w:szCs w:val="24"/>
          <w:u w:val="single"/>
        </w:rPr>
        <w:lastRenderedPageBreak/>
        <w:t>TABLE OF CONTENTS</w:t>
      </w:r>
    </w:p>
    <w:p w:rsidR="00BD7D40" w:rsidRDefault="00BD7D40" w:rsidP="00BD7D40">
      <w:pPr>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D40">
        <w:rPr>
          <w:rFonts w:ascii="Times New Roman" w:hAnsi="Times New Roman" w:cs="Times New Roman"/>
          <w:b/>
          <w:sz w:val="24"/>
          <w:szCs w:val="24"/>
        </w:rPr>
        <w:t>PAGE</w:t>
      </w:r>
    </w:p>
    <w:p w:rsidR="00BD7D40" w:rsidRDefault="00BD7D40" w:rsidP="00BD7D40">
      <w:pPr>
        <w:jc w:val="center"/>
        <w:rPr>
          <w:rFonts w:ascii="Times New Roman" w:hAnsi="Times New Roman" w:cs="Times New Roman"/>
          <w:b/>
          <w:sz w:val="24"/>
          <w:szCs w:val="24"/>
        </w:rPr>
      </w:pPr>
    </w:p>
    <w:p w:rsidR="002A0AC8" w:rsidRDefault="00BD7D40">
      <w:pPr>
        <w:pStyle w:val="TOC1"/>
        <w:rPr>
          <w:rFonts w:asciiTheme="minorHAnsi" w:eastAsiaTheme="minorEastAsia" w:hAnsiTheme="minorHAnsi"/>
          <w:caps w:val="0"/>
          <w:noProof/>
          <w:sz w:val="22"/>
        </w:rPr>
      </w:pPr>
      <w:r>
        <w:rPr>
          <w:rFonts w:cs="Times New Roman"/>
          <w:b/>
          <w:szCs w:val="24"/>
        </w:rPr>
        <w:fldChar w:fldCharType="begin"/>
      </w:r>
      <w:r>
        <w:rPr>
          <w:rFonts w:cs="Times New Roman"/>
          <w:b/>
          <w:szCs w:val="24"/>
        </w:rPr>
        <w:instrText xml:space="preserve"> TOC \o "1-2" \h \z \u </w:instrText>
      </w:r>
      <w:r>
        <w:rPr>
          <w:rFonts w:cs="Times New Roman"/>
          <w:b/>
          <w:szCs w:val="24"/>
        </w:rPr>
        <w:fldChar w:fldCharType="separate"/>
      </w:r>
      <w:hyperlink w:anchor="_Toc438641579" w:history="1">
        <w:r w:rsidR="002A0AC8" w:rsidRPr="00751C88">
          <w:rPr>
            <w:rStyle w:val="Hyperlink"/>
            <w:noProof/>
          </w:rPr>
          <w:t>I.</w:t>
        </w:r>
        <w:r w:rsidR="002A0AC8">
          <w:rPr>
            <w:rFonts w:asciiTheme="minorHAnsi" w:eastAsiaTheme="minorEastAsia" w:hAnsiTheme="minorHAnsi"/>
            <w:caps w:val="0"/>
            <w:noProof/>
            <w:sz w:val="22"/>
          </w:rPr>
          <w:tab/>
        </w:r>
        <w:r w:rsidR="002A0AC8" w:rsidRPr="00751C88">
          <w:rPr>
            <w:rStyle w:val="Hyperlink"/>
            <w:noProof/>
          </w:rPr>
          <w:t>Introduction</w:t>
        </w:r>
        <w:r w:rsidR="002A0AC8">
          <w:rPr>
            <w:noProof/>
            <w:webHidden/>
          </w:rPr>
          <w:tab/>
        </w:r>
        <w:r w:rsidR="002A0AC8">
          <w:rPr>
            <w:noProof/>
            <w:webHidden/>
          </w:rPr>
          <w:fldChar w:fldCharType="begin"/>
        </w:r>
        <w:r w:rsidR="002A0AC8">
          <w:rPr>
            <w:noProof/>
            <w:webHidden/>
          </w:rPr>
          <w:instrText xml:space="preserve"> PAGEREF _Toc438641579 \h </w:instrText>
        </w:r>
        <w:r w:rsidR="002A0AC8">
          <w:rPr>
            <w:noProof/>
            <w:webHidden/>
          </w:rPr>
        </w:r>
        <w:r w:rsidR="002A0AC8">
          <w:rPr>
            <w:noProof/>
            <w:webHidden/>
          </w:rPr>
          <w:fldChar w:fldCharType="separate"/>
        </w:r>
        <w:r w:rsidR="00374139">
          <w:rPr>
            <w:noProof/>
            <w:webHidden/>
          </w:rPr>
          <w:t>1</w:t>
        </w:r>
        <w:r w:rsidR="002A0AC8">
          <w:rPr>
            <w:noProof/>
            <w:webHidden/>
          </w:rPr>
          <w:fldChar w:fldCharType="end"/>
        </w:r>
      </w:hyperlink>
    </w:p>
    <w:p w:rsidR="002A0AC8" w:rsidRDefault="0034281C">
      <w:pPr>
        <w:pStyle w:val="TOC1"/>
        <w:rPr>
          <w:rFonts w:asciiTheme="minorHAnsi" w:eastAsiaTheme="minorEastAsia" w:hAnsiTheme="minorHAnsi"/>
          <w:caps w:val="0"/>
          <w:noProof/>
          <w:sz w:val="22"/>
        </w:rPr>
      </w:pPr>
      <w:hyperlink w:anchor="_Toc438641580" w:history="1">
        <w:r w:rsidR="002A0AC8" w:rsidRPr="00751C88">
          <w:rPr>
            <w:rStyle w:val="Hyperlink"/>
            <w:noProof/>
          </w:rPr>
          <w:t>II.</w:t>
        </w:r>
        <w:r w:rsidR="002A0AC8">
          <w:rPr>
            <w:rFonts w:asciiTheme="minorHAnsi" w:eastAsiaTheme="minorEastAsia" w:hAnsiTheme="minorHAnsi"/>
            <w:caps w:val="0"/>
            <w:noProof/>
            <w:sz w:val="22"/>
          </w:rPr>
          <w:tab/>
        </w:r>
        <w:r w:rsidR="002A0AC8" w:rsidRPr="00751C88">
          <w:rPr>
            <w:rStyle w:val="Hyperlink"/>
            <w:noProof/>
          </w:rPr>
          <w:t>ARGUMENT</w:t>
        </w:r>
        <w:r w:rsidR="002A0AC8">
          <w:rPr>
            <w:noProof/>
            <w:webHidden/>
          </w:rPr>
          <w:tab/>
        </w:r>
        <w:r w:rsidR="002A0AC8">
          <w:rPr>
            <w:noProof/>
            <w:webHidden/>
          </w:rPr>
          <w:fldChar w:fldCharType="begin"/>
        </w:r>
        <w:r w:rsidR="002A0AC8">
          <w:rPr>
            <w:noProof/>
            <w:webHidden/>
          </w:rPr>
          <w:instrText xml:space="preserve"> PAGEREF _Toc438641580 \h </w:instrText>
        </w:r>
        <w:r w:rsidR="002A0AC8">
          <w:rPr>
            <w:noProof/>
            <w:webHidden/>
          </w:rPr>
        </w:r>
        <w:r w:rsidR="002A0AC8">
          <w:rPr>
            <w:noProof/>
            <w:webHidden/>
          </w:rPr>
          <w:fldChar w:fldCharType="separate"/>
        </w:r>
        <w:r w:rsidR="00374139">
          <w:rPr>
            <w:noProof/>
            <w:webHidden/>
          </w:rPr>
          <w:t>2</w:t>
        </w:r>
        <w:r w:rsidR="002A0AC8">
          <w:rPr>
            <w:noProof/>
            <w:webHidden/>
          </w:rPr>
          <w:fldChar w:fldCharType="end"/>
        </w:r>
      </w:hyperlink>
    </w:p>
    <w:p w:rsidR="002A0AC8" w:rsidRDefault="0034281C" w:rsidP="002A0AC8">
      <w:pPr>
        <w:pStyle w:val="TOC2"/>
        <w:rPr>
          <w:rFonts w:asciiTheme="minorHAnsi" w:eastAsiaTheme="minorEastAsia" w:hAnsiTheme="minorHAnsi"/>
          <w:noProof/>
          <w:sz w:val="22"/>
        </w:rPr>
      </w:pPr>
      <w:hyperlink w:anchor="_Toc438641581" w:history="1">
        <w:r w:rsidR="002A0AC8" w:rsidRPr="00751C88">
          <w:rPr>
            <w:rStyle w:val="Hyperlink"/>
            <w:noProof/>
          </w:rPr>
          <w:t>A.</w:t>
        </w:r>
        <w:r w:rsidR="002A0AC8">
          <w:rPr>
            <w:rFonts w:asciiTheme="minorHAnsi" w:eastAsiaTheme="minorEastAsia" w:hAnsiTheme="minorHAnsi"/>
            <w:noProof/>
            <w:sz w:val="22"/>
          </w:rPr>
          <w:tab/>
        </w:r>
        <w:r w:rsidR="002A0AC8" w:rsidRPr="00751C88">
          <w:rPr>
            <w:rStyle w:val="Hyperlink"/>
            <w:noProof/>
          </w:rPr>
          <w:t xml:space="preserve">Duke’s ASRP is inconsistent with state law and policy to the detriment </w:t>
        </w:r>
        <w:r w:rsidR="002A0AC8">
          <w:rPr>
            <w:rStyle w:val="Hyperlink"/>
            <w:noProof/>
          </w:rPr>
          <w:br/>
        </w:r>
        <w:r w:rsidR="002A0AC8" w:rsidRPr="00751C88">
          <w:rPr>
            <w:rStyle w:val="Hyperlink"/>
            <w:noProof/>
          </w:rPr>
          <w:t>of consumers.</w:t>
        </w:r>
        <w:r w:rsidR="002A0AC8">
          <w:rPr>
            <w:noProof/>
            <w:webHidden/>
          </w:rPr>
          <w:tab/>
        </w:r>
        <w:r w:rsidR="002A0AC8">
          <w:rPr>
            <w:noProof/>
            <w:webHidden/>
          </w:rPr>
          <w:fldChar w:fldCharType="begin"/>
        </w:r>
        <w:r w:rsidR="002A0AC8">
          <w:rPr>
            <w:noProof/>
            <w:webHidden/>
          </w:rPr>
          <w:instrText xml:space="preserve"> PAGEREF _Toc438641581 \h </w:instrText>
        </w:r>
        <w:r w:rsidR="002A0AC8">
          <w:rPr>
            <w:noProof/>
            <w:webHidden/>
          </w:rPr>
        </w:r>
        <w:r w:rsidR="002A0AC8">
          <w:rPr>
            <w:noProof/>
            <w:webHidden/>
          </w:rPr>
          <w:fldChar w:fldCharType="separate"/>
        </w:r>
        <w:r w:rsidR="00374139">
          <w:rPr>
            <w:noProof/>
            <w:webHidden/>
          </w:rPr>
          <w:t>2</w:t>
        </w:r>
        <w:r w:rsidR="002A0AC8">
          <w:rPr>
            <w:noProof/>
            <w:webHidden/>
          </w:rPr>
          <w:fldChar w:fldCharType="end"/>
        </w:r>
      </w:hyperlink>
    </w:p>
    <w:p w:rsidR="002A0AC8" w:rsidRDefault="0034281C" w:rsidP="002A0AC8">
      <w:pPr>
        <w:pStyle w:val="TOC2"/>
        <w:rPr>
          <w:rFonts w:asciiTheme="minorHAnsi" w:eastAsiaTheme="minorEastAsia" w:hAnsiTheme="minorHAnsi"/>
          <w:noProof/>
          <w:sz w:val="22"/>
        </w:rPr>
      </w:pPr>
      <w:hyperlink w:anchor="_Toc438641582" w:history="1">
        <w:r w:rsidR="002A0AC8" w:rsidRPr="00751C88">
          <w:rPr>
            <w:rStyle w:val="Hyperlink"/>
            <w:noProof/>
          </w:rPr>
          <w:t>B.</w:t>
        </w:r>
        <w:r w:rsidR="002A0AC8">
          <w:rPr>
            <w:rFonts w:asciiTheme="minorHAnsi" w:eastAsiaTheme="minorEastAsia" w:hAnsiTheme="minorHAnsi"/>
            <w:noProof/>
            <w:sz w:val="22"/>
          </w:rPr>
          <w:tab/>
        </w:r>
        <w:r w:rsidR="002A0AC8" w:rsidRPr="00751C88">
          <w:rPr>
            <w:rStyle w:val="Hyperlink"/>
            <w:noProof/>
          </w:rPr>
          <w:t xml:space="preserve">Duke’s ASRP is inconsistent with Federal law and policy to the </w:t>
        </w:r>
        <w:r w:rsidR="002A0AC8">
          <w:rPr>
            <w:rStyle w:val="Hyperlink"/>
            <w:noProof/>
          </w:rPr>
          <w:br/>
        </w:r>
        <w:r w:rsidR="002A0AC8" w:rsidRPr="00751C88">
          <w:rPr>
            <w:rStyle w:val="Hyperlink"/>
            <w:noProof/>
          </w:rPr>
          <w:t>detriment of consumers.</w:t>
        </w:r>
        <w:r w:rsidR="002A0AC8">
          <w:rPr>
            <w:noProof/>
            <w:webHidden/>
          </w:rPr>
          <w:tab/>
        </w:r>
        <w:r w:rsidR="002A0AC8">
          <w:rPr>
            <w:noProof/>
            <w:webHidden/>
          </w:rPr>
          <w:fldChar w:fldCharType="begin"/>
        </w:r>
        <w:r w:rsidR="002A0AC8">
          <w:rPr>
            <w:noProof/>
            <w:webHidden/>
          </w:rPr>
          <w:instrText xml:space="preserve"> PAGEREF _Toc438641582 \h </w:instrText>
        </w:r>
        <w:r w:rsidR="002A0AC8">
          <w:rPr>
            <w:noProof/>
            <w:webHidden/>
          </w:rPr>
        </w:r>
        <w:r w:rsidR="002A0AC8">
          <w:rPr>
            <w:noProof/>
            <w:webHidden/>
          </w:rPr>
          <w:fldChar w:fldCharType="separate"/>
        </w:r>
        <w:r w:rsidR="00374139">
          <w:rPr>
            <w:noProof/>
            <w:webHidden/>
          </w:rPr>
          <w:t>3</w:t>
        </w:r>
        <w:r w:rsidR="002A0AC8">
          <w:rPr>
            <w:noProof/>
            <w:webHidden/>
          </w:rPr>
          <w:fldChar w:fldCharType="end"/>
        </w:r>
      </w:hyperlink>
    </w:p>
    <w:p w:rsidR="002A0AC8" w:rsidRDefault="0034281C" w:rsidP="002A0AC8">
      <w:pPr>
        <w:pStyle w:val="TOC2"/>
        <w:rPr>
          <w:rFonts w:asciiTheme="minorHAnsi" w:eastAsiaTheme="minorEastAsia" w:hAnsiTheme="minorHAnsi"/>
          <w:noProof/>
          <w:sz w:val="22"/>
        </w:rPr>
      </w:pPr>
      <w:hyperlink w:anchor="_Toc438641583" w:history="1">
        <w:r w:rsidR="002A0AC8" w:rsidRPr="00751C88">
          <w:rPr>
            <w:rStyle w:val="Hyperlink"/>
            <w:noProof/>
          </w:rPr>
          <w:t>C.</w:t>
        </w:r>
        <w:r w:rsidR="002A0AC8">
          <w:rPr>
            <w:rFonts w:asciiTheme="minorHAnsi" w:eastAsiaTheme="minorEastAsia" w:hAnsiTheme="minorHAnsi"/>
            <w:noProof/>
            <w:sz w:val="22"/>
          </w:rPr>
          <w:tab/>
        </w:r>
        <w:r w:rsidR="002A0AC8" w:rsidRPr="00751C88">
          <w:rPr>
            <w:rStyle w:val="Hyperlink"/>
            <w:noProof/>
          </w:rPr>
          <w:t>The ASRP’s costs to consumers do not outweigh the benefits to consumers.</w:t>
        </w:r>
        <w:r w:rsidR="002A0AC8">
          <w:rPr>
            <w:noProof/>
            <w:webHidden/>
          </w:rPr>
          <w:tab/>
        </w:r>
        <w:r w:rsidR="002A0AC8">
          <w:rPr>
            <w:noProof/>
            <w:webHidden/>
          </w:rPr>
          <w:fldChar w:fldCharType="begin"/>
        </w:r>
        <w:r w:rsidR="002A0AC8">
          <w:rPr>
            <w:noProof/>
            <w:webHidden/>
          </w:rPr>
          <w:instrText xml:space="preserve"> PAGEREF _Toc438641583 \h </w:instrText>
        </w:r>
        <w:r w:rsidR="002A0AC8">
          <w:rPr>
            <w:noProof/>
            <w:webHidden/>
          </w:rPr>
        </w:r>
        <w:r w:rsidR="002A0AC8">
          <w:rPr>
            <w:noProof/>
            <w:webHidden/>
          </w:rPr>
          <w:fldChar w:fldCharType="separate"/>
        </w:r>
        <w:r w:rsidR="00374139">
          <w:rPr>
            <w:noProof/>
            <w:webHidden/>
          </w:rPr>
          <w:t>6</w:t>
        </w:r>
        <w:r w:rsidR="002A0AC8">
          <w:rPr>
            <w:noProof/>
            <w:webHidden/>
          </w:rPr>
          <w:fldChar w:fldCharType="end"/>
        </w:r>
      </w:hyperlink>
    </w:p>
    <w:p w:rsidR="002A0AC8" w:rsidRDefault="0034281C" w:rsidP="002A0AC8">
      <w:pPr>
        <w:pStyle w:val="TOC2"/>
        <w:rPr>
          <w:rFonts w:asciiTheme="minorHAnsi" w:eastAsiaTheme="minorEastAsia" w:hAnsiTheme="minorHAnsi"/>
          <w:noProof/>
          <w:sz w:val="22"/>
        </w:rPr>
      </w:pPr>
      <w:hyperlink w:anchor="_Toc438641584" w:history="1">
        <w:r w:rsidR="002A0AC8" w:rsidRPr="00751C88">
          <w:rPr>
            <w:rStyle w:val="Hyperlink"/>
            <w:noProof/>
          </w:rPr>
          <w:t>D.</w:t>
        </w:r>
        <w:r w:rsidR="002A0AC8">
          <w:rPr>
            <w:rFonts w:asciiTheme="minorHAnsi" w:eastAsiaTheme="minorEastAsia" w:hAnsiTheme="minorHAnsi"/>
            <w:noProof/>
            <w:sz w:val="22"/>
          </w:rPr>
          <w:tab/>
        </w:r>
        <w:r w:rsidR="002A0AC8" w:rsidRPr="00751C88">
          <w:rPr>
            <w:rStyle w:val="Hyperlink"/>
            <w:noProof/>
          </w:rPr>
          <w:t>Duke’s ASRP will not protect consumers from any safety threat,</w:t>
        </w:r>
        <w:r w:rsidR="002A0AC8">
          <w:rPr>
            <w:rStyle w:val="Hyperlink"/>
            <w:noProof/>
          </w:rPr>
          <w:br/>
        </w:r>
        <w:r w:rsidR="002A0AC8" w:rsidRPr="00751C88">
          <w:rPr>
            <w:rStyle w:val="Hyperlink"/>
            <w:noProof/>
          </w:rPr>
          <w:t xml:space="preserve"> because there is virtually no threat to consumers posed by these service lines.</w:t>
        </w:r>
        <w:r w:rsidR="002A0AC8">
          <w:rPr>
            <w:noProof/>
            <w:webHidden/>
          </w:rPr>
          <w:tab/>
        </w:r>
        <w:r w:rsidR="002A0AC8">
          <w:rPr>
            <w:noProof/>
            <w:webHidden/>
          </w:rPr>
          <w:fldChar w:fldCharType="begin"/>
        </w:r>
        <w:r w:rsidR="002A0AC8">
          <w:rPr>
            <w:noProof/>
            <w:webHidden/>
          </w:rPr>
          <w:instrText xml:space="preserve"> PAGEREF _Toc438641584 \h </w:instrText>
        </w:r>
        <w:r w:rsidR="002A0AC8">
          <w:rPr>
            <w:noProof/>
            <w:webHidden/>
          </w:rPr>
        </w:r>
        <w:r w:rsidR="002A0AC8">
          <w:rPr>
            <w:noProof/>
            <w:webHidden/>
          </w:rPr>
          <w:fldChar w:fldCharType="separate"/>
        </w:r>
        <w:r w:rsidR="00374139">
          <w:rPr>
            <w:noProof/>
            <w:webHidden/>
          </w:rPr>
          <w:t>7</w:t>
        </w:r>
        <w:r w:rsidR="002A0AC8">
          <w:rPr>
            <w:noProof/>
            <w:webHidden/>
          </w:rPr>
          <w:fldChar w:fldCharType="end"/>
        </w:r>
      </w:hyperlink>
    </w:p>
    <w:p w:rsidR="002A0AC8" w:rsidRDefault="0034281C" w:rsidP="002A0AC8">
      <w:pPr>
        <w:pStyle w:val="TOC2"/>
        <w:rPr>
          <w:rFonts w:asciiTheme="minorHAnsi" w:eastAsiaTheme="minorEastAsia" w:hAnsiTheme="minorHAnsi"/>
          <w:noProof/>
          <w:sz w:val="22"/>
        </w:rPr>
      </w:pPr>
      <w:hyperlink w:anchor="_Toc438641585" w:history="1">
        <w:r w:rsidR="002A0AC8" w:rsidRPr="00751C88">
          <w:rPr>
            <w:rStyle w:val="Hyperlink"/>
            <w:noProof/>
          </w:rPr>
          <w:t>E.</w:t>
        </w:r>
        <w:r w:rsidR="002A0AC8">
          <w:rPr>
            <w:rFonts w:asciiTheme="minorHAnsi" w:eastAsiaTheme="minorEastAsia" w:hAnsiTheme="minorHAnsi"/>
            <w:noProof/>
            <w:sz w:val="22"/>
          </w:rPr>
          <w:tab/>
        </w:r>
        <w:r w:rsidR="002A0AC8" w:rsidRPr="00751C88">
          <w:rPr>
            <w:rStyle w:val="Hyperlink"/>
            <w:noProof/>
          </w:rPr>
          <w:t>Duke’s ASRP is not just and reasonable because Duke is already minimizing any risk to consumers.</w:t>
        </w:r>
        <w:r w:rsidR="002A0AC8">
          <w:rPr>
            <w:noProof/>
            <w:webHidden/>
          </w:rPr>
          <w:tab/>
        </w:r>
        <w:r w:rsidR="002A0AC8">
          <w:rPr>
            <w:noProof/>
            <w:webHidden/>
          </w:rPr>
          <w:fldChar w:fldCharType="begin"/>
        </w:r>
        <w:r w:rsidR="002A0AC8">
          <w:rPr>
            <w:noProof/>
            <w:webHidden/>
          </w:rPr>
          <w:instrText xml:space="preserve"> PAGEREF _Toc438641585 \h </w:instrText>
        </w:r>
        <w:r w:rsidR="002A0AC8">
          <w:rPr>
            <w:noProof/>
            <w:webHidden/>
          </w:rPr>
        </w:r>
        <w:r w:rsidR="002A0AC8">
          <w:rPr>
            <w:noProof/>
            <w:webHidden/>
          </w:rPr>
          <w:fldChar w:fldCharType="separate"/>
        </w:r>
        <w:r w:rsidR="00374139">
          <w:rPr>
            <w:noProof/>
            <w:webHidden/>
          </w:rPr>
          <w:t>13</w:t>
        </w:r>
        <w:r w:rsidR="002A0AC8">
          <w:rPr>
            <w:noProof/>
            <w:webHidden/>
          </w:rPr>
          <w:fldChar w:fldCharType="end"/>
        </w:r>
      </w:hyperlink>
    </w:p>
    <w:p w:rsidR="002A0AC8" w:rsidRDefault="0034281C" w:rsidP="002A0AC8">
      <w:pPr>
        <w:pStyle w:val="TOC2"/>
        <w:rPr>
          <w:rFonts w:asciiTheme="minorHAnsi" w:eastAsiaTheme="minorEastAsia" w:hAnsiTheme="minorHAnsi"/>
          <w:noProof/>
          <w:sz w:val="22"/>
        </w:rPr>
      </w:pPr>
      <w:hyperlink w:anchor="_Toc438641586" w:history="1">
        <w:r w:rsidR="002A0AC8" w:rsidRPr="00751C88">
          <w:rPr>
            <w:rStyle w:val="Hyperlink"/>
            <w:noProof/>
          </w:rPr>
          <w:t>F.</w:t>
        </w:r>
        <w:r w:rsidR="002A0AC8">
          <w:rPr>
            <w:rFonts w:asciiTheme="minorHAnsi" w:eastAsiaTheme="minorEastAsia" w:hAnsiTheme="minorHAnsi"/>
            <w:noProof/>
            <w:sz w:val="22"/>
          </w:rPr>
          <w:tab/>
        </w:r>
        <w:r w:rsidR="002A0AC8" w:rsidRPr="00751C88">
          <w:rPr>
            <w:rStyle w:val="Hyperlink"/>
            <w:noProof/>
          </w:rPr>
          <w:t>Duke’s assertion that absent approval of the ASRP more frequent rate cases will be filed is factually incorrect.</w:t>
        </w:r>
        <w:r w:rsidR="002A0AC8">
          <w:rPr>
            <w:noProof/>
            <w:webHidden/>
          </w:rPr>
          <w:tab/>
        </w:r>
        <w:r w:rsidR="002A0AC8">
          <w:rPr>
            <w:noProof/>
            <w:webHidden/>
          </w:rPr>
          <w:fldChar w:fldCharType="begin"/>
        </w:r>
        <w:r w:rsidR="002A0AC8">
          <w:rPr>
            <w:noProof/>
            <w:webHidden/>
          </w:rPr>
          <w:instrText xml:space="preserve"> PAGEREF _Toc438641586 \h </w:instrText>
        </w:r>
        <w:r w:rsidR="002A0AC8">
          <w:rPr>
            <w:noProof/>
            <w:webHidden/>
          </w:rPr>
        </w:r>
        <w:r w:rsidR="002A0AC8">
          <w:rPr>
            <w:noProof/>
            <w:webHidden/>
          </w:rPr>
          <w:fldChar w:fldCharType="separate"/>
        </w:r>
        <w:r w:rsidR="00374139">
          <w:rPr>
            <w:noProof/>
            <w:webHidden/>
          </w:rPr>
          <w:t>15</w:t>
        </w:r>
        <w:r w:rsidR="002A0AC8">
          <w:rPr>
            <w:noProof/>
            <w:webHidden/>
          </w:rPr>
          <w:fldChar w:fldCharType="end"/>
        </w:r>
      </w:hyperlink>
    </w:p>
    <w:p w:rsidR="002A0AC8" w:rsidRDefault="0034281C" w:rsidP="002A0AC8">
      <w:pPr>
        <w:pStyle w:val="TOC2"/>
        <w:rPr>
          <w:rFonts w:asciiTheme="minorHAnsi" w:eastAsiaTheme="minorEastAsia" w:hAnsiTheme="minorHAnsi"/>
          <w:noProof/>
          <w:sz w:val="22"/>
        </w:rPr>
      </w:pPr>
      <w:hyperlink w:anchor="_Toc438641587" w:history="1">
        <w:r w:rsidR="002A0AC8" w:rsidRPr="00751C88">
          <w:rPr>
            <w:rStyle w:val="Hyperlink"/>
            <w:noProof/>
          </w:rPr>
          <w:t>G.</w:t>
        </w:r>
        <w:r w:rsidR="002A0AC8">
          <w:rPr>
            <w:rFonts w:asciiTheme="minorHAnsi" w:eastAsiaTheme="minorEastAsia" w:hAnsiTheme="minorHAnsi"/>
            <w:noProof/>
            <w:sz w:val="22"/>
          </w:rPr>
          <w:tab/>
        </w:r>
        <w:r w:rsidR="002A0AC8" w:rsidRPr="00751C88">
          <w:rPr>
            <w:rStyle w:val="Hyperlink"/>
            <w:noProof/>
          </w:rPr>
          <w:t>Duke’s assertion that absent approval of the ASRP, customers will experience abrupt and recurrent rate changes is factually incorrect.</w:t>
        </w:r>
        <w:r w:rsidR="002A0AC8">
          <w:rPr>
            <w:noProof/>
            <w:webHidden/>
          </w:rPr>
          <w:tab/>
        </w:r>
        <w:r w:rsidR="002A0AC8">
          <w:rPr>
            <w:noProof/>
            <w:webHidden/>
          </w:rPr>
          <w:fldChar w:fldCharType="begin"/>
        </w:r>
        <w:r w:rsidR="002A0AC8">
          <w:rPr>
            <w:noProof/>
            <w:webHidden/>
          </w:rPr>
          <w:instrText xml:space="preserve"> PAGEREF _Toc438641587 \h </w:instrText>
        </w:r>
        <w:r w:rsidR="002A0AC8">
          <w:rPr>
            <w:noProof/>
            <w:webHidden/>
          </w:rPr>
        </w:r>
        <w:r w:rsidR="002A0AC8">
          <w:rPr>
            <w:noProof/>
            <w:webHidden/>
          </w:rPr>
          <w:fldChar w:fldCharType="separate"/>
        </w:r>
        <w:r w:rsidR="00374139">
          <w:rPr>
            <w:noProof/>
            <w:webHidden/>
          </w:rPr>
          <w:t>16</w:t>
        </w:r>
        <w:r w:rsidR="002A0AC8">
          <w:rPr>
            <w:noProof/>
            <w:webHidden/>
          </w:rPr>
          <w:fldChar w:fldCharType="end"/>
        </w:r>
      </w:hyperlink>
    </w:p>
    <w:p w:rsidR="002A0AC8" w:rsidRDefault="0034281C" w:rsidP="002A0AC8">
      <w:pPr>
        <w:pStyle w:val="TOC2"/>
        <w:ind w:left="720"/>
        <w:rPr>
          <w:rFonts w:asciiTheme="minorHAnsi" w:eastAsiaTheme="minorEastAsia" w:hAnsiTheme="minorHAnsi"/>
          <w:noProof/>
          <w:sz w:val="22"/>
        </w:rPr>
      </w:pPr>
      <w:hyperlink w:anchor="_Toc438641588" w:history="1">
        <w:r w:rsidR="002A0AC8" w:rsidRPr="00751C88">
          <w:rPr>
            <w:rStyle w:val="Hyperlink"/>
            <w:noProof/>
          </w:rPr>
          <w:t>III.</w:t>
        </w:r>
        <w:r w:rsidR="002A0AC8">
          <w:rPr>
            <w:rFonts w:asciiTheme="minorHAnsi" w:eastAsiaTheme="minorEastAsia" w:hAnsiTheme="minorHAnsi"/>
            <w:noProof/>
            <w:sz w:val="22"/>
          </w:rPr>
          <w:tab/>
        </w:r>
        <w:r w:rsidR="002A0AC8" w:rsidRPr="00751C88">
          <w:rPr>
            <w:rStyle w:val="Hyperlink"/>
            <w:noProof/>
          </w:rPr>
          <w:t>CONCLUSION</w:t>
        </w:r>
        <w:r w:rsidR="002A0AC8">
          <w:rPr>
            <w:noProof/>
            <w:webHidden/>
          </w:rPr>
          <w:tab/>
        </w:r>
        <w:r w:rsidR="002A0AC8">
          <w:rPr>
            <w:noProof/>
            <w:webHidden/>
          </w:rPr>
          <w:fldChar w:fldCharType="begin"/>
        </w:r>
        <w:r w:rsidR="002A0AC8">
          <w:rPr>
            <w:noProof/>
            <w:webHidden/>
          </w:rPr>
          <w:instrText xml:space="preserve"> PAGEREF _Toc438641588 \h </w:instrText>
        </w:r>
        <w:r w:rsidR="002A0AC8">
          <w:rPr>
            <w:noProof/>
            <w:webHidden/>
          </w:rPr>
        </w:r>
        <w:r w:rsidR="002A0AC8">
          <w:rPr>
            <w:noProof/>
            <w:webHidden/>
          </w:rPr>
          <w:fldChar w:fldCharType="separate"/>
        </w:r>
        <w:r w:rsidR="00374139">
          <w:rPr>
            <w:noProof/>
            <w:webHidden/>
          </w:rPr>
          <w:t>18</w:t>
        </w:r>
        <w:r w:rsidR="002A0AC8">
          <w:rPr>
            <w:noProof/>
            <w:webHidden/>
          </w:rPr>
          <w:fldChar w:fldCharType="end"/>
        </w:r>
      </w:hyperlink>
    </w:p>
    <w:p w:rsidR="003B3610" w:rsidRDefault="00BD7D40" w:rsidP="00BD7D40">
      <w:pPr>
        <w:jc w:val="center"/>
        <w:rPr>
          <w:rFonts w:ascii="Times New Roman" w:hAnsi="Times New Roman" w:cs="Times New Roman"/>
          <w:b/>
          <w:sz w:val="24"/>
          <w:szCs w:val="24"/>
        </w:rPr>
        <w:sectPr w:rsidR="003B3610" w:rsidSect="00BD7D40">
          <w:headerReference w:type="default" r:id="rId12"/>
          <w:footerReference w:type="default" r:id="rId13"/>
          <w:pgSz w:w="12240" w:h="15840"/>
          <w:pgMar w:top="1440" w:right="1800" w:bottom="1440" w:left="1800" w:header="720" w:footer="720" w:gutter="0"/>
          <w:pgNumType w:fmt="lowerRoman" w:start="1"/>
          <w:cols w:space="720"/>
          <w:docGrid w:linePitch="360"/>
        </w:sectPr>
      </w:pPr>
      <w:r>
        <w:rPr>
          <w:rFonts w:ascii="Times New Roman" w:hAnsi="Times New Roman" w:cs="Times New Roman"/>
          <w:b/>
          <w:sz w:val="24"/>
          <w:szCs w:val="24"/>
        </w:rPr>
        <w:fldChar w:fldCharType="end"/>
      </w:r>
    </w:p>
    <w:p w:rsidR="00294DD9" w:rsidRPr="00FC3028" w:rsidRDefault="00294DD9" w:rsidP="00294DD9">
      <w:pPr>
        <w:pStyle w:val="HTMLPreformatted"/>
        <w:jc w:val="center"/>
        <w:rPr>
          <w:rFonts w:ascii="Times New Roman" w:hAnsi="Times New Roman" w:cs="Times New Roman"/>
          <w:b/>
          <w:bCs/>
          <w:sz w:val="24"/>
          <w:szCs w:val="24"/>
        </w:rPr>
      </w:pPr>
      <w:r w:rsidRPr="00FC3028">
        <w:rPr>
          <w:rFonts w:ascii="Times New Roman" w:hAnsi="Times New Roman" w:cs="Times New Roman"/>
          <w:b/>
          <w:bCs/>
          <w:sz w:val="24"/>
          <w:szCs w:val="24"/>
        </w:rPr>
        <w:lastRenderedPageBreak/>
        <w:t>BEFORE</w:t>
      </w:r>
    </w:p>
    <w:p w:rsidR="00294DD9" w:rsidRPr="00FC3028" w:rsidRDefault="00294DD9" w:rsidP="00294DD9">
      <w:pPr>
        <w:pStyle w:val="HTMLPreformatted"/>
        <w:jc w:val="center"/>
        <w:rPr>
          <w:rFonts w:ascii="Times New Roman" w:hAnsi="Times New Roman" w:cs="Times New Roman"/>
          <w:sz w:val="24"/>
          <w:szCs w:val="24"/>
        </w:rPr>
      </w:pPr>
      <w:r w:rsidRPr="00FC3028">
        <w:rPr>
          <w:rFonts w:ascii="Times New Roman" w:hAnsi="Times New Roman" w:cs="Times New Roman"/>
          <w:b/>
          <w:bCs/>
          <w:sz w:val="24"/>
          <w:szCs w:val="24"/>
        </w:rPr>
        <w:t>THE PUBLIC UTILITIES COMMISSION OF OHIO</w:t>
      </w:r>
    </w:p>
    <w:p w:rsidR="00294DD9" w:rsidRPr="00FC3028" w:rsidRDefault="00294DD9" w:rsidP="00294DD9">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9308"/>
        <w:gridCol w:w="222"/>
        <w:gridCol w:w="222"/>
      </w:tblGrid>
      <w:tr w:rsidR="00294DD9" w:rsidRPr="00FC3028" w:rsidTr="00647CF4">
        <w:trPr>
          <w:trHeight w:val="807"/>
        </w:trPr>
        <w:tc>
          <w:tcPr>
            <w:tcW w:w="4332" w:type="dxa"/>
            <w:shd w:val="clear" w:color="auto" w:fill="auto"/>
          </w:tcPr>
          <w:tbl>
            <w:tblPr>
              <w:tblW w:w="9092" w:type="dxa"/>
              <w:tblLook w:val="01E0" w:firstRow="1" w:lastRow="1" w:firstColumn="1" w:lastColumn="1" w:noHBand="0" w:noVBand="0"/>
            </w:tblPr>
            <w:tblGrid>
              <w:gridCol w:w="4332"/>
              <w:gridCol w:w="360"/>
              <w:gridCol w:w="4400"/>
            </w:tblGrid>
            <w:tr w:rsidR="00294DD9" w:rsidRPr="00FC3028" w:rsidTr="00647CF4">
              <w:trPr>
                <w:trHeight w:val="807"/>
              </w:trPr>
              <w:tc>
                <w:tcPr>
                  <w:tcW w:w="4332" w:type="dxa"/>
                  <w:shd w:val="clear" w:color="auto" w:fill="auto"/>
                </w:tcPr>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 xml:space="preserve">In the Matter of the Application of Duke Energy Ohio, Inc., for approval of an Alternative Rate Plan Pursuant to Section 4929.05, Revised Code, for an Accelerated Service Line Replacement Program. </w:t>
                  </w:r>
                </w:p>
              </w:tc>
              <w:tc>
                <w:tcPr>
                  <w:tcW w:w="360" w:type="dxa"/>
                  <w:shd w:val="clear" w:color="auto" w:fill="auto"/>
                </w:tcPr>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tc>
              <w:tc>
                <w:tcPr>
                  <w:tcW w:w="4400" w:type="dxa"/>
                  <w:shd w:val="clear" w:color="auto" w:fill="auto"/>
                </w:tcPr>
                <w:p w:rsidR="00294DD9" w:rsidRPr="00FC3028" w:rsidRDefault="00294DD9" w:rsidP="00647CF4">
                  <w:pPr>
                    <w:pStyle w:val="HTMLPreformatted"/>
                    <w:rPr>
                      <w:rFonts w:ascii="Times New Roman" w:hAnsi="Times New Roman" w:cs="Times New Roman"/>
                      <w:sz w:val="24"/>
                      <w:szCs w:val="24"/>
                    </w:rPr>
                  </w:pPr>
                </w:p>
                <w:p w:rsidR="00294DD9" w:rsidRPr="00FC3028" w:rsidRDefault="00294DD9" w:rsidP="00647CF4">
                  <w:pPr>
                    <w:pStyle w:val="HTMLPreformatted"/>
                    <w:rPr>
                      <w:rFonts w:ascii="Times New Roman" w:hAnsi="Times New Roman" w:cs="Times New Roman"/>
                      <w:sz w:val="24"/>
                      <w:szCs w:val="24"/>
                    </w:rPr>
                  </w:pPr>
                </w:p>
                <w:p w:rsidR="00294DD9" w:rsidRPr="00FC3028" w:rsidRDefault="00294DD9" w:rsidP="00647CF4">
                  <w:pPr>
                    <w:pStyle w:val="HTMLPreformatted"/>
                    <w:rPr>
                      <w:rFonts w:ascii="Times New Roman" w:hAnsi="Times New Roman" w:cs="Times New Roman"/>
                      <w:sz w:val="24"/>
                      <w:szCs w:val="24"/>
                    </w:rPr>
                  </w:pPr>
                  <w:r w:rsidRPr="00FC3028">
                    <w:rPr>
                      <w:rFonts w:ascii="Times New Roman" w:hAnsi="Times New Roman" w:cs="Times New Roman"/>
                      <w:sz w:val="24"/>
                      <w:szCs w:val="24"/>
                    </w:rPr>
                    <w:t>Case No. 14-1622-GA-ALT</w:t>
                  </w:r>
                </w:p>
                <w:p w:rsidR="00294DD9" w:rsidRPr="00FC3028" w:rsidRDefault="00294DD9" w:rsidP="00647CF4">
                  <w:pPr>
                    <w:pStyle w:val="HTMLPreformatted"/>
                    <w:rPr>
                      <w:rFonts w:ascii="Times New Roman" w:hAnsi="Times New Roman" w:cs="Times New Roman"/>
                      <w:sz w:val="24"/>
                      <w:szCs w:val="24"/>
                    </w:rPr>
                  </w:pPr>
                </w:p>
                <w:p w:rsidR="00294DD9" w:rsidRPr="00FC3028" w:rsidRDefault="00294DD9" w:rsidP="00647CF4">
                  <w:pPr>
                    <w:pStyle w:val="HTMLPreformatted"/>
                    <w:rPr>
                      <w:rFonts w:ascii="Times New Roman" w:hAnsi="Times New Roman" w:cs="Times New Roman"/>
                      <w:sz w:val="24"/>
                      <w:szCs w:val="24"/>
                    </w:rPr>
                  </w:pPr>
                </w:p>
              </w:tc>
            </w:tr>
          </w:tbl>
          <w:p w:rsidR="00294DD9" w:rsidRPr="00FC3028" w:rsidRDefault="00294DD9" w:rsidP="00647CF4">
            <w:pPr>
              <w:pStyle w:val="HTMLPreformatted"/>
              <w:rPr>
                <w:rFonts w:ascii="Times New Roman" w:hAnsi="Times New Roman" w:cs="Times New Roman"/>
                <w:sz w:val="24"/>
                <w:szCs w:val="24"/>
              </w:rPr>
            </w:pPr>
          </w:p>
        </w:tc>
        <w:tc>
          <w:tcPr>
            <w:tcW w:w="360" w:type="dxa"/>
            <w:shd w:val="clear" w:color="auto" w:fill="auto"/>
          </w:tcPr>
          <w:p w:rsidR="00294DD9" w:rsidRPr="00FC3028" w:rsidRDefault="00294DD9" w:rsidP="00647CF4">
            <w:pPr>
              <w:pStyle w:val="HTMLPreformatted"/>
              <w:rPr>
                <w:rFonts w:ascii="Times New Roman" w:hAnsi="Times New Roman" w:cs="Times New Roman"/>
                <w:sz w:val="24"/>
                <w:szCs w:val="24"/>
              </w:rPr>
            </w:pPr>
          </w:p>
        </w:tc>
        <w:tc>
          <w:tcPr>
            <w:tcW w:w="4400" w:type="dxa"/>
            <w:shd w:val="clear" w:color="auto" w:fill="auto"/>
          </w:tcPr>
          <w:p w:rsidR="00294DD9" w:rsidRPr="00FC3028" w:rsidRDefault="00294DD9" w:rsidP="00647CF4">
            <w:pPr>
              <w:pStyle w:val="HTMLPreformatted"/>
              <w:rPr>
                <w:rFonts w:ascii="Times New Roman" w:hAnsi="Times New Roman" w:cs="Times New Roman"/>
                <w:sz w:val="24"/>
                <w:szCs w:val="24"/>
              </w:rPr>
            </w:pPr>
          </w:p>
        </w:tc>
      </w:tr>
    </w:tbl>
    <w:p w:rsidR="00294DD9" w:rsidRPr="00FC3028" w:rsidRDefault="00294DD9" w:rsidP="00294DD9">
      <w:pPr>
        <w:pStyle w:val="HTMLPreformatted"/>
        <w:pBdr>
          <w:bottom w:val="single" w:sz="12" w:space="4" w:color="auto"/>
        </w:pBdr>
        <w:rPr>
          <w:rFonts w:ascii="Times New Roman" w:hAnsi="Times New Roman" w:cs="Times New Roman"/>
          <w:sz w:val="24"/>
          <w:szCs w:val="24"/>
        </w:rPr>
      </w:pPr>
    </w:p>
    <w:p w:rsidR="00294DD9" w:rsidRPr="00FC3028" w:rsidRDefault="00294DD9" w:rsidP="00294DD9">
      <w:pPr>
        <w:contextualSpacing/>
        <w:rPr>
          <w:rFonts w:ascii="Times New Roman" w:hAnsi="Times New Roman" w:cs="Times New Roman"/>
          <w:sz w:val="24"/>
          <w:szCs w:val="24"/>
        </w:rPr>
      </w:pPr>
    </w:p>
    <w:p w:rsidR="00294DD9" w:rsidRPr="00FC3028" w:rsidRDefault="00294DD9" w:rsidP="00294DD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REPLY</w:t>
      </w:r>
      <w:r w:rsidRPr="00FC3028">
        <w:rPr>
          <w:rFonts w:ascii="Times New Roman" w:hAnsi="Times New Roman" w:cs="Times New Roman"/>
          <w:b/>
          <w:sz w:val="24"/>
          <w:szCs w:val="24"/>
        </w:rPr>
        <w:t xml:space="preserve"> BRIEF</w:t>
      </w:r>
    </w:p>
    <w:p w:rsidR="00294DD9" w:rsidRPr="00FC3028" w:rsidRDefault="00294DD9" w:rsidP="00294DD9">
      <w:pPr>
        <w:spacing w:line="240" w:lineRule="auto"/>
        <w:contextualSpacing/>
        <w:jc w:val="center"/>
        <w:rPr>
          <w:rFonts w:ascii="Times New Roman" w:hAnsi="Times New Roman" w:cs="Times New Roman"/>
          <w:b/>
          <w:sz w:val="24"/>
          <w:szCs w:val="24"/>
        </w:rPr>
      </w:pPr>
      <w:r w:rsidRPr="00FC3028">
        <w:rPr>
          <w:rFonts w:ascii="Times New Roman" w:hAnsi="Times New Roman" w:cs="Times New Roman"/>
          <w:b/>
          <w:sz w:val="24"/>
          <w:szCs w:val="24"/>
        </w:rPr>
        <w:t>BY</w:t>
      </w:r>
    </w:p>
    <w:p w:rsidR="00294DD9" w:rsidRPr="00FC3028" w:rsidRDefault="00294DD9" w:rsidP="00294DD9">
      <w:pPr>
        <w:pBdr>
          <w:bottom w:val="single" w:sz="12" w:space="1" w:color="auto"/>
        </w:pBdr>
        <w:spacing w:line="240" w:lineRule="auto"/>
        <w:contextualSpacing/>
        <w:jc w:val="center"/>
        <w:rPr>
          <w:rFonts w:ascii="Times New Roman" w:hAnsi="Times New Roman" w:cs="Times New Roman"/>
          <w:b/>
          <w:sz w:val="24"/>
          <w:szCs w:val="24"/>
        </w:rPr>
      </w:pPr>
      <w:r w:rsidRPr="00FC3028">
        <w:rPr>
          <w:rFonts w:ascii="Times New Roman" w:hAnsi="Times New Roman" w:cs="Times New Roman"/>
          <w:b/>
          <w:sz w:val="24"/>
          <w:szCs w:val="24"/>
        </w:rPr>
        <w:t>THE OFFICE OF THE OHIO CONSUMERS’ COUNSEL</w:t>
      </w:r>
    </w:p>
    <w:p w:rsidR="00294DD9" w:rsidRPr="00FC3028" w:rsidRDefault="00294DD9" w:rsidP="00294DD9">
      <w:pPr>
        <w:pBdr>
          <w:bottom w:val="single" w:sz="12" w:space="1" w:color="auto"/>
        </w:pBdr>
        <w:spacing w:line="240" w:lineRule="auto"/>
        <w:jc w:val="center"/>
        <w:rPr>
          <w:rFonts w:ascii="Times New Roman" w:hAnsi="Times New Roman" w:cs="Times New Roman"/>
          <w:b/>
          <w:sz w:val="24"/>
          <w:szCs w:val="24"/>
        </w:rPr>
      </w:pPr>
    </w:p>
    <w:p w:rsidR="00712723" w:rsidRPr="00712723" w:rsidRDefault="00294DD9" w:rsidP="00BD7D40">
      <w:pPr>
        <w:pStyle w:val="Heading1"/>
      </w:pPr>
      <w:bookmarkStart w:id="1" w:name="_Toc437441452"/>
      <w:bookmarkStart w:id="2" w:name="_Toc438641579"/>
      <w:r w:rsidRPr="00FC3028">
        <w:t>Introduction</w:t>
      </w:r>
      <w:bookmarkEnd w:id="1"/>
      <w:bookmarkEnd w:id="2"/>
    </w:p>
    <w:p w:rsidR="00712723" w:rsidRPr="007344B6" w:rsidRDefault="00EB3EF8"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this case, Duke </w:t>
      </w:r>
      <w:r w:rsidR="00FD5607">
        <w:rPr>
          <w:rFonts w:ascii="Times New Roman" w:hAnsi="Times New Roman" w:cs="Times New Roman"/>
          <w:sz w:val="24"/>
          <w:szCs w:val="24"/>
        </w:rPr>
        <w:t>Energy Ohio, Inc., (“Duke”</w:t>
      </w:r>
      <w:r>
        <w:rPr>
          <w:rFonts w:ascii="Times New Roman" w:hAnsi="Times New Roman" w:cs="Times New Roman"/>
          <w:sz w:val="24"/>
          <w:szCs w:val="24"/>
        </w:rPr>
        <w:t xml:space="preserve"> or “Utility”</w:t>
      </w:r>
      <w:r w:rsidR="00FD5607">
        <w:rPr>
          <w:rFonts w:ascii="Times New Roman" w:hAnsi="Times New Roman" w:cs="Times New Roman"/>
          <w:sz w:val="24"/>
          <w:szCs w:val="24"/>
        </w:rPr>
        <w:t>)</w:t>
      </w:r>
      <w:r>
        <w:rPr>
          <w:rFonts w:ascii="Times New Roman" w:hAnsi="Times New Roman" w:cs="Times New Roman"/>
          <w:sz w:val="24"/>
          <w:szCs w:val="24"/>
        </w:rPr>
        <w:t xml:space="preserve"> is seeking approval </w:t>
      </w:r>
      <w:r w:rsidRPr="007344B6">
        <w:rPr>
          <w:rFonts w:ascii="Times New Roman" w:hAnsi="Times New Roman" w:cs="Times New Roman"/>
          <w:sz w:val="24"/>
          <w:szCs w:val="24"/>
        </w:rPr>
        <w:t>of an alternative rate plan</w:t>
      </w:r>
      <w:r w:rsidRPr="007344B6">
        <w:rPr>
          <w:rStyle w:val="FootnoteReference"/>
          <w:rFonts w:ascii="Times New Roman" w:hAnsi="Times New Roman" w:cs="Times New Roman"/>
          <w:sz w:val="24"/>
          <w:szCs w:val="24"/>
        </w:rPr>
        <w:footnoteReference w:id="1"/>
      </w:r>
      <w:r w:rsidRPr="007344B6">
        <w:rPr>
          <w:rFonts w:ascii="Times New Roman" w:hAnsi="Times New Roman" w:cs="Times New Roman"/>
          <w:sz w:val="24"/>
          <w:szCs w:val="24"/>
        </w:rPr>
        <w:t xml:space="preserve"> for an Accelerated Service Li</w:t>
      </w:r>
      <w:r>
        <w:rPr>
          <w:rFonts w:ascii="Times New Roman" w:hAnsi="Times New Roman" w:cs="Times New Roman"/>
          <w:sz w:val="24"/>
          <w:szCs w:val="24"/>
        </w:rPr>
        <w:t xml:space="preserve">ne Replacement Program (“ASRP”), which would </w:t>
      </w:r>
      <w:r w:rsidR="00477211">
        <w:rPr>
          <w:rFonts w:ascii="Times New Roman" w:hAnsi="Times New Roman" w:cs="Times New Roman"/>
          <w:sz w:val="24"/>
          <w:szCs w:val="24"/>
        </w:rPr>
        <w:t>cost</w:t>
      </w:r>
      <w:r>
        <w:rPr>
          <w:rFonts w:ascii="Times New Roman" w:hAnsi="Times New Roman" w:cs="Times New Roman"/>
          <w:sz w:val="24"/>
          <w:szCs w:val="24"/>
        </w:rPr>
        <w:t xml:space="preserve"> Ohio consumers $320 million to replace 58,000 service lines that are not a threat to public safety. T</w:t>
      </w:r>
      <w:r w:rsidR="00DE6524">
        <w:rPr>
          <w:rFonts w:ascii="Times New Roman" w:hAnsi="Times New Roman" w:cs="Times New Roman"/>
          <w:sz w:val="24"/>
          <w:szCs w:val="24"/>
        </w:rPr>
        <w:t xml:space="preserve">he Public Utilities Commission of Ohio (“PUCO” or “Commission”) </w:t>
      </w:r>
      <w:r>
        <w:rPr>
          <w:rFonts w:ascii="Times New Roman" w:hAnsi="Times New Roman" w:cs="Times New Roman"/>
          <w:sz w:val="24"/>
          <w:szCs w:val="24"/>
        </w:rPr>
        <w:t>has the abilit</w:t>
      </w:r>
      <w:r w:rsidR="00740A8F">
        <w:rPr>
          <w:rFonts w:ascii="Times New Roman" w:hAnsi="Times New Roman" w:cs="Times New Roman"/>
          <w:sz w:val="24"/>
          <w:szCs w:val="24"/>
        </w:rPr>
        <w:t>y in this proceeding</w:t>
      </w:r>
      <w:r w:rsidR="00477211">
        <w:rPr>
          <w:rFonts w:ascii="Times New Roman" w:hAnsi="Times New Roman" w:cs="Times New Roman"/>
          <w:sz w:val="24"/>
          <w:szCs w:val="24"/>
        </w:rPr>
        <w:t xml:space="preserve"> </w:t>
      </w:r>
      <w:r w:rsidR="00740A8F">
        <w:rPr>
          <w:rFonts w:ascii="Times New Roman" w:hAnsi="Times New Roman" w:cs="Times New Roman"/>
          <w:sz w:val="24"/>
          <w:szCs w:val="24"/>
        </w:rPr>
        <w:t xml:space="preserve">to protect Ohioans from </w:t>
      </w:r>
      <w:r w:rsidR="00F96311">
        <w:rPr>
          <w:rFonts w:ascii="Times New Roman" w:hAnsi="Times New Roman" w:cs="Times New Roman"/>
          <w:sz w:val="24"/>
          <w:szCs w:val="24"/>
        </w:rPr>
        <w:t>this large</w:t>
      </w:r>
      <w:r w:rsidR="00740A8F">
        <w:rPr>
          <w:rFonts w:ascii="Times New Roman" w:hAnsi="Times New Roman" w:cs="Times New Roman"/>
          <w:sz w:val="24"/>
          <w:szCs w:val="24"/>
        </w:rPr>
        <w:t xml:space="preserve"> utility bill increase that </w:t>
      </w:r>
      <w:r w:rsidR="00F96311">
        <w:rPr>
          <w:rFonts w:ascii="Times New Roman" w:hAnsi="Times New Roman" w:cs="Times New Roman"/>
          <w:sz w:val="24"/>
          <w:szCs w:val="24"/>
        </w:rPr>
        <w:t>provides</w:t>
      </w:r>
      <w:r w:rsidR="00740A8F">
        <w:rPr>
          <w:rFonts w:ascii="Times New Roman" w:hAnsi="Times New Roman" w:cs="Times New Roman"/>
          <w:sz w:val="24"/>
          <w:szCs w:val="24"/>
        </w:rPr>
        <w:t xml:space="preserve"> little to n</w:t>
      </w:r>
      <w:r w:rsidR="00894330">
        <w:rPr>
          <w:rFonts w:ascii="Times New Roman" w:hAnsi="Times New Roman" w:cs="Times New Roman"/>
          <w:sz w:val="24"/>
          <w:szCs w:val="24"/>
        </w:rPr>
        <w:t>o benefit to consumers</w:t>
      </w:r>
      <w:r w:rsidR="00905821">
        <w:rPr>
          <w:rFonts w:ascii="Times New Roman" w:hAnsi="Times New Roman" w:cs="Times New Roman"/>
          <w:sz w:val="24"/>
          <w:szCs w:val="24"/>
        </w:rPr>
        <w:t>,</w:t>
      </w:r>
      <w:r w:rsidR="00477211">
        <w:rPr>
          <w:rFonts w:ascii="Times New Roman" w:hAnsi="Times New Roman" w:cs="Times New Roman"/>
          <w:sz w:val="24"/>
          <w:szCs w:val="24"/>
        </w:rPr>
        <w:t xml:space="preserve"> by denying Duke’s application</w:t>
      </w:r>
      <w:r>
        <w:rPr>
          <w:rFonts w:ascii="Times New Roman" w:hAnsi="Times New Roman" w:cs="Times New Roman"/>
          <w:sz w:val="24"/>
          <w:szCs w:val="24"/>
        </w:rPr>
        <w:t>.</w:t>
      </w:r>
      <w:r w:rsidR="00740A8F">
        <w:rPr>
          <w:rFonts w:ascii="Times New Roman" w:hAnsi="Times New Roman" w:cs="Times New Roman"/>
          <w:sz w:val="24"/>
          <w:szCs w:val="24"/>
        </w:rPr>
        <w:t xml:space="preserve"> In doing</w:t>
      </w:r>
      <w:r w:rsidR="00814283">
        <w:rPr>
          <w:rFonts w:ascii="Times New Roman" w:hAnsi="Times New Roman" w:cs="Times New Roman"/>
          <w:sz w:val="24"/>
          <w:szCs w:val="24"/>
        </w:rPr>
        <w:t xml:space="preserve"> so, the PUCO would send</w:t>
      </w:r>
      <w:r w:rsidR="00F96311">
        <w:rPr>
          <w:rFonts w:ascii="Times New Roman" w:hAnsi="Times New Roman" w:cs="Times New Roman"/>
          <w:sz w:val="24"/>
          <w:szCs w:val="24"/>
        </w:rPr>
        <w:t xml:space="preserve"> </w:t>
      </w:r>
      <w:r w:rsidR="00814283">
        <w:rPr>
          <w:rFonts w:ascii="Times New Roman" w:hAnsi="Times New Roman" w:cs="Times New Roman"/>
          <w:sz w:val="24"/>
          <w:szCs w:val="24"/>
        </w:rPr>
        <w:t>the</w:t>
      </w:r>
      <w:r w:rsidR="00F96311">
        <w:rPr>
          <w:rFonts w:ascii="Times New Roman" w:hAnsi="Times New Roman" w:cs="Times New Roman"/>
          <w:sz w:val="24"/>
          <w:szCs w:val="24"/>
        </w:rPr>
        <w:t xml:space="preserve"> </w:t>
      </w:r>
      <w:r w:rsidR="00186FFB">
        <w:rPr>
          <w:rFonts w:ascii="Times New Roman" w:hAnsi="Times New Roman" w:cs="Times New Roman"/>
          <w:sz w:val="24"/>
          <w:szCs w:val="24"/>
        </w:rPr>
        <w:t xml:space="preserve">message </w:t>
      </w:r>
      <w:r w:rsidR="00740A8F">
        <w:rPr>
          <w:rFonts w:ascii="Times New Roman" w:hAnsi="Times New Roman" w:cs="Times New Roman"/>
          <w:sz w:val="24"/>
          <w:szCs w:val="24"/>
        </w:rPr>
        <w:t xml:space="preserve">that it will not approve a utility’s </w:t>
      </w:r>
      <w:r w:rsidR="00186FFB">
        <w:rPr>
          <w:rFonts w:ascii="Times New Roman" w:hAnsi="Times New Roman" w:cs="Times New Roman"/>
          <w:sz w:val="24"/>
          <w:szCs w:val="24"/>
        </w:rPr>
        <w:t>alternative rate plan</w:t>
      </w:r>
      <w:r w:rsidR="00740A8F">
        <w:rPr>
          <w:rFonts w:ascii="Times New Roman" w:hAnsi="Times New Roman" w:cs="Times New Roman"/>
          <w:sz w:val="24"/>
          <w:szCs w:val="24"/>
        </w:rPr>
        <w:t xml:space="preserve"> unless the benefits to consumers outweigh the costs.</w:t>
      </w:r>
      <w:r>
        <w:rPr>
          <w:rFonts w:ascii="Times New Roman" w:hAnsi="Times New Roman" w:cs="Times New Roman"/>
          <w:sz w:val="24"/>
          <w:szCs w:val="24"/>
        </w:rPr>
        <w:t xml:space="preserve"> </w:t>
      </w:r>
      <w:r w:rsidR="00B529D5">
        <w:rPr>
          <w:rFonts w:ascii="Times New Roman" w:hAnsi="Times New Roman" w:cs="Times New Roman"/>
          <w:sz w:val="24"/>
          <w:szCs w:val="24"/>
        </w:rPr>
        <w:t>Approving the application would sen</w:t>
      </w:r>
      <w:r w:rsidR="00814283">
        <w:rPr>
          <w:rFonts w:ascii="Times New Roman" w:hAnsi="Times New Roman" w:cs="Times New Roman"/>
          <w:sz w:val="24"/>
          <w:szCs w:val="24"/>
        </w:rPr>
        <w:t>d the opposite message and set</w:t>
      </w:r>
      <w:r w:rsidR="00B529D5">
        <w:rPr>
          <w:rFonts w:ascii="Times New Roman" w:hAnsi="Times New Roman" w:cs="Times New Roman"/>
          <w:sz w:val="24"/>
          <w:szCs w:val="24"/>
        </w:rPr>
        <w:t xml:space="preserve"> dangerous </w:t>
      </w:r>
      <w:r w:rsidR="00814283">
        <w:rPr>
          <w:rFonts w:ascii="Times New Roman" w:hAnsi="Times New Roman" w:cs="Times New Roman"/>
          <w:sz w:val="24"/>
          <w:szCs w:val="24"/>
        </w:rPr>
        <w:t xml:space="preserve">legal and policy </w:t>
      </w:r>
      <w:r w:rsidR="00B529D5">
        <w:rPr>
          <w:rFonts w:ascii="Times New Roman" w:hAnsi="Times New Roman" w:cs="Times New Roman"/>
          <w:sz w:val="24"/>
          <w:szCs w:val="24"/>
        </w:rPr>
        <w:t>precedent.</w:t>
      </w:r>
    </w:p>
    <w:p w:rsidR="007344B6" w:rsidRDefault="007344B6"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Under R.C. 4929.05, the PUCO may authorize an alternative rate plan only if the PUCO finds that the application is in substantial compliance with the policy of the State of Ohio specified in R.C.</w:t>
      </w:r>
      <w:r w:rsidR="002F1722">
        <w:rPr>
          <w:rFonts w:ascii="Times New Roman" w:hAnsi="Times New Roman" w:cs="Times New Roman"/>
          <w:sz w:val="24"/>
          <w:szCs w:val="24"/>
        </w:rPr>
        <w:t xml:space="preserve"> </w:t>
      </w:r>
      <w:r>
        <w:rPr>
          <w:rFonts w:ascii="Times New Roman" w:hAnsi="Times New Roman" w:cs="Times New Roman"/>
          <w:sz w:val="24"/>
          <w:szCs w:val="24"/>
        </w:rPr>
        <w:t xml:space="preserve">4929.02 and the alternative rate plan is just and reasonable. </w:t>
      </w:r>
      <w:r>
        <w:rPr>
          <w:rFonts w:ascii="Times New Roman" w:hAnsi="Times New Roman" w:cs="Times New Roman"/>
          <w:sz w:val="24"/>
          <w:szCs w:val="24"/>
        </w:rPr>
        <w:lastRenderedPageBreak/>
        <w:t>Under</w:t>
      </w:r>
      <w:r w:rsidR="00905821">
        <w:rPr>
          <w:rFonts w:ascii="Times New Roman" w:hAnsi="Times New Roman" w:cs="Times New Roman"/>
          <w:sz w:val="24"/>
          <w:szCs w:val="24"/>
        </w:rPr>
        <w:t xml:space="preserve"> R.C.</w:t>
      </w:r>
      <w:r>
        <w:rPr>
          <w:rFonts w:ascii="Times New Roman" w:hAnsi="Times New Roman" w:cs="Times New Roman"/>
          <w:sz w:val="24"/>
          <w:szCs w:val="24"/>
        </w:rPr>
        <w:t xml:space="preserve"> 4929.02, the PUCO must promote, among other things, the availability of adequate, reliable</w:t>
      </w:r>
      <w:r w:rsidR="00D234A9">
        <w:rPr>
          <w:rFonts w:ascii="Times New Roman" w:hAnsi="Times New Roman" w:cs="Times New Roman"/>
          <w:sz w:val="24"/>
          <w:szCs w:val="24"/>
        </w:rPr>
        <w:t>,</w:t>
      </w:r>
      <w:r>
        <w:rPr>
          <w:rFonts w:ascii="Times New Roman" w:hAnsi="Times New Roman" w:cs="Times New Roman"/>
          <w:sz w:val="24"/>
          <w:szCs w:val="24"/>
        </w:rPr>
        <w:t xml:space="preserve"> and reasonably priced natural gas services and goods. In an alternative rate plan proceeding, the burden of proof is on the applicant.</w:t>
      </w:r>
    </w:p>
    <w:p w:rsidR="003A755F" w:rsidRPr="007344B6" w:rsidRDefault="003A755F"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 has not demonstrated that its application for an alternative rate plan is in substantial comp</w:t>
      </w:r>
      <w:r w:rsidR="00905821">
        <w:rPr>
          <w:rFonts w:ascii="Times New Roman" w:hAnsi="Times New Roman" w:cs="Times New Roman"/>
          <w:sz w:val="24"/>
          <w:szCs w:val="24"/>
        </w:rPr>
        <w:t>liance with the policies</w:t>
      </w:r>
      <w:r>
        <w:rPr>
          <w:rFonts w:ascii="Times New Roman" w:hAnsi="Times New Roman" w:cs="Times New Roman"/>
          <w:sz w:val="24"/>
          <w:szCs w:val="24"/>
        </w:rPr>
        <w:t xml:space="preserve"> in R.C. 4929.02 or is just and reasonable. </w:t>
      </w:r>
      <w:r w:rsidR="007A7B8D">
        <w:rPr>
          <w:rFonts w:ascii="Times New Roman" w:hAnsi="Times New Roman" w:cs="Times New Roman"/>
          <w:sz w:val="24"/>
          <w:szCs w:val="24"/>
        </w:rPr>
        <w:t>Duke has not fulfilled its burden of p</w:t>
      </w:r>
      <w:r w:rsidR="00910934">
        <w:rPr>
          <w:rFonts w:ascii="Times New Roman" w:hAnsi="Times New Roman" w:cs="Times New Roman"/>
          <w:sz w:val="24"/>
          <w:szCs w:val="24"/>
        </w:rPr>
        <w:t xml:space="preserve">roof that the ASRP is necessary or in the </w:t>
      </w:r>
      <w:r w:rsidR="007A7B8D">
        <w:rPr>
          <w:rFonts w:ascii="Times New Roman" w:hAnsi="Times New Roman" w:cs="Times New Roman"/>
          <w:sz w:val="24"/>
          <w:szCs w:val="24"/>
        </w:rPr>
        <w:t>public interest</w:t>
      </w:r>
      <w:r w:rsidR="00910934">
        <w:rPr>
          <w:rFonts w:ascii="Times New Roman" w:hAnsi="Times New Roman" w:cs="Times New Roman"/>
          <w:sz w:val="24"/>
          <w:szCs w:val="24"/>
        </w:rPr>
        <w:t>. Duke has also not shown that the ASRP’s benefits outweigh its costs</w:t>
      </w:r>
      <w:r w:rsidR="007A7B8D">
        <w:rPr>
          <w:rFonts w:ascii="Times New Roman" w:hAnsi="Times New Roman" w:cs="Times New Roman"/>
          <w:sz w:val="24"/>
          <w:szCs w:val="24"/>
        </w:rPr>
        <w:t xml:space="preserve">. </w:t>
      </w:r>
      <w:r w:rsidR="00F96311">
        <w:rPr>
          <w:rFonts w:ascii="Times New Roman" w:hAnsi="Times New Roman" w:cs="Times New Roman"/>
          <w:sz w:val="24"/>
          <w:szCs w:val="24"/>
        </w:rPr>
        <w:t>Accordingly, on behalf of the 400,000 natural gas customers of Duke, the Office of the Ohio Consumers’ Counsel (“OCC”) requests that Duke’s alternative rate plan be denied.</w:t>
      </w:r>
    </w:p>
    <w:p w:rsidR="00712723" w:rsidRDefault="00712723" w:rsidP="00BD7D40">
      <w:pPr>
        <w:pStyle w:val="Heading1"/>
      </w:pPr>
      <w:bookmarkStart w:id="3" w:name="_Toc438641580"/>
      <w:r w:rsidRPr="00712723">
        <w:t>ARGUMENT</w:t>
      </w:r>
      <w:bookmarkEnd w:id="3"/>
    </w:p>
    <w:p w:rsidR="00925C99" w:rsidRPr="002A6EE7" w:rsidRDefault="00BD7D40" w:rsidP="00925C99">
      <w:pPr>
        <w:pStyle w:val="Heading2"/>
      </w:pPr>
      <w:bookmarkStart w:id="4" w:name="_Toc438641581"/>
      <w:r>
        <w:t>A.</w:t>
      </w:r>
      <w:r>
        <w:tab/>
      </w:r>
      <w:r w:rsidR="00925C99" w:rsidRPr="002A6EE7">
        <w:t>Duke’s ASRP is inconsistent with state law and policy to the detriment of c</w:t>
      </w:r>
      <w:r w:rsidR="00E06D48">
        <w:t>onsumers</w:t>
      </w:r>
      <w:r w:rsidR="00925C99" w:rsidRPr="002A6EE7">
        <w:t>.</w:t>
      </w:r>
      <w:bookmarkEnd w:id="4"/>
    </w:p>
    <w:p w:rsidR="00925C99" w:rsidRDefault="00925C99" w:rsidP="00925C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 states that under R.C. 4929.05 the rates it will charge customers for its ASRP do not have to be just and reasonable.</w:t>
      </w:r>
      <w:r w:rsidR="0090582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 is not true. In addition to complying with R.C. 4929.05, Duke must also comply with all other state policies and regulations. In fact, R.C. 4929.05 explicitly states that “t</w:t>
      </w:r>
      <w:r w:rsidRPr="002A1956">
        <w:rPr>
          <w:rFonts w:ascii="Times New Roman" w:hAnsi="Times New Roman" w:cs="Times New Roman"/>
          <w:sz w:val="24"/>
          <w:szCs w:val="24"/>
        </w:rPr>
        <w:t>he natural gas company is expected to continue to be in substantial compliance with the policy of this state specified in section 4929.02 of the Revised Code after implementation of the alternative rate plan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R.C. 4929.02(A)(1) requires the state to promote “reasonably priced natural gas services.”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Duke notably omits an analysis of this provision in its Initial Brief. Therefore, </w:t>
      </w:r>
      <w:r>
        <w:rPr>
          <w:rFonts w:ascii="Times New Roman" w:hAnsi="Times New Roman" w:cs="Times New Roman"/>
          <w:sz w:val="24"/>
          <w:szCs w:val="24"/>
        </w:rPr>
        <w:lastRenderedPageBreak/>
        <w:t>R.C. 4929.05 did not give Duke the liberty to charge customers whatever price it desires for natural gas service. Its prices must be reasonable.</w:t>
      </w:r>
    </w:p>
    <w:p w:rsidR="00925C99" w:rsidRPr="00925C99" w:rsidRDefault="00925C99" w:rsidP="005F0B8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Curiously, in what seems to be a defense of its proposed rates, Duke reaffirms that its Rider ASRP rates will be capped at $1 per month, per bill.</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What it does not reiterate is that the cap will be increased by $1 every year until customers are paying $10 per month, per customer in the last year of the program. This would be approximately $120 per year per customer. Duke then states that “no party in this proceeding opposed the caps offered by the Company.”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w:t>
      </w:r>
      <w:r w:rsidR="00E06D48">
        <w:rPr>
          <w:rFonts w:ascii="Times New Roman" w:hAnsi="Times New Roman" w:cs="Times New Roman"/>
          <w:sz w:val="24"/>
          <w:szCs w:val="24"/>
        </w:rPr>
        <w:t>at</w:t>
      </w:r>
      <w:r>
        <w:rPr>
          <w:rFonts w:ascii="Times New Roman" w:hAnsi="Times New Roman" w:cs="Times New Roman"/>
          <w:sz w:val="24"/>
          <w:szCs w:val="24"/>
        </w:rPr>
        <w:t xml:space="preserve"> is not true. In fact, OCC witness Williams explicitly opposed the ASRP’s cost, including the cap amounts, in his pre-filed direct testimony.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Mr. Williams stated that the amount that each customer would pay under Duke’s proposed cap would result in unjust and unreasonably priced natural gas service for Duke’s customers.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905821">
        <w:rPr>
          <w:rFonts w:ascii="Times New Roman" w:hAnsi="Times New Roman" w:cs="Times New Roman"/>
          <w:sz w:val="24"/>
          <w:szCs w:val="24"/>
        </w:rPr>
        <w:t>Therefore, Duke’s ASRP is inconsistent with state law and policy because</w:t>
      </w:r>
      <w:r w:rsidR="00E06D48">
        <w:rPr>
          <w:rFonts w:ascii="Times New Roman" w:hAnsi="Times New Roman" w:cs="Times New Roman"/>
          <w:sz w:val="24"/>
          <w:szCs w:val="24"/>
        </w:rPr>
        <w:t xml:space="preserve">, among other things, </w:t>
      </w:r>
      <w:r w:rsidR="00905821">
        <w:rPr>
          <w:rFonts w:ascii="Times New Roman" w:hAnsi="Times New Roman" w:cs="Times New Roman"/>
          <w:sz w:val="24"/>
          <w:szCs w:val="24"/>
        </w:rPr>
        <w:t>it will not promote reasonably priced natural gas services.</w:t>
      </w:r>
    </w:p>
    <w:p w:rsidR="00925C99" w:rsidRDefault="00925C99" w:rsidP="00925C99">
      <w:pPr>
        <w:pStyle w:val="Heading2"/>
      </w:pPr>
      <w:bookmarkStart w:id="5" w:name="_Toc438641582"/>
      <w:r>
        <w:t>B.</w:t>
      </w:r>
      <w:r>
        <w:tab/>
        <w:t>Duke’s ASRP is inconsistent with Federal law and policy to the detriment of consumers.</w:t>
      </w:r>
      <w:bookmarkEnd w:id="5"/>
    </w:p>
    <w:p w:rsidR="00925C99" w:rsidRDefault="00925C99" w:rsidP="00925C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 states that the federal government has directed it to propose the ASRP.</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That is not true. First, it is important to note that if the federal government had wanted Duke or any other natural gas system operator to replace steel and unprotected metallic service lines it would have ordered them to do so 45 years ago. </w:t>
      </w:r>
      <w:r w:rsidR="00E06D48">
        <w:rPr>
          <w:rFonts w:ascii="Times New Roman" w:hAnsi="Times New Roman" w:cs="Times New Roman"/>
          <w:sz w:val="24"/>
          <w:szCs w:val="24"/>
        </w:rPr>
        <w:t>As Duke states, i</w:t>
      </w:r>
      <w:r>
        <w:rPr>
          <w:rFonts w:ascii="Times New Roman" w:hAnsi="Times New Roman" w:cs="Times New Roman"/>
          <w:sz w:val="24"/>
          <w:szCs w:val="24"/>
        </w:rPr>
        <w:t xml:space="preserve">n 1971 </w:t>
      </w:r>
      <w:r>
        <w:rPr>
          <w:rFonts w:ascii="Times New Roman" w:hAnsi="Times New Roman" w:cs="Times New Roman"/>
          <w:sz w:val="24"/>
          <w:szCs w:val="24"/>
        </w:rPr>
        <w:lastRenderedPageBreak/>
        <w:t>the United States Department of Transportation (“U.S. DOT”) adopted regulations removing cast iron from its list of approved materials for new pipe construction.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It did so because it recognized that non-cathodically protected steel pipe could be susceptible to corrosion. </w:t>
      </w:r>
      <w:r w:rsidR="00CC6F10">
        <w:rPr>
          <w:rFonts w:ascii="Times New Roman" w:hAnsi="Times New Roman" w:cs="Times New Roman"/>
          <w:sz w:val="24"/>
          <w:szCs w:val="24"/>
        </w:rPr>
        <w:t>Notably,</w:t>
      </w:r>
      <w:r>
        <w:rPr>
          <w:rFonts w:ascii="Times New Roman" w:hAnsi="Times New Roman" w:cs="Times New Roman"/>
          <w:sz w:val="24"/>
          <w:szCs w:val="24"/>
        </w:rPr>
        <w:t xml:space="preserve"> Duke does not state that the U.S. DOT required replacement of all steel and unprotected metallic service lines in 1971.</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It required that new buried metallic pipe have a cathodic protection coating to safeguard against corrosion. In the 45 years since those regulations were implemented the U.S. DOT has never affirmatively or explicitly required the replacement of steel or unprotected metallic service lines. </w:t>
      </w:r>
    </w:p>
    <w:p w:rsidR="00925C99" w:rsidRDefault="00925C99" w:rsidP="00925C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Duke states that it is now seeking such authorization because the </w:t>
      </w:r>
      <w:r w:rsidR="00922C86">
        <w:rPr>
          <w:rFonts w:ascii="Times New Roman" w:hAnsi="Times New Roman" w:cs="Times New Roman"/>
          <w:sz w:val="24"/>
          <w:szCs w:val="24"/>
        </w:rPr>
        <w:t>Pipeline and Hazardous Materials Safety Administration’s (“</w:t>
      </w:r>
      <w:r>
        <w:rPr>
          <w:rFonts w:ascii="Times New Roman" w:hAnsi="Times New Roman" w:cs="Times New Roman"/>
          <w:sz w:val="24"/>
          <w:szCs w:val="24"/>
        </w:rPr>
        <w:t>PHMSA</w:t>
      </w:r>
      <w:r w:rsidR="00922C86">
        <w:rPr>
          <w:rFonts w:ascii="Times New Roman" w:hAnsi="Times New Roman" w:cs="Times New Roman"/>
          <w:sz w:val="24"/>
          <w:szCs w:val="24"/>
        </w:rPr>
        <w:t>”)</w:t>
      </w:r>
      <w:r>
        <w:rPr>
          <w:rFonts w:ascii="Times New Roman" w:hAnsi="Times New Roman" w:cs="Times New Roman"/>
          <w:sz w:val="24"/>
          <w:szCs w:val="24"/>
        </w:rPr>
        <w:t xml:space="preserve"> </w:t>
      </w:r>
      <w:r w:rsidR="00922C86">
        <w:rPr>
          <w:rFonts w:ascii="Times New Roman" w:hAnsi="Times New Roman" w:cs="Times New Roman"/>
          <w:sz w:val="24"/>
          <w:szCs w:val="24"/>
        </w:rPr>
        <w:t>Distribution Integrity Management Program (“</w:t>
      </w:r>
      <w:r>
        <w:rPr>
          <w:rFonts w:ascii="Times New Roman" w:hAnsi="Times New Roman" w:cs="Times New Roman"/>
          <w:sz w:val="24"/>
          <w:szCs w:val="24"/>
        </w:rPr>
        <w:t>DIMP</w:t>
      </w:r>
      <w:r w:rsidR="00922C86">
        <w:rPr>
          <w:rFonts w:ascii="Times New Roman" w:hAnsi="Times New Roman" w:cs="Times New Roman"/>
          <w:sz w:val="24"/>
          <w:szCs w:val="24"/>
        </w:rPr>
        <w:t>”)</w:t>
      </w:r>
      <w:r>
        <w:rPr>
          <w:rFonts w:ascii="Times New Roman" w:hAnsi="Times New Roman" w:cs="Times New Roman"/>
          <w:sz w:val="24"/>
          <w:szCs w:val="24"/>
        </w:rPr>
        <w:t xml:space="preserve"> regulations have directed it to do so. That is not true. As Staff</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and OPAE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agree, the DIMP regulations do not require a natural gas operator to replace service lines.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fact, after an operator has identified and evaluated potential risks to its system it is only required to do the following: “Determine and implement measures designed to reduce the risks from failure of its gas distribution pipeline. These measures must include an effective leak management program (unless all leaks are repaired when found).”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Accordingly, the operator could comply with these regulations by implementing a variety of different actions. Yet, Duke admitted that it did not consider </w:t>
      </w:r>
      <w:r>
        <w:rPr>
          <w:rFonts w:ascii="Times New Roman" w:hAnsi="Times New Roman" w:cs="Times New Roman"/>
          <w:sz w:val="24"/>
          <w:szCs w:val="24"/>
        </w:rPr>
        <w:lastRenderedPageBreak/>
        <w:t>any other alternatives to the replacing</w:t>
      </w:r>
      <w:r w:rsidR="00922C86">
        <w:rPr>
          <w:rFonts w:ascii="Times New Roman" w:hAnsi="Times New Roman" w:cs="Times New Roman"/>
          <w:sz w:val="24"/>
          <w:szCs w:val="24"/>
        </w:rPr>
        <w:t xml:space="preserve"> of</w:t>
      </w:r>
      <w:r>
        <w:rPr>
          <w:rFonts w:ascii="Times New Roman" w:hAnsi="Times New Roman" w:cs="Times New Roman"/>
          <w:sz w:val="24"/>
          <w:szCs w:val="24"/>
        </w:rPr>
        <w:t xml:space="preserve"> 58,000</w:t>
      </w:r>
      <w:r w:rsidR="00922C86">
        <w:rPr>
          <w:rFonts w:ascii="Times New Roman" w:hAnsi="Times New Roman" w:cs="Times New Roman"/>
          <w:sz w:val="24"/>
          <w:szCs w:val="24"/>
        </w:rPr>
        <w:t xml:space="preserve"> non-leaking</w:t>
      </w:r>
      <w:r>
        <w:rPr>
          <w:rFonts w:ascii="Times New Roman" w:hAnsi="Times New Roman" w:cs="Times New Roman"/>
          <w:sz w:val="24"/>
          <w:szCs w:val="24"/>
        </w:rPr>
        <w:t xml:space="preserve"> service lines at a cost of $320 million to consumers.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This is not just and reasonable for consumers. </w:t>
      </w:r>
    </w:p>
    <w:p w:rsidR="00925C99" w:rsidRPr="00925C99" w:rsidRDefault="00925C99" w:rsidP="00925C9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 also states that its ASRP should be approved because the U.S. DOT issued a “Call to Action” urging utilities and regulators to improve the country’s distribution infrastructure.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This “Call to Action” should not and cannot be the basis to collect  $320 million from customers for the accelerated replacement of non-leaking service lines. As OCC mentioned in its Initial Brief, a “Call to Action” is not law and the PUCO is not required to comply.</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Indeed, Duke does not state in its Initial Brief that the “Call to Action” actually requires a utility to implement an ASRP.</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Instead, Duke acknowledges that the “Call to Action” is merely a “</w:t>
      </w:r>
      <w:r w:rsidRPr="00FF317E">
        <w:rPr>
          <w:rFonts w:ascii="Times New Roman" w:hAnsi="Times New Roman" w:cs="Times New Roman"/>
          <w:b/>
          <w:sz w:val="24"/>
          <w:szCs w:val="24"/>
        </w:rPr>
        <w:t>request</w:t>
      </w:r>
      <w:r>
        <w:rPr>
          <w:rFonts w:ascii="Times New Roman" w:hAnsi="Times New Roman" w:cs="Times New Roman"/>
          <w:sz w:val="24"/>
          <w:szCs w:val="24"/>
        </w:rPr>
        <w:t>” by the U.S. DOT to “</w:t>
      </w:r>
      <w:r w:rsidRPr="00FF317E">
        <w:rPr>
          <w:rFonts w:ascii="Times New Roman" w:hAnsi="Times New Roman" w:cs="Times New Roman"/>
          <w:b/>
          <w:sz w:val="24"/>
          <w:szCs w:val="24"/>
        </w:rPr>
        <w:t>step up efforts</w:t>
      </w:r>
      <w:r>
        <w:rPr>
          <w:rFonts w:ascii="Times New Roman" w:hAnsi="Times New Roman" w:cs="Times New Roman"/>
          <w:sz w:val="24"/>
          <w:szCs w:val="24"/>
        </w:rPr>
        <w:t xml:space="preserve"> to identify high-risk pipelines and ensure that they are repaired or replaced.”</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Therefore, this “Call to Action” is not law and, as </w:t>
      </w:r>
      <w:r w:rsidR="001C4DE1">
        <w:rPr>
          <w:rFonts w:ascii="Times New Roman" w:hAnsi="Times New Roman" w:cs="Times New Roman"/>
          <w:sz w:val="24"/>
          <w:szCs w:val="24"/>
        </w:rPr>
        <w:t>explained below</w:t>
      </w:r>
      <w:r>
        <w:rPr>
          <w:rFonts w:ascii="Times New Roman" w:hAnsi="Times New Roman" w:cs="Times New Roman"/>
          <w:sz w:val="24"/>
          <w:szCs w:val="24"/>
        </w:rPr>
        <w:t xml:space="preserve">, Ohio and Duke are already complying with the </w:t>
      </w:r>
      <w:r w:rsidR="001C4DE1">
        <w:rPr>
          <w:rFonts w:ascii="Times New Roman" w:hAnsi="Times New Roman" w:cs="Times New Roman"/>
          <w:sz w:val="24"/>
          <w:szCs w:val="24"/>
        </w:rPr>
        <w:t>“</w:t>
      </w:r>
      <w:r>
        <w:rPr>
          <w:rFonts w:ascii="Times New Roman" w:hAnsi="Times New Roman" w:cs="Times New Roman"/>
          <w:sz w:val="24"/>
          <w:szCs w:val="24"/>
        </w:rPr>
        <w:t>request</w:t>
      </w:r>
      <w:r w:rsidR="001C4DE1">
        <w:rPr>
          <w:rFonts w:ascii="Times New Roman" w:hAnsi="Times New Roman" w:cs="Times New Roman"/>
          <w:sz w:val="24"/>
          <w:szCs w:val="24"/>
        </w:rPr>
        <w:t>”</w:t>
      </w:r>
      <w:r>
        <w:rPr>
          <w:rFonts w:ascii="Times New Roman" w:hAnsi="Times New Roman" w:cs="Times New Roman"/>
          <w:sz w:val="24"/>
          <w:szCs w:val="24"/>
        </w:rPr>
        <w:t xml:space="preserve"> by proactively and reactively repairing and replacing pipelines. Duke’s ASRP is </w:t>
      </w:r>
      <w:r w:rsidR="00E06D48">
        <w:rPr>
          <w:rFonts w:ascii="Times New Roman" w:hAnsi="Times New Roman" w:cs="Times New Roman"/>
          <w:sz w:val="24"/>
          <w:szCs w:val="24"/>
        </w:rPr>
        <w:t>surplus to requirement.</w:t>
      </w:r>
      <w:r>
        <w:rPr>
          <w:rFonts w:ascii="Times New Roman" w:hAnsi="Times New Roman" w:cs="Times New Roman"/>
          <w:sz w:val="24"/>
          <w:szCs w:val="24"/>
        </w:rPr>
        <w:t>.</w:t>
      </w:r>
      <w:r w:rsidRPr="00193FBB">
        <w:rPr>
          <w:rFonts w:ascii="Times New Roman" w:hAnsi="Times New Roman" w:cs="Times New Roman"/>
          <w:sz w:val="24"/>
          <w:szCs w:val="24"/>
        </w:rPr>
        <w:t xml:space="preserve"> </w:t>
      </w:r>
      <w:r w:rsidRPr="00FC3028">
        <w:rPr>
          <w:rFonts w:ascii="Times New Roman" w:hAnsi="Times New Roman" w:cs="Times New Roman"/>
          <w:sz w:val="24"/>
          <w:szCs w:val="24"/>
        </w:rPr>
        <w:t>In fact</w:t>
      </w:r>
      <w:r>
        <w:rPr>
          <w:rFonts w:ascii="Times New Roman" w:hAnsi="Times New Roman" w:cs="Times New Roman"/>
          <w:sz w:val="24"/>
          <w:szCs w:val="24"/>
        </w:rPr>
        <w:t>,</w:t>
      </w:r>
      <w:r w:rsidRPr="00FC3028">
        <w:rPr>
          <w:rFonts w:ascii="Times New Roman" w:hAnsi="Times New Roman" w:cs="Times New Roman"/>
          <w:sz w:val="24"/>
          <w:szCs w:val="24"/>
        </w:rPr>
        <w:t xml:space="preserve"> there is not a single local distribution company in the United States</w:t>
      </w:r>
      <w:r>
        <w:rPr>
          <w:rFonts w:ascii="Times New Roman" w:hAnsi="Times New Roman" w:cs="Times New Roman"/>
          <w:sz w:val="24"/>
          <w:szCs w:val="24"/>
        </w:rPr>
        <w:t xml:space="preserve"> </w:t>
      </w:r>
      <w:r w:rsidRPr="00FC3028">
        <w:rPr>
          <w:rFonts w:ascii="Times New Roman" w:hAnsi="Times New Roman" w:cs="Times New Roman"/>
          <w:sz w:val="24"/>
          <w:szCs w:val="24"/>
        </w:rPr>
        <w:t>(other than Duke and its Kentucky affiliate) that has or has had a stand-alone service line replacement program comparable to the one Duke is proposing in this proceeding.</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PUCO should not base its decision to charge customers $320 million on this U.S. DOT </w:t>
      </w:r>
      <w:r w:rsidR="001C4DE1">
        <w:rPr>
          <w:rFonts w:ascii="Times New Roman" w:hAnsi="Times New Roman" w:cs="Times New Roman"/>
          <w:sz w:val="24"/>
          <w:szCs w:val="24"/>
        </w:rPr>
        <w:t>“</w:t>
      </w:r>
      <w:r>
        <w:rPr>
          <w:rFonts w:ascii="Times New Roman" w:hAnsi="Times New Roman" w:cs="Times New Roman"/>
          <w:sz w:val="24"/>
          <w:szCs w:val="24"/>
        </w:rPr>
        <w:t>request</w:t>
      </w:r>
      <w:r w:rsidR="001C4DE1">
        <w:rPr>
          <w:rFonts w:ascii="Times New Roman" w:hAnsi="Times New Roman" w:cs="Times New Roman"/>
          <w:sz w:val="24"/>
          <w:szCs w:val="24"/>
        </w:rPr>
        <w:t>”</w:t>
      </w:r>
      <w:r>
        <w:rPr>
          <w:rFonts w:ascii="Times New Roman" w:hAnsi="Times New Roman" w:cs="Times New Roman"/>
          <w:sz w:val="24"/>
          <w:szCs w:val="24"/>
        </w:rPr>
        <w:t>.</w:t>
      </w:r>
      <w:r>
        <w:tab/>
      </w:r>
    </w:p>
    <w:p w:rsidR="00485732" w:rsidRDefault="00925C99" w:rsidP="00BD7D40">
      <w:pPr>
        <w:pStyle w:val="Heading2"/>
      </w:pPr>
      <w:bookmarkStart w:id="6" w:name="_Toc438641583"/>
      <w:r>
        <w:lastRenderedPageBreak/>
        <w:t>C.</w:t>
      </w:r>
      <w:r>
        <w:tab/>
      </w:r>
      <w:r w:rsidR="00485732">
        <w:t xml:space="preserve">The ASRP’s costs to consumers do not outweigh </w:t>
      </w:r>
      <w:r w:rsidR="00FC566F">
        <w:t>the</w:t>
      </w:r>
      <w:r w:rsidR="00485732">
        <w:t xml:space="preserve"> benefits</w:t>
      </w:r>
      <w:r w:rsidR="002438A5">
        <w:t xml:space="preserve"> to consumers</w:t>
      </w:r>
      <w:r w:rsidR="00485732">
        <w:t>.</w:t>
      </w:r>
      <w:bookmarkEnd w:id="6"/>
    </w:p>
    <w:p w:rsidR="00485732" w:rsidRDefault="002F1722" w:rsidP="00925C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 states that</w:t>
      </w:r>
      <w:r w:rsidR="00485732">
        <w:rPr>
          <w:rFonts w:ascii="Times New Roman" w:hAnsi="Times New Roman" w:cs="Times New Roman"/>
          <w:sz w:val="24"/>
          <w:szCs w:val="24"/>
        </w:rPr>
        <w:t xml:space="preserve"> the possibility that bare steel or cast iron will corrode over time is real.</w:t>
      </w:r>
      <w:r w:rsidR="00485732">
        <w:rPr>
          <w:rStyle w:val="FootnoteReference"/>
          <w:rFonts w:ascii="Times New Roman" w:hAnsi="Times New Roman" w:cs="Times New Roman"/>
          <w:sz w:val="24"/>
          <w:szCs w:val="24"/>
        </w:rPr>
        <w:footnoteReference w:id="22"/>
      </w:r>
      <w:r w:rsidR="00485732">
        <w:rPr>
          <w:rFonts w:ascii="Times New Roman" w:hAnsi="Times New Roman" w:cs="Times New Roman"/>
          <w:sz w:val="24"/>
          <w:szCs w:val="24"/>
        </w:rPr>
        <w:t xml:space="preserve"> In fact, as Duke points out, even plastic pipe is susceptible to premature failure.</w:t>
      </w:r>
      <w:r>
        <w:rPr>
          <w:rStyle w:val="FootnoteReference"/>
          <w:rFonts w:ascii="Times New Roman" w:hAnsi="Times New Roman" w:cs="Times New Roman"/>
          <w:sz w:val="24"/>
          <w:szCs w:val="24"/>
        </w:rPr>
        <w:footnoteReference w:id="23"/>
      </w:r>
      <w:r w:rsidR="00485732">
        <w:rPr>
          <w:rFonts w:ascii="Times New Roman" w:hAnsi="Times New Roman" w:cs="Times New Roman"/>
          <w:sz w:val="24"/>
          <w:szCs w:val="24"/>
        </w:rPr>
        <w:t xml:space="preserve"> No party contests these points. The world is not perfect. And it never will be, no matter how much money is spent to make it so. Managing </w:t>
      </w:r>
      <w:r>
        <w:rPr>
          <w:rFonts w:ascii="Times New Roman" w:hAnsi="Times New Roman" w:cs="Times New Roman"/>
          <w:sz w:val="24"/>
          <w:szCs w:val="24"/>
        </w:rPr>
        <w:t xml:space="preserve">the risks inherent in </w:t>
      </w:r>
      <w:r w:rsidR="00485732">
        <w:rPr>
          <w:rFonts w:ascii="Times New Roman" w:hAnsi="Times New Roman" w:cs="Times New Roman"/>
          <w:sz w:val="24"/>
          <w:szCs w:val="24"/>
        </w:rPr>
        <w:t>such imperfections is what Duke and, ultimately, the PUCO is burdened with. In deciding which imperfections to manage and how to manage them, the costs and benefits of any proposed solution</w:t>
      </w:r>
      <w:r w:rsidR="007A7B8D">
        <w:rPr>
          <w:rFonts w:ascii="Times New Roman" w:hAnsi="Times New Roman" w:cs="Times New Roman"/>
          <w:sz w:val="24"/>
          <w:szCs w:val="24"/>
        </w:rPr>
        <w:t xml:space="preserve"> must be </w:t>
      </w:r>
      <w:r>
        <w:rPr>
          <w:rFonts w:ascii="Times New Roman" w:hAnsi="Times New Roman" w:cs="Times New Roman"/>
          <w:sz w:val="24"/>
          <w:szCs w:val="24"/>
        </w:rPr>
        <w:t xml:space="preserve">evaluated. </w:t>
      </w:r>
      <w:r w:rsidR="00485732">
        <w:rPr>
          <w:rFonts w:ascii="Times New Roman" w:hAnsi="Times New Roman" w:cs="Times New Roman"/>
          <w:sz w:val="24"/>
          <w:szCs w:val="24"/>
        </w:rPr>
        <w:t xml:space="preserve">In this case, as </w:t>
      </w:r>
      <w:r w:rsidR="00015478">
        <w:rPr>
          <w:rFonts w:ascii="Times New Roman" w:hAnsi="Times New Roman" w:cs="Times New Roman"/>
          <w:sz w:val="24"/>
          <w:szCs w:val="24"/>
        </w:rPr>
        <w:t xml:space="preserve">PUCO </w:t>
      </w:r>
      <w:r w:rsidR="00485732">
        <w:rPr>
          <w:rFonts w:ascii="Times New Roman" w:hAnsi="Times New Roman" w:cs="Times New Roman"/>
          <w:sz w:val="24"/>
          <w:szCs w:val="24"/>
        </w:rPr>
        <w:t>Staff</w:t>
      </w:r>
      <w:r w:rsidR="0040258D">
        <w:rPr>
          <w:rStyle w:val="FootnoteReference"/>
          <w:rFonts w:ascii="Times New Roman" w:hAnsi="Times New Roman" w:cs="Times New Roman"/>
          <w:sz w:val="24"/>
          <w:szCs w:val="24"/>
        </w:rPr>
        <w:footnoteReference w:id="24"/>
      </w:r>
      <w:r w:rsidR="00015478">
        <w:rPr>
          <w:rFonts w:ascii="Times New Roman" w:hAnsi="Times New Roman" w:cs="Times New Roman"/>
          <w:sz w:val="24"/>
          <w:szCs w:val="24"/>
        </w:rPr>
        <w:t xml:space="preserve"> (“Staff”)</w:t>
      </w:r>
      <w:r w:rsidR="00485732">
        <w:rPr>
          <w:rFonts w:ascii="Times New Roman" w:hAnsi="Times New Roman" w:cs="Times New Roman"/>
          <w:sz w:val="24"/>
          <w:szCs w:val="24"/>
        </w:rPr>
        <w:t xml:space="preserve"> and </w:t>
      </w:r>
      <w:r w:rsidR="002D3ED5">
        <w:rPr>
          <w:rFonts w:ascii="Times New Roman" w:hAnsi="Times New Roman" w:cs="Times New Roman"/>
          <w:sz w:val="24"/>
          <w:szCs w:val="24"/>
        </w:rPr>
        <w:t>Ohio Partners for Affordable Energy (“</w:t>
      </w:r>
      <w:r w:rsidR="00485732">
        <w:rPr>
          <w:rFonts w:ascii="Times New Roman" w:hAnsi="Times New Roman" w:cs="Times New Roman"/>
          <w:sz w:val="24"/>
          <w:szCs w:val="24"/>
        </w:rPr>
        <w:t>OPAE</w:t>
      </w:r>
      <w:r w:rsidR="002D3ED5">
        <w:rPr>
          <w:rFonts w:ascii="Times New Roman" w:hAnsi="Times New Roman" w:cs="Times New Roman"/>
          <w:sz w:val="24"/>
          <w:szCs w:val="24"/>
        </w:rPr>
        <w:t>”)</w:t>
      </w:r>
      <w:r w:rsidR="0040258D">
        <w:rPr>
          <w:rStyle w:val="FootnoteReference"/>
          <w:rFonts w:ascii="Times New Roman" w:hAnsi="Times New Roman" w:cs="Times New Roman"/>
          <w:sz w:val="24"/>
          <w:szCs w:val="24"/>
        </w:rPr>
        <w:footnoteReference w:id="25"/>
      </w:r>
      <w:r w:rsidR="00485732">
        <w:rPr>
          <w:rFonts w:ascii="Times New Roman" w:hAnsi="Times New Roman" w:cs="Times New Roman"/>
          <w:sz w:val="24"/>
          <w:szCs w:val="24"/>
        </w:rPr>
        <w:t xml:space="preserve"> </w:t>
      </w:r>
      <w:r w:rsidR="001B1570">
        <w:rPr>
          <w:rFonts w:ascii="Times New Roman" w:hAnsi="Times New Roman" w:cs="Times New Roman"/>
          <w:sz w:val="24"/>
          <w:szCs w:val="24"/>
        </w:rPr>
        <w:t>agree</w:t>
      </w:r>
      <w:r w:rsidR="00485732">
        <w:rPr>
          <w:rFonts w:ascii="Times New Roman" w:hAnsi="Times New Roman" w:cs="Times New Roman"/>
          <w:sz w:val="24"/>
          <w:szCs w:val="24"/>
        </w:rPr>
        <w:t xml:space="preserve">, the costs </w:t>
      </w:r>
      <w:r>
        <w:rPr>
          <w:rFonts w:ascii="Times New Roman" w:hAnsi="Times New Roman" w:cs="Times New Roman"/>
          <w:sz w:val="24"/>
          <w:szCs w:val="24"/>
        </w:rPr>
        <w:t>far</w:t>
      </w:r>
      <w:r w:rsidR="00485732">
        <w:rPr>
          <w:rFonts w:ascii="Times New Roman" w:hAnsi="Times New Roman" w:cs="Times New Roman"/>
          <w:sz w:val="24"/>
          <w:szCs w:val="24"/>
        </w:rPr>
        <w:t xml:space="preserve"> outweigh </w:t>
      </w:r>
      <w:r>
        <w:rPr>
          <w:rFonts w:ascii="Times New Roman" w:hAnsi="Times New Roman" w:cs="Times New Roman"/>
          <w:sz w:val="24"/>
          <w:szCs w:val="24"/>
        </w:rPr>
        <w:t>any</w:t>
      </w:r>
      <w:r w:rsidR="00485732">
        <w:rPr>
          <w:rFonts w:ascii="Times New Roman" w:hAnsi="Times New Roman" w:cs="Times New Roman"/>
          <w:sz w:val="24"/>
          <w:szCs w:val="24"/>
        </w:rPr>
        <w:t xml:space="preserve"> benefit</w:t>
      </w:r>
      <w:r w:rsidR="00034663">
        <w:rPr>
          <w:rFonts w:ascii="Times New Roman" w:hAnsi="Times New Roman" w:cs="Times New Roman"/>
          <w:sz w:val="24"/>
          <w:szCs w:val="24"/>
        </w:rPr>
        <w:t xml:space="preserve"> that is provided</w:t>
      </w:r>
      <w:r w:rsidR="00485732">
        <w:rPr>
          <w:rFonts w:ascii="Times New Roman" w:hAnsi="Times New Roman" w:cs="Times New Roman"/>
          <w:sz w:val="24"/>
          <w:szCs w:val="24"/>
        </w:rPr>
        <w:t xml:space="preserve">.  </w:t>
      </w:r>
    </w:p>
    <w:p w:rsidR="00477211" w:rsidRDefault="00485732" w:rsidP="00BD7D4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Duke’s ASRP would replace 58,000 non-leaking service lines that are currently fit for service</w:t>
      </w:r>
      <w:r w:rsidR="002F1722">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and have shown no signs of becoming unfit for service. And it would do so in 10 years at a cost to customers of $320 million.</w:t>
      </w:r>
      <w:r w:rsidR="00610B84">
        <w:rPr>
          <w:rStyle w:val="FootnoteReference"/>
          <w:rFonts w:ascii="Times New Roman" w:hAnsi="Times New Roman" w:cs="Times New Roman"/>
          <w:sz w:val="24"/>
          <w:szCs w:val="24"/>
        </w:rPr>
        <w:footnoteReference w:id="27"/>
      </w:r>
      <w:r w:rsidR="003C198B">
        <w:rPr>
          <w:rFonts w:ascii="Times New Roman" w:hAnsi="Times New Roman" w:cs="Times New Roman"/>
          <w:sz w:val="24"/>
          <w:szCs w:val="24"/>
        </w:rPr>
        <w:t xml:space="preserve"> By the last year of the program, Ohio </w:t>
      </w:r>
      <w:r w:rsidR="00034663">
        <w:rPr>
          <w:rFonts w:ascii="Times New Roman" w:hAnsi="Times New Roman" w:cs="Times New Roman"/>
          <w:sz w:val="24"/>
          <w:szCs w:val="24"/>
        </w:rPr>
        <w:t xml:space="preserve">residential </w:t>
      </w:r>
      <w:r w:rsidR="003C198B">
        <w:rPr>
          <w:rFonts w:ascii="Times New Roman" w:hAnsi="Times New Roman" w:cs="Times New Roman"/>
          <w:sz w:val="24"/>
          <w:szCs w:val="24"/>
        </w:rPr>
        <w:t>customers would be paying $10 per month</w:t>
      </w:r>
      <w:r w:rsidR="00FD0A20">
        <w:rPr>
          <w:rFonts w:ascii="Times New Roman" w:hAnsi="Times New Roman" w:cs="Times New Roman"/>
          <w:sz w:val="24"/>
          <w:szCs w:val="24"/>
        </w:rPr>
        <w:t>,</w:t>
      </w:r>
      <w:r w:rsidR="003C198B">
        <w:rPr>
          <w:rFonts w:ascii="Times New Roman" w:hAnsi="Times New Roman" w:cs="Times New Roman"/>
          <w:sz w:val="24"/>
          <w:szCs w:val="24"/>
        </w:rPr>
        <w:t xml:space="preserve"> per customer </w:t>
      </w:r>
      <w:r w:rsidR="00FD0A20">
        <w:rPr>
          <w:rFonts w:ascii="Times New Roman" w:hAnsi="Times New Roman" w:cs="Times New Roman"/>
          <w:sz w:val="24"/>
          <w:szCs w:val="24"/>
        </w:rPr>
        <w:t xml:space="preserve">(or $120 annually) </w:t>
      </w:r>
      <w:r w:rsidR="003C198B">
        <w:rPr>
          <w:rFonts w:ascii="Times New Roman" w:hAnsi="Times New Roman" w:cs="Times New Roman"/>
          <w:sz w:val="24"/>
          <w:szCs w:val="24"/>
        </w:rPr>
        <w:t>for Duke’s ASRP.</w:t>
      </w:r>
      <w:r w:rsidR="00610B84">
        <w:rPr>
          <w:rStyle w:val="FootnoteReference"/>
          <w:rFonts w:ascii="Times New Roman" w:hAnsi="Times New Roman" w:cs="Times New Roman"/>
          <w:sz w:val="24"/>
          <w:szCs w:val="24"/>
        </w:rPr>
        <w:footnoteReference w:id="28"/>
      </w:r>
      <w:r w:rsidR="003C198B">
        <w:rPr>
          <w:rFonts w:ascii="Times New Roman" w:hAnsi="Times New Roman" w:cs="Times New Roman"/>
          <w:sz w:val="24"/>
          <w:szCs w:val="24"/>
        </w:rPr>
        <w:t xml:space="preserve"> </w:t>
      </w:r>
    </w:p>
    <w:p w:rsidR="00925C99" w:rsidRPr="00925C99" w:rsidRDefault="00485732" w:rsidP="00925C9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While, the staggering costs in this proceeding are well-documented, the benefits are not. Duke’s </w:t>
      </w:r>
      <w:r w:rsidR="00CC6EE5">
        <w:rPr>
          <w:rFonts w:ascii="Times New Roman" w:hAnsi="Times New Roman" w:cs="Times New Roman"/>
          <w:sz w:val="24"/>
          <w:szCs w:val="24"/>
        </w:rPr>
        <w:t>main</w:t>
      </w:r>
      <w:r>
        <w:rPr>
          <w:rFonts w:ascii="Times New Roman" w:hAnsi="Times New Roman" w:cs="Times New Roman"/>
          <w:sz w:val="24"/>
          <w:szCs w:val="24"/>
        </w:rPr>
        <w:t xml:space="preserve"> purported benefit from the ASRP is a</w:t>
      </w:r>
      <w:r w:rsidR="001055E3">
        <w:rPr>
          <w:rFonts w:ascii="Times New Roman" w:hAnsi="Times New Roman" w:cs="Times New Roman"/>
          <w:sz w:val="24"/>
          <w:szCs w:val="24"/>
        </w:rPr>
        <w:t>n alleged</w:t>
      </w:r>
      <w:r>
        <w:rPr>
          <w:rFonts w:ascii="Times New Roman" w:hAnsi="Times New Roman" w:cs="Times New Roman"/>
          <w:sz w:val="24"/>
          <w:szCs w:val="24"/>
        </w:rPr>
        <w:t xml:space="preserve"> reduction in risk</w:t>
      </w:r>
      <w:r w:rsidR="001B1570">
        <w:rPr>
          <w:rFonts w:ascii="Times New Roman" w:hAnsi="Times New Roman" w:cs="Times New Roman"/>
          <w:sz w:val="24"/>
          <w:szCs w:val="24"/>
        </w:rPr>
        <w:t xml:space="preserve"> that will result in an increase in safety</w:t>
      </w:r>
      <w:r>
        <w:rPr>
          <w:rFonts w:ascii="Times New Roman" w:hAnsi="Times New Roman" w:cs="Times New Roman"/>
          <w:sz w:val="24"/>
          <w:szCs w:val="24"/>
        </w:rPr>
        <w:t>.</w:t>
      </w:r>
      <w:r w:rsidR="00CC6EE5">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However, Duke has not quantified that reduction in risk in order to weigh it against the known and quantified cost of $320 million.</w:t>
      </w:r>
      <w:r w:rsidR="00423BD5">
        <w:rPr>
          <w:rStyle w:val="FootnoteReference"/>
          <w:rFonts w:ascii="Times New Roman" w:hAnsi="Times New Roman" w:cs="Times New Roman"/>
          <w:sz w:val="24"/>
          <w:szCs w:val="24"/>
        </w:rPr>
        <w:footnoteReference w:id="30"/>
      </w:r>
      <w:r w:rsidR="001055E3">
        <w:rPr>
          <w:rFonts w:ascii="Times New Roman" w:hAnsi="Times New Roman" w:cs="Times New Roman"/>
          <w:sz w:val="24"/>
          <w:szCs w:val="24"/>
        </w:rPr>
        <w:t xml:space="preserve"> </w:t>
      </w:r>
      <w:r>
        <w:rPr>
          <w:rFonts w:ascii="Times New Roman" w:hAnsi="Times New Roman" w:cs="Times New Roman"/>
          <w:sz w:val="24"/>
          <w:szCs w:val="24"/>
        </w:rPr>
        <w:t>In fact, as Staff noted, Duke admitted at the hearing that it did not even attempt to quantify the benefits of the ASRP.</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As Staff and OPAE </w:t>
      </w:r>
      <w:r w:rsidR="002F1722">
        <w:rPr>
          <w:rFonts w:ascii="Times New Roman" w:hAnsi="Times New Roman" w:cs="Times New Roman"/>
          <w:sz w:val="24"/>
          <w:szCs w:val="24"/>
        </w:rPr>
        <w:t>state</w:t>
      </w:r>
      <w:r>
        <w:rPr>
          <w:rFonts w:ascii="Times New Roman" w:hAnsi="Times New Roman" w:cs="Times New Roman"/>
          <w:sz w:val="24"/>
          <w:szCs w:val="24"/>
        </w:rPr>
        <w:t>, Duke should</w:t>
      </w:r>
      <w:r w:rsidR="00671F9B">
        <w:rPr>
          <w:rFonts w:ascii="Times New Roman" w:hAnsi="Times New Roman" w:cs="Times New Roman"/>
          <w:sz w:val="24"/>
          <w:szCs w:val="24"/>
        </w:rPr>
        <w:t>, at the very minimum,</w:t>
      </w:r>
      <w:r>
        <w:rPr>
          <w:rFonts w:ascii="Times New Roman" w:hAnsi="Times New Roman" w:cs="Times New Roman"/>
          <w:sz w:val="24"/>
          <w:szCs w:val="24"/>
        </w:rPr>
        <w:t xml:space="preserve"> be r</w:t>
      </w:r>
      <w:r w:rsidR="00610B84">
        <w:rPr>
          <w:rFonts w:ascii="Times New Roman" w:hAnsi="Times New Roman" w:cs="Times New Roman"/>
          <w:sz w:val="24"/>
          <w:szCs w:val="24"/>
        </w:rPr>
        <w:t xml:space="preserve">equired to conduct a comprehensive cost-benefit analysis detailing and quantifying the ASRP’s costs and benefits and </w:t>
      </w:r>
      <w:r w:rsidR="00BF1695">
        <w:rPr>
          <w:rFonts w:ascii="Times New Roman" w:hAnsi="Times New Roman" w:cs="Times New Roman"/>
          <w:sz w:val="24"/>
          <w:szCs w:val="24"/>
        </w:rPr>
        <w:t xml:space="preserve">further </w:t>
      </w:r>
      <w:r w:rsidR="00610B84">
        <w:rPr>
          <w:rFonts w:ascii="Times New Roman" w:hAnsi="Times New Roman" w:cs="Times New Roman"/>
          <w:sz w:val="24"/>
          <w:szCs w:val="24"/>
        </w:rPr>
        <w:t xml:space="preserve">demonstrating that the benefits exceed the costs </w:t>
      </w:r>
      <w:r>
        <w:rPr>
          <w:rFonts w:ascii="Times New Roman" w:hAnsi="Times New Roman" w:cs="Times New Roman"/>
          <w:sz w:val="24"/>
          <w:szCs w:val="24"/>
        </w:rPr>
        <w:t xml:space="preserve">before it is authorized to </w:t>
      </w:r>
      <w:r w:rsidR="002F1722">
        <w:rPr>
          <w:rFonts w:ascii="Times New Roman" w:hAnsi="Times New Roman" w:cs="Times New Roman"/>
          <w:sz w:val="24"/>
          <w:szCs w:val="24"/>
        </w:rPr>
        <w:t>charge Ohioans</w:t>
      </w:r>
      <w:r>
        <w:rPr>
          <w:rFonts w:ascii="Times New Roman" w:hAnsi="Times New Roman" w:cs="Times New Roman"/>
          <w:sz w:val="24"/>
          <w:szCs w:val="24"/>
        </w:rPr>
        <w:t xml:space="preserve"> $320 million.</w:t>
      </w:r>
      <w:r w:rsidR="00610B84">
        <w:rPr>
          <w:rStyle w:val="FootnoteReference"/>
          <w:rFonts w:ascii="Times New Roman" w:hAnsi="Times New Roman" w:cs="Times New Roman"/>
          <w:sz w:val="24"/>
          <w:szCs w:val="24"/>
        </w:rPr>
        <w:footnoteReference w:id="32"/>
      </w:r>
    </w:p>
    <w:p w:rsidR="00DB3661" w:rsidRDefault="00925C99" w:rsidP="00BD7D40">
      <w:pPr>
        <w:pStyle w:val="Heading2"/>
      </w:pPr>
      <w:bookmarkStart w:id="7" w:name="_Toc438641584"/>
      <w:r>
        <w:t>D.</w:t>
      </w:r>
      <w:r>
        <w:tab/>
      </w:r>
      <w:r w:rsidR="00E010F7">
        <w:t xml:space="preserve">Duke’s ASRP </w:t>
      </w:r>
      <w:r w:rsidR="00DC38E4">
        <w:t>will not protect consumers from a</w:t>
      </w:r>
      <w:r w:rsidR="00DB63F6">
        <w:t>ny</w:t>
      </w:r>
      <w:r w:rsidR="00DC38E4">
        <w:t xml:space="preserve"> safety threat</w:t>
      </w:r>
      <w:r w:rsidR="009F3876">
        <w:t>, because there is virtually no threat to consumers posed by these service lines</w:t>
      </w:r>
      <w:r w:rsidR="00DB3661">
        <w:t>.</w:t>
      </w:r>
      <w:bookmarkEnd w:id="7"/>
    </w:p>
    <w:p w:rsidR="00CD5AE5" w:rsidRDefault="00DB3661" w:rsidP="00CD5A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 states that pub</w:t>
      </w:r>
      <w:r w:rsidR="00CC6EE5">
        <w:rPr>
          <w:rFonts w:ascii="Times New Roman" w:hAnsi="Times New Roman" w:cs="Times New Roman"/>
          <w:sz w:val="24"/>
          <w:szCs w:val="24"/>
        </w:rPr>
        <w:t>lic safety demands that</w:t>
      </w:r>
      <w:r w:rsidR="00F95702">
        <w:rPr>
          <w:rFonts w:ascii="Times New Roman" w:hAnsi="Times New Roman" w:cs="Times New Roman"/>
          <w:sz w:val="24"/>
          <w:szCs w:val="24"/>
        </w:rPr>
        <w:t xml:space="preserve"> its</w:t>
      </w:r>
      <w:r w:rsidR="00CC6EE5">
        <w:rPr>
          <w:rFonts w:ascii="Times New Roman" w:hAnsi="Times New Roman" w:cs="Times New Roman"/>
          <w:sz w:val="24"/>
          <w:szCs w:val="24"/>
        </w:rPr>
        <w:t xml:space="preserve"> service</w:t>
      </w:r>
      <w:r w:rsidR="00F95702">
        <w:rPr>
          <w:rFonts w:ascii="Times New Roman" w:hAnsi="Times New Roman" w:cs="Times New Roman"/>
          <w:sz w:val="24"/>
          <w:szCs w:val="24"/>
        </w:rPr>
        <w:t xml:space="preserve"> lines be replaced.</w:t>
      </w:r>
      <w:r>
        <w:rPr>
          <w:rStyle w:val="FootnoteReference"/>
          <w:rFonts w:ascii="Times New Roman" w:hAnsi="Times New Roman" w:cs="Times New Roman"/>
          <w:sz w:val="24"/>
          <w:szCs w:val="24"/>
        </w:rPr>
        <w:footnoteReference w:id="33"/>
      </w:r>
      <w:r w:rsidR="00F95702">
        <w:rPr>
          <w:rFonts w:ascii="Times New Roman" w:hAnsi="Times New Roman" w:cs="Times New Roman"/>
          <w:sz w:val="24"/>
          <w:szCs w:val="24"/>
        </w:rPr>
        <w:t xml:space="preserve"> Specifically, Duke states</w:t>
      </w:r>
      <w:r w:rsidR="00CD5AE5">
        <w:rPr>
          <w:rFonts w:ascii="Times New Roman" w:hAnsi="Times New Roman" w:cs="Times New Roman"/>
          <w:sz w:val="24"/>
          <w:szCs w:val="24"/>
        </w:rPr>
        <w:t xml:space="preserve"> that the ASRP will “protect Duke Energy Ohio’s customers and employees and the public at large from a known threat.”</w:t>
      </w:r>
      <w:r w:rsidR="00CD5AE5">
        <w:rPr>
          <w:rStyle w:val="FootnoteReference"/>
          <w:rFonts w:ascii="Times New Roman" w:hAnsi="Times New Roman" w:cs="Times New Roman"/>
          <w:sz w:val="24"/>
          <w:szCs w:val="24"/>
        </w:rPr>
        <w:footnoteReference w:id="34"/>
      </w:r>
      <w:r w:rsidR="00CC6EE5">
        <w:rPr>
          <w:rFonts w:ascii="Times New Roman" w:hAnsi="Times New Roman" w:cs="Times New Roman"/>
          <w:sz w:val="24"/>
          <w:szCs w:val="24"/>
        </w:rPr>
        <w:t xml:space="preserve"> This</w:t>
      </w:r>
      <w:r>
        <w:rPr>
          <w:rFonts w:ascii="Times New Roman" w:hAnsi="Times New Roman" w:cs="Times New Roman"/>
          <w:sz w:val="24"/>
          <w:szCs w:val="24"/>
        </w:rPr>
        <w:t xml:space="preserve"> is</w:t>
      </w:r>
      <w:r w:rsidR="00F95702">
        <w:rPr>
          <w:rFonts w:ascii="Times New Roman" w:hAnsi="Times New Roman" w:cs="Times New Roman"/>
          <w:sz w:val="24"/>
          <w:szCs w:val="24"/>
        </w:rPr>
        <w:t xml:space="preserve"> simply</w:t>
      </w:r>
      <w:r>
        <w:rPr>
          <w:rFonts w:ascii="Times New Roman" w:hAnsi="Times New Roman" w:cs="Times New Roman"/>
          <w:sz w:val="24"/>
          <w:szCs w:val="24"/>
        </w:rPr>
        <w:t xml:space="preserve"> not true. This proceeding has confirmed that Duke’s</w:t>
      </w:r>
      <w:r w:rsidRPr="00F011E3">
        <w:rPr>
          <w:rFonts w:ascii="Times New Roman" w:hAnsi="Times New Roman" w:cs="Times New Roman"/>
          <w:sz w:val="24"/>
          <w:szCs w:val="24"/>
        </w:rPr>
        <w:t xml:space="preserve"> service lines have not harmed customers or employees in the past.</w:t>
      </w:r>
      <w:r>
        <w:rPr>
          <w:rFonts w:ascii="Times New Roman" w:hAnsi="Times New Roman" w:cs="Times New Roman"/>
          <w:sz w:val="24"/>
          <w:szCs w:val="24"/>
        </w:rPr>
        <w:t xml:space="preserve"> </w:t>
      </w:r>
      <w:r w:rsidR="00B13B03">
        <w:rPr>
          <w:rFonts w:ascii="Times New Roman" w:hAnsi="Times New Roman" w:cs="Times New Roman"/>
          <w:sz w:val="24"/>
          <w:szCs w:val="24"/>
        </w:rPr>
        <w:t xml:space="preserve">Indeed, </w:t>
      </w:r>
      <w:r>
        <w:rPr>
          <w:rFonts w:ascii="Times New Roman" w:hAnsi="Times New Roman" w:cs="Times New Roman"/>
          <w:sz w:val="24"/>
          <w:szCs w:val="24"/>
        </w:rPr>
        <w:t xml:space="preserve">Duke admitted that it was not aware of a single </w:t>
      </w:r>
      <w:r w:rsidR="00B13B03">
        <w:rPr>
          <w:rFonts w:ascii="Times New Roman" w:hAnsi="Times New Roman" w:cs="Times New Roman"/>
          <w:sz w:val="24"/>
          <w:szCs w:val="24"/>
        </w:rPr>
        <w:t xml:space="preserve">Duke </w:t>
      </w:r>
      <w:r>
        <w:rPr>
          <w:rFonts w:ascii="Times New Roman" w:hAnsi="Times New Roman" w:cs="Times New Roman"/>
          <w:sz w:val="24"/>
          <w:szCs w:val="24"/>
        </w:rPr>
        <w:lastRenderedPageBreak/>
        <w:t>employee that had been harmed by a service line incident.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In addition, Duke </w:t>
      </w:r>
      <w:r w:rsidR="00B13B03">
        <w:rPr>
          <w:rFonts w:ascii="Times New Roman" w:hAnsi="Times New Roman" w:cs="Times New Roman"/>
          <w:sz w:val="24"/>
          <w:szCs w:val="24"/>
        </w:rPr>
        <w:t>admitted</w:t>
      </w:r>
      <w:r>
        <w:rPr>
          <w:rFonts w:ascii="Times New Roman" w:hAnsi="Times New Roman" w:cs="Times New Roman"/>
          <w:sz w:val="24"/>
          <w:szCs w:val="24"/>
        </w:rPr>
        <w:t xml:space="preserve"> that it was only aware of one customer-related</w:t>
      </w:r>
      <w:r w:rsidR="00B13B03">
        <w:rPr>
          <w:rFonts w:ascii="Times New Roman" w:hAnsi="Times New Roman" w:cs="Times New Roman"/>
          <w:sz w:val="24"/>
          <w:szCs w:val="24"/>
        </w:rPr>
        <w:t xml:space="preserve"> service line</w:t>
      </w:r>
      <w:r>
        <w:rPr>
          <w:rFonts w:ascii="Times New Roman" w:hAnsi="Times New Roman" w:cs="Times New Roman"/>
          <w:sz w:val="24"/>
          <w:szCs w:val="24"/>
        </w:rPr>
        <w:t xml:space="preserve"> incident in its history.</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5F0B81" w:rsidRDefault="00015478" w:rsidP="002A126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Staff</w:t>
      </w:r>
      <w:r w:rsidR="00F95702">
        <w:rPr>
          <w:rFonts w:ascii="Times New Roman" w:hAnsi="Times New Roman" w:cs="Times New Roman"/>
          <w:sz w:val="24"/>
          <w:szCs w:val="24"/>
        </w:rPr>
        <w:t xml:space="preserve"> states that it investigated</w:t>
      </w:r>
      <w:r w:rsidR="00981865">
        <w:rPr>
          <w:rFonts w:ascii="Times New Roman" w:hAnsi="Times New Roman" w:cs="Times New Roman"/>
          <w:sz w:val="24"/>
          <w:szCs w:val="24"/>
        </w:rPr>
        <w:t xml:space="preserve"> </w:t>
      </w:r>
      <w:r w:rsidR="00DB3661">
        <w:rPr>
          <w:rFonts w:ascii="Times New Roman" w:hAnsi="Times New Roman" w:cs="Times New Roman"/>
          <w:sz w:val="24"/>
          <w:szCs w:val="24"/>
        </w:rPr>
        <w:t>Duke’s admission that its service lines have not actually resulted in harm to person</w:t>
      </w:r>
      <w:r w:rsidR="00C67B76">
        <w:rPr>
          <w:rFonts w:ascii="Times New Roman" w:hAnsi="Times New Roman" w:cs="Times New Roman"/>
          <w:sz w:val="24"/>
          <w:szCs w:val="24"/>
        </w:rPr>
        <w:t>s</w:t>
      </w:r>
      <w:r w:rsidR="00DB3661">
        <w:rPr>
          <w:rFonts w:ascii="Times New Roman" w:hAnsi="Times New Roman" w:cs="Times New Roman"/>
          <w:sz w:val="24"/>
          <w:szCs w:val="24"/>
        </w:rPr>
        <w:t xml:space="preserve"> or property</w:t>
      </w:r>
      <w:r w:rsidR="00F95702">
        <w:rPr>
          <w:rFonts w:ascii="Times New Roman" w:hAnsi="Times New Roman" w:cs="Times New Roman"/>
          <w:sz w:val="24"/>
          <w:szCs w:val="24"/>
        </w:rPr>
        <w:t>. In doing so</w:t>
      </w:r>
      <w:r w:rsidR="00C67B76">
        <w:rPr>
          <w:rFonts w:ascii="Times New Roman" w:hAnsi="Times New Roman" w:cs="Times New Roman"/>
          <w:sz w:val="24"/>
          <w:szCs w:val="24"/>
        </w:rPr>
        <w:t xml:space="preserve"> </w:t>
      </w:r>
      <w:r w:rsidR="00F95702">
        <w:rPr>
          <w:rFonts w:ascii="Times New Roman" w:hAnsi="Times New Roman" w:cs="Times New Roman"/>
          <w:sz w:val="24"/>
          <w:szCs w:val="24"/>
        </w:rPr>
        <w:t>it</w:t>
      </w:r>
      <w:r w:rsidR="00DB3661">
        <w:rPr>
          <w:rFonts w:ascii="Times New Roman" w:hAnsi="Times New Roman" w:cs="Times New Roman"/>
          <w:sz w:val="24"/>
          <w:szCs w:val="24"/>
        </w:rPr>
        <w:t xml:space="preserve"> searched </w:t>
      </w:r>
      <w:r w:rsidR="00CC1C97">
        <w:rPr>
          <w:rFonts w:ascii="Times New Roman" w:hAnsi="Times New Roman" w:cs="Times New Roman"/>
          <w:sz w:val="24"/>
          <w:szCs w:val="24"/>
        </w:rPr>
        <w:t>the PHMSA</w:t>
      </w:r>
      <w:r w:rsidR="00DB3661">
        <w:rPr>
          <w:rFonts w:ascii="Times New Roman" w:hAnsi="Times New Roman" w:cs="Times New Roman"/>
          <w:sz w:val="24"/>
          <w:szCs w:val="24"/>
        </w:rPr>
        <w:t xml:space="preserve"> database of “reportable incidents”</w:t>
      </w:r>
      <w:r w:rsidR="00F95702">
        <w:rPr>
          <w:rStyle w:val="FootnoteReference"/>
          <w:rFonts w:ascii="Times New Roman" w:hAnsi="Times New Roman" w:cs="Times New Roman"/>
          <w:sz w:val="24"/>
          <w:szCs w:val="24"/>
        </w:rPr>
        <w:footnoteReference w:id="37"/>
      </w:r>
      <w:r w:rsidR="00DB3661">
        <w:rPr>
          <w:rFonts w:ascii="Times New Roman" w:hAnsi="Times New Roman" w:cs="Times New Roman"/>
          <w:sz w:val="24"/>
          <w:szCs w:val="24"/>
        </w:rPr>
        <w:t xml:space="preserve"> for the years 2004 to 2014.</w:t>
      </w:r>
      <w:r w:rsidR="00FC39A5">
        <w:rPr>
          <w:rStyle w:val="FootnoteReference"/>
          <w:rFonts w:ascii="Times New Roman" w:hAnsi="Times New Roman" w:cs="Times New Roman"/>
          <w:sz w:val="24"/>
          <w:szCs w:val="24"/>
        </w:rPr>
        <w:footnoteReference w:id="38"/>
      </w:r>
      <w:r w:rsidR="00DB3661">
        <w:rPr>
          <w:rFonts w:ascii="Times New Roman" w:hAnsi="Times New Roman" w:cs="Times New Roman"/>
          <w:sz w:val="24"/>
          <w:szCs w:val="24"/>
        </w:rPr>
        <w:t xml:space="preserve"> It discovered that, throughout the entire United States during that </w:t>
      </w:r>
      <w:r w:rsidR="00BF1695">
        <w:rPr>
          <w:rFonts w:ascii="Times New Roman" w:hAnsi="Times New Roman" w:cs="Times New Roman"/>
          <w:sz w:val="24"/>
          <w:szCs w:val="24"/>
        </w:rPr>
        <w:t>11-</w:t>
      </w:r>
      <w:r w:rsidR="00DB3661">
        <w:rPr>
          <w:rFonts w:ascii="Times New Roman" w:hAnsi="Times New Roman" w:cs="Times New Roman"/>
          <w:sz w:val="24"/>
          <w:szCs w:val="24"/>
        </w:rPr>
        <w:t>year period, only 62 reportable incidents occurred on service lines that were attributa</w:t>
      </w:r>
      <w:r w:rsidR="00F95702">
        <w:rPr>
          <w:rFonts w:ascii="Times New Roman" w:hAnsi="Times New Roman" w:cs="Times New Roman"/>
          <w:sz w:val="24"/>
          <w:szCs w:val="24"/>
        </w:rPr>
        <w:t>ble to corrosion, materials/</w:t>
      </w:r>
      <w:r w:rsidR="00DB3661">
        <w:rPr>
          <w:rFonts w:ascii="Times New Roman" w:hAnsi="Times New Roman" w:cs="Times New Roman"/>
          <w:sz w:val="24"/>
          <w:szCs w:val="24"/>
        </w:rPr>
        <w:t>welds, and natural forces – the three risks</w:t>
      </w:r>
      <w:r w:rsidR="00F95702">
        <w:rPr>
          <w:rFonts w:ascii="Times New Roman" w:hAnsi="Times New Roman" w:cs="Times New Roman"/>
          <w:sz w:val="24"/>
          <w:szCs w:val="24"/>
        </w:rPr>
        <w:t xml:space="preserve"> that</w:t>
      </w:r>
      <w:r w:rsidR="00DB3661">
        <w:rPr>
          <w:rFonts w:ascii="Times New Roman" w:hAnsi="Times New Roman" w:cs="Times New Roman"/>
          <w:sz w:val="24"/>
          <w:szCs w:val="24"/>
        </w:rPr>
        <w:t xml:space="preserve"> the ASRP is designed</w:t>
      </w:r>
      <w:r w:rsidR="00215FB8">
        <w:rPr>
          <w:rFonts w:ascii="Times New Roman" w:hAnsi="Times New Roman" w:cs="Times New Roman"/>
          <w:sz w:val="24"/>
          <w:szCs w:val="24"/>
        </w:rPr>
        <w:t xml:space="preserve"> to address.</w:t>
      </w:r>
      <w:r w:rsidR="00FC39A5">
        <w:rPr>
          <w:rStyle w:val="FootnoteReference"/>
          <w:rFonts w:ascii="Times New Roman" w:hAnsi="Times New Roman" w:cs="Times New Roman"/>
          <w:sz w:val="24"/>
          <w:szCs w:val="24"/>
        </w:rPr>
        <w:footnoteReference w:id="39"/>
      </w:r>
      <w:r w:rsidR="00215FB8">
        <w:rPr>
          <w:rFonts w:ascii="Times New Roman" w:hAnsi="Times New Roman" w:cs="Times New Roman"/>
          <w:sz w:val="24"/>
          <w:szCs w:val="24"/>
        </w:rPr>
        <w:t xml:space="preserve"> T</w:t>
      </w:r>
      <w:r w:rsidR="00DB3661">
        <w:rPr>
          <w:rFonts w:ascii="Times New Roman" w:hAnsi="Times New Roman" w:cs="Times New Roman"/>
          <w:sz w:val="24"/>
          <w:szCs w:val="24"/>
        </w:rPr>
        <w:t xml:space="preserve">here are 67 million service lines nationwide, which means that there is a </w:t>
      </w:r>
      <w:r w:rsidR="00006303">
        <w:rPr>
          <w:rFonts w:ascii="Times New Roman" w:hAnsi="Times New Roman" w:cs="Times New Roman"/>
          <w:sz w:val="24"/>
          <w:szCs w:val="24"/>
        </w:rPr>
        <w:t xml:space="preserve">one </w:t>
      </w:r>
      <w:r w:rsidR="00DB3661">
        <w:rPr>
          <w:rFonts w:ascii="Times New Roman" w:hAnsi="Times New Roman" w:cs="Times New Roman"/>
          <w:sz w:val="24"/>
          <w:szCs w:val="24"/>
        </w:rPr>
        <w:t xml:space="preserve">in more than 11.9 million chance of a service line incident occurring anywhere in the country in a given </w:t>
      </w:r>
    </w:p>
    <w:p w:rsidR="005F0B81" w:rsidRDefault="005F0B81">
      <w:pPr>
        <w:rPr>
          <w:rFonts w:ascii="Times New Roman" w:hAnsi="Times New Roman" w:cs="Times New Roman"/>
          <w:sz w:val="24"/>
          <w:szCs w:val="24"/>
        </w:rPr>
      </w:pPr>
      <w:r>
        <w:rPr>
          <w:rFonts w:ascii="Times New Roman" w:hAnsi="Times New Roman" w:cs="Times New Roman"/>
          <w:sz w:val="24"/>
          <w:szCs w:val="24"/>
        </w:rPr>
        <w:br w:type="page"/>
      </w:r>
    </w:p>
    <w:p w:rsidR="00CC1C97" w:rsidRDefault="00DB3661" w:rsidP="005F0B8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year as a result of one of the three causes that the ASRP is designed to address.</w:t>
      </w:r>
      <w:r w:rsidR="00215FB8">
        <w:rPr>
          <w:rStyle w:val="FootnoteReference"/>
          <w:rFonts w:ascii="Times New Roman" w:hAnsi="Times New Roman" w:cs="Times New Roman"/>
          <w:sz w:val="24"/>
          <w:szCs w:val="24"/>
        </w:rPr>
        <w:footnoteReference w:id="40"/>
      </w:r>
      <w:r w:rsidR="002A1264">
        <w:rPr>
          <w:rFonts w:ascii="Times New Roman" w:hAnsi="Times New Roman" w:cs="Times New Roman"/>
          <w:sz w:val="24"/>
          <w:szCs w:val="24"/>
        </w:rPr>
        <w:t xml:space="preserve"> In other words, the chances that a service line will cause harm to persons or property due to corrosion, materials/welds, or natural forces, is infinitesimally small</w:t>
      </w:r>
      <w:r>
        <w:rPr>
          <w:rFonts w:ascii="Times New Roman" w:hAnsi="Times New Roman" w:cs="Times New Roman"/>
          <w:sz w:val="24"/>
          <w:szCs w:val="24"/>
        </w:rPr>
        <w:t xml:space="preserve">. </w:t>
      </w:r>
    </w:p>
    <w:p w:rsidR="00DB3661" w:rsidRDefault="002A1264" w:rsidP="002A126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DB3661">
        <w:rPr>
          <w:rFonts w:ascii="Times New Roman" w:hAnsi="Times New Roman" w:cs="Times New Roman"/>
          <w:sz w:val="24"/>
          <w:szCs w:val="24"/>
        </w:rPr>
        <w:t xml:space="preserve"> OCC performed similar research</w:t>
      </w:r>
      <w:r>
        <w:rPr>
          <w:rFonts w:ascii="Times New Roman" w:hAnsi="Times New Roman" w:cs="Times New Roman"/>
          <w:sz w:val="24"/>
          <w:szCs w:val="24"/>
        </w:rPr>
        <w:t xml:space="preserve"> in this proceeding</w:t>
      </w:r>
      <w:r w:rsidR="00DB3661">
        <w:rPr>
          <w:rFonts w:ascii="Times New Roman" w:hAnsi="Times New Roman" w:cs="Times New Roman"/>
          <w:sz w:val="24"/>
          <w:szCs w:val="24"/>
        </w:rPr>
        <w:t xml:space="preserve"> and came to similar conclusions.</w:t>
      </w:r>
      <w:r w:rsidR="00DB3661">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00FC39A5">
        <w:rPr>
          <w:rFonts w:ascii="Times New Roman" w:hAnsi="Times New Roman" w:cs="Times New Roman"/>
          <w:sz w:val="24"/>
          <w:szCs w:val="24"/>
        </w:rPr>
        <w:t>Specifically, OCC found that</w:t>
      </w:r>
      <w:r>
        <w:rPr>
          <w:rFonts w:ascii="Times New Roman" w:hAnsi="Times New Roman" w:cs="Times New Roman"/>
          <w:sz w:val="24"/>
          <w:szCs w:val="24"/>
        </w:rPr>
        <w:t xml:space="preserve"> </w:t>
      </w:r>
      <w:r w:rsidRPr="002A1264">
        <w:rPr>
          <w:rFonts w:ascii="Times New Roman" w:hAnsi="Times New Roman" w:cs="Times New Roman"/>
          <w:sz w:val="24"/>
          <w:szCs w:val="24"/>
        </w:rPr>
        <w:t xml:space="preserve">the chance that a service line will experience a corrosion-related incident in Ohio is likely less than 0.0018 percent </w:t>
      </w:r>
      <w:r w:rsidR="00006303">
        <w:rPr>
          <w:rFonts w:ascii="Times New Roman" w:hAnsi="Times New Roman" w:cs="Times New Roman"/>
          <w:sz w:val="24"/>
          <w:szCs w:val="24"/>
        </w:rPr>
        <w:t>(or a 0.000018 probability)</w:t>
      </w:r>
      <w:r w:rsidR="00A116B9">
        <w:rPr>
          <w:rStyle w:val="FootnoteReference"/>
          <w:rFonts w:ascii="Times New Roman" w:hAnsi="Times New Roman" w:cs="Times New Roman"/>
          <w:sz w:val="24"/>
          <w:szCs w:val="24"/>
        </w:rPr>
        <w:footnoteReference w:id="42"/>
      </w:r>
      <w:r w:rsidR="00006303">
        <w:rPr>
          <w:rFonts w:ascii="Times New Roman" w:hAnsi="Times New Roman" w:cs="Times New Roman"/>
          <w:sz w:val="24"/>
          <w:szCs w:val="24"/>
        </w:rPr>
        <w:t xml:space="preserve"> </w:t>
      </w:r>
      <w:r w:rsidRPr="002A1264">
        <w:rPr>
          <w:rFonts w:ascii="Times New Roman" w:hAnsi="Times New Roman" w:cs="Times New Roman"/>
          <w:sz w:val="24"/>
          <w:szCs w:val="24"/>
        </w:rPr>
        <w:t>and nationwide the chances are likely less than 0.0021 percent</w:t>
      </w:r>
      <w:r w:rsidR="00006303">
        <w:rPr>
          <w:rFonts w:ascii="Times New Roman" w:hAnsi="Times New Roman" w:cs="Times New Roman"/>
          <w:sz w:val="24"/>
          <w:szCs w:val="24"/>
        </w:rPr>
        <w:t xml:space="preserve"> (or a 0.000021 probability)</w:t>
      </w:r>
      <w:r w:rsidRPr="002A1264">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Pr="002A1264">
        <w:rPr>
          <w:rFonts w:ascii="Times New Roman" w:hAnsi="Times New Roman" w:cs="Times New Roman"/>
          <w:sz w:val="24"/>
          <w:szCs w:val="24"/>
        </w:rPr>
        <w:t xml:space="preserve"> </w:t>
      </w:r>
      <w:r>
        <w:rPr>
          <w:rFonts w:ascii="Times New Roman" w:hAnsi="Times New Roman" w:cs="Times New Roman"/>
          <w:sz w:val="24"/>
          <w:szCs w:val="24"/>
        </w:rPr>
        <w:t xml:space="preserve">Yet, Duke wants to spend $320 million of consumer monies </w:t>
      </w:r>
      <w:r w:rsidR="00FC39A5">
        <w:rPr>
          <w:rFonts w:ascii="Times New Roman" w:hAnsi="Times New Roman" w:cs="Times New Roman"/>
          <w:sz w:val="24"/>
          <w:szCs w:val="24"/>
        </w:rPr>
        <w:t>to decrease this risk even more. Such a program is not just and reasonable because the benefit for consumers</w:t>
      </w:r>
      <w:r w:rsidR="005F319D">
        <w:rPr>
          <w:rFonts w:ascii="Times New Roman" w:hAnsi="Times New Roman" w:cs="Times New Roman"/>
          <w:sz w:val="24"/>
          <w:szCs w:val="24"/>
        </w:rPr>
        <w:t xml:space="preserve"> of reducing a 0.0018 percent chance does not outweigh the cost of $320 million</w:t>
      </w:r>
      <w:r w:rsidR="00FC39A5">
        <w:rPr>
          <w:rFonts w:ascii="Times New Roman" w:hAnsi="Times New Roman" w:cs="Times New Roman"/>
          <w:sz w:val="24"/>
          <w:szCs w:val="24"/>
        </w:rPr>
        <w:t>.</w:t>
      </w:r>
    </w:p>
    <w:p w:rsidR="00D447C4" w:rsidRDefault="00C67B76" w:rsidP="00BD7D40">
      <w:pPr>
        <w:spacing w:line="480" w:lineRule="auto"/>
        <w:ind w:firstLine="720"/>
        <w:contextualSpacing/>
        <w:rPr>
          <w:rFonts w:ascii="Times New Roman" w:hAnsi="Times New Roman" w:cs="Times New Roman"/>
          <w:sz w:val="24"/>
          <w:szCs w:val="24"/>
        </w:rPr>
      </w:pPr>
      <w:r w:rsidRPr="00981865">
        <w:rPr>
          <w:rFonts w:ascii="Times New Roman" w:hAnsi="Times New Roman" w:cs="Times New Roman"/>
          <w:sz w:val="24"/>
          <w:szCs w:val="24"/>
        </w:rPr>
        <w:t xml:space="preserve">In attempt to shift the focus from </w:t>
      </w:r>
      <w:r>
        <w:rPr>
          <w:rFonts w:ascii="Times New Roman" w:hAnsi="Times New Roman" w:cs="Times New Roman"/>
          <w:sz w:val="24"/>
          <w:szCs w:val="24"/>
        </w:rPr>
        <w:t>the fact that the ASRP will not protect consumers from a real threat</w:t>
      </w:r>
      <w:r w:rsidRPr="00981865">
        <w:rPr>
          <w:rFonts w:ascii="Times New Roman" w:hAnsi="Times New Roman" w:cs="Times New Roman"/>
          <w:sz w:val="24"/>
          <w:szCs w:val="24"/>
        </w:rPr>
        <w:t>, Duke</w:t>
      </w:r>
      <w:r w:rsidR="002A1264">
        <w:rPr>
          <w:rFonts w:ascii="Times New Roman" w:hAnsi="Times New Roman" w:cs="Times New Roman"/>
          <w:sz w:val="24"/>
          <w:szCs w:val="24"/>
        </w:rPr>
        <w:t xml:space="preserve"> also</w:t>
      </w:r>
      <w:r w:rsidRPr="00981865">
        <w:rPr>
          <w:rFonts w:ascii="Times New Roman" w:hAnsi="Times New Roman" w:cs="Times New Roman"/>
          <w:sz w:val="24"/>
          <w:szCs w:val="24"/>
        </w:rPr>
        <w:t xml:space="preserve"> states that the fact that</w:t>
      </w:r>
      <w:r w:rsidR="002A1264">
        <w:rPr>
          <w:rFonts w:ascii="Times New Roman" w:hAnsi="Times New Roman" w:cs="Times New Roman"/>
          <w:sz w:val="24"/>
          <w:szCs w:val="24"/>
        </w:rPr>
        <w:t xml:space="preserve"> a</w:t>
      </w:r>
      <w:r w:rsidRPr="00981865">
        <w:rPr>
          <w:rFonts w:ascii="Times New Roman" w:hAnsi="Times New Roman" w:cs="Times New Roman"/>
          <w:sz w:val="24"/>
          <w:szCs w:val="24"/>
        </w:rPr>
        <w:t xml:space="preserve"> </w:t>
      </w:r>
      <w:r w:rsidR="002A1264">
        <w:rPr>
          <w:rFonts w:ascii="Times New Roman" w:hAnsi="Times New Roman" w:cs="Times New Roman"/>
          <w:sz w:val="24"/>
          <w:szCs w:val="24"/>
        </w:rPr>
        <w:t xml:space="preserve">service line leak “has </w:t>
      </w:r>
      <w:r w:rsidRPr="00981865">
        <w:rPr>
          <w:rFonts w:ascii="Times New Roman" w:hAnsi="Times New Roman" w:cs="Times New Roman"/>
          <w:sz w:val="24"/>
          <w:szCs w:val="24"/>
        </w:rPr>
        <w:t xml:space="preserve">not recently </w:t>
      </w:r>
      <w:r w:rsidR="002A1264">
        <w:rPr>
          <w:rFonts w:ascii="Times New Roman" w:hAnsi="Times New Roman" w:cs="Times New Roman"/>
          <w:sz w:val="24"/>
          <w:szCs w:val="24"/>
        </w:rPr>
        <w:t>culminated in a</w:t>
      </w:r>
      <w:r w:rsidRPr="00981865">
        <w:rPr>
          <w:rFonts w:ascii="Times New Roman" w:hAnsi="Times New Roman" w:cs="Times New Roman"/>
          <w:sz w:val="24"/>
          <w:szCs w:val="24"/>
        </w:rPr>
        <w:t xml:space="preserve"> catastrophic incident </w:t>
      </w:r>
      <w:r w:rsidR="002A1264">
        <w:rPr>
          <w:rFonts w:ascii="Times New Roman" w:hAnsi="Times New Roman" w:cs="Times New Roman"/>
          <w:sz w:val="24"/>
          <w:szCs w:val="24"/>
        </w:rPr>
        <w:t xml:space="preserve">is </w:t>
      </w:r>
      <w:r w:rsidRPr="00981865">
        <w:rPr>
          <w:rFonts w:ascii="Times New Roman" w:hAnsi="Times New Roman" w:cs="Times New Roman"/>
          <w:sz w:val="24"/>
          <w:szCs w:val="24"/>
        </w:rPr>
        <w:t xml:space="preserve">irrelevant” because </w:t>
      </w:r>
      <w:r w:rsidR="002A1264">
        <w:rPr>
          <w:rFonts w:ascii="Times New Roman" w:hAnsi="Times New Roman" w:cs="Times New Roman"/>
          <w:sz w:val="24"/>
          <w:szCs w:val="24"/>
        </w:rPr>
        <w:t>“‘</w:t>
      </w:r>
      <w:r w:rsidRPr="00981865">
        <w:rPr>
          <w:rFonts w:ascii="Times New Roman" w:hAnsi="Times New Roman" w:cs="Times New Roman"/>
          <w:sz w:val="24"/>
          <w:szCs w:val="24"/>
        </w:rPr>
        <w:t xml:space="preserve">waiting for an </w:t>
      </w:r>
      <w:r w:rsidR="002A1264">
        <w:rPr>
          <w:rFonts w:ascii="Times New Roman" w:hAnsi="Times New Roman" w:cs="Times New Roman"/>
          <w:sz w:val="24"/>
          <w:szCs w:val="24"/>
        </w:rPr>
        <w:lastRenderedPageBreak/>
        <w:t>imminent safety threat’</w:t>
      </w:r>
      <w:r w:rsidRPr="00981865">
        <w:rPr>
          <w:rFonts w:ascii="Times New Roman" w:hAnsi="Times New Roman" w:cs="Times New Roman"/>
          <w:sz w:val="24"/>
          <w:szCs w:val="24"/>
        </w:rPr>
        <w:t xml:space="preserve"> is not advisable.”</w:t>
      </w:r>
      <w:r>
        <w:rPr>
          <w:rStyle w:val="FootnoteReference"/>
          <w:rFonts w:ascii="Times New Roman" w:hAnsi="Times New Roman" w:cs="Times New Roman"/>
          <w:sz w:val="24"/>
          <w:szCs w:val="24"/>
        </w:rPr>
        <w:footnoteReference w:id="44"/>
      </w:r>
      <w:r w:rsidRPr="00981865">
        <w:rPr>
          <w:rFonts w:ascii="Times New Roman" w:hAnsi="Times New Roman" w:cs="Times New Roman"/>
          <w:sz w:val="24"/>
          <w:szCs w:val="24"/>
        </w:rPr>
        <w:t xml:space="preserve"> </w:t>
      </w:r>
      <w:r>
        <w:rPr>
          <w:rFonts w:ascii="Times New Roman" w:hAnsi="Times New Roman" w:cs="Times New Roman"/>
          <w:sz w:val="24"/>
          <w:szCs w:val="24"/>
        </w:rPr>
        <w:t xml:space="preserve">However, Duke’s logic is flawed. </w:t>
      </w:r>
      <w:r w:rsidRPr="00981865">
        <w:rPr>
          <w:rFonts w:ascii="Times New Roman" w:hAnsi="Times New Roman" w:cs="Times New Roman"/>
          <w:sz w:val="24"/>
          <w:szCs w:val="24"/>
        </w:rPr>
        <w:t>The evidence shows that</w:t>
      </w:r>
      <w:r w:rsidR="00CC6EE5">
        <w:rPr>
          <w:rFonts w:ascii="Times New Roman" w:hAnsi="Times New Roman" w:cs="Times New Roman"/>
          <w:sz w:val="24"/>
          <w:szCs w:val="24"/>
        </w:rPr>
        <w:t xml:space="preserve"> likelihood of</w:t>
      </w:r>
      <w:r w:rsidRPr="00981865">
        <w:rPr>
          <w:rFonts w:ascii="Times New Roman" w:hAnsi="Times New Roman" w:cs="Times New Roman"/>
          <w:sz w:val="24"/>
          <w:szCs w:val="24"/>
        </w:rPr>
        <w:t xml:space="preserve"> harm to persons or property from </w:t>
      </w:r>
      <w:r w:rsidR="00CC6EE5">
        <w:rPr>
          <w:rFonts w:ascii="Times New Roman" w:hAnsi="Times New Roman" w:cs="Times New Roman"/>
          <w:sz w:val="24"/>
          <w:szCs w:val="24"/>
        </w:rPr>
        <w:t xml:space="preserve">a </w:t>
      </w:r>
      <w:r w:rsidRPr="00981865">
        <w:rPr>
          <w:rFonts w:ascii="Times New Roman" w:hAnsi="Times New Roman" w:cs="Times New Roman"/>
          <w:sz w:val="24"/>
          <w:szCs w:val="24"/>
        </w:rPr>
        <w:t>service line in</w:t>
      </w:r>
      <w:r w:rsidR="00CC6EE5">
        <w:rPr>
          <w:rFonts w:ascii="Times New Roman" w:hAnsi="Times New Roman" w:cs="Times New Roman"/>
          <w:sz w:val="24"/>
          <w:szCs w:val="24"/>
        </w:rPr>
        <w:t>cident</w:t>
      </w:r>
      <w:r w:rsidRPr="00981865">
        <w:rPr>
          <w:rFonts w:ascii="Times New Roman" w:hAnsi="Times New Roman" w:cs="Times New Roman"/>
          <w:sz w:val="24"/>
          <w:szCs w:val="24"/>
        </w:rPr>
        <w:t xml:space="preserve"> </w:t>
      </w:r>
      <w:r w:rsidR="00CC6EE5">
        <w:rPr>
          <w:rFonts w:ascii="Times New Roman" w:hAnsi="Times New Roman" w:cs="Times New Roman"/>
          <w:sz w:val="24"/>
          <w:szCs w:val="24"/>
        </w:rPr>
        <w:t>is</w:t>
      </w:r>
      <w:r w:rsidRPr="00981865">
        <w:rPr>
          <w:rFonts w:ascii="Times New Roman" w:hAnsi="Times New Roman" w:cs="Times New Roman"/>
          <w:sz w:val="24"/>
          <w:szCs w:val="24"/>
        </w:rPr>
        <w:t xml:space="preserve"> basically non-existent. If catastrophic incidents do not occur, then harm to the public, by definition, will not occur. And, if harm to the public will not occur, then replacing service lines on an accelerated basis at a cost of $320 million should not occur either. Duke’s ASRP is a solution </w:t>
      </w:r>
      <w:r w:rsidR="002D3ED5">
        <w:rPr>
          <w:rFonts w:ascii="Times New Roman" w:hAnsi="Times New Roman" w:cs="Times New Roman"/>
          <w:sz w:val="24"/>
          <w:szCs w:val="24"/>
        </w:rPr>
        <w:t xml:space="preserve">in search of a </w:t>
      </w:r>
      <w:r w:rsidRPr="00981865">
        <w:rPr>
          <w:rFonts w:ascii="Times New Roman" w:hAnsi="Times New Roman" w:cs="Times New Roman"/>
          <w:sz w:val="24"/>
          <w:szCs w:val="24"/>
        </w:rPr>
        <w:t>problem</w:t>
      </w:r>
      <w:r w:rsidR="002D3ED5">
        <w:rPr>
          <w:rFonts w:ascii="Times New Roman" w:hAnsi="Times New Roman" w:cs="Times New Roman"/>
          <w:sz w:val="24"/>
          <w:szCs w:val="24"/>
        </w:rPr>
        <w:t xml:space="preserve">. But in this case, </w:t>
      </w:r>
      <w:r w:rsidRPr="00981865">
        <w:rPr>
          <w:rFonts w:ascii="Times New Roman" w:hAnsi="Times New Roman" w:cs="Times New Roman"/>
          <w:sz w:val="24"/>
          <w:szCs w:val="24"/>
        </w:rPr>
        <w:t>that</w:t>
      </w:r>
      <w:r w:rsidR="002D3ED5">
        <w:rPr>
          <w:rFonts w:ascii="Times New Roman" w:hAnsi="Times New Roman" w:cs="Times New Roman"/>
          <w:sz w:val="24"/>
          <w:szCs w:val="24"/>
        </w:rPr>
        <w:t xml:space="preserve"> problem</w:t>
      </w:r>
      <w:r w:rsidRPr="00981865">
        <w:rPr>
          <w:rFonts w:ascii="Times New Roman" w:hAnsi="Times New Roman" w:cs="Times New Roman"/>
          <w:sz w:val="24"/>
          <w:szCs w:val="24"/>
        </w:rPr>
        <w:t xml:space="preserve"> does not exist.</w:t>
      </w:r>
    </w:p>
    <w:p w:rsidR="000D755D" w:rsidRDefault="00523896"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Even though the facts show that ASRP-related</w:t>
      </w:r>
      <w:r w:rsidR="00D447C4">
        <w:rPr>
          <w:rFonts w:ascii="Times New Roman" w:hAnsi="Times New Roman" w:cs="Times New Roman"/>
          <w:sz w:val="24"/>
          <w:szCs w:val="24"/>
        </w:rPr>
        <w:t xml:space="preserve"> service line leaks do not cause</w:t>
      </w:r>
      <w:r w:rsidR="00DE6AB2">
        <w:rPr>
          <w:rFonts w:ascii="Times New Roman" w:hAnsi="Times New Roman" w:cs="Times New Roman"/>
          <w:sz w:val="24"/>
          <w:szCs w:val="24"/>
        </w:rPr>
        <w:t xml:space="preserve"> serious</w:t>
      </w:r>
      <w:r w:rsidR="00D447C4">
        <w:rPr>
          <w:rFonts w:ascii="Times New Roman" w:hAnsi="Times New Roman" w:cs="Times New Roman"/>
          <w:sz w:val="24"/>
          <w:szCs w:val="24"/>
        </w:rPr>
        <w:t xml:space="preserve"> incidents</w:t>
      </w:r>
      <w:r w:rsidR="00DE6AB2">
        <w:rPr>
          <w:rFonts w:ascii="Times New Roman" w:hAnsi="Times New Roman" w:cs="Times New Roman"/>
          <w:sz w:val="24"/>
          <w:szCs w:val="24"/>
        </w:rPr>
        <w:t>,</w:t>
      </w:r>
      <w:r>
        <w:rPr>
          <w:rFonts w:ascii="Times New Roman" w:hAnsi="Times New Roman" w:cs="Times New Roman"/>
          <w:sz w:val="24"/>
          <w:szCs w:val="24"/>
        </w:rPr>
        <w:t xml:space="preserve"> </w:t>
      </w:r>
      <w:r w:rsidR="00D447C4">
        <w:rPr>
          <w:rFonts w:ascii="Times New Roman" w:hAnsi="Times New Roman" w:cs="Times New Roman"/>
          <w:sz w:val="24"/>
          <w:szCs w:val="24"/>
        </w:rPr>
        <w:t>Duke states that the rate of leaks</w:t>
      </w:r>
      <w:r w:rsidR="00DE6AB2">
        <w:rPr>
          <w:rFonts w:ascii="Times New Roman" w:hAnsi="Times New Roman" w:cs="Times New Roman"/>
          <w:sz w:val="24"/>
          <w:szCs w:val="24"/>
        </w:rPr>
        <w:t xml:space="preserve"> of any type</w:t>
      </w:r>
      <w:r w:rsidR="00D447C4">
        <w:rPr>
          <w:rFonts w:ascii="Times New Roman" w:hAnsi="Times New Roman" w:cs="Times New Roman"/>
          <w:sz w:val="24"/>
          <w:szCs w:val="24"/>
        </w:rPr>
        <w:t xml:space="preserve"> in its system is indicia of a problem or threat that must be solved.</w:t>
      </w:r>
      <w:r>
        <w:rPr>
          <w:rStyle w:val="FootnoteReference"/>
          <w:rFonts w:ascii="Times New Roman" w:hAnsi="Times New Roman" w:cs="Times New Roman"/>
          <w:sz w:val="24"/>
          <w:szCs w:val="24"/>
        </w:rPr>
        <w:footnoteReference w:id="45"/>
      </w:r>
      <w:r w:rsidR="00D447C4">
        <w:rPr>
          <w:rFonts w:ascii="Times New Roman" w:hAnsi="Times New Roman" w:cs="Times New Roman"/>
          <w:sz w:val="24"/>
          <w:szCs w:val="24"/>
        </w:rPr>
        <w:t xml:space="preserve"> In support of</w:t>
      </w:r>
      <w:r w:rsidR="00DE6AB2">
        <w:rPr>
          <w:rFonts w:ascii="Times New Roman" w:hAnsi="Times New Roman" w:cs="Times New Roman"/>
          <w:sz w:val="24"/>
          <w:szCs w:val="24"/>
        </w:rPr>
        <w:t xml:space="preserve"> this</w:t>
      </w:r>
      <w:r w:rsidR="00D447C4">
        <w:rPr>
          <w:rFonts w:ascii="Times New Roman" w:hAnsi="Times New Roman" w:cs="Times New Roman"/>
          <w:sz w:val="24"/>
          <w:szCs w:val="24"/>
        </w:rPr>
        <w:t xml:space="preserve"> </w:t>
      </w:r>
      <w:r w:rsidR="00430383">
        <w:rPr>
          <w:rFonts w:ascii="Times New Roman" w:hAnsi="Times New Roman" w:cs="Times New Roman"/>
          <w:sz w:val="24"/>
          <w:szCs w:val="24"/>
        </w:rPr>
        <w:t>claim</w:t>
      </w:r>
      <w:r w:rsidR="00DE6AB2">
        <w:rPr>
          <w:rFonts w:ascii="Times New Roman" w:hAnsi="Times New Roman" w:cs="Times New Roman"/>
          <w:sz w:val="24"/>
          <w:szCs w:val="24"/>
        </w:rPr>
        <w:t>, Duke states</w:t>
      </w:r>
      <w:r w:rsidR="00D447C4">
        <w:rPr>
          <w:rFonts w:ascii="Times New Roman" w:hAnsi="Times New Roman" w:cs="Times New Roman"/>
          <w:sz w:val="24"/>
          <w:szCs w:val="24"/>
        </w:rPr>
        <w:t xml:space="preserve"> that “as the uncontroverted evidence in this proceeding confirms, leaks in the Duke Energy Ohio service territory are increasing on the curb-to-meter segments of service lines, which</w:t>
      </w:r>
      <w:r w:rsidR="008C007A">
        <w:rPr>
          <w:rFonts w:ascii="Times New Roman" w:hAnsi="Times New Roman" w:cs="Times New Roman"/>
          <w:sz w:val="24"/>
          <w:szCs w:val="24"/>
        </w:rPr>
        <w:t xml:space="preserve"> is</w:t>
      </w:r>
      <w:r w:rsidR="00D447C4">
        <w:rPr>
          <w:rFonts w:ascii="Times New Roman" w:hAnsi="Times New Roman" w:cs="Times New Roman"/>
          <w:sz w:val="24"/>
          <w:szCs w:val="24"/>
        </w:rPr>
        <w:t xml:space="preserve"> the segment closest</w:t>
      </w:r>
      <w:r w:rsidR="00804A32">
        <w:rPr>
          <w:rFonts w:ascii="Times New Roman" w:hAnsi="Times New Roman" w:cs="Times New Roman"/>
          <w:sz w:val="24"/>
          <w:szCs w:val="24"/>
        </w:rPr>
        <w:t xml:space="preserve"> to</w:t>
      </w:r>
      <w:r w:rsidR="00D447C4">
        <w:rPr>
          <w:rFonts w:ascii="Times New Roman" w:hAnsi="Times New Roman" w:cs="Times New Roman"/>
          <w:sz w:val="24"/>
          <w:szCs w:val="24"/>
        </w:rPr>
        <w:t xml:space="preserve"> structures.”</w:t>
      </w:r>
      <w:r w:rsidR="00D447C4">
        <w:rPr>
          <w:rStyle w:val="FootnoteReference"/>
          <w:rFonts w:ascii="Times New Roman" w:hAnsi="Times New Roman" w:cs="Times New Roman"/>
          <w:sz w:val="24"/>
          <w:szCs w:val="24"/>
        </w:rPr>
        <w:footnoteReference w:id="46"/>
      </w:r>
      <w:r w:rsidR="00804A32">
        <w:rPr>
          <w:rFonts w:ascii="Times New Roman" w:hAnsi="Times New Roman" w:cs="Times New Roman"/>
          <w:sz w:val="24"/>
          <w:szCs w:val="24"/>
        </w:rPr>
        <w:t xml:space="preserve"> </w:t>
      </w:r>
      <w:r w:rsidR="00652BC6">
        <w:rPr>
          <w:rFonts w:ascii="Times New Roman" w:hAnsi="Times New Roman" w:cs="Times New Roman"/>
          <w:sz w:val="24"/>
          <w:szCs w:val="24"/>
        </w:rPr>
        <w:t>T</w:t>
      </w:r>
      <w:r w:rsidR="00804A32">
        <w:rPr>
          <w:rFonts w:ascii="Times New Roman" w:hAnsi="Times New Roman" w:cs="Times New Roman"/>
          <w:sz w:val="24"/>
          <w:szCs w:val="24"/>
        </w:rPr>
        <w:t>his</w:t>
      </w:r>
      <w:r w:rsidR="00652BC6">
        <w:rPr>
          <w:rFonts w:ascii="Times New Roman" w:hAnsi="Times New Roman" w:cs="Times New Roman"/>
          <w:sz w:val="24"/>
          <w:szCs w:val="24"/>
        </w:rPr>
        <w:t xml:space="preserve"> claim is misleading</w:t>
      </w:r>
      <w:r w:rsidR="00DE6AB2">
        <w:rPr>
          <w:rFonts w:ascii="Times New Roman" w:hAnsi="Times New Roman" w:cs="Times New Roman"/>
          <w:sz w:val="24"/>
          <w:szCs w:val="24"/>
        </w:rPr>
        <w:t xml:space="preserve"> at best</w:t>
      </w:r>
      <w:r w:rsidR="00804A32">
        <w:rPr>
          <w:rFonts w:ascii="Times New Roman" w:hAnsi="Times New Roman" w:cs="Times New Roman"/>
          <w:sz w:val="24"/>
          <w:szCs w:val="24"/>
        </w:rPr>
        <w:t>.</w:t>
      </w:r>
      <w:r w:rsidR="00652BC6">
        <w:rPr>
          <w:rFonts w:ascii="Times New Roman" w:hAnsi="Times New Roman" w:cs="Times New Roman"/>
          <w:sz w:val="24"/>
          <w:szCs w:val="24"/>
        </w:rPr>
        <w:t xml:space="preserve"> </w:t>
      </w:r>
    </w:p>
    <w:p w:rsidR="000D755D" w:rsidRDefault="008578B0"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its pre-filed direct testimony</w:t>
      </w:r>
      <w:r w:rsidR="00DE6AB2">
        <w:rPr>
          <w:rFonts w:ascii="Times New Roman" w:hAnsi="Times New Roman" w:cs="Times New Roman"/>
          <w:sz w:val="24"/>
          <w:szCs w:val="24"/>
        </w:rPr>
        <w:t xml:space="preserve">, </w:t>
      </w:r>
      <w:r w:rsidR="00652BC6">
        <w:rPr>
          <w:rFonts w:ascii="Times New Roman" w:hAnsi="Times New Roman" w:cs="Times New Roman"/>
          <w:sz w:val="24"/>
          <w:szCs w:val="24"/>
        </w:rPr>
        <w:t xml:space="preserve">Duke did produce bar graphs </w:t>
      </w:r>
      <w:r w:rsidR="000D755D">
        <w:rPr>
          <w:rFonts w:ascii="Times New Roman" w:hAnsi="Times New Roman" w:cs="Times New Roman"/>
          <w:sz w:val="24"/>
          <w:szCs w:val="24"/>
        </w:rPr>
        <w:t>that provide data of</w:t>
      </w:r>
      <w:r w:rsidR="00652BC6">
        <w:rPr>
          <w:rFonts w:ascii="Times New Roman" w:hAnsi="Times New Roman" w:cs="Times New Roman"/>
          <w:sz w:val="24"/>
          <w:szCs w:val="24"/>
        </w:rPr>
        <w:t xml:space="preserve"> the leaks on the curb-to-meter</w:t>
      </w:r>
      <w:r>
        <w:rPr>
          <w:rFonts w:ascii="Times New Roman" w:hAnsi="Times New Roman" w:cs="Times New Roman"/>
          <w:sz w:val="24"/>
          <w:szCs w:val="24"/>
        </w:rPr>
        <w:t xml:space="preserve"> and main-to-curb</w:t>
      </w:r>
      <w:r w:rsidR="00652BC6">
        <w:rPr>
          <w:rFonts w:ascii="Times New Roman" w:hAnsi="Times New Roman" w:cs="Times New Roman"/>
          <w:sz w:val="24"/>
          <w:szCs w:val="24"/>
        </w:rPr>
        <w:t xml:space="preserve"> portion</w:t>
      </w:r>
      <w:r>
        <w:rPr>
          <w:rFonts w:ascii="Times New Roman" w:hAnsi="Times New Roman" w:cs="Times New Roman"/>
          <w:sz w:val="24"/>
          <w:szCs w:val="24"/>
        </w:rPr>
        <w:t>s</w:t>
      </w:r>
      <w:r w:rsidR="00652BC6">
        <w:rPr>
          <w:rFonts w:ascii="Times New Roman" w:hAnsi="Times New Roman" w:cs="Times New Roman"/>
          <w:sz w:val="24"/>
          <w:szCs w:val="24"/>
        </w:rPr>
        <w:t xml:space="preserve"> of service lines.</w:t>
      </w:r>
      <w:r w:rsidR="00DE6AB2">
        <w:rPr>
          <w:rStyle w:val="FootnoteReference"/>
          <w:rFonts w:ascii="Times New Roman" w:hAnsi="Times New Roman" w:cs="Times New Roman"/>
          <w:sz w:val="24"/>
          <w:szCs w:val="24"/>
        </w:rPr>
        <w:footnoteReference w:id="47"/>
      </w:r>
      <w:r w:rsidR="00652BC6">
        <w:rPr>
          <w:rFonts w:ascii="Times New Roman" w:hAnsi="Times New Roman" w:cs="Times New Roman"/>
          <w:sz w:val="24"/>
          <w:szCs w:val="24"/>
        </w:rPr>
        <w:t xml:space="preserve"> However, </w:t>
      </w:r>
      <w:r w:rsidR="00DE6AB2">
        <w:rPr>
          <w:rFonts w:ascii="Times New Roman" w:hAnsi="Times New Roman" w:cs="Times New Roman"/>
          <w:sz w:val="24"/>
          <w:szCs w:val="24"/>
        </w:rPr>
        <w:t>Duke</w:t>
      </w:r>
      <w:r w:rsidR="00652BC6">
        <w:rPr>
          <w:rFonts w:ascii="Times New Roman" w:hAnsi="Times New Roman" w:cs="Times New Roman"/>
          <w:sz w:val="24"/>
          <w:szCs w:val="24"/>
        </w:rPr>
        <w:t xml:space="preserve"> did not provide </w:t>
      </w:r>
      <w:r w:rsidR="000D755D">
        <w:rPr>
          <w:rFonts w:ascii="Times New Roman" w:hAnsi="Times New Roman" w:cs="Times New Roman"/>
          <w:sz w:val="24"/>
          <w:szCs w:val="24"/>
        </w:rPr>
        <w:t xml:space="preserve">the actual </w:t>
      </w:r>
      <w:r w:rsidR="00426168">
        <w:rPr>
          <w:rFonts w:ascii="Times New Roman" w:hAnsi="Times New Roman" w:cs="Times New Roman"/>
          <w:sz w:val="24"/>
          <w:szCs w:val="24"/>
        </w:rPr>
        <w:t>number of leaks for each</w:t>
      </w:r>
      <w:r w:rsidR="00652BC6">
        <w:rPr>
          <w:rFonts w:ascii="Times New Roman" w:hAnsi="Times New Roman" w:cs="Times New Roman"/>
          <w:sz w:val="24"/>
          <w:szCs w:val="24"/>
        </w:rPr>
        <w:t xml:space="preserve"> segment</w:t>
      </w:r>
      <w:r w:rsidR="00DE6AB2">
        <w:rPr>
          <w:rFonts w:ascii="Times New Roman" w:hAnsi="Times New Roman" w:cs="Times New Roman"/>
          <w:sz w:val="24"/>
          <w:szCs w:val="24"/>
        </w:rPr>
        <w:t xml:space="preserve"> (</w:t>
      </w:r>
      <w:r w:rsidR="00D52898">
        <w:rPr>
          <w:rFonts w:ascii="Times New Roman" w:hAnsi="Times New Roman" w:cs="Times New Roman"/>
          <w:sz w:val="24"/>
          <w:szCs w:val="24"/>
        </w:rPr>
        <w:t xml:space="preserve">i.e., </w:t>
      </w:r>
      <w:r w:rsidR="00DE6AB2">
        <w:rPr>
          <w:rFonts w:ascii="Times New Roman" w:hAnsi="Times New Roman" w:cs="Times New Roman"/>
          <w:sz w:val="24"/>
          <w:szCs w:val="24"/>
        </w:rPr>
        <w:t>main-to-curb and curb-to-meter)</w:t>
      </w:r>
      <w:r w:rsidR="00652BC6">
        <w:rPr>
          <w:rFonts w:ascii="Times New Roman" w:hAnsi="Times New Roman" w:cs="Times New Roman"/>
          <w:sz w:val="24"/>
          <w:szCs w:val="24"/>
        </w:rPr>
        <w:t xml:space="preserve"> of service lines. </w:t>
      </w:r>
      <w:r w:rsidR="000D755D">
        <w:rPr>
          <w:rFonts w:ascii="Times New Roman" w:hAnsi="Times New Roman" w:cs="Times New Roman"/>
          <w:sz w:val="24"/>
          <w:szCs w:val="24"/>
        </w:rPr>
        <w:t>Only a</w:t>
      </w:r>
      <w:r w:rsidR="00DE6AB2">
        <w:rPr>
          <w:rFonts w:ascii="Times New Roman" w:hAnsi="Times New Roman" w:cs="Times New Roman"/>
          <w:sz w:val="24"/>
          <w:szCs w:val="24"/>
        </w:rPr>
        <w:t xml:space="preserve"> rudimentary</w:t>
      </w:r>
      <w:r w:rsidR="000D755D">
        <w:rPr>
          <w:rFonts w:ascii="Times New Roman" w:hAnsi="Times New Roman" w:cs="Times New Roman"/>
          <w:sz w:val="24"/>
          <w:szCs w:val="24"/>
        </w:rPr>
        <w:t xml:space="preserve"> bar graph was provided</w:t>
      </w:r>
      <w:r w:rsidR="00DE6AB2">
        <w:rPr>
          <w:rFonts w:ascii="Times New Roman" w:hAnsi="Times New Roman" w:cs="Times New Roman"/>
          <w:sz w:val="24"/>
          <w:szCs w:val="24"/>
        </w:rPr>
        <w:t>.</w:t>
      </w:r>
      <w:r w:rsidR="000D755D">
        <w:rPr>
          <w:rFonts w:ascii="Times New Roman" w:hAnsi="Times New Roman" w:cs="Times New Roman"/>
          <w:sz w:val="24"/>
          <w:szCs w:val="24"/>
        </w:rPr>
        <w:t xml:space="preserve"> </w:t>
      </w:r>
      <w:r w:rsidR="00DE6AB2">
        <w:rPr>
          <w:rFonts w:ascii="Times New Roman" w:hAnsi="Times New Roman" w:cs="Times New Roman"/>
          <w:sz w:val="24"/>
          <w:szCs w:val="24"/>
        </w:rPr>
        <w:t>Additionally,</w:t>
      </w:r>
      <w:r w:rsidR="00652BC6">
        <w:rPr>
          <w:rFonts w:ascii="Times New Roman" w:hAnsi="Times New Roman" w:cs="Times New Roman"/>
          <w:sz w:val="24"/>
          <w:szCs w:val="24"/>
        </w:rPr>
        <w:t xml:space="preserve"> </w:t>
      </w:r>
      <w:r w:rsidR="000D755D">
        <w:rPr>
          <w:rFonts w:ascii="Times New Roman" w:hAnsi="Times New Roman" w:cs="Times New Roman"/>
          <w:sz w:val="24"/>
          <w:szCs w:val="24"/>
        </w:rPr>
        <w:t>the</w:t>
      </w:r>
      <w:r w:rsidR="00DE6AB2">
        <w:rPr>
          <w:rFonts w:ascii="Times New Roman" w:hAnsi="Times New Roman" w:cs="Times New Roman"/>
          <w:sz w:val="24"/>
          <w:szCs w:val="24"/>
        </w:rPr>
        <w:t xml:space="preserve"> bar</w:t>
      </w:r>
      <w:r w:rsidR="000D755D">
        <w:rPr>
          <w:rFonts w:ascii="Times New Roman" w:hAnsi="Times New Roman" w:cs="Times New Roman"/>
          <w:sz w:val="24"/>
          <w:szCs w:val="24"/>
        </w:rPr>
        <w:t xml:space="preserve"> graph compiled the </w:t>
      </w:r>
      <w:r w:rsidR="00652BC6">
        <w:rPr>
          <w:rFonts w:ascii="Times New Roman" w:hAnsi="Times New Roman" w:cs="Times New Roman"/>
          <w:sz w:val="24"/>
          <w:szCs w:val="24"/>
        </w:rPr>
        <w:t>curb-to-meter and main-to-curb portion on top of each other</w:t>
      </w:r>
      <w:r w:rsidR="00DE6AB2">
        <w:rPr>
          <w:rFonts w:ascii="Times New Roman" w:hAnsi="Times New Roman" w:cs="Times New Roman"/>
          <w:sz w:val="24"/>
          <w:szCs w:val="24"/>
        </w:rPr>
        <w:t xml:space="preserve"> </w:t>
      </w:r>
      <w:r w:rsidR="00DE6AB2">
        <w:rPr>
          <w:rFonts w:ascii="Times New Roman" w:hAnsi="Times New Roman" w:cs="Times New Roman"/>
          <w:sz w:val="24"/>
          <w:szCs w:val="24"/>
        </w:rPr>
        <w:lastRenderedPageBreak/>
        <w:t>making it near impossible to interpret the data to any reasonable degree of accuracy</w:t>
      </w:r>
      <w:r w:rsidR="00652BC6">
        <w:rPr>
          <w:rFonts w:ascii="Times New Roman" w:hAnsi="Times New Roman" w:cs="Times New Roman"/>
          <w:sz w:val="24"/>
          <w:szCs w:val="24"/>
        </w:rPr>
        <w:t>.</w:t>
      </w:r>
      <w:r w:rsidR="00426168">
        <w:rPr>
          <w:rStyle w:val="FootnoteReference"/>
          <w:rFonts w:ascii="Times New Roman" w:hAnsi="Times New Roman" w:cs="Times New Roman"/>
          <w:sz w:val="24"/>
          <w:szCs w:val="24"/>
        </w:rPr>
        <w:footnoteReference w:id="48"/>
      </w:r>
      <w:r w:rsidR="00652BC6">
        <w:rPr>
          <w:rFonts w:ascii="Times New Roman" w:hAnsi="Times New Roman" w:cs="Times New Roman"/>
          <w:sz w:val="24"/>
          <w:szCs w:val="24"/>
        </w:rPr>
        <w:t xml:space="preserve"> </w:t>
      </w:r>
      <w:r w:rsidR="00430383">
        <w:rPr>
          <w:rFonts w:ascii="Times New Roman" w:hAnsi="Times New Roman" w:cs="Times New Roman"/>
          <w:sz w:val="24"/>
          <w:szCs w:val="24"/>
        </w:rPr>
        <w:t>Moreover</w:t>
      </w:r>
      <w:r w:rsidR="000D755D">
        <w:rPr>
          <w:rFonts w:ascii="Times New Roman" w:hAnsi="Times New Roman" w:cs="Times New Roman"/>
          <w:sz w:val="24"/>
          <w:szCs w:val="24"/>
        </w:rPr>
        <w:t>, Duke’s ASRP is</w:t>
      </w:r>
      <w:r w:rsidR="00980B42">
        <w:rPr>
          <w:rFonts w:ascii="Times New Roman" w:hAnsi="Times New Roman" w:cs="Times New Roman"/>
          <w:sz w:val="24"/>
          <w:szCs w:val="24"/>
        </w:rPr>
        <w:t xml:space="preserve"> not</w:t>
      </w:r>
      <w:r w:rsidR="000D755D">
        <w:rPr>
          <w:rFonts w:ascii="Times New Roman" w:hAnsi="Times New Roman" w:cs="Times New Roman"/>
          <w:sz w:val="24"/>
          <w:szCs w:val="24"/>
        </w:rPr>
        <w:t xml:space="preserve"> </w:t>
      </w:r>
      <w:r w:rsidR="00D52898">
        <w:rPr>
          <w:rFonts w:ascii="Times New Roman" w:hAnsi="Times New Roman" w:cs="Times New Roman"/>
          <w:sz w:val="24"/>
          <w:szCs w:val="24"/>
        </w:rPr>
        <w:t xml:space="preserve">proposed to only </w:t>
      </w:r>
      <w:r w:rsidR="007B312B">
        <w:rPr>
          <w:rFonts w:ascii="Times New Roman" w:hAnsi="Times New Roman" w:cs="Times New Roman"/>
          <w:sz w:val="24"/>
          <w:szCs w:val="24"/>
        </w:rPr>
        <w:t>replace</w:t>
      </w:r>
      <w:r w:rsidR="00D52898">
        <w:rPr>
          <w:rFonts w:ascii="Times New Roman" w:hAnsi="Times New Roman" w:cs="Times New Roman"/>
          <w:sz w:val="24"/>
          <w:szCs w:val="24"/>
        </w:rPr>
        <w:t xml:space="preserve"> the</w:t>
      </w:r>
      <w:r w:rsidR="000D755D">
        <w:rPr>
          <w:rFonts w:ascii="Times New Roman" w:hAnsi="Times New Roman" w:cs="Times New Roman"/>
          <w:sz w:val="24"/>
          <w:szCs w:val="24"/>
        </w:rPr>
        <w:t xml:space="preserve"> curb-to-meter portion of the service lines. It is meant to </w:t>
      </w:r>
      <w:r w:rsidR="007B312B">
        <w:rPr>
          <w:rFonts w:ascii="Times New Roman" w:hAnsi="Times New Roman" w:cs="Times New Roman"/>
          <w:sz w:val="24"/>
          <w:szCs w:val="24"/>
        </w:rPr>
        <w:t>replace</w:t>
      </w:r>
      <w:r w:rsidR="000D755D">
        <w:rPr>
          <w:rFonts w:ascii="Times New Roman" w:hAnsi="Times New Roman" w:cs="Times New Roman"/>
          <w:sz w:val="24"/>
          <w:szCs w:val="24"/>
        </w:rPr>
        <w:t xml:space="preserve"> the entire service line. Therefore, it is misleading</w:t>
      </w:r>
      <w:r w:rsidR="00980B42">
        <w:rPr>
          <w:rFonts w:ascii="Times New Roman" w:hAnsi="Times New Roman" w:cs="Times New Roman"/>
          <w:sz w:val="24"/>
          <w:szCs w:val="24"/>
        </w:rPr>
        <w:t xml:space="preserve"> and irrelevant</w:t>
      </w:r>
      <w:r w:rsidR="000D755D">
        <w:rPr>
          <w:rFonts w:ascii="Times New Roman" w:hAnsi="Times New Roman" w:cs="Times New Roman"/>
          <w:sz w:val="24"/>
          <w:szCs w:val="24"/>
        </w:rPr>
        <w:t xml:space="preserve"> to consider the amount of leaks to just </w:t>
      </w:r>
      <w:r w:rsidR="0043399A">
        <w:rPr>
          <w:rFonts w:ascii="Times New Roman" w:hAnsi="Times New Roman" w:cs="Times New Roman"/>
          <w:sz w:val="24"/>
          <w:szCs w:val="24"/>
        </w:rPr>
        <w:t>the curb-to-meter</w:t>
      </w:r>
      <w:r w:rsidR="000D755D">
        <w:rPr>
          <w:rFonts w:ascii="Times New Roman" w:hAnsi="Times New Roman" w:cs="Times New Roman"/>
          <w:sz w:val="24"/>
          <w:szCs w:val="24"/>
        </w:rPr>
        <w:t xml:space="preserve"> portion of the </w:t>
      </w:r>
      <w:r w:rsidR="00D03C9C">
        <w:rPr>
          <w:rFonts w:ascii="Times New Roman" w:hAnsi="Times New Roman" w:cs="Times New Roman"/>
          <w:sz w:val="24"/>
          <w:szCs w:val="24"/>
        </w:rPr>
        <w:t xml:space="preserve">service </w:t>
      </w:r>
      <w:r w:rsidR="000D755D">
        <w:rPr>
          <w:rFonts w:ascii="Times New Roman" w:hAnsi="Times New Roman" w:cs="Times New Roman"/>
          <w:sz w:val="24"/>
          <w:szCs w:val="24"/>
        </w:rPr>
        <w:t>line.</w:t>
      </w:r>
    </w:p>
    <w:p w:rsidR="005F405E" w:rsidRDefault="00494A3C"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Accordingly, </w:t>
      </w:r>
      <w:r w:rsidR="00804A32">
        <w:rPr>
          <w:rFonts w:ascii="Times New Roman" w:hAnsi="Times New Roman" w:cs="Times New Roman"/>
          <w:sz w:val="24"/>
          <w:szCs w:val="24"/>
        </w:rPr>
        <w:t>OCC directly disputed or denied the truth or validity of the evidence</w:t>
      </w:r>
      <w:r w:rsidR="00D03C9C">
        <w:rPr>
          <w:rFonts w:ascii="Times New Roman" w:hAnsi="Times New Roman" w:cs="Times New Roman"/>
          <w:sz w:val="24"/>
          <w:szCs w:val="24"/>
        </w:rPr>
        <w:t xml:space="preserve"> that</w:t>
      </w:r>
      <w:r w:rsidR="00804A32">
        <w:rPr>
          <w:rFonts w:ascii="Times New Roman" w:hAnsi="Times New Roman" w:cs="Times New Roman"/>
          <w:sz w:val="24"/>
          <w:szCs w:val="24"/>
        </w:rPr>
        <w:t xml:space="preserve"> Duke put forward to support its claim that</w:t>
      </w:r>
      <w:r w:rsidR="000D755D">
        <w:rPr>
          <w:rFonts w:ascii="Times New Roman" w:hAnsi="Times New Roman" w:cs="Times New Roman"/>
          <w:sz w:val="24"/>
          <w:szCs w:val="24"/>
        </w:rPr>
        <w:t xml:space="preserve"> service line</w:t>
      </w:r>
      <w:r w:rsidR="00804A32">
        <w:rPr>
          <w:rFonts w:ascii="Times New Roman" w:hAnsi="Times New Roman" w:cs="Times New Roman"/>
          <w:sz w:val="24"/>
          <w:szCs w:val="24"/>
        </w:rPr>
        <w:t xml:space="preserve"> leaks in its territory are increasing.</w:t>
      </w:r>
      <w:r w:rsidR="001403BC">
        <w:rPr>
          <w:rFonts w:ascii="Times New Roman" w:hAnsi="Times New Roman" w:cs="Times New Roman"/>
          <w:sz w:val="24"/>
          <w:szCs w:val="24"/>
        </w:rPr>
        <w:t xml:space="preserve"> </w:t>
      </w:r>
      <w:r>
        <w:rPr>
          <w:rFonts w:ascii="Times New Roman" w:hAnsi="Times New Roman" w:cs="Times New Roman"/>
          <w:sz w:val="24"/>
          <w:szCs w:val="24"/>
        </w:rPr>
        <w:t>The</w:t>
      </w:r>
      <w:r w:rsidR="000D755D">
        <w:rPr>
          <w:rFonts w:ascii="Times New Roman" w:hAnsi="Times New Roman" w:cs="Times New Roman"/>
          <w:sz w:val="24"/>
          <w:szCs w:val="24"/>
        </w:rPr>
        <w:t xml:space="preserve"> </w:t>
      </w:r>
      <w:r w:rsidR="001403BC">
        <w:rPr>
          <w:rFonts w:ascii="Times New Roman" w:hAnsi="Times New Roman" w:cs="Times New Roman"/>
          <w:sz w:val="24"/>
          <w:szCs w:val="24"/>
        </w:rPr>
        <w:t xml:space="preserve">pre-filed direct testimony </w:t>
      </w:r>
      <w:r>
        <w:rPr>
          <w:rFonts w:ascii="Times New Roman" w:hAnsi="Times New Roman" w:cs="Times New Roman"/>
          <w:sz w:val="24"/>
          <w:szCs w:val="24"/>
        </w:rPr>
        <w:t>OCC witness Williams</w:t>
      </w:r>
      <w:r w:rsidR="001403BC">
        <w:rPr>
          <w:rFonts w:ascii="Times New Roman" w:hAnsi="Times New Roman" w:cs="Times New Roman"/>
          <w:sz w:val="24"/>
          <w:szCs w:val="24"/>
        </w:rPr>
        <w:t xml:space="preserve"> explicitly disputed this claim</w:t>
      </w:r>
      <w:r w:rsidR="000D755D">
        <w:rPr>
          <w:rFonts w:ascii="Times New Roman" w:hAnsi="Times New Roman" w:cs="Times New Roman"/>
          <w:sz w:val="24"/>
          <w:szCs w:val="24"/>
        </w:rPr>
        <w:t xml:space="preserve"> by analyzing the small amount of data that Duke provided in its direct testimony</w:t>
      </w:r>
      <w:r w:rsidR="001403BC">
        <w:rPr>
          <w:rFonts w:ascii="Times New Roman" w:hAnsi="Times New Roman" w:cs="Times New Roman"/>
          <w:sz w:val="24"/>
          <w:szCs w:val="24"/>
        </w:rPr>
        <w:t>.</w:t>
      </w:r>
      <w:r w:rsidR="001403BC">
        <w:rPr>
          <w:rStyle w:val="FootnoteReference"/>
          <w:rFonts w:ascii="Times New Roman" w:hAnsi="Times New Roman" w:cs="Times New Roman"/>
          <w:sz w:val="24"/>
          <w:szCs w:val="24"/>
        </w:rPr>
        <w:footnoteReference w:id="49"/>
      </w:r>
      <w:r w:rsidR="000D755D">
        <w:rPr>
          <w:rFonts w:ascii="Times New Roman" w:hAnsi="Times New Roman" w:cs="Times New Roman"/>
          <w:sz w:val="24"/>
          <w:szCs w:val="24"/>
        </w:rPr>
        <w:t xml:space="preserve"> Mr. Williams came to the conclusion that “the number of repaired leaks on service lines across Duke’s service territory has dropped substantially….”</w:t>
      </w:r>
      <w:r w:rsidR="000D755D">
        <w:rPr>
          <w:rStyle w:val="FootnoteReference"/>
          <w:rFonts w:ascii="Times New Roman" w:hAnsi="Times New Roman" w:cs="Times New Roman"/>
          <w:sz w:val="24"/>
          <w:szCs w:val="24"/>
        </w:rPr>
        <w:footnoteReference w:id="50"/>
      </w:r>
      <w:r w:rsidR="00D03C9C">
        <w:rPr>
          <w:rFonts w:ascii="Times New Roman" w:hAnsi="Times New Roman" w:cs="Times New Roman"/>
          <w:sz w:val="24"/>
          <w:szCs w:val="24"/>
        </w:rPr>
        <w:t xml:space="preserve"> In addition, Mr. Williams concluded that Duke’s data was misleading because Duke classifies grade-three leaks, which are non-hazardous</w:t>
      </w:r>
      <w:r w:rsidR="002D3ED5">
        <w:rPr>
          <w:rFonts w:ascii="Times New Roman" w:hAnsi="Times New Roman" w:cs="Times New Roman"/>
          <w:sz w:val="24"/>
          <w:szCs w:val="24"/>
        </w:rPr>
        <w:t xml:space="preserve"> (by pipeline safety standards)</w:t>
      </w:r>
      <w:r w:rsidR="00D03C9C">
        <w:rPr>
          <w:rFonts w:ascii="Times New Roman" w:hAnsi="Times New Roman" w:cs="Times New Roman"/>
          <w:sz w:val="24"/>
          <w:szCs w:val="24"/>
        </w:rPr>
        <w:t xml:space="preserve"> and not required to be repaired, as grade-two leaks, which are non-hazardous and may require repair based on the severity and/or location of the leak.</w:t>
      </w:r>
      <w:r w:rsidR="0080131B">
        <w:rPr>
          <w:rStyle w:val="FootnoteReference"/>
          <w:rFonts w:ascii="Times New Roman" w:hAnsi="Times New Roman" w:cs="Times New Roman"/>
          <w:sz w:val="24"/>
          <w:szCs w:val="24"/>
        </w:rPr>
        <w:footnoteReference w:id="51"/>
      </w:r>
      <w:r w:rsidR="00D03C9C">
        <w:rPr>
          <w:rFonts w:ascii="Times New Roman" w:hAnsi="Times New Roman" w:cs="Times New Roman"/>
          <w:sz w:val="24"/>
          <w:szCs w:val="24"/>
        </w:rPr>
        <w:t xml:space="preserve"> This would unnecessarily inflate the amount of repairs that Duke performs in a given year.</w:t>
      </w:r>
      <w:r>
        <w:rPr>
          <w:rFonts w:ascii="Times New Roman" w:hAnsi="Times New Roman" w:cs="Times New Roman"/>
          <w:sz w:val="24"/>
          <w:szCs w:val="24"/>
        </w:rPr>
        <w:t xml:space="preserve"> Therefore, Duke’s claim was not uncontroverted.</w:t>
      </w:r>
    </w:p>
    <w:p w:rsidR="00804A32" w:rsidRDefault="0014659D"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further the claim that</w:t>
      </w:r>
      <w:r w:rsidR="00D52898">
        <w:rPr>
          <w:rFonts w:ascii="Times New Roman" w:hAnsi="Times New Roman" w:cs="Times New Roman"/>
          <w:sz w:val="24"/>
          <w:szCs w:val="24"/>
        </w:rPr>
        <w:t xml:space="preserve"> leak rates on its service lines are increasing</w:t>
      </w:r>
      <w:r>
        <w:rPr>
          <w:rFonts w:ascii="Times New Roman" w:hAnsi="Times New Roman" w:cs="Times New Roman"/>
          <w:sz w:val="24"/>
          <w:szCs w:val="24"/>
        </w:rPr>
        <w:t>,</w:t>
      </w:r>
      <w:r w:rsidR="00D52898">
        <w:rPr>
          <w:rFonts w:ascii="Times New Roman" w:hAnsi="Times New Roman" w:cs="Times New Roman"/>
          <w:sz w:val="24"/>
          <w:szCs w:val="24"/>
        </w:rPr>
        <w:t xml:space="preserve"> Duke cites to Duke Ex. No. 4, </w:t>
      </w:r>
      <w:r w:rsidR="00871036">
        <w:rPr>
          <w:rFonts w:ascii="Times New Roman" w:hAnsi="Times New Roman" w:cs="Times New Roman"/>
          <w:sz w:val="24"/>
          <w:szCs w:val="24"/>
        </w:rPr>
        <w:t>wh</w:t>
      </w:r>
      <w:r w:rsidR="00107949">
        <w:rPr>
          <w:rFonts w:ascii="Times New Roman" w:hAnsi="Times New Roman" w:cs="Times New Roman"/>
          <w:sz w:val="24"/>
          <w:szCs w:val="24"/>
        </w:rPr>
        <w:t>ich consists of</w:t>
      </w:r>
      <w:r>
        <w:rPr>
          <w:rFonts w:ascii="Times New Roman" w:hAnsi="Times New Roman" w:cs="Times New Roman"/>
          <w:sz w:val="24"/>
          <w:szCs w:val="24"/>
        </w:rPr>
        <w:t xml:space="preserve"> Duke responses to</w:t>
      </w:r>
      <w:r w:rsidR="00107949">
        <w:rPr>
          <w:rFonts w:ascii="Times New Roman" w:hAnsi="Times New Roman" w:cs="Times New Roman"/>
          <w:sz w:val="24"/>
          <w:szCs w:val="24"/>
        </w:rPr>
        <w:t xml:space="preserve"> OCC-INT Nos. 65, 66, 67, and </w:t>
      </w:r>
      <w:r w:rsidR="00D52898">
        <w:rPr>
          <w:rFonts w:ascii="Times New Roman" w:hAnsi="Times New Roman" w:cs="Times New Roman"/>
          <w:sz w:val="24"/>
          <w:szCs w:val="24"/>
        </w:rPr>
        <w:t>68.</w:t>
      </w:r>
      <w:r w:rsidR="00512C60">
        <w:rPr>
          <w:rStyle w:val="FootnoteReference"/>
          <w:rFonts w:ascii="Times New Roman" w:hAnsi="Times New Roman" w:cs="Times New Roman"/>
          <w:sz w:val="24"/>
          <w:szCs w:val="24"/>
        </w:rPr>
        <w:footnoteReference w:id="52"/>
      </w:r>
      <w:r w:rsidR="00D52898">
        <w:rPr>
          <w:rFonts w:ascii="Times New Roman" w:hAnsi="Times New Roman" w:cs="Times New Roman"/>
          <w:sz w:val="24"/>
          <w:szCs w:val="24"/>
        </w:rPr>
        <w:t xml:space="preserve"> However,</w:t>
      </w:r>
      <w:r>
        <w:rPr>
          <w:rFonts w:ascii="Times New Roman" w:hAnsi="Times New Roman" w:cs="Times New Roman"/>
          <w:sz w:val="24"/>
          <w:szCs w:val="24"/>
        </w:rPr>
        <w:t xml:space="preserve"> contrary to Duke’s claim,</w:t>
      </w:r>
      <w:r w:rsidR="00D52898">
        <w:rPr>
          <w:rFonts w:ascii="Times New Roman" w:hAnsi="Times New Roman" w:cs="Times New Roman"/>
          <w:sz w:val="24"/>
          <w:szCs w:val="24"/>
        </w:rPr>
        <w:t xml:space="preserve"> Duke Ex. No. 4 explicitly</w:t>
      </w:r>
      <w:r w:rsidR="00871036">
        <w:rPr>
          <w:rFonts w:ascii="Times New Roman" w:hAnsi="Times New Roman" w:cs="Times New Roman"/>
          <w:sz w:val="24"/>
          <w:szCs w:val="24"/>
        </w:rPr>
        <w:t xml:space="preserve"> shows that the leak </w:t>
      </w:r>
      <w:r w:rsidR="00871036">
        <w:rPr>
          <w:rFonts w:ascii="Times New Roman" w:hAnsi="Times New Roman" w:cs="Times New Roman"/>
          <w:sz w:val="24"/>
          <w:szCs w:val="24"/>
        </w:rPr>
        <w:lastRenderedPageBreak/>
        <w:t>rate is decreasing</w:t>
      </w:r>
      <w:r w:rsidR="00D52898">
        <w:rPr>
          <w:rFonts w:ascii="Times New Roman" w:hAnsi="Times New Roman" w:cs="Times New Roman"/>
          <w:sz w:val="24"/>
          <w:szCs w:val="24"/>
        </w:rPr>
        <w:t>, not increasing as Duke states</w:t>
      </w:r>
      <w:r w:rsidR="00871036">
        <w:rPr>
          <w:rFonts w:ascii="Times New Roman" w:hAnsi="Times New Roman" w:cs="Times New Roman"/>
          <w:sz w:val="24"/>
          <w:szCs w:val="24"/>
        </w:rPr>
        <w:t>.</w:t>
      </w:r>
      <w:r w:rsidR="008F4B9A">
        <w:rPr>
          <w:rStyle w:val="FootnoteReference"/>
          <w:rFonts w:ascii="Times New Roman" w:hAnsi="Times New Roman" w:cs="Times New Roman"/>
          <w:sz w:val="24"/>
          <w:szCs w:val="24"/>
        </w:rPr>
        <w:footnoteReference w:id="53"/>
      </w:r>
      <w:r w:rsidR="00871036">
        <w:rPr>
          <w:rFonts w:ascii="Times New Roman" w:hAnsi="Times New Roman" w:cs="Times New Roman"/>
          <w:sz w:val="24"/>
          <w:szCs w:val="24"/>
        </w:rPr>
        <w:t xml:space="preserve"> </w:t>
      </w:r>
      <w:r w:rsidR="00D52898">
        <w:rPr>
          <w:rFonts w:ascii="Times New Roman" w:hAnsi="Times New Roman" w:cs="Times New Roman"/>
          <w:sz w:val="24"/>
          <w:szCs w:val="24"/>
        </w:rPr>
        <w:t xml:space="preserve">Specifically, </w:t>
      </w:r>
      <w:r w:rsidR="00871036">
        <w:rPr>
          <w:rFonts w:ascii="Times New Roman" w:hAnsi="Times New Roman" w:cs="Times New Roman"/>
          <w:sz w:val="24"/>
          <w:szCs w:val="24"/>
        </w:rPr>
        <w:t>OCC INT. No. 68 shows that in the years 2012, 2013, and 2014 the number of grade-two leaks that were listed by cause as corrosion, natural forces and material/welds were, in total, 1,992, 1,526, and 1,400, respectively.</w:t>
      </w:r>
      <w:r w:rsidR="008F4B9A">
        <w:rPr>
          <w:rStyle w:val="FootnoteReference"/>
          <w:rFonts w:ascii="Times New Roman" w:hAnsi="Times New Roman" w:cs="Times New Roman"/>
          <w:sz w:val="24"/>
          <w:szCs w:val="24"/>
        </w:rPr>
        <w:footnoteReference w:id="54"/>
      </w:r>
      <w:r w:rsidR="00871036">
        <w:rPr>
          <w:rFonts w:ascii="Times New Roman" w:hAnsi="Times New Roman" w:cs="Times New Roman"/>
          <w:sz w:val="24"/>
          <w:szCs w:val="24"/>
        </w:rPr>
        <w:t xml:space="preserve"> Therefore, the amount of leaks declined each year. OCC INT. No. 67</w:t>
      </w:r>
      <w:r w:rsidR="00871036" w:rsidRPr="00871036">
        <w:rPr>
          <w:rFonts w:ascii="Times New Roman" w:hAnsi="Times New Roman" w:cs="Times New Roman"/>
          <w:sz w:val="24"/>
          <w:szCs w:val="24"/>
        </w:rPr>
        <w:t xml:space="preserve"> </w:t>
      </w:r>
      <w:r w:rsidR="00871036">
        <w:rPr>
          <w:rFonts w:ascii="Times New Roman" w:hAnsi="Times New Roman" w:cs="Times New Roman"/>
          <w:sz w:val="24"/>
          <w:szCs w:val="24"/>
        </w:rPr>
        <w:t>shows that in the years 2012, 2013, and 2014 the number of total grade-two leaks were 3,036, 3,031, and 2,398, respectively.</w:t>
      </w:r>
      <w:r w:rsidR="008F4B9A">
        <w:rPr>
          <w:rStyle w:val="FootnoteReference"/>
          <w:rFonts w:ascii="Times New Roman" w:hAnsi="Times New Roman" w:cs="Times New Roman"/>
          <w:sz w:val="24"/>
          <w:szCs w:val="24"/>
        </w:rPr>
        <w:footnoteReference w:id="55"/>
      </w:r>
      <w:r w:rsidR="00871036">
        <w:rPr>
          <w:rFonts w:ascii="Times New Roman" w:hAnsi="Times New Roman" w:cs="Times New Roman"/>
          <w:sz w:val="24"/>
          <w:szCs w:val="24"/>
        </w:rPr>
        <w:t xml:space="preserve"> Therefore, the amount of leaks declined each year. OCC INT. No. 66 shows that in the years 2012, 2013, and 2014 the number of grade-one leaks that were listed by cause as corrosion, natural forces and material/welds were, in total, 444, 304, 315, respectively.</w:t>
      </w:r>
      <w:r w:rsidR="008F4B9A">
        <w:rPr>
          <w:rStyle w:val="FootnoteReference"/>
          <w:rFonts w:ascii="Times New Roman" w:hAnsi="Times New Roman" w:cs="Times New Roman"/>
          <w:sz w:val="24"/>
          <w:szCs w:val="24"/>
        </w:rPr>
        <w:footnoteReference w:id="56"/>
      </w:r>
      <w:r w:rsidR="00871036">
        <w:rPr>
          <w:rFonts w:ascii="Times New Roman" w:hAnsi="Times New Roman" w:cs="Times New Roman"/>
          <w:sz w:val="24"/>
          <w:szCs w:val="24"/>
        </w:rPr>
        <w:t xml:space="preserve"> Therefore, the amount of leaks declined each year except the last year.</w:t>
      </w:r>
      <w:r w:rsidR="008C007A">
        <w:rPr>
          <w:rFonts w:ascii="Times New Roman" w:hAnsi="Times New Roman" w:cs="Times New Roman"/>
          <w:sz w:val="24"/>
          <w:szCs w:val="24"/>
        </w:rPr>
        <w:t xml:space="preserve"> Finally, OCC INT. No. 68 shows that in the years 2012, </w:t>
      </w:r>
      <w:r>
        <w:rPr>
          <w:rFonts w:ascii="Times New Roman" w:hAnsi="Times New Roman" w:cs="Times New Roman"/>
          <w:sz w:val="24"/>
          <w:szCs w:val="24"/>
        </w:rPr>
        <w:t>2013,</w:t>
      </w:r>
      <w:r w:rsidR="008C007A">
        <w:rPr>
          <w:rFonts w:ascii="Times New Roman" w:hAnsi="Times New Roman" w:cs="Times New Roman"/>
          <w:sz w:val="24"/>
          <w:szCs w:val="24"/>
        </w:rPr>
        <w:t xml:space="preserve"> and 2014 the number of total grade-one leaks</w:t>
      </w:r>
      <w:r>
        <w:rPr>
          <w:rFonts w:ascii="Times New Roman" w:hAnsi="Times New Roman" w:cs="Times New Roman"/>
          <w:sz w:val="24"/>
          <w:szCs w:val="24"/>
        </w:rPr>
        <w:t>, of any kind, were</w:t>
      </w:r>
      <w:r w:rsidR="008C007A">
        <w:rPr>
          <w:rFonts w:ascii="Times New Roman" w:hAnsi="Times New Roman" w:cs="Times New Roman"/>
          <w:sz w:val="24"/>
          <w:szCs w:val="24"/>
        </w:rPr>
        <w:t xml:space="preserve"> 1,473, 2,241, and 1,776, respectively.</w:t>
      </w:r>
      <w:r w:rsidR="008F4B9A">
        <w:rPr>
          <w:rStyle w:val="FootnoteReference"/>
          <w:rFonts w:ascii="Times New Roman" w:hAnsi="Times New Roman" w:cs="Times New Roman"/>
          <w:sz w:val="24"/>
          <w:szCs w:val="24"/>
        </w:rPr>
        <w:footnoteReference w:id="57"/>
      </w:r>
      <w:r w:rsidR="008C007A">
        <w:rPr>
          <w:rFonts w:ascii="Times New Roman" w:hAnsi="Times New Roman" w:cs="Times New Roman"/>
          <w:sz w:val="24"/>
          <w:szCs w:val="24"/>
        </w:rPr>
        <w:t xml:space="preserve"> Therefore, the amount of leaks declined in the first year, but not last year. However, as OCC stated in its Initial Brief, </w:t>
      </w:r>
      <w:r w:rsidR="008C007A" w:rsidRPr="00FC3028">
        <w:rPr>
          <w:rFonts w:ascii="Times New Roman" w:hAnsi="Times New Roman" w:cs="Times New Roman"/>
          <w:sz w:val="24"/>
          <w:szCs w:val="24"/>
        </w:rPr>
        <w:t>the percentage of grade-one hazardous leaks on Duke service lines caused by corrosion</w:t>
      </w:r>
      <w:r w:rsidR="008C007A">
        <w:rPr>
          <w:rFonts w:ascii="Times New Roman" w:hAnsi="Times New Roman" w:cs="Times New Roman"/>
          <w:sz w:val="24"/>
          <w:szCs w:val="24"/>
        </w:rPr>
        <w:t xml:space="preserve">, natural forces, or material/welds </w:t>
      </w:r>
      <w:r w:rsidR="008C007A" w:rsidRPr="00FC3028">
        <w:rPr>
          <w:rFonts w:ascii="Times New Roman" w:hAnsi="Times New Roman" w:cs="Times New Roman"/>
          <w:sz w:val="24"/>
          <w:szCs w:val="24"/>
        </w:rPr>
        <w:t xml:space="preserve">in the years 2012, 2013, and 2014, were </w:t>
      </w:r>
      <w:r w:rsidR="008C007A">
        <w:rPr>
          <w:rFonts w:ascii="Times New Roman" w:hAnsi="Times New Roman" w:cs="Times New Roman"/>
          <w:sz w:val="24"/>
          <w:szCs w:val="24"/>
        </w:rPr>
        <w:t xml:space="preserve">30.2 </w:t>
      </w:r>
      <w:r w:rsidR="008C007A" w:rsidRPr="00FC3028">
        <w:rPr>
          <w:rFonts w:ascii="Times New Roman" w:hAnsi="Times New Roman" w:cs="Times New Roman"/>
          <w:sz w:val="24"/>
          <w:szCs w:val="24"/>
        </w:rPr>
        <w:t xml:space="preserve"> percent, </w:t>
      </w:r>
      <w:r w:rsidR="008C007A">
        <w:rPr>
          <w:rFonts w:ascii="Times New Roman" w:hAnsi="Times New Roman" w:cs="Times New Roman"/>
          <w:sz w:val="24"/>
          <w:szCs w:val="24"/>
        </w:rPr>
        <w:t xml:space="preserve">13.4 </w:t>
      </w:r>
      <w:r w:rsidR="008C007A" w:rsidRPr="00FC3028">
        <w:rPr>
          <w:rFonts w:ascii="Times New Roman" w:hAnsi="Times New Roman" w:cs="Times New Roman"/>
          <w:sz w:val="24"/>
          <w:szCs w:val="24"/>
        </w:rPr>
        <w:t xml:space="preserve">percent, and </w:t>
      </w:r>
      <w:r w:rsidR="008C007A">
        <w:rPr>
          <w:rFonts w:ascii="Times New Roman" w:hAnsi="Times New Roman" w:cs="Times New Roman"/>
          <w:sz w:val="24"/>
          <w:szCs w:val="24"/>
        </w:rPr>
        <w:t xml:space="preserve">17.7 </w:t>
      </w:r>
      <w:r w:rsidR="008C007A" w:rsidRPr="00FC3028">
        <w:rPr>
          <w:rFonts w:ascii="Times New Roman" w:hAnsi="Times New Roman" w:cs="Times New Roman"/>
          <w:sz w:val="24"/>
          <w:szCs w:val="24"/>
        </w:rPr>
        <w:t xml:space="preserve"> percent, respectively.</w:t>
      </w:r>
      <w:r w:rsidR="008C007A" w:rsidRPr="00FC3028">
        <w:rPr>
          <w:rStyle w:val="FootnoteReference"/>
          <w:rFonts w:ascii="Times New Roman" w:hAnsi="Times New Roman" w:cs="Times New Roman"/>
          <w:sz w:val="24"/>
          <w:szCs w:val="24"/>
        </w:rPr>
        <w:footnoteReference w:id="58"/>
      </w:r>
      <w:r w:rsidR="008C007A">
        <w:rPr>
          <w:rFonts w:ascii="Times New Roman" w:hAnsi="Times New Roman" w:cs="Times New Roman"/>
          <w:sz w:val="24"/>
          <w:szCs w:val="24"/>
        </w:rPr>
        <w:t xml:space="preserve"> In addition,</w:t>
      </w:r>
      <w:r w:rsidR="008C007A" w:rsidRPr="00FC3028">
        <w:rPr>
          <w:rFonts w:ascii="Times New Roman" w:hAnsi="Times New Roman" w:cs="Times New Roman"/>
          <w:sz w:val="24"/>
          <w:szCs w:val="24"/>
        </w:rPr>
        <w:t xml:space="preserve"> the 4,174</w:t>
      </w:r>
      <w:r w:rsidR="008C007A" w:rsidRPr="00FC3028">
        <w:rPr>
          <w:rStyle w:val="FootnoteReference"/>
          <w:rFonts w:ascii="Times New Roman" w:hAnsi="Times New Roman" w:cs="Times New Roman"/>
          <w:sz w:val="24"/>
          <w:szCs w:val="24"/>
        </w:rPr>
        <w:footnoteReference w:id="59"/>
      </w:r>
      <w:r w:rsidR="008C007A" w:rsidRPr="00FC3028">
        <w:rPr>
          <w:rFonts w:ascii="Times New Roman" w:hAnsi="Times New Roman" w:cs="Times New Roman"/>
          <w:sz w:val="24"/>
          <w:szCs w:val="24"/>
        </w:rPr>
        <w:t xml:space="preserve"> </w:t>
      </w:r>
      <w:r w:rsidR="008C007A">
        <w:rPr>
          <w:rFonts w:ascii="Times New Roman" w:hAnsi="Times New Roman" w:cs="Times New Roman"/>
          <w:sz w:val="24"/>
          <w:szCs w:val="24"/>
        </w:rPr>
        <w:t xml:space="preserve">grade-one </w:t>
      </w:r>
      <w:r w:rsidR="008C007A" w:rsidRPr="00FC3028">
        <w:rPr>
          <w:rFonts w:ascii="Times New Roman" w:hAnsi="Times New Roman" w:cs="Times New Roman"/>
          <w:sz w:val="24"/>
          <w:szCs w:val="24"/>
        </w:rPr>
        <w:t xml:space="preserve">service line leaks </w:t>
      </w:r>
      <w:r w:rsidR="008C007A">
        <w:rPr>
          <w:rFonts w:ascii="Times New Roman" w:hAnsi="Times New Roman" w:cs="Times New Roman"/>
          <w:sz w:val="24"/>
          <w:szCs w:val="24"/>
        </w:rPr>
        <w:t>that Duke reported in 2014 was</w:t>
      </w:r>
      <w:r w:rsidR="008C007A" w:rsidRPr="00FC3028">
        <w:rPr>
          <w:rFonts w:ascii="Times New Roman" w:hAnsi="Times New Roman" w:cs="Times New Roman"/>
          <w:sz w:val="24"/>
          <w:szCs w:val="24"/>
        </w:rPr>
        <w:t xml:space="preserve"> less than the amount of service line leaks that Duke reported in 2006, 2007, 2008, 2009, 2010, 2011, 2012</w:t>
      </w:r>
      <w:r w:rsidR="008C007A">
        <w:rPr>
          <w:rFonts w:ascii="Times New Roman" w:hAnsi="Times New Roman" w:cs="Times New Roman"/>
          <w:sz w:val="24"/>
          <w:szCs w:val="24"/>
        </w:rPr>
        <w:t>,</w:t>
      </w:r>
      <w:r w:rsidR="008C007A" w:rsidRPr="00FC3028">
        <w:rPr>
          <w:rFonts w:ascii="Times New Roman" w:hAnsi="Times New Roman" w:cs="Times New Roman"/>
          <w:sz w:val="24"/>
          <w:szCs w:val="24"/>
        </w:rPr>
        <w:t xml:space="preserve"> or 2013.</w:t>
      </w:r>
      <w:r w:rsidR="008C007A" w:rsidRPr="00FC3028">
        <w:rPr>
          <w:rStyle w:val="FootnoteReference"/>
          <w:rFonts w:ascii="Times New Roman" w:hAnsi="Times New Roman" w:cs="Times New Roman"/>
          <w:sz w:val="24"/>
          <w:szCs w:val="24"/>
        </w:rPr>
        <w:footnoteReference w:id="60"/>
      </w:r>
    </w:p>
    <w:p w:rsidR="0026782E" w:rsidRDefault="0026782E" w:rsidP="005F0B8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Therefore, Duke’s ASRP will not stem or minimize a safety issue on Duke’</w:t>
      </w:r>
      <w:r w:rsidR="002F5F41">
        <w:rPr>
          <w:rFonts w:ascii="Times New Roman" w:hAnsi="Times New Roman" w:cs="Times New Roman"/>
          <w:sz w:val="24"/>
          <w:szCs w:val="24"/>
        </w:rPr>
        <w:t>s</w:t>
      </w:r>
      <w:r>
        <w:rPr>
          <w:rFonts w:ascii="Times New Roman" w:hAnsi="Times New Roman" w:cs="Times New Roman"/>
          <w:sz w:val="24"/>
          <w:szCs w:val="24"/>
        </w:rPr>
        <w:t xml:space="preserve"> system. As the evidence shows, there is no safety issue on Duke’s system. </w:t>
      </w:r>
    </w:p>
    <w:p w:rsidR="00DB3661" w:rsidRDefault="00925C99" w:rsidP="00BD7D40">
      <w:pPr>
        <w:pStyle w:val="Heading2"/>
      </w:pPr>
      <w:bookmarkStart w:id="8" w:name="_Toc438641585"/>
      <w:r>
        <w:t>E</w:t>
      </w:r>
      <w:r w:rsidR="00BD7D40">
        <w:t>.</w:t>
      </w:r>
      <w:r w:rsidR="00BD7D40">
        <w:tab/>
      </w:r>
      <w:r w:rsidR="00DB63F6">
        <w:t>Duke’s ASRP is not just and reasonable because Duke is already minimizing any risk to consumers</w:t>
      </w:r>
      <w:r w:rsidR="00DB3661">
        <w:t>.</w:t>
      </w:r>
      <w:bookmarkEnd w:id="8"/>
    </w:p>
    <w:p w:rsidR="00E010F7" w:rsidRPr="00E010F7" w:rsidRDefault="00945210"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Duke states that its current leak management practice will not minimize risk or satisfy state and federal regulators expectations.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001F6772">
        <w:rPr>
          <w:rFonts w:ascii="Times New Roman" w:hAnsi="Times New Roman" w:cs="Times New Roman"/>
          <w:sz w:val="24"/>
          <w:szCs w:val="24"/>
        </w:rPr>
        <w:t xml:space="preserve">Duke’s </w:t>
      </w:r>
      <w:r w:rsidR="00F823FA">
        <w:rPr>
          <w:rFonts w:ascii="Times New Roman" w:hAnsi="Times New Roman" w:cs="Times New Roman"/>
          <w:sz w:val="24"/>
          <w:szCs w:val="24"/>
        </w:rPr>
        <w:t>current practice is, generally, to replace or repair leaks on a reactive basis (i.e., after they have discovered the leak) as opposed to a proactive basis (i.e., before they have discovered a leak</w:t>
      </w:r>
      <w:r w:rsidR="009F3876">
        <w:rPr>
          <w:rFonts w:ascii="Times New Roman" w:hAnsi="Times New Roman" w:cs="Times New Roman"/>
          <w:sz w:val="24"/>
          <w:szCs w:val="24"/>
        </w:rPr>
        <w:t xml:space="preserve"> or</w:t>
      </w:r>
      <w:r w:rsidR="00694A52">
        <w:rPr>
          <w:rFonts w:ascii="Times New Roman" w:hAnsi="Times New Roman" w:cs="Times New Roman"/>
          <w:sz w:val="24"/>
          <w:szCs w:val="24"/>
        </w:rPr>
        <w:t>,</w:t>
      </w:r>
      <w:r w:rsidR="009F3876">
        <w:rPr>
          <w:rFonts w:ascii="Times New Roman" w:hAnsi="Times New Roman" w:cs="Times New Roman"/>
          <w:sz w:val="24"/>
          <w:szCs w:val="24"/>
        </w:rPr>
        <w:t xml:space="preserve"> as requested in this Application</w:t>
      </w:r>
      <w:r w:rsidR="00694A52">
        <w:rPr>
          <w:rFonts w:ascii="Times New Roman" w:hAnsi="Times New Roman" w:cs="Times New Roman"/>
          <w:sz w:val="24"/>
          <w:szCs w:val="24"/>
        </w:rPr>
        <w:t>,</w:t>
      </w:r>
      <w:r w:rsidR="009F3876">
        <w:rPr>
          <w:rFonts w:ascii="Times New Roman" w:hAnsi="Times New Roman" w:cs="Times New Roman"/>
          <w:sz w:val="24"/>
          <w:szCs w:val="24"/>
        </w:rPr>
        <w:t xml:space="preserve"> before a service line has actually begun to leak</w:t>
      </w:r>
      <w:r w:rsidR="00F823FA">
        <w:rPr>
          <w:rFonts w:ascii="Times New Roman" w:hAnsi="Times New Roman" w:cs="Times New Roman"/>
          <w:sz w:val="24"/>
          <w:szCs w:val="24"/>
        </w:rPr>
        <w:t xml:space="preserve">). </w:t>
      </w:r>
      <w:r w:rsidR="001F6772">
        <w:rPr>
          <w:rFonts w:ascii="Times New Roman" w:hAnsi="Times New Roman" w:cs="Times New Roman"/>
          <w:sz w:val="24"/>
          <w:szCs w:val="24"/>
        </w:rPr>
        <w:t xml:space="preserve">In support of this claim, </w:t>
      </w:r>
      <w:r w:rsidR="00671DCE">
        <w:rPr>
          <w:rFonts w:ascii="Times New Roman" w:hAnsi="Times New Roman" w:cs="Times New Roman"/>
          <w:sz w:val="24"/>
          <w:szCs w:val="24"/>
        </w:rPr>
        <w:t>Duke states that the PUCO has acknowledged that, “minimization of unnecessary risk by</w:t>
      </w:r>
      <w:r>
        <w:rPr>
          <w:rFonts w:ascii="Times New Roman" w:hAnsi="Times New Roman" w:cs="Times New Roman"/>
          <w:sz w:val="24"/>
          <w:szCs w:val="24"/>
        </w:rPr>
        <w:t xml:space="preserve"> providing for a proactive and </w:t>
      </w:r>
      <w:r w:rsidR="00671DCE">
        <w:rPr>
          <w:rFonts w:ascii="Times New Roman" w:hAnsi="Times New Roman" w:cs="Times New Roman"/>
          <w:sz w:val="24"/>
          <w:szCs w:val="24"/>
        </w:rPr>
        <w:t>systematic replacement of a known safety threat is preferred to waiting for an imminent safety threat.”</w:t>
      </w:r>
      <w:r w:rsidR="00671DCE">
        <w:rPr>
          <w:rStyle w:val="FootnoteReference"/>
          <w:rFonts w:ascii="Times New Roman" w:hAnsi="Times New Roman" w:cs="Times New Roman"/>
          <w:sz w:val="24"/>
          <w:szCs w:val="24"/>
        </w:rPr>
        <w:footnoteReference w:id="62"/>
      </w:r>
      <w:r w:rsidR="00671DCE">
        <w:rPr>
          <w:rFonts w:ascii="Times New Roman" w:hAnsi="Times New Roman" w:cs="Times New Roman"/>
          <w:sz w:val="24"/>
          <w:szCs w:val="24"/>
        </w:rPr>
        <w:t xml:space="preserve"> </w:t>
      </w:r>
      <w:r w:rsidR="00F823FA">
        <w:rPr>
          <w:rFonts w:ascii="Times New Roman" w:hAnsi="Times New Roman" w:cs="Times New Roman"/>
          <w:sz w:val="24"/>
          <w:szCs w:val="24"/>
        </w:rPr>
        <w:t>Duke is wrong as t</w:t>
      </w:r>
      <w:r w:rsidR="00671DCE">
        <w:rPr>
          <w:rFonts w:ascii="Times New Roman" w:hAnsi="Times New Roman" w:cs="Times New Roman"/>
          <w:sz w:val="24"/>
          <w:szCs w:val="24"/>
        </w:rPr>
        <w:t>he ASRP is not necessary to comply with this</w:t>
      </w:r>
      <w:r w:rsidR="0014659D">
        <w:rPr>
          <w:rFonts w:ascii="Times New Roman" w:hAnsi="Times New Roman" w:cs="Times New Roman"/>
          <w:sz w:val="24"/>
          <w:szCs w:val="24"/>
        </w:rPr>
        <w:t xml:space="preserve"> </w:t>
      </w:r>
      <w:r w:rsidR="00671DCE">
        <w:rPr>
          <w:rFonts w:ascii="Times New Roman" w:hAnsi="Times New Roman" w:cs="Times New Roman"/>
          <w:sz w:val="24"/>
          <w:szCs w:val="24"/>
        </w:rPr>
        <w:t>policy.</w:t>
      </w:r>
      <w:r w:rsidR="005738E4">
        <w:rPr>
          <w:rFonts w:ascii="Times New Roman" w:hAnsi="Times New Roman" w:cs="Times New Roman"/>
          <w:sz w:val="24"/>
          <w:szCs w:val="24"/>
        </w:rPr>
        <w:t xml:space="preserve"> </w:t>
      </w:r>
      <w:r w:rsidR="000652B3">
        <w:rPr>
          <w:rFonts w:ascii="Times New Roman" w:hAnsi="Times New Roman" w:cs="Times New Roman"/>
          <w:sz w:val="24"/>
          <w:szCs w:val="24"/>
        </w:rPr>
        <w:t xml:space="preserve">Duke is already </w:t>
      </w:r>
      <w:r w:rsidR="00492EFE">
        <w:rPr>
          <w:rFonts w:ascii="Times New Roman" w:hAnsi="Times New Roman" w:cs="Times New Roman"/>
          <w:sz w:val="24"/>
          <w:szCs w:val="24"/>
        </w:rPr>
        <w:t>managing</w:t>
      </w:r>
      <w:r w:rsidR="000652B3">
        <w:rPr>
          <w:rFonts w:ascii="Times New Roman" w:hAnsi="Times New Roman" w:cs="Times New Roman"/>
          <w:sz w:val="24"/>
          <w:szCs w:val="24"/>
        </w:rPr>
        <w:t xml:space="preserve"> any “risk” through a proactive and systematic repair and replacement of service lines</w:t>
      </w:r>
      <w:r w:rsidR="005738E4">
        <w:rPr>
          <w:rFonts w:ascii="Times New Roman" w:hAnsi="Times New Roman" w:cs="Times New Roman"/>
          <w:sz w:val="24"/>
          <w:szCs w:val="24"/>
        </w:rPr>
        <w:t>.</w:t>
      </w:r>
    </w:p>
    <w:p w:rsidR="00F83351" w:rsidRDefault="00F83351" w:rsidP="00BD7D40">
      <w:pPr>
        <w:spacing w:line="480" w:lineRule="auto"/>
        <w:ind w:firstLine="720"/>
        <w:contextualSpacing/>
        <w:rPr>
          <w:rFonts w:ascii="Times New Roman" w:hAnsi="Times New Roman" w:cs="Times New Roman"/>
          <w:sz w:val="24"/>
          <w:szCs w:val="24"/>
        </w:rPr>
      </w:pPr>
      <w:r w:rsidRPr="00243D67">
        <w:rPr>
          <w:rFonts w:ascii="Times New Roman" w:hAnsi="Times New Roman" w:cs="Times New Roman"/>
          <w:sz w:val="24"/>
          <w:szCs w:val="24"/>
        </w:rPr>
        <w:t xml:space="preserve">Duke claims that between 2012 and 2014, </w:t>
      </w:r>
      <w:r w:rsidR="00AE4558">
        <w:rPr>
          <w:rFonts w:ascii="Times New Roman" w:hAnsi="Times New Roman" w:cs="Times New Roman"/>
          <w:sz w:val="24"/>
          <w:szCs w:val="24"/>
        </w:rPr>
        <w:t>it</w:t>
      </w:r>
      <w:r w:rsidR="0014659D">
        <w:rPr>
          <w:rFonts w:ascii="Times New Roman" w:hAnsi="Times New Roman" w:cs="Times New Roman"/>
          <w:sz w:val="24"/>
          <w:szCs w:val="24"/>
        </w:rPr>
        <w:t xml:space="preserve"> proactively</w:t>
      </w:r>
      <w:r w:rsidRPr="00243D67">
        <w:rPr>
          <w:rFonts w:ascii="Times New Roman" w:hAnsi="Times New Roman" w:cs="Times New Roman"/>
          <w:sz w:val="24"/>
          <w:szCs w:val="24"/>
        </w:rPr>
        <w:t xml:space="preserve"> replaced 200 service lines per year using its traditional capital budget process.</w:t>
      </w:r>
      <w:r w:rsidR="00AE4558">
        <w:rPr>
          <w:rStyle w:val="FootnoteReference"/>
          <w:rFonts w:ascii="Times New Roman" w:hAnsi="Times New Roman" w:cs="Times New Roman"/>
          <w:sz w:val="24"/>
          <w:szCs w:val="24"/>
        </w:rPr>
        <w:footnoteReference w:id="63"/>
      </w:r>
      <w:r w:rsidRPr="00243D67">
        <w:rPr>
          <w:rFonts w:ascii="Times New Roman" w:hAnsi="Times New Roman" w:cs="Times New Roman"/>
          <w:sz w:val="24"/>
          <w:szCs w:val="24"/>
        </w:rPr>
        <w:t xml:space="preserve"> Du</w:t>
      </w:r>
      <w:r w:rsidR="00AE4558">
        <w:rPr>
          <w:rFonts w:ascii="Times New Roman" w:hAnsi="Times New Roman" w:cs="Times New Roman"/>
          <w:sz w:val="24"/>
          <w:szCs w:val="24"/>
        </w:rPr>
        <w:t>ke also claims that it replaces steel and unprotected metallic</w:t>
      </w:r>
      <w:r w:rsidRPr="00243D67">
        <w:rPr>
          <w:rFonts w:ascii="Times New Roman" w:hAnsi="Times New Roman" w:cs="Times New Roman"/>
          <w:sz w:val="24"/>
          <w:szCs w:val="24"/>
        </w:rPr>
        <w:t xml:space="preserve"> service lines after a leak is discovered.</w:t>
      </w:r>
      <w:r w:rsidR="00AE4558">
        <w:rPr>
          <w:rStyle w:val="FootnoteReference"/>
          <w:rFonts w:ascii="Times New Roman" w:hAnsi="Times New Roman" w:cs="Times New Roman"/>
          <w:sz w:val="24"/>
          <w:szCs w:val="24"/>
        </w:rPr>
        <w:footnoteReference w:id="64"/>
      </w:r>
      <w:r w:rsidR="008B7F25">
        <w:rPr>
          <w:rFonts w:ascii="Times New Roman" w:hAnsi="Times New Roman" w:cs="Times New Roman"/>
          <w:sz w:val="24"/>
          <w:szCs w:val="24"/>
        </w:rPr>
        <w:t xml:space="preserve"> </w:t>
      </w:r>
      <w:r w:rsidRPr="00243D67">
        <w:rPr>
          <w:rFonts w:ascii="Times New Roman" w:hAnsi="Times New Roman" w:cs="Times New Roman"/>
          <w:sz w:val="24"/>
          <w:szCs w:val="24"/>
        </w:rPr>
        <w:t xml:space="preserve">Between 2012 and 2014, </w:t>
      </w:r>
      <w:r w:rsidR="0014659D">
        <w:rPr>
          <w:rFonts w:ascii="Times New Roman" w:hAnsi="Times New Roman" w:cs="Times New Roman"/>
          <w:sz w:val="24"/>
          <w:szCs w:val="24"/>
        </w:rPr>
        <w:t>Duke reactively</w:t>
      </w:r>
      <w:r w:rsidRPr="00243D67">
        <w:rPr>
          <w:rFonts w:ascii="Times New Roman" w:hAnsi="Times New Roman" w:cs="Times New Roman"/>
          <w:sz w:val="24"/>
          <w:szCs w:val="24"/>
        </w:rPr>
        <w:t xml:space="preserve"> replaced over </w:t>
      </w:r>
      <w:r w:rsidR="00B80F1B">
        <w:rPr>
          <w:rFonts w:ascii="Times New Roman" w:hAnsi="Times New Roman" w:cs="Times New Roman"/>
          <w:sz w:val="24"/>
          <w:szCs w:val="24"/>
        </w:rPr>
        <w:t>8</w:t>
      </w:r>
      <w:r w:rsidRPr="00243D67">
        <w:rPr>
          <w:rFonts w:ascii="Times New Roman" w:hAnsi="Times New Roman" w:cs="Times New Roman"/>
          <w:sz w:val="24"/>
          <w:szCs w:val="24"/>
        </w:rPr>
        <w:t>,</w:t>
      </w:r>
      <w:r w:rsidR="00B80F1B">
        <w:rPr>
          <w:rFonts w:ascii="Times New Roman" w:hAnsi="Times New Roman" w:cs="Times New Roman"/>
          <w:sz w:val="24"/>
          <w:szCs w:val="24"/>
        </w:rPr>
        <w:t>4</w:t>
      </w:r>
      <w:r w:rsidRPr="00243D67">
        <w:rPr>
          <w:rFonts w:ascii="Times New Roman" w:hAnsi="Times New Roman" w:cs="Times New Roman"/>
          <w:sz w:val="24"/>
          <w:szCs w:val="24"/>
        </w:rPr>
        <w:t>00 such service lines (or on average 2,</w:t>
      </w:r>
      <w:r w:rsidR="00B80F1B">
        <w:rPr>
          <w:rFonts w:ascii="Times New Roman" w:hAnsi="Times New Roman" w:cs="Times New Roman"/>
          <w:sz w:val="24"/>
          <w:szCs w:val="24"/>
        </w:rPr>
        <w:t>8</w:t>
      </w:r>
      <w:r w:rsidRPr="00243D67">
        <w:rPr>
          <w:rFonts w:ascii="Times New Roman" w:hAnsi="Times New Roman" w:cs="Times New Roman"/>
          <w:sz w:val="24"/>
          <w:szCs w:val="24"/>
        </w:rPr>
        <w:t>00 annually).</w:t>
      </w:r>
      <w:r w:rsidR="00AE4558">
        <w:rPr>
          <w:rStyle w:val="FootnoteReference"/>
          <w:rFonts w:ascii="Times New Roman" w:hAnsi="Times New Roman" w:cs="Times New Roman"/>
          <w:sz w:val="24"/>
          <w:szCs w:val="24"/>
        </w:rPr>
        <w:footnoteReference w:id="65"/>
      </w:r>
      <w:r w:rsidR="0045796B">
        <w:rPr>
          <w:rFonts w:ascii="Times New Roman" w:hAnsi="Times New Roman" w:cs="Times New Roman"/>
          <w:sz w:val="24"/>
          <w:szCs w:val="24"/>
        </w:rPr>
        <w:t xml:space="preserve"> </w:t>
      </w:r>
      <w:r w:rsidRPr="00243D67">
        <w:rPr>
          <w:rFonts w:ascii="Times New Roman" w:hAnsi="Times New Roman" w:cs="Times New Roman"/>
          <w:sz w:val="24"/>
          <w:szCs w:val="24"/>
        </w:rPr>
        <w:t xml:space="preserve">Using Duke’s replacement rate of </w:t>
      </w:r>
      <w:r w:rsidR="00B80F1B">
        <w:rPr>
          <w:rFonts w:ascii="Times New Roman" w:hAnsi="Times New Roman" w:cs="Times New Roman"/>
          <w:sz w:val="24"/>
          <w:szCs w:val="24"/>
        </w:rPr>
        <w:t>3,000</w:t>
      </w:r>
      <w:r w:rsidR="00AE4558">
        <w:rPr>
          <w:rStyle w:val="FootnoteReference"/>
          <w:rFonts w:ascii="Times New Roman" w:hAnsi="Times New Roman" w:cs="Times New Roman"/>
          <w:sz w:val="24"/>
          <w:szCs w:val="24"/>
        </w:rPr>
        <w:footnoteReference w:id="66"/>
      </w:r>
      <w:r w:rsidRPr="00243D67">
        <w:rPr>
          <w:rFonts w:ascii="Times New Roman" w:hAnsi="Times New Roman" w:cs="Times New Roman"/>
          <w:sz w:val="24"/>
          <w:szCs w:val="24"/>
        </w:rPr>
        <w:t xml:space="preserve"> servi</w:t>
      </w:r>
      <w:r w:rsidR="008B7F25">
        <w:rPr>
          <w:rFonts w:ascii="Times New Roman" w:hAnsi="Times New Roman" w:cs="Times New Roman"/>
          <w:sz w:val="24"/>
          <w:szCs w:val="24"/>
        </w:rPr>
        <w:t xml:space="preserve">ce lines per year between </w:t>
      </w:r>
      <w:r w:rsidR="008B7F25">
        <w:rPr>
          <w:rFonts w:ascii="Times New Roman" w:hAnsi="Times New Roman" w:cs="Times New Roman"/>
          <w:sz w:val="24"/>
          <w:szCs w:val="24"/>
        </w:rPr>
        <w:lastRenderedPageBreak/>
        <w:t xml:space="preserve">2012 and </w:t>
      </w:r>
      <w:r w:rsidRPr="00243D67">
        <w:rPr>
          <w:rFonts w:ascii="Times New Roman" w:hAnsi="Times New Roman" w:cs="Times New Roman"/>
          <w:sz w:val="24"/>
          <w:szCs w:val="24"/>
        </w:rPr>
        <w:t xml:space="preserve">2014, the 58,000 service lines would be replaced on a routine basis in approximately </w:t>
      </w:r>
      <w:r w:rsidR="00B80F1B">
        <w:rPr>
          <w:rFonts w:ascii="Times New Roman" w:hAnsi="Times New Roman" w:cs="Times New Roman"/>
          <w:sz w:val="24"/>
          <w:szCs w:val="24"/>
        </w:rPr>
        <w:t>19</w:t>
      </w:r>
      <w:r w:rsidR="008B7F25">
        <w:rPr>
          <w:rFonts w:ascii="Times New Roman" w:hAnsi="Times New Roman" w:cs="Times New Roman"/>
          <w:sz w:val="24"/>
          <w:szCs w:val="24"/>
        </w:rPr>
        <w:t xml:space="preserve"> years -- not</w:t>
      </w:r>
      <w:r w:rsidRPr="008B7F25">
        <w:rPr>
          <w:rFonts w:ascii="Times New Roman" w:hAnsi="Times New Roman" w:cs="Times New Roman"/>
          <w:sz w:val="24"/>
          <w:szCs w:val="24"/>
        </w:rPr>
        <w:t xml:space="preserve"> 200</w:t>
      </w:r>
      <w:r w:rsidRPr="00243D67">
        <w:rPr>
          <w:rFonts w:ascii="Times New Roman" w:hAnsi="Times New Roman" w:cs="Times New Roman"/>
          <w:sz w:val="24"/>
          <w:szCs w:val="24"/>
        </w:rPr>
        <w:t xml:space="preserve"> years as claimed by Duke</w:t>
      </w:r>
      <w:r w:rsidR="008B7F25">
        <w:rPr>
          <w:rFonts w:ascii="Times New Roman" w:hAnsi="Times New Roman" w:cs="Times New Roman"/>
          <w:sz w:val="24"/>
          <w:szCs w:val="24"/>
        </w:rPr>
        <w:t xml:space="preserve"> in its</w:t>
      </w:r>
      <w:r w:rsidRPr="00243D67">
        <w:rPr>
          <w:rFonts w:ascii="Times New Roman" w:hAnsi="Times New Roman" w:cs="Times New Roman"/>
          <w:sz w:val="24"/>
          <w:szCs w:val="24"/>
        </w:rPr>
        <w:t xml:space="preserve"> Application.</w:t>
      </w:r>
      <w:r w:rsidR="008B7F25">
        <w:rPr>
          <w:rStyle w:val="FootnoteReference"/>
          <w:rFonts w:ascii="Times New Roman" w:hAnsi="Times New Roman" w:cs="Times New Roman"/>
          <w:sz w:val="24"/>
          <w:szCs w:val="24"/>
        </w:rPr>
        <w:footnoteReference w:id="67"/>
      </w:r>
      <w:r w:rsidRPr="00243D67">
        <w:rPr>
          <w:rFonts w:ascii="Times New Roman" w:hAnsi="Times New Roman" w:cs="Times New Roman"/>
          <w:sz w:val="24"/>
          <w:szCs w:val="24"/>
        </w:rPr>
        <w:t xml:space="preserve">   </w:t>
      </w:r>
    </w:p>
    <w:p w:rsidR="00DB3661" w:rsidRDefault="00E010F7"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At the evidentiary hearing,</w:t>
      </w:r>
      <w:r w:rsidR="00F83351" w:rsidRPr="00243D67">
        <w:rPr>
          <w:rFonts w:ascii="Times New Roman" w:hAnsi="Times New Roman" w:cs="Times New Roman"/>
          <w:sz w:val="24"/>
          <w:szCs w:val="24"/>
        </w:rPr>
        <w:t xml:space="preserve"> Duke </w:t>
      </w:r>
      <w:r>
        <w:rPr>
          <w:rFonts w:ascii="Times New Roman" w:hAnsi="Times New Roman" w:cs="Times New Roman"/>
          <w:sz w:val="24"/>
          <w:szCs w:val="24"/>
        </w:rPr>
        <w:t>stated</w:t>
      </w:r>
      <w:r w:rsidR="00F83351" w:rsidRPr="00243D67">
        <w:rPr>
          <w:rFonts w:ascii="Times New Roman" w:hAnsi="Times New Roman" w:cs="Times New Roman"/>
          <w:sz w:val="24"/>
          <w:szCs w:val="24"/>
        </w:rPr>
        <w:t xml:space="preserve"> that even though the Application filed on January 20, 2015 claims 200 service lines are being replaced annually on a proactive basis, the Company decided in August 2014 to increase the number of service lines being replaced to 1,000 annually.</w:t>
      </w:r>
      <w:r w:rsidR="008B7F25">
        <w:rPr>
          <w:rStyle w:val="FootnoteReference"/>
          <w:rFonts w:ascii="Times New Roman" w:hAnsi="Times New Roman" w:cs="Times New Roman"/>
          <w:sz w:val="24"/>
          <w:szCs w:val="24"/>
        </w:rPr>
        <w:footnoteReference w:id="68"/>
      </w:r>
      <w:r w:rsidR="0045796B">
        <w:rPr>
          <w:rFonts w:ascii="Times New Roman" w:hAnsi="Times New Roman" w:cs="Times New Roman"/>
          <w:sz w:val="24"/>
          <w:szCs w:val="24"/>
        </w:rPr>
        <w:t xml:space="preserve"> </w:t>
      </w:r>
      <w:r>
        <w:rPr>
          <w:rFonts w:ascii="Times New Roman" w:hAnsi="Times New Roman" w:cs="Times New Roman"/>
          <w:sz w:val="24"/>
          <w:szCs w:val="24"/>
        </w:rPr>
        <w:t>A</w:t>
      </w:r>
      <w:r w:rsidR="00F83351" w:rsidRPr="00243D67">
        <w:rPr>
          <w:rFonts w:ascii="Times New Roman" w:hAnsi="Times New Roman" w:cs="Times New Roman"/>
          <w:sz w:val="24"/>
          <w:szCs w:val="24"/>
        </w:rPr>
        <w:t>t the current replacement rate of 3,</w:t>
      </w:r>
      <w:r w:rsidR="009C39F2">
        <w:rPr>
          <w:rFonts w:ascii="Times New Roman" w:hAnsi="Times New Roman" w:cs="Times New Roman"/>
          <w:sz w:val="24"/>
          <w:szCs w:val="24"/>
        </w:rPr>
        <w:t>8</w:t>
      </w:r>
      <w:r w:rsidR="00F83351" w:rsidRPr="00243D67">
        <w:rPr>
          <w:rFonts w:ascii="Times New Roman" w:hAnsi="Times New Roman" w:cs="Times New Roman"/>
          <w:sz w:val="24"/>
          <w:szCs w:val="24"/>
        </w:rPr>
        <w:t>00 service lines per year (</w:t>
      </w:r>
      <w:r w:rsidR="00630EBB">
        <w:rPr>
          <w:rFonts w:ascii="Times New Roman" w:hAnsi="Times New Roman" w:cs="Times New Roman"/>
          <w:sz w:val="24"/>
          <w:szCs w:val="24"/>
        </w:rPr>
        <w:t xml:space="preserve">i.e., </w:t>
      </w:r>
      <w:r w:rsidR="00F83351" w:rsidRPr="00243D67">
        <w:rPr>
          <w:rFonts w:ascii="Times New Roman" w:hAnsi="Times New Roman" w:cs="Times New Roman"/>
          <w:sz w:val="24"/>
          <w:szCs w:val="24"/>
        </w:rPr>
        <w:t>2,</w:t>
      </w:r>
      <w:r w:rsidR="009C39F2">
        <w:rPr>
          <w:rFonts w:ascii="Times New Roman" w:hAnsi="Times New Roman" w:cs="Times New Roman"/>
          <w:sz w:val="24"/>
          <w:szCs w:val="24"/>
        </w:rPr>
        <w:t>800</w:t>
      </w:r>
      <w:r w:rsidR="00F83351" w:rsidRPr="00243D67">
        <w:rPr>
          <w:rFonts w:ascii="Times New Roman" w:hAnsi="Times New Roman" w:cs="Times New Roman"/>
          <w:sz w:val="24"/>
          <w:szCs w:val="24"/>
        </w:rPr>
        <w:t xml:space="preserve"> reactive and 1,000 proactive</w:t>
      </w:r>
      <w:r>
        <w:rPr>
          <w:rFonts w:ascii="Times New Roman" w:hAnsi="Times New Roman" w:cs="Times New Roman"/>
          <w:sz w:val="24"/>
          <w:szCs w:val="24"/>
        </w:rPr>
        <w:t>)</w:t>
      </w:r>
      <w:r w:rsidR="00F83351" w:rsidRPr="00243D67">
        <w:rPr>
          <w:rFonts w:ascii="Times New Roman" w:hAnsi="Times New Roman" w:cs="Times New Roman"/>
          <w:sz w:val="24"/>
          <w:szCs w:val="24"/>
        </w:rPr>
        <w:t xml:space="preserve"> all of the service lines can be replaced on a routine basis in approximately </w:t>
      </w:r>
      <w:r w:rsidR="00F83351" w:rsidRPr="00E010F7">
        <w:rPr>
          <w:rFonts w:ascii="Times New Roman" w:hAnsi="Times New Roman" w:cs="Times New Roman"/>
          <w:sz w:val="24"/>
          <w:szCs w:val="24"/>
        </w:rPr>
        <w:t>1</w:t>
      </w:r>
      <w:r w:rsidR="009C39F2">
        <w:rPr>
          <w:rFonts w:ascii="Times New Roman" w:hAnsi="Times New Roman" w:cs="Times New Roman"/>
          <w:sz w:val="24"/>
          <w:szCs w:val="24"/>
        </w:rPr>
        <w:t>5</w:t>
      </w:r>
      <w:r w:rsidR="00F83351" w:rsidRPr="00E010F7">
        <w:rPr>
          <w:rFonts w:ascii="Times New Roman" w:hAnsi="Times New Roman" w:cs="Times New Roman"/>
          <w:sz w:val="24"/>
          <w:szCs w:val="24"/>
        </w:rPr>
        <w:t xml:space="preserve"> years</w:t>
      </w:r>
      <w:r w:rsidR="00F83351" w:rsidRPr="00243D67">
        <w:rPr>
          <w:rFonts w:ascii="Times New Roman" w:hAnsi="Times New Roman" w:cs="Times New Roman"/>
          <w:b/>
          <w:sz w:val="24"/>
          <w:szCs w:val="24"/>
        </w:rPr>
        <w:t xml:space="preserve"> - - </w:t>
      </w:r>
      <w:r w:rsidR="0014659D">
        <w:rPr>
          <w:rFonts w:ascii="Times New Roman" w:hAnsi="Times New Roman" w:cs="Times New Roman"/>
          <w:sz w:val="24"/>
          <w:szCs w:val="24"/>
        </w:rPr>
        <w:t>not</w:t>
      </w:r>
      <w:r w:rsidR="00F83351" w:rsidRPr="00243D67">
        <w:rPr>
          <w:rFonts w:ascii="Times New Roman" w:hAnsi="Times New Roman" w:cs="Times New Roman"/>
          <w:sz w:val="24"/>
          <w:szCs w:val="24"/>
        </w:rPr>
        <w:t xml:space="preserve"> 200 years as claimed by Duke.</w:t>
      </w:r>
    </w:p>
    <w:p w:rsidR="00DB3661" w:rsidRDefault="00DB3661" w:rsidP="00BD7D4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Furthermore, Duke affirmed that it will attempt to increase its service line replacements to 5,000 per year whether the ASRP is approved or not.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At that rate the 58,000 service lines would be replaced in approximately 11.5 years.</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If Duke continues to replace leaking services line in a reactive fashion then the 58,000 lines would be replaced even quicker. </w:t>
      </w:r>
    </w:p>
    <w:p w:rsidR="00492043" w:rsidRDefault="00705033" w:rsidP="00691F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Second, </w:t>
      </w:r>
      <w:r w:rsidR="00691F82">
        <w:rPr>
          <w:rFonts w:ascii="Times New Roman" w:hAnsi="Times New Roman" w:cs="Times New Roman"/>
          <w:sz w:val="24"/>
          <w:szCs w:val="24"/>
        </w:rPr>
        <w:t>the state already has standards and practices in place that address distribution pipeline risks.</w:t>
      </w:r>
      <w:r w:rsidR="008B7F25">
        <w:rPr>
          <w:rStyle w:val="FootnoteReference"/>
          <w:rFonts w:ascii="Times New Roman" w:hAnsi="Times New Roman" w:cs="Times New Roman"/>
          <w:sz w:val="24"/>
          <w:szCs w:val="24"/>
        </w:rPr>
        <w:footnoteReference w:id="71"/>
      </w:r>
      <w:r w:rsidR="00691F82">
        <w:rPr>
          <w:rFonts w:ascii="Times New Roman" w:hAnsi="Times New Roman" w:cs="Times New Roman"/>
          <w:sz w:val="24"/>
          <w:szCs w:val="24"/>
        </w:rPr>
        <w:t xml:space="preserve"> Specifically, t</w:t>
      </w:r>
      <w:r w:rsidR="00691F82" w:rsidRPr="00FC3028">
        <w:rPr>
          <w:rFonts w:ascii="Times New Roman" w:hAnsi="Times New Roman" w:cs="Times New Roman"/>
          <w:sz w:val="24"/>
          <w:szCs w:val="24"/>
        </w:rPr>
        <w:t>he PUCO minimum gas pipeline standards require all natural gas pipeline operators, including Duke, to classify</w:t>
      </w:r>
      <w:r w:rsidR="00691F82">
        <w:rPr>
          <w:rFonts w:ascii="Times New Roman" w:hAnsi="Times New Roman" w:cs="Times New Roman"/>
          <w:sz w:val="24"/>
          <w:szCs w:val="24"/>
        </w:rPr>
        <w:t xml:space="preserve"> and address risks on service lines</w:t>
      </w:r>
      <w:r w:rsidR="00691F82" w:rsidRPr="00FC3028">
        <w:rPr>
          <w:rFonts w:ascii="Times New Roman" w:hAnsi="Times New Roman" w:cs="Times New Roman"/>
          <w:sz w:val="24"/>
          <w:szCs w:val="24"/>
        </w:rPr>
        <w:t>.</w:t>
      </w:r>
      <w:r w:rsidR="00691F82" w:rsidRPr="00FC3028">
        <w:rPr>
          <w:rStyle w:val="FootnoteReference"/>
          <w:rFonts w:ascii="Times New Roman" w:hAnsi="Times New Roman" w:cs="Times New Roman"/>
          <w:sz w:val="24"/>
          <w:szCs w:val="24"/>
        </w:rPr>
        <w:footnoteReference w:id="72"/>
      </w:r>
      <w:r w:rsidR="00691F82">
        <w:rPr>
          <w:rFonts w:ascii="Times New Roman" w:hAnsi="Times New Roman" w:cs="Times New Roman"/>
          <w:sz w:val="24"/>
          <w:szCs w:val="24"/>
        </w:rPr>
        <w:t xml:space="preserve"> </w:t>
      </w:r>
      <w:r w:rsidR="00691F82" w:rsidRPr="00FC3028">
        <w:rPr>
          <w:rFonts w:ascii="Times New Roman" w:hAnsi="Times New Roman" w:cs="Times New Roman"/>
          <w:sz w:val="24"/>
          <w:szCs w:val="24"/>
        </w:rPr>
        <w:t xml:space="preserve">Duke has confirmed that it is </w:t>
      </w:r>
      <w:r w:rsidR="00691F82">
        <w:rPr>
          <w:rFonts w:ascii="Times New Roman" w:hAnsi="Times New Roman" w:cs="Times New Roman"/>
          <w:sz w:val="24"/>
          <w:szCs w:val="24"/>
        </w:rPr>
        <w:t xml:space="preserve">currently addressing the threats and thereby </w:t>
      </w:r>
      <w:r w:rsidR="00691F82" w:rsidRPr="00FC3028">
        <w:rPr>
          <w:rFonts w:ascii="Times New Roman" w:hAnsi="Times New Roman" w:cs="Times New Roman"/>
          <w:sz w:val="24"/>
          <w:szCs w:val="24"/>
        </w:rPr>
        <w:t>complying with the PUCO minimum gas pipeline standards.</w:t>
      </w:r>
      <w:r w:rsidR="00691F82" w:rsidRPr="00FC3028">
        <w:rPr>
          <w:rStyle w:val="FootnoteReference"/>
          <w:rFonts w:ascii="Times New Roman" w:hAnsi="Times New Roman" w:cs="Times New Roman"/>
          <w:sz w:val="24"/>
          <w:szCs w:val="24"/>
        </w:rPr>
        <w:footnoteReference w:id="73"/>
      </w:r>
      <w:r w:rsidR="00691F82">
        <w:rPr>
          <w:rFonts w:ascii="Times New Roman" w:hAnsi="Times New Roman" w:cs="Times New Roman"/>
          <w:sz w:val="24"/>
          <w:szCs w:val="24"/>
        </w:rPr>
        <w:t xml:space="preserve"> </w:t>
      </w:r>
      <w:r w:rsidR="00F83351" w:rsidRPr="00243D67">
        <w:rPr>
          <w:rFonts w:ascii="Times New Roman" w:hAnsi="Times New Roman" w:cs="Times New Roman"/>
          <w:sz w:val="24"/>
          <w:szCs w:val="24"/>
        </w:rPr>
        <w:t xml:space="preserve">In fact, OCC witness Williams testified that Duke’s policy is to replace all leaking service lines regardless of </w:t>
      </w:r>
      <w:r w:rsidR="00F83351" w:rsidRPr="00243D67">
        <w:rPr>
          <w:rFonts w:ascii="Times New Roman" w:hAnsi="Times New Roman" w:cs="Times New Roman"/>
          <w:sz w:val="24"/>
          <w:szCs w:val="24"/>
        </w:rPr>
        <w:lastRenderedPageBreak/>
        <w:t>the severity of the leak.</w:t>
      </w:r>
      <w:r w:rsidR="00F83351" w:rsidRPr="00243D67">
        <w:rPr>
          <w:rStyle w:val="FootnoteReference"/>
          <w:rFonts w:ascii="Times New Roman" w:hAnsi="Times New Roman" w:cs="Times New Roman"/>
          <w:sz w:val="24"/>
          <w:szCs w:val="24"/>
        </w:rPr>
        <w:footnoteReference w:id="74"/>
      </w:r>
      <w:r w:rsidR="00492EFE">
        <w:rPr>
          <w:rFonts w:ascii="Times New Roman" w:hAnsi="Times New Roman" w:cs="Times New Roman"/>
          <w:sz w:val="24"/>
          <w:szCs w:val="24"/>
        </w:rPr>
        <w:t xml:space="preserve"> </w:t>
      </w:r>
      <w:r w:rsidR="00F83351" w:rsidRPr="00243D67">
        <w:rPr>
          <w:rFonts w:ascii="Times New Roman" w:hAnsi="Times New Roman" w:cs="Times New Roman"/>
          <w:sz w:val="24"/>
          <w:szCs w:val="24"/>
        </w:rPr>
        <w:t>This policy greatly exceeds the minimum pipeline safety requirements of the PUCO because non-hazardous grade-three leaking service lines are replaced even through the state doesn’t mandate a repair or replacement of these minor leak</w:t>
      </w:r>
      <w:r w:rsidR="009C39F2">
        <w:rPr>
          <w:rFonts w:ascii="Times New Roman" w:hAnsi="Times New Roman" w:cs="Times New Roman"/>
          <w:sz w:val="24"/>
          <w:szCs w:val="24"/>
        </w:rPr>
        <w:t>ing service lines</w:t>
      </w:r>
      <w:r w:rsidR="00F83351" w:rsidRPr="00243D67">
        <w:rPr>
          <w:rFonts w:ascii="Times New Roman" w:hAnsi="Times New Roman" w:cs="Times New Roman"/>
          <w:sz w:val="24"/>
          <w:szCs w:val="24"/>
        </w:rPr>
        <w:t>.</w:t>
      </w:r>
      <w:r w:rsidR="00F83351" w:rsidRPr="00243D67">
        <w:rPr>
          <w:rStyle w:val="FootnoteReference"/>
          <w:rFonts w:ascii="Times New Roman" w:hAnsi="Times New Roman" w:cs="Times New Roman"/>
          <w:sz w:val="24"/>
          <w:szCs w:val="24"/>
        </w:rPr>
        <w:footnoteReference w:id="75"/>
      </w:r>
      <w:r w:rsidR="002F5F41">
        <w:rPr>
          <w:rFonts w:ascii="Times New Roman" w:hAnsi="Times New Roman" w:cs="Times New Roman"/>
          <w:sz w:val="24"/>
          <w:szCs w:val="24"/>
        </w:rPr>
        <w:t xml:space="preserve"> </w:t>
      </w:r>
      <w:r w:rsidR="00691F82" w:rsidRPr="00FC3028">
        <w:rPr>
          <w:rFonts w:ascii="Times New Roman" w:hAnsi="Times New Roman" w:cs="Times New Roman"/>
          <w:sz w:val="24"/>
          <w:szCs w:val="24"/>
        </w:rPr>
        <w:t>Therefore, Ohio has already implemented and Duke is already abiding by rules and procedures that satisfy</w:t>
      </w:r>
      <w:r w:rsidR="00691F82">
        <w:rPr>
          <w:rFonts w:ascii="Times New Roman" w:hAnsi="Times New Roman" w:cs="Times New Roman"/>
          <w:sz w:val="24"/>
          <w:szCs w:val="24"/>
        </w:rPr>
        <w:t xml:space="preserve"> and exceed</w:t>
      </w:r>
      <w:r w:rsidR="00691F82" w:rsidRPr="00FC3028">
        <w:rPr>
          <w:rFonts w:ascii="Times New Roman" w:hAnsi="Times New Roman" w:cs="Times New Roman"/>
          <w:sz w:val="24"/>
          <w:szCs w:val="24"/>
        </w:rPr>
        <w:t xml:space="preserve"> i</w:t>
      </w:r>
      <w:r w:rsidR="0019654B">
        <w:rPr>
          <w:rFonts w:ascii="Times New Roman" w:hAnsi="Times New Roman" w:cs="Times New Roman"/>
          <w:sz w:val="24"/>
          <w:szCs w:val="24"/>
        </w:rPr>
        <w:t xml:space="preserve">ts alleged obligation under the </w:t>
      </w:r>
      <w:r w:rsidR="00691F82" w:rsidRPr="00FC3028">
        <w:rPr>
          <w:rFonts w:ascii="Times New Roman" w:hAnsi="Times New Roman" w:cs="Times New Roman"/>
          <w:sz w:val="24"/>
          <w:szCs w:val="24"/>
        </w:rPr>
        <w:t>DIMP</w:t>
      </w:r>
      <w:r w:rsidR="007B095A">
        <w:rPr>
          <w:rFonts w:ascii="Times New Roman" w:hAnsi="Times New Roman" w:cs="Times New Roman"/>
          <w:sz w:val="24"/>
          <w:szCs w:val="24"/>
        </w:rPr>
        <w:t xml:space="preserve"> r</w:t>
      </w:r>
      <w:r w:rsidR="00691F82" w:rsidRPr="00FC3028">
        <w:rPr>
          <w:rFonts w:ascii="Times New Roman" w:hAnsi="Times New Roman" w:cs="Times New Roman"/>
          <w:sz w:val="24"/>
          <w:szCs w:val="24"/>
        </w:rPr>
        <w:t xml:space="preserve">egulations to “identify and implement measures to address risks” caused by older service lines. </w:t>
      </w:r>
    </w:p>
    <w:p w:rsidR="00DB3661" w:rsidRDefault="00691F82" w:rsidP="00E901DF">
      <w:pPr>
        <w:spacing w:after="0" w:line="480" w:lineRule="auto"/>
        <w:ind w:firstLine="720"/>
        <w:contextualSpacing/>
        <w:rPr>
          <w:rFonts w:ascii="Times New Roman" w:hAnsi="Times New Roman" w:cs="Times New Roman"/>
          <w:sz w:val="24"/>
          <w:szCs w:val="24"/>
        </w:rPr>
      </w:pPr>
      <w:r w:rsidRPr="00FC3028">
        <w:rPr>
          <w:rFonts w:ascii="Times New Roman" w:hAnsi="Times New Roman" w:cs="Times New Roman"/>
          <w:sz w:val="24"/>
          <w:szCs w:val="24"/>
        </w:rPr>
        <w:t xml:space="preserve">Thus, the ASRP is not needed in order to comply with any </w:t>
      </w:r>
      <w:r w:rsidR="00492043">
        <w:rPr>
          <w:rFonts w:ascii="Times New Roman" w:hAnsi="Times New Roman" w:cs="Times New Roman"/>
          <w:sz w:val="24"/>
          <w:szCs w:val="24"/>
        </w:rPr>
        <w:t>policies,</w:t>
      </w:r>
      <w:r w:rsidRPr="00FC3028">
        <w:rPr>
          <w:rFonts w:ascii="Times New Roman" w:hAnsi="Times New Roman" w:cs="Times New Roman"/>
          <w:sz w:val="24"/>
          <w:szCs w:val="24"/>
        </w:rPr>
        <w:t xml:space="preserve"> regulations</w:t>
      </w:r>
      <w:r w:rsidR="00492043">
        <w:rPr>
          <w:rFonts w:ascii="Times New Roman" w:hAnsi="Times New Roman" w:cs="Times New Roman"/>
          <w:sz w:val="24"/>
          <w:szCs w:val="24"/>
        </w:rPr>
        <w:t>,</w:t>
      </w:r>
      <w:r w:rsidRPr="00FC3028">
        <w:rPr>
          <w:rFonts w:ascii="Times New Roman" w:hAnsi="Times New Roman" w:cs="Times New Roman"/>
          <w:sz w:val="24"/>
          <w:szCs w:val="24"/>
        </w:rPr>
        <w:t xml:space="preserve"> or “Calls to Action.”</w:t>
      </w:r>
      <w:r>
        <w:rPr>
          <w:rStyle w:val="FootnoteReference"/>
          <w:rFonts w:ascii="Times New Roman" w:hAnsi="Times New Roman" w:cs="Times New Roman"/>
          <w:sz w:val="24"/>
          <w:szCs w:val="24"/>
        </w:rPr>
        <w:footnoteReference w:id="76"/>
      </w:r>
      <w:r w:rsidR="00DB3661">
        <w:rPr>
          <w:rFonts w:ascii="Times New Roman" w:hAnsi="Times New Roman" w:cs="Times New Roman"/>
          <w:sz w:val="24"/>
          <w:szCs w:val="24"/>
        </w:rPr>
        <w:t xml:space="preserve"> Duke has already committed to minimize </w:t>
      </w:r>
      <w:r w:rsidR="00B844F7">
        <w:rPr>
          <w:rFonts w:ascii="Times New Roman" w:hAnsi="Times New Roman" w:cs="Times New Roman"/>
          <w:sz w:val="24"/>
          <w:szCs w:val="24"/>
        </w:rPr>
        <w:t>any</w:t>
      </w:r>
      <w:r w:rsidR="00DB3661">
        <w:rPr>
          <w:rFonts w:ascii="Times New Roman" w:hAnsi="Times New Roman" w:cs="Times New Roman"/>
          <w:sz w:val="24"/>
          <w:szCs w:val="24"/>
        </w:rPr>
        <w:t xml:space="preserve"> “risk” that the ASRP is proposed to address. If Duke believes that it must replace these service lines to provide safe and reliable natural gas service then it may do so and file a base rate case to </w:t>
      </w:r>
      <w:r w:rsidR="002F5F41">
        <w:rPr>
          <w:rFonts w:ascii="Times New Roman" w:hAnsi="Times New Roman" w:cs="Times New Roman"/>
          <w:sz w:val="24"/>
          <w:szCs w:val="24"/>
        </w:rPr>
        <w:t xml:space="preserve">collect </w:t>
      </w:r>
      <w:r w:rsidR="00DB3661">
        <w:rPr>
          <w:rFonts w:ascii="Times New Roman" w:hAnsi="Times New Roman" w:cs="Times New Roman"/>
          <w:sz w:val="24"/>
          <w:szCs w:val="24"/>
        </w:rPr>
        <w:t xml:space="preserve">the costs that </w:t>
      </w:r>
      <w:r w:rsidR="002F5F41">
        <w:rPr>
          <w:rFonts w:ascii="Times New Roman" w:hAnsi="Times New Roman" w:cs="Times New Roman"/>
          <w:sz w:val="24"/>
          <w:szCs w:val="24"/>
        </w:rPr>
        <w:t xml:space="preserve">it can show </w:t>
      </w:r>
      <w:r w:rsidR="00DB3661">
        <w:rPr>
          <w:rFonts w:ascii="Times New Roman" w:hAnsi="Times New Roman" w:cs="Times New Roman"/>
          <w:sz w:val="24"/>
          <w:szCs w:val="24"/>
        </w:rPr>
        <w:t>are prudently incurred in the test year.</w:t>
      </w:r>
    </w:p>
    <w:p w:rsidR="00F83351" w:rsidRPr="000C2004" w:rsidRDefault="00925C99" w:rsidP="00BD7D40">
      <w:pPr>
        <w:pStyle w:val="Heading2"/>
      </w:pPr>
      <w:bookmarkStart w:id="9" w:name="_Toc438641586"/>
      <w:r>
        <w:t>F</w:t>
      </w:r>
      <w:r w:rsidR="00BD7D40">
        <w:t>.</w:t>
      </w:r>
      <w:r w:rsidR="00BD7D40">
        <w:tab/>
      </w:r>
      <w:r w:rsidR="00F83351" w:rsidRPr="000C2004">
        <w:t>Duke</w:t>
      </w:r>
      <w:r w:rsidR="00055493">
        <w:t>’</w:t>
      </w:r>
      <w:r w:rsidR="00F83351" w:rsidRPr="000C2004">
        <w:t>s assertion t</w:t>
      </w:r>
      <w:r w:rsidR="009A3922">
        <w:t>hat absent approval of the ASRP</w:t>
      </w:r>
      <w:r w:rsidR="00F83351" w:rsidRPr="000C2004">
        <w:t xml:space="preserve"> more frequent rate cases will be filed is factually incorrect.</w:t>
      </w:r>
      <w:bookmarkEnd w:id="9"/>
    </w:p>
    <w:p w:rsidR="00F83351" w:rsidRPr="00E74025" w:rsidRDefault="00F83351" w:rsidP="00E901DF">
      <w:pPr>
        <w:spacing w:after="0" w:line="480" w:lineRule="auto"/>
        <w:ind w:firstLine="720"/>
        <w:rPr>
          <w:rFonts w:ascii="Times New Roman" w:hAnsi="Times New Roman" w:cs="Times New Roman"/>
          <w:sz w:val="24"/>
          <w:szCs w:val="24"/>
        </w:rPr>
      </w:pPr>
      <w:r w:rsidRPr="00243D67">
        <w:rPr>
          <w:rFonts w:ascii="Times New Roman" w:hAnsi="Times New Roman" w:cs="Times New Roman"/>
          <w:sz w:val="24"/>
          <w:szCs w:val="24"/>
        </w:rPr>
        <w:t xml:space="preserve">Duke claims that if the PUCO does not approve the ASRP, </w:t>
      </w:r>
      <w:r w:rsidR="00705033">
        <w:rPr>
          <w:rFonts w:ascii="Times New Roman" w:hAnsi="Times New Roman" w:cs="Times New Roman"/>
          <w:sz w:val="24"/>
          <w:szCs w:val="24"/>
        </w:rPr>
        <w:t>Duke</w:t>
      </w:r>
      <w:r w:rsidRPr="00243D67">
        <w:rPr>
          <w:rFonts w:ascii="Times New Roman" w:hAnsi="Times New Roman" w:cs="Times New Roman"/>
          <w:sz w:val="24"/>
          <w:szCs w:val="24"/>
        </w:rPr>
        <w:t xml:space="preserve"> will be required to</w:t>
      </w:r>
      <w:r w:rsidR="00492EFE">
        <w:rPr>
          <w:rFonts w:ascii="Times New Roman" w:hAnsi="Times New Roman" w:cs="Times New Roman"/>
          <w:sz w:val="24"/>
          <w:szCs w:val="24"/>
        </w:rPr>
        <w:t xml:space="preserve"> file more frequent rate cases.</w:t>
      </w:r>
      <w:r w:rsidRPr="00243D67">
        <w:rPr>
          <w:rStyle w:val="FootnoteReference"/>
          <w:rFonts w:ascii="Times New Roman" w:hAnsi="Times New Roman" w:cs="Times New Roman"/>
          <w:sz w:val="24"/>
          <w:szCs w:val="24"/>
        </w:rPr>
        <w:footnoteReference w:id="77"/>
      </w:r>
      <w:r w:rsidRPr="00243D67">
        <w:rPr>
          <w:rFonts w:ascii="Times New Roman" w:hAnsi="Times New Roman" w:cs="Times New Roman"/>
          <w:sz w:val="24"/>
          <w:szCs w:val="24"/>
        </w:rPr>
        <w:t xml:space="preserve"> </w:t>
      </w:r>
      <w:r w:rsidR="00492EFE">
        <w:rPr>
          <w:rFonts w:ascii="Times New Roman" w:hAnsi="Times New Roman" w:cs="Times New Roman"/>
          <w:sz w:val="24"/>
          <w:szCs w:val="24"/>
        </w:rPr>
        <w:t>Duke</w:t>
      </w:r>
      <w:r w:rsidRPr="00243D67">
        <w:rPr>
          <w:rFonts w:ascii="Times New Roman" w:hAnsi="Times New Roman" w:cs="Times New Roman"/>
          <w:sz w:val="24"/>
          <w:szCs w:val="24"/>
        </w:rPr>
        <w:t xml:space="preserve"> further claims there is an administrative and financial burden as</w:t>
      </w:r>
      <w:r w:rsidR="00EB5383">
        <w:rPr>
          <w:rFonts w:ascii="Times New Roman" w:hAnsi="Times New Roman" w:cs="Times New Roman"/>
          <w:sz w:val="24"/>
          <w:szCs w:val="24"/>
        </w:rPr>
        <w:t>sociated with annual rate cases,</w:t>
      </w:r>
      <w:r w:rsidRPr="00243D67">
        <w:rPr>
          <w:rStyle w:val="FootnoteReference"/>
          <w:rFonts w:ascii="Times New Roman" w:hAnsi="Times New Roman" w:cs="Times New Roman"/>
          <w:sz w:val="24"/>
          <w:szCs w:val="24"/>
        </w:rPr>
        <w:footnoteReference w:id="78"/>
      </w:r>
      <w:r w:rsidR="008A0EB9">
        <w:rPr>
          <w:rFonts w:ascii="Times New Roman" w:hAnsi="Times New Roman" w:cs="Times New Roman"/>
          <w:sz w:val="24"/>
          <w:szCs w:val="24"/>
        </w:rPr>
        <w:t xml:space="preserve"> </w:t>
      </w:r>
      <w:r w:rsidR="00EB5383">
        <w:rPr>
          <w:rFonts w:ascii="Times New Roman" w:hAnsi="Times New Roman" w:cs="Times New Roman"/>
          <w:sz w:val="24"/>
          <w:szCs w:val="24"/>
        </w:rPr>
        <w:t>b</w:t>
      </w:r>
      <w:r w:rsidRPr="00243D67">
        <w:rPr>
          <w:rFonts w:ascii="Times New Roman" w:hAnsi="Times New Roman" w:cs="Times New Roman"/>
          <w:sz w:val="24"/>
          <w:szCs w:val="24"/>
        </w:rPr>
        <w:t xml:space="preserve">ut </w:t>
      </w:r>
      <w:r w:rsidR="008A0EB9">
        <w:rPr>
          <w:rFonts w:ascii="Times New Roman" w:hAnsi="Times New Roman" w:cs="Times New Roman"/>
          <w:sz w:val="24"/>
          <w:szCs w:val="24"/>
        </w:rPr>
        <w:t>Duke</w:t>
      </w:r>
      <w:r w:rsidRPr="00243D67">
        <w:rPr>
          <w:rFonts w:ascii="Times New Roman" w:hAnsi="Times New Roman" w:cs="Times New Roman"/>
          <w:sz w:val="24"/>
          <w:szCs w:val="24"/>
        </w:rPr>
        <w:t xml:space="preserve"> provided no evidence supporting the need for annual rate cases or the need for increasing the amount of time b</w:t>
      </w:r>
      <w:r w:rsidR="00EB5383">
        <w:rPr>
          <w:rFonts w:ascii="Times New Roman" w:hAnsi="Times New Roman" w:cs="Times New Roman"/>
          <w:sz w:val="24"/>
          <w:szCs w:val="24"/>
        </w:rPr>
        <w:t>etween rate cases.</w:t>
      </w:r>
      <w:r w:rsidRPr="00243D67">
        <w:rPr>
          <w:rFonts w:ascii="Times New Roman" w:hAnsi="Times New Roman" w:cs="Times New Roman"/>
          <w:sz w:val="24"/>
          <w:szCs w:val="24"/>
        </w:rPr>
        <w:t xml:space="preserve"> In fact, over the last two decades</w:t>
      </w:r>
      <w:r w:rsidR="00E74025">
        <w:rPr>
          <w:rFonts w:ascii="Times New Roman" w:hAnsi="Times New Roman" w:cs="Times New Roman"/>
          <w:sz w:val="24"/>
          <w:szCs w:val="24"/>
        </w:rPr>
        <w:t xml:space="preserve"> Duke has filed four rate cases </w:t>
      </w:r>
      <w:r w:rsidRPr="00243D67">
        <w:rPr>
          <w:rFonts w:ascii="Times New Roman" w:hAnsi="Times New Roman" w:cs="Times New Roman"/>
          <w:sz w:val="24"/>
          <w:szCs w:val="24"/>
        </w:rPr>
        <w:lastRenderedPageBreak/>
        <w:t>staggered roughly five years apart.</w:t>
      </w:r>
      <w:r w:rsidRPr="00243D67">
        <w:rPr>
          <w:rStyle w:val="FootnoteReference"/>
          <w:rFonts w:ascii="Times New Roman" w:hAnsi="Times New Roman" w:cs="Times New Roman"/>
          <w:sz w:val="24"/>
          <w:szCs w:val="24"/>
        </w:rPr>
        <w:footnoteReference w:id="79"/>
      </w:r>
      <w:r w:rsidR="00B262F6">
        <w:rPr>
          <w:rFonts w:ascii="Times New Roman" w:hAnsi="Times New Roman" w:cs="Times New Roman"/>
          <w:sz w:val="24"/>
          <w:szCs w:val="24"/>
        </w:rPr>
        <w:t xml:space="preserve"> </w:t>
      </w:r>
      <w:r w:rsidRPr="00243D67">
        <w:rPr>
          <w:rFonts w:ascii="Times New Roman" w:hAnsi="Times New Roman" w:cs="Times New Roman"/>
          <w:sz w:val="24"/>
          <w:szCs w:val="24"/>
        </w:rPr>
        <w:t>Given that Duke is currently replacing approximately 3,</w:t>
      </w:r>
      <w:r w:rsidR="000F073E">
        <w:rPr>
          <w:rFonts w:ascii="Times New Roman" w:hAnsi="Times New Roman" w:cs="Times New Roman"/>
          <w:sz w:val="24"/>
          <w:szCs w:val="24"/>
        </w:rPr>
        <w:t>8</w:t>
      </w:r>
      <w:r w:rsidRPr="00243D67">
        <w:rPr>
          <w:rFonts w:ascii="Times New Roman" w:hAnsi="Times New Roman" w:cs="Times New Roman"/>
          <w:sz w:val="24"/>
          <w:szCs w:val="24"/>
        </w:rPr>
        <w:t>00 service lines annually, the replacement of these service lines could occur within 1</w:t>
      </w:r>
      <w:r w:rsidR="000F073E">
        <w:rPr>
          <w:rFonts w:ascii="Times New Roman" w:hAnsi="Times New Roman" w:cs="Times New Roman"/>
          <w:sz w:val="24"/>
          <w:szCs w:val="24"/>
        </w:rPr>
        <w:t>5</w:t>
      </w:r>
      <w:r w:rsidRPr="00243D67">
        <w:rPr>
          <w:rFonts w:ascii="Times New Roman" w:hAnsi="Times New Roman" w:cs="Times New Roman"/>
          <w:sz w:val="24"/>
          <w:szCs w:val="24"/>
        </w:rPr>
        <w:t xml:space="preserve"> years without the need for accelerated cost recovery or modifying the frequency in which Duke historica</w:t>
      </w:r>
      <w:r w:rsidR="00B262F6">
        <w:rPr>
          <w:rFonts w:ascii="Times New Roman" w:hAnsi="Times New Roman" w:cs="Times New Roman"/>
          <w:sz w:val="24"/>
          <w:szCs w:val="24"/>
        </w:rPr>
        <w:t>lly has filed base rate cases.</w:t>
      </w:r>
      <w:r w:rsidRPr="00243D67">
        <w:rPr>
          <w:rFonts w:ascii="Times New Roman" w:hAnsi="Times New Roman" w:cs="Times New Roman"/>
          <w:sz w:val="24"/>
          <w:szCs w:val="24"/>
        </w:rPr>
        <w:t xml:space="preserve"> In fact, the operational costs associated with repairing service lines might actually decrease and therefore</w:t>
      </w:r>
      <w:r w:rsidR="000F073E">
        <w:rPr>
          <w:rFonts w:ascii="Times New Roman" w:hAnsi="Times New Roman" w:cs="Times New Roman"/>
          <w:sz w:val="24"/>
          <w:szCs w:val="24"/>
        </w:rPr>
        <w:t xml:space="preserve">, there may </w:t>
      </w:r>
      <w:r w:rsidR="00695C6C">
        <w:rPr>
          <w:rFonts w:ascii="Times New Roman" w:hAnsi="Times New Roman" w:cs="Times New Roman"/>
          <w:sz w:val="24"/>
          <w:szCs w:val="24"/>
        </w:rPr>
        <w:t xml:space="preserve">instead </w:t>
      </w:r>
      <w:r w:rsidR="000F073E">
        <w:rPr>
          <w:rFonts w:ascii="Times New Roman" w:hAnsi="Times New Roman" w:cs="Times New Roman"/>
          <w:sz w:val="24"/>
          <w:szCs w:val="24"/>
        </w:rPr>
        <w:t xml:space="preserve">be an </w:t>
      </w:r>
      <w:r w:rsidRPr="00243D67">
        <w:rPr>
          <w:rFonts w:ascii="Times New Roman" w:hAnsi="Times New Roman" w:cs="Times New Roman"/>
          <w:sz w:val="24"/>
          <w:szCs w:val="24"/>
        </w:rPr>
        <w:t xml:space="preserve">increase </w:t>
      </w:r>
      <w:r w:rsidR="000F073E">
        <w:rPr>
          <w:rFonts w:ascii="Times New Roman" w:hAnsi="Times New Roman" w:cs="Times New Roman"/>
          <w:sz w:val="24"/>
          <w:szCs w:val="24"/>
        </w:rPr>
        <w:t xml:space="preserve">in </w:t>
      </w:r>
      <w:r w:rsidRPr="00243D67">
        <w:rPr>
          <w:rFonts w:ascii="Times New Roman" w:hAnsi="Times New Roman" w:cs="Times New Roman"/>
          <w:sz w:val="24"/>
          <w:szCs w:val="24"/>
        </w:rPr>
        <w:t xml:space="preserve">the amount of time between rate cases. </w:t>
      </w:r>
    </w:p>
    <w:p w:rsidR="00F83351" w:rsidRPr="000C2004" w:rsidRDefault="00925C99" w:rsidP="00BD7D40">
      <w:pPr>
        <w:pStyle w:val="Heading2"/>
      </w:pPr>
      <w:bookmarkStart w:id="10" w:name="_Toc438641587"/>
      <w:r>
        <w:t>G</w:t>
      </w:r>
      <w:r w:rsidR="00BD7D40">
        <w:t>.</w:t>
      </w:r>
      <w:r w:rsidR="00BD7D40">
        <w:tab/>
      </w:r>
      <w:r w:rsidR="00F83351" w:rsidRPr="000C2004">
        <w:t>Duke</w:t>
      </w:r>
      <w:r w:rsidR="00055493">
        <w:t>’</w:t>
      </w:r>
      <w:r w:rsidR="00F83351" w:rsidRPr="000C2004">
        <w:t>s assertion t</w:t>
      </w:r>
      <w:r w:rsidR="009A3922">
        <w:t>hat absent approval of the ASRP</w:t>
      </w:r>
      <w:r w:rsidR="002F5F41">
        <w:t>,</w:t>
      </w:r>
      <w:r w:rsidR="00F83351" w:rsidRPr="000C2004">
        <w:t xml:space="preserve"> </w:t>
      </w:r>
      <w:r w:rsidR="002F5F41">
        <w:t xml:space="preserve">customers will experience </w:t>
      </w:r>
      <w:r w:rsidR="00F83351" w:rsidRPr="000C2004">
        <w:t xml:space="preserve">abrupt and recurrent </w:t>
      </w:r>
      <w:r w:rsidR="002F5F41">
        <w:t xml:space="preserve">rate changes </w:t>
      </w:r>
      <w:r w:rsidR="00F83351" w:rsidRPr="000C2004">
        <w:t>is factually incorrect.</w:t>
      </w:r>
      <w:bookmarkEnd w:id="10"/>
    </w:p>
    <w:p w:rsidR="00394091" w:rsidRDefault="00F83351" w:rsidP="009A3922">
      <w:pPr>
        <w:spacing w:line="480" w:lineRule="auto"/>
        <w:ind w:firstLine="720"/>
        <w:contextualSpacing/>
        <w:rPr>
          <w:rFonts w:ascii="Times New Roman" w:hAnsi="Times New Roman" w:cs="Times New Roman"/>
          <w:sz w:val="24"/>
          <w:szCs w:val="24"/>
        </w:rPr>
      </w:pPr>
      <w:r w:rsidRPr="00243D67">
        <w:rPr>
          <w:rFonts w:ascii="Times New Roman" w:hAnsi="Times New Roman" w:cs="Times New Roman"/>
          <w:sz w:val="24"/>
          <w:szCs w:val="24"/>
        </w:rPr>
        <w:t>Duke makes multiple claims that rate cases will result in negative consequences for customers.  For example, Duke claims that rate changes associated with successive base rate cases will be abrupt and recurrent.</w:t>
      </w:r>
      <w:r w:rsidRPr="00243D67">
        <w:rPr>
          <w:rStyle w:val="FootnoteReference"/>
          <w:rFonts w:ascii="Times New Roman" w:hAnsi="Times New Roman" w:cs="Times New Roman"/>
          <w:sz w:val="24"/>
          <w:szCs w:val="24"/>
        </w:rPr>
        <w:footnoteReference w:id="80"/>
      </w:r>
      <w:r w:rsidRPr="00243D67">
        <w:rPr>
          <w:rFonts w:ascii="Times New Roman" w:hAnsi="Times New Roman" w:cs="Times New Roman"/>
          <w:sz w:val="24"/>
          <w:szCs w:val="24"/>
        </w:rPr>
        <w:t xml:space="preserve">  Elsewhere, Duke claims that ASRP avoids the inevitable rate shock associated with rate cases.</w:t>
      </w:r>
      <w:r w:rsidRPr="00243D67">
        <w:rPr>
          <w:rStyle w:val="FootnoteReference"/>
          <w:rFonts w:ascii="Times New Roman" w:hAnsi="Times New Roman" w:cs="Times New Roman"/>
          <w:sz w:val="24"/>
          <w:szCs w:val="24"/>
        </w:rPr>
        <w:footnoteReference w:id="81"/>
      </w:r>
      <w:r w:rsidR="00394091">
        <w:rPr>
          <w:rFonts w:ascii="Times New Roman" w:hAnsi="Times New Roman" w:cs="Times New Roman"/>
          <w:sz w:val="24"/>
          <w:szCs w:val="24"/>
        </w:rPr>
        <w:t xml:space="preserve"> Duke is wrong on both counts.</w:t>
      </w:r>
    </w:p>
    <w:p w:rsidR="00F83351" w:rsidRPr="00243D67" w:rsidRDefault="005002BD" w:rsidP="009A392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First, r</w:t>
      </w:r>
      <w:r w:rsidR="000F073E">
        <w:rPr>
          <w:rFonts w:ascii="Times New Roman" w:hAnsi="Times New Roman" w:cs="Times New Roman"/>
          <w:sz w:val="24"/>
          <w:szCs w:val="24"/>
        </w:rPr>
        <w:t>ate shock for residential consumers should be a major consideration of the PUCO in rejecting the ASRP c</w:t>
      </w:r>
      <w:r>
        <w:rPr>
          <w:rFonts w:ascii="Times New Roman" w:hAnsi="Times New Roman" w:cs="Times New Roman"/>
          <w:sz w:val="24"/>
          <w:szCs w:val="24"/>
        </w:rPr>
        <w:t>onsidering that</w:t>
      </w:r>
      <w:r w:rsidR="00F83351" w:rsidRPr="00243D67">
        <w:rPr>
          <w:rFonts w:ascii="Times New Roman" w:hAnsi="Times New Roman" w:cs="Times New Roman"/>
          <w:sz w:val="24"/>
          <w:szCs w:val="24"/>
        </w:rPr>
        <w:t xml:space="preserve"> Duke</w:t>
      </w:r>
      <w:r>
        <w:rPr>
          <w:rFonts w:ascii="Times New Roman" w:hAnsi="Times New Roman" w:cs="Times New Roman"/>
          <w:sz w:val="24"/>
          <w:szCs w:val="24"/>
        </w:rPr>
        <w:t>’s</w:t>
      </w:r>
      <w:r w:rsidR="00F83351" w:rsidRPr="00243D67">
        <w:rPr>
          <w:rFonts w:ascii="Times New Roman" w:hAnsi="Times New Roman" w:cs="Times New Roman"/>
          <w:sz w:val="24"/>
          <w:szCs w:val="24"/>
        </w:rPr>
        <w:t xml:space="preserve"> natural gas bills are already 30 percent higher than the average natural gas bill of </w:t>
      </w:r>
      <w:r w:rsidR="00394091">
        <w:rPr>
          <w:rFonts w:ascii="Times New Roman" w:hAnsi="Times New Roman" w:cs="Times New Roman"/>
          <w:sz w:val="24"/>
          <w:szCs w:val="24"/>
        </w:rPr>
        <w:t>customers served by other Ohio local distribution compani</w:t>
      </w:r>
      <w:r w:rsidR="00394091" w:rsidRPr="00243D67">
        <w:rPr>
          <w:rFonts w:ascii="Times New Roman" w:hAnsi="Times New Roman" w:cs="Times New Roman"/>
          <w:sz w:val="24"/>
          <w:szCs w:val="24"/>
        </w:rPr>
        <w:t>es</w:t>
      </w:r>
      <w:r w:rsidR="000F073E">
        <w:rPr>
          <w:rFonts w:ascii="Times New Roman" w:hAnsi="Times New Roman" w:cs="Times New Roman"/>
          <w:sz w:val="24"/>
          <w:szCs w:val="24"/>
        </w:rPr>
        <w:t>.</w:t>
      </w:r>
      <w:r w:rsidR="00F83351" w:rsidRPr="00243D67">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Moreover, </w:t>
      </w:r>
      <w:r w:rsidR="00F83351" w:rsidRPr="00243D67">
        <w:rPr>
          <w:rFonts w:ascii="Times New Roman" w:hAnsi="Times New Roman" w:cs="Times New Roman"/>
          <w:sz w:val="24"/>
          <w:szCs w:val="24"/>
        </w:rPr>
        <w:t>Duke is factually incorrect when it asserts that rate cases will result in cust</w:t>
      </w:r>
      <w:r w:rsidR="009A3922">
        <w:rPr>
          <w:rFonts w:ascii="Times New Roman" w:hAnsi="Times New Roman" w:cs="Times New Roman"/>
          <w:sz w:val="24"/>
          <w:szCs w:val="24"/>
        </w:rPr>
        <w:t xml:space="preserve">omers experiencing rate shock. </w:t>
      </w:r>
      <w:r>
        <w:rPr>
          <w:rFonts w:ascii="Times New Roman" w:hAnsi="Times New Roman" w:cs="Times New Roman"/>
          <w:sz w:val="24"/>
          <w:szCs w:val="24"/>
        </w:rPr>
        <w:t>I</w:t>
      </w:r>
      <w:r w:rsidR="00F83351" w:rsidRPr="00243D67">
        <w:rPr>
          <w:rFonts w:ascii="Times New Roman" w:hAnsi="Times New Roman" w:cs="Times New Roman"/>
          <w:sz w:val="24"/>
          <w:szCs w:val="24"/>
        </w:rPr>
        <w:t>n</w:t>
      </w:r>
      <w:r>
        <w:rPr>
          <w:rFonts w:ascii="Times New Roman" w:hAnsi="Times New Roman" w:cs="Times New Roman"/>
          <w:sz w:val="24"/>
          <w:szCs w:val="24"/>
        </w:rPr>
        <w:t xml:space="preserve"> fact, in</w:t>
      </w:r>
      <w:r w:rsidR="00F83351" w:rsidRPr="00243D67">
        <w:rPr>
          <w:rFonts w:ascii="Times New Roman" w:hAnsi="Times New Roman" w:cs="Times New Roman"/>
          <w:sz w:val="24"/>
          <w:szCs w:val="24"/>
        </w:rPr>
        <w:t xml:space="preserve"> Duke</w:t>
      </w:r>
      <w:r w:rsidR="009A3922">
        <w:rPr>
          <w:rFonts w:ascii="Times New Roman" w:hAnsi="Times New Roman" w:cs="Times New Roman"/>
          <w:sz w:val="24"/>
          <w:szCs w:val="24"/>
        </w:rPr>
        <w:t>’</w:t>
      </w:r>
      <w:r w:rsidR="00F83351" w:rsidRPr="00243D67">
        <w:rPr>
          <w:rFonts w:ascii="Times New Roman" w:hAnsi="Times New Roman" w:cs="Times New Roman"/>
          <w:sz w:val="24"/>
          <w:szCs w:val="24"/>
        </w:rPr>
        <w:t xml:space="preserve">s last base rate </w:t>
      </w:r>
      <w:r w:rsidR="00F83351" w:rsidRPr="00243D67">
        <w:rPr>
          <w:rFonts w:ascii="Times New Roman" w:hAnsi="Times New Roman" w:cs="Times New Roman"/>
          <w:sz w:val="24"/>
          <w:szCs w:val="24"/>
        </w:rPr>
        <w:lastRenderedPageBreak/>
        <w:t xml:space="preserve">case, </w:t>
      </w:r>
      <w:r w:rsidR="000F073E">
        <w:rPr>
          <w:rFonts w:ascii="Times New Roman" w:hAnsi="Times New Roman" w:cs="Times New Roman"/>
          <w:sz w:val="24"/>
          <w:szCs w:val="24"/>
        </w:rPr>
        <w:t xml:space="preserve">customer rates did not increase as </w:t>
      </w:r>
      <w:r w:rsidR="00F83351" w:rsidRPr="00243D67">
        <w:rPr>
          <w:rFonts w:ascii="Times New Roman" w:hAnsi="Times New Roman" w:cs="Times New Roman"/>
          <w:sz w:val="24"/>
          <w:szCs w:val="24"/>
        </w:rPr>
        <w:t>there was no increase in the Utility revenue requirement</w:t>
      </w:r>
      <w:r w:rsidR="000F073E">
        <w:rPr>
          <w:rFonts w:ascii="Times New Roman" w:hAnsi="Times New Roman" w:cs="Times New Roman"/>
          <w:sz w:val="24"/>
          <w:szCs w:val="24"/>
        </w:rPr>
        <w:t>.</w:t>
      </w:r>
      <w:r w:rsidR="00F83351" w:rsidRPr="00243D67">
        <w:rPr>
          <w:rStyle w:val="FootnoteReference"/>
          <w:rFonts w:ascii="Times New Roman" w:hAnsi="Times New Roman" w:cs="Times New Roman"/>
          <w:sz w:val="24"/>
          <w:szCs w:val="24"/>
        </w:rPr>
        <w:footnoteReference w:id="83"/>
      </w:r>
      <w:r w:rsidR="00F83351" w:rsidRPr="00243D67">
        <w:rPr>
          <w:rFonts w:ascii="Times New Roman" w:hAnsi="Times New Roman" w:cs="Times New Roman"/>
          <w:sz w:val="24"/>
          <w:szCs w:val="24"/>
        </w:rPr>
        <w:t xml:space="preserve">    </w:t>
      </w:r>
    </w:p>
    <w:p w:rsidR="005B0FB8" w:rsidRDefault="00F71849" w:rsidP="005B0FB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Additionally, the </w:t>
      </w:r>
      <w:r w:rsidR="009A7114">
        <w:rPr>
          <w:rFonts w:ascii="Times New Roman" w:hAnsi="Times New Roman" w:cs="Times New Roman"/>
          <w:sz w:val="24"/>
          <w:szCs w:val="24"/>
        </w:rPr>
        <w:t>Utility’s filing</w:t>
      </w:r>
      <w:r>
        <w:rPr>
          <w:rFonts w:ascii="Times New Roman" w:hAnsi="Times New Roman" w:cs="Times New Roman"/>
          <w:sz w:val="24"/>
          <w:szCs w:val="24"/>
        </w:rPr>
        <w:t xml:space="preserve"> of </w:t>
      </w:r>
      <w:r w:rsidR="00D80041">
        <w:rPr>
          <w:rFonts w:ascii="Times New Roman" w:hAnsi="Times New Roman" w:cs="Times New Roman"/>
          <w:sz w:val="24"/>
          <w:szCs w:val="24"/>
        </w:rPr>
        <w:t xml:space="preserve">periodic </w:t>
      </w:r>
      <w:r>
        <w:rPr>
          <w:rFonts w:ascii="Times New Roman" w:hAnsi="Times New Roman" w:cs="Times New Roman"/>
          <w:sz w:val="24"/>
          <w:szCs w:val="24"/>
        </w:rPr>
        <w:t>base</w:t>
      </w:r>
      <w:r w:rsidR="00E45B74">
        <w:rPr>
          <w:rFonts w:ascii="Times New Roman" w:hAnsi="Times New Roman" w:cs="Times New Roman"/>
          <w:sz w:val="24"/>
          <w:szCs w:val="24"/>
        </w:rPr>
        <w:t xml:space="preserve"> </w:t>
      </w:r>
      <w:r w:rsidR="00D80041">
        <w:rPr>
          <w:rFonts w:ascii="Times New Roman" w:hAnsi="Times New Roman" w:cs="Times New Roman"/>
          <w:sz w:val="24"/>
          <w:szCs w:val="24"/>
        </w:rPr>
        <w:t>rate cases are not</w:t>
      </w:r>
      <w:r w:rsidR="00BB1922">
        <w:rPr>
          <w:rFonts w:ascii="Times New Roman" w:hAnsi="Times New Roman" w:cs="Times New Roman"/>
          <w:sz w:val="24"/>
          <w:szCs w:val="24"/>
        </w:rPr>
        <w:t xml:space="preserve"> necessarily</w:t>
      </w:r>
      <w:r w:rsidR="00D80041">
        <w:rPr>
          <w:rFonts w:ascii="Times New Roman" w:hAnsi="Times New Roman" w:cs="Times New Roman"/>
          <w:sz w:val="24"/>
          <w:szCs w:val="24"/>
        </w:rPr>
        <w:t xml:space="preserve"> </w:t>
      </w:r>
      <w:r>
        <w:rPr>
          <w:rFonts w:ascii="Times New Roman" w:hAnsi="Times New Roman" w:cs="Times New Roman"/>
          <w:sz w:val="24"/>
          <w:szCs w:val="24"/>
        </w:rPr>
        <w:t xml:space="preserve">negative as Duke states. </w:t>
      </w:r>
      <w:r w:rsidR="00BB1922">
        <w:rPr>
          <w:rFonts w:ascii="Times New Roman" w:hAnsi="Times New Roman" w:cs="Times New Roman"/>
          <w:sz w:val="24"/>
          <w:szCs w:val="24"/>
        </w:rPr>
        <w:t>B</w:t>
      </w:r>
      <w:r w:rsidR="00F83351" w:rsidRPr="00243D67">
        <w:rPr>
          <w:rFonts w:ascii="Times New Roman" w:hAnsi="Times New Roman" w:cs="Times New Roman"/>
          <w:sz w:val="24"/>
          <w:szCs w:val="24"/>
        </w:rPr>
        <w:t>ase rate proceeding</w:t>
      </w:r>
      <w:r w:rsidR="00B262F6">
        <w:rPr>
          <w:rFonts w:ascii="Times New Roman" w:hAnsi="Times New Roman" w:cs="Times New Roman"/>
          <w:sz w:val="24"/>
          <w:szCs w:val="24"/>
        </w:rPr>
        <w:t>s</w:t>
      </w:r>
      <w:r>
        <w:rPr>
          <w:rFonts w:ascii="Times New Roman" w:hAnsi="Times New Roman" w:cs="Times New Roman"/>
          <w:sz w:val="24"/>
          <w:szCs w:val="24"/>
        </w:rPr>
        <w:t xml:space="preserve"> </w:t>
      </w:r>
      <w:r w:rsidR="00F83351" w:rsidRPr="00243D67">
        <w:rPr>
          <w:rFonts w:ascii="Times New Roman" w:hAnsi="Times New Roman" w:cs="Times New Roman"/>
          <w:sz w:val="24"/>
          <w:szCs w:val="24"/>
        </w:rPr>
        <w:t>provide the opportunity for a comprehensive review of total revenues and expenses during an established test year.</w:t>
      </w:r>
      <w:r w:rsidR="00F83351" w:rsidRPr="00243D67">
        <w:rPr>
          <w:rStyle w:val="FootnoteReference"/>
          <w:rFonts w:ascii="Times New Roman" w:hAnsi="Times New Roman" w:cs="Times New Roman"/>
          <w:sz w:val="24"/>
          <w:szCs w:val="24"/>
        </w:rPr>
        <w:footnoteReference w:id="84"/>
      </w:r>
      <w:r w:rsidR="005B0FB8">
        <w:rPr>
          <w:rFonts w:ascii="Times New Roman" w:hAnsi="Times New Roman" w:cs="Times New Roman"/>
          <w:sz w:val="24"/>
          <w:szCs w:val="24"/>
        </w:rPr>
        <w:t xml:space="preserve"> B</w:t>
      </w:r>
      <w:r w:rsidR="00923329">
        <w:rPr>
          <w:rFonts w:ascii="Times New Roman" w:hAnsi="Times New Roman" w:cs="Times New Roman"/>
          <w:sz w:val="24"/>
          <w:szCs w:val="24"/>
        </w:rPr>
        <w:t>ecause</w:t>
      </w:r>
      <w:r w:rsidR="00923329" w:rsidRPr="00243D67">
        <w:rPr>
          <w:rFonts w:ascii="Times New Roman" w:hAnsi="Times New Roman" w:cs="Times New Roman"/>
          <w:sz w:val="24"/>
          <w:szCs w:val="24"/>
        </w:rPr>
        <w:t xml:space="preserve"> </w:t>
      </w:r>
      <w:r w:rsidR="00F83351" w:rsidRPr="00243D67">
        <w:rPr>
          <w:rFonts w:ascii="Times New Roman" w:hAnsi="Times New Roman" w:cs="Times New Roman"/>
          <w:sz w:val="24"/>
          <w:szCs w:val="24"/>
        </w:rPr>
        <w:t xml:space="preserve">all of the Company financial records are examined in detail, there is an opportunity to identify cost savings measures and revenues that can help offset any additional costs the Utility claims </w:t>
      </w:r>
      <w:r w:rsidR="00B262F6">
        <w:rPr>
          <w:rFonts w:ascii="Times New Roman" w:hAnsi="Times New Roman" w:cs="Times New Roman"/>
          <w:sz w:val="24"/>
          <w:szCs w:val="24"/>
        </w:rPr>
        <w:t xml:space="preserve">are incurred. </w:t>
      </w:r>
      <w:r w:rsidR="00F83351" w:rsidRPr="00243D67">
        <w:rPr>
          <w:rFonts w:ascii="Times New Roman" w:hAnsi="Times New Roman" w:cs="Times New Roman"/>
          <w:sz w:val="24"/>
          <w:szCs w:val="24"/>
        </w:rPr>
        <w:t>Through this process, a determination can be made about the just and reasonableness of rates as required by Ohio law.</w:t>
      </w:r>
      <w:r w:rsidR="00F83351" w:rsidRPr="00243D67">
        <w:rPr>
          <w:rStyle w:val="FootnoteReference"/>
          <w:rFonts w:ascii="Times New Roman" w:hAnsi="Times New Roman" w:cs="Times New Roman"/>
          <w:sz w:val="24"/>
          <w:szCs w:val="24"/>
        </w:rPr>
        <w:footnoteReference w:id="85"/>
      </w:r>
      <w:r w:rsidR="00D80041">
        <w:rPr>
          <w:rFonts w:ascii="Times New Roman" w:hAnsi="Times New Roman" w:cs="Times New Roman"/>
          <w:sz w:val="24"/>
          <w:szCs w:val="24"/>
        </w:rPr>
        <w:t xml:space="preserve"> </w:t>
      </w:r>
      <w:r w:rsidR="005B0FB8">
        <w:rPr>
          <w:rFonts w:ascii="Times New Roman" w:hAnsi="Times New Roman" w:cs="Times New Roman"/>
          <w:sz w:val="24"/>
          <w:szCs w:val="24"/>
        </w:rPr>
        <w:t>PUCO Staff appreciates this view, having recently concluded:</w:t>
      </w:r>
    </w:p>
    <w:p w:rsidR="005B0FB8" w:rsidRDefault="005B0FB8" w:rsidP="005F0B81">
      <w:pPr>
        <w:spacing w:line="240" w:lineRule="auto"/>
        <w:ind w:left="1440" w:right="720"/>
        <w:contextualSpacing/>
        <w:rPr>
          <w:rFonts w:ascii="Times New Roman" w:hAnsi="Times New Roman" w:cs="Times New Roman"/>
          <w:sz w:val="24"/>
          <w:szCs w:val="24"/>
        </w:rPr>
      </w:pPr>
      <w:r w:rsidRPr="005B0FB8">
        <w:rPr>
          <w:rFonts w:ascii="Times New Roman" w:hAnsi="Times New Roman" w:cs="Times New Roman"/>
          <w:sz w:val="24"/>
          <w:szCs w:val="24"/>
        </w:rPr>
        <w:t>St</w:t>
      </w:r>
      <w:r>
        <w:rPr>
          <w:rFonts w:ascii="Times New Roman" w:hAnsi="Times New Roman" w:cs="Times New Roman"/>
          <w:sz w:val="24"/>
          <w:szCs w:val="24"/>
        </w:rPr>
        <w:t xml:space="preserve">aff believes that a holistic, </w:t>
      </w:r>
      <w:r w:rsidRPr="005B0FB8">
        <w:rPr>
          <w:rFonts w:ascii="Times New Roman" w:hAnsi="Times New Roman" w:cs="Times New Roman"/>
          <w:sz w:val="24"/>
          <w:szCs w:val="24"/>
        </w:rPr>
        <w:t xml:space="preserve">periodic review of each company’s finances is </w:t>
      </w:r>
      <w:r>
        <w:rPr>
          <w:rFonts w:ascii="Times New Roman" w:hAnsi="Times New Roman" w:cs="Times New Roman"/>
          <w:sz w:val="24"/>
          <w:szCs w:val="24"/>
        </w:rPr>
        <w:t xml:space="preserve">necessary to ensure that all </w:t>
      </w:r>
      <w:r w:rsidRPr="005B0FB8">
        <w:rPr>
          <w:rFonts w:ascii="Times New Roman" w:hAnsi="Times New Roman" w:cs="Times New Roman"/>
          <w:sz w:val="24"/>
          <w:szCs w:val="24"/>
        </w:rPr>
        <w:t>costs are being appropriately incurred and re</w:t>
      </w:r>
      <w:r>
        <w:rPr>
          <w:rFonts w:ascii="Times New Roman" w:hAnsi="Times New Roman" w:cs="Times New Roman"/>
          <w:sz w:val="24"/>
          <w:szCs w:val="24"/>
        </w:rPr>
        <w:t xml:space="preserve">covered. A rate case permits </w:t>
      </w:r>
      <w:r w:rsidRPr="005B0FB8">
        <w:rPr>
          <w:rFonts w:ascii="Times New Roman" w:hAnsi="Times New Roman" w:cs="Times New Roman"/>
          <w:sz w:val="24"/>
          <w:szCs w:val="24"/>
        </w:rPr>
        <w:t xml:space="preserve">the overall earnings of the Companies to be reviewed along </w:t>
      </w:r>
      <w:r>
        <w:rPr>
          <w:rFonts w:ascii="Times New Roman" w:hAnsi="Times New Roman" w:cs="Times New Roman"/>
          <w:sz w:val="24"/>
          <w:szCs w:val="24"/>
        </w:rPr>
        <w:t xml:space="preserve">with all of its </w:t>
      </w:r>
      <w:r w:rsidRPr="005B0FB8">
        <w:rPr>
          <w:rFonts w:ascii="Times New Roman" w:hAnsi="Times New Roman" w:cs="Times New Roman"/>
          <w:sz w:val="24"/>
          <w:szCs w:val="24"/>
        </w:rPr>
        <w:t>revenues and expenses. As such, Staff believe</w:t>
      </w:r>
      <w:r>
        <w:rPr>
          <w:rFonts w:ascii="Times New Roman" w:hAnsi="Times New Roman" w:cs="Times New Roman"/>
          <w:sz w:val="24"/>
          <w:szCs w:val="24"/>
        </w:rPr>
        <w:t xml:space="preserve">s it is a prudent regulatory </w:t>
      </w:r>
      <w:r w:rsidRPr="005B0FB8">
        <w:rPr>
          <w:rFonts w:ascii="Times New Roman" w:hAnsi="Times New Roman" w:cs="Times New Roman"/>
          <w:sz w:val="24"/>
          <w:szCs w:val="24"/>
        </w:rPr>
        <w:t>practice to gain a holistic understanding of the</w:t>
      </w:r>
      <w:r>
        <w:rPr>
          <w:rFonts w:ascii="Times New Roman" w:hAnsi="Times New Roman" w:cs="Times New Roman"/>
          <w:sz w:val="24"/>
          <w:szCs w:val="24"/>
        </w:rPr>
        <w:t xml:space="preserve"> regulated distribution com</w:t>
      </w:r>
      <w:r w:rsidRPr="005B0FB8">
        <w:rPr>
          <w:rFonts w:ascii="Times New Roman" w:hAnsi="Times New Roman" w:cs="Times New Roman"/>
          <w:sz w:val="24"/>
          <w:szCs w:val="24"/>
        </w:rPr>
        <w:t>pany on a regular basis.</w:t>
      </w:r>
      <w:r>
        <w:rPr>
          <w:rStyle w:val="FootnoteReference"/>
          <w:rFonts w:ascii="Times New Roman" w:hAnsi="Times New Roman" w:cs="Times New Roman"/>
          <w:sz w:val="24"/>
          <w:szCs w:val="24"/>
        </w:rPr>
        <w:footnoteReference w:id="86"/>
      </w:r>
    </w:p>
    <w:p w:rsidR="005B0FB8" w:rsidRDefault="005B0FB8" w:rsidP="005B0FB8">
      <w:pPr>
        <w:spacing w:line="240" w:lineRule="auto"/>
        <w:ind w:left="720" w:right="720"/>
        <w:contextualSpacing/>
        <w:jc w:val="both"/>
        <w:rPr>
          <w:rFonts w:ascii="Times New Roman" w:hAnsi="Times New Roman" w:cs="Times New Roman"/>
          <w:sz w:val="24"/>
          <w:szCs w:val="24"/>
        </w:rPr>
      </w:pPr>
    </w:p>
    <w:p w:rsidR="00F83351" w:rsidRPr="00243D67" w:rsidRDefault="00BB1922" w:rsidP="005B0FB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However, </w:t>
      </w:r>
      <w:r w:rsidR="00913BD9">
        <w:rPr>
          <w:rFonts w:ascii="Times New Roman" w:hAnsi="Times New Roman" w:cs="Times New Roman"/>
          <w:sz w:val="24"/>
          <w:szCs w:val="24"/>
        </w:rPr>
        <w:t xml:space="preserve">Duke’s overly aggressive ASRP provides Duke with an opportunity to increase revenues without considering offsetting </w:t>
      </w:r>
      <w:r w:rsidR="009A7114">
        <w:rPr>
          <w:rFonts w:ascii="Times New Roman" w:hAnsi="Times New Roman" w:cs="Times New Roman"/>
          <w:sz w:val="24"/>
          <w:szCs w:val="24"/>
        </w:rPr>
        <w:t xml:space="preserve">decreasing operating </w:t>
      </w:r>
      <w:r w:rsidR="00913BD9">
        <w:rPr>
          <w:rFonts w:ascii="Times New Roman" w:hAnsi="Times New Roman" w:cs="Times New Roman"/>
          <w:sz w:val="24"/>
          <w:szCs w:val="24"/>
        </w:rPr>
        <w:t>costs.</w:t>
      </w:r>
      <w:r w:rsidR="00913BD9">
        <w:rPr>
          <w:rStyle w:val="FootnoteReference"/>
          <w:rFonts w:ascii="Times New Roman" w:hAnsi="Times New Roman" w:cs="Times New Roman"/>
          <w:sz w:val="24"/>
          <w:szCs w:val="24"/>
        </w:rPr>
        <w:footnoteReference w:id="87"/>
      </w:r>
      <w:r w:rsidR="00913BD9">
        <w:rPr>
          <w:rFonts w:ascii="Times New Roman" w:hAnsi="Times New Roman" w:cs="Times New Roman"/>
          <w:sz w:val="24"/>
          <w:szCs w:val="24"/>
        </w:rPr>
        <w:t xml:space="preserve"> The ASRP also enables Duke to earn a return on these investment costs much sooner than would be </w:t>
      </w:r>
      <w:r w:rsidR="00913BD9">
        <w:rPr>
          <w:rFonts w:ascii="Times New Roman" w:hAnsi="Times New Roman" w:cs="Times New Roman"/>
          <w:sz w:val="24"/>
          <w:szCs w:val="24"/>
        </w:rPr>
        <w:lastRenderedPageBreak/>
        <w:t>supported in their current capital recovery program - - meaning customers just get stuck with the $320 million bill.</w:t>
      </w:r>
      <w:r w:rsidR="00913BD9">
        <w:rPr>
          <w:rStyle w:val="FootnoteReference"/>
          <w:rFonts w:ascii="Times New Roman" w:hAnsi="Times New Roman" w:cs="Times New Roman"/>
          <w:sz w:val="24"/>
          <w:szCs w:val="24"/>
        </w:rPr>
        <w:footnoteReference w:id="88"/>
      </w:r>
      <w:r w:rsidR="00913BD9">
        <w:rPr>
          <w:rFonts w:ascii="Times New Roman" w:hAnsi="Times New Roman" w:cs="Times New Roman"/>
          <w:sz w:val="24"/>
          <w:szCs w:val="24"/>
        </w:rPr>
        <w:t xml:space="preserve">   </w:t>
      </w:r>
      <w:r w:rsidR="00F83351" w:rsidRPr="00243D67">
        <w:rPr>
          <w:rFonts w:ascii="Times New Roman" w:hAnsi="Times New Roman" w:cs="Times New Roman"/>
          <w:sz w:val="24"/>
          <w:szCs w:val="24"/>
        </w:rPr>
        <w:t xml:space="preserve">         </w:t>
      </w:r>
    </w:p>
    <w:p w:rsidR="00E901DF" w:rsidRDefault="00F83351" w:rsidP="00BD7D40">
      <w:pPr>
        <w:spacing w:after="0" w:line="480" w:lineRule="auto"/>
        <w:ind w:firstLine="720"/>
        <w:contextualSpacing/>
        <w:rPr>
          <w:rFonts w:ascii="Times New Roman" w:hAnsi="Times New Roman" w:cs="Times New Roman"/>
          <w:sz w:val="24"/>
          <w:szCs w:val="24"/>
        </w:rPr>
      </w:pPr>
      <w:r w:rsidRPr="00243D67">
        <w:rPr>
          <w:rFonts w:ascii="Times New Roman" w:hAnsi="Times New Roman" w:cs="Times New Roman"/>
          <w:sz w:val="24"/>
          <w:szCs w:val="24"/>
        </w:rPr>
        <w:t xml:space="preserve">The ASRP as proposed by Duke results in customers paying successive rate changes that </w:t>
      </w:r>
      <w:r w:rsidR="00B759BA">
        <w:rPr>
          <w:rFonts w:ascii="Times New Roman" w:hAnsi="Times New Roman" w:cs="Times New Roman"/>
          <w:sz w:val="24"/>
          <w:szCs w:val="24"/>
        </w:rPr>
        <w:t xml:space="preserve">are both abrupt and recurrent. </w:t>
      </w:r>
      <w:r w:rsidRPr="00243D67">
        <w:rPr>
          <w:rFonts w:ascii="Times New Roman" w:hAnsi="Times New Roman" w:cs="Times New Roman"/>
          <w:sz w:val="24"/>
          <w:szCs w:val="24"/>
        </w:rPr>
        <w:t>For example, customers would be required to pay an initial capped amount of $1.00 per month for the first year of the program.</w:t>
      </w:r>
      <w:r w:rsidRPr="00243D67">
        <w:rPr>
          <w:rStyle w:val="FootnoteReference"/>
          <w:rFonts w:ascii="Times New Roman" w:hAnsi="Times New Roman" w:cs="Times New Roman"/>
          <w:sz w:val="24"/>
          <w:szCs w:val="24"/>
        </w:rPr>
        <w:footnoteReference w:id="89"/>
      </w:r>
      <w:r w:rsidR="00B262F6">
        <w:rPr>
          <w:rFonts w:ascii="Times New Roman" w:hAnsi="Times New Roman" w:cs="Times New Roman"/>
          <w:sz w:val="24"/>
          <w:szCs w:val="24"/>
        </w:rPr>
        <w:t xml:space="preserve"> </w:t>
      </w:r>
      <w:r w:rsidRPr="00243D67">
        <w:rPr>
          <w:rFonts w:ascii="Times New Roman" w:hAnsi="Times New Roman" w:cs="Times New Roman"/>
          <w:sz w:val="24"/>
          <w:szCs w:val="24"/>
        </w:rPr>
        <w:t>However, for each successive year, the cap amount</w:t>
      </w:r>
      <w:r w:rsidR="00B262F6">
        <w:rPr>
          <w:rFonts w:ascii="Times New Roman" w:hAnsi="Times New Roman" w:cs="Times New Roman"/>
          <w:sz w:val="24"/>
          <w:szCs w:val="24"/>
        </w:rPr>
        <w:t xml:space="preserve"> increases by $1.00 per month. </w:t>
      </w:r>
      <w:r w:rsidRPr="00243D67">
        <w:rPr>
          <w:rFonts w:ascii="Times New Roman" w:hAnsi="Times New Roman" w:cs="Times New Roman"/>
          <w:sz w:val="24"/>
          <w:szCs w:val="24"/>
        </w:rPr>
        <w:t>Therefore, by the tenth year of the proposed ASRP, customers will pay an additional $10.00 pe</w:t>
      </w:r>
      <w:r w:rsidR="00B262F6">
        <w:rPr>
          <w:rFonts w:ascii="Times New Roman" w:hAnsi="Times New Roman" w:cs="Times New Roman"/>
          <w:sz w:val="24"/>
          <w:szCs w:val="24"/>
        </w:rPr>
        <w:t xml:space="preserve">r month (or $120.00 annually). </w:t>
      </w:r>
      <w:r w:rsidR="00E06D48">
        <w:rPr>
          <w:rFonts w:ascii="Times New Roman" w:hAnsi="Times New Roman" w:cs="Times New Roman"/>
          <w:sz w:val="24"/>
          <w:szCs w:val="24"/>
        </w:rPr>
        <w:t>This is a</w:t>
      </w:r>
      <w:r w:rsidRPr="00243D67">
        <w:rPr>
          <w:rFonts w:ascii="Times New Roman" w:hAnsi="Times New Roman" w:cs="Times New Roman"/>
          <w:sz w:val="24"/>
          <w:szCs w:val="24"/>
        </w:rPr>
        <w:t xml:space="preserve"> shocking 27.5 percent increase in monthly natural gas bills.</w:t>
      </w:r>
      <w:r w:rsidRPr="00243D67">
        <w:rPr>
          <w:rStyle w:val="FootnoteReference"/>
          <w:rFonts w:ascii="Times New Roman" w:hAnsi="Times New Roman" w:cs="Times New Roman"/>
          <w:sz w:val="24"/>
          <w:szCs w:val="24"/>
        </w:rPr>
        <w:footnoteReference w:id="90"/>
      </w:r>
      <w:r w:rsidR="00C328C9">
        <w:rPr>
          <w:rFonts w:ascii="Times New Roman" w:hAnsi="Times New Roman" w:cs="Times New Roman"/>
          <w:sz w:val="24"/>
          <w:szCs w:val="24"/>
        </w:rPr>
        <w:t xml:space="preserve"> </w:t>
      </w:r>
      <w:r w:rsidR="001A0CF2">
        <w:rPr>
          <w:rFonts w:ascii="Times New Roman" w:hAnsi="Times New Roman" w:cs="Times New Roman"/>
          <w:sz w:val="24"/>
          <w:szCs w:val="24"/>
        </w:rPr>
        <w:t xml:space="preserve">As explained by OCC </w:t>
      </w:r>
      <w:r w:rsidR="00E06D48">
        <w:rPr>
          <w:rFonts w:ascii="Times New Roman" w:hAnsi="Times New Roman" w:cs="Times New Roman"/>
          <w:sz w:val="24"/>
          <w:szCs w:val="24"/>
        </w:rPr>
        <w:t xml:space="preserve">witness Williams, </w:t>
      </w:r>
      <w:r w:rsidR="001A0CF2">
        <w:rPr>
          <w:rFonts w:ascii="Times New Roman" w:hAnsi="Times New Roman" w:cs="Times New Roman"/>
          <w:sz w:val="24"/>
          <w:szCs w:val="24"/>
        </w:rPr>
        <w:t>by the tenth year of the ASRP Duke customers would be paying at least $45.00 per month in fixed charges.</w:t>
      </w:r>
      <w:r w:rsidR="001A0CF2">
        <w:rPr>
          <w:rStyle w:val="FootnoteReference"/>
          <w:rFonts w:ascii="Times New Roman" w:hAnsi="Times New Roman" w:cs="Times New Roman"/>
          <w:sz w:val="24"/>
          <w:szCs w:val="24"/>
        </w:rPr>
        <w:footnoteReference w:id="91"/>
      </w:r>
      <w:r w:rsidR="00C328C9">
        <w:rPr>
          <w:rFonts w:ascii="Times New Roman" w:hAnsi="Times New Roman" w:cs="Times New Roman"/>
          <w:sz w:val="24"/>
          <w:szCs w:val="24"/>
        </w:rPr>
        <w:t xml:space="preserve"> </w:t>
      </w:r>
      <w:r>
        <w:rPr>
          <w:rFonts w:ascii="Times New Roman" w:hAnsi="Times New Roman" w:cs="Times New Roman"/>
          <w:sz w:val="24"/>
          <w:szCs w:val="24"/>
        </w:rPr>
        <w:t>Base rate cases would likely result in an outcome that is less costly for customers.</w:t>
      </w:r>
      <w:r w:rsidRPr="00243D67">
        <w:rPr>
          <w:rFonts w:ascii="Times New Roman" w:hAnsi="Times New Roman" w:cs="Times New Roman"/>
          <w:sz w:val="24"/>
          <w:szCs w:val="24"/>
        </w:rPr>
        <w:t xml:space="preserve">   </w:t>
      </w:r>
    </w:p>
    <w:p w:rsidR="00F83351" w:rsidRDefault="00F83351" w:rsidP="00E901DF">
      <w:pPr>
        <w:spacing w:after="0" w:line="240" w:lineRule="auto"/>
        <w:ind w:firstLine="720"/>
        <w:contextualSpacing/>
        <w:rPr>
          <w:rFonts w:ascii="Times New Roman" w:hAnsi="Times New Roman" w:cs="Times New Roman"/>
          <w:sz w:val="24"/>
          <w:szCs w:val="24"/>
        </w:rPr>
      </w:pPr>
      <w:r w:rsidRPr="00243D67">
        <w:rPr>
          <w:rFonts w:ascii="Times New Roman" w:hAnsi="Times New Roman" w:cs="Times New Roman"/>
          <w:sz w:val="24"/>
          <w:szCs w:val="24"/>
        </w:rPr>
        <w:t xml:space="preserve">   </w:t>
      </w:r>
    </w:p>
    <w:p w:rsidR="00712723" w:rsidRDefault="00925C99" w:rsidP="00925C99">
      <w:pPr>
        <w:pStyle w:val="Heading2"/>
        <w:ind w:left="0" w:firstLine="0"/>
      </w:pPr>
      <w:bookmarkStart w:id="11" w:name="_Toc438641588"/>
      <w:r>
        <w:t>III</w:t>
      </w:r>
      <w:r w:rsidR="00BD7D40">
        <w:t>.</w:t>
      </w:r>
      <w:r w:rsidR="00BD7D40">
        <w:tab/>
      </w:r>
      <w:r w:rsidR="00712723">
        <w:t>CONCLUSION</w:t>
      </w:r>
      <w:bookmarkEnd w:id="11"/>
    </w:p>
    <w:p w:rsidR="005779D6" w:rsidRPr="005779D6" w:rsidRDefault="005779D6" w:rsidP="00BD7D40">
      <w:pPr>
        <w:spacing w:after="0" w:line="480" w:lineRule="auto"/>
        <w:ind w:firstLine="720"/>
        <w:rPr>
          <w:rFonts w:ascii="Times New Roman" w:hAnsi="Times New Roman" w:cs="Times New Roman"/>
          <w:sz w:val="24"/>
          <w:szCs w:val="24"/>
        </w:rPr>
      </w:pPr>
      <w:r w:rsidRPr="005779D6">
        <w:rPr>
          <w:rFonts w:ascii="Times New Roman" w:hAnsi="Times New Roman" w:cs="Times New Roman"/>
          <w:sz w:val="24"/>
          <w:szCs w:val="24"/>
        </w:rPr>
        <w:t xml:space="preserve">Duke’s proposed $320 million ASRP is a bad deal for Ohio and </w:t>
      </w:r>
      <w:r w:rsidR="0098674C">
        <w:rPr>
          <w:rFonts w:ascii="Times New Roman" w:hAnsi="Times New Roman" w:cs="Times New Roman"/>
          <w:sz w:val="24"/>
          <w:szCs w:val="24"/>
        </w:rPr>
        <w:t>Duke’</w:t>
      </w:r>
      <w:r w:rsidRPr="005779D6">
        <w:rPr>
          <w:rFonts w:ascii="Times New Roman" w:hAnsi="Times New Roman" w:cs="Times New Roman"/>
          <w:sz w:val="24"/>
          <w:szCs w:val="24"/>
        </w:rPr>
        <w:t>s consumers. The ASRP seeks to replace service lines that are not an imminent safety threat, delivers very minimal benefit for consumers, and is not required by any law or regulation. Consequently, Duke has not carried its burden of showing that its proposed ASRP is just and reasonable and necessary to provide reliable</w:t>
      </w:r>
      <w:r w:rsidR="0070138C">
        <w:rPr>
          <w:rFonts w:ascii="Times New Roman" w:hAnsi="Times New Roman" w:cs="Times New Roman"/>
          <w:sz w:val="24"/>
          <w:szCs w:val="24"/>
        </w:rPr>
        <w:t xml:space="preserve">, </w:t>
      </w:r>
      <w:r w:rsidRPr="005779D6">
        <w:rPr>
          <w:rFonts w:ascii="Times New Roman" w:hAnsi="Times New Roman" w:cs="Times New Roman"/>
          <w:sz w:val="24"/>
          <w:szCs w:val="24"/>
        </w:rPr>
        <w:t xml:space="preserve">adequate </w:t>
      </w:r>
      <w:r w:rsidR="0070138C">
        <w:rPr>
          <w:rFonts w:ascii="Times New Roman" w:hAnsi="Times New Roman" w:cs="Times New Roman"/>
          <w:sz w:val="24"/>
          <w:szCs w:val="24"/>
        </w:rPr>
        <w:t xml:space="preserve">and reasonably priced </w:t>
      </w:r>
      <w:r w:rsidRPr="005779D6">
        <w:rPr>
          <w:rFonts w:ascii="Times New Roman" w:hAnsi="Times New Roman" w:cs="Times New Roman"/>
          <w:sz w:val="24"/>
          <w:szCs w:val="24"/>
        </w:rPr>
        <w:t>service to its customers.  The PUCO should not approve the program.</w:t>
      </w:r>
    </w:p>
    <w:p w:rsidR="005F0B81" w:rsidRDefault="001F687C" w:rsidP="001F68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F0B81" w:rsidRDefault="005F0B81">
      <w:pPr>
        <w:rPr>
          <w:rFonts w:ascii="Times New Roman" w:hAnsi="Times New Roman" w:cs="Times New Roman"/>
          <w:sz w:val="24"/>
          <w:szCs w:val="24"/>
        </w:rPr>
      </w:pPr>
      <w:r>
        <w:rPr>
          <w:rFonts w:ascii="Times New Roman" w:hAnsi="Times New Roman" w:cs="Times New Roman"/>
          <w:sz w:val="24"/>
          <w:szCs w:val="24"/>
        </w:rPr>
        <w:br w:type="page"/>
      </w:r>
    </w:p>
    <w:p w:rsidR="00912FA6" w:rsidRPr="00FC3028" w:rsidRDefault="005F0B81" w:rsidP="001F687C">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2FA6" w:rsidRPr="00FC3028">
        <w:rPr>
          <w:rFonts w:ascii="Times New Roman" w:hAnsi="Times New Roman" w:cs="Times New Roman"/>
          <w:sz w:val="24"/>
          <w:szCs w:val="24"/>
        </w:rPr>
        <w:t>Respectfully submitted,</w:t>
      </w:r>
    </w:p>
    <w:p w:rsidR="00912FA6" w:rsidRPr="00FC3028" w:rsidRDefault="00912FA6" w:rsidP="001F687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Bruce J. Weston (0016973)</w:t>
      </w:r>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Pr>
          <w:rFonts w:ascii="Times New Roman" w:hAnsi="Times New Roman" w:cs="Times New Roman"/>
          <w:sz w:val="24"/>
          <w:szCs w:val="24"/>
        </w:rPr>
        <w:t xml:space="preserve">OHIO </w:t>
      </w:r>
      <w:r w:rsidRPr="00FC3028">
        <w:rPr>
          <w:rFonts w:ascii="Times New Roman" w:hAnsi="Times New Roman" w:cs="Times New Roman"/>
          <w:sz w:val="24"/>
          <w:szCs w:val="24"/>
        </w:rPr>
        <w:t>CONSUMERS’ COUNSEL</w:t>
      </w:r>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p>
    <w:p w:rsidR="00912FA6" w:rsidRPr="00FC3028" w:rsidRDefault="00912FA6" w:rsidP="00912FA6">
      <w:pPr>
        <w:spacing w:after="0" w:line="240" w:lineRule="auto"/>
        <w:rPr>
          <w:rFonts w:ascii="Times New Roman" w:hAnsi="Times New Roman" w:cs="Times New Roman"/>
          <w:sz w:val="24"/>
          <w:szCs w:val="24"/>
          <w:u w:val="single"/>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u w:val="single"/>
        </w:rPr>
        <w:t xml:space="preserve">/s/ </w:t>
      </w:r>
      <w:r w:rsidRPr="00FC3028">
        <w:rPr>
          <w:rFonts w:ascii="Times New Roman" w:hAnsi="Times New Roman" w:cs="Times New Roman"/>
          <w:i/>
          <w:sz w:val="24"/>
          <w:szCs w:val="24"/>
          <w:u w:val="single"/>
        </w:rPr>
        <w:t>Kevin F. Moore</w:t>
      </w:r>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Kevin F. Moore (0089228)</w:t>
      </w:r>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Assistant Consumers’ Counsel</w:t>
      </w:r>
    </w:p>
    <w:p w:rsidR="00912FA6" w:rsidRPr="00FC3028" w:rsidRDefault="00912FA6" w:rsidP="00912FA6">
      <w:pPr>
        <w:spacing w:after="0" w:line="240" w:lineRule="auto"/>
        <w:rPr>
          <w:rFonts w:ascii="Times New Roman" w:hAnsi="Times New Roman" w:cs="Times New Roman"/>
          <w:sz w:val="24"/>
          <w:szCs w:val="24"/>
        </w:rPr>
      </w:pPr>
    </w:p>
    <w:p w:rsidR="00912FA6" w:rsidRPr="00FC3028" w:rsidRDefault="00912FA6" w:rsidP="00912FA6">
      <w:pPr>
        <w:spacing w:after="0" w:line="240" w:lineRule="auto"/>
        <w:rPr>
          <w:rFonts w:ascii="Times New Roman" w:hAnsi="Times New Roman" w:cs="Times New Roman"/>
          <w:b/>
          <w:sz w:val="24"/>
          <w:szCs w:val="24"/>
        </w:rPr>
      </w:pP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t>Office of the Ohio Consumers’ Counsel</w:t>
      </w:r>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10 W. Broad Street, Suite 1800</w:t>
      </w:r>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Columbus, Ohio 43215-3485</w:t>
      </w:r>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Telephone [Moore]: 614-466-2965</w:t>
      </w:r>
    </w:p>
    <w:p w:rsidR="00912FA6"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hyperlink r:id="rId14" w:history="1">
        <w:r w:rsidRPr="007A6828">
          <w:rPr>
            <w:rStyle w:val="Hyperlink"/>
            <w:rFonts w:ascii="Times New Roman" w:hAnsi="Times New Roman" w:cs="Times New Roman"/>
            <w:sz w:val="24"/>
            <w:szCs w:val="24"/>
          </w:rPr>
          <w:t>kevin.moore@occ.ohio.gov</w:t>
        </w:r>
      </w:hyperlink>
    </w:p>
    <w:p w:rsidR="00912FA6" w:rsidRPr="00FC3028" w:rsidRDefault="00912FA6" w:rsidP="00912FA6">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(will accept service via email)</w:t>
      </w:r>
    </w:p>
    <w:p w:rsidR="00912FA6" w:rsidRPr="00FC3028" w:rsidRDefault="00912FA6" w:rsidP="00912FA6">
      <w:pPr>
        <w:rPr>
          <w:rFonts w:ascii="Times New Roman" w:hAnsi="Times New Roman" w:cs="Times New Roman"/>
          <w:b/>
          <w:sz w:val="24"/>
          <w:szCs w:val="24"/>
        </w:rPr>
      </w:pPr>
      <w:r w:rsidRPr="00FC3028">
        <w:rPr>
          <w:rFonts w:ascii="Times New Roman" w:hAnsi="Times New Roman" w:cs="Times New Roman"/>
          <w:b/>
          <w:sz w:val="24"/>
          <w:szCs w:val="24"/>
        </w:rPr>
        <w:br w:type="page"/>
      </w:r>
    </w:p>
    <w:p w:rsidR="00912FA6" w:rsidRPr="00FC3028" w:rsidRDefault="00912FA6" w:rsidP="00912FA6">
      <w:pPr>
        <w:spacing w:after="0" w:line="480" w:lineRule="auto"/>
        <w:jc w:val="center"/>
        <w:rPr>
          <w:rFonts w:ascii="Times New Roman" w:hAnsi="Times New Roman" w:cs="Times New Roman"/>
          <w:b/>
          <w:sz w:val="24"/>
          <w:szCs w:val="24"/>
          <w:u w:val="single"/>
        </w:rPr>
      </w:pPr>
      <w:r w:rsidRPr="00FC3028">
        <w:rPr>
          <w:rFonts w:ascii="Times New Roman" w:hAnsi="Times New Roman" w:cs="Times New Roman"/>
          <w:b/>
          <w:sz w:val="24"/>
          <w:szCs w:val="24"/>
          <w:u w:val="single"/>
        </w:rPr>
        <w:lastRenderedPageBreak/>
        <w:t>CERTIFICATE OF SERVICE</w:t>
      </w:r>
    </w:p>
    <w:p w:rsidR="00912FA6" w:rsidRPr="00FC3028" w:rsidRDefault="00912FA6" w:rsidP="00912FA6">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I hereby certify that a copy of this </w:t>
      </w:r>
      <w:r w:rsidR="001F687C">
        <w:rPr>
          <w:rFonts w:ascii="Times New Roman" w:hAnsi="Times New Roman" w:cs="Times New Roman"/>
          <w:sz w:val="24"/>
          <w:szCs w:val="24"/>
        </w:rPr>
        <w:t xml:space="preserve">Reply </w:t>
      </w:r>
      <w:r w:rsidRPr="00FC3028">
        <w:rPr>
          <w:rFonts w:ascii="Times New Roman" w:hAnsi="Times New Roman" w:cs="Times New Roman"/>
          <w:sz w:val="24"/>
          <w:szCs w:val="24"/>
        </w:rPr>
        <w:t xml:space="preserve">Brief was served on the persons stated below via electronic transmission, this </w:t>
      </w:r>
      <w:r w:rsidR="00475887">
        <w:rPr>
          <w:rFonts w:ascii="Times New Roman" w:hAnsi="Times New Roman" w:cs="Times New Roman"/>
          <w:sz w:val="24"/>
          <w:szCs w:val="24"/>
        </w:rPr>
        <w:t>23</w:t>
      </w:r>
      <w:r w:rsidR="00475887" w:rsidRPr="00475887">
        <w:rPr>
          <w:rFonts w:ascii="Times New Roman" w:hAnsi="Times New Roman" w:cs="Times New Roman"/>
          <w:sz w:val="24"/>
          <w:szCs w:val="24"/>
          <w:vertAlign w:val="superscript"/>
        </w:rPr>
        <w:t>rd</w:t>
      </w:r>
      <w:r w:rsidR="00475887">
        <w:rPr>
          <w:rFonts w:ascii="Times New Roman" w:hAnsi="Times New Roman" w:cs="Times New Roman"/>
          <w:sz w:val="24"/>
          <w:szCs w:val="24"/>
        </w:rPr>
        <w:t xml:space="preserve"> </w:t>
      </w:r>
      <w:r w:rsidRPr="00FC3028">
        <w:rPr>
          <w:rFonts w:ascii="Times New Roman" w:hAnsi="Times New Roman" w:cs="Times New Roman"/>
          <w:sz w:val="24"/>
          <w:szCs w:val="24"/>
        </w:rPr>
        <w:t>day of December 2015.</w:t>
      </w:r>
    </w:p>
    <w:p w:rsidR="00912FA6" w:rsidRPr="00FC3028" w:rsidRDefault="00912FA6" w:rsidP="00912FA6">
      <w:pPr>
        <w:spacing w:after="0" w:line="240" w:lineRule="auto"/>
        <w:ind w:firstLine="720"/>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u w:val="single"/>
        </w:rPr>
        <w:t xml:space="preserve">/s/ </w:t>
      </w:r>
      <w:r w:rsidRPr="00FC3028">
        <w:rPr>
          <w:rFonts w:ascii="Times New Roman" w:hAnsi="Times New Roman" w:cs="Times New Roman"/>
          <w:i/>
          <w:sz w:val="24"/>
          <w:szCs w:val="24"/>
          <w:u w:val="single"/>
        </w:rPr>
        <w:t>Kevin F. Moore</w:t>
      </w:r>
      <w:r w:rsidRPr="00FC3028">
        <w:rPr>
          <w:rFonts w:ascii="Times New Roman" w:hAnsi="Times New Roman" w:cs="Times New Roman"/>
          <w:sz w:val="24"/>
          <w:szCs w:val="24"/>
        </w:rPr>
        <w:t>_______</w:t>
      </w:r>
    </w:p>
    <w:p w:rsidR="00912FA6" w:rsidRPr="00FC3028" w:rsidRDefault="00912FA6" w:rsidP="00912FA6">
      <w:pPr>
        <w:spacing w:after="0" w:line="240" w:lineRule="auto"/>
        <w:ind w:firstLine="720"/>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Kevin F. Moore</w:t>
      </w:r>
    </w:p>
    <w:p w:rsidR="00912FA6" w:rsidRPr="00FC3028" w:rsidRDefault="00912FA6" w:rsidP="00912FA6">
      <w:pPr>
        <w:spacing w:after="0" w:line="240" w:lineRule="auto"/>
        <w:ind w:firstLine="720"/>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Assistant Consumers’ Counsel</w:t>
      </w:r>
    </w:p>
    <w:p w:rsidR="00912FA6" w:rsidRPr="00FC3028" w:rsidRDefault="00912FA6" w:rsidP="00912FA6">
      <w:pPr>
        <w:pStyle w:val="ListParagraph"/>
        <w:spacing w:after="0" w:line="480" w:lineRule="auto"/>
        <w:rPr>
          <w:rFonts w:ascii="Times New Roman" w:hAnsi="Times New Roman" w:cs="Times New Roman"/>
          <w:b/>
          <w:sz w:val="24"/>
          <w:szCs w:val="24"/>
        </w:rPr>
      </w:pPr>
    </w:p>
    <w:p w:rsidR="00912FA6" w:rsidRPr="009066BD" w:rsidRDefault="00912FA6" w:rsidP="00912FA6">
      <w:pPr>
        <w:pStyle w:val="BodyText"/>
        <w:jc w:val="center"/>
        <w:rPr>
          <w:b/>
          <w:bCs/>
        </w:rPr>
      </w:pPr>
      <w:r w:rsidRPr="009066BD">
        <w:rPr>
          <w:b/>
          <w:bCs/>
        </w:rPr>
        <w:t>SERVICE LIST</w:t>
      </w:r>
    </w:p>
    <w:tbl>
      <w:tblPr>
        <w:tblW w:w="0" w:type="auto"/>
        <w:tblLook w:val="04A0" w:firstRow="1" w:lastRow="0" w:firstColumn="1" w:lastColumn="0" w:noHBand="0" w:noVBand="1"/>
      </w:tblPr>
      <w:tblGrid>
        <w:gridCol w:w="4428"/>
        <w:gridCol w:w="4428"/>
      </w:tblGrid>
      <w:tr w:rsidR="00912FA6" w:rsidRPr="00A24794" w:rsidTr="00647CF4">
        <w:tc>
          <w:tcPr>
            <w:tcW w:w="4428" w:type="dxa"/>
            <w:shd w:val="clear" w:color="auto" w:fill="auto"/>
          </w:tcPr>
          <w:p w:rsidR="00912FA6" w:rsidRPr="004A0947" w:rsidRDefault="00912FA6" w:rsidP="00647CF4">
            <w:pPr>
              <w:pStyle w:val="BodyText"/>
              <w:spacing w:after="0"/>
              <w:rPr>
                <w:bCs/>
              </w:rPr>
            </w:pPr>
          </w:p>
          <w:p w:rsidR="00912FA6" w:rsidRDefault="0034281C" w:rsidP="00647CF4">
            <w:pPr>
              <w:pStyle w:val="BodyText"/>
              <w:spacing w:after="0"/>
              <w:rPr>
                <w:rFonts w:eastAsia="Courier New"/>
                <w:bCs/>
              </w:rPr>
            </w:pPr>
            <w:hyperlink r:id="rId15" w:history="1">
              <w:r w:rsidR="00912FA6" w:rsidRPr="004915DD">
                <w:rPr>
                  <w:rStyle w:val="Hyperlink"/>
                  <w:rFonts w:eastAsia="Courier New"/>
                  <w:bCs/>
                </w:rPr>
                <w:t>Thomas.lindgren@puc.state.oh.us</w:t>
              </w:r>
            </w:hyperlink>
          </w:p>
          <w:p w:rsidR="00912FA6" w:rsidRDefault="0034281C" w:rsidP="00647CF4">
            <w:pPr>
              <w:pStyle w:val="BodyText"/>
              <w:spacing w:after="0"/>
              <w:rPr>
                <w:rFonts w:eastAsia="Courier New"/>
                <w:bCs/>
              </w:rPr>
            </w:pPr>
            <w:hyperlink r:id="rId16" w:history="1">
              <w:r w:rsidR="00912FA6" w:rsidRPr="004915DD">
                <w:rPr>
                  <w:rStyle w:val="Hyperlink"/>
                  <w:rFonts w:eastAsia="Courier New"/>
                  <w:bCs/>
                </w:rPr>
                <w:t>cmooney@ohiopartners.org</w:t>
              </w:r>
            </w:hyperlink>
          </w:p>
          <w:p w:rsidR="00912FA6" w:rsidRDefault="00912FA6" w:rsidP="00647CF4">
            <w:pPr>
              <w:pStyle w:val="BodyText"/>
              <w:spacing w:after="0"/>
              <w:rPr>
                <w:rFonts w:eastAsia="Courier New"/>
                <w:bCs/>
              </w:rPr>
            </w:pPr>
          </w:p>
          <w:p w:rsidR="00912FA6" w:rsidRPr="004A0947" w:rsidRDefault="00912FA6" w:rsidP="00647CF4">
            <w:pPr>
              <w:pStyle w:val="BodyText"/>
              <w:spacing w:after="0"/>
              <w:rPr>
                <w:bCs/>
              </w:rPr>
            </w:pPr>
          </w:p>
          <w:p w:rsidR="00912FA6" w:rsidRPr="004A0947" w:rsidRDefault="00912FA6" w:rsidP="00647CF4">
            <w:pPr>
              <w:pStyle w:val="BodyText"/>
              <w:spacing w:after="0"/>
              <w:rPr>
                <w:bCs/>
              </w:rPr>
            </w:pPr>
          </w:p>
          <w:p w:rsidR="00912FA6" w:rsidRPr="004A0947" w:rsidRDefault="00912FA6" w:rsidP="00647CF4">
            <w:pPr>
              <w:pStyle w:val="BodyText"/>
              <w:spacing w:after="0"/>
              <w:rPr>
                <w:bCs/>
              </w:rPr>
            </w:pPr>
          </w:p>
        </w:tc>
        <w:tc>
          <w:tcPr>
            <w:tcW w:w="4428" w:type="dxa"/>
            <w:shd w:val="clear" w:color="auto" w:fill="auto"/>
          </w:tcPr>
          <w:p w:rsidR="00912FA6" w:rsidRDefault="00912FA6" w:rsidP="00647CF4">
            <w:pPr>
              <w:pStyle w:val="BodyText"/>
              <w:spacing w:after="0"/>
            </w:pPr>
          </w:p>
          <w:p w:rsidR="00912FA6" w:rsidRDefault="0034281C" w:rsidP="00647CF4">
            <w:pPr>
              <w:pStyle w:val="BodyText"/>
              <w:spacing w:after="0"/>
              <w:rPr>
                <w:rFonts w:eastAsia="Courier New"/>
                <w:bCs/>
              </w:rPr>
            </w:pPr>
            <w:hyperlink r:id="rId17" w:history="1">
              <w:r w:rsidR="00912FA6" w:rsidRPr="004915DD">
                <w:rPr>
                  <w:rStyle w:val="Hyperlink"/>
                  <w:rFonts w:eastAsia="Courier New"/>
                  <w:bCs/>
                </w:rPr>
                <w:t>Amy.Spiller@duke-energy.com</w:t>
              </w:r>
            </w:hyperlink>
          </w:p>
          <w:p w:rsidR="00912FA6" w:rsidRDefault="0034281C" w:rsidP="00647CF4">
            <w:pPr>
              <w:pStyle w:val="BodyText"/>
              <w:spacing w:after="0"/>
              <w:rPr>
                <w:rFonts w:eastAsia="Courier New"/>
                <w:bCs/>
              </w:rPr>
            </w:pPr>
            <w:hyperlink r:id="rId18" w:history="1">
              <w:r w:rsidR="00912FA6" w:rsidRPr="004915DD">
                <w:rPr>
                  <w:rStyle w:val="Hyperlink"/>
                  <w:rFonts w:eastAsia="Courier New"/>
                  <w:bCs/>
                </w:rPr>
                <w:t>Jeanne.Kingery@duke-energy.com</w:t>
              </w:r>
            </w:hyperlink>
          </w:p>
          <w:p w:rsidR="00912FA6" w:rsidRDefault="00912FA6" w:rsidP="00647CF4">
            <w:pPr>
              <w:pStyle w:val="BodyText"/>
              <w:spacing w:after="0"/>
              <w:rPr>
                <w:rFonts w:eastAsia="Courier New"/>
                <w:bCs/>
              </w:rPr>
            </w:pPr>
          </w:p>
          <w:p w:rsidR="00912FA6" w:rsidRPr="004A0947" w:rsidRDefault="00912FA6" w:rsidP="00647CF4">
            <w:pPr>
              <w:pStyle w:val="BodyText"/>
              <w:rPr>
                <w:bCs/>
              </w:rPr>
            </w:pPr>
          </w:p>
          <w:p w:rsidR="00912FA6" w:rsidRPr="004A0947" w:rsidRDefault="00912FA6" w:rsidP="00647CF4">
            <w:pPr>
              <w:pStyle w:val="BodyText"/>
              <w:rPr>
                <w:bCs/>
              </w:rPr>
            </w:pPr>
          </w:p>
        </w:tc>
      </w:tr>
      <w:tr w:rsidR="00912FA6" w:rsidRPr="00A24794" w:rsidTr="00647CF4">
        <w:tc>
          <w:tcPr>
            <w:tcW w:w="4428" w:type="dxa"/>
            <w:shd w:val="clear" w:color="auto" w:fill="auto"/>
          </w:tcPr>
          <w:p w:rsidR="00912FA6" w:rsidRPr="004A0947" w:rsidRDefault="00912FA6" w:rsidP="00647CF4">
            <w:pPr>
              <w:pStyle w:val="BodyText"/>
              <w:spacing w:after="0"/>
              <w:rPr>
                <w:bCs/>
              </w:rPr>
            </w:pPr>
            <w:r w:rsidRPr="004A0947">
              <w:rPr>
                <w:bCs/>
              </w:rPr>
              <w:t>Attorney Examiner:</w:t>
            </w:r>
          </w:p>
          <w:p w:rsidR="00912FA6" w:rsidRPr="004A0947" w:rsidRDefault="00912FA6" w:rsidP="00647CF4">
            <w:pPr>
              <w:pStyle w:val="BodyText"/>
              <w:spacing w:after="0"/>
              <w:rPr>
                <w:bCs/>
              </w:rPr>
            </w:pPr>
          </w:p>
          <w:p w:rsidR="00912FA6" w:rsidRDefault="0034281C" w:rsidP="00647CF4">
            <w:pPr>
              <w:pStyle w:val="BodyText"/>
              <w:spacing w:after="0"/>
              <w:rPr>
                <w:rFonts w:eastAsia="Courier New"/>
                <w:bCs/>
              </w:rPr>
            </w:pPr>
            <w:hyperlink r:id="rId19" w:history="1">
              <w:r w:rsidR="00912FA6" w:rsidRPr="004915DD">
                <w:rPr>
                  <w:rStyle w:val="Hyperlink"/>
                  <w:rFonts w:eastAsia="Courier New"/>
                  <w:bCs/>
                </w:rPr>
                <w:t>Megan.addison@puc.state.oh.us</w:t>
              </w:r>
            </w:hyperlink>
          </w:p>
          <w:p w:rsidR="00912FA6" w:rsidRDefault="00912FA6" w:rsidP="00647CF4">
            <w:pPr>
              <w:pStyle w:val="BodyText"/>
              <w:spacing w:after="0"/>
              <w:rPr>
                <w:rFonts w:eastAsia="Courier New"/>
                <w:bCs/>
              </w:rPr>
            </w:pPr>
          </w:p>
          <w:p w:rsidR="00912FA6" w:rsidRPr="004A0947" w:rsidRDefault="00912FA6" w:rsidP="00647CF4">
            <w:pPr>
              <w:pStyle w:val="BodyText"/>
              <w:spacing w:after="0"/>
              <w:rPr>
                <w:bCs/>
              </w:rPr>
            </w:pPr>
          </w:p>
          <w:p w:rsidR="00912FA6" w:rsidRPr="004A0947" w:rsidRDefault="00912FA6" w:rsidP="00647CF4">
            <w:pPr>
              <w:pStyle w:val="BodyText"/>
              <w:spacing w:after="0"/>
              <w:rPr>
                <w:bCs/>
              </w:rPr>
            </w:pPr>
          </w:p>
          <w:p w:rsidR="00912FA6" w:rsidRPr="004A0947" w:rsidRDefault="00912FA6" w:rsidP="00647CF4">
            <w:pPr>
              <w:pStyle w:val="BodyText"/>
              <w:spacing w:after="0"/>
              <w:rPr>
                <w:bCs/>
              </w:rPr>
            </w:pPr>
          </w:p>
        </w:tc>
        <w:tc>
          <w:tcPr>
            <w:tcW w:w="4428" w:type="dxa"/>
            <w:shd w:val="clear" w:color="auto" w:fill="auto"/>
          </w:tcPr>
          <w:p w:rsidR="00912FA6" w:rsidRPr="004A0947" w:rsidRDefault="00912FA6" w:rsidP="00647CF4">
            <w:pPr>
              <w:pStyle w:val="BodyText"/>
              <w:rPr>
                <w:bCs/>
              </w:rPr>
            </w:pPr>
          </w:p>
        </w:tc>
      </w:tr>
    </w:tbl>
    <w:p w:rsidR="00912FA6" w:rsidRPr="00912FA6" w:rsidRDefault="00912FA6" w:rsidP="00912FA6">
      <w:pPr>
        <w:ind w:left="360"/>
        <w:rPr>
          <w:rFonts w:ascii="Times New Roman" w:hAnsi="Times New Roman" w:cs="Times New Roman"/>
          <w:b/>
          <w:sz w:val="24"/>
          <w:szCs w:val="24"/>
        </w:rPr>
      </w:pPr>
    </w:p>
    <w:sectPr w:rsidR="00912FA6" w:rsidRPr="00912FA6" w:rsidSect="003B3610">
      <w:head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1C" w:rsidRDefault="0034281C" w:rsidP="00236380">
      <w:pPr>
        <w:spacing w:after="0" w:line="240" w:lineRule="auto"/>
      </w:pPr>
      <w:r>
        <w:separator/>
      </w:r>
    </w:p>
  </w:endnote>
  <w:endnote w:type="continuationSeparator" w:id="0">
    <w:p w:rsidR="0034281C" w:rsidRDefault="0034281C" w:rsidP="0023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F4" w:rsidRDefault="00647CF4" w:rsidP="00647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7CF4" w:rsidRDefault="00647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40" w:rsidRDefault="00BD7D40">
    <w:pPr>
      <w:pStyle w:val="Footer"/>
      <w:jc w:val="center"/>
    </w:pPr>
  </w:p>
  <w:p w:rsidR="00BD7D40" w:rsidRDefault="00BD7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59844"/>
      <w:docPartObj>
        <w:docPartGallery w:val="Page Numbers (Bottom of Page)"/>
        <w:docPartUnique/>
      </w:docPartObj>
    </w:sdtPr>
    <w:sdtEndPr>
      <w:rPr>
        <w:noProof/>
        <w:sz w:val="24"/>
        <w:szCs w:val="24"/>
      </w:rPr>
    </w:sdtEndPr>
    <w:sdtContent>
      <w:p w:rsidR="00BD7D40" w:rsidRPr="00BD7D40" w:rsidRDefault="00BD7D40">
        <w:pPr>
          <w:pStyle w:val="Footer"/>
          <w:jc w:val="center"/>
          <w:rPr>
            <w:sz w:val="24"/>
            <w:szCs w:val="24"/>
          </w:rPr>
        </w:pPr>
        <w:r w:rsidRPr="00BD7D40">
          <w:rPr>
            <w:sz w:val="24"/>
            <w:szCs w:val="24"/>
          </w:rPr>
          <w:fldChar w:fldCharType="begin"/>
        </w:r>
        <w:r w:rsidRPr="00BD7D40">
          <w:rPr>
            <w:sz w:val="24"/>
            <w:szCs w:val="24"/>
          </w:rPr>
          <w:instrText xml:space="preserve"> PAGE   \* MERGEFORMAT </w:instrText>
        </w:r>
        <w:r w:rsidRPr="00BD7D40">
          <w:rPr>
            <w:sz w:val="24"/>
            <w:szCs w:val="24"/>
          </w:rPr>
          <w:fldChar w:fldCharType="separate"/>
        </w:r>
        <w:r w:rsidR="007D7384">
          <w:rPr>
            <w:noProof/>
            <w:sz w:val="24"/>
            <w:szCs w:val="24"/>
          </w:rPr>
          <w:t>17</w:t>
        </w:r>
        <w:r w:rsidRPr="00BD7D40">
          <w:rPr>
            <w:noProof/>
            <w:sz w:val="24"/>
            <w:szCs w:val="24"/>
          </w:rPr>
          <w:fldChar w:fldCharType="end"/>
        </w:r>
      </w:p>
    </w:sdtContent>
  </w:sdt>
  <w:p w:rsidR="00BD7D40" w:rsidRDefault="00BD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1C" w:rsidRDefault="0034281C" w:rsidP="00236380">
      <w:pPr>
        <w:spacing w:after="0" w:line="240" w:lineRule="auto"/>
      </w:pPr>
      <w:r>
        <w:separator/>
      </w:r>
    </w:p>
  </w:footnote>
  <w:footnote w:type="continuationSeparator" w:id="0">
    <w:p w:rsidR="0034281C" w:rsidRDefault="0034281C" w:rsidP="00236380">
      <w:pPr>
        <w:spacing w:after="0" w:line="240" w:lineRule="auto"/>
      </w:pPr>
      <w:r>
        <w:continuationSeparator/>
      </w:r>
    </w:p>
  </w:footnote>
  <w:footnote w:id="1">
    <w:p w:rsidR="00EB3EF8" w:rsidRPr="00BB1922" w:rsidRDefault="00EB3EF8" w:rsidP="003B3610">
      <w:pPr>
        <w:pStyle w:val="FootnoteText"/>
        <w:spacing w:after="120"/>
        <w:contextualSpacing/>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R.C. 4929.05.</w:t>
      </w:r>
    </w:p>
  </w:footnote>
  <w:footnote w:id="2">
    <w:p w:rsidR="00905821" w:rsidRPr="00BB1922" w:rsidRDefault="00905821" w:rsidP="00E901DF">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Initial Brief at 9.</w:t>
      </w:r>
    </w:p>
  </w:footnote>
  <w:footnote w:id="3">
    <w:p w:rsidR="00925C99" w:rsidRPr="00BB1922" w:rsidRDefault="00925C99" w:rsidP="00E901DF">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R.C. 4929.05(A)(2).</w:t>
      </w:r>
    </w:p>
  </w:footnote>
  <w:footnote w:id="4">
    <w:p w:rsidR="00925C99" w:rsidRPr="00BB1922" w:rsidRDefault="00925C99" w:rsidP="00E901DF">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R.C. 4929.02(A)(1).</w:t>
      </w:r>
    </w:p>
  </w:footnote>
  <w:footnote w:id="5">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Initial Brief at 20, 26.</w:t>
      </w:r>
    </w:p>
  </w:footnote>
  <w:footnote w:id="6">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21.</w:t>
      </w:r>
    </w:p>
  </w:footnote>
  <w:footnote w:id="7">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Ex. 12 at 24-29 (Williams Direct).</w:t>
      </w:r>
    </w:p>
  </w:footnote>
  <w:footnote w:id="8">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Ex. 12 at 24-29 (Williams Direct).</w:t>
      </w:r>
    </w:p>
  </w:footnote>
  <w:footnote w:id="9">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3-4 (It is important to note that in attempting to justify the U.S. DOT’s implementation of the DIMP regulations and issuance of the “Call to Action” Duke identified three gas pipeline leaks. However, none of these incidents occurred in Ohio and none even occurred on a service line).</w:t>
      </w:r>
    </w:p>
  </w:footnote>
  <w:footnote w:id="10">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10</w:t>
      </w:r>
      <w:r w:rsidR="00905821" w:rsidRPr="00BB1922">
        <w:rPr>
          <w:rFonts w:ascii="Times New Roman" w:hAnsi="Times New Roman" w:cs="Times New Roman"/>
        </w:rPr>
        <w:t>; Duke Ex. 6 at 4:3-5 (Hebbeler Direct)</w:t>
      </w:r>
      <w:r w:rsidRPr="00BB1922">
        <w:rPr>
          <w:rFonts w:ascii="Times New Roman" w:hAnsi="Times New Roman" w:cs="Times New Roman"/>
        </w:rPr>
        <w:t>.</w:t>
      </w:r>
    </w:p>
  </w:footnote>
  <w:footnote w:id="11">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w:t>
      </w:r>
      <w:r w:rsidR="00CC6F10" w:rsidRPr="00BB1922">
        <w:rPr>
          <w:rFonts w:ascii="Times New Roman" w:hAnsi="Times New Roman" w:cs="Times New Roman"/>
        </w:rPr>
        <w:t>, e.g.,</w:t>
      </w:r>
      <w:r w:rsidRPr="00BB1922">
        <w:rPr>
          <w:rFonts w:ascii="Times New Roman" w:hAnsi="Times New Roman" w:cs="Times New Roman"/>
        </w:rPr>
        <w:t xml:space="preserve"> Duke Ex. 6 at 4:3-5 (Hebbeler Direct).</w:t>
      </w:r>
    </w:p>
  </w:footnote>
  <w:footnote w:id="12">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922C86" w:rsidRPr="00BB1922">
        <w:rPr>
          <w:rFonts w:ascii="Times New Roman" w:hAnsi="Times New Roman" w:cs="Times New Roman"/>
        </w:rPr>
        <w:t xml:space="preserve"> See</w:t>
      </w:r>
      <w:r w:rsidRPr="00BB1922">
        <w:rPr>
          <w:rFonts w:ascii="Times New Roman" w:hAnsi="Times New Roman" w:cs="Times New Roman"/>
        </w:rPr>
        <w:t xml:space="preserve"> Staff Initial Brief at 4-5</w:t>
      </w:r>
      <w:r w:rsidR="00922C86" w:rsidRPr="00BB1922">
        <w:rPr>
          <w:rFonts w:ascii="Times New Roman" w:hAnsi="Times New Roman" w:cs="Times New Roman"/>
        </w:rPr>
        <w:t xml:space="preserve">, 8 (“As noted above, PHMSA’s regulations do not require distribution system operators to replace non-leaking services lines on an accelerated basis. Operators are merely required to develop and implement plans to mitigate known risks.”). </w:t>
      </w:r>
    </w:p>
  </w:footnote>
  <w:footnote w:id="13">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OPAE Initial Brief at 11-12</w:t>
      </w:r>
      <w:r w:rsidR="00922C86" w:rsidRPr="00BB1922">
        <w:rPr>
          <w:rFonts w:ascii="Times New Roman" w:hAnsi="Times New Roman" w:cs="Times New Roman"/>
        </w:rPr>
        <w:t xml:space="preserve">, 15 (“No law requires or supports an alternative rate plan for accelerated cost recovery </w:t>
      </w:r>
      <w:r w:rsidR="00E06D48">
        <w:rPr>
          <w:rFonts w:ascii="Times New Roman" w:hAnsi="Times New Roman" w:cs="Times New Roman"/>
        </w:rPr>
        <w:t xml:space="preserve">for </w:t>
      </w:r>
      <w:r w:rsidR="00922C86" w:rsidRPr="00BB1922">
        <w:rPr>
          <w:rFonts w:ascii="Times New Roman" w:hAnsi="Times New Roman" w:cs="Times New Roman"/>
        </w:rPr>
        <w:t>non-leaking, non-hazardous customer-owned service lines</w:t>
      </w:r>
      <w:r w:rsidRPr="00BB1922">
        <w:rPr>
          <w:rFonts w:ascii="Times New Roman" w:hAnsi="Times New Roman" w:cs="Times New Roman"/>
        </w:rPr>
        <w:t>.</w:t>
      </w:r>
      <w:r w:rsidR="00922C86" w:rsidRPr="00BB1922">
        <w:rPr>
          <w:rFonts w:ascii="Times New Roman" w:hAnsi="Times New Roman" w:cs="Times New Roman"/>
        </w:rPr>
        <w:t>”).</w:t>
      </w:r>
    </w:p>
  </w:footnote>
  <w:footnote w:id="14">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Ex. 2 (49 C.F.R. § 192 Subpart P).</w:t>
      </w:r>
    </w:p>
  </w:footnote>
  <w:footnote w:id="15">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OCC Ex. 2 at 3 (49 C.F.R.§ 192 Subpart P).</w:t>
      </w:r>
    </w:p>
  </w:footnote>
  <w:footnote w:id="16">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Tr. Vol. I at 161:10-13 (Hebbeler) (Duke witness Hebbeler testifying that Duke did not consider any other alternatives to the ASRP that would both contribute to improving system safety and comply with the DIMP regulations).</w:t>
      </w:r>
    </w:p>
  </w:footnote>
  <w:footnote w:id="17">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3-6.</w:t>
      </w:r>
    </w:p>
  </w:footnote>
  <w:footnote w:id="18">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Initial Brief at 15-16.</w:t>
      </w:r>
    </w:p>
  </w:footnote>
  <w:footnote w:id="19">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Initial Brief 5-6.</w:t>
      </w:r>
    </w:p>
  </w:footnote>
  <w:footnote w:id="20">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Initial Brief at 5</w:t>
      </w:r>
      <w:r w:rsidR="00FF317E" w:rsidRPr="00BB1922">
        <w:rPr>
          <w:rFonts w:ascii="Times New Roman" w:hAnsi="Times New Roman" w:cs="Times New Roman"/>
        </w:rPr>
        <w:t xml:space="preserve"> citing Duke Ex. 10 at 35 (emphasis added)</w:t>
      </w:r>
      <w:r w:rsidRPr="00BB1922">
        <w:rPr>
          <w:rFonts w:ascii="Times New Roman" w:hAnsi="Times New Roman" w:cs="Times New Roman"/>
        </w:rPr>
        <w:t>.</w:t>
      </w:r>
    </w:p>
  </w:footnote>
  <w:footnote w:id="21">
    <w:p w:rsidR="00925C99" w:rsidRPr="00BB1922" w:rsidRDefault="00925C99" w:rsidP="00925C99">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Tr. Vol. II at 221-222 (McGee).</w:t>
      </w:r>
    </w:p>
  </w:footnote>
  <w:footnote w:id="22">
    <w:p w:rsidR="00485732" w:rsidRPr="00BB1922" w:rsidRDefault="0048573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1B1570" w:rsidRPr="00BB1922">
        <w:rPr>
          <w:rFonts w:ascii="Times New Roman" w:hAnsi="Times New Roman" w:cs="Times New Roman"/>
        </w:rPr>
        <w:t xml:space="preserve">See </w:t>
      </w:r>
      <w:r w:rsidRPr="00BB1922">
        <w:rPr>
          <w:rFonts w:ascii="Times New Roman" w:hAnsi="Times New Roman" w:cs="Times New Roman"/>
        </w:rPr>
        <w:t>Duke Initial Brief at 12.</w:t>
      </w:r>
    </w:p>
  </w:footnote>
  <w:footnote w:id="23">
    <w:p w:rsidR="002F1722" w:rsidRPr="00BB1922" w:rsidRDefault="002F172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6.</w:t>
      </w:r>
    </w:p>
  </w:footnote>
  <w:footnote w:id="24">
    <w:p w:rsidR="0040258D" w:rsidRPr="00BB1922" w:rsidRDefault="0040258D"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Staff Initi</w:t>
      </w:r>
      <w:r w:rsidR="004C0E8D" w:rsidRPr="00BB1922">
        <w:rPr>
          <w:rFonts w:ascii="Times New Roman" w:hAnsi="Times New Roman" w:cs="Times New Roman"/>
        </w:rPr>
        <w:t>al Brief at 9-12</w:t>
      </w:r>
      <w:r w:rsidRPr="00BB1922">
        <w:rPr>
          <w:rFonts w:ascii="Times New Roman" w:hAnsi="Times New Roman" w:cs="Times New Roman"/>
        </w:rPr>
        <w:t>; See Staff Ex. 3 at 14 (Adkins Direct) (“Again, if measures to improve Duke’s overall system safety can be thought of as adding measureable increments of safety, then, in Staff’s opinion, Duke’s proposed ASRP will not move the safety needle very much. Moreover, the marginal safety gain as a result of the ASRP should also be considered in light of its $320 million over ten years price tag. In Staff’s opinion, the ASRP’s purported benefits do not outweigh the costs.”).</w:t>
      </w:r>
    </w:p>
  </w:footnote>
  <w:footnote w:id="25">
    <w:p w:rsidR="0040258D" w:rsidRPr="00BB1922" w:rsidRDefault="0040258D"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6C3EDD" w:rsidRPr="00BB1922">
        <w:rPr>
          <w:rFonts w:ascii="Times New Roman" w:hAnsi="Times New Roman" w:cs="Times New Roman"/>
        </w:rPr>
        <w:t xml:space="preserve"> See OPAE Initial Brief</w:t>
      </w:r>
      <w:r w:rsidR="002C7B70" w:rsidRPr="00BB1922">
        <w:rPr>
          <w:rFonts w:ascii="Times New Roman" w:hAnsi="Times New Roman" w:cs="Times New Roman"/>
        </w:rPr>
        <w:t xml:space="preserve"> at 4-11</w:t>
      </w:r>
      <w:r w:rsidR="001F687C" w:rsidRPr="00BB1922">
        <w:rPr>
          <w:rFonts w:ascii="Times New Roman" w:hAnsi="Times New Roman" w:cs="Times New Roman"/>
        </w:rPr>
        <w:t>.</w:t>
      </w:r>
    </w:p>
  </w:footnote>
  <w:footnote w:id="26">
    <w:p w:rsidR="002F1722" w:rsidRPr="00BB1922" w:rsidRDefault="002F172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423BD5" w:rsidRPr="00BB1922">
        <w:rPr>
          <w:rFonts w:ascii="Times New Roman" w:hAnsi="Times New Roman" w:cs="Times New Roman"/>
        </w:rPr>
        <w:t xml:space="preserve"> Tr. Vol. I at 69:22-70:3, 99:2-100:4</w:t>
      </w:r>
      <w:r w:rsidR="000F7926">
        <w:rPr>
          <w:rFonts w:ascii="Times New Roman" w:hAnsi="Times New Roman" w:cs="Times New Roman"/>
        </w:rPr>
        <w:t xml:space="preserve"> (Hill)</w:t>
      </w:r>
      <w:r w:rsidR="00423BD5" w:rsidRPr="00BB1922">
        <w:rPr>
          <w:rFonts w:ascii="Times New Roman" w:hAnsi="Times New Roman" w:cs="Times New Roman"/>
        </w:rPr>
        <w:t>.</w:t>
      </w:r>
    </w:p>
  </w:footnote>
  <w:footnote w:id="27">
    <w:p w:rsidR="00610B84" w:rsidRPr="00BB1922" w:rsidRDefault="00610B84"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16.</w:t>
      </w:r>
    </w:p>
  </w:footnote>
  <w:footnote w:id="28">
    <w:p w:rsidR="00610B84" w:rsidRPr="00BB1922" w:rsidRDefault="00610B84"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OCC Initial Brief at 36-37.</w:t>
      </w:r>
    </w:p>
  </w:footnote>
  <w:footnote w:id="29">
    <w:p w:rsidR="00CC6EE5" w:rsidRPr="00BB1922" w:rsidRDefault="00CC6EE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2-25.</w:t>
      </w:r>
    </w:p>
  </w:footnote>
  <w:footnote w:id="30">
    <w:p w:rsidR="00423BD5" w:rsidRPr="00BB1922" w:rsidRDefault="00423BD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Tr. Vol. III at 506 (Williams), Tr. Vol. I at 20, 23 (Whitlock), Tr. Vol. III at 542 (Adkins).</w:t>
      </w:r>
    </w:p>
  </w:footnote>
  <w:footnote w:id="31">
    <w:p w:rsidR="00485732" w:rsidRPr="00BB1922" w:rsidRDefault="0048573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Staff</w:t>
      </w:r>
      <w:r w:rsidR="00D93067" w:rsidRPr="00BB1922">
        <w:rPr>
          <w:rFonts w:ascii="Times New Roman" w:hAnsi="Times New Roman" w:cs="Times New Roman"/>
        </w:rPr>
        <w:t xml:space="preserve"> Initial Brief at 6 citing Tr. Vol. I a</w:t>
      </w:r>
      <w:r w:rsidRPr="00BB1922">
        <w:rPr>
          <w:rFonts w:ascii="Times New Roman" w:hAnsi="Times New Roman" w:cs="Times New Roman"/>
        </w:rPr>
        <w:t>t 21-22, 80-81</w:t>
      </w:r>
      <w:r w:rsidR="00D93067" w:rsidRPr="00BB1922">
        <w:rPr>
          <w:rFonts w:ascii="Times New Roman" w:hAnsi="Times New Roman" w:cs="Times New Roman"/>
        </w:rPr>
        <w:t xml:space="preserve"> (Whitlock)</w:t>
      </w:r>
      <w:r w:rsidRPr="00BB1922">
        <w:rPr>
          <w:rFonts w:ascii="Times New Roman" w:hAnsi="Times New Roman" w:cs="Times New Roman"/>
        </w:rPr>
        <w:t>.</w:t>
      </w:r>
    </w:p>
  </w:footnote>
  <w:footnote w:id="32">
    <w:p w:rsidR="00610B84" w:rsidRPr="00BB1922" w:rsidRDefault="00610B84"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OPAE Initial Brief at 6-7; Staff Initial Brief at 9-11.</w:t>
      </w:r>
    </w:p>
  </w:footnote>
  <w:footnote w:id="33">
    <w:p w:rsidR="00DB3661" w:rsidRPr="00BB1922" w:rsidRDefault="00DB366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2.</w:t>
      </w:r>
    </w:p>
  </w:footnote>
  <w:footnote w:id="34">
    <w:p w:rsidR="00CD5AE5" w:rsidRPr="00BB1922" w:rsidRDefault="00CD5AE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25.</w:t>
      </w:r>
    </w:p>
  </w:footnote>
  <w:footnote w:id="35">
    <w:p w:rsidR="00DB3661" w:rsidRPr="00BB1922" w:rsidRDefault="00DB366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Tr. Vol I at 92:9-12 (Hill).</w:t>
      </w:r>
    </w:p>
  </w:footnote>
  <w:footnote w:id="36">
    <w:p w:rsidR="00DB3661" w:rsidRPr="00BB1922" w:rsidRDefault="00DB366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C53E1B" w:rsidRPr="00BB1922">
        <w:rPr>
          <w:rFonts w:ascii="Times New Roman" w:hAnsi="Times New Roman" w:cs="Times New Roman"/>
        </w:rPr>
        <w:t>Staff DR-02-001</w:t>
      </w:r>
      <w:r w:rsidR="00CC1C97" w:rsidRPr="00BB1922">
        <w:rPr>
          <w:rFonts w:ascii="Times New Roman" w:hAnsi="Times New Roman" w:cs="Times New Roman"/>
        </w:rPr>
        <w:t xml:space="preserve"> </w:t>
      </w:r>
      <w:r w:rsidR="00C53E1B" w:rsidRPr="00BB1922">
        <w:rPr>
          <w:rFonts w:ascii="Times New Roman" w:hAnsi="Times New Roman" w:cs="Times New Roman"/>
        </w:rPr>
        <w:t>(This incident occurred in 1998 and reportedly resulted in an overnight stay at a hospital for a resident).</w:t>
      </w:r>
    </w:p>
  </w:footnote>
  <w:footnote w:id="37">
    <w:p w:rsidR="00F95702" w:rsidRPr="00BB1922" w:rsidRDefault="00F95702" w:rsidP="003B3610">
      <w:pPr>
        <w:pStyle w:val="FootnoteText"/>
        <w:spacing w:after="120"/>
        <w:rPr>
          <w:rFonts w:ascii="Times New Roman" w:hAnsi="Times New Roman" w:cs="Times New Roman"/>
          <w:bCs/>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Ex. 5 (49 C.F.R. § 193) (</w:t>
      </w:r>
      <w:r w:rsidRPr="00BB1922">
        <w:rPr>
          <w:rFonts w:ascii="Times New Roman" w:hAnsi="Times New Roman" w:cs="Times New Roman"/>
          <w:bCs/>
          <w:i/>
          <w:iCs/>
        </w:rPr>
        <w:t>Incident</w:t>
      </w:r>
      <w:r w:rsidRPr="00BB1922">
        <w:rPr>
          <w:rFonts w:ascii="Times New Roman" w:hAnsi="Times New Roman" w:cs="Times New Roman"/>
          <w:bCs/>
        </w:rPr>
        <w:t> means any of the following events:</w:t>
      </w:r>
    </w:p>
    <w:p w:rsidR="00F95702" w:rsidRPr="00BB1922" w:rsidRDefault="00F95702" w:rsidP="003B3610">
      <w:pPr>
        <w:pStyle w:val="FootnoteText"/>
        <w:spacing w:after="120"/>
        <w:ind w:left="720"/>
        <w:rPr>
          <w:rFonts w:ascii="Times New Roman" w:hAnsi="Times New Roman" w:cs="Times New Roman"/>
          <w:bCs/>
        </w:rPr>
      </w:pPr>
      <w:r w:rsidRPr="00BB1922">
        <w:rPr>
          <w:rFonts w:ascii="Times New Roman" w:hAnsi="Times New Roman" w:cs="Times New Roman"/>
          <w:bCs/>
        </w:rPr>
        <w:t>(1) An event that involves a release of gas from a pipeline, or of liquefied natural gas, liquefied petroleum gas, refrigerant gas, or gas from an LNG facility, and that results in one or more of the following consequences:</w:t>
      </w:r>
    </w:p>
    <w:p w:rsidR="00F95702" w:rsidRPr="00BB1922" w:rsidRDefault="00F95702" w:rsidP="003B3610">
      <w:pPr>
        <w:pStyle w:val="FootnoteText"/>
        <w:spacing w:after="120"/>
        <w:ind w:left="720" w:firstLine="720"/>
        <w:rPr>
          <w:rFonts w:ascii="Times New Roman" w:hAnsi="Times New Roman" w:cs="Times New Roman"/>
          <w:bCs/>
        </w:rPr>
      </w:pPr>
      <w:r w:rsidRPr="00BB1922">
        <w:rPr>
          <w:rFonts w:ascii="Times New Roman" w:hAnsi="Times New Roman" w:cs="Times New Roman"/>
          <w:bCs/>
        </w:rPr>
        <w:t>(i) A death, or personal injury necessitating in-patient hospitalization;</w:t>
      </w:r>
    </w:p>
    <w:p w:rsidR="00F95702" w:rsidRPr="00BB1922" w:rsidRDefault="00F95702" w:rsidP="003B3610">
      <w:pPr>
        <w:pStyle w:val="FootnoteText"/>
        <w:spacing w:after="120"/>
        <w:ind w:left="1440"/>
        <w:rPr>
          <w:rFonts w:ascii="Times New Roman" w:hAnsi="Times New Roman" w:cs="Times New Roman"/>
          <w:bCs/>
        </w:rPr>
      </w:pPr>
      <w:r w:rsidRPr="00BB1922">
        <w:rPr>
          <w:rFonts w:ascii="Times New Roman" w:hAnsi="Times New Roman" w:cs="Times New Roman"/>
          <w:bCs/>
        </w:rPr>
        <w:t>(ii) Estimated property damage of $50,000 or more, including loss to the operator and others, or both, but excluding cost of gas lost;</w:t>
      </w:r>
    </w:p>
    <w:p w:rsidR="00F95702" w:rsidRPr="00BB1922" w:rsidRDefault="00F95702" w:rsidP="003B3610">
      <w:pPr>
        <w:pStyle w:val="FootnoteText"/>
        <w:spacing w:after="120"/>
        <w:ind w:left="720" w:firstLine="720"/>
        <w:rPr>
          <w:rFonts w:ascii="Times New Roman" w:hAnsi="Times New Roman" w:cs="Times New Roman"/>
          <w:bCs/>
        </w:rPr>
      </w:pPr>
      <w:r w:rsidRPr="00BB1922">
        <w:rPr>
          <w:rFonts w:ascii="Times New Roman" w:hAnsi="Times New Roman" w:cs="Times New Roman"/>
          <w:bCs/>
        </w:rPr>
        <w:t>(iii) Unintentional estimated gas loss of three million cubic feet or more;</w:t>
      </w:r>
    </w:p>
    <w:p w:rsidR="00F95702" w:rsidRPr="00BB1922" w:rsidRDefault="00F95702" w:rsidP="003B3610">
      <w:pPr>
        <w:pStyle w:val="FootnoteText"/>
        <w:spacing w:after="120"/>
        <w:ind w:left="720"/>
        <w:rPr>
          <w:rFonts w:ascii="Times New Roman" w:hAnsi="Times New Roman" w:cs="Times New Roman"/>
          <w:bCs/>
        </w:rPr>
      </w:pPr>
      <w:r w:rsidRPr="00BB1922">
        <w:rPr>
          <w:rFonts w:ascii="Times New Roman" w:hAnsi="Times New Roman" w:cs="Times New Roman"/>
          <w:bCs/>
        </w:rPr>
        <w:t>(2) An event that results in an emergency shutdown of an LNG facility. Activation of an emergency shutdown system for reasons other than an actual emergency does not constitute an incident.</w:t>
      </w:r>
    </w:p>
    <w:p w:rsidR="00F95702" w:rsidRPr="00BB1922" w:rsidRDefault="00F95702" w:rsidP="00E901DF">
      <w:pPr>
        <w:pStyle w:val="FootnoteText"/>
        <w:spacing w:after="120"/>
        <w:ind w:left="720"/>
        <w:rPr>
          <w:rFonts w:ascii="Times New Roman" w:hAnsi="Times New Roman" w:cs="Times New Roman"/>
        </w:rPr>
      </w:pPr>
      <w:r w:rsidRPr="00BB1922">
        <w:rPr>
          <w:rFonts w:ascii="Times New Roman" w:hAnsi="Times New Roman" w:cs="Times New Roman"/>
          <w:bCs/>
        </w:rPr>
        <w:t>(3) An event that is significant in the judgment of the operator, even though it did not meet the criteria of paragraphs (1) or (2) of this definition).</w:t>
      </w:r>
    </w:p>
  </w:footnote>
  <w:footnote w:id="38">
    <w:p w:rsidR="00FC39A5" w:rsidRPr="00BB1922" w:rsidRDefault="00FC39A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Staff Initial Brief at 6.</w:t>
      </w:r>
    </w:p>
  </w:footnote>
  <w:footnote w:id="39">
    <w:p w:rsidR="00FC39A5" w:rsidRPr="00BB1922" w:rsidRDefault="00FC39A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Staff Initial Brief at 6.</w:t>
      </w:r>
    </w:p>
  </w:footnote>
  <w:footnote w:id="40">
    <w:p w:rsidR="00215FB8" w:rsidRPr="00BB1922" w:rsidRDefault="00215FB8"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FC39A5" w:rsidRPr="00BB1922">
        <w:rPr>
          <w:rFonts w:ascii="Times New Roman" w:hAnsi="Times New Roman" w:cs="Times New Roman"/>
        </w:rPr>
        <w:t xml:space="preserve"> Staff Initial Brief at 6-7</w:t>
      </w:r>
      <w:r w:rsidRPr="00BB1922">
        <w:rPr>
          <w:rFonts w:ascii="Times New Roman" w:hAnsi="Times New Roman" w:cs="Times New Roman"/>
        </w:rPr>
        <w:t>.</w:t>
      </w:r>
    </w:p>
  </w:footnote>
  <w:footnote w:id="41">
    <w:p w:rsidR="00DB3661" w:rsidRPr="00BB1922" w:rsidRDefault="00DB366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Initial Brief at 24-26.</w:t>
      </w:r>
    </w:p>
  </w:footnote>
  <w:footnote w:id="42">
    <w:p w:rsidR="00A116B9" w:rsidRPr="00BB1922" w:rsidRDefault="00A116B9">
      <w:pPr>
        <w:pStyle w:val="FootnoteText"/>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OCC Initial Brief at 25</w:t>
      </w:r>
      <w:r w:rsidR="006C4B72" w:rsidRPr="00BB1922">
        <w:rPr>
          <w:rFonts w:ascii="Times New Roman" w:hAnsi="Times New Roman" w:cs="Times New Roman"/>
        </w:rPr>
        <w:t xml:space="preserve"> citing U.S. Department of Transportation Pipeline and Hazardous Materials Safety Administration, Gas Distribution Integrity Management Program: Resources (Accessed on April 11, 2015), </w:t>
      </w:r>
      <w:hyperlink r:id="rId1" w:history="1">
        <w:r w:rsidR="006C4B72" w:rsidRPr="00BB1922">
          <w:rPr>
            <w:rStyle w:val="Hyperlink"/>
            <w:rFonts w:ascii="Times New Roman" w:hAnsi="Times New Roman" w:cs="Times New Roman"/>
          </w:rPr>
          <w:t>https://hip.phmsa.dot.gov/analyticsSOAP/saw.dll?PortalPages&amp;NQUser=PDM_WEB_USER&amp;NQPassword=Public_Web_User1&amp;PortalPath=/shared/PDM%20Public%20Website/_portal/GD%20IM%20Perf</w:t>
        </w:r>
      </w:hyperlink>
      <w:r w:rsidR="00E74025" w:rsidRPr="00BB1922">
        <w:rPr>
          <w:rFonts w:ascii="Times New Roman" w:hAnsi="Times New Roman" w:cs="Times New Roman"/>
        </w:rPr>
        <w:t xml:space="preserve"> </w:t>
      </w:r>
      <w:r w:rsidR="006C4B72" w:rsidRPr="00BB1922">
        <w:rPr>
          <w:rFonts w:ascii="Times New Roman" w:hAnsi="Times New Roman" w:cs="Times New Roman"/>
        </w:rPr>
        <w:t>(</w:t>
      </w:r>
      <w:r w:rsidRPr="00BB1922">
        <w:rPr>
          <w:rFonts w:ascii="Times New Roman" w:hAnsi="Times New Roman" w:cs="Times New Roman"/>
        </w:rPr>
        <w:t>OCC’s research discovered that in Ohio from 2005 to 2014 there were 217,336 corrosion-related distribution pipeline (main or service line) leaks, but only 4 incidents. Therefore, the probability of an incident is: 4</w:t>
      </w:r>
      <w:r w:rsidR="00E74025" w:rsidRPr="00BB1922">
        <w:rPr>
          <w:rFonts w:ascii="Times New Roman" w:hAnsi="Times New Roman" w:cs="Times New Roman"/>
        </w:rPr>
        <w:t xml:space="preserve"> </w:t>
      </w:r>
      <w:r w:rsidRPr="00BB1922">
        <w:rPr>
          <w:rFonts w:ascii="Times New Roman" w:hAnsi="Times New Roman" w:cs="Times New Roman"/>
        </w:rPr>
        <w:t>/</w:t>
      </w:r>
      <w:r w:rsidR="00E74025" w:rsidRPr="00BB1922">
        <w:rPr>
          <w:rFonts w:ascii="Times New Roman" w:hAnsi="Times New Roman" w:cs="Times New Roman"/>
        </w:rPr>
        <w:t xml:space="preserve"> </w:t>
      </w:r>
      <w:r w:rsidRPr="00BB1922">
        <w:rPr>
          <w:rFonts w:ascii="Times New Roman" w:hAnsi="Times New Roman" w:cs="Times New Roman"/>
        </w:rPr>
        <w:t>217,336</w:t>
      </w:r>
      <w:r w:rsidR="00E74025" w:rsidRPr="00BB1922">
        <w:rPr>
          <w:rFonts w:ascii="Times New Roman" w:hAnsi="Times New Roman" w:cs="Times New Roman"/>
        </w:rPr>
        <w:t xml:space="preserve"> </w:t>
      </w:r>
      <w:r w:rsidRPr="00BB1922">
        <w:rPr>
          <w:rFonts w:ascii="Times New Roman" w:hAnsi="Times New Roman" w:cs="Times New Roman"/>
        </w:rPr>
        <w:t>=</w:t>
      </w:r>
      <w:r w:rsidR="00E74025" w:rsidRPr="00BB1922">
        <w:rPr>
          <w:rFonts w:ascii="Times New Roman" w:hAnsi="Times New Roman" w:cs="Times New Roman"/>
        </w:rPr>
        <w:t xml:space="preserve"> </w:t>
      </w:r>
      <w:r w:rsidRPr="00BB1922">
        <w:rPr>
          <w:rFonts w:ascii="Times New Roman" w:hAnsi="Times New Roman" w:cs="Times New Roman"/>
        </w:rPr>
        <w:t>0.000018</w:t>
      </w:r>
      <w:r w:rsidR="00E74025" w:rsidRPr="00BB1922">
        <w:rPr>
          <w:rFonts w:ascii="Times New Roman" w:hAnsi="Times New Roman" w:cs="Times New Roman"/>
        </w:rPr>
        <w:t xml:space="preserve"> or 0.0018%</w:t>
      </w:r>
      <w:r w:rsidRPr="00BB1922">
        <w:rPr>
          <w:rFonts w:ascii="Times New Roman" w:hAnsi="Times New Roman" w:cs="Times New Roman"/>
        </w:rPr>
        <w:t>).</w:t>
      </w:r>
    </w:p>
    <w:p w:rsidR="00E74025" w:rsidRPr="00BB1922" w:rsidRDefault="00E74025">
      <w:pPr>
        <w:pStyle w:val="FootnoteText"/>
        <w:rPr>
          <w:rFonts w:ascii="Times New Roman" w:hAnsi="Times New Roman" w:cs="Times New Roman"/>
        </w:rPr>
      </w:pPr>
    </w:p>
  </w:footnote>
  <w:footnote w:id="43">
    <w:p w:rsidR="002A1264" w:rsidRPr="00BB1922" w:rsidRDefault="002A1264"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OCC Initial Brief at 26</w:t>
      </w:r>
      <w:r w:rsidR="006C4B72" w:rsidRPr="00BB1922">
        <w:rPr>
          <w:rFonts w:ascii="Times New Roman" w:hAnsi="Times New Roman" w:cs="Times New Roman"/>
        </w:rPr>
        <w:t xml:space="preserve"> citing U.S. Department of Transportation Pipeline and Hazardous Materials Safety Administration, Gas Distribution Integrity Management Program: Resources, Gas Distribution Leaks by Cause and Type (Accessed on April 20, 2015) </w:t>
      </w:r>
      <w:hyperlink r:id="rId2" w:history="1">
        <w:r w:rsidR="006C4B72" w:rsidRPr="00BB1922">
          <w:rPr>
            <w:rStyle w:val="Hyperlink"/>
            <w:rFonts w:ascii="Times New Roman" w:hAnsi="Times New Roman" w:cs="Times New Roman"/>
          </w:rPr>
          <w:t>https://hip.phmsa.dot.gov/analyticsSOAP/saw.dll?PortalPages</w:t>
        </w:r>
      </w:hyperlink>
      <w:r w:rsidR="00A116B9" w:rsidRPr="00BB1922">
        <w:rPr>
          <w:rFonts w:ascii="Times New Roman" w:hAnsi="Times New Roman" w:cs="Times New Roman"/>
        </w:rPr>
        <w:t xml:space="preserve"> (OCC’s research discovered that nationwide from 2005 to 2014 there were 1,330,393 corrosion-related distribution pipeline (main or service lines) leaks, but only 28 incidents. Therefore, the probability of an incident is: 28</w:t>
      </w:r>
      <w:r w:rsidR="00E74025" w:rsidRPr="00BB1922">
        <w:rPr>
          <w:rFonts w:ascii="Times New Roman" w:hAnsi="Times New Roman" w:cs="Times New Roman"/>
        </w:rPr>
        <w:t xml:space="preserve"> </w:t>
      </w:r>
      <w:r w:rsidR="00A116B9" w:rsidRPr="00BB1922">
        <w:rPr>
          <w:rFonts w:ascii="Times New Roman" w:hAnsi="Times New Roman" w:cs="Times New Roman"/>
        </w:rPr>
        <w:t>/</w:t>
      </w:r>
      <w:r w:rsidR="00E74025" w:rsidRPr="00BB1922">
        <w:rPr>
          <w:rFonts w:ascii="Times New Roman" w:hAnsi="Times New Roman" w:cs="Times New Roman"/>
        </w:rPr>
        <w:t xml:space="preserve"> </w:t>
      </w:r>
      <w:r w:rsidR="00A116B9" w:rsidRPr="00BB1922">
        <w:rPr>
          <w:rFonts w:ascii="Times New Roman" w:hAnsi="Times New Roman" w:cs="Times New Roman"/>
        </w:rPr>
        <w:t>1,330,393</w:t>
      </w:r>
      <w:r w:rsidR="00E74025" w:rsidRPr="00BB1922">
        <w:rPr>
          <w:rFonts w:ascii="Times New Roman" w:hAnsi="Times New Roman" w:cs="Times New Roman"/>
        </w:rPr>
        <w:t xml:space="preserve"> </w:t>
      </w:r>
      <w:r w:rsidR="00A116B9" w:rsidRPr="00BB1922">
        <w:rPr>
          <w:rFonts w:ascii="Times New Roman" w:hAnsi="Times New Roman" w:cs="Times New Roman"/>
        </w:rPr>
        <w:t>=</w:t>
      </w:r>
      <w:r w:rsidR="00E74025" w:rsidRPr="00BB1922">
        <w:rPr>
          <w:rFonts w:ascii="Times New Roman" w:hAnsi="Times New Roman" w:cs="Times New Roman"/>
        </w:rPr>
        <w:t xml:space="preserve"> </w:t>
      </w:r>
      <w:r w:rsidR="00A116B9" w:rsidRPr="00BB1922">
        <w:rPr>
          <w:rFonts w:ascii="Times New Roman" w:hAnsi="Times New Roman" w:cs="Times New Roman"/>
        </w:rPr>
        <w:t>0.000021</w:t>
      </w:r>
      <w:r w:rsidR="00E74025" w:rsidRPr="00BB1922">
        <w:rPr>
          <w:rFonts w:ascii="Times New Roman" w:hAnsi="Times New Roman" w:cs="Times New Roman"/>
        </w:rPr>
        <w:t xml:space="preserve"> or 0.0021 </w:t>
      </w:r>
      <w:r w:rsidR="00E06D48">
        <w:rPr>
          <w:rFonts w:ascii="Times New Roman" w:hAnsi="Times New Roman" w:cs="Times New Roman"/>
        </w:rPr>
        <w:t>%</w:t>
      </w:r>
      <w:r w:rsidR="00A116B9" w:rsidRPr="00BB1922">
        <w:rPr>
          <w:rFonts w:ascii="Times New Roman" w:hAnsi="Times New Roman" w:cs="Times New Roman"/>
        </w:rPr>
        <w:t>).</w:t>
      </w:r>
    </w:p>
  </w:footnote>
  <w:footnote w:id="44">
    <w:p w:rsidR="00C67B76" w:rsidRPr="00BB1922" w:rsidRDefault="00C67B76"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25</w:t>
      </w:r>
      <w:r w:rsidR="002A1264" w:rsidRPr="00BB1922">
        <w:rPr>
          <w:rFonts w:ascii="Times New Roman" w:hAnsi="Times New Roman" w:cs="Times New Roman"/>
        </w:rPr>
        <w:t xml:space="preserve"> citing Duke Ex. 10 at 2</w:t>
      </w:r>
      <w:r w:rsidR="00D93067" w:rsidRPr="00BB1922">
        <w:rPr>
          <w:rFonts w:ascii="Times New Roman" w:hAnsi="Times New Roman" w:cs="Times New Roman"/>
        </w:rPr>
        <w:t xml:space="preserve"> (McGee Direct Addendum)</w:t>
      </w:r>
      <w:r w:rsidR="002A1264" w:rsidRPr="00BB1922">
        <w:rPr>
          <w:rFonts w:ascii="Times New Roman" w:hAnsi="Times New Roman" w:cs="Times New Roman"/>
        </w:rPr>
        <w:t xml:space="preserve">; </w:t>
      </w:r>
      <w:r w:rsidR="002A1264" w:rsidRPr="00BB1922">
        <w:rPr>
          <w:rFonts w:ascii="Times New Roman" w:hAnsi="Times New Roman" w:cs="Times New Roman"/>
          <w:i/>
        </w:rPr>
        <w:t xml:space="preserve">In the Matter of the Application of Vectren Energy Delivery of Ohio, Inc., for Approval of an Alternative Rate Plan for Continuation of its Distribution Investment Rider, </w:t>
      </w:r>
      <w:r w:rsidR="002A1264" w:rsidRPr="00BB1922">
        <w:rPr>
          <w:rFonts w:ascii="Times New Roman" w:hAnsi="Times New Roman" w:cs="Times New Roman"/>
        </w:rPr>
        <w:t xml:space="preserve"> Case No. 13-151-GA-ALT, Opinion and Order, at 16 (February 19, 2014)</w:t>
      </w:r>
      <w:r w:rsidRPr="00BB1922">
        <w:rPr>
          <w:rFonts w:ascii="Times New Roman" w:hAnsi="Times New Roman" w:cs="Times New Roman"/>
        </w:rPr>
        <w:t>.</w:t>
      </w:r>
    </w:p>
  </w:footnote>
  <w:footnote w:id="45">
    <w:p w:rsidR="00523896" w:rsidRPr="00BB1922" w:rsidRDefault="00523896"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Initial Brief at 13.</w:t>
      </w:r>
    </w:p>
  </w:footnote>
  <w:footnote w:id="46">
    <w:p w:rsidR="00D447C4" w:rsidRPr="00BB1922" w:rsidRDefault="00D447C4"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13</w:t>
      </w:r>
      <w:r w:rsidR="005F405E" w:rsidRPr="00BB1922">
        <w:rPr>
          <w:rFonts w:ascii="Times New Roman" w:hAnsi="Times New Roman" w:cs="Times New Roman"/>
        </w:rPr>
        <w:t xml:space="preserve"> (citing Duke Ex. 9 at 5</w:t>
      </w:r>
      <w:r w:rsidR="00EE0E2D" w:rsidRPr="00BB1922">
        <w:rPr>
          <w:rFonts w:ascii="Times New Roman" w:hAnsi="Times New Roman" w:cs="Times New Roman"/>
        </w:rPr>
        <w:t xml:space="preserve"> (McGee Direct)</w:t>
      </w:r>
      <w:r w:rsidR="005F405E" w:rsidRPr="00BB1922">
        <w:rPr>
          <w:rFonts w:ascii="Times New Roman" w:hAnsi="Times New Roman" w:cs="Times New Roman"/>
        </w:rPr>
        <w:t>; See also Duke Ex. 4</w:t>
      </w:r>
      <w:r w:rsidR="00EE0E2D" w:rsidRPr="00BB1922">
        <w:rPr>
          <w:rFonts w:ascii="Times New Roman" w:hAnsi="Times New Roman" w:cs="Times New Roman"/>
        </w:rPr>
        <w:t xml:space="preserve"> (Duke responses to OCC INT Nos. 65, 66, 67, 68)</w:t>
      </w:r>
      <w:r w:rsidR="005F405E" w:rsidRPr="00BB1922">
        <w:rPr>
          <w:rFonts w:ascii="Times New Roman" w:hAnsi="Times New Roman" w:cs="Times New Roman"/>
        </w:rPr>
        <w:t>)</w:t>
      </w:r>
      <w:r w:rsidRPr="00BB1922">
        <w:rPr>
          <w:rFonts w:ascii="Times New Roman" w:hAnsi="Times New Roman" w:cs="Times New Roman"/>
        </w:rPr>
        <w:t>.</w:t>
      </w:r>
    </w:p>
  </w:footnote>
  <w:footnote w:id="47">
    <w:p w:rsidR="00DE6AB2" w:rsidRPr="00BB1922" w:rsidRDefault="00DE6AB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512C60" w:rsidRPr="00BB1922">
        <w:rPr>
          <w:rFonts w:ascii="Times New Roman" w:hAnsi="Times New Roman" w:cs="Times New Roman"/>
        </w:rPr>
        <w:t xml:space="preserve"> See Duke Ex. 9</w:t>
      </w:r>
      <w:r w:rsidRPr="00BB1922">
        <w:rPr>
          <w:rFonts w:ascii="Times New Roman" w:hAnsi="Times New Roman" w:cs="Times New Roman"/>
        </w:rPr>
        <w:t xml:space="preserve"> (McGee Direct).</w:t>
      </w:r>
    </w:p>
  </w:footnote>
  <w:footnote w:id="48">
    <w:p w:rsidR="00426168" w:rsidRPr="00BB1922" w:rsidRDefault="00426168"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e.g., Duke Ex. 10 at EAM-2 pg. 21 of 45 (McGee Direct) (showing a bar graph with the curb-to-meter and main-to-curb data compiled together).</w:t>
      </w:r>
    </w:p>
  </w:footnote>
  <w:footnote w:id="49">
    <w:p w:rsidR="001403BC" w:rsidRPr="00BB1922" w:rsidRDefault="001403BC"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Ex. 12 at 13-19 (Williams Direct).</w:t>
      </w:r>
    </w:p>
  </w:footnote>
  <w:footnote w:id="50">
    <w:p w:rsidR="000D755D" w:rsidRPr="00BB1922" w:rsidRDefault="000D755D"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OCC Ex. 12 at 14:</w:t>
      </w:r>
      <w:r w:rsidR="00171A3E" w:rsidRPr="00BB1922">
        <w:rPr>
          <w:rFonts w:ascii="Times New Roman" w:hAnsi="Times New Roman" w:cs="Times New Roman"/>
        </w:rPr>
        <w:t>19-15:1 (Williams Direct).</w:t>
      </w:r>
    </w:p>
  </w:footnote>
  <w:footnote w:id="51">
    <w:p w:rsidR="0080131B" w:rsidRPr="00BB1922" w:rsidRDefault="0080131B"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Ex. 12 at 15</w:t>
      </w:r>
      <w:r w:rsidR="005B5AB9" w:rsidRPr="00BB1922">
        <w:rPr>
          <w:rFonts w:ascii="Times New Roman" w:hAnsi="Times New Roman" w:cs="Times New Roman"/>
        </w:rPr>
        <w:t>:7-10 (Williams Direct)</w:t>
      </w:r>
      <w:r w:rsidR="00512C60" w:rsidRPr="00BB1922">
        <w:rPr>
          <w:rFonts w:ascii="Times New Roman" w:hAnsi="Times New Roman" w:cs="Times New Roman"/>
        </w:rPr>
        <w:t xml:space="preserve"> citing Duke Ex. 9 at EAM-2 pg., 20 of 45 (McGee Direct).</w:t>
      </w:r>
    </w:p>
  </w:footnote>
  <w:footnote w:id="52">
    <w:p w:rsidR="00512C60" w:rsidRPr="00BB1922" w:rsidRDefault="00512C60"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0F7926">
        <w:rPr>
          <w:rFonts w:ascii="Times New Roman" w:hAnsi="Times New Roman" w:cs="Times New Roman"/>
        </w:rPr>
        <w:t xml:space="preserve"> Duke Initial Brief at 13 n.</w:t>
      </w:r>
      <w:r w:rsidRPr="00BB1922">
        <w:rPr>
          <w:rFonts w:ascii="Times New Roman" w:hAnsi="Times New Roman" w:cs="Times New Roman"/>
        </w:rPr>
        <w:t>50.</w:t>
      </w:r>
    </w:p>
  </w:footnote>
  <w:footnote w:id="53">
    <w:p w:rsidR="008F4B9A" w:rsidRPr="00BB1922" w:rsidRDefault="008F4B9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Ex. 4 (Duke Response to OCC INT. Nos. 65, 66, 67, 68)</w:t>
      </w:r>
      <w:r w:rsidR="001F687C" w:rsidRPr="00BB1922">
        <w:rPr>
          <w:rFonts w:ascii="Times New Roman" w:hAnsi="Times New Roman" w:cs="Times New Roman"/>
        </w:rPr>
        <w:t>.</w:t>
      </w:r>
    </w:p>
  </w:footnote>
  <w:footnote w:id="54">
    <w:p w:rsidR="008F4B9A" w:rsidRPr="00BB1922" w:rsidRDefault="008F4B9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Ex. 4 (Duke Response to OCC INT. Nos. 65, 66, 67, 68)</w:t>
      </w:r>
      <w:r w:rsidR="001F687C" w:rsidRPr="00BB1922">
        <w:rPr>
          <w:rFonts w:ascii="Times New Roman" w:hAnsi="Times New Roman" w:cs="Times New Roman"/>
        </w:rPr>
        <w:t>.</w:t>
      </w:r>
    </w:p>
  </w:footnote>
  <w:footnote w:id="55">
    <w:p w:rsidR="008F4B9A" w:rsidRPr="00BB1922" w:rsidRDefault="008F4B9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Ex. 4 (Duke Response to OCC INT. Nos. 65, 66, 67, 68)</w:t>
      </w:r>
      <w:r w:rsidR="001F687C" w:rsidRPr="00BB1922">
        <w:rPr>
          <w:rFonts w:ascii="Times New Roman" w:hAnsi="Times New Roman" w:cs="Times New Roman"/>
        </w:rPr>
        <w:t>.</w:t>
      </w:r>
    </w:p>
  </w:footnote>
  <w:footnote w:id="56">
    <w:p w:rsidR="008F4B9A" w:rsidRPr="00BB1922" w:rsidRDefault="008F4B9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Ex. 4 (Duke Response to OCC INT. Nos. 65, 66, 67, 68)</w:t>
      </w:r>
      <w:r w:rsidR="001F687C" w:rsidRPr="00BB1922">
        <w:rPr>
          <w:rFonts w:ascii="Times New Roman" w:hAnsi="Times New Roman" w:cs="Times New Roman"/>
        </w:rPr>
        <w:t>.</w:t>
      </w:r>
    </w:p>
  </w:footnote>
  <w:footnote w:id="57">
    <w:p w:rsidR="008F4B9A" w:rsidRPr="00BB1922" w:rsidRDefault="008F4B9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Ex. 4 (Duke Response to OCC INT. Nos. 65, 66, 67, 68)</w:t>
      </w:r>
      <w:r w:rsidR="001F687C" w:rsidRPr="00BB1922">
        <w:rPr>
          <w:rFonts w:ascii="Times New Roman" w:hAnsi="Times New Roman" w:cs="Times New Roman"/>
        </w:rPr>
        <w:t>.</w:t>
      </w:r>
    </w:p>
  </w:footnote>
  <w:footnote w:id="58">
    <w:p w:rsidR="008C007A" w:rsidRPr="00BB1922" w:rsidRDefault="008C007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2012: 101/1473=0.0685; 2013: 172/2241=0.0767; 2014: 209/1776=0.1176.</w:t>
      </w:r>
    </w:p>
  </w:footnote>
  <w:footnote w:id="59">
    <w:p w:rsidR="008C007A" w:rsidRPr="00BB1922" w:rsidRDefault="008C007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1,776+2,398=4,174 (total amount of service line leaks in 2014).</w:t>
      </w:r>
    </w:p>
  </w:footnote>
  <w:footnote w:id="60">
    <w:p w:rsidR="008C007A" w:rsidRPr="00BB1922" w:rsidRDefault="008C007A"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Ex. 9 at EMA-3 at 9 of 45 (McGee Direct).</w:t>
      </w:r>
    </w:p>
  </w:footnote>
  <w:footnote w:id="61">
    <w:p w:rsidR="00945210" w:rsidRPr="00BB1922" w:rsidRDefault="00945210"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Initial Brief at 13-14.</w:t>
      </w:r>
    </w:p>
  </w:footnote>
  <w:footnote w:id="62">
    <w:p w:rsidR="00671DCE" w:rsidRPr="00BB1922" w:rsidRDefault="00671DCE"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Duke Initial Brief at 8 </w:t>
      </w:r>
      <w:r w:rsidRPr="00BB1922">
        <w:rPr>
          <w:rFonts w:ascii="Times New Roman" w:hAnsi="Times New Roman" w:cs="Times New Roman"/>
          <w:i/>
        </w:rPr>
        <w:t>citing In the Matter of the Application of Vectren Energy Delivery of Ohio, Inc., for Approval of an Alternative Rate Plan for Continuation of its Distribution Replacement Rider</w:t>
      </w:r>
      <w:r w:rsidRPr="00BB1922">
        <w:rPr>
          <w:rFonts w:ascii="Times New Roman" w:hAnsi="Times New Roman" w:cs="Times New Roman"/>
        </w:rPr>
        <w:t>, Case No. 13-1571-GA-ALT, Opinion and Order at 16 (February 19, 2014).</w:t>
      </w:r>
    </w:p>
  </w:footnote>
  <w:footnote w:id="63">
    <w:p w:rsidR="00AE4558" w:rsidRPr="00BB1922" w:rsidRDefault="00AE4558"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B80F1B" w:rsidRPr="00BB1922">
        <w:rPr>
          <w:rFonts w:ascii="Times New Roman" w:hAnsi="Times New Roman" w:cs="Times New Roman"/>
        </w:rPr>
        <w:t>See Duk</w:t>
      </w:r>
      <w:r w:rsidR="00EE0E2D" w:rsidRPr="00BB1922">
        <w:rPr>
          <w:rFonts w:ascii="Times New Roman" w:hAnsi="Times New Roman" w:cs="Times New Roman"/>
        </w:rPr>
        <w:t>e Initial Brief at 13;</w:t>
      </w:r>
      <w:r w:rsidR="00B80F1B" w:rsidRPr="00BB1922">
        <w:rPr>
          <w:rFonts w:ascii="Times New Roman" w:hAnsi="Times New Roman" w:cs="Times New Roman"/>
        </w:rPr>
        <w:t xml:space="preserve"> </w:t>
      </w:r>
      <w:r w:rsidR="00EE0E2D" w:rsidRPr="00BB1922">
        <w:rPr>
          <w:rFonts w:ascii="Times New Roman" w:hAnsi="Times New Roman" w:cs="Times New Roman"/>
        </w:rPr>
        <w:t>Duke Ex. 1</w:t>
      </w:r>
      <w:r w:rsidR="00B80F1B" w:rsidRPr="00BB1922">
        <w:rPr>
          <w:rFonts w:ascii="Times New Roman" w:hAnsi="Times New Roman" w:cs="Times New Roman"/>
        </w:rPr>
        <w:t xml:space="preserve"> at 6</w:t>
      </w:r>
      <w:r w:rsidR="00EE0E2D" w:rsidRPr="00BB1922">
        <w:rPr>
          <w:rFonts w:ascii="Times New Roman" w:hAnsi="Times New Roman" w:cs="Times New Roman"/>
        </w:rPr>
        <w:t xml:space="preserve"> (Application)</w:t>
      </w:r>
      <w:r w:rsidR="00B80F1B" w:rsidRPr="00BB1922">
        <w:rPr>
          <w:rFonts w:ascii="Times New Roman" w:hAnsi="Times New Roman" w:cs="Times New Roman"/>
        </w:rPr>
        <w:t>.</w:t>
      </w:r>
    </w:p>
  </w:footnote>
  <w:footnote w:id="64">
    <w:p w:rsidR="00AE4558" w:rsidRPr="00BB1922" w:rsidRDefault="00AE4558"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9C39F2" w:rsidRPr="00BB1922">
        <w:rPr>
          <w:rFonts w:ascii="Times New Roman" w:hAnsi="Times New Roman" w:cs="Times New Roman"/>
        </w:rPr>
        <w:t>See Duke Initial Brief at 13.</w:t>
      </w:r>
    </w:p>
  </w:footnote>
  <w:footnote w:id="65">
    <w:p w:rsidR="00AE4558" w:rsidRPr="00BB1922" w:rsidRDefault="00AE4558"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EE0E2D" w:rsidRPr="00BB1922">
        <w:rPr>
          <w:rFonts w:ascii="Times New Roman" w:hAnsi="Times New Roman" w:cs="Times New Roman"/>
        </w:rPr>
        <w:t>Duke Ex</w:t>
      </w:r>
      <w:r w:rsidR="00743EA4" w:rsidRPr="00BB1922">
        <w:rPr>
          <w:rFonts w:ascii="Times New Roman" w:hAnsi="Times New Roman" w:cs="Times New Roman"/>
        </w:rPr>
        <w:t>.</w:t>
      </w:r>
      <w:r w:rsidR="00EE0E2D" w:rsidRPr="00BB1922">
        <w:rPr>
          <w:rFonts w:ascii="Times New Roman" w:hAnsi="Times New Roman" w:cs="Times New Roman"/>
        </w:rPr>
        <w:t xml:space="preserve"> 4</w:t>
      </w:r>
      <w:r w:rsidR="009C39F2" w:rsidRPr="00BB1922">
        <w:rPr>
          <w:rFonts w:ascii="Times New Roman" w:hAnsi="Times New Roman" w:cs="Times New Roman"/>
        </w:rPr>
        <w:t xml:space="preserve"> </w:t>
      </w:r>
      <w:r w:rsidR="00EE0E2D" w:rsidRPr="00BB1922">
        <w:rPr>
          <w:rFonts w:ascii="Times New Roman" w:hAnsi="Times New Roman" w:cs="Times New Roman"/>
        </w:rPr>
        <w:t xml:space="preserve">(Duke response to OCC INT No. </w:t>
      </w:r>
      <w:r w:rsidR="009C39F2" w:rsidRPr="00BB1922">
        <w:rPr>
          <w:rFonts w:ascii="Times New Roman" w:hAnsi="Times New Roman" w:cs="Times New Roman"/>
        </w:rPr>
        <w:t>67</w:t>
      </w:r>
      <w:r w:rsidR="00EE0E2D" w:rsidRPr="00BB1922">
        <w:rPr>
          <w:rFonts w:ascii="Times New Roman" w:hAnsi="Times New Roman" w:cs="Times New Roman"/>
        </w:rPr>
        <w:t>)</w:t>
      </w:r>
      <w:r w:rsidRPr="00BB1922">
        <w:rPr>
          <w:rFonts w:ascii="Times New Roman" w:hAnsi="Times New Roman" w:cs="Times New Roman"/>
        </w:rPr>
        <w:t>.</w:t>
      </w:r>
    </w:p>
  </w:footnote>
  <w:footnote w:id="66">
    <w:p w:rsidR="00AE4558" w:rsidRPr="00BB1922" w:rsidRDefault="00AE4558"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2,</w:t>
      </w:r>
      <w:r w:rsidR="009C39F2" w:rsidRPr="00BB1922">
        <w:rPr>
          <w:rFonts w:ascii="Times New Roman" w:hAnsi="Times New Roman" w:cs="Times New Roman"/>
        </w:rPr>
        <w:t>8</w:t>
      </w:r>
      <w:r w:rsidRPr="00BB1922">
        <w:rPr>
          <w:rFonts w:ascii="Times New Roman" w:hAnsi="Times New Roman" w:cs="Times New Roman"/>
        </w:rPr>
        <w:t>00</w:t>
      </w:r>
      <w:r w:rsidR="008B7F25" w:rsidRPr="00BB1922">
        <w:rPr>
          <w:rFonts w:ascii="Times New Roman" w:hAnsi="Times New Roman" w:cs="Times New Roman"/>
        </w:rPr>
        <w:t xml:space="preserve"> (reactive)</w:t>
      </w:r>
      <w:r w:rsidRPr="00BB1922">
        <w:rPr>
          <w:rFonts w:ascii="Times New Roman" w:hAnsi="Times New Roman" w:cs="Times New Roman"/>
        </w:rPr>
        <w:t xml:space="preserve"> + 200</w:t>
      </w:r>
      <w:r w:rsidR="008B7F25" w:rsidRPr="00BB1922">
        <w:rPr>
          <w:rFonts w:ascii="Times New Roman" w:hAnsi="Times New Roman" w:cs="Times New Roman"/>
        </w:rPr>
        <w:t xml:space="preserve"> (proactive)</w:t>
      </w:r>
      <w:r w:rsidR="005F0B81">
        <w:rPr>
          <w:rFonts w:ascii="Times New Roman" w:hAnsi="Times New Roman" w:cs="Times New Roman"/>
        </w:rPr>
        <w:t xml:space="preserve"> </w:t>
      </w:r>
      <w:r w:rsidRPr="00BB1922">
        <w:rPr>
          <w:rFonts w:ascii="Times New Roman" w:hAnsi="Times New Roman" w:cs="Times New Roman"/>
        </w:rPr>
        <w:t>=</w:t>
      </w:r>
      <w:r w:rsidR="009C39F2" w:rsidRPr="00BB1922">
        <w:rPr>
          <w:rFonts w:ascii="Times New Roman" w:hAnsi="Times New Roman" w:cs="Times New Roman"/>
        </w:rPr>
        <w:t>3,000</w:t>
      </w:r>
      <w:r w:rsidR="000E0D8E">
        <w:rPr>
          <w:rFonts w:ascii="Times New Roman" w:hAnsi="Times New Roman" w:cs="Times New Roman"/>
        </w:rPr>
        <w:t xml:space="preserve"> (total amount of service lines replaced per year)</w:t>
      </w:r>
      <w:r w:rsidRPr="00BB1922">
        <w:rPr>
          <w:rFonts w:ascii="Times New Roman" w:hAnsi="Times New Roman" w:cs="Times New Roman"/>
        </w:rPr>
        <w:t>.</w:t>
      </w:r>
    </w:p>
  </w:footnote>
  <w:footnote w:id="67">
    <w:p w:rsidR="008B7F25" w:rsidRPr="00BB1922" w:rsidRDefault="008B7F2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EE0E2D" w:rsidRPr="00BB1922">
        <w:rPr>
          <w:rFonts w:ascii="Times New Roman" w:hAnsi="Times New Roman" w:cs="Times New Roman"/>
        </w:rPr>
        <w:t>Duke Ex. 1</w:t>
      </w:r>
      <w:r w:rsidR="009C39F2" w:rsidRPr="00BB1922">
        <w:rPr>
          <w:rFonts w:ascii="Times New Roman" w:hAnsi="Times New Roman" w:cs="Times New Roman"/>
        </w:rPr>
        <w:t xml:space="preserve"> at 6</w:t>
      </w:r>
      <w:r w:rsidR="00EE0E2D" w:rsidRPr="00BB1922">
        <w:rPr>
          <w:rFonts w:ascii="Times New Roman" w:hAnsi="Times New Roman" w:cs="Times New Roman"/>
        </w:rPr>
        <w:t xml:space="preserve"> (Application)</w:t>
      </w:r>
      <w:r w:rsidR="009C39F2" w:rsidRPr="00BB1922">
        <w:rPr>
          <w:rFonts w:ascii="Times New Roman" w:hAnsi="Times New Roman" w:cs="Times New Roman"/>
        </w:rPr>
        <w:t>.</w:t>
      </w:r>
    </w:p>
  </w:footnote>
  <w:footnote w:id="68">
    <w:p w:rsidR="008B7F25" w:rsidRPr="00BB1922" w:rsidRDefault="008B7F2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9C39F2" w:rsidRPr="00BB1922">
        <w:rPr>
          <w:rFonts w:ascii="Times New Roman" w:hAnsi="Times New Roman" w:cs="Times New Roman"/>
        </w:rPr>
        <w:t>Duke Initial Brief at 13.</w:t>
      </w:r>
    </w:p>
  </w:footnote>
  <w:footnote w:id="69">
    <w:p w:rsidR="00DB3661" w:rsidRPr="00BB1922" w:rsidRDefault="00DB366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Duke Initial Brief at 14.</w:t>
      </w:r>
    </w:p>
  </w:footnote>
  <w:footnote w:id="70">
    <w:p w:rsidR="00DB3661" w:rsidRPr="00BB1922" w:rsidRDefault="00DB366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58,000/5,000=11.6.</w:t>
      </w:r>
    </w:p>
  </w:footnote>
  <w:footnote w:id="71">
    <w:p w:rsidR="008B7F25" w:rsidRPr="00BB1922" w:rsidRDefault="008B7F25"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705033" w:rsidRPr="00BB1922">
        <w:rPr>
          <w:rFonts w:ascii="Times New Roman" w:hAnsi="Times New Roman" w:cs="Times New Roman"/>
        </w:rPr>
        <w:t>See OCC Ex. 3 (Ohio Adm. Code 4901:1-16-04).</w:t>
      </w:r>
    </w:p>
  </w:footnote>
  <w:footnote w:id="72">
    <w:p w:rsidR="00691F82" w:rsidRPr="00BB1922" w:rsidRDefault="00691F8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OCC Ex. 3 (Ohio Adm. Code 4901:1-16-04).</w:t>
      </w:r>
    </w:p>
  </w:footnote>
  <w:footnote w:id="73">
    <w:p w:rsidR="00691F82" w:rsidRPr="00BB1922" w:rsidRDefault="00691F8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Tr. Vol. I at 71:2-8 (Hill).</w:t>
      </w:r>
    </w:p>
  </w:footnote>
  <w:footnote w:id="74">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7A73D7" w:rsidRPr="00BB1922">
        <w:rPr>
          <w:rFonts w:ascii="Times New Roman" w:hAnsi="Times New Roman" w:cs="Times New Roman"/>
        </w:rPr>
        <w:t xml:space="preserve"> OCC Ex.</w:t>
      </w:r>
      <w:r w:rsidRPr="00BB1922">
        <w:rPr>
          <w:rFonts w:ascii="Times New Roman" w:hAnsi="Times New Roman" w:cs="Times New Roman"/>
        </w:rPr>
        <w:t xml:space="preserve"> 12</w:t>
      </w:r>
      <w:r w:rsidR="007A73D7" w:rsidRPr="00BB1922">
        <w:rPr>
          <w:rFonts w:ascii="Times New Roman" w:hAnsi="Times New Roman" w:cs="Times New Roman"/>
        </w:rPr>
        <w:t xml:space="preserve"> at 9</w:t>
      </w:r>
      <w:r w:rsidRPr="00BB1922">
        <w:rPr>
          <w:rFonts w:ascii="Times New Roman" w:hAnsi="Times New Roman" w:cs="Times New Roman"/>
        </w:rPr>
        <w:t xml:space="preserve"> (</w:t>
      </w:r>
      <w:r w:rsidR="007A73D7" w:rsidRPr="00BB1922">
        <w:rPr>
          <w:rFonts w:ascii="Times New Roman" w:hAnsi="Times New Roman" w:cs="Times New Roman"/>
        </w:rPr>
        <w:t>Williams Direct)</w:t>
      </w:r>
      <w:r w:rsidRPr="00BB1922">
        <w:rPr>
          <w:rFonts w:ascii="Times New Roman" w:hAnsi="Times New Roman" w:cs="Times New Roman"/>
        </w:rPr>
        <w:t xml:space="preserve">.  </w:t>
      </w:r>
    </w:p>
  </w:footnote>
  <w:footnote w:id="75">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OCC Ex</w:t>
      </w:r>
      <w:r w:rsidR="007A73D7" w:rsidRPr="00BB1922">
        <w:rPr>
          <w:rFonts w:ascii="Times New Roman" w:hAnsi="Times New Roman" w:cs="Times New Roman"/>
        </w:rPr>
        <w:t>.</w:t>
      </w:r>
      <w:r w:rsidRPr="00BB1922">
        <w:rPr>
          <w:rFonts w:ascii="Times New Roman" w:hAnsi="Times New Roman" w:cs="Times New Roman"/>
        </w:rPr>
        <w:t xml:space="preserve"> 12</w:t>
      </w:r>
      <w:r w:rsidR="007A73D7" w:rsidRPr="00BB1922">
        <w:rPr>
          <w:rFonts w:ascii="Times New Roman" w:hAnsi="Times New Roman" w:cs="Times New Roman"/>
        </w:rPr>
        <w:t xml:space="preserve"> at 9</w:t>
      </w:r>
      <w:r w:rsidRPr="00BB1922">
        <w:rPr>
          <w:rFonts w:ascii="Times New Roman" w:hAnsi="Times New Roman" w:cs="Times New Roman"/>
        </w:rPr>
        <w:t xml:space="preserve"> (</w:t>
      </w:r>
      <w:r w:rsidR="007A73D7" w:rsidRPr="00BB1922">
        <w:rPr>
          <w:rFonts w:ascii="Times New Roman" w:hAnsi="Times New Roman" w:cs="Times New Roman"/>
        </w:rPr>
        <w:t>Williams Direct)</w:t>
      </w:r>
      <w:r w:rsidRPr="00BB1922">
        <w:rPr>
          <w:rFonts w:ascii="Times New Roman" w:hAnsi="Times New Roman" w:cs="Times New Roman"/>
        </w:rPr>
        <w:t xml:space="preserve">.  </w:t>
      </w:r>
    </w:p>
  </w:footnote>
  <w:footnote w:id="76">
    <w:p w:rsidR="00691F82" w:rsidRPr="00BB1922" w:rsidRDefault="00691F8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See Staff Ex. 1 at 6-7 (Staff Report) (Staff states that continuing with and devoting additional resources towards increasing frequency of Duke’s leak surveys and repairing identified Grade 2 leaks on service lines more quickly would address the identified risks from the pre-1971 metallic service lines pursuant to Duke’s DIMP plan at considerably less cost per year than the ASRP).</w:t>
      </w:r>
    </w:p>
  </w:footnote>
  <w:footnote w:id="77">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9C39F2" w:rsidRPr="00BB1922">
        <w:rPr>
          <w:rFonts w:ascii="Times New Roman" w:hAnsi="Times New Roman" w:cs="Times New Roman"/>
        </w:rPr>
        <w:t xml:space="preserve">See Duke Initial </w:t>
      </w:r>
      <w:r w:rsidRPr="00BB1922">
        <w:rPr>
          <w:rFonts w:ascii="Times New Roman" w:hAnsi="Times New Roman" w:cs="Times New Roman"/>
        </w:rPr>
        <w:t>Brief at 14.</w:t>
      </w:r>
    </w:p>
  </w:footnote>
  <w:footnote w:id="78">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9C39F2" w:rsidRPr="00BB1922">
        <w:rPr>
          <w:rFonts w:ascii="Times New Roman" w:hAnsi="Times New Roman" w:cs="Times New Roman"/>
        </w:rPr>
        <w:t>See Duke Initial Brief</w:t>
      </w:r>
      <w:r w:rsidRPr="00BB1922">
        <w:rPr>
          <w:rFonts w:ascii="Times New Roman" w:hAnsi="Times New Roman" w:cs="Times New Roman"/>
        </w:rPr>
        <w:t xml:space="preserve"> at 19.</w:t>
      </w:r>
    </w:p>
  </w:footnote>
  <w:footnote w:id="79">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Pr="00BB1922">
        <w:rPr>
          <w:rFonts w:ascii="Times New Roman" w:hAnsi="Times New Roman" w:cs="Times New Roman"/>
          <w:i/>
          <w:color w:val="000000"/>
        </w:rPr>
        <w:t xml:space="preserve">In the </w:t>
      </w:r>
      <w:r w:rsidR="00492EFE" w:rsidRPr="00BB1922">
        <w:rPr>
          <w:rFonts w:ascii="Times New Roman" w:hAnsi="Times New Roman" w:cs="Times New Roman"/>
          <w:i/>
          <w:color w:val="000000"/>
        </w:rPr>
        <w:t>Matter of the A</w:t>
      </w:r>
      <w:r w:rsidRPr="00BB1922">
        <w:rPr>
          <w:rFonts w:ascii="Times New Roman" w:hAnsi="Times New Roman" w:cs="Times New Roman"/>
          <w:i/>
          <w:color w:val="000000"/>
        </w:rPr>
        <w:t>pplication of The Cincinnati Gas &amp; Electric Comp</w:t>
      </w:r>
      <w:r w:rsidR="00492EFE" w:rsidRPr="00BB1922">
        <w:rPr>
          <w:rFonts w:ascii="Times New Roman" w:hAnsi="Times New Roman" w:cs="Times New Roman"/>
          <w:i/>
          <w:color w:val="000000"/>
        </w:rPr>
        <w:t>any to Restructure and Unbundle Gas Rates, and for an Increase in Gas Rates in its Service T</w:t>
      </w:r>
      <w:r w:rsidRPr="00BB1922">
        <w:rPr>
          <w:rFonts w:ascii="Times New Roman" w:hAnsi="Times New Roman" w:cs="Times New Roman"/>
          <w:i/>
          <w:color w:val="000000"/>
        </w:rPr>
        <w:t>erritory</w:t>
      </w:r>
      <w:r w:rsidRPr="00BB1922">
        <w:rPr>
          <w:rFonts w:ascii="Times New Roman" w:hAnsi="Times New Roman" w:cs="Times New Roman"/>
          <w:color w:val="000000"/>
        </w:rPr>
        <w:t>, C</w:t>
      </w:r>
      <w:r w:rsidR="00E72866" w:rsidRPr="00BB1922">
        <w:rPr>
          <w:rFonts w:ascii="Times New Roman" w:hAnsi="Times New Roman" w:cs="Times New Roman"/>
          <w:color w:val="000000"/>
        </w:rPr>
        <w:t>ase 95-0656-GA-AIR, Application</w:t>
      </w:r>
      <w:r w:rsidRPr="00BB1922">
        <w:rPr>
          <w:rFonts w:ascii="Times New Roman" w:hAnsi="Times New Roman" w:cs="Times New Roman"/>
          <w:color w:val="000000"/>
        </w:rPr>
        <w:t xml:space="preserve"> </w:t>
      </w:r>
      <w:r w:rsidR="00E72866" w:rsidRPr="00BB1922">
        <w:rPr>
          <w:rFonts w:ascii="Times New Roman" w:hAnsi="Times New Roman" w:cs="Times New Roman"/>
          <w:color w:val="000000"/>
        </w:rPr>
        <w:t>(</w:t>
      </w:r>
      <w:r w:rsidRPr="00BB1922">
        <w:rPr>
          <w:rFonts w:ascii="Times New Roman" w:hAnsi="Times New Roman" w:cs="Times New Roman"/>
          <w:color w:val="000000"/>
        </w:rPr>
        <w:t>July 17, 1995</w:t>
      </w:r>
      <w:r w:rsidR="00E72866" w:rsidRPr="00BB1922">
        <w:rPr>
          <w:rFonts w:ascii="Times New Roman" w:hAnsi="Times New Roman" w:cs="Times New Roman"/>
          <w:color w:val="000000"/>
        </w:rPr>
        <w:t>)</w:t>
      </w:r>
      <w:r w:rsidRPr="00BB1922">
        <w:rPr>
          <w:rFonts w:ascii="Times New Roman" w:hAnsi="Times New Roman" w:cs="Times New Roman"/>
          <w:color w:val="000000"/>
        </w:rPr>
        <w:t xml:space="preserve">; </w:t>
      </w:r>
      <w:r w:rsidR="00492EFE" w:rsidRPr="00BB1922">
        <w:rPr>
          <w:rFonts w:ascii="Times New Roman" w:hAnsi="Times New Roman" w:cs="Times New Roman"/>
          <w:i/>
          <w:color w:val="000000"/>
        </w:rPr>
        <w:t>In the Matter of the A</w:t>
      </w:r>
      <w:r w:rsidRPr="00BB1922">
        <w:rPr>
          <w:rFonts w:ascii="Times New Roman" w:hAnsi="Times New Roman" w:cs="Times New Roman"/>
          <w:i/>
          <w:color w:val="000000"/>
        </w:rPr>
        <w:t>pplication of The Cincin</w:t>
      </w:r>
      <w:r w:rsidR="00492EFE" w:rsidRPr="00BB1922">
        <w:rPr>
          <w:rFonts w:ascii="Times New Roman" w:hAnsi="Times New Roman" w:cs="Times New Roman"/>
          <w:i/>
          <w:color w:val="000000"/>
        </w:rPr>
        <w:t>nati Gas &amp; Electric Company to Restructure and Unbundle G</w:t>
      </w:r>
      <w:r w:rsidRPr="00BB1922">
        <w:rPr>
          <w:rFonts w:ascii="Times New Roman" w:hAnsi="Times New Roman" w:cs="Times New Roman"/>
          <w:i/>
          <w:color w:val="000000"/>
        </w:rPr>
        <w:t>a</w:t>
      </w:r>
      <w:r w:rsidR="00492EFE" w:rsidRPr="00BB1922">
        <w:rPr>
          <w:rFonts w:ascii="Times New Roman" w:hAnsi="Times New Roman" w:cs="Times New Roman"/>
          <w:i/>
          <w:color w:val="000000"/>
        </w:rPr>
        <w:t>s Rates, and for an Increase in G</w:t>
      </w:r>
      <w:r w:rsidRPr="00BB1922">
        <w:rPr>
          <w:rFonts w:ascii="Times New Roman" w:hAnsi="Times New Roman" w:cs="Times New Roman"/>
          <w:i/>
          <w:color w:val="000000"/>
        </w:rPr>
        <w:t>as</w:t>
      </w:r>
      <w:r w:rsidR="00492EFE" w:rsidRPr="00BB1922">
        <w:rPr>
          <w:rFonts w:ascii="Times New Roman" w:hAnsi="Times New Roman" w:cs="Times New Roman"/>
          <w:i/>
          <w:color w:val="000000"/>
        </w:rPr>
        <w:t xml:space="preserve"> Rates in its S</w:t>
      </w:r>
      <w:r w:rsidR="009A3922" w:rsidRPr="00BB1922">
        <w:rPr>
          <w:rFonts w:ascii="Times New Roman" w:hAnsi="Times New Roman" w:cs="Times New Roman"/>
          <w:i/>
          <w:color w:val="000000"/>
        </w:rPr>
        <w:t>ervic</w:t>
      </w:r>
      <w:r w:rsidR="00492EFE" w:rsidRPr="00BB1922">
        <w:rPr>
          <w:rFonts w:ascii="Times New Roman" w:hAnsi="Times New Roman" w:cs="Times New Roman"/>
          <w:i/>
          <w:color w:val="000000"/>
        </w:rPr>
        <w:t>e T</w:t>
      </w:r>
      <w:r w:rsidR="009A3922" w:rsidRPr="00BB1922">
        <w:rPr>
          <w:rFonts w:ascii="Times New Roman" w:hAnsi="Times New Roman" w:cs="Times New Roman"/>
          <w:i/>
          <w:color w:val="000000"/>
        </w:rPr>
        <w:t>erritory</w:t>
      </w:r>
      <w:r w:rsidRPr="00BB1922">
        <w:rPr>
          <w:rFonts w:ascii="Times New Roman" w:hAnsi="Times New Roman" w:cs="Times New Roman"/>
          <w:i/>
          <w:color w:val="000000"/>
        </w:rPr>
        <w:t xml:space="preserve">, </w:t>
      </w:r>
      <w:r w:rsidRPr="00BB1922">
        <w:rPr>
          <w:rFonts w:ascii="Times New Roman" w:hAnsi="Times New Roman" w:cs="Times New Roman"/>
          <w:color w:val="000000"/>
        </w:rPr>
        <w:t xml:space="preserve">Case </w:t>
      </w:r>
      <w:r w:rsidR="00E72866" w:rsidRPr="00BB1922">
        <w:rPr>
          <w:rFonts w:ascii="Times New Roman" w:hAnsi="Times New Roman" w:cs="Times New Roman"/>
          <w:color w:val="000000"/>
        </w:rPr>
        <w:t>No. 01-1228-GA-AIR, Application</w:t>
      </w:r>
      <w:r w:rsidRPr="00BB1922">
        <w:rPr>
          <w:rFonts w:ascii="Times New Roman" w:hAnsi="Times New Roman" w:cs="Times New Roman"/>
          <w:color w:val="000000"/>
        </w:rPr>
        <w:t xml:space="preserve"> </w:t>
      </w:r>
      <w:r w:rsidR="00E72866" w:rsidRPr="00BB1922">
        <w:rPr>
          <w:rFonts w:ascii="Times New Roman" w:hAnsi="Times New Roman" w:cs="Times New Roman"/>
          <w:color w:val="000000"/>
        </w:rPr>
        <w:t>(</w:t>
      </w:r>
      <w:r w:rsidRPr="00BB1922">
        <w:rPr>
          <w:rFonts w:ascii="Times New Roman" w:hAnsi="Times New Roman" w:cs="Times New Roman"/>
          <w:color w:val="000000"/>
        </w:rPr>
        <w:t>May 23, 2001</w:t>
      </w:r>
      <w:r w:rsidR="00E72866" w:rsidRPr="00BB1922">
        <w:rPr>
          <w:rFonts w:ascii="Times New Roman" w:hAnsi="Times New Roman" w:cs="Times New Roman"/>
          <w:color w:val="000000"/>
        </w:rPr>
        <w:t>)</w:t>
      </w:r>
      <w:r w:rsidRPr="00BB1922">
        <w:rPr>
          <w:rFonts w:ascii="Times New Roman" w:hAnsi="Times New Roman" w:cs="Times New Roman"/>
          <w:i/>
          <w:color w:val="000000"/>
        </w:rPr>
        <w:t xml:space="preserve">; </w:t>
      </w:r>
      <w:r w:rsidR="00492EFE" w:rsidRPr="00BB1922">
        <w:rPr>
          <w:rFonts w:ascii="Times New Roman" w:hAnsi="Times New Roman" w:cs="Times New Roman"/>
          <w:i/>
          <w:color w:val="000000"/>
        </w:rPr>
        <w:t>In the Matter of the A</w:t>
      </w:r>
      <w:r w:rsidRPr="00BB1922">
        <w:rPr>
          <w:rFonts w:ascii="Times New Roman" w:hAnsi="Times New Roman" w:cs="Times New Roman"/>
          <w:i/>
          <w:color w:val="000000"/>
        </w:rPr>
        <w:t>pplication o</w:t>
      </w:r>
      <w:r w:rsidR="00492EFE" w:rsidRPr="00BB1922">
        <w:rPr>
          <w:rFonts w:ascii="Times New Roman" w:hAnsi="Times New Roman" w:cs="Times New Roman"/>
          <w:i/>
          <w:color w:val="000000"/>
        </w:rPr>
        <w:t>f Duke Energy Ohio Inc. for an Increase in Gas R</w:t>
      </w:r>
      <w:r w:rsidRPr="00BB1922">
        <w:rPr>
          <w:rFonts w:ascii="Times New Roman" w:hAnsi="Times New Roman" w:cs="Times New Roman"/>
          <w:i/>
          <w:color w:val="000000"/>
        </w:rPr>
        <w:t xml:space="preserve">ates., </w:t>
      </w:r>
      <w:r w:rsidRPr="00BB1922">
        <w:rPr>
          <w:rFonts w:ascii="Times New Roman" w:hAnsi="Times New Roman" w:cs="Times New Roman"/>
          <w:color w:val="000000"/>
        </w:rPr>
        <w:t xml:space="preserve">Case No. 07-0589-GA-AIR, Application </w:t>
      </w:r>
      <w:r w:rsidR="00E72866" w:rsidRPr="00BB1922">
        <w:rPr>
          <w:rFonts w:ascii="Times New Roman" w:hAnsi="Times New Roman" w:cs="Times New Roman"/>
          <w:color w:val="000000"/>
        </w:rPr>
        <w:t>(</w:t>
      </w:r>
      <w:r w:rsidRPr="00BB1922">
        <w:rPr>
          <w:rFonts w:ascii="Times New Roman" w:hAnsi="Times New Roman" w:cs="Times New Roman"/>
          <w:color w:val="000000"/>
        </w:rPr>
        <w:t>May 15, 2007</w:t>
      </w:r>
      <w:r w:rsidR="00E72866" w:rsidRPr="00BB1922">
        <w:rPr>
          <w:rFonts w:ascii="Times New Roman" w:hAnsi="Times New Roman" w:cs="Times New Roman"/>
          <w:color w:val="000000"/>
        </w:rPr>
        <w:t>)</w:t>
      </w:r>
      <w:r w:rsidRPr="00BB1922">
        <w:rPr>
          <w:rFonts w:ascii="Times New Roman" w:hAnsi="Times New Roman" w:cs="Times New Roman"/>
          <w:color w:val="000000"/>
        </w:rPr>
        <w:t xml:space="preserve">; </w:t>
      </w:r>
      <w:r w:rsidR="009A3922" w:rsidRPr="00BB1922">
        <w:rPr>
          <w:rFonts w:ascii="Times New Roman" w:hAnsi="Times New Roman" w:cs="Times New Roman"/>
          <w:i/>
          <w:color w:val="000000"/>
        </w:rPr>
        <w:t xml:space="preserve"> </w:t>
      </w:r>
      <w:r w:rsidRPr="00BB1922">
        <w:rPr>
          <w:rFonts w:ascii="Times New Roman" w:hAnsi="Times New Roman" w:cs="Times New Roman"/>
          <w:i/>
          <w:color w:val="000000"/>
        </w:rPr>
        <w:t>In the matter of the application of</w:t>
      </w:r>
      <w:r w:rsidR="00492EFE" w:rsidRPr="00BB1922">
        <w:rPr>
          <w:rFonts w:ascii="Times New Roman" w:hAnsi="Times New Roman" w:cs="Times New Roman"/>
          <w:i/>
          <w:color w:val="000000"/>
        </w:rPr>
        <w:t xml:space="preserve"> Duke Energy Ohio, Inc. for an Increase in Gas R</w:t>
      </w:r>
      <w:r w:rsidRPr="00BB1922">
        <w:rPr>
          <w:rFonts w:ascii="Times New Roman" w:hAnsi="Times New Roman" w:cs="Times New Roman"/>
          <w:i/>
          <w:color w:val="000000"/>
        </w:rPr>
        <w:t xml:space="preserve">ates., </w:t>
      </w:r>
      <w:r w:rsidRPr="00BB1922">
        <w:rPr>
          <w:rFonts w:ascii="Times New Roman" w:hAnsi="Times New Roman" w:cs="Times New Roman"/>
          <w:color w:val="000000"/>
        </w:rPr>
        <w:t xml:space="preserve">Case </w:t>
      </w:r>
      <w:r w:rsidR="00E72866" w:rsidRPr="00BB1922">
        <w:rPr>
          <w:rFonts w:ascii="Times New Roman" w:hAnsi="Times New Roman" w:cs="Times New Roman"/>
          <w:color w:val="000000"/>
        </w:rPr>
        <w:t>No. 12-1685-GA-AIR, Application</w:t>
      </w:r>
      <w:r w:rsidRPr="00BB1922">
        <w:rPr>
          <w:rFonts w:ascii="Times New Roman" w:hAnsi="Times New Roman" w:cs="Times New Roman"/>
          <w:color w:val="000000"/>
        </w:rPr>
        <w:t xml:space="preserve"> </w:t>
      </w:r>
      <w:r w:rsidR="00E72866" w:rsidRPr="00BB1922">
        <w:rPr>
          <w:rFonts w:ascii="Times New Roman" w:hAnsi="Times New Roman" w:cs="Times New Roman"/>
          <w:color w:val="000000"/>
        </w:rPr>
        <w:t>(</w:t>
      </w:r>
      <w:r w:rsidRPr="00BB1922">
        <w:rPr>
          <w:rFonts w:ascii="Times New Roman" w:hAnsi="Times New Roman" w:cs="Times New Roman"/>
          <w:color w:val="000000"/>
        </w:rPr>
        <w:t>June 7, 2012</w:t>
      </w:r>
      <w:r w:rsidR="00E72866" w:rsidRPr="00BB1922">
        <w:rPr>
          <w:rFonts w:ascii="Times New Roman" w:hAnsi="Times New Roman" w:cs="Times New Roman"/>
          <w:color w:val="000000"/>
        </w:rPr>
        <w:t>)</w:t>
      </w:r>
      <w:r w:rsidRPr="00BB1922">
        <w:rPr>
          <w:rFonts w:ascii="Times New Roman" w:hAnsi="Times New Roman" w:cs="Times New Roman"/>
          <w:i/>
          <w:color w:val="000000"/>
        </w:rPr>
        <w:t>.</w:t>
      </w:r>
    </w:p>
  </w:footnote>
  <w:footnote w:id="80">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0F073E" w:rsidRPr="00BB1922">
        <w:rPr>
          <w:rFonts w:ascii="Times New Roman" w:hAnsi="Times New Roman" w:cs="Times New Roman"/>
        </w:rPr>
        <w:t xml:space="preserve">See Duke Initial Brief </w:t>
      </w:r>
      <w:r w:rsidRPr="00BB1922">
        <w:rPr>
          <w:rFonts w:ascii="Times New Roman" w:hAnsi="Times New Roman" w:cs="Times New Roman"/>
        </w:rPr>
        <w:t xml:space="preserve">at 14.  </w:t>
      </w:r>
    </w:p>
  </w:footnote>
  <w:footnote w:id="81">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0F073E" w:rsidRPr="00BB1922">
        <w:rPr>
          <w:rFonts w:ascii="Times New Roman" w:hAnsi="Times New Roman" w:cs="Times New Roman"/>
        </w:rPr>
        <w:t>See Duke Initial Brief</w:t>
      </w:r>
      <w:r w:rsidRPr="00BB1922">
        <w:rPr>
          <w:rFonts w:ascii="Times New Roman" w:hAnsi="Times New Roman" w:cs="Times New Roman"/>
        </w:rPr>
        <w:t xml:space="preserve"> at 26. </w:t>
      </w:r>
    </w:p>
  </w:footnote>
  <w:footnote w:id="82">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7A73D7" w:rsidRPr="00BB1922">
        <w:rPr>
          <w:rFonts w:ascii="Times New Roman" w:hAnsi="Times New Roman" w:cs="Times New Roman"/>
        </w:rPr>
        <w:t xml:space="preserve"> OCC Ex.</w:t>
      </w:r>
      <w:r w:rsidRPr="00BB1922">
        <w:rPr>
          <w:rFonts w:ascii="Times New Roman" w:hAnsi="Times New Roman" w:cs="Times New Roman"/>
        </w:rPr>
        <w:t xml:space="preserve"> 12</w:t>
      </w:r>
      <w:r w:rsidR="007A73D7" w:rsidRPr="00BB1922">
        <w:rPr>
          <w:rFonts w:ascii="Times New Roman" w:hAnsi="Times New Roman" w:cs="Times New Roman"/>
        </w:rPr>
        <w:t xml:space="preserve"> at 28</w:t>
      </w:r>
      <w:r w:rsidRPr="00BB1922">
        <w:rPr>
          <w:rFonts w:ascii="Times New Roman" w:hAnsi="Times New Roman" w:cs="Times New Roman"/>
        </w:rPr>
        <w:t xml:space="preserve"> (Williams</w:t>
      </w:r>
      <w:r w:rsidR="007A73D7" w:rsidRPr="00BB1922">
        <w:rPr>
          <w:rFonts w:ascii="Times New Roman" w:hAnsi="Times New Roman" w:cs="Times New Roman"/>
        </w:rPr>
        <w:t xml:space="preserve"> Direct</w:t>
      </w:r>
      <w:r w:rsidRPr="00BB1922">
        <w:rPr>
          <w:rFonts w:ascii="Times New Roman" w:hAnsi="Times New Roman" w:cs="Times New Roman"/>
        </w:rPr>
        <w:t>).</w:t>
      </w:r>
    </w:p>
  </w:footnote>
  <w:footnote w:id="83">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1A0CF2" w:rsidRPr="00BB1922">
        <w:rPr>
          <w:rFonts w:ascii="Times New Roman" w:hAnsi="Times New Roman" w:cs="Times New Roman"/>
          <w:i/>
          <w:color w:val="000000"/>
        </w:rPr>
        <w:t xml:space="preserve">In the </w:t>
      </w:r>
      <w:r w:rsidR="007A73D7" w:rsidRPr="00BB1922">
        <w:rPr>
          <w:rFonts w:ascii="Times New Roman" w:hAnsi="Times New Roman" w:cs="Times New Roman"/>
          <w:i/>
          <w:color w:val="000000"/>
        </w:rPr>
        <w:t>M</w:t>
      </w:r>
      <w:r w:rsidR="001A0CF2" w:rsidRPr="00BB1922">
        <w:rPr>
          <w:rFonts w:ascii="Times New Roman" w:hAnsi="Times New Roman" w:cs="Times New Roman"/>
          <w:i/>
          <w:color w:val="000000"/>
        </w:rPr>
        <w:t xml:space="preserve">atter of the </w:t>
      </w:r>
      <w:r w:rsidR="007A73D7" w:rsidRPr="00BB1922">
        <w:rPr>
          <w:rFonts w:ascii="Times New Roman" w:hAnsi="Times New Roman" w:cs="Times New Roman"/>
          <w:i/>
          <w:color w:val="000000"/>
        </w:rPr>
        <w:t>A</w:t>
      </w:r>
      <w:r w:rsidR="001A0CF2" w:rsidRPr="00BB1922">
        <w:rPr>
          <w:rFonts w:ascii="Times New Roman" w:hAnsi="Times New Roman" w:cs="Times New Roman"/>
          <w:i/>
          <w:color w:val="000000"/>
        </w:rPr>
        <w:t xml:space="preserve">pplication of Duke Energy Ohio, Inc. for an Increase in Gas Rates., </w:t>
      </w:r>
      <w:r w:rsidR="001A0CF2" w:rsidRPr="00BB1922">
        <w:rPr>
          <w:rFonts w:ascii="Times New Roman" w:hAnsi="Times New Roman" w:cs="Times New Roman"/>
          <w:color w:val="000000"/>
        </w:rPr>
        <w:t>Case No. 12-1685-GA-AIR, Opinion and Order</w:t>
      </w:r>
      <w:r w:rsidR="007A73D7" w:rsidRPr="00BB1922">
        <w:rPr>
          <w:rFonts w:ascii="Times New Roman" w:hAnsi="Times New Roman" w:cs="Times New Roman"/>
          <w:color w:val="000000"/>
        </w:rPr>
        <w:t xml:space="preserve"> at 12 (November 13, 2013)</w:t>
      </w:r>
      <w:r w:rsidR="001A0CF2" w:rsidRPr="00BB1922">
        <w:rPr>
          <w:rFonts w:ascii="Times New Roman" w:hAnsi="Times New Roman" w:cs="Times New Roman"/>
          <w:color w:val="000000"/>
        </w:rPr>
        <w:t>.</w:t>
      </w:r>
    </w:p>
  </w:footnote>
  <w:footnote w:id="84">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E14C7E" w:rsidRPr="00BB1922">
        <w:rPr>
          <w:rFonts w:ascii="Times New Roman" w:hAnsi="Times New Roman" w:cs="Times New Roman"/>
        </w:rPr>
        <w:t xml:space="preserve"> OCC Ex.</w:t>
      </w:r>
      <w:r w:rsidRPr="00BB1922">
        <w:rPr>
          <w:rFonts w:ascii="Times New Roman" w:hAnsi="Times New Roman" w:cs="Times New Roman"/>
        </w:rPr>
        <w:t xml:space="preserve"> 12</w:t>
      </w:r>
      <w:r w:rsidR="00E14C7E" w:rsidRPr="00BB1922">
        <w:rPr>
          <w:rFonts w:ascii="Times New Roman" w:hAnsi="Times New Roman" w:cs="Times New Roman"/>
        </w:rPr>
        <w:t xml:space="preserve"> at 4</w:t>
      </w:r>
      <w:r w:rsidRPr="00BB1922">
        <w:rPr>
          <w:rFonts w:ascii="Times New Roman" w:hAnsi="Times New Roman" w:cs="Times New Roman"/>
        </w:rPr>
        <w:t xml:space="preserve"> (Williams</w:t>
      </w:r>
      <w:r w:rsidR="00E14C7E" w:rsidRPr="00BB1922">
        <w:rPr>
          <w:rFonts w:ascii="Times New Roman" w:hAnsi="Times New Roman" w:cs="Times New Roman"/>
        </w:rPr>
        <w:t xml:space="preserve"> Direct</w:t>
      </w:r>
      <w:r w:rsidRPr="00BB1922">
        <w:rPr>
          <w:rFonts w:ascii="Times New Roman" w:hAnsi="Times New Roman" w:cs="Times New Roman"/>
        </w:rPr>
        <w:t>).</w:t>
      </w:r>
    </w:p>
  </w:footnote>
  <w:footnote w:id="85">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00BB1922" w:rsidRPr="00BB1922">
        <w:rPr>
          <w:rFonts w:ascii="Times New Roman" w:hAnsi="Times New Roman" w:cs="Times New Roman"/>
        </w:rPr>
        <w:t xml:space="preserve"> R.C.</w:t>
      </w:r>
      <w:r w:rsidRPr="00BB1922">
        <w:rPr>
          <w:rFonts w:ascii="Times New Roman" w:hAnsi="Times New Roman" w:cs="Times New Roman"/>
        </w:rPr>
        <w:t xml:space="preserve"> 4909.15. </w:t>
      </w:r>
    </w:p>
  </w:footnote>
  <w:footnote w:id="86">
    <w:p w:rsidR="005B0FB8" w:rsidRPr="00BB1922" w:rsidRDefault="005B0FB8" w:rsidP="00E901DF">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Pr="00BB1922">
        <w:rPr>
          <w:rFonts w:ascii="Times New Roman" w:hAnsi="Times New Roman" w:cs="Times New Roman"/>
          <w:i/>
        </w:rPr>
        <w:t xml:space="preserve">In the Matter of the Application of Ohio Edison Company, The Cleveland Electric Illuminating Company and The Toledo Edison Company for Authority to Provide for a Standard Service Offer Pursuant to R.C. 4928.143 in the Form of an Electric Security Plan, </w:t>
      </w:r>
      <w:r w:rsidRPr="00BB1922">
        <w:rPr>
          <w:rFonts w:ascii="Times New Roman" w:hAnsi="Times New Roman" w:cs="Times New Roman"/>
        </w:rPr>
        <w:t>Case No. 14-1297-EL-SSO, Pre</w:t>
      </w:r>
      <w:r w:rsidR="00602639">
        <w:rPr>
          <w:rFonts w:ascii="Times New Roman" w:hAnsi="Times New Roman" w:cs="Times New Roman"/>
        </w:rPr>
        <w:t>-</w:t>
      </w:r>
      <w:r w:rsidRPr="00BB1922">
        <w:rPr>
          <w:rFonts w:ascii="Times New Roman" w:hAnsi="Times New Roman" w:cs="Times New Roman"/>
        </w:rPr>
        <w:t>filed Dir</w:t>
      </w:r>
      <w:r w:rsidR="00102A25">
        <w:rPr>
          <w:rFonts w:ascii="Times New Roman" w:hAnsi="Times New Roman" w:cs="Times New Roman"/>
        </w:rPr>
        <w:t>ect Testimony of Doris McCarter</w:t>
      </w:r>
      <w:r w:rsidRPr="00BB1922">
        <w:rPr>
          <w:rFonts w:ascii="Times New Roman" w:hAnsi="Times New Roman" w:cs="Times New Roman"/>
        </w:rPr>
        <w:t xml:space="preserve"> at 13:8-14 (September 18, 2015)</w:t>
      </w:r>
      <w:r w:rsidR="007D2D9E" w:rsidRPr="00BB1922">
        <w:rPr>
          <w:rFonts w:ascii="Times New Roman" w:hAnsi="Times New Roman" w:cs="Times New Roman"/>
        </w:rPr>
        <w:t xml:space="preserve"> (Staff witness McCarter recommending that the </w:t>
      </w:r>
      <w:r w:rsidR="00B759BA">
        <w:rPr>
          <w:rFonts w:ascii="Times New Roman" w:hAnsi="Times New Roman" w:cs="Times New Roman"/>
        </w:rPr>
        <w:t>PUCO</w:t>
      </w:r>
      <w:r w:rsidR="007D2D9E" w:rsidRPr="00BB1922">
        <w:rPr>
          <w:rFonts w:ascii="Times New Roman" w:hAnsi="Times New Roman" w:cs="Times New Roman"/>
        </w:rPr>
        <w:t xml:space="preserve"> require </w:t>
      </w:r>
      <w:r w:rsidR="00604C3D" w:rsidRPr="00BB1922">
        <w:rPr>
          <w:rFonts w:ascii="Times New Roman" w:hAnsi="Times New Roman" w:cs="Times New Roman"/>
        </w:rPr>
        <w:t xml:space="preserve">Ohio Edison Company, The Cleveland Electric Illuminating Company and The Toledo Edison Company to file a rate case no later than 12 months before expiration of </w:t>
      </w:r>
      <w:r w:rsidR="00B759BA">
        <w:rPr>
          <w:rFonts w:ascii="Times New Roman" w:hAnsi="Times New Roman" w:cs="Times New Roman"/>
        </w:rPr>
        <w:t>its</w:t>
      </w:r>
      <w:r w:rsidR="00604C3D" w:rsidRPr="00BB1922">
        <w:rPr>
          <w:rFonts w:ascii="Times New Roman" w:hAnsi="Times New Roman" w:cs="Times New Roman"/>
        </w:rPr>
        <w:t xml:space="preserve"> proposed Electric Security Plan IV).</w:t>
      </w:r>
    </w:p>
  </w:footnote>
  <w:footnote w:id="87">
    <w:p w:rsidR="00913BD9" w:rsidRPr="00BB1922" w:rsidRDefault="00913BD9" w:rsidP="00E901DF">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F92E70" w:rsidRPr="00BB1922">
        <w:rPr>
          <w:rFonts w:ascii="Times New Roman" w:hAnsi="Times New Roman" w:cs="Times New Roman"/>
        </w:rPr>
        <w:t xml:space="preserve">See </w:t>
      </w:r>
      <w:r w:rsidR="00E42E0E" w:rsidRPr="00BB1922">
        <w:rPr>
          <w:rFonts w:ascii="Times New Roman" w:hAnsi="Times New Roman" w:cs="Times New Roman"/>
        </w:rPr>
        <w:t>OCC Ex.</w:t>
      </w:r>
      <w:r w:rsidRPr="00BB1922">
        <w:rPr>
          <w:rFonts w:ascii="Times New Roman" w:hAnsi="Times New Roman" w:cs="Times New Roman"/>
        </w:rPr>
        <w:t xml:space="preserve"> 12</w:t>
      </w:r>
      <w:r w:rsidR="00F92E70" w:rsidRPr="00BB1922">
        <w:rPr>
          <w:rFonts w:ascii="Times New Roman" w:hAnsi="Times New Roman" w:cs="Times New Roman"/>
        </w:rPr>
        <w:t xml:space="preserve"> at 9-10</w:t>
      </w:r>
      <w:r w:rsidRPr="00BB1922">
        <w:rPr>
          <w:rFonts w:ascii="Times New Roman" w:hAnsi="Times New Roman" w:cs="Times New Roman"/>
        </w:rPr>
        <w:t xml:space="preserve"> (Williams</w:t>
      </w:r>
      <w:r w:rsidR="00F92E70" w:rsidRPr="00BB1922">
        <w:rPr>
          <w:rFonts w:ascii="Times New Roman" w:hAnsi="Times New Roman" w:cs="Times New Roman"/>
        </w:rPr>
        <w:t xml:space="preserve"> Direct).</w:t>
      </w:r>
    </w:p>
  </w:footnote>
  <w:footnote w:id="88">
    <w:p w:rsidR="00913BD9" w:rsidRPr="00BB1922" w:rsidRDefault="00913BD9" w:rsidP="00E901DF">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F92E70" w:rsidRPr="00BB1922">
        <w:rPr>
          <w:rFonts w:ascii="Times New Roman" w:hAnsi="Times New Roman" w:cs="Times New Roman"/>
        </w:rPr>
        <w:t xml:space="preserve">See </w:t>
      </w:r>
      <w:r w:rsidR="00E42E0E" w:rsidRPr="00BB1922">
        <w:rPr>
          <w:rFonts w:ascii="Times New Roman" w:hAnsi="Times New Roman" w:cs="Times New Roman"/>
        </w:rPr>
        <w:t>OCC Ex.</w:t>
      </w:r>
      <w:r w:rsidR="00B262F6" w:rsidRPr="00BB1922">
        <w:rPr>
          <w:rFonts w:ascii="Times New Roman" w:hAnsi="Times New Roman" w:cs="Times New Roman"/>
        </w:rPr>
        <w:t xml:space="preserve"> 12 (Williams</w:t>
      </w:r>
      <w:r w:rsidR="00F92E70" w:rsidRPr="00BB1922">
        <w:rPr>
          <w:rFonts w:ascii="Times New Roman" w:hAnsi="Times New Roman" w:cs="Times New Roman"/>
        </w:rPr>
        <w:t xml:space="preserve"> Direct</w:t>
      </w:r>
      <w:r w:rsidR="00B262F6" w:rsidRPr="00BB1922">
        <w:rPr>
          <w:rFonts w:ascii="Times New Roman" w:hAnsi="Times New Roman" w:cs="Times New Roman"/>
        </w:rPr>
        <w:t>)</w:t>
      </w:r>
      <w:r w:rsidR="00F92E70" w:rsidRPr="00BB1922">
        <w:rPr>
          <w:rFonts w:ascii="Times New Roman" w:hAnsi="Times New Roman" w:cs="Times New Roman"/>
        </w:rPr>
        <w:t>.</w:t>
      </w:r>
    </w:p>
  </w:footnote>
  <w:footnote w:id="89">
    <w:p w:rsidR="00F83351" w:rsidRPr="00BB1922" w:rsidRDefault="00F83351" w:rsidP="00E901DF">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F92E70" w:rsidRPr="00BB1922">
        <w:rPr>
          <w:rFonts w:ascii="Times New Roman" w:hAnsi="Times New Roman" w:cs="Times New Roman"/>
        </w:rPr>
        <w:t xml:space="preserve">See </w:t>
      </w:r>
      <w:r w:rsidR="00E42E0E" w:rsidRPr="00BB1922">
        <w:rPr>
          <w:rFonts w:ascii="Times New Roman" w:hAnsi="Times New Roman" w:cs="Times New Roman"/>
        </w:rPr>
        <w:t>OCC Ex.</w:t>
      </w:r>
      <w:r w:rsidRPr="00BB1922">
        <w:rPr>
          <w:rFonts w:ascii="Times New Roman" w:hAnsi="Times New Roman" w:cs="Times New Roman"/>
        </w:rPr>
        <w:t xml:space="preserve"> 12</w:t>
      </w:r>
      <w:r w:rsidR="00F92E70" w:rsidRPr="00BB1922">
        <w:rPr>
          <w:rFonts w:ascii="Times New Roman" w:hAnsi="Times New Roman" w:cs="Times New Roman"/>
        </w:rPr>
        <w:t xml:space="preserve"> at 24</w:t>
      </w:r>
      <w:r w:rsidRPr="00BB1922">
        <w:rPr>
          <w:rFonts w:ascii="Times New Roman" w:hAnsi="Times New Roman" w:cs="Times New Roman"/>
        </w:rPr>
        <w:t xml:space="preserve"> (Williams</w:t>
      </w:r>
      <w:r w:rsidR="00F92E70" w:rsidRPr="00BB1922">
        <w:rPr>
          <w:rFonts w:ascii="Times New Roman" w:hAnsi="Times New Roman" w:cs="Times New Roman"/>
        </w:rPr>
        <w:t xml:space="preserve"> Direct</w:t>
      </w:r>
      <w:r w:rsidRPr="00BB1922">
        <w:rPr>
          <w:rFonts w:ascii="Times New Roman" w:hAnsi="Times New Roman" w:cs="Times New Roman"/>
        </w:rPr>
        <w:t>)</w:t>
      </w:r>
      <w:r w:rsidR="00F92E70" w:rsidRPr="00BB1922">
        <w:rPr>
          <w:rFonts w:ascii="Times New Roman" w:hAnsi="Times New Roman" w:cs="Times New Roman"/>
        </w:rPr>
        <w:t>.</w:t>
      </w:r>
      <w:r w:rsidRPr="00BB1922">
        <w:rPr>
          <w:rFonts w:ascii="Times New Roman" w:hAnsi="Times New Roman" w:cs="Times New Roman"/>
        </w:rPr>
        <w:t xml:space="preserve"> </w:t>
      </w:r>
    </w:p>
  </w:footnote>
  <w:footnote w:id="90">
    <w:p w:rsidR="00F83351" w:rsidRPr="00BB1922" w:rsidRDefault="00F83351"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F92E70" w:rsidRPr="00BB1922">
        <w:rPr>
          <w:rFonts w:ascii="Times New Roman" w:hAnsi="Times New Roman" w:cs="Times New Roman"/>
        </w:rPr>
        <w:t xml:space="preserve">See </w:t>
      </w:r>
      <w:r w:rsidR="00E42E0E" w:rsidRPr="00BB1922">
        <w:rPr>
          <w:rFonts w:ascii="Times New Roman" w:hAnsi="Times New Roman" w:cs="Times New Roman"/>
        </w:rPr>
        <w:t>OCC Ex.</w:t>
      </w:r>
      <w:r w:rsidR="00B262F6" w:rsidRPr="00BB1922">
        <w:rPr>
          <w:rFonts w:ascii="Times New Roman" w:hAnsi="Times New Roman" w:cs="Times New Roman"/>
        </w:rPr>
        <w:t xml:space="preserve"> 12</w:t>
      </w:r>
      <w:r w:rsidR="00F92E70" w:rsidRPr="00BB1922">
        <w:rPr>
          <w:rFonts w:ascii="Times New Roman" w:hAnsi="Times New Roman" w:cs="Times New Roman"/>
        </w:rPr>
        <w:t xml:space="preserve"> at 25</w:t>
      </w:r>
      <w:r w:rsidR="00B262F6" w:rsidRPr="00BB1922">
        <w:rPr>
          <w:rFonts w:ascii="Times New Roman" w:hAnsi="Times New Roman" w:cs="Times New Roman"/>
        </w:rPr>
        <w:t xml:space="preserve"> (Williams</w:t>
      </w:r>
      <w:r w:rsidR="00F92E70" w:rsidRPr="00BB1922">
        <w:rPr>
          <w:rFonts w:ascii="Times New Roman" w:hAnsi="Times New Roman" w:cs="Times New Roman"/>
        </w:rPr>
        <w:t xml:space="preserve"> Direct</w:t>
      </w:r>
      <w:r w:rsidR="00B262F6" w:rsidRPr="00BB1922">
        <w:rPr>
          <w:rFonts w:ascii="Times New Roman" w:hAnsi="Times New Roman" w:cs="Times New Roman"/>
        </w:rPr>
        <w:t>)</w:t>
      </w:r>
      <w:r w:rsidR="00F92E70" w:rsidRPr="00BB1922">
        <w:rPr>
          <w:rFonts w:ascii="Times New Roman" w:hAnsi="Times New Roman" w:cs="Times New Roman"/>
        </w:rPr>
        <w:t>.</w:t>
      </w:r>
      <w:r w:rsidR="00B262F6" w:rsidRPr="00BB1922">
        <w:rPr>
          <w:rFonts w:ascii="Times New Roman" w:hAnsi="Times New Roman" w:cs="Times New Roman"/>
        </w:rPr>
        <w:t xml:space="preserve"> </w:t>
      </w:r>
      <w:r w:rsidRPr="00BB1922">
        <w:rPr>
          <w:rFonts w:ascii="Times New Roman" w:hAnsi="Times New Roman" w:cs="Times New Roman"/>
        </w:rPr>
        <w:t xml:space="preserve"> </w:t>
      </w:r>
    </w:p>
  </w:footnote>
  <w:footnote w:id="91">
    <w:p w:rsidR="001A0CF2" w:rsidRPr="00BB1922" w:rsidRDefault="001A0CF2" w:rsidP="003B3610">
      <w:pPr>
        <w:pStyle w:val="FootnoteText"/>
        <w:spacing w:after="120"/>
        <w:rPr>
          <w:rFonts w:ascii="Times New Roman" w:hAnsi="Times New Roman" w:cs="Times New Roman"/>
        </w:rPr>
      </w:pPr>
      <w:r w:rsidRPr="00BB1922">
        <w:rPr>
          <w:rStyle w:val="FootnoteReference"/>
          <w:rFonts w:ascii="Times New Roman" w:hAnsi="Times New Roman" w:cs="Times New Roman"/>
        </w:rPr>
        <w:footnoteRef/>
      </w:r>
      <w:r w:rsidRPr="00BB1922">
        <w:rPr>
          <w:rFonts w:ascii="Times New Roman" w:hAnsi="Times New Roman" w:cs="Times New Roman"/>
        </w:rPr>
        <w:t xml:space="preserve"> </w:t>
      </w:r>
      <w:r w:rsidR="00F92E70" w:rsidRPr="00BB1922">
        <w:rPr>
          <w:rFonts w:ascii="Times New Roman" w:hAnsi="Times New Roman" w:cs="Times New Roman"/>
        </w:rPr>
        <w:t xml:space="preserve">See </w:t>
      </w:r>
      <w:r w:rsidR="00E42E0E" w:rsidRPr="00BB1922">
        <w:rPr>
          <w:rFonts w:ascii="Times New Roman" w:hAnsi="Times New Roman" w:cs="Times New Roman"/>
        </w:rPr>
        <w:t>OCC Ex.</w:t>
      </w:r>
      <w:r w:rsidR="00B262F6" w:rsidRPr="00BB1922">
        <w:rPr>
          <w:rFonts w:ascii="Times New Roman" w:hAnsi="Times New Roman" w:cs="Times New Roman"/>
        </w:rPr>
        <w:t xml:space="preserve"> 12</w:t>
      </w:r>
      <w:r w:rsidR="00F92E70" w:rsidRPr="00BB1922">
        <w:rPr>
          <w:rFonts w:ascii="Times New Roman" w:hAnsi="Times New Roman" w:cs="Times New Roman"/>
        </w:rPr>
        <w:t xml:space="preserve"> at 25</w:t>
      </w:r>
      <w:r w:rsidR="00B262F6" w:rsidRPr="00BB1922">
        <w:rPr>
          <w:rFonts w:ascii="Times New Roman" w:hAnsi="Times New Roman" w:cs="Times New Roman"/>
        </w:rPr>
        <w:t xml:space="preserve"> (Williams</w:t>
      </w:r>
      <w:r w:rsidR="00F92E70" w:rsidRPr="00BB1922">
        <w:rPr>
          <w:rFonts w:ascii="Times New Roman" w:hAnsi="Times New Roman" w:cs="Times New Roman"/>
        </w:rPr>
        <w:t xml:space="preserve"> Direct).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93564"/>
      <w:docPartObj>
        <w:docPartGallery w:val="Watermarks"/>
        <w:docPartUnique/>
      </w:docPartObj>
    </w:sdtPr>
    <w:sdtEndPr/>
    <w:sdtContent>
      <w:p w:rsidR="00647CF4" w:rsidRDefault="0034281C">
        <w:pPr>
          <w:pStyle w:val="Header"/>
          <w:jc w:val="center"/>
        </w:pPr>
      </w:p>
    </w:sdtContent>
  </w:sdt>
  <w:p w:rsidR="00647CF4" w:rsidRDefault="00647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34431"/>
      <w:docPartObj>
        <w:docPartGallery w:val="Watermarks"/>
        <w:docPartUnique/>
      </w:docPartObj>
    </w:sdtPr>
    <w:sdtEndPr/>
    <w:sdtContent>
      <w:p w:rsidR="00BD7D40" w:rsidRDefault="0034281C">
        <w:pPr>
          <w:pStyle w:val="Header"/>
          <w:jc w:val="center"/>
        </w:pPr>
      </w:p>
    </w:sdtContent>
  </w:sdt>
  <w:p w:rsidR="00BD7D40" w:rsidRDefault="00BD7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16194"/>
      <w:docPartObj>
        <w:docPartGallery w:val="Watermarks"/>
        <w:docPartUnique/>
      </w:docPartObj>
    </w:sdtPr>
    <w:sdtEndPr/>
    <w:sdtContent>
      <w:p w:rsidR="003B3610" w:rsidRDefault="0034281C">
        <w:pPr>
          <w:pStyle w:val="Header"/>
          <w:jc w:val="center"/>
        </w:pPr>
      </w:p>
    </w:sdtContent>
  </w:sdt>
  <w:p w:rsidR="003B3610" w:rsidRDefault="003B3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E18B27E"/>
    <w:lvl w:ilvl="0">
      <w:start w:val="1"/>
      <w:numFmt w:val="decimal"/>
      <w:lvlText w:val="%1."/>
      <w:lvlJc w:val="left"/>
      <w:pPr>
        <w:tabs>
          <w:tab w:val="num" w:pos="1080"/>
        </w:tabs>
        <w:ind w:left="1080" w:hanging="360"/>
      </w:pPr>
    </w:lvl>
  </w:abstractNum>
  <w:abstractNum w:abstractNumId="1">
    <w:nsid w:val="FFFFFF7F"/>
    <w:multiLevelType w:val="singleLevel"/>
    <w:tmpl w:val="414EA884"/>
    <w:lvl w:ilvl="0">
      <w:start w:val="1"/>
      <w:numFmt w:val="decimal"/>
      <w:lvlText w:val="%1."/>
      <w:lvlJc w:val="left"/>
      <w:pPr>
        <w:tabs>
          <w:tab w:val="num" w:pos="720"/>
        </w:tabs>
        <w:ind w:left="720" w:hanging="360"/>
      </w:pPr>
    </w:lvl>
  </w:abstractNum>
  <w:abstractNum w:abstractNumId="2">
    <w:nsid w:val="FFFFFF80"/>
    <w:multiLevelType w:val="singleLevel"/>
    <w:tmpl w:val="EFBA45A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8A0092B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8174C574"/>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1A26A74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C94C1E0C"/>
    <w:lvl w:ilvl="0">
      <w:start w:val="1"/>
      <w:numFmt w:val="decimal"/>
      <w:lvlText w:val="%1."/>
      <w:lvlJc w:val="left"/>
      <w:pPr>
        <w:tabs>
          <w:tab w:val="num" w:pos="360"/>
        </w:tabs>
        <w:ind w:left="360" w:hanging="360"/>
      </w:pPr>
    </w:lvl>
  </w:abstractNum>
  <w:abstractNum w:abstractNumId="7">
    <w:nsid w:val="FFFFFF89"/>
    <w:multiLevelType w:val="singleLevel"/>
    <w:tmpl w:val="FD5C50C8"/>
    <w:lvl w:ilvl="0">
      <w:start w:val="1"/>
      <w:numFmt w:val="bullet"/>
      <w:lvlText w:val=""/>
      <w:lvlJc w:val="left"/>
      <w:pPr>
        <w:tabs>
          <w:tab w:val="num" w:pos="360"/>
        </w:tabs>
        <w:ind w:left="360" w:hanging="360"/>
      </w:pPr>
      <w:rPr>
        <w:rFonts w:ascii="Symbol" w:hAnsi="Symbol" w:hint="default"/>
      </w:rPr>
    </w:lvl>
  </w:abstractNum>
  <w:abstractNum w:abstractNumId="8">
    <w:nsid w:val="0F166C9B"/>
    <w:multiLevelType w:val="hybridMultilevel"/>
    <w:tmpl w:val="2CE24A2A"/>
    <w:lvl w:ilvl="0" w:tplc="63ECB720">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1F50C7"/>
    <w:multiLevelType w:val="hybridMultilevel"/>
    <w:tmpl w:val="F028F7EC"/>
    <w:lvl w:ilvl="0" w:tplc="BE66F19C">
      <w:start w:val="1"/>
      <w:numFmt w:val="upperRoman"/>
      <w:pStyle w:val="Heading1"/>
      <w:lvlText w:val="%1."/>
      <w:lvlJc w:val="left"/>
      <w:pPr>
        <w:ind w:left="1080" w:hanging="720"/>
      </w:pPr>
      <w:rPr>
        <w:rFonts w:hint="default"/>
      </w:rPr>
    </w:lvl>
    <w:lvl w:ilvl="1" w:tplc="63ECB7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A7ECF"/>
    <w:multiLevelType w:val="hybridMultilevel"/>
    <w:tmpl w:val="552E408A"/>
    <w:lvl w:ilvl="0" w:tplc="63ECB7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4F04AD"/>
    <w:multiLevelType w:val="hybridMultilevel"/>
    <w:tmpl w:val="679642A2"/>
    <w:lvl w:ilvl="0" w:tplc="63ECB720">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8"/>
  </w:num>
  <w:num w:numId="4">
    <w:abstractNumId w:val="11"/>
  </w:num>
  <w:num w:numId="5">
    <w:abstractNumId w:val="7"/>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D9"/>
    <w:rsid w:val="00006303"/>
    <w:rsid w:val="00015478"/>
    <w:rsid w:val="00022E01"/>
    <w:rsid w:val="00034663"/>
    <w:rsid w:val="00042483"/>
    <w:rsid w:val="0005163F"/>
    <w:rsid w:val="00055493"/>
    <w:rsid w:val="00055586"/>
    <w:rsid w:val="000652B3"/>
    <w:rsid w:val="0007290B"/>
    <w:rsid w:val="0007725D"/>
    <w:rsid w:val="00082FC3"/>
    <w:rsid w:val="000C2004"/>
    <w:rsid w:val="000D7115"/>
    <w:rsid w:val="000D755D"/>
    <w:rsid w:val="000E0D8E"/>
    <w:rsid w:val="000F073E"/>
    <w:rsid w:val="000F7926"/>
    <w:rsid w:val="00102A25"/>
    <w:rsid w:val="001055E3"/>
    <w:rsid w:val="00107949"/>
    <w:rsid w:val="001134FE"/>
    <w:rsid w:val="00131998"/>
    <w:rsid w:val="0013380B"/>
    <w:rsid w:val="001403BC"/>
    <w:rsid w:val="0014659D"/>
    <w:rsid w:val="00164B6C"/>
    <w:rsid w:val="00171A3E"/>
    <w:rsid w:val="0018078D"/>
    <w:rsid w:val="00186FFB"/>
    <w:rsid w:val="00193FBB"/>
    <w:rsid w:val="0019654B"/>
    <w:rsid w:val="001A0CF2"/>
    <w:rsid w:val="001A4844"/>
    <w:rsid w:val="001B1570"/>
    <w:rsid w:val="001C4DE1"/>
    <w:rsid w:val="001F6772"/>
    <w:rsid w:val="001F687C"/>
    <w:rsid w:val="002068FF"/>
    <w:rsid w:val="00215FB8"/>
    <w:rsid w:val="00227244"/>
    <w:rsid w:val="00230E71"/>
    <w:rsid w:val="002331D7"/>
    <w:rsid w:val="00236380"/>
    <w:rsid w:val="002438A5"/>
    <w:rsid w:val="0026272A"/>
    <w:rsid w:val="0026782E"/>
    <w:rsid w:val="00285F29"/>
    <w:rsid w:val="00287C66"/>
    <w:rsid w:val="00294DD9"/>
    <w:rsid w:val="002A0AC8"/>
    <w:rsid w:val="002A1264"/>
    <w:rsid w:val="002A1956"/>
    <w:rsid w:val="002A6EE7"/>
    <w:rsid w:val="002B77E0"/>
    <w:rsid w:val="002C7B70"/>
    <w:rsid w:val="002D3ED5"/>
    <w:rsid w:val="002F1722"/>
    <w:rsid w:val="002F5F41"/>
    <w:rsid w:val="00312BD5"/>
    <w:rsid w:val="00312C08"/>
    <w:rsid w:val="00332BAC"/>
    <w:rsid w:val="0034281C"/>
    <w:rsid w:val="0035090D"/>
    <w:rsid w:val="00353224"/>
    <w:rsid w:val="00374139"/>
    <w:rsid w:val="003753D2"/>
    <w:rsid w:val="00394091"/>
    <w:rsid w:val="003A1D4C"/>
    <w:rsid w:val="003A3A9C"/>
    <w:rsid w:val="003A755F"/>
    <w:rsid w:val="003B3610"/>
    <w:rsid w:val="003B7433"/>
    <w:rsid w:val="003C198B"/>
    <w:rsid w:val="003C4615"/>
    <w:rsid w:val="003F3AD0"/>
    <w:rsid w:val="003F53F0"/>
    <w:rsid w:val="0040258D"/>
    <w:rsid w:val="00423BD5"/>
    <w:rsid w:val="00426168"/>
    <w:rsid w:val="00430383"/>
    <w:rsid w:val="004310A5"/>
    <w:rsid w:val="0043399A"/>
    <w:rsid w:val="00435BDE"/>
    <w:rsid w:val="0045796B"/>
    <w:rsid w:val="00475887"/>
    <w:rsid w:val="00477211"/>
    <w:rsid w:val="00482359"/>
    <w:rsid w:val="00485732"/>
    <w:rsid w:val="00492043"/>
    <w:rsid w:val="00492C09"/>
    <w:rsid w:val="00492EFE"/>
    <w:rsid w:val="00494A3C"/>
    <w:rsid w:val="004A238F"/>
    <w:rsid w:val="004C0E8D"/>
    <w:rsid w:val="004C1AF9"/>
    <w:rsid w:val="004C413A"/>
    <w:rsid w:val="004E5986"/>
    <w:rsid w:val="004F6B5D"/>
    <w:rsid w:val="005002BD"/>
    <w:rsid w:val="00512C60"/>
    <w:rsid w:val="00523896"/>
    <w:rsid w:val="0055719F"/>
    <w:rsid w:val="00561CBE"/>
    <w:rsid w:val="00562B5F"/>
    <w:rsid w:val="005738E4"/>
    <w:rsid w:val="005779D6"/>
    <w:rsid w:val="00592EC0"/>
    <w:rsid w:val="005938FA"/>
    <w:rsid w:val="005B0FB8"/>
    <w:rsid w:val="005B5AB9"/>
    <w:rsid w:val="005C10B5"/>
    <w:rsid w:val="005E3FE0"/>
    <w:rsid w:val="005F0B81"/>
    <w:rsid w:val="005F319D"/>
    <w:rsid w:val="005F405E"/>
    <w:rsid w:val="00602639"/>
    <w:rsid w:val="00604C3D"/>
    <w:rsid w:val="0060570F"/>
    <w:rsid w:val="00610B84"/>
    <w:rsid w:val="00615D43"/>
    <w:rsid w:val="00626319"/>
    <w:rsid w:val="00630B41"/>
    <w:rsid w:val="00630EBB"/>
    <w:rsid w:val="00645162"/>
    <w:rsid w:val="00647CF4"/>
    <w:rsid w:val="00652BC6"/>
    <w:rsid w:val="0066025F"/>
    <w:rsid w:val="00664482"/>
    <w:rsid w:val="00671DCE"/>
    <w:rsid w:val="00671F9B"/>
    <w:rsid w:val="00691F82"/>
    <w:rsid w:val="00694A52"/>
    <w:rsid w:val="00694CFA"/>
    <w:rsid w:val="00695C6C"/>
    <w:rsid w:val="006A1617"/>
    <w:rsid w:val="006C28ED"/>
    <w:rsid w:val="006C33F3"/>
    <w:rsid w:val="006C3EDD"/>
    <w:rsid w:val="006C4B72"/>
    <w:rsid w:val="006D5DDE"/>
    <w:rsid w:val="0070138C"/>
    <w:rsid w:val="00704F3E"/>
    <w:rsid w:val="00705033"/>
    <w:rsid w:val="00712723"/>
    <w:rsid w:val="007344B6"/>
    <w:rsid w:val="00740A8F"/>
    <w:rsid w:val="00743EA4"/>
    <w:rsid w:val="00746260"/>
    <w:rsid w:val="007706E8"/>
    <w:rsid w:val="007A1630"/>
    <w:rsid w:val="007A55BD"/>
    <w:rsid w:val="007A73D7"/>
    <w:rsid w:val="007A7B8D"/>
    <w:rsid w:val="007B095A"/>
    <w:rsid w:val="007B2613"/>
    <w:rsid w:val="007B312B"/>
    <w:rsid w:val="007C029A"/>
    <w:rsid w:val="007C21E2"/>
    <w:rsid w:val="007D2D9E"/>
    <w:rsid w:val="007D7384"/>
    <w:rsid w:val="007F3E91"/>
    <w:rsid w:val="0080131B"/>
    <w:rsid w:val="00804A32"/>
    <w:rsid w:val="00814283"/>
    <w:rsid w:val="00837348"/>
    <w:rsid w:val="008578B0"/>
    <w:rsid w:val="00871036"/>
    <w:rsid w:val="00877001"/>
    <w:rsid w:val="00894330"/>
    <w:rsid w:val="00895F87"/>
    <w:rsid w:val="008A0EB9"/>
    <w:rsid w:val="008A11EA"/>
    <w:rsid w:val="008B64FD"/>
    <w:rsid w:val="008B7F25"/>
    <w:rsid w:val="008C007A"/>
    <w:rsid w:val="008C3222"/>
    <w:rsid w:val="008C69BE"/>
    <w:rsid w:val="008E548C"/>
    <w:rsid w:val="008F4B9A"/>
    <w:rsid w:val="00900E27"/>
    <w:rsid w:val="00905821"/>
    <w:rsid w:val="00910934"/>
    <w:rsid w:val="00912FA6"/>
    <w:rsid w:val="00913BD9"/>
    <w:rsid w:val="00922C86"/>
    <w:rsid w:val="00923329"/>
    <w:rsid w:val="00925C99"/>
    <w:rsid w:val="00931875"/>
    <w:rsid w:val="00935710"/>
    <w:rsid w:val="00941BB4"/>
    <w:rsid w:val="00945210"/>
    <w:rsid w:val="00946D45"/>
    <w:rsid w:val="00954393"/>
    <w:rsid w:val="00954C2D"/>
    <w:rsid w:val="00957385"/>
    <w:rsid w:val="00965633"/>
    <w:rsid w:val="00972209"/>
    <w:rsid w:val="00980B42"/>
    <w:rsid w:val="00981865"/>
    <w:rsid w:val="0098674C"/>
    <w:rsid w:val="009A3922"/>
    <w:rsid w:val="009A4168"/>
    <w:rsid w:val="009A629D"/>
    <w:rsid w:val="009A7114"/>
    <w:rsid w:val="009A7154"/>
    <w:rsid w:val="009B4ADC"/>
    <w:rsid w:val="009C39F2"/>
    <w:rsid w:val="009C62A0"/>
    <w:rsid w:val="009D0D8A"/>
    <w:rsid w:val="009D5405"/>
    <w:rsid w:val="009D7886"/>
    <w:rsid w:val="009E5A08"/>
    <w:rsid w:val="009F3876"/>
    <w:rsid w:val="00A116B9"/>
    <w:rsid w:val="00A24C02"/>
    <w:rsid w:val="00A5688C"/>
    <w:rsid w:val="00A56D67"/>
    <w:rsid w:val="00A84A94"/>
    <w:rsid w:val="00A945C7"/>
    <w:rsid w:val="00AC5490"/>
    <w:rsid w:val="00AD0C61"/>
    <w:rsid w:val="00AE4558"/>
    <w:rsid w:val="00B03922"/>
    <w:rsid w:val="00B13B03"/>
    <w:rsid w:val="00B20890"/>
    <w:rsid w:val="00B22FD5"/>
    <w:rsid w:val="00B262F6"/>
    <w:rsid w:val="00B330A1"/>
    <w:rsid w:val="00B41425"/>
    <w:rsid w:val="00B529D5"/>
    <w:rsid w:val="00B56F70"/>
    <w:rsid w:val="00B759BA"/>
    <w:rsid w:val="00B80F1B"/>
    <w:rsid w:val="00B844F7"/>
    <w:rsid w:val="00BB1922"/>
    <w:rsid w:val="00BD38A8"/>
    <w:rsid w:val="00BD7D40"/>
    <w:rsid w:val="00BE2555"/>
    <w:rsid w:val="00BE48CF"/>
    <w:rsid w:val="00BF1695"/>
    <w:rsid w:val="00BF27C1"/>
    <w:rsid w:val="00BF60B9"/>
    <w:rsid w:val="00C200CF"/>
    <w:rsid w:val="00C313FE"/>
    <w:rsid w:val="00C328C9"/>
    <w:rsid w:val="00C3459D"/>
    <w:rsid w:val="00C350C3"/>
    <w:rsid w:val="00C36729"/>
    <w:rsid w:val="00C525BE"/>
    <w:rsid w:val="00C53E1B"/>
    <w:rsid w:val="00C6176F"/>
    <w:rsid w:val="00C6419D"/>
    <w:rsid w:val="00C67B76"/>
    <w:rsid w:val="00C767E4"/>
    <w:rsid w:val="00C807DD"/>
    <w:rsid w:val="00C84CC7"/>
    <w:rsid w:val="00C971E8"/>
    <w:rsid w:val="00CA15C0"/>
    <w:rsid w:val="00CC1C97"/>
    <w:rsid w:val="00CC6EE5"/>
    <w:rsid w:val="00CC6F10"/>
    <w:rsid w:val="00CD5AE5"/>
    <w:rsid w:val="00CE165D"/>
    <w:rsid w:val="00CF5FE6"/>
    <w:rsid w:val="00CF6AF5"/>
    <w:rsid w:val="00D03C9C"/>
    <w:rsid w:val="00D12CF6"/>
    <w:rsid w:val="00D17550"/>
    <w:rsid w:val="00D208E0"/>
    <w:rsid w:val="00D234A9"/>
    <w:rsid w:val="00D447C4"/>
    <w:rsid w:val="00D52898"/>
    <w:rsid w:val="00D719EA"/>
    <w:rsid w:val="00D80041"/>
    <w:rsid w:val="00D8164F"/>
    <w:rsid w:val="00D822F6"/>
    <w:rsid w:val="00D86ED6"/>
    <w:rsid w:val="00D92180"/>
    <w:rsid w:val="00D93067"/>
    <w:rsid w:val="00DA29D8"/>
    <w:rsid w:val="00DB229C"/>
    <w:rsid w:val="00DB3661"/>
    <w:rsid w:val="00DB63F6"/>
    <w:rsid w:val="00DC38E4"/>
    <w:rsid w:val="00DC60D5"/>
    <w:rsid w:val="00DE2550"/>
    <w:rsid w:val="00DE6524"/>
    <w:rsid w:val="00DE6AB2"/>
    <w:rsid w:val="00DF01A8"/>
    <w:rsid w:val="00DF08D3"/>
    <w:rsid w:val="00E010F7"/>
    <w:rsid w:val="00E06D48"/>
    <w:rsid w:val="00E14C7E"/>
    <w:rsid w:val="00E216F2"/>
    <w:rsid w:val="00E220C4"/>
    <w:rsid w:val="00E36DDC"/>
    <w:rsid w:val="00E42E0E"/>
    <w:rsid w:val="00E45B74"/>
    <w:rsid w:val="00E72866"/>
    <w:rsid w:val="00E74025"/>
    <w:rsid w:val="00E901DF"/>
    <w:rsid w:val="00E93F4D"/>
    <w:rsid w:val="00E97B74"/>
    <w:rsid w:val="00EB2BC0"/>
    <w:rsid w:val="00EB3EF8"/>
    <w:rsid w:val="00EB5383"/>
    <w:rsid w:val="00EE0E2D"/>
    <w:rsid w:val="00EF5A7C"/>
    <w:rsid w:val="00EF7F0D"/>
    <w:rsid w:val="00F011E3"/>
    <w:rsid w:val="00F23FAB"/>
    <w:rsid w:val="00F450A1"/>
    <w:rsid w:val="00F61AC0"/>
    <w:rsid w:val="00F6746A"/>
    <w:rsid w:val="00F71849"/>
    <w:rsid w:val="00F823FA"/>
    <w:rsid w:val="00F83351"/>
    <w:rsid w:val="00F92E70"/>
    <w:rsid w:val="00F95702"/>
    <w:rsid w:val="00F96311"/>
    <w:rsid w:val="00FA16B1"/>
    <w:rsid w:val="00FB42E5"/>
    <w:rsid w:val="00FC39A5"/>
    <w:rsid w:val="00FC42DA"/>
    <w:rsid w:val="00FC566F"/>
    <w:rsid w:val="00FD0A20"/>
    <w:rsid w:val="00FD5607"/>
    <w:rsid w:val="00FD6371"/>
    <w:rsid w:val="00FE3AF0"/>
    <w:rsid w:val="00FE3D70"/>
    <w:rsid w:val="00FF0DD9"/>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40"/>
  </w:style>
  <w:style w:type="paragraph" w:styleId="Heading1">
    <w:name w:val="heading 1"/>
    <w:basedOn w:val="Normal"/>
    <w:next w:val="Normal"/>
    <w:link w:val="Heading1Char"/>
    <w:autoRedefine/>
    <w:qFormat/>
    <w:rsid w:val="00BD7D40"/>
    <w:pPr>
      <w:keepNext/>
      <w:keepLines/>
      <w:numPr>
        <w:numId w:val="1"/>
      </w:numPr>
      <w:spacing w:after="240" w:line="240" w:lineRule="auto"/>
      <w:ind w:left="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BD7D40"/>
    <w:pPr>
      <w:keepNext/>
      <w:keepLines/>
      <w:spacing w:after="240" w:line="240" w:lineRule="auto"/>
      <w:ind w:left="1440" w:right="720" w:hanging="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semiHidden/>
    <w:unhideWhenUsed/>
    <w:qFormat/>
    <w:rsid w:val="00BD7D40"/>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DD9"/>
    <w:rPr>
      <w:color w:val="0000FF"/>
      <w:u w:val="single"/>
    </w:rPr>
  </w:style>
  <w:style w:type="paragraph" w:styleId="Header">
    <w:name w:val="header"/>
    <w:basedOn w:val="Normal"/>
    <w:link w:val="HeaderChar"/>
    <w:uiPriority w:val="99"/>
    <w:unhideWhenUsed/>
    <w:rsid w:val="0029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D9"/>
  </w:style>
  <w:style w:type="paragraph" w:styleId="Footer">
    <w:name w:val="footer"/>
    <w:basedOn w:val="Normal"/>
    <w:link w:val="FooterChar"/>
    <w:uiPriority w:val="99"/>
    <w:unhideWhenUsed/>
    <w:rsid w:val="0029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D9"/>
  </w:style>
  <w:style w:type="paragraph" w:styleId="HTMLPreformatted">
    <w:name w:val="HTML Preformatted"/>
    <w:basedOn w:val="Normal"/>
    <w:link w:val="HTMLPreformattedChar"/>
    <w:unhideWhenUsed/>
    <w:rsid w:val="0029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94DD9"/>
    <w:rPr>
      <w:rFonts w:ascii="Courier New" w:eastAsia="Courier New" w:hAnsi="Courier New" w:cs="Courier New"/>
      <w:sz w:val="20"/>
      <w:szCs w:val="20"/>
    </w:rPr>
  </w:style>
  <w:style w:type="character" w:styleId="PageNumber">
    <w:name w:val="page number"/>
    <w:basedOn w:val="DefaultParagraphFont"/>
    <w:uiPriority w:val="99"/>
    <w:semiHidden/>
    <w:unhideWhenUsed/>
    <w:rsid w:val="00294DD9"/>
  </w:style>
  <w:style w:type="character" w:customStyle="1" w:styleId="Heading1Char">
    <w:name w:val="Heading 1 Char"/>
    <w:basedOn w:val="DefaultParagraphFont"/>
    <w:link w:val="Heading1"/>
    <w:rsid w:val="00BD7D40"/>
    <w:rPr>
      <w:rFonts w:ascii="Times New Roman Bold" w:eastAsiaTheme="majorEastAsia" w:hAnsi="Times New Roman Bold" w:cstheme="majorBidi"/>
      <w:b/>
      <w:bCs/>
      <w:caps/>
      <w:sz w:val="24"/>
      <w:szCs w:val="28"/>
    </w:rPr>
  </w:style>
  <w:style w:type="paragraph" w:styleId="ListParagraph">
    <w:name w:val="List Paragraph"/>
    <w:basedOn w:val="Normal"/>
    <w:uiPriority w:val="34"/>
    <w:qFormat/>
    <w:rsid w:val="00712723"/>
    <w:pPr>
      <w:ind w:left="720"/>
      <w:contextualSpacing/>
    </w:pPr>
  </w:style>
  <w:style w:type="paragraph" w:styleId="FootnoteText">
    <w:name w:val="footnote text"/>
    <w:basedOn w:val="Normal"/>
    <w:link w:val="FootnoteTextChar"/>
    <w:uiPriority w:val="99"/>
    <w:unhideWhenUsed/>
    <w:rsid w:val="00236380"/>
    <w:pPr>
      <w:spacing w:after="0" w:line="240" w:lineRule="auto"/>
    </w:pPr>
    <w:rPr>
      <w:sz w:val="20"/>
      <w:szCs w:val="20"/>
    </w:rPr>
  </w:style>
  <w:style w:type="character" w:customStyle="1" w:styleId="FootnoteTextChar">
    <w:name w:val="Footnote Text Char"/>
    <w:basedOn w:val="DefaultParagraphFont"/>
    <w:link w:val="FootnoteText"/>
    <w:uiPriority w:val="99"/>
    <w:rsid w:val="00236380"/>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unhideWhenUsed/>
    <w:rsid w:val="00236380"/>
    <w:rPr>
      <w:vertAlign w:val="superscript"/>
    </w:rPr>
  </w:style>
  <w:style w:type="paragraph" w:styleId="BalloonText">
    <w:name w:val="Balloon Text"/>
    <w:basedOn w:val="Normal"/>
    <w:link w:val="BalloonTextChar"/>
    <w:uiPriority w:val="99"/>
    <w:semiHidden/>
    <w:unhideWhenUsed/>
    <w:rsid w:val="00D1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F6"/>
    <w:rPr>
      <w:rFonts w:ascii="Tahoma" w:hAnsi="Tahoma" w:cs="Tahoma"/>
      <w:sz w:val="16"/>
      <w:szCs w:val="16"/>
    </w:rPr>
  </w:style>
  <w:style w:type="paragraph" w:styleId="BodyText">
    <w:name w:val="Body Text"/>
    <w:basedOn w:val="Normal"/>
    <w:link w:val="BodyTextChar"/>
    <w:rsid w:val="00912FA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3661"/>
    <w:rPr>
      <w:sz w:val="16"/>
      <w:szCs w:val="16"/>
    </w:rPr>
  </w:style>
  <w:style w:type="paragraph" w:styleId="CommentText">
    <w:name w:val="annotation text"/>
    <w:basedOn w:val="Normal"/>
    <w:link w:val="CommentTextChar"/>
    <w:uiPriority w:val="99"/>
    <w:semiHidden/>
    <w:unhideWhenUsed/>
    <w:rsid w:val="00DB3661"/>
    <w:pPr>
      <w:spacing w:line="240" w:lineRule="auto"/>
    </w:pPr>
    <w:rPr>
      <w:sz w:val="20"/>
      <w:szCs w:val="20"/>
    </w:rPr>
  </w:style>
  <w:style w:type="character" w:customStyle="1" w:styleId="CommentTextChar">
    <w:name w:val="Comment Text Char"/>
    <w:basedOn w:val="DefaultParagraphFont"/>
    <w:link w:val="CommentText"/>
    <w:uiPriority w:val="99"/>
    <w:semiHidden/>
    <w:rsid w:val="00DB3661"/>
    <w:rPr>
      <w:sz w:val="20"/>
      <w:szCs w:val="20"/>
    </w:rPr>
  </w:style>
  <w:style w:type="paragraph" w:styleId="CommentSubject">
    <w:name w:val="annotation subject"/>
    <w:basedOn w:val="CommentText"/>
    <w:next w:val="CommentText"/>
    <w:link w:val="CommentSubjectChar"/>
    <w:uiPriority w:val="99"/>
    <w:semiHidden/>
    <w:unhideWhenUsed/>
    <w:rsid w:val="00DB3661"/>
    <w:rPr>
      <w:b/>
      <w:bCs/>
    </w:rPr>
  </w:style>
  <w:style w:type="character" w:customStyle="1" w:styleId="CommentSubjectChar">
    <w:name w:val="Comment Subject Char"/>
    <w:basedOn w:val="CommentTextChar"/>
    <w:link w:val="CommentSubject"/>
    <w:uiPriority w:val="99"/>
    <w:semiHidden/>
    <w:rsid w:val="00DB3661"/>
    <w:rPr>
      <w:b/>
      <w:bCs/>
      <w:sz w:val="20"/>
      <w:szCs w:val="20"/>
    </w:rPr>
  </w:style>
  <w:style w:type="character" w:customStyle="1" w:styleId="Heading2Char">
    <w:name w:val="Heading 2 Char"/>
    <w:basedOn w:val="DefaultParagraphFont"/>
    <w:link w:val="Heading2"/>
    <w:uiPriority w:val="9"/>
    <w:rsid w:val="00BD7D4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BD7D40"/>
    <w:rPr>
      <w:rFonts w:ascii="Times New Roman" w:eastAsiaTheme="majorEastAsia" w:hAnsi="Times New Roman" w:cstheme="majorBidi"/>
      <w:b/>
      <w:bCs/>
      <w:sz w:val="24"/>
    </w:rPr>
  </w:style>
  <w:style w:type="paragraph" w:styleId="TOC1">
    <w:name w:val="toc 1"/>
    <w:basedOn w:val="Normal"/>
    <w:next w:val="Normal"/>
    <w:autoRedefine/>
    <w:uiPriority w:val="39"/>
    <w:unhideWhenUsed/>
    <w:qFormat/>
    <w:rsid w:val="00BD7D40"/>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2A0AC8"/>
    <w:pPr>
      <w:tabs>
        <w:tab w:val="decimal" w:leader="dot" w:pos="8640"/>
      </w:tabs>
      <w:spacing w:after="240" w:line="240" w:lineRule="auto"/>
      <w:ind w:left="1440" w:hanging="720"/>
    </w:pPr>
    <w:rPr>
      <w:rFonts w:ascii="Times New Roman" w:hAnsi="Times New Roman"/>
      <w:sz w:val="24"/>
    </w:rPr>
  </w:style>
  <w:style w:type="character" w:styleId="FollowedHyperlink">
    <w:name w:val="FollowedHyperlink"/>
    <w:basedOn w:val="DefaultParagraphFont"/>
    <w:uiPriority w:val="99"/>
    <w:semiHidden/>
    <w:unhideWhenUsed/>
    <w:rsid w:val="006C4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40"/>
  </w:style>
  <w:style w:type="paragraph" w:styleId="Heading1">
    <w:name w:val="heading 1"/>
    <w:basedOn w:val="Normal"/>
    <w:next w:val="Normal"/>
    <w:link w:val="Heading1Char"/>
    <w:autoRedefine/>
    <w:qFormat/>
    <w:rsid w:val="00BD7D40"/>
    <w:pPr>
      <w:keepNext/>
      <w:keepLines/>
      <w:numPr>
        <w:numId w:val="1"/>
      </w:numPr>
      <w:spacing w:after="240" w:line="240" w:lineRule="auto"/>
      <w:ind w:left="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BD7D40"/>
    <w:pPr>
      <w:keepNext/>
      <w:keepLines/>
      <w:spacing w:after="240" w:line="240" w:lineRule="auto"/>
      <w:ind w:left="1440" w:right="720" w:hanging="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semiHidden/>
    <w:unhideWhenUsed/>
    <w:qFormat/>
    <w:rsid w:val="00BD7D40"/>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DD9"/>
    <w:rPr>
      <w:color w:val="0000FF"/>
      <w:u w:val="single"/>
    </w:rPr>
  </w:style>
  <w:style w:type="paragraph" w:styleId="Header">
    <w:name w:val="header"/>
    <w:basedOn w:val="Normal"/>
    <w:link w:val="HeaderChar"/>
    <w:uiPriority w:val="99"/>
    <w:unhideWhenUsed/>
    <w:rsid w:val="0029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D9"/>
  </w:style>
  <w:style w:type="paragraph" w:styleId="Footer">
    <w:name w:val="footer"/>
    <w:basedOn w:val="Normal"/>
    <w:link w:val="FooterChar"/>
    <w:uiPriority w:val="99"/>
    <w:unhideWhenUsed/>
    <w:rsid w:val="0029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D9"/>
  </w:style>
  <w:style w:type="paragraph" w:styleId="HTMLPreformatted">
    <w:name w:val="HTML Preformatted"/>
    <w:basedOn w:val="Normal"/>
    <w:link w:val="HTMLPreformattedChar"/>
    <w:unhideWhenUsed/>
    <w:rsid w:val="0029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94DD9"/>
    <w:rPr>
      <w:rFonts w:ascii="Courier New" w:eastAsia="Courier New" w:hAnsi="Courier New" w:cs="Courier New"/>
      <w:sz w:val="20"/>
      <w:szCs w:val="20"/>
    </w:rPr>
  </w:style>
  <w:style w:type="character" w:styleId="PageNumber">
    <w:name w:val="page number"/>
    <w:basedOn w:val="DefaultParagraphFont"/>
    <w:uiPriority w:val="99"/>
    <w:semiHidden/>
    <w:unhideWhenUsed/>
    <w:rsid w:val="00294DD9"/>
  </w:style>
  <w:style w:type="character" w:customStyle="1" w:styleId="Heading1Char">
    <w:name w:val="Heading 1 Char"/>
    <w:basedOn w:val="DefaultParagraphFont"/>
    <w:link w:val="Heading1"/>
    <w:rsid w:val="00BD7D40"/>
    <w:rPr>
      <w:rFonts w:ascii="Times New Roman Bold" w:eastAsiaTheme="majorEastAsia" w:hAnsi="Times New Roman Bold" w:cstheme="majorBidi"/>
      <w:b/>
      <w:bCs/>
      <w:caps/>
      <w:sz w:val="24"/>
      <w:szCs w:val="28"/>
    </w:rPr>
  </w:style>
  <w:style w:type="paragraph" w:styleId="ListParagraph">
    <w:name w:val="List Paragraph"/>
    <w:basedOn w:val="Normal"/>
    <w:uiPriority w:val="34"/>
    <w:qFormat/>
    <w:rsid w:val="00712723"/>
    <w:pPr>
      <w:ind w:left="720"/>
      <w:contextualSpacing/>
    </w:pPr>
  </w:style>
  <w:style w:type="paragraph" w:styleId="FootnoteText">
    <w:name w:val="footnote text"/>
    <w:basedOn w:val="Normal"/>
    <w:link w:val="FootnoteTextChar"/>
    <w:uiPriority w:val="99"/>
    <w:unhideWhenUsed/>
    <w:rsid w:val="00236380"/>
    <w:pPr>
      <w:spacing w:after="0" w:line="240" w:lineRule="auto"/>
    </w:pPr>
    <w:rPr>
      <w:sz w:val="20"/>
      <w:szCs w:val="20"/>
    </w:rPr>
  </w:style>
  <w:style w:type="character" w:customStyle="1" w:styleId="FootnoteTextChar">
    <w:name w:val="Footnote Text Char"/>
    <w:basedOn w:val="DefaultParagraphFont"/>
    <w:link w:val="FootnoteText"/>
    <w:uiPriority w:val="99"/>
    <w:rsid w:val="00236380"/>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unhideWhenUsed/>
    <w:rsid w:val="00236380"/>
    <w:rPr>
      <w:vertAlign w:val="superscript"/>
    </w:rPr>
  </w:style>
  <w:style w:type="paragraph" w:styleId="BalloonText">
    <w:name w:val="Balloon Text"/>
    <w:basedOn w:val="Normal"/>
    <w:link w:val="BalloonTextChar"/>
    <w:uiPriority w:val="99"/>
    <w:semiHidden/>
    <w:unhideWhenUsed/>
    <w:rsid w:val="00D1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F6"/>
    <w:rPr>
      <w:rFonts w:ascii="Tahoma" w:hAnsi="Tahoma" w:cs="Tahoma"/>
      <w:sz w:val="16"/>
      <w:szCs w:val="16"/>
    </w:rPr>
  </w:style>
  <w:style w:type="paragraph" w:styleId="BodyText">
    <w:name w:val="Body Text"/>
    <w:basedOn w:val="Normal"/>
    <w:link w:val="BodyTextChar"/>
    <w:rsid w:val="00912FA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3661"/>
    <w:rPr>
      <w:sz w:val="16"/>
      <w:szCs w:val="16"/>
    </w:rPr>
  </w:style>
  <w:style w:type="paragraph" w:styleId="CommentText">
    <w:name w:val="annotation text"/>
    <w:basedOn w:val="Normal"/>
    <w:link w:val="CommentTextChar"/>
    <w:uiPriority w:val="99"/>
    <w:semiHidden/>
    <w:unhideWhenUsed/>
    <w:rsid w:val="00DB3661"/>
    <w:pPr>
      <w:spacing w:line="240" w:lineRule="auto"/>
    </w:pPr>
    <w:rPr>
      <w:sz w:val="20"/>
      <w:szCs w:val="20"/>
    </w:rPr>
  </w:style>
  <w:style w:type="character" w:customStyle="1" w:styleId="CommentTextChar">
    <w:name w:val="Comment Text Char"/>
    <w:basedOn w:val="DefaultParagraphFont"/>
    <w:link w:val="CommentText"/>
    <w:uiPriority w:val="99"/>
    <w:semiHidden/>
    <w:rsid w:val="00DB3661"/>
    <w:rPr>
      <w:sz w:val="20"/>
      <w:szCs w:val="20"/>
    </w:rPr>
  </w:style>
  <w:style w:type="paragraph" w:styleId="CommentSubject">
    <w:name w:val="annotation subject"/>
    <w:basedOn w:val="CommentText"/>
    <w:next w:val="CommentText"/>
    <w:link w:val="CommentSubjectChar"/>
    <w:uiPriority w:val="99"/>
    <w:semiHidden/>
    <w:unhideWhenUsed/>
    <w:rsid w:val="00DB3661"/>
    <w:rPr>
      <w:b/>
      <w:bCs/>
    </w:rPr>
  </w:style>
  <w:style w:type="character" w:customStyle="1" w:styleId="CommentSubjectChar">
    <w:name w:val="Comment Subject Char"/>
    <w:basedOn w:val="CommentTextChar"/>
    <w:link w:val="CommentSubject"/>
    <w:uiPriority w:val="99"/>
    <w:semiHidden/>
    <w:rsid w:val="00DB3661"/>
    <w:rPr>
      <w:b/>
      <w:bCs/>
      <w:sz w:val="20"/>
      <w:szCs w:val="20"/>
    </w:rPr>
  </w:style>
  <w:style w:type="character" w:customStyle="1" w:styleId="Heading2Char">
    <w:name w:val="Heading 2 Char"/>
    <w:basedOn w:val="DefaultParagraphFont"/>
    <w:link w:val="Heading2"/>
    <w:uiPriority w:val="9"/>
    <w:rsid w:val="00BD7D4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BD7D40"/>
    <w:rPr>
      <w:rFonts w:ascii="Times New Roman" w:eastAsiaTheme="majorEastAsia" w:hAnsi="Times New Roman" w:cstheme="majorBidi"/>
      <w:b/>
      <w:bCs/>
      <w:sz w:val="24"/>
    </w:rPr>
  </w:style>
  <w:style w:type="paragraph" w:styleId="TOC1">
    <w:name w:val="toc 1"/>
    <w:basedOn w:val="Normal"/>
    <w:next w:val="Normal"/>
    <w:autoRedefine/>
    <w:uiPriority w:val="39"/>
    <w:unhideWhenUsed/>
    <w:qFormat/>
    <w:rsid w:val="00BD7D40"/>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2A0AC8"/>
    <w:pPr>
      <w:tabs>
        <w:tab w:val="decimal" w:leader="dot" w:pos="8640"/>
      </w:tabs>
      <w:spacing w:after="240" w:line="240" w:lineRule="auto"/>
      <w:ind w:left="1440" w:hanging="720"/>
    </w:pPr>
    <w:rPr>
      <w:rFonts w:ascii="Times New Roman" w:hAnsi="Times New Roman"/>
      <w:sz w:val="24"/>
    </w:rPr>
  </w:style>
  <w:style w:type="character" w:styleId="FollowedHyperlink">
    <w:name w:val="FollowedHyperlink"/>
    <w:basedOn w:val="DefaultParagraphFont"/>
    <w:uiPriority w:val="99"/>
    <w:semiHidden/>
    <w:unhideWhenUsed/>
    <w:rsid w:val="006C4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oore@occ.ohio.gov" TargetMode="External"/><Relationship Id="rId13" Type="http://schemas.openxmlformats.org/officeDocument/2006/relationships/footer" Target="footer3.xml"/><Relationship Id="rId18" Type="http://schemas.openxmlformats.org/officeDocument/2006/relationships/hyperlink" Target="mailto:Jeanne.Kingery@duke-energ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my.Spiller@duke-energy.com" TargetMode="External"/><Relationship Id="rId2" Type="http://schemas.openxmlformats.org/officeDocument/2006/relationships/styles" Target="styles.xml"/><Relationship Id="rId16" Type="http://schemas.openxmlformats.org/officeDocument/2006/relationships/hyperlink" Target="mailto:cmooney@ohiopartners.or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homas.lindgren@puc.state.oh.us" TargetMode="External"/><Relationship Id="rId10" Type="http://schemas.openxmlformats.org/officeDocument/2006/relationships/footer" Target="footer1.xml"/><Relationship Id="rId19" Type="http://schemas.openxmlformats.org/officeDocument/2006/relationships/hyperlink" Target="mailto:Megan.addison@puc.state.oh.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evin.moore@occ.ohio.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ip.phmsa.dot.gov/analyticsSOAP/saw.dll?PortalPages" TargetMode="External"/><Relationship Id="rId1" Type="http://schemas.openxmlformats.org/officeDocument/2006/relationships/hyperlink" Target="https://hip.phmsa.dot.gov/analyticsSOAP/saw.dll?PortalPages&amp;NQUser=PDM_WEB_USER&amp;NQPassword=Public_Web_User1&amp;PortalPath=/shared/PDM%20Public%20Website/_portal/GD%20IM%20P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2015-12-23T17:39:00Z</cp:lastPrinted>
  <dcterms:created xsi:type="dcterms:W3CDTF">2015-12-23T18:45:00Z</dcterms:created>
  <dcterms:modified xsi:type="dcterms:W3CDTF">2015-12-23T18:47:00Z</dcterms:modified>
  <cp:category> </cp:category>
  <cp:contentStatus> </cp:contentStatus>
</cp:coreProperties>
</file>