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50167" w14:textId="77777777" w:rsidR="00222345" w:rsidRPr="000D5558" w:rsidRDefault="00222345" w:rsidP="0015109D">
      <w:pPr>
        <w:pStyle w:val="Title"/>
        <w:outlineLvl w:val="0"/>
      </w:pPr>
      <w:r w:rsidRPr="000D5558">
        <w:t>BEFORE</w:t>
      </w:r>
    </w:p>
    <w:p w14:paraId="6793D3D0" w14:textId="77777777" w:rsidR="00222345" w:rsidRPr="000D5558" w:rsidRDefault="00222345" w:rsidP="0015109D">
      <w:pPr>
        <w:pStyle w:val="Subtitle"/>
      </w:pPr>
      <w:r w:rsidRPr="000D5558">
        <w:t>THE PUBLIC UTILITIES COMMISSION OF OHIO</w:t>
      </w:r>
    </w:p>
    <w:p w14:paraId="2D31B518" w14:textId="77777777" w:rsidR="00222345" w:rsidRPr="000D5558" w:rsidRDefault="00222345" w:rsidP="0015109D">
      <w:pPr>
        <w:rPr>
          <w:rFonts w:ascii="Arial" w:hAnsi="Arial" w:cs="Arial"/>
        </w:rPr>
      </w:pPr>
    </w:p>
    <w:p w14:paraId="66FD2E16" w14:textId="77777777" w:rsidR="00222345" w:rsidRPr="000D5558" w:rsidRDefault="00222345" w:rsidP="00D51245">
      <w:pPr>
        <w:rPr>
          <w:rFonts w:ascii="Arial" w:hAnsi="Arial" w:cs="Arial"/>
        </w:rPr>
      </w:pPr>
    </w:p>
    <w:p w14:paraId="19DDF011" w14:textId="77777777" w:rsidR="00222345" w:rsidRDefault="00222345" w:rsidP="00D51245">
      <w:pPr>
        <w:tabs>
          <w:tab w:val="left" w:pos="4320"/>
        </w:tabs>
        <w:rPr>
          <w:rFonts w:ascii="Arial" w:hAnsi="Arial" w:cs="Arial"/>
        </w:rPr>
      </w:pPr>
      <w:r>
        <w:rPr>
          <w:rFonts w:ascii="Arial" w:hAnsi="Arial" w:cs="Arial"/>
        </w:rPr>
        <w:t xml:space="preserve">In the Matter of the Application of Duke </w:t>
      </w:r>
      <w:r>
        <w:rPr>
          <w:rFonts w:ascii="Arial" w:hAnsi="Arial" w:cs="Arial"/>
        </w:rPr>
        <w:tab/>
        <w:t>)</w:t>
      </w:r>
    </w:p>
    <w:p w14:paraId="724F6921" w14:textId="77777777" w:rsidR="00222345" w:rsidRPr="000D5558" w:rsidRDefault="00222345" w:rsidP="00D51245">
      <w:pPr>
        <w:tabs>
          <w:tab w:val="left" w:pos="4320"/>
        </w:tabs>
        <w:rPr>
          <w:rFonts w:ascii="Arial" w:hAnsi="Arial" w:cs="Arial"/>
        </w:rPr>
      </w:pPr>
      <w:r>
        <w:rPr>
          <w:rFonts w:ascii="Arial" w:hAnsi="Arial" w:cs="Arial"/>
        </w:rPr>
        <w:t xml:space="preserve">Energy Ohio, Inc. for Approval to  </w:t>
      </w:r>
      <w:r>
        <w:rPr>
          <w:rFonts w:ascii="Arial" w:hAnsi="Arial" w:cs="Arial"/>
        </w:rPr>
        <w:tab/>
      </w:r>
      <w:r w:rsidRPr="000D5558">
        <w:rPr>
          <w:rFonts w:ascii="Arial" w:hAnsi="Arial" w:cs="Arial"/>
        </w:rPr>
        <w:t>)</w:t>
      </w:r>
    </w:p>
    <w:p w14:paraId="6B811697" w14:textId="77777777" w:rsidR="00222345" w:rsidRDefault="00222345" w:rsidP="00D51245">
      <w:pPr>
        <w:tabs>
          <w:tab w:val="left" w:pos="4320"/>
        </w:tabs>
        <w:ind w:right="-360"/>
        <w:rPr>
          <w:rFonts w:ascii="Arial" w:hAnsi="Arial" w:cs="Arial"/>
        </w:rPr>
      </w:pPr>
      <w:r>
        <w:rPr>
          <w:rFonts w:ascii="Arial" w:hAnsi="Arial" w:cs="Arial"/>
        </w:rPr>
        <w:t>Continue Cost Recovery Mechanism</w:t>
      </w:r>
      <w:r>
        <w:rPr>
          <w:rFonts w:ascii="Arial" w:hAnsi="Arial" w:cs="Arial"/>
        </w:rPr>
        <w:tab/>
        <w:t>)</w:t>
      </w:r>
      <w:r>
        <w:rPr>
          <w:rFonts w:ascii="Arial" w:hAnsi="Arial" w:cs="Arial"/>
        </w:rPr>
        <w:tab/>
        <w:t>Case No. 14-1580-EL-RDR</w:t>
      </w:r>
    </w:p>
    <w:p w14:paraId="524C8595" w14:textId="77777777" w:rsidR="00222345" w:rsidRDefault="00222345" w:rsidP="00D51245">
      <w:pPr>
        <w:tabs>
          <w:tab w:val="left" w:pos="4320"/>
        </w:tabs>
        <w:ind w:right="-360"/>
        <w:rPr>
          <w:rFonts w:ascii="Arial" w:hAnsi="Arial" w:cs="Arial"/>
        </w:rPr>
      </w:pPr>
      <w:r>
        <w:rPr>
          <w:rFonts w:ascii="Arial" w:hAnsi="Arial" w:cs="Arial"/>
        </w:rPr>
        <w:t>For Energy Efficiency Programs</w:t>
      </w:r>
      <w:r>
        <w:rPr>
          <w:rFonts w:ascii="Arial" w:hAnsi="Arial" w:cs="Arial"/>
        </w:rPr>
        <w:tab/>
        <w:t>)</w:t>
      </w:r>
    </w:p>
    <w:p w14:paraId="5CAD802A" w14:textId="77777777" w:rsidR="00222345" w:rsidRDefault="00222345" w:rsidP="00D51245">
      <w:pPr>
        <w:tabs>
          <w:tab w:val="left" w:pos="4320"/>
        </w:tabs>
        <w:ind w:right="-360"/>
        <w:rPr>
          <w:rFonts w:ascii="Arial" w:hAnsi="Arial" w:cs="Arial"/>
        </w:rPr>
      </w:pPr>
      <w:r>
        <w:rPr>
          <w:rFonts w:ascii="Arial" w:hAnsi="Arial" w:cs="Arial"/>
        </w:rPr>
        <w:t>through 2016.</w:t>
      </w:r>
      <w:r>
        <w:rPr>
          <w:rFonts w:ascii="Arial" w:hAnsi="Arial" w:cs="Arial"/>
        </w:rPr>
        <w:tab/>
        <w:t>)</w:t>
      </w:r>
    </w:p>
    <w:p w14:paraId="071ABFB3" w14:textId="77777777" w:rsidR="00222345" w:rsidRPr="000D5558" w:rsidRDefault="00222345" w:rsidP="00D51245">
      <w:pPr>
        <w:pBdr>
          <w:bottom w:val="single" w:sz="12" w:space="1" w:color="auto"/>
        </w:pBdr>
        <w:tabs>
          <w:tab w:val="left" w:pos="720"/>
          <w:tab w:val="left" w:pos="1440"/>
          <w:tab w:val="left" w:pos="2160"/>
          <w:tab w:val="left" w:pos="2880"/>
          <w:tab w:val="left" w:pos="3600"/>
        </w:tabs>
        <w:rPr>
          <w:rFonts w:ascii="Arial" w:hAnsi="Arial" w:cs="Arial"/>
        </w:rPr>
      </w:pPr>
    </w:p>
    <w:p w14:paraId="2838F3D8" w14:textId="77777777" w:rsidR="00222345" w:rsidRPr="000D5558" w:rsidRDefault="00222345" w:rsidP="0015109D">
      <w:pPr>
        <w:rPr>
          <w:rFonts w:ascii="Arial" w:hAnsi="Arial" w:cs="Arial"/>
        </w:rPr>
      </w:pPr>
    </w:p>
    <w:p w14:paraId="2BEF79B1" w14:textId="332F571A" w:rsidR="00222345" w:rsidRPr="000D5558" w:rsidRDefault="00216776" w:rsidP="0015109D">
      <w:pPr>
        <w:jc w:val="center"/>
        <w:outlineLvl w:val="0"/>
        <w:rPr>
          <w:rFonts w:ascii="Arial" w:hAnsi="Arial" w:cs="Arial"/>
          <w:b/>
          <w:bCs/>
          <w:sz w:val="26"/>
          <w:szCs w:val="26"/>
        </w:rPr>
      </w:pPr>
      <w:r>
        <w:rPr>
          <w:rFonts w:ascii="Arial" w:hAnsi="Arial" w:cs="Arial"/>
          <w:b/>
          <w:bCs/>
          <w:sz w:val="26"/>
          <w:szCs w:val="26"/>
        </w:rPr>
        <w:t>REPLY</w:t>
      </w:r>
      <w:r w:rsidR="00583429">
        <w:rPr>
          <w:rFonts w:ascii="Arial" w:hAnsi="Arial" w:cs="Arial"/>
          <w:b/>
          <w:bCs/>
          <w:sz w:val="26"/>
          <w:szCs w:val="26"/>
        </w:rPr>
        <w:t xml:space="preserve"> BRIEF </w:t>
      </w:r>
      <w:r w:rsidR="00222345">
        <w:rPr>
          <w:rFonts w:ascii="Arial" w:hAnsi="Arial" w:cs="Arial"/>
          <w:b/>
          <w:bCs/>
          <w:sz w:val="26"/>
          <w:szCs w:val="26"/>
        </w:rPr>
        <w:t xml:space="preserve">OF </w:t>
      </w:r>
      <w:r w:rsidR="00222345" w:rsidRPr="000D5558">
        <w:rPr>
          <w:rFonts w:ascii="Arial" w:hAnsi="Arial" w:cs="Arial"/>
          <w:b/>
          <w:bCs/>
          <w:sz w:val="26"/>
          <w:szCs w:val="26"/>
        </w:rPr>
        <w:t>OHIO PARTNERS FOR AFFORDABLE ENERGY</w:t>
      </w:r>
    </w:p>
    <w:p w14:paraId="1D1C3513" w14:textId="77777777" w:rsidR="00222345" w:rsidRPr="000D5558" w:rsidRDefault="00222345" w:rsidP="0015109D">
      <w:pPr>
        <w:pBdr>
          <w:bottom w:val="single" w:sz="12" w:space="1" w:color="auto"/>
        </w:pBdr>
        <w:tabs>
          <w:tab w:val="left" w:pos="720"/>
          <w:tab w:val="left" w:pos="1440"/>
          <w:tab w:val="left" w:pos="2160"/>
          <w:tab w:val="left" w:pos="2880"/>
          <w:tab w:val="left" w:pos="3600"/>
        </w:tabs>
        <w:ind w:left="3600" w:hanging="3600"/>
        <w:rPr>
          <w:rFonts w:ascii="Arial" w:hAnsi="Arial" w:cs="Arial"/>
        </w:rPr>
      </w:pPr>
    </w:p>
    <w:p w14:paraId="7811F0EF" w14:textId="174F7BA1" w:rsidR="00222345" w:rsidRPr="0042219D" w:rsidRDefault="00222345" w:rsidP="00CD45FC">
      <w:pPr>
        <w:pStyle w:val="ListParagraph"/>
        <w:numPr>
          <w:ilvl w:val="0"/>
          <w:numId w:val="16"/>
        </w:numPr>
        <w:spacing w:line="480" w:lineRule="atLeast"/>
        <w:ind w:left="720" w:right="-180"/>
        <w:rPr>
          <w:rFonts w:ascii="Arial" w:hAnsi="Arial" w:cs="Arial"/>
          <w:b/>
          <w:bCs/>
        </w:rPr>
      </w:pPr>
      <w:r w:rsidRPr="0042219D">
        <w:rPr>
          <w:rFonts w:ascii="Arial" w:hAnsi="Arial" w:cs="Arial"/>
          <w:b/>
          <w:bCs/>
        </w:rPr>
        <w:t>INTRODUCTION</w:t>
      </w:r>
    </w:p>
    <w:p w14:paraId="08B8B901" w14:textId="7E01B240" w:rsidR="006A031B" w:rsidRPr="006A031B" w:rsidRDefault="006A031B" w:rsidP="006A031B">
      <w:pPr>
        <w:pStyle w:val="ListParagraph"/>
        <w:spacing w:line="480" w:lineRule="atLeast"/>
        <w:ind w:left="0" w:right="-180" w:firstLine="720"/>
        <w:rPr>
          <w:rFonts w:ascii="Arial" w:hAnsi="Arial" w:cs="Arial"/>
          <w:bCs/>
        </w:rPr>
      </w:pPr>
      <w:r w:rsidRPr="000D5558">
        <w:rPr>
          <w:rFonts w:ascii="Arial" w:hAnsi="Arial" w:cs="Arial"/>
        </w:rPr>
        <w:t>Ohio Partners for Affordable Energy (“</w:t>
      </w:r>
      <w:r>
        <w:rPr>
          <w:rFonts w:ascii="Arial" w:hAnsi="Arial" w:cs="Arial"/>
        </w:rPr>
        <w:t>OPAE”) hereby respectfully submits to</w:t>
      </w:r>
      <w:r w:rsidRPr="000D5558">
        <w:rPr>
          <w:rFonts w:ascii="Arial" w:hAnsi="Arial" w:cs="Arial"/>
        </w:rPr>
        <w:t xml:space="preserve"> the Public Utilities Commission of Ohio (“Commission”) </w:t>
      </w:r>
      <w:r>
        <w:rPr>
          <w:rFonts w:ascii="Arial" w:hAnsi="Arial" w:cs="Arial"/>
        </w:rPr>
        <w:t>this reply brief</w:t>
      </w:r>
      <w:r>
        <w:rPr>
          <w:rFonts w:ascii="Arial" w:hAnsi="Arial" w:cs="Arial"/>
          <w:bCs/>
        </w:rPr>
        <w:t xml:space="preserve"> regarding the application of Duke in this matter.</w:t>
      </w:r>
    </w:p>
    <w:p w14:paraId="49FB3158" w14:textId="1D9F70E9" w:rsidR="00786ECA" w:rsidRDefault="00216776" w:rsidP="000A7ECA">
      <w:pPr>
        <w:spacing w:line="480" w:lineRule="atLeast"/>
        <w:ind w:right="-180"/>
        <w:rPr>
          <w:rFonts w:ascii="Arial" w:hAnsi="Arial" w:cs="Arial"/>
        </w:rPr>
      </w:pPr>
      <w:r>
        <w:rPr>
          <w:rFonts w:ascii="Arial" w:hAnsi="Arial" w:cs="Arial"/>
          <w:bCs/>
        </w:rPr>
        <w:t xml:space="preserve"> </w:t>
      </w:r>
      <w:r w:rsidR="00CD45FC">
        <w:rPr>
          <w:rFonts w:ascii="Arial" w:hAnsi="Arial" w:cs="Arial"/>
        </w:rPr>
        <w:tab/>
      </w:r>
      <w:r w:rsidR="00FF5169">
        <w:rPr>
          <w:rFonts w:ascii="Arial" w:hAnsi="Arial" w:cs="Arial"/>
        </w:rPr>
        <w:t>This case is not about whether to continue a “</w:t>
      </w:r>
      <w:r w:rsidR="00FF5169">
        <w:rPr>
          <w:rFonts w:ascii="Arial" w:hAnsi="Arial" w:cs="Arial"/>
          <w:u w:val="single"/>
        </w:rPr>
        <w:t>cost recovery mechanism</w:t>
      </w:r>
      <w:r w:rsidR="00FF5169">
        <w:rPr>
          <w:rFonts w:ascii="Arial" w:hAnsi="Arial" w:cs="Arial"/>
        </w:rPr>
        <w:t>” of an existing “</w:t>
      </w:r>
      <w:r w:rsidR="00FF5169">
        <w:rPr>
          <w:rFonts w:ascii="Arial" w:hAnsi="Arial" w:cs="Arial"/>
          <w:u w:val="single"/>
        </w:rPr>
        <w:t>portfolio</w:t>
      </w:r>
      <w:r w:rsidR="00FF5169">
        <w:rPr>
          <w:rFonts w:ascii="Arial" w:hAnsi="Arial" w:cs="Arial"/>
        </w:rPr>
        <w:t xml:space="preserve"> of energy efficiency and pea</w:t>
      </w:r>
      <w:r w:rsidR="00F9023E">
        <w:rPr>
          <w:rFonts w:ascii="Arial" w:hAnsi="Arial" w:cs="Arial"/>
        </w:rPr>
        <w:t xml:space="preserve">k demand reduction programs….”  </w:t>
      </w:r>
      <w:r w:rsidR="00FF5169">
        <w:rPr>
          <w:rFonts w:ascii="Arial" w:hAnsi="Arial" w:cs="Arial"/>
        </w:rPr>
        <w:t>Initial Post Hearing Brief of Duke Energy Ohio, Inc. at 1 (August 21, 2015), (“Duke Brief”).</w:t>
      </w:r>
      <w:r w:rsidR="00C17269">
        <w:rPr>
          <w:rFonts w:ascii="Arial" w:hAnsi="Arial" w:cs="Arial"/>
        </w:rPr>
        <w:t xml:space="preserve"> [Emphasis in original.]</w:t>
      </w:r>
      <w:r w:rsidR="00FF5169">
        <w:rPr>
          <w:rFonts w:ascii="Arial" w:hAnsi="Arial" w:cs="Arial"/>
        </w:rPr>
        <w:t xml:space="preserve">  It is about whether to continue a </w:t>
      </w:r>
      <w:r w:rsidR="00FF5169" w:rsidRPr="00FF5169">
        <w:rPr>
          <w:rFonts w:ascii="Arial" w:hAnsi="Arial" w:cs="Arial"/>
          <w:i/>
        </w:rPr>
        <w:t>shared savings</w:t>
      </w:r>
      <w:r w:rsidR="00FF5169">
        <w:rPr>
          <w:rFonts w:ascii="Arial" w:hAnsi="Arial" w:cs="Arial"/>
        </w:rPr>
        <w:t xml:space="preserve"> mechanism, a component of Duke’s current portfolio, which explicitly expires at the end of 2015.  Cost recovery for the programs is not at issue in this case; the Commission </w:t>
      </w:r>
      <w:r w:rsidR="00056364">
        <w:rPr>
          <w:rFonts w:ascii="Arial" w:hAnsi="Arial" w:cs="Arial"/>
        </w:rPr>
        <w:t>has made clear</w:t>
      </w:r>
      <w:r w:rsidR="00FF5169">
        <w:rPr>
          <w:rFonts w:ascii="Arial" w:hAnsi="Arial" w:cs="Arial"/>
        </w:rPr>
        <w:t xml:space="preserve"> that cost recovery continues into 2016 regardless of whether a shared savings incentive exists during that program year.  Under the terms of two stipulation</w:t>
      </w:r>
      <w:r w:rsidR="00601B30">
        <w:rPr>
          <w:rFonts w:ascii="Arial" w:hAnsi="Arial" w:cs="Arial"/>
        </w:rPr>
        <w:t>s</w:t>
      </w:r>
      <w:r w:rsidR="00FF5169">
        <w:rPr>
          <w:rFonts w:ascii="Arial" w:hAnsi="Arial" w:cs="Arial"/>
        </w:rPr>
        <w:t>,</w:t>
      </w:r>
      <w:r w:rsidR="006A031B">
        <w:rPr>
          <w:rFonts w:ascii="Arial" w:hAnsi="Arial" w:cs="Arial"/>
        </w:rPr>
        <w:t xml:space="preserve"> </w:t>
      </w:r>
      <w:r w:rsidR="002D4125">
        <w:rPr>
          <w:rFonts w:ascii="Arial" w:hAnsi="Arial" w:cs="Arial"/>
        </w:rPr>
        <w:t>it is</w:t>
      </w:r>
      <w:r w:rsidR="00FF5169">
        <w:rPr>
          <w:rFonts w:ascii="Arial" w:hAnsi="Arial" w:cs="Arial"/>
        </w:rPr>
        <w:t xml:space="preserve"> the shared saving incentive </w:t>
      </w:r>
      <w:r w:rsidR="0042219D">
        <w:rPr>
          <w:rFonts w:ascii="Arial" w:hAnsi="Arial" w:cs="Arial"/>
        </w:rPr>
        <w:t xml:space="preserve">that </w:t>
      </w:r>
      <w:r w:rsidR="00FF5169">
        <w:rPr>
          <w:rFonts w:ascii="Arial" w:hAnsi="Arial" w:cs="Arial"/>
        </w:rPr>
        <w:t xml:space="preserve">expires at </w:t>
      </w:r>
      <w:r w:rsidR="0042219D">
        <w:rPr>
          <w:rFonts w:ascii="Arial" w:hAnsi="Arial" w:cs="Arial"/>
        </w:rPr>
        <w:t>the end of 201</w:t>
      </w:r>
      <w:r w:rsidR="00FF5169">
        <w:rPr>
          <w:rFonts w:ascii="Arial" w:hAnsi="Arial" w:cs="Arial"/>
        </w:rPr>
        <w:t>5</w:t>
      </w:r>
      <w:r w:rsidR="0042219D">
        <w:rPr>
          <w:rFonts w:ascii="Arial" w:hAnsi="Arial" w:cs="Arial"/>
        </w:rPr>
        <w:t xml:space="preserve"> and cannot be extended for another year</w:t>
      </w:r>
      <w:r w:rsidR="00FF5169">
        <w:rPr>
          <w:rFonts w:ascii="Arial" w:hAnsi="Arial" w:cs="Arial"/>
        </w:rPr>
        <w:t xml:space="preserve">. </w:t>
      </w:r>
    </w:p>
    <w:p w14:paraId="3DD5CEBB" w14:textId="44A0E6C4" w:rsidR="00FF5169" w:rsidRDefault="00FF5169" w:rsidP="000A7ECA">
      <w:pPr>
        <w:spacing w:line="480" w:lineRule="atLeast"/>
        <w:ind w:right="-180"/>
        <w:rPr>
          <w:rFonts w:ascii="Arial" w:hAnsi="Arial" w:cs="Arial"/>
        </w:rPr>
      </w:pPr>
      <w:r>
        <w:rPr>
          <w:rFonts w:ascii="Arial" w:hAnsi="Arial" w:cs="Arial"/>
        </w:rPr>
        <w:t xml:space="preserve"> </w:t>
      </w:r>
    </w:p>
    <w:p w14:paraId="3F021DD7" w14:textId="77777777" w:rsidR="002D4125" w:rsidRDefault="002D4125">
      <w:pPr>
        <w:rPr>
          <w:rFonts w:ascii="Arial" w:hAnsi="Arial" w:cs="Arial"/>
          <w:b/>
        </w:rPr>
      </w:pPr>
      <w:r>
        <w:rPr>
          <w:rFonts w:ascii="Arial" w:hAnsi="Arial" w:cs="Arial"/>
          <w:b/>
        </w:rPr>
        <w:br w:type="page"/>
      </w:r>
    </w:p>
    <w:p w14:paraId="6033DE18" w14:textId="11ECA852" w:rsidR="00631B4C" w:rsidRDefault="00786ECA" w:rsidP="00786ECA">
      <w:pPr>
        <w:ind w:left="720" w:right="-180" w:hanging="720"/>
        <w:rPr>
          <w:rFonts w:ascii="Arial" w:hAnsi="Arial"/>
          <w:b/>
        </w:rPr>
      </w:pPr>
      <w:r>
        <w:rPr>
          <w:rFonts w:ascii="Arial" w:hAnsi="Arial" w:cs="Arial"/>
          <w:b/>
        </w:rPr>
        <w:t>II.</w:t>
      </w:r>
      <w:r>
        <w:rPr>
          <w:rFonts w:ascii="Arial" w:hAnsi="Arial" w:cs="Arial"/>
          <w:b/>
        </w:rPr>
        <w:tab/>
      </w:r>
      <w:r w:rsidR="00631B4C" w:rsidRPr="0042219D">
        <w:rPr>
          <w:rFonts w:ascii="Arial" w:hAnsi="Arial" w:cs="Arial"/>
          <w:b/>
          <w:caps/>
        </w:rPr>
        <w:t>The</w:t>
      </w:r>
      <w:r w:rsidR="00631B4C" w:rsidRPr="0042219D">
        <w:rPr>
          <w:rFonts w:ascii="Arial" w:hAnsi="Arial"/>
          <w:b/>
          <w:caps/>
        </w:rPr>
        <w:t xml:space="preserve"> Extension of Duke Energy Ohio’s Shared Savings Mechanism is Prohibited by Amd. SB 310</w:t>
      </w:r>
      <w:r w:rsidR="00631B4C" w:rsidRPr="00786ECA">
        <w:rPr>
          <w:rFonts w:ascii="Arial" w:hAnsi="Arial"/>
          <w:b/>
        </w:rPr>
        <w:t>.</w:t>
      </w:r>
    </w:p>
    <w:p w14:paraId="08BB57F1" w14:textId="77777777" w:rsidR="0042219D" w:rsidRDefault="0042219D" w:rsidP="00786ECA">
      <w:pPr>
        <w:ind w:left="720" w:right="-180" w:hanging="720"/>
        <w:rPr>
          <w:rFonts w:ascii="Arial" w:hAnsi="Arial" w:cs="Arial"/>
        </w:rPr>
      </w:pPr>
    </w:p>
    <w:p w14:paraId="5333CE69" w14:textId="2DF2FD72" w:rsidR="00631B4C" w:rsidRDefault="00631B4C" w:rsidP="00077049">
      <w:pPr>
        <w:spacing w:line="480" w:lineRule="auto"/>
        <w:ind w:right="-187" w:firstLine="720"/>
        <w:rPr>
          <w:rFonts w:ascii="Arial" w:hAnsi="Arial" w:cs="Arial"/>
        </w:rPr>
      </w:pPr>
      <w:r w:rsidRPr="00631B4C">
        <w:rPr>
          <w:rFonts w:ascii="Arial" w:hAnsi="Arial" w:cs="Arial"/>
        </w:rPr>
        <w:t>Amd. SB 310 (“SB 310”) does not permit the amendment to the portfolio plan Duke is requesting.  The application in this case should be dismissed.</w:t>
      </w:r>
      <w:r>
        <w:rPr>
          <w:rStyle w:val="FootnoteReference"/>
          <w:rFonts w:ascii="Arial" w:hAnsi="Arial" w:cs="Arial"/>
        </w:rPr>
        <w:footnoteReference w:id="1"/>
      </w:r>
    </w:p>
    <w:p w14:paraId="5D752408" w14:textId="0F558BAC" w:rsidR="0000049B" w:rsidRDefault="0000049B" w:rsidP="00786ECA">
      <w:pPr>
        <w:spacing w:line="480" w:lineRule="auto"/>
        <w:ind w:right="-187" w:firstLine="720"/>
        <w:rPr>
          <w:rFonts w:ascii="Arial" w:hAnsi="Arial" w:cs="Arial"/>
        </w:rPr>
      </w:pPr>
      <w:r>
        <w:rPr>
          <w:rFonts w:ascii="Arial" w:hAnsi="Arial" w:cs="Arial"/>
        </w:rPr>
        <w:t xml:space="preserve">SB 310 clearly defined the options available to utilities during and after the two year freeze of the energy efficiency benchmarks.  A utility could continue </w:t>
      </w:r>
      <w:r w:rsidR="00786ECA">
        <w:rPr>
          <w:rFonts w:ascii="Arial" w:hAnsi="Arial" w:cs="Arial"/>
        </w:rPr>
        <w:t xml:space="preserve">its existing </w:t>
      </w:r>
      <w:r w:rsidR="00786ECA">
        <w:rPr>
          <w:rFonts w:ascii="Arial" w:hAnsi="Arial" w:cs="Arial"/>
        </w:rPr>
        <w:lastRenderedPageBreak/>
        <w:t xml:space="preserve">portfolio </w:t>
      </w:r>
      <w:r>
        <w:rPr>
          <w:rFonts w:ascii="Arial" w:hAnsi="Arial" w:cs="Arial"/>
        </w:rPr>
        <w:t xml:space="preserve">with no amendments.  </w:t>
      </w:r>
      <w:r w:rsidR="00786ECA">
        <w:rPr>
          <w:rFonts w:ascii="Arial" w:hAnsi="Arial" w:cs="Arial"/>
        </w:rPr>
        <w:t xml:space="preserve">The Commission was prohibited </w:t>
      </w:r>
      <w:r w:rsidR="00601B30">
        <w:rPr>
          <w:rFonts w:ascii="Arial" w:hAnsi="Arial" w:cs="Arial"/>
        </w:rPr>
        <w:t>from</w:t>
      </w:r>
      <w:r w:rsidR="00786ECA">
        <w:rPr>
          <w:rFonts w:ascii="Arial" w:hAnsi="Arial" w:cs="Arial"/>
        </w:rPr>
        <w:t xml:space="preserve"> acting on a</w:t>
      </w:r>
      <w:r>
        <w:rPr>
          <w:rFonts w:ascii="Arial" w:hAnsi="Arial" w:cs="Arial"/>
        </w:rPr>
        <w:t xml:space="preserve">ny </w:t>
      </w:r>
      <w:r w:rsidR="00786ECA">
        <w:rPr>
          <w:rFonts w:ascii="Arial" w:hAnsi="Arial" w:cs="Arial"/>
        </w:rPr>
        <w:t>application</w:t>
      </w:r>
      <w:r>
        <w:rPr>
          <w:rFonts w:ascii="Arial" w:hAnsi="Arial" w:cs="Arial"/>
        </w:rPr>
        <w:t xml:space="preserve"> to amend </w:t>
      </w:r>
      <w:r w:rsidR="00786ECA">
        <w:rPr>
          <w:rFonts w:ascii="Arial" w:hAnsi="Arial" w:cs="Arial"/>
        </w:rPr>
        <w:t xml:space="preserve">a portfolio </w:t>
      </w:r>
      <w:r>
        <w:rPr>
          <w:rFonts w:ascii="Arial" w:hAnsi="Arial" w:cs="Arial"/>
        </w:rPr>
        <w:t xml:space="preserve">plan </w:t>
      </w:r>
      <w:r w:rsidR="00786ECA">
        <w:rPr>
          <w:rFonts w:ascii="Arial" w:hAnsi="Arial" w:cs="Arial"/>
        </w:rPr>
        <w:t>that w</w:t>
      </w:r>
      <w:r w:rsidR="00601B30">
        <w:rPr>
          <w:rFonts w:ascii="Arial" w:hAnsi="Arial" w:cs="Arial"/>
        </w:rPr>
        <w:t>as</w:t>
      </w:r>
      <w:r w:rsidR="00786ECA">
        <w:rPr>
          <w:rFonts w:ascii="Arial" w:hAnsi="Arial" w:cs="Arial"/>
        </w:rPr>
        <w:t xml:space="preserve"> </w:t>
      </w:r>
      <w:r>
        <w:rPr>
          <w:rFonts w:ascii="Arial" w:hAnsi="Arial" w:cs="Arial"/>
        </w:rPr>
        <w:t>pending on the effective date of SB 310.  If a utility wanted to amend its plan, it had to file the amendment in the first 30 days after the effective date of the legislation, October 12, 2014.</w:t>
      </w:r>
    </w:p>
    <w:p w14:paraId="5935CA42" w14:textId="51DB30ED" w:rsidR="0000049B" w:rsidRDefault="0000049B" w:rsidP="00786ECA">
      <w:pPr>
        <w:spacing w:line="480" w:lineRule="auto"/>
        <w:ind w:right="-187" w:firstLine="720"/>
        <w:rPr>
          <w:rFonts w:ascii="Arial" w:hAnsi="Arial" w:cs="Arial"/>
        </w:rPr>
      </w:pPr>
      <w:r>
        <w:rPr>
          <w:rFonts w:ascii="Arial" w:hAnsi="Arial" w:cs="Arial"/>
        </w:rPr>
        <w:t>Taking these options in reverse order, Duke did not file to amend its plan during the first 30 days after the effective date of the law.  Duke did file to amend its portfolio plan prior to the effective date of SB 310, but the Commission is prohibited from acting on that request.  That left Duke with the option taken by AEP Ohio and The Dayton Power &amp; Light Company</w:t>
      </w:r>
      <w:r w:rsidR="00056364">
        <w:rPr>
          <w:rFonts w:ascii="Arial" w:hAnsi="Arial" w:cs="Arial"/>
        </w:rPr>
        <w:t xml:space="preserve"> --</w:t>
      </w:r>
      <w:r>
        <w:rPr>
          <w:rFonts w:ascii="Arial" w:hAnsi="Arial" w:cs="Arial"/>
        </w:rPr>
        <w:t xml:space="preserve"> to leave its portfolio in place</w:t>
      </w:r>
      <w:r w:rsidR="00864542">
        <w:rPr>
          <w:rFonts w:ascii="Arial" w:hAnsi="Arial" w:cs="Arial"/>
        </w:rPr>
        <w:t xml:space="preserve"> with no amendments.  Had Duk</w:t>
      </w:r>
      <w:r w:rsidR="00786ECA">
        <w:rPr>
          <w:rFonts w:ascii="Arial" w:hAnsi="Arial" w:cs="Arial"/>
        </w:rPr>
        <w:t>e wanted to amend its portfolio</w:t>
      </w:r>
      <w:r w:rsidR="0042219D">
        <w:rPr>
          <w:rFonts w:ascii="Arial" w:hAnsi="Arial" w:cs="Arial"/>
        </w:rPr>
        <w:t xml:space="preserve"> as permitted under SB 310 it could have</w:t>
      </w:r>
      <w:r w:rsidR="00864542">
        <w:rPr>
          <w:rFonts w:ascii="Arial" w:hAnsi="Arial" w:cs="Arial"/>
        </w:rPr>
        <w:t>.  It did not.</w:t>
      </w:r>
      <w:r w:rsidR="00A57D53">
        <w:rPr>
          <w:rStyle w:val="FootnoteReference"/>
          <w:rFonts w:ascii="Arial" w:hAnsi="Arial" w:cs="Arial"/>
        </w:rPr>
        <w:footnoteReference w:id="2"/>
      </w:r>
    </w:p>
    <w:p w14:paraId="17E6C574" w14:textId="60F0C95D" w:rsidR="00786ECA" w:rsidRDefault="00864542" w:rsidP="00786ECA">
      <w:pPr>
        <w:spacing w:line="480" w:lineRule="auto"/>
        <w:ind w:right="-187" w:firstLine="720"/>
        <w:rPr>
          <w:rFonts w:ascii="Arial" w:hAnsi="Arial" w:cs="Arial"/>
        </w:rPr>
      </w:pPr>
      <w:r>
        <w:rPr>
          <w:rFonts w:ascii="Arial" w:hAnsi="Arial" w:cs="Arial"/>
        </w:rPr>
        <w:t xml:space="preserve">Staff argues that the shared savings incentive is somehow part of </w:t>
      </w:r>
      <w:r w:rsidR="00786ECA">
        <w:rPr>
          <w:rFonts w:ascii="Arial" w:hAnsi="Arial" w:cs="Arial"/>
        </w:rPr>
        <w:t xml:space="preserve">program </w:t>
      </w:r>
      <w:r>
        <w:rPr>
          <w:rFonts w:ascii="Arial" w:hAnsi="Arial" w:cs="Arial"/>
        </w:rPr>
        <w:t xml:space="preserve">cost recovery and that extending </w:t>
      </w:r>
      <w:r w:rsidR="00786ECA">
        <w:rPr>
          <w:rFonts w:ascii="Arial" w:hAnsi="Arial" w:cs="Arial"/>
        </w:rPr>
        <w:t>some type of</w:t>
      </w:r>
      <w:r>
        <w:rPr>
          <w:rFonts w:ascii="Arial" w:hAnsi="Arial" w:cs="Arial"/>
        </w:rPr>
        <w:t xml:space="preserve"> shared savings mechanism was contemplated in the stipulations in Case Nos. 11-4393-EL-</w:t>
      </w:r>
      <w:r w:rsidR="00BC66A3">
        <w:rPr>
          <w:rFonts w:ascii="Arial" w:hAnsi="Arial" w:cs="Arial"/>
        </w:rPr>
        <w:t>RDR</w:t>
      </w:r>
      <w:r>
        <w:rPr>
          <w:rFonts w:ascii="Arial" w:hAnsi="Arial" w:cs="Arial"/>
        </w:rPr>
        <w:t xml:space="preserve"> and 13-431-EL-POR</w:t>
      </w:r>
      <w:r w:rsidR="00056364">
        <w:rPr>
          <w:rFonts w:ascii="Arial" w:hAnsi="Arial" w:cs="Arial"/>
        </w:rPr>
        <w:t xml:space="preserve"> (“</w:t>
      </w:r>
      <w:r w:rsidR="00056364" w:rsidRPr="00056364">
        <w:rPr>
          <w:rFonts w:ascii="Arial" w:hAnsi="Arial" w:cs="Arial"/>
          <w:i/>
        </w:rPr>
        <w:t>2011 Rider Case</w:t>
      </w:r>
      <w:r w:rsidR="00056364">
        <w:rPr>
          <w:rFonts w:ascii="Arial" w:hAnsi="Arial" w:cs="Arial"/>
        </w:rPr>
        <w:t>” and “</w:t>
      </w:r>
      <w:r w:rsidR="00056364" w:rsidRPr="00056364">
        <w:rPr>
          <w:rFonts w:ascii="Arial" w:hAnsi="Arial" w:cs="Arial"/>
          <w:i/>
        </w:rPr>
        <w:t>2013 Portfolio Case</w:t>
      </w:r>
      <w:r w:rsidR="00056364">
        <w:rPr>
          <w:rFonts w:ascii="Arial" w:hAnsi="Arial" w:cs="Arial"/>
        </w:rPr>
        <w:t>,” respectively</w:t>
      </w:r>
      <w:r>
        <w:rPr>
          <w:rFonts w:ascii="Arial" w:hAnsi="Arial" w:cs="Arial"/>
        </w:rPr>
        <w:t xml:space="preserve">.  This is not correct.  In the </w:t>
      </w:r>
      <w:r w:rsidRPr="00056364">
        <w:rPr>
          <w:rFonts w:ascii="Arial" w:hAnsi="Arial" w:cs="Arial"/>
          <w:i/>
        </w:rPr>
        <w:t xml:space="preserve">2011 </w:t>
      </w:r>
      <w:r w:rsidR="00056364" w:rsidRPr="00056364">
        <w:rPr>
          <w:rFonts w:ascii="Arial" w:hAnsi="Arial" w:cs="Arial"/>
          <w:i/>
        </w:rPr>
        <w:t>Rider Case</w:t>
      </w:r>
      <w:r>
        <w:rPr>
          <w:rFonts w:ascii="Arial" w:hAnsi="Arial" w:cs="Arial"/>
        </w:rPr>
        <w:t xml:space="preserve">, </w:t>
      </w:r>
      <w:r w:rsidR="00056364">
        <w:rPr>
          <w:rFonts w:ascii="Arial" w:hAnsi="Arial" w:cs="Arial"/>
        </w:rPr>
        <w:t xml:space="preserve">Rider EE/PDR, </w:t>
      </w:r>
      <w:r>
        <w:rPr>
          <w:rFonts w:ascii="Arial" w:hAnsi="Arial" w:cs="Arial"/>
        </w:rPr>
        <w:t xml:space="preserve">a </w:t>
      </w:r>
      <w:r w:rsidR="00BC66A3">
        <w:rPr>
          <w:rFonts w:ascii="Arial" w:hAnsi="Arial" w:cs="Arial"/>
        </w:rPr>
        <w:t xml:space="preserve">rider which included </w:t>
      </w:r>
      <w:r w:rsidR="00056364">
        <w:rPr>
          <w:rFonts w:ascii="Arial" w:hAnsi="Arial" w:cs="Arial"/>
        </w:rPr>
        <w:t xml:space="preserve">program cost recovery and </w:t>
      </w:r>
      <w:r w:rsidR="00BC66A3">
        <w:rPr>
          <w:rFonts w:ascii="Arial" w:hAnsi="Arial" w:cs="Arial"/>
        </w:rPr>
        <w:t xml:space="preserve">a shared savings component, </w:t>
      </w:r>
      <w:r>
        <w:rPr>
          <w:rFonts w:ascii="Arial" w:hAnsi="Arial" w:cs="Arial"/>
        </w:rPr>
        <w:t>w</w:t>
      </w:r>
      <w:r w:rsidR="00056364">
        <w:rPr>
          <w:rFonts w:ascii="Arial" w:hAnsi="Arial" w:cs="Arial"/>
        </w:rPr>
        <w:t>as</w:t>
      </w:r>
      <w:r>
        <w:rPr>
          <w:rFonts w:ascii="Arial" w:hAnsi="Arial" w:cs="Arial"/>
        </w:rPr>
        <w:t xml:space="preserve"> established because the prior cost recovery and incentive mechanisms had expired.</w:t>
      </w:r>
      <w:r w:rsidR="00BC66A3">
        <w:rPr>
          <w:rFonts w:ascii="Arial" w:hAnsi="Arial" w:cs="Arial"/>
        </w:rPr>
        <w:t xml:space="preserve">  </w:t>
      </w:r>
      <w:r>
        <w:rPr>
          <w:rFonts w:ascii="Arial" w:hAnsi="Arial" w:cs="Arial"/>
        </w:rPr>
        <w:t xml:space="preserve"> </w:t>
      </w:r>
      <w:r w:rsidR="00056364" w:rsidRPr="00056364">
        <w:rPr>
          <w:rFonts w:ascii="Arial" w:hAnsi="Arial" w:cs="Arial"/>
          <w:i/>
        </w:rPr>
        <w:t>2011 Rider Case</w:t>
      </w:r>
      <w:r w:rsidR="00BC66A3">
        <w:rPr>
          <w:rFonts w:ascii="Arial" w:hAnsi="Arial" w:cs="Arial"/>
        </w:rPr>
        <w:t xml:space="preserve">, </w:t>
      </w:r>
      <w:r w:rsidR="00BC66A3" w:rsidRPr="0039260F">
        <w:rPr>
          <w:rFonts w:ascii="Arial" w:hAnsi="Arial" w:cs="Arial"/>
        </w:rPr>
        <w:t>Opinion and Order</w:t>
      </w:r>
      <w:r w:rsidR="00BC66A3">
        <w:rPr>
          <w:rFonts w:ascii="Arial" w:hAnsi="Arial" w:cs="Arial"/>
        </w:rPr>
        <w:t xml:space="preserve"> at 5 (November 15, 2012).</w:t>
      </w:r>
      <w:r>
        <w:rPr>
          <w:rFonts w:ascii="Arial" w:hAnsi="Arial" w:cs="Arial"/>
        </w:rPr>
        <w:t xml:space="preserve"> Parties agreed to continue cost recover</w:t>
      </w:r>
      <w:r w:rsidR="00BC66A3">
        <w:rPr>
          <w:rFonts w:ascii="Arial" w:hAnsi="Arial" w:cs="Arial"/>
        </w:rPr>
        <w:t>y</w:t>
      </w:r>
      <w:r>
        <w:rPr>
          <w:rFonts w:ascii="Arial" w:hAnsi="Arial" w:cs="Arial"/>
        </w:rPr>
        <w:t xml:space="preserve"> through 2015, and </w:t>
      </w:r>
      <w:r w:rsidR="00BC66A3">
        <w:rPr>
          <w:rFonts w:ascii="Arial" w:hAnsi="Arial" w:cs="Arial"/>
        </w:rPr>
        <w:t>provided for</w:t>
      </w:r>
      <w:r>
        <w:rPr>
          <w:rFonts w:ascii="Arial" w:hAnsi="Arial" w:cs="Arial"/>
        </w:rPr>
        <w:t xml:space="preserve"> a separate shared savings incentive that also expired at the end of 2015.  </w:t>
      </w:r>
      <w:r w:rsidR="00BC66A3">
        <w:rPr>
          <w:rFonts w:ascii="Arial" w:hAnsi="Arial" w:cs="Arial"/>
        </w:rPr>
        <w:t>Both are recovered through Rider EE/PDR.  Id at 4.</w:t>
      </w:r>
    </w:p>
    <w:p w14:paraId="1391C3F7" w14:textId="2E616C86" w:rsidR="00E845AC" w:rsidRDefault="00786ECA" w:rsidP="00786ECA">
      <w:pPr>
        <w:spacing w:line="480" w:lineRule="auto"/>
        <w:ind w:right="-187" w:firstLine="720"/>
        <w:rPr>
          <w:rFonts w:ascii="Arial" w:hAnsi="Arial" w:cs="Arial"/>
        </w:rPr>
      </w:pPr>
      <w:r>
        <w:rPr>
          <w:rFonts w:ascii="Arial" w:hAnsi="Arial" w:cs="Arial"/>
        </w:rPr>
        <w:lastRenderedPageBreak/>
        <w:t xml:space="preserve">After the Commission ordered Duke to comply with the </w:t>
      </w:r>
      <w:r w:rsidR="00864542">
        <w:rPr>
          <w:rFonts w:ascii="Arial" w:hAnsi="Arial" w:cs="Arial"/>
        </w:rPr>
        <w:t xml:space="preserve">rules on energy efficiency portfolios </w:t>
      </w:r>
      <w:r w:rsidR="00BC66A3">
        <w:rPr>
          <w:rFonts w:ascii="Arial" w:hAnsi="Arial" w:cs="Arial"/>
        </w:rPr>
        <w:t xml:space="preserve">(Id. </w:t>
      </w:r>
      <w:r w:rsidR="00601B30">
        <w:rPr>
          <w:rFonts w:ascii="Arial" w:hAnsi="Arial" w:cs="Arial"/>
        </w:rPr>
        <w:t>a</w:t>
      </w:r>
      <w:r w:rsidR="00BC66A3">
        <w:rPr>
          <w:rFonts w:ascii="Arial" w:hAnsi="Arial" w:cs="Arial"/>
        </w:rPr>
        <w:t xml:space="preserve">t 5-6), </w:t>
      </w:r>
      <w:r w:rsidR="00864542">
        <w:rPr>
          <w:rFonts w:ascii="Arial" w:hAnsi="Arial" w:cs="Arial"/>
        </w:rPr>
        <w:t xml:space="preserve">and </w:t>
      </w:r>
      <w:r>
        <w:rPr>
          <w:rFonts w:ascii="Arial" w:hAnsi="Arial" w:cs="Arial"/>
        </w:rPr>
        <w:t xml:space="preserve">Duke </w:t>
      </w:r>
      <w:r w:rsidR="00864542">
        <w:rPr>
          <w:rFonts w:ascii="Arial" w:hAnsi="Arial" w:cs="Arial"/>
        </w:rPr>
        <w:t xml:space="preserve">filed the </w:t>
      </w:r>
      <w:r w:rsidR="00864542" w:rsidRPr="00056364">
        <w:rPr>
          <w:rFonts w:ascii="Arial" w:hAnsi="Arial" w:cs="Arial"/>
          <w:i/>
        </w:rPr>
        <w:t xml:space="preserve">2013 </w:t>
      </w:r>
      <w:r w:rsidR="00E845AC">
        <w:rPr>
          <w:rFonts w:ascii="Arial" w:hAnsi="Arial" w:cs="Arial"/>
          <w:i/>
        </w:rPr>
        <w:t>Portfolio</w:t>
      </w:r>
      <w:r w:rsidR="00056364" w:rsidRPr="00056364">
        <w:rPr>
          <w:rFonts w:ascii="Arial" w:hAnsi="Arial" w:cs="Arial"/>
          <w:i/>
        </w:rPr>
        <w:t xml:space="preserve"> C</w:t>
      </w:r>
      <w:r w:rsidR="00056364">
        <w:rPr>
          <w:rFonts w:ascii="Arial" w:hAnsi="Arial" w:cs="Arial"/>
          <w:i/>
        </w:rPr>
        <w:t>a</w:t>
      </w:r>
      <w:r w:rsidR="00056364" w:rsidRPr="00056364">
        <w:rPr>
          <w:rFonts w:ascii="Arial" w:hAnsi="Arial" w:cs="Arial"/>
          <w:i/>
        </w:rPr>
        <w:t>se</w:t>
      </w:r>
      <w:r w:rsidR="00864542">
        <w:rPr>
          <w:rFonts w:ascii="Arial" w:hAnsi="Arial" w:cs="Arial"/>
        </w:rPr>
        <w:t xml:space="preserve"> to garner the Commission’s</w:t>
      </w:r>
      <w:r w:rsidR="003262F6">
        <w:rPr>
          <w:rFonts w:ascii="Arial" w:hAnsi="Arial" w:cs="Arial"/>
        </w:rPr>
        <w:t xml:space="preserve"> approval of a three year plan</w:t>
      </w:r>
      <w:r w:rsidR="00601B30">
        <w:rPr>
          <w:rFonts w:ascii="Arial" w:hAnsi="Arial" w:cs="Arial"/>
        </w:rPr>
        <w:t>, the parties</w:t>
      </w:r>
      <w:r w:rsidR="003262F6">
        <w:rPr>
          <w:rFonts w:ascii="Arial" w:hAnsi="Arial" w:cs="Arial"/>
        </w:rPr>
        <w:t xml:space="preserve"> </w:t>
      </w:r>
      <w:r w:rsidR="00864542">
        <w:rPr>
          <w:rFonts w:ascii="Arial" w:hAnsi="Arial" w:cs="Arial"/>
        </w:rPr>
        <w:t>explicitly reaffirmed the provision in the 2011 stipulation</w:t>
      </w:r>
      <w:r w:rsidR="00CD45FC">
        <w:rPr>
          <w:rFonts w:ascii="Arial" w:hAnsi="Arial" w:cs="Arial"/>
        </w:rPr>
        <w:t xml:space="preserve"> under which the shared savings mechanism expired at the end of 2015.  </w:t>
      </w:r>
      <w:r w:rsidR="00E845AC">
        <w:rPr>
          <w:rFonts w:ascii="Arial" w:hAnsi="Arial" w:cs="Arial"/>
        </w:rPr>
        <w:t>The prior Commission approvals are cited in the Finding and Order in Case No. 14-457-EL-RDR</w:t>
      </w:r>
      <w:r w:rsidR="0039260F">
        <w:rPr>
          <w:rFonts w:ascii="Arial" w:hAnsi="Arial" w:cs="Arial"/>
        </w:rPr>
        <w:t xml:space="preserve"> (“</w:t>
      </w:r>
      <w:r w:rsidR="0039260F">
        <w:rPr>
          <w:rFonts w:ascii="Arial" w:hAnsi="Arial" w:cs="Arial"/>
          <w:i/>
        </w:rPr>
        <w:t>2014 Rider Case”)</w:t>
      </w:r>
      <w:r w:rsidR="00E845AC">
        <w:rPr>
          <w:rFonts w:ascii="Arial" w:hAnsi="Arial" w:cs="Arial"/>
        </w:rPr>
        <w:t>:</w:t>
      </w:r>
    </w:p>
    <w:p w14:paraId="40C51063" w14:textId="77777777" w:rsidR="0039260F" w:rsidRDefault="0039260F" w:rsidP="0039260F">
      <w:pPr>
        <w:ind w:left="720" w:right="720"/>
        <w:rPr>
          <w:rFonts w:ascii="Arial" w:hAnsi="Arial" w:cs="Arial"/>
        </w:rPr>
      </w:pPr>
      <w:r>
        <w:rPr>
          <w:rFonts w:ascii="Arial" w:hAnsi="Arial" w:cs="Arial"/>
        </w:rPr>
        <w:t xml:space="preserve">The incentive mechanism expires at the end of 2015, unless the interested parties decide the incentive is reasonable and effective and should continue for another year.  By Opinion and Order issued December 4, 2013, in …Case No. 13-431-EL-POR…, the Commission adopted a stipulation that approved Dukes portfolio application and maintained the cost recovery mechanism as permitted in the (2011) </w:t>
      </w:r>
      <w:r w:rsidRPr="0039260F">
        <w:rPr>
          <w:rFonts w:ascii="Arial" w:hAnsi="Arial" w:cs="Arial"/>
          <w:i/>
        </w:rPr>
        <w:t>Rider Case</w:t>
      </w:r>
      <w:r>
        <w:rPr>
          <w:rFonts w:ascii="Arial" w:hAnsi="Arial" w:cs="Arial"/>
        </w:rPr>
        <w:t xml:space="preserve">.  </w:t>
      </w:r>
    </w:p>
    <w:p w14:paraId="6E2E20CD" w14:textId="10EB9AB3" w:rsidR="0039260F" w:rsidRDefault="0039260F" w:rsidP="0039260F">
      <w:pPr>
        <w:ind w:left="720" w:right="720"/>
        <w:rPr>
          <w:rFonts w:ascii="Arial" w:hAnsi="Arial" w:cs="Arial"/>
        </w:rPr>
      </w:pPr>
      <w:r>
        <w:rPr>
          <w:rFonts w:ascii="Arial" w:hAnsi="Arial" w:cs="Arial"/>
          <w:i/>
        </w:rPr>
        <w:t xml:space="preserve">2014 Rider Case, </w:t>
      </w:r>
      <w:r>
        <w:rPr>
          <w:rFonts w:ascii="Arial" w:hAnsi="Arial" w:cs="Arial"/>
        </w:rPr>
        <w:t>Finding and Order at 1-2.</w:t>
      </w:r>
    </w:p>
    <w:p w14:paraId="7AAD5B4B" w14:textId="77777777" w:rsidR="0039260F" w:rsidRDefault="0039260F" w:rsidP="0039260F">
      <w:pPr>
        <w:ind w:right="-187" w:firstLine="720"/>
        <w:rPr>
          <w:rFonts w:ascii="Arial" w:hAnsi="Arial" w:cs="Arial"/>
        </w:rPr>
      </w:pPr>
    </w:p>
    <w:p w14:paraId="34965C51" w14:textId="5388B3BF" w:rsidR="00864542" w:rsidRDefault="00056364" w:rsidP="0039260F">
      <w:pPr>
        <w:spacing w:line="480" w:lineRule="auto"/>
        <w:ind w:right="-187" w:firstLine="720"/>
        <w:rPr>
          <w:rFonts w:ascii="Arial" w:hAnsi="Arial" w:cs="Arial"/>
        </w:rPr>
      </w:pPr>
      <w:r>
        <w:rPr>
          <w:rFonts w:ascii="Arial" w:hAnsi="Arial" w:cs="Arial"/>
        </w:rPr>
        <w:t xml:space="preserve">  </w:t>
      </w:r>
      <w:r w:rsidR="00786ECA">
        <w:rPr>
          <w:rFonts w:ascii="Arial" w:hAnsi="Arial" w:cs="Arial"/>
        </w:rPr>
        <w:t xml:space="preserve">This was a key component of the stipulation, which </w:t>
      </w:r>
      <w:r w:rsidR="00CD45FC">
        <w:rPr>
          <w:rFonts w:ascii="Arial" w:hAnsi="Arial" w:cs="Arial"/>
        </w:rPr>
        <w:t xml:space="preserve">contemplated a discussion among parties regarding whether the shared </w:t>
      </w:r>
      <w:r w:rsidR="0042219D">
        <w:rPr>
          <w:rFonts w:ascii="Arial" w:hAnsi="Arial" w:cs="Arial"/>
        </w:rPr>
        <w:t>saving incentive would continue. T</w:t>
      </w:r>
      <w:r w:rsidR="00CD45FC">
        <w:rPr>
          <w:rFonts w:ascii="Arial" w:hAnsi="Arial" w:cs="Arial"/>
        </w:rPr>
        <w:t>here ha</w:t>
      </w:r>
      <w:r w:rsidR="0042219D">
        <w:rPr>
          <w:rFonts w:ascii="Arial" w:hAnsi="Arial" w:cs="Arial"/>
        </w:rPr>
        <w:t>ve</w:t>
      </w:r>
      <w:r w:rsidR="00CD45FC">
        <w:rPr>
          <w:rFonts w:ascii="Arial" w:hAnsi="Arial" w:cs="Arial"/>
        </w:rPr>
        <w:t xml:space="preserve"> been disagreements </w:t>
      </w:r>
      <w:r w:rsidR="0042219D">
        <w:rPr>
          <w:rFonts w:ascii="Arial" w:hAnsi="Arial" w:cs="Arial"/>
        </w:rPr>
        <w:t xml:space="preserve">among the parties over the lack of a cap; </w:t>
      </w:r>
      <w:r w:rsidR="00CD45FC">
        <w:rPr>
          <w:rFonts w:ascii="Arial" w:hAnsi="Arial" w:cs="Arial"/>
        </w:rPr>
        <w:t>what incentiv</w:t>
      </w:r>
      <w:r w:rsidR="0042219D">
        <w:rPr>
          <w:rFonts w:ascii="Arial" w:hAnsi="Arial" w:cs="Arial"/>
        </w:rPr>
        <w:t xml:space="preserve">e percentages were appropriate; </w:t>
      </w:r>
      <w:r w:rsidR="00CD45FC">
        <w:rPr>
          <w:rFonts w:ascii="Arial" w:hAnsi="Arial" w:cs="Arial"/>
        </w:rPr>
        <w:t xml:space="preserve">and subsequently there has been a dispute on the interpretation of how the </w:t>
      </w:r>
      <w:r w:rsidR="0042219D">
        <w:rPr>
          <w:rFonts w:ascii="Arial" w:hAnsi="Arial" w:cs="Arial"/>
        </w:rPr>
        <w:t xml:space="preserve">Duke </w:t>
      </w:r>
      <w:r w:rsidR="00CD45FC">
        <w:rPr>
          <w:rFonts w:ascii="Arial" w:hAnsi="Arial" w:cs="Arial"/>
        </w:rPr>
        <w:t>shared savings mechanism works.  SB 310 renders this discussion moot because the Commission is prohibited from considering this application and Duke failed to file an application which complies with SB 310.</w:t>
      </w:r>
    </w:p>
    <w:p w14:paraId="2C40FDDF" w14:textId="2F91DEB8" w:rsidR="00835EE9" w:rsidRPr="00631B4C" w:rsidRDefault="00CD45FC" w:rsidP="00835EE9">
      <w:pPr>
        <w:spacing w:line="480" w:lineRule="auto"/>
        <w:ind w:right="-187" w:firstLine="720"/>
        <w:rPr>
          <w:rFonts w:ascii="Arial" w:hAnsi="Arial" w:cs="Arial"/>
        </w:rPr>
      </w:pPr>
      <w:r>
        <w:rPr>
          <w:rFonts w:ascii="Arial" w:hAnsi="Arial" w:cs="Arial"/>
        </w:rPr>
        <w:t xml:space="preserve">The Commission has the authority to oversee the administration of the </w:t>
      </w:r>
      <w:r w:rsidR="0042219D">
        <w:rPr>
          <w:rFonts w:ascii="Arial" w:hAnsi="Arial" w:cs="Arial"/>
        </w:rPr>
        <w:t xml:space="preserve">Duke </w:t>
      </w:r>
      <w:r>
        <w:rPr>
          <w:rFonts w:ascii="Arial" w:hAnsi="Arial" w:cs="Arial"/>
        </w:rPr>
        <w:t xml:space="preserve">portfolio plan, but </w:t>
      </w:r>
      <w:r w:rsidR="0042219D">
        <w:rPr>
          <w:rFonts w:ascii="Arial" w:hAnsi="Arial" w:cs="Arial"/>
        </w:rPr>
        <w:t>the</w:t>
      </w:r>
      <w:r>
        <w:rPr>
          <w:rFonts w:ascii="Arial" w:hAnsi="Arial" w:cs="Arial"/>
        </w:rPr>
        <w:t xml:space="preserve"> shared savings incentive either exists or it does not.  </w:t>
      </w:r>
      <w:r w:rsidR="00E845AC">
        <w:rPr>
          <w:rFonts w:ascii="Arial" w:hAnsi="Arial" w:cs="Arial"/>
        </w:rPr>
        <w:t>Put another way, utilities must have programs and the ability to recover the cost of those programs</w:t>
      </w:r>
      <w:r w:rsidR="0039260F">
        <w:rPr>
          <w:rFonts w:ascii="Arial" w:hAnsi="Arial" w:cs="Arial"/>
        </w:rPr>
        <w:t xml:space="preserve"> through adjustments in a rider, but</w:t>
      </w:r>
      <w:r w:rsidR="00E845AC">
        <w:rPr>
          <w:rFonts w:ascii="Arial" w:hAnsi="Arial" w:cs="Arial"/>
        </w:rPr>
        <w:t xml:space="preserve"> shared savings is an option, not a requirement.  </w:t>
      </w:r>
      <w:r>
        <w:rPr>
          <w:rFonts w:ascii="Arial" w:hAnsi="Arial" w:cs="Arial"/>
        </w:rPr>
        <w:t>Duke’s shared savings incentive expire</w:t>
      </w:r>
      <w:r w:rsidR="00E845AC">
        <w:rPr>
          <w:rFonts w:ascii="Arial" w:hAnsi="Arial" w:cs="Arial"/>
        </w:rPr>
        <w:t>s</w:t>
      </w:r>
      <w:r>
        <w:rPr>
          <w:rFonts w:ascii="Arial" w:hAnsi="Arial" w:cs="Arial"/>
        </w:rPr>
        <w:t xml:space="preserve"> per the terms of two stipulations.  </w:t>
      </w:r>
      <w:r w:rsidR="00835EE9">
        <w:rPr>
          <w:rFonts w:ascii="Arial" w:hAnsi="Arial" w:cs="Arial"/>
        </w:rPr>
        <w:t>The stipulation</w:t>
      </w:r>
      <w:r w:rsidR="00E845AC">
        <w:rPr>
          <w:rFonts w:ascii="Arial" w:hAnsi="Arial" w:cs="Arial"/>
        </w:rPr>
        <w:t>s</w:t>
      </w:r>
      <w:r w:rsidR="00835EE9">
        <w:rPr>
          <w:rFonts w:ascii="Arial" w:hAnsi="Arial" w:cs="Arial"/>
        </w:rPr>
        <w:t xml:space="preserve"> makes clear that parties viewed the shared savings incentive as something separate and distinct from cost recovery.  </w:t>
      </w:r>
      <w:r>
        <w:rPr>
          <w:rFonts w:ascii="Arial" w:hAnsi="Arial" w:cs="Arial"/>
        </w:rPr>
        <w:t>The plain language of SB 310 requires the dismissal of this application</w:t>
      </w:r>
      <w:r w:rsidR="0039260F">
        <w:rPr>
          <w:rFonts w:ascii="Arial" w:hAnsi="Arial" w:cs="Arial"/>
        </w:rPr>
        <w:t xml:space="preserve"> to amend the 2014-2016 energy efficiency portfolio plan.</w:t>
      </w:r>
    </w:p>
    <w:p w14:paraId="7DAE22EE" w14:textId="77777777" w:rsidR="003262F6" w:rsidRDefault="003262F6" w:rsidP="00835EE9">
      <w:pPr>
        <w:ind w:left="720" w:right="-180" w:hanging="720"/>
        <w:rPr>
          <w:rFonts w:ascii="Arial" w:hAnsi="Arial" w:cs="Arial"/>
          <w:b/>
        </w:rPr>
      </w:pPr>
    </w:p>
    <w:p w14:paraId="5EDE8808" w14:textId="7655900C" w:rsidR="00631B4C" w:rsidRPr="00631B4C" w:rsidRDefault="00835EE9" w:rsidP="00835EE9">
      <w:pPr>
        <w:ind w:left="720" w:right="-180" w:hanging="720"/>
        <w:rPr>
          <w:rFonts w:ascii="Arial" w:hAnsi="Arial" w:cs="Arial"/>
        </w:rPr>
      </w:pPr>
      <w:r>
        <w:rPr>
          <w:rFonts w:ascii="Arial" w:hAnsi="Arial" w:cs="Arial"/>
          <w:b/>
        </w:rPr>
        <w:t>III.</w:t>
      </w:r>
      <w:r>
        <w:rPr>
          <w:rFonts w:ascii="Arial" w:hAnsi="Arial" w:cs="Arial"/>
          <w:b/>
        </w:rPr>
        <w:tab/>
      </w:r>
      <w:r w:rsidR="00631B4C" w:rsidRPr="0042219D">
        <w:rPr>
          <w:rFonts w:ascii="Arial" w:hAnsi="Arial" w:cs="Arial"/>
          <w:b/>
          <w:caps/>
        </w:rPr>
        <w:t>Duke Energy Ohio’s Past Perform</w:t>
      </w:r>
      <w:r w:rsidR="0000049B" w:rsidRPr="0042219D">
        <w:rPr>
          <w:rFonts w:ascii="Arial" w:hAnsi="Arial" w:cs="Arial"/>
          <w:b/>
          <w:caps/>
        </w:rPr>
        <w:t>ance is Irre</w:t>
      </w:r>
      <w:r w:rsidR="00631B4C" w:rsidRPr="0042219D">
        <w:rPr>
          <w:rFonts w:ascii="Arial" w:hAnsi="Arial" w:cs="Arial"/>
          <w:b/>
          <w:caps/>
        </w:rPr>
        <w:t xml:space="preserve">levant to the Extension of </w:t>
      </w:r>
      <w:r w:rsidRPr="0042219D">
        <w:rPr>
          <w:rFonts w:ascii="Arial" w:hAnsi="Arial" w:cs="Arial"/>
          <w:b/>
          <w:caps/>
        </w:rPr>
        <w:t xml:space="preserve">the </w:t>
      </w:r>
      <w:r w:rsidR="00631B4C" w:rsidRPr="0042219D">
        <w:rPr>
          <w:rFonts w:ascii="Arial" w:hAnsi="Arial" w:cs="Arial"/>
          <w:b/>
          <w:caps/>
        </w:rPr>
        <w:t>Shared Savings Mechanism.</w:t>
      </w:r>
    </w:p>
    <w:p w14:paraId="291AADCB" w14:textId="42CFFC88" w:rsidR="00AA59C1" w:rsidRDefault="008B5112" w:rsidP="003262F6">
      <w:pPr>
        <w:spacing w:line="480" w:lineRule="atLeast"/>
        <w:ind w:right="-180"/>
        <w:rPr>
          <w:rFonts w:ascii="Arial" w:hAnsi="Arial" w:cs="Arial"/>
        </w:rPr>
      </w:pPr>
      <w:r>
        <w:rPr>
          <w:rFonts w:ascii="Arial" w:hAnsi="Arial" w:cs="Arial"/>
        </w:rPr>
        <w:tab/>
        <w:t xml:space="preserve">Duke asserts that it has demonstrated </w:t>
      </w:r>
      <w:r w:rsidR="006431D5">
        <w:rPr>
          <w:rFonts w:ascii="Arial" w:hAnsi="Arial" w:cs="Arial"/>
        </w:rPr>
        <w:t>its energy efficiency programs</w:t>
      </w:r>
      <w:r>
        <w:rPr>
          <w:rFonts w:ascii="Arial" w:hAnsi="Arial" w:cs="Arial"/>
        </w:rPr>
        <w:t xml:space="preserve"> are a success</w:t>
      </w:r>
      <w:r w:rsidR="00835EE9">
        <w:rPr>
          <w:rFonts w:ascii="Arial" w:hAnsi="Arial" w:cs="Arial"/>
        </w:rPr>
        <w:t xml:space="preserve"> and thus justify Commission approval of an illegal amendment to its current portfolio plan</w:t>
      </w:r>
      <w:r>
        <w:rPr>
          <w:rFonts w:ascii="Arial" w:hAnsi="Arial" w:cs="Arial"/>
        </w:rPr>
        <w:t xml:space="preserve">.  This assertion does not square with the facts in evidence.  Duke, as allowed by Ohio law, counted </w:t>
      </w:r>
      <w:r w:rsidR="00C17269">
        <w:rPr>
          <w:rFonts w:ascii="Arial" w:hAnsi="Arial" w:cs="Arial"/>
        </w:rPr>
        <w:t xml:space="preserve">and banked </w:t>
      </w:r>
      <w:r>
        <w:rPr>
          <w:rFonts w:ascii="Arial" w:hAnsi="Arial" w:cs="Arial"/>
        </w:rPr>
        <w:t xml:space="preserve">energy savings </w:t>
      </w:r>
      <w:r w:rsidR="00835EE9">
        <w:rPr>
          <w:rFonts w:ascii="Arial" w:hAnsi="Arial" w:cs="Arial"/>
        </w:rPr>
        <w:t xml:space="preserve">resulting from programs in place prior to 2009:  </w:t>
      </w:r>
      <w:r w:rsidR="0042219D">
        <w:rPr>
          <w:rFonts w:ascii="Arial" w:hAnsi="Arial" w:cs="Arial"/>
        </w:rPr>
        <w:t xml:space="preserve">this totaled </w:t>
      </w:r>
      <w:r w:rsidR="00835EE9">
        <w:rPr>
          <w:rFonts w:ascii="Arial" w:hAnsi="Arial" w:cs="Arial"/>
        </w:rPr>
        <w:t xml:space="preserve">206,670 MWh, more than </w:t>
      </w:r>
      <w:r w:rsidR="003262F6">
        <w:rPr>
          <w:rFonts w:ascii="Arial" w:hAnsi="Arial" w:cs="Arial"/>
        </w:rPr>
        <w:t xml:space="preserve">the savings required by </w:t>
      </w:r>
      <w:r w:rsidR="00835EE9">
        <w:rPr>
          <w:rFonts w:ascii="Arial" w:hAnsi="Arial" w:cs="Arial"/>
        </w:rPr>
        <w:t xml:space="preserve">the </w:t>
      </w:r>
      <w:r w:rsidR="003262F6">
        <w:rPr>
          <w:rFonts w:ascii="Arial" w:hAnsi="Arial" w:cs="Arial"/>
        </w:rPr>
        <w:t xml:space="preserve">benchmarks in </w:t>
      </w:r>
      <w:r w:rsidR="00835EE9">
        <w:rPr>
          <w:rFonts w:ascii="Arial" w:hAnsi="Arial" w:cs="Arial"/>
        </w:rPr>
        <w:t>2012, 2013, or 2014</w:t>
      </w:r>
      <w:r w:rsidR="00631B4C">
        <w:rPr>
          <w:rFonts w:ascii="Arial" w:hAnsi="Arial" w:cs="Arial"/>
        </w:rPr>
        <w:t>.</w:t>
      </w:r>
      <w:r w:rsidR="00835EE9">
        <w:rPr>
          <w:rFonts w:ascii="Arial" w:hAnsi="Arial" w:cs="Arial"/>
        </w:rPr>
        <w:t xml:space="preserve">  </w:t>
      </w:r>
      <w:r>
        <w:rPr>
          <w:rFonts w:ascii="Arial" w:hAnsi="Arial" w:cs="Arial"/>
        </w:rPr>
        <w:t xml:space="preserve">  This balance was augmented by savings that exceeded the </w:t>
      </w:r>
      <w:r>
        <w:rPr>
          <w:rFonts w:ascii="Arial" w:hAnsi="Arial" w:cs="Arial"/>
        </w:rPr>
        <w:lastRenderedPageBreak/>
        <w:t>benchmarks from 2009 through 2012.  However, in 2013 the Duke programs failed to achieve savings equal to the benchmark</w:t>
      </w:r>
      <w:r w:rsidR="00F9023E">
        <w:rPr>
          <w:rFonts w:ascii="Arial" w:hAnsi="Arial" w:cs="Arial"/>
        </w:rPr>
        <w:t>, meeting only 53.1% of the benchmark with banked savings accounting for the balance</w:t>
      </w:r>
      <w:r w:rsidR="00C17269">
        <w:rPr>
          <w:rFonts w:ascii="Arial" w:hAnsi="Arial" w:cs="Arial"/>
        </w:rPr>
        <w:t xml:space="preserve"> necessary for minimum compliance</w:t>
      </w:r>
      <w:r>
        <w:rPr>
          <w:rFonts w:ascii="Arial" w:hAnsi="Arial" w:cs="Arial"/>
        </w:rPr>
        <w:t xml:space="preserve">. </w:t>
      </w:r>
      <w:r w:rsidR="00F9023E">
        <w:rPr>
          <w:rFonts w:ascii="Arial" w:hAnsi="Arial" w:cs="Arial"/>
        </w:rPr>
        <w:t xml:space="preserve"> See Case No. 14-457-EL-RDR, </w:t>
      </w:r>
      <w:r w:rsidR="003262F6">
        <w:rPr>
          <w:rFonts w:ascii="Arial" w:hAnsi="Arial" w:cs="Arial"/>
        </w:rPr>
        <w:t xml:space="preserve">Direct </w:t>
      </w:r>
      <w:r w:rsidR="00F9023E">
        <w:rPr>
          <w:rFonts w:ascii="Arial" w:hAnsi="Arial" w:cs="Arial"/>
        </w:rPr>
        <w:t xml:space="preserve">Testimony of </w:t>
      </w:r>
      <w:r w:rsidR="003262F6">
        <w:rPr>
          <w:rFonts w:ascii="Arial" w:hAnsi="Arial" w:cs="Arial"/>
        </w:rPr>
        <w:t>James E. Ziolkowski</w:t>
      </w:r>
      <w:r w:rsidR="00F9023E">
        <w:rPr>
          <w:rFonts w:ascii="Arial" w:hAnsi="Arial" w:cs="Arial"/>
        </w:rPr>
        <w:t xml:space="preserve">, </w:t>
      </w:r>
      <w:r w:rsidR="003262F6">
        <w:rPr>
          <w:rFonts w:ascii="Arial" w:hAnsi="Arial" w:cs="Arial"/>
        </w:rPr>
        <w:t xml:space="preserve">Revised </w:t>
      </w:r>
      <w:r w:rsidR="00F9023E">
        <w:rPr>
          <w:rFonts w:ascii="Arial" w:hAnsi="Arial" w:cs="Arial"/>
        </w:rPr>
        <w:t xml:space="preserve">Attachment </w:t>
      </w:r>
      <w:r w:rsidR="003262F6">
        <w:rPr>
          <w:rFonts w:ascii="Arial" w:hAnsi="Arial" w:cs="Arial"/>
        </w:rPr>
        <w:t xml:space="preserve">JEZ-1 </w:t>
      </w:r>
      <w:r w:rsidR="00F9023E">
        <w:rPr>
          <w:rFonts w:ascii="Arial" w:hAnsi="Arial" w:cs="Arial"/>
        </w:rPr>
        <w:t>at 1 (</w:t>
      </w:r>
      <w:r w:rsidR="003262F6">
        <w:rPr>
          <w:rFonts w:ascii="Arial" w:hAnsi="Arial" w:cs="Arial"/>
        </w:rPr>
        <w:t>April 17, 2014</w:t>
      </w:r>
      <w:r w:rsidR="00F9023E">
        <w:rPr>
          <w:rFonts w:ascii="Arial" w:hAnsi="Arial" w:cs="Arial"/>
        </w:rPr>
        <w:t xml:space="preserve">).  </w:t>
      </w:r>
      <w:r>
        <w:rPr>
          <w:rFonts w:ascii="Arial" w:hAnsi="Arial" w:cs="Arial"/>
        </w:rPr>
        <w:t xml:space="preserve"> In 2014 Duke had the same results – a failure to meet the mandates</w:t>
      </w:r>
      <w:r w:rsidR="00F9023E">
        <w:rPr>
          <w:rFonts w:ascii="Arial" w:hAnsi="Arial" w:cs="Arial"/>
        </w:rPr>
        <w:t xml:space="preserve"> – achieving only 75% of the benchmark</w:t>
      </w:r>
      <w:r>
        <w:rPr>
          <w:rFonts w:ascii="Arial" w:hAnsi="Arial" w:cs="Arial"/>
        </w:rPr>
        <w:t>.</w:t>
      </w:r>
      <w:r w:rsidR="00F9023E">
        <w:rPr>
          <w:rFonts w:ascii="Arial" w:hAnsi="Arial" w:cs="Arial"/>
        </w:rPr>
        <w:t xml:space="preserve">  See Case No. 15-534, </w:t>
      </w:r>
      <w:r w:rsidR="003262F6">
        <w:rPr>
          <w:rFonts w:ascii="Arial" w:hAnsi="Arial" w:cs="Arial"/>
        </w:rPr>
        <w:t xml:space="preserve">Direct </w:t>
      </w:r>
      <w:r w:rsidR="00F9023E">
        <w:rPr>
          <w:rFonts w:ascii="Arial" w:hAnsi="Arial" w:cs="Arial"/>
        </w:rPr>
        <w:t xml:space="preserve">Testimony of </w:t>
      </w:r>
      <w:r w:rsidR="003262F6">
        <w:rPr>
          <w:rFonts w:ascii="Arial" w:hAnsi="Arial" w:cs="Arial"/>
        </w:rPr>
        <w:t>James E. Zio</w:t>
      </w:r>
      <w:r w:rsidR="006A031B">
        <w:rPr>
          <w:rFonts w:ascii="Arial" w:hAnsi="Arial" w:cs="Arial"/>
        </w:rPr>
        <w:t>l</w:t>
      </w:r>
      <w:r w:rsidR="003262F6">
        <w:rPr>
          <w:rFonts w:ascii="Arial" w:hAnsi="Arial" w:cs="Arial"/>
        </w:rPr>
        <w:t>kowski</w:t>
      </w:r>
      <w:r w:rsidR="00F9023E">
        <w:rPr>
          <w:rFonts w:ascii="Arial" w:hAnsi="Arial" w:cs="Arial"/>
        </w:rPr>
        <w:t xml:space="preserve">, Attachment </w:t>
      </w:r>
      <w:r w:rsidR="003262F6">
        <w:rPr>
          <w:rFonts w:ascii="Arial" w:hAnsi="Arial" w:cs="Arial"/>
        </w:rPr>
        <w:t>JEZ-1</w:t>
      </w:r>
      <w:r w:rsidR="00F9023E">
        <w:rPr>
          <w:rFonts w:ascii="Arial" w:hAnsi="Arial" w:cs="Arial"/>
        </w:rPr>
        <w:t xml:space="preserve"> at 1 (</w:t>
      </w:r>
      <w:r w:rsidR="003262F6">
        <w:rPr>
          <w:rFonts w:ascii="Arial" w:hAnsi="Arial" w:cs="Arial"/>
        </w:rPr>
        <w:t xml:space="preserve">March 30, 2015).  Failure to meet </w:t>
      </w:r>
      <w:r w:rsidR="00077049">
        <w:rPr>
          <w:rFonts w:ascii="Arial" w:hAnsi="Arial" w:cs="Arial"/>
        </w:rPr>
        <w:t xml:space="preserve">savings </w:t>
      </w:r>
      <w:r w:rsidR="003262F6">
        <w:rPr>
          <w:rFonts w:ascii="Arial" w:hAnsi="Arial" w:cs="Arial"/>
        </w:rPr>
        <w:t xml:space="preserve">benchmarks </w:t>
      </w:r>
      <w:r w:rsidR="00C04A59">
        <w:rPr>
          <w:rFonts w:ascii="Arial" w:hAnsi="Arial" w:cs="Arial"/>
        </w:rPr>
        <w:t xml:space="preserve">is not the hallmark of a successful </w:t>
      </w:r>
      <w:r w:rsidR="003262F6">
        <w:rPr>
          <w:rFonts w:ascii="Arial" w:hAnsi="Arial" w:cs="Arial"/>
        </w:rPr>
        <w:t>program</w:t>
      </w:r>
      <w:r w:rsidR="00C04A59">
        <w:rPr>
          <w:rFonts w:ascii="Arial" w:hAnsi="Arial" w:cs="Arial"/>
        </w:rPr>
        <w:t xml:space="preserve">.  Using banked savings to obtain 13% of customers’ savings is simply unfair.  </w:t>
      </w:r>
      <w:r w:rsidR="00AA59C1">
        <w:rPr>
          <w:rFonts w:ascii="Arial" w:hAnsi="Arial" w:cs="Arial"/>
        </w:rPr>
        <w:t>Most of the parties in this case were also parties in the AEP-Ohio proceeding.  The understanding among parties – apparently other than Duke – was that failure to exceed benchmark with current year program savings would not trigger shared savings.  There is no reason why parties would agree to a shared savings provision that Duke was guaranteed to meet given its large bank of savings</w:t>
      </w:r>
      <w:r w:rsidR="0042219D">
        <w:rPr>
          <w:rFonts w:ascii="Arial" w:hAnsi="Arial" w:cs="Arial"/>
        </w:rPr>
        <w:t>, some with a vintage dating back to 2006</w:t>
      </w:r>
      <w:r w:rsidR="00AA59C1">
        <w:rPr>
          <w:rFonts w:ascii="Arial" w:hAnsi="Arial" w:cs="Arial"/>
        </w:rPr>
        <w:t>.</w:t>
      </w:r>
    </w:p>
    <w:p w14:paraId="7304F007" w14:textId="29101150" w:rsidR="00DD3D2C" w:rsidRDefault="00DD3D2C" w:rsidP="00AA59C1">
      <w:pPr>
        <w:spacing w:line="480" w:lineRule="atLeast"/>
        <w:ind w:right="-180" w:firstLine="720"/>
        <w:rPr>
          <w:rFonts w:ascii="Arial" w:hAnsi="Arial" w:cs="Arial"/>
        </w:rPr>
      </w:pPr>
      <w:r>
        <w:rPr>
          <w:rFonts w:ascii="Arial" w:hAnsi="Arial" w:cs="Arial"/>
        </w:rPr>
        <w:t xml:space="preserve">The relevance of the relative success of a utility’s energy efficiency portfolio is not at issue in this case.  The General Assembly froze the efficiency benchmarks despite the wealth of information filed by utilities </w:t>
      </w:r>
      <w:r w:rsidR="0042219D">
        <w:rPr>
          <w:rFonts w:ascii="Arial" w:hAnsi="Arial" w:cs="Arial"/>
        </w:rPr>
        <w:t>with</w:t>
      </w:r>
      <w:r>
        <w:rPr>
          <w:rFonts w:ascii="Arial" w:hAnsi="Arial" w:cs="Arial"/>
        </w:rPr>
        <w:t xml:space="preserve"> the PUCO documenting the success of the programs</w:t>
      </w:r>
      <w:r w:rsidR="0042219D">
        <w:rPr>
          <w:rFonts w:ascii="Arial" w:hAnsi="Arial" w:cs="Arial"/>
        </w:rPr>
        <w:t>.  L</w:t>
      </w:r>
      <w:r>
        <w:rPr>
          <w:rFonts w:ascii="Arial" w:hAnsi="Arial" w:cs="Arial"/>
        </w:rPr>
        <w:t xml:space="preserve">egislators did not care whether programs were successful or not, so the efficacy of Duke’s program portfolio has not impact on a provision of state law that prohibits the amendment of portfolios unless requested by a utility following the procedures dictated by </w:t>
      </w:r>
      <w:r w:rsidR="0042219D">
        <w:rPr>
          <w:rFonts w:ascii="Arial" w:hAnsi="Arial" w:cs="Arial"/>
        </w:rPr>
        <w:t>SB 310</w:t>
      </w:r>
      <w:r>
        <w:rPr>
          <w:rFonts w:ascii="Arial" w:hAnsi="Arial" w:cs="Arial"/>
        </w:rPr>
        <w:t>.</w:t>
      </w:r>
    </w:p>
    <w:p w14:paraId="596AC5C2" w14:textId="6874FAE8" w:rsidR="00F9023E" w:rsidRDefault="00DD3D2C" w:rsidP="00AA59C1">
      <w:pPr>
        <w:spacing w:line="480" w:lineRule="atLeast"/>
        <w:ind w:right="-180" w:firstLine="720"/>
        <w:rPr>
          <w:rFonts w:ascii="Arial" w:hAnsi="Arial" w:cs="Arial"/>
        </w:rPr>
      </w:pPr>
      <w:r>
        <w:rPr>
          <w:rFonts w:ascii="Arial" w:hAnsi="Arial" w:cs="Arial"/>
        </w:rPr>
        <w:t>Still,</w:t>
      </w:r>
      <w:r w:rsidR="00C04A59">
        <w:rPr>
          <w:rFonts w:ascii="Arial" w:hAnsi="Arial" w:cs="Arial"/>
        </w:rPr>
        <w:t xml:space="preserve"> a</w:t>
      </w:r>
      <w:r w:rsidR="0042219D">
        <w:rPr>
          <w:rFonts w:ascii="Arial" w:hAnsi="Arial" w:cs="Arial"/>
        </w:rPr>
        <w:t>t</w:t>
      </w:r>
      <w:r w:rsidR="00C04A59">
        <w:rPr>
          <w:rFonts w:ascii="Arial" w:hAnsi="Arial" w:cs="Arial"/>
        </w:rPr>
        <w:t xml:space="preserve"> time when every other utility is exceeding benchmarks with annual programming, Duke’s record is less than impressive.</w:t>
      </w:r>
      <w:r w:rsidR="00C17269">
        <w:rPr>
          <w:rFonts w:ascii="Arial" w:hAnsi="Arial" w:cs="Arial"/>
        </w:rPr>
        <w:t xml:space="preserve">  In order to align the interests of the utility and its customers, shared savings incentives should only be provided when a utility achieves a level of savings that exceeds the benchmark in the current program year.  Otherwise, customers are paying incentives for savings paid for long ago.</w:t>
      </w:r>
    </w:p>
    <w:p w14:paraId="1D2BAFB1" w14:textId="77777777" w:rsidR="00077049" w:rsidRDefault="00077049" w:rsidP="000A7ECA">
      <w:pPr>
        <w:spacing w:line="480" w:lineRule="atLeast"/>
        <w:ind w:right="-180"/>
        <w:rPr>
          <w:rFonts w:ascii="Arial" w:hAnsi="Arial" w:cs="Arial"/>
        </w:rPr>
      </w:pPr>
    </w:p>
    <w:p w14:paraId="21C4362A" w14:textId="4B1443C9" w:rsidR="00631B4C" w:rsidRPr="00077049" w:rsidRDefault="00077049" w:rsidP="00077049">
      <w:pPr>
        <w:ind w:left="720" w:right="-180" w:hanging="720"/>
        <w:rPr>
          <w:rFonts w:ascii="Arial" w:hAnsi="Arial" w:cs="Arial"/>
        </w:rPr>
      </w:pPr>
      <w:r>
        <w:rPr>
          <w:rFonts w:ascii="Arial" w:hAnsi="Arial" w:cs="Arial"/>
          <w:b/>
        </w:rPr>
        <w:t>IV.</w:t>
      </w:r>
      <w:r>
        <w:rPr>
          <w:rFonts w:ascii="Arial" w:hAnsi="Arial" w:cs="Arial"/>
          <w:b/>
        </w:rPr>
        <w:tab/>
      </w:r>
      <w:r w:rsidR="00631B4C" w:rsidRPr="0042219D">
        <w:rPr>
          <w:rFonts w:ascii="Arial" w:hAnsi="Arial" w:cs="Arial"/>
          <w:b/>
          <w:caps/>
        </w:rPr>
        <w:t xml:space="preserve">If the Commission Determines that the Shared Savings Mechanism Should be Continued, It Should Prohibit </w:t>
      </w:r>
      <w:r w:rsidR="00A03F5E" w:rsidRPr="0042219D">
        <w:rPr>
          <w:rFonts w:ascii="Arial" w:hAnsi="Arial" w:cs="Arial"/>
          <w:b/>
          <w:caps/>
        </w:rPr>
        <w:t>the Use of Banked Savings to Trigger Shared Savings.</w:t>
      </w:r>
    </w:p>
    <w:p w14:paraId="70D12F0B" w14:textId="7BBAA866" w:rsidR="004D7D7E" w:rsidRDefault="00A03F5E" w:rsidP="00077049">
      <w:pPr>
        <w:pStyle w:val="ListParagraph"/>
        <w:spacing w:line="480" w:lineRule="atLeast"/>
        <w:ind w:left="0" w:right="-180" w:firstLine="720"/>
        <w:rPr>
          <w:rFonts w:ascii="Arial" w:hAnsi="Arial" w:cs="Arial"/>
        </w:rPr>
      </w:pPr>
      <w:r>
        <w:rPr>
          <w:rFonts w:ascii="Arial" w:hAnsi="Arial" w:cs="Arial"/>
        </w:rPr>
        <w:t xml:space="preserve">The Commission has already ruled that Duke cannot use banked savings to trigger the recovery of shared savings from customers.  </w:t>
      </w:r>
      <w:r w:rsidR="00005798" w:rsidRPr="00005798">
        <w:rPr>
          <w:rFonts w:ascii="Arial" w:hAnsi="Arial" w:cs="Arial"/>
          <w:i/>
        </w:rPr>
        <w:t>2014 Rider Case</w:t>
      </w:r>
      <w:r w:rsidR="006431D5">
        <w:rPr>
          <w:rFonts w:ascii="Arial" w:hAnsi="Arial" w:cs="Arial"/>
        </w:rPr>
        <w:t xml:space="preserve">, </w:t>
      </w:r>
      <w:r w:rsidR="006431D5" w:rsidRPr="00005798">
        <w:rPr>
          <w:rFonts w:ascii="Arial" w:hAnsi="Arial" w:cs="Arial"/>
        </w:rPr>
        <w:t>Opinion and Order</w:t>
      </w:r>
      <w:r w:rsidR="00172AF0">
        <w:rPr>
          <w:rFonts w:ascii="Arial" w:hAnsi="Arial" w:cs="Arial"/>
        </w:rPr>
        <w:t xml:space="preserve"> at 5 (May 20, 2015)</w:t>
      </w:r>
      <w:r>
        <w:rPr>
          <w:rFonts w:ascii="Arial" w:hAnsi="Arial" w:cs="Arial"/>
        </w:rPr>
        <w:t xml:space="preserve">.  This is good public policy and consistent with the understanding of signatories to the stipulations that involved the shared savings </w:t>
      </w:r>
      <w:r>
        <w:rPr>
          <w:rFonts w:ascii="Arial" w:hAnsi="Arial" w:cs="Arial"/>
        </w:rPr>
        <w:lastRenderedPageBreak/>
        <w:t>mechanism at issue in this case</w:t>
      </w:r>
      <w:r w:rsidR="00AA59C1">
        <w:rPr>
          <w:rFonts w:ascii="Arial" w:hAnsi="Arial" w:cs="Arial"/>
        </w:rPr>
        <w:t xml:space="preserve">, and is consistent with the views articulated by Staff in its initial brief.  </w:t>
      </w:r>
      <w:r w:rsidR="00172AF0" w:rsidRPr="006431D5">
        <w:rPr>
          <w:rFonts w:ascii="Arial" w:hAnsi="Arial" w:cs="Arial"/>
        </w:rPr>
        <w:t>Post Hearing Brief Submitted on Behalf of the Staff of the Public Utilities Commission of Ohio</w:t>
      </w:r>
      <w:r w:rsidR="00172AF0">
        <w:rPr>
          <w:rFonts w:ascii="Arial" w:hAnsi="Arial" w:cs="Arial"/>
        </w:rPr>
        <w:t xml:space="preserve"> at 4-5</w:t>
      </w:r>
      <w:r>
        <w:rPr>
          <w:rFonts w:ascii="Arial" w:hAnsi="Arial" w:cs="Arial"/>
        </w:rPr>
        <w:t>.</w:t>
      </w:r>
      <w:r w:rsidR="0014643A">
        <w:rPr>
          <w:rFonts w:ascii="Arial" w:hAnsi="Arial" w:cs="Arial"/>
        </w:rPr>
        <w:t xml:space="preserve">  In </w:t>
      </w:r>
      <w:r w:rsidR="00172AF0">
        <w:rPr>
          <w:rFonts w:ascii="Arial" w:hAnsi="Arial" w:cs="Arial"/>
        </w:rPr>
        <w:t xml:space="preserve">testimony supporting </w:t>
      </w:r>
      <w:r w:rsidR="0014643A">
        <w:rPr>
          <w:rFonts w:ascii="Arial" w:hAnsi="Arial" w:cs="Arial"/>
        </w:rPr>
        <w:t xml:space="preserve">the stipulation </w:t>
      </w:r>
      <w:r w:rsidR="00172AF0">
        <w:rPr>
          <w:rFonts w:ascii="Arial" w:hAnsi="Arial" w:cs="Arial"/>
        </w:rPr>
        <w:t xml:space="preserve">which </w:t>
      </w:r>
      <w:r w:rsidR="0014643A">
        <w:rPr>
          <w:rFonts w:ascii="Arial" w:hAnsi="Arial" w:cs="Arial"/>
        </w:rPr>
        <w:t xml:space="preserve">approved the cost recovery mechanism, Duke’s witness Duff characterized the shared savings mechanism </w:t>
      </w:r>
      <w:r w:rsidR="00DD3D2C">
        <w:rPr>
          <w:rFonts w:ascii="Arial" w:hAnsi="Arial" w:cs="Arial"/>
        </w:rPr>
        <w:t xml:space="preserve">at issue in this case </w:t>
      </w:r>
      <w:r w:rsidR="0014643A">
        <w:rPr>
          <w:rFonts w:ascii="Arial" w:hAnsi="Arial" w:cs="Arial"/>
        </w:rPr>
        <w:t xml:space="preserve">as being identical to that of AEP Ohio, with the exception of the cap as agreed to in </w:t>
      </w:r>
      <w:r w:rsidR="00DD226D">
        <w:rPr>
          <w:rFonts w:ascii="Arial" w:hAnsi="Arial" w:cs="Arial"/>
        </w:rPr>
        <w:t xml:space="preserve">the AEP Ohio portfolio.  </w:t>
      </w:r>
      <w:r w:rsidR="006431D5" w:rsidRPr="006431D5">
        <w:rPr>
          <w:rFonts w:ascii="Arial" w:hAnsi="Arial" w:cs="Arial"/>
          <w:i/>
        </w:rPr>
        <w:t>2011 Portfolio Case</w:t>
      </w:r>
      <w:r w:rsidR="006431D5">
        <w:rPr>
          <w:rFonts w:ascii="Arial" w:hAnsi="Arial" w:cs="Arial"/>
        </w:rPr>
        <w:t xml:space="preserve">, </w:t>
      </w:r>
      <w:r w:rsidR="00DD226D" w:rsidRPr="006431D5">
        <w:rPr>
          <w:rFonts w:ascii="Arial" w:hAnsi="Arial" w:cs="Arial"/>
        </w:rPr>
        <w:t>Second Supplemental Testimony of Timothy J. Duff on Behalf of Duke Energy Ohio, Inc</w:t>
      </w:r>
      <w:r w:rsidR="00DD226D">
        <w:rPr>
          <w:rFonts w:ascii="Arial" w:hAnsi="Arial" w:cs="Arial"/>
        </w:rPr>
        <w:t xml:space="preserve">. at 11-13 (May 30,12), referencing Case Nos. 11-5568-EL-POR and 11-5569-EL-POR, Opinion and Order at 7-9 </w:t>
      </w:r>
      <w:r w:rsidR="00D51969">
        <w:rPr>
          <w:rFonts w:ascii="Arial" w:hAnsi="Arial" w:cs="Arial"/>
        </w:rPr>
        <w:t xml:space="preserve">(March 21, 2012), </w:t>
      </w:r>
      <w:r w:rsidR="00DD226D">
        <w:rPr>
          <w:rFonts w:ascii="Arial" w:hAnsi="Arial" w:cs="Arial"/>
        </w:rPr>
        <w:t>(“AEP-Ohio will</w:t>
      </w:r>
      <w:r w:rsidR="00D51969">
        <w:rPr>
          <w:rFonts w:ascii="Arial" w:hAnsi="Arial" w:cs="Arial"/>
        </w:rPr>
        <w:t xml:space="preserve"> only be eligible for shared sa</w:t>
      </w:r>
      <w:r w:rsidR="00DD226D">
        <w:rPr>
          <w:rFonts w:ascii="Arial" w:hAnsi="Arial" w:cs="Arial"/>
        </w:rPr>
        <w:t>v</w:t>
      </w:r>
      <w:r w:rsidR="006431D5">
        <w:rPr>
          <w:rFonts w:ascii="Arial" w:hAnsi="Arial" w:cs="Arial"/>
        </w:rPr>
        <w:t>i</w:t>
      </w:r>
      <w:r w:rsidR="00DD226D">
        <w:rPr>
          <w:rFonts w:ascii="Arial" w:hAnsi="Arial" w:cs="Arial"/>
        </w:rPr>
        <w:t>ngs if it e</w:t>
      </w:r>
      <w:r w:rsidR="00D51969">
        <w:rPr>
          <w:rFonts w:ascii="Arial" w:hAnsi="Arial" w:cs="Arial"/>
        </w:rPr>
        <w:t>x</w:t>
      </w:r>
      <w:r w:rsidR="00DD226D">
        <w:rPr>
          <w:rFonts w:ascii="Arial" w:hAnsi="Arial" w:cs="Arial"/>
        </w:rPr>
        <w:t>ceeds the benchmarks of section 4928.66(A)(1)(a) and (A)(1)(b), Revised Code for a particular calendar year</w:t>
      </w:r>
      <w:r w:rsidR="006431D5">
        <w:rPr>
          <w:rFonts w:ascii="Arial" w:hAnsi="Arial" w:cs="Arial"/>
        </w:rPr>
        <w:t>.</w:t>
      </w:r>
      <w:r w:rsidR="00D51969">
        <w:rPr>
          <w:rFonts w:ascii="Arial" w:hAnsi="Arial" w:cs="Arial"/>
        </w:rPr>
        <w:t>”)</w:t>
      </w:r>
      <w:r w:rsidR="0014643A">
        <w:rPr>
          <w:rFonts w:ascii="Arial" w:hAnsi="Arial" w:cs="Arial"/>
        </w:rPr>
        <w:t xml:space="preserve"> </w:t>
      </w:r>
    </w:p>
    <w:p w14:paraId="22D34348" w14:textId="1E1AF0FA" w:rsidR="00AA59C1" w:rsidRDefault="0014643A" w:rsidP="00077049">
      <w:pPr>
        <w:pStyle w:val="ListParagraph"/>
        <w:spacing w:line="480" w:lineRule="atLeast"/>
        <w:ind w:left="0" w:right="-180" w:firstLine="720"/>
        <w:rPr>
          <w:rFonts w:ascii="Arial" w:hAnsi="Arial" w:cs="Arial"/>
        </w:rPr>
      </w:pPr>
      <w:r>
        <w:rPr>
          <w:rFonts w:ascii="Arial" w:hAnsi="Arial" w:cs="Arial"/>
        </w:rPr>
        <w:t>This is consistent with the Commission ruling</w:t>
      </w:r>
      <w:r w:rsidR="004D7D7E" w:rsidRPr="004D7D7E">
        <w:rPr>
          <w:rFonts w:ascii="Arial" w:hAnsi="Arial" w:cs="Arial"/>
        </w:rPr>
        <w:t xml:space="preserve"> </w:t>
      </w:r>
      <w:r w:rsidR="004D7D7E">
        <w:rPr>
          <w:rFonts w:ascii="Arial" w:hAnsi="Arial" w:cs="Arial"/>
        </w:rPr>
        <w:t xml:space="preserve">in the only litigated portfolio case, that of the FirstEnergy operating companies.  Case No. 12-2190-EL-POR, et.al. </w:t>
      </w:r>
      <w:r w:rsidR="00BC66A3">
        <w:rPr>
          <w:rFonts w:ascii="Arial" w:hAnsi="Arial" w:cs="Arial"/>
        </w:rPr>
        <w:t>(“</w:t>
      </w:r>
      <w:r w:rsidR="00BC66A3" w:rsidRPr="006431D5">
        <w:rPr>
          <w:rFonts w:ascii="Arial" w:hAnsi="Arial" w:cs="Arial"/>
          <w:i/>
        </w:rPr>
        <w:t>2012 FirstEnergy Portfolio Case</w:t>
      </w:r>
      <w:r w:rsidR="00BC66A3">
        <w:rPr>
          <w:rFonts w:ascii="Arial" w:hAnsi="Arial" w:cs="Arial"/>
        </w:rPr>
        <w:t>”),</w:t>
      </w:r>
      <w:r w:rsidR="004D7D7E">
        <w:rPr>
          <w:rFonts w:ascii="Arial" w:hAnsi="Arial" w:cs="Arial"/>
        </w:rPr>
        <w:t xml:space="preserve"> Opinion and Order at 15-17.  </w:t>
      </w:r>
      <w:r w:rsidR="00875397" w:rsidRPr="004D7D7E">
        <w:rPr>
          <w:rFonts w:ascii="Arial" w:hAnsi="Arial" w:cs="Arial"/>
        </w:rPr>
        <w:t>I</w:t>
      </w:r>
      <w:r w:rsidRPr="004D7D7E">
        <w:rPr>
          <w:rFonts w:ascii="Arial" w:hAnsi="Arial" w:cs="Arial"/>
        </w:rPr>
        <w:t>f</w:t>
      </w:r>
      <w:r>
        <w:rPr>
          <w:rFonts w:ascii="Arial" w:hAnsi="Arial" w:cs="Arial"/>
        </w:rPr>
        <w:t xml:space="preserve"> the Commission chooses to extend </w:t>
      </w:r>
      <w:r w:rsidR="00A60866">
        <w:rPr>
          <w:rFonts w:ascii="Arial" w:hAnsi="Arial" w:cs="Arial"/>
        </w:rPr>
        <w:t>Duke’s</w:t>
      </w:r>
      <w:r>
        <w:rPr>
          <w:rFonts w:ascii="Arial" w:hAnsi="Arial" w:cs="Arial"/>
        </w:rPr>
        <w:t xml:space="preserve"> shared savings provision it should follow the policy established in</w:t>
      </w:r>
      <w:r w:rsidR="004D7D7E">
        <w:rPr>
          <w:rFonts w:ascii="Arial" w:hAnsi="Arial" w:cs="Arial"/>
        </w:rPr>
        <w:t xml:space="preserve">, </w:t>
      </w:r>
      <w:r>
        <w:rPr>
          <w:rFonts w:ascii="Arial" w:hAnsi="Arial" w:cs="Arial"/>
        </w:rPr>
        <w:t>and the understanding of the parties</w:t>
      </w:r>
      <w:r w:rsidR="00AA59C1">
        <w:rPr>
          <w:rFonts w:ascii="Arial" w:hAnsi="Arial" w:cs="Arial"/>
        </w:rPr>
        <w:t xml:space="preserve"> to this case</w:t>
      </w:r>
      <w:r>
        <w:rPr>
          <w:rFonts w:ascii="Arial" w:hAnsi="Arial" w:cs="Arial"/>
        </w:rPr>
        <w:t>, limit</w:t>
      </w:r>
      <w:r w:rsidR="00DD3D2C">
        <w:rPr>
          <w:rFonts w:ascii="Arial" w:hAnsi="Arial" w:cs="Arial"/>
        </w:rPr>
        <w:t>ing</w:t>
      </w:r>
      <w:r>
        <w:rPr>
          <w:rFonts w:ascii="Arial" w:hAnsi="Arial" w:cs="Arial"/>
        </w:rPr>
        <w:t xml:space="preserve"> shared savings to years when single-year savings exceed the benchmark</w:t>
      </w:r>
      <w:r w:rsidR="00875397">
        <w:rPr>
          <w:rFonts w:ascii="Arial" w:hAnsi="Arial" w:cs="Arial"/>
        </w:rPr>
        <w:t>, not cumulative savings.</w:t>
      </w:r>
    </w:p>
    <w:p w14:paraId="4D2E5B7A" w14:textId="37DD1B9E" w:rsidR="00291734" w:rsidRDefault="00291734" w:rsidP="00077049">
      <w:pPr>
        <w:pStyle w:val="ListParagraph"/>
        <w:spacing w:line="480" w:lineRule="atLeast"/>
        <w:ind w:left="0" w:right="-180" w:firstLine="720"/>
        <w:rPr>
          <w:rFonts w:ascii="Arial" w:hAnsi="Arial" w:cs="Arial"/>
        </w:rPr>
      </w:pPr>
      <w:r>
        <w:rPr>
          <w:rFonts w:ascii="Arial" w:hAnsi="Arial" w:cs="Arial"/>
        </w:rPr>
        <w:t xml:space="preserve">Duke alleges that it designed its most recent portfolio to meet the statutory benchmarks and trigger shared savings through the use of banked savings, planning annual programs that failed to meet the mandates.  </w:t>
      </w:r>
      <w:r w:rsidR="00172AF0">
        <w:rPr>
          <w:rFonts w:ascii="Arial" w:hAnsi="Arial" w:cs="Arial"/>
        </w:rPr>
        <w:t xml:space="preserve">(Duke Brief at 2-3.)  </w:t>
      </w:r>
      <w:r>
        <w:rPr>
          <w:rFonts w:ascii="Arial" w:hAnsi="Arial" w:cs="Arial"/>
        </w:rPr>
        <w:t xml:space="preserve">This is contrary to the application </w:t>
      </w:r>
      <w:r w:rsidR="00172AF0">
        <w:rPr>
          <w:rFonts w:ascii="Arial" w:hAnsi="Arial" w:cs="Arial"/>
        </w:rPr>
        <w:t xml:space="preserve">for portfolio approval </w:t>
      </w:r>
      <w:r>
        <w:rPr>
          <w:rFonts w:ascii="Arial" w:hAnsi="Arial" w:cs="Arial"/>
        </w:rPr>
        <w:t>filed by Duke in Case No. 13-431-EL-POR:</w:t>
      </w:r>
    </w:p>
    <w:p w14:paraId="2FB61C8C" w14:textId="77777777" w:rsidR="00291734" w:rsidRDefault="00291734" w:rsidP="00291734">
      <w:pPr>
        <w:pStyle w:val="ListParagraph"/>
        <w:ind w:left="0" w:right="-180" w:firstLine="720"/>
        <w:rPr>
          <w:rFonts w:ascii="Arial" w:hAnsi="Arial" w:cs="Arial"/>
        </w:rPr>
      </w:pPr>
    </w:p>
    <w:p w14:paraId="4D5AFAAE" w14:textId="016F3CAB" w:rsidR="00291734" w:rsidRDefault="00291734" w:rsidP="00005798">
      <w:pPr>
        <w:pStyle w:val="ListParagraph"/>
        <w:ind w:right="720"/>
        <w:rPr>
          <w:rFonts w:ascii="Arial" w:hAnsi="Arial" w:cs="Arial"/>
        </w:rPr>
      </w:pPr>
      <w:r>
        <w:rPr>
          <w:rFonts w:ascii="Arial" w:hAnsi="Arial" w:cs="Arial"/>
        </w:rPr>
        <w:t>Implementation of Duke Energy Ohio’s portfolio of programs is expected to enable Duke Energy Ohio to meet or exceed the statu</w:t>
      </w:r>
      <w:r w:rsidR="00172AF0">
        <w:rPr>
          <w:rFonts w:ascii="Arial" w:hAnsi="Arial" w:cs="Arial"/>
        </w:rPr>
        <w:t>tory</w:t>
      </w:r>
      <w:r>
        <w:rPr>
          <w:rFonts w:ascii="Arial" w:hAnsi="Arial" w:cs="Arial"/>
        </w:rPr>
        <w:t xml:space="preserve"> benchmarks for peak demand reduction and energy efficiency for the timeframe of this portfolio, January 1, 2014 – December 31, 2016.  (Duke Exhibit 2 at 5.  See also, Opinion and Order at </w:t>
      </w:r>
      <w:r w:rsidR="00172AF0">
        <w:rPr>
          <w:rFonts w:ascii="Arial" w:hAnsi="Arial" w:cs="Arial"/>
        </w:rPr>
        <w:t>4 (December 14, 2013).</w:t>
      </w:r>
    </w:p>
    <w:p w14:paraId="4FD9CD1D" w14:textId="6868AF0A" w:rsidR="004D7D7E" w:rsidRDefault="004D7D7E" w:rsidP="00077049">
      <w:pPr>
        <w:pStyle w:val="ListParagraph"/>
        <w:spacing w:line="480" w:lineRule="atLeast"/>
        <w:ind w:left="0" w:right="-180" w:firstLine="720"/>
        <w:rPr>
          <w:rFonts w:ascii="Arial" w:hAnsi="Arial" w:cs="Arial"/>
        </w:rPr>
      </w:pPr>
      <w:r>
        <w:rPr>
          <w:rFonts w:ascii="Arial" w:hAnsi="Arial" w:cs="Arial"/>
        </w:rPr>
        <w:t>The Commission should follow precedent and deny recovery of shared savings when annual savings fail to meet the benchmark.</w:t>
      </w:r>
      <w:r w:rsidR="00005798">
        <w:rPr>
          <w:rFonts w:ascii="Arial" w:hAnsi="Arial" w:cs="Arial"/>
        </w:rPr>
        <w:t xml:space="preserve">  Duke’s performance is less than stellar, and the performance is irrelevant to whether the shared savings incentive can be continued.</w:t>
      </w:r>
    </w:p>
    <w:p w14:paraId="06050AF9" w14:textId="77777777" w:rsidR="00005798" w:rsidRDefault="00005798">
      <w:pPr>
        <w:rPr>
          <w:rFonts w:ascii="Arial" w:hAnsi="Arial" w:cs="Arial"/>
          <w:b/>
        </w:rPr>
      </w:pPr>
      <w:r>
        <w:rPr>
          <w:rFonts w:ascii="Arial" w:hAnsi="Arial" w:cs="Arial"/>
          <w:b/>
        </w:rPr>
        <w:br w:type="page"/>
      </w:r>
    </w:p>
    <w:p w14:paraId="3434888B" w14:textId="4ACF1929" w:rsidR="00AA59C1" w:rsidRDefault="00AA59C1" w:rsidP="00AA59C1">
      <w:pPr>
        <w:ind w:left="720" w:right="-180" w:hanging="720"/>
        <w:rPr>
          <w:rFonts w:ascii="Arial" w:hAnsi="Arial" w:cs="Arial"/>
          <w:b/>
        </w:rPr>
      </w:pPr>
      <w:r>
        <w:rPr>
          <w:rFonts w:ascii="Arial" w:hAnsi="Arial" w:cs="Arial"/>
          <w:b/>
        </w:rPr>
        <w:t>V.</w:t>
      </w:r>
      <w:r>
        <w:rPr>
          <w:rFonts w:ascii="Arial" w:hAnsi="Arial" w:cs="Arial"/>
          <w:b/>
        </w:rPr>
        <w:tab/>
      </w:r>
      <w:r w:rsidRPr="00005798">
        <w:rPr>
          <w:rFonts w:ascii="Arial" w:hAnsi="Arial" w:cs="Arial"/>
          <w:b/>
          <w:caps/>
        </w:rPr>
        <w:t xml:space="preserve">If the Commission Extends the Shared Savings Provisions it should </w:t>
      </w:r>
      <w:r w:rsidR="00C91ECA" w:rsidRPr="00005798">
        <w:rPr>
          <w:rFonts w:ascii="Arial" w:hAnsi="Arial" w:cs="Arial"/>
          <w:b/>
          <w:caps/>
        </w:rPr>
        <w:t>Lim</w:t>
      </w:r>
      <w:r w:rsidR="004D7D7E" w:rsidRPr="00005798">
        <w:rPr>
          <w:rFonts w:ascii="Arial" w:hAnsi="Arial" w:cs="Arial"/>
          <w:b/>
          <w:caps/>
        </w:rPr>
        <w:t>i</w:t>
      </w:r>
      <w:r w:rsidR="00C91ECA" w:rsidRPr="00005798">
        <w:rPr>
          <w:rFonts w:ascii="Arial" w:hAnsi="Arial" w:cs="Arial"/>
          <w:b/>
          <w:caps/>
        </w:rPr>
        <w:t>t</w:t>
      </w:r>
      <w:r w:rsidRPr="00005798">
        <w:rPr>
          <w:rFonts w:ascii="Arial" w:hAnsi="Arial" w:cs="Arial"/>
          <w:b/>
          <w:caps/>
        </w:rPr>
        <w:t xml:space="preserve"> the Incentive as Recommended by Parties to this Case.</w:t>
      </w:r>
    </w:p>
    <w:p w14:paraId="17550122" w14:textId="77777777" w:rsidR="00AA59C1" w:rsidRDefault="00AA59C1" w:rsidP="00AA59C1">
      <w:pPr>
        <w:ind w:left="720" w:right="-180" w:hanging="720"/>
        <w:rPr>
          <w:rFonts w:ascii="Arial" w:hAnsi="Arial" w:cs="Arial"/>
          <w:b/>
        </w:rPr>
      </w:pPr>
    </w:p>
    <w:p w14:paraId="32B2A58A" w14:textId="63022283" w:rsidR="00AA59C1" w:rsidRDefault="00AA59C1" w:rsidP="00AA59C1">
      <w:pPr>
        <w:spacing w:line="480" w:lineRule="auto"/>
        <w:ind w:right="-180"/>
        <w:rPr>
          <w:rFonts w:ascii="Arial" w:hAnsi="Arial" w:cs="Arial"/>
        </w:rPr>
      </w:pPr>
      <w:r>
        <w:rPr>
          <w:rFonts w:ascii="Arial" w:hAnsi="Arial" w:cs="Arial"/>
        </w:rPr>
        <w:tab/>
      </w:r>
      <w:r w:rsidR="006431D5">
        <w:rPr>
          <w:rFonts w:ascii="Arial" w:hAnsi="Arial" w:cs="Arial"/>
        </w:rPr>
        <w:t>If</w:t>
      </w:r>
      <w:r w:rsidR="00C91ECA">
        <w:rPr>
          <w:rFonts w:ascii="Arial" w:hAnsi="Arial" w:cs="Arial"/>
        </w:rPr>
        <w:t xml:space="preserve"> the Commission accept</w:t>
      </w:r>
      <w:r w:rsidR="006431D5">
        <w:rPr>
          <w:rFonts w:ascii="Arial" w:hAnsi="Arial" w:cs="Arial"/>
        </w:rPr>
        <w:t>s</w:t>
      </w:r>
      <w:r w:rsidR="00C91ECA">
        <w:rPr>
          <w:rFonts w:ascii="Arial" w:hAnsi="Arial" w:cs="Arial"/>
        </w:rPr>
        <w:t xml:space="preserve"> the argument of Staff that continuation of the shared savings mechanism does not violate SB 310, the Commission should act to limit the amount of the incentive.  The General Assembly made clear during the consideration of SB 310 that it was concerned with protecting customers from higher bills </w:t>
      </w:r>
      <w:r w:rsidR="004D7D7E">
        <w:rPr>
          <w:rFonts w:ascii="Arial" w:hAnsi="Arial" w:cs="Arial"/>
        </w:rPr>
        <w:t xml:space="preserve">resulting from investments in </w:t>
      </w:r>
      <w:r w:rsidR="00C91ECA">
        <w:rPr>
          <w:rFonts w:ascii="Arial" w:hAnsi="Arial" w:cs="Arial"/>
        </w:rPr>
        <w:t>energy efficiency</w:t>
      </w:r>
      <w:r w:rsidR="000D6FB2">
        <w:rPr>
          <w:rFonts w:ascii="Arial" w:hAnsi="Arial" w:cs="Arial"/>
        </w:rPr>
        <w:t xml:space="preserve"> regardless of whether those programs </w:t>
      </w:r>
      <w:r w:rsidR="0054152B">
        <w:rPr>
          <w:rFonts w:ascii="Arial" w:hAnsi="Arial" w:cs="Arial"/>
        </w:rPr>
        <w:t>were</w:t>
      </w:r>
      <w:r w:rsidR="000D6FB2">
        <w:rPr>
          <w:rFonts w:ascii="Arial" w:hAnsi="Arial" w:cs="Arial"/>
        </w:rPr>
        <w:t xml:space="preserve"> successful and cost-effective as most are, or the middling programs of Duke</w:t>
      </w:r>
      <w:r w:rsidR="00C91ECA">
        <w:rPr>
          <w:rFonts w:ascii="Arial" w:hAnsi="Arial" w:cs="Arial"/>
        </w:rPr>
        <w:t xml:space="preserve">.  </w:t>
      </w:r>
      <w:r w:rsidR="000D6FB2">
        <w:rPr>
          <w:rFonts w:ascii="Arial" w:hAnsi="Arial" w:cs="Arial"/>
        </w:rPr>
        <w:t>Preventing Duke from diverting 13% of the</w:t>
      </w:r>
      <w:r w:rsidR="00C91ECA">
        <w:rPr>
          <w:rFonts w:ascii="Arial" w:hAnsi="Arial" w:cs="Arial"/>
        </w:rPr>
        <w:t xml:space="preserve"> of customer benefits</w:t>
      </w:r>
      <w:r w:rsidR="0054152B">
        <w:rPr>
          <w:rFonts w:ascii="Arial" w:hAnsi="Arial" w:cs="Arial"/>
        </w:rPr>
        <w:t xml:space="preserve"> to its</w:t>
      </w:r>
      <w:r w:rsidR="00005798">
        <w:rPr>
          <w:rFonts w:ascii="Arial" w:hAnsi="Arial" w:cs="Arial"/>
        </w:rPr>
        <w:t xml:space="preserve"> shareholders’ pockets</w:t>
      </w:r>
      <w:r w:rsidR="00C91ECA">
        <w:rPr>
          <w:rFonts w:ascii="Arial" w:hAnsi="Arial" w:cs="Arial"/>
        </w:rPr>
        <w:t xml:space="preserve">, and the </w:t>
      </w:r>
      <w:r w:rsidR="0054152B">
        <w:rPr>
          <w:rFonts w:ascii="Arial" w:hAnsi="Arial" w:cs="Arial"/>
        </w:rPr>
        <w:t xml:space="preserve">resulting </w:t>
      </w:r>
      <w:r w:rsidR="00C91ECA">
        <w:rPr>
          <w:rFonts w:ascii="Arial" w:hAnsi="Arial" w:cs="Arial"/>
        </w:rPr>
        <w:t>increase in the recovery rider, is appropriate.</w:t>
      </w:r>
      <w:r w:rsidR="004D7D7E">
        <w:rPr>
          <w:rFonts w:ascii="Arial" w:hAnsi="Arial" w:cs="Arial"/>
        </w:rPr>
        <w:t xml:space="preserve">  Dollars spent on actual programs produce savings that benefit customers; shared savings only benefit the Company.</w:t>
      </w:r>
    </w:p>
    <w:p w14:paraId="3AC6FE27" w14:textId="5A2111BC" w:rsidR="00C91ECA" w:rsidRDefault="00C91ECA" w:rsidP="00AA59C1">
      <w:pPr>
        <w:spacing w:line="480" w:lineRule="auto"/>
        <w:ind w:right="-180"/>
        <w:rPr>
          <w:rFonts w:ascii="Arial" w:hAnsi="Arial" w:cs="Arial"/>
        </w:rPr>
      </w:pPr>
      <w:r>
        <w:rPr>
          <w:rFonts w:ascii="Arial" w:hAnsi="Arial" w:cs="Arial"/>
        </w:rPr>
        <w:tab/>
        <w:t>Kroger, the Ohio Manufacturers Association (“OMA”), the Office of the Ohio Consumers Counsel (“OCC”), Industrial Energy Users – Ohio, the Ohio Energy Group, and the Commission staff</w:t>
      </w:r>
      <w:r w:rsidR="006431D5">
        <w:rPr>
          <w:rFonts w:ascii="Arial" w:hAnsi="Arial" w:cs="Arial"/>
        </w:rPr>
        <w:t>, along with OPAE,</w:t>
      </w:r>
      <w:r>
        <w:rPr>
          <w:rFonts w:ascii="Arial" w:hAnsi="Arial" w:cs="Arial"/>
        </w:rPr>
        <w:t xml:space="preserve"> all call for a cap on shared savings.  A cap should be adopted. OMA also urges that shared savings not be permitted merely if the benchmark is met.  This is also a responsible modification.</w:t>
      </w:r>
    </w:p>
    <w:p w14:paraId="7DCC8580" w14:textId="3354A5D9" w:rsidR="00C91ECA" w:rsidRDefault="00C91ECA" w:rsidP="00AA59C1">
      <w:pPr>
        <w:spacing w:line="480" w:lineRule="auto"/>
        <w:ind w:right="-180"/>
        <w:rPr>
          <w:rFonts w:ascii="Arial" w:hAnsi="Arial" w:cs="Arial"/>
        </w:rPr>
      </w:pPr>
      <w:r>
        <w:rPr>
          <w:rFonts w:ascii="Arial" w:hAnsi="Arial" w:cs="Arial"/>
        </w:rPr>
        <w:tab/>
      </w:r>
      <w:r w:rsidR="004D7D7E">
        <w:rPr>
          <w:rFonts w:ascii="Arial" w:hAnsi="Arial" w:cs="Arial"/>
        </w:rPr>
        <w:t xml:space="preserve">Beyond enacting a cap, there are additional changes that would reduce </w:t>
      </w:r>
      <w:r w:rsidR="00A60866">
        <w:rPr>
          <w:rFonts w:ascii="Arial" w:hAnsi="Arial" w:cs="Arial"/>
        </w:rPr>
        <w:t xml:space="preserve">the </w:t>
      </w:r>
      <w:r w:rsidR="004D7D7E">
        <w:rPr>
          <w:rFonts w:ascii="Arial" w:hAnsi="Arial" w:cs="Arial"/>
        </w:rPr>
        <w:t xml:space="preserve">impact of energy efficiency portfolio costs on customer bills.  </w:t>
      </w:r>
      <w:r>
        <w:rPr>
          <w:rFonts w:ascii="Arial" w:hAnsi="Arial" w:cs="Arial"/>
        </w:rPr>
        <w:t xml:space="preserve">OCC witness Gonzalez makes a series of recommendations regarding shared savings incentives.  These </w:t>
      </w:r>
      <w:r w:rsidR="004D7D7E">
        <w:rPr>
          <w:rFonts w:ascii="Arial" w:hAnsi="Arial" w:cs="Arial"/>
        </w:rPr>
        <w:t>proposal</w:t>
      </w:r>
      <w:r w:rsidR="006431D5">
        <w:rPr>
          <w:rFonts w:ascii="Arial" w:hAnsi="Arial" w:cs="Arial"/>
        </w:rPr>
        <w:t>s</w:t>
      </w:r>
      <w:r>
        <w:rPr>
          <w:rFonts w:ascii="Arial" w:hAnsi="Arial" w:cs="Arial"/>
        </w:rPr>
        <w:t xml:space="preserve"> are consistent with the </w:t>
      </w:r>
      <w:r w:rsidR="004D7D7E">
        <w:rPr>
          <w:rFonts w:ascii="Arial" w:hAnsi="Arial" w:cs="Arial"/>
        </w:rPr>
        <w:t>legislative intent o</w:t>
      </w:r>
      <w:r>
        <w:rPr>
          <w:rFonts w:ascii="Arial" w:hAnsi="Arial" w:cs="Arial"/>
        </w:rPr>
        <w:t>f SB 310 and should be adopted.  The Total Resource Cost test should be used to calculate net benefits as opposed to the Utility Cost Test</w:t>
      </w:r>
      <w:r w:rsidR="0054152B">
        <w:rPr>
          <w:rFonts w:ascii="Arial" w:hAnsi="Arial" w:cs="Arial"/>
        </w:rPr>
        <w:t>.  This</w:t>
      </w:r>
      <w:r w:rsidR="00745A46">
        <w:rPr>
          <w:rFonts w:ascii="Arial" w:hAnsi="Arial" w:cs="Arial"/>
        </w:rPr>
        <w:t xml:space="preserve"> will reduce the amount of savings Duke can collect</w:t>
      </w:r>
      <w:r>
        <w:rPr>
          <w:rFonts w:ascii="Arial" w:hAnsi="Arial" w:cs="Arial"/>
        </w:rPr>
        <w:t xml:space="preserve">. </w:t>
      </w:r>
      <w:r w:rsidR="00745A46">
        <w:rPr>
          <w:rFonts w:ascii="Arial" w:hAnsi="Arial" w:cs="Arial"/>
        </w:rPr>
        <w:t>Shared savings should be awarded based on the net savings rather than gross savings to prevent over-recovery of incentives.  Shared savings should also be awarded on a pre-tax basis.  An incentive is not the equivalent of base rates; Duke should be responsible for the taxes associated with the incentive.</w:t>
      </w:r>
      <w:r w:rsidR="004D7D7E">
        <w:rPr>
          <w:rFonts w:ascii="Arial" w:hAnsi="Arial" w:cs="Arial"/>
        </w:rPr>
        <w:t xml:space="preserve">  </w:t>
      </w:r>
      <w:r w:rsidR="00BC66A3">
        <w:rPr>
          <w:rFonts w:ascii="Arial" w:hAnsi="Arial" w:cs="Arial"/>
        </w:rPr>
        <w:t>Direct Testimony of Wilson Gonzalez at 10-11 (June 30, 2015).</w:t>
      </w:r>
      <w:r w:rsidR="0054152B">
        <w:rPr>
          <w:rFonts w:ascii="Arial" w:hAnsi="Arial" w:cs="Arial"/>
        </w:rPr>
        <w:t xml:space="preserve">  All these recommendations would better align the interests of customers and utilities by tying shared savings to the amount of money customers actually save as a result of efficiency programs.</w:t>
      </w:r>
    </w:p>
    <w:p w14:paraId="7574CA03" w14:textId="271935B1" w:rsidR="00745A46" w:rsidRDefault="00745A46" w:rsidP="00AA59C1">
      <w:pPr>
        <w:spacing w:line="480" w:lineRule="auto"/>
        <w:ind w:right="-180"/>
        <w:rPr>
          <w:rFonts w:ascii="Arial" w:hAnsi="Arial" w:cs="Arial"/>
        </w:rPr>
      </w:pPr>
      <w:r>
        <w:rPr>
          <w:rFonts w:ascii="Arial" w:hAnsi="Arial" w:cs="Arial"/>
        </w:rPr>
        <w:tab/>
        <w:t xml:space="preserve">These modifications are appropriate.  Duke is seeking to extend a shared savings mechanism.  This is the first modification of this type to be considered by the Commission since the passage of SB 310.  The General Assembly’s intent in passing SB 310 was clear:  reduce the cost of complying with the energy efficiency benchmarks.  </w:t>
      </w:r>
      <w:r w:rsidR="00BC66A3">
        <w:rPr>
          <w:rFonts w:ascii="Arial" w:hAnsi="Arial" w:cs="Arial"/>
        </w:rPr>
        <w:t xml:space="preserve">This justifies further limitation of incentives </w:t>
      </w:r>
      <w:r w:rsidR="00005798">
        <w:rPr>
          <w:rFonts w:ascii="Arial" w:hAnsi="Arial" w:cs="Arial"/>
        </w:rPr>
        <w:t>compared to</w:t>
      </w:r>
      <w:r w:rsidR="00BC66A3">
        <w:rPr>
          <w:rFonts w:ascii="Arial" w:hAnsi="Arial" w:cs="Arial"/>
        </w:rPr>
        <w:t xml:space="preserve"> those established in the </w:t>
      </w:r>
      <w:r w:rsidR="00BC66A3" w:rsidRPr="006431D5">
        <w:rPr>
          <w:rFonts w:ascii="Arial" w:hAnsi="Arial" w:cs="Arial"/>
          <w:i/>
        </w:rPr>
        <w:t>2012 FirstEnergy Portfolio Case</w:t>
      </w:r>
      <w:r w:rsidR="00BC66A3">
        <w:rPr>
          <w:rFonts w:ascii="Arial" w:hAnsi="Arial" w:cs="Arial"/>
        </w:rPr>
        <w:t xml:space="preserve">.  </w:t>
      </w:r>
      <w:r>
        <w:rPr>
          <w:rFonts w:ascii="Arial" w:hAnsi="Arial" w:cs="Arial"/>
        </w:rPr>
        <w:t xml:space="preserve">The changes to the shared savings mechanism proposed by the parties are consistent with this intent.  If the Commission chooses to extend the shared savings mechanism it should do so in a manner </w:t>
      </w:r>
      <w:r w:rsidR="00005798">
        <w:rPr>
          <w:rFonts w:ascii="Arial" w:hAnsi="Arial" w:cs="Arial"/>
        </w:rPr>
        <w:t>that minimizes the cost to customers, better aligning the interests of the utility with its customers.</w:t>
      </w:r>
      <w:bookmarkStart w:id="0" w:name="_GoBack"/>
      <w:bookmarkEnd w:id="0"/>
      <w:r>
        <w:rPr>
          <w:rFonts w:ascii="Arial" w:hAnsi="Arial" w:cs="Arial"/>
        </w:rPr>
        <w:t>.</w:t>
      </w:r>
    </w:p>
    <w:p w14:paraId="6C0D3B23" w14:textId="77777777" w:rsidR="006431D5" w:rsidRDefault="006431D5" w:rsidP="00AA59C1">
      <w:pPr>
        <w:spacing w:line="480" w:lineRule="auto"/>
        <w:ind w:right="-180"/>
        <w:rPr>
          <w:rFonts w:ascii="Arial" w:hAnsi="Arial" w:cs="Arial"/>
        </w:rPr>
      </w:pPr>
    </w:p>
    <w:p w14:paraId="7DCA1A77" w14:textId="7DC4EAA9" w:rsidR="00745A46" w:rsidRDefault="00745A46" w:rsidP="00AA59C1">
      <w:pPr>
        <w:spacing w:line="480" w:lineRule="auto"/>
        <w:ind w:right="-180"/>
        <w:rPr>
          <w:rFonts w:ascii="Arial" w:hAnsi="Arial" w:cs="Arial"/>
          <w:b/>
        </w:rPr>
      </w:pPr>
      <w:r>
        <w:rPr>
          <w:rFonts w:ascii="Arial" w:hAnsi="Arial" w:cs="Arial"/>
          <w:b/>
        </w:rPr>
        <w:t>V.</w:t>
      </w:r>
      <w:r>
        <w:rPr>
          <w:rFonts w:ascii="Arial" w:hAnsi="Arial" w:cs="Arial"/>
          <w:b/>
        </w:rPr>
        <w:tab/>
        <w:t>Conclusion</w:t>
      </w:r>
    </w:p>
    <w:p w14:paraId="2DB46CF6" w14:textId="70288F95" w:rsidR="00745A46" w:rsidRPr="00AA59C1" w:rsidRDefault="00A57D53" w:rsidP="00AA59C1">
      <w:pPr>
        <w:spacing w:line="480" w:lineRule="auto"/>
        <w:ind w:right="-180"/>
        <w:rPr>
          <w:rFonts w:ascii="Arial" w:hAnsi="Arial" w:cs="Arial"/>
        </w:rPr>
      </w:pPr>
      <w:r>
        <w:rPr>
          <w:rFonts w:ascii="Arial" w:hAnsi="Arial" w:cs="Arial"/>
        </w:rPr>
        <w:tab/>
        <w:t>The Commission should act in a manner consistent with the intent of the General Assembly in passing SB 310.  This application should be dismissed.  Should the Commission</w:t>
      </w:r>
      <w:r w:rsidR="00806745">
        <w:rPr>
          <w:rFonts w:ascii="Arial" w:hAnsi="Arial" w:cs="Arial"/>
        </w:rPr>
        <w:t xml:space="preserve"> choose to extend the shared savings incentive, it should be modified as suggested by the Commission staff, OCC and the other consumer parties</w:t>
      </w:r>
      <w:r w:rsidR="006431D5">
        <w:rPr>
          <w:rFonts w:ascii="Arial" w:hAnsi="Arial" w:cs="Arial"/>
        </w:rPr>
        <w:t xml:space="preserve"> to conform with the legislative intent of the General Assembly</w:t>
      </w:r>
      <w:r w:rsidR="00806745">
        <w:rPr>
          <w:rFonts w:ascii="Arial" w:hAnsi="Arial" w:cs="Arial"/>
        </w:rPr>
        <w:t>.</w:t>
      </w:r>
    </w:p>
    <w:p w14:paraId="37001612" w14:textId="3C568ABA" w:rsidR="006F19DC" w:rsidRDefault="00222345" w:rsidP="00216776">
      <w:pPr>
        <w:spacing w:line="480" w:lineRule="atLeast"/>
        <w:ind w:right="-180"/>
        <w:rPr>
          <w:rFonts w:ascii="Arial" w:hAnsi="Arial" w:cs="Arial"/>
        </w:rPr>
      </w:pPr>
      <w:r>
        <w:rPr>
          <w:rFonts w:ascii="Arial" w:hAnsi="Arial" w:cs="Arial"/>
        </w:rPr>
        <w:tab/>
      </w:r>
    </w:p>
    <w:p w14:paraId="5F19447B" w14:textId="77777777" w:rsidR="006431D5" w:rsidRDefault="006431D5" w:rsidP="00216776">
      <w:pPr>
        <w:spacing w:line="480" w:lineRule="atLeast"/>
        <w:ind w:right="-180"/>
        <w:rPr>
          <w:rFonts w:ascii="Arial" w:hAnsi="Arial" w:cs="Arial"/>
        </w:rPr>
      </w:pPr>
    </w:p>
    <w:p w14:paraId="7BD0643A" w14:textId="2F6E56AE" w:rsidR="00222345" w:rsidRPr="000D5558" w:rsidRDefault="00222345" w:rsidP="00D700EC">
      <w:pPr>
        <w:ind w:left="4320" w:right="-180"/>
        <w:rPr>
          <w:rFonts w:ascii="Arial" w:hAnsi="Arial" w:cs="Arial"/>
        </w:rPr>
      </w:pPr>
      <w:r w:rsidRPr="000D5558">
        <w:rPr>
          <w:rFonts w:ascii="Arial" w:hAnsi="Arial" w:cs="Arial"/>
        </w:rPr>
        <w:t>Respectfully submitted,</w:t>
      </w:r>
    </w:p>
    <w:p w14:paraId="04A1FB89" w14:textId="77777777" w:rsidR="00222345" w:rsidRPr="000D5558" w:rsidRDefault="00222345" w:rsidP="00D700EC">
      <w:pPr>
        <w:ind w:firstLine="810"/>
        <w:rPr>
          <w:rFonts w:ascii="Arial" w:hAnsi="Arial" w:cs="Arial"/>
        </w:rPr>
      </w:pPr>
    </w:p>
    <w:p w14:paraId="553B70FD" w14:textId="77777777" w:rsidR="00222345" w:rsidRDefault="00222345" w:rsidP="00D700EC">
      <w:pPr>
        <w:ind w:left="4320"/>
        <w:rPr>
          <w:rFonts w:ascii="Arial" w:hAnsi="Arial" w:cs="Arial"/>
          <w:u w:val="single"/>
        </w:rPr>
      </w:pPr>
      <w:r>
        <w:rPr>
          <w:rFonts w:ascii="Arial" w:hAnsi="Arial" w:cs="Arial"/>
          <w:u w:val="single"/>
        </w:rPr>
        <w:t xml:space="preserve">/s/ </w:t>
      </w:r>
      <w:r w:rsidRPr="00C70DCD">
        <w:rPr>
          <w:rFonts w:ascii="Brush Script MT" w:hAnsi="Brush Script MT" w:cs="Brush Script MT"/>
          <w:u w:val="single"/>
        </w:rPr>
        <w:t>David C. Rinebolt</w:t>
      </w:r>
    </w:p>
    <w:p w14:paraId="646A78EB" w14:textId="77777777" w:rsidR="00222345" w:rsidRPr="00232322" w:rsidRDefault="00222345" w:rsidP="00D700EC">
      <w:pPr>
        <w:ind w:left="4320"/>
        <w:rPr>
          <w:rFonts w:ascii="Arial" w:hAnsi="Arial" w:cs="Arial"/>
        </w:rPr>
      </w:pPr>
      <w:r>
        <w:rPr>
          <w:rFonts w:ascii="Arial" w:hAnsi="Arial" w:cs="Arial"/>
        </w:rPr>
        <w:t>David C. Rinebolt (Counsel of Record)</w:t>
      </w:r>
    </w:p>
    <w:p w14:paraId="63ADB57F" w14:textId="77777777" w:rsidR="00222345" w:rsidRPr="000D5558" w:rsidRDefault="00222345" w:rsidP="0015109D">
      <w:pPr>
        <w:ind w:left="3600" w:firstLine="720"/>
        <w:rPr>
          <w:rFonts w:ascii="Arial" w:hAnsi="Arial" w:cs="Arial"/>
        </w:rPr>
      </w:pPr>
      <w:r>
        <w:rPr>
          <w:rFonts w:ascii="Arial" w:hAnsi="Arial" w:cs="Arial"/>
        </w:rPr>
        <w:t>Colleen L. Mooney</w:t>
      </w:r>
    </w:p>
    <w:p w14:paraId="1A18B915" w14:textId="77777777" w:rsidR="00222345" w:rsidRPr="000D5558" w:rsidRDefault="00222345" w:rsidP="0015109D">
      <w:pPr>
        <w:ind w:left="4230" w:firstLine="90"/>
        <w:rPr>
          <w:rFonts w:ascii="Arial" w:hAnsi="Arial" w:cs="Arial"/>
        </w:rPr>
      </w:pPr>
      <w:r w:rsidRPr="000D5558">
        <w:rPr>
          <w:rFonts w:ascii="Arial" w:hAnsi="Arial" w:cs="Arial"/>
        </w:rPr>
        <w:t>Ohio Partners for Affordable Energy</w:t>
      </w:r>
    </w:p>
    <w:p w14:paraId="41811C57" w14:textId="77777777" w:rsidR="00222345" w:rsidRPr="000D5558" w:rsidRDefault="00222345" w:rsidP="0015109D">
      <w:pPr>
        <w:ind w:left="4230" w:firstLine="90"/>
        <w:rPr>
          <w:rFonts w:ascii="Arial" w:hAnsi="Arial" w:cs="Arial"/>
        </w:rPr>
      </w:pPr>
      <w:r w:rsidRPr="000D5558">
        <w:rPr>
          <w:rFonts w:ascii="Arial" w:hAnsi="Arial" w:cs="Arial"/>
        </w:rPr>
        <w:t>231 West Lima Street</w:t>
      </w:r>
    </w:p>
    <w:p w14:paraId="11291AE9" w14:textId="77777777" w:rsidR="00222345" w:rsidRPr="000D5558" w:rsidRDefault="00222345" w:rsidP="0015109D">
      <w:pPr>
        <w:ind w:left="4230" w:firstLine="90"/>
        <w:rPr>
          <w:rFonts w:ascii="Arial" w:hAnsi="Arial" w:cs="Arial"/>
        </w:rPr>
      </w:pPr>
      <w:r w:rsidRPr="000D5558">
        <w:rPr>
          <w:rFonts w:ascii="Arial" w:hAnsi="Arial" w:cs="Arial"/>
        </w:rPr>
        <w:t>Findlay, OH45840</w:t>
      </w:r>
    </w:p>
    <w:p w14:paraId="70FA264C" w14:textId="77777777" w:rsidR="00222345" w:rsidRPr="000D5558" w:rsidRDefault="00222345" w:rsidP="0015109D">
      <w:pPr>
        <w:ind w:left="4230" w:firstLine="90"/>
        <w:rPr>
          <w:rFonts w:ascii="Arial" w:hAnsi="Arial" w:cs="Arial"/>
        </w:rPr>
      </w:pPr>
      <w:r w:rsidRPr="000D5558">
        <w:rPr>
          <w:rFonts w:ascii="Arial" w:hAnsi="Arial" w:cs="Arial"/>
        </w:rPr>
        <w:t>Telephone: (419) 425-8860</w:t>
      </w:r>
    </w:p>
    <w:p w14:paraId="479C20A7" w14:textId="77777777" w:rsidR="00222345" w:rsidRDefault="00222345" w:rsidP="0015109D">
      <w:pPr>
        <w:ind w:left="4230" w:firstLine="90"/>
        <w:rPr>
          <w:rFonts w:ascii="Arial" w:hAnsi="Arial" w:cs="Arial"/>
        </w:rPr>
      </w:pPr>
      <w:r w:rsidRPr="000D5558">
        <w:rPr>
          <w:rFonts w:ascii="Arial" w:hAnsi="Arial" w:cs="Arial"/>
        </w:rPr>
        <w:t>FAX: (419) 425-8862</w:t>
      </w:r>
    </w:p>
    <w:p w14:paraId="4B9D8800" w14:textId="77777777" w:rsidR="00222345" w:rsidRDefault="00005798" w:rsidP="0015109D">
      <w:pPr>
        <w:ind w:left="4230" w:firstLine="90"/>
        <w:rPr>
          <w:rFonts w:ascii="Arial" w:hAnsi="Arial" w:cs="Arial"/>
        </w:rPr>
      </w:pPr>
      <w:hyperlink r:id="rId8" w:history="1">
        <w:r w:rsidR="00222345" w:rsidRPr="00A05BC4">
          <w:rPr>
            <w:rStyle w:val="Hyperlink"/>
            <w:rFonts w:ascii="Arial" w:hAnsi="Arial" w:cs="Arial"/>
          </w:rPr>
          <w:t>drinebolt@ohiopartners.org</w:t>
        </w:r>
      </w:hyperlink>
    </w:p>
    <w:p w14:paraId="75773FF6" w14:textId="77777777" w:rsidR="00222345" w:rsidRDefault="00005798" w:rsidP="0015109D">
      <w:pPr>
        <w:ind w:left="4230" w:firstLine="90"/>
        <w:rPr>
          <w:rFonts w:ascii="Arial" w:hAnsi="Arial" w:cs="Arial"/>
        </w:rPr>
      </w:pPr>
      <w:hyperlink r:id="rId9" w:history="1">
        <w:r w:rsidR="00222345" w:rsidRPr="00A05BC4">
          <w:rPr>
            <w:rStyle w:val="Hyperlink"/>
            <w:rFonts w:ascii="Arial" w:hAnsi="Arial" w:cs="Arial"/>
          </w:rPr>
          <w:t>cmooney@ohiopartners.org</w:t>
        </w:r>
      </w:hyperlink>
    </w:p>
    <w:p w14:paraId="7ADDCA02" w14:textId="77777777" w:rsidR="00222345" w:rsidRDefault="00222345" w:rsidP="008054B0">
      <w:pPr>
        <w:rPr>
          <w:rFonts w:ascii="Arial" w:hAnsi="Arial" w:cs="Arial"/>
        </w:rPr>
      </w:pPr>
    </w:p>
    <w:p w14:paraId="299BA27E" w14:textId="77777777" w:rsidR="00222345" w:rsidRDefault="00222345" w:rsidP="0015109D">
      <w:pPr>
        <w:ind w:left="4230"/>
        <w:rPr>
          <w:rFonts w:ascii="Arial" w:hAnsi="Arial" w:cs="Arial"/>
        </w:rPr>
      </w:pPr>
    </w:p>
    <w:p w14:paraId="52B587AD" w14:textId="77777777" w:rsidR="00222345" w:rsidRPr="000D5558" w:rsidRDefault="00222345" w:rsidP="00E52DD8">
      <w:pPr>
        <w:rPr>
          <w:rFonts w:ascii="Arial" w:hAnsi="Arial" w:cs="Arial"/>
        </w:rPr>
      </w:pPr>
    </w:p>
    <w:p w14:paraId="1922D1C4" w14:textId="77777777" w:rsidR="00222345" w:rsidRPr="000D5558" w:rsidRDefault="00222345" w:rsidP="00D11A0A">
      <w:pPr>
        <w:jc w:val="center"/>
        <w:outlineLvl w:val="0"/>
        <w:rPr>
          <w:rFonts w:ascii="Arial" w:hAnsi="Arial" w:cs="Arial"/>
          <w:b/>
          <w:bCs/>
        </w:rPr>
      </w:pPr>
      <w:r>
        <w:rPr>
          <w:rFonts w:ascii="Arial" w:hAnsi="Arial" w:cs="Arial"/>
          <w:b/>
          <w:bCs/>
        </w:rPr>
        <w:br w:type="page"/>
      </w:r>
      <w:r w:rsidRPr="000D5558">
        <w:rPr>
          <w:rFonts w:ascii="Arial" w:hAnsi="Arial" w:cs="Arial"/>
          <w:b/>
          <w:bCs/>
        </w:rPr>
        <w:t>CERTIFICATE OF SERVICE</w:t>
      </w:r>
    </w:p>
    <w:p w14:paraId="67D5FE7A" w14:textId="77777777" w:rsidR="00222345" w:rsidRPr="000D5558" w:rsidRDefault="00222345" w:rsidP="0015109D">
      <w:pPr>
        <w:rPr>
          <w:rFonts w:ascii="Arial" w:hAnsi="Arial" w:cs="Arial"/>
          <w:b/>
          <w:bCs/>
        </w:rPr>
      </w:pPr>
    </w:p>
    <w:p w14:paraId="179089F4" w14:textId="67AD0B0D" w:rsidR="00222345" w:rsidRDefault="00222345" w:rsidP="0015109D">
      <w:pPr>
        <w:spacing w:line="480" w:lineRule="auto"/>
        <w:ind w:right="-360"/>
        <w:rPr>
          <w:rFonts w:ascii="Arial" w:hAnsi="Arial" w:cs="Arial"/>
        </w:rPr>
      </w:pPr>
      <w:r w:rsidRPr="000D5558">
        <w:rPr>
          <w:rFonts w:ascii="Arial" w:hAnsi="Arial" w:cs="Arial"/>
          <w:b/>
          <w:bCs/>
        </w:rPr>
        <w:tab/>
      </w:r>
      <w:r w:rsidRPr="000D5558">
        <w:rPr>
          <w:rFonts w:ascii="Arial" w:hAnsi="Arial" w:cs="Arial"/>
        </w:rPr>
        <w:t xml:space="preserve">I hereby certify that a copy of the foregoing </w:t>
      </w:r>
      <w:r w:rsidR="006A031B">
        <w:rPr>
          <w:rFonts w:ascii="Arial" w:hAnsi="Arial" w:cs="Arial"/>
        </w:rPr>
        <w:t>Reply Brief</w:t>
      </w:r>
      <w:r>
        <w:rPr>
          <w:rFonts w:ascii="Arial" w:hAnsi="Arial" w:cs="Arial"/>
        </w:rPr>
        <w:t xml:space="preserve"> was served electronically upon the persons</w:t>
      </w:r>
      <w:r w:rsidRPr="000D5558">
        <w:rPr>
          <w:rFonts w:ascii="Arial" w:hAnsi="Arial" w:cs="Arial"/>
        </w:rPr>
        <w:t xml:space="preserve"> identified</w:t>
      </w:r>
      <w:r>
        <w:rPr>
          <w:rFonts w:ascii="Arial" w:hAnsi="Arial" w:cs="Arial"/>
        </w:rPr>
        <w:t xml:space="preserve"> below in this case on this </w:t>
      </w:r>
      <w:r w:rsidR="006431D5">
        <w:rPr>
          <w:rFonts w:ascii="Arial" w:hAnsi="Arial" w:cs="Arial"/>
        </w:rPr>
        <w:t>8th</w:t>
      </w:r>
      <w:r>
        <w:rPr>
          <w:rFonts w:ascii="Arial" w:hAnsi="Arial" w:cs="Arial"/>
        </w:rPr>
        <w:t xml:space="preserve"> day of </w:t>
      </w:r>
      <w:r w:rsidR="006431D5">
        <w:rPr>
          <w:rFonts w:ascii="Arial" w:hAnsi="Arial" w:cs="Arial"/>
        </w:rPr>
        <w:t>September</w:t>
      </w:r>
      <w:r w:rsidR="005A1E94">
        <w:rPr>
          <w:rFonts w:ascii="Arial" w:hAnsi="Arial" w:cs="Arial"/>
        </w:rPr>
        <w:t>, 2015</w:t>
      </w:r>
      <w:r w:rsidRPr="000D5558">
        <w:rPr>
          <w:rFonts w:ascii="Arial" w:hAnsi="Arial" w:cs="Arial"/>
        </w:rPr>
        <w:t>.</w:t>
      </w:r>
    </w:p>
    <w:p w14:paraId="1F09243E" w14:textId="77777777" w:rsidR="00222345" w:rsidRPr="000D5558" w:rsidRDefault="00222345" w:rsidP="0015109D">
      <w:pPr>
        <w:spacing w:line="480" w:lineRule="auto"/>
        <w:ind w:right="-360"/>
        <w:rPr>
          <w:rFonts w:ascii="Arial" w:hAnsi="Arial" w:cs="Arial"/>
        </w:rPr>
      </w:pPr>
    </w:p>
    <w:p w14:paraId="3CC026C1" w14:textId="77777777" w:rsidR="00222345" w:rsidRPr="00C51B73" w:rsidRDefault="00222345" w:rsidP="006C2E08">
      <w:pPr>
        <w:pStyle w:val="BodyTextIndent"/>
        <w:rPr>
          <w:u w:val="single"/>
        </w:rPr>
      </w:pPr>
      <w:r w:rsidRPr="00C51B73">
        <w:rPr>
          <w:u w:val="single"/>
        </w:rPr>
        <w:t>/s/</w:t>
      </w:r>
      <w:r w:rsidRPr="00D11A0A">
        <w:rPr>
          <w:rFonts w:ascii="Brush Script MT" w:hAnsi="Brush Script MT" w:cs="Brush Script MT"/>
          <w:u w:val="single"/>
        </w:rPr>
        <w:t>David C. Rinebolt</w:t>
      </w:r>
    </w:p>
    <w:p w14:paraId="329B97DA" w14:textId="77777777" w:rsidR="00222345" w:rsidRPr="008C76AC" w:rsidRDefault="00222345" w:rsidP="006C2E08">
      <w:pPr>
        <w:pStyle w:val="BodyTextIndent"/>
        <w:outlineLvl w:val="0"/>
      </w:pPr>
      <w:r>
        <w:t>David C. Rinebolt</w:t>
      </w:r>
    </w:p>
    <w:p w14:paraId="161D4297" w14:textId="77777777" w:rsidR="00222345" w:rsidRPr="00BB6B94" w:rsidRDefault="00222345" w:rsidP="0015109D">
      <w:r w:rsidRPr="000D5558">
        <w:tab/>
      </w:r>
      <w:r w:rsidRPr="000D5558">
        <w:tab/>
      </w:r>
      <w:r w:rsidRPr="000D5558">
        <w:tab/>
      </w:r>
      <w:r w:rsidRPr="000D5558">
        <w:tab/>
      </w:r>
      <w:r w:rsidRPr="000D5558">
        <w:tab/>
      </w:r>
      <w:r w:rsidRPr="000D5558">
        <w:tab/>
      </w:r>
      <w:r w:rsidRPr="000D5558">
        <w:tab/>
      </w:r>
    </w:p>
    <w:p w14:paraId="7B905DC3" w14:textId="77777777" w:rsidR="00222345" w:rsidRDefault="00222345" w:rsidP="0015109D">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SERVICE LIST</w:t>
      </w:r>
    </w:p>
    <w:p w14:paraId="6C6A09E8" w14:textId="77777777" w:rsidR="00222345" w:rsidRPr="0070229D" w:rsidRDefault="00222345" w:rsidP="0015109D">
      <w:pPr>
        <w:rPr>
          <w:rFonts w:ascii="Arial" w:hAnsi="Arial" w:cs="Arial"/>
          <w:b/>
          <w:bCs/>
        </w:rPr>
      </w:pPr>
    </w:p>
    <w:p w14:paraId="3B0B0417" w14:textId="77777777" w:rsidR="00222345" w:rsidRPr="00F037ED" w:rsidRDefault="00222345" w:rsidP="0015109D">
      <w:pPr>
        <w:pStyle w:val="ListBullet"/>
        <w:numPr>
          <w:ilvl w:val="0"/>
          <w:numId w:val="0"/>
        </w:numPr>
        <w:rPr>
          <w:rFonts w:ascii="Arial" w:hAnsi="Arial" w:cs="Arial"/>
        </w:rPr>
      </w:pPr>
      <w:r>
        <w:tab/>
      </w:r>
      <w:r>
        <w:tab/>
      </w:r>
      <w:r>
        <w:tab/>
      </w:r>
      <w:r>
        <w:tab/>
      </w:r>
      <w:r w:rsidRPr="000D5558">
        <w:tab/>
      </w:r>
      <w:r w:rsidRPr="000D5558">
        <w:tab/>
      </w:r>
    </w:p>
    <w:p w14:paraId="30A8B51B" w14:textId="77777777" w:rsidR="00222345" w:rsidRPr="00D23DCF" w:rsidRDefault="00222345" w:rsidP="0015109D">
      <w:pPr>
        <w:pStyle w:val="ListBullet"/>
        <w:numPr>
          <w:ilvl w:val="0"/>
          <w:numId w:val="0"/>
        </w:numPr>
        <w:rPr>
          <w:rFonts w:ascii="Arial" w:hAnsi="Arial" w:cs="Arial"/>
        </w:rPr>
      </w:pPr>
      <w:r>
        <w:rPr>
          <w:rFonts w:ascii="Arial" w:hAnsi="Arial" w:cs="Arial"/>
        </w:rPr>
        <w:t>William Wright</w:t>
      </w:r>
      <w:r>
        <w:rPr>
          <w:rFonts w:ascii="Arial" w:hAnsi="Arial" w:cs="Arial"/>
        </w:rPr>
        <w:tab/>
      </w:r>
      <w:r>
        <w:rPr>
          <w:rFonts w:ascii="Arial" w:hAnsi="Arial" w:cs="Arial"/>
        </w:rPr>
        <w:tab/>
      </w:r>
      <w:r>
        <w:rPr>
          <w:rFonts w:ascii="Arial" w:hAnsi="Arial" w:cs="Arial"/>
        </w:rPr>
        <w:tab/>
      </w:r>
      <w:r>
        <w:rPr>
          <w:rFonts w:ascii="Arial" w:hAnsi="Arial" w:cs="Arial"/>
        </w:rPr>
        <w:tab/>
        <w:t>Amy B. Spiller</w:t>
      </w:r>
    </w:p>
    <w:p w14:paraId="5338A2FA" w14:textId="77777777" w:rsidR="00222345" w:rsidRPr="00D23DCF" w:rsidRDefault="00222345" w:rsidP="0015109D">
      <w:pPr>
        <w:pStyle w:val="ListBullet"/>
        <w:numPr>
          <w:ilvl w:val="0"/>
          <w:numId w:val="0"/>
        </w:numPr>
        <w:rPr>
          <w:rFonts w:ascii="Arial" w:hAnsi="Arial" w:cs="Arial"/>
        </w:rPr>
      </w:pPr>
      <w:r w:rsidRPr="00D23DCF">
        <w:rPr>
          <w:rFonts w:ascii="Arial" w:hAnsi="Arial" w:cs="Arial"/>
        </w:rPr>
        <w:t>Attorney General’s Office</w:t>
      </w:r>
      <w:r w:rsidRPr="00D23DCF">
        <w:rPr>
          <w:rFonts w:ascii="Arial" w:hAnsi="Arial" w:cs="Arial"/>
        </w:rPr>
        <w:tab/>
      </w:r>
      <w:r w:rsidRPr="00D23DCF">
        <w:rPr>
          <w:rFonts w:ascii="Arial" w:hAnsi="Arial" w:cs="Arial"/>
        </w:rPr>
        <w:tab/>
      </w:r>
      <w:r w:rsidRPr="00D23DCF">
        <w:rPr>
          <w:rFonts w:ascii="Arial" w:hAnsi="Arial" w:cs="Arial"/>
        </w:rPr>
        <w:tab/>
      </w:r>
      <w:r>
        <w:rPr>
          <w:rFonts w:ascii="Arial" w:hAnsi="Arial" w:cs="Arial"/>
        </w:rPr>
        <w:t>Elizabeth H. Watts</w:t>
      </w:r>
    </w:p>
    <w:p w14:paraId="3ED12650" w14:textId="77777777" w:rsidR="00222345" w:rsidRPr="00D23DCF" w:rsidRDefault="00222345" w:rsidP="0015109D">
      <w:pPr>
        <w:pStyle w:val="ListBullet"/>
        <w:numPr>
          <w:ilvl w:val="0"/>
          <w:numId w:val="0"/>
        </w:numPr>
        <w:rPr>
          <w:rFonts w:ascii="Arial" w:hAnsi="Arial" w:cs="Arial"/>
        </w:rPr>
      </w:pPr>
      <w:r w:rsidRPr="00D23DCF">
        <w:rPr>
          <w:rFonts w:ascii="Arial" w:hAnsi="Arial" w:cs="Arial"/>
        </w:rPr>
        <w:t>Public Utilities Commission Section</w:t>
      </w:r>
      <w:r w:rsidRPr="00D23DCF">
        <w:rPr>
          <w:rFonts w:ascii="Arial" w:hAnsi="Arial" w:cs="Arial"/>
        </w:rPr>
        <w:tab/>
      </w:r>
      <w:r>
        <w:rPr>
          <w:rFonts w:ascii="Arial" w:hAnsi="Arial" w:cs="Arial"/>
        </w:rPr>
        <w:t>Duke Energy Business Services LLC</w:t>
      </w:r>
    </w:p>
    <w:p w14:paraId="78B7AE90" w14:textId="77777777" w:rsidR="00222345" w:rsidRDefault="00222345" w:rsidP="0015109D">
      <w:pPr>
        <w:pStyle w:val="ListBullet"/>
        <w:numPr>
          <w:ilvl w:val="0"/>
          <w:numId w:val="0"/>
        </w:numPr>
        <w:rPr>
          <w:rFonts w:ascii="Arial" w:hAnsi="Arial" w:cs="Arial"/>
        </w:rPr>
      </w:pPr>
      <w:r w:rsidRPr="00D23DCF">
        <w:rPr>
          <w:rFonts w:ascii="Arial" w:hAnsi="Arial" w:cs="Arial"/>
        </w:rPr>
        <w:t>180 E. Broad Street, 9</w:t>
      </w:r>
      <w:r w:rsidRPr="00D23DCF">
        <w:rPr>
          <w:rFonts w:ascii="Arial" w:hAnsi="Arial" w:cs="Arial"/>
          <w:vertAlign w:val="superscript"/>
        </w:rPr>
        <w:t>th</w:t>
      </w:r>
      <w:r w:rsidRPr="00D23DCF">
        <w:rPr>
          <w:rFonts w:ascii="Arial" w:hAnsi="Arial" w:cs="Arial"/>
        </w:rPr>
        <w:t xml:space="preserve"> Floor</w:t>
      </w:r>
      <w:r w:rsidRPr="00D23DCF">
        <w:rPr>
          <w:rFonts w:ascii="Arial" w:hAnsi="Arial" w:cs="Arial"/>
        </w:rPr>
        <w:tab/>
      </w:r>
      <w:r w:rsidRPr="00D23DCF">
        <w:rPr>
          <w:rFonts w:ascii="Arial" w:hAnsi="Arial" w:cs="Arial"/>
        </w:rPr>
        <w:tab/>
      </w:r>
      <w:r>
        <w:rPr>
          <w:rFonts w:ascii="Arial" w:hAnsi="Arial" w:cs="Arial"/>
        </w:rPr>
        <w:t>139 East Fourth Street, 1303-Main</w:t>
      </w:r>
    </w:p>
    <w:p w14:paraId="39B0D2E8" w14:textId="77777777" w:rsidR="00222345" w:rsidRPr="00D23DCF" w:rsidRDefault="00222345" w:rsidP="0015109D">
      <w:pPr>
        <w:pStyle w:val="ListBullet"/>
        <w:numPr>
          <w:ilvl w:val="0"/>
          <w:numId w:val="0"/>
        </w:numPr>
        <w:rPr>
          <w:rFonts w:ascii="Arial" w:hAnsi="Arial" w:cs="Arial"/>
        </w:rPr>
      </w:pPr>
      <w:r w:rsidRPr="00D23DCF">
        <w:rPr>
          <w:rFonts w:ascii="Arial" w:hAnsi="Arial" w:cs="Arial"/>
        </w:rPr>
        <w:t>Columbus, Ohio43215-3793</w:t>
      </w:r>
      <w:r>
        <w:rPr>
          <w:rFonts w:ascii="Arial" w:hAnsi="Arial" w:cs="Arial"/>
        </w:rPr>
        <w:tab/>
      </w:r>
      <w:r>
        <w:rPr>
          <w:rFonts w:ascii="Arial" w:hAnsi="Arial" w:cs="Arial"/>
        </w:rPr>
        <w:tab/>
        <w:t>PO Box 960</w:t>
      </w:r>
    </w:p>
    <w:p w14:paraId="4F97ED37" w14:textId="77777777" w:rsidR="00222345" w:rsidRPr="00D23DCF" w:rsidRDefault="00005798" w:rsidP="0015109D">
      <w:pPr>
        <w:pStyle w:val="ListBullet"/>
        <w:numPr>
          <w:ilvl w:val="0"/>
          <w:numId w:val="0"/>
        </w:numPr>
        <w:rPr>
          <w:rFonts w:ascii="Arial" w:hAnsi="Arial" w:cs="Arial"/>
        </w:rPr>
      </w:pPr>
      <w:hyperlink r:id="rId10" w:history="1">
        <w:r w:rsidR="00222345" w:rsidRPr="00B623E1">
          <w:rPr>
            <w:rStyle w:val="Hyperlink"/>
            <w:rFonts w:ascii="Arial" w:hAnsi="Arial" w:cs="Arial"/>
          </w:rPr>
          <w:t>William.Wright@puc.state.oh.us</w:t>
        </w:r>
      </w:hyperlink>
      <w:r w:rsidR="00222345" w:rsidRPr="00D23DCF">
        <w:rPr>
          <w:rFonts w:ascii="Arial" w:hAnsi="Arial" w:cs="Arial"/>
        </w:rPr>
        <w:tab/>
      </w:r>
      <w:r w:rsidR="00222345" w:rsidRPr="00D23DCF">
        <w:rPr>
          <w:rFonts w:ascii="Arial" w:hAnsi="Arial" w:cs="Arial"/>
        </w:rPr>
        <w:tab/>
      </w:r>
      <w:r w:rsidR="00222345">
        <w:rPr>
          <w:rFonts w:ascii="Arial" w:hAnsi="Arial" w:cs="Arial"/>
        </w:rPr>
        <w:t>Cincinnati, Ohio45201-0960</w:t>
      </w:r>
    </w:p>
    <w:p w14:paraId="12743624" w14:textId="77777777" w:rsidR="00222345" w:rsidRDefault="00005798" w:rsidP="00F56771">
      <w:pPr>
        <w:pStyle w:val="ListBullet"/>
        <w:numPr>
          <w:ilvl w:val="0"/>
          <w:numId w:val="0"/>
        </w:numPr>
        <w:ind w:left="4320"/>
        <w:rPr>
          <w:rFonts w:ascii="Arial" w:hAnsi="Arial" w:cs="Arial"/>
        </w:rPr>
      </w:pPr>
      <w:hyperlink r:id="rId11" w:history="1">
        <w:r w:rsidR="00222345" w:rsidRPr="00A05BC4">
          <w:rPr>
            <w:rStyle w:val="Hyperlink"/>
            <w:rFonts w:ascii="Arial" w:hAnsi="Arial" w:cs="Arial"/>
          </w:rPr>
          <w:t>amy.spiller@duke-energy.com</w:t>
        </w:r>
      </w:hyperlink>
    </w:p>
    <w:p w14:paraId="0F4DD0C8" w14:textId="77777777" w:rsidR="00222345" w:rsidRDefault="00005798" w:rsidP="00F56771">
      <w:pPr>
        <w:pStyle w:val="ListBullet"/>
        <w:numPr>
          <w:ilvl w:val="0"/>
          <w:numId w:val="0"/>
        </w:numPr>
        <w:ind w:left="4320"/>
        <w:rPr>
          <w:rFonts w:ascii="Arial" w:hAnsi="Arial" w:cs="Arial"/>
        </w:rPr>
      </w:pPr>
      <w:hyperlink r:id="rId12" w:history="1">
        <w:r w:rsidR="00222345" w:rsidRPr="00A05BC4">
          <w:rPr>
            <w:rStyle w:val="Hyperlink"/>
            <w:rFonts w:ascii="Arial" w:hAnsi="Arial" w:cs="Arial"/>
          </w:rPr>
          <w:t>elizabeth.watts@duke-energy.com</w:t>
        </w:r>
      </w:hyperlink>
    </w:p>
    <w:p w14:paraId="374F49FF" w14:textId="77777777" w:rsidR="00222345" w:rsidRPr="005273EF" w:rsidRDefault="00222345" w:rsidP="00F56771">
      <w:pPr>
        <w:pStyle w:val="ListBullet"/>
        <w:numPr>
          <w:ilvl w:val="0"/>
          <w:numId w:val="0"/>
        </w:numPr>
        <w:ind w:left="4320"/>
        <w:rPr>
          <w:rFonts w:ascii="Arial" w:hAnsi="Arial" w:cs="Arial"/>
          <w:lang w:val="es-ES_tradnl"/>
        </w:rPr>
      </w:pPr>
    </w:p>
    <w:p w14:paraId="77D67E18" w14:textId="77777777" w:rsidR="00222345" w:rsidRDefault="00222345" w:rsidP="0015109D">
      <w:pPr>
        <w:pStyle w:val="ListBullet"/>
        <w:numPr>
          <w:ilvl w:val="0"/>
          <w:numId w:val="0"/>
        </w:numPr>
        <w:rPr>
          <w:rFonts w:ascii="Arial" w:hAnsi="Arial" w:cs="Arial"/>
        </w:rPr>
      </w:pPr>
      <w:r>
        <w:rPr>
          <w:rFonts w:ascii="Arial" w:hAnsi="Arial" w:cs="Arial"/>
        </w:rPr>
        <w:t>Matthew R. Pritchard</w:t>
      </w:r>
      <w:r>
        <w:rPr>
          <w:rFonts w:ascii="Arial" w:hAnsi="Arial" w:cs="Arial"/>
        </w:rPr>
        <w:tab/>
      </w:r>
      <w:r>
        <w:rPr>
          <w:rFonts w:ascii="Arial" w:hAnsi="Arial" w:cs="Arial"/>
        </w:rPr>
        <w:tab/>
      </w:r>
      <w:r>
        <w:rPr>
          <w:rFonts w:ascii="Arial" w:hAnsi="Arial" w:cs="Arial"/>
        </w:rPr>
        <w:tab/>
        <w:t>Rebecca L. Hussey</w:t>
      </w:r>
    </w:p>
    <w:p w14:paraId="7AB06357" w14:textId="77777777" w:rsidR="00222345" w:rsidRDefault="00222345" w:rsidP="000E6887">
      <w:pPr>
        <w:pStyle w:val="ListBullet"/>
        <w:numPr>
          <w:ilvl w:val="0"/>
          <w:numId w:val="0"/>
        </w:numPr>
        <w:rPr>
          <w:rFonts w:ascii="Arial" w:hAnsi="Arial" w:cs="Arial"/>
        </w:rPr>
      </w:pPr>
      <w:r>
        <w:rPr>
          <w:rFonts w:ascii="Arial" w:hAnsi="Arial" w:cs="Arial"/>
        </w:rPr>
        <w:t>McNees, Wallace &amp;Nurick</w:t>
      </w:r>
      <w:r>
        <w:rPr>
          <w:rFonts w:ascii="Arial" w:hAnsi="Arial" w:cs="Arial"/>
        </w:rPr>
        <w:tab/>
      </w:r>
      <w:r>
        <w:rPr>
          <w:rFonts w:ascii="Arial" w:hAnsi="Arial" w:cs="Arial"/>
        </w:rPr>
        <w:tab/>
      </w:r>
      <w:r>
        <w:rPr>
          <w:rFonts w:ascii="Arial" w:hAnsi="Arial" w:cs="Arial"/>
        </w:rPr>
        <w:tab/>
        <w:t>Carpenter Lipps &amp; Leland</w:t>
      </w:r>
    </w:p>
    <w:p w14:paraId="5BDFEDED" w14:textId="77777777" w:rsidR="00222345" w:rsidRDefault="00222345" w:rsidP="000E6887">
      <w:pPr>
        <w:pStyle w:val="ListBullet"/>
        <w:numPr>
          <w:ilvl w:val="0"/>
          <w:numId w:val="0"/>
        </w:numPr>
        <w:rPr>
          <w:rFonts w:ascii="Arial" w:hAnsi="Arial" w:cs="Arial"/>
        </w:rPr>
      </w:pPr>
      <w:r>
        <w:rPr>
          <w:rFonts w:ascii="Arial" w:hAnsi="Arial" w:cs="Arial"/>
        </w:rPr>
        <w:t>21 East State St., 17</w:t>
      </w:r>
      <w:r w:rsidRPr="000E6887">
        <w:rPr>
          <w:rFonts w:ascii="Arial" w:hAnsi="Arial" w:cs="Arial"/>
          <w:vertAlign w:val="superscript"/>
        </w:rPr>
        <w:t>th</w:t>
      </w:r>
      <w:r>
        <w:rPr>
          <w:rFonts w:ascii="Arial" w:hAnsi="Arial" w:cs="Arial"/>
        </w:rPr>
        <w:t xml:space="preserve"> Floor</w:t>
      </w:r>
      <w:r>
        <w:rPr>
          <w:rFonts w:ascii="Arial" w:hAnsi="Arial" w:cs="Arial"/>
        </w:rPr>
        <w:tab/>
      </w:r>
      <w:r>
        <w:rPr>
          <w:rFonts w:ascii="Arial" w:hAnsi="Arial" w:cs="Arial"/>
        </w:rPr>
        <w:tab/>
        <w:t>280 Plaza, Suite 1300</w:t>
      </w:r>
    </w:p>
    <w:p w14:paraId="38B77789" w14:textId="77777777" w:rsidR="00222345" w:rsidRDefault="00222345" w:rsidP="000E6887">
      <w:pPr>
        <w:pStyle w:val="ListBullet"/>
        <w:numPr>
          <w:ilvl w:val="0"/>
          <w:numId w:val="0"/>
        </w:numPr>
        <w:rPr>
          <w:rFonts w:ascii="Arial" w:hAnsi="Arial" w:cs="Arial"/>
        </w:rPr>
      </w:pPr>
      <w:r>
        <w:rPr>
          <w:rFonts w:ascii="Arial" w:hAnsi="Arial" w:cs="Arial"/>
        </w:rPr>
        <w:t>Columbus, OH  43215</w:t>
      </w:r>
      <w:r>
        <w:rPr>
          <w:rFonts w:ascii="Arial" w:hAnsi="Arial" w:cs="Arial"/>
        </w:rPr>
        <w:tab/>
      </w:r>
      <w:r>
        <w:rPr>
          <w:rFonts w:ascii="Arial" w:hAnsi="Arial" w:cs="Arial"/>
        </w:rPr>
        <w:tab/>
      </w:r>
      <w:r>
        <w:rPr>
          <w:rFonts w:ascii="Arial" w:hAnsi="Arial" w:cs="Arial"/>
        </w:rPr>
        <w:tab/>
        <w:t>280 North High Street</w:t>
      </w:r>
    </w:p>
    <w:p w14:paraId="7171A5D2" w14:textId="77777777" w:rsidR="00222345" w:rsidRDefault="00005798" w:rsidP="000E6887">
      <w:pPr>
        <w:pStyle w:val="ListBullet"/>
        <w:numPr>
          <w:ilvl w:val="0"/>
          <w:numId w:val="0"/>
        </w:numPr>
        <w:rPr>
          <w:rFonts w:ascii="Arial" w:hAnsi="Arial" w:cs="Arial"/>
        </w:rPr>
      </w:pPr>
      <w:hyperlink r:id="rId13" w:history="1">
        <w:r w:rsidR="00222345" w:rsidRPr="00172B4C">
          <w:rPr>
            <w:rStyle w:val="Hyperlink"/>
            <w:rFonts w:ascii="Arial" w:hAnsi="Arial" w:cs="Arial"/>
          </w:rPr>
          <w:t>mpritchard@mwncmh.com</w:t>
        </w:r>
      </w:hyperlink>
      <w:r w:rsidR="00222345">
        <w:rPr>
          <w:rFonts w:ascii="Arial" w:hAnsi="Arial" w:cs="Arial"/>
        </w:rPr>
        <w:tab/>
      </w:r>
      <w:r w:rsidR="00222345">
        <w:rPr>
          <w:rFonts w:ascii="Arial" w:hAnsi="Arial" w:cs="Arial"/>
        </w:rPr>
        <w:tab/>
      </w:r>
      <w:r w:rsidR="00222345">
        <w:rPr>
          <w:rFonts w:ascii="Arial" w:hAnsi="Arial" w:cs="Arial"/>
        </w:rPr>
        <w:tab/>
        <w:t>Columbus, OH  43215</w:t>
      </w:r>
    </w:p>
    <w:p w14:paraId="2FF36E70" w14:textId="77777777" w:rsidR="00222345" w:rsidRDefault="00005798" w:rsidP="0021631E">
      <w:pPr>
        <w:pStyle w:val="ListBullet"/>
        <w:numPr>
          <w:ilvl w:val="0"/>
          <w:numId w:val="0"/>
        </w:numPr>
        <w:ind w:left="3600" w:firstLine="720"/>
        <w:rPr>
          <w:rFonts w:ascii="Arial" w:hAnsi="Arial" w:cs="Arial"/>
        </w:rPr>
      </w:pPr>
      <w:hyperlink r:id="rId14" w:history="1">
        <w:r w:rsidR="00222345" w:rsidRPr="00172B4C">
          <w:rPr>
            <w:rStyle w:val="Hyperlink"/>
            <w:rFonts w:ascii="Arial" w:hAnsi="Arial" w:cs="Arial"/>
          </w:rPr>
          <w:t>Hussey@carpenterlipps.com</w:t>
        </w:r>
      </w:hyperlink>
    </w:p>
    <w:p w14:paraId="28E08FFD" w14:textId="77777777" w:rsidR="00222345" w:rsidRDefault="00222345" w:rsidP="0021631E">
      <w:pPr>
        <w:pStyle w:val="ListBullet"/>
        <w:numPr>
          <w:ilvl w:val="0"/>
          <w:numId w:val="0"/>
        </w:numPr>
        <w:rPr>
          <w:rFonts w:ascii="Arial" w:hAnsi="Arial" w:cs="Arial"/>
        </w:rPr>
      </w:pPr>
    </w:p>
    <w:p w14:paraId="4A009375" w14:textId="77777777" w:rsidR="00222345" w:rsidRDefault="00222345" w:rsidP="0021631E">
      <w:pPr>
        <w:pStyle w:val="ListBullet"/>
        <w:numPr>
          <w:ilvl w:val="0"/>
          <w:numId w:val="0"/>
        </w:numPr>
        <w:rPr>
          <w:rFonts w:ascii="Arial" w:hAnsi="Arial" w:cs="Arial"/>
        </w:rPr>
      </w:pPr>
      <w:r>
        <w:rPr>
          <w:rFonts w:ascii="Arial" w:hAnsi="Arial" w:cs="Arial"/>
        </w:rPr>
        <w:t>Kyle L. Kern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David F. Boehm</w:t>
      </w:r>
    </w:p>
    <w:p w14:paraId="1325D256" w14:textId="77777777" w:rsidR="00222345" w:rsidRDefault="00222345" w:rsidP="0021631E">
      <w:pPr>
        <w:pStyle w:val="ListBullet"/>
        <w:numPr>
          <w:ilvl w:val="0"/>
          <w:numId w:val="0"/>
        </w:numPr>
        <w:rPr>
          <w:rFonts w:ascii="Arial" w:hAnsi="Arial" w:cs="Arial"/>
        </w:rPr>
      </w:pPr>
      <w:r>
        <w:rPr>
          <w:rFonts w:ascii="Arial" w:hAnsi="Arial" w:cs="Arial"/>
        </w:rPr>
        <w:t>Office of the Ohio Consumers’ Counsel</w:t>
      </w:r>
      <w:r>
        <w:rPr>
          <w:rFonts w:ascii="Arial" w:hAnsi="Arial" w:cs="Arial"/>
        </w:rPr>
        <w:tab/>
        <w:t>Boehm, Kurtz &amp; Lowery</w:t>
      </w:r>
    </w:p>
    <w:p w14:paraId="2D02F71F" w14:textId="77777777" w:rsidR="00222345" w:rsidRDefault="00222345" w:rsidP="0021631E">
      <w:pPr>
        <w:pStyle w:val="ListBullet"/>
        <w:numPr>
          <w:ilvl w:val="0"/>
          <w:numId w:val="0"/>
        </w:numPr>
        <w:rPr>
          <w:rFonts w:ascii="Arial" w:hAnsi="Arial" w:cs="Arial"/>
        </w:rPr>
      </w:pPr>
      <w:r>
        <w:rPr>
          <w:rFonts w:ascii="Arial" w:hAnsi="Arial" w:cs="Arial"/>
        </w:rPr>
        <w:t>10 West Broad St, Suite 1800</w:t>
      </w:r>
      <w:r>
        <w:rPr>
          <w:rFonts w:ascii="Arial" w:hAnsi="Arial" w:cs="Arial"/>
        </w:rPr>
        <w:tab/>
      </w:r>
      <w:r>
        <w:rPr>
          <w:rFonts w:ascii="Arial" w:hAnsi="Arial" w:cs="Arial"/>
        </w:rPr>
        <w:tab/>
        <w:t>36 East Seventh Street, Suite 1510</w:t>
      </w:r>
    </w:p>
    <w:p w14:paraId="65CF3DD8" w14:textId="77777777" w:rsidR="00222345" w:rsidRDefault="00222345" w:rsidP="0021631E">
      <w:pPr>
        <w:pStyle w:val="ListBullet"/>
        <w:numPr>
          <w:ilvl w:val="0"/>
          <w:numId w:val="0"/>
        </w:numPr>
        <w:rPr>
          <w:rFonts w:ascii="Arial" w:hAnsi="Arial" w:cs="Arial"/>
        </w:rPr>
      </w:pPr>
      <w:r>
        <w:rPr>
          <w:rFonts w:ascii="Arial" w:hAnsi="Arial" w:cs="Arial"/>
        </w:rPr>
        <w:t>Columbus, OH  43215-3485</w:t>
      </w:r>
      <w:r>
        <w:rPr>
          <w:rFonts w:ascii="Arial" w:hAnsi="Arial" w:cs="Arial"/>
        </w:rPr>
        <w:tab/>
      </w:r>
      <w:r>
        <w:rPr>
          <w:rFonts w:ascii="Arial" w:hAnsi="Arial" w:cs="Arial"/>
        </w:rPr>
        <w:tab/>
        <w:t>Cincinnati, OH  45202</w:t>
      </w:r>
    </w:p>
    <w:p w14:paraId="5A8482A6" w14:textId="77777777" w:rsidR="00222345" w:rsidRDefault="00005798" w:rsidP="0021631E">
      <w:pPr>
        <w:pStyle w:val="ListBullet"/>
        <w:numPr>
          <w:ilvl w:val="0"/>
          <w:numId w:val="0"/>
        </w:numPr>
      </w:pPr>
      <w:hyperlink r:id="rId15" w:history="1">
        <w:r w:rsidR="00BE4BE2" w:rsidRPr="008568D1">
          <w:rPr>
            <w:rStyle w:val="Hyperlink"/>
            <w:rFonts w:ascii="Arial" w:hAnsi="Arial" w:cs="Arial"/>
          </w:rPr>
          <w:t>Kyle.kern@occ.ohio.gov</w:t>
        </w:r>
      </w:hyperlink>
      <w:r w:rsidR="00BE4BE2">
        <w:rPr>
          <w:rFonts w:ascii="Arial" w:hAnsi="Arial" w:cs="Arial"/>
        </w:rPr>
        <w:t xml:space="preserve"> </w:t>
      </w:r>
      <w:r w:rsidR="00222345">
        <w:rPr>
          <w:rFonts w:ascii="Arial" w:hAnsi="Arial" w:cs="Arial"/>
        </w:rPr>
        <w:tab/>
      </w:r>
      <w:r w:rsidR="00222345">
        <w:rPr>
          <w:rFonts w:ascii="Arial" w:hAnsi="Arial" w:cs="Arial"/>
        </w:rPr>
        <w:tab/>
      </w:r>
      <w:r w:rsidR="00222345">
        <w:rPr>
          <w:rFonts w:ascii="Arial" w:hAnsi="Arial" w:cs="Arial"/>
        </w:rPr>
        <w:tab/>
      </w:r>
      <w:hyperlink r:id="rId16" w:history="1">
        <w:r w:rsidR="00222345" w:rsidRPr="00172B4C">
          <w:rPr>
            <w:rStyle w:val="Hyperlink"/>
            <w:rFonts w:ascii="Arial" w:hAnsi="Arial" w:cs="Arial"/>
          </w:rPr>
          <w:t>dboehm@bkllawfirm.com</w:t>
        </w:r>
      </w:hyperlink>
    </w:p>
    <w:p w14:paraId="28950BD3" w14:textId="77777777" w:rsidR="00222345" w:rsidRDefault="00005798" w:rsidP="0021631E">
      <w:pPr>
        <w:pStyle w:val="ListBullet"/>
        <w:numPr>
          <w:ilvl w:val="0"/>
          <w:numId w:val="0"/>
        </w:numPr>
        <w:rPr>
          <w:rFonts w:ascii="Arial" w:hAnsi="Arial" w:cs="Arial"/>
        </w:rPr>
      </w:pPr>
      <w:hyperlink r:id="rId17" w:history="1">
        <w:r w:rsidR="00222345" w:rsidRPr="00B623E1">
          <w:rPr>
            <w:rStyle w:val="Hyperlink"/>
            <w:rFonts w:ascii="Arial" w:hAnsi="Arial" w:cs="Arial"/>
          </w:rPr>
          <w:t>Michael.schuler@occ.ohio.gov</w:t>
        </w:r>
      </w:hyperlink>
    </w:p>
    <w:p w14:paraId="78F3583E" w14:textId="77777777" w:rsidR="00222345" w:rsidRDefault="00222345" w:rsidP="0021631E">
      <w:pPr>
        <w:pStyle w:val="ListBullet"/>
        <w:numPr>
          <w:ilvl w:val="0"/>
          <w:numId w:val="0"/>
        </w:numPr>
        <w:rPr>
          <w:rFonts w:ascii="Arial" w:hAnsi="Arial" w:cs="Arial"/>
        </w:rPr>
      </w:pPr>
    </w:p>
    <w:p w14:paraId="2A8D4460" w14:textId="77777777" w:rsidR="00222345" w:rsidRDefault="00222345" w:rsidP="0021631E">
      <w:pPr>
        <w:pStyle w:val="ListBullet"/>
        <w:numPr>
          <w:ilvl w:val="0"/>
          <w:numId w:val="0"/>
        </w:numPr>
        <w:rPr>
          <w:rFonts w:ascii="Arial" w:hAnsi="Arial" w:cs="Arial"/>
        </w:rPr>
      </w:pPr>
      <w:r>
        <w:rPr>
          <w:rFonts w:ascii="Arial" w:hAnsi="Arial" w:cs="Arial"/>
        </w:rPr>
        <w:t>Kimberly W. Bojko</w:t>
      </w:r>
      <w:r>
        <w:rPr>
          <w:rFonts w:ascii="Arial" w:hAnsi="Arial" w:cs="Arial"/>
        </w:rPr>
        <w:tab/>
      </w:r>
      <w:r>
        <w:rPr>
          <w:rFonts w:ascii="Arial" w:hAnsi="Arial" w:cs="Arial"/>
        </w:rPr>
        <w:tab/>
      </w:r>
      <w:r>
        <w:rPr>
          <w:rFonts w:ascii="Arial" w:hAnsi="Arial" w:cs="Arial"/>
        </w:rPr>
        <w:tab/>
      </w:r>
      <w:r>
        <w:rPr>
          <w:rFonts w:ascii="Arial" w:hAnsi="Arial" w:cs="Arial"/>
        </w:rPr>
        <w:tab/>
        <w:t>Andrew J. Sonderman</w:t>
      </w:r>
    </w:p>
    <w:p w14:paraId="0884E87A" w14:textId="77777777" w:rsidR="00222345" w:rsidRDefault="00222345" w:rsidP="0021631E">
      <w:pPr>
        <w:pStyle w:val="ListBullet"/>
        <w:numPr>
          <w:ilvl w:val="0"/>
          <w:numId w:val="0"/>
        </w:numPr>
        <w:rPr>
          <w:rFonts w:ascii="Arial" w:hAnsi="Arial" w:cs="Arial"/>
        </w:rPr>
      </w:pPr>
      <w:r>
        <w:rPr>
          <w:rFonts w:ascii="Arial" w:hAnsi="Arial" w:cs="Arial"/>
        </w:rPr>
        <w:t>Carpenter Lipps&amp; Leland</w:t>
      </w:r>
      <w:r>
        <w:rPr>
          <w:rFonts w:ascii="Arial" w:hAnsi="Arial" w:cs="Arial"/>
        </w:rPr>
        <w:tab/>
      </w:r>
      <w:r>
        <w:rPr>
          <w:rFonts w:ascii="Arial" w:hAnsi="Arial" w:cs="Arial"/>
        </w:rPr>
        <w:tab/>
      </w:r>
      <w:r>
        <w:rPr>
          <w:rFonts w:ascii="Arial" w:hAnsi="Arial" w:cs="Arial"/>
        </w:rPr>
        <w:tab/>
        <w:t>Kegler Brown Hill &amp; Ritter</w:t>
      </w:r>
    </w:p>
    <w:p w14:paraId="6DD73C60" w14:textId="77777777" w:rsidR="00222345" w:rsidRDefault="00222345" w:rsidP="0015109D">
      <w:pPr>
        <w:pStyle w:val="ListBullet"/>
        <w:numPr>
          <w:ilvl w:val="0"/>
          <w:numId w:val="0"/>
        </w:numPr>
        <w:rPr>
          <w:rFonts w:ascii="Arial" w:hAnsi="Arial" w:cs="Arial"/>
        </w:rPr>
      </w:pPr>
      <w:r>
        <w:rPr>
          <w:rFonts w:ascii="Arial" w:hAnsi="Arial" w:cs="Arial"/>
        </w:rPr>
        <w:t>280 Plaza, Suite 1300</w:t>
      </w:r>
      <w:r>
        <w:rPr>
          <w:rFonts w:ascii="Arial" w:hAnsi="Arial" w:cs="Arial"/>
        </w:rPr>
        <w:tab/>
      </w:r>
      <w:r>
        <w:rPr>
          <w:rFonts w:ascii="Arial" w:hAnsi="Arial" w:cs="Arial"/>
        </w:rPr>
        <w:tab/>
      </w:r>
      <w:r>
        <w:rPr>
          <w:rFonts w:ascii="Arial" w:hAnsi="Arial" w:cs="Arial"/>
        </w:rPr>
        <w:tab/>
        <w:t>Capitol Square, Suite 1800</w:t>
      </w:r>
    </w:p>
    <w:p w14:paraId="75342795" w14:textId="77777777" w:rsidR="00222345" w:rsidRDefault="00222345" w:rsidP="0015109D">
      <w:pPr>
        <w:pStyle w:val="ListBullet"/>
        <w:numPr>
          <w:ilvl w:val="0"/>
          <w:numId w:val="0"/>
        </w:numPr>
        <w:rPr>
          <w:rFonts w:ascii="Arial" w:hAnsi="Arial" w:cs="Arial"/>
        </w:rPr>
      </w:pPr>
      <w:r>
        <w:rPr>
          <w:rFonts w:ascii="Arial" w:hAnsi="Arial" w:cs="Arial"/>
        </w:rPr>
        <w:t>280 North High Street</w:t>
      </w:r>
      <w:r>
        <w:rPr>
          <w:rFonts w:ascii="Arial" w:hAnsi="Arial" w:cs="Arial"/>
        </w:rPr>
        <w:tab/>
      </w:r>
      <w:r>
        <w:rPr>
          <w:rFonts w:ascii="Arial" w:hAnsi="Arial" w:cs="Arial"/>
        </w:rPr>
        <w:tab/>
      </w:r>
      <w:r>
        <w:rPr>
          <w:rFonts w:ascii="Arial" w:hAnsi="Arial" w:cs="Arial"/>
        </w:rPr>
        <w:tab/>
        <w:t>65 East State Street</w:t>
      </w:r>
    </w:p>
    <w:p w14:paraId="6CDF70F1" w14:textId="77777777" w:rsidR="00222345" w:rsidRDefault="00222345" w:rsidP="0015109D">
      <w:pPr>
        <w:pStyle w:val="ListBullet"/>
        <w:numPr>
          <w:ilvl w:val="0"/>
          <w:numId w:val="0"/>
        </w:numPr>
        <w:rPr>
          <w:rFonts w:ascii="Arial" w:hAnsi="Arial" w:cs="Arial"/>
        </w:rPr>
      </w:pPr>
      <w:r>
        <w:rPr>
          <w:rFonts w:ascii="Arial" w:hAnsi="Arial" w:cs="Arial"/>
        </w:rPr>
        <w:t>Columbus, OH  43215</w:t>
      </w:r>
      <w:r>
        <w:rPr>
          <w:rFonts w:ascii="Arial" w:hAnsi="Arial" w:cs="Arial"/>
        </w:rPr>
        <w:tab/>
      </w:r>
      <w:r>
        <w:rPr>
          <w:rFonts w:ascii="Arial" w:hAnsi="Arial" w:cs="Arial"/>
        </w:rPr>
        <w:tab/>
      </w:r>
      <w:r>
        <w:rPr>
          <w:rFonts w:ascii="Arial" w:hAnsi="Arial" w:cs="Arial"/>
        </w:rPr>
        <w:tab/>
        <w:t>Columbus, OH  43215-4294</w:t>
      </w:r>
    </w:p>
    <w:p w14:paraId="52FCCA75" w14:textId="77777777" w:rsidR="00222345" w:rsidRDefault="00005798" w:rsidP="0015109D">
      <w:pPr>
        <w:pStyle w:val="ListBullet"/>
        <w:numPr>
          <w:ilvl w:val="0"/>
          <w:numId w:val="0"/>
        </w:numPr>
      </w:pPr>
      <w:hyperlink r:id="rId18" w:history="1">
        <w:r w:rsidR="00222345" w:rsidRPr="00172B4C">
          <w:rPr>
            <w:rStyle w:val="Hyperlink"/>
            <w:rFonts w:ascii="Arial" w:hAnsi="Arial" w:cs="Arial"/>
          </w:rPr>
          <w:t>bojko@carpenterlipps.com</w:t>
        </w:r>
      </w:hyperlink>
      <w:r w:rsidR="00222345">
        <w:rPr>
          <w:rFonts w:ascii="Arial" w:hAnsi="Arial" w:cs="Arial"/>
        </w:rPr>
        <w:tab/>
      </w:r>
      <w:r w:rsidR="00222345">
        <w:rPr>
          <w:rFonts w:ascii="Arial" w:hAnsi="Arial" w:cs="Arial"/>
        </w:rPr>
        <w:tab/>
      </w:r>
      <w:r w:rsidR="00222345">
        <w:rPr>
          <w:rFonts w:ascii="Arial" w:hAnsi="Arial" w:cs="Arial"/>
        </w:rPr>
        <w:tab/>
      </w:r>
      <w:hyperlink r:id="rId19" w:history="1">
        <w:r w:rsidR="00222345" w:rsidRPr="00172B4C">
          <w:rPr>
            <w:rStyle w:val="Hyperlink"/>
            <w:rFonts w:ascii="Arial" w:hAnsi="Arial" w:cs="Arial"/>
          </w:rPr>
          <w:t>asonderman@keglerbrown.com</w:t>
        </w:r>
      </w:hyperlink>
    </w:p>
    <w:p w14:paraId="46EFBC8D" w14:textId="77777777" w:rsidR="00222345" w:rsidRDefault="00222345" w:rsidP="0015109D">
      <w:pPr>
        <w:pStyle w:val="ListBullet"/>
        <w:numPr>
          <w:ilvl w:val="0"/>
          <w:numId w:val="0"/>
        </w:numPr>
        <w:rPr>
          <w:rFonts w:ascii="Arial" w:hAnsi="Arial" w:cs="Arial"/>
        </w:rPr>
      </w:pPr>
    </w:p>
    <w:p w14:paraId="76214316" w14:textId="77777777" w:rsidR="00222345" w:rsidRDefault="00222345" w:rsidP="0015109D">
      <w:pPr>
        <w:pStyle w:val="ListBullet"/>
        <w:numPr>
          <w:ilvl w:val="0"/>
          <w:numId w:val="0"/>
        </w:numPr>
        <w:rPr>
          <w:rFonts w:ascii="Arial" w:hAnsi="Arial" w:cs="Arial"/>
        </w:rPr>
      </w:pPr>
    </w:p>
    <w:p w14:paraId="7517A956" w14:textId="77777777" w:rsidR="00222345" w:rsidRPr="008054B0" w:rsidRDefault="00222345" w:rsidP="0015109D">
      <w:pPr>
        <w:pStyle w:val="ListBullet"/>
        <w:numPr>
          <w:ilvl w:val="0"/>
          <w:numId w:val="0"/>
        </w:numPr>
        <w:rPr>
          <w:rFonts w:ascii="Arial" w:hAnsi="Arial" w:cs="Arial"/>
        </w:rPr>
      </w:pPr>
      <w:r w:rsidRPr="008054B0">
        <w:rPr>
          <w:rFonts w:ascii="Arial" w:hAnsi="Arial" w:cs="Arial"/>
        </w:rPr>
        <w:t>Trent A. Dougherty</w:t>
      </w:r>
      <w:r>
        <w:rPr>
          <w:rFonts w:ascii="Arial" w:hAnsi="Arial" w:cs="Arial"/>
        </w:rPr>
        <w:tab/>
      </w:r>
      <w:r>
        <w:rPr>
          <w:rFonts w:ascii="Arial" w:hAnsi="Arial" w:cs="Arial"/>
        </w:rPr>
        <w:tab/>
      </w:r>
      <w:r>
        <w:rPr>
          <w:rFonts w:ascii="Arial" w:hAnsi="Arial" w:cs="Arial"/>
        </w:rPr>
        <w:tab/>
      </w:r>
      <w:r>
        <w:rPr>
          <w:rFonts w:ascii="Arial" w:hAnsi="Arial" w:cs="Arial"/>
        </w:rPr>
        <w:tab/>
        <w:t>Sama</w:t>
      </w:r>
      <w:r w:rsidR="00BE4BE2">
        <w:rPr>
          <w:rFonts w:ascii="Arial" w:hAnsi="Arial" w:cs="Arial"/>
        </w:rPr>
        <w:t>n</w:t>
      </w:r>
      <w:r>
        <w:rPr>
          <w:rFonts w:ascii="Arial" w:hAnsi="Arial" w:cs="Arial"/>
        </w:rPr>
        <w:t>tha Williams</w:t>
      </w:r>
    </w:p>
    <w:p w14:paraId="27C83C4F" w14:textId="77777777" w:rsidR="00BE4BE2" w:rsidRDefault="00BE4BE2" w:rsidP="0015109D">
      <w:pPr>
        <w:pStyle w:val="ListBullet"/>
        <w:numPr>
          <w:ilvl w:val="0"/>
          <w:numId w:val="0"/>
        </w:numPr>
        <w:rPr>
          <w:rFonts w:ascii="Arial" w:hAnsi="Arial" w:cs="Arial"/>
        </w:rPr>
      </w:pPr>
      <w:r>
        <w:rPr>
          <w:rFonts w:ascii="Arial" w:hAnsi="Arial" w:cs="Arial"/>
        </w:rPr>
        <w:t>Ohio Environmental Council</w:t>
      </w:r>
      <w:r>
        <w:rPr>
          <w:rFonts w:ascii="Arial" w:hAnsi="Arial" w:cs="Arial"/>
        </w:rPr>
        <w:tab/>
      </w:r>
      <w:r>
        <w:rPr>
          <w:rFonts w:ascii="Arial" w:hAnsi="Arial" w:cs="Arial"/>
        </w:rPr>
        <w:tab/>
        <w:t>Natural Resources Defense Council</w:t>
      </w:r>
    </w:p>
    <w:p w14:paraId="47BE641D" w14:textId="77777777" w:rsidR="00222345" w:rsidRPr="008054B0" w:rsidRDefault="00222345" w:rsidP="0015109D">
      <w:pPr>
        <w:pStyle w:val="ListBullet"/>
        <w:numPr>
          <w:ilvl w:val="0"/>
          <w:numId w:val="0"/>
        </w:numPr>
        <w:rPr>
          <w:rFonts w:ascii="Arial" w:hAnsi="Arial" w:cs="Arial"/>
        </w:rPr>
      </w:pPr>
      <w:r w:rsidRPr="008054B0">
        <w:rPr>
          <w:rFonts w:ascii="Arial" w:hAnsi="Arial" w:cs="Arial"/>
        </w:rPr>
        <w:t>1207 Grandview Avenue</w:t>
      </w:r>
      <w:r>
        <w:rPr>
          <w:rFonts w:ascii="Arial" w:hAnsi="Arial" w:cs="Arial"/>
        </w:rPr>
        <w:tab/>
      </w:r>
      <w:r>
        <w:rPr>
          <w:rFonts w:ascii="Arial" w:hAnsi="Arial" w:cs="Arial"/>
        </w:rPr>
        <w:tab/>
      </w:r>
      <w:r>
        <w:rPr>
          <w:rFonts w:ascii="Arial" w:hAnsi="Arial" w:cs="Arial"/>
        </w:rPr>
        <w:tab/>
        <w:t>20 N. Wacker Drive, Suite 1600</w:t>
      </w:r>
    </w:p>
    <w:p w14:paraId="6E1375F6" w14:textId="77777777" w:rsidR="00222345" w:rsidRPr="008054B0" w:rsidRDefault="00222345" w:rsidP="0015109D">
      <w:pPr>
        <w:pStyle w:val="ListBullet"/>
        <w:numPr>
          <w:ilvl w:val="0"/>
          <w:numId w:val="0"/>
        </w:numPr>
        <w:rPr>
          <w:rFonts w:ascii="Arial" w:hAnsi="Arial" w:cs="Arial"/>
        </w:rPr>
      </w:pPr>
      <w:r w:rsidRPr="008054B0">
        <w:rPr>
          <w:rFonts w:ascii="Arial" w:hAnsi="Arial" w:cs="Arial"/>
        </w:rPr>
        <w:t>Columbus, Ohio 43212</w:t>
      </w:r>
      <w:r>
        <w:rPr>
          <w:rFonts w:ascii="Arial" w:hAnsi="Arial" w:cs="Arial"/>
        </w:rPr>
        <w:tab/>
      </w:r>
      <w:r>
        <w:rPr>
          <w:rFonts w:ascii="Arial" w:hAnsi="Arial" w:cs="Arial"/>
        </w:rPr>
        <w:tab/>
      </w:r>
      <w:r>
        <w:rPr>
          <w:rFonts w:ascii="Arial" w:hAnsi="Arial" w:cs="Arial"/>
        </w:rPr>
        <w:tab/>
        <w:t>Chicago, Illinois 60606</w:t>
      </w:r>
    </w:p>
    <w:p w14:paraId="7BA15EDE" w14:textId="1B08CB0D" w:rsidR="00222345" w:rsidRDefault="00005798" w:rsidP="0015109D">
      <w:pPr>
        <w:pStyle w:val="ListBullet"/>
        <w:numPr>
          <w:ilvl w:val="0"/>
          <w:numId w:val="0"/>
        </w:numPr>
        <w:rPr>
          <w:rFonts w:ascii="Arial" w:hAnsi="Arial" w:cs="Arial"/>
        </w:rPr>
      </w:pPr>
      <w:hyperlink r:id="rId20" w:history="1">
        <w:r w:rsidR="00222345" w:rsidRPr="008054B0">
          <w:rPr>
            <w:rStyle w:val="Hyperlink"/>
            <w:rFonts w:ascii="Arial" w:hAnsi="Arial" w:cs="Arial"/>
          </w:rPr>
          <w:t>TDougherty@theOEC.org</w:t>
        </w:r>
      </w:hyperlink>
      <w:r w:rsidR="00222345">
        <w:rPr>
          <w:rFonts w:ascii="Arial" w:hAnsi="Arial" w:cs="Arial"/>
        </w:rPr>
        <w:tab/>
      </w:r>
      <w:r w:rsidR="00222345">
        <w:rPr>
          <w:rFonts w:ascii="Arial" w:hAnsi="Arial" w:cs="Arial"/>
        </w:rPr>
        <w:tab/>
      </w:r>
      <w:r w:rsidR="00222345">
        <w:rPr>
          <w:rFonts w:ascii="Arial" w:hAnsi="Arial" w:cs="Arial"/>
        </w:rPr>
        <w:tab/>
      </w:r>
      <w:hyperlink r:id="rId21" w:history="1">
        <w:r w:rsidR="000F29E3" w:rsidRPr="00143A44">
          <w:rPr>
            <w:rStyle w:val="Hyperlink"/>
            <w:rFonts w:ascii="Arial" w:hAnsi="Arial" w:cs="Arial"/>
          </w:rPr>
          <w:t>swilliams@nrdc.org</w:t>
        </w:r>
      </w:hyperlink>
    </w:p>
    <w:p w14:paraId="78C15844" w14:textId="77777777" w:rsidR="00222345" w:rsidRDefault="00222345" w:rsidP="0015109D">
      <w:pPr>
        <w:pStyle w:val="ListBullet"/>
        <w:numPr>
          <w:ilvl w:val="0"/>
          <w:numId w:val="0"/>
        </w:numPr>
        <w:rPr>
          <w:rFonts w:ascii="Arial" w:hAnsi="Arial" w:cs="Arial"/>
        </w:rPr>
      </w:pPr>
    </w:p>
    <w:p w14:paraId="2C641F04" w14:textId="77777777" w:rsidR="00222345" w:rsidRDefault="00222345" w:rsidP="0015109D">
      <w:pPr>
        <w:pStyle w:val="ListBullet"/>
        <w:numPr>
          <w:ilvl w:val="0"/>
          <w:numId w:val="0"/>
        </w:numPr>
        <w:rPr>
          <w:rFonts w:ascii="Arial" w:hAnsi="Arial" w:cs="Arial"/>
        </w:rPr>
      </w:pPr>
      <w:r>
        <w:rPr>
          <w:rFonts w:ascii="Arial" w:hAnsi="Arial" w:cs="Arial"/>
        </w:rPr>
        <w:t>Justin Vickers</w:t>
      </w:r>
    </w:p>
    <w:p w14:paraId="1806AF1A" w14:textId="77777777" w:rsidR="00BE4BE2" w:rsidRDefault="00BE4BE2" w:rsidP="0015109D">
      <w:pPr>
        <w:pStyle w:val="ListBullet"/>
        <w:numPr>
          <w:ilvl w:val="0"/>
          <w:numId w:val="0"/>
        </w:numPr>
        <w:rPr>
          <w:rFonts w:ascii="Arial" w:hAnsi="Arial" w:cs="Arial"/>
        </w:rPr>
      </w:pPr>
      <w:r>
        <w:rPr>
          <w:rFonts w:ascii="Arial" w:hAnsi="Arial" w:cs="Arial"/>
        </w:rPr>
        <w:t>Environmental Law and Policy Center</w:t>
      </w:r>
    </w:p>
    <w:p w14:paraId="53783955" w14:textId="77777777" w:rsidR="00222345" w:rsidRDefault="00222345" w:rsidP="0015109D">
      <w:pPr>
        <w:pStyle w:val="ListBullet"/>
        <w:numPr>
          <w:ilvl w:val="0"/>
          <w:numId w:val="0"/>
        </w:numPr>
        <w:rPr>
          <w:rFonts w:ascii="Arial" w:hAnsi="Arial" w:cs="Arial"/>
        </w:rPr>
      </w:pPr>
      <w:r>
        <w:rPr>
          <w:rFonts w:ascii="Arial" w:hAnsi="Arial" w:cs="Arial"/>
        </w:rPr>
        <w:t>35 East Wacker Drive, Suite 1600</w:t>
      </w:r>
    </w:p>
    <w:p w14:paraId="463C5742" w14:textId="77777777" w:rsidR="00222345" w:rsidRDefault="00222345" w:rsidP="0015109D">
      <w:pPr>
        <w:pStyle w:val="ListBullet"/>
        <w:numPr>
          <w:ilvl w:val="0"/>
          <w:numId w:val="0"/>
        </w:numPr>
        <w:rPr>
          <w:rFonts w:ascii="Arial" w:hAnsi="Arial" w:cs="Arial"/>
        </w:rPr>
      </w:pPr>
      <w:r>
        <w:rPr>
          <w:rFonts w:ascii="Arial" w:hAnsi="Arial" w:cs="Arial"/>
        </w:rPr>
        <w:t>Chicago, Illinois  60601</w:t>
      </w:r>
    </w:p>
    <w:p w14:paraId="13EC4F9A" w14:textId="77777777" w:rsidR="00222345" w:rsidRDefault="00005798" w:rsidP="0015109D">
      <w:pPr>
        <w:pStyle w:val="ListBullet"/>
        <w:numPr>
          <w:ilvl w:val="0"/>
          <w:numId w:val="0"/>
        </w:numPr>
        <w:rPr>
          <w:rFonts w:ascii="Arial" w:hAnsi="Arial" w:cs="Arial"/>
        </w:rPr>
      </w:pPr>
      <w:hyperlink r:id="rId22" w:history="1">
        <w:r w:rsidR="00222345" w:rsidRPr="00B623E1">
          <w:rPr>
            <w:rStyle w:val="Hyperlink"/>
            <w:rFonts w:ascii="Arial" w:hAnsi="Arial" w:cs="Arial"/>
          </w:rPr>
          <w:t>jvickers@elpc.org</w:t>
        </w:r>
      </w:hyperlink>
    </w:p>
    <w:p w14:paraId="6BB68B81" w14:textId="77777777" w:rsidR="00222345" w:rsidRPr="008054B0" w:rsidRDefault="00222345" w:rsidP="0015109D">
      <w:pPr>
        <w:pStyle w:val="ListBullet"/>
        <w:numPr>
          <w:ilvl w:val="0"/>
          <w:numId w:val="0"/>
        </w:numPr>
        <w:rPr>
          <w:rFonts w:ascii="Arial" w:hAnsi="Arial" w:cs="Arial"/>
        </w:rPr>
      </w:pPr>
    </w:p>
    <w:p w14:paraId="5512B56B" w14:textId="77777777" w:rsidR="00222345" w:rsidRPr="008054B0" w:rsidRDefault="00222345" w:rsidP="0015109D">
      <w:pPr>
        <w:pStyle w:val="ListBullet"/>
        <w:numPr>
          <w:ilvl w:val="0"/>
          <w:numId w:val="0"/>
        </w:numPr>
        <w:rPr>
          <w:rFonts w:ascii="Arial" w:hAnsi="Arial" w:cs="Arial"/>
        </w:rPr>
      </w:pPr>
    </w:p>
    <w:p w14:paraId="49C6B6E4" w14:textId="77777777" w:rsidR="00222345" w:rsidRDefault="00222345" w:rsidP="0015109D">
      <w:pPr>
        <w:pStyle w:val="ListBullet"/>
        <w:numPr>
          <w:ilvl w:val="0"/>
          <w:numId w:val="0"/>
        </w:numPr>
        <w:rPr>
          <w:rFonts w:ascii="Arial" w:hAnsi="Arial" w:cs="Arial"/>
        </w:rPr>
      </w:pPr>
    </w:p>
    <w:sectPr w:rsidR="00222345" w:rsidSect="008054B0">
      <w:footerReference w:type="default" r:id="rId23"/>
      <w:pgSz w:w="12240" w:h="15840" w:code="1"/>
      <w:pgMar w:top="1440" w:right="1440" w:bottom="1440" w:left="1440" w:header="720" w:footer="144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A3B7" w14:textId="77777777" w:rsidR="002D21EB" w:rsidRDefault="002D21EB">
      <w:r>
        <w:separator/>
      </w:r>
    </w:p>
  </w:endnote>
  <w:endnote w:type="continuationSeparator" w:id="0">
    <w:p w14:paraId="63C390D1" w14:textId="77777777" w:rsidR="002D21EB" w:rsidRDefault="002D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274BE" w14:textId="77777777" w:rsidR="00222345" w:rsidRDefault="00222345" w:rsidP="00CA42C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798">
      <w:rPr>
        <w:rStyle w:val="PageNumber"/>
        <w:noProof/>
      </w:rPr>
      <w:t>- 11 -</w:t>
    </w:r>
    <w:r>
      <w:rPr>
        <w:rStyle w:val="PageNumber"/>
      </w:rPr>
      <w:fldChar w:fldCharType="end"/>
    </w:r>
  </w:p>
  <w:p w14:paraId="29657212" w14:textId="77777777" w:rsidR="00222345" w:rsidRDefault="00222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683B5" w14:textId="77777777" w:rsidR="002D21EB" w:rsidRDefault="002D21EB">
      <w:r>
        <w:separator/>
      </w:r>
    </w:p>
  </w:footnote>
  <w:footnote w:type="continuationSeparator" w:id="0">
    <w:p w14:paraId="63C71CCA" w14:textId="77777777" w:rsidR="002D21EB" w:rsidRDefault="002D21EB">
      <w:r>
        <w:continuationSeparator/>
      </w:r>
    </w:p>
  </w:footnote>
  <w:footnote w:id="1">
    <w:p w14:paraId="6C4727A1" w14:textId="177749AF" w:rsidR="00631B4C" w:rsidRPr="00F9023E" w:rsidRDefault="00631B4C" w:rsidP="00631B4C">
      <w:pPr>
        <w:pStyle w:val="FootnoteText"/>
        <w:rPr>
          <w:rFonts w:ascii="Arial" w:hAnsi="Arial" w:cs="Arial"/>
        </w:rPr>
      </w:pPr>
      <w:r>
        <w:rPr>
          <w:rStyle w:val="FootnoteReference"/>
        </w:rPr>
        <w:footnoteRef/>
      </w:r>
      <w:r>
        <w:t xml:space="preserve"> </w:t>
      </w:r>
      <w:r>
        <w:rPr>
          <w:rFonts w:ascii="Arial" w:hAnsi="Arial" w:cs="Arial"/>
        </w:rPr>
        <w:t xml:space="preserve">Ohio Partners for Affordable Energy filed a Motion to Dismiss on </w:t>
      </w:r>
      <w:r w:rsidR="004D62B6">
        <w:rPr>
          <w:rFonts w:ascii="Arial" w:hAnsi="Arial" w:cs="Arial"/>
        </w:rPr>
        <w:t>September 30, 2014.</w:t>
      </w:r>
    </w:p>
  </w:footnote>
  <w:footnote w:id="2">
    <w:p w14:paraId="20013579" w14:textId="7147EDD6" w:rsidR="00A57D53" w:rsidRPr="00A57D53" w:rsidRDefault="00A57D53">
      <w:pPr>
        <w:pStyle w:val="FootnoteText"/>
        <w:rPr>
          <w:rFonts w:ascii="Arial" w:hAnsi="Arial" w:cs="Arial"/>
        </w:rPr>
      </w:pPr>
      <w:r>
        <w:rPr>
          <w:rStyle w:val="FootnoteReference"/>
        </w:rPr>
        <w:footnoteRef/>
      </w:r>
      <w:r>
        <w:t xml:space="preserve"> </w:t>
      </w:r>
      <w:r>
        <w:rPr>
          <w:rFonts w:ascii="Arial" w:hAnsi="Arial" w:cs="Arial"/>
        </w:rPr>
        <w:t xml:space="preserve">The argument of the Industrial Energy Users – Ohio (“IEU-OH”) that this application was an attempt to amend the portfolio, albeit illegally, and should be construed as an application for the purposes of triggering Sec. </w:t>
      </w:r>
      <w:r w:rsidR="00173157">
        <w:rPr>
          <w:rFonts w:ascii="Arial" w:hAnsi="Arial" w:cs="Arial"/>
        </w:rPr>
        <w:t>8</w:t>
      </w:r>
      <w:r>
        <w:rPr>
          <w:rFonts w:ascii="Arial" w:hAnsi="Arial" w:cs="Arial"/>
        </w:rPr>
        <w:t xml:space="preserve"> of SB 310 is defective on its face.  If the application fails to meet statutory requirements it should be dismissed, not rewritten by the Commission to achieve an outcome sought by IEU-OH.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B46C55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1EE15523"/>
    <w:multiLevelType w:val="hybridMultilevel"/>
    <w:tmpl w:val="8D2A1FE0"/>
    <w:lvl w:ilvl="0" w:tplc="3356DB6E">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60A0FE5"/>
    <w:multiLevelType w:val="hybridMultilevel"/>
    <w:tmpl w:val="479A2F52"/>
    <w:lvl w:ilvl="0" w:tplc="B4F483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BF6B39"/>
    <w:multiLevelType w:val="hybridMultilevel"/>
    <w:tmpl w:val="DD34A6E6"/>
    <w:lvl w:ilvl="0" w:tplc="5228443A">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 w15:restartNumberingAfterBreak="0">
    <w:nsid w:val="373F2644"/>
    <w:multiLevelType w:val="hybridMultilevel"/>
    <w:tmpl w:val="6600953E"/>
    <w:lvl w:ilvl="0" w:tplc="8AAA40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337161"/>
    <w:multiLevelType w:val="hybridMultilevel"/>
    <w:tmpl w:val="22F0D8A6"/>
    <w:lvl w:ilvl="0" w:tplc="A0183366">
      <w:start w:val="1"/>
      <w:numFmt w:val="decimal"/>
      <w:lvlText w:val="%1."/>
      <w:lvlJc w:val="left"/>
      <w:pPr>
        <w:tabs>
          <w:tab w:val="num" w:pos="1440"/>
        </w:tabs>
        <w:ind w:left="1440" w:hanging="720"/>
      </w:pPr>
      <w:rPr>
        <w:rFonts w:hint="default"/>
      </w:rPr>
    </w:lvl>
    <w:lvl w:ilvl="1" w:tplc="D766E376">
      <w:start w:val="5"/>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3E421884"/>
    <w:multiLevelType w:val="hybridMultilevel"/>
    <w:tmpl w:val="B1F248EC"/>
    <w:lvl w:ilvl="0" w:tplc="2BCA60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F452E6B"/>
    <w:multiLevelType w:val="hybridMultilevel"/>
    <w:tmpl w:val="798A3066"/>
    <w:lvl w:ilvl="0" w:tplc="6B44A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17556"/>
    <w:multiLevelType w:val="hybridMultilevel"/>
    <w:tmpl w:val="A320A5B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C5F3E34"/>
    <w:multiLevelType w:val="hybridMultilevel"/>
    <w:tmpl w:val="9AC05560"/>
    <w:lvl w:ilvl="0" w:tplc="0409000F">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9"/>
  </w:num>
  <w:num w:numId="10">
    <w:abstractNumId w:val="2"/>
  </w:num>
  <w:num w:numId="11">
    <w:abstractNumId w:val="3"/>
  </w:num>
  <w:num w:numId="12">
    <w:abstractNumId w:val="6"/>
  </w:num>
  <w:num w:numId="13">
    <w:abstractNumId w:val="8"/>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9D"/>
    <w:rsid w:val="0000049B"/>
    <w:rsid w:val="00005798"/>
    <w:rsid w:val="0002403A"/>
    <w:rsid w:val="00025546"/>
    <w:rsid w:val="00056364"/>
    <w:rsid w:val="00077049"/>
    <w:rsid w:val="00087AD3"/>
    <w:rsid w:val="000905B5"/>
    <w:rsid w:val="00092F22"/>
    <w:rsid w:val="000A7ECA"/>
    <w:rsid w:val="000B3B48"/>
    <w:rsid w:val="000D5558"/>
    <w:rsid w:val="000D6FB2"/>
    <w:rsid w:val="000D7D17"/>
    <w:rsid w:val="000E4868"/>
    <w:rsid w:val="000E4D34"/>
    <w:rsid w:val="000E559B"/>
    <w:rsid w:val="000E6887"/>
    <w:rsid w:val="000F29E3"/>
    <w:rsid w:val="0012404A"/>
    <w:rsid w:val="00124897"/>
    <w:rsid w:val="001249B7"/>
    <w:rsid w:val="001257A9"/>
    <w:rsid w:val="0014643A"/>
    <w:rsid w:val="0015109D"/>
    <w:rsid w:val="00156BDC"/>
    <w:rsid w:val="00166171"/>
    <w:rsid w:val="0017226E"/>
    <w:rsid w:val="00172AF0"/>
    <w:rsid w:val="00172B4C"/>
    <w:rsid w:val="00173157"/>
    <w:rsid w:val="001B08EB"/>
    <w:rsid w:val="001B7E86"/>
    <w:rsid w:val="001D05CA"/>
    <w:rsid w:val="0021631E"/>
    <w:rsid w:val="00216776"/>
    <w:rsid w:val="00216C3F"/>
    <w:rsid w:val="00220E7E"/>
    <w:rsid w:val="00222345"/>
    <w:rsid w:val="00232322"/>
    <w:rsid w:val="002374FA"/>
    <w:rsid w:val="00271AF4"/>
    <w:rsid w:val="00272394"/>
    <w:rsid w:val="00275FF6"/>
    <w:rsid w:val="00291734"/>
    <w:rsid w:val="002A4F52"/>
    <w:rsid w:val="002B56E0"/>
    <w:rsid w:val="002C093C"/>
    <w:rsid w:val="002C25B2"/>
    <w:rsid w:val="002C3A61"/>
    <w:rsid w:val="002D0F01"/>
    <w:rsid w:val="002D21EB"/>
    <w:rsid w:val="002D3751"/>
    <w:rsid w:val="002D4125"/>
    <w:rsid w:val="002D4D79"/>
    <w:rsid w:val="002D6A6A"/>
    <w:rsid w:val="002F5F2F"/>
    <w:rsid w:val="003262F6"/>
    <w:rsid w:val="003410D1"/>
    <w:rsid w:val="00342443"/>
    <w:rsid w:val="00380FA7"/>
    <w:rsid w:val="00387155"/>
    <w:rsid w:val="0038793A"/>
    <w:rsid w:val="0039260F"/>
    <w:rsid w:val="003949CD"/>
    <w:rsid w:val="003C3B46"/>
    <w:rsid w:val="003C62E0"/>
    <w:rsid w:val="003D391B"/>
    <w:rsid w:val="003D497F"/>
    <w:rsid w:val="003D4B86"/>
    <w:rsid w:val="0042219D"/>
    <w:rsid w:val="00424251"/>
    <w:rsid w:val="00430EEA"/>
    <w:rsid w:val="00431198"/>
    <w:rsid w:val="00436217"/>
    <w:rsid w:val="0043663A"/>
    <w:rsid w:val="00447529"/>
    <w:rsid w:val="0046045D"/>
    <w:rsid w:val="00460D65"/>
    <w:rsid w:val="00462928"/>
    <w:rsid w:val="00464E2E"/>
    <w:rsid w:val="0046682D"/>
    <w:rsid w:val="00470546"/>
    <w:rsid w:val="00470B2A"/>
    <w:rsid w:val="004720F6"/>
    <w:rsid w:val="0047493D"/>
    <w:rsid w:val="00483045"/>
    <w:rsid w:val="00486995"/>
    <w:rsid w:val="00497B58"/>
    <w:rsid w:val="004A1567"/>
    <w:rsid w:val="004B657D"/>
    <w:rsid w:val="004D62B6"/>
    <w:rsid w:val="004D7D7E"/>
    <w:rsid w:val="004E1411"/>
    <w:rsid w:val="004F4CA5"/>
    <w:rsid w:val="005070D8"/>
    <w:rsid w:val="005273EF"/>
    <w:rsid w:val="0054152B"/>
    <w:rsid w:val="00544247"/>
    <w:rsid w:val="0055582C"/>
    <w:rsid w:val="005608C1"/>
    <w:rsid w:val="0056590B"/>
    <w:rsid w:val="00567ED0"/>
    <w:rsid w:val="00581C70"/>
    <w:rsid w:val="00582FB4"/>
    <w:rsid w:val="00583429"/>
    <w:rsid w:val="005A1E94"/>
    <w:rsid w:val="005B53F2"/>
    <w:rsid w:val="005C5AD3"/>
    <w:rsid w:val="005C6F6C"/>
    <w:rsid w:val="005E720D"/>
    <w:rsid w:val="00601B30"/>
    <w:rsid w:val="006104BF"/>
    <w:rsid w:val="006276BF"/>
    <w:rsid w:val="00631B4C"/>
    <w:rsid w:val="00635C61"/>
    <w:rsid w:val="006431D5"/>
    <w:rsid w:val="00653FBF"/>
    <w:rsid w:val="006A031B"/>
    <w:rsid w:val="006A5AEF"/>
    <w:rsid w:val="006B2769"/>
    <w:rsid w:val="006B3D0B"/>
    <w:rsid w:val="006C2E08"/>
    <w:rsid w:val="006D6870"/>
    <w:rsid w:val="006E4F40"/>
    <w:rsid w:val="006F19DC"/>
    <w:rsid w:val="006F2620"/>
    <w:rsid w:val="0070229D"/>
    <w:rsid w:val="00711FDE"/>
    <w:rsid w:val="00722654"/>
    <w:rsid w:val="007259EF"/>
    <w:rsid w:val="007278C2"/>
    <w:rsid w:val="00745A46"/>
    <w:rsid w:val="00755A93"/>
    <w:rsid w:val="007600FA"/>
    <w:rsid w:val="007721D0"/>
    <w:rsid w:val="00783E50"/>
    <w:rsid w:val="00786ECA"/>
    <w:rsid w:val="00793F76"/>
    <w:rsid w:val="007B1D5A"/>
    <w:rsid w:val="007B7666"/>
    <w:rsid w:val="007C3806"/>
    <w:rsid w:val="007D0A62"/>
    <w:rsid w:val="007D33E7"/>
    <w:rsid w:val="007F4D6F"/>
    <w:rsid w:val="008054B0"/>
    <w:rsid w:val="00806745"/>
    <w:rsid w:val="0083502E"/>
    <w:rsid w:val="00835E12"/>
    <w:rsid w:val="00835EE9"/>
    <w:rsid w:val="008431B3"/>
    <w:rsid w:val="008443B8"/>
    <w:rsid w:val="00851D87"/>
    <w:rsid w:val="00864542"/>
    <w:rsid w:val="008704FC"/>
    <w:rsid w:val="00875397"/>
    <w:rsid w:val="00894BEB"/>
    <w:rsid w:val="008B5112"/>
    <w:rsid w:val="008C76AC"/>
    <w:rsid w:val="00906AC4"/>
    <w:rsid w:val="00931AD5"/>
    <w:rsid w:val="00937829"/>
    <w:rsid w:val="00956F9D"/>
    <w:rsid w:val="009964D8"/>
    <w:rsid w:val="009A7A7C"/>
    <w:rsid w:val="009B1E56"/>
    <w:rsid w:val="009B519A"/>
    <w:rsid w:val="009C0DE0"/>
    <w:rsid w:val="009C1832"/>
    <w:rsid w:val="009D2759"/>
    <w:rsid w:val="009E6B87"/>
    <w:rsid w:val="009E7611"/>
    <w:rsid w:val="009F7263"/>
    <w:rsid w:val="00A0325D"/>
    <w:rsid w:val="00A03F5E"/>
    <w:rsid w:val="00A05455"/>
    <w:rsid w:val="00A05BC4"/>
    <w:rsid w:val="00A11945"/>
    <w:rsid w:val="00A277B4"/>
    <w:rsid w:val="00A33BB8"/>
    <w:rsid w:val="00A4794F"/>
    <w:rsid w:val="00A5270D"/>
    <w:rsid w:val="00A57D53"/>
    <w:rsid w:val="00A60866"/>
    <w:rsid w:val="00A6651A"/>
    <w:rsid w:val="00A860CC"/>
    <w:rsid w:val="00A95AF9"/>
    <w:rsid w:val="00AA59C1"/>
    <w:rsid w:val="00AD1133"/>
    <w:rsid w:val="00AE40B8"/>
    <w:rsid w:val="00AF4C8F"/>
    <w:rsid w:val="00B038F8"/>
    <w:rsid w:val="00B04821"/>
    <w:rsid w:val="00B50D05"/>
    <w:rsid w:val="00B53202"/>
    <w:rsid w:val="00B546C4"/>
    <w:rsid w:val="00B623E1"/>
    <w:rsid w:val="00B724F6"/>
    <w:rsid w:val="00B7615E"/>
    <w:rsid w:val="00BA33E2"/>
    <w:rsid w:val="00BB1DD4"/>
    <w:rsid w:val="00BB6B94"/>
    <w:rsid w:val="00BC66A3"/>
    <w:rsid w:val="00BD0868"/>
    <w:rsid w:val="00BD25E2"/>
    <w:rsid w:val="00BD4081"/>
    <w:rsid w:val="00BD459F"/>
    <w:rsid w:val="00BE259D"/>
    <w:rsid w:val="00BE39AF"/>
    <w:rsid w:val="00BE4BE2"/>
    <w:rsid w:val="00C04A59"/>
    <w:rsid w:val="00C17269"/>
    <w:rsid w:val="00C24BAA"/>
    <w:rsid w:val="00C26927"/>
    <w:rsid w:val="00C35190"/>
    <w:rsid w:val="00C42C30"/>
    <w:rsid w:val="00C46B83"/>
    <w:rsid w:val="00C51B73"/>
    <w:rsid w:val="00C5462C"/>
    <w:rsid w:val="00C70D5A"/>
    <w:rsid w:val="00C70DCD"/>
    <w:rsid w:val="00C91ECA"/>
    <w:rsid w:val="00CA2A03"/>
    <w:rsid w:val="00CA42CB"/>
    <w:rsid w:val="00CD45FC"/>
    <w:rsid w:val="00D06C33"/>
    <w:rsid w:val="00D1187E"/>
    <w:rsid w:val="00D11A0A"/>
    <w:rsid w:val="00D23DCF"/>
    <w:rsid w:val="00D23FE0"/>
    <w:rsid w:val="00D312A9"/>
    <w:rsid w:val="00D327E1"/>
    <w:rsid w:val="00D34344"/>
    <w:rsid w:val="00D35ED1"/>
    <w:rsid w:val="00D37E25"/>
    <w:rsid w:val="00D51245"/>
    <w:rsid w:val="00D51969"/>
    <w:rsid w:val="00D700EC"/>
    <w:rsid w:val="00D82193"/>
    <w:rsid w:val="00D859A1"/>
    <w:rsid w:val="00D917D2"/>
    <w:rsid w:val="00DA553C"/>
    <w:rsid w:val="00DA7B99"/>
    <w:rsid w:val="00DB0025"/>
    <w:rsid w:val="00DB7A5F"/>
    <w:rsid w:val="00DD226D"/>
    <w:rsid w:val="00DD3D2C"/>
    <w:rsid w:val="00DD4240"/>
    <w:rsid w:val="00DF49AF"/>
    <w:rsid w:val="00DF4ABA"/>
    <w:rsid w:val="00E06B3E"/>
    <w:rsid w:val="00E0730A"/>
    <w:rsid w:val="00E13269"/>
    <w:rsid w:val="00E27979"/>
    <w:rsid w:val="00E32405"/>
    <w:rsid w:val="00E41839"/>
    <w:rsid w:val="00E52DD8"/>
    <w:rsid w:val="00E845AC"/>
    <w:rsid w:val="00E850EE"/>
    <w:rsid w:val="00EC0DBB"/>
    <w:rsid w:val="00ED5CEB"/>
    <w:rsid w:val="00EF24AD"/>
    <w:rsid w:val="00F037ED"/>
    <w:rsid w:val="00F32D55"/>
    <w:rsid w:val="00F44DC3"/>
    <w:rsid w:val="00F47138"/>
    <w:rsid w:val="00F56771"/>
    <w:rsid w:val="00F9023E"/>
    <w:rsid w:val="00F93FD9"/>
    <w:rsid w:val="00FA381D"/>
    <w:rsid w:val="00FA7AB2"/>
    <w:rsid w:val="00FB1C6C"/>
    <w:rsid w:val="00FC018D"/>
    <w:rsid w:val="00FD3A30"/>
    <w:rsid w:val="00FD7DAF"/>
    <w:rsid w:val="00FF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E1024"/>
  <w15:docId w15:val="{268F41CA-0FD8-416E-BF62-D057CDC5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0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109D"/>
    <w:pPr>
      <w:jc w:val="center"/>
    </w:pPr>
    <w:rPr>
      <w:rFonts w:ascii="Arial" w:hAnsi="Arial" w:cs="Arial"/>
      <w:b/>
      <w:bCs/>
    </w:rPr>
  </w:style>
  <w:style w:type="character" w:customStyle="1" w:styleId="TitleChar">
    <w:name w:val="Title Char"/>
    <w:basedOn w:val="DefaultParagraphFont"/>
    <w:link w:val="Title"/>
    <w:uiPriority w:val="99"/>
    <w:locked/>
    <w:rsid w:val="0055582C"/>
    <w:rPr>
      <w:rFonts w:ascii="Cambria" w:hAnsi="Cambria" w:cs="Cambria"/>
      <w:b/>
      <w:bCs/>
      <w:kern w:val="28"/>
      <w:sz w:val="32"/>
      <w:szCs w:val="32"/>
    </w:rPr>
  </w:style>
  <w:style w:type="paragraph" w:styleId="Subtitle">
    <w:name w:val="Subtitle"/>
    <w:basedOn w:val="Normal"/>
    <w:link w:val="SubtitleChar"/>
    <w:uiPriority w:val="99"/>
    <w:qFormat/>
    <w:rsid w:val="0015109D"/>
    <w:pPr>
      <w:jc w:val="center"/>
    </w:pPr>
    <w:rPr>
      <w:rFonts w:ascii="Arial" w:hAnsi="Arial" w:cs="Arial"/>
      <w:b/>
      <w:bCs/>
    </w:rPr>
  </w:style>
  <w:style w:type="character" w:customStyle="1" w:styleId="SubtitleChar">
    <w:name w:val="Subtitle Char"/>
    <w:basedOn w:val="DefaultParagraphFont"/>
    <w:link w:val="Subtitle"/>
    <w:uiPriority w:val="99"/>
    <w:locked/>
    <w:rsid w:val="0055582C"/>
    <w:rPr>
      <w:rFonts w:ascii="Cambria" w:hAnsi="Cambria" w:cs="Cambria"/>
      <w:sz w:val="24"/>
      <w:szCs w:val="24"/>
    </w:rPr>
  </w:style>
  <w:style w:type="paragraph" w:styleId="BodyTextIndent">
    <w:name w:val="Body Text Indent"/>
    <w:basedOn w:val="Normal"/>
    <w:link w:val="BodyTextIndentChar"/>
    <w:uiPriority w:val="99"/>
    <w:rsid w:val="0015109D"/>
    <w:pPr>
      <w:ind w:left="4320"/>
    </w:pPr>
    <w:rPr>
      <w:rFonts w:ascii="Arial" w:hAnsi="Arial" w:cs="Arial"/>
    </w:rPr>
  </w:style>
  <w:style w:type="character" w:customStyle="1" w:styleId="BodyTextIndentChar">
    <w:name w:val="Body Text Indent Char"/>
    <w:basedOn w:val="DefaultParagraphFont"/>
    <w:link w:val="BodyTextIndent"/>
    <w:uiPriority w:val="99"/>
    <w:semiHidden/>
    <w:locked/>
    <w:rsid w:val="0055582C"/>
    <w:rPr>
      <w:sz w:val="24"/>
      <w:szCs w:val="24"/>
    </w:rPr>
  </w:style>
  <w:style w:type="paragraph" w:styleId="Footer">
    <w:name w:val="footer"/>
    <w:basedOn w:val="Normal"/>
    <w:link w:val="FooterChar"/>
    <w:uiPriority w:val="99"/>
    <w:rsid w:val="0015109D"/>
    <w:pPr>
      <w:tabs>
        <w:tab w:val="center" w:pos="4320"/>
        <w:tab w:val="right" w:pos="8640"/>
      </w:tabs>
    </w:pPr>
  </w:style>
  <w:style w:type="character" w:customStyle="1" w:styleId="FooterChar">
    <w:name w:val="Footer Char"/>
    <w:basedOn w:val="DefaultParagraphFont"/>
    <w:link w:val="Footer"/>
    <w:uiPriority w:val="99"/>
    <w:semiHidden/>
    <w:locked/>
    <w:rsid w:val="0055582C"/>
    <w:rPr>
      <w:sz w:val="24"/>
      <w:szCs w:val="24"/>
    </w:rPr>
  </w:style>
  <w:style w:type="character" w:styleId="PageNumber">
    <w:name w:val="page number"/>
    <w:basedOn w:val="DefaultParagraphFont"/>
    <w:uiPriority w:val="99"/>
    <w:rsid w:val="0015109D"/>
  </w:style>
  <w:style w:type="character" w:styleId="Hyperlink">
    <w:name w:val="Hyperlink"/>
    <w:basedOn w:val="DefaultParagraphFont"/>
    <w:uiPriority w:val="99"/>
    <w:rsid w:val="0015109D"/>
    <w:rPr>
      <w:color w:val="0000FF"/>
      <w:u w:val="single"/>
    </w:rPr>
  </w:style>
  <w:style w:type="paragraph" w:styleId="ListBullet">
    <w:name w:val="List Bullet"/>
    <w:basedOn w:val="Normal"/>
    <w:uiPriority w:val="99"/>
    <w:rsid w:val="0015109D"/>
    <w:pPr>
      <w:numPr>
        <w:numId w:val="2"/>
      </w:numPr>
    </w:pPr>
  </w:style>
  <w:style w:type="paragraph" w:styleId="FootnoteText">
    <w:name w:val="footnote text"/>
    <w:basedOn w:val="Normal"/>
    <w:link w:val="FootnoteTextChar"/>
    <w:uiPriority w:val="99"/>
    <w:semiHidden/>
    <w:rsid w:val="0015109D"/>
    <w:rPr>
      <w:sz w:val="20"/>
      <w:szCs w:val="20"/>
    </w:rPr>
  </w:style>
  <w:style w:type="character" w:customStyle="1" w:styleId="FootnoteTextChar">
    <w:name w:val="Footnote Text Char"/>
    <w:basedOn w:val="DefaultParagraphFont"/>
    <w:link w:val="FootnoteText"/>
    <w:uiPriority w:val="99"/>
    <w:semiHidden/>
    <w:locked/>
    <w:rsid w:val="0055582C"/>
    <w:rPr>
      <w:sz w:val="20"/>
      <w:szCs w:val="20"/>
    </w:rPr>
  </w:style>
  <w:style w:type="character" w:styleId="FootnoteReference">
    <w:name w:val="footnote reference"/>
    <w:basedOn w:val="DefaultParagraphFont"/>
    <w:uiPriority w:val="99"/>
    <w:semiHidden/>
    <w:rsid w:val="0015109D"/>
    <w:rPr>
      <w:vertAlign w:val="superscript"/>
    </w:rPr>
  </w:style>
  <w:style w:type="paragraph" w:styleId="NormalWeb">
    <w:name w:val="Normal (Web)"/>
    <w:basedOn w:val="Normal"/>
    <w:uiPriority w:val="99"/>
    <w:rsid w:val="0015109D"/>
    <w:pPr>
      <w:spacing w:before="100" w:beforeAutospacing="1" w:after="100" w:afterAutospacing="1"/>
    </w:pPr>
  </w:style>
  <w:style w:type="paragraph" w:styleId="BalloonText">
    <w:name w:val="Balloon Text"/>
    <w:basedOn w:val="Normal"/>
    <w:link w:val="BalloonTextChar"/>
    <w:uiPriority w:val="99"/>
    <w:semiHidden/>
    <w:rsid w:val="006B3D0B"/>
    <w:rPr>
      <w:rFonts w:ascii="Tahoma" w:hAnsi="Tahoma" w:cs="Tahoma"/>
      <w:sz w:val="16"/>
      <w:szCs w:val="16"/>
    </w:rPr>
  </w:style>
  <w:style w:type="character" w:customStyle="1" w:styleId="BalloonTextChar">
    <w:name w:val="Balloon Text Char"/>
    <w:basedOn w:val="DefaultParagraphFont"/>
    <w:link w:val="BalloonText"/>
    <w:uiPriority w:val="99"/>
    <w:locked/>
    <w:rsid w:val="006B3D0B"/>
    <w:rPr>
      <w:rFonts w:ascii="Tahoma" w:hAnsi="Tahoma" w:cs="Tahoma"/>
      <w:sz w:val="16"/>
      <w:szCs w:val="16"/>
    </w:rPr>
  </w:style>
  <w:style w:type="paragraph" w:styleId="ListParagraph">
    <w:name w:val="List Paragraph"/>
    <w:basedOn w:val="Normal"/>
    <w:uiPriority w:val="34"/>
    <w:qFormat/>
    <w:rsid w:val="009B1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inebolt@ohiopartners.org" TargetMode="External"/><Relationship Id="rId13" Type="http://schemas.openxmlformats.org/officeDocument/2006/relationships/hyperlink" Target="mailto:mpritchard@mwncmh.com" TargetMode="External"/><Relationship Id="rId18" Type="http://schemas.openxmlformats.org/officeDocument/2006/relationships/hyperlink" Target="mailto:bojko@carpenterlipps.com" TargetMode="External"/><Relationship Id="rId3" Type="http://schemas.openxmlformats.org/officeDocument/2006/relationships/styles" Target="styles.xml"/><Relationship Id="rId21" Type="http://schemas.openxmlformats.org/officeDocument/2006/relationships/hyperlink" Target="mailto:swilliams@nrdc.org" TargetMode="External"/><Relationship Id="rId7" Type="http://schemas.openxmlformats.org/officeDocument/2006/relationships/endnotes" Target="endnotes.xml"/><Relationship Id="rId12" Type="http://schemas.openxmlformats.org/officeDocument/2006/relationships/hyperlink" Target="mailto:elizabeth.watts@duke-energy.com" TargetMode="External"/><Relationship Id="rId17" Type="http://schemas.openxmlformats.org/officeDocument/2006/relationships/hyperlink" Target="mailto:Michael.schuler@occ.ohio.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boehm@bkllawfirm.com" TargetMode="External"/><Relationship Id="rId20" Type="http://schemas.openxmlformats.org/officeDocument/2006/relationships/hyperlink" Target="mailto:TDougherty@theO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spiller@duke-energ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yle.kern@occ.ohio.gov" TargetMode="External"/><Relationship Id="rId23" Type="http://schemas.openxmlformats.org/officeDocument/2006/relationships/footer" Target="footer1.xml"/><Relationship Id="rId10" Type="http://schemas.openxmlformats.org/officeDocument/2006/relationships/hyperlink" Target="mailto:William.Wright@puc.state.oh.us" TargetMode="External"/><Relationship Id="rId19" Type="http://schemas.openxmlformats.org/officeDocument/2006/relationships/hyperlink" Target="mailto:asonderman@keglerbrown.com" TargetMode="External"/><Relationship Id="rId4" Type="http://schemas.openxmlformats.org/officeDocument/2006/relationships/settings" Target="settings.xml"/><Relationship Id="rId9" Type="http://schemas.openxmlformats.org/officeDocument/2006/relationships/hyperlink" Target="mailto:cmooney@ohiopartners.org" TargetMode="External"/><Relationship Id="rId14" Type="http://schemas.openxmlformats.org/officeDocument/2006/relationships/hyperlink" Target="mailto:Hussey@carpenterlipps.com" TargetMode="External"/><Relationship Id="rId22" Type="http://schemas.openxmlformats.org/officeDocument/2006/relationships/hyperlink" Target="mailto:jvickers@el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B8850-62F1-45D3-95B1-29ED3727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BEFORE</vt:lpstr>
    </vt:vector>
  </TitlesOfParts>
  <Company>Toshiba</Company>
  <LinksUpToDate>false</LinksUpToDate>
  <CharactersWithSpaces>17299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Colleen</dc:creator>
  <cp:keywords/>
  <dc:description/>
  <cp:lastModifiedBy>Dave Rinebolt</cp:lastModifiedBy>
  <cp:revision>5</cp:revision>
  <dcterms:created xsi:type="dcterms:W3CDTF">2015-09-08T18:03:00Z</dcterms:created>
  <dcterms:modified xsi:type="dcterms:W3CDTF">2015-09-08T20:34:00Z</dcterms:modified>
</cp:coreProperties>
</file>