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FD2" w:rsidRDefault="000C2FD2">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0C2FD2" w:rsidRDefault="000C2FD2">
      <w:pPr>
        <w:pStyle w:val="HTMLPreformatted"/>
        <w:jc w:val="center"/>
        <w:rPr>
          <w:rFonts w:ascii="Times New Roman" w:hAnsi="Times New Roman"/>
          <w:sz w:val="24"/>
        </w:rPr>
      </w:pPr>
      <w:r>
        <w:rPr>
          <w:rFonts w:ascii="Times New Roman" w:hAnsi="Times New Roman"/>
          <w:b/>
          <w:bCs/>
          <w:sz w:val="24"/>
        </w:rPr>
        <w:t>THE PUBLIC UTILITIES COMMISSION OF OHIO</w:t>
      </w:r>
    </w:p>
    <w:p w:rsidR="000C2FD2" w:rsidRDefault="000C2FD2">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0C2FD2">
        <w:trPr>
          <w:trHeight w:val="807"/>
        </w:trPr>
        <w:tc>
          <w:tcPr>
            <w:tcW w:w="4332" w:type="dxa"/>
            <w:shd w:val="clear" w:color="auto" w:fill="auto"/>
          </w:tcPr>
          <w:p w:rsidR="000C2FD2" w:rsidRPr="00546A10" w:rsidRDefault="0002591D" w:rsidP="00D706DE">
            <w:pPr>
              <w:pStyle w:val="HTMLPreformatted"/>
              <w:rPr>
                <w:rFonts w:ascii="Times New Roman" w:hAnsi="Times New Roman" w:cs="Courier New"/>
                <w:sz w:val="24"/>
                <w:szCs w:val="24"/>
              </w:rPr>
            </w:pPr>
            <w:r w:rsidRPr="00546A10">
              <w:rPr>
                <w:rFonts w:ascii="Times New Roman" w:hAnsi="Times New Roman"/>
                <w:sz w:val="24"/>
                <w:szCs w:val="24"/>
              </w:rPr>
              <w:t xml:space="preserve">In the </w:t>
            </w:r>
            <w:r w:rsidR="00485A40" w:rsidRPr="00546A10">
              <w:rPr>
                <w:rFonts w:ascii="Times New Roman" w:hAnsi="Times New Roman"/>
                <w:sz w:val="24"/>
                <w:szCs w:val="24"/>
              </w:rPr>
              <w:t>M</w:t>
            </w:r>
            <w:r w:rsidRPr="00546A10">
              <w:rPr>
                <w:rFonts w:ascii="Times New Roman" w:hAnsi="Times New Roman"/>
                <w:sz w:val="24"/>
                <w:szCs w:val="24"/>
              </w:rPr>
              <w:t xml:space="preserve">atter of the </w:t>
            </w:r>
            <w:r w:rsidR="00D706DE" w:rsidRPr="00546A10">
              <w:rPr>
                <w:rFonts w:ascii="Times New Roman" w:hAnsi="Times New Roman"/>
                <w:sz w:val="24"/>
                <w:szCs w:val="24"/>
              </w:rPr>
              <w:t>Commission’s Review of Customer Rate Impacts from Ohio Power Company’s Transition to Market Based Rates</w:t>
            </w:r>
            <w:r w:rsidR="00B45159" w:rsidRPr="00546A10">
              <w:rPr>
                <w:rFonts w:ascii="Times New Roman" w:hAnsi="Times New Roman"/>
                <w:sz w:val="24"/>
                <w:szCs w:val="24"/>
              </w:rPr>
              <w:t>.</w:t>
            </w:r>
            <w:r w:rsidR="000C2FD2" w:rsidRPr="00546A10">
              <w:rPr>
                <w:rFonts w:ascii="Times New Roman" w:hAnsi="Times New Roman"/>
                <w:sz w:val="24"/>
                <w:szCs w:val="24"/>
              </w:rPr>
              <w:t xml:space="preserve"> </w:t>
            </w:r>
          </w:p>
        </w:tc>
        <w:tc>
          <w:tcPr>
            <w:tcW w:w="360" w:type="dxa"/>
            <w:shd w:val="clear" w:color="auto" w:fill="auto"/>
          </w:tcPr>
          <w:p w:rsidR="000C2FD2" w:rsidRPr="00546A10" w:rsidRDefault="000C2FD2">
            <w:pPr>
              <w:pStyle w:val="HTMLPreformatted"/>
              <w:rPr>
                <w:rFonts w:ascii="Times New Roman" w:hAnsi="Times New Roman" w:cs="Courier New"/>
                <w:sz w:val="24"/>
              </w:rPr>
            </w:pPr>
            <w:r w:rsidRPr="00546A10">
              <w:rPr>
                <w:rFonts w:ascii="Times New Roman" w:hAnsi="Times New Roman" w:cs="Courier New"/>
                <w:sz w:val="24"/>
              </w:rPr>
              <w:t>)</w:t>
            </w:r>
          </w:p>
          <w:p w:rsidR="000C2FD2" w:rsidRPr="00546A10" w:rsidRDefault="000C2FD2">
            <w:pPr>
              <w:pStyle w:val="HTMLPreformatted"/>
              <w:rPr>
                <w:rFonts w:ascii="Times New Roman" w:hAnsi="Times New Roman" w:cs="Courier New"/>
                <w:sz w:val="24"/>
              </w:rPr>
            </w:pPr>
            <w:r w:rsidRPr="00546A10">
              <w:rPr>
                <w:rFonts w:ascii="Times New Roman" w:hAnsi="Times New Roman" w:cs="Courier New"/>
                <w:sz w:val="24"/>
              </w:rPr>
              <w:t>)</w:t>
            </w:r>
          </w:p>
          <w:p w:rsidR="000C2FD2" w:rsidRPr="00546A10" w:rsidRDefault="000C2FD2">
            <w:pPr>
              <w:pStyle w:val="HTMLPreformatted"/>
              <w:rPr>
                <w:rFonts w:ascii="Times New Roman" w:hAnsi="Times New Roman" w:cs="Courier New"/>
                <w:sz w:val="24"/>
              </w:rPr>
            </w:pPr>
            <w:r w:rsidRPr="00546A10">
              <w:rPr>
                <w:rFonts w:ascii="Times New Roman" w:hAnsi="Times New Roman" w:cs="Courier New"/>
                <w:sz w:val="24"/>
              </w:rPr>
              <w:t>)</w:t>
            </w:r>
          </w:p>
          <w:p w:rsidR="00D706DE" w:rsidRPr="00546A10" w:rsidRDefault="00D706DE">
            <w:pPr>
              <w:pStyle w:val="HTMLPreformatted"/>
              <w:rPr>
                <w:rFonts w:ascii="Times New Roman" w:hAnsi="Times New Roman" w:cs="Courier New"/>
                <w:sz w:val="24"/>
              </w:rPr>
            </w:pPr>
            <w:r w:rsidRPr="00546A10">
              <w:rPr>
                <w:rFonts w:ascii="Times New Roman" w:hAnsi="Times New Roman" w:cs="Courier New"/>
                <w:sz w:val="24"/>
              </w:rPr>
              <w:t>)</w:t>
            </w:r>
          </w:p>
        </w:tc>
        <w:tc>
          <w:tcPr>
            <w:tcW w:w="4400" w:type="dxa"/>
            <w:shd w:val="clear" w:color="auto" w:fill="auto"/>
          </w:tcPr>
          <w:p w:rsidR="000C2FD2" w:rsidRPr="00546A10" w:rsidRDefault="000C2FD2">
            <w:pPr>
              <w:pStyle w:val="HTMLPreformatted"/>
              <w:rPr>
                <w:rFonts w:ascii="Times New Roman" w:hAnsi="Times New Roman" w:cs="Courier New"/>
                <w:sz w:val="24"/>
              </w:rPr>
            </w:pPr>
          </w:p>
          <w:p w:rsidR="000C2FD2" w:rsidRPr="00546A10" w:rsidRDefault="000C2FD2">
            <w:pPr>
              <w:pStyle w:val="HTMLPreformatted"/>
              <w:rPr>
                <w:rFonts w:ascii="Times New Roman" w:hAnsi="Times New Roman" w:cs="Courier New"/>
                <w:sz w:val="24"/>
              </w:rPr>
            </w:pPr>
            <w:r w:rsidRPr="00546A10">
              <w:rPr>
                <w:rFonts w:ascii="Times New Roman" w:hAnsi="Times New Roman" w:cs="Courier New"/>
                <w:sz w:val="24"/>
              </w:rPr>
              <w:t xml:space="preserve">Case No. </w:t>
            </w:r>
            <w:r w:rsidR="0002591D" w:rsidRPr="00546A10">
              <w:rPr>
                <w:rFonts w:ascii="Times New Roman" w:hAnsi="Times New Roman" w:cs="Courier New"/>
                <w:sz w:val="24"/>
              </w:rPr>
              <w:t>13-</w:t>
            </w:r>
            <w:r w:rsidR="00D706DE" w:rsidRPr="00546A10">
              <w:rPr>
                <w:rFonts w:ascii="Times New Roman" w:hAnsi="Times New Roman" w:cs="Courier New"/>
                <w:sz w:val="24"/>
              </w:rPr>
              <w:t>1530</w:t>
            </w:r>
            <w:r w:rsidR="0002591D" w:rsidRPr="00546A10">
              <w:rPr>
                <w:rFonts w:ascii="Times New Roman" w:hAnsi="Times New Roman" w:cs="Courier New"/>
                <w:sz w:val="24"/>
              </w:rPr>
              <w:t>-EL-</w:t>
            </w:r>
            <w:r w:rsidR="00D706DE" w:rsidRPr="00546A10">
              <w:rPr>
                <w:rFonts w:ascii="Times New Roman" w:hAnsi="Times New Roman" w:cs="Courier New"/>
                <w:sz w:val="24"/>
              </w:rPr>
              <w:t>UNC</w:t>
            </w:r>
          </w:p>
          <w:p w:rsidR="000C2FD2" w:rsidRPr="00546A10" w:rsidRDefault="000C2FD2">
            <w:pPr>
              <w:pStyle w:val="HTMLPreformatted"/>
              <w:rPr>
                <w:rFonts w:ascii="Times New Roman" w:hAnsi="Times New Roman" w:cs="Courier New"/>
                <w:sz w:val="24"/>
              </w:rPr>
            </w:pPr>
          </w:p>
        </w:tc>
      </w:tr>
    </w:tbl>
    <w:p w:rsidR="008C2387" w:rsidRDefault="008C2387">
      <w:pPr>
        <w:pStyle w:val="HTMLPreformatted"/>
        <w:rPr>
          <w:rFonts w:ascii="Times New Roman" w:hAnsi="Times New Roman"/>
          <w:sz w:val="24"/>
        </w:rPr>
      </w:pPr>
    </w:p>
    <w:p w:rsidR="000C2FD2" w:rsidRDefault="000C2FD2">
      <w:pPr>
        <w:pStyle w:val="HTMLPreformatted"/>
        <w:pBdr>
          <w:top w:val="single" w:sz="12" w:space="1" w:color="auto"/>
        </w:pBdr>
        <w:rPr>
          <w:rFonts w:ascii="Times New Roman" w:hAnsi="Times New Roman"/>
          <w:sz w:val="24"/>
        </w:rPr>
      </w:pPr>
    </w:p>
    <w:p w:rsidR="000C2FD2" w:rsidRDefault="000B0914" w:rsidP="00A13486">
      <w:pPr>
        <w:jc w:val="center"/>
        <w:rPr>
          <w:b/>
          <w:bCs/>
        </w:rPr>
      </w:pPr>
      <w:r>
        <w:rPr>
          <w:b/>
          <w:bCs/>
        </w:rPr>
        <w:t xml:space="preserve">REPLY </w:t>
      </w:r>
      <w:r w:rsidR="00CC735D">
        <w:rPr>
          <w:b/>
          <w:bCs/>
        </w:rPr>
        <w:t>COMMENTS</w:t>
      </w:r>
    </w:p>
    <w:p w:rsidR="00A13486" w:rsidRDefault="00A13486" w:rsidP="00A13486">
      <w:pPr>
        <w:jc w:val="center"/>
        <w:rPr>
          <w:b/>
          <w:bCs/>
        </w:rPr>
      </w:pPr>
      <w:r>
        <w:rPr>
          <w:b/>
          <w:bCs/>
        </w:rPr>
        <w:t>BY</w:t>
      </w:r>
    </w:p>
    <w:p w:rsidR="000C2FD2" w:rsidRDefault="000C2FD2" w:rsidP="00A13486">
      <w:pPr>
        <w:jc w:val="center"/>
        <w:rPr>
          <w:b/>
          <w:bCs/>
        </w:rPr>
      </w:pPr>
      <w:r>
        <w:rPr>
          <w:b/>
          <w:bCs/>
        </w:rPr>
        <w:t>THE OFFICE OF THE OHIO CONSUMERS’ COUNSEL</w:t>
      </w:r>
    </w:p>
    <w:p w:rsidR="000C2FD2" w:rsidRDefault="000C2FD2">
      <w:pPr>
        <w:pBdr>
          <w:bottom w:val="single" w:sz="12" w:space="1" w:color="auto"/>
        </w:pBdr>
        <w:tabs>
          <w:tab w:val="left" w:pos="4320"/>
        </w:tabs>
      </w:pPr>
    </w:p>
    <w:p w:rsidR="000C2FD2" w:rsidRDefault="000C2FD2">
      <w:pPr>
        <w:tabs>
          <w:tab w:val="left" w:pos="4320"/>
        </w:tabs>
      </w:pPr>
    </w:p>
    <w:p w:rsidR="00167FCD" w:rsidRPr="00167FCD" w:rsidRDefault="00167FCD" w:rsidP="00A13486">
      <w:pPr>
        <w:pStyle w:val="Heading1"/>
      </w:pPr>
      <w:r>
        <w:t>I.</w:t>
      </w:r>
      <w:r>
        <w:tab/>
        <w:t>INTRODUCTION</w:t>
      </w:r>
    </w:p>
    <w:p w:rsidR="000B4C55" w:rsidRDefault="000B0914" w:rsidP="00211283">
      <w:pPr>
        <w:pStyle w:val="BodyTextIndent3"/>
        <w:widowControl w:val="0"/>
        <w:spacing w:line="480" w:lineRule="auto"/>
        <w:ind w:right="-24"/>
      </w:pPr>
      <w:r>
        <w:t>On August 12</w:t>
      </w:r>
      <w:r w:rsidR="00980D44">
        <w:t xml:space="preserve">, 2013, </w:t>
      </w:r>
      <w:r>
        <w:t>several parties</w:t>
      </w:r>
      <w:r w:rsidR="00A5019A">
        <w:t xml:space="preserve"> </w:t>
      </w:r>
      <w:r>
        <w:t xml:space="preserve">submitted </w:t>
      </w:r>
      <w:r w:rsidR="0095650D">
        <w:t>c</w:t>
      </w:r>
      <w:r>
        <w:t>omments</w:t>
      </w:r>
      <w:r w:rsidR="00A5019A">
        <w:t xml:space="preserve"> regarding how the </w:t>
      </w:r>
      <w:r w:rsidR="000444FC">
        <w:rPr>
          <w:szCs w:val="24"/>
        </w:rPr>
        <w:t xml:space="preserve">Public Utilities Commission of Ohio (“PUCO”) </w:t>
      </w:r>
      <w:r w:rsidR="00A5019A">
        <w:t xml:space="preserve">should determine the rates that Ohio Power Company (“AEP Ohio” or “Utility”) will charge </w:t>
      </w:r>
      <w:r w:rsidR="00DB269A">
        <w:t xml:space="preserve">to customers as payment for </w:t>
      </w:r>
      <w:r w:rsidR="00CC74D9">
        <w:t>the Utility’s</w:t>
      </w:r>
      <w:r w:rsidR="00A5019A">
        <w:t xml:space="preserve"> cost of acquiring the electricity</w:t>
      </w:r>
      <w:r w:rsidR="00DB269A">
        <w:t xml:space="preserve"> that it offers to those customers</w:t>
      </w:r>
      <w:r w:rsidR="00A5019A">
        <w:t xml:space="preserve">. </w:t>
      </w:r>
      <w:r>
        <w:t xml:space="preserve"> </w:t>
      </w:r>
      <w:r w:rsidR="00D00C26">
        <w:t xml:space="preserve">In its </w:t>
      </w:r>
      <w:r w:rsidR="00640CEA">
        <w:t>Comments</w:t>
      </w:r>
      <w:r w:rsidR="00D00C26">
        <w:t>,</w:t>
      </w:r>
      <w:r w:rsidR="00640CEA">
        <w:t xml:space="preserve"> </w:t>
      </w:r>
      <w:r w:rsidR="0095650D">
        <w:t>AEP Ohio</w:t>
      </w:r>
      <w:r w:rsidR="00D00C26">
        <w:t xml:space="preserve"> </w:t>
      </w:r>
      <w:r w:rsidR="002D3BDF">
        <w:t>contend</w:t>
      </w:r>
      <w:r w:rsidR="00D00C26">
        <w:t>s</w:t>
      </w:r>
      <w:r w:rsidR="002D3BDF">
        <w:t xml:space="preserve"> that the scope of this proceeding is limited to the design of </w:t>
      </w:r>
      <w:r w:rsidR="00C46773">
        <w:t xml:space="preserve">customers’ </w:t>
      </w:r>
      <w:r w:rsidR="002D3BDF">
        <w:t>rates for AEP Ohio’s energy-only auctions during the current ESP period – through May 31, 2015.</w:t>
      </w:r>
      <w:r w:rsidR="00D45344">
        <w:rPr>
          <w:rStyle w:val="FootnoteReference"/>
        </w:rPr>
        <w:footnoteReference w:id="1"/>
      </w:r>
      <w:r w:rsidR="000B4C55">
        <w:t xml:space="preserve">  </w:t>
      </w:r>
      <w:r w:rsidR="00C46773">
        <w:t>According to AEP Ohio</w:t>
      </w:r>
      <w:r w:rsidR="00D00C26">
        <w:t>,</w:t>
      </w:r>
      <w:r w:rsidR="00C46773">
        <w:t xml:space="preserve"> t</w:t>
      </w:r>
      <w:r w:rsidR="000B4C55">
        <w:t xml:space="preserve">he PUCO </w:t>
      </w:r>
      <w:r w:rsidR="00C46773">
        <w:t>can</w:t>
      </w:r>
      <w:r w:rsidR="000B4C55">
        <w:t>not address adverse rate impacts</w:t>
      </w:r>
      <w:r w:rsidR="00D00C26">
        <w:t xml:space="preserve"> for customers</w:t>
      </w:r>
      <w:r w:rsidR="000B4C55">
        <w:t xml:space="preserve"> that may result from the 100% combined energy and capacity auctions for service commencing on June 1, 2015.</w:t>
      </w:r>
      <w:r w:rsidR="00D45344">
        <w:rPr>
          <w:rStyle w:val="FootnoteReference"/>
        </w:rPr>
        <w:footnoteReference w:id="2"/>
      </w:r>
      <w:r w:rsidR="002D3BDF">
        <w:t xml:space="preserve">  AEP Ohio also argues that </w:t>
      </w:r>
      <w:r w:rsidR="000B4C55">
        <w:t>the 12% cap on rate increases to any customer</w:t>
      </w:r>
      <w:r w:rsidR="00054611">
        <w:t xml:space="preserve">, that the PUCO </w:t>
      </w:r>
      <w:r w:rsidR="000B4C55">
        <w:t>established in AEP Ohio’s E</w:t>
      </w:r>
      <w:r w:rsidR="00C46773">
        <w:t xml:space="preserve">lectric </w:t>
      </w:r>
      <w:r w:rsidR="000B4C55">
        <w:t>S</w:t>
      </w:r>
      <w:r w:rsidR="00C46773">
        <w:t xml:space="preserve">ecurity </w:t>
      </w:r>
      <w:r w:rsidR="000B4C55">
        <w:t>P</w:t>
      </w:r>
      <w:r w:rsidR="00C46773">
        <w:t>lan (“ESP”)</w:t>
      </w:r>
      <w:r w:rsidR="000B4C55">
        <w:t xml:space="preserve"> proceeding</w:t>
      </w:r>
      <w:r w:rsidR="00054611">
        <w:t>,</w:t>
      </w:r>
      <w:r w:rsidR="000B4C55">
        <w:t xml:space="preserve"> adequate</w:t>
      </w:r>
      <w:r w:rsidR="00AE65FF">
        <w:t>ly</w:t>
      </w:r>
      <w:r w:rsidR="000B4C55">
        <w:t xml:space="preserve"> </w:t>
      </w:r>
      <w:r w:rsidR="00AE65FF">
        <w:t xml:space="preserve">protects </w:t>
      </w:r>
      <w:r w:rsidR="000B4C55">
        <w:t xml:space="preserve">customers </w:t>
      </w:r>
      <w:r w:rsidR="00AE65FF">
        <w:t xml:space="preserve">from adverse rate impacts through the </w:t>
      </w:r>
      <w:r w:rsidR="0058304D">
        <w:t>current</w:t>
      </w:r>
      <w:r w:rsidR="00AE65FF">
        <w:t xml:space="preserve"> ESP period</w:t>
      </w:r>
      <w:r w:rsidR="0058304D">
        <w:t>.</w:t>
      </w:r>
      <w:r w:rsidR="00D45344">
        <w:rPr>
          <w:rStyle w:val="FootnoteReference"/>
        </w:rPr>
        <w:footnoteReference w:id="3"/>
      </w:r>
    </w:p>
    <w:p w:rsidR="002E2D39" w:rsidRDefault="002E2D39">
      <w:r>
        <w:br w:type="page"/>
      </w:r>
    </w:p>
    <w:p w:rsidR="00E45751" w:rsidRDefault="000B4C55" w:rsidP="00211283">
      <w:pPr>
        <w:pStyle w:val="BodyTextIndent3"/>
        <w:widowControl w:val="0"/>
        <w:spacing w:line="480" w:lineRule="auto"/>
        <w:ind w:right="-24"/>
      </w:pPr>
      <w:r>
        <w:lastRenderedPageBreak/>
        <w:t xml:space="preserve">While AEP Ohio seeks to limit the scope of this proceeding, </w:t>
      </w:r>
      <w:r w:rsidR="00640CEA">
        <w:t xml:space="preserve">Interstate Gas Supply </w:t>
      </w:r>
      <w:r w:rsidR="002D3BDF">
        <w:t>(“IGS”)</w:t>
      </w:r>
      <w:r>
        <w:t xml:space="preserve"> </w:t>
      </w:r>
      <w:r w:rsidR="00E45751">
        <w:t xml:space="preserve">would have the PUCO </w:t>
      </w:r>
      <w:r w:rsidR="00054611">
        <w:t xml:space="preserve">dramatically expand the scope of the proceeding to </w:t>
      </w:r>
      <w:r w:rsidR="0083434A">
        <w:t xml:space="preserve">revisit how </w:t>
      </w:r>
      <w:r w:rsidR="00C46773">
        <w:t xml:space="preserve">the </w:t>
      </w:r>
      <w:r w:rsidR="0083434A">
        <w:t>S</w:t>
      </w:r>
      <w:r w:rsidR="00C46773">
        <w:t xml:space="preserve">tandard </w:t>
      </w:r>
      <w:r w:rsidR="0083434A">
        <w:t>S</w:t>
      </w:r>
      <w:r w:rsidR="00C46773">
        <w:t xml:space="preserve">ervice </w:t>
      </w:r>
      <w:r w:rsidR="0083434A">
        <w:t>O</w:t>
      </w:r>
      <w:r w:rsidR="00C46773">
        <w:t>ffer</w:t>
      </w:r>
      <w:r w:rsidR="0083434A">
        <w:t xml:space="preserve"> is</w:t>
      </w:r>
      <w:r w:rsidR="00054611">
        <w:t xml:space="preserve"> determined.  IGS</w:t>
      </w:r>
      <w:r w:rsidR="00583E70">
        <w:t xml:space="preserve"> contend</w:t>
      </w:r>
      <w:r w:rsidR="00054611">
        <w:t>s</w:t>
      </w:r>
      <w:r w:rsidR="00583E70">
        <w:t xml:space="preserve"> that the PUCO should implement a retail auction</w:t>
      </w:r>
      <w:r w:rsidR="00E45751">
        <w:t>.</w:t>
      </w:r>
      <w:r w:rsidR="00D45344">
        <w:rPr>
          <w:rStyle w:val="FootnoteReference"/>
        </w:rPr>
        <w:footnoteReference w:id="4"/>
      </w:r>
    </w:p>
    <w:p w:rsidR="009A2F6E" w:rsidRDefault="0083434A" w:rsidP="00211283">
      <w:pPr>
        <w:pStyle w:val="BodyTextIndent3"/>
        <w:widowControl w:val="0"/>
        <w:spacing w:line="480" w:lineRule="auto"/>
        <w:ind w:right="-24"/>
      </w:pPr>
      <w:r>
        <w:t>As discussed below, t</w:t>
      </w:r>
      <w:r w:rsidR="00E45751">
        <w:t xml:space="preserve">he </w:t>
      </w:r>
      <w:r>
        <w:t xml:space="preserve">PUCO </w:t>
      </w:r>
      <w:r w:rsidR="00C46773">
        <w:t xml:space="preserve">is </w:t>
      </w:r>
      <w:r w:rsidR="00D45344">
        <w:t xml:space="preserve">not </w:t>
      </w:r>
      <w:r w:rsidR="00E45751">
        <w:t>limit</w:t>
      </w:r>
      <w:r w:rsidR="00C46773">
        <w:t>ed</w:t>
      </w:r>
      <w:r w:rsidR="00E45751">
        <w:t xml:space="preserve"> </w:t>
      </w:r>
      <w:r w:rsidR="00C46773">
        <w:t xml:space="preserve">in </w:t>
      </w:r>
      <w:r w:rsidR="00E45751">
        <w:t xml:space="preserve">this proceeding </w:t>
      </w:r>
      <w:r>
        <w:t xml:space="preserve">to the design of </w:t>
      </w:r>
      <w:r w:rsidR="00C46773">
        <w:t xml:space="preserve">customers’ </w:t>
      </w:r>
      <w:r>
        <w:t>rates for the energy-only auctions or to address</w:t>
      </w:r>
      <w:r w:rsidR="00D45344">
        <w:t>ing</w:t>
      </w:r>
      <w:r>
        <w:t xml:space="preserve"> adverse rate impacts entirely through the 12% cap on rate increases to customers.  </w:t>
      </w:r>
      <w:r w:rsidR="00D45344">
        <w:t>However, t</w:t>
      </w:r>
      <w:r>
        <w:t>his proceeding</w:t>
      </w:r>
      <w:r w:rsidR="00054611">
        <w:t xml:space="preserve"> is not an appropriate forum</w:t>
      </w:r>
      <w:r>
        <w:t xml:space="preserve"> </w:t>
      </w:r>
      <w:r w:rsidR="00054611">
        <w:t>for</w:t>
      </w:r>
      <w:r>
        <w:t xml:space="preserve"> revisit</w:t>
      </w:r>
      <w:r w:rsidR="00054611">
        <w:t>ing</w:t>
      </w:r>
      <w:r>
        <w:t xml:space="preserve"> how</w:t>
      </w:r>
      <w:r w:rsidR="00B40390">
        <w:t xml:space="preserve"> the</w:t>
      </w:r>
      <w:r>
        <w:t xml:space="preserve"> S</w:t>
      </w:r>
      <w:r w:rsidR="00054611">
        <w:t>tandard Offer</w:t>
      </w:r>
      <w:r>
        <w:t xml:space="preserve"> is provided</w:t>
      </w:r>
      <w:r w:rsidR="00054611">
        <w:t xml:space="preserve"> to customers</w:t>
      </w:r>
      <w:r>
        <w:t>.  The PUCO should reject both AEP Ohio’s and IGS’s recommendations</w:t>
      </w:r>
      <w:r w:rsidR="009A2F6E">
        <w:t xml:space="preserve">. </w:t>
      </w:r>
    </w:p>
    <w:p w:rsidR="00781887" w:rsidRDefault="009A2F6E" w:rsidP="00211283">
      <w:pPr>
        <w:pStyle w:val="BodyTextIndent3"/>
        <w:widowControl w:val="0"/>
        <w:spacing w:line="480" w:lineRule="auto"/>
        <w:ind w:right="-24"/>
      </w:pPr>
      <w:r>
        <w:t>In keeping with the true scope of this case, the PUCO should order</w:t>
      </w:r>
      <w:r w:rsidR="0083434A">
        <w:t xml:space="preserve"> AEP Ohio to submit a </w:t>
      </w:r>
      <w:r w:rsidR="00583E70">
        <w:t xml:space="preserve">specific </w:t>
      </w:r>
      <w:r w:rsidR="0083434A">
        <w:t>p</w:t>
      </w:r>
      <w:r w:rsidR="00583E70">
        <w:t>roposal</w:t>
      </w:r>
      <w:r>
        <w:t>, with</w:t>
      </w:r>
      <w:r w:rsidR="00540E49">
        <w:t xml:space="preserve"> supporting</w:t>
      </w:r>
      <w:r w:rsidR="00583E70">
        <w:t xml:space="preserve"> testimony</w:t>
      </w:r>
      <w:r w:rsidR="00540E49">
        <w:t>, for review by parties and the PUCO</w:t>
      </w:r>
      <w:r>
        <w:t xml:space="preserve">.  In that proposal, </w:t>
      </w:r>
      <w:r w:rsidR="00020CD5">
        <w:t>AEP Ohio should be required to</w:t>
      </w:r>
      <w:r w:rsidR="00583E70">
        <w:t xml:space="preserve"> address</w:t>
      </w:r>
      <w:r w:rsidR="00020CD5">
        <w:t xml:space="preserve"> the</w:t>
      </w:r>
      <w:r w:rsidR="00583E70">
        <w:t xml:space="preserve"> potential </w:t>
      </w:r>
      <w:r w:rsidR="0083434A">
        <w:t xml:space="preserve">adverse rate impacts </w:t>
      </w:r>
      <w:r w:rsidR="00B40390">
        <w:t xml:space="preserve">on customers </w:t>
      </w:r>
      <w:r w:rsidR="0083434A">
        <w:t>that may result from AEP Ohio’s energy-only and energy-and-capacity auctions</w:t>
      </w:r>
      <w:r w:rsidR="00020CD5">
        <w:t>, including adverse impacts on residential customers</w:t>
      </w:r>
      <w:r w:rsidR="0083434A">
        <w:t>.</w:t>
      </w:r>
      <w:r w:rsidR="00583E70">
        <w:t xml:space="preserve">  </w:t>
      </w:r>
    </w:p>
    <w:p w:rsidR="00781887" w:rsidRDefault="00781887" w:rsidP="00211283">
      <w:pPr>
        <w:pStyle w:val="BodyTextIndent3"/>
        <w:widowControl w:val="0"/>
        <w:spacing w:line="480" w:lineRule="auto"/>
        <w:ind w:right="-24"/>
      </w:pPr>
      <w:r>
        <w:t>FirstEnergy Solutions (“</w:t>
      </w:r>
      <w:r w:rsidR="00AE65FF">
        <w:t>FES</w:t>
      </w:r>
      <w:r>
        <w:t>”)</w:t>
      </w:r>
      <w:r w:rsidR="00AE65FF">
        <w:t xml:space="preserve"> </w:t>
      </w:r>
      <w:r>
        <w:t xml:space="preserve">has offered its own </w:t>
      </w:r>
      <w:r w:rsidR="00AE65FF">
        <w:t>rate design proposals</w:t>
      </w:r>
      <w:r>
        <w:t>. Those proposals should not be considered</w:t>
      </w:r>
      <w:r w:rsidR="00AE65FF">
        <w:t xml:space="preserve"> until after AEP Ohio has put forth its proposal in this proceeding.  </w:t>
      </w:r>
    </w:p>
    <w:p w:rsidR="0083434A" w:rsidRDefault="00781887" w:rsidP="00211283">
      <w:pPr>
        <w:pStyle w:val="BodyTextIndent3"/>
        <w:widowControl w:val="0"/>
        <w:spacing w:line="480" w:lineRule="auto"/>
        <w:ind w:right="-24"/>
      </w:pPr>
      <w:r>
        <w:t>There should be a procedural schedule established for this case.  That schedule should include: the t</w:t>
      </w:r>
      <w:r w:rsidR="00AE65FF">
        <w:t xml:space="preserve">estimony </w:t>
      </w:r>
      <w:r>
        <w:t xml:space="preserve">to be </w:t>
      </w:r>
      <w:r w:rsidR="00AE65FF">
        <w:t>filed by AEP Ohio</w:t>
      </w:r>
      <w:r>
        <w:t>;</w:t>
      </w:r>
      <w:r w:rsidR="00AE65FF">
        <w:t xml:space="preserve"> </w:t>
      </w:r>
      <w:r w:rsidR="00583E70">
        <w:t xml:space="preserve">followed by </w:t>
      </w:r>
      <w:r>
        <w:t xml:space="preserve">ample opportunities for </w:t>
      </w:r>
      <w:r w:rsidR="00AE65FF">
        <w:t>discovery</w:t>
      </w:r>
      <w:r>
        <w:t>; filing of testimony by the</w:t>
      </w:r>
      <w:r w:rsidR="00B40390">
        <w:t xml:space="preserve"> PUCO Staff and </w:t>
      </w:r>
      <w:r w:rsidR="00583E70">
        <w:t>interven</w:t>
      </w:r>
      <w:r w:rsidR="00413825">
        <w:t>o</w:t>
      </w:r>
      <w:r w:rsidR="00583E70">
        <w:t>r</w:t>
      </w:r>
      <w:r>
        <w:t xml:space="preserve">s; </w:t>
      </w:r>
      <w:r w:rsidR="00583E70">
        <w:t>hearings</w:t>
      </w:r>
      <w:r>
        <w:t>;</w:t>
      </w:r>
      <w:r w:rsidR="00583E70">
        <w:t xml:space="preserve"> and briefs for the PUCO’s consideration.</w:t>
      </w:r>
    </w:p>
    <w:p w:rsidR="003574F5" w:rsidRDefault="003574F5" w:rsidP="003574F5">
      <w:pPr>
        <w:pStyle w:val="BodyTextIndent3"/>
        <w:widowControl w:val="0"/>
        <w:spacing w:line="240" w:lineRule="auto"/>
        <w:ind w:right="-24"/>
      </w:pPr>
    </w:p>
    <w:p w:rsidR="008123E9" w:rsidRDefault="008123E9">
      <w:pPr>
        <w:rPr>
          <w:b/>
        </w:rPr>
      </w:pPr>
      <w:r>
        <w:rPr>
          <w:b/>
        </w:rPr>
        <w:br w:type="page"/>
      </w:r>
    </w:p>
    <w:p w:rsidR="00583E70" w:rsidRDefault="00583E70" w:rsidP="00583E70">
      <w:pPr>
        <w:pStyle w:val="BodyTextIndent3"/>
        <w:widowControl w:val="0"/>
        <w:spacing w:line="480" w:lineRule="auto"/>
        <w:ind w:right="-24" w:firstLine="0"/>
      </w:pPr>
      <w:r>
        <w:rPr>
          <w:b/>
        </w:rPr>
        <w:lastRenderedPageBreak/>
        <w:t>II.</w:t>
      </w:r>
      <w:r>
        <w:rPr>
          <w:b/>
        </w:rPr>
        <w:tab/>
        <w:t>REPLY COMMENTS</w:t>
      </w:r>
    </w:p>
    <w:p w:rsidR="00583E70" w:rsidRDefault="005400F5" w:rsidP="003574F5">
      <w:pPr>
        <w:pStyle w:val="Heading2"/>
      </w:pPr>
      <w:r>
        <w:t>A.</w:t>
      </w:r>
      <w:r>
        <w:tab/>
      </w:r>
      <w:r w:rsidR="00AC02F0">
        <w:t xml:space="preserve">The PUCO Should </w:t>
      </w:r>
      <w:r w:rsidR="00A04423">
        <w:t xml:space="preserve">Consider </w:t>
      </w:r>
      <w:r w:rsidR="00D45344">
        <w:t xml:space="preserve">Rate Design Proposals For Protecting Customers </w:t>
      </w:r>
      <w:r w:rsidR="00A04423">
        <w:t xml:space="preserve">As Appropriate For The Scope Of This Case And Reject </w:t>
      </w:r>
      <w:r w:rsidRPr="005400F5">
        <w:t xml:space="preserve">AEP Ohio’s Position </w:t>
      </w:r>
      <w:r w:rsidR="003574F5" w:rsidRPr="005400F5">
        <w:t>T</w:t>
      </w:r>
      <w:r w:rsidR="003574F5">
        <w:t>hat</w:t>
      </w:r>
      <w:r w:rsidR="00AC02F0">
        <w:t xml:space="preserve"> </w:t>
      </w:r>
      <w:r w:rsidR="00A04423">
        <w:t>These Important Customer Issues</w:t>
      </w:r>
      <w:r w:rsidR="00AC02F0">
        <w:t xml:space="preserve"> </w:t>
      </w:r>
      <w:r w:rsidR="00A04423">
        <w:t>Should Be Excluded</w:t>
      </w:r>
      <w:r w:rsidR="003574F5">
        <w:t>.</w:t>
      </w:r>
    </w:p>
    <w:p w:rsidR="00336D1F" w:rsidRDefault="00336D1F" w:rsidP="00336D1F">
      <w:pPr>
        <w:pStyle w:val="BodyTextIndent3"/>
        <w:widowControl w:val="0"/>
        <w:spacing w:line="480" w:lineRule="auto"/>
        <w:ind w:right="-29"/>
      </w:pPr>
      <w:r>
        <w:t>In AEP</w:t>
      </w:r>
      <w:r w:rsidR="00B40390">
        <w:t xml:space="preserve"> Ohio</w:t>
      </w:r>
      <w:r>
        <w:t xml:space="preserve">’s ESP proceeding, the PUCO </w:t>
      </w:r>
      <w:r w:rsidR="000C2A68">
        <w:t xml:space="preserve">approved a modified ESP effective through May 31, 2015.  </w:t>
      </w:r>
      <w:r w:rsidR="00B40D26">
        <w:t>T</w:t>
      </w:r>
      <w:r w:rsidR="000C2A68">
        <w:t>he ESP plan includes both a “commitment to conduct an energy auction for 100 percent of the SSO load for delivery in January 2015” and a commitment to “conduct a competitive bid procurement (CBP) process to commit to an energy and capacity auction to service its entire SSO load” by June 1, 2015.</w:t>
      </w:r>
      <w:r w:rsidR="000C2A68">
        <w:rPr>
          <w:rStyle w:val="FootnoteReference"/>
        </w:rPr>
        <w:footnoteReference w:id="5"/>
      </w:r>
      <w:r w:rsidR="000C2A68">
        <w:t xml:space="preserve">  In its Opinion and Order, the PUCO specifically adopted this plan and stated</w:t>
      </w:r>
      <w:r w:rsidR="00EE4496">
        <w:t>,</w:t>
      </w:r>
      <w:r w:rsidR="000C2A68">
        <w:t xml:space="preserve"> with respect to the June 1, 2015 energy and capacity auction, that the “dates are appropriate and should be maintained.”</w:t>
      </w:r>
      <w:r w:rsidR="00570B2E">
        <w:rPr>
          <w:rStyle w:val="FootnoteReference"/>
        </w:rPr>
        <w:footnoteReference w:id="6"/>
      </w:r>
    </w:p>
    <w:p w:rsidR="0095650D" w:rsidRDefault="002D3BDF" w:rsidP="00211283">
      <w:pPr>
        <w:pStyle w:val="BodyTextIndent3"/>
        <w:widowControl w:val="0"/>
        <w:spacing w:line="480" w:lineRule="auto"/>
        <w:ind w:right="-24"/>
      </w:pPr>
      <w:r>
        <w:t xml:space="preserve">AEP Ohio, </w:t>
      </w:r>
      <w:r w:rsidR="004C7F7E">
        <w:t>however</w:t>
      </w:r>
      <w:r>
        <w:t xml:space="preserve">, </w:t>
      </w:r>
      <w:r w:rsidR="0095650D">
        <w:t>contend</w:t>
      </w:r>
      <w:r>
        <w:t>s</w:t>
      </w:r>
      <w:r w:rsidR="0095650D">
        <w:t xml:space="preserve"> that the scope of this proceeding is limited to the design of rates for AEP Ohio’s energy-only auctions during the current ESP period – through May 31, 2015.   According to AEP Ohio, the PUCO </w:t>
      </w:r>
      <w:r w:rsidR="00B40390">
        <w:t>can</w:t>
      </w:r>
      <w:r w:rsidR="0095650D">
        <w:t>not</w:t>
      </w:r>
      <w:r w:rsidR="00EF01DA">
        <w:t xml:space="preserve"> act to protect customers by</w:t>
      </w:r>
      <w:r w:rsidR="0095650D">
        <w:t xml:space="preserve"> address</w:t>
      </w:r>
      <w:r w:rsidR="00EF01DA">
        <w:t>ing</w:t>
      </w:r>
      <w:r w:rsidR="0095650D">
        <w:t xml:space="preserve"> the design of rates for the 100% combined energy and capacity auctions </w:t>
      </w:r>
      <w:r w:rsidR="00B40390">
        <w:t xml:space="preserve">for service </w:t>
      </w:r>
      <w:r w:rsidR="0095650D">
        <w:t>commenc</w:t>
      </w:r>
      <w:r w:rsidR="00EF01DA">
        <w:t>ing</w:t>
      </w:r>
      <w:r w:rsidR="0095650D">
        <w:t xml:space="preserve"> on June 1, 2015.</w:t>
      </w:r>
    </w:p>
    <w:p w:rsidR="00640CEA" w:rsidRDefault="00570B2E" w:rsidP="00211283">
      <w:pPr>
        <w:pStyle w:val="BodyTextIndent3"/>
        <w:widowControl w:val="0"/>
        <w:spacing w:line="480" w:lineRule="auto"/>
        <w:ind w:right="-24"/>
      </w:pPr>
      <w:r>
        <w:t xml:space="preserve">In its Comments, AEP Ohio </w:t>
      </w:r>
      <w:r w:rsidR="00156C2C">
        <w:t>states that “the inquiry here can only relate to the current ESP term and cannot relate to the SSO plan that will commence in June of 2015, which itself will establish rates going forward from that date.”</w:t>
      </w:r>
      <w:r w:rsidR="00156C2C">
        <w:rPr>
          <w:rStyle w:val="FootnoteReference"/>
        </w:rPr>
        <w:footnoteReference w:id="7"/>
      </w:r>
      <w:r w:rsidR="00156C2C">
        <w:t xml:space="preserve">  AEP Ohio thus argues </w:t>
      </w:r>
      <w:r w:rsidR="00156C2C">
        <w:lastRenderedPageBreak/>
        <w:t>that the PUCO should not discuss rate impacts</w:t>
      </w:r>
      <w:r w:rsidR="00F71733">
        <w:t xml:space="preserve"> on its </w:t>
      </w:r>
      <w:r w:rsidR="00ED0A70">
        <w:t>1.46</w:t>
      </w:r>
      <w:r w:rsidR="00F71733">
        <w:t xml:space="preserve"> million customers,</w:t>
      </w:r>
      <w:r w:rsidR="00156C2C">
        <w:t xml:space="preserve"> </w:t>
      </w:r>
      <w:r w:rsidR="00F71733">
        <w:t>for their service</w:t>
      </w:r>
      <w:r w:rsidR="00156C2C">
        <w:t xml:space="preserve"> commencing on June 1, 2015.</w:t>
      </w:r>
      <w:r w:rsidR="00156C2C">
        <w:rPr>
          <w:rStyle w:val="FootnoteReference"/>
        </w:rPr>
        <w:footnoteReference w:id="8"/>
      </w:r>
    </w:p>
    <w:p w:rsidR="00AB644A" w:rsidRDefault="00156C2C" w:rsidP="00211283">
      <w:pPr>
        <w:pStyle w:val="BodyTextIndent3"/>
        <w:widowControl w:val="0"/>
        <w:spacing w:line="480" w:lineRule="auto"/>
        <w:ind w:right="-24"/>
      </w:pPr>
      <w:r>
        <w:t>AEP Ohio</w:t>
      </w:r>
      <w:r w:rsidR="00F51C3B">
        <w:t>’s</w:t>
      </w:r>
      <w:r>
        <w:t xml:space="preserve"> position</w:t>
      </w:r>
      <w:r w:rsidR="00F000BB">
        <w:t xml:space="preserve"> against customer protection is wrong</w:t>
      </w:r>
      <w:r>
        <w:t xml:space="preserve">.  Although the rates established in the ESP proceeding are rates that will be effective through May 31, 2015, they represent a transition to 100% competitive bid auction rates that will commence the day after this ESP period ends.  </w:t>
      </w:r>
      <w:r w:rsidR="002E2D39">
        <w:t>In its ESP Order, the PUCO stated that this proceeding was being opened to “consider means to mitigate any potential adverse rate impacts for customers upon rates being set by auction.”</w:t>
      </w:r>
      <w:r w:rsidR="002E2D39">
        <w:rPr>
          <w:rStyle w:val="FootnoteReference"/>
        </w:rPr>
        <w:footnoteReference w:id="9"/>
      </w:r>
      <w:r w:rsidR="002E2D39">
        <w:t xml:space="preserve">  The PUCO did not indicate that this proceeding was intended to address adverse rate impacts from the energy-only auctions.  Consequently, it must be presumed the PUCO meant to address both energy-only and energy and capacity auctions in this proceeding.  Moreover, i</w:t>
      </w:r>
      <w:r>
        <w:t>t is essential in evaluating the best means to moderate customer impacts during this transition period to consider the end-point of the transition.  Thus, AEP Ohio’s contention</w:t>
      </w:r>
      <w:r w:rsidR="008810E3">
        <w:t>--</w:t>
      </w:r>
      <w:r>
        <w:t>that the PUCO should not evaluate customer rate impacts that will occur the day after this ESP plan is completed</w:t>
      </w:r>
      <w:r w:rsidR="002E2D39">
        <w:t xml:space="preserve"> - is contrary to the PUCO’s Order and </w:t>
      </w:r>
      <w:r w:rsidR="00AB644A">
        <w:t>would undermine the goal of this proceeding to transition to rates that will be effective June 1, 2015.</w:t>
      </w:r>
    </w:p>
    <w:p w:rsidR="00156C2C" w:rsidRDefault="002E2D39" w:rsidP="00211283">
      <w:pPr>
        <w:pStyle w:val="BodyTextIndent3"/>
        <w:widowControl w:val="0"/>
        <w:spacing w:line="480" w:lineRule="auto"/>
        <w:ind w:right="-24"/>
      </w:pPr>
      <w:r>
        <w:t>Finally</w:t>
      </w:r>
      <w:r w:rsidR="00AB644A">
        <w:t>, AEP Ohio’s commitment to establish fully competitive energy and capacity auction rates effective June 1, 2015</w:t>
      </w:r>
      <w:r w:rsidR="004208B9">
        <w:t>,</w:t>
      </w:r>
      <w:r w:rsidR="00AB644A">
        <w:t xml:space="preserve"> makes the end-point of this transition one which is certain.</w:t>
      </w:r>
      <w:r w:rsidR="00A76646">
        <w:rPr>
          <w:rStyle w:val="FootnoteReference"/>
        </w:rPr>
        <w:footnoteReference w:id="10"/>
      </w:r>
      <w:r w:rsidR="00AB644A">
        <w:t xml:space="preserve">  While the precise design of the energy and capacity auction will not be known until the PUCO approves such an auction, </w:t>
      </w:r>
      <w:r w:rsidR="00A76646">
        <w:t xml:space="preserve">the PUCO can moderate the customer impacts that will occur at that time by considering in this proceeding the likely design of customer SSO rates resulting from the 100% capacity and energy auction rates.  With </w:t>
      </w:r>
      <w:r w:rsidR="00AB644A">
        <w:t>AEP Ohio’s input</w:t>
      </w:r>
      <w:r w:rsidR="00A76646">
        <w:t xml:space="preserve">, rates in the energy-only auctions can be established which moderate rate impacts that will </w:t>
      </w:r>
      <w:r w:rsidR="00AB644A">
        <w:t>take effect on June 1, 2015.</w:t>
      </w:r>
    </w:p>
    <w:p w:rsidR="001E7450" w:rsidRDefault="001E7450" w:rsidP="003574F5">
      <w:pPr>
        <w:pStyle w:val="Heading2"/>
      </w:pPr>
      <w:r>
        <w:t>B.</w:t>
      </w:r>
      <w:r>
        <w:tab/>
      </w:r>
      <w:r w:rsidR="004208B9">
        <w:t xml:space="preserve">The PUCO Should Reject </w:t>
      </w:r>
      <w:r>
        <w:t xml:space="preserve">AEP Ohio’s Position That </w:t>
      </w:r>
      <w:r w:rsidR="003574F5">
        <w:t xml:space="preserve">The 12% </w:t>
      </w:r>
      <w:r>
        <w:t xml:space="preserve">Cap </w:t>
      </w:r>
      <w:r w:rsidR="003574F5">
        <w:t xml:space="preserve">On </w:t>
      </w:r>
      <w:r>
        <w:t xml:space="preserve">Rate Increases </w:t>
      </w:r>
      <w:r w:rsidR="003574F5">
        <w:t xml:space="preserve">To </w:t>
      </w:r>
      <w:r>
        <w:t>Individual Custo</w:t>
      </w:r>
      <w:r w:rsidR="007C6CB0">
        <w:t>m</w:t>
      </w:r>
      <w:r>
        <w:t xml:space="preserve">ers </w:t>
      </w:r>
      <w:r w:rsidR="004208B9">
        <w:t xml:space="preserve">(As </w:t>
      </w:r>
      <w:r>
        <w:t xml:space="preserve">Established </w:t>
      </w:r>
      <w:r w:rsidR="003574F5">
        <w:t xml:space="preserve">In The </w:t>
      </w:r>
      <w:r>
        <w:t xml:space="preserve">ESP </w:t>
      </w:r>
      <w:r w:rsidR="004208B9">
        <w:t>Order)</w:t>
      </w:r>
      <w:r>
        <w:t xml:space="preserve"> Is Sufficient To Mitigate Potential Adverse Rate Impacts</w:t>
      </w:r>
      <w:r w:rsidR="004208B9">
        <w:t xml:space="preserve"> On Customers</w:t>
      </w:r>
      <w:r w:rsidR="003D239B">
        <w:t xml:space="preserve"> In This Case</w:t>
      </w:r>
      <w:r w:rsidR="003574F5">
        <w:t>.</w:t>
      </w:r>
    </w:p>
    <w:p w:rsidR="001E7450" w:rsidRDefault="001E7450" w:rsidP="00ED46DE">
      <w:pPr>
        <w:pStyle w:val="BodyTextIndent3"/>
        <w:widowControl w:val="0"/>
        <w:spacing w:line="480" w:lineRule="auto"/>
        <w:ind w:right="-270"/>
      </w:pPr>
      <w:r>
        <w:t>AEP Ohio has also taken the position tha</w:t>
      </w:r>
      <w:r w:rsidR="0042797D">
        <w:t>t its proposal</w:t>
      </w:r>
      <w:r w:rsidR="004208B9">
        <w:t xml:space="preserve"> for a 12% rate cap</w:t>
      </w:r>
      <w:r w:rsidR="0042797D">
        <w:t xml:space="preserve"> in </w:t>
      </w:r>
      <w:r w:rsidR="00A76646">
        <w:t xml:space="preserve">AEP Ohio’s Competitive Bidding Process (“CBP”) </w:t>
      </w:r>
      <w:r w:rsidR="0042797D">
        <w:t>case</w:t>
      </w:r>
      <w:r w:rsidR="00A76646">
        <w:rPr>
          <w:rStyle w:val="FootnoteReference"/>
        </w:rPr>
        <w:footnoteReference w:id="11"/>
      </w:r>
      <w:r w:rsidR="0042797D">
        <w:t xml:space="preserve"> </w:t>
      </w:r>
      <w:r w:rsidR="00C27F97">
        <w:t>c</w:t>
      </w:r>
      <w:r w:rsidR="0042797D">
        <w:t xml:space="preserve">ould </w:t>
      </w:r>
      <w:r w:rsidR="00C27F97">
        <w:t xml:space="preserve">be </w:t>
      </w:r>
      <w:r w:rsidR="000E7CDE">
        <w:t>satisfactori</w:t>
      </w:r>
      <w:r w:rsidR="00A84220">
        <w:t>l</w:t>
      </w:r>
      <w:r w:rsidR="000E7CDE">
        <w:t xml:space="preserve">y </w:t>
      </w:r>
      <w:r w:rsidR="00C27F97">
        <w:t xml:space="preserve">applied in this case to </w:t>
      </w:r>
      <w:r w:rsidR="0042797D">
        <w:t xml:space="preserve">address the </w:t>
      </w:r>
      <w:r w:rsidR="004208B9">
        <w:t xml:space="preserve">rate </w:t>
      </w:r>
      <w:r w:rsidR="0042797D">
        <w:t>concerns raised by the parties.</w:t>
      </w:r>
      <w:r w:rsidR="0042797D">
        <w:rPr>
          <w:rStyle w:val="FootnoteReference"/>
        </w:rPr>
        <w:footnoteReference w:id="12"/>
      </w:r>
      <w:r w:rsidR="004208B9" w:rsidRPr="004208B9">
        <w:t xml:space="preserve"> </w:t>
      </w:r>
      <w:r w:rsidR="004208B9">
        <w:t xml:space="preserve"> </w:t>
      </w:r>
      <w:r w:rsidR="0042797D">
        <w:t>Under AEP</w:t>
      </w:r>
      <w:r w:rsidR="003A0CE4">
        <w:t xml:space="preserve"> Ohio</w:t>
      </w:r>
      <w:r w:rsidR="0042797D">
        <w:t>’s propos</w:t>
      </w:r>
      <w:r w:rsidR="004E6F56">
        <w:t>al</w:t>
      </w:r>
      <w:r w:rsidR="0042797D">
        <w:t xml:space="preserve">, if the auction results </w:t>
      </w:r>
      <w:r w:rsidR="00E0033C">
        <w:t xml:space="preserve">in </w:t>
      </w:r>
      <w:r w:rsidR="004E6F56">
        <w:t xml:space="preserve">increased </w:t>
      </w:r>
      <w:r w:rsidR="0042797D">
        <w:t xml:space="preserve">customer rates by more than the 12% rate cap, the </w:t>
      </w:r>
      <w:r w:rsidR="004E6F56">
        <w:t xml:space="preserve">increased </w:t>
      </w:r>
      <w:r w:rsidR="0042797D">
        <w:t>amount</w:t>
      </w:r>
      <w:r w:rsidR="004E6F56">
        <w:t>s</w:t>
      </w:r>
      <w:r w:rsidR="0042797D">
        <w:t xml:space="preserve"> over the rate cap would be deferred and collected from all customers, </w:t>
      </w:r>
      <w:r w:rsidR="004E6F56">
        <w:t xml:space="preserve">with </w:t>
      </w:r>
      <w:r w:rsidR="0042797D">
        <w:t>carrying charges.</w:t>
      </w:r>
      <w:r w:rsidR="0042797D">
        <w:rPr>
          <w:rStyle w:val="FootnoteReference"/>
        </w:rPr>
        <w:footnoteReference w:id="13"/>
      </w:r>
      <w:r w:rsidR="0042797D">
        <w:t xml:space="preserve">  </w:t>
      </w:r>
      <w:r w:rsidR="004F41D2">
        <w:t xml:space="preserve">AEP Ohio states that this would be accomplished by measuring the auction phase-in rider and fixed cost rider relative to the June 2013 </w:t>
      </w:r>
      <w:r w:rsidR="002C659E">
        <w:t>fuel adjustment clause</w:t>
      </w:r>
      <w:r w:rsidR="004F41D2">
        <w:t xml:space="preserve"> rates.</w:t>
      </w:r>
      <w:r w:rsidR="004F41D2">
        <w:rPr>
          <w:rStyle w:val="FootnoteReference"/>
        </w:rPr>
        <w:footnoteReference w:id="14"/>
      </w:r>
    </w:p>
    <w:p w:rsidR="002E2D39" w:rsidRDefault="004F41D2" w:rsidP="008123E9">
      <w:pPr>
        <w:pStyle w:val="BodyTextIndent3"/>
        <w:widowControl w:val="0"/>
        <w:spacing w:line="480" w:lineRule="auto"/>
        <w:ind w:right="-29"/>
      </w:pPr>
      <w:r>
        <w:t>AEP Ohio’s recommendation that the PUCO extend the 12% rate cap to the auction rates should be rejected.  AEP’s proposal may create substantial deferrals</w:t>
      </w:r>
      <w:r w:rsidR="005663E9">
        <w:t xml:space="preserve">.  Those deferrals could significantly </w:t>
      </w:r>
      <w:r>
        <w:t>increas</w:t>
      </w:r>
      <w:r w:rsidR="005663E9">
        <w:t>e</w:t>
      </w:r>
      <w:r>
        <w:t xml:space="preserve"> the total costs to customers</w:t>
      </w:r>
      <w:r w:rsidR="001A1F82">
        <w:t>,</w:t>
      </w:r>
      <w:r>
        <w:t xml:space="preserve"> especially given the inclusion of carrying charges</w:t>
      </w:r>
      <w:r w:rsidR="001A1F82">
        <w:t xml:space="preserve"> for customers to pay</w:t>
      </w:r>
      <w:r>
        <w:t xml:space="preserve">.  Moreover, </w:t>
      </w:r>
      <w:r w:rsidR="001A1F82">
        <w:t>AEP Ohio’s proposed</w:t>
      </w:r>
      <w:r>
        <w:t xml:space="preserve"> deferral </w:t>
      </w:r>
      <w:r w:rsidR="00462471">
        <w:t xml:space="preserve">may amount to </w:t>
      </w:r>
      <w:r>
        <w:t xml:space="preserve">an unreasonable subsidy by future customers to current </w:t>
      </w:r>
    </w:p>
    <w:p w:rsidR="002E2D39" w:rsidRDefault="002E2D39">
      <w:r>
        <w:br w:type="page"/>
      </w:r>
    </w:p>
    <w:p w:rsidR="004F41D2" w:rsidRDefault="004F41D2" w:rsidP="002E2D39">
      <w:pPr>
        <w:pStyle w:val="BodyTextIndent3"/>
        <w:widowControl w:val="0"/>
        <w:spacing w:line="480" w:lineRule="auto"/>
        <w:ind w:right="-29" w:firstLine="0"/>
      </w:pPr>
      <w:r>
        <w:t>customers.</w:t>
      </w:r>
      <w:r w:rsidR="00462471">
        <w:rPr>
          <w:rStyle w:val="FootnoteReference"/>
        </w:rPr>
        <w:footnoteReference w:id="15"/>
      </w:r>
      <w:r>
        <w:t xml:space="preserve">  The purpose of a</w:t>
      </w:r>
      <w:r w:rsidR="001A1F82">
        <w:t xml:space="preserve"> fuel clause</w:t>
      </w:r>
      <w:r>
        <w:t xml:space="preserve"> is to </w:t>
      </w:r>
      <w:r w:rsidR="001A1F82">
        <w:t>a</w:t>
      </w:r>
      <w:r w:rsidR="005E3FF8">
        <w:t>llow the utility</w:t>
      </w:r>
      <w:r w:rsidR="001A1F82">
        <w:t xml:space="preserve"> to charge customers for </w:t>
      </w:r>
      <w:r>
        <w:t xml:space="preserve">all fuel-related costs at the time period when these costs occur.  </w:t>
      </w:r>
      <w:r w:rsidR="00330304">
        <w:t>AEP Ohio’s proposal,</w:t>
      </w:r>
      <w:r>
        <w:t xml:space="preserve"> to have</w:t>
      </w:r>
      <w:r w:rsidR="00330304">
        <w:t xml:space="preserve"> its</w:t>
      </w:r>
      <w:r>
        <w:t xml:space="preserve"> future customers</w:t>
      </w:r>
      <w:r w:rsidR="00462471">
        <w:t xml:space="preserve"> pay potentially</w:t>
      </w:r>
      <w:r>
        <w:t xml:space="preserve"> </w:t>
      </w:r>
      <w:r w:rsidR="00462471">
        <w:t xml:space="preserve">large </w:t>
      </w:r>
      <w:r>
        <w:t>subsidi</w:t>
      </w:r>
      <w:r w:rsidR="00462471">
        <w:t xml:space="preserve">es to the benefit </w:t>
      </w:r>
      <w:r>
        <w:t xml:space="preserve">of </w:t>
      </w:r>
      <w:r w:rsidR="00330304">
        <w:t xml:space="preserve">its </w:t>
      </w:r>
      <w:r>
        <w:t>current customers</w:t>
      </w:r>
      <w:r w:rsidR="00330304">
        <w:t xml:space="preserve">, </w:t>
      </w:r>
      <w:r w:rsidR="00462471">
        <w:t xml:space="preserve">is </w:t>
      </w:r>
      <w:r w:rsidR="00330304">
        <w:t>inappropriate</w:t>
      </w:r>
      <w:r w:rsidR="00462471">
        <w:t xml:space="preserve"> when regular fuel clause adjustment can avoid substantial subsidies</w:t>
      </w:r>
      <w:r>
        <w:t xml:space="preserve">.  And there is no reason that rates should be implemented which require </w:t>
      </w:r>
      <w:r w:rsidR="00F71416">
        <w:t xml:space="preserve">such </w:t>
      </w:r>
      <w:r>
        <w:t>deferrals</w:t>
      </w:r>
      <w:r w:rsidR="00F71416">
        <w:t xml:space="preserve"> if rates can be designed to avoid them.  As OCC stated in its initial comments, it may well be that a revenue-neutral transition could be implemented through a proportionate adjustment to all rates.</w:t>
      </w:r>
      <w:r w:rsidR="00F71416">
        <w:rPr>
          <w:rStyle w:val="FootnoteReference"/>
        </w:rPr>
        <w:footnoteReference w:id="16"/>
      </w:r>
    </w:p>
    <w:p w:rsidR="0048681B" w:rsidRDefault="00F71416" w:rsidP="004F41D2">
      <w:pPr>
        <w:pStyle w:val="BodyTextIndent3"/>
        <w:widowControl w:val="0"/>
        <w:spacing w:line="480" w:lineRule="auto"/>
        <w:ind w:right="-29"/>
      </w:pPr>
      <w:r>
        <w:t>Instead</w:t>
      </w:r>
      <w:r w:rsidR="004F41D2">
        <w:t xml:space="preserve">, the 12% rate cap applicable to FAC costs and other costs is at best temporary </w:t>
      </w:r>
      <w:r w:rsidR="000F7C78">
        <w:t>relief from adverse rate impacts</w:t>
      </w:r>
      <w:r w:rsidR="004F41D2">
        <w:t xml:space="preserve">.  It may be used to hide real and serious rate design issues or to delay </w:t>
      </w:r>
      <w:r>
        <w:t>a more appropriate re</w:t>
      </w:r>
      <w:r w:rsidR="004F41D2">
        <w:t xml:space="preserve">solution </w:t>
      </w:r>
      <w:r>
        <w:t xml:space="preserve">of </w:t>
      </w:r>
      <w:r w:rsidR="004F41D2">
        <w:t>these rate design issues.</w:t>
      </w:r>
      <w:r>
        <w:t xml:space="preserve">  In any event, it will impose </w:t>
      </w:r>
      <w:r w:rsidR="0058304D">
        <w:t>additional</w:t>
      </w:r>
      <w:r>
        <w:t xml:space="preserve"> </w:t>
      </w:r>
      <w:r w:rsidR="00D2091C">
        <w:t>costs (</w:t>
      </w:r>
      <w:r>
        <w:t>and likely unnecessary costs</w:t>
      </w:r>
      <w:r w:rsidR="00D2091C">
        <w:t>)</w:t>
      </w:r>
      <w:r>
        <w:t xml:space="preserve"> on customers who are not responsible for them.</w:t>
      </w:r>
      <w:r w:rsidR="005E3F5D">
        <w:t xml:space="preserve">  </w:t>
      </w:r>
    </w:p>
    <w:p w:rsidR="004F41D2" w:rsidRDefault="005E3F5D" w:rsidP="002E2D39">
      <w:pPr>
        <w:pStyle w:val="BodyTextIndent3"/>
        <w:widowControl w:val="0"/>
        <w:spacing w:line="480" w:lineRule="auto"/>
        <w:ind w:right="-29"/>
      </w:pPr>
      <w:r>
        <w:t xml:space="preserve">AEP Ohio claims </w:t>
      </w:r>
      <w:r w:rsidR="0048681B">
        <w:t>its proposal offers</w:t>
      </w:r>
      <w:r>
        <w:t xml:space="preserve"> simplicity, practicality and efficiency</w:t>
      </w:r>
      <w:r w:rsidR="0048681B">
        <w:t>.  Whether or not its claims are true, those claims do not outweigh the unfairness of AEP Ohio’s</w:t>
      </w:r>
      <w:r>
        <w:t xml:space="preserve"> proposal</w:t>
      </w:r>
      <w:r>
        <w:rPr>
          <w:rStyle w:val="FootnoteReference"/>
        </w:rPr>
        <w:footnoteReference w:id="17"/>
      </w:r>
      <w:r w:rsidR="0048681B">
        <w:t xml:space="preserve"> for </w:t>
      </w:r>
      <w:r w:rsidR="00946D30">
        <w:t xml:space="preserve">Ohio </w:t>
      </w:r>
      <w:r w:rsidR="0048681B">
        <w:t xml:space="preserve">customers who potentially </w:t>
      </w:r>
      <w:r w:rsidR="00946D30">
        <w:t>would</w:t>
      </w:r>
      <w:r w:rsidR="0048681B">
        <w:t xml:space="preserve"> pay</w:t>
      </w:r>
      <w:r>
        <w:t xml:space="preserve"> significant cost</w:t>
      </w:r>
      <w:r w:rsidR="0048681B">
        <w:t>s</w:t>
      </w:r>
      <w:r>
        <w:t xml:space="preserve"> </w:t>
      </w:r>
      <w:r w:rsidR="00946D30">
        <w:t>if it were adopted</w:t>
      </w:r>
      <w:r>
        <w:t>.</w:t>
      </w:r>
      <w:r w:rsidR="00F71416">
        <w:t xml:space="preserve">  As OCC has recommended, the PUCO should commence its evaluation of this issue by having AEP Ohio submit a rate design proposal, with supporting testimony.</w:t>
      </w:r>
      <w:r w:rsidR="00F71416">
        <w:rPr>
          <w:rStyle w:val="FootnoteReference"/>
        </w:rPr>
        <w:footnoteReference w:id="18"/>
      </w:r>
      <w:r w:rsidR="00F71416">
        <w:t xml:space="preserve">  </w:t>
      </w:r>
      <w:r w:rsidR="000F7C78">
        <w:t>Discovery, PUCO Staff and i</w:t>
      </w:r>
      <w:r w:rsidR="00F71416">
        <w:t>ntervenor testimony and evidentiary hearings should follow.</w:t>
      </w:r>
      <w:r w:rsidR="00F71416">
        <w:rPr>
          <w:rStyle w:val="FootnoteReference"/>
        </w:rPr>
        <w:footnoteReference w:id="19"/>
      </w:r>
    </w:p>
    <w:p w:rsidR="005E3F5D" w:rsidRDefault="005E3F5D" w:rsidP="003574F5">
      <w:pPr>
        <w:pStyle w:val="Heading2"/>
      </w:pPr>
      <w:r>
        <w:t>C.</w:t>
      </w:r>
      <w:r>
        <w:tab/>
      </w:r>
      <w:r w:rsidR="008E0CF1">
        <w:t xml:space="preserve">The PUCO Should Reject </w:t>
      </w:r>
      <w:r w:rsidR="00F042F7">
        <w:t>IGS’</w:t>
      </w:r>
      <w:r w:rsidR="008E0CF1">
        <w:t xml:space="preserve"> Proposal To Change The Auction To</w:t>
      </w:r>
      <w:r w:rsidR="00F042F7">
        <w:t xml:space="preserve"> </w:t>
      </w:r>
      <w:r w:rsidR="003574F5">
        <w:t xml:space="preserve">A </w:t>
      </w:r>
      <w:r w:rsidR="00F042F7">
        <w:t>Retail Auction</w:t>
      </w:r>
      <w:r w:rsidR="008E0CF1">
        <w:t xml:space="preserve"> </w:t>
      </w:r>
      <w:r w:rsidR="00091B55">
        <w:t>(</w:t>
      </w:r>
      <w:r w:rsidR="008E0CF1">
        <w:t>Where Customers Would Be Arbitrarily Assigned to Marketers)</w:t>
      </w:r>
      <w:r w:rsidR="00F042F7">
        <w:t xml:space="preserve"> </w:t>
      </w:r>
      <w:r w:rsidR="008E0CF1">
        <w:t>A</w:t>
      </w:r>
      <w:r w:rsidR="00F042F7">
        <w:t xml:space="preserve">s Far Beyond The Scope </w:t>
      </w:r>
      <w:r w:rsidR="003574F5">
        <w:t xml:space="preserve">Of This </w:t>
      </w:r>
      <w:r w:rsidR="00F042F7">
        <w:t>Proceeding</w:t>
      </w:r>
      <w:r w:rsidR="003574F5">
        <w:t>.</w:t>
      </w:r>
    </w:p>
    <w:p w:rsidR="00F042F7" w:rsidRDefault="00F042F7" w:rsidP="00F042F7">
      <w:pPr>
        <w:pStyle w:val="BodyTextIndent3"/>
        <w:widowControl w:val="0"/>
        <w:spacing w:line="480" w:lineRule="auto"/>
        <w:ind w:right="-29"/>
      </w:pPr>
      <w:r>
        <w:t xml:space="preserve">In initiating this proceeding, the PUCO identified </w:t>
      </w:r>
      <w:r w:rsidR="000F7C78">
        <w:t xml:space="preserve">the </w:t>
      </w:r>
      <w:r>
        <w:t xml:space="preserve">scope </w:t>
      </w:r>
      <w:r w:rsidR="004C7F7E">
        <w:t xml:space="preserve">-- </w:t>
      </w:r>
      <w:r>
        <w:t>to address adverse rate impacts on customers from the CBP auctions.  Despite this scope and the ESP Order’s plain adoption of a</w:t>
      </w:r>
      <w:r w:rsidR="008E0CF1">
        <w:t>n</w:t>
      </w:r>
      <w:r>
        <w:t xml:space="preserve"> auction</w:t>
      </w:r>
      <w:r w:rsidR="00AE39C2">
        <w:t xml:space="preserve"> to set the price of the standard offer</w:t>
      </w:r>
      <w:r>
        <w:t>,</w:t>
      </w:r>
      <w:r w:rsidR="004C7F7E">
        <w:rPr>
          <w:rStyle w:val="FootnoteReference"/>
        </w:rPr>
        <w:footnoteReference w:id="20"/>
      </w:r>
      <w:r>
        <w:t xml:space="preserve"> IGS argues for a “retail auction” in this proceeding.  IGS claims that “…consistent with its Order issued in the AEP ESP Case, the Commission should implement a retail auction to serve AEP’s remaining SSO customers . . .”</w:t>
      </w:r>
      <w:r>
        <w:rPr>
          <w:rStyle w:val="FootnoteReference"/>
        </w:rPr>
        <w:footnoteReference w:id="21"/>
      </w:r>
      <w:r>
        <w:t xml:space="preserve"> </w:t>
      </w:r>
    </w:p>
    <w:p w:rsidR="00230556" w:rsidRDefault="00E62D9A" w:rsidP="00F042F7">
      <w:pPr>
        <w:pStyle w:val="BodyTextIndent3"/>
        <w:widowControl w:val="0"/>
        <w:spacing w:line="480" w:lineRule="auto"/>
        <w:ind w:right="-29"/>
      </w:pPr>
      <w:r>
        <w:t xml:space="preserve">But the </w:t>
      </w:r>
      <w:r w:rsidR="00F042F7">
        <w:t xml:space="preserve">PUCO declined to </w:t>
      </w:r>
      <w:r w:rsidR="004C7F7E">
        <w:t>even address</w:t>
      </w:r>
      <w:r w:rsidR="00F042F7">
        <w:t xml:space="preserve"> IGS’s retail auction </w:t>
      </w:r>
      <w:r w:rsidR="004C7F7E">
        <w:t xml:space="preserve">proposal </w:t>
      </w:r>
      <w:r w:rsidR="00F042F7">
        <w:t xml:space="preserve">in </w:t>
      </w:r>
      <w:r>
        <w:t>AEP</w:t>
      </w:r>
      <w:r w:rsidR="000F7C78">
        <w:t xml:space="preserve"> Ohio</w:t>
      </w:r>
      <w:r>
        <w:t xml:space="preserve">’s ESP </w:t>
      </w:r>
      <w:r w:rsidR="00F042F7">
        <w:t>case</w:t>
      </w:r>
      <w:r w:rsidR="00A43889">
        <w:t xml:space="preserve"> and thus implicitly declined to adopt it</w:t>
      </w:r>
      <w:r w:rsidR="00F042F7">
        <w:t>.</w:t>
      </w:r>
      <w:r w:rsidR="00064748">
        <w:t xml:space="preserve">  IGS’s recourse, under R.C. 4903.10, was to seek rehearing in the ESP case to try to change the type of auction to one that more favors marketers.  That recourse has long passed for purposes here.</w:t>
      </w:r>
      <w:r w:rsidR="00F042F7">
        <w:t xml:space="preserve"> </w:t>
      </w:r>
      <w:r>
        <w:t xml:space="preserve"> </w:t>
      </w:r>
    </w:p>
    <w:p w:rsidR="00E62D9A" w:rsidRDefault="00E62D9A" w:rsidP="00F042F7">
      <w:pPr>
        <w:pStyle w:val="BodyTextIndent3"/>
        <w:widowControl w:val="0"/>
        <w:spacing w:line="480" w:lineRule="auto"/>
        <w:ind w:right="-29"/>
      </w:pPr>
      <w:r>
        <w:t xml:space="preserve">IGS’s attempt to have the PUCO review its retail auction proposal in this proceeding </w:t>
      </w:r>
      <w:r w:rsidR="00F042F7">
        <w:t xml:space="preserve">is inappropriate and </w:t>
      </w:r>
      <w:r>
        <w:t xml:space="preserve">beyond the scope of </w:t>
      </w:r>
      <w:r w:rsidR="00F042F7">
        <w:t>this proceeding</w:t>
      </w:r>
      <w:r>
        <w:t xml:space="preserve">.  IGS’s proposal </w:t>
      </w:r>
      <w:r w:rsidR="00F042F7">
        <w:t xml:space="preserve">is </w:t>
      </w:r>
      <w:r>
        <w:t>not</w:t>
      </w:r>
      <w:r w:rsidR="00F042F7">
        <w:t xml:space="preserve"> a ‘rate design’ proposal</w:t>
      </w:r>
      <w:r>
        <w:t xml:space="preserve"> directed at adverse rate impacts</w:t>
      </w:r>
      <w:r w:rsidR="00230556">
        <w:t xml:space="preserve">. </w:t>
      </w:r>
      <w:r>
        <w:t xml:space="preserve"> </w:t>
      </w:r>
      <w:r w:rsidR="00230556">
        <w:t>W</w:t>
      </w:r>
      <w:r>
        <w:t xml:space="preserve">hile IGS claims that a retail auction will help AEP </w:t>
      </w:r>
      <w:r w:rsidR="004C7F7E">
        <w:t>Ohio</w:t>
      </w:r>
      <w:r w:rsidR="00230556">
        <w:t>’s</w:t>
      </w:r>
      <w:r w:rsidR="004C7F7E">
        <w:t xml:space="preserve"> </w:t>
      </w:r>
      <w:r>
        <w:t>customers av</w:t>
      </w:r>
      <w:r w:rsidR="00D75E80">
        <w:t>oid significant rate impacts,</w:t>
      </w:r>
      <w:r w:rsidR="00A43889">
        <w:t xml:space="preserve"> that claim is </w:t>
      </w:r>
      <w:r w:rsidR="008123E9">
        <w:t>unsubstantiated</w:t>
      </w:r>
      <w:r w:rsidR="00A43889">
        <w:t xml:space="preserve">.  Moreover, IGS’s </w:t>
      </w:r>
      <w:r w:rsidR="00D75E80">
        <w:t>proposal assumes an entirely different market structure than the PUCO adopted in its Opinion and Order in AEP</w:t>
      </w:r>
      <w:r w:rsidR="000F7C78">
        <w:t xml:space="preserve"> Ohio</w:t>
      </w:r>
      <w:r w:rsidR="00D75E80">
        <w:t>’s ESP case</w:t>
      </w:r>
      <w:r w:rsidR="00F042F7">
        <w:t>.</w:t>
      </w:r>
      <w:r>
        <w:t xml:space="preserve">  The PUCO should reject IGS’s Comments as unrelated to the issues presented in this case. </w:t>
      </w:r>
      <w:r w:rsidR="00F042F7">
        <w:t xml:space="preserve"> </w:t>
      </w:r>
      <w:r>
        <w:t xml:space="preserve"> </w:t>
      </w:r>
    </w:p>
    <w:p w:rsidR="00D75E80" w:rsidRDefault="00D75E80" w:rsidP="003574F5">
      <w:pPr>
        <w:pStyle w:val="Heading2"/>
      </w:pPr>
      <w:r>
        <w:t>D.</w:t>
      </w:r>
      <w:r>
        <w:tab/>
        <w:t xml:space="preserve">FES’s Proposed Methodology For Addressing Adverse Rate Impacts Is Premature In The Absence </w:t>
      </w:r>
      <w:r w:rsidR="003574F5">
        <w:t xml:space="preserve">Of A </w:t>
      </w:r>
      <w:r>
        <w:t>Proposal From AEP Ohio</w:t>
      </w:r>
      <w:r w:rsidR="003574F5">
        <w:t>.</w:t>
      </w:r>
    </w:p>
    <w:p w:rsidR="001938B1" w:rsidRDefault="00D75E80" w:rsidP="00F042F7">
      <w:pPr>
        <w:pStyle w:val="BodyTextIndent3"/>
        <w:widowControl w:val="0"/>
        <w:spacing w:line="480" w:lineRule="auto"/>
        <w:ind w:right="-29"/>
      </w:pPr>
      <w:r>
        <w:t>FES recognizes that AEP Ohio has “provided little information as to how the auction results would be translated to retail rates</w:t>
      </w:r>
      <w:r w:rsidR="00C93965">
        <w:t>.</w:t>
      </w:r>
      <w:r>
        <w:t xml:space="preserve">” </w:t>
      </w:r>
      <w:r w:rsidR="00C93965">
        <w:t xml:space="preserve"> </w:t>
      </w:r>
      <w:r>
        <w:t xml:space="preserve">FES </w:t>
      </w:r>
      <w:r w:rsidR="00C93965">
        <w:t xml:space="preserve">then </w:t>
      </w:r>
      <w:r w:rsidR="001938B1">
        <w:t>makes a number of proposals for the design of auction-based rates.</w:t>
      </w:r>
      <w:r w:rsidR="001938B1">
        <w:rPr>
          <w:rStyle w:val="FootnoteReference"/>
        </w:rPr>
        <w:footnoteReference w:id="22"/>
      </w:r>
      <w:r w:rsidR="001938B1">
        <w:t xml:space="preserve">  For energy costs, FES suggests alignment with actual costs, payment of auction-based market prices adjusted for losses, gross-ups for CAT and uncollectibles, and blending with the total FAC.</w:t>
      </w:r>
      <w:r w:rsidR="001938B1">
        <w:rPr>
          <w:rStyle w:val="FootnoteReference"/>
        </w:rPr>
        <w:footnoteReference w:id="23"/>
      </w:r>
      <w:r w:rsidR="001938B1">
        <w:t xml:space="preserve"> </w:t>
      </w:r>
      <w:r>
        <w:t xml:space="preserve"> </w:t>
      </w:r>
      <w:r w:rsidR="001938B1">
        <w:t>For capacity costs, FES suggests allocation based on coincident peak demand and blending with current generation rates during the transition period.</w:t>
      </w:r>
      <w:r w:rsidR="001938B1">
        <w:rPr>
          <w:rStyle w:val="FootnoteReference"/>
        </w:rPr>
        <w:footnoteReference w:id="24"/>
      </w:r>
      <w:r w:rsidR="001938B1">
        <w:t xml:space="preserve">  FES also proposes eliminating intra-class and intra-zonal subsidies which it says “serve to mask price signals and distort customer shopping decisions.”</w:t>
      </w:r>
    </w:p>
    <w:p w:rsidR="00D75E80" w:rsidRDefault="001938B1" w:rsidP="00F042F7">
      <w:pPr>
        <w:pStyle w:val="BodyTextIndent3"/>
        <w:widowControl w:val="0"/>
        <w:spacing w:line="480" w:lineRule="auto"/>
        <w:ind w:right="-29"/>
      </w:pPr>
      <w:r>
        <w:t xml:space="preserve">While some aspects of FES’s proposal may warrant consideration, its proposal is premature in the absence of a rate design proposal from AEP </w:t>
      </w:r>
      <w:r w:rsidR="000F7C78">
        <w:t>Ohio</w:t>
      </w:r>
      <w:r>
        <w:t xml:space="preserve">.  </w:t>
      </w:r>
      <w:r w:rsidR="00C93965">
        <w:t>A</w:t>
      </w:r>
      <w:r>
        <w:t xml:space="preserve"> proposal from AEP</w:t>
      </w:r>
      <w:r w:rsidR="000F7C78">
        <w:t xml:space="preserve"> Ohio</w:t>
      </w:r>
      <w:r w:rsidR="00C93965">
        <w:t xml:space="preserve"> would provide a needed reference point for</w:t>
      </w:r>
      <w:r w:rsidR="00D75E80" w:rsidRPr="00D75E80">
        <w:t xml:space="preserve"> judging the merits of FES’s proposed methodolog</w:t>
      </w:r>
      <w:r w:rsidR="000F7C78">
        <w:t>ies</w:t>
      </w:r>
      <w:r w:rsidR="00D75E80" w:rsidRPr="00D75E80">
        <w:t xml:space="preserve">. </w:t>
      </w:r>
      <w:r w:rsidR="000F7C78">
        <w:t xml:space="preserve"> </w:t>
      </w:r>
      <w:r w:rsidR="00C93965">
        <w:t>T</w:t>
      </w:r>
      <w:r w:rsidR="00D75E80" w:rsidRPr="00D75E80">
        <w:t xml:space="preserve">his proceeding cannot </w:t>
      </w:r>
      <w:r w:rsidR="00C93965">
        <w:t xml:space="preserve">adequately allow for </w:t>
      </w:r>
      <w:r w:rsidR="00D75E80" w:rsidRPr="00D75E80">
        <w:t>address</w:t>
      </w:r>
      <w:r w:rsidR="00C93965">
        <w:t>ing</w:t>
      </w:r>
      <w:r w:rsidR="00D75E80" w:rsidRPr="00D75E80">
        <w:t xml:space="preserve"> the </w:t>
      </w:r>
      <w:r w:rsidR="008D4420">
        <w:t xml:space="preserve">concerns </w:t>
      </w:r>
      <w:r w:rsidR="00D75E80" w:rsidRPr="00D75E80">
        <w:t xml:space="preserve">raised by </w:t>
      </w:r>
      <w:r w:rsidR="008D4420">
        <w:t xml:space="preserve">FES </w:t>
      </w:r>
      <w:r w:rsidR="00D75E80" w:rsidRPr="00D75E80">
        <w:t>until AEP</w:t>
      </w:r>
      <w:r w:rsidR="000F7C78">
        <w:t xml:space="preserve"> Ohio</w:t>
      </w:r>
      <w:r w:rsidR="00D75E80" w:rsidRPr="00D75E80">
        <w:t xml:space="preserve"> files its proposed rate design and transitional methodology. </w:t>
      </w:r>
      <w:r w:rsidR="008D4420">
        <w:t xml:space="preserve"> The PUCO should entertain FES’s proposals only in the context of a specific rate design advanced by AEP Ohio </w:t>
      </w:r>
      <w:r w:rsidR="0007467C">
        <w:t>a</w:t>
      </w:r>
      <w:r w:rsidR="008D4420">
        <w:t>s put forth in this proceeding</w:t>
      </w:r>
      <w:r w:rsidR="00AE65FF">
        <w:t xml:space="preserve"> and subjected to scrutiny through discovery and hearings.</w:t>
      </w:r>
    </w:p>
    <w:p w:rsidR="006E02EC" w:rsidRPr="006E02EC" w:rsidRDefault="006E02EC" w:rsidP="002430BB">
      <w:pPr>
        <w:pStyle w:val="Heading1"/>
      </w:pPr>
      <w:r>
        <w:t>III.</w:t>
      </w:r>
      <w:r>
        <w:tab/>
        <w:t>CONCLUSION</w:t>
      </w:r>
    </w:p>
    <w:p w:rsidR="00C93965" w:rsidRDefault="008D4420" w:rsidP="00AD213B">
      <w:pPr>
        <w:pStyle w:val="BodyTextIndent3"/>
        <w:widowControl w:val="0"/>
        <w:spacing w:line="480" w:lineRule="auto"/>
        <w:ind w:right="-24"/>
        <w:rPr>
          <w:szCs w:val="24"/>
        </w:rPr>
      </w:pPr>
      <w:r>
        <w:rPr>
          <w:szCs w:val="24"/>
        </w:rPr>
        <w:t>The PUCO should reject AEP</w:t>
      </w:r>
      <w:r w:rsidR="000F7C78">
        <w:rPr>
          <w:szCs w:val="24"/>
        </w:rPr>
        <w:t xml:space="preserve"> Ohio</w:t>
      </w:r>
      <w:r>
        <w:rPr>
          <w:szCs w:val="24"/>
        </w:rPr>
        <w:t xml:space="preserve">’s position to limit this proceeding to consideration of </w:t>
      </w:r>
      <w:r w:rsidR="002200BC">
        <w:rPr>
          <w:szCs w:val="24"/>
        </w:rPr>
        <w:t>rate impacts</w:t>
      </w:r>
      <w:r w:rsidR="00C93965">
        <w:rPr>
          <w:szCs w:val="24"/>
        </w:rPr>
        <w:t xml:space="preserve"> on customers</w:t>
      </w:r>
      <w:r w:rsidR="002200BC">
        <w:rPr>
          <w:szCs w:val="24"/>
        </w:rPr>
        <w:t xml:space="preserve"> from </w:t>
      </w:r>
      <w:r>
        <w:rPr>
          <w:szCs w:val="24"/>
        </w:rPr>
        <w:t>energy-only auctions</w:t>
      </w:r>
      <w:r w:rsidR="002E2D39">
        <w:rPr>
          <w:szCs w:val="24"/>
        </w:rPr>
        <w:t xml:space="preserve"> in light of the PUCO’s Order in the ESP proceeding to consider mitigation of adverse rate impacts upon rates being set by auction, without limitation</w:t>
      </w:r>
      <w:r w:rsidR="00C93965">
        <w:rPr>
          <w:szCs w:val="24"/>
        </w:rPr>
        <w:t xml:space="preserve">. </w:t>
      </w:r>
      <w:r>
        <w:rPr>
          <w:szCs w:val="24"/>
        </w:rPr>
        <w:t xml:space="preserve"> </w:t>
      </w:r>
      <w:r w:rsidR="002E2D39">
        <w:rPr>
          <w:szCs w:val="24"/>
        </w:rPr>
        <w:t>T</w:t>
      </w:r>
      <w:r w:rsidR="00C93965">
        <w:rPr>
          <w:szCs w:val="24"/>
        </w:rPr>
        <w:t>he PUCO</w:t>
      </w:r>
      <w:r>
        <w:rPr>
          <w:szCs w:val="24"/>
        </w:rPr>
        <w:t xml:space="preserve"> should address in this case potential adverse rate impacts</w:t>
      </w:r>
      <w:r w:rsidR="00C93965">
        <w:rPr>
          <w:szCs w:val="24"/>
        </w:rPr>
        <w:t xml:space="preserve"> on customers</w:t>
      </w:r>
      <w:r>
        <w:rPr>
          <w:szCs w:val="24"/>
        </w:rPr>
        <w:t xml:space="preserve"> for the transition to 100% capacity and energy auctions to commence </w:t>
      </w:r>
      <w:r w:rsidR="002200BC">
        <w:rPr>
          <w:szCs w:val="24"/>
        </w:rPr>
        <w:t xml:space="preserve">with service </w:t>
      </w:r>
      <w:r>
        <w:rPr>
          <w:szCs w:val="24"/>
        </w:rPr>
        <w:t xml:space="preserve">on June 1, 2015.  </w:t>
      </w:r>
    </w:p>
    <w:p w:rsidR="003574F5" w:rsidRDefault="008D4420" w:rsidP="00AD213B">
      <w:pPr>
        <w:pStyle w:val="BodyTextIndent3"/>
        <w:widowControl w:val="0"/>
        <w:spacing w:line="480" w:lineRule="auto"/>
        <w:ind w:right="-24"/>
        <w:rPr>
          <w:szCs w:val="24"/>
        </w:rPr>
      </w:pPr>
      <w:r>
        <w:rPr>
          <w:szCs w:val="24"/>
        </w:rPr>
        <w:t xml:space="preserve">Further, AEP Ohio’s proposal to incorporate its 12% rate cap into the energy-only auctions as the means of addressing adverse rate impacts should be rejected.  AEP Ohio should be directed to come forth with a rate design proposal that addresses the transition to a 100% capacity and energy competitive bid auction, followed by </w:t>
      </w:r>
      <w:r w:rsidR="002200BC">
        <w:rPr>
          <w:szCs w:val="24"/>
        </w:rPr>
        <w:t xml:space="preserve">discovery, </w:t>
      </w:r>
      <w:r>
        <w:rPr>
          <w:szCs w:val="24"/>
        </w:rPr>
        <w:t xml:space="preserve">testimony and hearings in this proceeding.  The PUCO should </w:t>
      </w:r>
      <w:r w:rsidR="00C93965">
        <w:rPr>
          <w:szCs w:val="24"/>
        </w:rPr>
        <w:t xml:space="preserve">deny </w:t>
      </w:r>
      <w:r>
        <w:rPr>
          <w:szCs w:val="24"/>
        </w:rPr>
        <w:t xml:space="preserve">IGS’s efforts to revisit a retail auction design that the PUCO </w:t>
      </w:r>
      <w:r w:rsidR="00C93965">
        <w:rPr>
          <w:szCs w:val="24"/>
        </w:rPr>
        <w:t>did not adopt when IGS made the recommendation</w:t>
      </w:r>
      <w:r>
        <w:rPr>
          <w:szCs w:val="24"/>
        </w:rPr>
        <w:t xml:space="preserve"> in </w:t>
      </w:r>
      <w:r w:rsidR="00C93965">
        <w:rPr>
          <w:szCs w:val="24"/>
        </w:rPr>
        <w:t xml:space="preserve">the </w:t>
      </w:r>
      <w:r>
        <w:rPr>
          <w:szCs w:val="24"/>
        </w:rPr>
        <w:t xml:space="preserve">AEP ESP proceeding.  </w:t>
      </w:r>
    </w:p>
    <w:p w:rsidR="00247851" w:rsidRDefault="00C93965" w:rsidP="008123E9">
      <w:pPr>
        <w:pStyle w:val="BodyTextIndent3"/>
        <w:widowControl w:val="0"/>
        <w:spacing w:line="480" w:lineRule="auto"/>
        <w:ind w:right="-24"/>
        <w:rPr>
          <w:szCs w:val="24"/>
        </w:rPr>
      </w:pPr>
      <w:r>
        <w:rPr>
          <w:szCs w:val="24"/>
        </w:rPr>
        <w:t>Finally, c</w:t>
      </w:r>
      <w:r w:rsidR="008D4420">
        <w:rPr>
          <w:szCs w:val="24"/>
        </w:rPr>
        <w:t>onsideration of FES’s specific rate design proposals should be deferred until AEP puts forth a specific proposal in this proceeding.</w:t>
      </w:r>
    </w:p>
    <w:p w:rsidR="008F4B9B" w:rsidRDefault="008F4B9B" w:rsidP="008F4B9B">
      <w:pPr>
        <w:pStyle w:val="BodyTextIndent3"/>
        <w:widowControl w:val="0"/>
        <w:ind w:left="3600" w:right="-672"/>
        <w:rPr>
          <w:szCs w:val="24"/>
        </w:rPr>
      </w:pPr>
      <w:r>
        <w:rPr>
          <w:szCs w:val="24"/>
        </w:rPr>
        <w:t>Respectfully submitted,</w:t>
      </w:r>
    </w:p>
    <w:p w:rsidR="008F4B9B" w:rsidRDefault="008F4B9B" w:rsidP="008F4B9B">
      <w:pPr>
        <w:pStyle w:val="Footer"/>
        <w:tabs>
          <w:tab w:val="clear" w:pos="8640"/>
          <w:tab w:val="left" w:pos="4320"/>
        </w:tabs>
        <w:spacing w:before="240"/>
        <w:rPr>
          <w:sz w:val="24"/>
          <w:szCs w:val="24"/>
        </w:rPr>
      </w:pPr>
      <w:r>
        <w:rPr>
          <w:sz w:val="24"/>
          <w:szCs w:val="24"/>
        </w:rPr>
        <w:tab/>
        <w:t>BRUCE J. WESTON</w:t>
      </w:r>
    </w:p>
    <w:p w:rsidR="008F4B9B" w:rsidRDefault="008F4B9B" w:rsidP="008F4B9B">
      <w:pPr>
        <w:tabs>
          <w:tab w:val="left" w:pos="4320"/>
        </w:tabs>
        <w:rPr>
          <w:szCs w:val="24"/>
        </w:rPr>
      </w:pPr>
      <w:r>
        <w:rPr>
          <w:szCs w:val="24"/>
        </w:rPr>
        <w:tab/>
        <w:t>OHIO CONSUMERS’ COUNSEL</w:t>
      </w:r>
    </w:p>
    <w:p w:rsidR="008F4B9B" w:rsidRDefault="008F4B9B" w:rsidP="008F4B9B">
      <w:pPr>
        <w:tabs>
          <w:tab w:val="left" w:pos="4320"/>
        </w:tabs>
        <w:rPr>
          <w:szCs w:val="24"/>
        </w:rPr>
      </w:pPr>
      <w:r>
        <w:rPr>
          <w:szCs w:val="24"/>
        </w:rPr>
        <w:tab/>
      </w:r>
    </w:p>
    <w:p w:rsidR="008F4B9B" w:rsidRDefault="008F4B9B" w:rsidP="008F4B9B">
      <w:pPr>
        <w:tabs>
          <w:tab w:val="left" w:pos="4320"/>
        </w:tabs>
        <w:rPr>
          <w:i/>
          <w:szCs w:val="24"/>
          <w:u w:val="single"/>
        </w:rPr>
      </w:pPr>
      <w:r>
        <w:rPr>
          <w:szCs w:val="24"/>
        </w:rPr>
        <w:tab/>
      </w:r>
      <w:r>
        <w:rPr>
          <w:i/>
          <w:szCs w:val="24"/>
          <w:u w:val="single"/>
        </w:rPr>
        <w:t xml:space="preserve">/s/ </w:t>
      </w:r>
      <w:r w:rsidR="003516DE">
        <w:rPr>
          <w:i/>
          <w:szCs w:val="24"/>
          <w:u w:val="single"/>
        </w:rPr>
        <w:t>Edmund “Tad” Berger</w:t>
      </w:r>
      <w:r>
        <w:rPr>
          <w:i/>
          <w:szCs w:val="24"/>
          <w:u w:val="single"/>
        </w:rPr>
        <w:tab/>
      </w:r>
      <w:r>
        <w:rPr>
          <w:i/>
          <w:szCs w:val="24"/>
          <w:u w:val="single"/>
        </w:rPr>
        <w:tab/>
      </w:r>
      <w:r>
        <w:rPr>
          <w:i/>
          <w:szCs w:val="24"/>
          <w:u w:val="single"/>
        </w:rPr>
        <w:tab/>
      </w:r>
    </w:p>
    <w:p w:rsidR="008F4B9B" w:rsidRDefault="008F4B9B" w:rsidP="008F4B9B">
      <w:pPr>
        <w:tabs>
          <w:tab w:val="left" w:pos="4320"/>
        </w:tabs>
        <w:rPr>
          <w:szCs w:val="24"/>
        </w:rPr>
      </w:pPr>
      <w:r>
        <w:rPr>
          <w:szCs w:val="24"/>
        </w:rPr>
        <w:tab/>
        <w:t xml:space="preserve">Edmund </w:t>
      </w:r>
      <w:r w:rsidR="003516DE">
        <w:rPr>
          <w:szCs w:val="24"/>
        </w:rPr>
        <w:t xml:space="preserve">“Tad” </w:t>
      </w:r>
      <w:r>
        <w:rPr>
          <w:szCs w:val="24"/>
        </w:rPr>
        <w:t>Berger</w:t>
      </w:r>
    </w:p>
    <w:p w:rsidR="008F4B9B" w:rsidRDefault="008F4B9B" w:rsidP="008F4B9B">
      <w:pPr>
        <w:tabs>
          <w:tab w:val="left" w:pos="4320"/>
        </w:tabs>
        <w:rPr>
          <w:szCs w:val="24"/>
        </w:rPr>
      </w:pPr>
      <w:r>
        <w:rPr>
          <w:szCs w:val="24"/>
        </w:rPr>
        <w:tab/>
        <w:t>Assistant Consumers’ Counsel</w:t>
      </w:r>
    </w:p>
    <w:p w:rsidR="002430BB" w:rsidRDefault="002430BB" w:rsidP="002430BB">
      <w:pPr>
        <w:ind w:left="4320"/>
        <w:rPr>
          <w:b/>
        </w:rPr>
      </w:pPr>
    </w:p>
    <w:p w:rsidR="008F4B9B" w:rsidRPr="002430BB" w:rsidRDefault="008F4B9B" w:rsidP="002430BB">
      <w:pPr>
        <w:ind w:left="4320"/>
        <w:rPr>
          <w:b/>
        </w:rPr>
      </w:pPr>
      <w:r w:rsidRPr="002430BB">
        <w:rPr>
          <w:b/>
        </w:rPr>
        <w:t>Office of the Ohio Consumers’ Counsel</w:t>
      </w:r>
    </w:p>
    <w:p w:rsidR="008F4B9B" w:rsidRPr="002430BB" w:rsidRDefault="008F4B9B" w:rsidP="002430BB">
      <w:pPr>
        <w:ind w:left="4320"/>
      </w:pPr>
      <w:r w:rsidRPr="002430BB">
        <w:t>10 West Broad Street, Suite 1800</w:t>
      </w:r>
    </w:p>
    <w:p w:rsidR="008F4B9B" w:rsidRPr="002430BB" w:rsidRDefault="008F4B9B" w:rsidP="002430BB">
      <w:pPr>
        <w:ind w:left="4320"/>
      </w:pPr>
      <w:r w:rsidRPr="002430BB">
        <w:t>Columbus, Ohio 43215-3485</w:t>
      </w:r>
    </w:p>
    <w:p w:rsidR="008F4B9B" w:rsidRDefault="008F4B9B" w:rsidP="008F4B9B">
      <w:pPr>
        <w:autoSpaceDE w:val="0"/>
        <w:autoSpaceDN w:val="0"/>
        <w:adjustRightInd w:val="0"/>
        <w:ind w:left="3600" w:firstLine="720"/>
        <w:rPr>
          <w:szCs w:val="24"/>
        </w:rPr>
      </w:pPr>
      <w:r>
        <w:rPr>
          <w:szCs w:val="24"/>
        </w:rPr>
        <w:t>Telephone: (Berger) (614) 466-1292</w:t>
      </w:r>
    </w:p>
    <w:p w:rsidR="008F4B9B" w:rsidRDefault="008F4B9B" w:rsidP="008F4B9B">
      <w:pPr>
        <w:rPr>
          <w:szCs w:val="24"/>
        </w:rPr>
      </w:pPr>
      <w:r>
        <w:rPr>
          <w:szCs w:val="24"/>
        </w:rPr>
        <w:tab/>
      </w:r>
      <w:r>
        <w:rPr>
          <w:szCs w:val="24"/>
        </w:rPr>
        <w:tab/>
      </w:r>
      <w:r>
        <w:rPr>
          <w:szCs w:val="24"/>
        </w:rPr>
        <w:tab/>
      </w:r>
      <w:r>
        <w:rPr>
          <w:szCs w:val="24"/>
        </w:rPr>
        <w:tab/>
      </w:r>
      <w:r>
        <w:rPr>
          <w:szCs w:val="24"/>
        </w:rPr>
        <w:tab/>
      </w:r>
      <w:r>
        <w:rPr>
          <w:szCs w:val="24"/>
        </w:rPr>
        <w:tab/>
      </w:r>
      <w:r w:rsidR="003574F5" w:rsidRPr="00B51C54">
        <w:rPr>
          <w:szCs w:val="24"/>
        </w:rPr>
        <w:t>berger@occ.state.oh.us</w:t>
      </w:r>
    </w:p>
    <w:p w:rsidR="000C2FD2" w:rsidRDefault="000C2FD2">
      <w:pPr>
        <w:jc w:val="center"/>
        <w:rPr>
          <w:b/>
          <w:bCs/>
          <w:u w:val="single"/>
        </w:rPr>
      </w:pPr>
      <w:r>
        <w:rPr>
          <w:szCs w:val="24"/>
        </w:rPr>
        <w:br w:type="page"/>
      </w:r>
      <w:r>
        <w:rPr>
          <w:b/>
          <w:bCs/>
          <w:u w:val="single"/>
        </w:rPr>
        <w:t>CERTIFICATE OF SERVICE</w:t>
      </w:r>
    </w:p>
    <w:p w:rsidR="000C2FD2" w:rsidRDefault="000C2FD2">
      <w:pPr>
        <w:spacing w:line="480" w:lineRule="atLeast"/>
      </w:pPr>
      <w:r>
        <w:tab/>
        <w:t xml:space="preserve">I hereby certify that a copy of </w:t>
      </w:r>
      <w:r w:rsidR="005D50C5">
        <w:t xml:space="preserve">these </w:t>
      </w:r>
      <w:r w:rsidR="0058304D">
        <w:t>Reply Comments</w:t>
      </w:r>
      <w:r>
        <w:t xml:space="preserve"> was served on the persons stated below via electronic transmission to the persons listed below, this </w:t>
      </w:r>
      <w:r w:rsidR="00AE65FF">
        <w:t>6</w:t>
      </w:r>
      <w:r w:rsidR="00AE65FF" w:rsidRPr="00D33597">
        <w:rPr>
          <w:vertAlign w:val="superscript"/>
        </w:rPr>
        <w:t>th</w:t>
      </w:r>
      <w:r w:rsidR="00AE65FF">
        <w:t xml:space="preserve"> </w:t>
      </w:r>
      <w:r>
        <w:t xml:space="preserve">day of </w:t>
      </w:r>
      <w:r w:rsidR="00AE65FF">
        <w:t>September</w:t>
      </w:r>
      <w:r w:rsidR="00D33597">
        <w:t xml:space="preserve">, </w:t>
      </w:r>
      <w:r>
        <w:t>201</w:t>
      </w:r>
      <w:r w:rsidR="008F4B9B">
        <w:t>3</w:t>
      </w:r>
      <w:r>
        <w:t>.</w:t>
      </w:r>
    </w:p>
    <w:p w:rsidR="000C2FD2" w:rsidRDefault="000C2FD2" w:rsidP="00E01575"/>
    <w:p w:rsidR="000C2FD2" w:rsidRDefault="000C2FD2">
      <w:pPr>
        <w:tabs>
          <w:tab w:val="left" w:pos="4320"/>
        </w:tabs>
        <w:rPr>
          <w:i/>
          <w:u w:val="single"/>
        </w:rPr>
      </w:pPr>
      <w:r>
        <w:tab/>
      </w:r>
      <w:r w:rsidR="008F4B9B">
        <w:rPr>
          <w:i/>
          <w:u w:val="single"/>
        </w:rPr>
        <w:t xml:space="preserve">/s/ </w:t>
      </w:r>
      <w:r w:rsidR="0091287F">
        <w:rPr>
          <w:i/>
          <w:u w:val="single"/>
        </w:rPr>
        <w:t>Edmund “Tad” Berger</w:t>
      </w:r>
      <w:r>
        <w:rPr>
          <w:i/>
          <w:u w:val="single"/>
        </w:rPr>
        <w:tab/>
      </w:r>
      <w:r>
        <w:rPr>
          <w:i/>
          <w:u w:val="single"/>
        </w:rPr>
        <w:tab/>
      </w:r>
      <w:r>
        <w:rPr>
          <w:i/>
          <w:u w:val="single"/>
        </w:rPr>
        <w:tab/>
      </w:r>
    </w:p>
    <w:p w:rsidR="000C2FD2" w:rsidRDefault="000C2FD2">
      <w:pPr>
        <w:tabs>
          <w:tab w:val="left" w:pos="4320"/>
        </w:tabs>
      </w:pPr>
      <w:r>
        <w:tab/>
      </w:r>
      <w:r w:rsidR="0091287F">
        <w:t>Edmund “Tad” Berger</w:t>
      </w:r>
    </w:p>
    <w:p w:rsidR="000C2FD2" w:rsidRDefault="000C2FD2">
      <w:pPr>
        <w:tabs>
          <w:tab w:val="left" w:pos="4320"/>
        </w:tabs>
      </w:pPr>
      <w:r>
        <w:tab/>
        <w:t>Assistant Consumers’ Counsel</w:t>
      </w:r>
    </w:p>
    <w:p w:rsidR="000C2FD2" w:rsidRDefault="000C2FD2">
      <w:pPr>
        <w:pStyle w:val="CommentSubject"/>
      </w:pPr>
    </w:p>
    <w:p w:rsidR="000C2FD2" w:rsidRDefault="000C2FD2">
      <w:pPr>
        <w:pStyle w:val="CommentText"/>
        <w:jc w:val="center"/>
        <w:rPr>
          <w:b/>
          <w:u w:val="single"/>
        </w:rPr>
      </w:pPr>
      <w:r>
        <w:rPr>
          <w:b/>
          <w:u w:val="single"/>
        </w:rPr>
        <w:t>SERVICE LIST</w:t>
      </w:r>
    </w:p>
    <w:p w:rsidR="000C2FD2" w:rsidRDefault="000C2FD2">
      <w:pPr>
        <w:pStyle w:val="BodyText"/>
        <w:rPr>
          <w:b/>
          <w:bCs/>
        </w:rPr>
      </w:pPr>
    </w:p>
    <w:tbl>
      <w:tblPr>
        <w:tblW w:w="0" w:type="auto"/>
        <w:tblLook w:val="01E0" w:firstRow="1" w:lastRow="1" w:firstColumn="1" w:lastColumn="1" w:noHBand="0" w:noVBand="0"/>
      </w:tblPr>
      <w:tblGrid>
        <w:gridCol w:w="4428"/>
        <w:gridCol w:w="4428"/>
      </w:tblGrid>
      <w:tr w:rsidR="000C2FD2">
        <w:tc>
          <w:tcPr>
            <w:tcW w:w="4428" w:type="dxa"/>
            <w:shd w:val="clear" w:color="auto" w:fill="auto"/>
          </w:tcPr>
          <w:p w:rsidR="000C2FD2" w:rsidRPr="0058304D" w:rsidRDefault="00B45159" w:rsidP="002C5095">
            <w:pPr>
              <w:autoSpaceDE w:val="0"/>
              <w:autoSpaceDN w:val="0"/>
              <w:adjustRightInd w:val="0"/>
              <w:rPr>
                <w:bCs/>
                <w:szCs w:val="24"/>
              </w:rPr>
            </w:pPr>
            <w:r w:rsidRPr="0058304D">
              <w:rPr>
                <w:bCs/>
                <w:szCs w:val="24"/>
              </w:rPr>
              <w:t>Werner Margard</w:t>
            </w:r>
          </w:p>
          <w:p w:rsidR="00B45159" w:rsidRPr="0058304D" w:rsidRDefault="00B45159" w:rsidP="002C5095">
            <w:pPr>
              <w:autoSpaceDE w:val="0"/>
              <w:autoSpaceDN w:val="0"/>
              <w:adjustRightInd w:val="0"/>
              <w:rPr>
                <w:bCs/>
                <w:szCs w:val="24"/>
              </w:rPr>
            </w:pPr>
            <w:r w:rsidRPr="0058304D">
              <w:rPr>
                <w:bCs/>
                <w:szCs w:val="24"/>
              </w:rPr>
              <w:t>Steven Beeler</w:t>
            </w:r>
          </w:p>
          <w:p w:rsidR="00B45159" w:rsidRPr="0058304D" w:rsidRDefault="00B45159" w:rsidP="002C5095">
            <w:pPr>
              <w:autoSpaceDE w:val="0"/>
              <w:autoSpaceDN w:val="0"/>
              <w:adjustRightInd w:val="0"/>
              <w:rPr>
                <w:bCs/>
                <w:szCs w:val="24"/>
              </w:rPr>
            </w:pPr>
            <w:r w:rsidRPr="0058304D">
              <w:rPr>
                <w:bCs/>
                <w:szCs w:val="24"/>
              </w:rPr>
              <w:t>Public Utilities Commission of Ohio</w:t>
            </w:r>
          </w:p>
          <w:p w:rsidR="00B45159" w:rsidRPr="0058304D" w:rsidRDefault="00B45159" w:rsidP="002C5095">
            <w:pPr>
              <w:autoSpaceDE w:val="0"/>
              <w:autoSpaceDN w:val="0"/>
              <w:adjustRightInd w:val="0"/>
              <w:rPr>
                <w:bCs/>
                <w:szCs w:val="24"/>
              </w:rPr>
            </w:pPr>
            <w:r w:rsidRPr="0058304D">
              <w:rPr>
                <w:bCs/>
                <w:szCs w:val="24"/>
              </w:rPr>
              <w:t>180 E. Broad St., 6</w:t>
            </w:r>
            <w:r w:rsidRPr="0058304D">
              <w:rPr>
                <w:bCs/>
                <w:szCs w:val="24"/>
                <w:vertAlign w:val="superscript"/>
              </w:rPr>
              <w:t>th</w:t>
            </w:r>
            <w:r w:rsidRPr="0058304D">
              <w:rPr>
                <w:bCs/>
                <w:szCs w:val="24"/>
              </w:rPr>
              <w:t xml:space="preserve"> Fl.</w:t>
            </w:r>
          </w:p>
          <w:p w:rsidR="00B45159" w:rsidRPr="0058304D" w:rsidRDefault="00B45159" w:rsidP="002C5095">
            <w:pPr>
              <w:autoSpaceDE w:val="0"/>
              <w:autoSpaceDN w:val="0"/>
              <w:adjustRightInd w:val="0"/>
              <w:rPr>
                <w:bCs/>
                <w:szCs w:val="24"/>
              </w:rPr>
            </w:pPr>
            <w:r w:rsidRPr="0058304D">
              <w:rPr>
                <w:bCs/>
                <w:szCs w:val="24"/>
              </w:rPr>
              <w:t>Columbus, O</w:t>
            </w:r>
            <w:r w:rsidR="00E01575">
              <w:rPr>
                <w:bCs/>
                <w:szCs w:val="24"/>
              </w:rPr>
              <w:t>hio</w:t>
            </w:r>
            <w:r w:rsidRPr="0058304D">
              <w:rPr>
                <w:bCs/>
                <w:szCs w:val="24"/>
              </w:rPr>
              <w:t xml:space="preserve"> 43215</w:t>
            </w:r>
          </w:p>
          <w:p w:rsidR="00B45159" w:rsidRPr="0058304D" w:rsidRDefault="003574F5" w:rsidP="002C5095">
            <w:pPr>
              <w:autoSpaceDE w:val="0"/>
              <w:autoSpaceDN w:val="0"/>
              <w:adjustRightInd w:val="0"/>
              <w:rPr>
                <w:bCs/>
                <w:szCs w:val="24"/>
              </w:rPr>
            </w:pPr>
            <w:r w:rsidRPr="00B51C54">
              <w:rPr>
                <w:bCs/>
                <w:szCs w:val="24"/>
              </w:rPr>
              <w:t>Werner.margard@puc.state.oh.us</w:t>
            </w:r>
          </w:p>
          <w:p w:rsidR="00B45159" w:rsidRPr="0058304D" w:rsidRDefault="003574F5" w:rsidP="002C5095">
            <w:pPr>
              <w:autoSpaceDE w:val="0"/>
              <w:autoSpaceDN w:val="0"/>
              <w:adjustRightInd w:val="0"/>
              <w:rPr>
                <w:bCs/>
                <w:szCs w:val="24"/>
              </w:rPr>
            </w:pPr>
            <w:r w:rsidRPr="00B51C54">
              <w:rPr>
                <w:bCs/>
                <w:szCs w:val="24"/>
              </w:rPr>
              <w:t>Steven.beeler@puc.state.oh.us</w:t>
            </w:r>
          </w:p>
          <w:p w:rsidR="00B45159" w:rsidRPr="0058304D" w:rsidRDefault="00B45159" w:rsidP="002C5095">
            <w:pPr>
              <w:autoSpaceDE w:val="0"/>
              <w:autoSpaceDN w:val="0"/>
              <w:adjustRightInd w:val="0"/>
              <w:rPr>
                <w:bCs/>
                <w:szCs w:val="24"/>
              </w:rPr>
            </w:pPr>
          </w:p>
          <w:p w:rsidR="003574F5" w:rsidRPr="0058304D" w:rsidRDefault="003574F5" w:rsidP="003574F5">
            <w:pPr>
              <w:autoSpaceDE w:val="0"/>
              <w:autoSpaceDN w:val="0"/>
              <w:adjustRightInd w:val="0"/>
              <w:rPr>
                <w:szCs w:val="24"/>
              </w:rPr>
            </w:pPr>
            <w:r w:rsidRPr="0058304D">
              <w:rPr>
                <w:szCs w:val="24"/>
              </w:rPr>
              <w:t>David F. Boehm</w:t>
            </w:r>
          </w:p>
          <w:p w:rsidR="003574F5" w:rsidRPr="0058304D" w:rsidRDefault="003574F5" w:rsidP="003574F5">
            <w:pPr>
              <w:autoSpaceDE w:val="0"/>
              <w:autoSpaceDN w:val="0"/>
              <w:adjustRightInd w:val="0"/>
              <w:rPr>
                <w:szCs w:val="24"/>
              </w:rPr>
            </w:pPr>
            <w:r w:rsidRPr="0058304D">
              <w:rPr>
                <w:szCs w:val="24"/>
              </w:rPr>
              <w:t>Michael L. Kurtz</w:t>
            </w:r>
          </w:p>
          <w:p w:rsidR="003574F5" w:rsidRPr="0058304D" w:rsidRDefault="003574F5" w:rsidP="003574F5">
            <w:pPr>
              <w:autoSpaceDE w:val="0"/>
              <w:autoSpaceDN w:val="0"/>
              <w:adjustRightInd w:val="0"/>
              <w:rPr>
                <w:szCs w:val="24"/>
              </w:rPr>
            </w:pPr>
            <w:r w:rsidRPr="0058304D">
              <w:rPr>
                <w:szCs w:val="24"/>
              </w:rPr>
              <w:t>Jody Kyler Cohn</w:t>
            </w:r>
          </w:p>
          <w:p w:rsidR="003574F5" w:rsidRPr="0058304D" w:rsidRDefault="003574F5" w:rsidP="003574F5">
            <w:pPr>
              <w:autoSpaceDE w:val="0"/>
              <w:autoSpaceDN w:val="0"/>
              <w:adjustRightInd w:val="0"/>
              <w:rPr>
                <w:szCs w:val="24"/>
              </w:rPr>
            </w:pPr>
            <w:r w:rsidRPr="0058304D">
              <w:rPr>
                <w:szCs w:val="24"/>
              </w:rPr>
              <w:t>Boehm, Kurtz &amp; Lowry</w:t>
            </w:r>
          </w:p>
          <w:p w:rsidR="003574F5" w:rsidRPr="0058304D" w:rsidRDefault="003574F5" w:rsidP="003574F5">
            <w:pPr>
              <w:autoSpaceDE w:val="0"/>
              <w:autoSpaceDN w:val="0"/>
              <w:adjustRightInd w:val="0"/>
              <w:rPr>
                <w:szCs w:val="24"/>
              </w:rPr>
            </w:pPr>
            <w:r w:rsidRPr="0058304D">
              <w:rPr>
                <w:szCs w:val="24"/>
              </w:rPr>
              <w:t>36 East Seventh Street, Suite 1510</w:t>
            </w:r>
          </w:p>
          <w:p w:rsidR="003574F5" w:rsidRPr="0058304D" w:rsidRDefault="003574F5" w:rsidP="003574F5">
            <w:pPr>
              <w:autoSpaceDE w:val="0"/>
              <w:autoSpaceDN w:val="0"/>
              <w:adjustRightInd w:val="0"/>
              <w:rPr>
                <w:szCs w:val="24"/>
              </w:rPr>
            </w:pPr>
            <w:r w:rsidRPr="0058304D">
              <w:rPr>
                <w:szCs w:val="24"/>
              </w:rPr>
              <w:t>Cincinnati, O</w:t>
            </w:r>
            <w:r w:rsidR="00E01575">
              <w:rPr>
                <w:szCs w:val="24"/>
              </w:rPr>
              <w:t>hio</w:t>
            </w:r>
            <w:r w:rsidRPr="0058304D">
              <w:rPr>
                <w:szCs w:val="24"/>
              </w:rPr>
              <w:t xml:space="preserve"> 45202</w:t>
            </w:r>
          </w:p>
          <w:p w:rsidR="003574F5" w:rsidRPr="0058304D" w:rsidRDefault="003574F5" w:rsidP="003574F5">
            <w:pPr>
              <w:autoSpaceDE w:val="0"/>
              <w:autoSpaceDN w:val="0"/>
              <w:adjustRightInd w:val="0"/>
              <w:rPr>
                <w:szCs w:val="24"/>
              </w:rPr>
            </w:pPr>
            <w:r w:rsidRPr="00B51C54">
              <w:rPr>
                <w:szCs w:val="24"/>
              </w:rPr>
              <w:t>dboehm@BKLlawfirm.com</w:t>
            </w:r>
          </w:p>
          <w:p w:rsidR="003574F5" w:rsidRPr="0058304D" w:rsidRDefault="003574F5" w:rsidP="003574F5">
            <w:pPr>
              <w:autoSpaceDE w:val="0"/>
              <w:autoSpaceDN w:val="0"/>
              <w:adjustRightInd w:val="0"/>
              <w:rPr>
                <w:szCs w:val="24"/>
              </w:rPr>
            </w:pPr>
            <w:r w:rsidRPr="00B51C54">
              <w:rPr>
                <w:szCs w:val="24"/>
              </w:rPr>
              <w:t>rnkurtz@BKLIawfirm.com</w:t>
            </w:r>
          </w:p>
          <w:p w:rsidR="003574F5" w:rsidRPr="0058304D" w:rsidRDefault="003574F5" w:rsidP="003574F5">
            <w:pPr>
              <w:autoSpaceDE w:val="0"/>
              <w:autoSpaceDN w:val="0"/>
              <w:adjustRightInd w:val="0"/>
              <w:rPr>
                <w:szCs w:val="24"/>
              </w:rPr>
            </w:pPr>
            <w:r w:rsidRPr="00B51C54">
              <w:rPr>
                <w:szCs w:val="24"/>
              </w:rPr>
              <w:t>jkylercohn@BKLlawfirm.com</w:t>
            </w:r>
          </w:p>
          <w:p w:rsidR="003574F5" w:rsidRPr="0058304D" w:rsidRDefault="003574F5" w:rsidP="003574F5">
            <w:pPr>
              <w:autoSpaceDE w:val="0"/>
              <w:autoSpaceDN w:val="0"/>
              <w:adjustRightInd w:val="0"/>
              <w:rPr>
                <w:bCs/>
                <w:szCs w:val="24"/>
              </w:rPr>
            </w:pPr>
          </w:p>
          <w:p w:rsidR="003574F5" w:rsidRPr="0058304D" w:rsidRDefault="0058304D" w:rsidP="003574F5">
            <w:pPr>
              <w:autoSpaceDE w:val="0"/>
              <w:autoSpaceDN w:val="0"/>
              <w:adjustRightInd w:val="0"/>
              <w:rPr>
                <w:szCs w:val="24"/>
              </w:rPr>
            </w:pPr>
            <w:r w:rsidRPr="0058304D">
              <w:rPr>
                <w:szCs w:val="24"/>
              </w:rPr>
              <w:t xml:space="preserve">Mark A. Hayden </w:t>
            </w:r>
          </w:p>
          <w:p w:rsidR="003574F5" w:rsidRPr="0058304D" w:rsidRDefault="0058304D" w:rsidP="003574F5">
            <w:pPr>
              <w:autoSpaceDE w:val="0"/>
              <w:autoSpaceDN w:val="0"/>
              <w:adjustRightInd w:val="0"/>
              <w:rPr>
                <w:szCs w:val="24"/>
              </w:rPr>
            </w:pPr>
            <w:r w:rsidRPr="0058304D">
              <w:rPr>
                <w:szCs w:val="24"/>
              </w:rPr>
              <w:t>FirstEnergy Service Company</w:t>
            </w:r>
          </w:p>
          <w:p w:rsidR="003574F5" w:rsidRPr="0058304D" w:rsidRDefault="003574F5" w:rsidP="003574F5">
            <w:pPr>
              <w:autoSpaceDE w:val="0"/>
              <w:autoSpaceDN w:val="0"/>
              <w:adjustRightInd w:val="0"/>
              <w:rPr>
                <w:szCs w:val="24"/>
              </w:rPr>
            </w:pPr>
            <w:r w:rsidRPr="0058304D">
              <w:rPr>
                <w:szCs w:val="24"/>
              </w:rPr>
              <w:t>76 South Main Street</w:t>
            </w:r>
          </w:p>
          <w:p w:rsidR="003574F5" w:rsidRPr="0058304D" w:rsidRDefault="003574F5" w:rsidP="003574F5">
            <w:pPr>
              <w:autoSpaceDE w:val="0"/>
              <w:autoSpaceDN w:val="0"/>
              <w:adjustRightInd w:val="0"/>
              <w:rPr>
                <w:szCs w:val="24"/>
              </w:rPr>
            </w:pPr>
            <w:r w:rsidRPr="0058304D">
              <w:rPr>
                <w:szCs w:val="24"/>
              </w:rPr>
              <w:t>Akron, O</w:t>
            </w:r>
            <w:r w:rsidR="00E01575">
              <w:rPr>
                <w:szCs w:val="24"/>
              </w:rPr>
              <w:t>hio</w:t>
            </w:r>
            <w:r w:rsidRPr="0058304D">
              <w:rPr>
                <w:szCs w:val="24"/>
              </w:rPr>
              <w:t xml:space="preserve"> 44308</w:t>
            </w:r>
          </w:p>
          <w:p w:rsidR="0058304D" w:rsidRDefault="00E01575" w:rsidP="002C5095">
            <w:pPr>
              <w:autoSpaceDE w:val="0"/>
              <w:autoSpaceDN w:val="0"/>
              <w:adjustRightInd w:val="0"/>
              <w:rPr>
                <w:szCs w:val="24"/>
              </w:rPr>
            </w:pPr>
            <w:r w:rsidRPr="00E01575">
              <w:rPr>
                <w:szCs w:val="24"/>
              </w:rPr>
              <w:t>haydenm@firstenergycorp.com</w:t>
            </w:r>
          </w:p>
          <w:p w:rsidR="00E01575" w:rsidRDefault="00E01575" w:rsidP="002C5095">
            <w:pPr>
              <w:autoSpaceDE w:val="0"/>
              <w:autoSpaceDN w:val="0"/>
              <w:adjustRightInd w:val="0"/>
              <w:rPr>
                <w:szCs w:val="24"/>
              </w:rPr>
            </w:pPr>
          </w:p>
          <w:p w:rsidR="00E01575" w:rsidRDefault="00E01575" w:rsidP="002C5095">
            <w:pPr>
              <w:autoSpaceDE w:val="0"/>
              <w:autoSpaceDN w:val="0"/>
              <w:adjustRightInd w:val="0"/>
              <w:rPr>
                <w:szCs w:val="24"/>
              </w:rPr>
            </w:pPr>
            <w:r>
              <w:rPr>
                <w:szCs w:val="24"/>
              </w:rPr>
              <w:t>M. Howard Petricoff</w:t>
            </w:r>
          </w:p>
          <w:p w:rsidR="00E01575" w:rsidRDefault="00E01575" w:rsidP="002C5095">
            <w:pPr>
              <w:autoSpaceDE w:val="0"/>
              <w:autoSpaceDN w:val="0"/>
              <w:adjustRightInd w:val="0"/>
              <w:rPr>
                <w:szCs w:val="24"/>
              </w:rPr>
            </w:pPr>
            <w:r>
              <w:rPr>
                <w:szCs w:val="24"/>
              </w:rPr>
              <w:t>Vorys, Sater, Seymour and Pease LLP</w:t>
            </w:r>
          </w:p>
          <w:p w:rsidR="00E01575" w:rsidRDefault="00E01575" w:rsidP="002C5095">
            <w:pPr>
              <w:autoSpaceDE w:val="0"/>
              <w:autoSpaceDN w:val="0"/>
              <w:adjustRightInd w:val="0"/>
              <w:rPr>
                <w:szCs w:val="24"/>
              </w:rPr>
            </w:pPr>
            <w:r>
              <w:rPr>
                <w:szCs w:val="24"/>
              </w:rPr>
              <w:t>52 East Gay Street</w:t>
            </w:r>
          </w:p>
          <w:p w:rsidR="00E01575" w:rsidRDefault="00E01575" w:rsidP="002C5095">
            <w:pPr>
              <w:autoSpaceDE w:val="0"/>
              <w:autoSpaceDN w:val="0"/>
              <w:adjustRightInd w:val="0"/>
              <w:rPr>
                <w:szCs w:val="24"/>
              </w:rPr>
            </w:pPr>
            <w:r>
              <w:rPr>
                <w:szCs w:val="24"/>
              </w:rPr>
              <w:t>P.O. Box 1008</w:t>
            </w:r>
          </w:p>
          <w:p w:rsidR="0058304D" w:rsidRDefault="00E01575" w:rsidP="002C5095">
            <w:pPr>
              <w:autoSpaceDE w:val="0"/>
              <w:autoSpaceDN w:val="0"/>
              <w:adjustRightInd w:val="0"/>
              <w:rPr>
                <w:szCs w:val="24"/>
              </w:rPr>
            </w:pPr>
            <w:r>
              <w:rPr>
                <w:szCs w:val="24"/>
              </w:rPr>
              <w:t>Columbus, Ohio  43216-1008</w:t>
            </w:r>
          </w:p>
          <w:p w:rsidR="00E01575" w:rsidRDefault="00E01575" w:rsidP="002C5095">
            <w:pPr>
              <w:autoSpaceDE w:val="0"/>
              <w:autoSpaceDN w:val="0"/>
              <w:adjustRightInd w:val="0"/>
              <w:rPr>
                <w:bCs/>
                <w:szCs w:val="24"/>
              </w:rPr>
            </w:pPr>
            <w:r>
              <w:rPr>
                <w:szCs w:val="24"/>
              </w:rPr>
              <w:t>mhpetricoff@vorys.com</w:t>
            </w:r>
          </w:p>
          <w:p w:rsidR="0058304D" w:rsidRDefault="0058304D" w:rsidP="002C5095">
            <w:pPr>
              <w:autoSpaceDE w:val="0"/>
              <w:autoSpaceDN w:val="0"/>
              <w:adjustRightInd w:val="0"/>
              <w:rPr>
                <w:bCs/>
                <w:szCs w:val="24"/>
              </w:rPr>
            </w:pPr>
          </w:p>
          <w:p w:rsidR="002430BB" w:rsidRPr="0058304D" w:rsidRDefault="002430BB" w:rsidP="002C5095">
            <w:pPr>
              <w:autoSpaceDE w:val="0"/>
              <w:autoSpaceDN w:val="0"/>
              <w:adjustRightInd w:val="0"/>
              <w:rPr>
                <w:bCs/>
                <w:szCs w:val="24"/>
              </w:rPr>
            </w:pPr>
            <w:r w:rsidRPr="0058304D">
              <w:rPr>
                <w:bCs/>
                <w:szCs w:val="24"/>
              </w:rPr>
              <w:t xml:space="preserve">AE:  </w:t>
            </w:r>
            <w:r w:rsidR="003574F5" w:rsidRPr="00B51C54">
              <w:rPr>
                <w:bCs/>
                <w:szCs w:val="24"/>
              </w:rPr>
              <w:t>Jonathan.tauber@puc.state.oh.us</w:t>
            </w:r>
          </w:p>
          <w:p w:rsidR="002430BB" w:rsidRPr="0058304D" w:rsidRDefault="003574F5" w:rsidP="00E01575">
            <w:pPr>
              <w:autoSpaceDE w:val="0"/>
              <w:autoSpaceDN w:val="0"/>
              <w:adjustRightInd w:val="0"/>
              <w:rPr>
                <w:bCs/>
                <w:szCs w:val="24"/>
              </w:rPr>
            </w:pPr>
            <w:r w:rsidRPr="0058304D">
              <w:rPr>
                <w:bCs/>
                <w:szCs w:val="24"/>
              </w:rPr>
              <w:t xml:space="preserve">        </w:t>
            </w:r>
            <w:r w:rsidRPr="00B51C54">
              <w:rPr>
                <w:bCs/>
                <w:szCs w:val="24"/>
              </w:rPr>
              <w:t>Sarah.parrot@puc.state.oh.us</w:t>
            </w:r>
          </w:p>
        </w:tc>
        <w:tc>
          <w:tcPr>
            <w:tcW w:w="4428" w:type="dxa"/>
            <w:shd w:val="clear" w:color="auto" w:fill="auto"/>
          </w:tcPr>
          <w:p w:rsidR="00B45159" w:rsidRPr="0058304D" w:rsidRDefault="00B45159" w:rsidP="00B45159">
            <w:pPr>
              <w:autoSpaceDE w:val="0"/>
              <w:autoSpaceDN w:val="0"/>
              <w:adjustRightInd w:val="0"/>
              <w:rPr>
                <w:szCs w:val="24"/>
              </w:rPr>
            </w:pPr>
            <w:r w:rsidRPr="0058304D">
              <w:rPr>
                <w:szCs w:val="24"/>
              </w:rPr>
              <w:t>Steven T. Nourse</w:t>
            </w:r>
          </w:p>
          <w:p w:rsidR="00B45159" w:rsidRPr="0058304D" w:rsidRDefault="00B45159" w:rsidP="00B45159">
            <w:pPr>
              <w:autoSpaceDE w:val="0"/>
              <w:autoSpaceDN w:val="0"/>
              <w:adjustRightInd w:val="0"/>
              <w:rPr>
                <w:szCs w:val="24"/>
              </w:rPr>
            </w:pPr>
            <w:r w:rsidRPr="0058304D">
              <w:rPr>
                <w:szCs w:val="24"/>
              </w:rPr>
              <w:t>Matthew J. Satterwhite</w:t>
            </w:r>
          </w:p>
          <w:p w:rsidR="00B45159" w:rsidRPr="0058304D" w:rsidRDefault="00B45159" w:rsidP="00B45159">
            <w:pPr>
              <w:autoSpaceDE w:val="0"/>
              <w:autoSpaceDN w:val="0"/>
              <w:adjustRightInd w:val="0"/>
              <w:rPr>
                <w:szCs w:val="24"/>
              </w:rPr>
            </w:pPr>
            <w:r w:rsidRPr="0058304D">
              <w:rPr>
                <w:szCs w:val="24"/>
              </w:rPr>
              <w:t>Yazen Alami</w:t>
            </w:r>
          </w:p>
          <w:p w:rsidR="00B45159" w:rsidRPr="0058304D" w:rsidRDefault="00B45159" w:rsidP="00B45159">
            <w:pPr>
              <w:autoSpaceDE w:val="0"/>
              <w:autoSpaceDN w:val="0"/>
              <w:adjustRightInd w:val="0"/>
              <w:rPr>
                <w:szCs w:val="24"/>
              </w:rPr>
            </w:pPr>
            <w:r w:rsidRPr="0058304D">
              <w:rPr>
                <w:szCs w:val="24"/>
              </w:rPr>
              <w:t>AEP Service Corporation</w:t>
            </w:r>
          </w:p>
          <w:p w:rsidR="00B45159" w:rsidRPr="0058304D" w:rsidRDefault="00B45159" w:rsidP="00B45159">
            <w:pPr>
              <w:autoSpaceDE w:val="0"/>
              <w:autoSpaceDN w:val="0"/>
              <w:adjustRightInd w:val="0"/>
              <w:rPr>
                <w:szCs w:val="24"/>
              </w:rPr>
            </w:pPr>
            <w:r w:rsidRPr="0058304D">
              <w:rPr>
                <w:szCs w:val="24"/>
              </w:rPr>
              <w:t>1 Riverside Plaza, 29th Floor</w:t>
            </w:r>
          </w:p>
          <w:p w:rsidR="00B45159" w:rsidRPr="0058304D" w:rsidRDefault="00B45159" w:rsidP="00B45159">
            <w:pPr>
              <w:autoSpaceDE w:val="0"/>
              <w:autoSpaceDN w:val="0"/>
              <w:adjustRightInd w:val="0"/>
              <w:rPr>
                <w:szCs w:val="24"/>
              </w:rPr>
            </w:pPr>
            <w:r w:rsidRPr="0058304D">
              <w:rPr>
                <w:szCs w:val="24"/>
              </w:rPr>
              <w:t>Columbus, O</w:t>
            </w:r>
            <w:r w:rsidR="00E01575">
              <w:rPr>
                <w:szCs w:val="24"/>
              </w:rPr>
              <w:t>hio</w:t>
            </w:r>
            <w:r w:rsidRPr="0058304D">
              <w:rPr>
                <w:szCs w:val="24"/>
              </w:rPr>
              <w:t xml:space="preserve"> 43215</w:t>
            </w:r>
          </w:p>
          <w:p w:rsidR="00B45159" w:rsidRPr="0058304D" w:rsidRDefault="003574F5" w:rsidP="00B45159">
            <w:pPr>
              <w:autoSpaceDE w:val="0"/>
              <w:autoSpaceDN w:val="0"/>
              <w:adjustRightInd w:val="0"/>
              <w:rPr>
                <w:szCs w:val="24"/>
              </w:rPr>
            </w:pPr>
            <w:r w:rsidRPr="00B51C54">
              <w:rPr>
                <w:szCs w:val="24"/>
              </w:rPr>
              <w:t>stnourse@aep.com</w:t>
            </w:r>
          </w:p>
          <w:p w:rsidR="00B45159" w:rsidRPr="0058304D" w:rsidRDefault="003574F5" w:rsidP="00B45159">
            <w:pPr>
              <w:autoSpaceDE w:val="0"/>
              <w:autoSpaceDN w:val="0"/>
              <w:adjustRightInd w:val="0"/>
              <w:rPr>
                <w:szCs w:val="24"/>
              </w:rPr>
            </w:pPr>
            <w:r w:rsidRPr="00B51C54">
              <w:rPr>
                <w:szCs w:val="24"/>
              </w:rPr>
              <w:t>mjsatterwhite@aep.com</w:t>
            </w:r>
          </w:p>
          <w:p w:rsidR="00B45159" w:rsidRPr="00546A10" w:rsidRDefault="003574F5" w:rsidP="00B45159">
            <w:pPr>
              <w:pStyle w:val="BodyText"/>
              <w:rPr>
                <w:szCs w:val="24"/>
              </w:rPr>
            </w:pPr>
            <w:r w:rsidRPr="00546A10">
              <w:rPr>
                <w:szCs w:val="24"/>
              </w:rPr>
              <w:t>yalami@aep.com</w:t>
            </w:r>
          </w:p>
          <w:p w:rsidR="003574F5" w:rsidRPr="00546A10" w:rsidRDefault="003574F5" w:rsidP="00B45159">
            <w:pPr>
              <w:pStyle w:val="BodyText"/>
              <w:rPr>
                <w:szCs w:val="24"/>
              </w:rPr>
            </w:pPr>
          </w:p>
          <w:p w:rsidR="003574F5" w:rsidRPr="0058304D" w:rsidRDefault="003574F5" w:rsidP="003574F5">
            <w:pPr>
              <w:autoSpaceDE w:val="0"/>
              <w:autoSpaceDN w:val="0"/>
              <w:adjustRightInd w:val="0"/>
              <w:rPr>
                <w:szCs w:val="24"/>
              </w:rPr>
            </w:pPr>
            <w:r w:rsidRPr="0058304D">
              <w:rPr>
                <w:szCs w:val="24"/>
              </w:rPr>
              <w:t>Frank P. Darr</w:t>
            </w:r>
          </w:p>
          <w:p w:rsidR="003574F5" w:rsidRPr="0058304D" w:rsidRDefault="003574F5" w:rsidP="003574F5">
            <w:pPr>
              <w:autoSpaceDE w:val="0"/>
              <w:autoSpaceDN w:val="0"/>
              <w:adjustRightInd w:val="0"/>
              <w:rPr>
                <w:szCs w:val="24"/>
              </w:rPr>
            </w:pPr>
            <w:r w:rsidRPr="0058304D">
              <w:rPr>
                <w:szCs w:val="24"/>
              </w:rPr>
              <w:t>Joseph E. Oliker</w:t>
            </w:r>
          </w:p>
          <w:p w:rsidR="003574F5" w:rsidRPr="0058304D" w:rsidRDefault="003574F5" w:rsidP="003574F5">
            <w:pPr>
              <w:autoSpaceDE w:val="0"/>
              <w:autoSpaceDN w:val="0"/>
              <w:adjustRightInd w:val="0"/>
              <w:rPr>
                <w:szCs w:val="24"/>
              </w:rPr>
            </w:pPr>
            <w:r w:rsidRPr="0058304D">
              <w:rPr>
                <w:szCs w:val="24"/>
              </w:rPr>
              <w:t>Matthew R. Pritchard</w:t>
            </w:r>
          </w:p>
          <w:p w:rsidR="003574F5" w:rsidRPr="0058304D" w:rsidRDefault="003574F5" w:rsidP="003574F5">
            <w:pPr>
              <w:autoSpaceDE w:val="0"/>
              <w:autoSpaceDN w:val="0"/>
              <w:adjustRightInd w:val="0"/>
              <w:rPr>
                <w:szCs w:val="24"/>
              </w:rPr>
            </w:pPr>
            <w:r w:rsidRPr="0058304D">
              <w:rPr>
                <w:szCs w:val="24"/>
              </w:rPr>
              <w:t>McNees Wallace &amp; Nurick LLC</w:t>
            </w:r>
          </w:p>
          <w:p w:rsidR="003574F5" w:rsidRPr="0058304D" w:rsidRDefault="003574F5" w:rsidP="003574F5">
            <w:pPr>
              <w:autoSpaceDE w:val="0"/>
              <w:autoSpaceDN w:val="0"/>
              <w:adjustRightInd w:val="0"/>
              <w:rPr>
                <w:szCs w:val="24"/>
              </w:rPr>
            </w:pPr>
            <w:r w:rsidRPr="0058304D">
              <w:rPr>
                <w:szCs w:val="24"/>
              </w:rPr>
              <w:t>Fifth Third Center</w:t>
            </w:r>
          </w:p>
          <w:p w:rsidR="003574F5" w:rsidRPr="0058304D" w:rsidRDefault="003574F5" w:rsidP="003574F5">
            <w:pPr>
              <w:autoSpaceDE w:val="0"/>
              <w:autoSpaceDN w:val="0"/>
              <w:adjustRightInd w:val="0"/>
              <w:rPr>
                <w:szCs w:val="24"/>
              </w:rPr>
            </w:pPr>
            <w:r w:rsidRPr="0058304D">
              <w:rPr>
                <w:szCs w:val="24"/>
              </w:rPr>
              <w:t>21 East State Street, 17th Floor</w:t>
            </w:r>
          </w:p>
          <w:p w:rsidR="003574F5" w:rsidRPr="0058304D" w:rsidRDefault="003574F5" w:rsidP="003574F5">
            <w:pPr>
              <w:autoSpaceDE w:val="0"/>
              <w:autoSpaceDN w:val="0"/>
              <w:adjustRightInd w:val="0"/>
              <w:rPr>
                <w:szCs w:val="24"/>
              </w:rPr>
            </w:pPr>
            <w:r w:rsidRPr="0058304D">
              <w:rPr>
                <w:szCs w:val="24"/>
              </w:rPr>
              <w:t>Columbus, O</w:t>
            </w:r>
            <w:r w:rsidR="00E01575">
              <w:rPr>
                <w:szCs w:val="24"/>
              </w:rPr>
              <w:t>hio</w:t>
            </w:r>
            <w:r w:rsidRPr="0058304D">
              <w:rPr>
                <w:szCs w:val="24"/>
              </w:rPr>
              <w:t xml:space="preserve"> 43215</w:t>
            </w:r>
          </w:p>
          <w:p w:rsidR="003574F5" w:rsidRPr="0058304D" w:rsidRDefault="003574F5" w:rsidP="003574F5">
            <w:pPr>
              <w:autoSpaceDE w:val="0"/>
              <w:autoSpaceDN w:val="0"/>
              <w:adjustRightInd w:val="0"/>
              <w:rPr>
                <w:szCs w:val="24"/>
              </w:rPr>
            </w:pPr>
            <w:r w:rsidRPr="00B51C54">
              <w:rPr>
                <w:szCs w:val="24"/>
              </w:rPr>
              <w:t>sam@mwncmh.com</w:t>
            </w:r>
          </w:p>
          <w:p w:rsidR="003574F5" w:rsidRPr="0058304D" w:rsidRDefault="003574F5" w:rsidP="003574F5">
            <w:pPr>
              <w:autoSpaceDE w:val="0"/>
              <w:autoSpaceDN w:val="0"/>
              <w:adjustRightInd w:val="0"/>
              <w:rPr>
                <w:szCs w:val="24"/>
              </w:rPr>
            </w:pPr>
            <w:r w:rsidRPr="00B51C54">
              <w:rPr>
                <w:szCs w:val="24"/>
              </w:rPr>
              <w:t>fdarr@mwncmh.com</w:t>
            </w:r>
          </w:p>
          <w:p w:rsidR="003574F5" w:rsidRPr="0058304D" w:rsidRDefault="003574F5" w:rsidP="003574F5">
            <w:pPr>
              <w:autoSpaceDE w:val="0"/>
              <w:autoSpaceDN w:val="0"/>
              <w:adjustRightInd w:val="0"/>
              <w:rPr>
                <w:szCs w:val="24"/>
              </w:rPr>
            </w:pPr>
            <w:r w:rsidRPr="00B51C54">
              <w:rPr>
                <w:szCs w:val="24"/>
              </w:rPr>
              <w:t>joliker@mwncmh.com</w:t>
            </w:r>
          </w:p>
          <w:p w:rsidR="003574F5" w:rsidRPr="00546A10" w:rsidRDefault="003574F5" w:rsidP="003574F5">
            <w:pPr>
              <w:pStyle w:val="BodyText"/>
              <w:rPr>
                <w:szCs w:val="24"/>
              </w:rPr>
            </w:pPr>
            <w:r w:rsidRPr="00546A10">
              <w:rPr>
                <w:szCs w:val="24"/>
              </w:rPr>
              <w:t>mpritchard@mwncmh.com</w:t>
            </w:r>
          </w:p>
          <w:p w:rsidR="003574F5" w:rsidRPr="00546A10" w:rsidRDefault="003574F5" w:rsidP="00B45159">
            <w:pPr>
              <w:pStyle w:val="BodyText"/>
              <w:rPr>
                <w:szCs w:val="24"/>
              </w:rPr>
            </w:pPr>
          </w:p>
          <w:p w:rsidR="0058304D" w:rsidRPr="0058304D" w:rsidRDefault="0058304D" w:rsidP="0058304D">
            <w:pPr>
              <w:autoSpaceDE w:val="0"/>
              <w:autoSpaceDN w:val="0"/>
              <w:adjustRightInd w:val="0"/>
              <w:rPr>
                <w:szCs w:val="24"/>
              </w:rPr>
            </w:pPr>
            <w:r w:rsidRPr="0058304D">
              <w:rPr>
                <w:szCs w:val="24"/>
              </w:rPr>
              <w:t xml:space="preserve">Vincent Parisi </w:t>
            </w:r>
          </w:p>
          <w:p w:rsidR="0058304D" w:rsidRPr="0058304D" w:rsidRDefault="0058304D" w:rsidP="0058304D">
            <w:pPr>
              <w:autoSpaceDE w:val="0"/>
              <w:autoSpaceDN w:val="0"/>
              <w:adjustRightInd w:val="0"/>
              <w:rPr>
                <w:szCs w:val="24"/>
              </w:rPr>
            </w:pPr>
            <w:r w:rsidRPr="0058304D">
              <w:rPr>
                <w:szCs w:val="24"/>
              </w:rPr>
              <w:t xml:space="preserve">Matthew White </w:t>
            </w:r>
          </w:p>
          <w:p w:rsidR="0058304D" w:rsidRPr="0058304D" w:rsidRDefault="0058304D" w:rsidP="0058304D">
            <w:pPr>
              <w:autoSpaceDE w:val="0"/>
              <w:autoSpaceDN w:val="0"/>
              <w:adjustRightInd w:val="0"/>
              <w:rPr>
                <w:szCs w:val="24"/>
              </w:rPr>
            </w:pPr>
            <w:r w:rsidRPr="0058304D">
              <w:rPr>
                <w:szCs w:val="24"/>
              </w:rPr>
              <w:t>Interstate Gas Supply, Inc.</w:t>
            </w:r>
          </w:p>
          <w:p w:rsidR="0058304D" w:rsidRPr="0058304D" w:rsidRDefault="0058304D" w:rsidP="0058304D">
            <w:pPr>
              <w:autoSpaceDE w:val="0"/>
              <w:autoSpaceDN w:val="0"/>
              <w:adjustRightInd w:val="0"/>
              <w:rPr>
                <w:szCs w:val="24"/>
              </w:rPr>
            </w:pPr>
            <w:r w:rsidRPr="0058304D">
              <w:rPr>
                <w:szCs w:val="24"/>
              </w:rPr>
              <w:t>6100 Emerald Parkway</w:t>
            </w:r>
          </w:p>
          <w:p w:rsidR="002430BB" w:rsidRPr="00546A10" w:rsidRDefault="0058304D" w:rsidP="0058304D">
            <w:pPr>
              <w:pStyle w:val="BodyText"/>
              <w:rPr>
                <w:szCs w:val="24"/>
              </w:rPr>
            </w:pPr>
            <w:r w:rsidRPr="00546A10">
              <w:rPr>
                <w:szCs w:val="24"/>
              </w:rPr>
              <w:t>Dublin, O</w:t>
            </w:r>
            <w:r w:rsidR="00E01575">
              <w:rPr>
                <w:szCs w:val="24"/>
              </w:rPr>
              <w:t>hio</w:t>
            </w:r>
            <w:r w:rsidRPr="00546A10">
              <w:rPr>
                <w:szCs w:val="24"/>
              </w:rPr>
              <w:t xml:space="preserve"> 43016</w:t>
            </w:r>
          </w:p>
          <w:p w:rsidR="0058304D" w:rsidRPr="0058304D" w:rsidRDefault="0058304D" w:rsidP="0058304D">
            <w:pPr>
              <w:autoSpaceDE w:val="0"/>
              <w:autoSpaceDN w:val="0"/>
              <w:adjustRightInd w:val="0"/>
              <w:rPr>
                <w:szCs w:val="24"/>
              </w:rPr>
            </w:pPr>
            <w:r w:rsidRPr="00B51C54">
              <w:rPr>
                <w:szCs w:val="24"/>
              </w:rPr>
              <w:t>vparisi@igsenergy.com</w:t>
            </w:r>
          </w:p>
          <w:p w:rsidR="0058304D" w:rsidRPr="0058304D" w:rsidRDefault="0058304D" w:rsidP="0058304D">
            <w:pPr>
              <w:autoSpaceDE w:val="0"/>
              <w:autoSpaceDN w:val="0"/>
              <w:adjustRightInd w:val="0"/>
              <w:rPr>
                <w:szCs w:val="24"/>
              </w:rPr>
            </w:pPr>
            <w:r w:rsidRPr="00B51C54">
              <w:rPr>
                <w:szCs w:val="24"/>
              </w:rPr>
              <w:t>mswhite@igsenergy.com</w:t>
            </w:r>
          </w:p>
          <w:p w:rsidR="0058304D" w:rsidRPr="0058304D" w:rsidRDefault="0058304D" w:rsidP="0058304D">
            <w:pPr>
              <w:autoSpaceDE w:val="0"/>
              <w:autoSpaceDN w:val="0"/>
              <w:adjustRightInd w:val="0"/>
              <w:rPr>
                <w:szCs w:val="24"/>
              </w:rPr>
            </w:pPr>
          </w:p>
          <w:p w:rsidR="000C2FD2" w:rsidRPr="00546A10" w:rsidRDefault="000C2FD2">
            <w:pPr>
              <w:pStyle w:val="BodyText"/>
              <w:rPr>
                <w:bCs/>
                <w:szCs w:val="24"/>
              </w:rPr>
            </w:pPr>
          </w:p>
        </w:tc>
      </w:tr>
    </w:tbl>
    <w:p w:rsidR="008C2387" w:rsidRPr="008C2387" w:rsidRDefault="008C2387">
      <w:pPr>
        <w:pStyle w:val="BodyText"/>
        <w:rPr>
          <w:bCs/>
        </w:rPr>
      </w:pPr>
    </w:p>
    <w:sectPr w:rsidR="008C2387" w:rsidRPr="008C238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337" w:rsidRDefault="00196337">
      <w:r>
        <w:separator/>
      </w:r>
    </w:p>
  </w:endnote>
  <w:endnote w:type="continuationSeparator" w:id="0">
    <w:p w:rsidR="00196337" w:rsidRDefault="0019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7CA" w:rsidRDefault="001407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65" w:rsidRDefault="001B0965">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094C94">
      <w:rPr>
        <w:rStyle w:val="PageNumber"/>
        <w:noProof/>
        <w:sz w:val="24"/>
        <w:szCs w:val="24"/>
      </w:rPr>
      <w:t>2</w:t>
    </w:r>
    <w:r>
      <w:rPr>
        <w:rStyle w:val="PageNumber"/>
        <w:sz w:val="24"/>
        <w:szCs w:val="24"/>
      </w:rPr>
      <w:fldChar w:fldCharType="end"/>
    </w:r>
  </w:p>
  <w:p w:rsidR="001B0965" w:rsidRDefault="001B0965">
    <w:pPr>
      <w:pStyle w:val="Footer"/>
      <w:framePr w:wrap="around" w:vAnchor="text" w:hAnchor="margin" w:xAlign="center" w:y="1"/>
      <w:rPr>
        <w:rStyle w:val="PageNumber"/>
      </w:rPr>
    </w:pPr>
  </w:p>
  <w:p w:rsidR="001B0965" w:rsidRDefault="001B09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7CA" w:rsidRDefault="00140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337" w:rsidRDefault="00196337">
      <w:r>
        <w:separator/>
      </w:r>
    </w:p>
  </w:footnote>
  <w:footnote w:type="continuationSeparator" w:id="0">
    <w:p w:rsidR="00196337" w:rsidRDefault="00196337">
      <w:r>
        <w:continuationSeparator/>
      </w:r>
    </w:p>
  </w:footnote>
  <w:footnote w:id="1">
    <w:p w:rsidR="00D45344" w:rsidRDefault="00D45344" w:rsidP="002E2D39">
      <w:pPr>
        <w:pStyle w:val="FootnoteText"/>
        <w:spacing w:after="120"/>
      </w:pPr>
      <w:r>
        <w:rPr>
          <w:rStyle w:val="FootnoteReference"/>
        </w:rPr>
        <w:footnoteRef/>
      </w:r>
      <w:r>
        <w:t xml:space="preserve"> AEP Ohio Comments at 1-2.</w:t>
      </w:r>
    </w:p>
  </w:footnote>
  <w:footnote w:id="2">
    <w:p w:rsidR="00D45344" w:rsidRPr="00793229" w:rsidRDefault="00D45344" w:rsidP="002E2D39">
      <w:pPr>
        <w:pStyle w:val="FootnoteText"/>
        <w:spacing w:after="120"/>
        <w:rPr>
          <w:i/>
        </w:rPr>
      </w:pPr>
      <w:r>
        <w:rPr>
          <w:rStyle w:val="FootnoteReference"/>
        </w:rPr>
        <w:footnoteRef/>
      </w:r>
      <w:r>
        <w:t xml:space="preserve"> </w:t>
      </w:r>
      <w:r>
        <w:rPr>
          <w:i/>
        </w:rPr>
        <w:t>Id.</w:t>
      </w:r>
    </w:p>
  </w:footnote>
  <w:footnote w:id="3">
    <w:p w:rsidR="00D45344" w:rsidRDefault="00D45344" w:rsidP="002E2D39">
      <w:pPr>
        <w:pStyle w:val="FootnoteText"/>
        <w:spacing w:after="120"/>
      </w:pPr>
      <w:r>
        <w:rPr>
          <w:rStyle w:val="FootnoteReference"/>
        </w:rPr>
        <w:footnoteRef/>
      </w:r>
      <w:r>
        <w:t xml:space="preserve"> AEP Ohio Comments at 4-6.</w:t>
      </w:r>
    </w:p>
  </w:footnote>
  <w:footnote w:id="4">
    <w:p w:rsidR="00D45344" w:rsidRDefault="00D45344" w:rsidP="002E2D39">
      <w:pPr>
        <w:pStyle w:val="FootnoteText"/>
        <w:spacing w:after="120"/>
      </w:pPr>
      <w:r>
        <w:rPr>
          <w:rStyle w:val="FootnoteReference"/>
        </w:rPr>
        <w:footnoteRef/>
      </w:r>
      <w:r>
        <w:t xml:space="preserve"> IGS Comments at 3-10.</w:t>
      </w:r>
    </w:p>
  </w:footnote>
  <w:footnote w:id="5">
    <w:p w:rsidR="000C2A68" w:rsidRPr="000C2A68" w:rsidRDefault="000C2A68" w:rsidP="002E2D39">
      <w:pPr>
        <w:pStyle w:val="FootnoteText"/>
        <w:spacing w:after="120"/>
        <w:rPr>
          <w:i/>
        </w:rPr>
      </w:pPr>
      <w:r>
        <w:rPr>
          <w:rStyle w:val="FootnoteReference"/>
        </w:rPr>
        <w:footnoteRef/>
      </w:r>
      <w:r>
        <w:t xml:space="preserve"> </w:t>
      </w:r>
      <w:r w:rsidRPr="00793229">
        <w:rPr>
          <w:i/>
        </w:rPr>
        <w:t>In the Matter of the Application of Columbus Southern Power Company and Ohio Power Company for Authority to Establish a Standard Service Offer Pursuant to 4928.143, Ohio Rev. Code, in the Form of an Electric Security Plan,</w:t>
      </w:r>
      <w:r>
        <w:t xml:space="preserve"> Case No. 11-0346-EL-SSO, Opinion and Order at 38 (PUC Ohio August 8, 2012)</w:t>
      </w:r>
      <w:r w:rsidR="00BD032A">
        <w:t xml:space="preserve"> (“AEP ESP Order”)</w:t>
      </w:r>
      <w:r>
        <w:t xml:space="preserve">, </w:t>
      </w:r>
      <w:r>
        <w:rPr>
          <w:i/>
        </w:rPr>
        <w:t xml:space="preserve">citing </w:t>
      </w:r>
      <w:r w:rsidRPr="000C2A68">
        <w:t>AEP-Ohio Exh. 101 at 19-21.</w:t>
      </w:r>
    </w:p>
  </w:footnote>
  <w:footnote w:id="6">
    <w:p w:rsidR="00570B2E" w:rsidRPr="00570B2E" w:rsidRDefault="00570B2E" w:rsidP="002E2D39">
      <w:pPr>
        <w:pStyle w:val="FootnoteText"/>
        <w:spacing w:after="120"/>
      </w:pPr>
      <w:r>
        <w:rPr>
          <w:rStyle w:val="FootnoteReference"/>
        </w:rPr>
        <w:footnoteRef/>
      </w:r>
      <w:r>
        <w:t xml:space="preserve"> </w:t>
      </w:r>
      <w:r>
        <w:rPr>
          <w:i/>
        </w:rPr>
        <w:t>Id. at 40.</w:t>
      </w:r>
    </w:p>
  </w:footnote>
  <w:footnote w:id="7">
    <w:p w:rsidR="00156C2C" w:rsidRDefault="00156C2C" w:rsidP="002E2D39">
      <w:pPr>
        <w:pStyle w:val="FootnoteText"/>
        <w:spacing w:after="120"/>
      </w:pPr>
      <w:r>
        <w:rPr>
          <w:rStyle w:val="FootnoteReference"/>
        </w:rPr>
        <w:footnoteRef/>
      </w:r>
      <w:r>
        <w:t xml:space="preserve"> AEP Comments at 1-2.</w:t>
      </w:r>
    </w:p>
  </w:footnote>
  <w:footnote w:id="8">
    <w:p w:rsidR="00156C2C" w:rsidRPr="00156C2C" w:rsidRDefault="00156C2C" w:rsidP="002E2D39">
      <w:pPr>
        <w:pStyle w:val="FootnoteText"/>
        <w:spacing w:after="120"/>
        <w:rPr>
          <w:i/>
        </w:rPr>
      </w:pPr>
      <w:r>
        <w:rPr>
          <w:rStyle w:val="FootnoteReference"/>
        </w:rPr>
        <w:footnoteRef/>
      </w:r>
      <w:r>
        <w:t xml:space="preserve"> </w:t>
      </w:r>
      <w:r>
        <w:rPr>
          <w:i/>
        </w:rPr>
        <w:t>Id.</w:t>
      </w:r>
    </w:p>
  </w:footnote>
  <w:footnote w:id="9">
    <w:p w:rsidR="002E2D39" w:rsidRDefault="002E2D39" w:rsidP="002E2D39">
      <w:pPr>
        <w:pStyle w:val="FootnoteText"/>
        <w:spacing w:after="120"/>
      </w:pPr>
      <w:r>
        <w:rPr>
          <w:rStyle w:val="FootnoteReference"/>
        </w:rPr>
        <w:footnoteRef/>
      </w:r>
      <w:r>
        <w:t xml:space="preserve"> AEP ESP Order at 16.</w:t>
      </w:r>
    </w:p>
  </w:footnote>
  <w:footnote w:id="10">
    <w:p w:rsidR="00A76646" w:rsidRDefault="00A76646" w:rsidP="002E2D39">
      <w:pPr>
        <w:pStyle w:val="FootnoteText"/>
        <w:spacing w:after="120"/>
      </w:pPr>
      <w:r>
        <w:rPr>
          <w:rStyle w:val="FootnoteReference"/>
        </w:rPr>
        <w:footnoteRef/>
      </w:r>
      <w:r>
        <w:t xml:space="preserve"> AEP ESP Order at 5.</w:t>
      </w:r>
    </w:p>
  </w:footnote>
  <w:footnote w:id="11">
    <w:p w:rsidR="00A76646" w:rsidRPr="00A76646" w:rsidRDefault="00A76646" w:rsidP="002E2D39">
      <w:pPr>
        <w:pStyle w:val="FootnoteText"/>
        <w:spacing w:after="120"/>
      </w:pPr>
      <w:r>
        <w:rPr>
          <w:rStyle w:val="FootnoteReference"/>
        </w:rPr>
        <w:footnoteRef/>
      </w:r>
      <w:r>
        <w:t xml:space="preserve"> </w:t>
      </w:r>
      <w:r w:rsidR="008123E9">
        <w:rPr>
          <w:i/>
        </w:rPr>
        <w:t>In</w:t>
      </w:r>
      <w:r w:rsidRPr="00793229">
        <w:rPr>
          <w:i/>
        </w:rPr>
        <w:t xml:space="preserve"> the matter of the Application of Ohio Power Company to Establish a Competitive Bidding Process for Procurement of Energy to Support its SSO</w:t>
      </w:r>
      <w:r>
        <w:t>, Case No.12-3254-EL-UNC (Filed December 21, 2012).</w:t>
      </w:r>
    </w:p>
  </w:footnote>
  <w:footnote w:id="12">
    <w:p w:rsidR="0042797D" w:rsidRDefault="0042797D" w:rsidP="002E2D39">
      <w:pPr>
        <w:pStyle w:val="FootnoteText"/>
        <w:spacing w:after="120"/>
      </w:pPr>
      <w:r>
        <w:rPr>
          <w:rStyle w:val="FootnoteReference"/>
        </w:rPr>
        <w:footnoteRef/>
      </w:r>
      <w:r>
        <w:t xml:space="preserve"> AEP Ohio Comments at 4-6.</w:t>
      </w:r>
    </w:p>
  </w:footnote>
  <w:footnote w:id="13">
    <w:p w:rsidR="0042797D" w:rsidRPr="0042797D" w:rsidRDefault="0042797D" w:rsidP="002E2D39">
      <w:pPr>
        <w:pStyle w:val="FootnoteText"/>
        <w:spacing w:after="120"/>
      </w:pPr>
      <w:r>
        <w:rPr>
          <w:rStyle w:val="FootnoteReference"/>
        </w:rPr>
        <w:footnoteRef/>
      </w:r>
      <w:r>
        <w:t xml:space="preserve"> </w:t>
      </w:r>
      <w:r>
        <w:rPr>
          <w:i/>
        </w:rPr>
        <w:t>Id.</w:t>
      </w:r>
      <w:r>
        <w:t xml:space="preserve"> at 4.</w:t>
      </w:r>
    </w:p>
  </w:footnote>
  <w:footnote w:id="14">
    <w:p w:rsidR="004F41D2" w:rsidRPr="004F41D2" w:rsidRDefault="004F41D2" w:rsidP="002E2D39">
      <w:pPr>
        <w:pStyle w:val="FootnoteText"/>
        <w:spacing w:after="120"/>
        <w:rPr>
          <w:i/>
        </w:rPr>
      </w:pPr>
      <w:r>
        <w:rPr>
          <w:rStyle w:val="FootnoteReference"/>
        </w:rPr>
        <w:footnoteRef/>
      </w:r>
      <w:r>
        <w:t xml:space="preserve"> </w:t>
      </w:r>
      <w:r>
        <w:rPr>
          <w:i/>
        </w:rPr>
        <w:t>Id.</w:t>
      </w:r>
    </w:p>
  </w:footnote>
  <w:footnote w:id="15">
    <w:p w:rsidR="00462471" w:rsidRPr="00A43889" w:rsidRDefault="00462471" w:rsidP="002E2D39">
      <w:pPr>
        <w:pStyle w:val="FootnoteText"/>
        <w:spacing w:after="120"/>
      </w:pPr>
      <w:r>
        <w:rPr>
          <w:rStyle w:val="FootnoteReference"/>
        </w:rPr>
        <w:footnoteRef/>
      </w:r>
      <w:r>
        <w:t xml:space="preserve"> Although the PUCO has found in a previous case that a “</w:t>
      </w:r>
      <w:r w:rsidRPr="00462471">
        <w:t>well-considered and approved regulatory asset accrual authorization</w:t>
      </w:r>
      <w:r>
        <w:t>”</w:t>
      </w:r>
      <w:r w:rsidRPr="00462471">
        <w:t xml:space="preserve"> will</w:t>
      </w:r>
      <w:r>
        <w:t xml:space="preserve"> shift costs from current customers to future customers, the magnitude of the deferral and the burdens to current and future customers must be balanced.  </w:t>
      </w:r>
      <w:r>
        <w:rPr>
          <w:i/>
        </w:rPr>
        <w:t xml:space="preserve">See </w:t>
      </w:r>
      <w:r w:rsidRPr="00462471">
        <w:rPr>
          <w:i/>
        </w:rPr>
        <w:t>In the Matter of the Joint Application of Ohio Edison Company, The Cleveland Electric Illuminating Company and The Toledo Edison Company for Approval of a Ge</w:t>
      </w:r>
      <w:r>
        <w:rPr>
          <w:i/>
        </w:rPr>
        <w:t xml:space="preserve">neration Charge Adjustment Rider; </w:t>
      </w:r>
      <w:r w:rsidRPr="00462471">
        <w:rPr>
          <w:i/>
        </w:rPr>
        <w:t>In the Matter of the Application of Ohio Edison Company, The Cleveland Electric Illuminating Company and The Toledo Edison Company for Authority to Modify Certain Accounting Practices and for Tariff Approvals</w:t>
      </w:r>
      <w:r>
        <w:t xml:space="preserve">, </w:t>
      </w:r>
      <w:r w:rsidRPr="00793229">
        <w:t>Case No. 05-704-EL-ATA; Case No. 05-1125-EL-ATA; Case No. 05-1126-EL-AAM; Case No. 05-1127-EL-UNC</w:t>
      </w:r>
      <w:r w:rsidRPr="00462471">
        <w:t xml:space="preserve">, </w:t>
      </w:r>
      <w:r w:rsidRPr="00793229">
        <w:t>2006 Ohio PUC LEXIS 6</w:t>
      </w:r>
      <w:r>
        <w:t xml:space="preserve">, Opinion and Order at 27-28 (PUC Ohio </w:t>
      </w:r>
      <w:r w:rsidRPr="00793229">
        <w:t>January 4, 2006</w:t>
      </w:r>
      <w:r>
        <w:t>)</w:t>
      </w:r>
      <w:r w:rsidR="003B1C3C">
        <w:t xml:space="preserve">, </w:t>
      </w:r>
      <w:r w:rsidR="003B1C3C">
        <w:rPr>
          <w:i/>
        </w:rPr>
        <w:t xml:space="preserve">aff’d in part, reversed in part, and remanded </w:t>
      </w:r>
      <w:r w:rsidR="003B1C3C" w:rsidRPr="00793229">
        <w:rPr>
          <w:i/>
        </w:rPr>
        <w:t>Elyria Foundry Co. v. Public Utilities Commission Of Ohio</w:t>
      </w:r>
      <w:r w:rsidR="003B1C3C">
        <w:t>, 114 Ohio St. 3d 305, 317; 2007 Ohio 4164; 871 N.E.2d 1176, 1189; 2007 Ohio LEXIS 1950 (Sup. Ct. Ohio August 29, 2007).</w:t>
      </w:r>
    </w:p>
  </w:footnote>
  <w:footnote w:id="16">
    <w:p w:rsidR="00F71416" w:rsidRDefault="00F71416" w:rsidP="002E2D39">
      <w:pPr>
        <w:pStyle w:val="FootnoteText"/>
        <w:spacing w:after="120"/>
      </w:pPr>
      <w:r>
        <w:rPr>
          <w:rStyle w:val="FootnoteReference"/>
        </w:rPr>
        <w:footnoteRef/>
      </w:r>
      <w:r>
        <w:t xml:space="preserve"> OCC Comments at 5.</w:t>
      </w:r>
    </w:p>
  </w:footnote>
  <w:footnote w:id="17">
    <w:p w:rsidR="005E3F5D" w:rsidRDefault="005E3F5D" w:rsidP="002E2D39">
      <w:pPr>
        <w:pStyle w:val="FootnoteText"/>
        <w:spacing w:after="120"/>
      </w:pPr>
      <w:r>
        <w:rPr>
          <w:rStyle w:val="FootnoteReference"/>
        </w:rPr>
        <w:footnoteRef/>
      </w:r>
      <w:r>
        <w:t xml:space="preserve"> AEP Ohio Comments at 5-6</w:t>
      </w:r>
    </w:p>
  </w:footnote>
  <w:footnote w:id="18">
    <w:p w:rsidR="00F71416" w:rsidRDefault="00F71416" w:rsidP="002E2D39">
      <w:pPr>
        <w:pStyle w:val="FootnoteText"/>
        <w:spacing w:after="120"/>
      </w:pPr>
      <w:r>
        <w:rPr>
          <w:rStyle w:val="FootnoteReference"/>
        </w:rPr>
        <w:footnoteRef/>
      </w:r>
      <w:r>
        <w:t xml:space="preserve"> OCC Com</w:t>
      </w:r>
      <w:r w:rsidR="003574F5">
        <w:t>m</w:t>
      </w:r>
      <w:r>
        <w:t>ents at 6-8</w:t>
      </w:r>
    </w:p>
  </w:footnote>
  <w:footnote w:id="19">
    <w:p w:rsidR="00F71416" w:rsidRPr="00F71416" w:rsidRDefault="00F71416" w:rsidP="002E2D39">
      <w:pPr>
        <w:pStyle w:val="FootnoteText"/>
        <w:spacing w:after="120"/>
        <w:rPr>
          <w:i/>
        </w:rPr>
      </w:pPr>
      <w:r>
        <w:rPr>
          <w:rStyle w:val="FootnoteReference"/>
        </w:rPr>
        <w:footnoteRef/>
      </w:r>
      <w:r>
        <w:t xml:space="preserve"> </w:t>
      </w:r>
      <w:r>
        <w:rPr>
          <w:i/>
        </w:rPr>
        <w:t>Id.</w:t>
      </w:r>
    </w:p>
  </w:footnote>
  <w:footnote w:id="20">
    <w:p w:rsidR="004C7F7E" w:rsidRDefault="004C7F7E" w:rsidP="002E2D39">
      <w:pPr>
        <w:pStyle w:val="FootnoteText"/>
        <w:spacing w:after="120"/>
      </w:pPr>
      <w:r>
        <w:rPr>
          <w:rStyle w:val="FootnoteReference"/>
        </w:rPr>
        <w:footnoteRef/>
      </w:r>
      <w:r>
        <w:t xml:space="preserve"> </w:t>
      </w:r>
      <w:r w:rsidR="00BD032A" w:rsidRPr="00BD032A">
        <w:rPr>
          <w:i/>
        </w:rPr>
        <w:t>AEP ESP Order</w:t>
      </w:r>
      <w:r w:rsidR="00BD032A">
        <w:rPr>
          <w:i/>
        </w:rPr>
        <w:t xml:space="preserve"> at 38-40.</w:t>
      </w:r>
    </w:p>
  </w:footnote>
  <w:footnote w:id="21">
    <w:p w:rsidR="00F042F7" w:rsidRDefault="00F042F7" w:rsidP="002E2D39">
      <w:pPr>
        <w:pStyle w:val="FootnoteText"/>
        <w:spacing w:after="120"/>
      </w:pPr>
      <w:r>
        <w:rPr>
          <w:rStyle w:val="FootnoteReference"/>
        </w:rPr>
        <w:footnoteRef/>
      </w:r>
      <w:r>
        <w:t xml:space="preserve"> IGS Co</w:t>
      </w:r>
      <w:r w:rsidR="003574F5">
        <w:t>m</w:t>
      </w:r>
      <w:r>
        <w:t>ments at 2.</w:t>
      </w:r>
    </w:p>
  </w:footnote>
  <w:footnote w:id="22">
    <w:p w:rsidR="001938B1" w:rsidRDefault="001938B1" w:rsidP="002E2D39">
      <w:pPr>
        <w:pStyle w:val="FootnoteText"/>
        <w:spacing w:after="120"/>
      </w:pPr>
      <w:r>
        <w:rPr>
          <w:rStyle w:val="FootnoteReference"/>
        </w:rPr>
        <w:footnoteRef/>
      </w:r>
      <w:r>
        <w:t xml:space="preserve"> FES Comments at 8-9.</w:t>
      </w:r>
    </w:p>
  </w:footnote>
  <w:footnote w:id="23">
    <w:p w:rsidR="001938B1" w:rsidRDefault="001938B1" w:rsidP="002E2D39">
      <w:pPr>
        <w:pStyle w:val="FootnoteText"/>
        <w:spacing w:after="120"/>
      </w:pPr>
      <w:r>
        <w:rPr>
          <w:rStyle w:val="FootnoteReference"/>
        </w:rPr>
        <w:footnoteRef/>
      </w:r>
      <w:r>
        <w:t xml:space="preserve"> FES Comments at 9.</w:t>
      </w:r>
    </w:p>
  </w:footnote>
  <w:footnote w:id="24">
    <w:p w:rsidR="001938B1" w:rsidRPr="001938B1" w:rsidRDefault="001938B1" w:rsidP="002E2D39">
      <w:pPr>
        <w:pStyle w:val="FootnoteText"/>
        <w:spacing w:after="120"/>
        <w:rPr>
          <w:i/>
        </w:rPr>
      </w:pPr>
      <w:r>
        <w:rPr>
          <w:rStyle w:val="FootnoteReference"/>
        </w:rPr>
        <w:footnoteRef/>
      </w:r>
      <w:r>
        <w:t xml:space="preserve"> </w:t>
      </w:r>
      <w:r>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7CA" w:rsidRDefault="001407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7CA" w:rsidRDefault="001407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7CA" w:rsidRDefault="001407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E079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52698C"/>
    <w:multiLevelType w:val="hybridMultilevel"/>
    <w:tmpl w:val="FCCA68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454FCE"/>
    <w:multiLevelType w:val="hybridMultilevel"/>
    <w:tmpl w:val="C576D4C6"/>
    <w:lvl w:ilvl="0" w:tplc="4E58E2FC">
      <w:start w:val="3"/>
      <w:numFmt w:val="upperRoman"/>
      <w:lvlText w:val="%1."/>
      <w:lvlJc w:val="left"/>
      <w:pPr>
        <w:tabs>
          <w:tab w:val="num" w:pos="1080"/>
        </w:tabs>
        <w:ind w:left="1080" w:hanging="720"/>
      </w:pPr>
      <w:rPr>
        <w:rFonts w:hint="default"/>
        <w:u w:val="none"/>
      </w:rPr>
    </w:lvl>
    <w:lvl w:ilvl="1" w:tplc="26DE91B6">
      <w:start w:val="1"/>
      <w:numFmt w:val="upperLetter"/>
      <w:lvlText w:val="%2."/>
      <w:lvlJc w:val="left"/>
      <w:pPr>
        <w:tabs>
          <w:tab w:val="num" w:pos="2085"/>
        </w:tabs>
        <w:ind w:left="2085" w:hanging="10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164567"/>
    <w:multiLevelType w:val="hybridMultilevel"/>
    <w:tmpl w:val="924AB386"/>
    <w:lvl w:ilvl="0" w:tplc="6AF001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F8249F4"/>
    <w:multiLevelType w:val="hybridMultilevel"/>
    <w:tmpl w:val="2020BA1E"/>
    <w:lvl w:ilvl="0" w:tplc="D8FE0FE2">
      <w:start w:val="2"/>
      <w:numFmt w:val="upperLetter"/>
      <w:lvlText w:val="%1."/>
      <w:lvlJc w:val="left"/>
      <w:pPr>
        <w:tabs>
          <w:tab w:val="num" w:pos="1440"/>
        </w:tabs>
        <w:ind w:left="1440" w:hanging="720"/>
      </w:pPr>
      <w:rPr>
        <w:rFonts w:hint="default"/>
      </w:rPr>
    </w:lvl>
    <w:lvl w:ilvl="1" w:tplc="910AC3C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5D27B79"/>
    <w:multiLevelType w:val="hybridMultilevel"/>
    <w:tmpl w:val="72B87570"/>
    <w:lvl w:ilvl="0" w:tplc="CA0CB702">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78B05554"/>
    <w:multiLevelType w:val="hybridMultilevel"/>
    <w:tmpl w:val="6C22C984"/>
    <w:lvl w:ilvl="0" w:tplc="85B2A286">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5"/>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 w:dllVersion="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
  <w:drawingGridVerticalSpacing w:val="65"/>
  <w:displayHorizont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8C2387"/>
    <w:rsid w:val="00002DAC"/>
    <w:rsid w:val="0000300F"/>
    <w:rsid w:val="00006BF5"/>
    <w:rsid w:val="0000731D"/>
    <w:rsid w:val="00010D0B"/>
    <w:rsid w:val="00012F6A"/>
    <w:rsid w:val="00020CD5"/>
    <w:rsid w:val="0002591D"/>
    <w:rsid w:val="000354E3"/>
    <w:rsid w:val="0003703A"/>
    <w:rsid w:val="000444FC"/>
    <w:rsid w:val="00054611"/>
    <w:rsid w:val="00054C1C"/>
    <w:rsid w:val="00064748"/>
    <w:rsid w:val="0006516C"/>
    <w:rsid w:val="00066E96"/>
    <w:rsid w:val="00070DF5"/>
    <w:rsid w:val="000712F1"/>
    <w:rsid w:val="0007467C"/>
    <w:rsid w:val="00075237"/>
    <w:rsid w:val="00075B2A"/>
    <w:rsid w:val="000859BF"/>
    <w:rsid w:val="00085EEA"/>
    <w:rsid w:val="00091B55"/>
    <w:rsid w:val="00094C94"/>
    <w:rsid w:val="00095DCA"/>
    <w:rsid w:val="000A5F5D"/>
    <w:rsid w:val="000B0914"/>
    <w:rsid w:val="000B15C8"/>
    <w:rsid w:val="000B1E84"/>
    <w:rsid w:val="000B4C55"/>
    <w:rsid w:val="000B70B3"/>
    <w:rsid w:val="000B792E"/>
    <w:rsid w:val="000C20F0"/>
    <w:rsid w:val="000C2A68"/>
    <w:rsid w:val="000C2FD2"/>
    <w:rsid w:val="000C30A5"/>
    <w:rsid w:val="000E5801"/>
    <w:rsid w:val="000E7CDE"/>
    <w:rsid w:val="000F741F"/>
    <w:rsid w:val="000F7C78"/>
    <w:rsid w:val="00100F68"/>
    <w:rsid w:val="00104C92"/>
    <w:rsid w:val="00105A37"/>
    <w:rsid w:val="00112519"/>
    <w:rsid w:val="00121E45"/>
    <w:rsid w:val="0012449E"/>
    <w:rsid w:val="0013471D"/>
    <w:rsid w:val="001407CA"/>
    <w:rsid w:val="001456BB"/>
    <w:rsid w:val="00147265"/>
    <w:rsid w:val="00152F3E"/>
    <w:rsid w:val="00153A10"/>
    <w:rsid w:val="00156C2C"/>
    <w:rsid w:val="00167FCD"/>
    <w:rsid w:val="00191825"/>
    <w:rsid w:val="001938B1"/>
    <w:rsid w:val="001948A4"/>
    <w:rsid w:val="00196337"/>
    <w:rsid w:val="001A1F82"/>
    <w:rsid w:val="001A2EED"/>
    <w:rsid w:val="001B0965"/>
    <w:rsid w:val="001C3331"/>
    <w:rsid w:val="001C3FCC"/>
    <w:rsid w:val="001E7450"/>
    <w:rsid w:val="001F15B6"/>
    <w:rsid w:val="001F386D"/>
    <w:rsid w:val="001F3E74"/>
    <w:rsid w:val="00205143"/>
    <w:rsid w:val="00211283"/>
    <w:rsid w:val="00211598"/>
    <w:rsid w:val="002200BC"/>
    <w:rsid w:val="00230556"/>
    <w:rsid w:val="002310B1"/>
    <w:rsid w:val="00232E98"/>
    <w:rsid w:val="002430BB"/>
    <w:rsid w:val="00247851"/>
    <w:rsid w:val="00247ACE"/>
    <w:rsid w:val="00251C83"/>
    <w:rsid w:val="002525A4"/>
    <w:rsid w:val="002856C4"/>
    <w:rsid w:val="00287280"/>
    <w:rsid w:val="002921C5"/>
    <w:rsid w:val="00293C12"/>
    <w:rsid w:val="00294799"/>
    <w:rsid w:val="00294CBF"/>
    <w:rsid w:val="00296ABC"/>
    <w:rsid w:val="002A14CA"/>
    <w:rsid w:val="002A1785"/>
    <w:rsid w:val="002B05F4"/>
    <w:rsid w:val="002C07AE"/>
    <w:rsid w:val="002C1BDC"/>
    <w:rsid w:val="002C5095"/>
    <w:rsid w:val="002C659E"/>
    <w:rsid w:val="002D3BDF"/>
    <w:rsid w:val="002D3ED0"/>
    <w:rsid w:val="002D7A0C"/>
    <w:rsid w:val="002E2D39"/>
    <w:rsid w:val="002F08FE"/>
    <w:rsid w:val="002F68DD"/>
    <w:rsid w:val="00312D45"/>
    <w:rsid w:val="003247FD"/>
    <w:rsid w:val="00330304"/>
    <w:rsid w:val="00336D1F"/>
    <w:rsid w:val="003516DE"/>
    <w:rsid w:val="00352378"/>
    <w:rsid w:val="00356CAE"/>
    <w:rsid w:val="003574F5"/>
    <w:rsid w:val="00380B47"/>
    <w:rsid w:val="00386DB3"/>
    <w:rsid w:val="00392A36"/>
    <w:rsid w:val="00395565"/>
    <w:rsid w:val="003A0CE4"/>
    <w:rsid w:val="003A3AFD"/>
    <w:rsid w:val="003A73CD"/>
    <w:rsid w:val="003B1C3C"/>
    <w:rsid w:val="003C1E81"/>
    <w:rsid w:val="003D017B"/>
    <w:rsid w:val="003D239B"/>
    <w:rsid w:val="003E0316"/>
    <w:rsid w:val="003F7F4D"/>
    <w:rsid w:val="004102A5"/>
    <w:rsid w:val="004115D7"/>
    <w:rsid w:val="00413825"/>
    <w:rsid w:val="00416CE8"/>
    <w:rsid w:val="004208B9"/>
    <w:rsid w:val="0042421C"/>
    <w:rsid w:val="0042797D"/>
    <w:rsid w:val="00431D32"/>
    <w:rsid w:val="004351F3"/>
    <w:rsid w:val="00436E05"/>
    <w:rsid w:val="00440D96"/>
    <w:rsid w:val="0044483E"/>
    <w:rsid w:val="00456BA1"/>
    <w:rsid w:val="00461956"/>
    <w:rsid w:val="00462471"/>
    <w:rsid w:val="00470BCB"/>
    <w:rsid w:val="00485A40"/>
    <w:rsid w:val="0048681B"/>
    <w:rsid w:val="004929AD"/>
    <w:rsid w:val="0049450A"/>
    <w:rsid w:val="0049530D"/>
    <w:rsid w:val="004A12EE"/>
    <w:rsid w:val="004B5F5C"/>
    <w:rsid w:val="004C29BC"/>
    <w:rsid w:val="004C5756"/>
    <w:rsid w:val="004C5799"/>
    <w:rsid w:val="004C7F7E"/>
    <w:rsid w:val="004E0567"/>
    <w:rsid w:val="004E6F56"/>
    <w:rsid w:val="004F2389"/>
    <w:rsid w:val="004F2F23"/>
    <w:rsid w:val="004F41D2"/>
    <w:rsid w:val="004F7B32"/>
    <w:rsid w:val="00517CF4"/>
    <w:rsid w:val="00530653"/>
    <w:rsid w:val="005314E8"/>
    <w:rsid w:val="0053167B"/>
    <w:rsid w:val="005400F5"/>
    <w:rsid w:val="00540E49"/>
    <w:rsid w:val="00546A10"/>
    <w:rsid w:val="005565F9"/>
    <w:rsid w:val="005659D6"/>
    <w:rsid w:val="005663E9"/>
    <w:rsid w:val="00570B2E"/>
    <w:rsid w:val="00572C0D"/>
    <w:rsid w:val="0058304D"/>
    <w:rsid w:val="00583E70"/>
    <w:rsid w:val="005959F5"/>
    <w:rsid w:val="005A6261"/>
    <w:rsid w:val="005D1F3C"/>
    <w:rsid w:val="005D50C5"/>
    <w:rsid w:val="005D5F30"/>
    <w:rsid w:val="005E3F5D"/>
    <w:rsid w:val="005E3FF8"/>
    <w:rsid w:val="005F0555"/>
    <w:rsid w:val="005F14A6"/>
    <w:rsid w:val="00600107"/>
    <w:rsid w:val="00601D27"/>
    <w:rsid w:val="006027FA"/>
    <w:rsid w:val="006032D6"/>
    <w:rsid w:val="00613030"/>
    <w:rsid w:val="00631D43"/>
    <w:rsid w:val="00631E36"/>
    <w:rsid w:val="00635D00"/>
    <w:rsid w:val="00640835"/>
    <w:rsid w:val="00640CEA"/>
    <w:rsid w:val="0064300F"/>
    <w:rsid w:val="006567BE"/>
    <w:rsid w:val="006613AE"/>
    <w:rsid w:val="00662432"/>
    <w:rsid w:val="0066355B"/>
    <w:rsid w:val="0066461C"/>
    <w:rsid w:val="0066463E"/>
    <w:rsid w:val="00670BAF"/>
    <w:rsid w:val="0068365F"/>
    <w:rsid w:val="0069157B"/>
    <w:rsid w:val="006B0EA8"/>
    <w:rsid w:val="006B7ADD"/>
    <w:rsid w:val="006C5A47"/>
    <w:rsid w:val="006D36BC"/>
    <w:rsid w:val="006D7B4E"/>
    <w:rsid w:val="006E02EC"/>
    <w:rsid w:val="006E0E26"/>
    <w:rsid w:val="006F2EE2"/>
    <w:rsid w:val="00711587"/>
    <w:rsid w:val="00716843"/>
    <w:rsid w:val="007271E4"/>
    <w:rsid w:val="00731FA1"/>
    <w:rsid w:val="00744BCC"/>
    <w:rsid w:val="00745C14"/>
    <w:rsid w:val="007461E5"/>
    <w:rsid w:val="007502C2"/>
    <w:rsid w:val="0075295B"/>
    <w:rsid w:val="00763DBF"/>
    <w:rsid w:val="00764016"/>
    <w:rsid w:val="00764124"/>
    <w:rsid w:val="00765332"/>
    <w:rsid w:val="007757A1"/>
    <w:rsid w:val="007777C9"/>
    <w:rsid w:val="007778E8"/>
    <w:rsid w:val="00781887"/>
    <w:rsid w:val="007858A2"/>
    <w:rsid w:val="00793229"/>
    <w:rsid w:val="00793AC2"/>
    <w:rsid w:val="0079459F"/>
    <w:rsid w:val="007A1DDC"/>
    <w:rsid w:val="007B7F83"/>
    <w:rsid w:val="007C4684"/>
    <w:rsid w:val="007C4870"/>
    <w:rsid w:val="007C5C70"/>
    <w:rsid w:val="007C6CB0"/>
    <w:rsid w:val="007D0CC2"/>
    <w:rsid w:val="007E4C3D"/>
    <w:rsid w:val="007F6163"/>
    <w:rsid w:val="00803EC6"/>
    <w:rsid w:val="00804ABE"/>
    <w:rsid w:val="008123E9"/>
    <w:rsid w:val="00816079"/>
    <w:rsid w:val="00820F8D"/>
    <w:rsid w:val="0082405D"/>
    <w:rsid w:val="0083434A"/>
    <w:rsid w:val="00842A7A"/>
    <w:rsid w:val="00855C00"/>
    <w:rsid w:val="00866571"/>
    <w:rsid w:val="008810E3"/>
    <w:rsid w:val="00881FCD"/>
    <w:rsid w:val="008855C1"/>
    <w:rsid w:val="0089054D"/>
    <w:rsid w:val="008B1340"/>
    <w:rsid w:val="008C2387"/>
    <w:rsid w:val="008C37CA"/>
    <w:rsid w:val="008D2CF1"/>
    <w:rsid w:val="008D4420"/>
    <w:rsid w:val="008E0CF1"/>
    <w:rsid w:val="008F079F"/>
    <w:rsid w:val="008F4B9B"/>
    <w:rsid w:val="0090063A"/>
    <w:rsid w:val="0091287F"/>
    <w:rsid w:val="00912D15"/>
    <w:rsid w:val="00915EF8"/>
    <w:rsid w:val="00921735"/>
    <w:rsid w:val="009246FB"/>
    <w:rsid w:val="00925FCE"/>
    <w:rsid w:val="00946D30"/>
    <w:rsid w:val="00947D9F"/>
    <w:rsid w:val="009504C6"/>
    <w:rsid w:val="00951591"/>
    <w:rsid w:val="00954A55"/>
    <w:rsid w:val="0095650D"/>
    <w:rsid w:val="00966E32"/>
    <w:rsid w:val="00975976"/>
    <w:rsid w:val="00980D44"/>
    <w:rsid w:val="00983839"/>
    <w:rsid w:val="00985F7E"/>
    <w:rsid w:val="009A2F6E"/>
    <w:rsid w:val="009B08B6"/>
    <w:rsid w:val="009D77F0"/>
    <w:rsid w:val="009E5D75"/>
    <w:rsid w:val="009E73FE"/>
    <w:rsid w:val="009F32ED"/>
    <w:rsid w:val="009F37D5"/>
    <w:rsid w:val="00A0081F"/>
    <w:rsid w:val="00A027F4"/>
    <w:rsid w:val="00A04320"/>
    <w:rsid w:val="00A04423"/>
    <w:rsid w:val="00A10685"/>
    <w:rsid w:val="00A10B38"/>
    <w:rsid w:val="00A13486"/>
    <w:rsid w:val="00A15CB7"/>
    <w:rsid w:val="00A23C3A"/>
    <w:rsid w:val="00A25700"/>
    <w:rsid w:val="00A25F36"/>
    <w:rsid w:val="00A36CA1"/>
    <w:rsid w:val="00A42887"/>
    <w:rsid w:val="00A43889"/>
    <w:rsid w:val="00A44EEA"/>
    <w:rsid w:val="00A5019A"/>
    <w:rsid w:val="00A624C5"/>
    <w:rsid w:val="00A64B80"/>
    <w:rsid w:val="00A72712"/>
    <w:rsid w:val="00A76646"/>
    <w:rsid w:val="00A83070"/>
    <w:rsid w:val="00A84220"/>
    <w:rsid w:val="00A849D7"/>
    <w:rsid w:val="00A92797"/>
    <w:rsid w:val="00AB644A"/>
    <w:rsid w:val="00AC02F0"/>
    <w:rsid w:val="00AD213B"/>
    <w:rsid w:val="00AD3DEB"/>
    <w:rsid w:val="00AE25C5"/>
    <w:rsid w:val="00AE39C2"/>
    <w:rsid w:val="00AE54A6"/>
    <w:rsid w:val="00AE65FF"/>
    <w:rsid w:val="00AF7693"/>
    <w:rsid w:val="00B144AD"/>
    <w:rsid w:val="00B269FA"/>
    <w:rsid w:val="00B36E72"/>
    <w:rsid w:val="00B377DC"/>
    <w:rsid w:val="00B40390"/>
    <w:rsid w:val="00B40D26"/>
    <w:rsid w:val="00B41BEB"/>
    <w:rsid w:val="00B433D4"/>
    <w:rsid w:val="00B45159"/>
    <w:rsid w:val="00B51C54"/>
    <w:rsid w:val="00B5265F"/>
    <w:rsid w:val="00B54B83"/>
    <w:rsid w:val="00B70BF0"/>
    <w:rsid w:val="00B7716E"/>
    <w:rsid w:val="00B87E4D"/>
    <w:rsid w:val="00B93551"/>
    <w:rsid w:val="00B94336"/>
    <w:rsid w:val="00BA000A"/>
    <w:rsid w:val="00BB0BB0"/>
    <w:rsid w:val="00BB37B3"/>
    <w:rsid w:val="00BD00C5"/>
    <w:rsid w:val="00BD032A"/>
    <w:rsid w:val="00BD033E"/>
    <w:rsid w:val="00BD558E"/>
    <w:rsid w:val="00BE2123"/>
    <w:rsid w:val="00BE3647"/>
    <w:rsid w:val="00BE462B"/>
    <w:rsid w:val="00BF5241"/>
    <w:rsid w:val="00C074B3"/>
    <w:rsid w:val="00C27F97"/>
    <w:rsid w:val="00C305E9"/>
    <w:rsid w:val="00C46773"/>
    <w:rsid w:val="00C517F8"/>
    <w:rsid w:val="00C63C49"/>
    <w:rsid w:val="00C6406A"/>
    <w:rsid w:val="00C678B8"/>
    <w:rsid w:val="00C7705B"/>
    <w:rsid w:val="00C9135E"/>
    <w:rsid w:val="00C93965"/>
    <w:rsid w:val="00CC4076"/>
    <w:rsid w:val="00CC40DC"/>
    <w:rsid w:val="00CC735D"/>
    <w:rsid w:val="00CC74D9"/>
    <w:rsid w:val="00CD252F"/>
    <w:rsid w:val="00CE4F9C"/>
    <w:rsid w:val="00D00C26"/>
    <w:rsid w:val="00D0476B"/>
    <w:rsid w:val="00D2091C"/>
    <w:rsid w:val="00D33597"/>
    <w:rsid w:val="00D3583E"/>
    <w:rsid w:val="00D45344"/>
    <w:rsid w:val="00D620F5"/>
    <w:rsid w:val="00D706DE"/>
    <w:rsid w:val="00D75E80"/>
    <w:rsid w:val="00D80594"/>
    <w:rsid w:val="00D932F0"/>
    <w:rsid w:val="00DB269A"/>
    <w:rsid w:val="00DB5120"/>
    <w:rsid w:val="00DC4767"/>
    <w:rsid w:val="00DD34E1"/>
    <w:rsid w:val="00DE3A21"/>
    <w:rsid w:val="00DF3C69"/>
    <w:rsid w:val="00DF69FA"/>
    <w:rsid w:val="00E0033C"/>
    <w:rsid w:val="00E01575"/>
    <w:rsid w:val="00E154E6"/>
    <w:rsid w:val="00E2394C"/>
    <w:rsid w:val="00E25DB2"/>
    <w:rsid w:val="00E45751"/>
    <w:rsid w:val="00E54193"/>
    <w:rsid w:val="00E62D9A"/>
    <w:rsid w:val="00E7074F"/>
    <w:rsid w:val="00E722BC"/>
    <w:rsid w:val="00E72470"/>
    <w:rsid w:val="00E77F5A"/>
    <w:rsid w:val="00E81EA6"/>
    <w:rsid w:val="00E96D89"/>
    <w:rsid w:val="00EA371B"/>
    <w:rsid w:val="00EB3072"/>
    <w:rsid w:val="00EB450D"/>
    <w:rsid w:val="00ED0A70"/>
    <w:rsid w:val="00ED46DE"/>
    <w:rsid w:val="00EE2440"/>
    <w:rsid w:val="00EE280B"/>
    <w:rsid w:val="00EE4496"/>
    <w:rsid w:val="00EE6157"/>
    <w:rsid w:val="00EF01DA"/>
    <w:rsid w:val="00EF23EA"/>
    <w:rsid w:val="00EF336C"/>
    <w:rsid w:val="00F000BB"/>
    <w:rsid w:val="00F042F7"/>
    <w:rsid w:val="00F044CF"/>
    <w:rsid w:val="00F115FB"/>
    <w:rsid w:val="00F246CF"/>
    <w:rsid w:val="00F26DC0"/>
    <w:rsid w:val="00F326A0"/>
    <w:rsid w:val="00F37B4E"/>
    <w:rsid w:val="00F42F65"/>
    <w:rsid w:val="00F51C3B"/>
    <w:rsid w:val="00F71416"/>
    <w:rsid w:val="00F71733"/>
    <w:rsid w:val="00F811BA"/>
    <w:rsid w:val="00F81EA1"/>
    <w:rsid w:val="00FC1796"/>
    <w:rsid w:val="00FC1CA9"/>
    <w:rsid w:val="00FC2892"/>
    <w:rsid w:val="00FF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486"/>
    <w:rPr>
      <w:sz w:val="24"/>
    </w:rPr>
  </w:style>
  <w:style w:type="paragraph" w:styleId="Heading1">
    <w:name w:val="heading 1"/>
    <w:basedOn w:val="Normal"/>
    <w:next w:val="Normal"/>
    <w:autoRedefine/>
    <w:qFormat/>
    <w:rsid w:val="00A13486"/>
    <w:pPr>
      <w:keepNext/>
      <w:spacing w:after="240"/>
      <w:ind w:left="720" w:hanging="720"/>
      <w:outlineLvl w:val="0"/>
    </w:pPr>
    <w:rPr>
      <w:rFonts w:ascii="Times New Roman Bold" w:hAnsi="Times New Roman Bold"/>
      <w:b/>
      <w:caps/>
      <w:szCs w:val="24"/>
    </w:rPr>
  </w:style>
  <w:style w:type="paragraph" w:styleId="Heading2">
    <w:name w:val="heading 2"/>
    <w:basedOn w:val="Normal"/>
    <w:next w:val="Normal"/>
    <w:autoRedefine/>
    <w:qFormat/>
    <w:rsid w:val="003574F5"/>
    <w:pPr>
      <w:keepNext/>
      <w:spacing w:after="240"/>
      <w:ind w:left="1440" w:right="720" w:hanging="720"/>
      <w:outlineLvl w:val="1"/>
    </w:pPr>
    <w:rPr>
      <w:rFonts w:ascii="Times New Roman Bold" w:hAnsi="Times New Roman Bold"/>
      <w:b/>
    </w:rPr>
  </w:style>
  <w:style w:type="paragraph" w:styleId="Heading3">
    <w:name w:val="heading 3"/>
    <w:basedOn w:val="Normal"/>
    <w:next w:val="Normal"/>
    <w:autoRedefine/>
    <w:qFormat/>
    <w:rsid w:val="00A13486"/>
    <w:pPr>
      <w:keepNext/>
      <w:spacing w:after="240"/>
      <w:ind w:left="2160" w:hanging="720"/>
      <w:jc w:val="center"/>
      <w:outlineLvl w:val="2"/>
    </w:pPr>
    <w:rPr>
      <w:b/>
      <w:bCs/>
    </w:rPr>
  </w:style>
  <w:style w:type="paragraph" w:styleId="Heading4">
    <w:name w:val="heading 4"/>
    <w:basedOn w:val="Normal"/>
    <w:next w:val="Normal"/>
    <w:link w:val="Heading4Char"/>
    <w:autoRedefine/>
    <w:semiHidden/>
    <w:unhideWhenUsed/>
    <w:qFormat/>
    <w:rsid w:val="00A13486"/>
    <w:pPr>
      <w:keepNext/>
      <w:spacing w:after="240"/>
      <w:ind w:left="2880" w:hanging="72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Indent3">
    <w:name w:val="WW-Body Text Indent 3"/>
    <w:basedOn w:val="Normal"/>
    <w:pPr>
      <w:suppressAutoHyphens/>
      <w:spacing w:line="480" w:lineRule="atLeast"/>
      <w:ind w:firstLine="720"/>
    </w:pPr>
    <w:rPr>
      <w:lang w:eastAsia="ar-SA"/>
    </w:rPr>
  </w:style>
  <w:style w:type="paragraph" w:customStyle="1" w:styleId="ColorfulShading-Accent11">
    <w:name w:val="Colorful Shading - Accent 11"/>
    <w:hidden/>
    <w:uiPriority w:val="99"/>
    <w:semiHidden/>
    <w:rPr>
      <w:sz w:val="24"/>
    </w:rPr>
  </w:style>
  <w:style w:type="character" w:customStyle="1" w:styleId="HTMLPreformattedChar">
    <w:name w:val="HTML Preformatted Char"/>
    <w:link w:val="HTMLPreformatted"/>
    <w:rsid w:val="00D706DE"/>
    <w:rPr>
      <w:rFonts w:ascii="Courier New" w:eastAsia="Courier New" w:hAnsi="Courier New" w:cs="Courier New"/>
    </w:rPr>
  </w:style>
  <w:style w:type="character" w:customStyle="1" w:styleId="BodyTextChar">
    <w:name w:val="Body Text Char"/>
    <w:link w:val="BodyText"/>
    <w:rsid w:val="00B45159"/>
    <w:rPr>
      <w:sz w:val="24"/>
    </w:rPr>
  </w:style>
  <w:style w:type="character" w:customStyle="1" w:styleId="Heading4Char">
    <w:name w:val="Heading 4 Char"/>
    <w:link w:val="Heading4"/>
    <w:semiHidden/>
    <w:rsid w:val="00A13486"/>
    <w:rPr>
      <w:rFonts w:eastAsia="Times New Roman" w:cs="Times New Roman"/>
      <w:b/>
      <w:bCs/>
      <w:sz w:val="24"/>
      <w:szCs w:val="28"/>
    </w:rPr>
  </w:style>
  <w:style w:type="character" w:customStyle="1" w:styleId="BodyTextIndentChar">
    <w:name w:val="Body Text Indent Char"/>
    <w:link w:val="BodyTextIndent"/>
    <w:rsid w:val="00A13486"/>
    <w:rPr>
      <w:sz w:val="24"/>
    </w:rPr>
  </w:style>
  <w:style w:type="paragraph" w:styleId="Revision">
    <w:name w:val="Revision"/>
    <w:hidden/>
    <w:uiPriority w:val="99"/>
    <w:semiHidden/>
    <w:rsid w:val="00763DB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2359</Words>
  <Characters>12608</Characters>
  <Application>Microsoft Office Word</Application>
  <DocSecurity>0</DocSecurity>
  <Lines>286</Lines>
  <Paragraphs>115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14960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2013-09-06T16:04:00Z</cp:lastPrinted>
  <dcterms:created xsi:type="dcterms:W3CDTF">2013-09-06T20:02:00Z</dcterms:created>
  <dcterms:modified xsi:type="dcterms:W3CDTF">2013-09-06T20:02:00Z</dcterms:modified>
  <cp:category> </cp:category>
  <cp:contentStatus> </cp:contentStatus>
</cp:coreProperties>
</file>