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spacing w:after="0"/>
        <w:rPr>
          <w:rFonts w:ascii="Arial Bold" w:hAnsi="Arial Bold"/>
          <w:b/>
          <w:smallCaps/>
          <w:sz w:val="28"/>
        </w:rPr>
      </w:pPr>
      <w:bookmarkStart w:id="0" w:name="OLE_LINK1"/>
      <w:bookmarkStart w:id="1" w:name="OLE_LINK2"/>
      <w:r>
        <w:rPr>
          <w:rFonts w:ascii="Arial Bold" w:hAnsi="Arial Bold"/>
          <w:b/>
          <w:smallCaps/>
          <w:sz w:val="28"/>
        </w:rPr>
        <w:t>Before</w:t>
      </w:r>
    </w:p>
    <w:p>
      <w:pPr>
        <w:jc w:val="center"/>
        <w:rPr>
          <w:rFonts w:cs="Arial"/>
          <w:b/>
          <w:smallCaps/>
          <w:sz w:val="28"/>
        </w:rPr>
      </w:pPr>
      <w:r>
        <w:rPr>
          <w:rFonts w:cs="Arial"/>
          <w:b/>
          <w:smallCaps/>
          <w:sz w:val="28"/>
        </w:rPr>
        <w:t>The Public Utilities Commission of Ohio</w:t>
      </w:r>
    </w:p>
    <w:p>
      <w:pPr>
        <w:autoSpaceDE w:val="0"/>
        <w:autoSpaceDN w:val="0"/>
        <w:adjustRightInd w:val="0"/>
        <w:rPr>
          <w:rFonts w:cs="Arial"/>
        </w:rPr>
      </w:pPr>
    </w:p>
    <w:p>
      <w:pPr>
        <w:autoSpaceDE w:val="0"/>
        <w:autoSpaceDN w:val="0"/>
        <w:adjustRightInd w:val="0"/>
        <w:jc w:val="both"/>
        <w:rPr>
          <w:rFonts w:cs="Arial"/>
        </w:rPr>
      </w:pPr>
      <w:r>
        <w:rPr>
          <w:rFonts w:cs="Arial"/>
        </w:rPr>
        <w:t>In the Matter of the Mercantile Customer</w:t>
      </w:r>
      <w:r>
        <w:rPr>
          <w:rFonts w:cs="Arial"/>
        </w:rPr>
        <w:tab/>
      </w:r>
      <w:r>
        <w:rPr>
          <w:rFonts w:cs="Arial"/>
        </w:rPr>
        <w:tab/>
        <w:t>)</w:t>
      </w:r>
    </w:p>
    <w:p>
      <w:pPr>
        <w:autoSpaceDE w:val="0"/>
        <w:autoSpaceDN w:val="0"/>
        <w:adjustRightInd w:val="0"/>
        <w:jc w:val="both"/>
        <w:rPr>
          <w:rFonts w:cs="Arial"/>
        </w:rPr>
      </w:pPr>
      <w:r>
        <w:rPr>
          <w:rFonts w:cs="Arial"/>
        </w:rPr>
        <w:t xml:space="preserve">Pilot Program for Integration of Customer </w:t>
      </w:r>
      <w:r>
        <w:rPr>
          <w:rFonts w:cs="Arial"/>
        </w:rPr>
        <w:tab/>
        <w:t>)</w:t>
      </w:r>
      <w:r>
        <w:rPr>
          <w:rFonts w:cs="Arial"/>
        </w:rPr>
        <w:tab/>
        <w:t>Case No. 10-834-EL-POR</w:t>
      </w:r>
    </w:p>
    <w:p>
      <w:pPr>
        <w:autoSpaceDE w:val="0"/>
        <w:autoSpaceDN w:val="0"/>
        <w:adjustRightInd w:val="0"/>
        <w:jc w:val="both"/>
        <w:rPr>
          <w:rFonts w:cs="Arial"/>
        </w:rPr>
      </w:pPr>
      <w:r>
        <w:rPr>
          <w:rFonts w:cs="Arial"/>
        </w:rPr>
        <w:t>Energy Efficiency or Peak-Demand</w:t>
      </w:r>
      <w:r>
        <w:rPr>
          <w:rFonts w:cs="Arial"/>
        </w:rPr>
        <w:tab/>
      </w:r>
      <w:r>
        <w:rPr>
          <w:rFonts w:cs="Arial"/>
        </w:rPr>
        <w:tab/>
        <w:t>)</w:t>
      </w:r>
    </w:p>
    <w:p>
      <w:pPr>
        <w:autoSpaceDE w:val="0"/>
        <w:autoSpaceDN w:val="0"/>
        <w:adjustRightInd w:val="0"/>
        <w:jc w:val="both"/>
        <w:rPr>
          <w:rFonts w:cs="Arial"/>
        </w:rPr>
      </w:pPr>
      <w:proofErr w:type="gramStart"/>
      <w:r>
        <w:rPr>
          <w:rFonts w:cs="Arial"/>
        </w:rPr>
        <w:t>Reduction Programs.</w:t>
      </w:r>
      <w:proofErr w:type="gramEnd"/>
      <w:r>
        <w:rPr>
          <w:rFonts w:cs="Arial"/>
        </w:rPr>
        <w:tab/>
      </w:r>
      <w:r>
        <w:rPr>
          <w:rFonts w:cs="Arial"/>
        </w:rPr>
        <w:tab/>
      </w:r>
      <w:r>
        <w:rPr>
          <w:rFonts w:cs="Arial"/>
        </w:rPr>
        <w:tab/>
      </w:r>
      <w:r>
        <w:rPr>
          <w:rFonts w:cs="Arial"/>
        </w:rPr>
        <w:tab/>
        <w:t>)</w:t>
      </w:r>
    </w:p>
    <w:p>
      <w:pPr>
        <w:autoSpaceDE w:val="0"/>
        <w:autoSpaceDN w:val="0"/>
        <w:adjustRightInd w:val="0"/>
        <w:jc w:val="both"/>
        <w:rPr>
          <w:rFonts w:cs="Arial"/>
        </w:rPr>
      </w:pPr>
    </w:p>
    <w:p>
      <w:pPr>
        <w:rPr>
          <w:rFonts w:cs="Arial"/>
        </w:rPr>
      </w:pPr>
    </w:p>
    <w:p>
      <w:pPr>
        <w:pBdr>
          <w:top w:val="single" w:sz="12" w:space="1" w:color="auto"/>
          <w:bottom w:val="single" w:sz="12" w:space="1" w:color="auto"/>
        </w:pBdr>
        <w:jc w:val="center"/>
        <w:rPr>
          <w:rFonts w:cs="Arial"/>
          <w:b/>
          <w:caps/>
        </w:rPr>
      </w:pPr>
    </w:p>
    <w:p>
      <w:pPr>
        <w:pBdr>
          <w:top w:val="single" w:sz="12" w:space="1" w:color="auto"/>
          <w:bottom w:val="single" w:sz="12" w:space="1" w:color="auto"/>
        </w:pBdr>
        <w:jc w:val="center"/>
        <w:rPr>
          <w:rFonts w:cs="Arial"/>
          <w:b/>
          <w:smallCaps/>
          <w:sz w:val="32"/>
          <w:szCs w:val="32"/>
        </w:rPr>
      </w:pPr>
      <w:r>
        <w:rPr>
          <w:rFonts w:cs="Arial"/>
          <w:b/>
          <w:smallCaps/>
          <w:sz w:val="32"/>
          <w:szCs w:val="32"/>
        </w:rPr>
        <w:t>Reply Comments of Industrial Energy Users-Ohio</w:t>
      </w:r>
    </w:p>
    <w:p>
      <w:pPr>
        <w:pBdr>
          <w:top w:val="single" w:sz="12" w:space="1" w:color="auto"/>
          <w:bottom w:val="single" w:sz="12" w:space="1" w:color="auto"/>
        </w:pBdr>
        <w:jc w:val="center"/>
        <w:rPr>
          <w:rFonts w:cs="Arial"/>
          <w:b/>
          <w:caps/>
        </w:rPr>
      </w:pPr>
    </w:p>
    <w:p>
      <w:pPr>
        <w:ind w:firstLine="720"/>
        <w:jc w:val="center"/>
        <w:rPr>
          <w:rFonts w:cs="Arial"/>
          <w:b/>
        </w:rPr>
      </w:pPr>
    </w:p>
    <w:p>
      <w:pPr>
        <w:tabs>
          <w:tab w:val="left" w:pos="-1440"/>
          <w:tab w:val="left" w:pos="-720"/>
          <w:tab w:val="right" w:pos="8640"/>
        </w:tabs>
        <w:ind w:left="4320"/>
        <w:rPr>
          <w:rFonts w:cs="Arial"/>
        </w:rPr>
      </w:pPr>
    </w:p>
    <w:p>
      <w:pPr>
        <w:tabs>
          <w:tab w:val="left" w:pos="-1440"/>
          <w:tab w:val="left" w:pos="-720"/>
          <w:tab w:val="right" w:pos="8640"/>
        </w:tabs>
        <w:ind w:left="4320"/>
        <w:rPr>
          <w:rFonts w:cs="Arial"/>
        </w:rPr>
      </w:pPr>
    </w:p>
    <w:bookmarkEnd w:id="0"/>
    <w:bookmarkEnd w:id="1"/>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pStyle w:val="Title"/>
        <w:spacing w:after="0"/>
        <w:jc w:val="left"/>
        <w:rPr>
          <w:b/>
          <w:sz w:val="28"/>
        </w:rPr>
      </w:pPr>
    </w:p>
    <w:p>
      <w:pPr>
        <w:tabs>
          <w:tab w:val="left" w:pos="4320"/>
          <w:tab w:val="right" w:pos="8640"/>
        </w:tabs>
        <w:ind w:left="4320"/>
        <w:jc w:val="both"/>
        <w:rPr>
          <w:rFonts w:cs="Arial"/>
        </w:rPr>
      </w:pPr>
      <w:r>
        <w:rPr>
          <w:rFonts w:cs="Arial"/>
        </w:rPr>
        <w:t>Samuel C. Randazzo (Counsel of Record)</w:t>
      </w:r>
    </w:p>
    <w:p>
      <w:pPr>
        <w:pStyle w:val="BodyText3"/>
        <w:widowControl w:val="0"/>
        <w:tabs>
          <w:tab w:val="left" w:pos="4320"/>
        </w:tabs>
        <w:ind w:left="4320"/>
        <w:jc w:val="both"/>
        <w:rPr>
          <w:rFonts w:cs="Arial"/>
          <w:b w:val="0"/>
          <w:bCs/>
        </w:rPr>
      </w:pPr>
      <w:r>
        <w:rPr>
          <w:rFonts w:cs="Arial"/>
          <w:b w:val="0"/>
          <w:bCs/>
        </w:rPr>
        <w:t>Frank P. Darr</w:t>
      </w:r>
    </w:p>
    <w:p>
      <w:pPr>
        <w:pStyle w:val="BodyText3"/>
        <w:widowControl w:val="0"/>
        <w:tabs>
          <w:tab w:val="left" w:pos="4320"/>
        </w:tabs>
        <w:ind w:left="4320"/>
        <w:jc w:val="both"/>
        <w:rPr>
          <w:rFonts w:cs="Arial"/>
          <w:b w:val="0"/>
          <w:bCs/>
        </w:rPr>
      </w:pPr>
      <w:r>
        <w:rPr>
          <w:rFonts w:cs="Arial"/>
          <w:b w:val="0"/>
          <w:bCs/>
        </w:rPr>
        <w:t>Joseph E. Oliker</w:t>
      </w:r>
    </w:p>
    <w:p>
      <w:pPr>
        <w:pStyle w:val="BodyText3"/>
        <w:widowControl w:val="0"/>
        <w:tabs>
          <w:tab w:val="left" w:pos="4320"/>
        </w:tabs>
        <w:ind w:left="4320"/>
        <w:jc w:val="both"/>
        <w:rPr>
          <w:rFonts w:cs="Arial"/>
          <w:b w:val="0"/>
          <w:bCs/>
        </w:rPr>
      </w:pPr>
      <w:r>
        <w:rPr>
          <w:rFonts w:cs="Arial"/>
          <w:b w:val="0"/>
          <w:bCs/>
        </w:rPr>
        <w:t>Matthew R. Pritchard</w:t>
      </w:r>
    </w:p>
    <w:p>
      <w:pPr>
        <w:pStyle w:val="BodyText3"/>
        <w:widowControl w:val="0"/>
        <w:tabs>
          <w:tab w:val="left" w:pos="4320"/>
        </w:tabs>
        <w:ind w:left="4320"/>
        <w:jc w:val="both"/>
        <w:rPr>
          <w:rFonts w:cs="Arial"/>
          <w:b w:val="0"/>
          <w:bCs/>
          <w:smallCaps/>
          <w:szCs w:val="24"/>
        </w:rPr>
      </w:pPr>
      <w:proofErr w:type="spellStart"/>
      <w:r>
        <w:rPr>
          <w:rFonts w:cs="Arial"/>
          <w:b w:val="0"/>
          <w:bCs/>
          <w:smallCaps/>
          <w:szCs w:val="24"/>
        </w:rPr>
        <w:t>McNees</w:t>
      </w:r>
      <w:proofErr w:type="spellEnd"/>
      <w:r>
        <w:rPr>
          <w:rFonts w:cs="Arial"/>
          <w:b w:val="0"/>
          <w:bCs/>
          <w:smallCaps/>
          <w:szCs w:val="24"/>
        </w:rPr>
        <w:t xml:space="preserve"> Wallace &amp; </w:t>
      </w:r>
      <w:proofErr w:type="spellStart"/>
      <w:r>
        <w:rPr>
          <w:rFonts w:cs="Arial"/>
          <w:b w:val="0"/>
          <w:bCs/>
          <w:smallCaps/>
          <w:szCs w:val="24"/>
        </w:rPr>
        <w:t>Nurick</w:t>
      </w:r>
      <w:proofErr w:type="spellEnd"/>
      <w:r>
        <w:rPr>
          <w:rFonts w:cs="Arial"/>
          <w:b w:val="0"/>
          <w:bCs/>
          <w:smallCaps/>
          <w:szCs w:val="24"/>
        </w:rPr>
        <w:t xml:space="preserve"> LLC</w:t>
      </w:r>
    </w:p>
    <w:p>
      <w:pPr>
        <w:pStyle w:val="BodyText3"/>
        <w:widowControl w:val="0"/>
        <w:tabs>
          <w:tab w:val="left" w:pos="4320"/>
        </w:tabs>
        <w:ind w:left="432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pPr>
        <w:pStyle w:val="BodyText"/>
        <w:tabs>
          <w:tab w:val="left" w:pos="4320"/>
        </w:tabs>
        <w:ind w:left="4320"/>
      </w:pPr>
      <w:r>
        <w:t>Columbus, OH  43215</w:t>
      </w:r>
    </w:p>
    <w:p>
      <w:pPr>
        <w:pStyle w:val="BodyText"/>
        <w:tabs>
          <w:tab w:val="left" w:pos="4320"/>
        </w:tabs>
        <w:ind w:left="4320"/>
      </w:pPr>
      <w:r>
        <w:t>Telephone:  (614) 469-8000</w:t>
      </w:r>
    </w:p>
    <w:p>
      <w:pPr>
        <w:pStyle w:val="BodyText"/>
        <w:tabs>
          <w:tab w:val="left" w:pos="4320"/>
        </w:tabs>
        <w:ind w:left="4320"/>
      </w:pPr>
      <w:proofErr w:type="spellStart"/>
      <w:r>
        <w:t>Telecopier</w:t>
      </w:r>
      <w:proofErr w:type="spellEnd"/>
      <w:r>
        <w:t>:  (614) 469-4653</w:t>
      </w:r>
    </w:p>
    <w:p>
      <w:pPr>
        <w:pStyle w:val="BodyText"/>
        <w:ind w:left="4320"/>
      </w:pPr>
      <w:r>
        <w:t>sam@mwncmh.com</w:t>
      </w:r>
    </w:p>
    <w:p>
      <w:pPr>
        <w:pStyle w:val="BodyText"/>
        <w:ind w:left="4320"/>
      </w:pPr>
      <w:r>
        <w:t>fdarr@mwncmh.com</w:t>
      </w:r>
    </w:p>
    <w:p>
      <w:pPr>
        <w:pStyle w:val="BodyText"/>
        <w:ind w:left="4320"/>
      </w:pPr>
      <w:r>
        <w:t>joliker@mwncmh.com</w:t>
      </w:r>
    </w:p>
    <w:p>
      <w:pPr>
        <w:pStyle w:val="BodyText"/>
        <w:ind w:left="4320"/>
      </w:pPr>
      <w:r>
        <w:t>mpritchard@mwncmh.com</w:t>
      </w:r>
    </w:p>
    <w:p>
      <w:pPr>
        <w:pStyle w:val="BodyText"/>
      </w:pPr>
    </w:p>
    <w:p>
      <w:pPr>
        <w:pStyle w:val="Title"/>
        <w:spacing w:after="0"/>
        <w:ind w:left="4320" w:hanging="4320"/>
        <w:jc w:val="left"/>
        <w:rPr>
          <w:b/>
          <w:sz w:val="24"/>
        </w:rPr>
      </w:pPr>
      <w:r>
        <w:rPr>
          <w:b/>
          <w:sz w:val="24"/>
        </w:rPr>
        <w:t>April 10, 2013</w:t>
      </w:r>
      <w:r>
        <w:rPr>
          <w:b/>
          <w:sz w:val="24"/>
        </w:rPr>
        <w:tab/>
        <w:t>Attorneys for Industrial Energy Users-Ohio</w:t>
      </w:r>
    </w:p>
    <w:p>
      <w:pPr>
        <w:pStyle w:val="Title"/>
        <w:spacing w:after="0"/>
        <w:ind w:left="4320" w:hanging="4320"/>
        <w:jc w:val="left"/>
        <w:rPr>
          <w:b/>
          <w:sz w:val="24"/>
        </w:rPr>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cols w:space="720"/>
          <w:titlePg/>
          <w:docGrid w:linePitch="360"/>
        </w:sectPr>
      </w:pPr>
    </w:p>
    <w:p>
      <w:pPr>
        <w:pStyle w:val="Title"/>
        <w:spacing w:after="0"/>
        <w:rPr>
          <w:rFonts w:ascii="Arial Bold" w:hAnsi="Arial Bold"/>
          <w:b/>
          <w:smallCaps/>
          <w:sz w:val="28"/>
        </w:rPr>
      </w:pPr>
      <w:r>
        <w:rPr>
          <w:rFonts w:ascii="Arial Bold" w:hAnsi="Arial Bold"/>
          <w:b/>
          <w:smallCaps/>
          <w:sz w:val="28"/>
        </w:rPr>
        <w:lastRenderedPageBreak/>
        <w:t>Before</w:t>
      </w:r>
    </w:p>
    <w:p>
      <w:pPr>
        <w:jc w:val="center"/>
        <w:rPr>
          <w:rFonts w:cs="Arial"/>
          <w:b/>
          <w:smallCaps/>
          <w:sz w:val="28"/>
        </w:rPr>
      </w:pPr>
      <w:r>
        <w:rPr>
          <w:rFonts w:cs="Arial"/>
          <w:b/>
          <w:smallCaps/>
          <w:sz w:val="28"/>
        </w:rPr>
        <w:t>The Public Utilities Commission of Ohio</w:t>
      </w:r>
    </w:p>
    <w:p>
      <w:pPr>
        <w:autoSpaceDE w:val="0"/>
        <w:autoSpaceDN w:val="0"/>
        <w:adjustRightInd w:val="0"/>
        <w:rPr>
          <w:rFonts w:cs="Arial"/>
        </w:rPr>
      </w:pPr>
    </w:p>
    <w:p>
      <w:pPr>
        <w:autoSpaceDE w:val="0"/>
        <w:autoSpaceDN w:val="0"/>
        <w:adjustRightInd w:val="0"/>
        <w:jc w:val="both"/>
        <w:rPr>
          <w:rFonts w:cs="Arial"/>
        </w:rPr>
      </w:pPr>
      <w:r>
        <w:rPr>
          <w:rFonts w:cs="Arial"/>
        </w:rPr>
        <w:t>In the Matter of the Mercantile Customer</w:t>
      </w:r>
      <w:r>
        <w:rPr>
          <w:rFonts w:cs="Arial"/>
        </w:rPr>
        <w:tab/>
      </w:r>
      <w:r>
        <w:rPr>
          <w:rFonts w:cs="Arial"/>
        </w:rPr>
        <w:tab/>
        <w:t>)</w:t>
      </w:r>
    </w:p>
    <w:p>
      <w:pPr>
        <w:autoSpaceDE w:val="0"/>
        <w:autoSpaceDN w:val="0"/>
        <w:adjustRightInd w:val="0"/>
        <w:jc w:val="both"/>
        <w:rPr>
          <w:rFonts w:cs="Arial"/>
        </w:rPr>
      </w:pPr>
      <w:r>
        <w:rPr>
          <w:rFonts w:cs="Arial"/>
        </w:rPr>
        <w:t xml:space="preserve">Pilot Program for Integration of Customer </w:t>
      </w:r>
      <w:r>
        <w:rPr>
          <w:rFonts w:cs="Arial"/>
        </w:rPr>
        <w:tab/>
        <w:t>)</w:t>
      </w:r>
      <w:r>
        <w:rPr>
          <w:rFonts w:cs="Arial"/>
        </w:rPr>
        <w:tab/>
        <w:t>Case No. 10-834-EL-POR</w:t>
      </w:r>
    </w:p>
    <w:p>
      <w:pPr>
        <w:autoSpaceDE w:val="0"/>
        <w:autoSpaceDN w:val="0"/>
        <w:adjustRightInd w:val="0"/>
        <w:jc w:val="both"/>
        <w:rPr>
          <w:rFonts w:cs="Arial"/>
        </w:rPr>
      </w:pPr>
      <w:r>
        <w:rPr>
          <w:rFonts w:cs="Arial"/>
        </w:rPr>
        <w:t>Energy Efficiency or Peak-Demand</w:t>
      </w:r>
      <w:r>
        <w:rPr>
          <w:rFonts w:cs="Arial"/>
        </w:rPr>
        <w:tab/>
      </w:r>
      <w:r>
        <w:rPr>
          <w:rFonts w:cs="Arial"/>
        </w:rPr>
        <w:tab/>
        <w:t>)</w:t>
      </w:r>
    </w:p>
    <w:p>
      <w:pPr>
        <w:autoSpaceDE w:val="0"/>
        <w:autoSpaceDN w:val="0"/>
        <w:adjustRightInd w:val="0"/>
        <w:jc w:val="both"/>
        <w:rPr>
          <w:rFonts w:cs="Arial"/>
        </w:rPr>
      </w:pPr>
      <w:proofErr w:type="gramStart"/>
      <w:r>
        <w:rPr>
          <w:rFonts w:cs="Arial"/>
        </w:rPr>
        <w:t>Reduction Programs.</w:t>
      </w:r>
      <w:proofErr w:type="gramEnd"/>
      <w:r>
        <w:rPr>
          <w:rFonts w:cs="Arial"/>
        </w:rPr>
        <w:tab/>
      </w:r>
      <w:r>
        <w:rPr>
          <w:rFonts w:cs="Arial"/>
        </w:rPr>
        <w:tab/>
      </w:r>
      <w:r>
        <w:rPr>
          <w:rFonts w:cs="Arial"/>
        </w:rPr>
        <w:tab/>
      </w:r>
      <w:r>
        <w:rPr>
          <w:rFonts w:cs="Arial"/>
        </w:rPr>
        <w:tab/>
        <w:t>)</w:t>
      </w:r>
    </w:p>
    <w:p>
      <w:pPr>
        <w:autoSpaceDE w:val="0"/>
        <w:autoSpaceDN w:val="0"/>
        <w:adjustRightInd w:val="0"/>
        <w:jc w:val="both"/>
        <w:rPr>
          <w:rFonts w:cs="Arial"/>
        </w:rPr>
      </w:pPr>
    </w:p>
    <w:p>
      <w:pPr>
        <w:rPr>
          <w:rFonts w:cs="Arial"/>
        </w:rPr>
      </w:pPr>
    </w:p>
    <w:p>
      <w:pPr>
        <w:pBdr>
          <w:top w:val="single" w:sz="12" w:space="1" w:color="auto"/>
          <w:bottom w:val="single" w:sz="12" w:space="1" w:color="auto"/>
        </w:pBdr>
        <w:jc w:val="center"/>
        <w:rPr>
          <w:rFonts w:cs="Arial"/>
          <w:b/>
          <w:caps/>
        </w:rPr>
      </w:pPr>
    </w:p>
    <w:p>
      <w:pPr>
        <w:pBdr>
          <w:top w:val="single" w:sz="12" w:space="1" w:color="auto"/>
          <w:bottom w:val="single" w:sz="12" w:space="1" w:color="auto"/>
        </w:pBdr>
        <w:jc w:val="center"/>
        <w:rPr>
          <w:rFonts w:cs="Arial"/>
          <w:b/>
          <w:smallCaps/>
          <w:sz w:val="28"/>
          <w:szCs w:val="28"/>
        </w:rPr>
      </w:pPr>
      <w:r>
        <w:rPr>
          <w:rFonts w:cs="Arial"/>
          <w:b/>
          <w:smallCaps/>
          <w:sz w:val="28"/>
          <w:szCs w:val="28"/>
        </w:rPr>
        <w:t>Reply Comments of Industrial Energy Users-Ohio</w:t>
      </w:r>
    </w:p>
    <w:p>
      <w:pPr>
        <w:pBdr>
          <w:top w:val="single" w:sz="12" w:space="1" w:color="auto"/>
          <w:bottom w:val="single" w:sz="12" w:space="1" w:color="auto"/>
        </w:pBdr>
        <w:jc w:val="center"/>
        <w:rPr>
          <w:rFonts w:cs="Arial"/>
          <w:b/>
          <w:caps/>
        </w:rPr>
      </w:pPr>
    </w:p>
    <w:p>
      <w:pPr>
        <w:spacing w:before="120"/>
        <w:jc w:val="both"/>
      </w:pPr>
    </w:p>
    <w:p>
      <w:pPr>
        <w:pStyle w:val="S4Heading1"/>
      </w:pPr>
      <w:r>
        <w:t>INTRODUCTION</w:t>
      </w:r>
    </w:p>
    <w:p>
      <w:pPr>
        <w:spacing w:line="480" w:lineRule="auto"/>
        <w:ind w:firstLine="720"/>
        <w:jc w:val="both"/>
      </w:pPr>
      <w:r>
        <w:t xml:space="preserve">On March 6, 2013, the Public Utilities Commission of Ohio (“Commission”) issued an Entry directing interested parties to file initial and reply comments on the Commission Staff’s (“Staff”) January 15, 2013 Review and Recommendation of the Commission’s Mercantile Customer Pilot Program (“Pilot Program”).  Initial comments were filed by Industrial Energy Users-Ohio (“IEU-Ohio”), Ohio Edison Company, The Toledo Edison Company and The Cleveland Electric Illuminating Company (collectively, “FirstEnergy”), Ohio Power Company (“AEP-Ohio”), OMA Energy Group (“OMA-EG”), Environmental Law &amp; Policy Center, The Ohio Environmental Council, The Natural Resources Defense Council and The Sierra Club (collectively, “Environmental Advocates”), and the Ohio Hospital Association (“OHA”).  </w:t>
      </w:r>
    </w:p>
    <w:p>
      <w:pPr>
        <w:spacing w:line="480" w:lineRule="auto"/>
        <w:ind w:firstLine="720"/>
        <w:jc w:val="both"/>
        <w:rPr>
          <w:rFonts w:cs="Arial"/>
        </w:rPr>
      </w:pPr>
      <w:r>
        <w:rPr>
          <w:rFonts w:cs="Arial"/>
        </w:rPr>
        <w:t xml:space="preserve">The parties’ comments filed last fall in this proceeding, as well as the initial comments filed on March 27, 2013, reflect unanimous support for the Commission ending the temporary nature of the Pilot Program and establishing rules on a permanent basis.  In Staff’s January 15, 2013 Review and Recommendation, Staff also broadly </w:t>
      </w:r>
      <w:r>
        <w:rPr>
          <w:rFonts w:cs="Arial"/>
        </w:rPr>
        <w:lastRenderedPageBreak/>
        <w:t xml:space="preserve">supported establishing the policies of the mercantile customer Pilot Program on a permanent basis.    </w:t>
      </w:r>
    </w:p>
    <w:p>
      <w:pPr>
        <w:spacing w:line="480" w:lineRule="auto"/>
        <w:ind w:firstLine="720"/>
        <w:jc w:val="both"/>
        <w:rPr>
          <w:rFonts w:cs="Arial"/>
        </w:rPr>
      </w:pPr>
      <w:r>
        <w:rPr>
          <w:rFonts w:cs="Arial"/>
        </w:rPr>
        <w:t>The March 27, 2013 initial comments generally support Staff’s Review and Recommendation, with some minor suggested changes.  No party opposes the automatic approval process.  No party opposes payments to mercantile customers who have to file annual reports to verify energy efficiency and peak demand reduction (“EE/PDR”) savings that resulted from behavioral changes still exist.  With the exception of the Environmental Advocates, every intervenor (customer representatives and electric distribution utilities or “EDUs”) and Staff support continuation of the as-found methodology to measure EE/PDR savings and to calculate the level of incentives available to a mercantile customer who commits its EE/PDR savings to its EDU.  With the exception of the Environmental Advocates, every intervenor and Staff support continuation of the benchmark comparison methodology for purposes of calculating the duration of a mercantile customer’s exemption from its EDU’s EE/PDR rider.  Accordingly, there is general consensus that the Pilot Program is working well, and there is general support for making the policies in the Pilot Program permanent.</w:t>
      </w:r>
    </w:p>
    <w:p>
      <w:pPr>
        <w:spacing w:line="480" w:lineRule="auto"/>
        <w:ind w:firstLine="720"/>
        <w:jc w:val="both"/>
        <w:rPr>
          <w:rFonts w:cs="Arial"/>
        </w:rPr>
      </w:pPr>
      <w:r>
        <w:rPr>
          <w:rFonts w:cs="Arial"/>
        </w:rPr>
        <w:t>There is also some general support for several modifications to Staff’s Review and Recommendation.  First, FirstEnergy, AEP-Ohio, and OHA oppose moving the deadline for filing historical mercantile customer EE/PDR projects to December of the third year following the project’s in-service date.</w:t>
      </w:r>
      <w:r>
        <w:rPr>
          <w:rStyle w:val="FootnoteReference"/>
          <w:rFonts w:cs="Arial"/>
        </w:rPr>
        <w:footnoteReference w:id="1"/>
      </w:r>
      <w:r>
        <w:rPr>
          <w:rFonts w:cs="Arial"/>
        </w:rPr>
        <w:t xml:space="preserve">  IEU-Ohio and OMA-EG also oppose ongoing annual reporting requirements for mercantile customers that elect an EE/PDR </w:t>
      </w:r>
      <w:r>
        <w:rPr>
          <w:rFonts w:cs="Arial"/>
        </w:rPr>
        <w:lastRenderedPageBreak/>
        <w:t>rider exemption</w:t>
      </w:r>
      <w:r>
        <w:rPr>
          <w:rStyle w:val="FootnoteReference"/>
          <w:rFonts w:cs="Arial"/>
        </w:rPr>
        <w:footnoteReference w:id="2"/>
      </w:r>
      <w:r>
        <w:rPr>
          <w:rFonts w:cs="Arial"/>
        </w:rPr>
        <w:t xml:space="preserve"> and, in the </w:t>
      </w:r>
      <w:proofErr w:type="gramStart"/>
      <w:r>
        <w:rPr>
          <w:rFonts w:cs="Arial"/>
        </w:rPr>
        <w:t>alternative,</w:t>
      </w:r>
      <w:proofErr w:type="gramEnd"/>
      <w:r>
        <w:rPr>
          <w:rFonts w:cs="Arial"/>
        </w:rPr>
        <w:t xml:space="preserve"> IEU-Ohio recommends that mercantile customers receive compensation for filing annual reports associated with all EE/PDR verification reports.</w:t>
      </w:r>
      <w:r>
        <w:rPr>
          <w:rStyle w:val="FootnoteReference"/>
          <w:rFonts w:cs="Arial"/>
        </w:rPr>
        <w:footnoteReference w:id="3"/>
      </w:r>
      <w:r>
        <w:rPr>
          <w:rFonts w:cs="Arial"/>
        </w:rPr>
        <w:t xml:space="preserve">  IEU-Ohio also opposes artificially reducing EE/PDR savings to levels below what a mercantile customer actually achieves and, therefore, opposes Staff’s recommendation to use a hypothetical EE/PDR baseline for counting the EE/PDR improvements for the replacement of failed equipment at the end of its useful life.</w:t>
      </w:r>
      <w:r>
        <w:rPr>
          <w:rFonts w:cs="Arial"/>
          <w:vertAlign w:val="superscript"/>
        </w:rPr>
        <w:footnoteReference w:id="4"/>
      </w:r>
      <w:r>
        <w:rPr>
          <w:rFonts w:cs="Arial"/>
        </w:rPr>
        <w:t xml:space="preserve">  Because these modifications to Staff’s Review and Recommendation are lawful and reasonable, the Commission should adopt them. </w:t>
      </w:r>
    </w:p>
    <w:p>
      <w:pPr>
        <w:spacing w:line="480" w:lineRule="auto"/>
        <w:ind w:firstLine="720"/>
        <w:jc w:val="both"/>
        <w:rPr>
          <w:rFonts w:cs="Arial"/>
        </w:rPr>
      </w:pPr>
      <w:r>
        <w:rPr>
          <w:rFonts w:cs="Arial"/>
        </w:rPr>
        <w:t>The only party that does not generally support the Pilot Program in its current form is the Environmental Advocates.  The Environmental Advocates continue to oppose using the as-found methodology to measure the EE/PDR savings from the replacement of failed equipment and oppose using the benchmark comparison methodology for measuring the length of a mercantile customer’s rider exemption.</w:t>
      </w:r>
      <w:r>
        <w:rPr>
          <w:rStyle w:val="FootnoteReference"/>
          <w:rFonts w:cs="Arial"/>
        </w:rPr>
        <w:footnoteReference w:id="5"/>
      </w:r>
      <w:r>
        <w:rPr>
          <w:rFonts w:cs="Arial"/>
        </w:rPr>
        <w:t xml:space="preserve">  The Environmental Advocates claim that the use of the as-found methodology is inconsistent with Ohio law, and that only savings in excess of a baseline reflecting current code or industry standard should be counted when equipment is replaced.</w:t>
      </w:r>
      <w:r>
        <w:rPr>
          <w:rStyle w:val="FootnoteReference"/>
          <w:rFonts w:cs="Arial"/>
        </w:rPr>
        <w:footnoteReference w:id="6"/>
      </w:r>
      <w:r>
        <w:rPr>
          <w:rFonts w:cs="Arial"/>
        </w:rPr>
        <w:t xml:space="preserve">  They also oppose the use of the benchmark comparison method because it allows mercantile customers to identify and commit low-cost energy efficiency improvements. </w:t>
      </w:r>
    </w:p>
    <w:p>
      <w:pPr>
        <w:spacing w:line="480" w:lineRule="auto"/>
        <w:ind w:firstLine="720"/>
        <w:jc w:val="both"/>
        <w:rPr>
          <w:rFonts w:cs="Arial"/>
        </w:rPr>
      </w:pPr>
      <w:r>
        <w:rPr>
          <w:rFonts w:cs="Arial"/>
        </w:rPr>
        <w:lastRenderedPageBreak/>
        <w:t>As indicated in their initial comments, the Environmental Advocates are merely reiterating the comments they filed in this proceeding last fall.</w:t>
      </w:r>
      <w:r>
        <w:rPr>
          <w:rStyle w:val="FootnoteReference"/>
          <w:rFonts w:cs="Arial"/>
        </w:rPr>
        <w:footnoteReference w:id="7"/>
      </w:r>
      <w:r>
        <w:rPr>
          <w:rFonts w:cs="Arial"/>
        </w:rPr>
        <w:t xml:space="preserve">  Accordingly, IEU-Ohio incorporates by reference its reply comments to the Environmental Advocates’ initial comments last fall.</w:t>
      </w:r>
      <w:r>
        <w:rPr>
          <w:rStyle w:val="FootnoteReference"/>
          <w:rFonts w:cs="Arial"/>
        </w:rPr>
        <w:footnoteReference w:id="8"/>
      </w:r>
      <w:r>
        <w:rPr>
          <w:rFonts w:cs="Arial"/>
        </w:rPr>
        <w:t xml:space="preserve">  As IEU-Ohio and others have consistently maintained through the four years of this seemingly endless debate, Ohio law requires that </w:t>
      </w:r>
      <w:r>
        <w:rPr>
          <w:rFonts w:cs="Arial"/>
          <w:b/>
          <w:i/>
          <w:u w:val="single"/>
        </w:rPr>
        <w:t>all</w:t>
      </w:r>
      <w:r>
        <w:rPr>
          <w:rFonts w:cs="Arial"/>
        </w:rPr>
        <w:t xml:space="preserve"> EE/PDR savings be counted.  Because the as-found methodology quantifies </w:t>
      </w:r>
      <w:r>
        <w:rPr>
          <w:rFonts w:cs="Arial"/>
          <w:b/>
          <w:i/>
          <w:u w:val="single"/>
        </w:rPr>
        <w:t>all</w:t>
      </w:r>
      <w:r>
        <w:rPr>
          <w:rFonts w:cs="Arial"/>
        </w:rPr>
        <w:t xml:space="preserve"> of a mercantile customer’s savings, it is therefore mandated by law.</w:t>
      </w:r>
      <w:r>
        <w:rPr>
          <w:rFonts w:cs="Arial"/>
          <w:vertAlign w:val="superscript"/>
        </w:rPr>
        <w:footnoteReference w:id="9"/>
      </w:r>
      <w:r>
        <w:rPr>
          <w:rFonts w:cs="Arial"/>
        </w:rPr>
        <w:t xml:space="preserve">  Additionally, IEU-Ohio and others have demonstrated the reasonableness and practicality of using the benchmark comparison.</w:t>
      </w:r>
    </w:p>
    <w:p>
      <w:pPr>
        <w:pStyle w:val="S4Heading1"/>
      </w:pPr>
      <w:r>
        <w:t>As-Found Methodology</w:t>
      </w:r>
    </w:p>
    <w:p>
      <w:pPr>
        <w:spacing w:line="480" w:lineRule="auto"/>
        <w:jc w:val="both"/>
      </w:pPr>
      <w:r>
        <w:tab/>
        <w:t>Contrary to the unsupported claims of the Environmental Advocates, the as-found methodology is expressly required by Ohio law for purposes of quantifying a mercantile customer’s EE/PDR savings.</w:t>
      </w:r>
      <w:r>
        <w:rPr>
          <w:rStyle w:val="FootnoteReference"/>
        </w:rPr>
        <w:footnoteReference w:id="10"/>
      </w:r>
      <w:r>
        <w:t xml:space="preserve">  The Environmental Advocates, however, urge the Commission to reject using the as-found methodology in the case of failed equipment and replace the measurement baseline with a hypothetical baseline.</w:t>
      </w:r>
      <w:r>
        <w:rPr>
          <w:rStyle w:val="FootnoteReference"/>
        </w:rPr>
        <w:footnoteReference w:id="11"/>
      </w:r>
      <w:r>
        <w:t xml:space="preserve">  The Commission has correctly rejected the argument that the use of the as-found method </w:t>
      </w:r>
      <w:r>
        <w:lastRenderedPageBreak/>
        <w:t>was unlawful or unreasonable on two previous occasions.</w:t>
      </w:r>
      <w:r>
        <w:rPr>
          <w:rStyle w:val="FootnoteReference"/>
        </w:rPr>
        <w:footnoteReference w:id="12"/>
      </w:r>
      <w:r>
        <w:t xml:space="preserve">  Given the Commission’s repeated findings that the use of the as-found method is both lawful and reasonable and the fact that the Environmental Advocates have raised no new arguments that the Commission has not previously considered and rejected, the Commission has no reason to adopt the Environmental Advocates’ recommendation to use a hypothetical current code or industry standard as the baseline to measure mercantile customer savings when failed equipment is replaced.</w:t>
      </w:r>
    </w:p>
    <w:p>
      <w:pPr>
        <w:spacing w:line="480" w:lineRule="auto"/>
        <w:jc w:val="both"/>
      </w:pPr>
      <w:r>
        <w:tab/>
        <w:t>Further, the Environmental Advocates’ recommendation would inject additional administrative complexity and uncertainty into the compliance process not supported by the law or consistent with Ohio’s common sense initiatives.  As discussed in IEU-Ohio’s initial comments, the hypothetical standard proposed by the Environmental Advocates is based on references to “standard-less” standards.</w:t>
      </w:r>
      <w:r>
        <w:rPr>
          <w:rStyle w:val="FootnoteReference"/>
        </w:rPr>
        <w:footnoteReference w:id="13"/>
      </w:r>
      <w:r>
        <w:t xml:space="preserve">  As result, the hypothetical baseline cannot serve to guide the practical business decisions that mercantile customers must make.  Thus, the as-found methodology is not only mandated by law, but is practically the only workable solution.</w:t>
      </w:r>
      <w:r>
        <w:rPr>
          <w:rStyle w:val="FootnoteReference"/>
        </w:rPr>
        <w:footnoteReference w:id="14"/>
      </w:r>
    </w:p>
    <w:p>
      <w:pPr>
        <w:spacing w:line="480" w:lineRule="auto"/>
        <w:jc w:val="both"/>
      </w:pPr>
    </w:p>
    <w:p>
      <w:pPr>
        <w:spacing w:line="480" w:lineRule="auto"/>
        <w:jc w:val="both"/>
      </w:pPr>
    </w:p>
    <w:p>
      <w:pPr>
        <w:pStyle w:val="S4Heading1"/>
      </w:pPr>
      <w:r>
        <w:lastRenderedPageBreak/>
        <w:t>Benchmark Comparison Methodology</w:t>
      </w:r>
    </w:p>
    <w:p>
      <w:pPr>
        <w:spacing w:line="480" w:lineRule="auto"/>
        <w:ind w:firstLine="720"/>
        <w:jc w:val="both"/>
      </w:pPr>
      <w:r>
        <w:t>The Environmental Advocates are also the only party filing initial comments that oppose the Staff’s recommendation to continue the use of the benchmark comparison methodology for determining the length of a mercantile customer’s rider exemption.  The Environmental Advocates oppose the use of the benchmark comparison methodology based upon a claim that it will allow some mercantile customers to receive multi-year EE/PDR rider exemptions for completing low-cost EE/PDR projects.</w:t>
      </w:r>
      <w:r>
        <w:rPr>
          <w:rStyle w:val="FootnoteReference"/>
        </w:rPr>
        <w:footnoteReference w:id="15"/>
      </w:r>
      <w:r>
        <w:t xml:space="preserve">  In essence, the Environmental Advocates oppose mercantile customers that implement the cost-effective projects from being eligible to receive a rider exemption for the reason that higher cost choices could be made.  The Environmental Advocates’ recommendation is inconsistent with Ohio law which requires the Commission to provide rider exemptions when such action will </w:t>
      </w:r>
      <w:r>
        <w:rPr>
          <w:rFonts w:cs="Arial"/>
          <w:color w:val="000000"/>
          <w:shd w:val="clear" w:color="auto" w:fill="FFFFFF"/>
        </w:rPr>
        <w:t>reasonably encourage a mercantile customer to commit their capabilities towards an EDU’s portfolio obligation.</w:t>
      </w:r>
      <w:r>
        <w:rPr>
          <w:rStyle w:val="FootnoteReference"/>
          <w:rFonts w:cs="Arial"/>
          <w:color w:val="000000"/>
          <w:shd w:val="clear" w:color="auto" w:fill="FFFFFF"/>
        </w:rPr>
        <w:footnoteReference w:id="16"/>
      </w:r>
      <w:r>
        <w:t xml:space="preserve">  Requiring the mercantile customer to use a more cost-intensive solution to generate similar EE/PDR savings provides a less effective incentive to undertake the energy efficiency improvements.  The Environmental Advocates’ proposal defies both good economics and common sense.</w:t>
      </w:r>
      <w:r>
        <w:rPr>
          <w:rStyle w:val="FootnoteReference"/>
        </w:rPr>
        <w:footnoteReference w:id="17"/>
      </w:r>
    </w:p>
    <w:p>
      <w:pPr>
        <w:spacing w:line="480" w:lineRule="auto"/>
        <w:ind w:firstLine="720"/>
        <w:jc w:val="both"/>
      </w:pPr>
      <w:r>
        <w:t xml:space="preserve">The benchmark comparison methodology, on the other hand, provides a straightforward and efficient methodology for a mercantile customer to screen the results of its self-directed projects to determine if they will be eligible to seek a rider exemption, and if so, the length of the exemption.  For these reasons, the Commission </w:t>
      </w:r>
      <w:r>
        <w:lastRenderedPageBreak/>
        <w:t>should reject the Environmental Advocates’ argument to eliminate the use of the benchmark comparison method.</w:t>
      </w:r>
    </w:p>
    <w:p>
      <w:pPr>
        <w:pStyle w:val="S4Heading1"/>
      </w:pPr>
      <w:r>
        <w:t>CONCLUSION</w:t>
      </w:r>
    </w:p>
    <w:p>
      <w:pPr>
        <w:spacing w:line="480" w:lineRule="auto"/>
        <w:ind w:firstLine="720"/>
        <w:jc w:val="both"/>
      </w:pPr>
      <w:r>
        <w:t xml:space="preserve">As IEU-Ohio indicated in its initial comments filed on March 27, 2013, the Commission has several open dockets regarding its review of its EE/PDR rules and a review of the mercantile customer EE/PDR application process.  IEU-Ohio again urges the Commission to use this proceeding to bring some finality and certainty to the mercantile customer application process and urges the Commission to adopt the recommendations reflected in IEU-Ohio’s March 27, 2013 initial comments. </w:t>
      </w:r>
    </w:p>
    <w:p>
      <w:pPr>
        <w:pStyle w:val="BodyText2"/>
        <w:spacing w:after="0"/>
        <w:ind w:left="3600" w:firstLine="720"/>
      </w:pPr>
      <w:r>
        <w:t>Respectfully submitted,</w:t>
      </w:r>
    </w:p>
    <w:p>
      <w:pPr>
        <w:tabs>
          <w:tab w:val="left" w:pos="-1440"/>
          <w:tab w:val="left" w:pos="-720"/>
          <w:tab w:val="left" w:pos="4320"/>
          <w:tab w:val="left" w:pos="4680"/>
          <w:tab w:val="left" w:pos="8640"/>
        </w:tabs>
        <w:jc w:val="both"/>
        <w:rPr>
          <w:rFonts w:cs="Arial"/>
          <w:u w:val="single"/>
        </w:rPr>
      </w:pPr>
      <w:r>
        <w:rPr>
          <w:rFonts w:cs="Arial"/>
        </w:rPr>
        <w:tab/>
      </w:r>
      <w:r>
        <w:rPr>
          <w:rFonts w:cs="Arial"/>
          <w:u w:val="single"/>
        </w:rPr>
        <w:t>/s</w:t>
      </w:r>
      <w:proofErr w:type="gramStart"/>
      <w:r>
        <w:rPr>
          <w:rFonts w:cs="Arial"/>
          <w:u w:val="single"/>
        </w:rPr>
        <w:t>/  Matthew</w:t>
      </w:r>
      <w:proofErr w:type="gramEnd"/>
      <w:r>
        <w:rPr>
          <w:rFonts w:cs="Arial"/>
          <w:u w:val="single"/>
        </w:rPr>
        <w:t xml:space="preserve"> R. Pritchard</w:t>
      </w:r>
      <w:r>
        <w:rPr>
          <w:rFonts w:cs="Arial"/>
          <w:u w:val="single"/>
        </w:rPr>
        <w:tab/>
      </w:r>
    </w:p>
    <w:p>
      <w:pPr>
        <w:tabs>
          <w:tab w:val="left" w:pos="4320"/>
          <w:tab w:val="right" w:pos="8640"/>
        </w:tabs>
        <w:jc w:val="both"/>
        <w:rPr>
          <w:rFonts w:cs="Arial"/>
        </w:rPr>
      </w:pPr>
      <w:r>
        <w:rPr>
          <w:rFonts w:cs="Arial"/>
        </w:rPr>
        <w:tab/>
        <w:t>Samuel C. Randazzo (Counsel of Record)</w:t>
      </w:r>
    </w:p>
    <w:p>
      <w:pPr>
        <w:pStyle w:val="BodyText3"/>
        <w:widowControl w:val="0"/>
        <w:tabs>
          <w:tab w:val="left" w:pos="4320"/>
        </w:tabs>
        <w:jc w:val="both"/>
        <w:rPr>
          <w:rFonts w:cs="Arial"/>
          <w:b w:val="0"/>
          <w:bCs/>
        </w:rPr>
      </w:pPr>
      <w:r>
        <w:rPr>
          <w:rFonts w:cs="Arial"/>
          <w:b w:val="0"/>
          <w:bCs/>
        </w:rPr>
        <w:tab/>
        <w:t>Frank P. Darr</w:t>
      </w:r>
    </w:p>
    <w:p>
      <w:pPr>
        <w:pStyle w:val="BodyText3"/>
        <w:widowControl w:val="0"/>
        <w:tabs>
          <w:tab w:val="left" w:pos="4320"/>
        </w:tabs>
        <w:jc w:val="both"/>
        <w:rPr>
          <w:rFonts w:cs="Arial"/>
          <w:b w:val="0"/>
          <w:bCs/>
        </w:rPr>
      </w:pPr>
      <w:r>
        <w:rPr>
          <w:rFonts w:cs="Arial"/>
          <w:b w:val="0"/>
          <w:bCs/>
        </w:rPr>
        <w:tab/>
        <w:t>Joseph E. Oliker</w:t>
      </w:r>
    </w:p>
    <w:p>
      <w:pPr>
        <w:pStyle w:val="BodyText3"/>
        <w:widowControl w:val="0"/>
        <w:tabs>
          <w:tab w:val="left" w:pos="4320"/>
        </w:tabs>
        <w:jc w:val="both"/>
        <w:rPr>
          <w:rFonts w:cs="Arial"/>
          <w:b w:val="0"/>
          <w:bCs/>
        </w:rPr>
      </w:pPr>
      <w:r>
        <w:rPr>
          <w:rFonts w:cs="Arial"/>
          <w:b w:val="0"/>
          <w:bCs/>
        </w:rPr>
        <w:tab/>
        <w:t>Matthew R. Pritchard</w:t>
      </w:r>
    </w:p>
    <w:p>
      <w:pPr>
        <w:pStyle w:val="BodyText3"/>
        <w:widowControl w:val="0"/>
        <w:tabs>
          <w:tab w:val="left" w:pos="4320"/>
        </w:tabs>
        <w:jc w:val="both"/>
        <w:rPr>
          <w:rFonts w:cs="Arial"/>
          <w:b w:val="0"/>
          <w:bCs/>
          <w:smallCaps/>
          <w:szCs w:val="24"/>
        </w:rPr>
      </w:pPr>
      <w:r>
        <w:rPr>
          <w:rFonts w:cs="Arial"/>
          <w:b w:val="0"/>
          <w:bCs/>
        </w:rPr>
        <w:tab/>
      </w:r>
      <w:proofErr w:type="spellStart"/>
      <w:r>
        <w:rPr>
          <w:rFonts w:cs="Arial"/>
          <w:b w:val="0"/>
          <w:bCs/>
          <w:smallCaps/>
          <w:szCs w:val="24"/>
        </w:rPr>
        <w:t>McNees</w:t>
      </w:r>
      <w:proofErr w:type="spellEnd"/>
      <w:r>
        <w:rPr>
          <w:rFonts w:cs="Arial"/>
          <w:b w:val="0"/>
          <w:bCs/>
          <w:smallCaps/>
          <w:szCs w:val="24"/>
        </w:rPr>
        <w:t xml:space="preserve"> Wallace &amp; </w:t>
      </w:r>
      <w:proofErr w:type="spellStart"/>
      <w:r>
        <w:rPr>
          <w:rFonts w:cs="Arial"/>
          <w:b w:val="0"/>
          <w:bCs/>
          <w:smallCaps/>
          <w:szCs w:val="24"/>
        </w:rPr>
        <w:t>Nurick</w:t>
      </w:r>
      <w:proofErr w:type="spellEnd"/>
      <w:r>
        <w:rPr>
          <w:rFonts w:cs="Arial"/>
          <w:b w:val="0"/>
          <w:bCs/>
          <w:smallCaps/>
          <w:szCs w:val="24"/>
        </w:rPr>
        <w:t xml:space="preserve"> LLC</w:t>
      </w:r>
    </w:p>
    <w:p>
      <w:pPr>
        <w:pStyle w:val="BodyText3"/>
        <w:widowControl w:val="0"/>
        <w:tabs>
          <w:tab w:val="left" w:pos="4320"/>
        </w:tabs>
        <w:jc w:val="both"/>
        <w:rPr>
          <w:rFonts w:cs="Arial"/>
          <w:b w:val="0"/>
          <w:bCs/>
        </w:rPr>
      </w:pPr>
      <w:r>
        <w:rPr>
          <w:rFonts w:cs="Arial"/>
          <w:b w:val="0"/>
          <w:bCs/>
        </w:rPr>
        <w:tab/>
        <w:t>21 East State Street, 17</w:t>
      </w:r>
      <w:r>
        <w:rPr>
          <w:rFonts w:cs="Arial"/>
          <w:b w:val="0"/>
          <w:bCs/>
          <w:vertAlign w:val="superscript"/>
        </w:rPr>
        <w:t>TH</w:t>
      </w:r>
      <w:r>
        <w:rPr>
          <w:rFonts w:cs="Arial"/>
          <w:b w:val="0"/>
          <w:bCs/>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r>
      <w:proofErr w:type="spellStart"/>
      <w:r>
        <w:t>Telecopier</w:t>
      </w:r>
      <w:proofErr w:type="spellEnd"/>
      <w:r>
        <w:t>:  (614) 469-4653</w:t>
      </w:r>
    </w:p>
    <w:p>
      <w:pPr>
        <w:pStyle w:val="BodyText"/>
        <w:tabs>
          <w:tab w:val="left" w:pos="4320"/>
        </w:tabs>
        <w:ind w:left="4320" w:hanging="4320"/>
      </w:pPr>
      <w:r>
        <w:tab/>
        <w:t>sam@mwncmh.com</w:t>
      </w:r>
    </w:p>
    <w:p>
      <w:pPr>
        <w:pStyle w:val="BodyText"/>
        <w:ind w:left="4320" w:hanging="4320"/>
      </w:pPr>
      <w:r>
        <w:tab/>
        <w:t>fdarr@mwncmh.com</w:t>
      </w:r>
    </w:p>
    <w:p>
      <w:pPr>
        <w:pStyle w:val="BodyText"/>
        <w:ind w:left="4320" w:hanging="4320"/>
      </w:pPr>
      <w:r>
        <w:tab/>
        <w:t>joliker@mwncmh.com</w:t>
      </w:r>
    </w:p>
    <w:p>
      <w:pPr>
        <w:pStyle w:val="BodyText"/>
        <w:ind w:left="4320" w:hanging="4320"/>
      </w:pPr>
      <w:r>
        <w:tab/>
        <w:t>mpritchard@mwncmh.com</w:t>
      </w:r>
    </w:p>
    <w:p>
      <w:pPr>
        <w:tabs>
          <w:tab w:val="left" w:pos="-1440"/>
          <w:tab w:val="left" w:pos="-720"/>
          <w:tab w:val="left" w:pos="4320"/>
          <w:tab w:val="left" w:pos="5040"/>
        </w:tabs>
        <w:ind w:left="4320" w:hanging="4320"/>
        <w:jc w:val="both"/>
        <w:rPr>
          <w:rFonts w:cs="Arial"/>
        </w:rPr>
      </w:pPr>
    </w:p>
    <w:p>
      <w:pPr>
        <w:tabs>
          <w:tab w:val="left" w:pos="4320"/>
          <w:tab w:val="right" w:pos="8640"/>
        </w:tabs>
        <w:ind w:left="4320" w:hanging="4320"/>
        <w:jc w:val="both"/>
        <w:rPr>
          <w:rFonts w:cs="Arial"/>
          <w:b/>
        </w:rPr>
        <w:sectPr>
          <w:footerReference w:type="first" r:id="rId13"/>
          <w:pgSz w:w="12240" w:h="15840" w:code="1"/>
          <w:pgMar w:top="1440" w:right="1440" w:bottom="1440" w:left="1440" w:header="720" w:footer="720" w:gutter="0"/>
          <w:pgNumType w:start="1"/>
          <w:cols w:space="720"/>
          <w:titlePg/>
          <w:docGrid w:linePitch="360"/>
        </w:sectPr>
      </w:pPr>
      <w:r>
        <w:rPr>
          <w:rFonts w:cs="Arial"/>
        </w:rPr>
        <w:tab/>
      </w:r>
      <w:r>
        <w:rPr>
          <w:rFonts w:cs="Arial"/>
        </w:rPr>
        <w:tab/>
      </w:r>
      <w:r>
        <w:rPr>
          <w:rFonts w:cs="Arial"/>
          <w:b/>
          <w:bCs/>
        </w:rPr>
        <w:t>Attorneys for</w:t>
      </w:r>
      <w:r>
        <w:rPr>
          <w:rFonts w:cs="Arial"/>
        </w:rPr>
        <w:t xml:space="preserve"> </w:t>
      </w:r>
      <w:r>
        <w:rPr>
          <w:rFonts w:cs="Arial"/>
          <w:b/>
        </w:rPr>
        <w:t>Industrial Energy Users-Ohio</w:t>
      </w:r>
    </w:p>
    <w:p>
      <w:pPr>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pPr>
        <w:rPr>
          <w:rFonts w:cs="Arial"/>
          <w:u w:val="single"/>
        </w:rPr>
      </w:pPr>
    </w:p>
    <w:p>
      <w:pPr>
        <w:spacing w:line="360" w:lineRule="auto"/>
        <w:jc w:val="both"/>
        <w:rPr>
          <w:rFonts w:cs="Arial"/>
        </w:rPr>
      </w:pPr>
      <w:r>
        <w:rPr>
          <w:rFonts w:cs="Arial"/>
        </w:rPr>
        <w:tab/>
        <w:t xml:space="preserve">I hereby certify that a copy of the foregoing </w:t>
      </w:r>
      <w:r>
        <w:rPr>
          <w:rFonts w:cs="Arial"/>
          <w:i/>
        </w:rPr>
        <w:t>Reply</w:t>
      </w:r>
      <w:r>
        <w:rPr>
          <w:rFonts w:cs="Arial"/>
        </w:rPr>
        <w:t xml:space="preserve"> </w:t>
      </w:r>
      <w:r>
        <w:rPr>
          <w:rFonts w:cs="Arial"/>
          <w:i/>
        </w:rPr>
        <w:t xml:space="preserve">Comments of Industrial Energy Users-Ohio </w:t>
      </w:r>
      <w:r>
        <w:rPr>
          <w:rFonts w:cs="Arial"/>
        </w:rPr>
        <w:t>was served upon the parties of record this 10</w:t>
      </w:r>
      <w:r>
        <w:rPr>
          <w:rFonts w:cs="Arial"/>
          <w:vertAlign w:val="superscript"/>
        </w:rPr>
        <w:t>th</w:t>
      </w:r>
      <w:r>
        <w:rPr>
          <w:rFonts w:cs="Arial"/>
        </w:rPr>
        <w:t xml:space="preserve"> day of April 2013 </w:t>
      </w:r>
      <w:r>
        <w:rPr>
          <w:rFonts w:cs="Arial"/>
          <w:i/>
        </w:rPr>
        <w:t>via</w:t>
      </w:r>
      <w:r>
        <w:rPr>
          <w:rFonts w:cs="Arial"/>
        </w:rPr>
        <w:t xml:space="preserve"> electronic transmission, hand-delivery, or ordinary U.S. mail, postage prepaid.</w:t>
      </w:r>
    </w:p>
    <w:p>
      <w:pPr>
        <w:rPr>
          <w:rFonts w:cs="Arial"/>
        </w:rPr>
      </w:pPr>
    </w:p>
    <w:p>
      <w:pPr>
        <w:tabs>
          <w:tab w:val="right" w:pos="8640"/>
        </w:tabs>
        <w:ind w:left="4320"/>
        <w:rPr>
          <w:rFonts w:cs="Arial"/>
          <w:u w:val="single"/>
        </w:rPr>
      </w:pPr>
      <w:r>
        <w:rPr>
          <w:rFonts w:cs="Arial"/>
          <w:u w:val="single"/>
        </w:rPr>
        <w:t>/s/ Matthew R. Pritchard</w:t>
      </w:r>
      <w:r>
        <w:rPr>
          <w:rFonts w:cs="Arial"/>
          <w:u w:val="single"/>
        </w:rPr>
        <w:tab/>
      </w:r>
    </w:p>
    <w:p>
      <w:pPr>
        <w:tabs>
          <w:tab w:val="right" w:pos="8640"/>
        </w:tabs>
        <w:ind w:left="4320"/>
        <w:rPr>
          <w:rFonts w:cs="Arial"/>
        </w:rPr>
      </w:pPr>
      <w:r>
        <w:rPr>
          <w:rFonts w:cs="Arial"/>
        </w:rPr>
        <w:t>Matthew R. Pritchard</w:t>
      </w:r>
    </w:p>
    <w:p>
      <w:pPr>
        <w:tabs>
          <w:tab w:val="right" w:pos="8640"/>
        </w:tabs>
        <w:rPr>
          <w:rFonts w:cs="Arial"/>
        </w:rPr>
      </w:pPr>
    </w:p>
    <w:p>
      <w:pPr>
        <w:tabs>
          <w:tab w:val="right" w:pos="8640"/>
        </w:tabs>
        <w:rPr>
          <w:rFonts w:cs="Arial"/>
          <w:sz w:val="20"/>
          <w:szCs w:val="20"/>
        </w:rPr>
        <w:sectPr>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1080" w:left="1440" w:header="720" w:footer="720" w:gutter="0"/>
          <w:cols w:space="720"/>
          <w:docGrid w:linePitch="360"/>
        </w:sectPr>
      </w:pPr>
    </w:p>
    <w:p>
      <w:pPr>
        <w:tabs>
          <w:tab w:val="right" w:pos="8640"/>
        </w:tabs>
        <w:rPr>
          <w:rFonts w:cs="Arial"/>
          <w:sz w:val="20"/>
          <w:szCs w:val="20"/>
        </w:rPr>
      </w:pPr>
      <w:r>
        <w:rPr>
          <w:rFonts w:cs="Arial"/>
          <w:sz w:val="20"/>
          <w:szCs w:val="20"/>
        </w:rPr>
        <w:lastRenderedPageBreak/>
        <w:t>Nolan Moser, Counsel of Record</w:t>
      </w:r>
    </w:p>
    <w:p>
      <w:pPr>
        <w:tabs>
          <w:tab w:val="right" w:pos="8640"/>
        </w:tabs>
        <w:rPr>
          <w:rFonts w:cs="Arial"/>
          <w:sz w:val="20"/>
          <w:szCs w:val="20"/>
        </w:rPr>
      </w:pPr>
      <w:r>
        <w:rPr>
          <w:rFonts w:cs="Arial"/>
          <w:sz w:val="20"/>
          <w:szCs w:val="20"/>
        </w:rPr>
        <w:t>Trent A. Dougherty</w:t>
      </w:r>
    </w:p>
    <w:p>
      <w:pPr>
        <w:tabs>
          <w:tab w:val="right" w:pos="8640"/>
        </w:tabs>
        <w:rPr>
          <w:rFonts w:cs="Arial"/>
          <w:sz w:val="20"/>
          <w:szCs w:val="20"/>
        </w:rPr>
      </w:pPr>
      <w:r>
        <w:rPr>
          <w:rFonts w:cs="Arial"/>
          <w:sz w:val="20"/>
          <w:szCs w:val="20"/>
        </w:rPr>
        <w:t>Ohio Environmental Council</w:t>
      </w:r>
    </w:p>
    <w:p>
      <w:pPr>
        <w:tabs>
          <w:tab w:val="right" w:pos="8640"/>
        </w:tabs>
        <w:rPr>
          <w:rFonts w:cs="Arial"/>
          <w:sz w:val="20"/>
          <w:szCs w:val="20"/>
        </w:rPr>
      </w:pPr>
      <w:r>
        <w:rPr>
          <w:rFonts w:cs="Arial"/>
          <w:sz w:val="20"/>
          <w:szCs w:val="20"/>
        </w:rPr>
        <w:t>1207 Grandview Avenue, Suite 201</w:t>
      </w:r>
    </w:p>
    <w:p>
      <w:pPr>
        <w:tabs>
          <w:tab w:val="right" w:pos="8640"/>
        </w:tabs>
        <w:rPr>
          <w:rFonts w:cs="Arial"/>
          <w:sz w:val="20"/>
          <w:szCs w:val="20"/>
        </w:rPr>
      </w:pPr>
      <w:r>
        <w:rPr>
          <w:rFonts w:cs="Arial"/>
          <w:sz w:val="20"/>
          <w:szCs w:val="20"/>
        </w:rPr>
        <w:t>Columbus, OH  43212-3449</w:t>
      </w:r>
    </w:p>
    <w:p>
      <w:pPr>
        <w:tabs>
          <w:tab w:val="right" w:pos="8640"/>
        </w:tabs>
        <w:rPr>
          <w:rFonts w:cs="Arial"/>
          <w:sz w:val="20"/>
          <w:szCs w:val="20"/>
        </w:rPr>
      </w:pPr>
      <w:r>
        <w:rPr>
          <w:rFonts w:cs="Arial"/>
          <w:sz w:val="20"/>
          <w:szCs w:val="20"/>
        </w:rPr>
        <w:t>nolan@theOEC.org</w:t>
      </w:r>
    </w:p>
    <w:p>
      <w:pPr>
        <w:tabs>
          <w:tab w:val="right" w:pos="8640"/>
        </w:tabs>
        <w:rPr>
          <w:rFonts w:cs="Arial"/>
          <w:sz w:val="20"/>
          <w:szCs w:val="20"/>
        </w:rPr>
      </w:pPr>
      <w:r>
        <w:rPr>
          <w:rFonts w:cs="Arial"/>
          <w:sz w:val="20"/>
          <w:szCs w:val="20"/>
        </w:rPr>
        <w:t>trent@theoec.org</w:t>
      </w:r>
    </w:p>
    <w:p>
      <w:pPr>
        <w:tabs>
          <w:tab w:val="right" w:pos="8640"/>
        </w:tabs>
        <w:rPr>
          <w:rFonts w:cs="Arial"/>
          <w:sz w:val="20"/>
          <w:szCs w:val="20"/>
        </w:rPr>
      </w:pPr>
    </w:p>
    <w:p>
      <w:pPr>
        <w:tabs>
          <w:tab w:val="right" w:pos="8640"/>
        </w:tabs>
        <w:rPr>
          <w:rFonts w:cs="Arial"/>
          <w:b/>
          <w:smallCaps/>
          <w:sz w:val="20"/>
          <w:szCs w:val="20"/>
        </w:rPr>
      </w:pPr>
      <w:r>
        <w:rPr>
          <w:rFonts w:cs="Arial"/>
          <w:b/>
          <w:smallCaps/>
          <w:sz w:val="20"/>
          <w:szCs w:val="20"/>
        </w:rPr>
        <w:t>On Behalf of the Ohio Environmental Council (“OEC”)</w:t>
      </w:r>
    </w:p>
    <w:p>
      <w:pPr>
        <w:tabs>
          <w:tab w:val="right" w:pos="8640"/>
        </w:tabs>
        <w:rPr>
          <w:rFonts w:cs="Arial"/>
          <w:sz w:val="20"/>
          <w:szCs w:val="20"/>
        </w:rPr>
      </w:pPr>
    </w:p>
    <w:p>
      <w:pPr>
        <w:tabs>
          <w:tab w:val="right" w:pos="8640"/>
        </w:tabs>
        <w:rPr>
          <w:rFonts w:cs="Arial"/>
          <w:sz w:val="20"/>
          <w:szCs w:val="20"/>
        </w:rPr>
      </w:pPr>
      <w:r>
        <w:rPr>
          <w:rFonts w:cs="Arial"/>
          <w:sz w:val="20"/>
          <w:szCs w:val="20"/>
        </w:rPr>
        <w:t xml:space="preserve">Kyle L. </w:t>
      </w:r>
      <w:proofErr w:type="spellStart"/>
      <w:r>
        <w:rPr>
          <w:rFonts w:cs="Arial"/>
          <w:sz w:val="20"/>
          <w:szCs w:val="20"/>
        </w:rPr>
        <w:t>Verrett</w:t>
      </w:r>
      <w:proofErr w:type="spellEnd"/>
      <w:r>
        <w:rPr>
          <w:rFonts w:cs="Arial"/>
          <w:sz w:val="20"/>
          <w:szCs w:val="20"/>
        </w:rPr>
        <w:t>, Counsel of Record</w:t>
      </w:r>
    </w:p>
    <w:p>
      <w:pPr>
        <w:tabs>
          <w:tab w:val="right" w:pos="8640"/>
        </w:tabs>
        <w:rPr>
          <w:rFonts w:cs="Arial"/>
          <w:sz w:val="20"/>
          <w:szCs w:val="20"/>
        </w:rPr>
      </w:pPr>
      <w:r>
        <w:rPr>
          <w:rFonts w:cs="Arial"/>
          <w:sz w:val="20"/>
          <w:szCs w:val="20"/>
        </w:rPr>
        <w:t>Assistant Consumers' Counsel</w:t>
      </w:r>
    </w:p>
    <w:p>
      <w:pPr>
        <w:tabs>
          <w:tab w:val="right" w:pos="8640"/>
        </w:tabs>
        <w:rPr>
          <w:rFonts w:cs="Arial"/>
          <w:sz w:val="20"/>
          <w:szCs w:val="20"/>
        </w:rPr>
      </w:pPr>
      <w:r>
        <w:rPr>
          <w:rFonts w:cs="Arial"/>
          <w:sz w:val="20"/>
          <w:szCs w:val="20"/>
        </w:rPr>
        <w:t>Office of the Ohio Consumers’ Counsel</w:t>
      </w:r>
    </w:p>
    <w:p>
      <w:pPr>
        <w:tabs>
          <w:tab w:val="right" w:pos="8640"/>
        </w:tabs>
        <w:rPr>
          <w:rFonts w:cs="Arial"/>
          <w:sz w:val="20"/>
          <w:szCs w:val="20"/>
        </w:rPr>
      </w:pPr>
      <w:r>
        <w:rPr>
          <w:rFonts w:cs="Arial"/>
          <w:sz w:val="20"/>
          <w:szCs w:val="20"/>
        </w:rPr>
        <w:t>10 West Broad Street, Suite 1800</w:t>
      </w:r>
    </w:p>
    <w:p>
      <w:pPr>
        <w:tabs>
          <w:tab w:val="right" w:pos="8640"/>
        </w:tabs>
        <w:rPr>
          <w:rFonts w:cs="Arial"/>
          <w:sz w:val="20"/>
          <w:szCs w:val="20"/>
        </w:rPr>
      </w:pPr>
      <w:r>
        <w:rPr>
          <w:rFonts w:cs="Arial"/>
          <w:sz w:val="20"/>
          <w:szCs w:val="20"/>
        </w:rPr>
        <w:t>Columbus, OH  43215-3485</w:t>
      </w:r>
    </w:p>
    <w:p>
      <w:pPr>
        <w:tabs>
          <w:tab w:val="right" w:pos="8640"/>
        </w:tabs>
        <w:rPr>
          <w:rFonts w:cs="Arial"/>
          <w:sz w:val="20"/>
          <w:szCs w:val="20"/>
        </w:rPr>
      </w:pPr>
      <w:r>
        <w:rPr>
          <w:rFonts w:cs="Arial"/>
          <w:sz w:val="20"/>
          <w:szCs w:val="20"/>
        </w:rPr>
        <w:t>verrett@occ.state.oh.us</w:t>
      </w:r>
    </w:p>
    <w:p>
      <w:pPr>
        <w:tabs>
          <w:tab w:val="right" w:pos="8640"/>
        </w:tabs>
        <w:rPr>
          <w:rFonts w:cs="Arial"/>
          <w:b/>
          <w:smallCaps/>
          <w:sz w:val="20"/>
          <w:szCs w:val="20"/>
        </w:rPr>
      </w:pPr>
    </w:p>
    <w:p>
      <w:pPr>
        <w:tabs>
          <w:tab w:val="right" w:pos="8640"/>
        </w:tabs>
        <w:rPr>
          <w:rFonts w:cs="Arial"/>
          <w:b/>
          <w:smallCaps/>
          <w:sz w:val="20"/>
          <w:szCs w:val="20"/>
        </w:rPr>
      </w:pPr>
      <w:r>
        <w:rPr>
          <w:rFonts w:cs="Arial"/>
          <w:b/>
          <w:smallCaps/>
          <w:sz w:val="20"/>
          <w:szCs w:val="20"/>
        </w:rPr>
        <w:t>On Behalf of the Office of the Ohio Consumers’ Counsel (“OCC”)</w:t>
      </w:r>
    </w:p>
    <w:p>
      <w:pPr>
        <w:pStyle w:val="BodyText"/>
        <w:rPr>
          <w:sz w:val="20"/>
        </w:rPr>
      </w:pPr>
    </w:p>
    <w:p>
      <w:pPr>
        <w:tabs>
          <w:tab w:val="right" w:pos="8640"/>
        </w:tabs>
        <w:rPr>
          <w:rFonts w:cs="Arial"/>
          <w:sz w:val="20"/>
          <w:szCs w:val="20"/>
        </w:rPr>
      </w:pPr>
      <w:r>
        <w:rPr>
          <w:rFonts w:cs="Arial"/>
          <w:sz w:val="20"/>
          <w:szCs w:val="20"/>
        </w:rPr>
        <w:t xml:space="preserve">Kathy J. </w:t>
      </w:r>
      <w:proofErr w:type="spellStart"/>
      <w:r>
        <w:rPr>
          <w:rFonts w:cs="Arial"/>
          <w:sz w:val="20"/>
          <w:szCs w:val="20"/>
        </w:rPr>
        <w:t>Kolich</w:t>
      </w:r>
      <w:proofErr w:type="spellEnd"/>
      <w:r>
        <w:rPr>
          <w:rFonts w:cs="Arial"/>
          <w:sz w:val="20"/>
          <w:szCs w:val="20"/>
        </w:rPr>
        <w:t>, Counsel of Record</w:t>
      </w:r>
    </w:p>
    <w:p>
      <w:pPr>
        <w:tabs>
          <w:tab w:val="right" w:pos="8640"/>
        </w:tabs>
        <w:rPr>
          <w:rFonts w:cs="Arial"/>
          <w:sz w:val="20"/>
          <w:szCs w:val="20"/>
        </w:rPr>
      </w:pPr>
      <w:r>
        <w:rPr>
          <w:rFonts w:cs="Arial"/>
          <w:sz w:val="20"/>
          <w:szCs w:val="20"/>
        </w:rPr>
        <w:t>Carrie M. Dunn</w:t>
      </w:r>
    </w:p>
    <w:p>
      <w:pPr>
        <w:tabs>
          <w:tab w:val="right" w:pos="8640"/>
        </w:tabs>
        <w:rPr>
          <w:rFonts w:cs="Arial"/>
          <w:sz w:val="20"/>
          <w:szCs w:val="20"/>
        </w:rPr>
      </w:pPr>
      <w:r>
        <w:rPr>
          <w:rFonts w:cs="Arial"/>
          <w:sz w:val="20"/>
          <w:szCs w:val="20"/>
        </w:rPr>
        <w:t>FirstEnergy Service Company</w:t>
      </w:r>
    </w:p>
    <w:p>
      <w:pPr>
        <w:tabs>
          <w:tab w:val="right" w:pos="8640"/>
        </w:tabs>
        <w:rPr>
          <w:rFonts w:cs="Arial"/>
          <w:sz w:val="20"/>
          <w:szCs w:val="20"/>
        </w:rPr>
      </w:pPr>
      <w:r>
        <w:rPr>
          <w:rFonts w:cs="Arial"/>
          <w:sz w:val="20"/>
          <w:szCs w:val="20"/>
        </w:rPr>
        <w:t>76 South Main Street</w:t>
      </w:r>
    </w:p>
    <w:p>
      <w:pPr>
        <w:pStyle w:val="BodyText"/>
        <w:rPr>
          <w:sz w:val="20"/>
        </w:rPr>
      </w:pPr>
      <w:r>
        <w:rPr>
          <w:sz w:val="20"/>
        </w:rPr>
        <w:t>Akron, OH  44308</w:t>
      </w:r>
    </w:p>
    <w:p>
      <w:pPr>
        <w:rPr>
          <w:rFonts w:cs="Arial"/>
          <w:sz w:val="20"/>
          <w:szCs w:val="20"/>
        </w:rPr>
      </w:pPr>
      <w:r>
        <w:rPr>
          <w:rFonts w:cs="Arial"/>
          <w:sz w:val="20"/>
          <w:szCs w:val="20"/>
        </w:rPr>
        <w:t>kjkolich@firstenergycorp.com</w:t>
      </w:r>
    </w:p>
    <w:p>
      <w:pPr>
        <w:rPr>
          <w:rFonts w:cs="Arial"/>
          <w:sz w:val="20"/>
          <w:szCs w:val="20"/>
        </w:rPr>
      </w:pPr>
      <w:r>
        <w:rPr>
          <w:rFonts w:cs="Arial"/>
          <w:sz w:val="20"/>
          <w:szCs w:val="20"/>
        </w:rPr>
        <w:t>cdunn@firstenergycorp.com</w:t>
      </w:r>
    </w:p>
    <w:p>
      <w:pPr>
        <w:rPr>
          <w:rFonts w:cs="Arial"/>
          <w:sz w:val="20"/>
          <w:szCs w:val="20"/>
        </w:rPr>
      </w:pPr>
    </w:p>
    <w:p>
      <w:pPr>
        <w:tabs>
          <w:tab w:val="right" w:pos="8640"/>
        </w:tabs>
        <w:rPr>
          <w:rFonts w:cs="Arial"/>
          <w:sz w:val="20"/>
          <w:szCs w:val="20"/>
        </w:rPr>
      </w:pPr>
      <w:r>
        <w:rPr>
          <w:rFonts w:cs="Arial"/>
          <w:sz w:val="20"/>
          <w:szCs w:val="20"/>
        </w:rPr>
        <w:t>James F. Lang</w:t>
      </w:r>
    </w:p>
    <w:p>
      <w:pPr>
        <w:tabs>
          <w:tab w:val="right" w:pos="8640"/>
        </w:tabs>
        <w:rPr>
          <w:rFonts w:cs="Arial"/>
          <w:sz w:val="20"/>
          <w:szCs w:val="20"/>
        </w:rPr>
      </w:pPr>
      <w:proofErr w:type="spellStart"/>
      <w:r>
        <w:rPr>
          <w:rFonts w:cs="Arial"/>
          <w:sz w:val="20"/>
          <w:szCs w:val="20"/>
        </w:rPr>
        <w:t>Calfee</w:t>
      </w:r>
      <w:proofErr w:type="spellEnd"/>
      <w:r>
        <w:rPr>
          <w:rFonts w:cs="Arial"/>
          <w:sz w:val="20"/>
          <w:szCs w:val="20"/>
        </w:rPr>
        <w:t xml:space="preserve">, </w:t>
      </w:r>
      <w:proofErr w:type="spellStart"/>
      <w:r>
        <w:rPr>
          <w:rFonts w:cs="Arial"/>
          <w:sz w:val="20"/>
          <w:szCs w:val="20"/>
        </w:rPr>
        <w:t>Hatler</w:t>
      </w:r>
      <w:proofErr w:type="spellEnd"/>
      <w:r>
        <w:rPr>
          <w:rFonts w:cs="Arial"/>
          <w:sz w:val="20"/>
          <w:szCs w:val="20"/>
        </w:rPr>
        <w:t xml:space="preserve"> &amp; Griswold LLP</w:t>
      </w:r>
    </w:p>
    <w:p>
      <w:pPr>
        <w:tabs>
          <w:tab w:val="right" w:pos="8640"/>
        </w:tabs>
        <w:rPr>
          <w:rFonts w:cs="Arial"/>
          <w:sz w:val="20"/>
          <w:szCs w:val="20"/>
        </w:rPr>
      </w:pPr>
      <w:r>
        <w:rPr>
          <w:rFonts w:cs="Arial"/>
          <w:sz w:val="20"/>
          <w:szCs w:val="20"/>
        </w:rPr>
        <w:t xml:space="preserve">1400 </w:t>
      </w:r>
      <w:proofErr w:type="spellStart"/>
      <w:r>
        <w:rPr>
          <w:rFonts w:cs="Arial"/>
          <w:sz w:val="20"/>
          <w:szCs w:val="20"/>
        </w:rPr>
        <w:t>KeyBank</w:t>
      </w:r>
      <w:proofErr w:type="spellEnd"/>
      <w:r>
        <w:rPr>
          <w:rFonts w:cs="Arial"/>
          <w:sz w:val="20"/>
          <w:szCs w:val="20"/>
        </w:rPr>
        <w:t xml:space="preserve"> Center</w:t>
      </w:r>
    </w:p>
    <w:p>
      <w:pPr>
        <w:tabs>
          <w:tab w:val="right" w:pos="8640"/>
        </w:tabs>
        <w:rPr>
          <w:rFonts w:cs="Arial"/>
          <w:sz w:val="20"/>
          <w:szCs w:val="20"/>
        </w:rPr>
      </w:pPr>
      <w:r>
        <w:rPr>
          <w:rFonts w:cs="Arial"/>
          <w:sz w:val="20"/>
          <w:szCs w:val="20"/>
        </w:rPr>
        <w:t>800 Superior Avenue</w:t>
      </w:r>
    </w:p>
    <w:p>
      <w:pPr>
        <w:pStyle w:val="BodyText"/>
        <w:rPr>
          <w:sz w:val="20"/>
        </w:rPr>
      </w:pPr>
      <w:r>
        <w:rPr>
          <w:sz w:val="20"/>
        </w:rPr>
        <w:t>Cleveland, OH  44114</w:t>
      </w:r>
    </w:p>
    <w:p>
      <w:pPr>
        <w:pStyle w:val="BodyText"/>
        <w:rPr>
          <w:sz w:val="20"/>
        </w:rPr>
      </w:pPr>
      <w:r>
        <w:rPr>
          <w:sz w:val="20"/>
        </w:rPr>
        <w:t>jlang@calfee.com</w:t>
      </w:r>
    </w:p>
    <w:p>
      <w:pPr>
        <w:pStyle w:val="BodyText"/>
        <w:rPr>
          <w:sz w:val="20"/>
        </w:rPr>
      </w:pPr>
      <w:r>
        <w:rPr>
          <w:sz w:val="20"/>
        </w:rPr>
        <w:t>kshannon@calfee.com</w:t>
      </w:r>
    </w:p>
    <w:p>
      <w:pPr>
        <w:pStyle w:val="BodyText"/>
        <w:rPr>
          <w:sz w:val="20"/>
        </w:rPr>
      </w:pPr>
    </w:p>
    <w:p>
      <w:pPr>
        <w:rPr>
          <w:rFonts w:cs="Arial"/>
          <w:b/>
          <w:smallCaps/>
          <w:sz w:val="20"/>
          <w:szCs w:val="20"/>
        </w:rPr>
      </w:pPr>
      <w:r>
        <w:rPr>
          <w:rFonts w:cs="Arial"/>
          <w:b/>
          <w:smallCaps/>
          <w:sz w:val="20"/>
          <w:szCs w:val="20"/>
        </w:rPr>
        <w:t>On Behalf of the Cleveland Electric Illuminating Company, Ohio Edison Company and the Toledo Edison Company</w:t>
      </w:r>
    </w:p>
    <w:p>
      <w:pPr>
        <w:pStyle w:val="BodyText"/>
        <w:rPr>
          <w:sz w:val="20"/>
        </w:rPr>
      </w:pPr>
    </w:p>
    <w:p>
      <w:pPr>
        <w:pStyle w:val="BodyText"/>
        <w:rPr>
          <w:sz w:val="20"/>
        </w:rPr>
      </w:pPr>
      <w:r>
        <w:rPr>
          <w:sz w:val="20"/>
        </w:rPr>
        <w:br w:type="column"/>
      </w:r>
      <w:r>
        <w:rPr>
          <w:sz w:val="20"/>
        </w:rPr>
        <w:lastRenderedPageBreak/>
        <w:t>Judi L. Sobecki</w:t>
      </w:r>
    </w:p>
    <w:p>
      <w:pPr>
        <w:pStyle w:val="BodyText"/>
        <w:rPr>
          <w:sz w:val="20"/>
        </w:rPr>
      </w:pPr>
      <w:r>
        <w:rPr>
          <w:sz w:val="20"/>
        </w:rPr>
        <w:t>Randall V. Griffin</w:t>
      </w:r>
    </w:p>
    <w:p>
      <w:pPr>
        <w:pStyle w:val="BodyText"/>
        <w:rPr>
          <w:sz w:val="20"/>
        </w:rPr>
      </w:pPr>
      <w:r>
        <w:rPr>
          <w:sz w:val="20"/>
        </w:rPr>
        <w:t>The Dayton Power and Light Company</w:t>
      </w:r>
    </w:p>
    <w:p>
      <w:pPr>
        <w:pStyle w:val="BodyText"/>
        <w:rPr>
          <w:sz w:val="20"/>
        </w:rPr>
      </w:pPr>
      <w:r>
        <w:rPr>
          <w:sz w:val="20"/>
        </w:rPr>
        <w:t>1065 Woodman Drive</w:t>
      </w:r>
    </w:p>
    <w:p>
      <w:pPr>
        <w:pStyle w:val="BodyText"/>
        <w:rPr>
          <w:sz w:val="20"/>
        </w:rPr>
      </w:pPr>
      <w:r>
        <w:rPr>
          <w:sz w:val="20"/>
        </w:rPr>
        <w:t>Dayton, OH  45432</w:t>
      </w:r>
    </w:p>
    <w:p>
      <w:pPr>
        <w:pStyle w:val="BodyText"/>
        <w:rPr>
          <w:sz w:val="20"/>
        </w:rPr>
      </w:pPr>
      <w:r>
        <w:rPr>
          <w:sz w:val="20"/>
        </w:rPr>
        <w:t>judi.sobecki@dplinc.com</w:t>
      </w:r>
    </w:p>
    <w:p>
      <w:pPr>
        <w:pStyle w:val="BodyText"/>
        <w:rPr>
          <w:sz w:val="20"/>
        </w:rPr>
      </w:pPr>
      <w:r>
        <w:rPr>
          <w:sz w:val="20"/>
        </w:rPr>
        <w:t>randall.griffin@dplinc.com</w:t>
      </w:r>
    </w:p>
    <w:p>
      <w:pPr>
        <w:pStyle w:val="BodyText"/>
        <w:rPr>
          <w:sz w:val="20"/>
        </w:rPr>
      </w:pPr>
    </w:p>
    <w:p>
      <w:pPr>
        <w:pStyle w:val="BodyText"/>
        <w:rPr>
          <w:sz w:val="20"/>
        </w:rPr>
      </w:pPr>
      <w:r>
        <w:rPr>
          <w:b/>
          <w:smallCaps/>
          <w:sz w:val="20"/>
        </w:rPr>
        <w:t>On Behalf of Dayton Power &amp; Light Company</w:t>
      </w:r>
    </w:p>
    <w:p>
      <w:pPr>
        <w:pStyle w:val="BodyText"/>
        <w:rPr>
          <w:b/>
          <w:smallCaps/>
          <w:sz w:val="20"/>
        </w:rPr>
      </w:pPr>
    </w:p>
    <w:p>
      <w:pPr>
        <w:pStyle w:val="BodyText"/>
        <w:rPr>
          <w:sz w:val="20"/>
        </w:rPr>
      </w:pPr>
      <w:r>
        <w:rPr>
          <w:sz w:val="20"/>
        </w:rPr>
        <w:t>Steven T. Nourse, Counsel of Record</w:t>
      </w:r>
    </w:p>
    <w:p>
      <w:pPr>
        <w:pStyle w:val="BodyText"/>
        <w:rPr>
          <w:sz w:val="20"/>
        </w:rPr>
      </w:pPr>
      <w:r>
        <w:rPr>
          <w:sz w:val="20"/>
        </w:rPr>
        <w:t>Matthew J. Satterwhite</w:t>
      </w:r>
    </w:p>
    <w:p>
      <w:pPr>
        <w:pStyle w:val="BodyText"/>
        <w:rPr>
          <w:sz w:val="20"/>
        </w:rPr>
      </w:pPr>
      <w:r>
        <w:rPr>
          <w:sz w:val="20"/>
        </w:rPr>
        <w:t>Anne M. Vogel</w:t>
      </w:r>
    </w:p>
    <w:p>
      <w:pPr>
        <w:pStyle w:val="BodyText"/>
        <w:rPr>
          <w:sz w:val="20"/>
        </w:rPr>
      </w:pPr>
      <w:r>
        <w:rPr>
          <w:sz w:val="20"/>
        </w:rPr>
        <w:t>American Electric Power Service Corporation</w:t>
      </w:r>
    </w:p>
    <w:p>
      <w:pPr>
        <w:pStyle w:val="BodyText"/>
        <w:rPr>
          <w:sz w:val="20"/>
        </w:rPr>
      </w:pPr>
      <w:r>
        <w:rPr>
          <w:sz w:val="20"/>
        </w:rPr>
        <w:t>1 Riverside Plaza, 29</w:t>
      </w:r>
      <w:r>
        <w:rPr>
          <w:sz w:val="20"/>
          <w:vertAlign w:val="superscript"/>
        </w:rPr>
        <w:t>th</w:t>
      </w:r>
      <w:r>
        <w:rPr>
          <w:sz w:val="20"/>
        </w:rPr>
        <w:t xml:space="preserve"> Floor</w:t>
      </w:r>
    </w:p>
    <w:p>
      <w:pPr>
        <w:pStyle w:val="BodyText"/>
        <w:rPr>
          <w:sz w:val="20"/>
        </w:rPr>
      </w:pPr>
      <w:r>
        <w:rPr>
          <w:sz w:val="20"/>
        </w:rPr>
        <w:t>Columbus, OH  43215-2373</w:t>
      </w:r>
    </w:p>
    <w:p>
      <w:pPr>
        <w:pStyle w:val="BodyText"/>
        <w:rPr>
          <w:sz w:val="20"/>
        </w:rPr>
      </w:pPr>
      <w:r>
        <w:rPr>
          <w:sz w:val="20"/>
        </w:rPr>
        <w:t>stnourse@aep.com</w:t>
      </w:r>
    </w:p>
    <w:p>
      <w:pPr>
        <w:pStyle w:val="BodyText"/>
        <w:rPr>
          <w:sz w:val="20"/>
        </w:rPr>
      </w:pPr>
      <w:r>
        <w:rPr>
          <w:sz w:val="20"/>
        </w:rPr>
        <w:t>mjsatterwhite@aep.com</w:t>
      </w:r>
    </w:p>
    <w:p>
      <w:pPr>
        <w:pStyle w:val="BodyText"/>
        <w:rPr>
          <w:sz w:val="20"/>
        </w:rPr>
      </w:pPr>
      <w:r>
        <w:rPr>
          <w:sz w:val="20"/>
        </w:rPr>
        <w:t>amvogel@aep.com</w:t>
      </w:r>
    </w:p>
    <w:p>
      <w:pPr>
        <w:pStyle w:val="BodyText"/>
        <w:rPr>
          <w:sz w:val="20"/>
        </w:rPr>
      </w:pPr>
    </w:p>
    <w:p>
      <w:pPr>
        <w:pStyle w:val="BodyText"/>
        <w:rPr>
          <w:sz w:val="20"/>
        </w:rPr>
      </w:pPr>
      <w:r>
        <w:rPr>
          <w:b/>
          <w:smallCaps/>
          <w:sz w:val="20"/>
        </w:rPr>
        <w:t>On Behalf of Ohio Power Company and Columbus Southern Power Company</w:t>
      </w:r>
    </w:p>
    <w:p>
      <w:pPr>
        <w:pStyle w:val="BodyText"/>
        <w:rPr>
          <w:b/>
          <w:smallCaps/>
          <w:sz w:val="20"/>
        </w:rPr>
      </w:pPr>
    </w:p>
    <w:p>
      <w:pPr>
        <w:rPr>
          <w:rFonts w:cs="Arial"/>
          <w:sz w:val="20"/>
          <w:szCs w:val="20"/>
        </w:rPr>
      </w:pPr>
      <w:r>
        <w:rPr>
          <w:rFonts w:cs="Arial"/>
          <w:sz w:val="20"/>
          <w:szCs w:val="20"/>
        </w:rPr>
        <w:t>David F. Boehm</w:t>
      </w:r>
    </w:p>
    <w:p>
      <w:pPr>
        <w:rPr>
          <w:rFonts w:cs="Arial"/>
          <w:sz w:val="20"/>
          <w:szCs w:val="20"/>
        </w:rPr>
      </w:pPr>
      <w:r>
        <w:rPr>
          <w:rFonts w:cs="Arial"/>
          <w:sz w:val="20"/>
          <w:szCs w:val="20"/>
        </w:rPr>
        <w:t>Michael L. Kurtz</w:t>
      </w:r>
    </w:p>
    <w:p>
      <w:pPr>
        <w:rPr>
          <w:rFonts w:cs="Arial"/>
          <w:sz w:val="20"/>
          <w:szCs w:val="20"/>
        </w:rPr>
      </w:pPr>
      <w:r>
        <w:rPr>
          <w:rFonts w:cs="Arial"/>
          <w:sz w:val="20"/>
          <w:szCs w:val="20"/>
        </w:rPr>
        <w:t>Boehm, Kurtz &amp; Lowry</w:t>
      </w:r>
    </w:p>
    <w:p>
      <w:pPr>
        <w:rPr>
          <w:rFonts w:cs="Arial"/>
          <w:sz w:val="20"/>
          <w:szCs w:val="20"/>
        </w:rPr>
      </w:pPr>
      <w:r>
        <w:rPr>
          <w:rFonts w:cs="Arial"/>
          <w:sz w:val="20"/>
          <w:szCs w:val="20"/>
        </w:rPr>
        <w:t>36 East Seventh Street, Suite 1510</w:t>
      </w:r>
    </w:p>
    <w:p>
      <w:pPr>
        <w:rPr>
          <w:rFonts w:cs="Arial"/>
          <w:sz w:val="20"/>
          <w:szCs w:val="20"/>
        </w:rPr>
      </w:pPr>
      <w:r>
        <w:rPr>
          <w:rFonts w:cs="Arial"/>
          <w:sz w:val="20"/>
          <w:szCs w:val="20"/>
        </w:rPr>
        <w:t>Cincinnati, OH  45202</w:t>
      </w:r>
    </w:p>
    <w:p>
      <w:pPr>
        <w:rPr>
          <w:rFonts w:cs="Arial"/>
          <w:sz w:val="20"/>
          <w:szCs w:val="20"/>
        </w:rPr>
      </w:pPr>
      <w:r>
        <w:rPr>
          <w:rFonts w:cs="Arial"/>
          <w:sz w:val="20"/>
          <w:szCs w:val="20"/>
        </w:rPr>
        <w:t>dboehm@BKLlawfirm.com</w:t>
      </w:r>
    </w:p>
    <w:p>
      <w:pPr>
        <w:rPr>
          <w:rFonts w:cs="Arial"/>
          <w:sz w:val="20"/>
          <w:szCs w:val="20"/>
        </w:rPr>
      </w:pPr>
      <w:r>
        <w:rPr>
          <w:rFonts w:cs="Arial"/>
          <w:sz w:val="20"/>
          <w:szCs w:val="20"/>
        </w:rPr>
        <w:t>mkurtz@bkllawfirm.com</w:t>
      </w:r>
    </w:p>
    <w:p>
      <w:pPr>
        <w:rPr>
          <w:rFonts w:cs="Arial"/>
          <w:sz w:val="20"/>
          <w:szCs w:val="20"/>
        </w:rPr>
      </w:pPr>
    </w:p>
    <w:p>
      <w:pPr>
        <w:rPr>
          <w:rFonts w:cs="Arial"/>
          <w:sz w:val="20"/>
          <w:szCs w:val="20"/>
        </w:rPr>
      </w:pPr>
      <w:r>
        <w:rPr>
          <w:rFonts w:cs="Arial"/>
          <w:b/>
          <w:smallCaps/>
          <w:sz w:val="20"/>
          <w:szCs w:val="20"/>
        </w:rPr>
        <w:t>On Behalf of the Ohio Energy Group</w:t>
      </w:r>
    </w:p>
    <w:p>
      <w:pPr>
        <w:rPr>
          <w:rFonts w:cs="Arial"/>
          <w:sz w:val="20"/>
          <w:szCs w:val="20"/>
        </w:rPr>
      </w:pPr>
    </w:p>
    <w:p>
      <w:pPr>
        <w:rPr>
          <w:rFonts w:cs="Arial"/>
          <w:sz w:val="20"/>
          <w:szCs w:val="20"/>
          <w:highlight w:val="yellow"/>
        </w:rPr>
      </w:pPr>
    </w:p>
    <w:p>
      <w:pPr>
        <w:rPr>
          <w:rFonts w:cs="Arial"/>
          <w:sz w:val="20"/>
          <w:szCs w:val="20"/>
        </w:rPr>
      </w:pPr>
      <w:r>
        <w:rPr>
          <w:rFonts w:eastAsia="Calibri" w:cs="Arial"/>
          <w:sz w:val="20"/>
          <w:szCs w:val="20"/>
          <w:highlight w:val="yellow"/>
        </w:rPr>
        <w:br w:type="column"/>
      </w:r>
      <w:r>
        <w:rPr>
          <w:rFonts w:cs="Arial"/>
          <w:sz w:val="20"/>
          <w:szCs w:val="20"/>
        </w:rPr>
        <w:lastRenderedPageBreak/>
        <w:t>Samuel C. Randazzo</w:t>
      </w:r>
    </w:p>
    <w:p>
      <w:pPr>
        <w:rPr>
          <w:rFonts w:cs="Arial"/>
          <w:sz w:val="20"/>
          <w:szCs w:val="20"/>
        </w:rPr>
      </w:pPr>
      <w:r>
        <w:rPr>
          <w:rFonts w:cs="Arial"/>
          <w:sz w:val="20"/>
          <w:szCs w:val="20"/>
        </w:rPr>
        <w:t>Frank P. Darr</w:t>
      </w:r>
    </w:p>
    <w:p>
      <w:pPr>
        <w:rPr>
          <w:rFonts w:cs="Arial"/>
          <w:sz w:val="20"/>
          <w:szCs w:val="20"/>
        </w:rPr>
      </w:pPr>
      <w:r>
        <w:rPr>
          <w:rFonts w:cs="Arial"/>
          <w:sz w:val="20"/>
          <w:szCs w:val="20"/>
        </w:rPr>
        <w:t>Joseph E. Oliker</w:t>
      </w:r>
    </w:p>
    <w:p>
      <w:pPr>
        <w:rPr>
          <w:rFonts w:cs="Arial"/>
          <w:sz w:val="20"/>
          <w:szCs w:val="20"/>
        </w:rPr>
      </w:pPr>
      <w:proofErr w:type="spellStart"/>
      <w:r>
        <w:rPr>
          <w:rFonts w:cs="Arial"/>
          <w:sz w:val="20"/>
          <w:szCs w:val="20"/>
        </w:rPr>
        <w:t>McNees</w:t>
      </w:r>
      <w:proofErr w:type="spellEnd"/>
      <w:r>
        <w:rPr>
          <w:rFonts w:cs="Arial"/>
          <w:sz w:val="20"/>
          <w:szCs w:val="20"/>
        </w:rPr>
        <w:t xml:space="preserve"> Wallace &amp; </w:t>
      </w:r>
      <w:proofErr w:type="spellStart"/>
      <w:r>
        <w:rPr>
          <w:rFonts w:cs="Arial"/>
          <w:sz w:val="20"/>
          <w:szCs w:val="20"/>
        </w:rPr>
        <w:t>Nurick</w:t>
      </w:r>
      <w:proofErr w:type="spellEnd"/>
      <w:r>
        <w:rPr>
          <w:rFonts w:cs="Arial"/>
          <w:sz w:val="20"/>
          <w:szCs w:val="20"/>
        </w:rPr>
        <w:t xml:space="preserve"> </w:t>
      </w:r>
      <w:proofErr w:type="spellStart"/>
      <w:r>
        <w:rPr>
          <w:rFonts w:cs="Arial"/>
          <w:smallCaps/>
          <w:sz w:val="20"/>
          <w:szCs w:val="20"/>
        </w:rPr>
        <w:t>llc</w:t>
      </w:r>
      <w:proofErr w:type="spellEnd"/>
    </w:p>
    <w:p>
      <w:pPr>
        <w:rPr>
          <w:rFonts w:cs="Arial"/>
          <w:sz w:val="20"/>
          <w:szCs w:val="20"/>
        </w:rPr>
      </w:pPr>
      <w:r>
        <w:rPr>
          <w:rFonts w:cs="Arial"/>
          <w:sz w:val="20"/>
          <w:szCs w:val="20"/>
        </w:rPr>
        <w:t>21 East State Street, 17</w:t>
      </w:r>
      <w:r>
        <w:rPr>
          <w:rFonts w:cs="Arial"/>
          <w:sz w:val="20"/>
          <w:szCs w:val="20"/>
          <w:vertAlign w:val="superscript"/>
        </w:rPr>
        <w:t>th</w:t>
      </w:r>
      <w:r>
        <w:rPr>
          <w:rFonts w:cs="Arial"/>
          <w:sz w:val="20"/>
          <w:szCs w:val="20"/>
        </w:rPr>
        <w:t xml:space="preserve"> Floor</w:t>
      </w:r>
    </w:p>
    <w:p>
      <w:pPr>
        <w:rPr>
          <w:rFonts w:cs="Arial"/>
          <w:sz w:val="20"/>
          <w:szCs w:val="20"/>
        </w:rPr>
      </w:pPr>
      <w:r>
        <w:rPr>
          <w:rFonts w:cs="Arial"/>
          <w:sz w:val="20"/>
          <w:szCs w:val="20"/>
        </w:rPr>
        <w:t>Columbus, OH  43215</w:t>
      </w:r>
    </w:p>
    <w:p>
      <w:pPr>
        <w:rPr>
          <w:rFonts w:cs="Arial"/>
          <w:sz w:val="20"/>
          <w:szCs w:val="20"/>
        </w:rPr>
      </w:pPr>
      <w:r>
        <w:rPr>
          <w:rFonts w:cs="Arial"/>
          <w:sz w:val="20"/>
          <w:szCs w:val="20"/>
        </w:rPr>
        <w:t>sam@mwncmh.com</w:t>
      </w:r>
    </w:p>
    <w:p>
      <w:pPr>
        <w:rPr>
          <w:rFonts w:cs="Arial"/>
          <w:sz w:val="20"/>
          <w:szCs w:val="20"/>
        </w:rPr>
      </w:pPr>
      <w:r>
        <w:rPr>
          <w:rFonts w:cs="Arial"/>
          <w:sz w:val="20"/>
          <w:szCs w:val="20"/>
        </w:rPr>
        <w:t>fdarr@mwncmh.com</w:t>
      </w:r>
    </w:p>
    <w:p>
      <w:pPr>
        <w:rPr>
          <w:rFonts w:cs="Arial"/>
          <w:sz w:val="20"/>
          <w:szCs w:val="20"/>
        </w:rPr>
      </w:pPr>
      <w:r>
        <w:rPr>
          <w:rFonts w:cs="Arial"/>
          <w:sz w:val="20"/>
          <w:szCs w:val="20"/>
        </w:rPr>
        <w:t>joliker@mwncmh.com</w:t>
      </w:r>
    </w:p>
    <w:p>
      <w:pPr>
        <w:rPr>
          <w:rFonts w:cs="Arial"/>
          <w:sz w:val="20"/>
          <w:szCs w:val="20"/>
        </w:rPr>
      </w:pPr>
    </w:p>
    <w:p>
      <w:pPr>
        <w:rPr>
          <w:rFonts w:cs="Arial"/>
          <w:sz w:val="20"/>
          <w:szCs w:val="20"/>
        </w:rPr>
      </w:pPr>
      <w:r>
        <w:rPr>
          <w:rFonts w:cs="Arial"/>
          <w:b/>
          <w:smallCaps/>
          <w:sz w:val="20"/>
          <w:szCs w:val="20"/>
        </w:rPr>
        <w:t>On Behalf of Plug Smart</w:t>
      </w:r>
    </w:p>
    <w:p>
      <w:pPr>
        <w:rPr>
          <w:rFonts w:cs="Arial"/>
          <w:sz w:val="20"/>
          <w:szCs w:val="20"/>
        </w:rPr>
      </w:pPr>
    </w:p>
    <w:p>
      <w:pPr>
        <w:autoSpaceDE w:val="0"/>
        <w:autoSpaceDN w:val="0"/>
        <w:adjustRightInd w:val="0"/>
        <w:rPr>
          <w:rFonts w:eastAsia="Calibri" w:cs="Arial"/>
          <w:sz w:val="20"/>
          <w:szCs w:val="20"/>
        </w:rPr>
      </w:pPr>
      <w:r>
        <w:rPr>
          <w:rFonts w:eastAsia="Calibri" w:cs="Arial"/>
          <w:sz w:val="20"/>
          <w:szCs w:val="20"/>
        </w:rPr>
        <w:t>Nicholas McDaniel</w:t>
      </w:r>
    </w:p>
    <w:p>
      <w:pPr>
        <w:autoSpaceDE w:val="0"/>
        <w:autoSpaceDN w:val="0"/>
        <w:adjustRightInd w:val="0"/>
        <w:rPr>
          <w:rFonts w:eastAsia="Calibri" w:cs="Arial"/>
          <w:sz w:val="20"/>
          <w:szCs w:val="20"/>
        </w:rPr>
      </w:pPr>
      <w:r>
        <w:rPr>
          <w:rFonts w:eastAsia="Calibri" w:cs="Arial"/>
          <w:sz w:val="20"/>
          <w:szCs w:val="20"/>
        </w:rPr>
        <w:t>Environmental Law &amp; Policy Center</w:t>
      </w:r>
    </w:p>
    <w:p>
      <w:pPr>
        <w:autoSpaceDE w:val="0"/>
        <w:autoSpaceDN w:val="0"/>
        <w:adjustRightInd w:val="0"/>
        <w:rPr>
          <w:rFonts w:eastAsia="Calibri" w:cs="Arial"/>
          <w:sz w:val="20"/>
          <w:szCs w:val="20"/>
        </w:rPr>
      </w:pPr>
      <w:r>
        <w:rPr>
          <w:rFonts w:eastAsia="Calibri" w:cs="Arial"/>
          <w:sz w:val="20"/>
          <w:szCs w:val="20"/>
        </w:rPr>
        <w:t>1207 Grandview Avenue, Suite 201</w:t>
      </w:r>
    </w:p>
    <w:p>
      <w:pPr>
        <w:autoSpaceDE w:val="0"/>
        <w:autoSpaceDN w:val="0"/>
        <w:adjustRightInd w:val="0"/>
        <w:rPr>
          <w:rFonts w:eastAsia="Calibri" w:cs="Arial"/>
          <w:sz w:val="20"/>
          <w:szCs w:val="20"/>
        </w:rPr>
      </w:pPr>
      <w:r>
        <w:rPr>
          <w:rFonts w:eastAsia="Calibri" w:cs="Arial"/>
          <w:sz w:val="20"/>
          <w:szCs w:val="20"/>
        </w:rPr>
        <w:t>Columbus, OH  43212</w:t>
      </w:r>
    </w:p>
    <w:p>
      <w:pPr>
        <w:autoSpaceDE w:val="0"/>
        <w:autoSpaceDN w:val="0"/>
        <w:adjustRightInd w:val="0"/>
        <w:rPr>
          <w:rFonts w:eastAsia="Calibri" w:cs="Arial"/>
          <w:sz w:val="20"/>
          <w:szCs w:val="20"/>
        </w:rPr>
      </w:pPr>
      <w:r>
        <w:rPr>
          <w:rFonts w:eastAsia="Calibri" w:cs="Arial"/>
          <w:sz w:val="20"/>
          <w:szCs w:val="20"/>
        </w:rPr>
        <w:t>NMcDaniel@elpc.org</w:t>
      </w:r>
    </w:p>
    <w:p>
      <w:pPr>
        <w:autoSpaceDE w:val="0"/>
        <w:autoSpaceDN w:val="0"/>
        <w:adjustRightInd w:val="0"/>
        <w:rPr>
          <w:rFonts w:eastAsia="Calibri" w:cs="Arial"/>
          <w:sz w:val="20"/>
          <w:szCs w:val="20"/>
        </w:rPr>
      </w:pPr>
    </w:p>
    <w:p>
      <w:pPr>
        <w:rPr>
          <w:rFonts w:cs="Arial"/>
          <w:b/>
          <w:smallCaps/>
          <w:sz w:val="20"/>
          <w:szCs w:val="20"/>
        </w:rPr>
      </w:pPr>
      <w:r>
        <w:rPr>
          <w:rFonts w:cs="Arial"/>
          <w:b/>
          <w:smallCaps/>
          <w:sz w:val="20"/>
          <w:szCs w:val="20"/>
        </w:rPr>
        <w:t>On Behalf of Environmental Law &amp; Policy Center</w:t>
      </w:r>
    </w:p>
    <w:p>
      <w:pPr>
        <w:autoSpaceDE w:val="0"/>
        <w:autoSpaceDN w:val="0"/>
        <w:adjustRightInd w:val="0"/>
        <w:rPr>
          <w:rFonts w:eastAsia="Calibri" w:cs="Arial"/>
          <w:sz w:val="20"/>
          <w:szCs w:val="20"/>
        </w:rPr>
      </w:pPr>
    </w:p>
    <w:p>
      <w:pPr>
        <w:autoSpaceDE w:val="0"/>
        <w:autoSpaceDN w:val="0"/>
        <w:adjustRightInd w:val="0"/>
        <w:rPr>
          <w:rFonts w:eastAsia="Calibri" w:cs="Arial"/>
          <w:sz w:val="20"/>
          <w:szCs w:val="20"/>
        </w:rPr>
      </w:pPr>
      <w:r>
        <w:rPr>
          <w:rFonts w:eastAsia="Calibri" w:cs="Arial"/>
          <w:sz w:val="20"/>
          <w:szCs w:val="20"/>
        </w:rPr>
        <w:t>William L. Wright</w:t>
      </w:r>
    </w:p>
    <w:p>
      <w:pPr>
        <w:autoSpaceDE w:val="0"/>
        <w:autoSpaceDN w:val="0"/>
        <w:adjustRightInd w:val="0"/>
        <w:rPr>
          <w:rFonts w:eastAsia="Calibri" w:cs="Arial"/>
          <w:sz w:val="20"/>
          <w:szCs w:val="20"/>
        </w:rPr>
      </w:pPr>
      <w:r>
        <w:rPr>
          <w:rFonts w:eastAsia="Calibri" w:cs="Arial"/>
          <w:sz w:val="20"/>
          <w:szCs w:val="20"/>
        </w:rPr>
        <w:t>Senior Assistant Attorney General</w:t>
      </w:r>
    </w:p>
    <w:p>
      <w:pPr>
        <w:autoSpaceDE w:val="0"/>
        <w:autoSpaceDN w:val="0"/>
        <w:adjustRightInd w:val="0"/>
        <w:rPr>
          <w:rFonts w:eastAsia="Calibri" w:cs="Arial"/>
          <w:sz w:val="20"/>
          <w:szCs w:val="20"/>
        </w:rPr>
      </w:pPr>
      <w:r>
        <w:rPr>
          <w:rFonts w:eastAsia="Calibri" w:cs="Arial"/>
          <w:sz w:val="20"/>
          <w:szCs w:val="20"/>
        </w:rPr>
        <w:t xml:space="preserve">Ohio Attorney General's Office </w:t>
      </w:r>
    </w:p>
    <w:p>
      <w:pPr>
        <w:autoSpaceDE w:val="0"/>
        <w:autoSpaceDN w:val="0"/>
        <w:adjustRightInd w:val="0"/>
        <w:rPr>
          <w:rFonts w:eastAsia="Calibri" w:cs="Arial"/>
          <w:sz w:val="20"/>
          <w:szCs w:val="20"/>
        </w:rPr>
      </w:pPr>
      <w:r>
        <w:rPr>
          <w:rFonts w:eastAsia="Calibri" w:cs="Arial"/>
          <w:sz w:val="20"/>
          <w:szCs w:val="20"/>
        </w:rPr>
        <w:t>Chief, Public Utilities Section</w:t>
      </w:r>
    </w:p>
    <w:p>
      <w:pPr>
        <w:autoSpaceDE w:val="0"/>
        <w:autoSpaceDN w:val="0"/>
        <w:adjustRightInd w:val="0"/>
        <w:rPr>
          <w:rFonts w:eastAsia="Calibri" w:cs="Arial"/>
          <w:sz w:val="20"/>
          <w:szCs w:val="20"/>
        </w:rPr>
      </w:pPr>
      <w:r>
        <w:rPr>
          <w:rFonts w:eastAsia="Calibri" w:cs="Arial"/>
          <w:sz w:val="20"/>
          <w:szCs w:val="20"/>
        </w:rPr>
        <w:t>180 East Broad Street, 6th Floor</w:t>
      </w:r>
    </w:p>
    <w:p>
      <w:pPr>
        <w:rPr>
          <w:rFonts w:eastAsia="Calibri" w:cs="Arial"/>
          <w:sz w:val="20"/>
          <w:szCs w:val="20"/>
        </w:rPr>
      </w:pPr>
      <w:r>
        <w:rPr>
          <w:rFonts w:eastAsia="Calibri" w:cs="Arial"/>
          <w:sz w:val="20"/>
          <w:szCs w:val="20"/>
        </w:rPr>
        <w:t>Columbus, OH  43215</w:t>
      </w:r>
    </w:p>
    <w:p>
      <w:pPr>
        <w:rPr>
          <w:rFonts w:cs="Arial"/>
          <w:sz w:val="20"/>
          <w:szCs w:val="20"/>
        </w:rPr>
      </w:pPr>
      <w:r>
        <w:rPr>
          <w:rFonts w:cs="Arial"/>
          <w:sz w:val="20"/>
          <w:szCs w:val="20"/>
        </w:rPr>
        <w:t>william.wright@puc.state.oh.us</w:t>
      </w:r>
    </w:p>
    <w:p>
      <w:pPr>
        <w:rPr>
          <w:rFonts w:cs="Arial"/>
          <w:b/>
          <w:smallCaps/>
          <w:sz w:val="20"/>
          <w:szCs w:val="20"/>
        </w:rPr>
      </w:pPr>
    </w:p>
    <w:p>
      <w:pPr>
        <w:rPr>
          <w:rFonts w:cs="Arial"/>
          <w:b/>
          <w:smallCaps/>
          <w:sz w:val="20"/>
          <w:szCs w:val="20"/>
        </w:rPr>
      </w:pPr>
      <w:r>
        <w:rPr>
          <w:rFonts w:cs="Arial"/>
          <w:b/>
          <w:smallCaps/>
          <w:sz w:val="20"/>
          <w:szCs w:val="20"/>
        </w:rPr>
        <w:t>On Behalf of the Staff of the Public Utilities Commission of Ohio</w:t>
      </w:r>
    </w:p>
    <w:p>
      <w:pPr>
        <w:pStyle w:val="BodyText"/>
        <w:rPr>
          <w:sz w:val="20"/>
        </w:rPr>
      </w:pPr>
    </w:p>
    <w:p>
      <w:pPr>
        <w:rPr>
          <w:rFonts w:cs="Arial"/>
          <w:sz w:val="20"/>
          <w:szCs w:val="20"/>
        </w:rPr>
      </w:pPr>
      <w:r>
        <w:rPr>
          <w:rFonts w:cs="Arial"/>
          <w:sz w:val="20"/>
          <w:szCs w:val="20"/>
        </w:rPr>
        <w:br w:type="column"/>
      </w:r>
      <w:r>
        <w:rPr>
          <w:rFonts w:cs="Arial"/>
          <w:sz w:val="20"/>
          <w:szCs w:val="20"/>
        </w:rPr>
        <w:lastRenderedPageBreak/>
        <w:t>Mandy Willey</w:t>
      </w:r>
    </w:p>
    <w:p>
      <w:pPr>
        <w:rPr>
          <w:rFonts w:cs="Arial"/>
          <w:sz w:val="20"/>
          <w:szCs w:val="20"/>
        </w:rPr>
      </w:pPr>
      <w:r>
        <w:rPr>
          <w:rFonts w:cs="Arial"/>
          <w:sz w:val="20"/>
          <w:szCs w:val="20"/>
        </w:rPr>
        <w:t xml:space="preserve">Richard M. </w:t>
      </w:r>
      <w:proofErr w:type="spellStart"/>
      <w:r>
        <w:rPr>
          <w:rFonts w:cs="Arial"/>
          <w:sz w:val="20"/>
          <w:szCs w:val="20"/>
        </w:rPr>
        <w:t>Bulgrin</w:t>
      </w:r>
      <w:proofErr w:type="spellEnd"/>
    </w:p>
    <w:p>
      <w:pPr>
        <w:rPr>
          <w:rFonts w:cs="Arial"/>
          <w:sz w:val="20"/>
          <w:szCs w:val="20"/>
        </w:rPr>
      </w:pPr>
      <w:r>
        <w:rPr>
          <w:rFonts w:cs="Arial"/>
          <w:sz w:val="20"/>
          <w:szCs w:val="20"/>
        </w:rPr>
        <w:t>Attorney Examiners</w:t>
      </w:r>
    </w:p>
    <w:p>
      <w:pPr>
        <w:rPr>
          <w:rFonts w:cs="Arial"/>
          <w:sz w:val="20"/>
          <w:szCs w:val="20"/>
        </w:rPr>
      </w:pPr>
      <w:r>
        <w:rPr>
          <w:rFonts w:cs="Arial"/>
          <w:sz w:val="20"/>
          <w:szCs w:val="20"/>
        </w:rPr>
        <w:t>Public Utilities Commission of Ohio</w:t>
      </w:r>
    </w:p>
    <w:p>
      <w:pPr>
        <w:rPr>
          <w:rFonts w:cs="Arial"/>
          <w:sz w:val="20"/>
          <w:szCs w:val="20"/>
        </w:rPr>
      </w:pPr>
      <w:r>
        <w:rPr>
          <w:rFonts w:cs="Arial"/>
          <w:sz w:val="20"/>
          <w:szCs w:val="20"/>
        </w:rPr>
        <w:t>180 East Broad Street</w:t>
      </w:r>
    </w:p>
    <w:p>
      <w:pPr>
        <w:rPr>
          <w:rFonts w:cs="Arial"/>
          <w:sz w:val="20"/>
          <w:szCs w:val="20"/>
        </w:rPr>
      </w:pPr>
      <w:r>
        <w:rPr>
          <w:rFonts w:cs="Arial"/>
          <w:sz w:val="20"/>
          <w:szCs w:val="20"/>
        </w:rPr>
        <w:t>Columbus, OH  43215</w:t>
      </w:r>
    </w:p>
    <w:p>
      <w:pPr>
        <w:rPr>
          <w:rFonts w:cs="Arial"/>
          <w:sz w:val="20"/>
          <w:szCs w:val="20"/>
        </w:rPr>
      </w:pPr>
      <w:r>
        <w:rPr>
          <w:rFonts w:cs="Arial"/>
          <w:sz w:val="20"/>
          <w:szCs w:val="20"/>
        </w:rPr>
        <w:t>mandy.willey@puc.state.oh.us</w:t>
      </w:r>
    </w:p>
    <w:p>
      <w:pPr>
        <w:rPr>
          <w:rFonts w:cs="Arial"/>
          <w:sz w:val="20"/>
          <w:szCs w:val="20"/>
        </w:rPr>
      </w:pPr>
      <w:r>
        <w:rPr>
          <w:rFonts w:cs="Arial"/>
          <w:sz w:val="20"/>
          <w:szCs w:val="20"/>
        </w:rPr>
        <w:t>Dick.Bulgrin@puc.state.oh.us</w:t>
      </w:r>
    </w:p>
    <w:p>
      <w:pPr>
        <w:tabs>
          <w:tab w:val="right" w:pos="8640"/>
        </w:tabs>
        <w:rPr>
          <w:rFonts w:cs="Arial"/>
          <w:sz w:val="20"/>
          <w:szCs w:val="20"/>
        </w:rPr>
      </w:pPr>
    </w:p>
    <w:p>
      <w:pPr>
        <w:tabs>
          <w:tab w:val="right" w:pos="8640"/>
        </w:tabs>
        <w:rPr>
          <w:rFonts w:cs="Arial"/>
          <w:b/>
          <w:smallCaps/>
          <w:sz w:val="20"/>
          <w:szCs w:val="20"/>
        </w:rPr>
      </w:pPr>
      <w:r>
        <w:rPr>
          <w:rFonts w:cs="Arial"/>
          <w:b/>
          <w:smallCaps/>
          <w:sz w:val="20"/>
          <w:szCs w:val="20"/>
        </w:rPr>
        <w:t>Attorney Examiners</w:t>
      </w:r>
    </w:p>
    <w:p>
      <w:pPr>
        <w:tabs>
          <w:tab w:val="left" w:pos="4320"/>
          <w:tab w:val="right" w:pos="8640"/>
        </w:tabs>
        <w:jc w:val="both"/>
        <w:rPr>
          <w:rFonts w:cs="Arial"/>
          <w:b/>
        </w:rPr>
      </w:pPr>
    </w:p>
    <w:sectPr>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{C40223:4 }</w:t>
    </w:r>
    <w:sdt>
      <w:sdtPr>
        <w:id w:val="-333221209"/>
        <w:docPartObj>
          <w:docPartGallery w:val="Page Numbers (Bottom of Page)"/>
          <w:docPartUnique/>
        </w:docPartObj>
      </w:sdtPr>
      <w:sdtEndPr>
        <w:rPr>
          <w:noProof/>
        </w:rPr>
      </w:sdtEndPr>
      <w:sdtContent>
        <w:r>
          <w:tab/>
        </w:r>
        <w:fldSimple w:instr=" PAGE   \* MERGEFORMAT ">
          <w:r>
            <w:rPr>
              <w:noProof/>
            </w:rPr>
            <w:t>16</w:t>
          </w:r>
        </w:fldSimple>
      </w:sdtContent>
    </w:sdt>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{C40262:4 }</w:t>
    </w:r>
    <w:sdt>
      <w:sdtPr>
        <w:id w:val="-1753576405"/>
        <w:docPartObj>
          <w:docPartGallery w:val="Page Numbers (Bottom of Page)"/>
          <w:docPartUnique/>
        </w:docPartObj>
      </w:sdtPr>
      <w:sdtEndPr>
        <w:rPr>
          <w:noProof/>
        </w:rPr>
      </w:sdtEndPr>
      <w:sdtContent>
        <w:r>
          <w:tab/>
        </w:r>
        <w:fldSimple w:instr=" PAGE   \* MERGEFORMAT ">
          <w:r>
            <w:rPr>
              <w:noProof/>
            </w:rPr>
            <w:t>7</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{C40262:4 }</w:t>
    </w:r>
    <w:r>
      <w:rPr>
        <w:noProof/>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{C40262:4 }</w:t>
    </w:r>
    <w:r>
      <w:rPr>
        <w:noProof/>
        <w:sz w:val="16"/>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{C40223:4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cs="Arial"/>
      </w:rPr>
    </w:pPr>
    <w:r>
      <w:rPr>
        <w:rFonts w:cs="Arial"/>
        <w:noProof/>
        <w:sz w:val="16"/>
      </w:rPr>
      <w:t>{C40262:4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{C31955: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footnote>
  <w:footnote w:id="1">
    <w:p>
      <w:pPr>
        <w:pStyle w:val="FootnoteText"/>
        <w:spacing w:after="120"/>
        <w:jc w:val="both"/>
      </w:pPr>
      <w:r>
        <w:rPr>
          <w:rStyle w:val="FootnoteReference"/>
        </w:rPr>
        <w:footnoteRef/>
      </w:r>
      <w:r>
        <w:t xml:space="preserve"> Because Ohio law indicates that the Commission must count the effects of all mercantile customer EE/PDR projects, there should not be limitation on the timeframe to file mercantile customer applications.  </w:t>
      </w:r>
      <w:r>
        <w:rPr>
          <w:i/>
        </w:rPr>
        <w:t xml:space="preserve">See </w:t>
      </w:r>
      <w:r>
        <w:t>Comments of IEU-Ohio at 9 (Mar. 27, 2013).  However, if the Commission rejects IEU-Ohio’s argument, IEU-Ohio would support FirstEner</w:t>
      </w:r>
      <w:bookmarkStart w:id="2" w:name="_GoBack"/>
      <w:bookmarkEnd w:id="2"/>
      <w:r>
        <w:t>gy’s, AEP-Ohio’s, and OHA’s position on the filing deadline.</w:t>
      </w:r>
    </w:p>
  </w:footnote>
  <w:footnote w:id="2">
    <w:p>
      <w:pPr>
        <w:pStyle w:val="FootnoteText"/>
        <w:spacing w:after="120"/>
      </w:pPr>
      <w:r>
        <w:rPr>
          <w:rStyle w:val="FootnoteReference"/>
        </w:rPr>
        <w:footnoteRef/>
      </w:r>
      <w:r>
        <w:t xml:space="preserve"> OMA-EG Comments at 1-2 (Mar. 27, 2013); IEU-Ohio Comments at 10-15 (Mar. 27, 2013).</w:t>
      </w:r>
    </w:p>
  </w:footnote>
  <w:footnote w:id="3">
    <w:p>
      <w:pPr>
        <w:pStyle w:val="FootnoteText"/>
        <w:spacing w:after="120"/>
      </w:pPr>
      <w:r>
        <w:rPr>
          <w:rStyle w:val="FootnoteReference"/>
        </w:rPr>
        <w:footnoteRef/>
      </w:r>
      <w:r>
        <w:t xml:space="preserve"> IEU-Ohio Comments at 14 (Mar. 27, 2013).</w:t>
      </w:r>
    </w:p>
  </w:footnote>
  <w:footnote w:id="4">
    <w:p>
      <w:pPr>
        <w:pStyle w:val="FootnoteText"/>
        <w:spacing w:after="120"/>
      </w:pPr>
      <w:r>
        <w:rPr>
          <w:rStyle w:val="FootnoteReference"/>
        </w:rPr>
        <w:footnoteRef/>
      </w:r>
      <w:r>
        <w:t xml:space="preserve"> IEU-Ohio Comments at 3-8 (Mar. 27, 2013).</w:t>
      </w:r>
    </w:p>
  </w:footnote>
  <w:footnote w:id="5">
    <w:p>
      <w:pPr>
        <w:pStyle w:val="FootnoteText"/>
        <w:spacing w:after="120"/>
      </w:pPr>
      <w:r>
        <w:rPr>
          <w:rStyle w:val="FootnoteReference"/>
        </w:rPr>
        <w:footnoteRef/>
      </w:r>
      <w:r>
        <w:t xml:space="preserve"> Environmental Advocates Comments at 3-6 (Mar. 27, 2013).</w:t>
      </w:r>
    </w:p>
  </w:footnote>
  <w:footnote w:id="6">
    <w:p>
      <w:pPr>
        <w:pStyle w:val="FootnoteText"/>
        <w:spacing w:after="120"/>
        <w:rPr>
          <w:i/>
        </w:rPr>
      </w:pPr>
      <w:r>
        <w:rPr>
          <w:rStyle w:val="FootnoteReference"/>
        </w:rPr>
        <w:footnoteRef/>
      </w:r>
      <w:r>
        <w:t xml:space="preserve"> </w:t>
      </w:r>
      <w:r>
        <w:rPr>
          <w:i/>
        </w:rPr>
        <w:t>Id.</w:t>
      </w:r>
    </w:p>
  </w:footnote>
  <w:footnote w:id="7">
    <w:p>
      <w:pPr>
        <w:pStyle w:val="FootnoteText"/>
        <w:spacing w:after="120"/>
        <w:jc w:val="both"/>
      </w:pPr>
      <w:r>
        <w:rPr>
          <w:rStyle w:val="FootnoteReference"/>
        </w:rPr>
        <w:footnoteRef/>
      </w:r>
      <w:r>
        <w:t xml:space="preserve"> Environmental Advocates Comments at 2 (Mar. 27, 2013).</w:t>
      </w:r>
    </w:p>
  </w:footnote>
  <w:footnote w:id="8">
    <w:p>
      <w:pPr>
        <w:pStyle w:val="FootnoteText"/>
        <w:spacing w:after="120"/>
        <w:jc w:val="both"/>
      </w:pPr>
      <w:r>
        <w:rPr>
          <w:rStyle w:val="FootnoteReference"/>
        </w:rPr>
        <w:footnoteRef/>
      </w:r>
      <w:r>
        <w:t xml:space="preserve"> Reply Comments of IEU-Ohio (Dec. 7, 2012).</w:t>
      </w:r>
    </w:p>
  </w:footnote>
  <w:footnote w:id="9">
    <w:p>
      <w:pPr>
        <w:pStyle w:val="FootnoteText"/>
        <w:spacing w:after="120"/>
      </w:pPr>
      <w:r>
        <w:rPr>
          <w:rStyle w:val="FootnoteReference"/>
        </w:rPr>
        <w:footnoteRef/>
      </w:r>
      <w:r>
        <w:t xml:space="preserve"> Section 4928.66(A)(2)(c), Revised Code, provides:</w:t>
      </w:r>
    </w:p>
    <w:p>
      <w:pPr>
        <w:pStyle w:val="FootnoteText"/>
        <w:spacing w:after="120"/>
        <w:ind w:left="720" w:right="720"/>
        <w:jc w:val="both"/>
      </w:pPr>
      <w:r>
        <w:t>Compliance with divisions (A</w:t>
      </w:r>
      <w:proofErr w:type="gramStart"/>
      <w:r>
        <w:t>)(</w:t>
      </w:r>
      <w:proofErr w:type="gramEnd"/>
      <w:r>
        <w:t xml:space="preserve">1)(a) and (b) of this section shall be measured by including the effects of </w:t>
      </w:r>
      <w:r>
        <w:rPr>
          <w:b/>
          <w:bCs/>
          <w:i/>
          <w:iCs/>
        </w:rPr>
        <w:t xml:space="preserve">all </w:t>
      </w:r>
      <w:r>
        <w:t xml:space="preserve">demand-response programs for mercantile customers of the subject electric distribution utility, </w:t>
      </w:r>
      <w:r>
        <w:rPr>
          <w:b/>
          <w:bCs/>
          <w:i/>
          <w:iCs/>
        </w:rPr>
        <w:t xml:space="preserve">all </w:t>
      </w:r>
      <w:r>
        <w:t xml:space="preserve">waste energy recovery systems and </w:t>
      </w:r>
      <w:r>
        <w:rPr>
          <w:b/>
          <w:bCs/>
          <w:i/>
          <w:iCs/>
        </w:rPr>
        <w:t xml:space="preserve">all </w:t>
      </w:r>
      <w:r>
        <w:t xml:space="preserve">combined heat and power systems, and </w:t>
      </w:r>
      <w:r>
        <w:rPr>
          <w:b/>
          <w:bCs/>
          <w:i/>
          <w:iCs/>
        </w:rPr>
        <w:t xml:space="preserve">all </w:t>
      </w:r>
      <w:r>
        <w:t>such mercantile customer-sited energy efficiency, including waste energy recovery and combined heat and power, and peak demand reduction programs, adjusted upward by the appropriate loss factors. (</w:t>
      </w:r>
      <w:proofErr w:type="gramStart"/>
      <w:r>
        <w:t>emphasis</w:t>
      </w:r>
      <w:proofErr w:type="gramEnd"/>
      <w:r>
        <w:t xml:space="preserve"> added).</w:t>
      </w:r>
    </w:p>
  </w:footnote>
  <w:footnote w:id="10">
    <w:p>
      <w:pPr>
        <w:pStyle w:val="FootnoteText"/>
        <w:spacing w:after="120"/>
        <w:jc w:val="both"/>
      </w:pPr>
      <w:r>
        <w:rPr>
          <w:rStyle w:val="FootnoteReference"/>
        </w:rPr>
        <w:footnoteRef/>
      </w:r>
      <w:r>
        <w:t xml:space="preserve"> Section 4928.66(A</w:t>
      </w:r>
      <w:proofErr w:type="gramStart"/>
      <w:r>
        <w:t>)(</w:t>
      </w:r>
      <w:proofErr w:type="gramEnd"/>
      <w:r>
        <w:t>2)(c), Revised Code.</w:t>
      </w:r>
    </w:p>
  </w:footnote>
  <w:footnote w:id="11">
    <w:p>
      <w:pPr>
        <w:pStyle w:val="FootnoteText"/>
        <w:spacing w:after="120"/>
        <w:jc w:val="both"/>
      </w:pPr>
      <w:r>
        <w:rPr>
          <w:rStyle w:val="FootnoteReference"/>
        </w:rPr>
        <w:footnoteRef/>
      </w:r>
      <w:r>
        <w:t xml:space="preserve"> </w:t>
      </w:r>
      <w:proofErr w:type="gramStart"/>
      <w:r>
        <w:t>Environmental Advocates Comments at 2-5 (March 27, 2013).</w:t>
      </w:r>
      <w:proofErr w:type="gramEnd"/>
    </w:p>
  </w:footnote>
  <w:footnote w:id="12">
    <w:p>
      <w:pPr>
        <w:pStyle w:val="FootnoteText"/>
        <w:spacing w:after="120"/>
        <w:jc w:val="both"/>
      </w:pPr>
      <w:r>
        <w:rPr>
          <w:rStyle w:val="FootnoteReference"/>
        </w:rPr>
        <w:footnoteRef/>
      </w:r>
      <w:r>
        <w:t xml:space="preserve"> Second Entry on Rehearing (May 25, 2011); Sixth Entry on Rehearing (Oct. 31, 2012). These same issues have been repeatedly raised to the Commission in other proceedings as well.</w:t>
      </w:r>
    </w:p>
  </w:footnote>
  <w:footnote w:id="13">
    <w:p>
      <w:pPr>
        <w:pStyle w:val="FootnoteText"/>
        <w:spacing w:after="120"/>
      </w:pPr>
      <w:r>
        <w:rPr>
          <w:rStyle w:val="FootnoteReference"/>
        </w:rPr>
        <w:footnoteRef/>
      </w:r>
      <w:r>
        <w:t xml:space="preserve"> IEU-Ohio Comments at 6-8 (Mar. 27, 2013).</w:t>
      </w:r>
    </w:p>
  </w:footnote>
  <w:footnote w:id="14">
    <w:p>
      <w:pPr>
        <w:pStyle w:val="FootnoteText"/>
        <w:spacing w:after="120"/>
        <w:jc w:val="both"/>
      </w:pPr>
      <w:r>
        <w:rPr>
          <w:rStyle w:val="FootnoteReference"/>
        </w:rPr>
        <w:footnoteRef/>
      </w:r>
      <w:r>
        <w:t xml:space="preserve"> OMA-EG urged the Commission to allow mercantile customers to elect to use a hypothetical benchmark standard instead of the as-found methodology, claiming the hypothetical standard would be more streamlined.  OMA</w:t>
      </w:r>
      <w:r>
        <w:noBreakHyphen/>
        <w:t>EG Comments at 2 (Mar. 27, 2013).  While OMA-EG claims that using the as-found methodology is not applicable in some circumstances and difficult to administer in others, OMA-EG does not provide any further explanation or cite any examples of its claimed difficulty.  Moreover, as demonstrated in IEU-Ohio’s March 27, 2013 comments, a hypothetical industry standard baseline has not been developed for the vast majority of mercantile EE/PDR projects and the references in the draft Technical Resource Manual fail to provide any meaningful additional information.  IEU-Ohio Comments at 6-8 (Mar. 27, 2013).  Thus, for the vast majority of mercantile customer projects, there is not a “streamlined” hypothetical standard to choose from.</w:t>
      </w:r>
    </w:p>
  </w:footnote>
  <w:footnote w:id="15">
    <w:p>
      <w:pPr>
        <w:pStyle w:val="FootnoteText"/>
        <w:spacing w:after="120"/>
      </w:pPr>
      <w:r>
        <w:rPr>
          <w:rStyle w:val="FootnoteReference"/>
        </w:rPr>
        <w:footnoteRef/>
      </w:r>
      <w:r>
        <w:t xml:space="preserve"> Environmental Advocates Comments at 6 (Mar. 27, 2013).</w:t>
      </w:r>
    </w:p>
  </w:footnote>
  <w:footnote w:id="16">
    <w:p>
      <w:pPr>
        <w:pStyle w:val="FootnoteText"/>
        <w:spacing w:after="120"/>
      </w:pPr>
      <w:r>
        <w:rPr>
          <w:rStyle w:val="FootnoteReference"/>
        </w:rPr>
        <w:footnoteRef/>
      </w:r>
      <w:r>
        <w:t xml:space="preserve"> Section 4928.66(A</w:t>
      </w:r>
      <w:proofErr w:type="gramStart"/>
      <w:r>
        <w:t>)(</w:t>
      </w:r>
      <w:proofErr w:type="gramEnd"/>
      <w:r>
        <w:t>2)(c), Revised Code.</w:t>
      </w:r>
    </w:p>
  </w:footnote>
  <w:footnote w:id="17">
    <w:p>
      <w:pPr>
        <w:pStyle w:val="FootnoteText"/>
        <w:spacing w:after="120"/>
        <w:jc w:val="both"/>
      </w:pPr>
      <w:r>
        <w:rPr>
          <w:rStyle w:val="FootnoteReference"/>
        </w:rPr>
        <w:footnoteRef/>
      </w:r>
      <w:r>
        <w:t xml:space="preserve"> </w:t>
      </w:r>
      <w:r>
        <w:rPr>
          <w:i/>
        </w:rPr>
        <w:t>See</w:t>
      </w:r>
      <w:r>
        <w:t xml:space="preserve"> Reply Comments of IEU-Ohio at 12-16 (Dec. 7,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4CB3"/>
    <w:multiLevelType w:val="multilevel"/>
    <w:tmpl w:val="F87A0736"/>
    <w:name w:val="IEU Basic--PUCO"/>
    <w:lvl w:ilvl="0">
      <w:start w:val="1"/>
      <w:numFmt w:val="upperRoman"/>
      <w:pStyle w:val="S4Heading1"/>
      <w:lvlText w:val="%1."/>
      <w:lvlJc w:val="left"/>
      <w:pPr>
        <w:tabs>
          <w:tab w:val="num" w:pos="720"/>
        </w:tabs>
        <w:ind w:left="720" w:hanging="720"/>
      </w:pPr>
      <w:rPr>
        <w:b/>
        <w:caps w:val="0"/>
        <w:color w:val="010000"/>
        <w:u w:val="none"/>
      </w:rPr>
    </w:lvl>
    <w:lvl w:ilvl="1">
      <w:start w:val="1"/>
      <w:numFmt w:val="upperLetter"/>
      <w:pStyle w:val="S4Heading2"/>
      <w:lvlText w:val="%2."/>
      <w:lvlJc w:val="left"/>
      <w:pPr>
        <w:tabs>
          <w:tab w:val="num" w:pos="1440"/>
        </w:tabs>
        <w:ind w:left="1440" w:hanging="720"/>
      </w:pPr>
      <w:rPr>
        <w:b/>
        <w:caps w:val="0"/>
        <w:color w:val="010000"/>
        <w:u w:val="none"/>
      </w:rPr>
    </w:lvl>
    <w:lvl w:ilvl="2">
      <w:start w:val="1"/>
      <w:numFmt w:val="decimal"/>
      <w:pStyle w:val="S4Heading3"/>
      <w:lvlText w:val="%3."/>
      <w:lvlJc w:val="left"/>
      <w:pPr>
        <w:tabs>
          <w:tab w:val="num" w:pos="2160"/>
        </w:tabs>
        <w:ind w:left="2160" w:hanging="720"/>
      </w:pPr>
      <w:rPr>
        <w:b/>
        <w:i w:val="0"/>
        <w:caps w:val="0"/>
        <w:color w:val="010000"/>
        <w:u w:val="none"/>
      </w:rPr>
    </w:lvl>
    <w:lvl w:ilvl="3">
      <w:start w:val="1"/>
      <w:numFmt w:val="lowerLetter"/>
      <w:pStyle w:val="S4Heading4"/>
      <w:lvlText w:val="%4."/>
      <w:lvlJc w:val="left"/>
      <w:pPr>
        <w:tabs>
          <w:tab w:val="num" w:pos="2880"/>
        </w:tabs>
        <w:ind w:left="2880" w:hanging="720"/>
      </w:pPr>
      <w:rPr>
        <w:b/>
        <w:i/>
        <w:caps w:val="0"/>
        <w:color w:val="010000"/>
        <w:u w:val="none"/>
      </w:rPr>
    </w:lvl>
    <w:lvl w:ilvl="4">
      <w:start w:val="1"/>
      <w:numFmt w:val="lowerRoman"/>
      <w:pStyle w:val="S4Heading5"/>
      <w:lvlText w:val="%5."/>
      <w:lvlJc w:val="left"/>
      <w:pPr>
        <w:tabs>
          <w:tab w:val="num" w:pos="3600"/>
        </w:tabs>
        <w:ind w:left="3600" w:hanging="720"/>
      </w:pPr>
      <w:rPr>
        <w:caps w:val="0"/>
        <w:color w:val="010000"/>
        <w:u w:val="none"/>
      </w:rPr>
    </w:lvl>
    <w:lvl w:ilvl="5">
      <w:start w:val="1"/>
      <w:numFmt w:val="lowerLetter"/>
      <w:pStyle w:val="S4Heading6"/>
      <w:lvlText w:val="(%6)"/>
      <w:lvlJc w:val="left"/>
      <w:pPr>
        <w:tabs>
          <w:tab w:val="num" w:pos="4320"/>
        </w:tabs>
        <w:ind w:left="4320" w:hanging="720"/>
      </w:pPr>
      <w:rPr>
        <w:caps w:val="0"/>
        <w:color w:val="010000"/>
        <w:u w:val="none"/>
      </w:rPr>
    </w:lvl>
    <w:lvl w:ilvl="6">
      <w:start w:val="1"/>
      <w:numFmt w:val="decimal"/>
      <w:pStyle w:val="S4Heading7"/>
      <w:lvlText w:val="(%7)"/>
      <w:lvlJc w:val="left"/>
      <w:pPr>
        <w:tabs>
          <w:tab w:val="num" w:pos="5040"/>
        </w:tabs>
        <w:ind w:left="5040" w:hanging="720"/>
      </w:pPr>
      <w:rPr>
        <w:caps w:val="0"/>
        <w:color w:val="010000"/>
        <w:u w:val="none"/>
      </w:rPr>
    </w:lvl>
    <w:lvl w:ilvl="7">
      <w:start w:val="1"/>
      <w:numFmt w:val="lowerRoman"/>
      <w:pStyle w:val="S4Heading8"/>
      <w:lvlText w:val="%8)"/>
      <w:lvlJc w:val="left"/>
      <w:pPr>
        <w:tabs>
          <w:tab w:val="num" w:pos="5760"/>
        </w:tabs>
        <w:ind w:left="5760" w:hanging="720"/>
      </w:pPr>
      <w:rPr>
        <w:caps w:val="0"/>
        <w:color w:val="010000"/>
        <w:u w:val="none"/>
      </w:rPr>
    </w:lvl>
    <w:lvl w:ilvl="8">
      <w:start w:val="1"/>
      <w:numFmt w:val="lowerLetter"/>
      <w:pStyle w:val="S4Heading9"/>
      <w:lvlText w:val="%9)"/>
      <w:lvlJc w:val="left"/>
      <w:pPr>
        <w:tabs>
          <w:tab w:val="num" w:pos="6480"/>
        </w:tabs>
        <w:ind w:left="6480" w:hanging="720"/>
      </w:pPr>
      <w:rPr>
        <w:caps w:val="0"/>
        <w:color w:val="010000"/>
        <w:u w:val="none"/>
      </w:rPr>
    </w:lvl>
  </w:abstractNum>
  <w:abstractNum w:abstractNumId="1">
    <w:nsid w:val="1D4A60F7"/>
    <w:multiLevelType w:val="hybridMultilevel"/>
    <w:tmpl w:val="7A8CAA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844031"/>
    <w:multiLevelType w:val="hybridMultilevel"/>
    <w:tmpl w:val="57CA50B2"/>
    <w:lvl w:ilvl="0" w:tplc="103C3F46">
      <w:start w:val="1"/>
      <w:numFmt w:val="upperRoman"/>
      <w:lvlText w:val="%1."/>
      <w:lvlJc w:val="right"/>
      <w:pPr>
        <w:ind w:left="720" w:hanging="360"/>
      </w:pPr>
      <w:rPr>
        <w:b/>
      </w:rPr>
    </w:lvl>
    <w:lvl w:ilvl="1" w:tplc="26EA5BF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D6FDC"/>
    <w:multiLevelType w:val="hybridMultilevel"/>
    <w:tmpl w:val="1BC820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0F22B8"/>
    <w:multiLevelType w:val="hybridMultilevel"/>
    <w:tmpl w:val="46A6B9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000E56"/>
    <w:multiLevelType w:val="hybridMultilevel"/>
    <w:tmpl w:val="4F747D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277A7A"/>
    <w:multiLevelType w:val="hybridMultilevel"/>
    <w:tmpl w:val="A21EFF1A"/>
    <w:lvl w:ilvl="0" w:tplc="54E65BC2">
      <w:start w:val="1"/>
      <w:numFmt w:val="upperRoman"/>
      <w:lvlText w:val="%1."/>
      <w:lvlJc w:val="left"/>
      <w:pPr>
        <w:ind w:left="1080" w:hanging="720"/>
      </w:pPr>
      <w:rPr>
        <w:rFonts w:hint="default"/>
        <w:caps/>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B2CA7"/>
    <w:multiLevelType w:val="hybridMultilevel"/>
    <w:tmpl w:val="1FC8B17A"/>
    <w:name w:val="(Unnamed Numbering Scheme)"/>
    <w:lvl w:ilvl="0" w:tplc="5784D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A6095"/>
    <w:multiLevelType w:val="multilevel"/>
    <w:tmpl w:val="EDDCB944"/>
    <w:name w:val="IEU-Ohio"/>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9">
    <w:nsid w:val="70D73B4C"/>
    <w:multiLevelType w:val="hybridMultilevel"/>
    <w:tmpl w:val="3938A00E"/>
    <w:lvl w:ilvl="0" w:tplc="0C1255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A355C5"/>
    <w:multiLevelType w:val="hybridMultilevel"/>
    <w:tmpl w:val="6CDA6B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0"/>
  </w:num>
  <w:num w:numId="4">
    <w:abstractNumId w:val="1"/>
  </w:num>
  <w:num w:numId="5">
    <w:abstractNumId w:val="5"/>
  </w:num>
  <w:num w:numId="6">
    <w:abstractNumId w:val="6"/>
  </w:num>
  <w:num w:numId="7">
    <w:abstractNumId w:val="9"/>
  </w:num>
  <w:num w:numId="8">
    <w:abstractNumId w:val="7"/>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header" w:uiPriority="0"/>
    <w:lsdException w:name="caption" w:uiPriority="35" w:qFormat="1"/>
    <w:lsdException w:name="Title" w:semiHidden="0" w:uiPriority="3"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unhideWhenUsed/>
    <w:qFormat/>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eastAsiaTheme="majorEastAsia" w:cstheme="majorBidi"/>
      <w:sz w:val="23"/>
      <w:szCs w:val="52"/>
    </w:rPr>
  </w:style>
  <w:style w:type="paragraph" w:styleId="BodyText">
    <w:name w:val="Body Text"/>
    <w:basedOn w:val="Normal"/>
    <w:link w:val="BodyTextChar"/>
    <w:pPr>
      <w:jc w:val="both"/>
    </w:pPr>
    <w:rPr>
      <w:rFonts w:eastAsia="Times New Roman" w:cs="Arial"/>
      <w:szCs w:val="20"/>
    </w:rPr>
  </w:style>
  <w:style w:type="character" w:customStyle="1" w:styleId="BodyTextChar">
    <w:name w:val="Body Text Char"/>
    <w:basedOn w:val="DefaultParagraphFont"/>
    <w:link w:val="BodyText"/>
    <w:rPr>
      <w:rFonts w:eastAsia="Times New Roman" w:cs="Arial"/>
      <w:szCs w:val="20"/>
    </w:rPr>
  </w:style>
  <w:style w:type="paragraph" w:styleId="BodyText3">
    <w:name w:val="Body Text 3"/>
    <w:basedOn w:val="Normal"/>
    <w:link w:val="BodyText3Char"/>
    <w:rPr>
      <w:rFonts w:eastAsia="Times New Roman" w:cs="Times New Roman"/>
      <w:b/>
      <w:szCs w:val="20"/>
    </w:rPr>
  </w:style>
  <w:style w:type="character" w:customStyle="1" w:styleId="BodyText3Char">
    <w:name w:val="Body Text 3 Char"/>
    <w:basedOn w:val="DefaultParagraphFont"/>
    <w:link w:val="BodyText3"/>
    <w:rPr>
      <w:rFonts w:eastAsia="Times New Roman" w:cs="Times New Roman"/>
      <w:b/>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2">
    <w:name w:val="Body Text 2"/>
    <w:basedOn w:val="Normal"/>
    <w:link w:val="BodyText2Char"/>
    <w:uiPriority w:val="99"/>
    <w:semiHidden/>
    <w:unhideWhenUsed/>
    <w:pPr>
      <w:spacing w:after="120" w:line="480" w:lineRule="auto"/>
    </w:pPr>
    <w:rPr>
      <w:rFonts w:eastAsia="Times New Roman" w:cs="Times New Roman"/>
      <w:szCs w:val="20"/>
    </w:rPr>
  </w:style>
  <w:style w:type="character" w:customStyle="1" w:styleId="BodyText2Char">
    <w:name w:val="Body Text 2 Char"/>
    <w:basedOn w:val="DefaultParagraphFont"/>
    <w:link w:val="BodyText2"/>
    <w:uiPriority w:val="99"/>
    <w:semiHidden/>
    <w:rPr>
      <w:rFonts w:eastAsia="Times New Roman" w:cs="Times New Roman"/>
      <w:szCs w:val="20"/>
    </w:rPr>
  </w:style>
  <w:style w:type="character" w:styleId="Hyperlink">
    <w:name w:val="Hyperlink"/>
    <w:rPr>
      <w:color w:val="0000FF"/>
      <w:u w:val="single"/>
    </w:rPr>
  </w:style>
  <w:style w:type="paragraph" w:styleId="Revision">
    <w:name w:val="Revision"/>
    <w:hidden/>
    <w:uiPriority w:val="99"/>
    <w:semiHidden/>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S2Heading1">
    <w:name w:val="S2.Heading 1"/>
    <w:basedOn w:val="Normal"/>
    <w:next w:val="Normal"/>
    <w:link w:val="S2Heading1Char"/>
    <w:pPr>
      <w:numPr>
        <w:numId w:val="10"/>
      </w:numPr>
      <w:tabs>
        <w:tab w:val="clear" w:pos="720"/>
      </w:tabs>
      <w:spacing w:after="240"/>
      <w:jc w:val="both"/>
      <w:outlineLvl w:val="0"/>
    </w:pPr>
    <w:rPr>
      <w:rFonts w:cs="Arial"/>
      <w:b/>
      <w:caps/>
      <w:u w:val="single"/>
    </w:rPr>
  </w:style>
  <w:style w:type="character" w:customStyle="1" w:styleId="ListParagraphChar">
    <w:name w:val="List Paragraph Char"/>
    <w:basedOn w:val="DefaultParagraphFont"/>
    <w:link w:val="ListParagraph"/>
    <w:uiPriority w:val="34"/>
  </w:style>
  <w:style w:type="character" w:customStyle="1" w:styleId="S2Heading1Char">
    <w:name w:val="S2.Heading 1 Char"/>
    <w:basedOn w:val="ListParagraphChar"/>
    <w:link w:val="S2Heading1"/>
    <w:rPr>
      <w:rFonts w:cs="Arial"/>
      <w:b/>
      <w:caps/>
      <w:u w:val="single"/>
    </w:rPr>
  </w:style>
  <w:style w:type="paragraph" w:customStyle="1" w:styleId="S2Heading2">
    <w:name w:val="S2.Heading 2"/>
    <w:basedOn w:val="Normal"/>
    <w:next w:val="Normal"/>
    <w:link w:val="S2Heading2Char"/>
    <w:pPr>
      <w:numPr>
        <w:ilvl w:val="1"/>
        <w:numId w:val="10"/>
      </w:numPr>
      <w:spacing w:after="240"/>
      <w:jc w:val="both"/>
      <w:outlineLvl w:val="1"/>
    </w:pPr>
    <w:rPr>
      <w:rFonts w:cs="Arial"/>
      <w:b/>
    </w:rPr>
  </w:style>
  <w:style w:type="character" w:customStyle="1" w:styleId="S2Heading2Char">
    <w:name w:val="S2.Heading 2 Char"/>
    <w:basedOn w:val="ListParagraphChar"/>
    <w:link w:val="S2Heading2"/>
    <w:rPr>
      <w:rFonts w:cs="Arial"/>
      <w:b/>
    </w:rPr>
  </w:style>
  <w:style w:type="paragraph" w:customStyle="1" w:styleId="S2Heading3">
    <w:name w:val="S2.Heading 3"/>
    <w:basedOn w:val="Normal"/>
    <w:next w:val="Normal"/>
    <w:link w:val="S2Heading3Char"/>
    <w:pPr>
      <w:numPr>
        <w:ilvl w:val="2"/>
        <w:numId w:val="10"/>
      </w:numPr>
      <w:spacing w:after="240"/>
      <w:jc w:val="both"/>
      <w:outlineLvl w:val="2"/>
    </w:pPr>
    <w:rPr>
      <w:rFonts w:cs="Arial"/>
      <w:b/>
    </w:rPr>
  </w:style>
  <w:style w:type="character" w:customStyle="1" w:styleId="S2Heading3Char">
    <w:name w:val="S2.Heading 3 Char"/>
    <w:basedOn w:val="ListParagraphChar"/>
    <w:link w:val="S2Heading3"/>
    <w:rPr>
      <w:rFonts w:cs="Arial"/>
      <w:b/>
    </w:rPr>
  </w:style>
  <w:style w:type="paragraph" w:customStyle="1" w:styleId="S2Heading4">
    <w:name w:val="S2.Heading 4"/>
    <w:basedOn w:val="Normal"/>
    <w:next w:val="Normal"/>
    <w:link w:val="S2Heading4Char"/>
    <w:pPr>
      <w:numPr>
        <w:ilvl w:val="3"/>
        <w:numId w:val="10"/>
      </w:numPr>
      <w:spacing w:after="240"/>
      <w:jc w:val="both"/>
      <w:outlineLvl w:val="3"/>
    </w:pPr>
    <w:rPr>
      <w:rFonts w:cs="Arial"/>
      <w:b/>
      <w:i/>
    </w:rPr>
  </w:style>
  <w:style w:type="character" w:customStyle="1" w:styleId="S2Heading4Char">
    <w:name w:val="S2.Heading 4 Char"/>
    <w:basedOn w:val="ListParagraphChar"/>
    <w:link w:val="S2Heading4"/>
    <w:rPr>
      <w:rFonts w:cs="Arial"/>
      <w:b/>
      <w:i/>
    </w:rPr>
  </w:style>
  <w:style w:type="paragraph" w:customStyle="1" w:styleId="S2Heading5">
    <w:name w:val="S2.Heading 5"/>
    <w:basedOn w:val="Normal"/>
    <w:next w:val="Normal"/>
    <w:link w:val="S2Heading5Char"/>
    <w:pPr>
      <w:numPr>
        <w:ilvl w:val="4"/>
        <w:numId w:val="10"/>
      </w:numPr>
      <w:spacing w:after="240"/>
      <w:jc w:val="both"/>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Pr>
      <w:rFonts w:asciiTheme="majorHAnsi" w:hAnsiTheme="majorHAnsi" w:cs="Arial"/>
      <w:color w:val="243F60" w:themeColor="accent1" w:themeShade="7F"/>
    </w:rPr>
  </w:style>
  <w:style w:type="paragraph" w:customStyle="1" w:styleId="S2Heading6">
    <w:name w:val="S2.Heading 6"/>
    <w:basedOn w:val="Normal"/>
    <w:next w:val="Normal"/>
    <w:link w:val="S2Heading6Char"/>
    <w:pPr>
      <w:numPr>
        <w:ilvl w:val="5"/>
        <w:numId w:val="10"/>
      </w:numPr>
      <w:spacing w:after="240"/>
      <w:jc w:val="both"/>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Pr>
      <w:rFonts w:asciiTheme="majorHAnsi" w:hAnsiTheme="majorHAnsi" w:cs="Arial"/>
      <w:color w:val="243F60" w:themeColor="accent1" w:themeShade="7F"/>
    </w:rPr>
  </w:style>
  <w:style w:type="paragraph" w:customStyle="1" w:styleId="S2Heading7">
    <w:name w:val="S2.Heading 7"/>
    <w:basedOn w:val="Normal"/>
    <w:next w:val="Normal"/>
    <w:link w:val="S2Heading7Char"/>
    <w:pPr>
      <w:numPr>
        <w:ilvl w:val="6"/>
        <w:numId w:val="10"/>
      </w:numPr>
      <w:spacing w:after="240"/>
      <w:jc w:val="both"/>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Pr>
      <w:rFonts w:asciiTheme="majorHAnsi" w:hAnsiTheme="majorHAnsi" w:cs="Arial"/>
      <w:color w:val="404040" w:themeColor="text1" w:themeTint="BF"/>
    </w:rPr>
  </w:style>
  <w:style w:type="paragraph" w:customStyle="1" w:styleId="S2Heading8">
    <w:name w:val="S2.Heading 8"/>
    <w:basedOn w:val="Normal"/>
    <w:next w:val="Normal"/>
    <w:link w:val="S2Heading8Char"/>
    <w:pPr>
      <w:numPr>
        <w:ilvl w:val="7"/>
        <w:numId w:val="10"/>
      </w:numPr>
      <w:spacing w:after="240"/>
      <w:jc w:val="both"/>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Pr>
      <w:rFonts w:asciiTheme="majorHAnsi" w:hAnsiTheme="majorHAnsi" w:cs="Arial"/>
      <w:color w:val="404040" w:themeColor="text1" w:themeTint="BF"/>
    </w:rPr>
  </w:style>
  <w:style w:type="paragraph" w:customStyle="1" w:styleId="S2Heading9">
    <w:name w:val="S2.Heading 9"/>
    <w:basedOn w:val="Normal"/>
    <w:next w:val="Normal"/>
    <w:link w:val="S2Heading9Char"/>
    <w:pPr>
      <w:numPr>
        <w:ilvl w:val="8"/>
        <w:numId w:val="10"/>
      </w:numPr>
      <w:spacing w:after="240"/>
      <w:jc w:val="both"/>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Pr>
      <w:rFonts w:asciiTheme="majorHAnsi" w:hAnsiTheme="majorHAnsi" w:cs="Arial"/>
      <w:color w:val="404040" w:themeColor="text1" w:themeTint="BF"/>
    </w:rPr>
  </w:style>
  <w:style w:type="paragraph" w:customStyle="1" w:styleId="S4Heading1">
    <w:name w:val="S4.Heading 1"/>
    <w:basedOn w:val="Normal"/>
    <w:next w:val="Normal"/>
    <w:link w:val="S4Heading1Char"/>
    <w:pPr>
      <w:numPr>
        <w:numId w:val="11"/>
      </w:numPr>
      <w:tabs>
        <w:tab w:val="clear" w:pos="720"/>
      </w:tabs>
      <w:spacing w:after="240"/>
      <w:jc w:val="both"/>
      <w:outlineLvl w:val="0"/>
    </w:pPr>
    <w:rPr>
      <w:rFonts w:eastAsiaTheme="majorEastAsia" w:cs="Arial"/>
      <w:b/>
      <w:caps/>
      <w:szCs w:val="28"/>
      <w:u w:val="single"/>
    </w:rPr>
  </w:style>
  <w:style w:type="character" w:customStyle="1" w:styleId="S4Heading1Char">
    <w:name w:val="S4.Heading 1 Char"/>
    <w:basedOn w:val="Heading1Char"/>
    <w:link w:val="S4Heading1"/>
    <w:rPr>
      <w:rFonts w:asciiTheme="majorHAnsi" w:eastAsiaTheme="majorEastAsia" w:hAnsiTheme="majorHAnsi" w:cs="Arial"/>
      <w:b/>
      <w:bCs w:val="0"/>
      <w:caps/>
      <w:color w:val="365F91" w:themeColor="accent1" w:themeShade="BF"/>
      <w:sz w:val="28"/>
      <w:szCs w:val="28"/>
      <w:u w:val="single"/>
    </w:rPr>
  </w:style>
  <w:style w:type="paragraph" w:customStyle="1" w:styleId="S4Heading2">
    <w:name w:val="S4.Heading 2"/>
    <w:basedOn w:val="Normal"/>
    <w:next w:val="Normal"/>
    <w:link w:val="S4Heading2Char"/>
    <w:pPr>
      <w:numPr>
        <w:ilvl w:val="1"/>
        <w:numId w:val="11"/>
      </w:numPr>
      <w:spacing w:after="240"/>
      <w:jc w:val="both"/>
      <w:outlineLvl w:val="1"/>
    </w:pPr>
    <w:rPr>
      <w:rFonts w:eastAsiaTheme="majorEastAsia" w:cs="Arial"/>
      <w:b/>
      <w:szCs w:val="28"/>
    </w:rPr>
  </w:style>
  <w:style w:type="character" w:customStyle="1" w:styleId="S4Heading2Char">
    <w:name w:val="S4.Heading 2 Char"/>
    <w:basedOn w:val="Heading1Char"/>
    <w:link w:val="S4Heading2"/>
    <w:rPr>
      <w:rFonts w:asciiTheme="majorHAnsi" w:eastAsiaTheme="majorEastAsia" w:hAnsiTheme="majorHAnsi" w:cs="Arial"/>
      <w:b/>
      <w:bCs w:val="0"/>
      <w:color w:val="365F91" w:themeColor="accent1" w:themeShade="BF"/>
      <w:sz w:val="28"/>
      <w:szCs w:val="28"/>
    </w:rPr>
  </w:style>
  <w:style w:type="paragraph" w:customStyle="1" w:styleId="S4Heading3">
    <w:name w:val="S4.Heading 3"/>
    <w:basedOn w:val="Normal"/>
    <w:next w:val="Normal"/>
    <w:link w:val="S4Heading3Char"/>
    <w:pPr>
      <w:numPr>
        <w:ilvl w:val="2"/>
        <w:numId w:val="11"/>
      </w:numPr>
      <w:spacing w:after="240"/>
      <w:jc w:val="both"/>
      <w:outlineLvl w:val="2"/>
    </w:pPr>
    <w:rPr>
      <w:rFonts w:eastAsiaTheme="majorEastAsia" w:cs="Arial"/>
      <w:b/>
      <w:szCs w:val="28"/>
    </w:rPr>
  </w:style>
  <w:style w:type="character" w:customStyle="1" w:styleId="S4Heading3Char">
    <w:name w:val="S4.Heading 3 Char"/>
    <w:basedOn w:val="Heading1Char"/>
    <w:link w:val="S4Heading3"/>
    <w:rPr>
      <w:rFonts w:asciiTheme="majorHAnsi" w:eastAsiaTheme="majorEastAsia" w:hAnsiTheme="majorHAnsi" w:cs="Arial"/>
      <w:b/>
      <w:bCs w:val="0"/>
      <w:color w:val="365F91" w:themeColor="accent1" w:themeShade="BF"/>
      <w:sz w:val="28"/>
      <w:szCs w:val="28"/>
    </w:rPr>
  </w:style>
  <w:style w:type="paragraph" w:customStyle="1" w:styleId="S4Heading4">
    <w:name w:val="S4.Heading 4"/>
    <w:basedOn w:val="Normal"/>
    <w:next w:val="Normal"/>
    <w:link w:val="S4Heading4Char"/>
    <w:pPr>
      <w:numPr>
        <w:ilvl w:val="3"/>
        <w:numId w:val="11"/>
      </w:numPr>
      <w:spacing w:after="240"/>
      <w:jc w:val="both"/>
      <w:outlineLvl w:val="3"/>
    </w:pPr>
    <w:rPr>
      <w:rFonts w:eastAsiaTheme="majorEastAsia" w:cs="Arial"/>
      <w:b/>
      <w:i/>
      <w:szCs w:val="28"/>
    </w:rPr>
  </w:style>
  <w:style w:type="character" w:customStyle="1" w:styleId="S4Heading4Char">
    <w:name w:val="S4.Heading 4 Char"/>
    <w:basedOn w:val="Heading1Char"/>
    <w:link w:val="S4Heading4"/>
    <w:rPr>
      <w:rFonts w:asciiTheme="majorHAnsi" w:eastAsiaTheme="majorEastAsia" w:hAnsiTheme="majorHAnsi" w:cs="Arial"/>
      <w:b/>
      <w:bCs w:val="0"/>
      <w:i/>
      <w:color w:val="365F91" w:themeColor="accent1" w:themeShade="BF"/>
      <w:sz w:val="28"/>
      <w:szCs w:val="28"/>
    </w:rPr>
  </w:style>
  <w:style w:type="paragraph" w:customStyle="1" w:styleId="S4Heading5">
    <w:name w:val="S4.Heading 5"/>
    <w:basedOn w:val="Normal"/>
    <w:next w:val="Normal"/>
    <w:link w:val="S4Heading5Char"/>
    <w:pPr>
      <w:numPr>
        <w:ilvl w:val="4"/>
        <w:numId w:val="11"/>
      </w:numPr>
      <w:spacing w:after="240"/>
      <w:jc w:val="both"/>
      <w:outlineLvl w:val="4"/>
    </w:pPr>
    <w:rPr>
      <w:rFonts w:asciiTheme="majorHAnsi" w:eastAsiaTheme="majorEastAsia" w:hAnsiTheme="majorHAnsi" w:cs="Arial"/>
      <w:color w:val="243F60" w:themeColor="accent1" w:themeShade="7F"/>
      <w:szCs w:val="28"/>
    </w:rPr>
  </w:style>
  <w:style w:type="character" w:customStyle="1" w:styleId="S4Heading5Char">
    <w:name w:val="S4.Heading 5 Char"/>
    <w:basedOn w:val="Heading1Char"/>
    <w:link w:val="S4Heading5"/>
    <w:rPr>
      <w:rFonts w:asciiTheme="majorHAnsi" w:eastAsiaTheme="majorEastAsia" w:hAnsiTheme="majorHAnsi" w:cs="Arial"/>
      <w:b w:val="0"/>
      <w:bCs w:val="0"/>
      <w:color w:val="243F60" w:themeColor="accent1" w:themeShade="7F"/>
      <w:sz w:val="28"/>
      <w:szCs w:val="28"/>
    </w:rPr>
  </w:style>
  <w:style w:type="paragraph" w:customStyle="1" w:styleId="S4Heading6">
    <w:name w:val="S4.Heading 6"/>
    <w:basedOn w:val="Normal"/>
    <w:next w:val="Normal"/>
    <w:link w:val="S4Heading6Char"/>
    <w:pPr>
      <w:numPr>
        <w:ilvl w:val="5"/>
        <w:numId w:val="11"/>
      </w:numPr>
      <w:spacing w:after="240"/>
      <w:jc w:val="both"/>
      <w:outlineLvl w:val="5"/>
    </w:pPr>
    <w:rPr>
      <w:rFonts w:asciiTheme="majorHAnsi" w:eastAsiaTheme="majorEastAsia" w:hAnsiTheme="majorHAnsi" w:cs="Arial"/>
      <w:color w:val="243F60" w:themeColor="accent1" w:themeShade="7F"/>
      <w:szCs w:val="28"/>
    </w:rPr>
  </w:style>
  <w:style w:type="character" w:customStyle="1" w:styleId="S4Heading6Char">
    <w:name w:val="S4.Heading 6 Char"/>
    <w:basedOn w:val="Heading1Char"/>
    <w:link w:val="S4Heading6"/>
    <w:rPr>
      <w:rFonts w:asciiTheme="majorHAnsi" w:eastAsiaTheme="majorEastAsia" w:hAnsiTheme="majorHAnsi" w:cs="Arial"/>
      <w:b w:val="0"/>
      <w:bCs w:val="0"/>
      <w:color w:val="243F60" w:themeColor="accent1" w:themeShade="7F"/>
      <w:sz w:val="28"/>
      <w:szCs w:val="28"/>
    </w:rPr>
  </w:style>
  <w:style w:type="paragraph" w:customStyle="1" w:styleId="S4Heading7">
    <w:name w:val="S4.Heading 7"/>
    <w:basedOn w:val="Normal"/>
    <w:next w:val="Normal"/>
    <w:link w:val="S4Heading7Char"/>
    <w:pPr>
      <w:numPr>
        <w:ilvl w:val="6"/>
        <w:numId w:val="11"/>
      </w:numPr>
      <w:spacing w:after="240"/>
      <w:jc w:val="both"/>
      <w:outlineLvl w:val="6"/>
    </w:pPr>
    <w:rPr>
      <w:rFonts w:asciiTheme="majorHAnsi" w:eastAsiaTheme="majorEastAsia" w:hAnsiTheme="majorHAnsi" w:cs="Arial"/>
      <w:color w:val="404040" w:themeColor="text1" w:themeTint="BF"/>
      <w:szCs w:val="28"/>
    </w:rPr>
  </w:style>
  <w:style w:type="character" w:customStyle="1" w:styleId="S4Heading7Char">
    <w:name w:val="S4.Heading 7 Char"/>
    <w:basedOn w:val="Heading1Char"/>
    <w:link w:val="S4Heading7"/>
    <w:rPr>
      <w:rFonts w:asciiTheme="majorHAnsi" w:eastAsiaTheme="majorEastAsia" w:hAnsiTheme="majorHAnsi" w:cs="Arial"/>
      <w:b w:val="0"/>
      <w:bCs w:val="0"/>
      <w:color w:val="404040" w:themeColor="text1" w:themeTint="BF"/>
      <w:sz w:val="28"/>
      <w:szCs w:val="28"/>
    </w:rPr>
  </w:style>
  <w:style w:type="paragraph" w:customStyle="1" w:styleId="S4Heading8">
    <w:name w:val="S4.Heading 8"/>
    <w:basedOn w:val="Normal"/>
    <w:next w:val="Normal"/>
    <w:link w:val="S4Heading8Char"/>
    <w:pPr>
      <w:numPr>
        <w:ilvl w:val="7"/>
        <w:numId w:val="11"/>
      </w:numPr>
      <w:spacing w:after="240"/>
      <w:jc w:val="both"/>
      <w:outlineLvl w:val="7"/>
    </w:pPr>
    <w:rPr>
      <w:rFonts w:asciiTheme="majorHAnsi" w:eastAsiaTheme="majorEastAsia" w:hAnsiTheme="majorHAnsi" w:cs="Arial"/>
      <w:color w:val="404040" w:themeColor="text1" w:themeTint="BF"/>
      <w:szCs w:val="28"/>
    </w:rPr>
  </w:style>
  <w:style w:type="character" w:customStyle="1" w:styleId="S4Heading8Char">
    <w:name w:val="S4.Heading 8 Char"/>
    <w:basedOn w:val="Heading1Char"/>
    <w:link w:val="S4Heading8"/>
    <w:rPr>
      <w:rFonts w:asciiTheme="majorHAnsi" w:eastAsiaTheme="majorEastAsia" w:hAnsiTheme="majorHAnsi" w:cs="Arial"/>
      <w:b w:val="0"/>
      <w:bCs w:val="0"/>
      <w:color w:val="404040" w:themeColor="text1" w:themeTint="BF"/>
      <w:sz w:val="28"/>
      <w:szCs w:val="28"/>
    </w:rPr>
  </w:style>
  <w:style w:type="paragraph" w:customStyle="1" w:styleId="S4Heading9">
    <w:name w:val="S4.Heading 9"/>
    <w:basedOn w:val="Normal"/>
    <w:next w:val="Normal"/>
    <w:link w:val="S4Heading9Char"/>
    <w:pPr>
      <w:numPr>
        <w:ilvl w:val="8"/>
        <w:numId w:val="11"/>
      </w:numPr>
      <w:spacing w:after="240"/>
      <w:jc w:val="both"/>
      <w:outlineLvl w:val="8"/>
    </w:pPr>
    <w:rPr>
      <w:rFonts w:asciiTheme="majorHAnsi" w:eastAsiaTheme="majorEastAsia" w:hAnsiTheme="majorHAnsi" w:cs="Arial"/>
      <w:color w:val="404040" w:themeColor="text1" w:themeTint="BF"/>
      <w:szCs w:val="28"/>
    </w:rPr>
  </w:style>
  <w:style w:type="character" w:customStyle="1" w:styleId="S4Heading9Char">
    <w:name w:val="S4.Heading 9 Char"/>
    <w:basedOn w:val="Heading1Char"/>
    <w:link w:val="S4Heading9"/>
    <w:rPr>
      <w:rFonts w:asciiTheme="majorHAnsi" w:eastAsiaTheme="majorEastAsia" w:hAnsiTheme="majorHAnsi" w:cs="Arial"/>
      <w:b w:val="0"/>
      <w:bCs w:val="0"/>
      <w:color w:val="404040" w:themeColor="text1" w:themeTint="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header" w:uiPriority="0"/>
    <w:lsdException w:name="caption" w:uiPriority="35" w:qFormat="1"/>
    <w:lsdException w:name="Title" w:semiHidden="0" w:uiPriority="3"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B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1A56"/>
    <w:pPr>
      <w:tabs>
        <w:tab w:val="center" w:pos="4680"/>
        <w:tab w:val="right" w:pos="9360"/>
      </w:tabs>
    </w:pPr>
  </w:style>
  <w:style w:type="character" w:customStyle="1" w:styleId="HeaderChar">
    <w:name w:val="Header Char"/>
    <w:basedOn w:val="DefaultParagraphFont"/>
    <w:link w:val="Header"/>
    <w:uiPriority w:val="99"/>
    <w:rsid w:val="00CA1A56"/>
  </w:style>
  <w:style w:type="paragraph" w:styleId="Footer">
    <w:name w:val="footer"/>
    <w:basedOn w:val="Normal"/>
    <w:link w:val="FooterChar"/>
    <w:uiPriority w:val="99"/>
    <w:unhideWhenUsed/>
    <w:rsid w:val="00CA1A56"/>
    <w:pPr>
      <w:tabs>
        <w:tab w:val="center" w:pos="4680"/>
        <w:tab w:val="right" w:pos="9360"/>
      </w:tabs>
    </w:pPr>
  </w:style>
  <w:style w:type="character" w:customStyle="1" w:styleId="FooterChar">
    <w:name w:val="Footer Char"/>
    <w:basedOn w:val="DefaultParagraphFont"/>
    <w:link w:val="Footer"/>
    <w:uiPriority w:val="99"/>
    <w:rsid w:val="00CA1A56"/>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unhideWhenUsed/>
    <w:qFormat/>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sid w:val="00931B3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3"/>
    <w:qFormat/>
    <w:rsid w:val="00931B39"/>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sid w:val="00931B39"/>
    <w:rPr>
      <w:rFonts w:eastAsiaTheme="majorEastAsia" w:cstheme="majorBidi"/>
      <w:sz w:val="23"/>
      <w:szCs w:val="52"/>
    </w:rPr>
  </w:style>
  <w:style w:type="paragraph" w:styleId="BodyText">
    <w:name w:val="Body Text"/>
    <w:basedOn w:val="Normal"/>
    <w:link w:val="BodyTextChar"/>
    <w:rsid w:val="00931B39"/>
    <w:pPr>
      <w:jc w:val="both"/>
    </w:pPr>
    <w:rPr>
      <w:rFonts w:eastAsia="Times New Roman" w:cs="Arial"/>
      <w:szCs w:val="20"/>
    </w:rPr>
  </w:style>
  <w:style w:type="character" w:customStyle="1" w:styleId="BodyTextChar">
    <w:name w:val="Body Text Char"/>
    <w:basedOn w:val="DefaultParagraphFont"/>
    <w:link w:val="BodyText"/>
    <w:rsid w:val="00931B39"/>
    <w:rPr>
      <w:rFonts w:eastAsia="Times New Roman" w:cs="Arial"/>
      <w:szCs w:val="20"/>
    </w:rPr>
  </w:style>
  <w:style w:type="paragraph" w:styleId="BodyText3">
    <w:name w:val="Body Text 3"/>
    <w:basedOn w:val="Normal"/>
    <w:link w:val="BodyText3Char"/>
    <w:rsid w:val="00931B39"/>
    <w:rPr>
      <w:rFonts w:eastAsia="Times New Roman" w:cs="Times New Roman"/>
      <w:b/>
      <w:szCs w:val="20"/>
    </w:rPr>
  </w:style>
  <w:style w:type="character" w:customStyle="1" w:styleId="BodyText3Char">
    <w:name w:val="Body Text 3 Char"/>
    <w:basedOn w:val="DefaultParagraphFont"/>
    <w:link w:val="BodyText3"/>
    <w:rsid w:val="00931B39"/>
    <w:rPr>
      <w:rFonts w:eastAsia="Times New Roman" w:cs="Times New Roman"/>
      <w:b/>
      <w:szCs w:val="20"/>
    </w:rPr>
  </w:style>
  <w:style w:type="paragraph" w:styleId="BalloonText">
    <w:name w:val="Balloon Text"/>
    <w:basedOn w:val="Normal"/>
    <w:link w:val="BalloonTextChar"/>
    <w:uiPriority w:val="99"/>
    <w:semiHidden/>
    <w:unhideWhenUsed/>
    <w:rsid w:val="00931B39"/>
    <w:rPr>
      <w:rFonts w:ascii="Tahoma" w:hAnsi="Tahoma" w:cs="Tahoma"/>
      <w:sz w:val="16"/>
      <w:szCs w:val="16"/>
    </w:rPr>
  </w:style>
  <w:style w:type="character" w:customStyle="1" w:styleId="BalloonTextChar">
    <w:name w:val="Balloon Text Char"/>
    <w:basedOn w:val="DefaultParagraphFont"/>
    <w:link w:val="BalloonText"/>
    <w:uiPriority w:val="99"/>
    <w:semiHidden/>
    <w:rsid w:val="00931B39"/>
    <w:rPr>
      <w:rFonts w:ascii="Tahoma" w:hAnsi="Tahoma" w:cs="Tahoma"/>
      <w:sz w:val="16"/>
      <w:szCs w:val="16"/>
    </w:rPr>
  </w:style>
  <w:style w:type="character" w:styleId="CommentReference">
    <w:name w:val="annotation reference"/>
    <w:basedOn w:val="DefaultParagraphFont"/>
    <w:uiPriority w:val="99"/>
    <w:semiHidden/>
    <w:unhideWhenUsed/>
    <w:rsid w:val="00C825A5"/>
    <w:rPr>
      <w:sz w:val="16"/>
      <w:szCs w:val="16"/>
    </w:rPr>
  </w:style>
  <w:style w:type="paragraph" w:styleId="CommentText">
    <w:name w:val="annotation text"/>
    <w:basedOn w:val="Normal"/>
    <w:link w:val="CommentTextChar"/>
    <w:uiPriority w:val="99"/>
    <w:semiHidden/>
    <w:unhideWhenUsed/>
    <w:rsid w:val="00C825A5"/>
    <w:rPr>
      <w:sz w:val="20"/>
      <w:szCs w:val="20"/>
    </w:rPr>
  </w:style>
  <w:style w:type="character" w:customStyle="1" w:styleId="CommentTextChar">
    <w:name w:val="Comment Text Char"/>
    <w:basedOn w:val="DefaultParagraphFont"/>
    <w:link w:val="CommentText"/>
    <w:uiPriority w:val="99"/>
    <w:semiHidden/>
    <w:rsid w:val="00C825A5"/>
    <w:rPr>
      <w:sz w:val="20"/>
      <w:szCs w:val="20"/>
    </w:rPr>
  </w:style>
  <w:style w:type="paragraph" w:styleId="CommentSubject">
    <w:name w:val="annotation subject"/>
    <w:basedOn w:val="CommentText"/>
    <w:next w:val="CommentText"/>
    <w:link w:val="CommentSubjectChar"/>
    <w:uiPriority w:val="99"/>
    <w:semiHidden/>
    <w:unhideWhenUsed/>
    <w:rsid w:val="00C825A5"/>
    <w:rPr>
      <w:b/>
      <w:bCs/>
    </w:rPr>
  </w:style>
  <w:style w:type="character" w:customStyle="1" w:styleId="CommentSubjectChar">
    <w:name w:val="Comment Subject Char"/>
    <w:basedOn w:val="CommentTextChar"/>
    <w:link w:val="CommentSubject"/>
    <w:uiPriority w:val="99"/>
    <w:semiHidden/>
    <w:rsid w:val="00C825A5"/>
    <w:rPr>
      <w:b/>
      <w:bCs/>
      <w:sz w:val="20"/>
      <w:szCs w:val="20"/>
    </w:rPr>
  </w:style>
  <w:style w:type="paragraph" w:styleId="BodyText2">
    <w:name w:val="Body Text 2"/>
    <w:basedOn w:val="Normal"/>
    <w:link w:val="BodyText2Char"/>
    <w:uiPriority w:val="99"/>
    <w:semiHidden/>
    <w:unhideWhenUsed/>
    <w:rsid w:val="00827741"/>
    <w:pPr>
      <w:spacing w:after="120" w:line="480" w:lineRule="auto"/>
    </w:pPr>
    <w:rPr>
      <w:rFonts w:eastAsia="Times New Roman" w:cs="Times New Roman"/>
      <w:szCs w:val="20"/>
    </w:rPr>
  </w:style>
  <w:style w:type="character" w:customStyle="1" w:styleId="BodyText2Char">
    <w:name w:val="Body Text 2 Char"/>
    <w:basedOn w:val="DefaultParagraphFont"/>
    <w:link w:val="BodyText2"/>
    <w:uiPriority w:val="99"/>
    <w:semiHidden/>
    <w:rsid w:val="00827741"/>
    <w:rPr>
      <w:rFonts w:eastAsia="Times New Roman" w:cs="Times New Roman"/>
      <w:szCs w:val="20"/>
    </w:rPr>
  </w:style>
  <w:style w:type="character" w:styleId="Hyperlink">
    <w:name w:val="Hyperlink"/>
    <w:rsid w:val="008B41B1"/>
    <w:rPr>
      <w:color w:val="0000FF"/>
      <w:u w:val="single"/>
    </w:rPr>
  </w:style>
  <w:style w:type="paragraph" w:styleId="Revision">
    <w:name w:val="Revision"/>
    <w:hidden/>
    <w:uiPriority w:val="99"/>
    <w:semiHidden/>
    <w:rsid w:val="00027340"/>
  </w:style>
  <w:style w:type="character" w:customStyle="1" w:styleId="Heading2Char">
    <w:name w:val="Heading 2 Char"/>
    <w:basedOn w:val="DefaultParagraphFont"/>
    <w:link w:val="Heading2"/>
    <w:uiPriority w:val="9"/>
    <w:semiHidden/>
    <w:rsid w:val="00B73B79"/>
    <w:rPr>
      <w:rFonts w:asciiTheme="majorHAnsi" w:eastAsiaTheme="majorEastAsia" w:hAnsiTheme="majorHAnsi" w:cstheme="majorBidi"/>
      <w:b/>
      <w:bCs/>
      <w:color w:val="4F81BD" w:themeColor="accent1"/>
      <w:sz w:val="26"/>
      <w:szCs w:val="26"/>
    </w:rPr>
  </w:style>
  <w:style w:type="paragraph" w:customStyle="1" w:styleId="S2Heading1">
    <w:name w:val="S2.Heading 1"/>
    <w:basedOn w:val="Normal"/>
    <w:next w:val="Normal"/>
    <w:link w:val="S2Heading1Char"/>
    <w:rsid w:val="00B73B79"/>
    <w:pPr>
      <w:numPr>
        <w:numId w:val="10"/>
      </w:numPr>
      <w:tabs>
        <w:tab w:val="clear" w:pos="720"/>
      </w:tabs>
      <w:spacing w:after="240"/>
      <w:jc w:val="both"/>
      <w:outlineLvl w:val="0"/>
    </w:pPr>
    <w:rPr>
      <w:rFonts w:cs="Arial"/>
      <w:b/>
      <w:caps/>
      <w:u w:val="single"/>
    </w:rPr>
  </w:style>
  <w:style w:type="character" w:customStyle="1" w:styleId="ListParagraphChar">
    <w:name w:val="List Paragraph Char"/>
    <w:basedOn w:val="DefaultParagraphFont"/>
    <w:link w:val="ListParagraph"/>
    <w:uiPriority w:val="34"/>
    <w:rsid w:val="00B73B79"/>
  </w:style>
  <w:style w:type="character" w:customStyle="1" w:styleId="S2Heading1Char">
    <w:name w:val="S2.Heading 1 Char"/>
    <w:basedOn w:val="ListParagraphChar"/>
    <w:link w:val="S2Heading1"/>
    <w:rsid w:val="00B73B79"/>
    <w:rPr>
      <w:rFonts w:cs="Arial"/>
      <w:b/>
      <w:caps/>
      <w:u w:val="single"/>
    </w:rPr>
  </w:style>
  <w:style w:type="paragraph" w:customStyle="1" w:styleId="S2Heading2">
    <w:name w:val="S2.Heading 2"/>
    <w:basedOn w:val="Normal"/>
    <w:next w:val="Normal"/>
    <w:link w:val="S2Heading2Char"/>
    <w:rsid w:val="00B73B79"/>
    <w:pPr>
      <w:numPr>
        <w:ilvl w:val="1"/>
        <w:numId w:val="10"/>
      </w:numPr>
      <w:spacing w:after="240"/>
      <w:jc w:val="both"/>
      <w:outlineLvl w:val="1"/>
    </w:pPr>
    <w:rPr>
      <w:rFonts w:cs="Arial"/>
      <w:b/>
    </w:rPr>
  </w:style>
  <w:style w:type="character" w:customStyle="1" w:styleId="S2Heading2Char">
    <w:name w:val="S2.Heading 2 Char"/>
    <w:basedOn w:val="ListParagraphChar"/>
    <w:link w:val="S2Heading2"/>
    <w:rsid w:val="00B73B79"/>
    <w:rPr>
      <w:rFonts w:cs="Arial"/>
      <w:b/>
    </w:rPr>
  </w:style>
  <w:style w:type="paragraph" w:customStyle="1" w:styleId="S2Heading3">
    <w:name w:val="S2.Heading 3"/>
    <w:basedOn w:val="Normal"/>
    <w:next w:val="Normal"/>
    <w:link w:val="S2Heading3Char"/>
    <w:rsid w:val="00B73B79"/>
    <w:pPr>
      <w:numPr>
        <w:ilvl w:val="2"/>
        <w:numId w:val="10"/>
      </w:numPr>
      <w:spacing w:after="240"/>
      <w:jc w:val="both"/>
      <w:outlineLvl w:val="2"/>
    </w:pPr>
    <w:rPr>
      <w:rFonts w:cs="Arial"/>
      <w:b/>
    </w:rPr>
  </w:style>
  <w:style w:type="character" w:customStyle="1" w:styleId="S2Heading3Char">
    <w:name w:val="S2.Heading 3 Char"/>
    <w:basedOn w:val="ListParagraphChar"/>
    <w:link w:val="S2Heading3"/>
    <w:rsid w:val="00B73B79"/>
    <w:rPr>
      <w:rFonts w:cs="Arial"/>
      <w:b/>
    </w:rPr>
  </w:style>
  <w:style w:type="paragraph" w:customStyle="1" w:styleId="S2Heading4">
    <w:name w:val="S2.Heading 4"/>
    <w:basedOn w:val="Normal"/>
    <w:next w:val="Normal"/>
    <w:link w:val="S2Heading4Char"/>
    <w:rsid w:val="00B73B79"/>
    <w:pPr>
      <w:numPr>
        <w:ilvl w:val="3"/>
        <w:numId w:val="10"/>
      </w:numPr>
      <w:spacing w:after="240"/>
      <w:jc w:val="both"/>
      <w:outlineLvl w:val="3"/>
    </w:pPr>
    <w:rPr>
      <w:rFonts w:cs="Arial"/>
      <w:b/>
      <w:i/>
    </w:rPr>
  </w:style>
  <w:style w:type="character" w:customStyle="1" w:styleId="S2Heading4Char">
    <w:name w:val="S2.Heading 4 Char"/>
    <w:basedOn w:val="ListParagraphChar"/>
    <w:link w:val="S2Heading4"/>
    <w:rsid w:val="00B73B79"/>
    <w:rPr>
      <w:rFonts w:cs="Arial"/>
      <w:b/>
      <w:i/>
    </w:rPr>
  </w:style>
  <w:style w:type="paragraph" w:customStyle="1" w:styleId="S2Heading5">
    <w:name w:val="S2.Heading 5"/>
    <w:basedOn w:val="Normal"/>
    <w:next w:val="Normal"/>
    <w:link w:val="S2Heading5Char"/>
    <w:rsid w:val="00B73B79"/>
    <w:pPr>
      <w:numPr>
        <w:ilvl w:val="4"/>
        <w:numId w:val="10"/>
      </w:numPr>
      <w:spacing w:after="240"/>
      <w:jc w:val="both"/>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B73B79"/>
    <w:rPr>
      <w:rFonts w:asciiTheme="majorHAnsi" w:hAnsiTheme="majorHAnsi" w:cs="Arial"/>
      <w:color w:val="243F60" w:themeColor="accent1" w:themeShade="7F"/>
    </w:rPr>
  </w:style>
  <w:style w:type="paragraph" w:customStyle="1" w:styleId="S2Heading6">
    <w:name w:val="S2.Heading 6"/>
    <w:basedOn w:val="Normal"/>
    <w:next w:val="Normal"/>
    <w:link w:val="S2Heading6Char"/>
    <w:rsid w:val="00B73B79"/>
    <w:pPr>
      <w:numPr>
        <w:ilvl w:val="5"/>
        <w:numId w:val="10"/>
      </w:numPr>
      <w:spacing w:after="240"/>
      <w:jc w:val="both"/>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B73B79"/>
    <w:rPr>
      <w:rFonts w:asciiTheme="majorHAnsi" w:hAnsiTheme="majorHAnsi" w:cs="Arial"/>
      <w:color w:val="243F60" w:themeColor="accent1" w:themeShade="7F"/>
    </w:rPr>
  </w:style>
  <w:style w:type="paragraph" w:customStyle="1" w:styleId="S2Heading7">
    <w:name w:val="S2.Heading 7"/>
    <w:basedOn w:val="Normal"/>
    <w:next w:val="Normal"/>
    <w:link w:val="S2Heading7Char"/>
    <w:rsid w:val="00B73B79"/>
    <w:pPr>
      <w:numPr>
        <w:ilvl w:val="6"/>
        <w:numId w:val="10"/>
      </w:numPr>
      <w:spacing w:after="240"/>
      <w:jc w:val="both"/>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B73B79"/>
    <w:rPr>
      <w:rFonts w:asciiTheme="majorHAnsi" w:hAnsiTheme="majorHAnsi" w:cs="Arial"/>
      <w:color w:val="404040" w:themeColor="text1" w:themeTint="BF"/>
    </w:rPr>
  </w:style>
  <w:style w:type="paragraph" w:customStyle="1" w:styleId="S2Heading8">
    <w:name w:val="S2.Heading 8"/>
    <w:basedOn w:val="Normal"/>
    <w:next w:val="Normal"/>
    <w:link w:val="S2Heading8Char"/>
    <w:rsid w:val="00B73B79"/>
    <w:pPr>
      <w:numPr>
        <w:ilvl w:val="7"/>
        <w:numId w:val="10"/>
      </w:numPr>
      <w:spacing w:after="240"/>
      <w:jc w:val="both"/>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B73B79"/>
    <w:rPr>
      <w:rFonts w:asciiTheme="majorHAnsi" w:hAnsiTheme="majorHAnsi" w:cs="Arial"/>
      <w:color w:val="404040" w:themeColor="text1" w:themeTint="BF"/>
    </w:rPr>
  </w:style>
  <w:style w:type="paragraph" w:customStyle="1" w:styleId="S2Heading9">
    <w:name w:val="S2.Heading 9"/>
    <w:basedOn w:val="Normal"/>
    <w:next w:val="Normal"/>
    <w:link w:val="S2Heading9Char"/>
    <w:rsid w:val="00B73B79"/>
    <w:pPr>
      <w:numPr>
        <w:ilvl w:val="8"/>
        <w:numId w:val="10"/>
      </w:numPr>
      <w:spacing w:after="240"/>
      <w:jc w:val="both"/>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B73B79"/>
    <w:rPr>
      <w:rFonts w:asciiTheme="majorHAnsi" w:hAnsiTheme="majorHAnsi" w:cs="Arial"/>
      <w:color w:val="404040" w:themeColor="text1" w:themeTint="BF"/>
    </w:rPr>
  </w:style>
  <w:style w:type="paragraph" w:customStyle="1" w:styleId="S4Heading1">
    <w:name w:val="S4.Heading 1"/>
    <w:basedOn w:val="Normal"/>
    <w:next w:val="Normal"/>
    <w:link w:val="S4Heading1Char"/>
    <w:rsid w:val="00B73B79"/>
    <w:pPr>
      <w:numPr>
        <w:numId w:val="11"/>
      </w:numPr>
      <w:tabs>
        <w:tab w:val="clear" w:pos="720"/>
      </w:tabs>
      <w:spacing w:after="240"/>
      <w:jc w:val="both"/>
      <w:outlineLvl w:val="0"/>
    </w:pPr>
    <w:rPr>
      <w:rFonts w:eastAsiaTheme="majorEastAsia" w:cs="Arial"/>
      <w:b/>
      <w:caps/>
      <w:szCs w:val="28"/>
      <w:u w:val="single"/>
    </w:rPr>
  </w:style>
  <w:style w:type="character" w:customStyle="1" w:styleId="S4Heading1Char">
    <w:name w:val="S4.Heading 1 Char"/>
    <w:basedOn w:val="Heading1Char"/>
    <w:link w:val="S4Heading1"/>
    <w:rsid w:val="00B73B79"/>
    <w:rPr>
      <w:rFonts w:asciiTheme="majorHAnsi" w:eastAsiaTheme="majorEastAsia" w:hAnsiTheme="majorHAnsi" w:cs="Arial"/>
      <w:b/>
      <w:bCs w:val="0"/>
      <w:caps/>
      <w:color w:val="365F91" w:themeColor="accent1" w:themeShade="BF"/>
      <w:sz w:val="28"/>
      <w:szCs w:val="28"/>
      <w:u w:val="single"/>
    </w:rPr>
  </w:style>
  <w:style w:type="paragraph" w:customStyle="1" w:styleId="S4Heading2">
    <w:name w:val="S4.Heading 2"/>
    <w:basedOn w:val="Normal"/>
    <w:next w:val="Normal"/>
    <w:link w:val="S4Heading2Char"/>
    <w:rsid w:val="00B73B79"/>
    <w:pPr>
      <w:numPr>
        <w:ilvl w:val="1"/>
        <w:numId w:val="11"/>
      </w:numPr>
      <w:spacing w:after="240"/>
      <w:jc w:val="both"/>
      <w:outlineLvl w:val="1"/>
    </w:pPr>
    <w:rPr>
      <w:rFonts w:eastAsiaTheme="majorEastAsia" w:cs="Arial"/>
      <w:b/>
      <w:szCs w:val="28"/>
    </w:rPr>
  </w:style>
  <w:style w:type="character" w:customStyle="1" w:styleId="S4Heading2Char">
    <w:name w:val="S4.Heading 2 Char"/>
    <w:basedOn w:val="Heading1Char"/>
    <w:link w:val="S4Heading2"/>
    <w:rsid w:val="00B73B79"/>
    <w:rPr>
      <w:rFonts w:asciiTheme="majorHAnsi" w:eastAsiaTheme="majorEastAsia" w:hAnsiTheme="majorHAnsi" w:cs="Arial"/>
      <w:b/>
      <w:bCs w:val="0"/>
      <w:color w:val="365F91" w:themeColor="accent1" w:themeShade="BF"/>
      <w:sz w:val="28"/>
      <w:szCs w:val="28"/>
    </w:rPr>
  </w:style>
  <w:style w:type="paragraph" w:customStyle="1" w:styleId="S4Heading3">
    <w:name w:val="S4.Heading 3"/>
    <w:basedOn w:val="Normal"/>
    <w:next w:val="Normal"/>
    <w:link w:val="S4Heading3Char"/>
    <w:rsid w:val="00B73B79"/>
    <w:pPr>
      <w:numPr>
        <w:ilvl w:val="2"/>
        <w:numId w:val="11"/>
      </w:numPr>
      <w:spacing w:after="240"/>
      <w:jc w:val="both"/>
      <w:outlineLvl w:val="2"/>
    </w:pPr>
    <w:rPr>
      <w:rFonts w:eastAsiaTheme="majorEastAsia" w:cs="Arial"/>
      <w:b/>
      <w:szCs w:val="28"/>
    </w:rPr>
  </w:style>
  <w:style w:type="character" w:customStyle="1" w:styleId="S4Heading3Char">
    <w:name w:val="S4.Heading 3 Char"/>
    <w:basedOn w:val="Heading1Char"/>
    <w:link w:val="S4Heading3"/>
    <w:rsid w:val="00B73B79"/>
    <w:rPr>
      <w:rFonts w:asciiTheme="majorHAnsi" w:eastAsiaTheme="majorEastAsia" w:hAnsiTheme="majorHAnsi" w:cs="Arial"/>
      <w:b/>
      <w:bCs w:val="0"/>
      <w:color w:val="365F91" w:themeColor="accent1" w:themeShade="BF"/>
      <w:sz w:val="28"/>
      <w:szCs w:val="28"/>
    </w:rPr>
  </w:style>
  <w:style w:type="paragraph" w:customStyle="1" w:styleId="S4Heading4">
    <w:name w:val="S4.Heading 4"/>
    <w:basedOn w:val="Normal"/>
    <w:next w:val="Normal"/>
    <w:link w:val="S4Heading4Char"/>
    <w:rsid w:val="00B73B79"/>
    <w:pPr>
      <w:numPr>
        <w:ilvl w:val="3"/>
        <w:numId w:val="11"/>
      </w:numPr>
      <w:spacing w:after="240"/>
      <w:jc w:val="both"/>
      <w:outlineLvl w:val="3"/>
    </w:pPr>
    <w:rPr>
      <w:rFonts w:eastAsiaTheme="majorEastAsia" w:cs="Arial"/>
      <w:b/>
      <w:i/>
      <w:szCs w:val="28"/>
    </w:rPr>
  </w:style>
  <w:style w:type="character" w:customStyle="1" w:styleId="S4Heading4Char">
    <w:name w:val="S4.Heading 4 Char"/>
    <w:basedOn w:val="Heading1Char"/>
    <w:link w:val="S4Heading4"/>
    <w:rsid w:val="00B73B79"/>
    <w:rPr>
      <w:rFonts w:asciiTheme="majorHAnsi" w:eastAsiaTheme="majorEastAsia" w:hAnsiTheme="majorHAnsi" w:cs="Arial"/>
      <w:b/>
      <w:bCs w:val="0"/>
      <w:i/>
      <w:color w:val="365F91" w:themeColor="accent1" w:themeShade="BF"/>
      <w:sz w:val="28"/>
      <w:szCs w:val="28"/>
    </w:rPr>
  </w:style>
  <w:style w:type="paragraph" w:customStyle="1" w:styleId="S4Heading5">
    <w:name w:val="S4.Heading 5"/>
    <w:basedOn w:val="Normal"/>
    <w:next w:val="Normal"/>
    <w:link w:val="S4Heading5Char"/>
    <w:rsid w:val="00B73B79"/>
    <w:pPr>
      <w:numPr>
        <w:ilvl w:val="4"/>
        <w:numId w:val="11"/>
      </w:numPr>
      <w:spacing w:after="240"/>
      <w:jc w:val="both"/>
      <w:outlineLvl w:val="4"/>
    </w:pPr>
    <w:rPr>
      <w:rFonts w:asciiTheme="majorHAnsi" w:eastAsiaTheme="majorEastAsia" w:hAnsiTheme="majorHAnsi" w:cs="Arial"/>
      <w:color w:val="243F60" w:themeColor="accent1" w:themeShade="7F"/>
      <w:szCs w:val="28"/>
    </w:rPr>
  </w:style>
  <w:style w:type="character" w:customStyle="1" w:styleId="S4Heading5Char">
    <w:name w:val="S4.Heading 5 Char"/>
    <w:basedOn w:val="Heading1Char"/>
    <w:link w:val="S4Heading5"/>
    <w:rsid w:val="00B73B79"/>
    <w:rPr>
      <w:rFonts w:asciiTheme="majorHAnsi" w:eastAsiaTheme="majorEastAsia" w:hAnsiTheme="majorHAnsi" w:cs="Arial"/>
      <w:b w:val="0"/>
      <w:bCs w:val="0"/>
      <w:color w:val="243F60" w:themeColor="accent1" w:themeShade="7F"/>
      <w:sz w:val="28"/>
      <w:szCs w:val="28"/>
    </w:rPr>
  </w:style>
  <w:style w:type="paragraph" w:customStyle="1" w:styleId="S4Heading6">
    <w:name w:val="S4.Heading 6"/>
    <w:basedOn w:val="Normal"/>
    <w:next w:val="Normal"/>
    <w:link w:val="S4Heading6Char"/>
    <w:rsid w:val="00B73B79"/>
    <w:pPr>
      <w:numPr>
        <w:ilvl w:val="5"/>
        <w:numId w:val="11"/>
      </w:numPr>
      <w:spacing w:after="240"/>
      <w:jc w:val="both"/>
      <w:outlineLvl w:val="5"/>
    </w:pPr>
    <w:rPr>
      <w:rFonts w:asciiTheme="majorHAnsi" w:eastAsiaTheme="majorEastAsia" w:hAnsiTheme="majorHAnsi" w:cs="Arial"/>
      <w:color w:val="243F60" w:themeColor="accent1" w:themeShade="7F"/>
      <w:szCs w:val="28"/>
    </w:rPr>
  </w:style>
  <w:style w:type="character" w:customStyle="1" w:styleId="S4Heading6Char">
    <w:name w:val="S4.Heading 6 Char"/>
    <w:basedOn w:val="Heading1Char"/>
    <w:link w:val="S4Heading6"/>
    <w:rsid w:val="00B73B79"/>
    <w:rPr>
      <w:rFonts w:asciiTheme="majorHAnsi" w:eastAsiaTheme="majorEastAsia" w:hAnsiTheme="majorHAnsi" w:cs="Arial"/>
      <w:b w:val="0"/>
      <w:bCs w:val="0"/>
      <w:color w:val="243F60" w:themeColor="accent1" w:themeShade="7F"/>
      <w:sz w:val="28"/>
      <w:szCs w:val="28"/>
    </w:rPr>
  </w:style>
  <w:style w:type="paragraph" w:customStyle="1" w:styleId="S4Heading7">
    <w:name w:val="S4.Heading 7"/>
    <w:basedOn w:val="Normal"/>
    <w:next w:val="Normal"/>
    <w:link w:val="S4Heading7Char"/>
    <w:rsid w:val="00B73B79"/>
    <w:pPr>
      <w:numPr>
        <w:ilvl w:val="6"/>
        <w:numId w:val="11"/>
      </w:numPr>
      <w:spacing w:after="240"/>
      <w:jc w:val="both"/>
      <w:outlineLvl w:val="6"/>
    </w:pPr>
    <w:rPr>
      <w:rFonts w:asciiTheme="majorHAnsi" w:eastAsiaTheme="majorEastAsia" w:hAnsiTheme="majorHAnsi" w:cs="Arial"/>
      <w:color w:val="404040" w:themeColor="text1" w:themeTint="BF"/>
      <w:szCs w:val="28"/>
    </w:rPr>
  </w:style>
  <w:style w:type="character" w:customStyle="1" w:styleId="S4Heading7Char">
    <w:name w:val="S4.Heading 7 Char"/>
    <w:basedOn w:val="Heading1Char"/>
    <w:link w:val="S4Heading7"/>
    <w:rsid w:val="00B73B79"/>
    <w:rPr>
      <w:rFonts w:asciiTheme="majorHAnsi" w:eastAsiaTheme="majorEastAsia" w:hAnsiTheme="majorHAnsi" w:cs="Arial"/>
      <w:b w:val="0"/>
      <w:bCs w:val="0"/>
      <w:color w:val="404040" w:themeColor="text1" w:themeTint="BF"/>
      <w:sz w:val="28"/>
      <w:szCs w:val="28"/>
    </w:rPr>
  </w:style>
  <w:style w:type="paragraph" w:customStyle="1" w:styleId="S4Heading8">
    <w:name w:val="S4.Heading 8"/>
    <w:basedOn w:val="Normal"/>
    <w:next w:val="Normal"/>
    <w:link w:val="S4Heading8Char"/>
    <w:rsid w:val="00B73B79"/>
    <w:pPr>
      <w:numPr>
        <w:ilvl w:val="7"/>
        <w:numId w:val="11"/>
      </w:numPr>
      <w:spacing w:after="240"/>
      <w:jc w:val="both"/>
      <w:outlineLvl w:val="7"/>
    </w:pPr>
    <w:rPr>
      <w:rFonts w:asciiTheme="majorHAnsi" w:eastAsiaTheme="majorEastAsia" w:hAnsiTheme="majorHAnsi" w:cs="Arial"/>
      <w:color w:val="404040" w:themeColor="text1" w:themeTint="BF"/>
      <w:szCs w:val="28"/>
    </w:rPr>
  </w:style>
  <w:style w:type="character" w:customStyle="1" w:styleId="S4Heading8Char">
    <w:name w:val="S4.Heading 8 Char"/>
    <w:basedOn w:val="Heading1Char"/>
    <w:link w:val="S4Heading8"/>
    <w:rsid w:val="00B73B79"/>
    <w:rPr>
      <w:rFonts w:asciiTheme="majorHAnsi" w:eastAsiaTheme="majorEastAsia" w:hAnsiTheme="majorHAnsi" w:cs="Arial"/>
      <w:b w:val="0"/>
      <w:bCs w:val="0"/>
      <w:color w:val="404040" w:themeColor="text1" w:themeTint="BF"/>
      <w:sz w:val="28"/>
      <w:szCs w:val="28"/>
    </w:rPr>
  </w:style>
  <w:style w:type="paragraph" w:customStyle="1" w:styleId="S4Heading9">
    <w:name w:val="S4.Heading 9"/>
    <w:basedOn w:val="Normal"/>
    <w:next w:val="Normal"/>
    <w:link w:val="S4Heading9Char"/>
    <w:rsid w:val="00B73B79"/>
    <w:pPr>
      <w:numPr>
        <w:ilvl w:val="8"/>
        <w:numId w:val="11"/>
      </w:numPr>
      <w:spacing w:after="240"/>
      <w:jc w:val="both"/>
      <w:outlineLvl w:val="8"/>
    </w:pPr>
    <w:rPr>
      <w:rFonts w:asciiTheme="majorHAnsi" w:eastAsiaTheme="majorEastAsia" w:hAnsiTheme="majorHAnsi" w:cs="Arial"/>
      <w:color w:val="404040" w:themeColor="text1" w:themeTint="BF"/>
      <w:szCs w:val="28"/>
    </w:rPr>
  </w:style>
  <w:style w:type="character" w:customStyle="1" w:styleId="S4Heading9Char">
    <w:name w:val="S4.Heading 9 Char"/>
    <w:basedOn w:val="Heading1Char"/>
    <w:link w:val="S4Heading9"/>
    <w:rsid w:val="00B73B79"/>
    <w:rPr>
      <w:rFonts w:asciiTheme="majorHAnsi" w:eastAsiaTheme="majorEastAsia" w:hAnsiTheme="majorHAnsi" w:cs="Arial"/>
      <w:b w:val="0"/>
      <w:bCs w:val="0"/>
      <w:color w:val="404040" w:themeColor="text1" w:themeTint="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1791</Words>
  <Characters>10927</Characters>
  <Application>Microsoft Office Word</Application>
  <DocSecurity>0</DocSecurity>
  <PresentationFormat/>
  <Lines>323</Lines>
  <Paragraphs>152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12655</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Reply Comments on staff changes to the pilot program (C40262-4).DOCX</dc:title>
  <dc:subject>C40262:4 /font=8</dc:subject>
  <dc:creator/>
  <cp:lastModifiedBy/>
  <cp:revision>1</cp:revision>
  <cp:lastPrinted>2013-03-27T18:48:00Z</cp:lastPrinted>
  <dcterms:created xsi:type="dcterms:W3CDTF">2013-04-10T17:48:00Z</dcterms:created>
  <dcterms:modified xsi:type="dcterms:W3CDTF">2013-04-10T17:48:00Z</dcterms:modified>
</cp:coreProperties>
</file>