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66" w:rsidRPr="00A41E19" w:rsidRDefault="00905A66" w:rsidP="00905A66">
      <w:pPr>
        <w:pStyle w:val="Title"/>
        <w:widowControl w:val="0"/>
        <w:rPr>
          <w:rFonts w:ascii="Arial" w:hAnsi="Arial" w:cs="Arial"/>
          <w:szCs w:val="24"/>
        </w:rPr>
      </w:pPr>
      <w:bookmarkStart w:id="0" w:name="_GoBack"/>
      <w:bookmarkEnd w:id="0"/>
      <w:r w:rsidRPr="00A41E19">
        <w:rPr>
          <w:rFonts w:ascii="Arial" w:hAnsi="Arial" w:cs="Arial"/>
          <w:szCs w:val="24"/>
        </w:rPr>
        <w:t>BEFORE</w:t>
      </w:r>
    </w:p>
    <w:p w:rsidR="00905A66" w:rsidRPr="00A41E19" w:rsidRDefault="00905A66" w:rsidP="00905A66">
      <w:pPr>
        <w:widowControl w:val="0"/>
        <w:jc w:val="center"/>
        <w:rPr>
          <w:b/>
          <w:sz w:val="24"/>
          <w:szCs w:val="24"/>
        </w:rPr>
      </w:pPr>
      <w:r w:rsidRPr="00A41E19">
        <w:rPr>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905A66" w:rsidRPr="00A41E19" w:rsidTr="00140693">
        <w:trPr>
          <w:trHeight w:val="1288"/>
          <w:jc w:val="center"/>
        </w:trPr>
        <w:tc>
          <w:tcPr>
            <w:tcW w:w="4769" w:type="dxa"/>
          </w:tcPr>
          <w:p w:rsidR="00905A66" w:rsidRPr="00A41E19" w:rsidRDefault="00905A66" w:rsidP="00140693">
            <w:pPr>
              <w:widowControl w:val="0"/>
              <w:spacing w:after="0" w:line="240" w:lineRule="auto"/>
              <w:rPr>
                <w:sz w:val="24"/>
                <w:szCs w:val="24"/>
              </w:rPr>
            </w:pPr>
            <w:r w:rsidRPr="00A41E19">
              <w:rPr>
                <w:sz w:val="24"/>
                <w:szCs w:val="24"/>
              </w:rPr>
              <w:t>In the Matter of the Commission's Review of Chapter 4901:1-10, Ohio Administrative Cod</w:t>
            </w:r>
            <w:r>
              <w:rPr>
                <w:sz w:val="24"/>
                <w:szCs w:val="24"/>
              </w:rPr>
              <w:t>e, Regarding Electric Companies</w:t>
            </w:r>
          </w:p>
        </w:tc>
        <w:tc>
          <w:tcPr>
            <w:tcW w:w="634" w:type="dxa"/>
          </w:tcPr>
          <w:p w:rsidR="00905A66" w:rsidRPr="00A41E19" w:rsidRDefault="00905A66" w:rsidP="00140693">
            <w:pPr>
              <w:widowControl w:val="0"/>
              <w:spacing w:after="0" w:line="240" w:lineRule="auto"/>
              <w:jc w:val="center"/>
              <w:rPr>
                <w:sz w:val="24"/>
                <w:szCs w:val="24"/>
              </w:rPr>
            </w:pPr>
            <w:r w:rsidRPr="00A41E19">
              <w:rPr>
                <w:sz w:val="24"/>
                <w:szCs w:val="24"/>
              </w:rPr>
              <w:t>)</w:t>
            </w:r>
          </w:p>
          <w:p w:rsidR="00905A66" w:rsidRPr="00A41E19" w:rsidRDefault="00905A66" w:rsidP="00140693">
            <w:pPr>
              <w:widowControl w:val="0"/>
              <w:spacing w:after="0" w:line="240" w:lineRule="auto"/>
              <w:jc w:val="center"/>
              <w:rPr>
                <w:sz w:val="24"/>
                <w:szCs w:val="24"/>
              </w:rPr>
            </w:pPr>
            <w:r w:rsidRPr="00A41E19">
              <w:rPr>
                <w:sz w:val="24"/>
                <w:szCs w:val="24"/>
              </w:rPr>
              <w:t>)</w:t>
            </w:r>
          </w:p>
          <w:p w:rsidR="00905A66" w:rsidRPr="00A41E19" w:rsidRDefault="00905A66" w:rsidP="00140693">
            <w:pPr>
              <w:widowControl w:val="0"/>
              <w:spacing w:after="0" w:line="240" w:lineRule="auto"/>
              <w:jc w:val="center"/>
              <w:rPr>
                <w:sz w:val="24"/>
                <w:szCs w:val="24"/>
              </w:rPr>
            </w:pPr>
            <w:r w:rsidRPr="00A41E19">
              <w:rPr>
                <w:sz w:val="24"/>
                <w:szCs w:val="24"/>
              </w:rPr>
              <w:t>)</w:t>
            </w:r>
          </w:p>
        </w:tc>
        <w:tc>
          <w:tcPr>
            <w:tcW w:w="3954" w:type="dxa"/>
          </w:tcPr>
          <w:p w:rsidR="00905A66" w:rsidRPr="00A41E19" w:rsidRDefault="00905A66" w:rsidP="00140693">
            <w:pPr>
              <w:widowControl w:val="0"/>
              <w:spacing w:after="0" w:line="240" w:lineRule="auto"/>
              <w:rPr>
                <w:sz w:val="24"/>
                <w:szCs w:val="24"/>
              </w:rPr>
            </w:pPr>
          </w:p>
          <w:p w:rsidR="00905A66" w:rsidRPr="00A41E19" w:rsidRDefault="00905A66" w:rsidP="00140693">
            <w:pPr>
              <w:widowControl w:val="0"/>
              <w:spacing w:after="0" w:line="240" w:lineRule="auto"/>
              <w:rPr>
                <w:sz w:val="24"/>
                <w:szCs w:val="24"/>
              </w:rPr>
            </w:pPr>
            <w:r w:rsidRPr="00A41E19">
              <w:rPr>
                <w:sz w:val="24"/>
                <w:szCs w:val="24"/>
              </w:rPr>
              <w:t>Case No. 12-2050-EL-ORD</w:t>
            </w:r>
          </w:p>
          <w:p w:rsidR="00905A66" w:rsidRPr="00A41E19" w:rsidRDefault="00905A66" w:rsidP="00140693">
            <w:pPr>
              <w:widowControl w:val="0"/>
              <w:spacing w:after="0" w:line="240" w:lineRule="auto"/>
              <w:rPr>
                <w:sz w:val="24"/>
                <w:szCs w:val="24"/>
              </w:rPr>
            </w:pPr>
          </w:p>
        </w:tc>
      </w:tr>
    </w:tbl>
    <w:p w:rsidR="00905A66" w:rsidRPr="00A41E19" w:rsidRDefault="00905A66" w:rsidP="00905A66">
      <w:pPr>
        <w:pStyle w:val="Footer"/>
        <w:pBdr>
          <w:top w:val="single" w:sz="12" w:space="1" w:color="auto"/>
          <w:bottom w:val="single" w:sz="12" w:space="1" w:color="auto"/>
        </w:pBdr>
        <w:tabs>
          <w:tab w:val="left" w:pos="4320"/>
        </w:tabs>
        <w:rPr>
          <w:rFonts w:ascii="Arial" w:hAnsi="Arial" w:cs="Arial"/>
          <w:sz w:val="24"/>
          <w:szCs w:val="24"/>
        </w:rPr>
      </w:pPr>
    </w:p>
    <w:p w:rsidR="00905A66" w:rsidRDefault="00905A66" w:rsidP="00905A66">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MEMORANDUM CONTRA OF</w:t>
      </w:r>
    </w:p>
    <w:p w:rsidR="00905A66" w:rsidRDefault="00905A66" w:rsidP="00905A66">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 INTERSTATE GAS SUPPLY, INC. APPLICATION FOR REHEARING AND MEMORANDUM IN SUPPORT OF OHIO EDISON COMPANY, THE CLEVELAND ELECTRIC ILLUMINATING COMPANY, AND TOLEDO EDISON COMPANY</w:t>
      </w:r>
    </w:p>
    <w:p w:rsidR="00905A66" w:rsidRPr="00A41E19" w:rsidRDefault="00905A66" w:rsidP="00905A66">
      <w:pPr>
        <w:pStyle w:val="Footer"/>
        <w:pBdr>
          <w:top w:val="single" w:sz="12" w:space="1" w:color="auto"/>
          <w:bottom w:val="single" w:sz="12" w:space="1" w:color="auto"/>
        </w:pBdr>
        <w:tabs>
          <w:tab w:val="left" w:pos="4320"/>
        </w:tabs>
        <w:jc w:val="center"/>
        <w:rPr>
          <w:rFonts w:ascii="Arial" w:hAnsi="Arial" w:cs="Arial"/>
          <w:b/>
          <w:sz w:val="24"/>
          <w:szCs w:val="24"/>
        </w:rPr>
      </w:pPr>
    </w:p>
    <w:p w:rsidR="00CA6856" w:rsidRDefault="00CA6856" w:rsidP="00886680">
      <w:pPr>
        <w:spacing w:after="120" w:line="480" w:lineRule="auto"/>
        <w:jc w:val="both"/>
        <w:rPr>
          <w:b/>
          <w:sz w:val="24"/>
          <w:szCs w:val="24"/>
          <w:u w:val="single"/>
        </w:rPr>
      </w:pPr>
    </w:p>
    <w:p w:rsidR="007953D5" w:rsidRPr="007953D5" w:rsidRDefault="007953D5" w:rsidP="007E461E">
      <w:pPr>
        <w:pStyle w:val="ListParagraph"/>
        <w:numPr>
          <w:ilvl w:val="0"/>
          <w:numId w:val="2"/>
        </w:numPr>
        <w:spacing w:after="120" w:line="480" w:lineRule="auto"/>
        <w:jc w:val="both"/>
        <w:rPr>
          <w:b/>
          <w:sz w:val="24"/>
          <w:szCs w:val="24"/>
        </w:rPr>
      </w:pPr>
      <w:r>
        <w:rPr>
          <w:b/>
          <w:sz w:val="24"/>
          <w:szCs w:val="24"/>
        </w:rPr>
        <w:t>INTRODUCTION</w:t>
      </w:r>
    </w:p>
    <w:p w:rsidR="005A5997" w:rsidRPr="005A5997" w:rsidRDefault="00D71E02" w:rsidP="007E461E">
      <w:pPr>
        <w:spacing w:after="120" w:line="480" w:lineRule="auto"/>
        <w:ind w:firstLine="720"/>
        <w:jc w:val="both"/>
        <w:rPr>
          <w:sz w:val="24"/>
          <w:szCs w:val="24"/>
        </w:rPr>
      </w:pPr>
      <w:r>
        <w:rPr>
          <w:sz w:val="24"/>
          <w:szCs w:val="24"/>
        </w:rPr>
        <w:t>On June 27, 2014, Ohio Edison Company, The Cleveland Electric Illuminating Company, and the Toledo Edison Company (collectively “FirstEnergy”) filed an application for rehearing</w:t>
      </w:r>
      <w:r w:rsidR="00ED7B3E">
        <w:rPr>
          <w:sz w:val="24"/>
          <w:szCs w:val="24"/>
        </w:rPr>
        <w:t xml:space="preserve"> of the Second Entry on Rehearing (“Entry”) issued by the Public Utilities Commission of Ohio (“Commission”) on May 28, 2014.  FirstEnergy claim</w:t>
      </w:r>
      <w:r w:rsidR="005E6B28">
        <w:rPr>
          <w:sz w:val="24"/>
          <w:szCs w:val="24"/>
        </w:rPr>
        <w:t>s</w:t>
      </w:r>
      <w:r w:rsidR="00ED7B3E">
        <w:rPr>
          <w:sz w:val="24"/>
          <w:szCs w:val="24"/>
        </w:rPr>
        <w:t xml:space="preserve"> that the Commission’s Entry is unlawful because it requires it to issue a monet</w:t>
      </w:r>
      <w:r w:rsidR="001E379A">
        <w:rPr>
          <w:sz w:val="24"/>
          <w:szCs w:val="24"/>
        </w:rPr>
        <w:t>ary credit for excess generation—including capacity and energy—</w:t>
      </w:r>
      <w:r w:rsidR="00ED7B3E">
        <w:rPr>
          <w:sz w:val="24"/>
          <w:szCs w:val="24"/>
        </w:rPr>
        <w:t xml:space="preserve">in violation of the Revised Code and </w:t>
      </w:r>
      <w:r w:rsidR="00ED7B3E">
        <w:rPr>
          <w:i/>
          <w:sz w:val="24"/>
          <w:szCs w:val="24"/>
        </w:rPr>
        <w:t xml:space="preserve">FirstEnergy Corp. v. Pub. </w:t>
      </w:r>
      <w:proofErr w:type="gramStart"/>
      <w:r w:rsidR="00ED7B3E">
        <w:rPr>
          <w:i/>
          <w:sz w:val="24"/>
          <w:szCs w:val="24"/>
        </w:rPr>
        <w:t>Util. Comm.</w:t>
      </w:r>
      <w:r w:rsidR="00ED7B3E">
        <w:rPr>
          <w:sz w:val="24"/>
          <w:szCs w:val="24"/>
        </w:rPr>
        <w:t>, 95 Ohio St. 3d 401 (2002).</w:t>
      </w:r>
      <w:proofErr w:type="gramEnd"/>
      <w:r w:rsidR="00F671A1">
        <w:rPr>
          <w:rStyle w:val="FootnoteReference"/>
          <w:sz w:val="24"/>
          <w:szCs w:val="24"/>
        </w:rPr>
        <w:footnoteReference w:id="1"/>
      </w:r>
      <w:r w:rsidR="00887A15">
        <w:rPr>
          <w:sz w:val="24"/>
          <w:szCs w:val="24"/>
        </w:rPr>
        <w:t xml:space="preserve">  Furthermore, FirstEnergy claims</w:t>
      </w:r>
      <w:r w:rsidR="001E379A">
        <w:rPr>
          <w:sz w:val="24"/>
          <w:szCs w:val="24"/>
        </w:rPr>
        <w:t xml:space="preserve"> that the Entry is unlawful and unreasonable because it failed to authorize utilit</w:t>
      </w:r>
      <w:r w:rsidR="008B2756">
        <w:rPr>
          <w:sz w:val="24"/>
          <w:szCs w:val="24"/>
        </w:rPr>
        <w:t>ies</w:t>
      </w:r>
      <w:r w:rsidR="001E379A">
        <w:rPr>
          <w:sz w:val="24"/>
          <w:szCs w:val="24"/>
        </w:rPr>
        <w:t xml:space="preserve"> to recover the cost of providing customer-generators a credit for excess generation.</w:t>
      </w:r>
      <w:r w:rsidR="00F671A1">
        <w:rPr>
          <w:rStyle w:val="FootnoteReference"/>
          <w:sz w:val="24"/>
          <w:szCs w:val="24"/>
        </w:rPr>
        <w:footnoteReference w:id="2"/>
      </w:r>
      <w:r w:rsidR="007953D5">
        <w:rPr>
          <w:sz w:val="24"/>
          <w:szCs w:val="24"/>
        </w:rPr>
        <w:t xml:space="preserve">  As discussed below,</w:t>
      </w:r>
      <w:r w:rsidR="001E379A">
        <w:rPr>
          <w:sz w:val="24"/>
          <w:szCs w:val="24"/>
        </w:rPr>
        <w:t xml:space="preserve"> </w:t>
      </w:r>
      <w:r w:rsidR="00ED7B3E">
        <w:rPr>
          <w:sz w:val="24"/>
          <w:szCs w:val="24"/>
        </w:rPr>
        <w:t xml:space="preserve">FirstEnergy’s </w:t>
      </w:r>
      <w:proofErr w:type="gramStart"/>
      <w:r w:rsidR="00ED7B3E">
        <w:rPr>
          <w:sz w:val="24"/>
          <w:szCs w:val="24"/>
        </w:rPr>
        <w:t>application</w:t>
      </w:r>
      <w:proofErr w:type="gramEnd"/>
      <w:r w:rsidR="00ED7B3E">
        <w:rPr>
          <w:sz w:val="24"/>
          <w:szCs w:val="24"/>
        </w:rPr>
        <w:t xml:space="preserve"> for rehearing is untimely, presents duplicative arguments that have already </w:t>
      </w:r>
      <w:r w:rsidR="007953D5">
        <w:rPr>
          <w:sz w:val="24"/>
          <w:szCs w:val="24"/>
        </w:rPr>
        <w:t>been rejected by the Commission,</w:t>
      </w:r>
      <w:r w:rsidR="005A5997">
        <w:rPr>
          <w:sz w:val="24"/>
          <w:szCs w:val="24"/>
        </w:rPr>
        <w:t xml:space="preserve"> and is otherwise without merit.</w:t>
      </w:r>
      <w:r w:rsidR="002E0F64">
        <w:rPr>
          <w:sz w:val="24"/>
          <w:szCs w:val="24"/>
        </w:rPr>
        <w:t xml:space="preserve"> With that said, </w:t>
      </w:r>
      <w:r w:rsidR="000F276C">
        <w:rPr>
          <w:sz w:val="24"/>
          <w:szCs w:val="24"/>
        </w:rPr>
        <w:lastRenderedPageBreak/>
        <w:t>standard service offer (“</w:t>
      </w:r>
      <w:r w:rsidR="002E0F64">
        <w:rPr>
          <w:sz w:val="24"/>
          <w:szCs w:val="24"/>
        </w:rPr>
        <w:t>SSO</w:t>
      </w:r>
      <w:r w:rsidR="000F276C">
        <w:rPr>
          <w:sz w:val="24"/>
          <w:szCs w:val="24"/>
        </w:rPr>
        <w:t>”)</w:t>
      </w:r>
      <w:r w:rsidR="002E0F64">
        <w:rPr>
          <w:sz w:val="24"/>
          <w:szCs w:val="24"/>
        </w:rPr>
        <w:t xml:space="preserve"> customers are receiving the entire benefit of the net me</w:t>
      </w:r>
      <w:r w:rsidR="000F276C">
        <w:rPr>
          <w:sz w:val="24"/>
          <w:szCs w:val="24"/>
        </w:rPr>
        <w:t xml:space="preserve">tered electricity being </w:t>
      </w:r>
      <w:r w:rsidR="00B14BF2">
        <w:rPr>
          <w:sz w:val="24"/>
          <w:szCs w:val="24"/>
        </w:rPr>
        <w:t>delivered</w:t>
      </w:r>
      <w:r w:rsidR="002E0F64">
        <w:rPr>
          <w:sz w:val="24"/>
          <w:szCs w:val="24"/>
        </w:rPr>
        <w:t xml:space="preserve"> ba</w:t>
      </w:r>
      <w:r w:rsidR="00045D7B">
        <w:rPr>
          <w:sz w:val="24"/>
          <w:szCs w:val="24"/>
        </w:rPr>
        <w:t xml:space="preserve">ck into the distribution system; </w:t>
      </w:r>
      <w:r w:rsidR="002E0F64">
        <w:rPr>
          <w:sz w:val="24"/>
          <w:szCs w:val="24"/>
        </w:rPr>
        <w:t>thus</w:t>
      </w:r>
      <w:r w:rsidR="00B14BF2">
        <w:rPr>
          <w:sz w:val="24"/>
          <w:szCs w:val="24"/>
        </w:rPr>
        <w:t xml:space="preserve">, while the electric utilities should be required to provide credits that </w:t>
      </w:r>
      <w:r w:rsidR="00742D54">
        <w:rPr>
          <w:sz w:val="24"/>
          <w:szCs w:val="24"/>
        </w:rPr>
        <w:t>equal the SSO price to customer-</w:t>
      </w:r>
      <w:r w:rsidR="00B14BF2">
        <w:rPr>
          <w:sz w:val="24"/>
          <w:szCs w:val="24"/>
        </w:rPr>
        <w:t>generators,</w:t>
      </w:r>
      <w:r w:rsidR="002E0F64">
        <w:rPr>
          <w:sz w:val="24"/>
          <w:szCs w:val="24"/>
        </w:rPr>
        <w:t xml:space="preserve"> it would be appropriate to establish a </w:t>
      </w:r>
      <w:proofErr w:type="spellStart"/>
      <w:r w:rsidR="002E0F64">
        <w:rPr>
          <w:sz w:val="24"/>
          <w:szCs w:val="24"/>
        </w:rPr>
        <w:t>bypassable</w:t>
      </w:r>
      <w:proofErr w:type="spellEnd"/>
      <w:r w:rsidR="002E0F64">
        <w:rPr>
          <w:sz w:val="24"/>
          <w:szCs w:val="24"/>
        </w:rPr>
        <w:t xml:space="preserve"> rider </w:t>
      </w:r>
      <w:r w:rsidR="00045D7B">
        <w:rPr>
          <w:sz w:val="24"/>
          <w:szCs w:val="24"/>
        </w:rPr>
        <w:t xml:space="preserve">to </w:t>
      </w:r>
      <w:r w:rsidR="00B14BF2">
        <w:rPr>
          <w:sz w:val="24"/>
          <w:szCs w:val="24"/>
        </w:rPr>
        <w:t xml:space="preserve">allow the electric utility to </w:t>
      </w:r>
      <w:r w:rsidR="00045D7B">
        <w:rPr>
          <w:sz w:val="24"/>
          <w:szCs w:val="24"/>
        </w:rPr>
        <w:t xml:space="preserve">recover those costs from </w:t>
      </w:r>
      <w:r w:rsidR="002E0F64">
        <w:rPr>
          <w:sz w:val="24"/>
          <w:szCs w:val="24"/>
        </w:rPr>
        <w:t>SSO</w:t>
      </w:r>
      <w:r w:rsidR="00045D7B">
        <w:rPr>
          <w:sz w:val="24"/>
          <w:szCs w:val="24"/>
        </w:rPr>
        <w:t xml:space="preserve"> customers</w:t>
      </w:r>
      <w:r w:rsidR="002E0F64">
        <w:rPr>
          <w:sz w:val="24"/>
          <w:szCs w:val="24"/>
        </w:rPr>
        <w:t>.</w:t>
      </w:r>
    </w:p>
    <w:p w:rsidR="00B27667" w:rsidRPr="00EE428C" w:rsidRDefault="00EE428C" w:rsidP="007E461E">
      <w:pPr>
        <w:pStyle w:val="ListParagraph"/>
        <w:numPr>
          <w:ilvl w:val="0"/>
          <w:numId w:val="2"/>
        </w:numPr>
        <w:spacing w:after="120" w:line="480" w:lineRule="auto"/>
        <w:jc w:val="both"/>
        <w:rPr>
          <w:sz w:val="24"/>
          <w:szCs w:val="24"/>
        </w:rPr>
      </w:pPr>
      <w:r>
        <w:rPr>
          <w:b/>
          <w:sz w:val="24"/>
          <w:szCs w:val="24"/>
        </w:rPr>
        <w:t>ARGUMENT</w:t>
      </w:r>
    </w:p>
    <w:p w:rsidR="00EE428C" w:rsidRPr="00EE428C" w:rsidRDefault="00EE428C" w:rsidP="007E461E">
      <w:pPr>
        <w:spacing w:after="120" w:line="480" w:lineRule="auto"/>
        <w:ind w:left="1080"/>
        <w:jc w:val="both"/>
        <w:rPr>
          <w:b/>
          <w:sz w:val="24"/>
          <w:szCs w:val="24"/>
        </w:rPr>
      </w:pPr>
      <w:r>
        <w:rPr>
          <w:b/>
          <w:sz w:val="24"/>
          <w:szCs w:val="24"/>
        </w:rPr>
        <w:t>A.</w:t>
      </w:r>
      <w:r w:rsidRPr="00EE428C">
        <w:t xml:space="preserve"> </w:t>
      </w:r>
      <w:r w:rsidRPr="00EE428C">
        <w:rPr>
          <w:b/>
          <w:sz w:val="24"/>
          <w:szCs w:val="24"/>
        </w:rPr>
        <w:t>FirstEnergy’s Application for Rehearing is Untimely</w:t>
      </w:r>
    </w:p>
    <w:p w:rsidR="00B27667" w:rsidRPr="00B27667" w:rsidRDefault="001E379A" w:rsidP="007E461E">
      <w:pPr>
        <w:spacing w:after="120" w:line="480" w:lineRule="auto"/>
        <w:ind w:firstLine="720"/>
        <w:jc w:val="both"/>
        <w:rPr>
          <w:sz w:val="24"/>
          <w:szCs w:val="24"/>
        </w:rPr>
      </w:pPr>
      <w:r>
        <w:rPr>
          <w:sz w:val="24"/>
          <w:szCs w:val="24"/>
        </w:rPr>
        <w:t>On January 15, 2014, the Commission issued a Finding an</w:t>
      </w:r>
      <w:r w:rsidR="00742D54">
        <w:rPr>
          <w:sz w:val="24"/>
          <w:szCs w:val="24"/>
        </w:rPr>
        <w:t>d</w:t>
      </w:r>
      <w:r>
        <w:rPr>
          <w:sz w:val="24"/>
          <w:szCs w:val="24"/>
        </w:rPr>
        <w:t xml:space="preserve"> Order</w:t>
      </w:r>
      <w:r w:rsidR="005E6B28">
        <w:rPr>
          <w:sz w:val="24"/>
          <w:szCs w:val="24"/>
        </w:rPr>
        <w:t xml:space="preserve"> (“January Order”)</w:t>
      </w:r>
      <w:r>
        <w:rPr>
          <w:sz w:val="24"/>
          <w:szCs w:val="24"/>
        </w:rPr>
        <w:t xml:space="preserve"> approving a rule to require utilities to</w:t>
      </w:r>
      <w:r w:rsidR="00B27667" w:rsidRPr="00B27667">
        <w:rPr>
          <w:sz w:val="24"/>
          <w:szCs w:val="24"/>
        </w:rPr>
        <w:t xml:space="preserve"> provide a credit to net metered customers providing generation back to the grid at the otherwise applicable </w:t>
      </w:r>
      <w:r w:rsidR="000F276C">
        <w:rPr>
          <w:sz w:val="24"/>
          <w:szCs w:val="24"/>
        </w:rPr>
        <w:t>SSO</w:t>
      </w:r>
      <w:r w:rsidR="00B27667" w:rsidRPr="00B27667">
        <w:rPr>
          <w:sz w:val="24"/>
          <w:szCs w:val="24"/>
        </w:rPr>
        <w:t xml:space="preserve"> price, stating:</w:t>
      </w:r>
    </w:p>
    <w:p w:rsidR="001E379A" w:rsidRDefault="007A211B" w:rsidP="007E461E">
      <w:pPr>
        <w:pStyle w:val="ListParagraph"/>
        <w:autoSpaceDE w:val="0"/>
        <w:autoSpaceDN w:val="0"/>
        <w:adjustRightInd w:val="0"/>
        <w:spacing w:after="120" w:line="240" w:lineRule="auto"/>
        <w:ind w:left="1080" w:right="720"/>
        <w:jc w:val="both"/>
        <w:rPr>
          <w:sz w:val="24"/>
          <w:szCs w:val="24"/>
        </w:rPr>
      </w:pPr>
      <w:r>
        <w:rPr>
          <w:sz w:val="24"/>
          <w:szCs w:val="24"/>
        </w:rPr>
        <w:t>[T]</w:t>
      </w:r>
      <w:r w:rsidR="00B27667" w:rsidRPr="00B27667">
        <w:rPr>
          <w:sz w:val="24"/>
          <w:szCs w:val="24"/>
        </w:rPr>
        <w:t>he Commission notes that net metering is a noncompetitive retail electric service of the distribution utilities and R.C. 4928.67(A</w:t>
      </w:r>
      <w:proofErr w:type="gramStart"/>
      <w:r w:rsidR="00B27667" w:rsidRPr="00B27667">
        <w:rPr>
          <w:sz w:val="24"/>
          <w:szCs w:val="24"/>
        </w:rPr>
        <w:t>)(</w:t>
      </w:r>
      <w:proofErr w:type="gramEnd"/>
      <w:r w:rsidR="00B27667" w:rsidRPr="00B27667">
        <w:rPr>
          <w:sz w:val="24"/>
          <w:szCs w:val="24"/>
        </w:rPr>
        <w:t>1) directs that it is the responsibility of the electric utilities to provide the contracts or tariffs for net metering. The Commission believes that this contract or tariff shall be provided to customer-generators regardless of whether they are shopping for competitive retail electric generation service. Accordingly, the Commission believes that the EDU's should be responsible for crediting customer-generators for generation, and for issuing the refund for net excess generation. The Commission believes that the EDU's should provide this refund regardless of whether the customer-generator is shopping, yet the rate of the refund should be the utility's standard service offer rate for generation. The Commission believes that this will provide greater efficiency and accuracy in calculating the refund to be paid by the electric utilities, as indicated by FirstEnergy. Additionally, the Commission adopts DP&amp;L's proposal to add language indicating that the credit for excess generation is a monetary credit.</w:t>
      </w:r>
      <w:r w:rsidR="00B27667">
        <w:rPr>
          <w:rStyle w:val="FootnoteReference"/>
          <w:sz w:val="24"/>
          <w:szCs w:val="24"/>
        </w:rPr>
        <w:footnoteReference w:id="3"/>
      </w:r>
    </w:p>
    <w:p w:rsidR="007E461E" w:rsidRPr="001E379A" w:rsidRDefault="007E461E" w:rsidP="007E461E">
      <w:pPr>
        <w:pStyle w:val="ListParagraph"/>
        <w:autoSpaceDE w:val="0"/>
        <w:autoSpaceDN w:val="0"/>
        <w:adjustRightInd w:val="0"/>
        <w:spacing w:after="120" w:line="240" w:lineRule="auto"/>
        <w:ind w:left="1080" w:right="720"/>
        <w:jc w:val="both"/>
        <w:rPr>
          <w:sz w:val="24"/>
          <w:szCs w:val="24"/>
        </w:rPr>
      </w:pPr>
    </w:p>
    <w:p w:rsidR="001E379A" w:rsidRDefault="00B27667" w:rsidP="007E461E">
      <w:pPr>
        <w:spacing w:after="120" w:line="480" w:lineRule="auto"/>
        <w:ind w:firstLine="720"/>
        <w:jc w:val="both"/>
        <w:rPr>
          <w:sz w:val="24"/>
          <w:szCs w:val="24"/>
        </w:rPr>
      </w:pPr>
      <w:r>
        <w:rPr>
          <w:sz w:val="24"/>
          <w:szCs w:val="24"/>
        </w:rPr>
        <w:lastRenderedPageBreak/>
        <w:t xml:space="preserve">Although </w:t>
      </w:r>
      <w:r w:rsidRPr="00D56E92">
        <w:rPr>
          <w:sz w:val="24"/>
          <w:szCs w:val="24"/>
        </w:rPr>
        <w:t xml:space="preserve">FirstEnergy filed </w:t>
      </w:r>
      <w:r>
        <w:rPr>
          <w:sz w:val="24"/>
          <w:szCs w:val="24"/>
        </w:rPr>
        <w:t>an application for rehearing from the January Order, it</w:t>
      </w:r>
      <w:r w:rsidRPr="00D56E92">
        <w:rPr>
          <w:sz w:val="24"/>
          <w:szCs w:val="24"/>
        </w:rPr>
        <w:t xml:space="preserve"> failed to address the n</w:t>
      </w:r>
      <w:r>
        <w:rPr>
          <w:sz w:val="24"/>
          <w:szCs w:val="24"/>
        </w:rPr>
        <w:t>et metering rules discussed above.</w:t>
      </w:r>
      <w:r w:rsidR="005E6B28">
        <w:rPr>
          <w:rStyle w:val="FootnoteReference"/>
          <w:sz w:val="24"/>
          <w:szCs w:val="24"/>
        </w:rPr>
        <w:footnoteReference w:id="4"/>
      </w:r>
      <w:r w:rsidR="001E379A">
        <w:rPr>
          <w:sz w:val="24"/>
          <w:szCs w:val="24"/>
        </w:rPr>
        <w:t xml:space="preserve">  </w:t>
      </w:r>
      <w:r>
        <w:rPr>
          <w:sz w:val="24"/>
          <w:szCs w:val="24"/>
        </w:rPr>
        <w:t xml:space="preserve">  </w:t>
      </w:r>
      <w:r w:rsidR="001E379A">
        <w:rPr>
          <w:sz w:val="24"/>
          <w:szCs w:val="24"/>
        </w:rPr>
        <w:t>Rather, FirstEnergy wai</w:t>
      </w:r>
      <w:r w:rsidR="00887A15">
        <w:rPr>
          <w:sz w:val="24"/>
          <w:szCs w:val="24"/>
        </w:rPr>
        <w:t>ted until June 27, 2014—over five</w:t>
      </w:r>
      <w:r w:rsidR="001E379A">
        <w:rPr>
          <w:sz w:val="24"/>
          <w:szCs w:val="24"/>
        </w:rPr>
        <w:t xml:space="preserve"> months later—to challenge the Commission’s net metering rules.  An Application for Rehearing must be filed within thirty days from the date of an order.</w:t>
      </w:r>
      <w:r w:rsidR="005E6B28">
        <w:rPr>
          <w:rStyle w:val="FootnoteReference"/>
          <w:sz w:val="24"/>
          <w:szCs w:val="24"/>
        </w:rPr>
        <w:footnoteReference w:id="5"/>
      </w:r>
      <w:r w:rsidR="001E379A">
        <w:rPr>
          <w:sz w:val="24"/>
          <w:szCs w:val="24"/>
        </w:rPr>
        <w:t xml:space="preserve">  Because FirstEnergy failed to challenge the January Order within thirty days, it is statutorily precluded from doing so now.  </w:t>
      </w:r>
    </w:p>
    <w:p w:rsidR="00AF50BB" w:rsidRPr="001E379A" w:rsidRDefault="00D04C9C" w:rsidP="00D04C9C">
      <w:pPr>
        <w:spacing w:after="120" w:line="240" w:lineRule="auto"/>
        <w:ind w:left="720"/>
        <w:jc w:val="both"/>
        <w:rPr>
          <w:b/>
          <w:sz w:val="24"/>
          <w:szCs w:val="24"/>
        </w:rPr>
      </w:pPr>
      <w:r>
        <w:rPr>
          <w:b/>
          <w:sz w:val="24"/>
          <w:szCs w:val="24"/>
        </w:rPr>
        <w:t xml:space="preserve">B. </w:t>
      </w:r>
      <w:proofErr w:type="gramStart"/>
      <w:r>
        <w:rPr>
          <w:b/>
          <w:sz w:val="24"/>
          <w:szCs w:val="24"/>
        </w:rPr>
        <w:t>The</w:t>
      </w:r>
      <w:proofErr w:type="gramEnd"/>
      <w:r>
        <w:rPr>
          <w:b/>
          <w:sz w:val="24"/>
          <w:szCs w:val="24"/>
        </w:rPr>
        <w:t xml:space="preserve"> Commission has Already Considered and Rejected FirstEnergy’s Assignments of E</w:t>
      </w:r>
      <w:r w:rsidR="001E379A">
        <w:rPr>
          <w:b/>
          <w:sz w:val="24"/>
          <w:szCs w:val="24"/>
        </w:rPr>
        <w:t>rror</w:t>
      </w:r>
      <w:r w:rsidR="001E379A">
        <w:rPr>
          <w:b/>
          <w:sz w:val="24"/>
          <w:szCs w:val="24"/>
        </w:rPr>
        <w:tab/>
      </w:r>
    </w:p>
    <w:p w:rsidR="00B27667" w:rsidRDefault="00AF50BB" w:rsidP="007E461E">
      <w:pPr>
        <w:spacing w:after="120" w:line="480" w:lineRule="auto"/>
        <w:jc w:val="both"/>
        <w:rPr>
          <w:sz w:val="24"/>
          <w:szCs w:val="24"/>
        </w:rPr>
      </w:pPr>
      <w:r>
        <w:rPr>
          <w:sz w:val="24"/>
          <w:szCs w:val="24"/>
        </w:rPr>
        <w:tab/>
        <w:t xml:space="preserve">The Commission should reject FirstEnergy’s application for rehearing because the Commission has already addressed and rejected FirstEnergy’s arguments.  </w:t>
      </w:r>
      <w:r w:rsidR="001E379A">
        <w:rPr>
          <w:sz w:val="24"/>
          <w:szCs w:val="24"/>
        </w:rPr>
        <w:t xml:space="preserve">Although FirstEnergy failed to challenge the net metering rules approved in the January Order, </w:t>
      </w:r>
      <w:r w:rsidR="00B27667">
        <w:rPr>
          <w:sz w:val="24"/>
          <w:szCs w:val="24"/>
        </w:rPr>
        <w:t>Oh</w:t>
      </w:r>
      <w:r w:rsidR="001E379A">
        <w:rPr>
          <w:sz w:val="24"/>
          <w:szCs w:val="24"/>
        </w:rPr>
        <w:t xml:space="preserve">io Power Company filed a timely application for rehearing, </w:t>
      </w:r>
      <w:r w:rsidR="00B27667">
        <w:rPr>
          <w:sz w:val="24"/>
          <w:szCs w:val="24"/>
        </w:rPr>
        <w:t xml:space="preserve">which claimed, among other things, </w:t>
      </w:r>
      <w:r w:rsidR="005E6B28">
        <w:rPr>
          <w:sz w:val="24"/>
          <w:szCs w:val="24"/>
        </w:rPr>
        <w:t>that</w:t>
      </w:r>
      <w:r w:rsidR="00B27667">
        <w:rPr>
          <w:sz w:val="24"/>
          <w:szCs w:val="24"/>
        </w:rPr>
        <w:t>:</w:t>
      </w:r>
    </w:p>
    <w:p w:rsidR="00B27667" w:rsidRDefault="005E6B28" w:rsidP="007E461E">
      <w:pPr>
        <w:pStyle w:val="ListParagraph"/>
        <w:numPr>
          <w:ilvl w:val="0"/>
          <w:numId w:val="4"/>
        </w:numPr>
        <w:spacing w:after="120" w:line="240" w:lineRule="auto"/>
        <w:ind w:left="1210"/>
        <w:jc w:val="both"/>
        <w:rPr>
          <w:sz w:val="24"/>
          <w:szCs w:val="24"/>
        </w:rPr>
      </w:pPr>
      <w:r>
        <w:rPr>
          <w:sz w:val="24"/>
          <w:szCs w:val="24"/>
        </w:rPr>
        <w:t>Requiring</w:t>
      </w:r>
      <w:r w:rsidR="00B27667">
        <w:rPr>
          <w:sz w:val="24"/>
          <w:szCs w:val="24"/>
        </w:rPr>
        <w:t xml:space="preserve"> an electric utility to provide </w:t>
      </w:r>
      <w:r>
        <w:rPr>
          <w:sz w:val="24"/>
          <w:szCs w:val="24"/>
        </w:rPr>
        <w:t xml:space="preserve">customer-generator a credit </w:t>
      </w:r>
      <w:r w:rsidR="00B27667">
        <w:rPr>
          <w:sz w:val="24"/>
          <w:szCs w:val="24"/>
        </w:rPr>
        <w:t>for capacity in addition to energy</w:t>
      </w:r>
      <w:r>
        <w:rPr>
          <w:sz w:val="24"/>
          <w:szCs w:val="24"/>
        </w:rPr>
        <w:t xml:space="preserve"> is unlawful and would violate</w:t>
      </w:r>
      <w:r w:rsidR="00D27F9F">
        <w:rPr>
          <w:sz w:val="24"/>
          <w:szCs w:val="24"/>
        </w:rPr>
        <w:t xml:space="preserve"> </w:t>
      </w:r>
      <w:r w:rsidR="00D27F9F">
        <w:rPr>
          <w:i/>
          <w:sz w:val="24"/>
          <w:szCs w:val="24"/>
        </w:rPr>
        <w:t>FirstEnergy Corp. v. Pub. Util. Comm.</w:t>
      </w:r>
      <w:r w:rsidR="00D27F9F">
        <w:rPr>
          <w:sz w:val="24"/>
          <w:szCs w:val="24"/>
        </w:rPr>
        <w:t>, 95 Ohio St. 3d 401 (2002)</w:t>
      </w:r>
      <w:r w:rsidR="00B27667">
        <w:rPr>
          <w:sz w:val="24"/>
          <w:szCs w:val="24"/>
        </w:rPr>
        <w:t>; and</w:t>
      </w:r>
    </w:p>
    <w:p w:rsidR="001E379A" w:rsidRDefault="005E6B28" w:rsidP="007E461E">
      <w:pPr>
        <w:pStyle w:val="ListParagraph"/>
        <w:numPr>
          <w:ilvl w:val="0"/>
          <w:numId w:val="4"/>
        </w:numPr>
        <w:spacing w:after="120" w:line="240" w:lineRule="auto"/>
        <w:ind w:left="1210"/>
        <w:jc w:val="both"/>
        <w:rPr>
          <w:sz w:val="24"/>
          <w:szCs w:val="24"/>
        </w:rPr>
      </w:pPr>
      <w:r>
        <w:rPr>
          <w:sz w:val="24"/>
          <w:szCs w:val="24"/>
        </w:rPr>
        <w:t>Requiring</w:t>
      </w:r>
      <w:r w:rsidR="00B27667">
        <w:rPr>
          <w:sz w:val="24"/>
          <w:szCs w:val="24"/>
        </w:rPr>
        <w:t xml:space="preserve"> a</w:t>
      </w:r>
      <w:r>
        <w:rPr>
          <w:sz w:val="24"/>
          <w:szCs w:val="24"/>
        </w:rPr>
        <w:t xml:space="preserve"> utility to provide a customer-generator a</w:t>
      </w:r>
      <w:r w:rsidR="00B27667">
        <w:rPr>
          <w:sz w:val="24"/>
          <w:szCs w:val="24"/>
        </w:rPr>
        <w:t xml:space="preserve"> credit without</w:t>
      </w:r>
      <w:r w:rsidR="00B27667" w:rsidRPr="00B27667">
        <w:rPr>
          <w:sz w:val="24"/>
          <w:szCs w:val="24"/>
        </w:rPr>
        <w:t xml:space="preserve"> establish</w:t>
      </w:r>
      <w:r w:rsidR="00B27667">
        <w:rPr>
          <w:sz w:val="24"/>
          <w:szCs w:val="24"/>
        </w:rPr>
        <w:t>ing</w:t>
      </w:r>
      <w:r w:rsidR="00B27667" w:rsidRPr="00B27667">
        <w:rPr>
          <w:sz w:val="24"/>
          <w:szCs w:val="24"/>
        </w:rPr>
        <w:t xml:space="preserve"> an explicit</w:t>
      </w:r>
      <w:r>
        <w:rPr>
          <w:sz w:val="24"/>
          <w:szCs w:val="24"/>
        </w:rPr>
        <w:t xml:space="preserve"> mechanism for cost recovery would be an unlawful confiscation of utility property</w:t>
      </w:r>
      <w:r w:rsidR="00B27667">
        <w:rPr>
          <w:sz w:val="24"/>
          <w:szCs w:val="24"/>
        </w:rPr>
        <w:t>.</w:t>
      </w:r>
      <w:r>
        <w:rPr>
          <w:rStyle w:val="FootnoteReference"/>
          <w:sz w:val="24"/>
          <w:szCs w:val="24"/>
        </w:rPr>
        <w:footnoteReference w:id="6"/>
      </w:r>
    </w:p>
    <w:p w:rsidR="00887A15" w:rsidRPr="001E379A" w:rsidRDefault="00887A15" w:rsidP="00887A15">
      <w:pPr>
        <w:pStyle w:val="ListParagraph"/>
        <w:spacing w:after="120" w:line="240" w:lineRule="auto"/>
        <w:ind w:left="1210"/>
        <w:jc w:val="both"/>
        <w:rPr>
          <w:sz w:val="24"/>
          <w:szCs w:val="24"/>
        </w:rPr>
      </w:pPr>
    </w:p>
    <w:p w:rsidR="004A2500" w:rsidRDefault="00AF50BB" w:rsidP="007E461E">
      <w:pPr>
        <w:spacing w:after="120" w:line="480" w:lineRule="auto"/>
        <w:jc w:val="both"/>
        <w:rPr>
          <w:sz w:val="24"/>
          <w:szCs w:val="24"/>
        </w:rPr>
      </w:pPr>
      <w:r>
        <w:rPr>
          <w:sz w:val="24"/>
          <w:szCs w:val="24"/>
        </w:rPr>
        <w:t>O</w:t>
      </w:r>
      <w:r w:rsidR="00B27667">
        <w:rPr>
          <w:sz w:val="24"/>
          <w:szCs w:val="24"/>
        </w:rPr>
        <w:t>n May 28, 2014</w:t>
      </w:r>
      <w:r>
        <w:rPr>
          <w:sz w:val="24"/>
          <w:szCs w:val="24"/>
        </w:rPr>
        <w:t>, the Commission issued an Entry</w:t>
      </w:r>
      <w:r w:rsidR="00B27667">
        <w:rPr>
          <w:sz w:val="24"/>
          <w:szCs w:val="24"/>
        </w:rPr>
        <w:t xml:space="preserve"> rejecting </w:t>
      </w:r>
      <w:r w:rsidR="00D27F9F">
        <w:rPr>
          <w:sz w:val="24"/>
          <w:szCs w:val="24"/>
        </w:rPr>
        <w:t>Ohio Power Company’s application for</w:t>
      </w:r>
      <w:r w:rsidR="004A2500">
        <w:rPr>
          <w:sz w:val="24"/>
          <w:szCs w:val="24"/>
        </w:rPr>
        <w:t xml:space="preserve"> rehearing.</w:t>
      </w:r>
      <w:r w:rsidR="00EE428C">
        <w:rPr>
          <w:sz w:val="24"/>
          <w:szCs w:val="24"/>
        </w:rPr>
        <w:t xml:space="preserve"> </w:t>
      </w:r>
      <w:r w:rsidR="001E379A">
        <w:rPr>
          <w:sz w:val="24"/>
          <w:szCs w:val="24"/>
        </w:rPr>
        <w:t xml:space="preserve"> T</w:t>
      </w:r>
      <w:r w:rsidR="004A2500">
        <w:rPr>
          <w:sz w:val="24"/>
          <w:szCs w:val="24"/>
        </w:rPr>
        <w:t>he Commission rejected Ohio Power Company’s claim that it is unlawful to provide a credit for energy and capacity</w:t>
      </w:r>
      <w:r w:rsidR="001E379A">
        <w:rPr>
          <w:sz w:val="24"/>
          <w:szCs w:val="24"/>
        </w:rPr>
        <w:t xml:space="preserve"> for several different reasons, stating</w:t>
      </w:r>
      <w:r w:rsidR="004A2500">
        <w:rPr>
          <w:sz w:val="24"/>
          <w:szCs w:val="24"/>
        </w:rPr>
        <w:t>:</w:t>
      </w:r>
    </w:p>
    <w:p w:rsidR="00D27F9F" w:rsidRPr="005E6B28" w:rsidRDefault="00D27F9F" w:rsidP="007E461E">
      <w:pPr>
        <w:autoSpaceDE w:val="0"/>
        <w:autoSpaceDN w:val="0"/>
        <w:adjustRightInd w:val="0"/>
        <w:spacing w:after="120" w:line="240" w:lineRule="auto"/>
        <w:ind w:left="720" w:right="720"/>
        <w:jc w:val="both"/>
        <w:rPr>
          <w:i/>
          <w:sz w:val="24"/>
          <w:szCs w:val="24"/>
        </w:rPr>
      </w:pPr>
      <w:r>
        <w:rPr>
          <w:sz w:val="24"/>
          <w:szCs w:val="24"/>
        </w:rPr>
        <w:lastRenderedPageBreak/>
        <w:t xml:space="preserve">Pursuant to </w:t>
      </w:r>
      <w:r w:rsidRPr="00D27F9F">
        <w:rPr>
          <w:sz w:val="24"/>
          <w:szCs w:val="24"/>
        </w:rPr>
        <w:t xml:space="preserve">the Supreme Court's holding in </w:t>
      </w:r>
      <w:r w:rsidRPr="004A2500">
        <w:rPr>
          <w:i/>
          <w:sz w:val="24"/>
          <w:szCs w:val="24"/>
        </w:rPr>
        <w:t>FirstEnergy Corp.</w:t>
      </w:r>
      <w:r>
        <w:rPr>
          <w:sz w:val="24"/>
          <w:szCs w:val="24"/>
        </w:rPr>
        <w:t xml:space="preserve"> and R.C. 4928.67(B</w:t>
      </w:r>
      <w:proofErr w:type="gramStart"/>
      <w:r>
        <w:rPr>
          <w:sz w:val="24"/>
          <w:szCs w:val="24"/>
        </w:rPr>
        <w:t>)(</w:t>
      </w:r>
      <w:proofErr w:type="gramEnd"/>
      <w:r>
        <w:rPr>
          <w:sz w:val="24"/>
          <w:szCs w:val="24"/>
        </w:rPr>
        <w:t xml:space="preserve">1) </w:t>
      </w:r>
      <w:r w:rsidRPr="00D27F9F">
        <w:rPr>
          <w:sz w:val="24"/>
          <w:szCs w:val="24"/>
        </w:rPr>
        <w:t xml:space="preserve">and (2), </w:t>
      </w:r>
      <w:r w:rsidRPr="004A2500">
        <w:rPr>
          <w:i/>
          <w:sz w:val="24"/>
          <w:szCs w:val="24"/>
        </w:rPr>
        <w:t>the refund for net excess generation must be for the electricity supplied and may not include distribution, transmission, ancillary services, transition, universal service fund, or energy efficiency fund costs</w:t>
      </w:r>
      <w:r>
        <w:rPr>
          <w:sz w:val="24"/>
          <w:szCs w:val="24"/>
        </w:rPr>
        <w:t xml:space="preserve">. </w:t>
      </w:r>
      <w:proofErr w:type="gramStart"/>
      <w:r w:rsidRPr="00D27F9F">
        <w:rPr>
          <w:i/>
          <w:sz w:val="24"/>
          <w:szCs w:val="24"/>
        </w:rPr>
        <w:t>FirstEnergy Corp. v. Pub.</w:t>
      </w:r>
      <w:proofErr w:type="gramEnd"/>
      <w:r w:rsidRPr="00D27F9F">
        <w:rPr>
          <w:i/>
          <w:sz w:val="24"/>
          <w:szCs w:val="24"/>
        </w:rPr>
        <w:t xml:space="preserve"> </w:t>
      </w:r>
      <w:proofErr w:type="gramStart"/>
      <w:r w:rsidRPr="00D27F9F">
        <w:rPr>
          <w:i/>
          <w:sz w:val="24"/>
          <w:szCs w:val="24"/>
        </w:rPr>
        <w:t>Util. Comm</w:t>
      </w:r>
      <w:r w:rsidRPr="004A2500">
        <w:rPr>
          <w:i/>
          <w:sz w:val="24"/>
          <w:szCs w:val="24"/>
        </w:rPr>
        <w:t>.</w:t>
      </w:r>
      <w:r>
        <w:rPr>
          <w:sz w:val="24"/>
          <w:szCs w:val="24"/>
        </w:rPr>
        <w:t xml:space="preserve">, 95 Ohio St.3d 401 (2002) </w:t>
      </w:r>
      <w:r w:rsidRPr="00D27F9F">
        <w:rPr>
          <w:sz w:val="24"/>
          <w:szCs w:val="24"/>
        </w:rPr>
        <w:t>at 405.</w:t>
      </w:r>
      <w:proofErr w:type="gramEnd"/>
      <w:r w:rsidRPr="00D27F9F">
        <w:rPr>
          <w:sz w:val="24"/>
          <w:szCs w:val="24"/>
        </w:rPr>
        <w:t xml:space="preserve"> </w:t>
      </w:r>
      <w:r w:rsidRPr="004A2500">
        <w:rPr>
          <w:i/>
          <w:sz w:val="24"/>
          <w:szCs w:val="24"/>
        </w:rPr>
        <w:t>The Court pointed out that R.C, 4928.67 speaks in terms of electricity generated and supplied, which is generation service</w:t>
      </w:r>
      <w:r w:rsidRPr="00D27F9F">
        <w:rPr>
          <w:sz w:val="24"/>
          <w:szCs w:val="24"/>
        </w:rPr>
        <w:t>. Include</w:t>
      </w:r>
      <w:r>
        <w:rPr>
          <w:sz w:val="24"/>
          <w:szCs w:val="24"/>
        </w:rPr>
        <w:t xml:space="preserve">d in generation service and the </w:t>
      </w:r>
      <w:r w:rsidRPr="00D27F9F">
        <w:rPr>
          <w:sz w:val="24"/>
          <w:szCs w:val="24"/>
        </w:rPr>
        <w:t>generation service rate ar</w:t>
      </w:r>
      <w:r>
        <w:rPr>
          <w:sz w:val="24"/>
          <w:szCs w:val="24"/>
        </w:rPr>
        <w:t xml:space="preserve">e energy, demand, and capacity. </w:t>
      </w:r>
      <w:r w:rsidRPr="00D27F9F">
        <w:rPr>
          <w:sz w:val="24"/>
          <w:szCs w:val="24"/>
        </w:rPr>
        <w:t>The Commission has care</w:t>
      </w:r>
      <w:r>
        <w:rPr>
          <w:sz w:val="24"/>
          <w:szCs w:val="24"/>
        </w:rPr>
        <w:t xml:space="preserve">fully considered its amendments and finds that using the SSO generation rate for calculating </w:t>
      </w:r>
      <w:r w:rsidRPr="00D27F9F">
        <w:rPr>
          <w:sz w:val="24"/>
          <w:szCs w:val="24"/>
        </w:rPr>
        <w:t>the monetary refund for cu</w:t>
      </w:r>
      <w:r>
        <w:rPr>
          <w:sz w:val="24"/>
          <w:szCs w:val="24"/>
        </w:rPr>
        <w:t xml:space="preserve">stomer-generators is consistent </w:t>
      </w:r>
      <w:r w:rsidRPr="00D27F9F">
        <w:rPr>
          <w:sz w:val="24"/>
          <w:szCs w:val="24"/>
        </w:rPr>
        <w:t>with the Revised Code and the Supreme Court</w:t>
      </w:r>
      <w:r>
        <w:rPr>
          <w:sz w:val="24"/>
          <w:szCs w:val="24"/>
        </w:rPr>
        <w:t xml:space="preserve">'s holding in </w:t>
      </w:r>
      <w:r w:rsidRPr="005E6B28">
        <w:rPr>
          <w:i/>
          <w:sz w:val="24"/>
          <w:szCs w:val="24"/>
        </w:rPr>
        <w:t>FirstEnergy Corp.</w:t>
      </w:r>
    </w:p>
    <w:p w:rsidR="00D27F9F" w:rsidRPr="00887A15" w:rsidRDefault="00D27F9F" w:rsidP="00887A15">
      <w:pPr>
        <w:autoSpaceDE w:val="0"/>
        <w:autoSpaceDN w:val="0"/>
        <w:adjustRightInd w:val="0"/>
        <w:spacing w:after="120" w:line="240" w:lineRule="auto"/>
        <w:ind w:left="720" w:right="720"/>
        <w:jc w:val="both"/>
        <w:rPr>
          <w:i/>
          <w:sz w:val="24"/>
          <w:szCs w:val="24"/>
        </w:rPr>
      </w:pPr>
      <w:r w:rsidRPr="00D27F9F">
        <w:rPr>
          <w:sz w:val="24"/>
          <w:szCs w:val="24"/>
        </w:rPr>
        <w:t xml:space="preserve">Further, </w:t>
      </w:r>
      <w:r w:rsidRPr="004A2500">
        <w:rPr>
          <w:i/>
          <w:sz w:val="24"/>
          <w:szCs w:val="24"/>
        </w:rPr>
        <w:t>the Commission notes that energy, demand, and capacity are the components of electricity, which is indicated on customer bills as generation</w:t>
      </w:r>
      <w:r>
        <w:rPr>
          <w:sz w:val="24"/>
          <w:szCs w:val="24"/>
        </w:rPr>
        <w:t xml:space="preserve">. Consistent with the </w:t>
      </w:r>
      <w:r w:rsidRPr="00D27F9F">
        <w:rPr>
          <w:sz w:val="24"/>
          <w:szCs w:val="24"/>
        </w:rPr>
        <w:t>Supreme Court's hol</w:t>
      </w:r>
      <w:r>
        <w:rPr>
          <w:sz w:val="24"/>
          <w:szCs w:val="24"/>
        </w:rPr>
        <w:t xml:space="preserve">ding, the adopted rule for Ohio </w:t>
      </w:r>
      <w:proofErr w:type="spellStart"/>
      <w:r w:rsidRPr="00D27F9F">
        <w:rPr>
          <w:sz w:val="24"/>
          <w:szCs w:val="24"/>
        </w:rPr>
        <w:t>Adm.Code</w:t>
      </w:r>
      <w:proofErr w:type="spellEnd"/>
      <w:r w:rsidRPr="00D27F9F">
        <w:rPr>
          <w:sz w:val="24"/>
          <w:szCs w:val="24"/>
        </w:rPr>
        <w:t xml:space="preserve"> 4901:l-10-28(B)(9)</w:t>
      </w:r>
      <w:r>
        <w:rPr>
          <w:sz w:val="24"/>
          <w:szCs w:val="24"/>
        </w:rPr>
        <w:t xml:space="preserve">(c) appropriately establishes a </w:t>
      </w:r>
      <w:r w:rsidRPr="00D27F9F">
        <w:rPr>
          <w:sz w:val="24"/>
          <w:szCs w:val="24"/>
        </w:rPr>
        <w:t>refund for net excess generation that</w:t>
      </w:r>
      <w:r>
        <w:rPr>
          <w:sz w:val="24"/>
          <w:szCs w:val="24"/>
        </w:rPr>
        <w:t xml:space="preserve"> compensates customer-generators </w:t>
      </w:r>
      <w:r w:rsidRPr="00D27F9F">
        <w:rPr>
          <w:sz w:val="24"/>
          <w:szCs w:val="24"/>
        </w:rPr>
        <w:t>for electricit</w:t>
      </w:r>
      <w:r>
        <w:rPr>
          <w:sz w:val="24"/>
          <w:szCs w:val="24"/>
        </w:rPr>
        <w:t xml:space="preserve">y generated and supplied to the EDU's distribution </w:t>
      </w:r>
      <w:r w:rsidRPr="00D27F9F">
        <w:rPr>
          <w:sz w:val="24"/>
          <w:szCs w:val="24"/>
        </w:rPr>
        <w:t>system, not just for the energy</w:t>
      </w:r>
      <w:r>
        <w:rPr>
          <w:sz w:val="24"/>
          <w:szCs w:val="24"/>
        </w:rPr>
        <w:t xml:space="preserve"> </w:t>
      </w:r>
      <w:r w:rsidRPr="00D27F9F">
        <w:rPr>
          <w:sz w:val="24"/>
          <w:szCs w:val="24"/>
        </w:rPr>
        <w:t xml:space="preserve">component of the generation. </w:t>
      </w:r>
      <w:r w:rsidRPr="004A2500">
        <w:rPr>
          <w:i/>
          <w:sz w:val="24"/>
          <w:szCs w:val="24"/>
        </w:rPr>
        <w:t>While Ohio Power may</w:t>
      </w:r>
      <w:r w:rsidR="00887A15">
        <w:rPr>
          <w:i/>
          <w:sz w:val="24"/>
          <w:szCs w:val="24"/>
        </w:rPr>
        <w:t xml:space="preserve"> </w:t>
      </w:r>
      <w:r w:rsidRPr="004A2500">
        <w:rPr>
          <w:i/>
          <w:sz w:val="24"/>
          <w:szCs w:val="24"/>
        </w:rPr>
        <w:t>contend that it does not receive capacity from the customer-generator, this is an oversimplification of the issue. In reality, the net metering customer-generator has offset their demand, which requires less capacity to be procured by the EDU for the area</w:t>
      </w:r>
      <w:r w:rsidRPr="00D27F9F">
        <w:rPr>
          <w:sz w:val="24"/>
          <w:szCs w:val="24"/>
        </w:rPr>
        <w:t>. While Ohio Power may not receive a</w:t>
      </w:r>
      <w:r w:rsidR="007E461E">
        <w:rPr>
          <w:sz w:val="24"/>
          <w:szCs w:val="24"/>
        </w:rPr>
        <w:t xml:space="preserve"> </w:t>
      </w:r>
      <w:r w:rsidRPr="00D27F9F">
        <w:rPr>
          <w:sz w:val="24"/>
          <w:szCs w:val="24"/>
        </w:rPr>
        <w:t>supply of capacity from th</w:t>
      </w:r>
      <w:r>
        <w:rPr>
          <w:sz w:val="24"/>
          <w:szCs w:val="24"/>
        </w:rPr>
        <w:t xml:space="preserve">e customer-generator, it has in </w:t>
      </w:r>
      <w:r w:rsidRPr="00D27F9F">
        <w:rPr>
          <w:sz w:val="24"/>
          <w:szCs w:val="24"/>
        </w:rPr>
        <w:t>actuality received a demand-</w:t>
      </w:r>
      <w:r>
        <w:rPr>
          <w:sz w:val="24"/>
          <w:szCs w:val="24"/>
        </w:rPr>
        <w:t xml:space="preserve">side reduction in the amount of </w:t>
      </w:r>
      <w:r w:rsidRPr="00D27F9F">
        <w:rPr>
          <w:sz w:val="24"/>
          <w:szCs w:val="24"/>
        </w:rPr>
        <w:t>capacity that it must procure.</w:t>
      </w:r>
    </w:p>
    <w:p w:rsidR="007E461E" w:rsidRDefault="00D27F9F" w:rsidP="00887A15">
      <w:pPr>
        <w:autoSpaceDE w:val="0"/>
        <w:autoSpaceDN w:val="0"/>
        <w:adjustRightInd w:val="0"/>
        <w:spacing w:after="120" w:line="240" w:lineRule="auto"/>
        <w:ind w:left="720" w:right="720"/>
        <w:jc w:val="both"/>
        <w:rPr>
          <w:sz w:val="24"/>
          <w:szCs w:val="24"/>
        </w:rPr>
      </w:pPr>
      <w:r w:rsidRPr="00D27F9F">
        <w:rPr>
          <w:sz w:val="24"/>
          <w:szCs w:val="24"/>
        </w:rPr>
        <w:t>Additionally, the Commi</w:t>
      </w:r>
      <w:r>
        <w:rPr>
          <w:sz w:val="24"/>
          <w:szCs w:val="24"/>
        </w:rPr>
        <w:t xml:space="preserve">ssion believes that it would be </w:t>
      </w:r>
      <w:r w:rsidRPr="00D27F9F">
        <w:rPr>
          <w:sz w:val="24"/>
          <w:szCs w:val="24"/>
        </w:rPr>
        <w:t>impractical, if not impossi</w:t>
      </w:r>
      <w:r>
        <w:rPr>
          <w:sz w:val="24"/>
          <w:szCs w:val="24"/>
        </w:rPr>
        <w:t xml:space="preserve">ble, for each EDU to accurately </w:t>
      </w:r>
      <w:r w:rsidRPr="00D27F9F">
        <w:rPr>
          <w:sz w:val="24"/>
          <w:szCs w:val="24"/>
        </w:rPr>
        <w:t>isolate just the energ</w:t>
      </w:r>
      <w:r>
        <w:rPr>
          <w:sz w:val="24"/>
          <w:szCs w:val="24"/>
        </w:rPr>
        <w:t xml:space="preserve">y price component from its full </w:t>
      </w:r>
      <w:r w:rsidRPr="00D27F9F">
        <w:rPr>
          <w:sz w:val="24"/>
          <w:szCs w:val="24"/>
        </w:rPr>
        <w:t xml:space="preserve">requirements SSO products and </w:t>
      </w:r>
      <w:r>
        <w:rPr>
          <w:sz w:val="24"/>
          <w:szCs w:val="24"/>
        </w:rPr>
        <w:t xml:space="preserve">attribute it to the electricity </w:t>
      </w:r>
      <w:r w:rsidRPr="00D27F9F">
        <w:rPr>
          <w:sz w:val="24"/>
          <w:szCs w:val="24"/>
        </w:rPr>
        <w:t>generated by a custome</w:t>
      </w:r>
      <w:r>
        <w:rPr>
          <w:sz w:val="24"/>
          <w:szCs w:val="24"/>
        </w:rPr>
        <w:t xml:space="preserve">r-generator. Ohio Power has not </w:t>
      </w:r>
      <w:r w:rsidRPr="00D27F9F">
        <w:rPr>
          <w:sz w:val="24"/>
          <w:szCs w:val="24"/>
        </w:rPr>
        <w:t>demonstrated to us that</w:t>
      </w:r>
      <w:r>
        <w:rPr>
          <w:sz w:val="24"/>
          <w:szCs w:val="24"/>
        </w:rPr>
        <w:t xml:space="preserve"> it would be practical, or even </w:t>
      </w:r>
      <w:r w:rsidRPr="00D27F9F">
        <w:rPr>
          <w:sz w:val="24"/>
          <w:szCs w:val="24"/>
        </w:rPr>
        <w:t xml:space="preserve">possible, to attribute an </w:t>
      </w:r>
      <w:r>
        <w:rPr>
          <w:sz w:val="24"/>
          <w:szCs w:val="24"/>
        </w:rPr>
        <w:t xml:space="preserve">energy price to the electricity </w:t>
      </w:r>
      <w:r w:rsidRPr="00D27F9F">
        <w:rPr>
          <w:sz w:val="24"/>
          <w:szCs w:val="24"/>
        </w:rPr>
        <w:t>generated by a customer</w:t>
      </w:r>
      <w:r>
        <w:rPr>
          <w:sz w:val="24"/>
          <w:szCs w:val="24"/>
        </w:rPr>
        <w:t xml:space="preserve">-generator. Further, Ohio Power </w:t>
      </w:r>
      <w:r w:rsidRPr="00D27F9F">
        <w:rPr>
          <w:sz w:val="24"/>
          <w:szCs w:val="24"/>
        </w:rPr>
        <w:t>has not demonstrated that it is not being adequately</w:t>
      </w:r>
      <w:r w:rsidR="00887A15">
        <w:rPr>
          <w:sz w:val="24"/>
          <w:szCs w:val="24"/>
        </w:rPr>
        <w:t xml:space="preserve"> </w:t>
      </w:r>
      <w:r w:rsidRPr="00D27F9F">
        <w:rPr>
          <w:sz w:val="24"/>
          <w:szCs w:val="24"/>
        </w:rPr>
        <w:t>compensated for its capacity obliga</w:t>
      </w:r>
      <w:r>
        <w:rPr>
          <w:sz w:val="24"/>
          <w:szCs w:val="24"/>
        </w:rPr>
        <w:t xml:space="preserve">tion, as it receives </w:t>
      </w:r>
      <w:r w:rsidRPr="00D27F9F">
        <w:rPr>
          <w:sz w:val="24"/>
          <w:szCs w:val="24"/>
        </w:rPr>
        <w:t>capacity revenue</w:t>
      </w:r>
      <w:r>
        <w:rPr>
          <w:sz w:val="24"/>
          <w:szCs w:val="24"/>
        </w:rPr>
        <w:t xml:space="preserve">s from SSO customers through an </w:t>
      </w:r>
      <w:r w:rsidRPr="00D27F9F">
        <w:rPr>
          <w:sz w:val="24"/>
          <w:szCs w:val="24"/>
        </w:rPr>
        <w:t>established state co</w:t>
      </w:r>
      <w:r>
        <w:rPr>
          <w:sz w:val="24"/>
          <w:szCs w:val="24"/>
        </w:rPr>
        <w:t xml:space="preserve">mpensation mechanism. </w:t>
      </w:r>
      <w:proofErr w:type="gramStart"/>
      <w:r>
        <w:rPr>
          <w:sz w:val="24"/>
          <w:szCs w:val="24"/>
        </w:rPr>
        <w:t>See</w:t>
      </w:r>
      <w:r w:rsidRPr="00D27F9F">
        <w:rPr>
          <w:i/>
          <w:sz w:val="24"/>
          <w:szCs w:val="24"/>
        </w:rPr>
        <w:t xml:space="preserve"> In re Commission Review of the Capacity Charges of Ohio Power</w:t>
      </w:r>
      <w:r>
        <w:rPr>
          <w:sz w:val="24"/>
          <w:szCs w:val="24"/>
        </w:rPr>
        <w:t>, 10-2929-EL-UNC Opinion and Order Ju</w:t>
      </w:r>
      <w:r w:rsidRPr="00D27F9F">
        <w:rPr>
          <w:sz w:val="24"/>
          <w:szCs w:val="24"/>
        </w:rPr>
        <w:t>ly 2, 2012) at 33.</w:t>
      </w:r>
      <w:proofErr w:type="gramEnd"/>
      <w:r w:rsidR="007E461E">
        <w:rPr>
          <w:sz w:val="24"/>
          <w:szCs w:val="24"/>
        </w:rPr>
        <w:t xml:space="preserve">  A</w:t>
      </w:r>
      <w:r w:rsidRPr="00D27F9F">
        <w:rPr>
          <w:sz w:val="24"/>
          <w:szCs w:val="24"/>
        </w:rPr>
        <w:t>ccordingly, rehearing</w:t>
      </w:r>
      <w:r>
        <w:rPr>
          <w:sz w:val="24"/>
          <w:szCs w:val="24"/>
        </w:rPr>
        <w:t xml:space="preserve"> on the assignment of error raised by Ohio Power Company is denied.</w:t>
      </w:r>
      <w:r>
        <w:rPr>
          <w:rStyle w:val="FootnoteReference"/>
          <w:sz w:val="24"/>
          <w:szCs w:val="24"/>
        </w:rPr>
        <w:footnoteReference w:id="7"/>
      </w:r>
    </w:p>
    <w:p w:rsidR="005E6B28" w:rsidRDefault="005E6B28" w:rsidP="005E6B28">
      <w:pPr>
        <w:autoSpaceDE w:val="0"/>
        <w:autoSpaceDN w:val="0"/>
        <w:adjustRightInd w:val="0"/>
        <w:spacing w:after="120" w:line="240" w:lineRule="auto"/>
        <w:ind w:left="720" w:right="720"/>
        <w:jc w:val="both"/>
        <w:rPr>
          <w:sz w:val="24"/>
          <w:szCs w:val="24"/>
        </w:rPr>
      </w:pPr>
    </w:p>
    <w:p w:rsidR="00BC39C9" w:rsidRDefault="00AF50BB" w:rsidP="007E461E">
      <w:pPr>
        <w:autoSpaceDE w:val="0"/>
        <w:autoSpaceDN w:val="0"/>
        <w:adjustRightInd w:val="0"/>
        <w:spacing w:after="120" w:line="480" w:lineRule="auto"/>
        <w:jc w:val="both"/>
        <w:rPr>
          <w:sz w:val="24"/>
          <w:szCs w:val="24"/>
        </w:rPr>
      </w:pPr>
      <w:r>
        <w:rPr>
          <w:sz w:val="24"/>
          <w:szCs w:val="24"/>
        </w:rPr>
        <w:lastRenderedPageBreak/>
        <w:t>Despite the Commission’s well-reasoned Entry, FirstEnergy has</w:t>
      </w:r>
      <w:r>
        <w:rPr>
          <w:i/>
          <w:sz w:val="24"/>
          <w:szCs w:val="24"/>
        </w:rPr>
        <w:t xml:space="preserve"> again </w:t>
      </w:r>
      <w:r>
        <w:rPr>
          <w:sz w:val="24"/>
          <w:szCs w:val="24"/>
        </w:rPr>
        <w:t xml:space="preserve">asked the Commission to reverse its determination that a customer-generator </w:t>
      </w:r>
      <w:r w:rsidR="00886680">
        <w:rPr>
          <w:sz w:val="24"/>
          <w:szCs w:val="24"/>
        </w:rPr>
        <w:t>receives</w:t>
      </w:r>
      <w:r>
        <w:rPr>
          <w:sz w:val="24"/>
          <w:szCs w:val="24"/>
        </w:rPr>
        <w:t xml:space="preserve"> a credit for capacity and energy.</w:t>
      </w:r>
      <w:r w:rsidR="00F671A1">
        <w:rPr>
          <w:rStyle w:val="FootnoteReference"/>
          <w:sz w:val="24"/>
          <w:szCs w:val="24"/>
        </w:rPr>
        <w:footnoteReference w:id="8"/>
      </w:r>
      <w:r w:rsidR="00BC39C9">
        <w:rPr>
          <w:sz w:val="24"/>
          <w:szCs w:val="24"/>
        </w:rPr>
        <w:t xml:space="preserve">   </w:t>
      </w:r>
    </w:p>
    <w:p w:rsidR="00BC39C9" w:rsidRDefault="00BC39C9" w:rsidP="007E461E">
      <w:pPr>
        <w:autoSpaceDE w:val="0"/>
        <w:autoSpaceDN w:val="0"/>
        <w:adjustRightInd w:val="0"/>
        <w:spacing w:after="120" w:line="480" w:lineRule="auto"/>
        <w:ind w:firstLine="720"/>
        <w:jc w:val="both"/>
        <w:rPr>
          <w:sz w:val="24"/>
          <w:szCs w:val="24"/>
        </w:rPr>
      </w:pPr>
      <w:r>
        <w:rPr>
          <w:sz w:val="24"/>
          <w:szCs w:val="24"/>
        </w:rPr>
        <w:t>Like Ohio Power Company</w:t>
      </w:r>
      <w:r w:rsidR="00905A66">
        <w:rPr>
          <w:sz w:val="24"/>
          <w:szCs w:val="24"/>
        </w:rPr>
        <w:t>’s application for rehearing</w:t>
      </w:r>
      <w:r>
        <w:rPr>
          <w:sz w:val="24"/>
          <w:szCs w:val="24"/>
        </w:rPr>
        <w:t xml:space="preserve">, FirstEnergy’s application for rehearing claims that the Entry violates precedent established in </w:t>
      </w:r>
      <w:r>
        <w:rPr>
          <w:i/>
          <w:sz w:val="24"/>
          <w:szCs w:val="24"/>
        </w:rPr>
        <w:t>FirstEnergy v. Pub. Util. Comm.</w:t>
      </w:r>
      <w:r w:rsidR="00F671A1">
        <w:rPr>
          <w:rStyle w:val="FootnoteReference"/>
          <w:i/>
          <w:sz w:val="24"/>
          <w:szCs w:val="24"/>
        </w:rPr>
        <w:footnoteReference w:id="9"/>
      </w:r>
      <w:r>
        <w:rPr>
          <w:sz w:val="24"/>
          <w:szCs w:val="24"/>
        </w:rPr>
        <w:t xml:space="preserve">  </w:t>
      </w:r>
      <w:r w:rsidR="00AF50BB">
        <w:rPr>
          <w:sz w:val="24"/>
          <w:szCs w:val="24"/>
        </w:rPr>
        <w:t>The Commission</w:t>
      </w:r>
      <w:r>
        <w:rPr>
          <w:sz w:val="24"/>
          <w:szCs w:val="24"/>
        </w:rPr>
        <w:t xml:space="preserve"> addressed this argument at length</w:t>
      </w:r>
      <w:r w:rsidR="005E6B28">
        <w:rPr>
          <w:sz w:val="24"/>
          <w:szCs w:val="24"/>
        </w:rPr>
        <w:t>; thus, the Commission should no</w:t>
      </w:r>
      <w:r w:rsidR="00AF50BB">
        <w:rPr>
          <w:sz w:val="24"/>
          <w:szCs w:val="24"/>
        </w:rPr>
        <w:t>t entertain FirstEnergy’s request</w:t>
      </w:r>
      <w:r w:rsidR="00F671A1">
        <w:rPr>
          <w:sz w:val="24"/>
          <w:szCs w:val="24"/>
        </w:rPr>
        <w:t xml:space="preserve"> to plough the same ground</w:t>
      </w:r>
      <w:r w:rsidR="00AF50BB">
        <w:rPr>
          <w:sz w:val="24"/>
          <w:szCs w:val="24"/>
        </w:rPr>
        <w:t>.</w:t>
      </w:r>
    </w:p>
    <w:p w:rsidR="00BC39C9" w:rsidRDefault="00BC39C9" w:rsidP="007E461E">
      <w:pPr>
        <w:autoSpaceDE w:val="0"/>
        <w:autoSpaceDN w:val="0"/>
        <w:adjustRightInd w:val="0"/>
        <w:spacing w:after="120" w:line="480" w:lineRule="auto"/>
        <w:ind w:firstLine="720"/>
        <w:jc w:val="both"/>
        <w:rPr>
          <w:sz w:val="24"/>
          <w:szCs w:val="24"/>
        </w:rPr>
      </w:pPr>
      <w:r>
        <w:rPr>
          <w:sz w:val="24"/>
          <w:szCs w:val="24"/>
        </w:rPr>
        <w:t>Like Ohio Power Company</w:t>
      </w:r>
      <w:r w:rsidR="00905A66">
        <w:rPr>
          <w:sz w:val="24"/>
          <w:szCs w:val="24"/>
        </w:rPr>
        <w:t>’s application for rehearing</w:t>
      </w:r>
      <w:r>
        <w:rPr>
          <w:sz w:val="24"/>
          <w:szCs w:val="24"/>
        </w:rPr>
        <w:t>, FirstEnergy’s application for rehea</w:t>
      </w:r>
      <w:r w:rsidR="00C703BB">
        <w:rPr>
          <w:sz w:val="24"/>
          <w:szCs w:val="24"/>
        </w:rPr>
        <w:t>ring claims that it would be easy to separate the energy and capacity portion.</w:t>
      </w:r>
      <w:r w:rsidR="00F671A1">
        <w:rPr>
          <w:rStyle w:val="FootnoteReference"/>
          <w:sz w:val="24"/>
          <w:szCs w:val="24"/>
        </w:rPr>
        <w:footnoteReference w:id="10"/>
      </w:r>
      <w:r w:rsidR="00C703BB">
        <w:rPr>
          <w:sz w:val="24"/>
          <w:szCs w:val="24"/>
        </w:rPr>
        <w:t xml:space="preserve">  Thus, the Commission fully addressed FirstEnergy’s argument.  Regardless, FirstEnergy’s and Ohio Power’s claim that capacity and energy can be separated is irrelevant to whether they </w:t>
      </w:r>
      <w:r w:rsidR="00C703BB">
        <w:rPr>
          <w:i/>
          <w:sz w:val="24"/>
          <w:szCs w:val="24"/>
        </w:rPr>
        <w:t xml:space="preserve">should </w:t>
      </w:r>
      <w:r w:rsidR="00C703BB">
        <w:rPr>
          <w:sz w:val="24"/>
          <w:szCs w:val="24"/>
        </w:rPr>
        <w:t>be separated, with compensation for one and not another component.  And, as the Commission noted, customer-generators provide substantial capacity and demand-related benefits that merit compensation:</w:t>
      </w:r>
    </w:p>
    <w:p w:rsidR="007E461E" w:rsidRDefault="00C703BB" w:rsidP="005E6B28">
      <w:pPr>
        <w:autoSpaceDE w:val="0"/>
        <w:autoSpaceDN w:val="0"/>
        <w:adjustRightInd w:val="0"/>
        <w:spacing w:after="120" w:line="240" w:lineRule="auto"/>
        <w:ind w:left="720" w:right="720"/>
        <w:jc w:val="both"/>
        <w:rPr>
          <w:sz w:val="24"/>
          <w:szCs w:val="24"/>
        </w:rPr>
      </w:pPr>
      <w:r w:rsidRPr="00C703BB">
        <w:rPr>
          <w:sz w:val="24"/>
          <w:szCs w:val="24"/>
        </w:rPr>
        <w:t>While Ohio Power may contend that it does not receive capacity from the customer-generator, this is an oversimplification of the issue. In reality, the net metering customer-generator has offset their demand, which requires less capacity to be procured by the EDU for the area. While Ohio Power may not receive a supply of capacity from the customer-generator, it has in actuality received</w:t>
      </w:r>
      <w:r w:rsidRPr="00D27F9F">
        <w:rPr>
          <w:sz w:val="24"/>
          <w:szCs w:val="24"/>
        </w:rPr>
        <w:t xml:space="preserve"> a demand-</w:t>
      </w:r>
      <w:r>
        <w:rPr>
          <w:sz w:val="24"/>
          <w:szCs w:val="24"/>
        </w:rPr>
        <w:t xml:space="preserve">side reduction in the amount of </w:t>
      </w:r>
      <w:r w:rsidRPr="00D27F9F">
        <w:rPr>
          <w:sz w:val="24"/>
          <w:szCs w:val="24"/>
        </w:rPr>
        <w:t>capacity that it must procure.</w:t>
      </w:r>
      <w:r>
        <w:rPr>
          <w:rStyle w:val="FootnoteReference"/>
          <w:sz w:val="24"/>
          <w:szCs w:val="24"/>
        </w:rPr>
        <w:footnoteReference w:id="11"/>
      </w:r>
    </w:p>
    <w:p w:rsidR="005E6B28" w:rsidRDefault="005E6B28" w:rsidP="005E6B28">
      <w:pPr>
        <w:autoSpaceDE w:val="0"/>
        <w:autoSpaceDN w:val="0"/>
        <w:adjustRightInd w:val="0"/>
        <w:spacing w:after="120" w:line="240" w:lineRule="auto"/>
        <w:ind w:left="720" w:right="720"/>
        <w:jc w:val="both"/>
        <w:rPr>
          <w:sz w:val="24"/>
          <w:szCs w:val="24"/>
        </w:rPr>
      </w:pPr>
    </w:p>
    <w:p w:rsidR="00C703BB" w:rsidRDefault="00C703BB" w:rsidP="007E461E">
      <w:pPr>
        <w:autoSpaceDE w:val="0"/>
        <w:autoSpaceDN w:val="0"/>
        <w:adjustRightInd w:val="0"/>
        <w:spacing w:after="120" w:line="480" w:lineRule="auto"/>
        <w:jc w:val="both"/>
        <w:rPr>
          <w:sz w:val="24"/>
          <w:szCs w:val="24"/>
        </w:rPr>
      </w:pPr>
      <w:r>
        <w:rPr>
          <w:sz w:val="24"/>
          <w:szCs w:val="24"/>
        </w:rPr>
        <w:lastRenderedPageBreak/>
        <w:t>Thus, FirstEnergy’s argument ignores the fact that customer-generators are entitled to a capacity-related credit.</w:t>
      </w:r>
    </w:p>
    <w:p w:rsidR="000E39DB" w:rsidRDefault="002E0F64" w:rsidP="007E461E">
      <w:pPr>
        <w:pStyle w:val="ListParagraph"/>
        <w:autoSpaceDE w:val="0"/>
        <w:autoSpaceDN w:val="0"/>
        <w:adjustRightInd w:val="0"/>
        <w:spacing w:after="120" w:line="240" w:lineRule="auto"/>
        <w:jc w:val="both"/>
        <w:rPr>
          <w:b/>
          <w:sz w:val="24"/>
          <w:szCs w:val="24"/>
        </w:rPr>
      </w:pPr>
      <w:r>
        <w:rPr>
          <w:b/>
          <w:sz w:val="24"/>
          <w:szCs w:val="24"/>
        </w:rPr>
        <w:t>C</w:t>
      </w:r>
      <w:r w:rsidR="00905A66">
        <w:rPr>
          <w:b/>
          <w:sz w:val="24"/>
          <w:szCs w:val="24"/>
        </w:rPr>
        <w:t xml:space="preserve">. </w:t>
      </w:r>
      <w:r w:rsidR="00D04C9C">
        <w:rPr>
          <w:b/>
          <w:sz w:val="24"/>
          <w:szCs w:val="24"/>
        </w:rPr>
        <w:t>FirstEnergy’s Claim that the Commission Ignored the Plain Definition of Electricity is I</w:t>
      </w:r>
      <w:r w:rsidR="000E39DB">
        <w:rPr>
          <w:b/>
          <w:sz w:val="24"/>
          <w:szCs w:val="24"/>
        </w:rPr>
        <w:t>ncorrect</w:t>
      </w:r>
    </w:p>
    <w:p w:rsidR="00905A66" w:rsidRDefault="00905A66" w:rsidP="007E461E">
      <w:pPr>
        <w:pStyle w:val="ListParagraph"/>
        <w:autoSpaceDE w:val="0"/>
        <w:autoSpaceDN w:val="0"/>
        <w:adjustRightInd w:val="0"/>
        <w:spacing w:after="120" w:line="240" w:lineRule="auto"/>
        <w:jc w:val="both"/>
        <w:rPr>
          <w:b/>
          <w:sz w:val="24"/>
          <w:szCs w:val="24"/>
        </w:rPr>
      </w:pPr>
    </w:p>
    <w:p w:rsidR="000E39DB" w:rsidRDefault="000E39DB" w:rsidP="007E461E">
      <w:pPr>
        <w:pStyle w:val="ListParagraph"/>
        <w:autoSpaceDE w:val="0"/>
        <w:autoSpaceDN w:val="0"/>
        <w:adjustRightInd w:val="0"/>
        <w:spacing w:after="120" w:line="480" w:lineRule="auto"/>
        <w:ind w:left="0" w:firstLine="720"/>
        <w:jc w:val="both"/>
        <w:rPr>
          <w:color w:val="auto"/>
          <w:sz w:val="24"/>
          <w:szCs w:val="24"/>
        </w:rPr>
      </w:pPr>
      <w:bookmarkStart w:id="1" w:name="4928.67(A)(1)"/>
      <w:r w:rsidRPr="000E39DB">
        <w:rPr>
          <w:color w:val="auto"/>
          <w:sz w:val="24"/>
          <w:szCs w:val="24"/>
        </w:rPr>
        <w:t>FirstEnergy submits a convoluted and difficult to follow argument, which claims that the Commission has ignored the plain definition of electricity by providing a credit for capacity and energy.</w:t>
      </w:r>
      <w:r w:rsidR="00F671A1">
        <w:rPr>
          <w:rStyle w:val="FootnoteReference"/>
          <w:color w:val="auto"/>
          <w:sz w:val="24"/>
          <w:szCs w:val="24"/>
        </w:rPr>
        <w:footnoteReference w:id="12"/>
      </w:r>
      <w:r w:rsidRPr="000E39DB">
        <w:rPr>
          <w:color w:val="auto"/>
          <w:sz w:val="24"/>
          <w:szCs w:val="24"/>
        </w:rPr>
        <w:t xml:space="preserve">  FirstEnergy claims that a net metering system is limited to a facility </w:t>
      </w:r>
      <w:r>
        <w:rPr>
          <w:color w:val="auto"/>
          <w:sz w:val="24"/>
          <w:szCs w:val="24"/>
        </w:rPr>
        <w:t>that produces electrical energy.  Because this definition mentions only electrical energy (and not capacity), FirstEnergy claims that net metering is only recognized by statute as producing energy.</w:t>
      </w:r>
      <w:r w:rsidR="00F671A1">
        <w:rPr>
          <w:rStyle w:val="FootnoteReference"/>
          <w:color w:val="auto"/>
          <w:sz w:val="24"/>
          <w:szCs w:val="24"/>
        </w:rPr>
        <w:footnoteReference w:id="13"/>
      </w:r>
      <w:r>
        <w:rPr>
          <w:color w:val="auto"/>
          <w:sz w:val="24"/>
          <w:szCs w:val="24"/>
        </w:rPr>
        <w:t xml:space="preserve">  Thus, FirstEnergy claims that a customer-generator using a net metering system cannot receive a credit for capacity.</w:t>
      </w:r>
      <w:r w:rsidR="00F671A1">
        <w:rPr>
          <w:rStyle w:val="FootnoteReference"/>
          <w:color w:val="auto"/>
          <w:sz w:val="24"/>
          <w:szCs w:val="24"/>
        </w:rPr>
        <w:footnoteReference w:id="14"/>
      </w:r>
    </w:p>
    <w:p w:rsidR="000E39DB" w:rsidRDefault="000E39DB" w:rsidP="007E461E">
      <w:pPr>
        <w:pStyle w:val="ListParagraph"/>
        <w:autoSpaceDE w:val="0"/>
        <w:autoSpaceDN w:val="0"/>
        <w:adjustRightInd w:val="0"/>
        <w:spacing w:after="120" w:line="480" w:lineRule="auto"/>
        <w:ind w:left="0" w:firstLine="720"/>
        <w:jc w:val="both"/>
        <w:rPr>
          <w:color w:val="auto"/>
          <w:sz w:val="24"/>
          <w:szCs w:val="24"/>
        </w:rPr>
      </w:pPr>
      <w:r>
        <w:rPr>
          <w:color w:val="auto"/>
          <w:sz w:val="24"/>
          <w:szCs w:val="24"/>
        </w:rPr>
        <w:t>Initially, as stated above, FirstEnergy’s argument is untimely.  Regardless, FirstEnergy’s argument lacks merit</w:t>
      </w:r>
      <w:r w:rsidR="00AA6ACD">
        <w:rPr>
          <w:color w:val="auto"/>
          <w:sz w:val="24"/>
          <w:szCs w:val="24"/>
        </w:rPr>
        <w:t xml:space="preserve"> for several reasons</w:t>
      </w:r>
      <w:r>
        <w:rPr>
          <w:color w:val="auto"/>
          <w:sz w:val="24"/>
          <w:szCs w:val="24"/>
        </w:rPr>
        <w:t>.</w:t>
      </w:r>
      <w:r w:rsidR="00AA6ACD">
        <w:rPr>
          <w:color w:val="auto"/>
          <w:sz w:val="24"/>
          <w:szCs w:val="24"/>
        </w:rPr>
        <w:t xml:space="preserve">  </w:t>
      </w:r>
      <w:r>
        <w:rPr>
          <w:color w:val="auto"/>
          <w:sz w:val="24"/>
          <w:szCs w:val="24"/>
        </w:rPr>
        <w:t xml:space="preserve"> </w:t>
      </w:r>
      <w:r w:rsidRPr="000E39DB">
        <w:rPr>
          <w:color w:val="auto"/>
          <w:sz w:val="24"/>
          <w:szCs w:val="24"/>
        </w:rPr>
        <w:t xml:space="preserve"> </w:t>
      </w:r>
    </w:p>
    <w:p w:rsidR="00AA6ACD" w:rsidRPr="000E39DB" w:rsidRDefault="00AA6ACD" w:rsidP="007E461E">
      <w:pPr>
        <w:pStyle w:val="ListParagraph"/>
        <w:autoSpaceDE w:val="0"/>
        <w:autoSpaceDN w:val="0"/>
        <w:adjustRightInd w:val="0"/>
        <w:spacing w:after="120" w:line="480" w:lineRule="auto"/>
        <w:ind w:left="0" w:firstLine="720"/>
        <w:jc w:val="both"/>
        <w:rPr>
          <w:color w:val="auto"/>
          <w:sz w:val="24"/>
          <w:szCs w:val="24"/>
        </w:rPr>
      </w:pPr>
      <w:r>
        <w:rPr>
          <w:color w:val="auto"/>
          <w:sz w:val="24"/>
          <w:szCs w:val="24"/>
        </w:rPr>
        <w:t>The statutory definition does not limit the Commission’s authority.  It merely describes the function of</w:t>
      </w:r>
      <w:r w:rsidR="00F671A1">
        <w:rPr>
          <w:color w:val="auto"/>
          <w:sz w:val="24"/>
          <w:szCs w:val="24"/>
        </w:rPr>
        <w:t xml:space="preserve"> a net metering system—</w:t>
      </w:r>
      <w:r>
        <w:rPr>
          <w:color w:val="auto"/>
          <w:sz w:val="24"/>
          <w:szCs w:val="24"/>
        </w:rPr>
        <w:t>to allow a customer-generator to produce electricity and provide it b</w:t>
      </w:r>
      <w:r w:rsidR="00B51CF2">
        <w:rPr>
          <w:color w:val="auto"/>
          <w:sz w:val="24"/>
          <w:szCs w:val="24"/>
        </w:rPr>
        <w:t>ack to the grid</w:t>
      </w:r>
      <w:r>
        <w:rPr>
          <w:color w:val="auto"/>
          <w:sz w:val="24"/>
          <w:szCs w:val="24"/>
        </w:rPr>
        <w:t xml:space="preserve">.  Moreover, the definition of net metering </w:t>
      </w:r>
      <w:r w:rsidR="00F671A1">
        <w:rPr>
          <w:color w:val="auto"/>
          <w:sz w:val="24"/>
          <w:szCs w:val="24"/>
        </w:rPr>
        <w:t>does not</w:t>
      </w:r>
      <w:r w:rsidR="00B51CF2">
        <w:rPr>
          <w:color w:val="auto"/>
          <w:sz w:val="24"/>
          <w:szCs w:val="24"/>
        </w:rPr>
        <w:t xml:space="preserve"> control</w:t>
      </w:r>
      <w:r w:rsidR="00F671A1">
        <w:rPr>
          <w:color w:val="auto"/>
          <w:sz w:val="24"/>
          <w:szCs w:val="24"/>
        </w:rPr>
        <w:t xml:space="preserve"> the provision of credits to customer-</w:t>
      </w:r>
      <w:r>
        <w:rPr>
          <w:color w:val="auto"/>
          <w:sz w:val="24"/>
          <w:szCs w:val="24"/>
        </w:rPr>
        <w:t xml:space="preserve">generators.  </w:t>
      </w:r>
      <w:r w:rsidR="00B51CF2">
        <w:rPr>
          <w:color w:val="auto"/>
          <w:sz w:val="24"/>
          <w:szCs w:val="24"/>
        </w:rPr>
        <w:t xml:space="preserve">And, </w:t>
      </w:r>
      <w:r>
        <w:rPr>
          <w:color w:val="auto"/>
          <w:sz w:val="24"/>
          <w:szCs w:val="24"/>
        </w:rPr>
        <w:t>R.C. 4928.67</w:t>
      </w:r>
      <w:r w:rsidR="00B51CF2">
        <w:rPr>
          <w:color w:val="auto"/>
          <w:sz w:val="24"/>
          <w:szCs w:val="24"/>
        </w:rPr>
        <w:t xml:space="preserve">—the controlling statute—provides that credits may </w:t>
      </w:r>
      <w:r>
        <w:rPr>
          <w:color w:val="auto"/>
          <w:sz w:val="24"/>
          <w:szCs w:val="24"/>
        </w:rPr>
        <w:t>include compensation for capacity and demand components:</w:t>
      </w:r>
    </w:p>
    <w:p w:rsidR="000E39DB" w:rsidRPr="00826227" w:rsidRDefault="000E39DB" w:rsidP="007E461E">
      <w:pPr>
        <w:pStyle w:val="ListParagraph"/>
        <w:autoSpaceDE w:val="0"/>
        <w:autoSpaceDN w:val="0"/>
        <w:adjustRightInd w:val="0"/>
        <w:spacing w:after="120" w:line="240" w:lineRule="auto"/>
        <w:ind w:right="720"/>
        <w:jc w:val="both"/>
        <w:rPr>
          <w:color w:val="auto"/>
          <w:sz w:val="24"/>
          <w:szCs w:val="24"/>
        </w:rPr>
      </w:pPr>
      <w:r w:rsidRPr="00AA6ACD">
        <w:rPr>
          <w:color w:val="auto"/>
          <w:sz w:val="24"/>
          <w:szCs w:val="24"/>
        </w:rPr>
        <w:t>(1)</w:t>
      </w:r>
      <w:bookmarkEnd w:id="1"/>
      <w:r w:rsidRPr="00AA6ACD">
        <w:rPr>
          <w:color w:val="auto"/>
          <w:sz w:val="24"/>
          <w:szCs w:val="24"/>
        </w:rPr>
        <w:t xml:space="preserve"> Except as provided in division (A</w:t>
      </w:r>
      <w:proofErr w:type="gramStart"/>
      <w:r w:rsidRPr="00AA6ACD">
        <w:rPr>
          <w:color w:val="auto"/>
          <w:sz w:val="24"/>
          <w:szCs w:val="24"/>
        </w:rPr>
        <w:t>)(</w:t>
      </w:r>
      <w:proofErr w:type="gramEnd"/>
      <w:r w:rsidRPr="00AA6ACD">
        <w:rPr>
          <w:color w:val="auto"/>
          <w:sz w:val="24"/>
          <w:szCs w:val="24"/>
        </w:rPr>
        <w:t xml:space="preserve">2) of this section, an electric utility shall develop a standard contract or tariff providing for net metering. </w:t>
      </w:r>
      <w:r w:rsidRPr="00AA6ACD">
        <w:rPr>
          <w:b/>
          <w:color w:val="auto"/>
          <w:sz w:val="24"/>
          <w:szCs w:val="24"/>
        </w:rPr>
        <w:t xml:space="preserve">That contract or tariff shall be identical in rate structure, </w:t>
      </w:r>
      <w:r w:rsidRPr="00AA6ACD">
        <w:rPr>
          <w:b/>
          <w:i/>
          <w:color w:val="auto"/>
          <w:sz w:val="24"/>
          <w:szCs w:val="24"/>
        </w:rPr>
        <w:t xml:space="preserve">all retail rate </w:t>
      </w:r>
      <w:r w:rsidRPr="00AA6ACD">
        <w:rPr>
          <w:b/>
          <w:i/>
          <w:color w:val="auto"/>
          <w:sz w:val="24"/>
          <w:szCs w:val="24"/>
        </w:rPr>
        <w:lastRenderedPageBreak/>
        <w:t>components,</w:t>
      </w:r>
      <w:r w:rsidRPr="00AA6ACD">
        <w:rPr>
          <w:b/>
          <w:color w:val="auto"/>
          <w:sz w:val="24"/>
          <w:szCs w:val="24"/>
        </w:rPr>
        <w:t xml:space="preserve"> and any monthly charges to the contract or tariff to which the same customer would be assigned if that customer were not a customer-generator</w:t>
      </w:r>
      <w:r w:rsidR="00826227">
        <w:rPr>
          <w:color w:val="auto"/>
          <w:sz w:val="24"/>
          <w:szCs w:val="24"/>
        </w:rPr>
        <w:t>. (</w:t>
      </w:r>
      <w:proofErr w:type="gramStart"/>
      <w:r w:rsidR="00826227">
        <w:rPr>
          <w:color w:val="auto"/>
          <w:sz w:val="24"/>
          <w:szCs w:val="24"/>
        </w:rPr>
        <w:t>emphasis</w:t>
      </w:r>
      <w:proofErr w:type="gramEnd"/>
      <w:r w:rsidR="00826227">
        <w:rPr>
          <w:color w:val="auto"/>
          <w:sz w:val="24"/>
          <w:szCs w:val="24"/>
        </w:rPr>
        <w:t xml:space="preserve"> added).</w:t>
      </w:r>
    </w:p>
    <w:p w:rsidR="00AA6ACD" w:rsidRPr="00AA6ACD" w:rsidRDefault="00AA6ACD" w:rsidP="007E461E">
      <w:pPr>
        <w:pStyle w:val="ListParagraph"/>
        <w:autoSpaceDE w:val="0"/>
        <w:autoSpaceDN w:val="0"/>
        <w:adjustRightInd w:val="0"/>
        <w:spacing w:after="120" w:line="240" w:lineRule="auto"/>
        <w:ind w:right="720"/>
        <w:jc w:val="both"/>
        <w:rPr>
          <w:b/>
          <w:color w:val="auto"/>
          <w:sz w:val="24"/>
          <w:szCs w:val="24"/>
        </w:rPr>
      </w:pPr>
    </w:p>
    <w:p w:rsidR="00707B69" w:rsidRPr="00D56E92" w:rsidRDefault="00B51CF2" w:rsidP="007E461E">
      <w:pPr>
        <w:autoSpaceDE w:val="0"/>
        <w:autoSpaceDN w:val="0"/>
        <w:adjustRightInd w:val="0"/>
        <w:spacing w:after="120" w:line="480" w:lineRule="auto"/>
        <w:jc w:val="both"/>
        <w:rPr>
          <w:sz w:val="24"/>
          <w:szCs w:val="24"/>
        </w:rPr>
      </w:pPr>
      <w:r>
        <w:rPr>
          <w:sz w:val="24"/>
          <w:szCs w:val="24"/>
        </w:rPr>
        <w:t>The otherwise applicable SSO tariff contain</w:t>
      </w:r>
      <w:r w:rsidR="00F671A1">
        <w:rPr>
          <w:sz w:val="24"/>
          <w:szCs w:val="24"/>
        </w:rPr>
        <w:t>s capacity, demand</w:t>
      </w:r>
      <w:r>
        <w:rPr>
          <w:sz w:val="24"/>
          <w:szCs w:val="24"/>
        </w:rPr>
        <w:t xml:space="preserve"> and energy</w:t>
      </w:r>
      <w:r w:rsidR="00F671A1">
        <w:rPr>
          <w:sz w:val="24"/>
          <w:szCs w:val="24"/>
        </w:rPr>
        <w:t xml:space="preserve"> components</w:t>
      </w:r>
      <w:r>
        <w:rPr>
          <w:sz w:val="24"/>
          <w:szCs w:val="24"/>
        </w:rPr>
        <w:t>.  Because credits must be calculated based upon these rate components, it is clear that customer-generators are entitl</w:t>
      </w:r>
      <w:r w:rsidR="00F671A1">
        <w:rPr>
          <w:sz w:val="24"/>
          <w:szCs w:val="24"/>
        </w:rPr>
        <w:t xml:space="preserve">ed to compensation for capacity, demand, </w:t>
      </w:r>
      <w:r>
        <w:rPr>
          <w:sz w:val="24"/>
          <w:szCs w:val="24"/>
        </w:rPr>
        <w:t>and energy.</w:t>
      </w:r>
    </w:p>
    <w:p w:rsidR="006A18D0" w:rsidRPr="00B51CF2" w:rsidRDefault="00B51CF2" w:rsidP="007E461E">
      <w:pPr>
        <w:spacing w:after="120"/>
        <w:ind w:firstLine="720"/>
        <w:jc w:val="both"/>
        <w:rPr>
          <w:b/>
          <w:sz w:val="24"/>
          <w:szCs w:val="24"/>
        </w:rPr>
      </w:pPr>
      <w:r w:rsidRPr="00B51CF2">
        <w:rPr>
          <w:b/>
          <w:sz w:val="24"/>
          <w:szCs w:val="24"/>
        </w:rPr>
        <w:t xml:space="preserve">D. </w:t>
      </w:r>
      <w:proofErr w:type="gramStart"/>
      <w:r w:rsidR="00D04C9C">
        <w:rPr>
          <w:b/>
          <w:sz w:val="24"/>
          <w:szCs w:val="24"/>
        </w:rPr>
        <w:t>The</w:t>
      </w:r>
      <w:proofErr w:type="gramEnd"/>
      <w:r w:rsidR="00D04C9C">
        <w:rPr>
          <w:b/>
          <w:sz w:val="24"/>
          <w:szCs w:val="24"/>
        </w:rPr>
        <w:t xml:space="preserve"> Entry is Internally C</w:t>
      </w:r>
      <w:r w:rsidR="003A2B19" w:rsidRPr="00B51CF2">
        <w:rPr>
          <w:b/>
          <w:sz w:val="24"/>
          <w:szCs w:val="24"/>
        </w:rPr>
        <w:t>onsistent</w:t>
      </w:r>
    </w:p>
    <w:p w:rsidR="003A2B19" w:rsidRDefault="003A2B19" w:rsidP="007E461E">
      <w:pPr>
        <w:spacing w:after="120" w:line="480" w:lineRule="auto"/>
        <w:ind w:firstLine="720"/>
        <w:jc w:val="both"/>
        <w:rPr>
          <w:sz w:val="24"/>
          <w:szCs w:val="24"/>
        </w:rPr>
      </w:pPr>
      <w:r>
        <w:rPr>
          <w:sz w:val="24"/>
          <w:szCs w:val="24"/>
        </w:rPr>
        <w:t xml:space="preserve">FirstEnergy claims that the Commission interpreted the meaning of </w:t>
      </w:r>
      <w:r w:rsidR="00886680">
        <w:rPr>
          <w:sz w:val="24"/>
          <w:szCs w:val="24"/>
        </w:rPr>
        <w:t>electricity</w:t>
      </w:r>
      <w:r>
        <w:rPr>
          <w:sz w:val="24"/>
          <w:szCs w:val="24"/>
        </w:rPr>
        <w:t xml:space="preserve"> inconsistently throughout the Entry, defining it as energy and capacity in some parts and as just energy in others.  FirstEnergy is wrong. </w:t>
      </w:r>
    </w:p>
    <w:p w:rsidR="007C368D" w:rsidRPr="003A2B19" w:rsidRDefault="003A2B19" w:rsidP="007E461E">
      <w:pPr>
        <w:spacing w:after="120" w:line="480" w:lineRule="auto"/>
        <w:ind w:firstLine="720"/>
        <w:jc w:val="both"/>
        <w:rPr>
          <w:sz w:val="24"/>
          <w:szCs w:val="24"/>
        </w:rPr>
      </w:pPr>
      <w:r>
        <w:rPr>
          <w:sz w:val="24"/>
          <w:szCs w:val="24"/>
        </w:rPr>
        <w:t>FirstEnergy claims that the Commission used an inconsistent definition by not including dem</w:t>
      </w:r>
      <w:r w:rsidR="000F276C">
        <w:rPr>
          <w:sz w:val="24"/>
          <w:szCs w:val="24"/>
        </w:rPr>
        <w:t>and and energy components in the</w:t>
      </w:r>
      <w:r>
        <w:rPr>
          <w:sz w:val="24"/>
          <w:szCs w:val="24"/>
        </w:rPr>
        <w:t xml:space="preserve"> definition of an “excess generator” that does not qualify for a net metering tariff.  </w:t>
      </w:r>
      <w:r w:rsidR="007C368D" w:rsidRPr="003A2B19">
        <w:rPr>
          <w:sz w:val="24"/>
          <w:szCs w:val="24"/>
        </w:rPr>
        <w:t>To qualify for a net metering tariff, a customer must intend to offset “part or all the customer-generator’s requirements for electricity.”</w:t>
      </w:r>
      <w:r w:rsidR="000F276C">
        <w:rPr>
          <w:rStyle w:val="FootnoteReference"/>
          <w:sz w:val="24"/>
          <w:szCs w:val="24"/>
        </w:rPr>
        <w:footnoteReference w:id="15"/>
      </w:r>
      <w:r w:rsidR="007C368D" w:rsidRPr="003A2B19">
        <w:rPr>
          <w:sz w:val="24"/>
          <w:szCs w:val="24"/>
        </w:rPr>
        <w:t xml:space="preserve">  The Commission crafted rules for determining when a customer clearly intends to offset their own electricity requirements, as opposed to producing electricity in excess of their requirements.  The Commission determined that a customer’s intention can be determined based upon total consumption in kilowatt hours compared to total production in kilowatt hours. </w:t>
      </w:r>
      <w:r>
        <w:rPr>
          <w:sz w:val="24"/>
          <w:szCs w:val="24"/>
        </w:rPr>
        <w:t xml:space="preserve"> </w:t>
      </w:r>
      <w:r w:rsidR="007C368D" w:rsidRPr="003A2B19">
        <w:rPr>
          <w:sz w:val="24"/>
          <w:szCs w:val="24"/>
        </w:rPr>
        <w:t>The Commission</w:t>
      </w:r>
      <w:r>
        <w:rPr>
          <w:sz w:val="24"/>
          <w:szCs w:val="24"/>
        </w:rPr>
        <w:t>’s rule</w:t>
      </w:r>
      <w:r w:rsidR="007C368D" w:rsidRPr="003A2B19">
        <w:rPr>
          <w:sz w:val="24"/>
          <w:szCs w:val="24"/>
        </w:rPr>
        <w:t xml:space="preserve"> did not reference capacity in any </w:t>
      </w:r>
      <w:proofErr w:type="gramStart"/>
      <w:r w:rsidR="007C368D" w:rsidRPr="003A2B19">
        <w:rPr>
          <w:sz w:val="24"/>
          <w:szCs w:val="24"/>
        </w:rPr>
        <w:t>way,</w:t>
      </w:r>
      <w:proofErr w:type="gramEnd"/>
      <w:r w:rsidR="007C368D" w:rsidRPr="003A2B19">
        <w:rPr>
          <w:sz w:val="24"/>
          <w:szCs w:val="24"/>
        </w:rPr>
        <w:t xml:space="preserve"> it merely determined that the metric for determining an excess generator is total consumption compared to production.</w:t>
      </w:r>
      <w:r w:rsidR="006B7902" w:rsidRPr="003A2B19">
        <w:rPr>
          <w:sz w:val="24"/>
          <w:szCs w:val="24"/>
        </w:rPr>
        <w:t xml:space="preserve">  </w:t>
      </w:r>
      <w:r>
        <w:rPr>
          <w:sz w:val="24"/>
          <w:szCs w:val="24"/>
        </w:rPr>
        <w:t>In so doing, t</w:t>
      </w:r>
      <w:r w:rsidR="006B7902" w:rsidRPr="003A2B19">
        <w:rPr>
          <w:sz w:val="24"/>
          <w:szCs w:val="24"/>
        </w:rPr>
        <w:t xml:space="preserve">he Commission made a policy decision regarding the manner of determining a customer’s intention.  The </w:t>
      </w:r>
      <w:r w:rsidR="006B7902" w:rsidRPr="003A2B19">
        <w:rPr>
          <w:sz w:val="24"/>
          <w:szCs w:val="24"/>
        </w:rPr>
        <w:lastRenderedPageBreak/>
        <w:t>Commission’s rule is designed for ease of i</w:t>
      </w:r>
      <w:r w:rsidR="00887A15">
        <w:rPr>
          <w:sz w:val="24"/>
          <w:szCs w:val="24"/>
        </w:rPr>
        <w:t>mplementation and to prevent</w:t>
      </w:r>
      <w:r w:rsidR="006B7902" w:rsidRPr="003A2B19">
        <w:rPr>
          <w:sz w:val="24"/>
          <w:szCs w:val="24"/>
        </w:rPr>
        <w:t xml:space="preserve"> </w:t>
      </w:r>
      <w:r w:rsidR="000F276C">
        <w:rPr>
          <w:sz w:val="24"/>
          <w:szCs w:val="24"/>
        </w:rPr>
        <w:t>unintended consequences</w:t>
      </w:r>
      <w:r w:rsidR="006B7902" w:rsidRPr="003A2B19">
        <w:rPr>
          <w:sz w:val="24"/>
          <w:szCs w:val="24"/>
        </w:rPr>
        <w:t>.</w:t>
      </w:r>
      <w:r>
        <w:rPr>
          <w:sz w:val="24"/>
          <w:szCs w:val="24"/>
        </w:rPr>
        <w:t xml:space="preserve">  Moreover, the Commission’s rule for qualification for the net metering tariff has nothing to do with the manner in which a customer-generator is compensated for power supplied to the grid.</w:t>
      </w:r>
      <w:r w:rsidR="007C368D" w:rsidRPr="003A2B19">
        <w:rPr>
          <w:sz w:val="24"/>
          <w:szCs w:val="24"/>
        </w:rPr>
        <w:t xml:space="preserve">  </w:t>
      </w:r>
    </w:p>
    <w:p w:rsidR="00505266" w:rsidRPr="003A2B19" w:rsidRDefault="000F276C" w:rsidP="007E461E">
      <w:pPr>
        <w:spacing w:after="120" w:line="480" w:lineRule="auto"/>
        <w:ind w:firstLine="720"/>
        <w:jc w:val="both"/>
        <w:rPr>
          <w:sz w:val="24"/>
          <w:szCs w:val="24"/>
        </w:rPr>
      </w:pPr>
      <w:r>
        <w:rPr>
          <w:sz w:val="24"/>
          <w:szCs w:val="24"/>
        </w:rPr>
        <w:t xml:space="preserve">FirstEnergy also incorrectly </w:t>
      </w:r>
      <w:r w:rsidR="00505266" w:rsidRPr="003A2B19">
        <w:rPr>
          <w:sz w:val="24"/>
          <w:szCs w:val="24"/>
        </w:rPr>
        <w:t>claim</w:t>
      </w:r>
      <w:r>
        <w:rPr>
          <w:sz w:val="24"/>
          <w:szCs w:val="24"/>
        </w:rPr>
        <w:t>s</w:t>
      </w:r>
      <w:r w:rsidR="00505266" w:rsidRPr="003A2B19">
        <w:rPr>
          <w:sz w:val="24"/>
          <w:szCs w:val="24"/>
        </w:rPr>
        <w:t xml:space="preserve"> that the Commission applied the rule inconsistently to hospitals</w:t>
      </w:r>
      <w:r w:rsidR="00527579">
        <w:rPr>
          <w:sz w:val="24"/>
          <w:szCs w:val="24"/>
        </w:rPr>
        <w:t xml:space="preserve"> by requiring hospitals to receive compensation for energy at the market price as opposed to the SSO price.  Specifically, FirstEnergy relies upon the following rule approved by the Commission:  </w:t>
      </w:r>
    </w:p>
    <w:p w:rsidR="00AC5097" w:rsidRDefault="006B7902" w:rsidP="007E461E">
      <w:pPr>
        <w:spacing w:after="120" w:line="240" w:lineRule="auto"/>
        <w:ind w:left="720" w:right="720"/>
        <w:jc w:val="both"/>
        <w:rPr>
          <w:sz w:val="24"/>
          <w:szCs w:val="24"/>
        </w:rPr>
      </w:pPr>
      <w:r w:rsidRPr="003A2B19">
        <w:rPr>
          <w:sz w:val="24"/>
          <w:szCs w:val="24"/>
        </w:rPr>
        <w:t xml:space="preserve">The tariff shall be based both upon the </w:t>
      </w:r>
      <w:r w:rsidRPr="003A2B19">
        <w:rPr>
          <w:b/>
          <w:sz w:val="24"/>
          <w:szCs w:val="24"/>
        </w:rPr>
        <w:t xml:space="preserve">rate </w:t>
      </w:r>
      <w:r w:rsidR="00505266" w:rsidRPr="003A2B19">
        <w:rPr>
          <w:b/>
          <w:sz w:val="24"/>
          <w:szCs w:val="24"/>
        </w:rPr>
        <w:t xml:space="preserve">structure, rate components, and </w:t>
      </w:r>
      <w:r w:rsidRPr="003A2B19">
        <w:rPr>
          <w:b/>
          <w:sz w:val="24"/>
          <w:szCs w:val="24"/>
        </w:rPr>
        <w:t>any charges to which the hospital wou</w:t>
      </w:r>
      <w:r w:rsidR="00505266" w:rsidRPr="003A2B19">
        <w:rPr>
          <w:b/>
          <w:sz w:val="24"/>
          <w:szCs w:val="24"/>
        </w:rPr>
        <w:t xml:space="preserve">ld otherwise be assigned if the </w:t>
      </w:r>
      <w:r w:rsidRPr="003A2B19">
        <w:rPr>
          <w:b/>
          <w:sz w:val="24"/>
          <w:szCs w:val="24"/>
        </w:rPr>
        <w:t>ho</w:t>
      </w:r>
      <w:r w:rsidR="00505266" w:rsidRPr="003A2B19">
        <w:rPr>
          <w:b/>
          <w:sz w:val="24"/>
          <w:szCs w:val="24"/>
        </w:rPr>
        <w:t>spital were not taking service un</w:t>
      </w:r>
      <w:r w:rsidRPr="003A2B19">
        <w:rPr>
          <w:b/>
          <w:sz w:val="24"/>
          <w:szCs w:val="24"/>
        </w:rPr>
        <w:t>der this</w:t>
      </w:r>
      <w:r w:rsidR="00505266" w:rsidRPr="003A2B19">
        <w:rPr>
          <w:b/>
          <w:sz w:val="24"/>
          <w:szCs w:val="24"/>
        </w:rPr>
        <w:t xml:space="preserve"> rule </w:t>
      </w:r>
      <w:r w:rsidR="00505266" w:rsidRPr="003A2B19">
        <w:rPr>
          <w:b/>
          <w:i/>
          <w:sz w:val="24"/>
          <w:szCs w:val="24"/>
        </w:rPr>
        <w:t xml:space="preserve">and upon the market value </w:t>
      </w:r>
      <w:r w:rsidRPr="003A2B19">
        <w:rPr>
          <w:b/>
          <w:i/>
          <w:sz w:val="24"/>
          <w:szCs w:val="24"/>
        </w:rPr>
        <w:t>of the customer-generated electricity</w:t>
      </w:r>
      <w:r w:rsidRPr="003A2B19">
        <w:rPr>
          <w:b/>
          <w:sz w:val="24"/>
          <w:szCs w:val="24"/>
        </w:rPr>
        <w:t xml:space="preserve"> at the tim</w:t>
      </w:r>
      <w:r w:rsidR="00505266" w:rsidRPr="003A2B19">
        <w:rPr>
          <w:b/>
          <w:sz w:val="24"/>
          <w:szCs w:val="24"/>
        </w:rPr>
        <w:t>e it is generated.</w:t>
      </w:r>
      <w:r w:rsidR="00505266" w:rsidRPr="003A2B19">
        <w:rPr>
          <w:sz w:val="24"/>
          <w:szCs w:val="24"/>
        </w:rPr>
        <w:t xml:space="preserve"> For purposes </w:t>
      </w:r>
      <w:r w:rsidRPr="003A2B19">
        <w:rPr>
          <w:sz w:val="24"/>
          <w:szCs w:val="24"/>
        </w:rPr>
        <w:t>of this rule, market value means the loca</w:t>
      </w:r>
      <w:r w:rsidR="00505266" w:rsidRPr="003A2B19">
        <w:rPr>
          <w:sz w:val="24"/>
          <w:szCs w:val="24"/>
        </w:rPr>
        <w:t xml:space="preserve">tional marginal price of energy </w:t>
      </w:r>
      <w:r w:rsidRPr="003A2B19">
        <w:rPr>
          <w:sz w:val="24"/>
          <w:szCs w:val="24"/>
        </w:rPr>
        <w:t>determined by a regional transmission organ</w:t>
      </w:r>
      <w:r w:rsidR="00505266" w:rsidRPr="003A2B19">
        <w:rPr>
          <w:sz w:val="24"/>
          <w:szCs w:val="24"/>
        </w:rPr>
        <w:t xml:space="preserve">ization's operational market at </w:t>
      </w:r>
      <w:r w:rsidRPr="003A2B19">
        <w:rPr>
          <w:sz w:val="24"/>
          <w:szCs w:val="24"/>
        </w:rPr>
        <w:t>the time the customer-generated electricity is generated</w:t>
      </w:r>
      <w:r w:rsidR="00505266" w:rsidRPr="003A2B19">
        <w:rPr>
          <w:sz w:val="24"/>
          <w:szCs w:val="24"/>
        </w:rPr>
        <w:t>.</w:t>
      </w:r>
      <w:r w:rsidR="00527579">
        <w:rPr>
          <w:sz w:val="24"/>
          <w:szCs w:val="24"/>
        </w:rPr>
        <w:t xml:space="preserve"> (</w:t>
      </w:r>
      <w:proofErr w:type="gramStart"/>
      <w:r w:rsidR="00527579">
        <w:rPr>
          <w:sz w:val="24"/>
          <w:szCs w:val="24"/>
        </w:rPr>
        <w:t>emphasis</w:t>
      </w:r>
      <w:proofErr w:type="gramEnd"/>
      <w:r w:rsidR="00527579">
        <w:rPr>
          <w:sz w:val="24"/>
          <w:szCs w:val="24"/>
        </w:rPr>
        <w:t xml:space="preserve"> added)</w:t>
      </w:r>
      <w:r w:rsidR="00826227">
        <w:rPr>
          <w:sz w:val="24"/>
          <w:szCs w:val="24"/>
        </w:rPr>
        <w:t>.</w:t>
      </w:r>
    </w:p>
    <w:p w:rsidR="00527579" w:rsidRPr="003A2B19" w:rsidRDefault="00527579" w:rsidP="007E461E">
      <w:pPr>
        <w:spacing w:after="120" w:line="240" w:lineRule="auto"/>
        <w:ind w:left="720" w:right="720"/>
        <w:jc w:val="both"/>
        <w:rPr>
          <w:sz w:val="24"/>
          <w:szCs w:val="24"/>
        </w:rPr>
      </w:pPr>
    </w:p>
    <w:p w:rsidR="00527579" w:rsidRDefault="00527579" w:rsidP="007E461E">
      <w:pPr>
        <w:spacing w:after="120" w:line="480" w:lineRule="auto"/>
        <w:ind w:firstLine="720"/>
        <w:jc w:val="both"/>
        <w:rPr>
          <w:sz w:val="24"/>
          <w:szCs w:val="24"/>
        </w:rPr>
      </w:pPr>
      <w:r>
        <w:rPr>
          <w:sz w:val="24"/>
          <w:szCs w:val="24"/>
        </w:rPr>
        <w:t xml:space="preserve">While this rule has not yet been fully implemented, it may be interpreted as requiring a credit based upon combination of otherwise applicable tariff rates (capacity or demand) but with energy compensation based upon the locational marginal price.    That interpretation would nullify any potential inconsistency identified by FirstEnergy.  Moreover, this interpretation would represent a policy determination by the Commission to provide compensation to regular customer-generators at the otherwise applicable SSO price for all components while providing a credit to hospitals at the otherwise </w:t>
      </w:r>
      <w:r w:rsidRPr="00081D81">
        <w:rPr>
          <w:sz w:val="24"/>
          <w:szCs w:val="24"/>
        </w:rPr>
        <w:t>applicable SSO price</w:t>
      </w:r>
      <w:r w:rsidR="000F276C">
        <w:rPr>
          <w:sz w:val="24"/>
          <w:szCs w:val="24"/>
        </w:rPr>
        <w:t xml:space="preserve"> for demand and capacity but the locational marginal price</w:t>
      </w:r>
      <w:r w:rsidRPr="00081D81">
        <w:rPr>
          <w:sz w:val="24"/>
          <w:szCs w:val="24"/>
        </w:rPr>
        <w:t xml:space="preserve"> for energy.</w:t>
      </w:r>
    </w:p>
    <w:p w:rsidR="002E0F64" w:rsidRPr="00440318" w:rsidRDefault="002E0F64" w:rsidP="007E461E">
      <w:pPr>
        <w:autoSpaceDE w:val="0"/>
        <w:autoSpaceDN w:val="0"/>
        <w:adjustRightInd w:val="0"/>
        <w:spacing w:after="120" w:line="240" w:lineRule="auto"/>
        <w:ind w:left="720"/>
        <w:jc w:val="both"/>
        <w:rPr>
          <w:b/>
          <w:sz w:val="24"/>
          <w:szCs w:val="24"/>
        </w:rPr>
      </w:pPr>
      <w:r>
        <w:rPr>
          <w:b/>
          <w:sz w:val="24"/>
          <w:szCs w:val="24"/>
        </w:rPr>
        <w:lastRenderedPageBreak/>
        <w:t>E</w:t>
      </w:r>
      <w:r w:rsidRPr="00B11434">
        <w:rPr>
          <w:b/>
          <w:sz w:val="24"/>
          <w:szCs w:val="24"/>
        </w:rPr>
        <w:t>.</w:t>
      </w:r>
      <w:r>
        <w:rPr>
          <w:b/>
          <w:sz w:val="24"/>
          <w:szCs w:val="24"/>
        </w:rPr>
        <w:t xml:space="preserve">  </w:t>
      </w:r>
      <w:r w:rsidR="00D04C9C">
        <w:rPr>
          <w:b/>
          <w:sz w:val="24"/>
          <w:szCs w:val="24"/>
        </w:rPr>
        <w:t>Since N</w:t>
      </w:r>
      <w:r w:rsidRPr="00440318">
        <w:rPr>
          <w:b/>
          <w:sz w:val="24"/>
          <w:szCs w:val="24"/>
        </w:rPr>
        <w:t>et</w:t>
      </w:r>
      <w:r w:rsidR="00D04C9C">
        <w:rPr>
          <w:b/>
          <w:sz w:val="24"/>
          <w:szCs w:val="24"/>
        </w:rPr>
        <w:t xml:space="preserve"> Metered Electricity Displaces the SSO Supply Obligation, Net Metering Credits Should be </w:t>
      </w:r>
      <w:proofErr w:type="gramStart"/>
      <w:r w:rsidR="00D04C9C">
        <w:rPr>
          <w:b/>
          <w:sz w:val="24"/>
          <w:szCs w:val="24"/>
        </w:rPr>
        <w:t>R</w:t>
      </w:r>
      <w:r w:rsidR="007E461E">
        <w:rPr>
          <w:b/>
          <w:sz w:val="24"/>
          <w:szCs w:val="24"/>
        </w:rPr>
        <w:t>ecovered</w:t>
      </w:r>
      <w:proofErr w:type="gramEnd"/>
      <w:r w:rsidR="007E461E">
        <w:rPr>
          <w:b/>
          <w:sz w:val="24"/>
          <w:szCs w:val="24"/>
        </w:rPr>
        <w:t xml:space="preserve"> f</w:t>
      </w:r>
      <w:r w:rsidR="00D04C9C">
        <w:rPr>
          <w:b/>
          <w:sz w:val="24"/>
          <w:szCs w:val="24"/>
        </w:rPr>
        <w:t xml:space="preserve">rom </w:t>
      </w:r>
      <w:r w:rsidRPr="00440318">
        <w:rPr>
          <w:b/>
          <w:sz w:val="24"/>
          <w:szCs w:val="24"/>
        </w:rPr>
        <w:t>SSO</w:t>
      </w:r>
      <w:r w:rsidR="00D04C9C">
        <w:rPr>
          <w:b/>
          <w:sz w:val="24"/>
          <w:szCs w:val="24"/>
        </w:rPr>
        <w:t xml:space="preserve"> Customers</w:t>
      </w:r>
    </w:p>
    <w:p w:rsidR="002E0F64" w:rsidRDefault="002E0F64" w:rsidP="007E461E">
      <w:pPr>
        <w:pStyle w:val="ListParagraph"/>
        <w:autoSpaceDE w:val="0"/>
        <w:autoSpaceDN w:val="0"/>
        <w:adjustRightInd w:val="0"/>
        <w:spacing w:after="120" w:line="480" w:lineRule="auto"/>
        <w:ind w:left="0" w:firstLine="720"/>
        <w:jc w:val="both"/>
        <w:rPr>
          <w:sz w:val="24"/>
          <w:szCs w:val="24"/>
        </w:rPr>
      </w:pPr>
      <w:r>
        <w:rPr>
          <w:sz w:val="24"/>
          <w:szCs w:val="24"/>
        </w:rPr>
        <w:t>While the Commission has already considered and implicitly (by not addressing it) rejected FirstEnergy’s request for cost recovery, there is merit</w:t>
      </w:r>
      <w:r w:rsidR="000F276C">
        <w:rPr>
          <w:sz w:val="24"/>
          <w:szCs w:val="24"/>
        </w:rPr>
        <w:t xml:space="preserve">, in </w:t>
      </w:r>
      <w:r>
        <w:rPr>
          <w:sz w:val="24"/>
          <w:szCs w:val="24"/>
        </w:rPr>
        <w:t>part</w:t>
      </w:r>
      <w:r w:rsidR="000F276C">
        <w:rPr>
          <w:sz w:val="24"/>
          <w:szCs w:val="24"/>
        </w:rPr>
        <w:t>,</w:t>
      </w:r>
      <w:r>
        <w:rPr>
          <w:sz w:val="24"/>
          <w:szCs w:val="24"/>
        </w:rPr>
        <w:t xml:space="preserve"> to FirstEnergy’s claim. Net metering service creates excess generation that displaces energy requirements that would otherwise be supplied by </w:t>
      </w:r>
      <w:r w:rsidR="000F276C">
        <w:rPr>
          <w:sz w:val="24"/>
          <w:szCs w:val="24"/>
        </w:rPr>
        <w:t>the utility or SSO</w:t>
      </w:r>
      <w:r>
        <w:rPr>
          <w:sz w:val="24"/>
          <w:szCs w:val="24"/>
        </w:rPr>
        <w:t xml:space="preserve"> auction suppliers. Thus, each electric utility is required to provide a monetary credit for the generation that goes to reducing the cost of service of the SSO.  It would be unfair and unjust and unreasonable to require FirstEnergy to provide a credit to customer-generator</w:t>
      </w:r>
      <w:r w:rsidR="000F276C">
        <w:rPr>
          <w:sz w:val="24"/>
          <w:szCs w:val="24"/>
        </w:rPr>
        <w:t>s</w:t>
      </w:r>
      <w:r>
        <w:rPr>
          <w:sz w:val="24"/>
          <w:szCs w:val="24"/>
        </w:rPr>
        <w:t xml:space="preserve"> without approving cost recovery.  </w:t>
      </w:r>
    </w:p>
    <w:p w:rsidR="002E0F64" w:rsidRPr="00081D81" w:rsidRDefault="002E0F64" w:rsidP="007E461E">
      <w:pPr>
        <w:pStyle w:val="ListParagraph"/>
        <w:autoSpaceDE w:val="0"/>
        <w:autoSpaceDN w:val="0"/>
        <w:adjustRightInd w:val="0"/>
        <w:spacing w:after="120" w:line="480" w:lineRule="auto"/>
        <w:ind w:left="0" w:firstLine="720"/>
        <w:jc w:val="both"/>
        <w:rPr>
          <w:sz w:val="24"/>
          <w:szCs w:val="24"/>
        </w:rPr>
      </w:pPr>
      <w:r>
        <w:rPr>
          <w:sz w:val="24"/>
          <w:szCs w:val="24"/>
        </w:rPr>
        <w:t>To correct this inequity</w:t>
      </w:r>
      <w:r w:rsidR="000F276C">
        <w:rPr>
          <w:sz w:val="24"/>
          <w:szCs w:val="24"/>
        </w:rPr>
        <w:t>,</w:t>
      </w:r>
      <w:r>
        <w:rPr>
          <w:sz w:val="24"/>
          <w:szCs w:val="24"/>
        </w:rPr>
        <w:t xml:space="preserve"> a </w:t>
      </w:r>
      <w:proofErr w:type="spellStart"/>
      <w:r>
        <w:rPr>
          <w:sz w:val="24"/>
          <w:szCs w:val="24"/>
        </w:rPr>
        <w:t>bypassable</w:t>
      </w:r>
      <w:proofErr w:type="spellEnd"/>
      <w:r>
        <w:rPr>
          <w:sz w:val="24"/>
          <w:szCs w:val="24"/>
        </w:rPr>
        <w:t xml:space="preserve"> rider should be put in place to recover the cost of customer-generator credits.  A </w:t>
      </w:r>
      <w:proofErr w:type="spellStart"/>
      <w:r>
        <w:rPr>
          <w:sz w:val="24"/>
          <w:szCs w:val="24"/>
        </w:rPr>
        <w:t>bypassable</w:t>
      </w:r>
      <w:proofErr w:type="spellEnd"/>
      <w:r>
        <w:rPr>
          <w:sz w:val="24"/>
          <w:szCs w:val="24"/>
        </w:rPr>
        <w:t xml:space="preserve"> rider is appropriate because SSO customers are the beneficiary of excess generation produced by customer-generators. Thus, it would be just and reasonable to authorize each utility to establish a </w:t>
      </w:r>
      <w:proofErr w:type="spellStart"/>
      <w:r>
        <w:rPr>
          <w:sz w:val="24"/>
          <w:szCs w:val="24"/>
        </w:rPr>
        <w:t>bypassable</w:t>
      </w:r>
      <w:proofErr w:type="spellEnd"/>
      <w:r>
        <w:rPr>
          <w:sz w:val="24"/>
          <w:szCs w:val="24"/>
        </w:rPr>
        <w:t xml:space="preserve"> rider to recover the cost of these credits. </w:t>
      </w:r>
    </w:p>
    <w:p w:rsidR="00081D81" w:rsidRDefault="00081D81" w:rsidP="007E461E">
      <w:pPr>
        <w:pStyle w:val="ListParagraph"/>
        <w:numPr>
          <w:ilvl w:val="0"/>
          <w:numId w:val="2"/>
        </w:numPr>
        <w:spacing w:after="120" w:line="480" w:lineRule="auto"/>
        <w:jc w:val="both"/>
        <w:rPr>
          <w:b/>
          <w:sz w:val="24"/>
          <w:szCs w:val="24"/>
        </w:rPr>
      </w:pPr>
      <w:r w:rsidRPr="00081D81">
        <w:rPr>
          <w:b/>
          <w:sz w:val="24"/>
          <w:szCs w:val="24"/>
        </w:rPr>
        <w:t>CONCLUSION</w:t>
      </w:r>
    </w:p>
    <w:p w:rsidR="00851859" w:rsidRDefault="00081D81" w:rsidP="00851859">
      <w:pPr>
        <w:spacing w:after="120" w:line="480" w:lineRule="auto"/>
        <w:ind w:firstLine="720"/>
        <w:jc w:val="both"/>
        <w:rPr>
          <w:sz w:val="24"/>
          <w:szCs w:val="24"/>
        </w:rPr>
      </w:pPr>
      <w:r>
        <w:rPr>
          <w:sz w:val="24"/>
          <w:szCs w:val="24"/>
        </w:rPr>
        <w:t xml:space="preserve">For the reasons stated herein, and the reasons the Commission previously stated in its January Order and May 28, 2014 Entry, IGS respectfully requests that the Commission reject FirstEnergy’s application for rehearing. </w:t>
      </w:r>
    </w:p>
    <w:p w:rsidR="00851859" w:rsidRPr="003A174A" w:rsidRDefault="00851859" w:rsidP="00851859">
      <w:pPr>
        <w:autoSpaceDE w:val="0"/>
        <w:autoSpaceDN w:val="0"/>
        <w:adjustRightInd w:val="0"/>
        <w:spacing w:line="480" w:lineRule="auto"/>
        <w:ind w:left="4320" w:firstLine="720"/>
        <w:rPr>
          <w:sz w:val="24"/>
          <w:szCs w:val="24"/>
        </w:rPr>
      </w:pPr>
      <w:r>
        <w:rPr>
          <w:sz w:val="24"/>
          <w:szCs w:val="24"/>
        </w:rPr>
        <w:t>Respectfully Submitted,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518"/>
      </w:tblGrid>
      <w:tr w:rsidR="00851859" w:rsidTr="00FE771E">
        <w:tc>
          <w:tcPr>
            <w:tcW w:w="4950" w:type="dxa"/>
          </w:tcPr>
          <w:p w:rsidR="00851859" w:rsidRDefault="00851859" w:rsidP="00FE771E">
            <w:pPr>
              <w:ind w:left="5040"/>
              <w:rPr>
                <w:rFonts w:ascii="Arial" w:eastAsia="Calibri" w:hAnsi="Arial" w:cs="Arial"/>
                <w:sz w:val="24"/>
                <w:szCs w:val="24"/>
              </w:rPr>
            </w:pPr>
          </w:p>
          <w:p w:rsidR="00851859" w:rsidRDefault="00851859" w:rsidP="00FE771E">
            <w:pPr>
              <w:ind w:left="5040"/>
              <w:rPr>
                <w:rFonts w:ascii="Arial" w:eastAsia="Calibri" w:hAnsi="Arial" w:cs="Arial"/>
                <w:sz w:val="24"/>
                <w:szCs w:val="24"/>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ind w:left="5040"/>
              <w:rPr>
                <w:rFonts w:ascii="Arial" w:hAnsi="Arial" w:cs="Arial"/>
                <w:sz w:val="24"/>
                <w:szCs w:val="24"/>
              </w:rPr>
            </w:pPr>
          </w:p>
          <w:p w:rsidR="00851859" w:rsidRPr="00C52308" w:rsidRDefault="00851859" w:rsidP="00FE771E">
            <w:pPr>
              <w:autoSpaceDE w:val="0"/>
              <w:autoSpaceDN w:val="0"/>
              <w:adjustRightInd w:val="0"/>
              <w:spacing w:line="360" w:lineRule="auto"/>
              <w:ind w:firstLine="360"/>
              <w:rPr>
                <w:rFonts w:ascii="Arial" w:hAnsi="Arial" w:cs="Arial"/>
                <w:sz w:val="24"/>
                <w:szCs w:val="24"/>
              </w:rPr>
            </w:pPr>
          </w:p>
          <w:p w:rsidR="00851859" w:rsidRDefault="00851859" w:rsidP="00FE771E">
            <w:pPr>
              <w:rPr>
                <w:rFonts w:ascii="Arial" w:eastAsia="Calibri" w:hAnsi="Arial" w:cs="Arial"/>
                <w:sz w:val="24"/>
                <w:szCs w:val="24"/>
              </w:rPr>
            </w:pPr>
          </w:p>
        </w:tc>
        <w:tc>
          <w:tcPr>
            <w:tcW w:w="4518" w:type="dxa"/>
          </w:tcPr>
          <w:p w:rsidR="00851859" w:rsidRPr="00094915" w:rsidRDefault="00851859" w:rsidP="00FE771E">
            <w:pPr>
              <w:jc w:val="both"/>
              <w:rPr>
                <w:rFonts w:ascii="Arial" w:eastAsia="Arial" w:hAnsi="Arial" w:cs="Arial"/>
                <w:sz w:val="24"/>
                <w:szCs w:val="24"/>
                <w:u w:val="single"/>
              </w:rPr>
            </w:pPr>
            <w:r w:rsidRPr="00851859">
              <w:rPr>
                <w:rFonts w:ascii="Arial" w:eastAsia="Arial" w:hAnsi="Arial" w:cs="Arial"/>
                <w:b/>
                <w:i/>
                <w:sz w:val="24"/>
                <w:szCs w:val="24"/>
                <w:u w:val="single"/>
              </w:rPr>
              <w:lastRenderedPageBreak/>
              <w:t>/s/ Joseph Oliker</w:t>
            </w:r>
            <w:r w:rsidRPr="00851859">
              <w:rPr>
                <w:rFonts w:ascii="Arial" w:eastAsia="Arial" w:hAnsi="Arial" w:cs="Arial"/>
                <w:b/>
                <w:sz w:val="24"/>
                <w:szCs w:val="24"/>
                <w:u w:val="single"/>
              </w:rPr>
              <w:tab/>
            </w:r>
          </w:p>
          <w:p w:rsidR="00851859" w:rsidRDefault="00851859" w:rsidP="00FE771E">
            <w:pPr>
              <w:rPr>
                <w:rFonts w:ascii="Arial" w:hAnsi="Arial" w:cs="Arial"/>
                <w:sz w:val="24"/>
                <w:szCs w:val="24"/>
              </w:rPr>
            </w:pPr>
            <w:r>
              <w:rPr>
                <w:rFonts w:ascii="Arial" w:hAnsi="Arial" w:cs="Arial"/>
                <w:sz w:val="24"/>
                <w:szCs w:val="24"/>
              </w:rPr>
              <w:t>Matthew White (0082859)</w:t>
            </w:r>
          </w:p>
          <w:p w:rsidR="00851859" w:rsidRDefault="00851859" w:rsidP="00FE771E">
            <w:pPr>
              <w:rPr>
                <w:rFonts w:ascii="Arial" w:hAnsi="Arial" w:cs="Arial"/>
                <w:sz w:val="24"/>
                <w:szCs w:val="24"/>
              </w:rPr>
            </w:pPr>
            <w:r>
              <w:rPr>
                <w:rFonts w:ascii="Arial" w:hAnsi="Arial" w:cs="Arial"/>
                <w:sz w:val="24"/>
                <w:szCs w:val="24"/>
              </w:rPr>
              <w:t>Counsel of Record</w:t>
            </w:r>
          </w:p>
          <w:p w:rsidR="00851859" w:rsidRDefault="00851859" w:rsidP="00851859">
            <w:pPr>
              <w:rPr>
                <w:rFonts w:ascii="Arial" w:hAnsi="Arial" w:cs="Arial"/>
                <w:sz w:val="24"/>
                <w:szCs w:val="24"/>
              </w:rPr>
            </w:pPr>
            <w:r>
              <w:rPr>
                <w:rFonts w:ascii="Arial" w:hAnsi="Arial" w:cs="Arial"/>
                <w:sz w:val="24"/>
                <w:szCs w:val="24"/>
              </w:rPr>
              <w:t>Email: mswhite@igsenergy.com</w:t>
            </w:r>
          </w:p>
          <w:p w:rsidR="00851859" w:rsidRDefault="00851859" w:rsidP="00FE771E">
            <w:pPr>
              <w:rPr>
                <w:rFonts w:ascii="Arial" w:hAnsi="Arial" w:cs="Arial"/>
                <w:sz w:val="24"/>
                <w:szCs w:val="24"/>
              </w:rPr>
            </w:pPr>
            <w:r>
              <w:rPr>
                <w:rFonts w:ascii="Arial" w:hAnsi="Arial" w:cs="Arial"/>
                <w:sz w:val="24"/>
                <w:szCs w:val="24"/>
              </w:rPr>
              <w:t>Joseph Oliker</w:t>
            </w:r>
            <w:r w:rsidR="00D04C9C">
              <w:rPr>
                <w:rFonts w:ascii="Arial" w:hAnsi="Arial" w:cs="Arial"/>
                <w:sz w:val="24"/>
                <w:szCs w:val="24"/>
              </w:rPr>
              <w:t xml:space="preserve"> (0086088)</w:t>
            </w:r>
          </w:p>
          <w:p w:rsidR="00851859" w:rsidRDefault="00851859" w:rsidP="00FE771E">
            <w:pPr>
              <w:rPr>
                <w:rFonts w:ascii="Arial" w:hAnsi="Arial" w:cs="Arial"/>
                <w:sz w:val="24"/>
                <w:szCs w:val="24"/>
              </w:rPr>
            </w:pPr>
            <w:r>
              <w:rPr>
                <w:rFonts w:ascii="Arial" w:hAnsi="Arial" w:cs="Arial"/>
                <w:sz w:val="24"/>
                <w:szCs w:val="24"/>
              </w:rPr>
              <w:t>Email:  joliker@igsenergy.com</w:t>
            </w:r>
          </w:p>
          <w:p w:rsidR="00851859" w:rsidRPr="00E43B52" w:rsidRDefault="00851859" w:rsidP="00FE771E">
            <w:pPr>
              <w:rPr>
                <w:rFonts w:ascii="Arial" w:hAnsi="Arial" w:cs="Arial"/>
                <w:sz w:val="24"/>
                <w:szCs w:val="24"/>
              </w:rPr>
            </w:pPr>
            <w:r w:rsidRPr="00E43B52">
              <w:rPr>
                <w:rFonts w:ascii="Arial" w:hAnsi="Arial" w:cs="Arial"/>
                <w:sz w:val="24"/>
                <w:szCs w:val="24"/>
              </w:rPr>
              <w:lastRenderedPageBreak/>
              <w:t>Interstate Gas Supply, Inc.</w:t>
            </w:r>
          </w:p>
          <w:p w:rsidR="00851859" w:rsidRDefault="00851859" w:rsidP="00FE771E">
            <w:pPr>
              <w:rPr>
                <w:rFonts w:ascii="Arial" w:hAnsi="Arial" w:cs="Arial"/>
                <w:sz w:val="24"/>
                <w:szCs w:val="24"/>
              </w:rPr>
            </w:pPr>
            <w:r>
              <w:rPr>
                <w:rFonts w:ascii="Arial" w:hAnsi="Arial" w:cs="Arial"/>
                <w:sz w:val="24"/>
                <w:szCs w:val="24"/>
              </w:rPr>
              <w:t>6100 Emerald Parkway</w:t>
            </w:r>
          </w:p>
          <w:p w:rsidR="00851859" w:rsidRDefault="00851859" w:rsidP="00FE771E">
            <w:pPr>
              <w:rPr>
                <w:rFonts w:ascii="Arial" w:hAnsi="Arial" w:cs="Arial"/>
                <w:sz w:val="24"/>
                <w:szCs w:val="24"/>
              </w:rPr>
            </w:pPr>
            <w:r>
              <w:rPr>
                <w:rFonts w:ascii="Arial" w:hAnsi="Arial" w:cs="Arial"/>
                <w:sz w:val="24"/>
                <w:szCs w:val="24"/>
              </w:rPr>
              <w:t>Dublin, Ohio 43016</w:t>
            </w:r>
          </w:p>
          <w:p w:rsidR="00851859" w:rsidRDefault="00851859" w:rsidP="00FE771E">
            <w:pPr>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851859" w:rsidRDefault="00851859" w:rsidP="00FE771E">
            <w:pPr>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851859" w:rsidRDefault="00851859" w:rsidP="00FE771E">
            <w:pPr>
              <w:rPr>
                <w:rFonts w:ascii="Arial" w:eastAsia="Calibri" w:hAnsi="Arial" w:cs="Arial"/>
                <w:sz w:val="24"/>
                <w:szCs w:val="24"/>
              </w:rPr>
            </w:pPr>
          </w:p>
          <w:p w:rsidR="00851859" w:rsidRDefault="00851859" w:rsidP="00FE771E">
            <w:pPr>
              <w:rPr>
                <w:rFonts w:ascii="Arial" w:eastAsia="Calibri" w:hAnsi="Arial" w:cs="Arial"/>
                <w:sz w:val="24"/>
                <w:szCs w:val="24"/>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jc w:val="both"/>
              <w:rPr>
                <w:rFonts w:ascii="Arial" w:eastAsia="Arial" w:hAnsi="Arial" w:cs="Arial"/>
                <w:i/>
                <w:sz w:val="24"/>
                <w:szCs w:val="24"/>
                <w:u w:val="single"/>
              </w:rPr>
            </w:pPr>
          </w:p>
          <w:p w:rsidR="00851859" w:rsidRDefault="00851859" w:rsidP="00FE771E">
            <w:pPr>
              <w:rPr>
                <w:rFonts w:ascii="Arial" w:eastAsia="Calibri" w:hAnsi="Arial" w:cs="Arial"/>
                <w:sz w:val="24"/>
                <w:szCs w:val="24"/>
              </w:rPr>
            </w:pPr>
          </w:p>
        </w:tc>
      </w:tr>
    </w:tbl>
    <w:p w:rsidR="005F3A27" w:rsidRDefault="005F3A27">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887A15" w:rsidRDefault="00887A15">
      <w:pPr>
        <w:rPr>
          <w:sz w:val="24"/>
          <w:szCs w:val="24"/>
        </w:rPr>
      </w:pPr>
    </w:p>
    <w:p w:rsidR="005F3A27" w:rsidRPr="005F3A27" w:rsidRDefault="005F3A27" w:rsidP="005F3A27">
      <w:pPr>
        <w:spacing w:line="480" w:lineRule="auto"/>
        <w:jc w:val="center"/>
        <w:rPr>
          <w:rFonts w:eastAsia="Times New Roman"/>
          <w:b/>
          <w:sz w:val="24"/>
          <w:szCs w:val="24"/>
        </w:rPr>
      </w:pPr>
      <w:r w:rsidRPr="005F3A27">
        <w:rPr>
          <w:rFonts w:eastAsia="Times New Roman"/>
          <w:b/>
          <w:sz w:val="24"/>
          <w:szCs w:val="24"/>
        </w:rPr>
        <w:lastRenderedPageBreak/>
        <w:t>CERTIFICATE OF SERVICE</w:t>
      </w:r>
    </w:p>
    <w:p w:rsidR="005F3A27" w:rsidRPr="005F3A27" w:rsidRDefault="005F3A27" w:rsidP="005F3A27">
      <w:pPr>
        <w:spacing w:after="0" w:line="480" w:lineRule="auto"/>
        <w:ind w:firstLine="720"/>
        <w:jc w:val="both"/>
        <w:rPr>
          <w:rFonts w:eastAsia="Times New Roman"/>
          <w:sz w:val="24"/>
          <w:szCs w:val="24"/>
        </w:rPr>
      </w:pPr>
      <w:r w:rsidRPr="005F3A27">
        <w:rPr>
          <w:rFonts w:eastAsia="Times New Roman"/>
          <w:sz w:val="24"/>
          <w:szCs w:val="24"/>
        </w:rPr>
        <w:t xml:space="preserve">I hereby certify that I served a true copy of the foregoing </w:t>
      </w:r>
      <w:r w:rsidR="00851859" w:rsidRPr="00851859">
        <w:rPr>
          <w:rFonts w:eastAsia="Times New Roman"/>
          <w:i/>
          <w:sz w:val="24"/>
          <w:szCs w:val="24"/>
        </w:rPr>
        <w:t>Memorandum Contra of Interstate Gas Supply, Inc. Application for Rehearing and Memorandum in Support of Ohio Edison Company, The Cleveland Electric Illuminating Company, and Toledo Edison Company</w:t>
      </w:r>
      <w:r w:rsidRPr="005F3A27">
        <w:rPr>
          <w:rFonts w:eastAsia="Times New Roman"/>
          <w:sz w:val="24"/>
          <w:szCs w:val="24"/>
        </w:rPr>
        <w:t xml:space="preserve"> upon the following </w:t>
      </w:r>
      <w:r w:rsidR="00851859">
        <w:rPr>
          <w:rFonts w:eastAsia="Times New Roman"/>
          <w:sz w:val="24"/>
          <w:szCs w:val="24"/>
        </w:rPr>
        <w:t xml:space="preserve">parties </w:t>
      </w:r>
      <w:r w:rsidRPr="005F3A27">
        <w:rPr>
          <w:rFonts w:eastAsia="Times New Roman"/>
          <w:sz w:val="24"/>
          <w:szCs w:val="24"/>
        </w:rPr>
        <w:t xml:space="preserve">via electric transmission, this 7th day of </w:t>
      </w:r>
      <w:r w:rsidR="00851859">
        <w:rPr>
          <w:rFonts w:eastAsia="Times New Roman"/>
          <w:sz w:val="24"/>
          <w:szCs w:val="24"/>
        </w:rPr>
        <w:t>July</w:t>
      </w:r>
      <w:r w:rsidRPr="005F3A27">
        <w:rPr>
          <w:rFonts w:eastAsia="Times New Roman"/>
          <w:sz w:val="24"/>
          <w:szCs w:val="24"/>
        </w:rPr>
        <w:t>, 2014.</w:t>
      </w:r>
    </w:p>
    <w:p w:rsidR="00851859" w:rsidRDefault="005F3A27" w:rsidP="005F3A27">
      <w:pPr>
        <w:spacing w:after="0" w:line="240" w:lineRule="auto"/>
        <w:ind w:firstLine="720"/>
        <w:rPr>
          <w:rFonts w:eastAsia="Times New Roman"/>
          <w:i/>
          <w:sz w:val="24"/>
          <w:szCs w:val="24"/>
        </w:rPr>
      </w:pPr>
      <w:r w:rsidRPr="005F3A27">
        <w:rPr>
          <w:rFonts w:eastAsia="Times New Roman"/>
          <w:i/>
          <w:sz w:val="24"/>
          <w:szCs w:val="24"/>
        </w:rPr>
        <w:tab/>
      </w:r>
      <w:r w:rsidRPr="005F3A27">
        <w:rPr>
          <w:rFonts w:eastAsia="Times New Roman"/>
          <w:i/>
          <w:sz w:val="24"/>
          <w:szCs w:val="24"/>
        </w:rPr>
        <w:tab/>
      </w:r>
      <w:r w:rsidRPr="005F3A27">
        <w:rPr>
          <w:rFonts w:eastAsia="Times New Roman"/>
          <w:i/>
          <w:sz w:val="24"/>
          <w:szCs w:val="24"/>
        </w:rPr>
        <w:tab/>
      </w:r>
      <w:r w:rsidRPr="005F3A27">
        <w:rPr>
          <w:rFonts w:eastAsia="Times New Roman"/>
          <w:i/>
          <w:sz w:val="24"/>
          <w:szCs w:val="24"/>
        </w:rPr>
        <w:tab/>
      </w:r>
      <w:r w:rsidRPr="005F3A27">
        <w:rPr>
          <w:rFonts w:eastAsia="Times New Roman"/>
          <w:i/>
          <w:sz w:val="24"/>
          <w:szCs w:val="24"/>
        </w:rPr>
        <w:tab/>
      </w:r>
    </w:p>
    <w:p w:rsidR="005F3A27" w:rsidRPr="00851859" w:rsidRDefault="00851859" w:rsidP="005F3A27">
      <w:pPr>
        <w:spacing w:after="0" w:line="240" w:lineRule="auto"/>
        <w:ind w:firstLine="720"/>
        <w:rPr>
          <w:rFonts w:eastAsia="Times New Roman"/>
          <w:b/>
          <w:i/>
          <w:sz w:val="24"/>
          <w:szCs w:val="24"/>
        </w:rPr>
      </w:pP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sidR="005F3A27" w:rsidRPr="00851859">
        <w:rPr>
          <w:rFonts w:eastAsia="Times New Roman"/>
          <w:b/>
          <w:i/>
          <w:sz w:val="24"/>
          <w:szCs w:val="24"/>
          <w:u w:val="single"/>
        </w:rPr>
        <w:t>/s/ Joseph Oliker</w:t>
      </w:r>
    </w:p>
    <w:p w:rsidR="005F3A27" w:rsidRPr="005F3A27" w:rsidRDefault="005F3A27" w:rsidP="005F3A27">
      <w:pPr>
        <w:spacing w:after="0" w:line="240" w:lineRule="auto"/>
        <w:ind w:firstLine="720"/>
        <w:rPr>
          <w:rFonts w:eastAsia="Times New Roman"/>
          <w:sz w:val="24"/>
          <w:szCs w:val="24"/>
        </w:rPr>
      </w:pP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00851859">
        <w:rPr>
          <w:rFonts w:eastAsia="Times New Roman"/>
          <w:sz w:val="24"/>
          <w:szCs w:val="24"/>
        </w:rPr>
        <w:tab/>
      </w:r>
      <w:r w:rsidR="00851859">
        <w:rPr>
          <w:rFonts w:eastAsia="Times New Roman"/>
          <w:sz w:val="24"/>
          <w:szCs w:val="24"/>
        </w:rPr>
        <w:tab/>
      </w:r>
      <w:r w:rsidR="00851859">
        <w:rPr>
          <w:rFonts w:eastAsia="Times New Roman"/>
          <w:sz w:val="24"/>
          <w:szCs w:val="24"/>
        </w:rPr>
        <w:tab/>
      </w:r>
      <w:r w:rsidRPr="005F3A27">
        <w:rPr>
          <w:rFonts w:eastAsia="Times New Roman"/>
          <w:sz w:val="24"/>
          <w:szCs w:val="24"/>
        </w:rPr>
        <w:t>Joseph Oliker</w:t>
      </w:r>
    </w:p>
    <w:p w:rsidR="005F3A27" w:rsidRPr="005F3A27" w:rsidRDefault="005F3A27" w:rsidP="005F3A27">
      <w:pPr>
        <w:spacing w:after="0" w:line="240" w:lineRule="auto"/>
        <w:ind w:firstLine="720"/>
        <w:rPr>
          <w:rFonts w:eastAsia="Times New Roman"/>
          <w:sz w:val="24"/>
          <w:szCs w:val="24"/>
        </w:rPr>
      </w:pP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r w:rsidRPr="005F3A27">
        <w:rPr>
          <w:rFonts w:eastAsia="Times New Roman"/>
          <w:sz w:val="24"/>
          <w:szCs w:val="24"/>
        </w:rPr>
        <w:tab/>
      </w:r>
    </w:p>
    <w:p w:rsidR="005F3A27" w:rsidRPr="005F3A27" w:rsidRDefault="005F3A27" w:rsidP="005F3A27">
      <w:pPr>
        <w:spacing w:after="0" w:line="480" w:lineRule="auto"/>
        <w:ind w:firstLine="720"/>
        <w:rPr>
          <w:rFonts w:eastAsia="Times New Roman"/>
          <w:sz w:val="24"/>
          <w:szCs w:val="24"/>
        </w:rPr>
      </w:pPr>
    </w:p>
    <w:p w:rsidR="005F3A27" w:rsidRPr="005F3A27" w:rsidRDefault="005F3A27" w:rsidP="005F3A27">
      <w:pPr>
        <w:spacing w:after="0" w:line="240" w:lineRule="auto"/>
        <w:rPr>
          <w:rFonts w:eastAsia="Times New Roman"/>
          <w:sz w:val="24"/>
          <w:szCs w:val="24"/>
        </w:rPr>
      </w:pPr>
    </w:p>
    <w:tbl>
      <w:tblPr>
        <w:tblW w:w="0" w:type="auto"/>
        <w:tblLook w:val="04A0" w:firstRow="1" w:lastRow="0" w:firstColumn="1" w:lastColumn="0" w:noHBand="0" w:noVBand="1"/>
      </w:tblPr>
      <w:tblGrid>
        <w:gridCol w:w="4428"/>
        <w:gridCol w:w="4428"/>
      </w:tblGrid>
      <w:tr w:rsidR="005F3A27" w:rsidRPr="005F3A27" w:rsidTr="00FE771E">
        <w:tc>
          <w:tcPr>
            <w:tcW w:w="4428" w:type="dxa"/>
            <w:shd w:val="clear" w:color="auto" w:fill="auto"/>
          </w:tcPr>
          <w:p w:rsidR="005F3A27" w:rsidRPr="005F3A27" w:rsidRDefault="005F3A27" w:rsidP="00FE771E">
            <w:pPr>
              <w:spacing w:after="0" w:line="240" w:lineRule="auto"/>
              <w:rPr>
                <w:rFonts w:eastAsia="Times New Roman"/>
                <w:sz w:val="24"/>
                <w:szCs w:val="24"/>
              </w:rPr>
            </w:pPr>
            <w:r w:rsidRPr="005F3A27">
              <w:rPr>
                <w:rFonts w:eastAsia="Times New Roman"/>
                <w:sz w:val="24"/>
                <w:szCs w:val="24"/>
              </w:rPr>
              <w:t>William Wright</w:t>
            </w:r>
          </w:p>
          <w:p w:rsidR="005F3A27" w:rsidRPr="005F3A27" w:rsidRDefault="005F3A27" w:rsidP="00FE771E">
            <w:pPr>
              <w:spacing w:after="0" w:line="240" w:lineRule="auto"/>
              <w:rPr>
                <w:rFonts w:eastAsia="Times New Roman"/>
                <w:sz w:val="24"/>
                <w:szCs w:val="24"/>
              </w:rPr>
            </w:pPr>
            <w:r w:rsidRPr="005F3A27">
              <w:rPr>
                <w:rFonts w:eastAsia="Times New Roman"/>
                <w:sz w:val="24"/>
                <w:szCs w:val="24"/>
              </w:rPr>
              <w:t>Chief, Public Utilities Section</w:t>
            </w:r>
          </w:p>
          <w:p w:rsidR="005F3A27" w:rsidRPr="005F3A27" w:rsidRDefault="005F3A27" w:rsidP="00FE771E">
            <w:pPr>
              <w:spacing w:after="0" w:line="240" w:lineRule="auto"/>
              <w:rPr>
                <w:rFonts w:eastAsia="Times New Roman"/>
                <w:sz w:val="24"/>
                <w:szCs w:val="24"/>
              </w:rPr>
            </w:pPr>
            <w:r w:rsidRPr="005F3A27">
              <w:rPr>
                <w:rFonts w:eastAsia="Times New Roman"/>
                <w:sz w:val="24"/>
                <w:szCs w:val="24"/>
              </w:rPr>
              <w:t>Public Utilities Commission of Ohio</w:t>
            </w:r>
          </w:p>
          <w:p w:rsidR="005F3A27" w:rsidRPr="005F3A27" w:rsidRDefault="005F3A27" w:rsidP="00FE771E">
            <w:pPr>
              <w:spacing w:after="0" w:line="240" w:lineRule="auto"/>
              <w:rPr>
                <w:rFonts w:eastAsia="Times New Roman"/>
                <w:sz w:val="24"/>
                <w:szCs w:val="24"/>
              </w:rPr>
            </w:pPr>
            <w:r w:rsidRPr="005F3A27">
              <w:rPr>
                <w:rFonts w:eastAsia="Times New Roman"/>
                <w:sz w:val="24"/>
                <w:szCs w:val="24"/>
              </w:rPr>
              <w:t>180 East Broad Street</w:t>
            </w:r>
          </w:p>
          <w:p w:rsidR="005F3A27" w:rsidRPr="005F3A27" w:rsidRDefault="005F3A27" w:rsidP="00FE771E">
            <w:pPr>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D57981" w:rsidP="00FE771E">
            <w:pPr>
              <w:spacing w:after="0" w:line="240" w:lineRule="auto"/>
              <w:rPr>
                <w:rFonts w:eastAsia="Times New Roman"/>
                <w:sz w:val="24"/>
                <w:szCs w:val="24"/>
              </w:rPr>
            </w:pPr>
            <w:hyperlink r:id="rId9" w:history="1">
              <w:r w:rsidR="005F3A27" w:rsidRPr="005F3A27">
                <w:rPr>
                  <w:rFonts w:eastAsia="Times New Roman"/>
                  <w:color w:val="0000FF"/>
                  <w:sz w:val="24"/>
                  <w:szCs w:val="24"/>
                  <w:u w:val="single"/>
                </w:rPr>
                <w:t>William.wright@puc.state.oh.us</w:t>
              </w:r>
            </w:hyperlink>
          </w:p>
          <w:p w:rsidR="005F3A27" w:rsidRPr="005F3A27" w:rsidRDefault="00D57981" w:rsidP="00FE771E">
            <w:pPr>
              <w:spacing w:after="0" w:line="240" w:lineRule="auto"/>
              <w:rPr>
                <w:rFonts w:eastAsia="Times New Roman"/>
                <w:sz w:val="24"/>
                <w:szCs w:val="24"/>
              </w:rPr>
            </w:pPr>
            <w:hyperlink r:id="rId10" w:history="1">
              <w:r w:rsidR="005F3A27" w:rsidRPr="005F3A27">
                <w:rPr>
                  <w:rFonts w:eastAsia="Times New Roman"/>
                  <w:color w:val="0000FF"/>
                  <w:sz w:val="24"/>
                  <w:szCs w:val="24"/>
                  <w:u w:val="single"/>
                </w:rPr>
                <w:t>Bryce.mckenney@puc.state.oh.us</w:t>
              </w:r>
            </w:hyperlink>
          </w:p>
          <w:p w:rsidR="005F3A27" w:rsidRPr="005F3A27" w:rsidRDefault="005F3A27" w:rsidP="00FE771E">
            <w:pPr>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proofErr w:type="spellStart"/>
            <w:r w:rsidRPr="005F3A27">
              <w:rPr>
                <w:rFonts w:eastAsia="Times New Roman"/>
                <w:sz w:val="24"/>
                <w:szCs w:val="24"/>
              </w:rPr>
              <w:t>Thadeus</w:t>
            </w:r>
            <w:proofErr w:type="spellEnd"/>
            <w:r w:rsidRPr="005F3A27">
              <w:rPr>
                <w:rFonts w:eastAsia="Times New Roman"/>
                <w:sz w:val="24"/>
                <w:szCs w:val="24"/>
              </w:rPr>
              <w:t xml:space="preserve"> B. </w:t>
            </w:r>
            <w:proofErr w:type="spellStart"/>
            <w:r w:rsidRPr="005F3A27">
              <w:rPr>
                <w:rFonts w:eastAsia="Times New Roman"/>
                <w:sz w:val="24"/>
                <w:szCs w:val="24"/>
              </w:rPr>
              <w:t>Culley</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Keyes, Fox &amp; </w:t>
            </w:r>
            <w:proofErr w:type="spellStart"/>
            <w:r w:rsidRPr="005F3A27">
              <w:rPr>
                <w:rFonts w:eastAsia="Times New Roman"/>
                <w:sz w:val="24"/>
                <w:szCs w:val="24"/>
              </w:rPr>
              <w:t>Wiedman</w:t>
            </w:r>
            <w:proofErr w:type="spellEnd"/>
            <w:r w:rsidRPr="005F3A27">
              <w:rPr>
                <w:rFonts w:eastAsia="Times New Roman"/>
                <w:sz w:val="24"/>
                <w:szCs w:val="24"/>
              </w:rPr>
              <w:t xml:space="preserve">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436 14th Street, Suite 1305</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Oakland, California 94612</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510-314-8203</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510-314-8205</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11" w:history="1">
              <w:r w:rsidR="005F3A27" w:rsidRPr="005F3A27">
                <w:rPr>
                  <w:rFonts w:eastAsia="Times New Roman"/>
                  <w:color w:val="0000FF"/>
                  <w:sz w:val="24"/>
                  <w:szCs w:val="24"/>
                  <w:u w:val="single"/>
                </w:rPr>
                <w:t>jkeyes@kfwlaw.com</w:t>
              </w:r>
            </w:hyperlink>
          </w:p>
          <w:p w:rsidR="005F3A27" w:rsidRPr="005F3A27" w:rsidRDefault="00D57981" w:rsidP="00FE771E">
            <w:pPr>
              <w:spacing w:after="0" w:line="240" w:lineRule="auto"/>
              <w:rPr>
                <w:rFonts w:eastAsia="Times New Roman"/>
                <w:color w:val="0000FF"/>
                <w:sz w:val="24"/>
                <w:szCs w:val="24"/>
              </w:rPr>
            </w:pPr>
            <w:hyperlink r:id="rId12" w:history="1">
              <w:r w:rsidR="005F3A27" w:rsidRPr="005F3A27">
                <w:rPr>
                  <w:rFonts w:eastAsia="Times New Roman"/>
                  <w:color w:val="0000FF"/>
                  <w:sz w:val="24"/>
                  <w:szCs w:val="24"/>
                  <w:u w:val="single"/>
                </w:rPr>
                <w:t>tculley@kfwlaw.com</w:t>
              </w:r>
            </w:hyperlink>
          </w:p>
          <w:p w:rsidR="005F3A27" w:rsidRPr="005F3A27" w:rsidRDefault="005F3A27" w:rsidP="00FE771E">
            <w:pPr>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Christopher J. </w:t>
            </w:r>
            <w:proofErr w:type="spellStart"/>
            <w:r w:rsidRPr="005F3A27">
              <w:rPr>
                <w:rFonts w:eastAsia="Times New Roman"/>
                <w:sz w:val="24"/>
                <w:szCs w:val="24"/>
              </w:rPr>
              <w:t>Allwein</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Advanced Energy Economy - Ohio</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Williams </w:t>
            </w:r>
            <w:proofErr w:type="spellStart"/>
            <w:r w:rsidRPr="005F3A27">
              <w:rPr>
                <w:rFonts w:eastAsia="Times New Roman"/>
                <w:sz w:val="24"/>
                <w:szCs w:val="24"/>
              </w:rPr>
              <w:t>Allwein</w:t>
            </w:r>
            <w:proofErr w:type="spellEnd"/>
            <w:r w:rsidRPr="005F3A27">
              <w:rPr>
                <w:rFonts w:eastAsia="Times New Roman"/>
                <w:sz w:val="24"/>
                <w:szCs w:val="24"/>
              </w:rPr>
              <w:t xml:space="preserve"> &amp; Moser, LLC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1373 Grandview Ave., Suite 212</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w:t>
            </w:r>
          </w:p>
          <w:p w:rsidR="005F3A27" w:rsidRPr="005F3A27" w:rsidRDefault="00D57981" w:rsidP="00FE771E">
            <w:pPr>
              <w:tabs>
                <w:tab w:val="left" w:pos="1065"/>
              </w:tabs>
              <w:spacing w:after="0" w:line="240" w:lineRule="auto"/>
              <w:rPr>
                <w:rFonts w:eastAsia="Times New Roman"/>
                <w:color w:val="0000FF"/>
                <w:sz w:val="24"/>
                <w:szCs w:val="24"/>
              </w:rPr>
            </w:pPr>
            <w:hyperlink r:id="rId13" w:history="1">
              <w:r w:rsidR="005F3A27" w:rsidRPr="005F3A27">
                <w:rPr>
                  <w:rFonts w:eastAsia="Times New Roman"/>
                  <w:color w:val="0000FF"/>
                  <w:sz w:val="24"/>
                  <w:szCs w:val="24"/>
                  <w:u w:val="single"/>
                </w:rPr>
                <w:t>callwein@wamenergylaw.com</w:t>
              </w:r>
            </w:hyperlink>
          </w:p>
          <w:p w:rsidR="005F3A27" w:rsidRPr="005F3A27" w:rsidRDefault="005F3A27" w:rsidP="00FE771E">
            <w:pPr>
              <w:tabs>
                <w:tab w:val="left" w:pos="1065"/>
              </w:tabs>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Nicholas McDaniel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Environmental Law &amp; Policy Center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1207 Grandview Avenue, Suite 201</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w:t>
            </w:r>
          </w:p>
          <w:p w:rsidR="005F3A27" w:rsidRPr="005F3A27" w:rsidRDefault="00D57981" w:rsidP="00FE771E">
            <w:pPr>
              <w:spacing w:after="0" w:line="240" w:lineRule="auto"/>
              <w:rPr>
                <w:rFonts w:eastAsia="Times New Roman"/>
                <w:sz w:val="24"/>
                <w:szCs w:val="24"/>
              </w:rPr>
            </w:pPr>
            <w:hyperlink r:id="rId14" w:history="1">
              <w:r w:rsidR="005F3A27" w:rsidRPr="005F3A27">
                <w:rPr>
                  <w:rFonts w:eastAsia="Times New Roman"/>
                  <w:color w:val="0000FF"/>
                  <w:sz w:val="24"/>
                  <w:szCs w:val="24"/>
                  <w:u w:val="single"/>
                </w:rPr>
                <w:t>NMcDaniel@elpc.org</w:t>
              </w:r>
            </w:hyperlink>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Nolan Moser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Ohio Environmental Council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1207 Grandview Avenue, Suite 201</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43212-3449</w:t>
            </w:r>
          </w:p>
          <w:p w:rsidR="005F3A27" w:rsidRPr="005F3A27" w:rsidRDefault="00D57981" w:rsidP="00FE771E">
            <w:pPr>
              <w:autoSpaceDE w:val="0"/>
              <w:autoSpaceDN w:val="0"/>
              <w:adjustRightInd w:val="0"/>
              <w:spacing w:after="0" w:line="240" w:lineRule="auto"/>
              <w:rPr>
                <w:rFonts w:eastAsia="Times New Roman"/>
                <w:sz w:val="24"/>
                <w:szCs w:val="24"/>
              </w:rPr>
            </w:pPr>
            <w:hyperlink r:id="rId15" w:history="1">
              <w:r w:rsidR="005F3A27" w:rsidRPr="005F3A27">
                <w:rPr>
                  <w:rFonts w:eastAsia="Times New Roman"/>
                  <w:color w:val="0000FF"/>
                  <w:sz w:val="24"/>
                  <w:szCs w:val="24"/>
                  <w:u w:val="single"/>
                </w:rPr>
                <w:t>Nolan@theoec.org</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Annie C. </w:t>
            </w:r>
            <w:proofErr w:type="spellStart"/>
            <w:r w:rsidRPr="005F3A27">
              <w:rPr>
                <w:rFonts w:eastAsia="Times New Roman"/>
                <w:sz w:val="24"/>
                <w:szCs w:val="24"/>
              </w:rPr>
              <w:t>Lappé</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Solar Policy Director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The Vote Solar Initiative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1120 Pearl Street, Suite 200</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Boulder, Colorado 80302</w:t>
            </w:r>
          </w:p>
          <w:p w:rsidR="005F3A27" w:rsidRPr="005F3A27" w:rsidRDefault="00D57981" w:rsidP="00FE771E">
            <w:pPr>
              <w:autoSpaceDE w:val="0"/>
              <w:autoSpaceDN w:val="0"/>
              <w:adjustRightInd w:val="0"/>
              <w:spacing w:after="0" w:line="240" w:lineRule="auto"/>
              <w:rPr>
                <w:rFonts w:eastAsia="Times New Roman"/>
                <w:sz w:val="24"/>
                <w:szCs w:val="24"/>
              </w:rPr>
            </w:pPr>
            <w:hyperlink r:id="rId16" w:history="1">
              <w:r w:rsidR="005F3A27" w:rsidRPr="005F3A27">
                <w:rPr>
                  <w:rFonts w:eastAsia="Times New Roman"/>
                  <w:color w:val="0000FF"/>
                  <w:sz w:val="24"/>
                  <w:szCs w:val="24"/>
                  <w:u w:val="single"/>
                </w:rPr>
                <w:t>annie@votesolar.org</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Kimberly W. Bojko</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Carpenter </w:t>
            </w:r>
            <w:proofErr w:type="spellStart"/>
            <w:r w:rsidRPr="005F3A27">
              <w:rPr>
                <w:rFonts w:eastAsia="Times New Roman"/>
                <w:sz w:val="24"/>
                <w:szCs w:val="24"/>
              </w:rPr>
              <w:t>Lipps</w:t>
            </w:r>
            <w:proofErr w:type="spellEnd"/>
            <w:r w:rsidRPr="005F3A27">
              <w:rPr>
                <w:rFonts w:eastAsia="Times New Roman"/>
                <w:sz w:val="24"/>
                <w:szCs w:val="24"/>
              </w:rPr>
              <w:t xml:space="preserve"> &amp; Leland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280 North High Street, Suite 1300</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D57981" w:rsidP="00FE771E">
            <w:pPr>
              <w:autoSpaceDE w:val="0"/>
              <w:autoSpaceDN w:val="0"/>
              <w:adjustRightInd w:val="0"/>
              <w:spacing w:after="0" w:line="240" w:lineRule="auto"/>
              <w:rPr>
                <w:rFonts w:eastAsia="Times New Roman"/>
                <w:sz w:val="24"/>
                <w:szCs w:val="24"/>
              </w:rPr>
            </w:pPr>
            <w:hyperlink r:id="rId17" w:history="1">
              <w:r w:rsidR="005F3A27" w:rsidRPr="005F3A27">
                <w:rPr>
                  <w:rFonts w:eastAsia="Times New Roman"/>
                  <w:color w:val="0000FF"/>
                  <w:sz w:val="24"/>
                  <w:szCs w:val="24"/>
                  <w:u w:val="single"/>
                </w:rPr>
                <w:t>bojko@carpenterlipps.com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lastRenderedPageBreak/>
              <w:t>Elizabeth Watts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Jeanne W. Kingery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Duke Energy Retail Sales, LLC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155 East Broad Street, 21 </w:t>
            </w:r>
            <w:proofErr w:type="spellStart"/>
            <w:r w:rsidRPr="005F3A27">
              <w:rPr>
                <w:rFonts w:eastAsia="Times New Roman"/>
                <w:sz w:val="24"/>
                <w:szCs w:val="24"/>
              </w:rPr>
              <w:t>Fl</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lastRenderedPageBreak/>
              <w:t>Columbus, Ohio  43215</w:t>
            </w:r>
          </w:p>
          <w:p w:rsidR="005F3A27" w:rsidRPr="005F3A27" w:rsidRDefault="00D57981" w:rsidP="00FE771E">
            <w:pPr>
              <w:autoSpaceDE w:val="0"/>
              <w:autoSpaceDN w:val="0"/>
              <w:adjustRightInd w:val="0"/>
              <w:spacing w:after="0" w:line="240" w:lineRule="auto"/>
              <w:rPr>
                <w:rFonts w:eastAsia="Times New Roman"/>
                <w:sz w:val="24"/>
                <w:szCs w:val="24"/>
              </w:rPr>
            </w:pPr>
            <w:hyperlink r:id="rId18" w:history="1">
              <w:r w:rsidR="005F3A27" w:rsidRPr="005F3A27">
                <w:rPr>
                  <w:rFonts w:eastAsia="Times New Roman"/>
                  <w:color w:val="0000FF"/>
                  <w:sz w:val="24"/>
                  <w:szCs w:val="24"/>
                  <w:u w:val="single"/>
                </w:rPr>
                <w:t>Jeanne.kingery@duke-energy.com</w:t>
              </w:r>
            </w:hyperlink>
          </w:p>
          <w:p w:rsidR="005F3A27" w:rsidRPr="005F3A27" w:rsidRDefault="00D57981" w:rsidP="00FE771E">
            <w:pPr>
              <w:autoSpaceDE w:val="0"/>
              <w:autoSpaceDN w:val="0"/>
              <w:adjustRightInd w:val="0"/>
              <w:spacing w:after="0" w:line="240" w:lineRule="auto"/>
              <w:rPr>
                <w:rFonts w:eastAsia="Times New Roman"/>
                <w:sz w:val="24"/>
                <w:szCs w:val="24"/>
              </w:rPr>
            </w:pPr>
            <w:hyperlink r:id="rId19" w:history="1">
              <w:r w:rsidR="005F3A27" w:rsidRPr="005F3A27">
                <w:rPr>
                  <w:rFonts w:eastAsia="Times New Roman"/>
                  <w:color w:val="0000FF"/>
                  <w:sz w:val="24"/>
                  <w:szCs w:val="24"/>
                  <w:u w:val="single"/>
                </w:rPr>
                <w:t>Elizabeth.watts@duke-energy.com</w:t>
              </w:r>
            </w:hyperlink>
          </w:p>
        </w:tc>
      </w:tr>
    </w:tbl>
    <w:p w:rsidR="005F3A27" w:rsidRPr="007A1505" w:rsidRDefault="005F3A27" w:rsidP="007A1505"/>
    <w:tbl>
      <w:tblPr>
        <w:tblW w:w="0" w:type="auto"/>
        <w:tblLook w:val="04A0" w:firstRow="1" w:lastRow="0" w:firstColumn="1" w:lastColumn="0" w:noHBand="0" w:noVBand="1"/>
      </w:tblPr>
      <w:tblGrid>
        <w:gridCol w:w="4428"/>
        <w:gridCol w:w="4428"/>
      </w:tblGrid>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Amy B. Spiller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Elizabeth H. Watts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Duke Energy Business Services, LLC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139 East Fourth Street, 1303 Main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Cincinnati, Ohio  45202</w:t>
            </w:r>
          </w:p>
          <w:p w:rsidR="005F3A27" w:rsidRPr="005F3A27" w:rsidRDefault="00D57981" w:rsidP="00FE771E">
            <w:pPr>
              <w:autoSpaceDE w:val="0"/>
              <w:autoSpaceDN w:val="0"/>
              <w:adjustRightInd w:val="0"/>
              <w:spacing w:after="0" w:line="240" w:lineRule="auto"/>
              <w:rPr>
                <w:rFonts w:eastAsia="Times New Roman"/>
                <w:sz w:val="24"/>
                <w:szCs w:val="24"/>
              </w:rPr>
            </w:pPr>
            <w:hyperlink r:id="rId20" w:history="1">
              <w:r w:rsidR="005F3A27" w:rsidRPr="005F3A27">
                <w:rPr>
                  <w:rFonts w:eastAsia="Times New Roman"/>
                  <w:color w:val="0000FF"/>
                  <w:sz w:val="24"/>
                  <w:szCs w:val="24"/>
                  <w:u w:val="single"/>
                </w:rPr>
                <w:t>Elizabeth.watts@duke-energy.com</w:t>
              </w:r>
            </w:hyperlink>
          </w:p>
          <w:p w:rsidR="005F3A27" w:rsidRPr="005F3A27" w:rsidRDefault="00D57981" w:rsidP="00FE771E">
            <w:pPr>
              <w:autoSpaceDE w:val="0"/>
              <w:autoSpaceDN w:val="0"/>
              <w:adjustRightInd w:val="0"/>
              <w:spacing w:after="0" w:line="240" w:lineRule="auto"/>
              <w:rPr>
                <w:rFonts w:eastAsia="Times New Roman"/>
                <w:sz w:val="24"/>
                <w:szCs w:val="24"/>
              </w:rPr>
            </w:pPr>
            <w:hyperlink r:id="rId21" w:history="1">
              <w:r w:rsidR="005F3A27" w:rsidRPr="005F3A27">
                <w:rPr>
                  <w:rFonts w:eastAsia="Times New Roman"/>
                  <w:color w:val="0000FF"/>
                  <w:sz w:val="24"/>
                  <w:szCs w:val="24"/>
                  <w:u w:val="single"/>
                </w:rPr>
                <w:t>Amy.spiller@duke-energy.com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Judi L. </w:t>
            </w:r>
            <w:proofErr w:type="spellStart"/>
            <w:r w:rsidRPr="005F3A27">
              <w:rPr>
                <w:rFonts w:eastAsia="Times New Roman"/>
                <w:sz w:val="24"/>
                <w:szCs w:val="24"/>
              </w:rPr>
              <w:t>Sobecki</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Dayton Power and Light Company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1065 Woodman Drive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Dayton, Ohio  45432</w:t>
            </w:r>
          </w:p>
          <w:p w:rsidR="005F3A27" w:rsidRPr="005F3A27" w:rsidRDefault="00D57981" w:rsidP="00FE771E">
            <w:pPr>
              <w:autoSpaceDE w:val="0"/>
              <w:autoSpaceDN w:val="0"/>
              <w:adjustRightInd w:val="0"/>
              <w:spacing w:after="0" w:line="240" w:lineRule="auto"/>
              <w:rPr>
                <w:rFonts w:eastAsia="Times New Roman"/>
                <w:sz w:val="24"/>
                <w:szCs w:val="24"/>
              </w:rPr>
            </w:pPr>
            <w:hyperlink r:id="rId22" w:history="1">
              <w:r w:rsidR="005F3A27" w:rsidRPr="005F3A27">
                <w:rPr>
                  <w:rFonts w:eastAsia="Times New Roman"/>
                  <w:color w:val="0000FF"/>
                  <w:sz w:val="24"/>
                  <w:szCs w:val="24"/>
                  <w:u w:val="single"/>
                </w:rPr>
                <w:t>Judi.sobecki@dplinc.com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Nathan G. Johnson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Staff Attorney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Buckeye Forest Council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1200 W. Fifth Ave., STE 103</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23" w:history="1">
              <w:r w:rsidR="005F3A27" w:rsidRPr="005F3A27">
                <w:rPr>
                  <w:rFonts w:eastAsia="Times New Roman"/>
                  <w:color w:val="0000FF"/>
                  <w:sz w:val="24"/>
                  <w:szCs w:val="24"/>
                  <w:u w:val="single"/>
                </w:rPr>
                <w:t>nathan@buckeyeforestcouncil.org</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Trent A. Dougherty, Esq.</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Director of Legal Affairs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Ohio Environmental Council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1207 Grandview Ave. Suite 201</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43212</w:t>
            </w:r>
          </w:p>
          <w:p w:rsidR="005F3A27" w:rsidRPr="005F3A27" w:rsidRDefault="00D57981" w:rsidP="00FE771E">
            <w:pPr>
              <w:autoSpaceDE w:val="0"/>
              <w:autoSpaceDN w:val="0"/>
              <w:adjustRightInd w:val="0"/>
              <w:spacing w:after="0" w:line="240" w:lineRule="auto"/>
              <w:rPr>
                <w:rFonts w:eastAsia="Times New Roman"/>
                <w:sz w:val="24"/>
                <w:szCs w:val="24"/>
              </w:rPr>
            </w:pPr>
            <w:hyperlink r:id="rId24" w:history="1">
              <w:r w:rsidR="005F3A27" w:rsidRPr="005F3A27">
                <w:rPr>
                  <w:rFonts w:eastAsia="Times New Roman"/>
                  <w:color w:val="0000FF"/>
                  <w:sz w:val="24"/>
                  <w:szCs w:val="24"/>
                  <w:u w:val="single"/>
                </w:rPr>
                <w:t>trent@theoec.org</w:t>
              </w:r>
            </w:hyperlink>
          </w:p>
          <w:p w:rsidR="005F3A27" w:rsidRPr="005F3A27" w:rsidRDefault="005F3A27" w:rsidP="00FE771E">
            <w:pPr>
              <w:autoSpaceDE w:val="0"/>
              <w:autoSpaceDN w:val="0"/>
              <w:adjustRightInd w:val="0"/>
              <w:spacing w:after="0" w:line="240" w:lineRule="auto"/>
              <w:ind w:firstLine="720"/>
              <w:rPr>
                <w:rFonts w:eastAsia="Times New Roman"/>
                <w:color w:val="0000FF"/>
                <w:sz w:val="24"/>
                <w:szCs w:val="24"/>
              </w:rPr>
            </w:pPr>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proofErr w:type="spellStart"/>
            <w:r w:rsidRPr="005F3A27">
              <w:rPr>
                <w:rFonts w:eastAsia="Times New Roman"/>
                <w:sz w:val="24"/>
                <w:szCs w:val="24"/>
              </w:rPr>
              <w:t>Scotte</w:t>
            </w:r>
            <w:proofErr w:type="spellEnd"/>
            <w:r w:rsidRPr="005F3A27">
              <w:rPr>
                <w:rFonts w:eastAsia="Times New Roman"/>
                <w:sz w:val="24"/>
                <w:szCs w:val="24"/>
              </w:rPr>
              <w:t xml:space="preserve"> Elliott, MSEE, CEM</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NABCEP Certified Solar PV</w:t>
            </w:r>
          </w:p>
          <w:p w:rsidR="005F3A27" w:rsidRPr="005F3A27" w:rsidRDefault="005F3A27" w:rsidP="00FE771E">
            <w:pPr>
              <w:autoSpaceDE w:val="0"/>
              <w:autoSpaceDN w:val="0"/>
              <w:adjustRightInd w:val="0"/>
              <w:spacing w:after="0" w:line="240" w:lineRule="auto"/>
              <w:rPr>
                <w:rFonts w:eastAsia="Times New Roman"/>
                <w:sz w:val="24"/>
                <w:szCs w:val="24"/>
              </w:rPr>
            </w:pPr>
            <w:proofErr w:type="spellStart"/>
            <w:r w:rsidRPr="005F3A27">
              <w:rPr>
                <w:rFonts w:eastAsia="Times New Roman"/>
                <w:sz w:val="24"/>
                <w:szCs w:val="24"/>
              </w:rPr>
              <w:t>InstallerTM</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Metro CD Engineering, LLC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7003 Post Road, Suite 204</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Dublin, Ohio 43016</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25" w:history="1">
              <w:r w:rsidR="005F3A27" w:rsidRPr="005F3A27">
                <w:rPr>
                  <w:rFonts w:eastAsia="Times New Roman"/>
                  <w:color w:val="0000FF"/>
                  <w:sz w:val="24"/>
                  <w:szCs w:val="24"/>
                  <w:u w:val="single"/>
                </w:rPr>
                <w:t>selliott@metrocdengineering.com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Mark A. Hayden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Scott J. </w:t>
            </w:r>
            <w:proofErr w:type="spellStart"/>
            <w:r w:rsidRPr="005F3A27">
              <w:rPr>
                <w:rFonts w:eastAsia="Times New Roman"/>
                <w:sz w:val="24"/>
                <w:szCs w:val="24"/>
              </w:rPr>
              <w:t>Casto</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FirstEnergy Service Company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76 South Main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Akron, Ohio  44308</w:t>
            </w:r>
          </w:p>
          <w:p w:rsidR="005F3A27" w:rsidRPr="005F3A27" w:rsidRDefault="00D57981" w:rsidP="00FE771E">
            <w:pPr>
              <w:autoSpaceDE w:val="0"/>
              <w:autoSpaceDN w:val="0"/>
              <w:adjustRightInd w:val="0"/>
              <w:spacing w:after="0" w:line="240" w:lineRule="auto"/>
              <w:rPr>
                <w:rFonts w:eastAsia="Times New Roman"/>
                <w:sz w:val="24"/>
                <w:szCs w:val="24"/>
              </w:rPr>
            </w:pPr>
            <w:hyperlink r:id="rId26" w:history="1">
              <w:r w:rsidR="005F3A27" w:rsidRPr="005F3A27">
                <w:rPr>
                  <w:rFonts w:eastAsia="Times New Roman"/>
                  <w:color w:val="0000FF"/>
                  <w:sz w:val="24"/>
                  <w:szCs w:val="24"/>
                  <w:u w:val="single"/>
                </w:rPr>
                <w:t>haydenm@firstenergycorp.com</w:t>
              </w:r>
            </w:hyperlink>
          </w:p>
          <w:p w:rsidR="005F3A27" w:rsidRPr="005F3A27" w:rsidRDefault="00D57981" w:rsidP="00FE771E">
            <w:pPr>
              <w:autoSpaceDE w:val="0"/>
              <w:autoSpaceDN w:val="0"/>
              <w:adjustRightInd w:val="0"/>
              <w:spacing w:after="0" w:line="240" w:lineRule="auto"/>
              <w:rPr>
                <w:rFonts w:eastAsia="Times New Roman"/>
                <w:sz w:val="24"/>
                <w:szCs w:val="24"/>
              </w:rPr>
            </w:pPr>
            <w:hyperlink r:id="rId27" w:history="1">
              <w:r w:rsidR="005F3A27" w:rsidRPr="005F3A27">
                <w:rPr>
                  <w:rFonts w:eastAsia="Times New Roman"/>
                  <w:color w:val="0000FF"/>
                  <w:sz w:val="24"/>
                  <w:szCs w:val="24"/>
                  <w:u w:val="single"/>
                </w:rPr>
                <w:t>scasto@firstenergycorp.com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M. Howard </w:t>
            </w:r>
            <w:proofErr w:type="spellStart"/>
            <w:r w:rsidRPr="005F3A27">
              <w:rPr>
                <w:rFonts w:eastAsia="Times New Roman"/>
                <w:sz w:val="24"/>
                <w:szCs w:val="24"/>
              </w:rPr>
              <w:t>Petricoff</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Stephen M. Howard</w:t>
            </w:r>
          </w:p>
          <w:p w:rsidR="005F3A27" w:rsidRPr="005F3A27" w:rsidRDefault="005F3A27" w:rsidP="00FE771E">
            <w:pPr>
              <w:autoSpaceDE w:val="0"/>
              <w:autoSpaceDN w:val="0"/>
              <w:adjustRightInd w:val="0"/>
              <w:spacing w:after="0" w:line="240" w:lineRule="auto"/>
              <w:rPr>
                <w:rFonts w:eastAsia="Times New Roman"/>
                <w:sz w:val="24"/>
                <w:szCs w:val="24"/>
              </w:rPr>
            </w:pPr>
            <w:proofErr w:type="spellStart"/>
            <w:r w:rsidRPr="005F3A27">
              <w:rPr>
                <w:rFonts w:eastAsia="Times New Roman"/>
                <w:sz w:val="24"/>
                <w:szCs w:val="24"/>
              </w:rPr>
              <w:t>Vorys</w:t>
            </w:r>
            <w:proofErr w:type="spellEnd"/>
            <w:r w:rsidRPr="005F3A27">
              <w:rPr>
                <w:rFonts w:eastAsia="Times New Roman"/>
                <w:sz w:val="24"/>
                <w:szCs w:val="24"/>
              </w:rPr>
              <w:t xml:space="preserve">, </w:t>
            </w:r>
            <w:proofErr w:type="spellStart"/>
            <w:r w:rsidRPr="005F3A27">
              <w:rPr>
                <w:rFonts w:eastAsia="Times New Roman"/>
                <w:sz w:val="24"/>
                <w:szCs w:val="24"/>
              </w:rPr>
              <w:t>Sater</w:t>
            </w:r>
            <w:proofErr w:type="spellEnd"/>
            <w:r w:rsidRPr="005F3A27">
              <w:rPr>
                <w:rFonts w:eastAsia="Times New Roman"/>
                <w:sz w:val="24"/>
                <w:szCs w:val="24"/>
              </w:rPr>
              <w:t>, Seymour and Pease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i/>
                <w:iCs/>
                <w:sz w:val="24"/>
                <w:szCs w:val="24"/>
              </w:rPr>
              <w:t xml:space="preserve">52 </w:t>
            </w:r>
            <w:r w:rsidRPr="005F3A27">
              <w:rPr>
                <w:rFonts w:eastAsia="Times New Roman"/>
                <w:sz w:val="24"/>
                <w:szCs w:val="24"/>
              </w:rPr>
              <w:t>East Gay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P. 0. Box 1008</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43216-1008</w:t>
            </w:r>
          </w:p>
          <w:p w:rsidR="005F3A27" w:rsidRPr="005F3A27" w:rsidRDefault="00D57981" w:rsidP="00FE771E">
            <w:pPr>
              <w:autoSpaceDE w:val="0"/>
              <w:autoSpaceDN w:val="0"/>
              <w:adjustRightInd w:val="0"/>
              <w:spacing w:after="0" w:line="240" w:lineRule="auto"/>
              <w:rPr>
                <w:rFonts w:eastAsia="Times New Roman"/>
                <w:sz w:val="24"/>
                <w:szCs w:val="24"/>
              </w:rPr>
            </w:pPr>
            <w:hyperlink r:id="rId28" w:history="1">
              <w:r w:rsidR="005F3A27" w:rsidRPr="005F3A27">
                <w:rPr>
                  <w:rFonts w:eastAsia="Times New Roman"/>
                  <w:color w:val="0000FF"/>
                  <w:sz w:val="24"/>
                  <w:szCs w:val="24"/>
                  <w:u w:val="single"/>
                </w:rPr>
                <w:t>mhpetricoff@vorys.com</w:t>
              </w:r>
            </w:hyperlink>
          </w:p>
          <w:p w:rsidR="005F3A27" w:rsidRPr="005F3A27" w:rsidRDefault="00D57981" w:rsidP="00FE771E">
            <w:pPr>
              <w:autoSpaceDE w:val="0"/>
              <w:autoSpaceDN w:val="0"/>
              <w:adjustRightInd w:val="0"/>
              <w:spacing w:after="0" w:line="240" w:lineRule="auto"/>
              <w:rPr>
                <w:rFonts w:eastAsia="Times New Roman"/>
                <w:sz w:val="24"/>
                <w:szCs w:val="24"/>
              </w:rPr>
            </w:pPr>
            <w:hyperlink r:id="rId29" w:history="1">
              <w:r w:rsidR="005F3A27" w:rsidRPr="005F3A27">
                <w:rPr>
                  <w:rFonts w:eastAsia="Times New Roman"/>
                  <w:color w:val="0000FF"/>
                  <w:sz w:val="24"/>
                  <w:szCs w:val="24"/>
                  <w:u w:val="single"/>
                </w:rPr>
                <w:t>smhoward@vorys.com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James W. Burk </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Counsel of Record</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Carrie M. Dunn </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FirstEnergy Corporation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76 South Main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Akron, Ohio 44308</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30" w:history="1">
              <w:r w:rsidR="005F3A27" w:rsidRPr="005F3A27">
                <w:rPr>
                  <w:rFonts w:eastAsia="Times New Roman"/>
                  <w:color w:val="0000FF"/>
                  <w:sz w:val="24"/>
                  <w:szCs w:val="24"/>
                  <w:u w:val="single"/>
                </w:rPr>
                <w:t>burkj@firstenergycorp.com</w:t>
              </w:r>
            </w:hyperlink>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31" w:history="1">
              <w:r w:rsidR="005F3A27" w:rsidRPr="005F3A27">
                <w:rPr>
                  <w:rFonts w:eastAsia="Times New Roman"/>
                  <w:color w:val="0000FF"/>
                  <w:sz w:val="24"/>
                  <w:szCs w:val="24"/>
                  <w:u w:val="single"/>
                </w:rPr>
                <w:t>cdunn@firstenergycorp.com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Colleen L. Mooney</w:t>
            </w:r>
          </w:p>
          <w:p w:rsidR="005F3A27" w:rsidRPr="005F3A27" w:rsidRDefault="005F3A27" w:rsidP="00FE771E">
            <w:pPr>
              <w:autoSpaceDE w:val="0"/>
              <w:autoSpaceDN w:val="0"/>
              <w:adjustRightInd w:val="0"/>
              <w:spacing w:after="0" w:line="240" w:lineRule="auto"/>
              <w:rPr>
                <w:rFonts w:eastAsia="Times New Roman"/>
                <w:sz w:val="24"/>
                <w:szCs w:val="24"/>
              </w:rPr>
            </w:pPr>
            <w:proofErr w:type="spellStart"/>
            <w:r w:rsidRPr="005F3A27">
              <w:rPr>
                <w:rFonts w:eastAsia="Times New Roman"/>
                <w:sz w:val="24"/>
                <w:szCs w:val="24"/>
              </w:rPr>
              <w:t>Cathryn</w:t>
            </w:r>
            <w:proofErr w:type="spellEnd"/>
            <w:r w:rsidRPr="005F3A27">
              <w:rPr>
                <w:rFonts w:eastAsia="Times New Roman"/>
                <w:sz w:val="24"/>
                <w:szCs w:val="24"/>
              </w:rPr>
              <w:t xml:space="preserve"> N. </w:t>
            </w:r>
            <w:proofErr w:type="spellStart"/>
            <w:r w:rsidRPr="005F3A27">
              <w:rPr>
                <w:rFonts w:eastAsia="Times New Roman"/>
                <w:sz w:val="24"/>
                <w:szCs w:val="24"/>
              </w:rPr>
              <w:t>Loucas</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Ohio Partners for Affordable Energy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231 West Lima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Findlay, Ohio 45840</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32" w:history="1">
              <w:r w:rsidR="005F3A27" w:rsidRPr="005F3A27">
                <w:rPr>
                  <w:rFonts w:eastAsia="Times New Roman"/>
                  <w:color w:val="0000FF"/>
                  <w:sz w:val="24"/>
                  <w:szCs w:val="24"/>
                  <w:u w:val="single"/>
                </w:rPr>
                <w:t>cmooney@ohiopartners.org</w:t>
              </w:r>
            </w:hyperlink>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33" w:history="1">
              <w:r w:rsidR="005F3A27" w:rsidRPr="005F3A27">
                <w:rPr>
                  <w:rFonts w:eastAsia="Times New Roman"/>
                  <w:color w:val="0000FF"/>
                  <w:sz w:val="24"/>
                  <w:szCs w:val="24"/>
                  <w:u w:val="single"/>
                </w:rPr>
                <w:t>cloucas@ohiopartners.org</w:t>
              </w:r>
            </w:hyperlink>
          </w:p>
          <w:p w:rsidR="005F3A27" w:rsidRPr="005F3A27" w:rsidRDefault="005F3A27" w:rsidP="00FE771E">
            <w:pPr>
              <w:autoSpaceDE w:val="0"/>
              <w:autoSpaceDN w:val="0"/>
              <w:adjustRightInd w:val="0"/>
              <w:spacing w:after="0" w:line="240" w:lineRule="auto"/>
              <w:rPr>
                <w:rFonts w:eastAsia="Times New Roman"/>
                <w:color w:val="0000FF"/>
                <w:sz w:val="24"/>
                <w:szCs w:val="24"/>
              </w:rPr>
            </w:pPr>
          </w:p>
          <w:p w:rsidR="005F3A27" w:rsidRPr="005F3A27" w:rsidRDefault="005F3A27" w:rsidP="00FE771E">
            <w:pPr>
              <w:autoSpaceDE w:val="0"/>
              <w:autoSpaceDN w:val="0"/>
              <w:adjustRightInd w:val="0"/>
              <w:spacing w:after="0" w:line="240" w:lineRule="auto"/>
              <w:rPr>
                <w:rFonts w:eastAsia="Times New Roman"/>
                <w:sz w:val="24"/>
                <w:szCs w:val="24"/>
              </w:rPr>
            </w:pPr>
          </w:p>
        </w:tc>
      </w:tr>
    </w:tbl>
    <w:p w:rsidR="005F3A27" w:rsidRPr="005F3A27" w:rsidRDefault="005F3A27" w:rsidP="005F3A27">
      <w:pPr>
        <w:spacing w:after="0" w:line="240" w:lineRule="auto"/>
        <w:rPr>
          <w:rFonts w:eastAsia="Times New Roman"/>
          <w:sz w:val="24"/>
          <w:szCs w:val="24"/>
        </w:rPr>
      </w:pPr>
    </w:p>
    <w:tbl>
      <w:tblPr>
        <w:tblW w:w="0" w:type="auto"/>
        <w:tblLook w:val="04A0" w:firstRow="1" w:lastRow="0" w:firstColumn="1" w:lastColumn="0" w:noHBand="0" w:noVBand="1"/>
      </w:tblPr>
      <w:tblGrid>
        <w:gridCol w:w="4428"/>
        <w:gridCol w:w="4428"/>
      </w:tblGrid>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Matthew J. Satterwhite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Steven T. </w:t>
            </w:r>
            <w:proofErr w:type="spellStart"/>
            <w:r w:rsidRPr="005F3A27">
              <w:rPr>
                <w:rFonts w:eastAsia="Times New Roman"/>
                <w:sz w:val="24"/>
                <w:szCs w:val="24"/>
              </w:rPr>
              <w:t>Nourse</w:t>
            </w:r>
            <w:proofErr w:type="spellEnd"/>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American Electric Power Corporation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 Riverside Plaza, 29th Floor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34" w:history="1">
              <w:r w:rsidR="005F3A27" w:rsidRPr="005F3A27">
                <w:rPr>
                  <w:rFonts w:eastAsia="Times New Roman"/>
                  <w:color w:val="0000FF"/>
                  <w:sz w:val="24"/>
                  <w:szCs w:val="24"/>
                  <w:u w:val="single"/>
                </w:rPr>
                <w:t>mjstatterwhite@aep.com</w:t>
              </w:r>
            </w:hyperlink>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35" w:history="1">
              <w:r w:rsidR="005F3A27" w:rsidRPr="005F3A27">
                <w:rPr>
                  <w:rFonts w:eastAsia="Times New Roman"/>
                  <w:color w:val="0000FF"/>
                  <w:sz w:val="24"/>
                  <w:szCs w:val="24"/>
                  <w:u w:val="single"/>
                </w:rPr>
                <w:t>stnourse@aep.com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Richard L. Sites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General Counsel and Senior Director of Health Policy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155 East Broad Street, 15th Floor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43215-3620</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36" w:history="1">
              <w:r w:rsidR="005F3A27" w:rsidRPr="005F3A27">
                <w:rPr>
                  <w:rFonts w:eastAsia="Times New Roman"/>
                  <w:color w:val="0000FF"/>
                  <w:sz w:val="24"/>
                  <w:szCs w:val="24"/>
                  <w:u w:val="single"/>
                </w:rPr>
                <w:t>ricks@OHANET.org</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Thomas J. O’Brien</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Bricker &amp; </w:t>
            </w:r>
            <w:proofErr w:type="spellStart"/>
            <w:r w:rsidRPr="005F3A27">
              <w:rPr>
                <w:rFonts w:eastAsia="Times New Roman"/>
                <w:sz w:val="24"/>
                <w:szCs w:val="24"/>
              </w:rPr>
              <w:t>Eckler</w:t>
            </w:r>
            <w:proofErr w:type="spellEnd"/>
            <w:r w:rsidRPr="005F3A27">
              <w:rPr>
                <w:rFonts w:eastAsia="Times New Roman"/>
                <w:sz w:val="24"/>
                <w:szCs w:val="24"/>
              </w:rPr>
              <w:t xml:space="preserve">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100 South Third Street</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43215-4291</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37" w:history="1">
              <w:r w:rsidR="005F3A27" w:rsidRPr="005F3A27">
                <w:rPr>
                  <w:rFonts w:eastAsia="Times New Roman"/>
                  <w:color w:val="0000FF"/>
                  <w:sz w:val="24"/>
                  <w:szCs w:val="24"/>
                  <w:u w:val="single"/>
                </w:rPr>
                <w:t>tobrien@bricker.com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Matthew White </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In-House Counsel</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Interstate Gas Supply, Inc.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6100 Emerald Parkway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Dublin, Ohio 43016</w:t>
            </w:r>
          </w:p>
          <w:p w:rsidR="005F3A27" w:rsidRPr="005F3A27" w:rsidRDefault="00D57981" w:rsidP="00FE771E">
            <w:pPr>
              <w:autoSpaceDE w:val="0"/>
              <w:autoSpaceDN w:val="0"/>
              <w:adjustRightInd w:val="0"/>
              <w:spacing w:after="0" w:line="240" w:lineRule="auto"/>
              <w:rPr>
                <w:rFonts w:eastAsia="Times New Roman"/>
                <w:sz w:val="24"/>
                <w:szCs w:val="24"/>
              </w:rPr>
            </w:pPr>
            <w:hyperlink r:id="rId38" w:history="1">
              <w:r w:rsidR="005F3A27" w:rsidRPr="005F3A27">
                <w:rPr>
                  <w:rFonts w:eastAsia="Times New Roman"/>
                  <w:color w:val="0000FF"/>
                  <w:sz w:val="24"/>
                  <w:szCs w:val="24"/>
                  <w:u w:val="single"/>
                </w:rPr>
                <w:t>mswhite@igsenergy.com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Steven Giles</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Vice President – Alternative Energy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Hull &amp; Associate, Inc.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6397 Emerald Parkway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Dublin, Ohio 43016</w:t>
            </w:r>
          </w:p>
          <w:p w:rsidR="005F3A27" w:rsidRPr="005F3A27" w:rsidRDefault="00D57981" w:rsidP="00FE771E">
            <w:pPr>
              <w:autoSpaceDE w:val="0"/>
              <w:autoSpaceDN w:val="0"/>
              <w:adjustRightInd w:val="0"/>
              <w:spacing w:after="0" w:line="240" w:lineRule="auto"/>
              <w:rPr>
                <w:rFonts w:eastAsia="Times New Roman"/>
                <w:sz w:val="24"/>
                <w:szCs w:val="24"/>
              </w:rPr>
            </w:pPr>
            <w:hyperlink r:id="rId39" w:history="1">
              <w:r w:rsidR="005F3A27" w:rsidRPr="005F3A27">
                <w:rPr>
                  <w:rFonts w:eastAsia="Times New Roman"/>
                  <w:color w:val="0000FF"/>
                  <w:sz w:val="24"/>
                  <w:szCs w:val="24"/>
                  <w:u w:val="single"/>
                </w:rPr>
                <w:t>sgiles@hullinc.com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bCs/>
                <w:sz w:val="24"/>
                <w:szCs w:val="24"/>
              </w:rPr>
            </w:pPr>
            <w:r w:rsidRPr="005F3A27">
              <w:rPr>
                <w:rFonts w:eastAsia="Times New Roman"/>
                <w:bCs/>
                <w:sz w:val="24"/>
                <w:szCs w:val="24"/>
              </w:rPr>
              <w:t>Joseph M. Clark</w:t>
            </w:r>
          </w:p>
          <w:p w:rsidR="005F3A27" w:rsidRPr="005F3A27" w:rsidRDefault="005F3A27" w:rsidP="00FE771E">
            <w:pPr>
              <w:autoSpaceDE w:val="0"/>
              <w:autoSpaceDN w:val="0"/>
              <w:adjustRightInd w:val="0"/>
              <w:spacing w:after="0" w:line="240" w:lineRule="auto"/>
              <w:rPr>
                <w:rFonts w:eastAsia="Times New Roman"/>
                <w:bCs/>
                <w:sz w:val="24"/>
                <w:szCs w:val="24"/>
              </w:rPr>
            </w:pPr>
            <w:r w:rsidRPr="005F3A27">
              <w:rPr>
                <w:rFonts w:eastAsia="Times New Roman"/>
                <w:bCs/>
                <w:sz w:val="24"/>
                <w:szCs w:val="24"/>
              </w:rPr>
              <w:t>Jennifer L. Lause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Direct Energy</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Fifth Third Building</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21 East State Street, 19th Floor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40" w:history="1">
              <w:r w:rsidR="005F3A27" w:rsidRPr="005F3A27">
                <w:rPr>
                  <w:rFonts w:eastAsia="Times New Roman"/>
                  <w:color w:val="0000FF"/>
                  <w:sz w:val="24"/>
                  <w:szCs w:val="24"/>
                  <w:u w:val="single"/>
                </w:rPr>
                <w:t>joseph.clark@directenergy.com</w:t>
              </w:r>
            </w:hyperlink>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41" w:history="1">
              <w:r w:rsidR="005F3A27" w:rsidRPr="005F3A27">
                <w:rPr>
                  <w:rFonts w:eastAsia="Times New Roman"/>
                  <w:color w:val="0000FF"/>
                  <w:sz w:val="24"/>
                  <w:szCs w:val="24"/>
                  <w:u w:val="single"/>
                </w:rPr>
                <w:t>jennifer.lause@directenergy.com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Emma Berndt</w:t>
            </w:r>
          </w:p>
          <w:p w:rsidR="005F3A27" w:rsidRPr="005F3A27" w:rsidRDefault="005F3A27" w:rsidP="00FE771E">
            <w:pPr>
              <w:autoSpaceDE w:val="0"/>
              <w:autoSpaceDN w:val="0"/>
              <w:adjustRightInd w:val="0"/>
              <w:spacing w:after="0" w:line="240" w:lineRule="auto"/>
              <w:rPr>
                <w:rFonts w:eastAsia="Times New Roman"/>
                <w:sz w:val="24"/>
                <w:szCs w:val="24"/>
              </w:rPr>
            </w:pPr>
            <w:proofErr w:type="spellStart"/>
            <w:r w:rsidRPr="005F3A27">
              <w:rPr>
                <w:rFonts w:eastAsia="Times New Roman"/>
                <w:sz w:val="24"/>
                <w:szCs w:val="24"/>
              </w:rPr>
              <w:t>Opower</w:t>
            </w:r>
            <w:proofErr w:type="spellEnd"/>
            <w:r w:rsidRPr="005F3A27">
              <w:rPr>
                <w:rFonts w:eastAsia="Times New Roman"/>
                <w:sz w:val="24"/>
                <w:szCs w:val="24"/>
              </w:rPr>
              <w:t>, Inc.</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1515 North Courthouse Road</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Arlington, Virginia 22201</w:t>
            </w:r>
          </w:p>
          <w:p w:rsidR="005F3A27" w:rsidRPr="005F3A27" w:rsidRDefault="00D57981" w:rsidP="00FE771E">
            <w:pPr>
              <w:autoSpaceDE w:val="0"/>
              <w:autoSpaceDN w:val="0"/>
              <w:adjustRightInd w:val="0"/>
              <w:spacing w:after="0" w:line="240" w:lineRule="auto"/>
              <w:rPr>
                <w:rFonts w:eastAsia="Times New Roman"/>
                <w:sz w:val="24"/>
                <w:szCs w:val="24"/>
              </w:rPr>
            </w:pPr>
            <w:hyperlink r:id="rId42" w:history="1">
              <w:r w:rsidR="005F3A27" w:rsidRPr="005F3A27">
                <w:rPr>
                  <w:rFonts w:eastAsia="Times New Roman"/>
                  <w:color w:val="0000FF"/>
                  <w:sz w:val="24"/>
                  <w:szCs w:val="24"/>
                  <w:u w:val="single"/>
                </w:rPr>
                <w:t>Emma.berndt@opower.com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James Nice</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230 W. Huron, Ste. 85-53</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Cleveland, Ohio 44113</w:t>
            </w:r>
          </w:p>
          <w:p w:rsidR="005F3A27" w:rsidRPr="005F3A27" w:rsidRDefault="00D57981" w:rsidP="00FE771E">
            <w:pPr>
              <w:autoSpaceDE w:val="0"/>
              <w:autoSpaceDN w:val="0"/>
              <w:adjustRightInd w:val="0"/>
              <w:spacing w:after="0" w:line="240" w:lineRule="auto"/>
              <w:rPr>
                <w:rFonts w:eastAsia="Times New Roman"/>
                <w:color w:val="0000FF"/>
                <w:sz w:val="24"/>
                <w:szCs w:val="24"/>
              </w:rPr>
            </w:pPr>
            <w:hyperlink r:id="rId43" w:history="1">
              <w:r w:rsidR="005F3A27" w:rsidRPr="005F3A27">
                <w:rPr>
                  <w:rFonts w:eastAsia="Times New Roman"/>
                  <w:color w:val="0000FF"/>
                  <w:sz w:val="24"/>
                  <w:szCs w:val="24"/>
                  <w:u w:val="single"/>
                </w:rPr>
                <w:t>jnice@energy-avenue.com</w:t>
              </w:r>
            </w:hyperlink>
          </w:p>
          <w:p w:rsidR="005F3A27" w:rsidRPr="005F3A27" w:rsidRDefault="005F3A27" w:rsidP="00FE771E">
            <w:pPr>
              <w:autoSpaceDE w:val="0"/>
              <w:autoSpaceDN w:val="0"/>
              <w:adjustRightInd w:val="0"/>
              <w:spacing w:after="0" w:line="240" w:lineRule="auto"/>
              <w:rPr>
                <w:rFonts w:eastAsia="Times New Roman"/>
                <w:color w:val="0000FF"/>
                <w:sz w:val="24"/>
                <w:szCs w:val="24"/>
              </w:rPr>
            </w:pPr>
          </w:p>
          <w:p w:rsidR="005F3A27" w:rsidRPr="005F3A27" w:rsidRDefault="005F3A27" w:rsidP="00FE771E">
            <w:pPr>
              <w:autoSpaceDE w:val="0"/>
              <w:autoSpaceDN w:val="0"/>
              <w:adjustRightInd w:val="0"/>
              <w:spacing w:after="0" w:line="240" w:lineRule="auto"/>
              <w:rPr>
                <w:rFonts w:eastAsia="Times New Roman"/>
                <w:bCs/>
                <w:sz w:val="24"/>
                <w:szCs w:val="24"/>
              </w:rPr>
            </w:pPr>
          </w:p>
        </w:tc>
      </w:tr>
      <w:tr w:rsidR="005F3A27" w:rsidRPr="005F3A27" w:rsidTr="00FE771E">
        <w:tc>
          <w:tcPr>
            <w:tcW w:w="4428" w:type="dxa"/>
            <w:shd w:val="clear" w:color="auto" w:fill="auto"/>
          </w:tcPr>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Mallory M. Mohler</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 xml:space="preserve">Carpenter </w:t>
            </w:r>
            <w:proofErr w:type="spellStart"/>
            <w:r w:rsidRPr="005F3A27">
              <w:rPr>
                <w:rFonts w:eastAsia="Times New Roman"/>
                <w:sz w:val="24"/>
                <w:szCs w:val="24"/>
              </w:rPr>
              <w:t>Lipps</w:t>
            </w:r>
            <w:proofErr w:type="spellEnd"/>
            <w:r w:rsidRPr="005F3A27">
              <w:rPr>
                <w:rFonts w:eastAsia="Times New Roman"/>
                <w:sz w:val="24"/>
                <w:szCs w:val="24"/>
              </w:rPr>
              <w:t xml:space="preserve"> &amp; Leland LLP</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280 North High St., Ste. 1300</w:t>
            </w:r>
          </w:p>
          <w:p w:rsidR="005F3A27" w:rsidRPr="005F3A27" w:rsidRDefault="005F3A27" w:rsidP="00FE771E">
            <w:pPr>
              <w:autoSpaceDE w:val="0"/>
              <w:autoSpaceDN w:val="0"/>
              <w:adjustRightInd w:val="0"/>
              <w:spacing w:after="0" w:line="240" w:lineRule="auto"/>
              <w:rPr>
                <w:rFonts w:eastAsia="Times New Roman"/>
                <w:sz w:val="24"/>
                <w:szCs w:val="24"/>
              </w:rPr>
            </w:pPr>
            <w:r w:rsidRPr="005F3A27">
              <w:rPr>
                <w:rFonts w:eastAsia="Times New Roman"/>
                <w:sz w:val="24"/>
                <w:szCs w:val="24"/>
              </w:rPr>
              <w:t>Columbus, Ohio 43215</w:t>
            </w:r>
          </w:p>
          <w:p w:rsidR="005F3A27" w:rsidRPr="005F3A27" w:rsidRDefault="00D57981" w:rsidP="00FE771E">
            <w:pPr>
              <w:autoSpaceDE w:val="0"/>
              <w:autoSpaceDN w:val="0"/>
              <w:adjustRightInd w:val="0"/>
              <w:spacing w:after="0" w:line="240" w:lineRule="auto"/>
              <w:rPr>
                <w:rFonts w:eastAsia="Times New Roman"/>
                <w:sz w:val="24"/>
                <w:szCs w:val="24"/>
              </w:rPr>
            </w:pPr>
            <w:hyperlink r:id="rId44" w:history="1">
              <w:r w:rsidR="005F3A27" w:rsidRPr="005F3A27">
                <w:rPr>
                  <w:rFonts w:eastAsia="Times New Roman"/>
                  <w:color w:val="0000FF"/>
                  <w:sz w:val="24"/>
                  <w:szCs w:val="24"/>
                  <w:u w:val="single"/>
                </w:rPr>
                <w:t>mohler@carpenterlipps.com</w:t>
              </w:r>
            </w:hyperlink>
          </w:p>
          <w:p w:rsidR="005F3A27" w:rsidRPr="005F3A27" w:rsidRDefault="005F3A27" w:rsidP="00FE771E">
            <w:pPr>
              <w:autoSpaceDE w:val="0"/>
              <w:autoSpaceDN w:val="0"/>
              <w:adjustRightInd w:val="0"/>
              <w:spacing w:after="0" w:line="240" w:lineRule="auto"/>
              <w:rPr>
                <w:rFonts w:eastAsia="Times New Roman"/>
                <w:sz w:val="24"/>
                <w:szCs w:val="24"/>
              </w:rPr>
            </w:pPr>
          </w:p>
        </w:tc>
        <w:tc>
          <w:tcPr>
            <w:tcW w:w="4428" w:type="dxa"/>
            <w:shd w:val="clear" w:color="auto" w:fill="auto"/>
          </w:tcPr>
          <w:p w:rsidR="005F3A27" w:rsidRPr="005F3A27" w:rsidRDefault="005F3A27" w:rsidP="00FE771E">
            <w:pPr>
              <w:pStyle w:val="Default"/>
              <w:rPr>
                <w:rFonts w:ascii="Arial" w:hAnsi="Arial" w:cs="Arial"/>
                <w:bCs/>
              </w:rPr>
            </w:pPr>
            <w:r w:rsidRPr="005F3A27">
              <w:rPr>
                <w:rFonts w:ascii="Arial" w:hAnsi="Arial" w:cs="Arial"/>
                <w:bCs/>
              </w:rPr>
              <w:t>Melissa Yost</w:t>
            </w:r>
          </w:p>
          <w:p w:rsidR="005F3A27" w:rsidRPr="005F3A27" w:rsidRDefault="005F3A27" w:rsidP="00FE771E">
            <w:pPr>
              <w:pStyle w:val="Default"/>
              <w:rPr>
                <w:rFonts w:ascii="Arial" w:hAnsi="Arial" w:cs="Arial"/>
              </w:rPr>
            </w:pPr>
            <w:r w:rsidRPr="005F3A27">
              <w:rPr>
                <w:rFonts w:ascii="Arial" w:hAnsi="Arial" w:cs="Arial"/>
                <w:bCs/>
              </w:rPr>
              <w:t xml:space="preserve">Office of the Ohio Consumers’ Counsel </w:t>
            </w:r>
          </w:p>
          <w:p w:rsidR="005F3A27" w:rsidRPr="005F3A27" w:rsidRDefault="005F3A27" w:rsidP="00FE771E">
            <w:pPr>
              <w:pStyle w:val="Default"/>
              <w:rPr>
                <w:rFonts w:ascii="Arial" w:hAnsi="Arial" w:cs="Arial"/>
              </w:rPr>
            </w:pPr>
            <w:r w:rsidRPr="005F3A27">
              <w:rPr>
                <w:rFonts w:ascii="Arial" w:hAnsi="Arial" w:cs="Arial"/>
              </w:rPr>
              <w:t xml:space="preserve">10 West Broad Street, Suite 1800 </w:t>
            </w:r>
          </w:p>
          <w:p w:rsidR="005F3A27" w:rsidRPr="005F3A27" w:rsidRDefault="005F3A27" w:rsidP="00FE771E">
            <w:pPr>
              <w:pStyle w:val="Default"/>
              <w:rPr>
                <w:rFonts w:ascii="Arial" w:hAnsi="Arial" w:cs="Arial"/>
              </w:rPr>
            </w:pPr>
            <w:r w:rsidRPr="005F3A27">
              <w:rPr>
                <w:rFonts w:ascii="Arial" w:hAnsi="Arial" w:cs="Arial"/>
              </w:rPr>
              <w:t xml:space="preserve">Columbus, Ohio 43215-3485 </w:t>
            </w:r>
          </w:p>
          <w:p w:rsidR="005F3A27" w:rsidRPr="005F3A27" w:rsidRDefault="005F3A27" w:rsidP="00FE771E">
            <w:pPr>
              <w:pStyle w:val="Default"/>
              <w:rPr>
                <w:rFonts w:ascii="Arial" w:hAnsi="Arial" w:cs="Arial"/>
              </w:rPr>
            </w:pPr>
            <w:r w:rsidRPr="005F3A27">
              <w:rPr>
                <w:rFonts w:ascii="Arial" w:hAnsi="Arial" w:cs="Arial"/>
              </w:rPr>
              <w:t xml:space="preserve">(614) 466-1291 – Telephone </w:t>
            </w:r>
          </w:p>
          <w:p w:rsidR="005F3A27" w:rsidRPr="005F3A27" w:rsidRDefault="00D57981" w:rsidP="00FE771E">
            <w:pPr>
              <w:pStyle w:val="Default"/>
              <w:rPr>
                <w:rStyle w:val="Hyperlink"/>
                <w:rFonts w:ascii="Arial" w:hAnsi="Arial" w:cs="Arial"/>
              </w:rPr>
            </w:pPr>
            <w:hyperlink r:id="rId45" w:history="1">
              <w:r w:rsidR="005F3A27" w:rsidRPr="005F3A27">
                <w:rPr>
                  <w:rStyle w:val="Hyperlink"/>
                  <w:rFonts w:ascii="Arial" w:hAnsi="Arial" w:cs="Arial"/>
                </w:rPr>
                <w:t>yost@occ.state.oh.us</w:t>
              </w:r>
            </w:hyperlink>
          </w:p>
          <w:p w:rsidR="005F3A27" w:rsidRPr="005F3A27" w:rsidRDefault="005F3A27" w:rsidP="00FE771E">
            <w:pPr>
              <w:autoSpaceDE w:val="0"/>
              <w:autoSpaceDN w:val="0"/>
              <w:adjustRightInd w:val="0"/>
              <w:spacing w:after="0" w:line="240" w:lineRule="auto"/>
              <w:rPr>
                <w:rFonts w:eastAsia="Times New Roman"/>
                <w:sz w:val="24"/>
                <w:szCs w:val="24"/>
              </w:rPr>
            </w:pPr>
          </w:p>
        </w:tc>
      </w:tr>
    </w:tbl>
    <w:p w:rsidR="005F3A27" w:rsidRPr="005F3A27" w:rsidRDefault="005F3A27" w:rsidP="005F3A27">
      <w:pPr>
        <w:spacing w:after="0" w:line="240" w:lineRule="auto"/>
        <w:rPr>
          <w:rFonts w:eastAsia="Times New Roman"/>
          <w:sz w:val="24"/>
          <w:szCs w:val="24"/>
        </w:rPr>
      </w:pPr>
    </w:p>
    <w:p w:rsidR="00B51CF2" w:rsidRPr="005F3A27" w:rsidRDefault="00B51CF2" w:rsidP="00081D81">
      <w:pPr>
        <w:spacing w:after="120" w:line="480" w:lineRule="auto"/>
        <w:jc w:val="both"/>
        <w:rPr>
          <w:sz w:val="24"/>
          <w:szCs w:val="24"/>
        </w:rPr>
      </w:pPr>
    </w:p>
    <w:p w:rsidR="005F3A27" w:rsidRPr="005F3A27" w:rsidRDefault="005F3A27">
      <w:pPr>
        <w:spacing w:after="120" w:line="480" w:lineRule="auto"/>
        <w:jc w:val="both"/>
        <w:rPr>
          <w:sz w:val="24"/>
          <w:szCs w:val="24"/>
        </w:rPr>
      </w:pPr>
    </w:p>
    <w:sectPr w:rsidR="005F3A27" w:rsidRPr="005F3A27">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81" w:rsidRDefault="00D57981" w:rsidP="00C26F34">
      <w:pPr>
        <w:spacing w:after="0" w:line="240" w:lineRule="auto"/>
      </w:pPr>
      <w:r>
        <w:separator/>
      </w:r>
    </w:p>
  </w:endnote>
  <w:endnote w:type="continuationSeparator" w:id="0">
    <w:p w:rsidR="00D57981" w:rsidRDefault="00D57981" w:rsidP="00C2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8" w:rsidRDefault="005E6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82740"/>
      <w:docPartObj>
        <w:docPartGallery w:val="Page Numbers (Bottom of Page)"/>
        <w:docPartUnique/>
      </w:docPartObj>
    </w:sdtPr>
    <w:sdtEndPr>
      <w:rPr>
        <w:noProof/>
      </w:rPr>
    </w:sdtEndPr>
    <w:sdtContent>
      <w:p w:rsidR="00886680" w:rsidRDefault="00886680">
        <w:pPr>
          <w:pStyle w:val="Footer"/>
          <w:jc w:val="center"/>
        </w:pPr>
        <w:r>
          <w:fldChar w:fldCharType="begin"/>
        </w:r>
        <w:r>
          <w:instrText xml:space="preserve"> PAGE   \* MERGEFORMAT </w:instrText>
        </w:r>
        <w:r>
          <w:fldChar w:fldCharType="separate"/>
        </w:r>
        <w:r w:rsidR="009C3798">
          <w:rPr>
            <w:noProof/>
          </w:rPr>
          <w:t>1</w:t>
        </w:r>
        <w:r>
          <w:rPr>
            <w:noProof/>
          </w:rPr>
          <w:fldChar w:fldCharType="end"/>
        </w:r>
      </w:p>
    </w:sdtContent>
  </w:sdt>
  <w:p w:rsidR="00886680" w:rsidRDefault="00886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8" w:rsidRDefault="005E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81" w:rsidRDefault="00D57981" w:rsidP="00C26F34">
      <w:pPr>
        <w:spacing w:after="0" w:line="240" w:lineRule="auto"/>
      </w:pPr>
      <w:r>
        <w:separator/>
      </w:r>
    </w:p>
  </w:footnote>
  <w:footnote w:type="continuationSeparator" w:id="0">
    <w:p w:rsidR="00D57981" w:rsidRDefault="00D57981" w:rsidP="00C26F34">
      <w:pPr>
        <w:spacing w:after="0" w:line="240" w:lineRule="auto"/>
      </w:pPr>
      <w:r>
        <w:continuationSeparator/>
      </w:r>
    </w:p>
  </w:footnote>
  <w:footnote w:id="1">
    <w:p w:rsidR="00F671A1" w:rsidRDefault="00F671A1">
      <w:pPr>
        <w:pStyle w:val="FootnoteText"/>
      </w:pPr>
      <w:r>
        <w:rPr>
          <w:rStyle w:val="FootnoteReference"/>
        </w:rPr>
        <w:footnoteRef/>
      </w:r>
      <w:r>
        <w:t xml:space="preserve"> Application for Rehearing of </w:t>
      </w:r>
      <w:r w:rsidRPr="005E6B28">
        <w:t xml:space="preserve">Ohio Edison Company, </w:t>
      </w:r>
      <w:proofErr w:type="gramStart"/>
      <w:r w:rsidRPr="005E6B28">
        <w:t>The</w:t>
      </w:r>
      <w:proofErr w:type="gramEnd"/>
      <w:r w:rsidRPr="005E6B28">
        <w:t xml:space="preserve"> Cleveland Electric Illuminating Company, and the Toledo Edison Compan</w:t>
      </w:r>
      <w:r>
        <w:t>y at 1-12 (Jun. 27, 2014).</w:t>
      </w:r>
    </w:p>
    <w:p w:rsidR="00F671A1" w:rsidRDefault="00F671A1">
      <w:pPr>
        <w:pStyle w:val="FootnoteText"/>
      </w:pPr>
    </w:p>
  </w:footnote>
  <w:footnote w:id="2">
    <w:p w:rsidR="00F671A1" w:rsidRPr="00F671A1" w:rsidRDefault="00F671A1">
      <w:pPr>
        <w:pStyle w:val="FootnoteText"/>
      </w:pPr>
      <w:r>
        <w:rPr>
          <w:rStyle w:val="FootnoteReference"/>
        </w:rPr>
        <w:footnoteRef/>
      </w:r>
      <w:r>
        <w:t xml:space="preserve"> </w:t>
      </w:r>
      <w:proofErr w:type="gramStart"/>
      <w:r>
        <w:rPr>
          <w:i/>
        </w:rPr>
        <w:t xml:space="preserve">Id. </w:t>
      </w:r>
      <w:r>
        <w:t>at 13.</w:t>
      </w:r>
      <w:proofErr w:type="gramEnd"/>
    </w:p>
  </w:footnote>
  <w:footnote w:id="3">
    <w:p w:rsidR="00B27667" w:rsidRDefault="00B27667" w:rsidP="00B27667">
      <w:pPr>
        <w:pStyle w:val="FootnoteText"/>
      </w:pPr>
      <w:r>
        <w:rPr>
          <w:rStyle w:val="FootnoteReference"/>
        </w:rPr>
        <w:footnoteRef/>
      </w:r>
      <w:r>
        <w:t xml:space="preserve"> </w:t>
      </w:r>
      <w:r w:rsidR="00905A66">
        <w:t>January Order at 40 (Jan. 15, 2014).</w:t>
      </w:r>
    </w:p>
    <w:p w:rsidR="005E6B28" w:rsidRDefault="005E6B28" w:rsidP="00B27667">
      <w:pPr>
        <w:pStyle w:val="FootnoteText"/>
      </w:pPr>
    </w:p>
  </w:footnote>
  <w:footnote w:id="4">
    <w:p w:rsidR="005E6B28" w:rsidRDefault="005E6B28">
      <w:pPr>
        <w:pStyle w:val="FootnoteText"/>
      </w:pPr>
      <w:r>
        <w:rPr>
          <w:rStyle w:val="FootnoteReference"/>
        </w:rPr>
        <w:footnoteRef/>
      </w:r>
      <w:r>
        <w:t xml:space="preserve"> </w:t>
      </w:r>
      <w:r>
        <w:rPr>
          <w:i/>
        </w:rPr>
        <w:t xml:space="preserve">See generally </w:t>
      </w:r>
      <w:r>
        <w:t xml:space="preserve">Application for Rehearing of </w:t>
      </w:r>
      <w:r w:rsidRPr="005E6B28">
        <w:t>Ohio Edison Company, The Cleveland Electric Illuminating Company, and the Toledo Edison Compan</w:t>
      </w:r>
      <w:r>
        <w:t>y (Feb. 14, 2014).</w:t>
      </w:r>
    </w:p>
    <w:p w:rsidR="00887A15" w:rsidRDefault="00887A15">
      <w:pPr>
        <w:pStyle w:val="FootnoteText"/>
      </w:pPr>
    </w:p>
  </w:footnote>
  <w:footnote w:id="5">
    <w:p w:rsidR="005E6B28" w:rsidRDefault="005E6B28">
      <w:pPr>
        <w:pStyle w:val="FootnoteText"/>
      </w:pPr>
      <w:r>
        <w:rPr>
          <w:rStyle w:val="FootnoteReference"/>
        </w:rPr>
        <w:footnoteRef/>
      </w:r>
      <w:r>
        <w:t xml:space="preserve"> </w:t>
      </w:r>
      <w:proofErr w:type="gramStart"/>
      <w:r>
        <w:t>R.C. 4903.10.</w:t>
      </w:r>
      <w:proofErr w:type="gramEnd"/>
    </w:p>
    <w:p w:rsidR="00F671A1" w:rsidRDefault="00F671A1">
      <w:pPr>
        <w:pStyle w:val="FootnoteText"/>
      </w:pPr>
    </w:p>
  </w:footnote>
  <w:footnote w:id="6">
    <w:p w:rsidR="005E6B28" w:rsidRDefault="005E6B28">
      <w:pPr>
        <w:pStyle w:val="FootnoteText"/>
      </w:pPr>
      <w:r>
        <w:rPr>
          <w:rStyle w:val="FootnoteReference"/>
        </w:rPr>
        <w:footnoteRef/>
      </w:r>
      <w:r>
        <w:t xml:space="preserve"> Application for Rehearing of Ohio Power Company at 1 (Feb. 14, 2014).</w:t>
      </w:r>
    </w:p>
  </w:footnote>
  <w:footnote w:id="7">
    <w:p w:rsidR="00D27F9F" w:rsidRDefault="00D27F9F">
      <w:pPr>
        <w:pStyle w:val="FootnoteText"/>
      </w:pPr>
      <w:r>
        <w:rPr>
          <w:rStyle w:val="FootnoteReference"/>
        </w:rPr>
        <w:footnoteRef/>
      </w:r>
      <w:r w:rsidR="00C703BB">
        <w:t xml:space="preserve"> </w:t>
      </w:r>
      <w:proofErr w:type="gramStart"/>
      <w:r w:rsidR="00C703BB">
        <w:t>Entry at 20-21</w:t>
      </w:r>
      <w:r>
        <w:t xml:space="preserve"> (May 28, 2014)</w:t>
      </w:r>
      <w:r w:rsidR="00826227">
        <w:t xml:space="preserve"> (emphasis added)</w:t>
      </w:r>
      <w:r>
        <w:t>.</w:t>
      </w:r>
      <w:proofErr w:type="gramEnd"/>
    </w:p>
  </w:footnote>
  <w:footnote w:id="8">
    <w:p w:rsidR="00F671A1" w:rsidRDefault="00F671A1">
      <w:pPr>
        <w:pStyle w:val="FootnoteText"/>
      </w:pPr>
      <w:r>
        <w:rPr>
          <w:rStyle w:val="FootnoteReference"/>
        </w:rPr>
        <w:footnoteRef/>
      </w:r>
      <w:r>
        <w:t xml:space="preserve"> </w:t>
      </w:r>
      <w:r w:rsidRPr="00F671A1">
        <w:t xml:space="preserve">Application for Rehearing of Ohio Edison Company, </w:t>
      </w:r>
      <w:proofErr w:type="gramStart"/>
      <w:r w:rsidRPr="00F671A1">
        <w:t>The</w:t>
      </w:r>
      <w:proofErr w:type="gramEnd"/>
      <w:r w:rsidRPr="00F671A1">
        <w:t xml:space="preserve"> Cleveland Electric Illuminating Company, and th</w:t>
      </w:r>
      <w:r>
        <w:t>e Toledo Edison Company at 1-12 (Jun. 27</w:t>
      </w:r>
      <w:r w:rsidRPr="00F671A1">
        <w:t>, 2014).</w:t>
      </w:r>
    </w:p>
    <w:p w:rsidR="00887A15" w:rsidRDefault="00887A15">
      <w:pPr>
        <w:pStyle w:val="FootnoteText"/>
      </w:pPr>
    </w:p>
  </w:footnote>
  <w:footnote w:id="9">
    <w:p w:rsidR="00F671A1" w:rsidRDefault="00F671A1">
      <w:pPr>
        <w:pStyle w:val="FootnoteText"/>
      </w:pPr>
      <w:r>
        <w:rPr>
          <w:rStyle w:val="FootnoteReference"/>
        </w:rPr>
        <w:footnoteRef/>
      </w:r>
      <w:r>
        <w:t xml:space="preserve"> Application for Rehearing of </w:t>
      </w:r>
      <w:r w:rsidRPr="005E6B28">
        <w:t xml:space="preserve">Ohio Edison Company, </w:t>
      </w:r>
      <w:proofErr w:type="gramStart"/>
      <w:r w:rsidRPr="005E6B28">
        <w:t>The</w:t>
      </w:r>
      <w:proofErr w:type="gramEnd"/>
      <w:r w:rsidRPr="005E6B28">
        <w:t xml:space="preserve"> Cleveland Electric Illuminating Company, and the Toledo Edison Compan</w:t>
      </w:r>
      <w:r>
        <w:t>y at 10-11 (Jun. 27, 2014).</w:t>
      </w:r>
    </w:p>
    <w:p w:rsidR="00F671A1" w:rsidRDefault="00F671A1">
      <w:pPr>
        <w:pStyle w:val="FootnoteText"/>
      </w:pPr>
    </w:p>
  </w:footnote>
  <w:footnote w:id="10">
    <w:p w:rsidR="00F671A1" w:rsidRDefault="00F671A1">
      <w:pPr>
        <w:pStyle w:val="FootnoteText"/>
      </w:pPr>
      <w:r>
        <w:rPr>
          <w:rStyle w:val="FootnoteReference"/>
        </w:rPr>
        <w:footnoteRef/>
      </w:r>
      <w:r>
        <w:t xml:space="preserve"> </w:t>
      </w:r>
      <w:r>
        <w:rPr>
          <w:i/>
        </w:rPr>
        <w:t xml:space="preserve">Id. </w:t>
      </w:r>
      <w:r>
        <w:t>at 11-12.</w:t>
      </w:r>
    </w:p>
    <w:p w:rsidR="00F671A1" w:rsidRPr="00F671A1" w:rsidRDefault="00F671A1">
      <w:pPr>
        <w:pStyle w:val="FootnoteText"/>
      </w:pPr>
    </w:p>
  </w:footnote>
  <w:footnote w:id="11">
    <w:p w:rsidR="00C703BB" w:rsidRPr="00C703BB" w:rsidRDefault="00C703BB">
      <w:pPr>
        <w:pStyle w:val="FootnoteText"/>
      </w:pPr>
      <w:r>
        <w:rPr>
          <w:rStyle w:val="FootnoteReference"/>
        </w:rPr>
        <w:footnoteRef/>
      </w:r>
      <w:r>
        <w:t xml:space="preserve"> </w:t>
      </w:r>
      <w:r w:rsidR="00F671A1">
        <w:t>Entry</w:t>
      </w:r>
      <w:r>
        <w:rPr>
          <w:i/>
        </w:rPr>
        <w:t xml:space="preserve"> </w:t>
      </w:r>
      <w:r>
        <w:t>at 21</w:t>
      </w:r>
      <w:r w:rsidR="00F671A1">
        <w:t xml:space="preserve"> (May 28, 2014)</w:t>
      </w:r>
      <w:r>
        <w:t>.</w:t>
      </w:r>
    </w:p>
  </w:footnote>
  <w:footnote w:id="12">
    <w:p w:rsidR="00F671A1" w:rsidRDefault="00F671A1">
      <w:pPr>
        <w:pStyle w:val="FootnoteText"/>
      </w:pPr>
      <w:r>
        <w:rPr>
          <w:rStyle w:val="FootnoteReference"/>
        </w:rPr>
        <w:footnoteRef/>
      </w:r>
      <w:r>
        <w:t xml:space="preserve"> </w:t>
      </w:r>
      <w:r w:rsidRPr="00F671A1">
        <w:t xml:space="preserve">Application for Rehearing of Ohio Edison Company, </w:t>
      </w:r>
      <w:proofErr w:type="gramStart"/>
      <w:r w:rsidRPr="00F671A1">
        <w:t>The</w:t>
      </w:r>
      <w:proofErr w:type="gramEnd"/>
      <w:r w:rsidRPr="00F671A1">
        <w:t xml:space="preserve"> Cleveland Electric Illuminating Company, and the Toledo Ediso</w:t>
      </w:r>
      <w:r>
        <w:t>n Company at 6-7 (Jun. 27</w:t>
      </w:r>
      <w:r w:rsidRPr="00F671A1">
        <w:t>, 2014).</w:t>
      </w:r>
    </w:p>
    <w:p w:rsidR="00F671A1" w:rsidRDefault="00F671A1">
      <w:pPr>
        <w:pStyle w:val="FootnoteText"/>
      </w:pPr>
    </w:p>
  </w:footnote>
  <w:footnote w:id="13">
    <w:p w:rsidR="00F671A1" w:rsidRDefault="00F671A1">
      <w:pPr>
        <w:pStyle w:val="FootnoteText"/>
        <w:rPr>
          <w:i/>
        </w:rPr>
      </w:pPr>
      <w:r>
        <w:rPr>
          <w:rStyle w:val="FootnoteReference"/>
        </w:rPr>
        <w:footnoteRef/>
      </w:r>
      <w:r>
        <w:t xml:space="preserve"> </w:t>
      </w:r>
      <w:r>
        <w:rPr>
          <w:i/>
        </w:rPr>
        <w:t xml:space="preserve">Id. </w:t>
      </w:r>
    </w:p>
    <w:p w:rsidR="00F671A1" w:rsidRPr="00F671A1" w:rsidRDefault="00F671A1">
      <w:pPr>
        <w:pStyle w:val="FootnoteText"/>
        <w:rPr>
          <w:i/>
        </w:rPr>
      </w:pPr>
    </w:p>
  </w:footnote>
  <w:footnote w:id="14">
    <w:p w:rsidR="00F671A1" w:rsidRPr="00F671A1" w:rsidRDefault="00F671A1">
      <w:pPr>
        <w:pStyle w:val="FootnoteText"/>
        <w:rPr>
          <w:i/>
        </w:rPr>
      </w:pPr>
      <w:r>
        <w:rPr>
          <w:rStyle w:val="FootnoteReference"/>
        </w:rPr>
        <w:footnoteRef/>
      </w:r>
      <w:r>
        <w:t xml:space="preserve"> </w:t>
      </w:r>
      <w:r>
        <w:rPr>
          <w:i/>
        </w:rPr>
        <w:t xml:space="preserve">Id. </w:t>
      </w:r>
    </w:p>
  </w:footnote>
  <w:footnote w:id="15">
    <w:p w:rsidR="000F276C" w:rsidRDefault="000F276C">
      <w:pPr>
        <w:pStyle w:val="FootnoteText"/>
      </w:pPr>
      <w:r>
        <w:rPr>
          <w:rStyle w:val="FootnoteReference"/>
        </w:rPr>
        <w:footnoteRef/>
      </w:r>
      <w:r>
        <w:t xml:space="preserve"> Entry at 16-17 (May 28, 2014); Entry, Attachment A at p. 13 of 20 (May 28, 2014) (containing modified Rule 4901:1-10-28(B</w:t>
      </w:r>
      <w:proofErr w:type="gramStart"/>
      <w:r>
        <w:t>)(</w:t>
      </w:r>
      <w:proofErr w:type="gramEnd"/>
      <w:r>
        <w:t>6), OAC).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8" w:rsidRDefault="005E6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8" w:rsidRDefault="005E6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8" w:rsidRDefault="005E6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462"/>
    <w:multiLevelType w:val="hybridMultilevel"/>
    <w:tmpl w:val="A6AA75E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1E0273A2"/>
    <w:multiLevelType w:val="hybridMultilevel"/>
    <w:tmpl w:val="66368634"/>
    <w:lvl w:ilvl="0" w:tplc="E1D2F2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56EE3"/>
    <w:multiLevelType w:val="hybridMultilevel"/>
    <w:tmpl w:val="0B122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42001"/>
    <w:multiLevelType w:val="hybridMultilevel"/>
    <w:tmpl w:val="FD30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97"/>
    <w:rsid w:val="00045D7B"/>
    <w:rsid w:val="00081D81"/>
    <w:rsid w:val="000C4088"/>
    <w:rsid w:val="000E39DB"/>
    <w:rsid w:val="000F276C"/>
    <w:rsid w:val="001E379A"/>
    <w:rsid w:val="00260999"/>
    <w:rsid w:val="0028385E"/>
    <w:rsid w:val="00290870"/>
    <w:rsid w:val="002E0F64"/>
    <w:rsid w:val="003A2B19"/>
    <w:rsid w:val="00404592"/>
    <w:rsid w:val="00491905"/>
    <w:rsid w:val="004A2500"/>
    <w:rsid w:val="004D0B5A"/>
    <w:rsid w:val="004E1830"/>
    <w:rsid w:val="00505266"/>
    <w:rsid w:val="00527579"/>
    <w:rsid w:val="005A1B52"/>
    <w:rsid w:val="005A5997"/>
    <w:rsid w:val="005E6B28"/>
    <w:rsid w:val="005F3A27"/>
    <w:rsid w:val="0061040B"/>
    <w:rsid w:val="00624A45"/>
    <w:rsid w:val="006A18D0"/>
    <w:rsid w:val="006B7902"/>
    <w:rsid w:val="00707B69"/>
    <w:rsid w:val="00742D54"/>
    <w:rsid w:val="007953D5"/>
    <w:rsid w:val="007A1505"/>
    <w:rsid w:val="007A211B"/>
    <w:rsid w:val="007C368D"/>
    <w:rsid w:val="007E461E"/>
    <w:rsid w:val="00801CBE"/>
    <w:rsid w:val="008241B8"/>
    <w:rsid w:val="00826227"/>
    <w:rsid w:val="00851859"/>
    <w:rsid w:val="00865E23"/>
    <w:rsid w:val="00886680"/>
    <w:rsid w:val="00887A15"/>
    <w:rsid w:val="008B2756"/>
    <w:rsid w:val="00905A66"/>
    <w:rsid w:val="00914BF1"/>
    <w:rsid w:val="009C3798"/>
    <w:rsid w:val="009F5B55"/>
    <w:rsid w:val="00AA6ACD"/>
    <w:rsid w:val="00AA7BAE"/>
    <w:rsid w:val="00AC5097"/>
    <w:rsid w:val="00AF50BB"/>
    <w:rsid w:val="00B11434"/>
    <w:rsid w:val="00B14BF2"/>
    <w:rsid w:val="00B27667"/>
    <w:rsid w:val="00B40E95"/>
    <w:rsid w:val="00B51CF2"/>
    <w:rsid w:val="00BC39C9"/>
    <w:rsid w:val="00C023F0"/>
    <w:rsid w:val="00C26F34"/>
    <w:rsid w:val="00C703BB"/>
    <w:rsid w:val="00CA4A09"/>
    <w:rsid w:val="00CA4B6F"/>
    <w:rsid w:val="00CA6856"/>
    <w:rsid w:val="00D04C9C"/>
    <w:rsid w:val="00D27F9F"/>
    <w:rsid w:val="00D56E92"/>
    <w:rsid w:val="00D57981"/>
    <w:rsid w:val="00D71E02"/>
    <w:rsid w:val="00EA468F"/>
    <w:rsid w:val="00ED7B3E"/>
    <w:rsid w:val="00EE428C"/>
    <w:rsid w:val="00F6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56"/>
    <w:pPr>
      <w:ind w:left="720"/>
      <w:contextualSpacing/>
    </w:pPr>
  </w:style>
  <w:style w:type="paragraph" w:styleId="FootnoteText">
    <w:name w:val="footnote text"/>
    <w:basedOn w:val="Normal"/>
    <w:link w:val="FootnoteTextChar"/>
    <w:uiPriority w:val="99"/>
    <w:semiHidden/>
    <w:unhideWhenUsed/>
    <w:rsid w:val="00C26F34"/>
    <w:pPr>
      <w:spacing w:after="0" w:line="240" w:lineRule="auto"/>
    </w:pPr>
  </w:style>
  <w:style w:type="character" w:customStyle="1" w:styleId="FootnoteTextChar">
    <w:name w:val="Footnote Text Char"/>
    <w:basedOn w:val="DefaultParagraphFont"/>
    <w:link w:val="FootnoteText"/>
    <w:uiPriority w:val="99"/>
    <w:semiHidden/>
    <w:rsid w:val="00C26F34"/>
  </w:style>
  <w:style w:type="character" w:styleId="FootnoteReference">
    <w:name w:val="footnote reference"/>
    <w:basedOn w:val="DefaultParagraphFont"/>
    <w:uiPriority w:val="99"/>
    <w:semiHidden/>
    <w:unhideWhenUsed/>
    <w:rsid w:val="00C26F34"/>
    <w:rPr>
      <w:vertAlign w:val="superscript"/>
    </w:rPr>
  </w:style>
  <w:style w:type="paragraph" w:styleId="Footer">
    <w:name w:val="footer"/>
    <w:basedOn w:val="Normal"/>
    <w:link w:val="FooterChar"/>
    <w:uiPriority w:val="99"/>
    <w:unhideWhenUsed/>
    <w:rsid w:val="00905A66"/>
    <w:pPr>
      <w:tabs>
        <w:tab w:val="center" w:pos="4680"/>
        <w:tab w:val="right" w:pos="9360"/>
      </w:tabs>
      <w:spacing w:after="0" w:line="240" w:lineRule="auto"/>
    </w:pPr>
    <w:rPr>
      <w:rFonts w:asciiTheme="minorHAnsi" w:eastAsiaTheme="minorEastAsia" w:hAnsiTheme="minorHAnsi" w:cstheme="minorBidi"/>
      <w:color w:val="auto"/>
      <w:sz w:val="22"/>
      <w:szCs w:val="22"/>
    </w:rPr>
  </w:style>
  <w:style w:type="character" w:customStyle="1" w:styleId="FooterChar">
    <w:name w:val="Footer Char"/>
    <w:basedOn w:val="DefaultParagraphFont"/>
    <w:link w:val="Footer"/>
    <w:uiPriority w:val="99"/>
    <w:rsid w:val="00905A66"/>
    <w:rPr>
      <w:rFonts w:asciiTheme="minorHAnsi" w:eastAsiaTheme="minorEastAsia" w:hAnsiTheme="minorHAnsi" w:cstheme="minorBidi"/>
      <w:color w:val="auto"/>
      <w:sz w:val="22"/>
      <w:szCs w:val="22"/>
    </w:rPr>
  </w:style>
  <w:style w:type="paragraph" w:styleId="Title">
    <w:name w:val="Title"/>
    <w:basedOn w:val="Normal"/>
    <w:link w:val="TitleChar"/>
    <w:qFormat/>
    <w:rsid w:val="00905A66"/>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905A66"/>
    <w:rPr>
      <w:rFonts w:ascii="Times New Roman" w:eastAsia="Times New Roman" w:hAnsi="Times New Roman" w:cs="Times New Roman"/>
      <w:b/>
      <w:color w:val="auto"/>
      <w:sz w:val="24"/>
    </w:rPr>
  </w:style>
  <w:style w:type="paragraph" w:styleId="Header">
    <w:name w:val="header"/>
    <w:basedOn w:val="Normal"/>
    <w:link w:val="HeaderChar"/>
    <w:uiPriority w:val="99"/>
    <w:unhideWhenUsed/>
    <w:rsid w:val="0088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80"/>
  </w:style>
  <w:style w:type="paragraph" w:styleId="BalloonText">
    <w:name w:val="Balloon Text"/>
    <w:basedOn w:val="Normal"/>
    <w:link w:val="BalloonTextChar"/>
    <w:uiPriority w:val="99"/>
    <w:semiHidden/>
    <w:unhideWhenUsed/>
    <w:rsid w:val="004E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30"/>
    <w:rPr>
      <w:rFonts w:ascii="Tahoma" w:hAnsi="Tahoma" w:cs="Tahoma"/>
      <w:sz w:val="16"/>
      <w:szCs w:val="16"/>
    </w:rPr>
  </w:style>
  <w:style w:type="character" w:styleId="CommentReference">
    <w:name w:val="annotation reference"/>
    <w:basedOn w:val="DefaultParagraphFont"/>
    <w:uiPriority w:val="99"/>
    <w:semiHidden/>
    <w:unhideWhenUsed/>
    <w:rsid w:val="002E0F64"/>
    <w:rPr>
      <w:sz w:val="16"/>
      <w:szCs w:val="16"/>
    </w:rPr>
  </w:style>
  <w:style w:type="paragraph" w:styleId="CommentText">
    <w:name w:val="annotation text"/>
    <w:basedOn w:val="Normal"/>
    <w:link w:val="CommentTextChar"/>
    <w:uiPriority w:val="99"/>
    <w:semiHidden/>
    <w:unhideWhenUsed/>
    <w:rsid w:val="002E0F64"/>
    <w:pPr>
      <w:spacing w:line="240" w:lineRule="auto"/>
    </w:pPr>
  </w:style>
  <w:style w:type="character" w:customStyle="1" w:styleId="CommentTextChar">
    <w:name w:val="Comment Text Char"/>
    <w:basedOn w:val="DefaultParagraphFont"/>
    <w:link w:val="CommentText"/>
    <w:uiPriority w:val="99"/>
    <w:semiHidden/>
    <w:rsid w:val="002E0F64"/>
  </w:style>
  <w:style w:type="paragraph" w:styleId="CommentSubject">
    <w:name w:val="annotation subject"/>
    <w:basedOn w:val="CommentText"/>
    <w:next w:val="CommentText"/>
    <w:link w:val="CommentSubjectChar"/>
    <w:uiPriority w:val="99"/>
    <w:semiHidden/>
    <w:unhideWhenUsed/>
    <w:rsid w:val="002E0F64"/>
    <w:rPr>
      <w:b/>
      <w:bCs/>
    </w:rPr>
  </w:style>
  <w:style w:type="character" w:customStyle="1" w:styleId="CommentSubjectChar">
    <w:name w:val="Comment Subject Char"/>
    <w:basedOn w:val="CommentTextChar"/>
    <w:link w:val="CommentSubject"/>
    <w:uiPriority w:val="99"/>
    <w:semiHidden/>
    <w:rsid w:val="002E0F64"/>
    <w:rPr>
      <w:b/>
      <w:bCs/>
    </w:rPr>
  </w:style>
  <w:style w:type="character" w:styleId="Hyperlink">
    <w:name w:val="Hyperlink"/>
    <w:basedOn w:val="DefaultParagraphFont"/>
    <w:uiPriority w:val="99"/>
    <w:rsid w:val="005F3A27"/>
    <w:rPr>
      <w:color w:val="0000FF"/>
      <w:u w:val="single"/>
    </w:rPr>
  </w:style>
  <w:style w:type="paragraph" w:customStyle="1" w:styleId="Default">
    <w:name w:val="Default"/>
    <w:rsid w:val="005F3A27"/>
    <w:pPr>
      <w:autoSpaceDE w:val="0"/>
      <w:autoSpaceDN w:val="0"/>
      <w:adjustRightInd w:val="0"/>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851859"/>
    <w:pPr>
      <w:spacing w:after="0" w:line="240" w:lineRule="auto"/>
    </w:pPr>
    <w:rPr>
      <w:rFonts w:asciiTheme="minorHAnsi" w:eastAsiaTheme="minorEastAsia"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56"/>
    <w:pPr>
      <w:ind w:left="720"/>
      <w:contextualSpacing/>
    </w:pPr>
  </w:style>
  <w:style w:type="paragraph" w:styleId="FootnoteText">
    <w:name w:val="footnote text"/>
    <w:basedOn w:val="Normal"/>
    <w:link w:val="FootnoteTextChar"/>
    <w:uiPriority w:val="99"/>
    <w:semiHidden/>
    <w:unhideWhenUsed/>
    <w:rsid w:val="00C26F34"/>
    <w:pPr>
      <w:spacing w:after="0" w:line="240" w:lineRule="auto"/>
    </w:pPr>
  </w:style>
  <w:style w:type="character" w:customStyle="1" w:styleId="FootnoteTextChar">
    <w:name w:val="Footnote Text Char"/>
    <w:basedOn w:val="DefaultParagraphFont"/>
    <w:link w:val="FootnoteText"/>
    <w:uiPriority w:val="99"/>
    <w:semiHidden/>
    <w:rsid w:val="00C26F34"/>
  </w:style>
  <w:style w:type="character" w:styleId="FootnoteReference">
    <w:name w:val="footnote reference"/>
    <w:basedOn w:val="DefaultParagraphFont"/>
    <w:uiPriority w:val="99"/>
    <w:semiHidden/>
    <w:unhideWhenUsed/>
    <w:rsid w:val="00C26F34"/>
    <w:rPr>
      <w:vertAlign w:val="superscript"/>
    </w:rPr>
  </w:style>
  <w:style w:type="paragraph" w:styleId="Footer">
    <w:name w:val="footer"/>
    <w:basedOn w:val="Normal"/>
    <w:link w:val="FooterChar"/>
    <w:uiPriority w:val="99"/>
    <w:unhideWhenUsed/>
    <w:rsid w:val="00905A66"/>
    <w:pPr>
      <w:tabs>
        <w:tab w:val="center" w:pos="4680"/>
        <w:tab w:val="right" w:pos="9360"/>
      </w:tabs>
      <w:spacing w:after="0" w:line="240" w:lineRule="auto"/>
    </w:pPr>
    <w:rPr>
      <w:rFonts w:asciiTheme="minorHAnsi" w:eastAsiaTheme="minorEastAsia" w:hAnsiTheme="minorHAnsi" w:cstheme="minorBidi"/>
      <w:color w:val="auto"/>
      <w:sz w:val="22"/>
      <w:szCs w:val="22"/>
    </w:rPr>
  </w:style>
  <w:style w:type="character" w:customStyle="1" w:styleId="FooterChar">
    <w:name w:val="Footer Char"/>
    <w:basedOn w:val="DefaultParagraphFont"/>
    <w:link w:val="Footer"/>
    <w:uiPriority w:val="99"/>
    <w:rsid w:val="00905A66"/>
    <w:rPr>
      <w:rFonts w:asciiTheme="minorHAnsi" w:eastAsiaTheme="minorEastAsia" w:hAnsiTheme="minorHAnsi" w:cstheme="minorBidi"/>
      <w:color w:val="auto"/>
      <w:sz w:val="22"/>
      <w:szCs w:val="22"/>
    </w:rPr>
  </w:style>
  <w:style w:type="paragraph" w:styleId="Title">
    <w:name w:val="Title"/>
    <w:basedOn w:val="Normal"/>
    <w:link w:val="TitleChar"/>
    <w:qFormat/>
    <w:rsid w:val="00905A66"/>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905A66"/>
    <w:rPr>
      <w:rFonts w:ascii="Times New Roman" w:eastAsia="Times New Roman" w:hAnsi="Times New Roman" w:cs="Times New Roman"/>
      <w:b/>
      <w:color w:val="auto"/>
      <w:sz w:val="24"/>
    </w:rPr>
  </w:style>
  <w:style w:type="paragraph" w:styleId="Header">
    <w:name w:val="header"/>
    <w:basedOn w:val="Normal"/>
    <w:link w:val="HeaderChar"/>
    <w:uiPriority w:val="99"/>
    <w:unhideWhenUsed/>
    <w:rsid w:val="0088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80"/>
  </w:style>
  <w:style w:type="paragraph" w:styleId="BalloonText">
    <w:name w:val="Balloon Text"/>
    <w:basedOn w:val="Normal"/>
    <w:link w:val="BalloonTextChar"/>
    <w:uiPriority w:val="99"/>
    <w:semiHidden/>
    <w:unhideWhenUsed/>
    <w:rsid w:val="004E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30"/>
    <w:rPr>
      <w:rFonts w:ascii="Tahoma" w:hAnsi="Tahoma" w:cs="Tahoma"/>
      <w:sz w:val="16"/>
      <w:szCs w:val="16"/>
    </w:rPr>
  </w:style>
  <w:style w:type="character" w:styleId="CommentReference">
    <w:name w:val="annotation reference"/>
    <w:basedOn w:val="DefaultParagraphFont"/>
    <w:uiPriority w:val="99"/>
    <w:semiHidden/>
    <w:unhideWhenUsed/>
    <w:rsid w:val="002E0F64"/>
    <w:rPr>
      <w:sz w:val="16"/>
      <w:szCs w:val="16"/>
    </w:rPr>
  </w:style>
  <w:style w:type="paragraph" w:styleId="CommentText">
    <w:name w:val="annotation text"/>
    <w:basedOn w:val="Normal"/>
    <w:link w:val="CommentTextChar"/>
    <w:uiPriority w:val="99"/>
    <w:semiHidden/>
    <w:unhideWhenUsed/>
    <w:rsid w:val="002E0F64"/>
    <w:pPr>
      <w:spacing w:line="240" w:lineRule="auto"/>
    </w:pPr>
  </w:style>
  <w:style w:type="character" w:customStyle="1" w:styleId="CommentTextChar">
    <w:name w:val="Comment Text Char"/>
    <w:basedOn w:val="DefaultParagraphFont"/>
    <w:link w:val="CommentText"/>
    <w:uiPriority w:val="99"/>
    <w:semiHidden/>
    <w:rsid w:val="002E0F64"/>
  </w:style>
  <w:style w:type="paragraph" w:styleId="CommentSubject">
    <w:name w:val="annotation subject"/>
    <w:basedOn w:val="CommentText"/>
    <w:next w:val="CommentText"/>
    <w:link w:val="CommentSubjectChar"/>
    <w:uiPriority w:val="99"/>
    <w:semiHidden/>
    <w:unhideWhenUsed/>
    <w:rsid w:val="002E0F64"/>
    <w:rPr>
      <w:b/>
      <w:bCs/>
    </w:rPr>
  </w:style>
  <w:style w:type="character" w:customStyle="1" w:styleId="CommentSubjectChar">
    <w:name w:val="Comment Subject Char"/>
    <w:basedOn w:val="CommentTextChar"/>
    <w:link w:val="CommentSubject"/>
    <w:uiPriority w:val="99"/>
    <w:semiHidden/>
    <w:rsid w:val="002E0F64"/>
    <w:rPr>
      <w:b/>
      <w:bCs/>
    </w:rPr>
  </w:style>
  <w:style w:type="character" w:styleId="Hyperlink">
    <w:name w:val="Hyperlink"/>
    <w:basedOn w:val="DefaultParagraphFont"/>
    <w:uiPriority w:val="99"/>
    <w:rsid w:val="005F3A27"/>
    <w:rPr>
      <w:color w:val="0000FF"/>
      <w:u w:val="single"/>
    </w:rPr>
  </w:style>
  <w:style w:type="paragraph" w:customStyle="1" w:styleId="Default">
    <w:name w:val="Default"/>
    <w:rsid w:val="005F3A27"/>
    <w:pPr>
      <w:autoSpaceDE w:val="0"/>
      <w:autoSpaceDN w:val="0"/>
      <w:adjustRightInd w:val="0"/>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851859"/>
    <w:pPr>
      <w:spacing w:after="0" w:line="240" w:lineRule="auto"/>
    </w:pPr>
    <w:rPr>
      <w:rFonts w:asciiTheme="minorHAnsi" w:eastAsiaTheme="minorEastAsia"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llwein@wamenergylaw.com" TargetMode="External"/><Relationship Id="rId18" Type="http://schemas.openxmlformats.org/officeDocument/2006/relationships/hyperlink" Target="mailto:Jeanne.kingery@duke-energy.com" TargetMode="External"/><Relationship Id="rId26" Type="http://schemas.openxmlformats.org/officeDocument/2006/relationships/hyperlink" Target="mailto:haydenm@firstenergycorp.com" TargetMode="External"/><Relationship Id="rId39" Type="http://schemas.openxmlformats.org/officeDocument/2006/relationships/hyperlink" Target="mailto:sgiles@hullinc.com" TargetMode="External"/><Relationship Id="rId3" Type="http://schemas.openxmlformats.org/officeDocument/2006/relationships/styles" Target="styles.xml"/><Relationship Id="rId21" Type="http://schemas.openxmlformats.org/officeDocument/2006/relationships/hyperlink" Target="mailto:Amy.spiller@duke-energy.com" TargetMode="External"/><Relationship Id="rId34" Type="http://schemas.openxmlformats.org/officeDocument/2006/relationships/hyperlink" Target="mailto:mjstatterwhite@aep.com" TargetMode="External"/><Relationship Id="rId42" Type="http://schemas.openxmlformats.org/officeDocument/2006/relationships/hyperlink" Target="mailto:Emma.berndt@opower.co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tculley@kfwlaw.com" TargetMode="External"/><Relationship Id="rId17" Type="http://schemas.openxmlformats.org/officeDocument/2006/relationships/hyperlink" Target="mailto:bojko@carpenterlipps.com" TargetMode="External"/><Relationship Id="rId25" Type="http://schemas.openxmlformats.org/officeDocument/2006/relationships/hyperlink" Target="mailto:selliott@metrocdengineering.com" TargetMode="External"/><Relationship Id="rId33" Type="http://schemas.openxmlformats.org/officeDocument/2006/relationships/hyperlink" Target="mailto:cloucas@ohiopartners.org" TargetMode="External"/><Relationship Id="rId38" Type="http://schemas.openxmlformats.org/officeDocument/2006/relationships/hyperlink" Target="mailto:mswhite@igsenergy.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nie@votesolar.org" TargetMode="External"/><Relationship Id="rId20" Type="http://schemas.openxmlformats.org/officeDocument/2006/relationships/hyperlink" Target="mailto:Elizabeth.watts@duke-energy.com" TargetMode="External"/><Relationship Id="rId29" Type="http://schemas.openxmlformats.org/officeDocument/2006/relationships/hyperlink" Target="mailto:smhoward@vorys.com" TargetMode="External"/><Relationship Id="rId41" Type="http://schemas.openxmlformats.org/officeDocument/2006/relationships/hyperlink" Target="mailto:jennifer.lause@directenerg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eyes@kfwlaw.com" TargetMode="External"/><Relationship Id="rId24" Type="http://schemas.openxmlformats.org/officeDocument/2006/relationships/hyperlink" Target="mailto:trent@theoec.org" TargetMode="External"/><Relationship Id="rId32" Type="http://schemas.openxmlformats.org/officeDocument/2006/relationships/hyperlink" Target="mailto:cmooney@ohiopartners.org" TargetMode="External"/><Relationship Id="rId37" Type="http://schemas.openxmlformats.org/officeDocument/2006/relationships/hyperlink" Target="mailto:tobrien@bricker.com" TargetMode="External"/><Relationship Id="rId40" Type="http://schemas.openxmlformats.org/officeDocument/2006/relationships/hyperlink" Target="mailto:joseph.clark@directenergy.com" TargetMode="External"/><Relationship Id="rId45" Type="http://schemas.openxmlformats.org/officeDocument/2006/relationships/hyperlink" Target="mailto:yost@occ.state.oh.u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olan@theoec.org" TargetMode="External"/><Relationship Id="rId23" Type="http://schemas.openxmlformats.org/officeDocument/2006/relationships/hyperlink" Target="mailto:nathan@buckeyeforestcouncil.org" TargetMode="External"/><Relationship Id="rId28" Type="http://schemas.openxmlformats.org/officeDocument/2006/relationships/hyperlink" Target="mailto:mhpetricoff@vorys.com" TargetMode="External"/><Relationship Id="rId36" Type="http://schemas.openxmlformats.org/officeDocument/2006/relationships/hyperlink" Target="mailto:ricks@OHANET.org" TargetMode="External"/><Relationship Id="rId49" Type="http://schemas.openxmlformats.org/officeDocument/2006/relationships/footer" Target="footer2.xml"/><Relationship Id="rId10" Type="http://schemas.openxmlformats.org/officeDocument/2006/relationships/hyperlink" Target="mailto:Bryce.mckenney@puc.state.oh.us" TargetMode="External"/><Relationship Id="rId19" Type="http://schemas.openxmlformats.org/officeDocument/2006/relationships/hyperlink" Target="mailto:Elizabeth.watts@duke-energy.com" TargetMode="External"/><Relationship Id="rId31" Type="http://schemas.openxmlformats.org/officeDocument/2006/relationships/hyperlink" Target="mailto:cdunn@firstenergycorp.com" TargetMode="External"/><Relationship Id="rId44" Type="http://schemas.openxmlformats.org/officeDocument/2006/relationships/hyperlink" Target="mailto:mohler@carpenterlipps.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yperlink" Target="mailto:NMcDaniel@elpc.org" TargetMode="External"/><Relationship Id="rId22" Type="http://schemas.openxmlformats.org/officeDocument/2006/relationships/hyperlink" Target="mailto:Judi.sobecki@dplinc.com" TargetMode="External"/><Relationship Id="rId27" Type="http://schemas.openxmlformats.org/officeDocument/2006/relationships/hyperlink" Target="mailto:scasto@firstenergycorp.com" TargetMode="External"/><Relationship Id="rId30" Type="http://schemas.openxmlformats.org/officeDocument/2006/relationships/hyperlink" Target="mailto:burkj@firstenergycorp.com" TargetMode="External"/><Relationship Id="rId35" Type="http://schemas.openxmlformats.org/officeDocument/2006/relationships/hyperlink" Target="mailto:stnourse@aep.com" TargetMode="External"/><Relationship Id="rId43" Type="http://schemas.openxmlformats.org/officeDocument/2006/relationships/hyperlink" Target="mailto:jnice@energy-avenue.com"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B1DE-148B-460C-AC29-08FD1F41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2014-07-07T20:51:00Z</dcterms:created>
  <dcterms:modified xsi:type="dcterms:W3CDTF">2014-07-07T20:51:00Z</dcterms:modified>
</cp:coreProperties>
</file>