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C2C1B" w14:textId="77777777" w:rsidR="0034578C" w:rsidRPr="007249C1" w:rsidRDefault="0034578C" w:rsidP="0034578C">
      <w:pPr>
        <w:spacing w:line="240" w:lineRule="auto"/>
        <w:jc w:val="center"/>
        <w:rPr>
          <w:rFonts w:eastAsia="Calibri" w:cs="Arial"/>
          <w:b/>
          <w:smallCaps/>
          <w:sz w:val="28"/>
          <w:szCs w:val="28"/>
        </w:rPr>
      </w:pPr>
      <w:bookmarkStart w:id="0" w:name="_Toc343603213"/>
      <w:r w:rsidRPr="007249C1">
        <w:rPr>
          <w:rFonts w:eastAsia="Calibri" w:cs="Arial"/>
          <w:b/>
          <w:smallCaps/>
          <w:sz w:val="28"/>
          <w:szCs w:val="28"/>
        </w:rPr>
        <w:t>Before</w:t>
      </w:r>
    </w:p>
    <w:p w14:paraId="26F4CE51" w14:textId="77777777" w:rsidR="0034578C" w:rsidRDefault="0034578C" w:rsidP="0034578C">
      <w:pPr>
        <w:spacing w:line="240" w:lineRule="auto"/>
        <w:jc w:val="center"/>
        <w:rPr>
          <w:rFonts w:eastAsia="Calibri" w:cs="Arial"/>
          <w:b/>
          <w:smallCaps/>
          <w:sz w:val="28"/>
          <w:szCs w:val="28"/>
        </w:rPr>
      </w:pPr>
      <w:r w:rsidRPr="007249C1">
        <w:rPr>
          <w:rFonts w:eastAsia="Calibri" w:cs="Arial"/>
          <w:b/>
          <w:smallCaps/>
          <w:sz w:val="28"/>
          <w:szCs w:val="28"/>
        </w:rPr>
        <w:t>The Public Utilities Commission of Ohio</w:t>
      </w:r>
    </w:p>
    <w:p w14:paraId="189BD058" w14:textId="77777777" w:rsidR="0034578C" w:rsidRDefault="0034578C" w:rsidP="0034578C">
      <w:pPr>
        <w:spacing w:line="240" w:lineRule="auto"/>
        <w:jc w:val="center"/>
        <w:rPr>
          <w:rFonts w:eastAsia="Calibri" w:cs="Arial"/>
          <w:b/>
          <w:smallCaps/>
        </w:rPr>
      </w:pPr>
    </w:p>
    <w:p w14:paraId="2C948E6C" w14:textId="77777777" w:rsidR="0034578C" w:rsidRPr="00754DB3" w:rsidRDefault="0034578C" w:rsidP="0034578C">
      <w:pPr>
        <w:spacing w:line="240" w:lineRule="auto"/>
        <w:jc w:val="center"/>
        <w:rPr>
          <w:rFonts w:eastAsia="Calibri" w:cs="Arial"/>
          <w:b/>
          <w:smallCaps/>
        </w:rPr>
      </w:pPr>
    </w:p>
    <w:p w14:paraId="5A287F87" w14:textId="77777777" w:rsidR="0034578C" w:rsidRPr="00754DB3" w:rsidRDefault="0034578C" w:rsidP="0034578C">
      <w:pPr>
        <w:tabs>
          <w:tab w:val="left" w:pos="4680"/>
          <w:tab w:val="left" w:pos="5220"/>
        </w:tabs>
        <w:autoSpaceDE w:val="0"/>
        <w:autoSpaceDN w:val="0"/>
        <w:adjustRightInd w:val="0"/>
        <w:spacing w:line="240" w:lineRule="auto"/>
        <w:rPr>
          <w:rFonts w:cs="Arial"/>
        </w:rPr>
      </w:pPr>
      <w:r w:rsidRPr="00754DB3">
        <w:rPr>
          <w:rFonts w:cs="Arial"/>
        </w:rPr>
        <w:t>In the Matter of the Application of</w:t>
      </w:r>
      <w:r w:rsidRPr="00754DB3">
        <w:rPr>
          <w:rFonts w:cs="Arial"/>
        </w:rPr>
        <w:tab/>
        <w:t>)</w:t>
      </w:r>
    </w:p>
    <w:p w14:paraId="5EB14405" w14:textId="77777777" w:rsidR="0034578C" w:rsidRPr="00754DB3" w:rsidRDefault="0034578C" w:rsidP="0034578C">
      <w:pPr>
        <w:tabs>
          <w:tab w:val="left" w:pos="4680"/>
          <w:tab w:val="left" w:pos="5220"/>
        </w:tabs>
        <w:autoSpaceDE w:val="0"/>
        <w:autoSpaceDN w:val="0"/>
        <w:adjustRightInd w:val="0"/>
        <w:spacing w:line="240" w:lineRule="auto"/>
        <w:rPr>
          <w:rFonts w:cs="Arial"/>
        </w:rPr>
      </w:pPr>
      <w:r w:rsidRPr="00754DB3">
        <w:rPr>
          <w:rFonts w:cs="Arial"/>
        </w:rPr>
        <w:t>The Dayton Power and Light Company for</w:t>
      </w:r>
      <w:r w:rsidRPr="00754DB3">
        <w:rPr>
          <w:rFonts w:cs="Arial"/>
        </w:rPr>
        <w:tab/>
        <w:t>)</w:t>
      </w:r>
      <w:r w:rsidRPr="00754DB3">
        <w:rPr>
          <w:rFonts w:cs="Arial"/>
        </w:rPr>
        <w:tab/>
        <w:t>Case No. 16-395-EL-SSO</w:t>
      </w:r>
    </w:p>
    <w:p w14:paraId="518B55D2" w14:textId="77777777" w:rsidR="0034578C" w:rsidRPr="00754DB3" w:rsidRDefault="0034578C" w:rsidP="0034578C">
      <w:pPr>
        <w:tabs>
          <w:tab w:val="left" w:pos="4680"/>
          <w:tab w:val="left" w:pos="5220"/>
        </w:tabs>
        <w:autoSpaceDE w:val="0"/>
        <w:autoSpaceDN w:val="0"/>
        <w:adjustRightInd w:val="0"/>
        <w:spacing w:line="240" w:lineRule="auto"/>
        <w:rPr>
          <w:rFonts w:cs="Arial"/>
        </w:rPr>
      </w:pPr>
      <w:r w:rsidRPr="00754DB3">
        <w:rPr>
          <w:rFonts w:cs="Arial"/>
        </w:rPr>
        <w:t>Approval of Its Electric Security Plan</w:t>
      </w:r>
      <w:r w:rsidRPr="00754DB3">
        <w:rPr>
          <w:rFonts w:cs="Arial"/>
        </w:rPr>
        <w:tab/>
        <w:t>)</w:t>
      </w:r>
    </w:p>
    <w:p w14:paraId="6968499B" w14:textId="77777777" w:rsidR="0034578C" w:rsidRPr="00754DB3" w:rsidRDefault="0034578C" w:rsidP="0034578C">
      <w:pPr>
        <w:tabs>
          <w:tab w:val="left" w:pos="4680"/>
          <w:tab w:val="left" w:pos="5220"/>
        </w:tabs>
        <w:autoSpaceDE w:val="0"/>
        <w:autoSpaceDN w:val="0"/>
        <w:adjustRightInd w:val="0"/>
        <w:spacing w:line="240" w:lineRule="auto"/>
        <w:rPr>
          <w:rFonts w:cs="Arial"/>
        </w:rPr>
      </w:pPr>
    </w:p>
    <w:p w14:paraId="60DCA3DC" w14:textId="77777777" w:rsidR="0034578C" w:rsidRPr="00754DB3" w:rsidRDefault="0034578C" w:rsidP="0034578C">
      <w:pPr>
        <w:tabs>
          <w:tab w:val="left" w:pos="4680"/>
          <w:tab w:val="left" w:pos="5220"/>
        </w:tabs>
        <w:autoSpaceDE w:val="0"/>
        <w:autoSpaceDN w:val="0"/>
        <w:adjustRightInd w:val="0"/>
        <w:spacing w:line="240" w:lineRule="auto"/>
        <w:rPr>
          <w:rFonts w:cs="Arial"/>
        </w:rPr>
      </w:pPr>
      <w:r w:rsidRPr="00754DB3">
        <w:rPr>
          <w:rFonts w:cs="Arial"/>
        </w:rPr>
        <w:t>In the Matter of the Application of</w:t>
      </w:r>
      <w:r w:rsidRPr="00754DB3">
        <w:rPr>
          <w:rFonts w:cs="Arial"/>
        </w:rPr>
        <w:tab/>
        <w:t>)</w:t>
      </w:r>
    </w:p>
    <w:p w14:paraId="0B8725FD" w14:textId="77777777" w:rsidR="0034578C" w:rsidRPr="00754DB3" w:rsidRDefault="0034578C" w:rsidP="0034578C">
      <w:pPr>
        <w:tabs>
          <w:tab w:val="left" w:pos="4680"/>
          <w:tab w:val="left" w:pos="5220"/>
        </w:tabs>
        <w:autoSpaceDE w:val="0"/>
        <w:autoSpaceDN w:val="0"/>
        <w:adjustRightInd w:val="0"/>
        <w:spacing w:line="240" w:lineRule="auto"/>
        <w:rPr>
          <w:rFonts w:cs="Arial"/>
        </w:rPr>
      </w:pPr>
      <w:r w:rsidRPr="00754DB3">
        <w:rPr>
          <w:rFonts w:cs="Arial"/>
        </w:rPr>
        <w:t>The Dayton Power and Light Company for</w:t>
      </w:r>
      <w:r w:rsidRPr="00754DB3">
        <w:rPr>
          <w:rFonts w:cs="Arial"/>
        </w:rPr>
        <w:tab/>
        <w:t>)</w:t>
      </w:r>
      <w:r w:rsidRPr="00754DB3">
        <w:rPr>
          <w:rFonts w:cs="Arial"/>
        </w:rPr>
        <w:tab/>
        <w:t>Case No. 16-396-EL-ATA</w:t>
      </w:r>
    </w:p>
    <w:p w14:paraId="5AC90013" w14:textId="77777777" w:rsidR="0034578C" w:rsidRPr="00754DB3" w:rsidRDefault="0034578C" w:rsidP="0034578C">
      <w:pPr>
        <w:tabs>
          <w:tab w:val="left" w:pos="4680"/>
          <w:tab w:val="left" w:pos="5220"/>
        </w:tabs>
        <w:autoSpaceDE w:val="0"/>
        <w:autoSpaceDN w:val="0"/>
        <w:adjustRightInd w:val="0"/>
        <w:spacing w:line="240" w:lineRule="auto"/>
        <w:rPr>
          <w:rFonts w:cs="Arial"/>
        </w:rPr>
      </w:pPr>
      <w:r w:rsidRPr="00754DB3">
        <w:rPr>
          <w:rFonts w:cs="Arial"/>
        </w:rPr>
        <w:t>Approval of Revised Tariffs</w:t>
      </w:r>
      <w:r w:rsidRPr="00754DB3">
        <w:rPr>
          <w:rFonts w:cs="Arial"/>
        </w:rPr>
        <w:tab/>
        <w:t>)</w:t>
      </w:r>
    </w:p>
    <w:p w14:paraId="6C14B656" w14:textId="77777777" w:rsidR="0034578C" w:rsidRPr="00754DB3" w:rsidRDefault="0034578C" w:rsidP="0034578C">
      <w:pPr>
        <w:tabs>
          <w:tab w:val="left" w:pos="4680"/>
          <w:tab w:val="left" w:pos="5220"/>
        </w:tabs>
        <w:autoSpaceDE w:val="0"/>
        <w:autoSpaceDN w:val="0"/>
        <w:adjustRightInd w:val="0"/>
        <w:spacing w:line="240" w:lineRule="auto"/>
        <w:rPr>
          <w:rFonts w:cs="Arial"/>
        </w:rPr>
      </w:pPr>
    </w:p>
    <w:p w14:paraId="71A3EE7C" w14:textId="77777777" w:rsidR="0034578C" w:rsidRPr="00754DB3" w:rsidRDefault="0034578C" w:rsidP="0034578C">
      <w:pPr>
        <w:tabs>
          <w:tab w:val="left" w:pos="4680"/>
          <w:tab w:val="left" w:pos="5220"/>
        </w:tabs>
        <w:autoSpaceDE w:val="0"/>
        <w:autoSpaceDN w:val="0"/>
        <w:adjustRightInd w:val="0"/>
        <w:spacing w:line="240" w:lineRule="auto"/>
        <w:rPr>
          <w:rFonts w:cs="Arial"/>
        </w:rPr>
      </w:pPr>
      <w:r w:rsidRPr="00754DB3">
        <w:rPr>
          <w:rFonts w:cs="Arial"/>
        </w:rPr>
        <w:t>In the Matter of the Application of</w:t>
      </w:r>
      <w:r w:rsidRPr="00754DB3">
        <w:rPr>
          <w:rFonts w:cs="Arial"/>
        </w:rPr>
        <w:tab/>
        <w:t>)</w:t>
      </w:r>
    </w:p>
    <w:p w14:paraId="390104F5" w14:textId="77777777" w:rsidR="0034578C" w:rsidRPr="00754DB3" w:rsidRDefault="0034578C" w:rsidP="0034578C">
      <w:pPr>
        <w:tabs>
          <w:tab w:val="left" w:pos="4680"/>
          <w:tab w:val="left" w:pos="5220"/>
        </w:tabs>
        <w:autoSpaceDE w:val="0"/>
        <w:autoSpaceDN w:val="0"/>
        <w:adjustRightInd w:val="0"/>
        <w:spacing w:line="240" w:lineRule="auto"/>
        <w:rPr>
          <w:rFonts w:cs="Arial"/>
        </w:rPr>
      </w:pPr>
      <w:r w:rsidRPr="00754DB3">
        <w:rPr>
          <w:rFonts w:cs="Arial"/>
        </w:rPr>
        <w:t>The Dayton Power and Light Company for</w:t>
      </w:r>
      <w:r w:rsidRPr="00754DB3">
        <w:rPr>
          <w:rFonts w:cs="Arial"/>
        </w:rPr>
        <w:tab/>
        <w:t>)</w:t>
      </w:r>
      <w:r w:rsidRPr="00754DB3">
        <w:rPr>
          <w:rFonts w:cs="Arial"/>
        </w:rPr>
        <w:tab/>
        <w:t>Case No. 16-397-EL-AAM</w:t>
      </w:r>
    </w:p>
    <w:p w14:paraId="7727F2DB" w14:textId="77777777" w:rsidR="0034578C" w:rsidRPr="00754DB3" w:rsidRDefault="0034578C" w:rsidP="0034578C">
      <w:pPr>
        <w:tabs>
          <w:tab w:val="left" w:pos="4680"/>
          <w:tab w:val="left" w:pos="5220"/>
        </w:tabs>
        <w:autoSpaceDE w:val="0"/>
        <w:autoSpaceDN w:val="0"/>
        <w:adjustRightInd w:val="0"/>
        <w:spacing w:line="240" w:lineRule="auto"/>
        <w:rPr>
          <w:rFonts w:cs="Arial"/>
        </w:rPr>
      </w:pPr>
      <w:r w:rsidRPr="00754DB3">
        <w:rPr>
          <w:rFonts w:cs="Arial"/>
        </w:rPr>
        <w:t>Approval of Certain Accounting Authority</w:t>
      </w:r>
      <w:r w:rsidRPr="00754DB3">
        <w:rPr>
          <w:rFonts w:cs="Arial"/>
        </w:rPr>
        <w:tab/>
        <w:t>)</w:t>
      </w:r>
    </w:p>
    <w:p w14:paraId="529CC32E" w14:textId="77777777" w:rsidR="0034578C" w:rsidRPr="00754DB3" w:rsidRDefault="0034578C" w:rsidP="0034578C">
      <w:pPr>
        <w:tabs>
          <w:tab w:val="left" w:pos="4680"/>
          <w:tab w:val="left" w:pos="5220"/>
        </w:tabs>
        <w:autoSpaceDE w:val="0"/>
        <w:autoSpaceDN w:val="0"/>
        <w:adjustRightInd w:val="0"/>
        <w:spacing w:line="240" w:lineRule="auto"/>
        <w:rPr>
          <w:rFonts w:cs="Arial"/>
        </w:rPr>
      </w:pPr>
      <w:r w:rsidRPr="00754DB3">
        <w:rPr>
          <w:rFonts w:cs="Arial"/>
        </w:rPr>
        <w:t>Pursuant to Ohio Rev. Code § 4905.13</w:t>
      </w:r>
      <w:r w:rsidRPr="00754DB3">
        <w:rPr>
          <w:rFonts w:cs="Arial"/>
        </w:rPr>
        <w:tab/>
        <w:t>)</w:t>
      </w:r>
    </w:p>
    <w:p w14:paraId="62F88CDB" w14:textId="77777777" w:rsidR="0034578C" w:rsidRPr="00AC2E18" w:rsidRDefault="0034578C" w:rsidP="0034578C">
      <w:pPr>
        <w:tabs>
          <w:tab w:val="left" w:pos="4680"/>
          <w:tab w:val="left" w:pos="5220"/>
        </w:tabs>
        <w:autoSpaceDE w:val="0"/>
        <w:autoSpaceDN w:val="0"/>
        <w:adjustRightInd w:val="0"/>
        <w:spacing w:line="240" w:lineRule="auto"/>
        <w:rPr>
          <w:rFonts w:cs="Arial"/>
        </w:rPr>
      </w:pPr>
    </w:p>
    <w:p w14:paraId="7440A2E5" w14:textId="77777777" w:rsidR="0034578C" w:rsidRDefault="0034578C" w:rsidP="0034578C">
      <w:pPr>
        <w:tabs>
          <w:tab w:val="left" w:pos="5040"/>
        </w:tabs>
        <w:spacing w:line="240" w:lineRule="auto"/>
        <w:rPr>
          <w:rFonts w:eastAsia="Times New Roman" w:cs="Arial"/>
        </w:rPr>
      </w:pPr>
    </w:p>
    <w:p w14:paraId="6EB61643" w14:textId="77777777" w:rsidR="0034578C" w:rsidRPr="003046A9" w:rsidRDefault="0034578C" w:rsidP="0034578C">
      <w:pPr>
        <w:pBdr>
          <w:bottom w:val="single" w:sz="12" w:space="1" w:color="auto"/>
        </w:pBdr>
        <w:tabs>
          <w:tab w:val="left" w:pos="5040"/>
        </w:tabs>
        <w:spacing w:line="240" w:lineRule="auto"/>
        <w:rPr>
          <w:rFonts w:eastAsia="Times New Roman" w:cs="Arial"/>
        </w:rPr>
      </w:pPr>
    </w:p>
    <w:p w14:paraId="5A80F7E8" w14:textId="77777777" w:rsidR="0034578C" w:rsidRPr="000F2E9D" w:rsidRDefault="0034578C" w:rsidP="0034578C">
      <w:pPr>
        <w:spacing w:line="240" w:lineRule="auto"/>
        <w:rPr>
          <w:rFonts w:cs="Arial"/>
          <w:b/>
        </w:rPr>
      </w:pPr>
    </w:p>
    <w:p w14:paraId="20B36AF5" w14:textId="77777777" w:rsidR="0034578C" w:rsidRPr="002E2906" w:rsidRDefault="0034578C" w:rsidP="0034578C">
      <w:pPr>
        <w:spacing w:line="240" w:lineRule="auto"/>
        <w:jc w:val="center"/>
        <w:rPr>
          <w:rFonts w:ascii="Arial Bold" w:hAnsi="Arial Bold" w:cs="Arial"/>
          <w:b/>
          <w:smallCaps/>
          <w:sz w:val="28"/>
          <w:szCs w:val="28"/>
        </w:rPr>
      </w:pPr>
      <w:r w:rsidRPr="002E2906">
        <w:rPr>
          <w:rFonts w:ascii="Arial Bold" w:hAnsi="Arial Bold" w:cs="Arial"/>
          <w:b/>
          <w:smallCaps/>
          <w:sz w:val="28"/>
          <w:szCs w:val="28"/>
        </w:rPr>
        <w:t xml:space="preserve">Industrial Energy Users-Ohio’s </w:t>
      </w:r>
      <w:r>
        <w:rPr>
          <w:rFonts w:ascii="Arial Bold" w:hAnsi="Arial Bold" w:cs="Arial"/>
          <w:b/>
          <w:smallCaps/>
          <w:sz w:val="28"/>
          <w:szCs w:val="28"/>
        </w:rPr>
        <w:t>Motion to Compel Discovery Responses from The Dayton Power and Light Company and Memorandum in Support</w:t>
      </w:r>
    </w:p>
    <w:p w14:paraId="1E1AED28" w14:textId="77777777" w:rsidR="0034578C" w:rsidRPr="000F2E9D" w:rsidRDefault="0034578C" w:rsidP="0034578C">
      <w:pPr>
        <w:spacing w:line="240" w:lineRule="auto"/>
        <w:rPr>
          <w:rFonts w:cs="Arial"/>
          <w:b/>
        </w:rPr>
      </w:pPr>
      <w:r>
        <w:rPr>
          <w:rFonts w:cs="Arial"/>
          <w:b/>
        </w:rPr>
        <w:t>______________________________________________________________________</w:t>
      </w:r>
    </w:p>
    <w:p w14:paraId="0A08DB32" w14:textId="77777777" w:rsidR="0034578C" w:rsidRPr="00A51BA2" w:rsidRDefault="0034578C" w:rsidP="0034578C">
      <w:pPr>
        <w:spacing w:line="240" w:lineRule="auto"/>
        <w:jc w:val="center"/>
        <w:rPr>
          <w:rFonts w:eastAsia="Times New Roman" w:cs="Arial"/>
          <w:b/>
          <w:smallCaps/>
          <w:u w:val="single"/>
        </w:rPr>
      </w:pPr>
    </w:p>
    <w:p w14:paraId="10CDC178" w14:textId="77777777" w:rsidR="0034578C" w:rsidRPr="00A51BA2" w:rsidRDefault="0034578C" w:rsidP="0034578C">
      <w:pPr>
        <w:spacing w:line="240" w:lineRule="auto"/>
        <w:jc w:val="center"/>
        <w:rPr>
          <w:rFonts w:eastAsia="Times New Roman" w:cs="Arial"/>
          <w:b/>
          <w:smallCaps/>
          <w:u w:val="single"/>
        </w:rPr>
      </w:pPr>
    </w:p>
    <w:p w14:paraId="4083C3D4" w14:textId="77777777" w:rsidR="0034578C" w:rsidRDefault="0034578C" w:rsidP="0034578C">
      <w:pPr>
        <w:spacing w:line="240" w:lineRule="auto"/>
        <w:jc w:val="center"/>
        <w:rPr>
          <w:rFonts w:eastAsia="Times New Roman" w:cs="Arial"/>
          <w:b/>
          <w:smallCaps/>
          <w:u w:val="single"/>
        </w:rPr>
      </w:pPr>
    </w:p>
    <w:p w14:paraId="19FC6E70" w14:textId="77777777" w:rsidR="0034578C" w:rsidRDefault="0034578C" w:rsidP="0034578C">
      <w:pPr>
        <w:spacing w:line="240" w:lineRule="auto"/>
        <w:jc w:val="center"/>
        <w:rPr>
          <w:rFonts w:eastAsia="Times New Roman" w:cs="Arial"/>
          <w:b/>
          <w:smallCaps/>
          <w:u w:val="single"/>
        </w:rPr>
      </w:pPr>
    </w:p>
    <w:p w14:paraId="0425910A" w14:textId="77777777" w:rsidR="0034578C" w:rsidRDefault="0034578C" w:rsidP="0034578C">
      <w:pPr>
        <w:spacing w:line="240" w:lineRule="auto"/>
        <w:jc w:val="center"/>
        <w:rPr>
          <w:rFonts w:eastAsia="Times New Roman" w:cs="Arial"/>
          <w:b/>
          <w:smallCaps/>
          <w:u w:val="single"/>
        </w:rPr>
      </w:pPr>
    </w:p>
    <w:p w14:paraId="3039D1A6" w14:textId="77777777" w:rsidR="00053382" w:rsidRPr="00A51BA2" w:rsidRDefault="00053382" w:rsidP="0034578C">
      <w:pPr>
        <w:spacing w:line="240" w:lineRule="auto"/>
        <w:jc w:val="center"/>
        <w:rPr>
          <w:rFonts w:eastAsia="Times New Roman" w:cs="Arial"/>
          <w:b/>
          <w:smallCaps/>
          <w:u w:val="single"/>
        </w:rPr>
      </w:pPr>
    </w:p>
    <w:p w14:paraId="352C9CCE" w14:textId="77777777" w:rsidR="0034578C" w:rsidRPr="00A51BA2" w:rsidRDefault="0034578C" w:rsidP="0034578C">
      <w:pPr>
        <w:spacing w:line="240" w:lineRule="auto"/>
        <w:rPr>
          <w:rFonts w:eastAsia="Times New Roman" w:cs="Arial"/>
          <w:b/>
          <w:smallCaps/>
          <w:u w:val="single"/>
        </w:rPr>
      </w:pPr>
    </w:p>
    <w:p w14:paraId="0B8859F7" w14:textId="77777777" w:rsidR="0034578C" w:rsidRDefault="0034578C" w:rsidP="0034578C">
      <w:pPr>
        <w:tabs>
          <w:tab w:val="left" w:pos="720"/>
          <w:tab w:val="left" w:pos="4320"/>
          <w:tab w:val="right" w:pos="8640"/>
        </w:tabs>
        <w:spacing w:line="240" w:lineRule="auto"/>
        <w:ind w:left="4320"/>
        <w:rPr>
          <w:rFonts w:eastAsia="Calibri" w:cs="Arial"/>
        </w:rPr>
      </w:pPr>
    </w:p>
    <w:p w14:paraId="08F00504" w14:textId="77777777" w:rsidR="0034578C" w:rsidRDefault="0034578C" w:rsidP="00053382">
      <w:pPr>
        <w:widowControl w:val="0"/>
        <w:spacing w:line="240" w:lineRule="auto"/>
        <w:ind w:left="4140"/>
        <w:rPr>
          <w:rFonts w:eastAsia="Calibri" w:cs="Arial"/>
          <w:bCs/>
        </w:rPr>
      </w:pPr>
      <w:r>
        <w:rPr>
          <w:rFonts w:eastAsia="Calibri" w:cs="Arial"/>
          <w:bCs/>
        </w:rPr>
        <w:t>Frank P. Darr (Reg. No. 0025469)</w:t>
      </w:r>
    </w:p>
    <w:p w14:paraId="7AFD2B56" w14:textId="77777777" w:rsidR="0034578C" w:rsidRDefault="0034578C" w:rsidP="00053382">
      <w:pPr>
        <w:widowControl w:val="0"/>
        <w:spacing w:line="240" w:lineRule="auto"/>
        <w:ind w:left="4140"/>
        <w:rPr>
          <w:rFonts w:eastAsia="Calibri" w:cs="Arial"/>
          <w:bCs/>
        </w:rPr>
      </w:pPr>
      <w:r>
        <w:rPr>
          <w:rFonts w:eastAsia="Calibri" w:cs="Arial"/>
          <w:bCs/>
        </w:rPr>
        <w:t>Counsel of Record</w:t>
      </w:r>
    </w:p>
    <w:p w14:paraId="5D748DFB" w14:textId="77777777" w:rsidR="0034578C" w:rsidRDefault="0034578C" w:rsidP="00053382">
      <w:pPr>
        <w:widowControl w:val="0"/>
        <w:spacing w:line="240" w:lineRule="auto"/>
        <w:ind w:left="4140"/>
        <w:rPr>
          <w:rFonts w:eastAsia="Calibri" w:cs="Arial"/>
          <w:b/>
          <w:bCs/>
        </w:rPr>
      </w:pPr>
      <w:r>
        <w:rPr>
          <w:rFonts w:eastAsia="Calibri" w:cs="Arial"/>
          <w:bCs/>
        </w:rPr>
        <w:t>Matthew R. Pritchard (Reg. No. 0088070)</w:t>
      </w:r>
    </w:p>
    <w:p w14:paraId="5B77CD3E" w14:textId="77777777" w:rsidR="0034578C" w:rsidRDefault="0034578C" w:rsidP="00053382">
      <w:pPr>
        <w:widowControl w:val="0"/>
        <w:spacing w:line="240" w:lineRule="auto"/>
        <w:ind w:left="4140"/>
        <w:rPr>
          <w:rFonts w:eastAsia="Calibri" w:cs="Arial"/>
          <w:b/>
          <w:bCs/>
          <w:smallCaps/>
        </w:rPr>
      </w:pPr>
      <w:r>
        <w:rPr>
          <w:rFonts w:eastAsia="Calibri" w:cs="Arial"/>
          <w:bCs/>
          <w:smallCaps/>
        </w:rPr>
        <w:t>McNees Wallace &amp; Nurick LLC</w:t>
      </w:r>
    </w:p>
    <w:p w14:paraId="1E09B56B" w14:textId="77777777" w:rsidR="0034578C" w:rsidRDefault="0034578C" w:rsidP="00053382">
      <w:pPr>
        <w:widowControl w:val="0"/>
        <w:spacing w:line="240" w:lineRule="auto"/>
        <w:ind w:left="414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758180F1" w14:textId="77777777" w:rsidR="0034578C" w:rsidRDefault="0034578C" w:rsidP="00053382">
      <w:pPr>
        <w:tabs>
          <w:tab w:val="left" w:pos="-1440"/>
          <w:tab w:val="left" w:pos="-720"/>
          <w:tab w:val="left" w:pos="5040"/>
          <w:tab w:val="center" w:pos="7200"/>
        </w:tabs>
        <w:overflowPunct w:val="0"/>
        <w:autoSpaceDE w:val="0"/>
        <w:autoSpaceDN w:val="0"/>
        <w:adjustRightInd w:val="0"/>
        <w:spacing w:line="240" w:lineRule="auto"/>
        <w:ind w:left="4140"/>
        <w:rPr>
          <w:rFonts w:eastAsia="Calibri" w:cs="Arial"/>
        </w:rPr>
      </w:pPr>
      <w:r>
        <w:rPr>
          <w:rFonts w:eastAsia="Calibri" w:cs="Arial"/>
        </w:rPr>
        <w:t>Columbus, OH  43215</w:t>
      </w:r>
    </w:p>
    <w:p w14:paraId="043C8ACD" w14:textId="77777777" w:rsidR="0034578C" w:rsidRDefault="0034578C" w:rsidP="00053382">
      <w:pPr>
        <w:tabs>
          <w:tab w:val="left" w:pos="-1440"/>
          <w:tab w:val="left" w:pos="-720"/>
          <w:tab w:val="left" w:pos="5040"/>
          <w:tab w:val="center" w:pos="7200"/>
        </w:tabs>
        <w:overflowPunct w:val="0"/>
        <w:autoSpaceDE w:val="0"/>
        <w:autoSpaceDN w:val="0"/>
        <w:adjustRightInd w:val="0"/>
        <w:spacing w:line="240" w:lineRule="auto"/>
        <w:ind w:left="4140"/>
        <w:rPr>
          <w:rFonts w:eastAsia="Calibri" w:cs="Arial"/>
        </w:rPr>
      </w:pPr>
      <w:r>
        <w:rPr>
          <w:rFonts w:eastAsia="Calibri" w:cs="Arial"/>
        </w:rPr>
        <w:t>Telephone:  (614) 469-8000</w:t>
      </w:r>
    </w:p>
    <w:p w14:paraId="21A587A8" w14:textId="77777777" w:rsidR="0034578C" w:rsidRDefault="0034578C" w:rsidP="00053382">
      <w:pPr>
        <w:tabs>
          <w:tab w:val="left" w:pos="-1440"/>
          <w:tab w:val="left" w:pos="-720"/>
          <w:tab w:val="left" w:pos="5040"/>
          <w:tab w:val="center" w:pos="7200"/>
        </w:tabs>
        <w:overflowPunct w:val="0"/>
        <w:autoSpaceDE w:val="0"/>
        <w:autoSpaceDN w:val="0"/>
        <w:adjustRightInd w:val="0"/>
        <w:spacing w:line="240" w:lineRule="auto"/>
        <w:ind w:left="4140"/>
        <w:rPr>
          <w:rFonts w:eastAsia="Calibri" w:cs="Arial"/>
        </w:rPr>
      </w:pPr>
      <w:r>
        <w:rPr>
          <w:rFonts w:eastAsia="Calibri" w:cs="Arial"/>
        </w:rPr>
        <w:t>Telecopier:  (614) 469-4653</w:t>
      </w:r>
    </w:p>
    <w:p w14:paraId="6651FFCF" w14:textId="77777777" w:rsidR="0034578C" w:rsidRDefault="0034578C" w:rsidP="00053382">
      <w:pPr>
        <w:tabs>
          <w:tab w:val="left" w:pos="-1440"/>
          <w:tab w:val="left" w:pos="-720"/>
          <w:tab w:val="left" w:pos="5040"/>
          <w:tab w:val="center" w:pos="7200"/>
        </w:tabs>
        <w:overflowPunct w:val="0"/>
        <w:autoSpaceDE w:val="0"/>
        <w:autoSpaceDN w:val="0"/>
        <w:adjustRightInd w:val="0"/>
        <w:spacing w:line="240" w:lineRule="auto"/>
        <w:ind w:left="4140"/>
        <w:rPr>
          <w:rFonts w:eastAsia="Calibri" w:cs="Arial"/>
          <w:color w:val="000000"/>
        </w:rPr>
      </w:pPr>
      <w:r>
        <w:rPr>
          <w:rFonts w:eastAsia="Calibri" w:cs="Arial"/>
        </w:rPr>
        <w:t>fdarr@mwncmh.com</w:t>
      </w:r>
    </w:p>
    <w:p w14:paraId="72CFA8D9" w14:textId="77777777" w:rsidR="0034578C" w:rsidRDefault="0034578C" w:rsidP="00053382">
      <w:pPr>
        <w:tabs>
          <w:tab w:val="left" w:pos="-1440"/>
          <w:tab w:val="left" w:pos="-720"/>
          <w:tab w:val="left" w:pos="5040"/>
          <w:tab w:val="center" w:pos="7200"/>
        </w:tabs>
        <w:overflowPunct w:val="0"/>
        <w:autoSpaceDE w:val="0"/>
        <w:autoSpaceDN w:val="0"/>
        <w:adjustRightInd w:val="0"/>
        <w:spacing w:line="240" w:lineRule="auto"/>
        <w:ind w:left="4140"/>
        <w:rPr>
          <w:rFonts w:eastAsia="Calibri" w:cs="Arial"/>
          <w:color w:val="000000"/>
        </w:rPr>
      </w:pPr>
      <w:r>
        <w:rPr>
          <w:rFonts w:eastAsia="Calibri" w:cs="Arial"/>
          <w:color w:val="000000"/>
        </w:rPr>
        <w:t>(willing to accept service by e-mail)</w:t>
      </w:r>
    </w:p>
    <w:p w14:paraId="238D8851" w14:textId="77777777" w:rsidR="0034578C" w:rsidRDefault="0034578C" w:rsidP="00053382">
      <w:pPr>
        <w:tabs>
          <w:tab w:val="left" w:pos="-1440"/>
          <w:tab w:val="left" w:pos="-720"/>
          <w:tab w:val="left" w:pos="5040"/>
          <w:tab w:val="center" w:pos="7200"/>
        </w:tabs>
        <w:overflowPunct w:val="0"/>
        <w:autoSpaceDE w:val="0"/>
        <w:autoSpaceDN w:val="0"/>
        <w:adjustRightInd w:val="0"/>
        <w:spacing w:line="240" w:lineRule="auto"/>
        <w:ind w:left="4140"/>
        <w:rPr>
          <w:rFonts w:eastAsia="Calibri" w:cs="Arial"/>
          <w:smallCaps/>
          <w:color w:val="000000"/>
        </w:rPr>
      </w:pPr>
      <w:r>
        <w:rPr>
          <w:rFonts w:eastAsia="Calibri" w:cs="Arial"/>
          <w:color w:val="000000"/>
        </w:rPr>
        <w:t>mpritchard@mwncmh.com</w:t>
      </w:r>
    </w:p>
    <w:p w14:paraId="07B34C18" w14:textId="77777777" w:rsidR="0034578C" w:rsidRDefault="0034578C" w:rsidP="00053382">
      <w:pPr>
        <w:tabs>
          <w:tab w:val="left" w:pos="-1440"/>
          <w:tab w:val="left" w:pos="-720"/>
          <w:tab w:val="left" w:pos="5040"/>
          <w:tab w:val="center" w:pos="7200"/>
        </w:tabs>
        <w:overflowPunct w:val="0"/>
        <w:autoSpaceDE w:val="0"/>
        <w:autoSpaceDN w:val="0"/>
        <w:adjustRightInd w:val="0"/>
        <w:spacing w:line="240" w:lineRule="auto"/>
        <w:ind w:left="4140"/>
        <w:rPr>
          <w:rFonts w:eastAsia="Calibri" w:cs="Arial"/>
          <w:color w:val="000000"/>
        </w:rPr>
      </w:pPr>
      <w:r>
        <w:rPr>
          <w:rFonts w:eastAsia="Calibri" w:cs="Arial"/>
          <w:color w:val="000000"/>
        </w:rPr>
        <w:t>(willing to accept service by e-mail)</w:t>
      </w:r>
    </w:p>
    <w:p w14:paraId="047ADED5" w14:textId="77777777" w:rsidR="0034578C" w:rsidRDefault="0034578C" w:rsidP="00053382">
      <w:pPr>
        <w:tabs>
          <w:tab w:val="left" w:pos="-1440"/>
          <w:tab w:val="left" w:pos="-720"/>
          <w:tab w:val="left" w:pos="5040"/>
          <w:tab w:val="center" w:pos="7200"/>
        </w:tabs>
        <w:overflowPunct w:val="0"/>
        <w:autoSpaceDE w:val="0"/>
        <w:autoSpaceDN w:val="0"/>
        <w:adjustRightInd w:val="0"/>
        <w:spacing w:line="240" w:lineRule="auto"/>
        <w:ind w:left="4140"/>
        <w:rPr>
          <w:rFonts w:eastAsia="Calibri" w:cs="Arial"/>
          <w:b/>
          <w:smallCaps/>
        </w:rPr>
      </w:pPr>
    </w:p>
    <w:p w14:paraId="78C34800" w14:textId="77777777" w:rsidR="0034578C" w:rsidRPr="0034578C" w:rsidRDefault="0034578C" w:rsidP="00053382">
      <w:pPr>
        <w:spacing w:line="240" w:lineRule="auto"/>
        <w:ind w:left="4140" w:hanging="4320"/>
        <w:rPr>
          <w:rFonts w:ascii="Arial Bold" w:eastAsia="Times New Roman" w:hAnsi="Arial Bold" w:cs="Arial"/>
          <w:smallCaps/>
          <w:sz w:val="28"/>
          <w:u w:val="single"/>
        </w:rPr>
      </w:pPr>
      <w:r w:rsidRPr="0034578C">
        <w:rPr>
          <w:rFonts w:ascii="Arial Bold" w:eastAsia="Calibri" w:hAnsi="Arial Bold" w:cs="Arial"/>
          <w:b/>
          <w:smallCaps/>
        </w:rPr>
        <w:t>August 30, 2016</w:t>
      </w:r>
      <w:r w:rsidRPr="0034578C">
        <w:rPr>
          <w:rFonts w:ascii="Arial Bold" w:eastAsia="Calibri" w:hAnsi="Arial Bold" w:cs="Arial"/>
          <w:b/>
          <w:smallCaps/>
        </w:rPr>
        <w:tab/>
        <w:t>Attorneys for Industrial Energy Users-Ohio</w:t>
      </w:r>
    </w:p>
    <w:p w14:paraId="76AE11CC" w14:textId="77777777" w:rsidR="0034578C" w:rsidRPr="0034578C" w:rsidRDefault="0034578C" w:rsidP="0034578C">
      <w:pPr>
        <w:spacing w:line="240" w:lineRule="auto"/>
        <w:jc w:val="center"/>
        <w:rPr>
          <w:rFonts w:ascii="Arial Bold" w:eastAsia="Times New Roman" w:hAnsi="Arial Bold" w:cs="Arial"/>
          <w:b/>
          <w:smallCaps/>
          <w:sz w:val="28"/>
        </w:rPr>
        <w:sectPr w:rsidR="0034578C" w:rsidRPr="0034578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41" w:left="1440" w:header="720" w:footer="720" w:gutter="0"/>
          <w:pgNumType w:start="1"/>
          <w:cols w:space="720"/>
          <w:titlePg/>
          <w:docGrid w:linePitch="326"/>
        </w:sectPr>
      </w:pPr>
    </w:p>
    <w:sdt>
      <w:sdtPr>
        <w:rPr>
          <w:rFonts w:ascii="Arial" w:eastAsiaTheme="minorHAnsi" w:hAnsi="Arial" w:cstheme="minorBidi"/>
          <w:color w:val="auto"/>
          <w:sz w:val="24"/>
          <w:szCs w:val="22"/>
        </w:rPr>
        <w:id w:val="-1920021040"/>
        <w:docPartObj>
          <w:docPartGallery w:val="Table of Contents"/>
          <w:docPartUnique/>
        </w:docPartObj>
      </w:sdtPr>
      <w:sdtEndPr>
        <w:rPr>
          <w:b/>
          <w:bCs/>
          <w:noProof/>
        </w:rPr>
      </w:sdtEndPr>
      <w:sdtContent>
        <w:p w14:paraId="39143E42" w14:textId="0AE1C2F1" w:rsidR="008618B4" w:rsidRPr="008618B4" w:rsidRDefault="008618B4" w:rsidP="008618B4">
          <w:pPr>
            <w:pStyle w:val="TOCHeading"/>
            <w:jc w:val="center"/>
            <w:rPr>
              <w:rFonts w:ascii="Arial Bold" w:hAnsi="Arial Bold" w:cs="Arial"/>
              <w:b/>
              <w:smallCaps/>
              <w:color w:val="auto"/>
              <w:sz w:val="28"/>
            </w:rPr>
          </w:pPr>
          <w:r w:rsidRPr="008618B4">
            <w:rPr>
              <w:rFonts w:ascii="Arial Bold" w:hAnsi="Arial Bold" w:cs="Arial"/>
              <w:b/>
              <w:smallCaps/>
              <w:color w:val="auto"/>
              <w:sz w:val="28"/>
            </w:rPr>
            <w:t>Table of Contents</w:t>
          </w:r>
        </w:p>
        <w:p w14:paraId="78837845" w14:textId="2AA46ED7" w:rsidR="008618B4" w:rsidRPr="008618B4" w:rsidRDefault="008618B4" w:rsidP="00843BA6">
          <w:pPr>
            <w:pStyle w:val="TOC1"/>
          </w:pPr>
          <w:r w:rsidRPr="008618B4">
            <w:t>Page</w:t>
          </w:r>
        </w:p>
        <w:p w14:paraId="490B07CB" w14:textId="310CE4E8" w:rsidR="008618B4" w:rsidRPr="00843BA6" w:rsidRDefault="008618B4" w:rsidP="00843BA6">
          <w:pPr>
            <w:pStyle w:val="TOC1"/>
            <w:rPr>
              <w:u w:val="none"/>
            </w:rPr>
          </w:pPr>
          <w:r w:rsidRPr="00843BA6">
            <w:rPr>
              <w:u w:val="none"/>
            </w:rPr>
            <w:fldChar w:fldCharType="begin"/>
          </w:r>
          <w:r w:rsidRPr="00843BA6">
            <w:rPr>
              <w:u w:val="none"/>
            </w:rPr>
            <w:instrText xml:space="preserve"> TOC \o "1-3" \h \z \u </w:instrText>
          </w:r>
          <w:r w:rsidRPr="00843BA6">
            <w:rPr>
              <w:u w:val="none"/>
            </w:rPr>
            <w:fldChar w:fldCharType="separate"/>
          </w:r>
          <w:hyperlink w:anchor="_Toc460332397" w:history="1">
            <w:r w:rsidRPr="00843BA6">
              <w:rPr>
                <w:rStyle w:val="Hyperlink"/>
                <w:u w:val="none"/>
              </w:rPr>
              <w:t>I.</w:t>
            </w:r>
            <w:r w:rsidRPr="00843BA6">
              <w:rPr>
                <w:u w:val="none"/>
              </w:rPr>
              <w:tab/>
            </w:r>
            <w:r w:rsidRPr="00843BA6">
              <w:rPr>
                <w:rStyle w:val="Hyperlink"/>
                <w:u w:val="none"/>
              </w:rPr>
              <w:t>DISCOVERY STANDARDS</w:t>
            </w:r>
            <w:r w:rsidRPr="0087370C">
              <w:rPr>
                <w:b w:val="0"/>
                <w:webHidden/>
                <w:u w:val="none"/>
              </w:rPr>
              <w:tab/>
            </w:r>
            <w:r w:rsidRPr="00CF198D">
              <w:rPr>
                <w:b w:val="0"/>
                <w:webHidden/>
                <w:u w:val="none"/>
              </w:rPr>
              <w:fldChar w:fldCharType="begin"/>
            </w:r>
            <w:r w:rsidRPr="00CF198D">
              <w:rPr>
                <w:b w:val="0"/>
                <w:webHidden/>
                <w:u w:val="none"/>
              </w:rPr>
              <w:instrText xml:space="preserve"> PAGEREF _Toc460332397 \h </w:instrText>
            </w:r>
            <w:r w:rsidRPr="00CF198D">
              <w:rPr>
                <w:b w:val="0"/>
                <w:webHidden/>
                <w:u w:val="none"/>
              </w:rPr>
            </w:r>
            <w:r w:rsidRPr="00CF198D">
              <w:rPr>
                <w:b w:val="0"/>
                <w:webHidden/>
                <w:u w:val="none"/>
              </w:rPr>
              <w:fldChar w:fldCharType="separate"/>
            </w:r>
            <w:r w:rsidR="00847199">
              <w:rPr>
                <w:b w:val="0"/>
                <w:webHidden/>
                <w:u w:val="none"/>
              </w:rPr>
              <w:t>5</w:t>
            </w:r>
            <w:r w:rsidRPr="00CF198D">
              <w:rPr>
                <w:b w:val="0"/>
                <w:webHidden/>
                <w:u w:val="none"/>
              </w:rPr>
              <w:fldChar w:fldCharType="end"/>
            </w:r>
          </w:hyperlink>
        </w:p>
        <w:p w14:paraId="4736C8CB" w14:textId="1B00D747" w:rsidR="008618B4" w:rsidRPr="00843BA6" w:rsidRDefault="002A78B9" w:rsidP="00843BA6">
          <w:pPr>
            <w:pStyle w:val="TOC1"/>
            <w:rPr>
              <w:u w:val="none"/>
            </w:rPr>
          </w:pPr>
          <w:hyperlink w:anchor="_Toc460332398" w:history="1">
            <w:r w:rsidR="008618B4" w:rsidRPr="00843BA6">
              <w:rPr>
                <w:rStyle w:val="Hyperlink"/>
                <w:u w:val="none"/>
              </w:rPr>
              <w:t>II.</w:t>
            </w:r>
            <w:r w:rsidR="008618B4" w:rsidRPr="00843BA6">
              <w:rPr>
                <w:u w:val="none"/>
              </w:rPr>
              <w:tab/>
            </w:r>
            <w:r w:rsidR="008618B4" w:rsidRPr="00843BA6">
              <w:rPr>
                <w:rStyle w:val="Hyperlink"/>
                <w:u w:val="none"/>
              </w:rPr>
              <w:t>ARGUMENT</w:t>
            </w:r>
            <w:r w:rsidR="008618B4" w:rsidRPr="0087370C">
              <w:rPr>
                <w:b w:val="0"/>
                <w:webHidden/>
                <w:u w:val="none"/>
              </w:rPr>
              <w:tab/>
            </w:r>
            <w:r w:rsidR="008618B4" w:rsidRPr="00CF198D">
              <w:rPr>
                <w:b w:val="0"/>
                <w:webHidden/>
                <w:u w:val="none"/>
              </w:rPr>
              <w:fldChar w:fldCharType="begin"/>
            </w:r>
            <w:r w:rsidR="008618B4" w:rsidRPr="00CF198D">
              <w:rPr>
                <w:b w:val="0"/>
                <w:webHidden/>
                <w:u w:val="none"/>
              </w:rPr>
              <w:instrText xml:space="preserve"> PAGEREF _Toc460332398 \h </w:instrText>
            </w:r>
            <w:r w:rsidR="008618B4" w:rsidRPr="00CF198D">
              <w:rPr>
                <w:b w:val="0"/>
                <w:webHidden/>
                <w:u w:val="none"/>
              </w:rPr>
            </w:r>
            <w:r w:rsidR="008618B4" w:rsidRPr="00CF198D">
              <w:rPr>
                <w:b w:val="0"/>
                <w:webHidden/>
                <w:u w:val="none"/>
              </w:rPr>
              <w:fldChar w:fldCharType="separate"/>
            </w:r>
            <w:r w:rsidR="00847199">
              <w:rPr>
                <w:b w:val="0"/>
                <w:webHidden/>
                <w:u w:val="none"/>
              </w:rPr>
              <w:t>6</w:t>
            </w:r>
            <w:r w:rsidR="008618B4" w:rsidRPr="00CF198D">
              <w:rPr>
                <w:b w:val="0"/>
                <w:webHidden/>
                <w:u w:val="none"/>
              </w:rPr>
              <w:fldChar w:fldCharType="end"/>
            </w:r>
          </w:hyperlink>
        </w:p>
        <w:p w14:paraId="1BC1E99E" w14:textId="28B3C6A4" w:rsidR="008618B4" w:rsidRPr="00843BA6" w:rsidRDefault="002A78B9" w:rsidP="00843BA6">
          <w:pPr>
            <w:pStyle w:val="TOC2"/>
            <w:rPr>
              <w:noProof/>
            </w:rPr>
          </w:pPr>
          <w:hyperlink w:anchor="_Toc460332399" w:history="1">
            <w:r w:rsidR="008618B4" w:rsidRPr="00843BA6">
              <w:rPr>
                <w:rStyle w:val="Hyperlink"/>
                <w:noProof/>
                <w:u w:val="none"/>
              </w:rPr>
              <w:t>A.</w:t>
            </w:r>
            <w:r w:rsidR="008618B4" w:rsidRPr="00843BA6">
              <w:rPr>
                <w:noProof/>
              </w:rPr>
              <w:tab/>
            </w:r>
            <w:r w:rsidR="008618B4" w:rsidRPr="00843BA6">
              <w:rPr>
                <w:rStyle w:val="Hyperlink"/>
                <w:noProof/>
                <w:u w:val="none"/>
              </w:rPr>
              <w:t>IEU-Ohio’s discovery requests seek information that is reasonably calculated to lead to the discovery of admissible evidence; therefore DP&amp;L’s relevancy objection is without merit</w:t>
            </w:r>
            <w:r w:rsidR="008618B4" w:rsidRPr="00843BA6">
              <w:rPr>
                <w:noProof/>
                <w:webHidden/>
              </w:rPr>
              <w:tab/>
            </w:r>
            <w:r w:rsidR="008618B4" w:rsidRPr="00843BA6">
              <w:rPr>
                <w:noProof/>
                <w:webHidden/>
              </w:rPr>
              <w:fldChar w:fldCharType="begin"/>
            </w:r>
            <w:r w:rsidR="008618B4" w:rsidRPr="00843BA6">
              <w:rPr>
                <w:noProof/>
                <w:webHidden/>
              </w:rPr>
              <w:instrText xml:space="preserve"> PAGEREF _Toc460332399 \h </w:instrText>
            </w:r>
            <w:r w:rsidR="008618B4" w:rsidRPr="00843BA6">
              <w:rPr>
                <w:noProof/>
                <w:webHidden/>
              </w:rPr>
            </w:r>
            <w:r w:rsidR="008618B4" w:rsidRPr="00843BA6">
              <w:rPr>
                <w:noProof/>
                <w:webHidden/>
              </w:rPr>
              <w:fldChar w:fldCharType="separate"/>
            </w:r>
            <w:r w:rsidR="00847199">
              <w:rPr>
                <w:noProof/>
                <w:webHidden/>
              </w:rPr>
              <w:t>6</w:t>
            </w:r>
            <w:r w:rsidR="008618B4" w:rsidRPr="00843BA6">
              <w:rPr>
                <w:noProof/>
                <w:webHidden/>
              </w:rPr>
              <w:fldChar w:fldCharType="end"/>
            </w:r>
          </w:hyperlink>
        </w:p>
        <w:p w14:paraId="792C0C04" w14:textId="6A863417" w:rsidR="008618B4" w:rsidRPr="00843BA6" w:rsidRDefault="002A78B9" w:rsidP="00843BA6">
          <w:pPr>
            <w:pStyle w:val="TOC2"/>
            <w:rPr>
              <w:noProof/>
            </w:rPr>
          </w:pPr>
          <w:hyperlink w:anchor="_Toc460332400" w:history="1">
            <w:r w:rsidR="008618B4" w:rsidRPr="00843BA6">
              <w:rPr>
                <w:rStyle w:val="Hyperlink"/>
                <w:noProof/>
                <w:u w:val="none"/>
              </w:rPr>
              <w:t>B.</w:t>
            </w:r>
            <w:r w:rsidR="008618B4" w:rsidRPr="00843BA6">
              <w:rPr>
                <w:noProof/>
              </w:rPr>
              <w:tab/>
            </w:r>
            <w:r w:rsidR="008618B4" w:rsidRPr="00843BA6">
              <w:rPr>
                <w:rStyle w:val="Hyperlink"/>
                <w:noProof/>
                <w:u w:val="none"/>
              </w:rPr>
              <w:t>Claims of confidential trade secrets and purported non-disclosure clauses do not make documents non-discoverable; therefore DP&amp;L’s proprietary objection is without merit</w:t>
            </w:r>
            <w:r w:rsidR="008618B4" w:rsidRPr="00843BA6">
              <w:rPr>
                <w:noProof/>
                <w:webHidden/>
              </w:rPr>
              <w:tab/>
            </w:r>
            <w:r w:rsidR="008618B4" w:rsidRPr="00843BA6">
              <w:rPr>
                <w:noProof/>
                <w:webHidden/>
              </w:rPr>
              <w:fldChar w:fldCharType="begin"/>
            </w:r>
            <w:r w:rsidR="008618B4" w:rsidRPr="00843BA6">
              <w:rPr>
                <w:noProof/>
                <w:webHidden/>
              </w:rPr>
              <w:instrText xml:space="preserve"> PAGEREF _Toc460332400 \h </w:instrText>
            </w:r>
            <w:r w:rsidR="008618B4" w:rsidRPr="00843BA6">
              <w:rPr>
                <w:noProof/>
                <w:webHidden/>
              </w:rPr>
            </w:r>
            <w:r w:rsidR="008618B4" w:rsidRPr="00843BA6">
              <w:rPr>
                <w:noProof/>
                <w:webHidden/>
              </w:rPr>
              <w:fldChar w:fldCharType="separate"/>
            </w:r>
            <w:r w:rsidR="00847199">
              <w:rPr>
                <w:noProof/>
                <w:webHidden/>
              </w:rPr>
              <w:t>9</w:t>
            </w:r>
            <w:r w:rsidR="008618B4" w:rsidRPr="00843BA6">
              <w:rPr>
                <w:noProof/>
                <w:webHidden/>
              </w:rPr>
              <w:fldChar w:fldCharType="end"/>
            </w:r>
          </w:hyperlink>
        </w:p>
        <w:p w14:paraId="29D5E972" w14:textId="60F089FA" w:rsidR="008618B4" w:rsidRPr="00843BA6" w:rsidRDefault="002A78B9" w:rsidP="00843BA6">
          <w:pPr>
            <w:pStyle w:val="TOC2"/>
            <w:rPr>
              <w:noProof/>
            </w:rPr>
          </w:pPr>
          <w:hyperlink w:anchor="_Toc460332401" w:history="1">
            <w:r w:rsidR="008618B4" w:rsidRPr="00843BA6">
              <w:rPr>
                <w:rStyle w:val="Hyperlink"/>
                <w:noProof/>
                <w:u w:val="none"/>
              </w:rPr>
              <w:t>C.</w:t>
            </w:r>
            <w:r w:rsidR="008618B4" w:rsidRPr="00843BA6">
              <w:rPr>
                <w:noProof/>
              </w:rPr>
              <w:tab/>
            </w:r>
            <w:r w:rsidR="008618B4" w:rsidRPr="00843BA6">
              <w:rPr>
                <w:rStyle w:val="Hyperlink"/>
                <w:noProof/>
                <w:u w:val="none"/>
              </w:rPr>
              <w:t>The requested documents are discoverable as they are within DP&amp;L’s possession, custody, or control; therefore DP&amp;L’s unregulated affiliate objection is without merit</w:t>
            </w:r>
            <w:r w:rsidR="008618B4" w:rsidRPr="00843BA6">
              <w:rPr>
                <w:noProof/>
                <w:webHidden/>
              </w:rPr>
              <w:tab/>
            </w:r>
            <w:r w:rsidR="008618B4" w:rsidRPr="00843BA6">
              <w:rPr>
                <w:noProof/>
                <w:webHidden/>
              </w:rPr>
              <w:fldChar w:fldCharType="begin"/>
            </w:r>
            <w:r w:rsidR="008618B4" w:rsidRPr="00843BA6">
              <w:rPr>
                <w:noProof/>
                <w:webHidden/>
              </w:rPr>
              <w:instrText xml:space="preserve"> PAGEREF _Toc460332401 \h </w:instrText>
            </w:r>
            <w:r w:rsidR="008618B4" w:rsidRPr="00843BA6">
              <w:rPr>
                <w:noProof/>
                <w:webHidden/>
              </w:rPr>
            </w:r>
            <w:r w:rsidR="008618B4" w:rsidRPr="00843BA6">
              <w:rPr>
                <w:noProof/>
                <w:webHidden/>
              </w:rPr>
              <w:fldChar w:fldCharType="separate"/>
            </w:r>
            <w:r w:rsidR="00847199">
              <w:rPr>
                <w:noProof/>
                <w:webHidden/>
              </w:rPr>
              <w:t>12</w:t>
            </w:r>
            <w:r w:rsidR="008618B4" w:rsidRPr="00843BA6">
              <w:rPr>
                <w:noProof/>
                <w:webHidden/>
              </w:rPr>
              <w:fldChar w:fldCharType="end"/>
            </w:r>
          </w:hyperlink>
        </w:p>
        <w:p w14:paraId="0E6974C9" w14:textId="62192ED8" w:rsidR="008618B4" w:rsidRPr="00843BA6" w:rsidRDefault="002A78B9" w:rsidP="00843BA6">
          <w:pPr>
            <w:pStyle w:val="TOC2"/>
            <w:rPr>
              <w:noProof/>
            </w:rPr>
          </w:pPr>
          <w:hyperlink w:anchor="_Toc460332402" w:history="1">
            <w:r w:rsidR="008618B4" w:rsidRPr="00843BA6">
              <w:rPr>
                <w:rStyle w:val="Hyperlink"/>
                <w:noProof/>
                <w:u w:val="none"/>
              </w:rPr>
              <w:t>D.</w:t>
            </w:r>
            <w:r w:rsidR="008618B4" w:rsidRPr="00843BA6">
              <w:rPr>
                <w:noProof/>
              </w:rPr>
              <w:tab/>
            </w:r>
            <w:r w:rsidR="008618B4" w:rsidRPr="00843BA6">
              <w:rPr>
                <w:rStyle w:val="Hyperlink"/>
                <w:noProof/>
                <w:u w:val="none"/>
              </w:rPr>
              <w:t>The requested documents are required in the ordinary course of business; therefore DP&amp;L’s attorney-client privilege and work product objections are without merit</w:t>
            </w:r>
            <w:r w:rsidR="008618B4" w:rsidRPr="00843BA6">
              <w:rPr>
                <w:noProof/>
                <w:webHidden/>
              </w:rPr>
              <w:tab/>
            </w:r>
            <w:r w:rsidR="008618B4" w:rsidRPr="00843BA6">
              <w:rPr>
                <w:noProof/>
                <w:webHidden/>
              </w:rPr>
              <w:fldChar w:fldCharType="begin"/>
            </w:r>
            <w:r w:rsidR="008618B4" w:rsidRPr="00843BA6">
              <w:rPr>
                <w:noProof/>
                <w:webHidden/>
              </w:rPr>
              <w:instrText xml:space="preserve"> PAGEREF _Toc460332402 \h </w:instrText>
            </w:r>
            <w:r w:rsidR="008618B4" w:rsidRPr="00843BA6">
              <w:rPr>
                <w:noProof/>
                <w:webHidden/>
              </w:rPr>
            </w:r>
            <w:r w:rsidR="008618B4" w:rsidRPr="00843BA6">
              <w:rPr>
                <w:noProof/>
                <w:webHidden/>
              </w:rPr>
              <w:fldChar w:fldCharType="separate"/>
            </w:r>
            <w:r w:rsidR="00847199">
              <w:rPr>
                <w:noProof/>
                <w:webHidden/>
              </w:rPr>
              <w:t>15</w:t>
            </w:r>
            <w:r w:rsidR="008618B4" w:rsidRPr="00843BA6">
              <w:rPr>
                <w:noProof/>
                <w:webHidden/>
              </w:rPr>
              <w:fldChar w:fldCharType="end"/>
            </w:r>
          </w:hyperlink>
        </w:p>
        <w:p w14:paraId="7EB20999" w14:textId="2040767C" w:rsidR="008618B4" w:rsidRPr="00843BA6" w:rsidRDefault="002A78B9" w:rsidP="00843BA6">
          <w:pPr>
            <w:pStyle w:val="TOC1"/>
            <w:rPr>
              <w:u w:val="none"/>
            </w:rPr>
          </w:pPr>
          <w:hyperlink w:anchor="_Toc460332403" w:history="1">
            <w:r w:rsidR="008618B4" w:rsidRPr="00843BA6">
              <w:rPr>
                <w:u w:val="none"/>
              </w:rPr>
              <w:t>III.</w:t>
            </w:r>
            <w:r w:rsidR="008618B4" w:rsidRPr="00843BA6">
              <w:rPr>
                <w:u w:val="none"/>
              </w:rPr>
              <w:tab/>
              <w:t>CONCLUSION</w:t>
            </w:r>
            <w:r w:rsidR="008618B4" w:rsidRPr="0087370C">
              <w:rPr>
                <w:b w:val="0"/>
                <w:webHidden/>
                <w:u w:val="none"/>
              </w:rPr>
              <w:tab/>
            </w:r>
            <w:r w:rsidR="008618B4" w:rsidRPr="00CF198D">
              <w:rPr>
                <w:b w:val="0"/>
                <w:webHidden/>
                <w:u w:val="none"/>
              </w:rPr>
              <w:fldChar w:fldCharType="begin"/>
            </w:r>
            <w:r w:rsidR="008618B4" w:rsidRPr="00CF198D">
              <w:rPr>
                <w:b w:val="0"/>
                <w:webHidden/>
                <w:u w:val="none"/>
              </w:rPr>
              <w:instrText xml:space="preserve"> PAGEREF _Toc460332403 \h </w:instrText>
            </w:r>
            <w:r w:rsidR="008618B4" w:rsidRPr="00CF198D">
              <w:rPr>
                <w:b w:val="0"/>
                <w:webHidden/>
                <w:u w:val="none"/>
              </w:rPr>
            </w:r>
            <w:r w:rsidR="008618B4" w:rsidRPr="00CF198D">
              <w:rPr>
                <w:b w:val="0"/>
                <w:webHidden/>
                <w:u w:val="none"/>
              </w:rPr>
              <w:fldChar w:fldCharType="separate"/>
            </w:r>
            <w:r w:rsidR="00847199">
              <w:rPr>
                <w:b w:val="0"/>
                <w:webHidden/>
                <w:u w:val="none"/>
              </w:rPr>
              <w:t>19</w:t>
            </w:r>
            <w:r w:rsidR="008618B4" w:rsidRPr="00CF198D">
              <w:rPr>
                <w:b w:val="0"/>
                <w:webHidden/>
                <w:u w:val="none"/>
              </w:rPr>
              <w:fldChar w:fldCharType="end"/>
            </w:r>
          </w:hyperlink>
        </w:p>
        <w:p w14:paraId="58A54769" w14:textId="3A1320E5" w:rsidR="008618B4" w:rsidRDefault="008618B4">
          <w:r w:rsidRPr="00843BA6">
            <w:rPr>
              <w:b/>
              <w:bCs/>
              <w:noProof/>
            </w:rPr>
            <w:fldChar w:fldCharType="end"/>
          </w:r>
        </w:p>
      </w:sdtContent>
    </w:sdt>
    <w:p w14:paraId="4BDB335A" w14:textId="77777777" w:rsidR="008618B4" w:rsidRDefault="008618B4" w:rsidP="00053382">
      <w:pPr>
        <w:spacing w:line="240" w:lineRule="auto"/>
        <w:jc w:val="center"/>
        <w:rPr>
          <w:rFonts w:eastAsia="Calibri" w:cs="Arial"/>
          <w:b/>
          <w:smallCaps/>
          <w:sz w:val="28"/>
          <w:szCs w:val="28"/>
        </w:rPr>
        <w:sectPr w:rsidR="008618B4" w:rsidSect="00CF198D">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docGrid w:linePitch="360"/>
        </w:sectPr>
      </w:pPr>
    </w:p>
    <w:p w14:paraId="0EEDAB3C" w14:textId="0224764E" w:rsidR="00053382" w:rsidRPr="007249C1" w:rsidRDefault="00053382" w:rsidP="00053382">
      <w:pPr>
        <w:spacing w:line="240" w:lineRule="auto"/>
        <w:jc w:val="center"/>
        <w:rPr>
          <w:rFonts w:eastAsia="Calibri" w:cs="Arial"/>
          <w:b/>
          <w:smallCaps/>
          <w:sz w:val="28"/>
          <w:szCs w:val="28"/>
        </w:rPr>
      </w:pPr>
      <w:r w:rsidRPr="007249C1">
        <w:rPr>
          <w:rFonts w:eastAsia="Calibri" w:cs="Arial"/>
          <w:b/>
          <w:smallCaps/>
          <w:sz w:val="28"/>
          <w:szCs w:val="28"/>
        </w:rPr>
        <w:lastRenderedPageBreak/>
        <w:t>Before</w:t>
      </w:r>
    </w:p>
    <w:p w14:paraId="4ECED478" w14:textId="77777777" w:rsidR="00053382" w:rsidRDefault="00053382" w:rsidP="00053382">
      <w:pPr>
        <w:spacing w:line="240" w:lineRule="auto"/>
        <w:jc w:val="center"/>
        <w:rPr>
          <w:rFonts w:eastAsia="Calibri" w:cs="Arial"/>
          <w:b/>
          <w:smallCaps/>
          <w:sz w:val="28"/>
          <w:szCs w:val="28"/>
        </w:rPr>
      </w:pPr>
      <w:r w:rsidRPr="007249C1">
        <w:rPr>
          <w:rFonts w:eastAsia="Calibri" w:cs="Arial"/>
          <w:b/>
          <w:smallCaps/>
          <w:sz w:val="28"/>
          <w:szCs w:val="28"/>
        </w:rPr>
        <w:t>The Public Utilities Commission of Ohio</w:t>
      </w:r>
    </w:p>
    <w:p w14:paraId="6FB9D7DB" w14:textId="77777777" w:rsidR="00053382" w:rsidRDefault="00053382" w:rsidP="00053382">
      <w:pPr>
        <w:spacing w:line="240" w:lineRule="auto"/>
        <w:jc w:val="center"/>
        <w:rPr>
          <w:rFonts w:eastAsia="Calibri" w:cs="Arial"/>
          <w:b/>
          <w:smallCaps/>
        </w:rPr>
      </w:pPr>
    </w:p>
    <w:p w14:paraId="479AEBB6" w14:textId="77777777" w:rsidR="00053382" w:rsidRPr="00754DB3" w:rsidRDefault="00053382" w:rsidP="00053382">
      <w:pPr>
        <w:spacing w:line="240" w:lineRule="auto"/>
        <w:jc w:val="center"/>
        <w:rPr>
          <w:rFonts w:eastAsia="Calibri" w:cs="Arial"/>
          <w:b/>
          <w:smallCaps/>
        </w:rPr>
      </w:pPr>
    </w:p>
    <w:p w14:paraId="1D518866" w14:textId="77777777" w:rsidR="00053382" w:rsidRPr="00754DB3" w:rsidRDefault="00053382" w:rsidP="00053382">
      <w:pPr>
        <w:tabs>
          <w:tab w:val="left" w:pos="4680"/>
          <w:tab w:val="left" w:pos="5220"/>
        </w:tabs>
        <w:autoSpaceDE w:val="0"/>
        <w:autoSpaceDN w:val="0"/>
        <w:adjustRightInd w:val="0"/>
        <w:spacing w:line="240" w:lineRule="auto"/>
        <w:rPr>
          <w:rFonts w:cs="Arial"/>
        </w:rPr>
      </w:pPr>
      <w:r w:rsidRPr="00754DB3">
        <w:rPr>
          <w:rFonts w:cs="Arial"/>
        </w:rPr>
        <w:t>In the Matter of the Application of</w:t>
      </w:r>
      <w:r w:rsidRPr="00754DB3">
        <w:rPr>
          <w:rFonts w:cs="Arial"/>
        </w:rPr>
        <w:tab/>
        <w:t>)</w:t>
      </w:r>
    </w:p>
    <w:p w14:paraId="5BEA7E61" w14:textId="77777777" w:rsidR="00053382" w:rsidRPr="00754DB3" w:rsidRDefault="00053382" w:rsidP="00053382">
      <w:pPr>
        <w:tabs>
          <w:tab w:val="left" w:pos="4680"/>
          <w:tab w:val="left" w:pos="5220"/>
        </w:tabs>
        <w:autoSpaceDE w:val="0"/>
        <w:autoSpaceDN w:val="0"/>
        <w:adjustRightInd w:val="0"/>
        <w:spacing w:line="240" w:lineRule="auto"/>
        <w:rPr>
          <w:rFonts w:cs="Arial"/>
        </w:rPr>
      </w:pPr>
      <w:r w:rsidRPr="00754DB3">
        <w:rPr>
          <w:rFonts w:cs="Arial"/>
        </w:rPr>
        <w:t>The Dayton Power and Light Company for</w:t>
      </w:r>
      <w:r w:rsidRPr="00754DB3">
        <w:rPr>
          <w:rFonts w:cs="Arial"/>
        </w:rPr>
        <w:tab/>
        <w:t>)</w:t>
      </w:r>
      <w:r w:rsidRPr="00754DB3">
        <w:rPr>
          <w:rFonts w:cs="Arial"/>
        </w:rPr>
        <w:tab/>
        <w:t>Case No. 16-395-EL-SSO</w:t>
      </w:r>
    </w:p>
    <w:p w14:paraId="4DFF3A76" w14:textId="77777777" w:rsidR="00053382" w:rsidRPr="00754DB3" w:rsidRDefault="00053382" w:rsidP="00053382">
      <w:pPr>
        <w:tabs>
          <w:tab w:val="left" w:pos="4680"/>
          <w:tab w:val="left" w:pos="5220"/>
        </w:tabs>
        <w:autoSpaceDE w:val="0"/>
        <w:autoSpaceDN w:val="0"/>
        <w:adjustRightInd w:val="0"/>
        <w:spacing w:line="240" w:lineRule="auto"/>
        <w:rPr>
          <w:rFonts w:cs="Arial"/>
        </w:rPr>
      </w:pPr>
      <w:r w:rsidRPr="00754DB3">
        <w:rPr>
          <w:rFonts w:cs="Arial"/>
        </w:rPr>
        <w:t>Approval of Its Electric Security Plan</w:t>
      </w:r>
      <w:r w:rsidRPr="00754DB3">
        <w:rPr>
          <w:rFonts w:cs="Arial"/>
        </w:rPr>
        <w:tab/>
        <w:t>)</w:t>
      </w:r>
    </w:p>
    <w:p w14:paraId="537297EF" w14:textId="77777777" w:rsidR="00053382" w:rsidRPr="00754DB3" w:rsidRDefault="00053382" w:rsidP="00053382">
      <w:pPr>
        <w:tabs>
          <w:tab w:val="left" w:pos="4680"/>
          <w:tab w:val="left" w:pos="5220"/>
        </w:tabs>
        <w:autoSpaceDE w:val="0"/>
        <w:autoSpaceDN w:val="0"/>
        <w:adjustRightInd w:val="0"/>
        <w:spacing w:line="240" w:lineRule="auto"/>
        <w:rPr>
          <w:rFonts w:cs="Arial"/>
        </w:rPr>
      </w:pPr>
    </w:p>
    <w:p w14:paraId="6E3B8835" w14:textId="77777777" w:rsidR="00053382" w:rsidRPr="00754DB3" w:rsidRDefault="00053382" w:rsidP="00053382">
      <w:pPr>
        <w:tabs>
          <w:tab w:val="left" w:pos="4680"/>
          <w:tab w:val="left" w:pos="5220"/>
        </w:tabs>
        <w:autoSpaceDE w:val="0"/>
        <w:autoSpaceDN w:val="0"/>
        <w:adjustRightInd w:val="0"/>
        <w:spacing w:line="240" w:lineRule="auto"/>
        <w:rPr>
          <w:rFonts w:cs="Arial"/>
        </w:rPr>
      </w:pPr>
      <w:r w:rsidRPr="00754DB3">
        <w:rPr>
          <w:rFonts w:cs="Arial"/>
        </w:rPr>
        <w:t>In the Matter of the Application of</w:t>
      </w:r>
      <w:r w:rsidRPr="00754DB3">
        <w:rPr>
          <w:rFonts w:cs="Arial"/>
        </w:rPr>
        <w:tab/>
        <w:t>)</w:t>
      </w:r>
    </w:p>
    <w:p w14:paraId="7CE55807" w14:textId="77777777" w:rsidR="00053382" w:rsidRPr="00754DB3" w:rsidRDefault="00053382" w:rsidP="00053382">
      <w:pPr>
        <w:tabs>
          <w:tab w:val="left" w:pos="4680"/>
          <w:tab w:val="left" w:pos="5220"/>
        </w:tabs>
        <w:autoSpaceDE w:val="0"/>
        <w:autoSpaceDN w:val="0"/>
        <w:adjustRightInd w:val="0"/>
        <w:spacing w:line="240" w:lineRule="auto"/>
        <w:rPr>
          <w:rFonts w:cs="Arial"/>
        </w:rPr>
      </w:pPr>
      <w:r w:rsidRPr="00754DB3">
        <w:rPr>
          <w:rFonts w:cs="Arial"/>
        </w:rPr>
        <w:t>The Dayton Power and Light Company for</w:t>
      </w:r>
      <w:r w:rsidRPr="00754DB3">
        <w:rPr>
          <w:rFonts w:cs="Arial"/>
        </w:rPr>
        <w:tab/>
        <w:t>)</w:t>
      </w:r>
      <w:r w:rsidRPr="00754DB3">
        <w:rPr>
          <w:rFonts w:cs="Arial"/>
        </w:rPr>
        <w:tab/>
        <w:t>Case No. 16-396-EL-ATA</w:t>
      </w:r>
    </w:p>
    <w:p w14:paraId="056F11A3" w14:textId="77777777" w:rsidR="00053382" w:rsidRPr="00754DB3" w:rsidRDefault="00053382" w:rsidP="00053382">
      <w:pPr>
        <w:tabs>
          <w:tab w:val="left" w:pos="4680"/>
          <w:tab w:val="left" w:pos="5220"/>
        </w:tabs>
        <w:autoSpaceDE w:val="0"/>
        <w:autoSpaceDN w:val="0"/>
        <w:adjustRightInd w:val="0"/>
        <w:spacing w:line="240" w:lineRule="auto"/>
        <w:rPr>
          <w:rFonts w:cs="Arial"/>
        </w:rPr>
      </w:pPr>
      <w:r w:rsidRPr="00754DB3">
        <w:rPr>
          <w:rFonts w:cs="Arial"/>
        </w:rPr>
        <w:t>Approval of Revised Tariffs</w:t>
      </w:r>
      <w:r w:rsidRPr="00754DB3">
        <w:rPr>
          <w:rFonts w:cs="Arial"/>
        </w:rPr>
        <w:tab/>
        <w:t>)</w:t>
      </w:r>
    </w:p>
    <w:p w14:paraId="11044EE5" w14:textId="77777777" w:rsidR="00053382" w:rsidRPr="00754DB3" w:rsidRDefault="00053382" w:rsidP="00053382">
      <w:pPr>
        <w:tabs>
          <w:tab w:val="left" w:pos="4680"/>
          <w:tab w:val="left" w:pos="5220"/>
        </w:tabs>
        <w:autoSpaceDE w:val="0"/>
        <w:autoSpaceDN w:val="0"/>
        <w:adjustRightInd w:val="0"/>
        <w:spacing w:line="240" w:lineRule="auto"/>
        <w:rPr>
          <w:rFonts w:cs="Arial"/>
        </w:rPr>
      </w:pPr>
    </w:p>
    <w:p w14:paraId="6D534EE7" w14:textId="77777777" w:rsidR="00053382" w:rsidRPr="00754DB3" w:rsidRDefault="00053382" w:rsidP="00053382">
      <w:pPr>
        <w:tabs>
          <w:tab w:val="left" w:pos="4680"/>
          <w:tab w:val="left" w:pos="5220"/>
        </w:tabs>
        <w:autoSpaceDE w:val="0"/>
        <w:autoSpaceDN w:val="0"/>
        <w:adjustRightInd w:val="0"/>
        <w:spacing w:line="240" w:lineRule="auto"/>
        <w:rPr>
          <w:rFonts w:cs="Arial"/>
        </w:rPr>
      </w:pPr>
      <w:r w:rsidRPr="00754DB3">
        <w:rPr>
          <w:rFonts w:cs="Arial"/>
        </w:rPr>
        <w:t>In the Matter of the Application of</w:t>
      </w:r>
      <w:r w:rsidRPr="00754DB3">
        <w:rPr>
          <w:rFonts w:cs="Arial"/>
        </w:rPr>
        <w:tab/>
        <w:t>)</w:t>
      </w:r>
    </w:p>
    <w:p w14:paraId="3006D819" w14:textId="77777777" w:rsidR="00053382" w:rsidRPr="00754DB3" w:rsidRDefault="00053382" w:rsidP="00053382">
      <w:pPr>
        <w:tabs>
          <w:tab w:val="left" w:pos="4680"/>
          <w:tab w:val="left" w:pos="5220"/>
        </w:tabs>
        <w:autoSpaceDE w:val="0"/>
        <w:autoSpaceDN w:val="0"/>
        <w:adjustRightInd w:val="0"/>
        <w:spacing w:line="240" w:lineRule="auto"/>
        <w:rPr>
          <w:rFonts w:cs="Arial"/>
        </w:rPr>
      </w:pPr>
      <w:r w:rsidRPr="00754DB3">
        <w:rPr>
          <w:rFonts w:cs="Arial"/>
        </w:rPr>
        <w:t>The Dayton Power and Light Company for</w:t>
      </w:r>
      <w:r w:rsidRPr="00754DB3">
        <w:rPr>
          <w:rFonts w:cs="Arial"/>
        </w:rPr>
        <w:tab/>
        <w:t>)</w:t>
      </w:r>
      <w:r w:rsidRPr="00754DB3">
        <w:rPr>
          <w:rFonts w:cs="Arial"/>
        </w:rPr>
        <w:tab/>
        <w:t>Case No. 16-397-EL-AAM</w:t>
      </w:r>
    </w:p>
    <w:p w14:paraId="119D0B61" w14:textId="77777777" w:rsidR="00053382" w:rsidRPr="00754DB3" w:rsidRDefault="00053382" w:rsidP="00053382">
      <w:pPr>
        <w:tabs>
          <w:tab w:val="left" w:pos="4680"/>
          <w:tab w:val="left" w:pos="5220"/>
        </w:tabs>
        <w:autoSpaceDE w:val="0"/>
        <w:autoSpaceDN w:val="0"/>
        <w:adjustRightInd w:val="0"/>
        <w:spacing w:line="240" w:lineRule="auto"/>
        <w:rPr>
          <w:rFonts w:cs="Arial"/>
        </w:rPr>
      </w:pPr>
      <w:r w:rsidRPr="00754DB3">
        <w:rPr>
          <w:rFonts w:cs="Arial"/>
        </w:rPr>
        <w:t>Approval of Certain Accounting Authority</w:t>
      </w:r>
      <w:r w:rsidRPr="00754DB3">
        <w:rPr>
          <w:rFonts w:cs="Arial"/>
        </w:rPr>
        <w:tab/>
        <w:t>)</w:t>
      </w:r>
    </w:p>
    <w:p w14:paraId="50CA48FA" w14:textId="77777777" w:rsidR="00053382" w:rsidRPr="00754DB3" w:rsidRDefault="00053382" w:rsidP="00053382">
      <w:pPr>
        <w:tabs>
          <w:tab w:val="left" w:pos="4680"/>
          <w:tab w:val="left" w:pos="5220"/>
        </w:tabs>
        <w:autoSpaceDE w:val="0"/>
        <w:autoSpaceDN w:val="0"/>
        <w:adjustRightInd w:val="0"/>
        <w:spacing w:line="240" w:lineRule="auto"/>
        <w:rPr>
          <w:rFonts w:cs="Arial"/>
        </w:rPr>
      </w:pPr>
      <w:r w:rsidRPr="00754DB3">
        <w:rPr>
          <w:rFonts w:cs="Arial"/>
        </w:rPr>
        <w:t>Pursuant to Ohio Rev. Code § 4905.13</w:t>
      </w:r>
      <w:r w:rsidRPr="00754DB3">
        <w:rPr>
          <w:rFonts w:cs="Arial"/>
        </w:rPr>
        <w:tab/>
        <w:t>)</w:t>
      </w:r>
    </w:p>
    <w:p w14:paraId="7B5E7642" w14:textId="77777777" w:rsidR="00053382" w:rsidRPr="00AC2E18" w:rsidRDefault="00053382" w:rsidP="00053382">
      <w:pPr>
        <w:tabs>
          <w:tab w:val="left" w:pos="4680"/>
          <w:tab w:val="left" w:pos="5220"/>
        </w:tabs>
        <w:autoSpaceDE w:val="0"/>
        <w:autoSpaceDN w:val="0"/>
        <w:adjustRightInd w:val="0"/>
        <w:spacing w:line="240" w:lineRule="auto"/>
        <w:rPr>
          <w:rFonts w:cs="Arial"/>
        </w:rPr>
      </w:pPr>
    </w:p>
    <w:p w14:paraId="71EBC134" w14:textId="77777777" w:rsidR="00053382" w:rsidRDefault="00053382" w:rsidP="00053382">
      <w:pPr>
        <w:tabs>
          <w:tab w:val="left" w:pos="5040"/>
        </w:tabs>
        <w:spacing w:line="240" w:lineRule="auto"/>
        <w:rPr>
          <w:rFonts w:eastAsia="Times New Roman" w:cs="Arial"/>
        </w:rPr>
      </w:pPr>
    </w:p>
    <w:p w14:paraId="7C5FD236" w14:textId="77777777" w:rsidR="00053382" w:rsidRPr="003046A9" w:rsidRDefault="00053382" w:rsidP="00053382">
      <w:pPr>
        <w:pBdr>
          <w:bottom w:val="single" w:sz="12" w:space="1" w:color="auto"/>
        </w:pBdr>
        <w:tabs>
          <w:tab w:val="left" w:pos="5040"/>
        </w:tabs>
        <w:spacing w:line="240" w:lineRule="auto"/>
        <w:rPr>
          <w:rFonts w:eastAsia="Times New Roman" w:cs="Arial"/>
        </w:rPr>
      </w:pPr>
    </w:p>
    <w:p w14:paraId="0310583C" w14:textId="77777777" w:rsidR="00053382" w:rsidRPr="000F2E9D" w:rsidRDefault="00053382" w:rsidP="00053382">
      <w:pPr>
        <w:spacing w:line="240" w:lineRule="auto"/>
        <w:rPr>
          <w:rFonts w:cs="Arial"/>
          <w:b/>
        </w:rPr>
      </w:pPr>
    </w:p>
    <w:p w14:paraId="25159797" w14:textId="77777777" w:rsidR="00053382" w:rsidRPr="002E2906" w:rsidRDefault="00053382" w:rsidP="00053382">
      <w:pPr>
        <w:spacing w:line="240" w:lineRule="auto"/>
        <w:jc w:val="center"/>
        <w:rPr>
          <w:rFonts w:ascii="Arial Bold" w:hAnsi="Arial Bold" w:cs="Arial"/>
          <w:b/>
          <w:smallCaps/>
          <w:sz w:val="28"/>
          <w:szCs w:val="28"/>
        </w:rPr>
      </w:pPr>
      <w:r w:rsidRPr="002E2906">
        <w:rPr>
          <w:rFonts w:ascii="Arial Bold" w:hAnsi="Arial Bold" w:cs="Arial"/>
          <w:b/>
          <w:smallCaps/>
          <w:sz w:val="28"/>
          <w:szCs w:val="28"/>
        </w:rPr>
        <w:t xml:space="preserve">Industrial Energy Users-Ohio’s </w:t>
      </w:r>
      <w:r>
        <w:rPr>
          <w:rFonts w:ascii="Arial Bold" w:hAnsi="Arial Bold" w:cs="Arial"/>
          <w:b/>
          <w:smallCaps/>
          <w:sz w:val="28"/>
          <w:szCs w:val="28"/>
        </w:rPr>
        <w:t>Motion to Compel Discovery Responses from The Dayton Power and Light Company</w:t>
      </w:r>
    </w:p>
    <w:p w14:paraId="486552A0" w14:textId="77777777" w:rsidR="00053382" w:rsidRPr="000F2E9D" w:rsidRDefault="00053382" w:rsidP="00053382">
      <w:pPr>
        <w:spacing w:line="240" w:lineRule="auto"/>
        <w:rPr>
          <w:rFonts w:cs="Arial"/>
          <w:b/>
        </w:rPr>
      </w:pPr>
      <w:r>
        <w:rPr>
          <w:rFonts w:cs="Arial"/>
          <w:b/>
        </w:rPr>
        <w:t>______________________________________________________________________</w:t>
      </w:r>
    </w:p>
    <w:p w14:paraId="721F9BA3" w14:textId="77777777" w:rsidR="00053382" w:rsidRPr="00A51BA2" w:rsidRDefault="00053382" w:rsidP="00053382">
      <w:pPr>
        <w:spacing w:line="240" w:lineRule="auto"/>
        <w:jc w:val="center"/>
        <w:rPr>
          <w:rFonts w:eastAsia="Times New Roman" w:cs="Arial"/>
          <w:b/>
          <w:smallCaps/>
          <w:u w:val="single"/>
        </w:rPr>
      </w:pPr>
    </w:p>
    <w:p w14:paraId="41A2C269" w14:textId="77777777" w:rsidR="00053382" w:rsidRPr="00A51BA2" w:rsidRDefault="00053382" w:rsidP="00053382">
      <w:pPr>
        <w:spacing w:line="240" w:lineRule="auto"/>
        <w:jc w:val="center"/>
        <w:rPr>
          <w:rFonts w:eastAsia="Times New Roman" w:cs="Arial"/>
          <w:b/>
          <w:smallCaps/>
          <w:u w:val="single"/>
        </w:rPr>
      </w:pPr>
    </w:p>
    <w:p w14:paraId="1C091C46" w14:textId="5BBCCD65" w:rsidR="00491F34" w:rsidRDefault="00BB6C80" w:rsidP="000D5783">
      <w:r>
        <w:tab/>
        <w:t>Pursuant to Rule 4901-1-23</w:t>
      </w:r>
      <w:r w:rsidR="000D5783">
        <w:t>,</w:t>
      </w:r>
      <w:r>
        <w:t xml:space="preserve"> Ohio Administrative Code</w:t>
      </w:r>
      <w:r w:rsidR="000D5783">
        <w:t xml:space="preserve"> </w:t>
      </w:r>
      <w:r>
        <w:t>(“</w:t>
      </w:r>
      <w:r w:rsidR="000D5783">
        <w:t>O.A.C.</w:t>
      </w:r>
      <w:r>
        <w:t>”),</w:t>
      </w:r>
      <w:r w:rsidR="000D5783">
        <w:t xml:space="preserve"> Industrial Energy Users-Ohi</w:t>
      </w:r>
      <w:r w:rsidR="00623722">
        <w:t>o</w:t>
      </w:r>
      <w:r w:rsidR="000D5783">
        <w:t xml:space="preserve"> (“IEU-Ohio”) hereby files this </w:t>
      </w:r>
      <w:r w:rsidR="001B11BE">
        <w:t>M</w:t>
      </w:r>
      <w:r w:rsidR="000D5783">
        <w:t xml:space="preserve">otion to </w:t>
      </w:r>
      <w:r w:rsidR="001B11BE">
        <w:t>C</w:t>
      </w:r>
      <w:r w:rsidR="000D5783">
        <w:t xml:space="preserve">ompel </w:t>
      </w:r>
      <w:r w:rsidR="001B11BE">
        <w:t>D</w:t>
      </w:r>
      <w:r w:rsidR="000D5783">
        <w:t xml:space="preserve">iscovery </w:t>
      </w:r>
      <w:r w:rsidR="001B11BE">
        <w:t>R</w:t>
      </w:r>
      <w:r w:rsidR="000D5783">
        <w:t xml:space="preserve">esponses from </w:t>
      </w:r>
      <w:r w:rsidR="004D2AB6">
        <w:t>T</w:t>
      </w:r>
      <w:r w:rsidR="000D5783">
        <w:t>he Dayton Power and Light Company (“DP&amp;L”).  IEU-Ohio has served proper discovery re</w:t>
      </w:r>
      <w:r>
        <w:t>quests</w:t>
      </w:r>
      <w:r w:rsidR="000D5783">
        <w:t xml:space="preserve"> upon DP&amp;L</w:t>
      </w:r>
      <w:r w:rsidR="002860BA">
        <w:t>, but has not received complete discovery responses from DP&amp;L</w:t>
      </w:r>
      <w:r w:rsidR="00491F34">
        <w:t xml:space="preserve">.  </w:t>
      </w:r>
      <w:r w:rsidR="007621C0">
        <w:t xml:space="preserve">The discovery requests seek the identification and production of impairment analyses related to the Stuart, Killen, Zimmer, Miami Fort, Conesville, Kyger Creek, and Clifty Creek plants that form the basis of DP&amp;L’s requests for the Reliable Energy Rider (“RER”).  The requests are therefore reasonably calculated to lead to the discovery of admissible evidence.  DP&amp;L’s objections to identifying and producing the requested documents are without merit.  </w:t>
      </w:r>
      <w:r w:rsidR="00875E59">
        <w:t>As detailed in the att</w:t>
      </w:r>
      <w:r w:rsidR="002860BA">
        <w:t xml:space="preserve">ached </w:t>
      </w:r>
      <w:r w:rsidR="00B56A3D">
        <w:t>M</w:t>
      </w:r>
      <w:r w:rsidR="002860BA">
        <w:t xml:space="preserve">emorandum in </w:t>
      </w:r>
      <w:r w:rsidR="00B56A3D">
        <w:lastRenderedPageBreak/>
        <w:t>S</w:t>
      </w:r>
      <w:r w:rsidR="002860BA">
        <w:t xml:space="preserve">upport, </w:t>
      </w:r>
      <w:r w:rsidR="00875E59">
        <w:t>affidavit</w:t>
      </w:r>
      <w:r w:rsidR="002860BA">
        <w:t xml:space="preserve"> and exhibits</w:t>
      </w:r>
      <w:r w:rsidR="00875E59">
        <w:t xml:space="preserve">, IEU-Ohio has attempted in good faith to resolve </w:t>
      </w:r>
      <w:r w:rsidR="00491F34">
        <w:t>DP&amp;L’s failure to provide complete discovery responses</w:t>
      </w:r>
      <w:r w:rsidR="00875E59">
        <w:t xml:space="preserve"> but those efforts have failed.  </w:t>
      </w:r>
    </w:p>
    <w:p w14:paraId="248E7303" w14:textId="18F516E6" w:rsidR="00875E59" w:rsidRDefault="00875E59" w:rsidP="00491F34">
      <w:pPr>
        <w:ind w:firstLine="720"/>
      </w:pPr>
      <w:r>
        <w:t xml:space="preserve">Accordingly, IEU-Ohio moves the </w:t>
      </w:r>
      <w:r w:rsidR="00B56A3D">
        <w:t>Public Utilities Commission of Ohio (“</w:t>
      </w:r>
      <w:r>
        <w:t>Commission</w:t>
      </w:r>
      <w:r w:rsidR="00B56A3D">
        <w:t>”)</w:t>
      </w:r>
      <w:r>
        <w:t xml:space="preserve"> for an order compelling DP&amp;L to </w:t>
      </w:r>
      <w:r w:rsidR="007A0104">
        <w:t>provide the requested impairment analyses sought in IEU-Ohio’s discovery requests.</w:t>
      </w:r>
      <w:r w:rsidR="0027230D">
        <w:t xml:space="preserve">  Recognizing the Commission’s standard practice for resolving claims of privilege, IEU-Ohio would request that the Commission timely set this matter for a prehearing conference and direct DP&amp;L to produce a privilege log to IEU-Ohio at least three days in advance of the prehearing and to further direct DP&amp;L to bring the documents that it is claiming are privileged to the prehearing conference for an </w:t>
      </w:r>
      <w:r w:rsidR="0027230D" w:rsidRPr="005D660A">
        <w:rPr>
          <w:i/>
        </w:rPr>
        <w:t>in camera</w:t>
      </w:r>
      <w:r w:rsidR="0027230D">
        <w:t xml:space="preserve"> review by the Attorney Examiners.</w:t>
      </w:r>
    </w:p>
    <w:p w14:paraId="07DEFBCE" w14:textId="77777777" w:rsidR="004C7680" w:rsidRDefault="004C7680" w:rsidP="004C7680">
      <w:pPr>
        <w:spacing w:line="240" w:lineRule="auto"/>
        <w:ind w:left="4140"/>
        <w:rPr>
          <w:rFonts w:eastAsia="Times New Roman" w:cs="Arial"/>
        </w:rPr>
      </w:pPr>
      <w:r>
        <w:rPr>
          <w:rFonts w:eastAsia="Times New Roman" w:cs="Arial"/>
        </w:rPr>
        <w:t>Respectfully submitted,</w:t>
      </w:r>
    </w:p>
    <w:p w14:paraId="106ECCC7" w14:textId="77777777" w:rsidR="004C7680" w:rsidRDefault="004C7680" w:rsidP="004C7680">
      <w:pPr>
        <w:tabs>
          <w:tab w:val="left" w:pos="4320"/>
          <w:tab w:val="right" w:pos="8640"/>
        </w:tabs>
        <w:spacing w:line="240" w:lineRule="auto"/>
        <w:ind w:left="4140"/>
        <w:rPr>
          <w:rFonts w:eastAsia="Times New Roman" w:cs="Arial"/>
          <w:i/>
          <w:u w:val="single"/>
        </w:rPr>
      </w:pPr>
    </w:p>
    <w:p w14:paraId="05B2B7F4" w14:textId="176C2555" w:rsidR="004C7680" w:rsidRPr="00935789" w:rsidRDefault="004C7680" w:rsidP="004C7680">
      <w:pPr>
        <w:tabs>
          <w:tab w:val="left" w:pos="4320"/>
          <w:tab w:val="right" w:pos="8640"/>
        </w:tabs>
        <w:spacing w:line="240" w:lineRule="auto"/>
        <w:ind w:left="4140"/>
        <w:rPr>
          <w:rFonts w:eastAsia="Times New Roman" w:cs="Arial"/>
          <w:i/>
          <w:u w:val="single"/>
        </w:rPr>
      </w:pPr>
      <w:r w:rsidRPr="00935789">
        <w:rPr>
          <w:rFonts w:eastAsia="Times New Roman" w:cs="Arial"/>
          <w:i/>
          <w:u w:val="single"/>
        </w:rPr>
        <w:t xml:space="preserve">/s/ </w:t>
      </w:r>
      <w:r>
        <w:rPr>
          <w:rFonts w:eastAsia="Times New Roman" w:cs="Arial"/>
          <w:i/>
          <w:u w:val="single"/>
        </w:rPr>
        <w:t>Matthew R. Pritchard</w:t>
      </w:r>
      <w:r w:rsidR="00164269">
        <w:rPr>
          <w:rFonts w:eastAsia="Times New Roman" w:cs="Arial"/>
          <w:i/>
          <w:u w:val="single"/>
        </w:rPr>
        <w:tab/>
      </w:r>
    </w:p>
    <w:p w14:paraId="3447ADF5" w14:textId="77777777" w:rsidR="004C7680" w:rsidRDefault="004C7680" w:rsidP="004C7680">
      <w:pPr>
        <w:widowControl w:val="0"/>
        <w:spacing w:line="240" w:lineRule="auto"/>
        <w:ind w:left="4140"/>
        <w:rPr>
          <w:rFonts w:eastAsia="Calibri" w:cs="Arial"/>
          <w:bCs/>
        </w:rPr>
      </w:pPr>
      <w:r>
        <w:rPr>
          <w:rFonts w:eastAsia="Calibri" w:cs="Arial"/>
          <w:bCs/>
        </w:rPr>
        <w:t>Frank P. Darr (Reg. No. 0025469)</w:t>
      </w:r>
    </w:p>
    <w:p w14:paraId="3CE97130" w14:textId="77777777" w:rsidR="004C7680" w:rsidRDefault="004C7680" w:rsidP="004C7680">
      <w:pPr>
        <w:widowControl w:val="0"/>
        <w:spacing w:line="240" w:lineRule="auto"/>
        <w:ind w:left="4140"/>
        <w:rPr>
          <w:rFonts w:eastAsia="Calibri" w:cs="Arial"/>
          <w:bCs/>
        </w:rPr>
      </w:pPr>
      <w:r>
        <w:rPr>
          <w:rFonts w:eastAsia="Calibri" w:cs="Arial"/>
          <w:bCs/>
        </w:rPr>
        <w:t>Counsel of Record</w:t>
      </w:r>
    </w:p>
    <w:p w14:paraId="62A80877" w14:textId="77777777" w:rsidR="004C7680" w:rsidRDefault="004C7680" w:rsidP="004C7680">
      <w:pPr>
        <w:widowControl w:val="0"/>
        <w:spacing w:line="240" w:lineRule="auto"/>
        <w:ind w:left="4140"/>
        <w:rPr>
          <w:rFonts w:eastAsia="Calibri" w:cs="Arial"/>
          <w:b/>
          <w:bCs/>
        </w:rPr>
      </w:pPr>
      <w:r>
        <w:rPr>
          <w:rFonts w:eastAsia="Calibri" w:cs="Arial"/>
          <w:bCs/>
        </w:rPr>
        <w:t>Matthew R. Pritchard (Reg. No. 0088070)</w:t>
      </w:r>
    </w:p>
    <w:p w14:paraId="6359A8C0" w14:textId="77777777" w:rsidR="004C7680" w:rsidRDefault="004C7680" w:rsidP="004C7680">
      <w:pPr>
        <w:widowControl w:val="0"/>
        <w:tabs>
          <w:tab w:val="left" w:pos="4320"/>
        </w:tabs>
        <w:spacing w:line="240" w:lineRule="auto"/>
        <w:ind w:left="4140"/>
        <w:rPr>
          <w:rFonts w:eastAsia="Times New Roman" w:cs="Arial"/>
          <w:bCs/>
          <w:smallCaps/>
        </w:rPr>
      </w:pPr>
      <w:r>
        <w:rPr>
          <w:rFonts w:eastAsia="Times New Roman" w:cs="Arial"/>
          <w:bCs/>
          <w:smallCaps/>
        </w:rPr>
        <w:t>McNees Wallace &amp; Nurick LLC</w:t>
      </w:r>
    </w:p>
    <w:p w14:paraId="01ABC0B2" w14:textId="77777777" w:rsidR="004C7680" w:rsidRDefault="004C7680" w:rsidP="004C7680">
      <w:pPr>
        <w:widowControl w:val="0"/>
        <w:tabs>
          <w:tab w:val="left" w:pos="4320"/>
        </w:tabs>
        <w:spacing w:line="240" w:lineRule="auto"/>
        <w:ind w:left="4140"/>
        <w:rPr>
          <w:rFonts w:eastAsia="Times New Roman" w:cs="Arial"/>
          <w:bCs/>
          <w:szCs w:val="20"/>
        </w:rPr>
      </w:pPr>
      <w:r>
        <w:rPr>
          <w:rFonts w:eastAsia="Times New Roman" w:cs="Arial"/>
          <w:bCs/>
          <w:szCs w:val="20"/>
        </w:rPr>
        <w:t>21 East State Street, 17</w:t>
      </w:r>
      <w:r>
        <w:rPr>
          <w:rFonts w:eastAsia="Times New Roman" w:cs="Arial"/>
          <w:bCs/>
          <w:szCs w:val="20"/>
          <w:vertAlign w:val="superscript"/>
        </w:rPr>
        <w:t>TH</w:t>
      </w:r>
      <w:r>
        <w:rPr>
          <w:rFonts w:eastAsia="Times New Roman" w:cs="Arial"/>
          <w:bCs/>
          <w:szCs w:val="20"/>
        </w:rPr>
        <w:t xml:space="preserve"> Floor</w:t>
      </w:r>
    </w:p>
    <w:p w14:paraId="350C1234" w14:textId="77777777" w:rsidR="004C7680" w:rsidRDefault="004C7680" w:rsidP="004C7680">
      <w:pPr>
        <w:tabs>
          <w:tab w:val="left" w:pos="4320"/>
        </w:tabs>
        <w:spacing w:line="240" w:lineRule="auto"/>
        <w:ind w:left="4140"/>
        <w:rPr>
          <w:rFonts w:eastAsia="Times New Roman" w:cs="Arial"/>
        </w:rPr>
      </w:pPr>
      <w:r>
        <w:rPr>
          <w:rFonts w:eastAsia="Times New Roman" w:cs="Arial"/>
        </w:rPr>
        <w:t>Columbus, OH  43215</w:t>
      </w:r>
    </w:p>
    <w:p w14:paraId="2B232ECF" w14:textId="77777777" w:rsidR="004C7680" w:rsidRDefault="004C7680" w:rsidP="004C7680">
      <w:pPr>
        <w:tabs>
          <w:tab w:val="left" w:pos="4320"/>
        </w:tabs>
        <w:spacing w:line="240" w:lineRule="auto"/>
        <w:ind w:left="4140"/>
        <w:rPr>
          <w:rFonts w:eastAsia="Times New Roman" w:cs="Arial"/>
        </w:rPr>
      </w:pPr>
      <w:r>
        <w:rPr>
          <w:rFonts w:eastAsia="Times New Roman" w:cs="Arial"/>
        </w:rPr>
        <w:t>Telephone:  (614) 469-8000</w:t>
      </w:r>
    </w:p>
    <w:p w14:paraId="7FC7847A" w14:textId="77777777" w:rsidR="004C7680" w:rsidRDefault="004C7680" w:rsidP="004C7680">
      <w:pPr>
        <w:tabs>
          <w:tab w:val="left" w:pos="4320"/>
        </w:tabs>
        <w:spacing w:line="240" w:lineRule="auto"/>
        <w:ind w:left="4140"/>
        <w:rPr>
          <w:rFonts w:eastAsia="Times New Roman" w:cs="Arial"/>
        </w:rPr>
      </w:pPr>
      <w:r>
        <w:rPr>
          <w:rFonts w:eastAsia="Times New Roman" w:cs="Arial"/>
        </w:rPr>
        <w:t>Telecopier:  (614) 469-4653</w:t>
      </w:r>
    </w:p>
    <w:p w14:paraId="24322EE3" w14:textId="77777777" w:rsidR="004C7680" w:rsidRDefault="004C7680" w:rsidP="004C7680">
      <w:pPr>
        <w:spacing w:line="240" w:lineRule="auto"/>
        <w:ind w:left="4140"/>
        <w:rPr>
          <w:rFonts w:eastAsia="Times New Roman" w:cs="Arial"/>
        </w:rPr>
      </w:pPr>
      <w:r>
        <w:rPr>
          <w:rFonts w:eastAsia="Times New Roman" w:cs="Arial"/>
        </w:rPr>
        <w:t>fdarr@mwncmh.com</w:t>
      </w:r>
    </w:p>
    <w:p w14:paraId="343D89F7" w14:textId="77777777" w:rsidR="004C7680" w:rsidRDefault="004C7680" w:rsidP="004C7680">
      <w:pPr>
        <w:spacing w:line="240" w:lineRule="auto"/>
        <w:ind w:left="4140"/>
        <w:rPr>
          <w:rFonts w:eastAsia="Times New Roman" w:cs="Arial"/>
        </w:rPr>
      </w:pPr>
      <w:r>
        <w:rPr>
          <w:rFonts w:eastAsia="Times New Roman" w:cs="Arial"/>
        </w:rPr>
        <w:t>mpritchard@mwncmh.com</w:t>
      </w:r>
    </w:p>
    <w:p w14:paraId="37E297DB" w14:textId="77777777" w:rsidR="004C7680" w:rsidRDefault="004C7680" w:rsidP="004C7680">
      <w:pPr>
        <w:spacing w:line="240" w:lineRule="auto"/>
        <w:ind w:left="4140"/>
        <w:rPr>
          <w:rFonts w:eastAsia="Times New Roman" w:cs="Arial"/>
        </w:rPr>
      </w:pPr>
    </w:p>
    <w:p w14:paraId="0AE87F35" w14:textId="77777777" w:rsidR="00875E59" w:rsidRDefault="004C7680" w:rsidP="00623635">
      <w:pPr>
        <w:ind w:left="4140"/>
      </w:pPr>
      <w:r w:rsidRPr="00E418F7">
        <w:rPr>
          <w:rFonts w:ascii="Arial Bold" w:eastAsia="Times New Roman" w:hAnsi="Arial Bold" w:cs="Arial"/>
          <w:b/>
          <w:bCs/>
          <w:smallCaps/>
        </w:rPr>
        <w:t>Attorneys for</w:t>
      </w:r>
      <w:r w:rsidRPr="00E418F7">
        <w:rPr>
          <w:rFonts w:ascii="Arial Bold" w:eastAsia="Times New Roman" w:hAnsi="Arial Bold" w:cs="Arial"/>
          <w:smallCaps/>
        </w:rPr>
        <w:t xml:space="preserve"> </w:t>
      </w:r>
      <w:r w:rsidRPr="00E418F7">
        <w:rPr>
          <w:rFonts w:ascii="Arial Bold" w:eastAsia="Times New Roman" w:hAnsi="Arial Bold" w:cs="Arial"/>
          <w:b/>
          <w:smallCaps/>
        </w:rPr>
        <w:t>Industrial Energy Users-Ohio</w:t>
      </w:r>
    </w:p>
    <w:p w14:paraId="1464D525" w14:textId="77777777" w:rsidR="00623635" w:rsidRDefault="00623635" w:rsidP="00623635">
      <w:pPr>
        <w:ind w:left="4140"/>
      </w:pPr>
    </w:p>
    <w:p w14:paraId="7B51AB74" w14:textId="77777777" w:rsidR="00875E59" w:rsidRDefault="00875E59">
      <w:pPr>
        <w:spacing w:line="240" w:lineRule="auto"/>
      </w:pPr>
      <w:r>
        <w:br w:type="page"/>
      </w:r>
    </w:p>
    <w:p w14:paraId="072B7821" w14:textId="77777777" w:rsidR="004C7680" w:rsidRPr="007249C1" w:rsidRDefault="004C7680" w:rsidP="004C7680">
      <w:pPr>
        <w:spacing w:line="240" w:lineRule="auto"/>
        <w:jc w:val="center"/>
        <w:rPr>
          <w:rFonts w:eastAsia="Calibri" w:cs="Arial"/>
          <w:b/>
          <w:smallCaps/>
          <w:sz w:val="28"/>
          <w:szCs w:val="28"/>
        </w:rPr>
      </w:pPr>
      <w:r w:rsidRPr="007249C1">
        <w:rPr>
          <w:rFonts w:eastAsia="Calibri" w:cs="Arial"/>
          <w:b/>
          <w:smallCaps/>
          <w:sz w:val="28"/>
          <w:szCs w:val="28"/>
        </w:rPr>
        <w:lastRenderedPageBreak/>
        <w:t>Before</w:t>
      </w:r>
    </w:p>
    <w:p w14:paraId="29AC4E8D" w14:textId="77777777" w:rsidR="004C7680" w:rsidRDefault="004C7680" w:rsidP="004C7680">
      <w:pPr>
        <w:spacing w:line="240" w:lineRule="auto"/>
        <w:jc w:val="center"/>
        <w:rPr>
          <w:rFonts w:eastAsia="Calibri" w:cs="Arial"/>
          <w:b/>
          <w:smallCaps/>
          <w:sz w:val="28"/>
          <w:szCs w:val="28"/>
        </w:rPr>
      </w:pPr>
      <w:r w:rsidRPr="007249C1">
        <w:rPr>
          <w:rFonts w:eastAsia="Calibri" w:cs="Arial"/>
          <w:b/>
          <w:smallCaps/>
          <w:sz w:val="28"/>
          <w:szCs w:val="28"/>
        </w:rPr>
        <w:t>The Public Utilities Commission of Ohio</w:t>
      </w:r>
    </w:p>
    <w:p w14:paraId="524E326A" w14:textId="77777777" w:rsidR="004C7680" w:rsidRDefault="004C7680" w:rsidP="004C7680">
      <w:pPr>
        <w:spacing w:line="240" w:lineRule="auto"/>
        <w:jc w:val="center"/>
        <w:rPr>
          <w:rFonts w:eastAsia="Calibri" w:cs="Arial"/>
          <w:b/>
          <w:smallCaps/>
        </w:rPr>
      </w:pPr>
    </w:p>
    <w:p w14:paraId="1CF0F962" w14:textId="77777777" w:rsidR="004C7680" w:rsidRPr="00754DB3" w:rsidRDefault="004C7680" w:rsidP="004C7680">
      <w:pPr>
        <w:spacing w:line="240" w:lineRule="auto"/>
        <w:jc w:val="center"/>
        <w:rPr>
          <w:rFonts w:eastAsia="Calibri" w:cs="Arial"/>
          <w:b/>
          <w:smallCaps/>
        </w:rPr>
      </w:pPr>
    </w:p>
    <w:p w14:paraId="639BD527" w14:textId="77777777" w:rsidR="004C7680" w:rsidRPr="00754DB3" w:rsidRDefault="004C7680" w:rsidP="004C7680">
      <w:pPr>
        <w:tabs>
          <w:tab w:val="left" w:pos="4680"/>
          <w:tab w:val="left" w:pos="5220"/>
        </w:tabs>
        <w:autoSpaceDE w:val="0"/>
        <w:autoSpaceDN w:val="0"/>
        <w:adjustRightInd w:val="0"/>
        <w:spacing w:line="240" w:lineRule="auto"/>
        <w:rPr>
          <w:rFonts w:cs="Arial"/>
        </w:rPr>
      </w:pPr>
      <w:r w:rsidRPr="00754DB3">
        <w:rPr>
          <w:rFonts w:cs="Arial"/>
        </w:rPr>
        <w:t>In the Matter of the Application of</w:t>
      </w:r>
      <w:r w:rsidRPr="00754DB3">
        <w:rPr>
          <w:rFonts w:cs="Arial"/>
        </w:rPr>
        <w:tab/>
        <w:t>)</w:t>
      </w:r>
    </w:p>
    <w:p w14:paraId="6C4D2DFB" w14:textId="77777777" w:rsidR="004C7680" w:rsidRPr="00754DB3" w:rsidRDefault="004C7680" w:rsidP="004C7680">
      <w:pPr>
        <w:tabs>
          <w:tab w:val="left" w:pos="4680"/>
          <w:tab w:val="left" w:pos="5220"/>
        </w:tabs>
        <w:autoSpaceDE w:val="0"/>
        <w:autoSpaceDN w:val="0"/>
        <w:adjustRightInd w:val="0"/>
        <w:spacing w:line="240" w:lineRule="auto"/>
        <w:rPr>
          <w:rFonts w:cs="Arial"/>
        </w:rPr>
      </w:pPr>
      <w:r w:rsidRPr="00754DB3">
        <w:rPr>
          <w:rFonts w:cs="Arial"/>
        </w:rPr>
        <w:t>The Dayton Power and Light Company for</w:t>
      </w:r>
      <w:r w:rsidRPr="00754DB3">
        <w:rPr>
          <w:rFonts w:cs="Arial"/>
        </w:rPr>
        <w:tab/>
        <w:t>)</w:t>
      </w:r>
      <w:r w:rsidRPr="00754DB3">
        <w:rPr>
          <w:rFonts w:cs="Arial"/>
        </w:rPr>
        <w:tab/>
        <w:t>Case No. 16-395-EL-SSO</w:t>
      </w:r>
    </w:p>
    <w:p w14:paraId="67E9D6D7" w14:textId="77777777" w:rsidR="004C7680" w:rsidRPr="00754DB3" w:rsidRDefault="004C7680" w:rsidP="004C7680">
      <w:pPr>
        <w:tabs>
          <w:tab w:val="left" w:pos="4680"/>
          <w:tab w:val="left" w:pos="5220"/>
        </w:tabs>
        <w:autoSpaceDE w:val="0"/>
        <w:autoSpaceDN w:val="0"/>
        <w:adjustRightInd w:val="0"/>
        <w:spacing w:line="240" w:lineRule="auto"/>
        <w:rPr>
          <w:rFonts w:cs="Arial"/>
        </w:rPr>
      </w:pPr>
      <w:r w:rsidRPr="00754DB3">
        <w:rPr>
          <w:rFonts w:cs="Arial"/>
        </w:rPr>
        <w:t>Approval of Its Electric Security Plan</w:t>
      </w:r>
      <w:r w:rsidRPr="00754DB3">
        <w:rPr>
          <w:rFonts w:cs="Arial"/>
        </w:rPr>
        <w:tab/>
        <w:t>)</w:t>
      </w:r>
    </w:p>
    <w:p w14:paraId="10E3DC3C" w14:textId="77777777" w:rsidR="004C7680" w:rsidRPr="00754DB3" w:rsidRDefault="004C7680" w:rsidP="004C7680">
      <w:pPr>
        <w:tabs>
          <w:tab w:val="left" w:pos="4680"/>
          <w:tab w:val="left" w:pos="5220"/>
        </w:tabs>
        <w:autoSpaceDE w:val="0"/>
        <w:autoSpaceDN w:val="0"/>
        <w:adjustRightInd w:val="0"/>
        <w:spacing w:line="240" w:lineRule="auto"/>
        <w:rPr>
          <w:rFonts w:cs="Arial"/>
        </w:rPr>
      </w:pPr>
    </w:p>
    <w:p w14:paraId="1084B361" w14:textId="77777777" w:rsidR="004C7680" w:rsidRPr="00754DB3" w:rsidRDefault="004C7680" w:rsidP="004C7680">
      <w:pPr>
        <w:tabs>
          <w:tab w:val="left" w:pos="4680"/>
          <w:tab w:val="left" w:pos="5220"/>
        </w:tabs>
        <w:autoSpaceDE w:val="0"/>
        <w:autoSpaceDN w:val="0"/>
        <w:adjustRightInd w:val="0"/>
        <w:spacing w:line="240" w:lineRule="auto"/>
        <w:rPr>
          <w:rFonts w:cs="Arial"/>
        </w:rPr>
      </w:pPr>
      <w:r w:rsidRPr="00754DB3">
        <w:rPr>
          <w:rFonts w:cs="Arial"/>
        </w:rPr>
        <w:t>In the Matter of the Application of</w:t>
      </w:r>
      <w:r w:rsidRPr="00754DB3">
        <w:rPr>
          <w:rFonts w:cs="Arial"/>
        </w:rPr>
        <w:tab/>
        <w:t>)</w:t>
      </w:r>
    </w:p>
    <w:p w14:paraId="4DE251F3" w14:textId="77777777" w:rsidR="004C7680" w:rsidRPr="00754DB3" w:rsidRDefault="004C7680" w:rsidP="004C7680">
      <w:pPr>
        <w:tabs>
          <w:tab w:val="left" w:pos="4680"/>
          <w:tab w:val="left" w:pos="5220"/>
        </w:tabs>
        <w:autoSpaceDE w:val="0"/>
        <w:autoSpaceDN w:val="0"/>
        <w:adjustRightInd w:val="0"/>
        <w:spacing w:line="240" w:lineRule="auto"/>
        <w:rPr>
          <w:rFonts w:cs="Arial"/>
        </w:rPr>
      </w:pPr>
      <w:r w:rsidRPr="00754DB3">
        <w:rPr>
          <w:rFonts w:cs="Arial"/>
        </w:rPr>
        <w:t>The Dayton Power and Light Company for</w:t>
      </w:r>
      <w:r w:rsidRPr="00754DB3">
        <w:rPr>
          <w:rFonts w:cs="Arial"/>
        </w:rPr>
        <w:tab/>
        <w:t>)</w:t>
      </w:r>
      <w:r w:rsidRPr="00754DB3">
        <w:rPr>
          <w:rFonts w:cs="Arial"/>
        </w:rPr>
        <w:tab/>
        <w:t>Case No. 16-396-EL-ATA</w:t>
      </w:r>
    </w:p>
    <w:p w14:paraId="7E6EBC94" w14:textId="77777777" w:rsidR="004C7680" w:rsidRPr="00754DB3" w:rsidRDefault="004C7680" w:rsidP="004C7680">
      <w:pPr>
        <w:tabs>
          <w:tab w:val="left" w:pos="4680"/>
          <w:tab w:val="left" w:pos="5220"/>
        </w:tabs>
        <w:autoSpaceDE w:val="0"/>
        <w:autoSpaceDN w:val="0"/>
        <w:adjustRightInd w:val="0"/>
        <w:spacing w:line="240" w:lineRule="auto"/>
        <w:rPr>
          <w:rFonts w:cs="Arial"/>
        </w:rPr>
      </w:pPr>
      <w:r w:rsidRPr="00754DB3">
        <w:rPr>
          <w:rFonts w:cs="Arial"/>
        </w:rPr>
        <w:t>Approval of Revised Tariffs</w:t>
      </w:r>
      <w:r w:rsidRPr="00754DB3">
        <w:rPr>
          <w:rFonts w:cs="Arial"/>
        </w:rPr>
        <w:tab/>
        <w:t>)</w:t>
      </w:r>
    </w:p>
    <w:p w14:paraId="794569C8" w14:textId="77777777" w:rsidR="004C7680" w:rsidRPr="00754DB3" w:rsidRDefault="004C7680" w:rsidP="004C7680">
      <w:pPr>
        <w:tabs>
          <w:tab w:val="left" w:pos="4680"/>
          <w:tab w:val="left" w:pos="5220"/>
        </w:tabs>
        <w:autoSpaceDE w:val="0"/>
        <w:autoSpaceDN w:val="0"/>
        <w:adjustRightInd w:val="0"/>
        <w:spacing w:line="240" w:lineRule="auto"/>
        <w:rPr>
          <w:rFonts w:cs="Arial"/>
        </w:rPr>
      </w:pPr>
    </w:p>
    <w:p w14:paraId="76F80CC6" w14:textId="77777777" w:rsidR="004C7680" w:rsidRPr="00754DB3" w:rsidRDefault="004C7680" w:rsidP="004C7680">
      <w:pPr>
        <w:tabs>
          <w:tab w:val="left" w:pos="4680"/>
          <w:tab w:val="left" w:pos="5220"/>
        </w:tabs>
        <w:autoSpaceDE w:val="0"/>
        <w:autoSpaceDN w:val="0"/>
        <w:adjustRightInd w:val="0"/>
        <w:spacing w:line="240" w:lineRule="auto"/>
        <w:rPr>
          <w:rFonts w:cs="Arial"/>
        </w:rPr>
      </w:pPr>
      <w:r w:rsidRPr="00754DB3">
        <w:rPr>
          <w:rFonts w:cs="Arial"/>
        </w:rPr>
        <w:t>In the Matter of the Application of</w:t>
      </w:r>
      <w:r w:rsidRPr="00754DB3">
        <w:rPr>
          <w:rFonts w:cs="Arial"/>
        </w:rPr>
        <w:tab/>
        <w:t>)</w:t>
      </w:r>
    </w:p>
    <w:p w14:paraId="250EF028" w14:textId="77777777" w:rsidR="004C7680" w:rsidRPr="00754DB3" w:rsidRDefault="004C7680" w:rsidP="004C7680">
      <w:pPr>
        <w:tabs>
          <w:tab w:val="left" w:pos="4680"/>
          <w:tab w:val="left" w:pos="5220"/>
        </w:tabs>
        <w:autoSpaceDE w:val="0"/>
        <w:autoSpaceDN w:val="0"/>
        <w:adjustRightInd w:val="0"/>
        <w:spacing w:line="240" w:lineRule="auto"/>
        <w:rPr>
          <w:rFonts w:cs="Arial"/>
        </w:rPr>
      </w:pPr>
      <w:r w:rsidRPr="00754DB3">
        <w:rPr>
          <w:rFonts w:cs="Arial"/>
        </w:rPr>
        <w:t>The Dayton Power and Light Company for</w:t>
      </w:r>
      <w:r w:rsidRPr="00754DB3">
        <w:rPr>
          <w:rFonts w:cs="Arial"/>
        </w:rPr>
        <w:tab/>
        <w:t>)</w:t>
      </w:r>
      <w:r w:rsidRPr="00754DB3">
        <w:rPr>
          <w:rFonts w:cs="Arial"/>
        </w:rPr>
        <w:tab/>
        <w:t>Case No. 16-397-EL-AAM</w:t>
      </w:r>
    </w:p>
    <w:p w14:paraId="491FFB7B" w14:textId="77777777" w:rsidR="004C7680" w:rsidRPr="00754DB3" w:rsidRDefault="004C7680" w:rsidP="004C7680">
      <w:pPr>
        <w:tabs>
          <w:tab w:val="left" w:pos="4680"/>
          <w:tab w:val="left" w:pos="5220"/>
        </w:tabs>
        <w:autoSpaceDE w:val="0"/>
        <w:autoSpaceDN w:val="0"/>
        <w:adjustRightInd w:val="0"/>
        <w:spacing w:line="240" w:lineRule="auto"/>
        <w:rPr>
          <w:rFonts w:cs="Arial"/>
        </w:rPr>
      </w:pPr>
      <w:r w:rsidRPr="00754DB3">
        <w:rPr>
          <w:rFonts w:cs="Arial"/>
        </w:rPr>
        <w:t>Approval of Certain Accounting Authority</w:t>
      </w:r>
      <w:r w:rsidRPr="00754DB3">
        <w:rPr>
          <w:rFonts w:cs="Arial"/>
        </w:rPr>
        <w:tab/>
        <w:t>)</w:t>
      </w:r>
    </w:p>
    <w:p w14:paraId="6AFF8C6D" w14:textId="77777777" w:rsidR="004C7680" w:rsidRPr="00754DB3" w:rsidRDefault="004C7680" w:rsidP="004C7680">
      <w:pPr>
        <w:tabs>
          <w:tab w:val="left" w:pos="4680"/>
          <w:tab w:val="left" w:pos="5220"/>
        </w:tabs>
        <w:autoSpaceDE w:val="0"/>
        <w:autoSpaceDN w:val="0"/>
        <w:adjustRightInd w:val="0"/>
        <w:spacing w:line="240" w:lineRule="auto"/>
        <w:rPr>
          <w:rFonts w:cs="Arial"/>
        </w:rPr>
      </w:pPr>
      <w:r w:rsidRPr="00754DB3">
        <w:rPr>
          <w:rFonts w:cs="Arial"/>
        </w:rPr>
        <w:t>Pursuant to Ohio Rev. Code § 4905.13</w:t>
      </w:r>
      <w:r w:rsidRPr="00754DB3">
        <w:rPr>
          <w:rFonts w:cs="Arial"/>
        </w:rPr>
        <w:tab/>
        <w:t>)</w:t>
      </w:r>
    </w:p>
    <w:p w14:paraId="68BB1D44" w14:textId="77777777" w:rsidR="004C7680" w:rsidRPr="00AC2E18" w:rsidRDefault="004C7680" w:rsidP="004C7680">
      <w:pPr>
        <w:tabs>
          <w:tab w:val="left" w:pos="4680"/>
          <w:tab w:val="left" w:pos="5220"/>
        </w:tabs>
        <w:autoSpaceDE w:val="0"/>
        <w:autoSpaceDN w:val="0"/>
        <w:adjustRightInd w:val="0"/>
        <w:spacing w:line="240" w:lineRule="auto"/>
        <w:rPr>
          <w:rFonts w:cs="Arial"/>
        </w:rPr>
      </w:pPr>
    </w:p>
    <w:p w14:paraId="6D5EBAA7" w14:textId="77777777" w:rsidR="004C7680" w:rsidRPr="003046A9" w:rsidRDefault="004C7680" w:rsidP="004C7680">
      <w:pPr>
        <w:pBdr>
          <w:bottom w:val="single" w:sz="12" w:space="1" w:color="auto"/>
        </w:pBdr>
        <w:tabs>
          <w:tab w:val="left" w:pos="5040"/>
        </w:tabs>
        <w:spacing w:line="240" w:lineRule="auto"/>
        <w:rPr>
          <w:rFonts w:eastAsia="Times New Roman" w:cs="Arial"/>
        </w:rPr>
      </w:pPr>
    </w:p>
    <w:p w14:paraId="662B89A8" w14:textId="77777777" w:rsidR="004C7680" w:rsidRPr="000F2E9D" w:rsidRDefault="004C7680" w:rsidP="004C7680">
      <w:pPr>
        <w:spacing w:line="240" w:lineRule="auto"/>
        <w:rPr>
          <w:rFonts w:cs="Arial"/>
          <w:b/>
        </w:rPr>
      </w:pPr>
    </w:p>
    <w:p w14:paraId="2F4CEEF0" w14:textId="77777777" w:rsidR="004C7680" w:rsidRPr="002E2906" w:rsidRDefault="004C7680" w:rsidP="004C7680">
      <w:pPr>
        <w:spacing w:line="240" w:lineRule="auto"/>
        <w:jc w:val="center"/>
        <w:rPr>
          <w:rFonts w:ascii="Arial Bold" w:hAnsi="Arial Bold" w:cs="Arial"/>
          <w:b/>
          <w:smallCaps/>
          <w:sz w:val="28"/>
          <w:szCs w:val="28"/>
        </w:rPr>
      </w:pPr>
      <w:r>
        <w:rPr>
          <w:rFonts w:ascii="Arial Bold" w:hAnsi="Arial Bold" w:cs="Arial"/>
          <w:b/>
          <w:smallCaps/>
          <w:sz w:val="28"/>
          <w:szCs w:val="28"/>
        </w:rPr>
        <w:t>Memorandum in Support</w:t>
      </w:r>
    </w:p>
    <w:p w14:paraId="35773F29" w14:textId="77777777" w:rsidR="004C7680" w:rsidRPr="000F2E9D" w:rsidRDefault="004C7680" w:rsidP="004C7680">
      <w:pPr>
        <w:spacing w:line="240" w:lineRule="auto"/>
        <w:rPr>
          <w:rFonts w:cs="Arial"/>
          <w:b/>
        </w:rPr>
      </w:pPr>
      <w:r>
        <w:rPr>
          <w:rFonts w:cs="Arial"/>
          <w:b/>
        </w:rPr>
        <w:t>______________________________________________________________________</w:t>
      </w:r>
    </w:p>
    <w:p w14:paraId="3ABED6CB" w14:textId="77777777" w:rsidR="004C7680" w:rsidRPr="00A51BA2" w:rsidRDefault="004C7680" w:rsidP="004C7680">
      <w:pPr>
        <w:spacing w:line="240" w:lineRule="auto"/>
        <w:jc w:val="center"/>
        <w:rPr>
          <w:rFonts w:eastAsia="Times New Roman" w:cs="Arial"/>
          <w:b/>
          <w:smallCaps/>
          <w:u w:val="single"/>
        </w:rPr>
      </w:pPr>
    </w:p>
    <w:p w14:paraId="46430DDA" w14:textId="03ED88F8" w:rsidR="00450BA2" w:rsidRDefault="00875E59" w:rsidP="00875E59">
      <w:pPr>
        <w:ind w:firstLine="720"/>
      </w:pPr>
      <w:r>
        <w:t xml:space="preserve">On </w:t>
      </w:r>
      <w:r w:rsidR="002A5E62">
        <w:t>May 31, 2016</w:t>
      </w:r>
      <w:r w:rsidR="0027490B">
        <w:t>,</w:t>
      </w:r>
      <w:r w:rsidR="009F0C6F">
        <w:t xml:space="preserve"> IEU-Ohio served its Fourth Set of Interrogatories </w:t>
      </w:r>
      <w:r w:rsidR="00F03855">
        <w:t>(“IEU-Ohio’s Fourth</w:t>
      </w:r>
      <w:r>
        <w:t xml:space="preserve"> Set”) upon DP&amp;L</w:t>
      </w:r>
      <w:r w:rsidR="007E5468">
        <w:t xml:space="preserve"> (Attachment A)</w:t>
      </w:r>
      <w:r>
        <w:t xml:space="preserve">.  On </w:t>
      </w:r>
      <w:r w:rsidR="002A5E62">
        <w:t>June 16, 2016</w:t>
      </w:r>
      <w:r>
        <w:t xml:space="preserve">, DP&amp;L requested an extension of time, which IEU-Ohio agreed to.  </w:t>
      </w:r>
      <w:r w:rsidR="00F40588">
        <w:t>However,</w:t>
      </w:r>
      <w:r>
        <w:t xml:space="preserve"> DP&amp;L</w:t>
      </w:r>
      <w:r w:rsidR="00F03855">
        <w:t>’s responses to IEU</w:t>
      </w:r>
      <w:r w:rsidR="00F03855">
        <w:noBreakHyphen/>
        <w:t>Ohio’s Fourth</w:t>
      </w:r>
      <w:r>
        <w:t xml:space="preserve"> Set </w:t>
      </w:r>
      <w:r w:rsidR="0056170A">
        <w:t xml:space="preserve">(Attachment B) </w:t>
      </w:r>
      <w:r>
        <w:t>were incomplete</w:t>
      </w:r>
      <w:r w:rsidR="00F03855">
        <w:t>, specifically DP&amp;L’s response to IEU-Ohio INT 4-</w:t>
      </w:r>
      <w:r w:rsidR="001B6C1A">
        <w:t>19</w:t>
      </w:r>
      <w:r w:rsidR="00F03855">
        <w:t xml:space="preserve"> and RPD 4-</w:t>
      </w:r>
      <w:r w:rsidR="001B6C1A">
        <w:t>1</w:t>
      </w:r>
      <w:r>
        <w:t>.</w:t>
      </w:r>
      <w:r w:rsidR="001B6C1A">
        <w:t xml:space="preserve">  These </w:t>
      </w:r>
      <w:r w:rsidR="005B1D45">
        <w:t xml:space="preserve">two </w:t>
      </w:r>
      <w:r w:rsidR="001B6C1A">
        <w:t xml:space="preserve">discovery requests asked DP&amp;L to identify and produce copies of </w:t>
      </w:r>
      <w:r w:rsidR="00450BA2">
        <w:t>any “impairment analysis</w:t>
      </w:r>
      <w:r>
        <w:t xml:space="preserve"> </w:t>
      </w:r>
      <w:r w:rsidR="00450BA2">
        <w:t>conducted in the past 10 years relat</w:t>
      </w:r>
      <w:r w:rsidR="0027490B">
        <w:t>ing</w:t>
      </w:r>
      <w:r w:rsidR="00450BA2">
        <w:t xml:space="preserve"> to the </w:t>
      </w:r>
      <w:r w:rsidR="00450BA2" w:rsidRPr="00450BA2">
        <w:t>Conesville, Killen, Miami Fort, Stuart, Zimmer, Kyger Creek, or Clifty Creek</w:t>
      </w:r>
      <w:r>
        <w:t xml:space="preserve"> </w:t>
      </w:r>
      <w:r w:rsidR="00450BA2">
        <w:t>plants.”</w:t>
      </w:r>
      <w:r w:rsidR="00653C45">
        <w:rPr>
          <w:rStyle w:val="FootnoteReference"/>
        </w:rPr>
        <w:footnoteReference w:id="1"/>
      </w:r>
      <w:r w:rsidR="00450BA2">
        <w:t xml:space="preserve">  </w:t>
      </w:r>
    </w:p>
    <w:p w14:paraId="15773173" w14:textId="77777777" w:rsidR="005B1D45" w:rsidRDefault="00F40588" w:rsidP="005F5B7D">
      <w:r>
        <w:tab/>
      </w:r>
      <w:r w:rsidR="00450BA2">
        <w:t>DP&amp;L did not identify or produce any impairment analyses related to th</w:t>
      </w:r>
      <w:r w:rsidR="00172AF1">
        <w:t>ese</w:t>
      </w:r>
      <w:r w:rsidR="00450BA2">
        <w:t xml:space="preserve"> plants.  Public documents filed by DP&amp;L acknowledge that it ha</w:t>
      </w:r>
      <w:r w:rsidR="00F32E87">
        <w:t>s</w:t>
      </w:r>
      <w:r w:rsidR="00450BA2">
        <w:t xml:space="preserve"> conducted</w:t>
      </w:r>
      <w:r w:rsidR="00F32E87">
        <w:t xml:space="preserve"> (or caused </w:t>
      </w:r>
      <w:r w:rsidR="00F32E87">
        <w:lastRenderedPageBreak/>
        <w:t>to be conducted)</w:t>
      </w:r>
      <w:r w:rsidR="00450BA2">
        <w:t xml:space="preserve"> </w:t>
      </w:r>
      <w:r w:rsidR="00F32E87">
        <w:t xml:space="preserve">such </w:t>
      </w:r>
      <w:r w:rsidR="00172AF1">
        <w:t>analyses</w:t>
      </w:r>
      <w:r w:rsidR="00F32E87">
        <w:t>.</w:t>
      </w:r>
      <w:r w:rsidR="009856D0">
        <w:rPr>
          <w:rStyle w:val="FootnoteReference"/>
        </w:rPr>
        <w:footnoteReference w:id="2"/>
      </w:r>
      <w:r w:rsidR="00F32E87">
        <w:t xml:space="preserve">  </w:t>
      </w:r>
      <w:r w:rsidR="0033566C">
        <w:t>Through its attempt to informally resolve the discovery dispute, IEU-Ohio was also informed by counsel for DP&amp;L that responsive documents do in fact exist.</w:t>
      </w:r>
    </w:p>
    <w:p w14:paraId="18B0C6AC" w14:textId="55430F40" w:rsidR="005F5B7D" w:rsidRDefault="005B1D45" w:rsidP="005F5B7D">
      <w:r>
        <w:tab/>
      </w:r>
      <w:r w:rsidR="00BF6F55">
        <w:t xml:space="preserve">Instead of </w:t>
      </w:r>
      <w:r w:rsidR="00653C45">
        <w:t xml:space="preserve">identifying and producing </w:t>
      </w:r>
      <w:r w:rsidR="00503247">
        <w:t xml:space="preserve">all of </w:t>
      </w:r>
      <w:r w:rsidR="00653C45">
        <w:t xml:space="preserve">the impairment </w:t>
      </w:r>
      <w:r w:rsidR="00503247">
        <w:t>analyses</w:t>
      </w:r>
      <w:r w:rsidR="00ED2E72">
        <w:t xml:space="preserve"> (including those which it has publicly acknowledged exist)</w:t>
      </w:r>
      <w:r w:rsidR="00653C45">
        <w:t xml:space="preserve">, DP&amp;L </w:t>
      </w:r>
      <w:r w:rsidR="00ED2E72">
        <w:t xml:space="preserve">provided </w:t>
      </w:r>
      <w:r w:rsidR="00A06502">
        <w:t>six</w:t>
      </w:r>
      <w:r w:rsidR="00ED2E72">
        <w:t xml:space="preserve"> general objections and one specific objection.  </w:t>
      </w:r>
      <w:r w:rsidR="005F5B7D">
        <w:t>The six general objections were: “relevance,” “unduly burdensome,” “privileged and work product,” “proprietary,” “inspection of business record</w:t>
      </w:r>
      <w:r w:rsidR="00A06502">
        <w:t>s</w:t>
      </w:r>
      <w:r w:rsidR="005F5B7D">
        <w:t>,” and “unregulated affiliate</w:t>
      </w:r>
      <w:r w:rsidR="00A06502">
        <w:t>s</w:t>
      </w:r>
      <w:r w:rsidR="005F5B7D">
        <w:t>.”</w:t>
      </w:r>
      <w:r w:rsidR="005F5B7D">
        <w:rPr>
          <w:rStyle w:val="FootnoteReference"/>
        </w:rPr>
        <w:footnoteReference w:id="3"/>
      </w:r>
      <w:r w:rsidR="005F5B7D">
        <w:t xml:space="preserve">  DP&amp;L’s specific objection was that “DP&amp;L objects to producing documents that were prepared by and are in the custody of DP&amp;L’s unregulated affiliate</w:t>
      </w:r>
      <w:r w:rsidR="00623635">
        <w:t>s</w:t>
      </w:r>
      <w:r w:rsidR="005F5B7D">
        <w:t>.”</w:t>
      </w:r>
      <w:r w:rsidR="005F5B7D">
        <w:rPr>
          <w:rStyle w:val="FootnoteReference"/>
        </w:rPr>
        <w:footnoteReference w:id="4"/>
      </w:r>
    </w:p>
    <w:p w14:paraId="50C2694F" w14:textId="20051799" w:rsidR="00875E59" w:rsidRDefault="005F5B7D" w:rsidP="00AD4BB4">
      <w:r>
        <w:tab/>
      </w:r>
      <w:r w:rsidR="00C61310">
        <w:t xml:space="preserve">On </w:t>
      </w:r>
      <w:r w:rsidR="005E070E">
        <w:t>August 9, 2016,</w:t>
      </w:r>
      <w:r w:rsidR="00C61310">
        <w:t xml:space="preserve"> </w:t>
      </w:r>
      <w:r w:rsidR="005E070E">
        <w:t xml:space="preserve">counsel for </w:t>
      </w:r>
      <w:r w:rsidR="00875E59">
        <w:t xml:space="preserve">IEU-Ohio notified DP&amp;L of the deficiencies, and </w:t>
      </w:r>
      <w:r w:rsidR="00F03855">
        <w:t xml:space="preserve">on </w:t>
      </w:r>
      <w:r w:rsidR="00552628">
        <w:t>August 25, 2016 met with counsel for DP&amp;L to discuss the deficiencies.</w:t>
      </w:r>
      <w:r w:rsidR="00B53AC2">
        <w:rPr>
          <w:rStyle w:val="FootnoteReference"/>
        </w:rPr>
        <w:footnoteReference w:id="5"/>
      </w:r>
      <w:r w:rsidR="00875E59">
        <w:t xml:space="preserve">  </w:t>
      </w:r>
      <w:r w:rsidR="002F0BF1">
        <w:t xml:space="preserve">After discussions with counsel for DP&amp;L, DP&amp;L agreed to waive its </w:t>
      </w:r>
      <w:r w:rsidR="00836FA9">
        <w:t xml:space="preserve">“unduly burdensome,” and </w:t>
      </w:r>
      <w:r w:rsidR="009F162B">
        <w:t>“inspection of business record</w:t>
      </w:r>
      <w:r w:rsidR="00623635">
        <w:t>s</w:t>
      </w:r>
      <w:r w:rsidR="00836FA9">
        <w:t>”</w:t>
      </w:r>
      <w:r w:rsidR="009F162B">
        <w:t xml:space="preserve"> </w:t>
      </w:r>
      <w:r w:rsidR="002F0BF1">
        <w:t xml:space="preserve">general objections </w:t>
      </w:r>
      <w:r w:rsidR="009F2215">
        <w:t>t</w:t>
      </w:r>
      <w:r w:rsidR="005D11E0">
        <w:t>o IEU-Ohio INT 4-19 and RPD </w:t>
      </w:r>
      <w:r w:rsidR="009F162B">
        <w:t>4-1.</w:t>
      </w:r>
    </w:p>
    <w:p w14:paraId="4D4ED7B6" w14:textId="77777777" w:rsidR="00875E59" w:rsidRPr="00431CAB" w:rsidRDefault="005E070E" w:rsidP="00431CAB">
      <w:pPr>
        <w:ind w:firstLine="720"/>
      </w:pPr>
      <w:r>
        <w:t xml:space="preserve">As demonstrated below, IEU-Ohio’s discovery requests are proper and DP&amp;L’s </w:t>
      </w:r>
      <w:r w:rsidR="005F5B7D">
        <w:t xml:space="preserve">remaining </w:t>
      </w:r>
      <w:r>
        <w:t xml:space="preserve">objections to providing the requested information </w:t>
      </w:r>
      <w:r w:rsidR="00E50BAD">
        <w:t>are</w:t>
      </w:r>
      <w:r>
        <w:t xml:space="preserve"> meritless.  </w:t>
      </w:r>
      <w:r w:rsidR="00475584">
        <w:t xml:space="preserve">IEU-Ohio </w:t>
      </w:r>
      <w:r w:rsidR="00475584">
        <w:lastRenderedPageBreak/>
        <w:t xml:space="preserve">has attempted in good faith to resolve the issue with DP&amp;L but has been unsuccessful.  </w:t>
      </w:r>
      <w:r w:rsidR="00875E59">
        <w:t xml:space="preserve">Accordingly, IEU-Ohio </w:t>
      </w:r>
      <w:r w:rsidR="00475584">
        <w:t xml:space="preserve">seeks an order from the Commission compelling DP&amp;L to </w:t>
      </w:r>
      <w:r w:rsidR="009F162B">
        <w:t xml:space="preserve">identify and produce </w:t>
      </w:r>
      <w:r w:rsidR="00475584">
        <w:t>the impairment analyses sought in IEU-Ohio INT 4-19 and RPD 4-1.</w:t>
      </w:r>
    </w:p>
    <w:p w14:paraId="64B63D0D" w14:textId="77777777" w:rsidR="00875E59" w:rsidRDefault="00875E59" w:rsidP="00875E59">
      <w:pPr>
        <w:pStyle w:val="Heading1"/>
      </w:pPr>
      <w:bookmarkStart w:id="1" w:name="_Toc343603209"/>
      <w:bookmarkStart w:id="2" w:name="_Toc460332397"/>
      <w:r>
        <w:t>DISCOVERY STANDARDS</w:t>
      </w:r>
      <w:bookmarkEnd w:id="1"/>
      <w:bookmarkEnd w:id="2"/>
    </w:p>
    <w:p w14:paraId="3E51170E" w14:textId="77777777" w:rsidR="00875E59" w:rsidRDefault="00875E59" w:rsidP="00875E59">
      <w:pPr>
        <w:rPr>
          <w:rFonts w:cs="Arial"/>
        </w:rPr>
      </w:pPr>
      <w:r>
        <w:rPr>
          <w:rFonts w:cs="Arial"/>
        </w:rPr>
        <w:tab/>
        <w:t>Rule 4901-1-16(B), O.A.C. (General provisions and scope of discovery), states:</w:t>
      </w:r>
    </w:p>
    <w:p w14:paraId="47EE4D2D" w14:textId="08ACFF71" w:rsidR="00875E59" w:rsidRDefault="00875E59" w:rsidP="00875E59">
      <w:pPr>
        <w:spacing w:line="240" w:lineRule="auto"/>
        <w:ind w:left="720" w:right="720"/>
        <w:rPr>
          <w:rFonts w:cs="Arial"/>
        </w:rPr>
      </w:pPr>
      <w:r>
        <w:rPr>
          <w:rFonts w:cs="Arial"/>
        </w:rPr>
        <w:t>any party to a commission proceeding may obtain discovery of any matter, not privileged, which is relevant to the subject matter of the proceeding.  It is not a ground for objection that the information sought would be inadmissible at the hearing, if the information sought appears reasonably calculated to lead to the discovery of admissible evidence. Discovery may be obtained through interrogatories, requests for the production of documents and things or permission to enter upon land or other property, depositions, and requests for admission.</w:t>
      </w:r>
    </w:p>
    <w:p w14:paraId="1C139011" w14:textId="77777777" w:rsidR="00875E59" w:rsidRDefault="00875E59" w:rsidP="00875E59">
      <w:pPr>
        <w:pStyle w:val="ListParagraph"/>
        <w:spacing w:line="240" w:lineRule="auto"/>
        <w:ind w:left="360"/>
        <w:rPr>
          <w:rFonts w:cs="Arial"/>
          <w:b/>
        </w:rPr>
      </w:pPr>
    </w:p>
    <w:p w14:paraId="358A920D" w14:textId="77777777" w:rsidR="00875E59" w:rsidRDefault="00875E59" w:rsidP="00875E59">
      <w:pPr>
        <w:rPr>
          <w:rFonts w:cs="Arial"/>
        </w:rPr>
      </w:pPr>
      <w:r>
        <w:rPr>
          <w:rFonts w:cs="Arial"/>
        </w:rPr>
        <w:t>Rule 4901-1-19(B), O.A.C. (Interrogatories and response time), provides:</w:t>
      </w:r>
    </w:p>
    <w:p w14:paraId="2011C734" w14:textId="77777777" w:rsidR="00875E59" w:rsidRDefault="00875E59" w:rsidP="00875E59">
      <w:pPr>
        <w:spacing w:line="240" w:lineRule="auto"/>
        <w:ind w:left="720" w:right="720" w:firstLine="720"/>
        <w:rPr>
          <w:rFonts w:cs="Arial"/>
        </w:rPr>
      </w:pPr>
      <w:r>
        <w:rPr>
          <w:rFonts w:cs="Arial"/>
        </w:rPr>
        <w:t>Subject to the scope of discovery set forth in rule</w:t>
      </w:r>
      <w:r>
        <w:rPr>
          <w:rFonts w:cs="Arial"/>
          <w:color w:val="000000" w:themeColor="text1"/>
        </w:rPr>
        <w:t xml:space="preserve"> </w:t>
      </w:r>
      <w:r w:rsidRPr="00B64C15">
        <w:rPr>
          <w:rFonts w:cs="Arial"/>
        </w:rPr>
        <w:t>4901-1-16</w:t>
      </w:r>
      <w:r>
        <w:rPr>
          <w:rFonts w:cs="Arial"/>
          <w:color w:val="000000" w:themeColor="text1"/>
        </w:rPr>
        <w:t xml:space="preserve"> of the </w:t>
      </w:r>
      <w:r>
        <w:rPr>
          <w:rFonts w:cs="Arial"/>
        </w:rPr>
        <w:t>Administrative Code, interrogatories may elicit facts, data, or other information known or readily available to the party upon whom the interrogatories are served. An interrogatory which is otherwise proper is not objectionable merely because it calls for an opinion, contention, or legal conclusion</w:t>
      </w:r>
      <w:r w:rsidR="005F2EBA">
        <w:rPr>
          <w:rFonts w:cs="Arial"/>
        </w:rPr>
        <w:t xml:space="preserve"> ….</w:t>
      </w:r>
    </w:p>
    <w:p w14:paraId="6513DE7F" w14:textId="77777777" w:rsidR="00875E59" w:rsidRDefault="00875E59" w:rsidP="00875E59">
      <w:pPr>
        <w:spacing w:line="240" w:lineRule="auto"/>
        <w:ind w:left="720" w:right="720" w:firstLine="720"/>
        <w:rPr>
          <w:rFonts w:cs="Arial"/>
        </w:rPr>
      </w:pPr>
    </w:p>
    <w:p w14:paraId="464B885A" w14:textId="77777777" w:rsidR="00875E59" w:rsidRDefault="00875E59" w:rsidP="00875E59">
      <w:pPr>
        <w:ind w:firstLine="720"/>
        <w:rPr>
          <w:rFonts w:cs="Arial"/>
        </w:rPr>
      </w:pPr>
      <w:r>
        <w:rPr>
          <w:rFonts w:cs="Arial"/>
        </w:rPr>
        <w:t xml:space="preserve">Additionally, Rule 4901-1-20(A)(2), O.A.C. (Production of documents and things; entry upon land or other property), provides that, subject to the scope of discovery in Rule 4901-1-16, O.A.C., a party may request another party to “[p]roduce for inspection, </w:t>
      </w:r>
      <w:r w:rsidRPr="00A637C4">
        <w:rPr>
          <w:rFonts w:cs="Arial"/>
        </w:rPr>
        <w:t>copying,</w:t>
      </w:r>
      <w:r>
        <w:rPr>
          <w:rFonts w:cs="Arial"/>
        </w:rPr>
        <w:t xml:space="preserve"> sampling, or testing any tangible things which are in the possession, control, or custody of the party upon whom the request is served.”</w:t>
      </w:r>
    </w:p>
    <w:p w14:paraId="5ABAB2D8" w14:textId="77777777" w:rsidR="00875E59" w:rsidRDefault="00875E59" w:rsidP="00875E59">
      <w:pPr>
        <w:ind w:firstLine="720"/>
        <w:rPr>
          <w:rFonts w:cs="Arial"/>
        </w:rPr>
      </w:pPr>
      <w:r>
        <w:rPr>
          <w:rFonts w:cs="Arial"/>
        </w:rPr>
        <w:t>Finally, Rule 4901-1-23, O.A.C., governs motions to compel and provides that any party may file a motion to compel with respect to:</w:t>
      </w:r>
    </w:p>
    <w:p w14:paraId="476BF39E" w14:textId="77777777" w:rsidR="00875E59" w:rsidRDefault="00875E59" w:rsidP="005F2EBA">
      <w:pPr>
        <w:tabs>
          <w:tab w:val="left" w:pos="1260"/>
        </w:tabs>
        <w:spacing w:line="240" w:lineRule="auto"/>
        <w:ind w:left="1260" w:right="720" w:hanging="540"/>
        <w:rPr>
          <w:color w:val="000000" w:themeColor="text1"/>
        </w:rPr>
      </w:pPr>
      <w:r>
        <w:rPr>
          <w:color w:val="000000" w:themeColor="text1"/>
        </w:rPr>
        <w:t>(1)</w:t>
      </w:r>
      <w:r>
        <w:rPr>
          <w:color w:val="000000" w:themeColor="text1"/>
        </w:rPr>
        <w:tab/>
        <w:t xml:space="preserve">Any failure of a party to answer an interrogatory served under rule </w:t>
      </w:r>
      <w:r w:rsidRPr="00B64C15">
        <w:t>4901-1-19</w:t>
      </w:r>
      <w:r>
        <w:rPr>
          <w:color w:val="000000" w:themeColor="text1"/>
        </w:rPr>
        <w:t xml:space="preserve"> of the Administrative Code.</w:t>
      </w:r>
    </w:p>
    <w:p w14:paraId="136DC480" w14:textId="77777777" w:rsidR="00875E59" w:rsidRDefault="00875E59" w:rsidP="005F2EBA">
      <w:pPr>
        <w:tabs>
          <w:tab w:val="left" w:pos="1260"/>
        </w:tabs>
        <w:spacing w:line="240" w:lineRule="auto"/>
        <w:ind w:left="1260" w:right="720" w:hanging="540"/>
        <w:rPr>
          <w:color w:val="000000" w:themeColor="text1"/>
        </w:rPr>
      </w:pPr>
    </w:p>
    <w:p w14:paraId="75181CA4" w14:textId="77777777" w:rsidR="00875E59" w:rsidRDefault="00875E59" w:rsidP="005F2EBA">
      <w:pPr>
        <w:tabs>
          <w:tab w:val="left" w:pos="1260"/>
        </w:tabs>
        <w:spacing w:line="240" w:lineRule="auto"/>
        <w:ind w:left="1260" w:right="720" w:hanging="540"/>
        <w:rPr>
          <w:color w:val="000000" w:themeColor="text1"/>
        </w:rPr>
      </w:pPr>
      <w:r>
        <w:rPr>
          <w:color w:val="000000" w:themeColor="text1"/>
        </w:rPr>
        <w:lastRenderedPageBreak/>
        <w:t>(2)</w:t>
      </w:r>
      <w:r>
        <w:rPr>
          <w:color w:val="000000" w:themeColor="text1"/>
        </w:rPr>
        <w:tab/>
        <w:t xml:space="preserve">Any failure of a party to produce a document or tangible thing or permit entry upon land or other property as requested under rule </w:t>
      </w:r>
      <w:r w:rsidRPr="00B64C15">
        <w:t>4901-1-20</w:t>
      </w:r>
      <w:r>
        <w:rPr>
          <w:color w:val="000000" w:themeColor="text1"/>
        </w:rPr>
        <w:t xml:space="preserve"> of the Administrative Code.</w:t>
      </w:r>
    </w:p>
    <w:p w14:paraId="390FBDFC" w14:textId="77777777" w:rsidR="00875E59" w:rsidRDefault="00875E59" w:rsidP="005F2EBA">
      <w:pPr>
        <w:tabs>
          <w:tab w:val="left" w:pos="1260"/>
        </w:tabs>
        <w:spacing w:line="240" w:lineRule="auto"/>
        <w:ind w:left="1260" w:right="720" w:hanging="540"/>
        <w:rPr>
          <w:color w:val="000000" w:themeColor="text1"/>
        </w:rPr>
      </w:pPr>
    </w:p>
    <w:p w14:paraId="2BF83082" w14:textId="77777777" w:rsidR="00875E59" w:rsidRDefault="00875E59" w:rsidP="005F2EBA">
      <w:pPr>
        <w:tabs>
          <w:tab w:val="left" w:pos="1260"/>
        </w:tabs>
        <w:spacing w:line="240" w:lineRule="auto"/>
        <w:ind w:left="1260" w:right="720" w:hanging="540"/>
        <w:rPr>
          <w:color w:val="000000" w:themeColor="text1"/>
        </w:rPr>
      </w:pPr>
      <w:r>
        <w:rPr>
          <w:color w:val="000000" w:themeColor="text1"/>
        </w:rPr>
        <w:t>(3)</w:t>
      </w:r>
      <w:r>
        <w:rPr>
          <w:color w:val="000000" w:themeColor="text1"/>
        </w:rPr>
        <w:tab/>
        <w:t xml:space="preserve">Any failure of a deponent to appear or to answer a question propounded under rule </w:t>
      </w:r>
      <w:r w:rsidRPr="00B64C15">
        <w:t>4901-1-21</w:t>
      </w:r>
      <w:r>
        <w:rPr>
          <w:color w:val="000000" w:themeColor="text1"/>
        </w:rPr>
        <w:t xml:space="preserve"> of the Administrative Code.</w:t>
      </w:r>
    </w:p>
    <w:p w14:paraId="6B69BB66" w14:textId="77777777" w:rsidR="00875E59" w:rsidRDefault="00875E59" w:rsidP="005F2EBA">
      <w:pPr>
        <w:tabs>
          <w:tab w:val="left" w:pos="1260"/>
        </w:tabs>
        <w:spacing w:line="240" w:lineRule="auto"/>
        <w:ind w:left="1260" w:right="720" w:hanging="540"/>
        <w:rPr>
          <w:color w:val="000000" w:themeColor="text1"/>
        </w:rPr>
      </w:pPr>
    </w:p>
    <w:p w14:paraId="52471F88" w14:textId="77777777" w:rsidR="00875E59" w:rsidRDefault="00875E59" w:rsidP="005F2EBA">
      <w:pPr>
        <w:tabs>
          <w:tab w:val="left" w:pos="1260"/>
        </w:tabs>
        <w:spacing w:line="240" w:lineRule="auto"/>
        <w:ind w:left="1260" w:right="720" w:hanging="540"/>
        <w:rPr>
          <w:color w:val="000000" w:themeColor="text1"/>
        </w:rPr>
      </w:pPr>
      <w:r>
        <w:rPr>
          <w:color w:val="000000" w:themeColor="text1"/>
        </w:rPr>
        <w:t>(4)</w:t>
      </w:r>
      <w:r>
        <w:rPr>
          <w:color w:val="000000" w:themeColor="text1"/>
        </w:rPr>
        <w:tab/>
        <w:t xml:space="preserve">Any other failure to answer or respond to a discovery request made under rules </w:t>
      </w:r>
      <w:r w:rsidRPr="00B64C15">
        <w:t>4901-1-19</w:t>
      </w:r>
      <w:r>
        <w:rPr>
          <w:color w:val="000000" w:themeColor="text1"/>
        </w:rPr>
        <w:t xml:space="preserve"> to </w:t>
      </w:r>
      <w:r w:rsidRPr="00B64C15">
        <w:t>4901-1-22</w:t>
      </w:r>
      <w:r>
        <w:rPr>
          <w:color w:val="000000" w:themeColor="text1"/>
        </w:rPr>
        <w:t xml:space="preserve"> of the Administrative Code.</w:t>
      </w:r>
    </w:p>
    <w:p w14:paraId="0D917867" w14:textId="77777777" w:rsidR="00875E59" w:rsidRDefault="00875E59" w:rsidP="00875E59">
      <w:pPr>
        <w:spacing w:line="240" w:lineRule="auto"/>
        <w:ind w:left="720" w:right="720"/>
      </w:pPr>
    </w:p>
    <w:p w14:paraId="20C4D2A6" w14:textId="77777777" w:rsidR="00875E59" w:rsidRDefault="00875E59" w:rsidP="00875E59">
      <w:pPr>
        <w:spacing w:after="120"/>
      </w:pPr>
      <w:r>
        <w:t>The Rule also treats evasive answers as a failure to answer.</w:t>
      </w:r>
      <w:r>
        <w:rPr>
          <w:rStyle w:val="FootnoteReference"/>
        </w:rPr>
        <w:footnoteReference w:id="6"/>
      </w:r>
      <w:r>
        <w:t xml:space="preserve">  Finally, before the Commission allows a motion to compel to be filed, the party seeking discovery must exhaust all other reasonable means of obtaining discovery.</w:t>
      </w:r>
    </w:p>
    <w:p w14:paraId="39D1EBDE" w14:textId="77777777" w:rsidR="00875E59" w:rsidRDefault="00875E59" w:rsidP="00875E59">
      <w:pPr>
        <w:pStyle w:val="Heading1"/>
      </w:pPr>
      <w:bookmarkStart w:id="3" w:name="_Toc343597114"/>
      <w:bookmarkStart w:id="4" w:name="_Toc343603210"/>
      <w:bookmarkStart w:id="5" w:name="_Toc460332398"/>
      <w:bookmarkEnd w:id="3"/>
      <w:r>
        <w:t>ARGUMENT</w:t>
      </w:r>
      <w:bookmarkEnd w:id="4"/>
      <w:bookmarkEnd w:id="5"/>
    </w:p>
    <w:p w14:paraId="45527B04" w14:textId="6FD048D2" w:rsidR="002F0BF1" w:rsidRDefault="00AD4BB4" w:rsidP="00AD4BB4">
      <w:pPr>
        <w:pStyle w:val="Heading2"/>
      </w:pPr>
      <w:bookmarkStart w:id="6" w:name="_Toc460332399"/>
      <w:r>
        <w:t>IEU-Ohio’s discovery requests seek information that is reasonably calculated to lead to the discovery of admissible evidence</w:t>
      </w:r>
      <w:r w:rsidR="00CD154D">
        <w:t xml:space="preserve">; </w:t>
      </w:r>
      <w:r w:rsidR="00FF15F5">
        <w:t xml:space="preserve">therefore </w:t>
      </w:r>
      <w:r w:rsidR="00CD154D">
        <w:t>DP&amp;L’</w:t>
      </w:r>
      <w:r w:rsidR="00FF15F5">
        <w:t>s relevancy objection is</w:t>
      </w:r>
      <w:r w:rsidR="00CD154D">
        <w:t xml:space="preserve"> without merit</w:t>
      </w:r>
      <w:bookmarkEnd w:id="6"/>
    </w:p>
    <w:p w14:paraId="08461A5A" w14:textId="5A830235" w:rsidR="00172DD8" w:rsidRDefault="009E3BF8" w:rsidP="00647BF9">
      <w:r>
        <w:tab/>
      </w:r>
      <w:r w:rsidR="002C7CD2">
        <w:t xml:space="preserve">DP&amp;L’s proposed </w:t>
      </w:r>
      <w:r w:rsidR="005F2EBA">
        <w:t>electric security plan (“</w:t>
      </w:r>
      <w:r w:rsidR="002C7CD2">
        <w:t>ESP</w:t>
      </w:r>
      <w:r w:rsidR="005F2EBA">
        <w:t>”)</w:t>
      </w:r>
      <w:r w:rsidR="002C7CD2">
        <w:t xml:space="preserve"> includes a request for a new nonbypassable rider, the RER.  The RER </w:t>
      </w:r>
      <w:r w:rsidR="008763EA">
        <w:t xml:space="preserve">is designed to ensure that DPL Inc. receives a return of and return on the ownership of DP&amp;L’s legacy coal generating plants.  </w:t>
      </w:r>
      <w:r w:rsidR="00A83341">
        <w:t xml:space="preserve">These plants include Stuart, Zimmer, Conesville, Miami Fort, Killen, Kyger Creek, and Clifty Creek (collectively, “RER plants”).  </w:t>
      </w:r>
      <w:r w:rsidR="008763EA">
        <w:t xml:space="preserve">DP&amp;L witness Malinak provides the formula for calculating the projected annual RER revenue requirements in Exhibit </w:t>
      </w:r>
      <w:r w:rsidR="006003AC">
        <w:t xml:space="preserve">RJM-9 attached to his prefiled direct testimony.  </w:t>
      </w:r>
    </w:p>
    <w:p w14:paraId="046DB6A1" w14:textId="51E83AEE" w:rsidR="005010C2" w:rsidRDefault="00172DD8" w:rsidP="00647BF9">
      <w:r>
        <w:tab/>
      </w:r>
      <w:r w:rsidR="000D7445">
        <w:t>As detailed in this exhibit</w:t>
      </w:r>
      <w:r w:rsidR="00CE69AC">
        <w:t>,</w:t>
      </w:r>
      <w:r w:rsidR="00241336">
        <w:t xml:space="preserve"> Mr. Malinak</w:t>
      </w:r>
      <w:r w:rsidR="000D7445">
        <w:t xml:space="preserve"> </w:t>
      </w:r>
      <w:r w:rsidR="00241336">
        <w:t>first calculate</w:t>
      </w:r>
      <w:r w:rsidR="00CE69AC">
        <w:t>s</w:t>
      </w:r>
      <w:r w:rsidR="00241336">
        <w:t xml:space="preserve"> the necessary annual revenue to recover </w:t>
      </w:r>
      <w:r w:rsidR="00E009DC">
        <w:t>DP&amp;L’s investment in the generating plants</w:t>
      </w:r>
      <w:r w:rsidR="00CF7FBF">
        <w:t xml:space="preserve"> and produce DP&amp;L</w:t>
      </w:r>
      <w:r w:rsidR="000301D7">
        <w:t>’s</w:t>
      </w:r>
      <w:r w:rsidR="00CF7FBF">
        <w:t xml:space="preserve"> desired return on its investment</w:t>
      </w:r>
      <w:r w:rsidR="00E009DC">
        <w:t>.</w:t>
      </w:r>
      <w:r w:rsidR="00E8635A">
        <w:rPr>
          <w:rStyle w:val="FootnoteReference"/>
        </w:rPr>
        <w:footnoteReference w:id="7"/>
      </w:r>
      <w:r w:rsidR="00E009DC">
        <w:t xml:space="preserve"> </w:t>
      </w:r>
      <w:r w:rsidR="00E8635A">
        <w:t xml:space="preserve"> Mr. Malinak labels this return on and of its investment </w:t>
      </w:r>
      <w:r w:rsidR="00E8635A">
        <w:lastRenderedPageBreak/>
        <w:t>as</w:t>
      </w:r>
      <w:r w:rsidR="00E009DC">
        <w:t xml:space="preserve"> Required</w:t>
      </w:r>
      <w:r w:rsidR="00E8635A">
        <w:t xml:space="preserve"> Operating Revenue (Line 18)</w:t>
      </w:r>
      <w:r w:rsidR="000301D7">
        <w:t>,</w:t>
      </w:r>
      <w:r w:rsidR="00E8635A">
        <w:t xml:space="preserve"> which</w:t>
      </w:r>
      <w:r w:rsidR="00E009DC">
        <w:t xml:space="preserve"> equals </w:t>
      </w:r>
      <w:r w:rsidR="006E12B7">
        <w:t xml:space="preserve">the </w:t>
      </w:r>
      <w:r w:rsidR="009A57F6">
        <w:t xml:space="preserve">sum of the </w:t>
      </w:r>
      <w:r w:rsidR="006E12B7">
        <w:t>annual Fuel Related Costs, Including Emission Costs (Line 9), Direct O&amp;M Expense (Line 10), Indirect O&amp;M Expense (Line 11), General Taxes (Line 12), Depreciation (Line 13)</w:t>
      </w:r>
      <w:r w:rsidR="00D66CA1">
        <w:t>, Imputed Debt Expense (Line 15), Income Taxes (Line 16) and Cost of Equity (Line 17)</w:t>
      </w:r>
      <w:r w:rsidR="006E12B7">
        <w:t>.</w:t>
      </w:r>
      <w:r w:rsidR="00E8635A">
        <w:rPr>
          <w:rStyle w:val="FootnoteReference"/>
        </w:rPr>
        <w:footnoteReference w:id="8"/>
      </w:r>
      <w:r w:rsidR="009A57F6">
        <w:t xml:space="preserve">  </w:t>
      </w:r>
    </w:p>
    <w:p w14:paraId="0004005B" w14:textId="13BF32CE" w:rsidR="009A57F6" w:rsidRDefault="009A57F6" w:rsidP="00647BF9">
      <w:r>
        <w:tab/>
      </w:r>
      <w:r w:rsidR="00D66CA1">
        <w:t>Mr. Malinak next</w:t>
      </w:r>
      <w:r>
        <w:t xml:space="preserve"> calculates the projected annual market revenue</w:t>
      </w:r>
      <w:r w:rsidR="00903DA4">
        <w:t>,</w:t>
      </w:r>
      <w:r>
        <w:t xml:space="preserve"> </w:t>
      </w:r>
      <w:r w:rsidR="0081584C">
        <w:t>labeled Projected Operating Revenue (Line 22)</w:t>
      </w:r>
      <w:r w:rsidR="00903DA4">
        <w:t>,</w:t>
      </w:r>
      <w:r w:rsidR="0081584C">
        <w:t xml:space="preserve"> </w:t>
      </w:r>
      <w:r>
        <w:t>for the generating plants</w:t>
      </w:r>
      <w:r w:rsidR="00264C1F">
        <w:t xml:space="preserve">.  </w:t>
      </w:r>
      <w:r w:rsidR="0081584C">
        <w:t>The annual Projected Operating Revenue</w:t>
      </w:r>
      <w:r w:rsidR="00264C1F">
        <w:t xml:space="preserve"> includes projected </w:t>
      </w:r>
      <w:r w:rsidR="00CE69AC">
        <w:t>E</w:t>
      </w:r>
      <w:r w:rsidR="00264C1F">
        <w:t xml:space="preserve">nergy, </w:t>
      </w:r>
      <w:r w:rsidR="00903DA4">
        <w:t>Ancillary</w:t>
      </w:r>
      <w:r w:rsidR="00264C1F">
        <w:t xml:space="preserve"> and </w:t>
      </w:r>
      <w:r w:rsidR="00CE69AC">
        <w:t>Other R</w:t>
      </w:r>
      <w:r w:rsidR="00264C1F">
        <w:t xml:space="preserve">evenue (Line 19), </w:t>
      </w:r>
      <w:r w:rsidR="0081584C">
        <w:t>C</w:t>
      </w:r>
      <w:r w:rsidR="00264C1F">
        <w:t xml:space="preserve">apacity </w:t>
      </w:r>
      <w:r w:rsidR="0081584C">
        <w:t>R</w:t>
      </w:r>
      <w:r w:rsidR="00516A3D">
        <w:t>evenue (</w:t>
      </w:r>
      <w:r w:rsidR="000301D7">
        <w:t>L</w:t>
      </w:r>
      <w:r w:rsidR="00516A3D">
        <w:t>ine 20) and L</w:t>
      </w:r>
      <w:r w:rsidR="00264C1F">
        <w:t xml:space="preserve">ess </w:t>
      </w:r>
      <w:r w:rsidR="00516A3D">
        <w:t>Capacity P</w:t>
      </w:r>
      <w:r w:rsidR="00264C1F">
        <w:t xml:space="preserve">enalties </w:t>
      </w:r>
      <w:r w:rsidR="00516A3D">
        <w:t>(</w:t>
      </w:r>
      <w:r w:rsidR="00264C1F">
        <w:t>net of bonuses</w:t>
      </w:r>
      <w:r w:rsidR="00516A3D">
        <w:t>)</w:t>
      </w:r>
      <w:r w:rsidR="00264C1F">
        <w:t xml:space="preserve"> (</w:t>
      </w:r>
      <w:r w:rsidR="000301D7">
        <w:t>L</w:t>
      </w:r>
      <w:r w:rsidR="00264C1F">
        <w:t>ine 21).</w:t>
      </w:r>
      <w:r w:rsidR="00DE6C65">
        <w:rPr>
          <w:rStyle w:val="FootnoteReference"/>
        </w:rPr>
        <w:footnoteReference w:id="9"/>
      </w:r>
      <w:r>
        <w:t xml:space="preserve"> </w:t>
      </w:r>
    </w:p>
    <w:p w14:paraId="348E4993" w14:textId="77777777" w:rsidR="009A57F6" w:rsidRDefault="009A57F6" w:rsidP="00647BF9">
      <w:r>
        <w:tab/>
        <w:t xml:space="preserve">Finally, Mr. Malinak subtracts the annual </w:t>
      </w:r>
      <w:r w:rsidR="004C7E5E">
        <w:t xml:space="preserve">Projected </w:t>
      </w:r>
      <w:r w:rsidR="00B67496">
        <w:t xml:space="preserve">Operating </w:t>
      </w:r>
      <w:r w:rsidR="004C7E5E">
        <w:t xml:space="preserve">Revenue (Line 22) from the annual Required Operating Revenue (Line 18) </w:t>
      </w:r>
      <w:r w:rsidR="00241336">
        <w:t xml:space="preserve">to arrive at an annual </w:t>
      </w:r>
      <w:r w:rsidR="00C41F82">
        <w:t>revenue requirement for the RER</w:t>
      </w:r>
      <w:r w:rsidR="00FF3918">
        <w:t xml:space="preserve"> (Line 23)</w:t>
      </w:r>
      <w:r w:rsidR="00C41F82">
        <w:t>.</w:t>
      </w:r>
      <w:r w:rsidR="00DE6C65">
        <w:rPr>
          <w:rStyle w:val="FootnoteReference"/>
        </w:rPr>
        <w:footnoteReference w:id="10"/>
      </w:r>
    </w:p>
    <w:p w14:paraId="51A94DD1" w14:textId="77777777" w:rsidR="00FF3918" w:rsidRDefault="00FF3918" w:rsidP="00647BF9">
      <w:r>
        <w:tab/>
        <w:t>As this math indicates, the annual</w:t>
      </w:r>
      <w:r w:rsidR="003155B8">
        <w:t xml:space="preserve"> depreciation expense (Line 13)</w:t>
      </w:r>
      <w:r>
        <w:t xml:space="preserve"> and the annual market revenue</w:t>
      </w:r>
      <w:r w:rsidR="00AA47F1">
        <w:t xml:space="preserve"> the generating plants are expected to receive </w:t>
      </w:r>
      <w:r w:rsidR="00903DA4">
        <w:t>have a role</w:t>
      </w:r>
      <w:r w:rsidR="00AA47F1">
        <w:t xml:space="preserve"> in determining the projected RER revenue requirements.</w:t>
      </w:r>
    </w:p>
    <w:p w14:paraId="671B222D" w14:textId="77777777" w:rsidR="00475A30" w:rsidRDefault="00E82414" w:rsidP="00647BF9">
      <w:r>
        <w:tab/>
      </w:r>
      <w:r w:rsidR="00475A30">
        <w:t>Subsequent to filing Mr. Malinak’s testimony</w:t>
      </w:r>
      <w:r w:rsidR="000301D7">
        <w:t>,</w:t>
      </w:r>
      <w:r w:rsidR="00475A30">
        <w:t xml:space="preserve"> DP&amp;L took an impairment charge </w:t>
      </w:r>
      <w:r w:rsidR="00B64B91">
        <w:t>of $857</w:t>
      </w:r>
      <w:r w:rsidR="00AA47F1">
        <w:t>.1</w:t>
      </w:r>
      <w:r w:rsidR="00B64B91">
        <w:t xml:space="preserve"> million </w:t>
      </w:r>
      <w:r w:rsidR="00475A30">
        <w:t>to the net book value of the Stuart, Killen, and Zimmer generating plants it has recorded on its books.</w:t>
      </w:r>
      <w:r w:rsidR="00B64B91">
        <w:rPr>
          <w:rStyle w:val="FootnoteReference"/>
        </w:rPr>
        <w:footnoteReference w:id="11"/>
      </w:r>
      <w:r w:rsidR="0022222F">
        <w:t xml:space="preserve"> </w:t>
      </w:r>
      <w:r w:rsidR="00475A30">
        <w:t xml:space="preserve"> </w:t>
      </w:r>
      <w:r w:rsidR="00506148">
        <w:t xml:space="preserve">DPL Inc. also took a separate impairment charge </w:t>
      </w:r>
      <w:r w:rsidR="008B7C01">
        <w:t xml:space="preserve">of </w:t>
      </w:r>
      <w:r w:rsidR="008B7C01">
        <w:lastRenderedPageBreak/>
        <w:t xml:space="preserve">$230.8 million </w:t>
      </w:r>
      <w:r w:rsidR="00506148">
        <w:t xml:space="preserve">to the net book value of the </w:t>
      </w:r>
      <w:r w:rsidR="008B7C01">
        <w:t xml:space="preserve">Killen </w:t>
      </w:r>
      <w:r w:rsidR="00506148">
        <w:t>generating plant that it had recorded on its books.</w:t>
      </w:r>
      <w:r w:rsidR="008B7C01">
        <w:rPr>
          <w:rStyle w:val="FootnoteReference"/>
        </w:rPr>
        <w:footnoteReference w:id="12"/>
      </w:r>
      <w:r w:rsidR="00506148">
        <w:t xml:space="preserve">  </w:t>
      </w:r>
      <w:r w:rsidR="00412C5D">
        <w:t xml:space="preserve">These impairment charges were reported </w:t>
      </w:r>
      <w:r w:rsidR="00BC6CBC">
        <w:t xml:space="preserve">to the Securities </w:t>
      </w:r>
      <w:r w:rsidR="00AB0442">
        <w:t xml:space="preserve">and </w:t>
      </w:r>
      <w:r w:rsidR="00BC6CBC">
        <w:t xml:space="preserve">Exchange Commission (“SEC”) </w:t>
      </w:r>
      <w:r w:rsidR="00412C5D">
        <w:t xml:space="preserve">in the SEC Form 10-Q filed </w:t>
      </w:r>
      <w:r w:rsidR="00BC6CBC">
        <w:t xml:space="preserve">on June 30, 2016.  In the Form 10-Q, </w:t>
      </w:r>
      <w:r w:rsidR="003C5DCC">
        <w:t>DPL Inc. and DP&amp;L indicated that the impa</w:t>
      </w:r>
      <w:r w:rsidR="00AA47F1">
        <w:t>irment charges they each took were</w:t>
      </w:r>
      <w:r w:rsidR="003C5DCC">
        <w:t xml:space="preserve"> based on a </w:t>
      </w:r>
      <w:r w:rsidR="00457D28">
        <w:t xml:space="preserve">discounted cash flow </w:t>
      </w:r>
      <w:r w:rsidR="00BC6CBC">
        <w:t xml:space="preserve">(“DCF”) </w:t>
      </w:r>
      <w:r w:rsidR="00457D28">
        <w:t>analysis</w:t>
      </w:r>
      <w:r w:rsidR="00412C5D">
        <w:t>.</w:t>
      </w:r>
      <w:r w:rsidR="00457D28">
        <w:rPr>
          <w:rStyle w:val="FootnoteReference"/>
        </w:rPr>
        <w:footnoteReference w:id="13"/>
      </w:r>
      <w:r w:rsidR="00412C5D">
        <w:t xml:space="preserve">  </w:t>
      </w:r>
      <w:r w:rsidR="00BC6CBC">
        <w:t xml:space="preserve">Based on this DCF analysis, DPL Inc. and DP&amp;L reported </w:t>
      </w:r>
      <w:r w:rsidR="00D63B5E">
        <w:t xml:space="preserve">projected </w:t>
      </w:r>
      <w:r w:rsidR="00EB137A">
        <w:t>revenue growth ranges from a low of</w:t>
      </w:r>
      <w:r w:rsidR="00D63B5E">
        <w:t xml:space="preserve"> -14% to </w:t>
      </w:r>
      <w:r w:rsidR="00AE24FF">
        <w:t xml:space="preserve">maximum of </w:t>
      </w:r>
      <w:r w:rsidR="00D63B5E">
        <w:t xml:space="preserve">+13% </w:t>
      </w:r>
      <w:r w:rsidR="00EB137A">
        <w:t>across</w:t>
      </w:r>
      <w:r w:rsidR="00D63B5E">
        <w:t xml:space="preserve"> the Stuart, Killen, and Zimmer generating plants.</w:t>
      </w:r>
      <w:r w:rsidR="00D63B5E">
        <w:rPr>
          <w:rStyle w:val="FootnoteReference"/>
        </w:rPr>
        <w:footnoteReference w:id="14"/>
      </w:r>
      <w:r w:rsidR="00AE60CB">
        <w:t xml:space="preserve">  DPL Inc. and DP&amp;L further add </w:t>
      </w:r>
      <w:r w:rsidR="00B53145">
        <w:t>in the Form 10</w:t>
      </w:r>
      <w:r w:rsidR="003155B8">
        <w:t>-</w:t>
      </w:r>
      <w:r w:rsidR="00B53145">
        <w:t xml:space="preserve">Q </w:t>
      </w:r>
      <w:r w:rsidR="00AE60CB">
        <w:t xml:space="preserve">that their respective </w:t>
      </w:r>
      <w:r w:rsidR="00897D39">
        <w:t>impairment charges are based on lower than previously projected capacity revenue and greater than previously projected environmental compliance costs.</w:t>
      </w:r>
      <w:r w:rsidR="00897D39">
        <w:rPr>
          <w:rStyle w:val="FootnoteReference"/>
        </w:rPr>
        <w:footnoteReference w:id="15"/>
      </w:r>
    </w:p>
    <w:p w14:paraId="16FB1961" w14:textId="77777777" w:rsidR="00DB2A5E" w:rsidRDefault="002B56FC" w:rsidP="00647BF9">
      <w:r>
        <w:tab/>
      </w:r>
      <w:r w:rsidR="001E736F">
        <w:t xml:space="preserve">As </w:t>
      </w:r>
      <w:r w:rsidR="00383BBC">
        <w:t>noted in the SEC Form 10-Q, the impairment analyses include projections of market revenue</w:t>
      </w:r>
      <w:r w:rsidR="00DB2A5E">
        <w:t xml:space="preserve">.  Although not explicit in the SEC Form 10-Q, </w:t>
      </w:r>
      <w:r w:rsidR="00F37AE9">
        <w:t>the projected market revenue under the impairment analysis is</w:t>
      </w:r>
      <w:r w:rsidR="00DB2A5E">
        <w:t xml:space="preserve"> for the remaining life of the plants, which DP&amp;L has identified as extending beyond the 10-year term of the RER</w:t>
      </w:r>
      <w:r w:rsidR="00383BBC">
        <w:t xml:space="preserve">.  </w:t>
      </w:r>
      <w:r w:rsidR="00DB2A5E">
        <w:t xml:space="preserve">Thus, </w:t>
      </w:r>
      <w:r w:rsidR="00535903">
        <w:t xml:space="preserve">it is expected that </w:t>
      </w:r>
      <w:r w:rsidR="00DB2A5E">
        <w:t xml:space="preserve">the recent impairment analysis will contain DP&amp;L’s recent forecast of market prices for the term of the proposed RER.  Based on </w:t>
      </w:r>
      <w:r w:rsidR="00234C1B">
        <w:t xml:space="preserve">experience, IEU-Ohio reasonably expects that the impairment analysis will contain projections of market price, </w:t>
      </w:r>
      <w:r w:rsidR="00234C1B">
        <w:lastRenderedPageBreak/>
        <w:t>generation dispatch, and revenue for the p</w:t>
      </w:r>
      <w:r w:rsidR="00982B47">
        <w:t>lants as well as information related to projected market revenue from a sale of the assets.</w:t>
      </w:r>
      <w:r w:rsidR="00234C1B">
        <w:t xml:space="preserve">  </w:t>
      </w:r>
      <w:r w:rsidR="00DB2A5E">
        <w:t>Market prices, generation dispatch, and fuel prices are essential assumptions that drive the RER calculation</w:t>
      </w:r>
      <w:r w:rsidR="00982B47">
        <w:t xml:space="preserve">, and projected revenue from a sale impacts DP&amp;L’s claimed need for the nonbypassable RER subsidy for the RER plants.  Thus, </w:t>
      </w:r>
      <w:r w:rsidR="00024EB8">
        <w:t xml:space="preserve">IEU-Ohio’s request for </w:t>
      </w:r>
      <w:r w:rsidR="00982B47">
        <w:t xml:space="preserve">the impairment analysis referenced in the June 30, 2016 Form 10-Q filed by DP&amp;L and DPL Inc. at the SEC is reasonably </w:t>
      </w:r>
      <w:r w:rsidR="00024EB8">
        <w:t>calculated to lead to the discovery of admissible evidence.</w:t>
      </w:r>
    </w:p>
    <w:p w14:paraId="3A094979" w14:textId="77777777" w:rsidR="006503C2" w:rsidRDefault="00DB2A5E" w:rsidP="00647BF9">
      <w:r>
        <w:tab/>
        <w:t xml:space="preserve">Moreover, prior projections of </w:t>
      </w:r>
      <w:r w:rsidR="006503C2">
        <w:t xml:space="preserve">the market revenue (including the market price and cost of fuel) and generation dispatch of these generating plants may </w:t>
      </w:r>
      <w:r w:rsidR="00CC2C02">
        <w:t xml:space="preserve">also </w:t>
      </w:r>
      <w:r w:rsidR="006503C2">
        <w:t xml:space="preserve">shed light on the </w:t>
      </w:r>
      <w:r w:rsidR="00CC2C02">
        <w:t xml:space="preserve">consistency and </w:t>
      </w:r>
      <w:r w:rsidR="006503C2">
        <w:t xml:space="preserve">reliability of </w:t>
      </w:r>
      <w:r w:rsidR="00CC2C02">
        <w:t xml:space="preserve">the </w:t>
      </w:r>
      <w:r w:rsidR="006503C2">
        <w:t>projections embedded in DP&amp;L’s Rider RER calculation</w:t>
      </w:r>
      <w:r w:rsidR="00024EB8">
        <w:t xml:space="preserve"> and that underlie DP&amp;L’s claimed need for the RER</w:t>
      </w:r>
      <w:r w:rsidR="006503C2">
        <w:t xml:space="preserve">.  </w:t>
      </w:r>
    </w:p>
    <w:p w14:paraId="11547962" w14:textId="77777777" w:rsidR="00DB2A5E" w:rsidRDefault="00F53444" w:rsidP="00647BF9">
      <w:r>
        <w:tab/>
      </w:r>
      <w:r w:rsidR="006503C2">
        <w:t>Accordingly, IEU-Ohio’s request that DP&amp;L identify and produce the impairment analyses conducted over the past 10 years (the same</w:t>
      </w:r>
      <w:r w:rsidR="00CC2C02">
        <w:t xml:space="preserve"> 10-year</w:t>
      </w:r>
      <w:r w:rsidR="006503C2">
        <w:t xml:space="preserve"> duration as the </w:t>
      </w:r>
      <w:r w:rsidR="00CC2C02">
        <w:t xml:space="preserve">proposed </w:t>
      </w:r>
      <w:r w:rsidR="006503C2">
        <w:t>RER) associated with the generating plants proposed for inclusion in the RER is reasonably calculated to lead to the discovery of admissible evidence.</w:t>
      </w:r>
    </w:p>
    <w:p w14:paraId="70C15095" w14:textId="290CB5F2" w:rsidR="007F48CF" w:rsidRDefault="00FF15F5" w:rsidP="00866548">
      <w:pPr>
        <w:pStyle w:val="Heading2"/>
      </w:pPr>
      <w:bookmarkStart w:id="7" w:name="_Toc460332400"/>
      <w:r>
        <w:t>Claims of confidential trade secrets and purported non-disclosure clauses do not make documents non-discoverable; therefore DP&amp;L’s p</w:t>
      </w:r>
      <w:r w:rsidR="007F48CF">
        <w:t>roprietary</w:t>
      </w:r>
      <w:bookmarkEnd w:id="0"/>
      <w:r>
        <w:t xml:space="preserve"> objection is without merit</w:t>
      </w:r>
      <w:bookmarkEnd w:id="7"/>
    </w:p>
    <w:p w14:paraId="433D55DF" w14:textId="77777777" w:rsidR="00F154EA" w:rsidRDefault="007F48CF" w:rsidP="00476799">
      <w:pPr>
        <w:ind w:firstLine="720"/>
      </w:pPr>
      <w:r>
        <w:t xml:space="preserve">DP&amp;L objects to </w:t>
      </w:r>
      <w:r w:rsidR="00024EB8">
        <w:t>IEU-Ohio INT 4-19</w:t>
      </w:r>
      <w:r w:rsidR="00A637C4">
        <w:t xml:space="preserve"> and RPD 4-</w:t>
      </w:r>
      <w:r w:rsidR="00024EB8">
        <w:t>1</w:t>
      </w:r>
      <w:r>
        <w:t xml:space="preserve"> on grounds that the information is “proprietary, competitively sensitive or valuable, or constitutes trade secrets.”</w:t>
      </w:r>
      <w:r>
        <w:rPr>
          <w:rStyle w:val="FootnoteReference"/>
        </w:rPr>
        <w:footnoteReference w:id="16"/>
      </w:r>
      <w:r>
        <w:t xml:space="preserve">  </w:t>
      </w:r>
      <w:r w:rsidR="00476799">
        <w:t>Initially, IEU-Ohio would note that it has entered into a protective agreement with DP&amp;L and would treat an</w:t>
      </w:r>
      <w:r w:rsidR="00F53444">
        <w:t>y</w:t>
      </w:r>
      <w:r w:rsidR="00476799">
        <w:t xml:space="preserve"> documents identified by DP&amp;L as confidential in accordance with that protective agreement.  </w:t>
      </w:r>
      <w:r w:rsidR="006538CE">
        <w:t>Additionally, a</w:t>
      </w:r>
      <w:r w:rsidR="00F154EA">
        <w:t xml:space="preserve">fter discussing the objection with counsel for </w:t>
      </w:r>
      <w:r w:rsidR="00F154EA">
        <w:lastRenderedPageBreak/>
        <w:t xml:space="preserve">DP&amp;L, DP&amp;L clarified that it </w:t>
      </w:r>
      <w:r w:rsidR="00476799">
        <w:t>only</w:t>
      </w:r>
      <w:r w:rsidR="00F154EA">
        <w:t xml:space="preserve"> object</w:t>
      </w:r>
      <w:r w:rsidR="00476799">
        <w:t>s</w:t>
      </w:r>
      <w:r w:rsidR="00F154EA">
        <w:t xml:space="preserve"> to producing </w:t>
      </w:r>
      <w:r w:rsidR="00476799">
        <w:t xml:space="preserve">a subset of the </w:t>
      </w:r>
      <w:r w:rsidR="00F154EA">
        <w:t xml:space="preserve">responsive documents it </w:t>
      </w:r>
      <w:r w:rsidR="0033566C">
        <w:t>informally acknowledged exist</w:t>
      </w:r>
      <w:r w:rsidR="00476799">
        <w:t>.</w:t>
      </w:r>
      <w:r w:rsidR="007F5B69">
        <w:t xml:space="preserve">  Specifically, counsel for DP&amp;L indicated that some of the </w:t>
      </w:r>
      <w:r w:rsidR="00C10281">
        <w:t xml:space="preserve">informally identified </w:t>
      </w:r>
      <w:r w:rsidR="007F5B69">
        <w:t xml:space="preserve">responsive documents were </w:t>
      </w:r>
      <w:r w:rsidR="006538CE">
        <w:t>prepared by a third party, Deloi</w:t>
      </w:r>
      <w:r w:rsidR="007F5B69">
        <w:t xml:space="preserve">tte, and </w:t>
      </w:r>
      <w:r w:rsidR="00C10281">
        <w:t xml:space="preserve">that </w:t>
      </w:r>
      <w:r w:rsidR="007F5B69">
        <w:t xml:space="preserve">the contractual agreement </w:t>
      </w:r>
      <w:r w:rsidR="006538CE">
        <w:t>with Deloi</w:t>
      </w:r>
      <w:r w:rsidR="007F5B69">
        <w:t xml:space="preserve">tte prohibits the disclosure of </w:t>
      </w:r>
      <w:r w:rsidR="00C10281">
        <w:t>responsive information.</w:t>
      </w:r>
    </w:p>
    <w:p w14:paraId="23141BAA" w14:textId="77777777" w:rsidR="002A7494" w:rsidRDefault="002A7494" w:rsidP="00476799">
      <w:pPr>
        <w:ind w:firstLine="720"/>
      </w:pPr>
      <w:r>
        <w:t xml:space="preserve">While parties may </w:t>
      </w:r>
      <w:r w:rsidR="007D64A3">
        <w:t xml:space="preserve">enter into contracts with confidentiality clauses, such clauses </w:t>
      </w:r>
      <w:r w:rsidR="00262C19">
        <w:t xml:space="preserve">may not validly impair a party’s </w:t>
      </w:r>
      <w:r w:rsidR="007D64A3">
        <w:t xml:space="preserve">right to discovery.  </w:t>
      </w:r>
      <w:r w:rsidR="00262C19">
        <w:rPr>
          <w:i/>
        </w:rPr>
        <w:t>Svoboda v. Clear Channel Communs. Inc.</w:t>
      </w:r>
      <w:r w:rsidR="007D27BD">
        <w:t>, 2003-Ohio-6201</w:t>
      </w:r>
      <w:r w:rsidR="008A425D">
        <w:t>, 2003 Ohio App. LEXIS 5563</w:t>
      </w:r>
      <w:r w:rsidR="007D27BD">
        <w:t xml:space="preserve"> (Ohio Ct. App. 6th Dist.)</w:t>
      </w:r>
      <w:r w:rsidR="008A425D">
        <w:t xml:space="preserve">.  In </w:t>
      </w:r>
      <w:r w:rsidR="008A425D">
        <w:rPr>
          <w:i/>
        </w:rPr>
        <w:t>Svoboda</w:t>
      </w:r>
      <w:r w:rsidR="00313229">
        <w:rPr>
          <w:i/>
        </w:rPr>
        <w:t>,</w:t>
      </w:r>
      <w:r w:rsidR="008A425D">
        <w:t xml:space="preserve"> </w:t>
      </w:r>
      <w:r w:rsidR="0057495A">
        <w:t xml:space="preserve">the </w:t>
      </w:r>
      <w:r w:rsidR="00751AB8">
        <w:t>defendant refused to produce employee contracts on grounds that the cont</w:t>
      </w:r>
      <w:r w:rsidR="00C10281">
        <w:t>r</w:t>
      </w:r>
      <w:r w:rsidR="00751AB8">
        <w:t>act was a trade secret and contained a clause prohibiting its disclosure.</w:t>
      </w:r>
      <w:r w:rsidR="00BB2527">
        <w:rPr>
          <w:rStyle w:val="FootnoteReference"/>
        </w:rPr>
        <w:footnoteReference w:id="17"/>
      </w:r>
      <w:r w:rsidR="000E5B55">
        <w:t xml:space="preserve">  </w:t>
      </w:r>
      <w:r w:rsidR="0015647D">
        <w:t xml:space="preserve">Over the </w:t>
      </w:r>
      <w:r w:rsidR="00C10281">
        <w:t>defendant’s</w:t>
      </w:r>
      <w:r w:rsidR="0015647D">
        <w:t xml:space="preserve"> objection, the contract was ordered to be compelled subject to a protective order</w:t>
      </w:r>
      <w:r w:rsidR="000E5B55">
        <w:t>.</w:t>
      </w:r>
      <w:r w:rsidR="00BB2527">
        <w:rPr>
          <w:rStyle w:val="FootnoteReference"/>
        </w:rPr>
        <w:footnoteReference w:id="18"/>
      </w:r>
      <w:r w:rsidR="000E5B55">
        <w:t xml:space="preserve">  </w:t>
      </w:r>
      <w:r w:rsidR="008A425D">
        <w:t xml:space="preserve"> </w:t>
      </w:r>
      <w:r w:rsidR="004E0375">
        <w:t xml:space="preserve">Affirming the trial court, </w:t>
      </w:r>
      <w:r w:rsidR="00E63AA9">
        <w:t>the Sixth District Court of Appeals</w:t>
      </w:r>
      <w:r w:rsidR="0015647D">
        <w:t xml:space="preserve"> </w:t>
      </w:r>
      <w:r w:rsidR="004E0375">
        <w:t>explained that “[e]</w:t>
      </w:r>
      <w:r w:rsidR="00E63AA9">
        <w:t>ven if the information were a trade secret</w:t>
      </w:r>
      <w:r w:rsidR="00C22278">
        <w:t>,</w:t>
      </w:r>
      <w:r w:rsidR="00E63AA9">
        <w:t xml:space="preserve"> it is not absolutely privileged.  </w:t>
      </w:r>
      <w:r w:rsidR="00E63AA9">
        <w:rPr>
          <w:i/>
        </w:rPr>
        <w:t>Civ.R. 26(C)</w:t>
      </w:r>
      <w:r w:rsidR="00E63AA9">
        <w:t xml:space="preserve"> clearly contemplates the discoverability of trade secrets and expressly provides that trade secrets may be disclosed with an appropriate protective order.”</w:t>
      </w:r>
      <w:r w:rsidR="0015647D">
        <w:rPr>
          <w:rStyle w:val="FootnoteReference"/>
        </w:rPr>
        <w:footnoteReference w:id="19"/>
      </w:r>
      <w:r w:rsidR="00E63AA9">
        <w:t xml:space="preserve">  </w:t>
      </w:r>
    </w:p>
    <w:p w14:paraId="5575FF74" w14:textId="2ACDB4F0" w:rsidR="00FD1DA3" w:rsidRPr="00314143" w:rsidRDefault="00555F16" w:rsidP="00FB36AB">
      <w:pPr>
        <w:ind w:firstLine="720"/>
      </w:pPr>
      <w:r>
        <w:t xml:space="preserve">Although implicit in </w:t>
      </w:r>
      <w:r>
        <w:rPr>
          <w:i/>
        </w:rPr>
        <w:t>Svoboda</w:t>
      </w:r>
      <w:r w:rsidR="000B03B7">
        <w:rPr>
          <w:i/>
        </w:rPr>
        <w:t>,</w:t>
      </w:r>
      <w:r>
        <w:t xml:space="preserve"> other Ohio courts have expressly </w:t>
      </w:r>
      <w:r w:rsidR="001F61B1">
        <w:t xml:space="preserve">overturned </w:t>
      </w:r>
      <w:r w:rsidR="00F65D77">
        <w:t xml:space="preserve">confidentiality clauses where they were contrary to Ohio law.  </w:t>
      </w:r>
      <w:r w:rsidR="00F65D77">
        <w:rPr>
          <w:i/>
        </w:rPr>
        <w:t>Teodeck</w:t>
      </w:r>
      <w:r w:rsidR="00C22278">
        <w:rPr>
          <w:i/>
        </w:rPr>
        <w:t>i</w:t>
      </w:r>
      <w:r w:rsidR="00F65D77">
        <w:rPr>
          <w:i/>
        </w:rPr>
        <w:t xml:space="preserve"> v. Litchfield Twp.</w:t>
      </w:r>
      <w:r w:rsidR="00F65D77">
        <w:t>, 2015-Ohio-2309, 38 N.E.</w:t>
      </w:r>
      <w:r w:rsidR="007C6B1C">
        <w:t xml:space="preserve">3d 355 (Ohio Ct. App. 9th Dist).  In </w:t>
      </w:r>
      <w:r w:rsidR="007C6B1C">
        <w:rPr>
          <w:i/>
        </w:rPr>
        <w:t>Teodeck</w:t>
      </w:r>
      <w:r w:rsidR="00C22278">
        <w:rPr>
          <w:i/>
        </w:rPr>
        <w:t>i</w:t>
      </w:r>
      <w:r w:rsidR="000B03B7">
        <w:rPr>
          <w:i/>
        </w:rPr>
        <w:t>,</w:t>
      </w:r>
      <w:r w:rsidR="007C6B1C">
        <w:t xml:space="preserve"> the </w:t>
      </w:r>
      <w:r w:rsidR="00314143">
        <w:t>c</w:t>
      </w:r>
      <w:r w:rsidR="007C6B1C">
        <w:t xml:space="preserve">ourt found that the confidentiality agreement between Mrs. Teodecki and Litchfield Township violated Ohio’s Public Records Act and was therefore void </w:t>
      </w:r>
      <w:r w:rsidR="007C6B1C">
        <w:rPr>
          <w:i/>
        </w:rPr>
        <w:t>ab initio</w:t>
      </w:r>
      <w:r w:rsidR="007C6B1C">
        <w:t>.</w:t>
      </w:r>
      <w:r w:rsidR="00BB2527">
        <w:rPr>
          <w:rStyle w:val="FootnoteReference"/>
        </w:rPr>
        <w:footnoteReference w:id="20"/>
      </w:r>
      <w:r w:rsidR="00314143">
        <w:t xml:space="preserve">  Acknowledging </w:t>
      </w:r>
      <w:r w:rsidR="00314143">
        <w:lastRenderedPageBreak/>
        <w:t xml:space="preserve">the importance of the right to enter into contracts, the </w:t>
      </w:r>
      <w:r w:rsidR="009A3393">
        <w:t xml:space="preserve">Ninth District Court </w:t>
      </w:r>
      <w:r w:rsidR="0018496D">
        <w:t xml:space="preserve">of Appeals </w:t>
      </w:r>
      <w:r w:rsidR="009A3393">
        <w:t>explained that “it is well-settled that a valid contract cannot be made if its purpose or performance is contrary to statute.”</w:t>
      </w:r>
      <w:r w:rsidR="009A3393">
        <w:rPr>
          <w:rStyle w:val="FootnoteReference"/>
        </w:rPr>
        <w:footnoteReference w:id="21"/>
      </w:r>
      <w:r w:rsidR="009A3393">
        <w:t xml:space="preserve">  “Similarly, </w:t>
      </w:r>
      <w:r w:rsidR="00B02D8B">
        <w:t xml:space="preserve">the Ninth District Court of Appeals held that </w:t>
      </w:r>
      <w:r w:rsidR="009A3393">
        <w:t>a contract may be void if it violates public policy</w:t>
      </w:r>
      <w:r w:rsidR="00E9538B">
        <w:t>.”</w:t>
      </w:r>
      <w:r w:rsidR="00E9538B">
        <w:rPr>
          <w:rStyle w:val="FootnoteReference"/>
        </w:rPr>
        <w:footnoteReference w:id="22"/>
      </w:r>
      <w:r w:rsidR="00BA0DB9">
        <w:t xml:space="preserve">  </w:t>
      </w:r>
    </w:p>
    <w:p w14:paraId="2AD5F5E9" w14:textId="30A31482" w:rsidR="00A13F1A" w:rsidRDefault="00FB36AB" w:rsidP="00FD1DA3">
      <w:pPr>
        <w:ind w:firstLine="720"/>
      </w:pPr>
      <w:r>
        <w:t>Based on the Commission’</w:t>
      </w:r>
      <w:r w:rsidR="00B3560C">
        <w:t xml:space="preserve">s rules and practice, the Deloitte documents are discoverable.  </w:t>
      </w:r>
      <w:r w:rsidR="00FD1DA3">
        <w:t>Like Civ.R. 26</w:t>
      </w:r>
      <w:r w:rsidR="00B3560C">
        <w:t>(C), the Commission’s rules</w:t>
      </w:r>
      <w:r w:rsidR="00FD1DA3">
        <w:t xml:space="preserve"> clearly contemplate the discoverability of trade secrets subject to a protective order.  Rule 4901-1-24(A)(7), O.A.C.  </w:t>
      </w:r>
      <w:r w:rsidR="00A13F1A">
        <w:t xml:space="preserve">And under the structure provided by the rule, parties in countless </w:t>
      </w:r>
      <w:r w:rsidR="009F4AB8">
        <w:t xml:space="preserve">Commission </w:t>
      </w:r>
      <w:r w:rsidR="00A13F1A">
        <w:t>proceedings, includ</w:t>
      </w:r>
      <w:r w:rsidR="009F4AB8">
        <w:t>ing DP&amp;L in this proceeding, have</w:t>
      </w:r>
      <w:r w:rsidR="00A13F1A">
        <w:t xml:space="preserve"> produced documents identified as confidential trade secrets under agreed</w:t>
      </w:r>
      <w:r w:rsidR="00C22278">
        <w:t>-</w:t>
      </w:r>
      <w:r w:rsidR="00A13F1A">
        <w:t xml:space="preserve">upon protective orders.  There is nothing unique </w:t>
      </w:r>
      <w:r w:rsidR="008D6175">
        <w:t>about the Deloitte documents to distinguish them from the countless other documents containing claimed confidential trade secrets that are produced in discovery.</w:t>
      </w:r>
    </w:p>
    <w:p w14:paraId="6D47AD47" w14:textId="77777777" w:rsidR="00761982" w:rsidRDefault="00E9538B" w:rsidP="00FD1DA3">
      <w:pPr>
        <w:ind w:firstLine="720"/>
      </w:pPr>
      <w:r>
        <w:t xml:space="preserve">Furthermore, </w:t>
      </w:r>
      <w:r w:rsidR="008D6175">
        <w:t xml:space="preserve">any restriction in the Deloitte documents designed to interfere with parties’ proper discovery rights would be void.  </w:t>
      </w:r>
      <w:r w:rsidR="00BA2BF4">
        <w:t>As noted above, contracts that frustrate public policy are void.</w:t>
      </w:r>
      <w:r w:rsidR="00BA2BF4">
        <w:rPr>
          <w:rStyle w:val="FootnoteReference"/>
        </w:rPr>
        <w:footnoteReference w:id="23"/>
      </w:r>
      <w:r w:rsidR="00BA2BF4">
        <w:t xml:space="preserve">  </w:t>
      </w:r>
      <w:r w:rsidR="00082880">
        <w:t>As</w:t>
      </w:r>
      <w:r w:rsidR="00761982">
        <w:t xml:space="preserve"> explained by the Ohio Supreme Court</w:t>
      </w:r>
      <w:r w:rsidR="00525D32">
        <w:t>:</w:t>
      </w:r>
    </w:p>
    <w:p w14:paraId="71CF817D" w14:textId="77777777" w:rsidR="00105B5F" w:rsidRDefault="00761982" w:rsidP="00525D32">
      <w:pPr>
        <w:spacing w:line="240" w:lineRule="auto"/>
        <w:ind w:left="720" w:right="720"/>
      </w:pPr>
      <w:r w:rsidRPr="00761982">
        <w:t>The text of Ohio Adm.Code 4901-1-16(B), the commission's discovery rule, is similar to Civ.R. 26(B)(1), which governs the scope of discovery in civil cases. Civ.R. 26(B) has been liberally construed to allow for broad discovery of any unprivileged matter relevant to the subject matter of the pending proceeding.</w:t>
      </w:r>
      <w:r>
        <w:rPr>
          <w:rStyle w:val="FootnoteReference"/>
        </w:rPr>
        <w:footnoteReference w:id="24"/>
      </w:r>
    </w:p>
    <w:p w14:paraId="40A78CA0" w14:textId="77777777" w:rsidR="00525D32" w:rsidRDefault="00525D32" w:rsidP="00525D32">
      <w:pPr>
        <w:spacing w:line="240" w:lineRule="auto"/>
        <w:ind w:left="720" w:right="720"/>
      </w:pPr>
    </w:p>
    <w:p w14:paraId="76CAA579" w14:textId="77777777" w:rsidR="00082880" w:rsidRDefault="00525D32" w:rsidP="00847AB3">
      <w:r>
        <w:t xml:space="preserve">Here, </w:t>
      </w:r>
      <w:r w:rsidR="00082880">
        <w:t>IEU-Ohio has a right to seek discovery of the relevant Deloitte documents which are in DP&amp;L’s possession or control an</w:t>
      </w:r>
      <w:r w:rsidR="00D653D2">
        <w:t>d</w:t>
      </w:r>
      <w:r w:rsidR="00082880">
        <w:t xml:space="preserve"> which are not privileged</w:t>
      </w:r>
      <w:r w:rsidR="00847AB3">
        <w:t xml:space="preserve">.  </w:t>
      </w:r>
    </w:p>
    <w:p w14:paraId="573AFA82" w14:textId="77777777" w:rsidR="00847AB3" w:rsidRDefault="00847AB3" w:rsidP="00847AB3">
      <w:r>
        <w:lastRenderedPageBreak/>
        <w:tab/>
      </w:r>
      <w:r w:rsidR="00082880">
        <w:t>Finally, a</w:t>
      </w:r>
      <w:r>
        <w:t xml:space="preserve">lthough IEU-Ohio has not seen the contract with Deloitte, IEU-Ohio would not be surprised if the contract created an exception in circumstances where a party has been compelled by a court of competent jurisdiction </w:t>
      </w:r>
      <w:r w:rsidR="00F74866">
        <w:t>to produce documents.  Such a clause, for example, exists in IEU-Ohio’s protective with DP&amp;L in this case and is a standard provision of the protective agreements in other Commission proceedings.</w:t>
      </w:r>
    </w:p>
    <w:p w14:paraId="0CA92845" w14:textId="77777777" w:rsidR="00954126" w:rsidRPr="00954126" w:rsidRDefault="00082880" w:rsidP="001043D9">
      <w:r>
        <w:tab/>
        <w:t>In sum, the Commission’s rules allow for the</w:t>
      </w:r>
      <w:r w:rsidR="00997B1E">
        <w:t xml:space="preserve"> discovery of confidential trade secrets under a protective order.  IEU-Ohio has agreed with DP&amp;L upon such a protective order.  Furthermore, to the extent that the Deloitte documents do not contain a provision allowing them to be turned over pursuant to an order from the Commission, the clause prohibiting the documents disclosure is void as contrary to public policy.</w:t>
      </w:r>
      <w:r w:rsidR="00954126">
        <w:t xml:space="preserve"> </w:t>
      </w:r>
    </w:p>
    <w:p w14:paraId="507A86C7" w14:textId="7B569757" w:rsidR="005D01EE" w:rsidRDefault="00FF15F5" w:rsidP="00866548">
      <w:pPr>
        <w:pStyle w:val="Heading2"/>
      </w:pPr>
      <w:bookmarkStart w:id="8" w:name="_Toc460332401"/>
      <w:r>
        <w:t xml:space="preserve">The requested documents are discoverable as they are within DP&amp;L’s possession, custody, or control; therefore DP&amp;L’s </w:t>
      </w:r>
      <w:r w:rsidR="00901BBA">
        <w:t xml:space="preserve">unregulated affiliate </w:t>
      </w:r>
      <w:r>
        <w:t>objection is without merit</w:t>
      </w:r>
      <w:bookmarkEnd w:id="8"/>
    </w:p>
    <w:p w14:paraId="0791647A" w14:textId="43F8D5D2" w:rsidR="008F35A1" w:rsidRPr="0026186A" w:rsidRDefault="003B6DED" w:rsidP="00954126">
      <w:pPr>
        <w:ind w:firstLine="720"/>
      </w:pPr>
      <w:r>
        <w:t xml:space="preserve">DP&amp;L also objected to </w:t>
      </w:r>
      <w:r w:rsidR="008F35A1">
        <w:t xml:space="preserve">identifying or producing any of the impairment analyses </w:t>
      </w:r>
      <w:r w:rsidR="00F35E36">
        <w:t xml:space="preserve">on grounds that </w:t>
      </w:r>
      <w:r w:rsidR="00CF46B7">
        <w:t xml:space="preserve">the impairment analyses were </w:t>
      </w:r>
      <w:r w:rsidR="00AA27BD">
        <w:t xml:space="preserve">prepared by and are </w:t>
      </w:r>
      <w:r w:rsidR="00CF46B7">
        <w:t>in the possession of DP&amp;L’s unregulated affiliate.</w:t>
      </w:r>
      <w:r w:rsidR="00AA27BD">
        <w:t xml:space="preserve">  </w:t>
      </w:r>
      <w:r w:rsidR="00193225">
        <w:t xml:space="preserve">Initially, </w:t>
      </w:r>
      <w:r w:rsidR="00AA27BD">
        <w:t xml:space="preserve">DP&amp;L’s objection misstates the correct standard for discovery under both the Ohio Rules </w:t>
      </w:r>
      <w:r w:rsidR="0079175A">
        <w:t xml:space="preserve">of Civil Procedure </w:t>
      </w:r>
      <w:r w:rsidR="00AA27BD">
        <w:t xml:space="preserve">and the Commission’s rules.  </w:t>
      </w:r>
      <w:r w:rsidR="00193225">
        <w:t>Moreover, after discussions with DP&amp;L’</w:t>
      </w:r>
      <w:r w:rsidR="0026186A">
        <w:t xml:space="preserve">s counsel, it is IEU-Ohio’s understanding </w:t>
      </w:r>
      <w:r w:rsidR="0016279E">
        <w:t xml:space="preserve">that </w:t>
      </w:r>
      <w:r w:rsidR="00410381">
        <w:t xml:space="preserve">the basis for the objection is not that the documents are DPL Inc. documents, but rather AES </w:t>
      </w:r>
      <w:r w:rsidR="0079175A">
        <w:t xml:space="preserve">Corporation (“AES”) </w:t>
      </w:r>
      <w:r w:rsidR="00410381">
        <w:t xml:space="preserve">documents.  </w:t>
      </w:r>
      <w:r w:rsidR="00787BB1">
        <w:t>Regardless of this clarification, the information IEU-Ohio seeks is discoverable.</w:t>
      </w:r>
    </w:p>
    <w:p w14:paraId="6FC84A2D" w14:textId="019A731A" w:rsidR="00DA2CD5" w:rsidRDefault="003B6DED" w:rsidP="00954126">
      <w:pPr>
        <w:ind w:firstLine="720"/>
      </w:pPr>
      <w:r>
        <w:t xml:space="preserve">The Ohio Rules of Civil Procedure and </w:t>
      </w:r>
      <w:r w:rsidR="00697829">
        <w:t xml:space="preserve">the Commission’s </w:t>
      </w:r>
      <w:r w:rsidR="0079175A">
        <w:t>r</w:t>
      </w:r>
      <w:r w:rsidR="00697829">
        <w:t xml:space="preserve">ules </w:t>
      </w:r>
      <w:r>
        <w:t>both support IEU-Ohio’s right to the impairment analyses sought in IEU-Ohio INT 4-</w:t>
      </w:r>
      <w:r w:rsidR="00AA27BD">
        <w:t>19 and RPD 4-1</w:t>
      </w:r>
      <w:r>
        <w:t xml:space="preserve">.  </w:t>
      </w:r>
      <w:r w:rsidR="00EA2CC5">
        <w:t>Both the Ohio Rules of Civil Procedure and Rule 4901-1-20(A)(1)</w:t>
      </w:r>
      <w:r w:rsidR="00697829">
        <w:t>, O.A.C.,</w:t>
      </w:r>
      <w:r w:rsidR="00EA2CC5">
        <w:t xml:space="preserve"> permit a party to seek another party to produce any documents which are in the “possession, </w:t>
      </w:r>
      <w:r w:rsidR="0079175A">
        <w:lastRenderedPageBreak/>
        <w:t>custody</w:t>
      </w:r>
      <w:r w:rsidR="00EA2CC5">
        <w:t xml:space="preserve">, or </w:t>
      </w:r>
      <w:r w:rsidR="0079175A">
        <w:t xml:space="preserve">control </w:t>
      </w:r>
      <w:r w:rsidR="002D48B6">
        <w:t>of the party upon whom the request is served.”</w:t>
      </w:r>
      <w:r w:rsidR="002D48B6">
        <w:rPr>
          <w:rStyle w:val="FootnoteReference"/>
        </w:rPr>
        <w:footnoteReference w:id="25"/>
      </w:r>
      <w:r w:rsidR="002D48B6">
        <w:t xml:space="preserve">  </w:t>
      </w:r>
      <w:r w:rsidR="000C12D4">
        <w:t xml:space="preserve">As described in Anderson’s treatise on </w:t>
      </w:r>
      <w:r w:rsidR="00DA2CD5">
        <w:t xml:space="preserve">the </w:t>
      </w:r>
      <w:r w:rsidR="000C12D4">
        <w:t xml:space="preserve">Ohio </w:t>
      </w:r>
      <w:r w:rsidR="00DA2CD5">
        <w:t xml:space="preserve">Rules of Civil </w:t>
      </w:r>
      <w:r w:rsidR="0079175A">
        <w:t>P</w:t>
      </w:r>
      <w:r w:rsidR="00DA2CD5">
        <w:t>rocedure:</w:t>
      </w:r>
    </w:p>
    <w:p w14:paraId="71D2807A" w14:textId="77777777" w:rsidR="00697829" w:rsidRDefault="00DA2CD5" w:rsidP="00697829">
      <w:pPr>
        <w:spacing w:line="240" w:lineRule="auto"/>
        <w:ind w:left="720" w:right="720" w:firstLine="720"/>
      </w:pPr>
      <w:r w:rsidRPr="00DA2CD5">
        <w:t xml:space="preserve">The documents or things </w:t>
      </w:r>
      <w:r>
        <w:t xml:space="preserve">[sought through the request for production] </w:t>
      </w:r>
      <w:r w:rsidRPr="00DA2CD5">
        <w:t>must be in the possession, custody, or control of the party. The key word is control and the important consideration is whether the party has access to the document or thing. Control is defined not only as possession but as the legal right to obtain a d</w:t>
      </w:r>
      <w:r>
        <w:t>ocument requested upon demand.</w:t>
      </w:r>
      <w:r w:rsidR="00D964C6">
        <w:rPr>
          <w:rStyle w:val="FootnoteReference"/>
        </w:rPr>
        <w:footnoteReference w:id="26"/>
      </w:r>
    </w:p>
    <w:p w14:paraId="3397CA52" w14:textId="77777777" w:rsidR="00697829" w:rsidRDefault="00697829" w:rsidP="00697829">
      <w:pPr>
        <w:spacing w:line="240" w:lineRule="auto"/>
        <w:ind w:right="720"/>
      </w:pPr>
    </w:p>
    <w:p w14:paraId="61398B52" w14:textId="77777777" w:rsidR="00787BB1" w:rsidRDefault="00B804B1" w:rsidP="0037088E">
      <w:r>
        <w:t xml:space="preserve">Thus, if DP&amp;L either has physical possession or </w:t>
      </w:r>
      <w:r w:rsidR="009F385F">
        <w:t>custody</w:t>
      </w:r>
      <w:r>
        <w:t xml:space="preserve"> </w:t>
      </w:r>
      <w:r w:rsidR="009F385F">
        <w:t>of</w:t>
      </w:r>
      <w:r>
        <w:t xml:space="preserve"> the impairment analyses or may obtain the analyses upon request</w:t>
      </w:r>
      <w:r w:rsidR="003316D8">
        <w:t>,</w:t>
      </w:r>
      <w:r>
        <w:t xml:space="preserve"> they are discoverable.</w:t>
      </w:r>
      <w:r w:rsidR="00CA6DF5">
        <w:rPr>
          <w:rStyle w:val="FootnoteReference"/>
        </w:rPr>
        <w:footnoteReference w:id="27"/>
      </w:r>
    </w:p>
    <w:p w14:paraId="77A2B954" w14:textId="77777777" w:rsidR="00806164" w:rsidRDefault="00B804B1" w:rsidP="009F385F">
      <w:r>
        <w:tab/>
        <w:t xml:space="preserve">Based on DP&amp;L’s objections as well as discussions with DP&amp;L’s counsel, it is IEU-Ohio’s understanding that DP&amp;L has possession, custody, or control of the impairment analyses.  </w:t>
      </w:r>
      <w:r w:rsidR="009F385F">
        <w:t xml:space="preserve">Counsel for DP&amp;L implied, if not acknowledged, that </w:t>
      </w:r>
      <w:r>
        <w:t>at least one DP&amp;L employee and witness in this proceeding (</w:t>
      </w:r>
      <w:r>
        <w:rPr>
          <w:i/>
        </w:rPr>
        <w:t xml:space="preserve">i.e. </w:t>
      </w:r>
      <w:r>
        <w:t xml:space="preserve">Craig Jackson) does in fact have access to the impairment analyses.  </w:t>
      </w:r>
    </w:p>
    <w:p w14:paraId="38ACC4FA" w14:textId="0322160D" w:rsidR="009F385F" w:rsidRDefault="00806164" w:rsidP="009F385F">
      <w:r>
        <w:tab/>
      </w:r>
      <w:r w:rsidR="00875DFF">
        <w:t>Furthermore, because DP&amp;L’s counsel has asserted that the requested documents contain information that is protected by the att</w:t>
      </w:r>
      <w:r w:rsidR="00BE267F">
        <w:t xml:space="preserve">orney-client privilege and work </w:t>
      </w:r>
      <w:r w:rsidR="00875DFF">
        <w:t>product doctrine</w:t>
      </w:r>
      <w:r>
        <w:t xml:space="preserve">, IEU-Ohio assumes that DP&amp;L produced the documents to DP&amp;L’s </w:t>
      </w:r>
      <w:r>
        <w:lastRenderedPageBreak/>
        <w:t>counsel in order for counsel to revi</w:t>
      </w:r>
      <w:r w:rsidR="007B57C5">
        <w:t>ew the documents and make the privilege claims</w:t>
      </w:r>
      <w:r w:rsidR="00911CAA">
        <w:t xml:space="preserve"> contained in DP&amp;L’s discovery responses.</w:t>
      </w:r>
    </w:p>
    <w:p w14:paraId="570D6F3B" w14:textId="1D3E5EBA" w:rsidR="00806164" w:rsidRDefault="00806164" w:rsidP="009F385F">
      <w:r>
        <w:tab/>
        <w:t xml:space="preserve">Finally, although DP&amp;L has asserted that its unregulated </w:t>
      </w:r>
      <w:r w:rsidR="007B57C5">
        <w:t>affiliates</w:t>
      </w:r>
      <w:r>
        <w:t xml:space="preserve"> are not subject to discovery, it has voluntarily produced DPL Inc. documents in response to discovery requests.  </w:t>
      </w:r>
      <w:r w:rsidR="00911CAA">
        <w:t>At the June 25, 2016 meeting between counsel for DP&amp;L and IEU-Ohio, c</w:t>
      </w:r>
      <w:r w:rsidR="00AA145C">
        <w:t xml:space="preserve">ounsel for DP&amp;L </w:t>
      </w:r>
      <w:r w:rsidR="00911CAA">
        <w:t xml:space="preserve">acknowledged that DP&amp;L was producing DPL Inc. documents </w:t>
      </w:r>
      <w:r w:rsidR="003316D8">
        <w:t xml:space="preserve">and </w:t>
      </w:r>
      <w:r w:rsidR="00911CAA">
        <w:t xml:space="preserve">conceded that DP&amp;L’s application had put in play DPL Inc. documents and information.  </w:t>
      </w:r>
      <w:r>
        <w:t xml:space="preserve">Thus, </w:t>
      </w:r>
      <w:r w:rsidR="00AA145C">
        <w:t xml:space="preserve">under </w:t>
      </w:r>
      <w:r w:rsidR="00CD2374">
        <w:t xml:space="preserve">even </w:t>
      </w:r>
      <w:r w:rsidR="00AA145C">
        <w:t xml:space="preserve">DP&amp;L’s </w:t>
      </w:r>
      <w:r w:rsidR="00CD2374">
        <w:t>limited (and incorrect) theory of the proper scope of discovery</w:t>
      </w:r>
      <w:r w:rsidR="00AA145C">
        <w:t>, if the impairment analyses are either DP&amp;L or DPL Inc. documents they should be produced.</w:t>
      </w:r>
      <w:r>
        <w:t xml:space="preserve"> </w:t>
      </w:r>
    </w:p>
    <w:p w14:paraId="3970FE0E" w14:textId="77777777" w:rsidR="008F7653" w:rsidRDefault="00030843" w:rsidP="009F385F">
      <w:r>
        <w:tab/>
      </w:r>
      <w:r w:rsidR="008D156F">
        <w:t xml:space="preserve">At least some of the responsive documents are plainly DP&amp;L and DPL Inc. documents.  </w:t>
      </w:r>
      <w:r>
        <w:t>On at least two occasions, DP&amp;L and DPL Inc. have conducted impairment analyses related to the RER generating plants</w:t>
      </w:r>
      <w:r w:rsidR="008D156F">
        <w:t xml:space="preserve"> and incorporated those results</w:t>
      </w:r>
      <w:r w:rsidR="007840AB">
        <w:t xml:space="preserve"> into filings the companies made at the SEC.</w:t>
      </w:r>
      <w:r w:rsidR="007840AB">
        <w:rPr>
          <w:rStyle w:val="FootnoteReference"/>
        </w:rPr>
        <w:footnoteReference w:id="28"/>
      </w:r>
      <w:r w:rsidR="007840AB">
        <w:t xml:space="preserve">  </w:t>
      </w:r>
      <w:r w:rsidR="008D156F">
        <w:t>Thus, DP&amp;L attempt to limit the scope of discoverable documents to only DP&amp;L and DPL Inc. documents does not shield DP&amp;L from producing all of the responsive impairment analyses.</w:t>
      </w:r>
    </w:p>
    <w:p w14:paraId="3ECF2DD6" w14:textId="77777777" w:rsidR="00AA145C" w:rsidRDefault="008F7653" w:rsidP="009F385F">
      <w:r>
        <w:tab/>
        <w:t xml:space="preserve">Accordingly, the impairment analyses should be turned over because they are in DP&amp;L’s possession, </w:t>
      </w:r>
      <w:r w:rsidR="00177A15">
        <w:t>custody, or control.</w:t>
      </w:r>
    </w:p>
    <w:p w14:paraId="5E82CD3C" w14:textId="77777777" w:rsidR="005D11E0" w:rsidRDefault="005D11E0">
      <w:pPr>
        <w:spacing w:line="240" w:lineRule="auto"/>
        <w:rPr>
          <w:rFonts w:eastAsiaTheme="majorEastAsia" w:cs="Arial"/>
          <w:b/>
          <w:szCs w:val="26"/>
        </w:rPr>
      </w:pPr>
      <w:bookmarkStart w:id="9" w:name="_Toc343603218"/>
      <w:r>
        <w:br w:type="page"/>
      </w:r>
    </w:p>
    <w:p w14:paraId="2D1E40E9" w14:textId="516A755A" w:rsidR="00647BF9" w:rsidRDefault="00901BBA" w:rsidP="00866548">
      <w:pPr>
        <w:pStyle w:val="Heading2"/>
      </w:pPr>
      <w:bookmarkStart w:id="10" w:name="_Toc460332402"/>
      <w:r>
        <w:lastRenderedPageBreak/>
        <w:t>The requested documents are required in the ordinary course of business; therefore DP&amp;L’s att</w:t>
      </w:r>
      <w:r w:rsidR="00BE267F">
        <w:t xml:space="preserve">orney-client privilege and work </w:t>
      </w:r>
      <w:r>
        <w:t>product objections are without meri</w:t>
      </w:r>
      <w:bookmarkEnd w:id="9"/>
      <w:r w:rsidR="00BE267F">
        <w:t>t</w:t>
      </w:r>
      <w:bookmarkEnd w:id="10"/>
    </w:p>
    <w:p w14:paraId="7CAD0022" w14:textId="2A65B55B" w:rsidR="003E4C13" w:rsidRDefault="000B29F1" w:rsidP="00647BF9">
      <w:pPr>
        <w:ind w:firstLine="720"/>
      </w:pPr>
      <w:r>
        <w:t xml:space="preserve">As its final objection to </w:t>
      </w:r>
      <w:r w:rsidR="00AB674D">
        <w:t>IEU-Ohio INT 4-</w:t>
      </w:r>
      <w:r w:rsidR="00F17D76">
        <w:t>19</w:t>
      </w:r>
      <w:r w:rsidR="00AB674D">
        <w:t xml:space="preserve"> and RPD 4-</w:t>
      </w:r>
      <w:r>
        <w:t>1, DP&amp;L claims that the impairment analyses are protected by the att</w:t>
      </w:r>
      <w:r w:rsidR="00BE267F">
        <w:t xml:space="preserve">orney-client privilege and work </w:t>
      </w:r>
      <w:r>
        <w:t>product doctrine.</w:t>
      </w:r>
      <w:r w:rsidR="00647BF9">
        <w:t xml:space="preserve"> </w:t>
      </w:r>
      <w:r w:rsidR="009443AA">
        <w:t xml:space="preserve"> The documents IEU-Ohio seeks are, however, required in the ordinary course of business by accounting rules (</w:t>
      </w:r>
      <w:r w:rsidR="00697AFB">
        <w:t xml:space="preserve">Financial Accounting Standards Board “FASB” </w:t>
      </w:r>
      <w:r w:rsidR="00E11C56">
        <w:t>Accounting Standards Codification “</w:t>
      </w:r>
      <w:r w:rsidR="009443AA">
        <w:t>ASC</w:t>
      </w:r>
      <w:r w:rsidR="00E11C56">
        <w:t>”</w:t>
      </w:r>
      <w:r w:rsidR="009443AA">
        <w:t xml:space="preserve"> 360). </w:t>
      </w:r>
      <w:r w:rsidR="003E4C13">
        <w:t xml:space="preserve"> </w:t>
      </w:r>
      <w:r w:rsidR="00D215C7">
        <w:t xml:space="preserve">Because the documents IEU-Ohio seeks in discovery are unrelated to the rendition of legal advice and were not prepared in anticipation of litigation, the documents </w:t>
      </w:r>
      <w:r w:rsidR="001E5CF0">
        <w:t xml:space="preserve">are not privileged and </w:t>
      </w:r>
      <w:r w:rsidR="00D215C7">
        <w:t xml:space="preserve">may be discovered.  </w:t>
      </w:r>
    </w:p>
    <w:p w14:paraId="13EB2239" w14:textId="55D9A4BD" w:rsidR="009443AA" w:rsidRDefault="009443AA" w:rsidP="009443AA">
      <w:pPr>
        <w:ind w:firstLine="720"/>
        <w:rPr>
          <w:szCs w:val="20"/>
        </w:rPr>
      </w:pPr>
      <w:r>
        <w:t>“The attorney-client privilege exempts from discovery certain communications between attorneys and their clients in the course of seeking or rendering legal advice.”</w:t>
      </w:r>
      <w:r>
        <w:rPr>
          <w:rStyle w:val="FootnoteReference"/>
        </w:rPr>
        <w:footnoteReference w:id="29"/>
      </w:r>
      <w:r>
        <w:t xml:space="preserve">  The privilege “is founded on the premise that confidences shared in the attorney-client relationship are to remain confidential”</w:t>
      </w:r>
      <w:r>
        <w:rPr>
          <w:rStyle w:val="FootnoteReference"/>
        </w:rPr>
        <w:footnoteReference w:id="30"/>
      </w:r>
      <w:r>
        <w:t xml:space="preserve"> and its purpose “is </w:t>
      </w:r>
      <w:r w:rsidR="00B340EE">
        <w:t>‘</w:t>
      </w:r>
      <w:r>
        <w:t>to encourage full and frank communication between attorneys and their clients and thereby promote broader public interests in the observance of law and administration of justice.</w:t>
      </w:r>
      <w:r w:rsidR="00B340EE">
        <w:t>’</w:t>
      </w:r>
      <w:r>
        <w:t>”</w:t>
      </w:r>
      <w:r>
        <w:rPr>
          <w:rStyle w:val="FootnoteReference"/>
        </w:rPr>
        <w:footnoteReference w:id="31"/>
      </w:r>
      <w:r>
        <w:t xml:space="preserve">  </w:t>
      </w:r>
    </w:p>
    <w:p w14:paraId="3E8CA093" w14:textId="77777777" w:rsidR="009443AA" w:rsidRDefault="009443AA" w:rsidP="009443AA">
      <w:pPr>
        <w:spacing w:line="240" w:lineRule="auto"/>
        <w:ind w:left="720" w:right="720"/>
      </w:pPr>
      <w:r>
        <w:t>Under the attorney-client privilege, "(1) [w]here legal advice of any kind is sought (2) from a professional legal adviser in his capacity as such, (3) the communications relating to that purpose, (4) made in confidence (5) by the client, (6) are at his instance permanently protected (7) from disclosure by himself or by the legal adviser, (8) unless the protection is waived."</w:t>
      </w:r>
      <w:r>
        <w:rPr>
          <w:rStyle w:val="FootnoteReference"/>
        </w:rPr>
        <w:footnoteReference w:id="32"/>
      </w:r>
      <w:r>
        <w:t xml:space="preserve"> </w:t>
      </w:r>
    </w:p>
    <w:p w14:paraId="33F90643" w14:textId="77777777" w:rsidR="009443AA" w:rsidRDefault="009443AA" w:rsidP="009443AA">
      <w:pPr>
        <w:spacing w:line="240" w:lineRule="auto"/>
        <w:ind w:left="720" w:right="720"/>
      </w:pPr>
    </w:p>
    <w:p w14:paraId="73721087" w14:textId="77777777" w:rsidR="009443AA" w:rsidRDefault="009443AA" w:rsidP="009443AA">
      <w:r>
        <w:lastRenderedPageBreak/>
        <w:t>Further, for investigative facts and documents to be covered by the attorney-client privilege, “the relevant question is ... whether [the] investigation was ‘related to the rendition of legal services’”</w:t>
      </w:r>
      <w:r>
        <w:rPr>
          <w:rStyle w:val="FootnoteReference"/>
        </w:rPr>
        <w:footnoteReference w:id="33"/>
      </w:r>
      <w:r>
        <w:t xml:space="preserve"> and requires “the client for whom the investigation was conducted [to] show that other </w:t>
      </w:r>
      <w:r>
        <w:rPr>
          <w:i/>
        </w:rPr>
        <w:t>legal</w:t>
      </w:r>
      <w:r>
        <w:t xml:space="preserve"> advice or assistance was sought and that the investigation conducted was integral to that assistance.”</w:t>
      </w:r>
      <w:r>
        <w:rPr>
          <w:rStyle w:val="FootnoteReference"/>
        </w:rPr>
        <w:footnoteReference w:id="34"/>
      </w:r>
    </w:p>
    <w:p w14:paraId="79F1033A" w14:textId="643B11DF" w:rsidR="009443AA" w:rsidRDefault="009443AA" w:rsidP="009443AA">
      <w:r>
        <w:tab/>
        <w:t>The work product doctrine also offers a qualified protection against the discovery of documents prepared in preparation of litigation.</w:t>
      </w:r>
      <w:r>
        <w:rPr>
          <w:vertAlign w:val="superscript"/>
        </w:rPr>
        <w:footnoteReference w:id="35"/>
      </w:r>
      <w:r>
        <w:t xml:space="preserve">  Civ. R. 26(B)(3) sets forth the work product doctrine as it applies in civil cases:</w:t>
      </w:r>
      <w:r w:rsidR="00687548">
        <w:t>  </w:t>
      </w:r>
      <w:r>
        <w:t xml:space="preserve">“a party may obtain discovery of documents, electronically stored information </w:t>
      </w:r>
      <w:r w:rsidR="00687548">
        <w:t xml:space="preserve">and </w:t>
      </w:r>
      <w:r>
        <w:t>tangible things prepared in anticipation of litigation or for trial by or for another party or by or for that other party’s representative ... only upon a showing of good cause therefor.”  “Through work-product jurisprudence ... two distinct categories of work product have been identified: ordinary fact work product and opinion work product.”</w:t>
      </w:r>
      <w:r>
        <w:rPr>
          <w:rStyle w:val="FootnoteReference"/>
        </w:rPr>
        <w:footnoteReference w:id="36"/>
      </w:r>
      <w:r>
        <w:t xml:space="preserve">  </w:t>
      </w:r>
    </w:p>
    <w:p w14:paraId="2E15AF66" w14:textId="77777777" w:rsidR="009443AA" w:rsidRDefault="009443AA" w:rsidP="009443AA">
      <w:pPr>
        <w:spacing w:line="240" w:lineRule="auto"/>
        <w:ind w:left="720" w:right="720" w:firstLine="720"/>
      </w:pPr>
      <w:r>
        <w:t xml:space="preserve">Ordinary fact or </w:t>
      </w:r>
      <w:r w:rsidR="00B22BD6">
        <w:t>‘</w:t>
      </w:r>
      <w:r>
        <w:t>unprivileged fact</w:t>
      </w:r>
      <w:r w:rsidR="00B22BD6">
        <w:t>’</w:t>
      </w:r>
      <w:r>
        <w:t xml:space="preserve"> work product, such as witness statements and underlying facts, receives lesser protection. Written or oral information transmitted to the attorney and recorded as conveyed may be compelled upon a showing of good cause by the subpoenaing party. Good cause, as set forth in Civ.R. 26(B)(3), requires a showing of substantial need, that the information is important in the preparation of the party's case, and that there is an inability or difficulty in obtaining the information without undue hardship.</w:t>
      </w:r>
    </w:p>
    <w:p w14:paraId="10F6A21E" w14:textId="77777777" w:rsidR="009443AA" w:rsidRDefault="009443AA" w:rsidP="009443AA">
      <w:pPr>
        <w:spacing w:line="240" w:lineRule="auto"/>
        <w:ind w:left="720" w:right="720" w:firstLine="720"/>
      </w:pPr>
    </w:p>
    <w:p w14:paraId="60B60601" w14:textId="77777777" w:rsidR="009443AA" w:rsidRDefault="009443AA" w:rsidP="009443AA">
      <w:pPr>
        <w:spacing w:line="240" w:lineRule="auto"/>
        <w:ind w:left="720" w:right="720" w:firstLine="720"/>
      </w:pPr>
      <w:r>
        <w:t xml:space="preserve">The other type of work product is </w:t>
      </w:r>
      <w:r w:rsidR="00B22BD6">
        <w:t>‘</w:t>
      </w:r>
      <w:r>
        <w:t>opinion work product,</w:t>
      </w:r>
      <w:r w:rsidR="00B22BD6">
        <w:t>’</w:t>
      </w:r>
      <w:r>
        <w:t xml:space="preserve"> which reflects the attorney's mental impressions, opinions, conclusions, judgments, or legal theories.</w:t>
      </w:r>
      <w:r>
        <w:rPr>
          <w:vertAlign w:val="superscript"/>
        </w:rPr>
        <w:footnoteReference w:id="37"/>
      </w:r>
    </w:p>
    <w:p w14:paraId="42113B8A" w14:textId="77777777" w:rsidR="009443AA" w:rsidRDefault="009443AA" w:rsidP="009443AA">
      <w:pPr>
        <w:spacing w:line="240" w:lineRule="auto"/>
        <w:ind w:firstLine="720"/>
      </w:pPr>
    </w:p>
    <w:p w14:paraId="2A25FB8B" w14:textId="661DD0A3" w:rsidR="009443AA" w:rsidRDefault="009443AA" w:rsidP="009443AA">
      <w:pPr>
        <w:ind w:firstLine="720"/>
      </w:pPr>
      <w:r>
        <w:t>The Commission has also distinguished between discovery seeking a lawyer’s legal advice and discovery requests seeking the underlying facts at issue in the litigation.  The Commission has held that conversations between counsel and a utility’s employees and the associated “notes, correspondence, and email created in anticipation of litigation … would ordinarily be protected … under attorney-client privilege and attorney work product doctrines.”</w:t>
      </w:r>
      <w:r>
        <w:rPr>
          <w:vertAlign w:val="superscript"/>
        </w:rPr>
        <w:footnoteReference w:id="38"/>
      </w:r>
      <w:r>
        <w:t xml:space="preserve">  The Commission, however, distinguished these types of communications from those not protected under either attorney-client privilege or under the work</w:t>
      </w:r>
      <w:r w:rsidR="00F55C3B">
        <w:t xml:space="preserve"> </w:t>
      </w:r>
      <w:r>
        <w:t>product doctrine.</w:t>
      </w:r>
      <w:r>
        <w:rPr>
          <w:vertAlign w:val="superscript"/>
        </w:rPr>
        <w:footnoteReference w:id="39"/>
      </w:r>
      <w:r>
        <w:t xml:space="preserve">  The latter unprotected category includes documents related to the litigation produced by utility employees to, among other things, verify the accuracy of events alleged in the lawsuit.</w:t>
      </w:r>
      <w:r>
        <w:rPr>
          <w:vertAlign w:val="superscript"/>
        </w:rPr>
        <w:footnoteReference w:id="40"/>
      </w:r>
      <w:r>
        <w:t xml:space="preserve">  </w:t>
      </w:r>
    </w:p>
    <w:p w14:paraId="0E2FD83E" w14:textId="6FBE1B71" w:rsidR="009443AA" w:rsidRDefault="009443AA" w:rsidP="009443AA">
      <w:pPr>
        <w:ind w:firstLine="720"/>
      </w:pPr>
      <w:r>
        <w:t>Although certain information sought in discovery might be properly within the scope of the attorney-client privilege or the work</w:t>
      </w:r>
      <w:r w:rsidR="00F55C3B">
        <w:t xml:space="preserve"> </w:t>
      </w:r>
      <w:r>
        <w:t>product doctrine, a discovery request is still proper where the attorney-client privilege doctrine or the work</w:t>
      </w:r>
      <w:r w:rsidR="00F55C3B">
        <w:t xml:space="preserve"> </w:t>
      </w:r>
      <w:r>
        <w:t>product doctrine has been waived by voluntary disclosure.  Additionally, discovery of work</w:t>
      </w:r>
      <w:r w:rsidR="00F55C3B">
        <w:t xml:space="preserve"> </w:t>
      </w:r>
      <w:r>
        <w:t>product is allowed upon a showing of good cause.</w:t>
      </w:r>
    </w:p>
    <w:p w14:paraId="5C8786B5" w14:textId="77777777" w:rsidR="009443AA" w:rsidRDefault="009443AA" w:rsidP="009443AA">
      <w:pPr>
        <w:ind w:firstLine="720"/>
      </w:pPr>
      <w:r>
        <w:t xml:space="preserve">Turning first to waiver, Ohio courts have held that “a client’s voluntary disclosure of confidential communications is inconsistent with an assertion of the privilege,” and therefore “voluntary disclosure of privileged communications to a third party waives a </w:t>
      </w:r>
      <w:r>
        <w:lastRenderedPageBreak/>
        <w:t>claim of privilege with regard to communications on the same subject matter.”</w:t>
      </w:r>
      <w:r>
        <w:rPr>
          <w:vertAlign w:val="superscript"/>
        </w:rPr>
        <w:footnoteReference w:id="41"/>
      </w:r>
      <w:r>
        <w:t xml:space="preserve">  This rule “applies to disclosure of materials covered by an attorney-client privilege and to disclosure of materials which are protected by the work product doctrine.”</w:t>
      </w:r>
      <w:r>
        <w:rPr>
          <w:rStyle w:val="FootnoteReference"/>
        </w:rPr>
        <w:footnoteReference w:id="42"/>
      </w:r>
    </w:p>
    <w:p w14:paraId="5647B2D5" w14:textId="63650BCF" w:rsidR="009443AA" w:rsidRDefault="009443AA" w:rsidP="009443AA">
      <w:pPr>
        <w:ind w:firstLine="720"/>
        <w:rPr>
          <w:rFonts w:ascii="Times New Roman" w:hAnsi="Times New Roman"/>
          <w:szCs w:val="24"/>
        </w:rPr>
      </w:pPr>
      <w:r>
        <w:t>Discovery of work product is also proper upon a showing of good cause.  As explained by the Ohio Supreme Court, “a showing of good cause under Civ.R. 26(B)(3) requires demonstration of need for the materials</w:t>
      </w:r>
      <w:r w:rsidRPr="006C49ED">
        <w:t xml:space="preserve">— </w:t>
      </w:r>
      <w:r w:rsidRPr="0034055C">
        <w:t>i.e.</w:t>
      </w:r>
      <w:r w:rsidRPr="006C49ED">
        <w:t>,</w:t>
      </w:r>
      <w:r>
        <w:t xml:space="preserve"> a showing that the materials, or the information they contain, are relevant and otherwise unavailable.”</w:t>
      </w:r>
      <w:r>
        <w:rPr>
          <w:rStyle w:val="FootnoteReference"/>
        </w:rPr>
        <w:footnoteReference w:id="43"/>
      </w:r>
      <w:r>
        <w:t xml:space="preserve">  The party seeking discovery bears the burden to demonstrate good cause for discovery of work</w:t>
      </w:r>
      <w:r w:rsidR="00F55C3B">
        <w:t xml:space="preserve"> </w:t>
      </w:r>
      <w:r>
        <w:t>product.</w:t>
      </w:r>
      <w:r>
        <w:rPr>
          <w:rStyle w:val="FootnoteReference"/>
        </w:rPr>
        <w:footnoteReference w:id="44"/>
      </w:r>
      <w:r>
        <w:rPr>
          <w:rFonts w:ascii="Times New Roman" w:hAnsi="Times New Roman"/>
          <w:szCs w:val="24"/>
        </w:rPr>
        <w:t xml:space="preserve"> </w:t>
      </w:r>
    </w:p>
    <w:p w14:paraId="17A4707F" w14:textId="2BD9C486" w:rsidR="009443AA" w:rsidRDefault="00770095" w:rsidP="00647BF9">
      <w:pPr>
        <w:ind w:firstLine="720"/>
      </w:pPr>
      <w:r>
        <w:t xml:space="preserve">As noted above, the impairment analyses are required by accounting rule ASC 360.  </w:t>
      </w:r>
      <w:r w:rsidR="00226F6F">
        <w:t>By definition, the documents</w:t>
      </w:r>
      <w:r w:rsidR="004B4627">
        <w:t xml:space="preserve"> are required and produced in the </w:t>
      </w:r>
      <w:r w:rsidR="00226F6F">
        <w:t>ordinary course of business and do not fall under the category of legal advice given by a lawyer in his capacity as a legal advisor to a client.</w:t>
      </w:r>
      <w:r w:rsidR="00BE1F49">
        <w:t xml:space="preserve">  Thus, the documents in their entirety are not protected by the attorney-client privilege.</w:t>
      </w:r>
      <w:r w:rsidR="00BE1F49">
        <w:rPr>
          <w:rStyle w:val="FootnoteReference"/>
        </w:rPr>
        <w:footnoteReference w:id="45"/>
      </w:r>
      <w:r w:rsidR="006E266D">
        <w:t xml:space="preserve">  Similarly, because the documents are produced in the ordinary course of business</w:t>
      </w:r>
      <w:r w:rsidR="006C49ED">
        <w:t>,</w:t>
      </w:r>
      <w:r w:rsidR="006E266D">
        <w:t xml:space="preserve"> they are not documents produced in anticipation of litigation and therefore do not qualify as attorney work</w:t>
      </w:r>
      <w:r w:rsidR="00F55C3B">
        <w:t xml:space="preserve"> </w:t>
      </w:r>
      <w:r w:rsidR="006E266D">
        <w:t>product.</w:t>
      </w:r>
    </w:p>
    <w:p w14:paraId="1A7C66D2" w14:textId="7BAD8F6D" w:rsidR="006E266D" w:rsidRDefault="006E266D" w:rsidP="00F55C3B">
      <w:pPr>
        <w:ind w:firstLine="720"/>
      </w:pPr>
      <w:r>
        <w:lastRenderedPageBreak/>
        <w:t>Even if some aspect of the impairment analyses were protected by the attorney-client privilege and work</w:t>
      </w:r>
      <w:r w:rsidR="00F55C3B">
        <w:t xml:space="preserve"> </w:t>
      </w:r>
      <w:r>
        <w:t>product doctrines</w:t>
      </w:r>
      <w:r w:rsidR="006C49ED">
        <w:t>,</w:t>
      </w:r>
      <w:r>
        <w:t xml:space="preserve"> such claims have been waived by DP&amp;L.  </w:t>
      </w:r>
      <w:r w:rsidR="00141B90">
        <w:t>Specifically, DP&amp;L has put in play projected market prices, the projected revenue of the RER plants, and DP&amp;L’s and DPL Inc.’s future cash flows by the filing of the ESP application.  Thus, any claim of privilege or work</w:t>
      </w:r>
      <w:r w:rsidR="00F55C3B">
        <w:t xml:space="preserve"> </w:t>
      </w:r>
      <w:r w:rsidR="00141B90">
        <w:t>product as to any projection of market prices, projected revenue of the RER plants, or DP&amp;L’s and DPL Inc.’s future cash flows (</w:t>
      </w:r>
      <w:r w:rsidR="00141B90">
        <w:rPr>
          <w:i/>
        </w:rPr>
        <w:t>e.g.</w:t>
      </w:r>
      <w:r w:rsidR="00141B90">
        <w:t xml:space="preserve"> projected future cash flow through the sale of the generating plants) has been waived.</w:t>
      </w:r>
    </w:p>
    <w:p w14:paraId="31813FFC" w14:textId="547D2088" w:rsidR="00630362" w:rsidRDefault="00141B90" w:rsidP="00647BF9">
      <w:pPr>
        <w:ind w:firstLine="720"/>
      </w:pPr>
      <w:r>
        <w:t xml:space="preserve">Accordingly, because the </w:t>
      </w:r>
      <w:r w:rsidR="003E47D3">
        <w:t>impairment analyses are required and produced in the ordinary course of business</w:t>
      </w:r>
      <w:r w:rsidR="006C49ED">
        <w:t>,</w:t>
      </w:r>
      <w:r w:rsidR="003E47D3">
        <w:t xml:space="preserve"> there is nothing inherent about the documents that would give any rise to a claim of attorney-client privilege or work</w:t>
      </w:r>
      <w:r w:rsidR="00F55C3B">
        <w:t xml:space="preserve"> </w:t>
      </w:r>
      <w:r w:rsidR="003E47D3">
        <w:t xml:space="preserve">product. </w:t>
      </w:r>
      <w:r w:rsidR="00194BD7">
        <w:t xml:space="preserve"> </w:t>
      </w:r>
      <w:r w:rsidR="00630362">
        <w:t>Therefore, IEU-Ohio believes that DP&amp;L’s privilege objections are without merit.</w:t>
      </w:r>
    </w:p>
    <w:p w14:paraId="46807B24" w14:textId="77777777" w:rsidR="00630362" w:rsidRDefault="00630362" w:rsidP="00630362">
      <w:pPr>
        <w:pStyle w:val="Heading1"/>
      </w:pPr>
      <w:bookmarkStart w:id="11" w:name="_Toc460332403"/>
      <w:r>
        <w:t>conclusion</w:t>
      </w:r>
      <w:bookmarkEnd w:id="11"/>
    </w:p>
    <w:p w14:paraId="4A00F0B0" w14:textId="6AACD069" w:rsidR="00647BF9" w:rsidRDefault="00630362" w:rsidP="00053382">
      <w:pPr>
        <w:ind w:firstLine="720"/>
      </w:pPr>
      <w:r>
        <w:t>IEU-Ohio has served DP&amp;L with proper discovery requests asking DP&amp;L to identify and produce impairment anal</w:t>
      </w:r>
      <w:r w:rsidR="00CE415D">
        <w:t xml:space="preserve">yses related to the RER plants that may shed light on the validity of the information contained in DP&amp;L’s application and prefiled testimony.  DP&amp;L has refused to identify or produce any of the requested documents but has acknowledged that responsive documents exist.  </w:t>
      </w:r>
      <w:r w:rsidR="00A23B42">
        <w:t>Because DP&amp;L’s objections are without merit</w:t>
      </w:r>
      <w:r w:rsidR="006C49ED">
        <w:t>,</w:t>
      </w:r>
      <w:r w:rsidR="00A23B42">
        <w:t xml:space="preserve"> the Commission should grant this motion to compel.  Recognizing the Commission’s standard practice for resolving claims of privilege, IEU-Ohio would request that the Commission timely set this matter for a prehearing conference and direct DP&amp;L to produce a privilege log to IEU-Ohio at least </w:t>
      </w:r>
      <w:r w:rsidR="006C49ED">
        <w:t xml:space="preserve">three </w:t>
      </w:r>
      <w:r w:rsidR="00A23B42">
        <w:t xml:space="preserve">days in advance of the prehearing and to </w:t>
      </w:r>
      <w:r w:rsidR="00091A3F">
        <w:t xml:space="preserve">further direct DP&amp;L to </w:t>
      </w:r>
      <w:r w:rsidR="00A23B42">
        <w:t xml:space="preserve">bring the </w:t>
      </w:r>
      <w:r w:rsidR="005D660A">
        <w:t xml:space="preserve">documents that it is claiming are </w:t>
      </w:r>
      <w:r w:rsidR="005D660A">
        <w:lastRenderedPageBreak/>
        <w:t xml:space="preserve">privileged to the prehearing </w:t>
      </w:r>
      <w:r w:rsidR="00CA0D9C">
        <w:t xml:space="preserve">conference </w:t>
      </w:r>
      <w:r w:rsidR="005D660A">
        <w:t xml:space="preserve">for an </w:t>
      </w:r>
      <w:r w:rsidR="005D660A" w:rsidRPr="005D660A">
        <w:rPr>
          <w:i/>
        </w:rPr>
        <w:t>in camera</w:t>
      </w:r>
      <w:r w:rsidR="005D660A">
        <w:t xml:space="preserve"> review by the Attorney Examiners.</w:t>
      </w:r>
    </w:p>
    <w:p w14:paraId="29B82757" w14:textId="75209080" w:rsidR="00E418F7" w:rsidRDefault="00053382" w:rsidP="00E418F7">
      <w:pPr>
        <w:tabs>
          <w:tab w:val="left" w:pos="4320"/>
          <w:tab w:val="right" w:pos="8640"/>
        </w:tabs>
        <w:spacing w:line="240" w:lineRule="auto"/>
        <w:ind w:left="4140"/>
        <w:rPr>
          <w:rFonts w:eastAsia="Times New Roman" w:cs="Arial"/>
        </w:rPr>
      </w:pPr>
      <w:r>
        <w:rPr>
          <w:rFonts w:eastAsia="Times New Roman" w:cs="Arial"/>
        </w:rPr>
        <w:t>Respectfully submitted,</w:t>
      </w:r>
      <w:r w:rsidR="00B74E43" w:rsidDel="00B74E43">
        <w:rPr>
          <w:rFonts w:eastAsia="Times New Roman" w:cs="Arial"/>
        </w:rPr>
        <w:t xml:space="preserve"> </w:t>
      </w:r>
    </w:p>
    <w:p w14:paraId="7D548584" w14:textId="77777777" w:rsidR="001B11BE" w:rsidRDefault="001B11BE" w:rsidP="00E418F7">
      <w:pPr>
        <w:tabs>
          <w:tab w:val="left" w:pos="4320"/>
          <w:tab w:val="right" w:pos="8640"/>
        </w:tabs>
        <w:spacing w:line="240" w:lineRule="auto"/>
        <w:ind w:left="4140"/>
        <w:rPr>
          <w:rFonts w:eastAsia="Times New Roman" w:cs="Arial"/>
          <w:i/>
          <w:u w:val="single"/>
        </w:rPr>
      </w:pPr>
    </w:p>
    <w:p w14:paraId="18CA10B2" w14:textId="2AE0FC8E" w:rsidR="00053382" w:rsidRPr="00935789" w:rsidRDefault="00053382" w:rsidP="00164269">
      <w:pPr>
        <w:tabs>
          <w:tab w:val="right" w:pos="8640"/>
        </w:tabs>
        <w:spacing w:line="240" w:lineRule="auto"/>
        <w:ind w:left="4140"/>
        <w:rPr>
          <w:rFonts w:eastAsia="Times New Roman" w:cs="Arial"/>
          <w:i/>
          <w:u w:val="single"/>
        </w:rPr>
      </w:pPr>
      <w:r w:rsidRPr="00935789">
        <w:rPr>
          <w:rFonts w:eastAsia="Times New Roman" w:cs="Arial"/>
          <w:i/>
          <w:u w:val="single"/>
        </w:rPr>
        <w:t xml:space="preserve">/s/ </w:t>
      </w:r>
      <w:r>
        <w:rPr>
          <w:rFonts w:eastAsia="Times New Roman" w:cs="Arial"/>
          <w:i/>
          <w:u w:val="single"/>
        </w:rPr>
        <w:t>Matthew R. Pritchard</w:t>
      </w:r>
      <w:r w:rsidRPr="00935789">
        <w:rPr>
          <w:rFonts w:eastAsia="Times New Roman" w:cs="Arial"/>
          <w:i/>
          <w:u w:val="single"/>
        </w:rPr>
        <w:tab/>
      </w:r>
    </w:p>
    <w:p w14:paraId="1AEF3935" w14:textId="77777777" w:rsidR="00E418F7" w:rsidRDefault="00E418F7" w:rsidP="00E418F7">
      <w:pPr>
        <w:widowControl w:val="0"/>
        <w:spacing w:line="240" w:lineRule="auto"/>
        <w:ind w:left="4140"/>
        <w:rPr>
          <w:rFonts w:eastAsia="Calibri" w:cs="Arial"/>
          <w:bCs/>
        </w:rPr>
      </w:pPr>
      <w:r>
        <w:rPr>
          <w:rFonts w:eastAsia="Calibri" w:cs="Arial"/>
          <w:bCs/>
        </w:rPr>
        <w:t>Frank P. Darr (Reg. No. 0025469)</w:t>
      </w:r>
    </w:p>
    <w:p w14:paraId="66727719" w14:textId="77777777" w:rsidR="00E418F7" w:rsidRDefault="00E418F7" w:rsidP="00E418F7">
      <w:pPr>
        <w:widowControl w:val="0"/>
        <w:spacing w:line="240" w:lineRule="auto"/>
        <w:ind w:left="4140"/>
        <w:rPr>
          <w:rFonts w:eastAsia="Calibri" w:cs="Arial"/>
          <w:bCs/>
        </w:rPr>
      </w:pPr>
      <w:r>
        <w:rPr>
          <w:rFonts w:eastAsia="Calibri" w:cs="Arial"/>
          <w:bCs/>
        </w:rPr>
        <w:t>Counsel of Record</w:t>
      </w:r>
    </w:p>
    <w:p w14:paraId="504FF9E9" w14:textId="77777777" w:rsidR="00E418F7" w:rsidRDefault="00E418F7" w:rsidP="00E418F7">
      <w:pPr>
        <w:widowControl w:val="0"/>
        <w:spacing w:line="240" w:lineRule="auto"/>
        <w:ind w:left="4140"/>
        <w:rPr>
          <w:rFonts w:eastAsia="Calibri" w:cs="Arial"/>
          <w:b/>
          <w:bCs/>
        </w:rPr>
      </w:pPr>
      <w:r>
        <w:rPr>
          <w:rFonts w:eastAsia="Calibri" w:cs="Arial"/>
          <w:bCs/>
        </w:rPr>
        <w:t>Matthew R. Pritchard (Reg. No. 0088070)</w:t>
      </w:r>
    </w:p>
    <w:p w14:paraId="273334D7" w14:textId="77777777" w:rsidR="00053382" w:rsidRDefault="00053382" w:rsidP="00E418F7">
      <w:pPr>
        <w:widowControl w:val="0"/>
        <w:tabs>
          <w:tab w:val="left" w:pos="4320"/>
        </w:tabs>
        <w:spacing w:line="240" w:lineRule="auto"/>
        <w:ind w:left="4140"/>
        <w:rPr>
          <w:rFonts w:eastAsia="Times New Roman" w:cs="Arial"/>
          <w:bCs/>
          <w:smallCaps/>
        </w:rPr>
      </w:pPr>
      <w:r>
        <w:rPr>
          <w:rFonts w:eastAsia="Times New Roman" w:cs="Arial"/>
          <w:bCs/>
          <w:smallCaps/>
        </w:rPr>
        <w:t>McNees Wallace &amp; Nurick LLC</w:t>
      </w:r>
    </w:p>
    <w:p w14:paraId="727EE3BC" w14:textId="77777777" w:rsidR="00053382" w:rsidRDefault="00053382" w:rsidP="00E418F7">
      <w:pPr>
        <w:widowControl w:val="0"/>
        <w:tabs>
          <w:tab w:val="left" w:pos="4320"/>
        </w:tabs>
        <w:spacing w:line="240" w:lineRule="auto"/>
        <w:ind w:left="4140"/>
        <w:rPr>
          <w:rFonts w:eastAsia="Times New Roman" w:cs="Arial"/>
          <w:bCs/>
          <w:szCs w:val="20"/>
        </w:rPr>
      </w:pPr>
      <w:r>
        <w:rPr>
          <w:rFonts w:eastAsia="Times New Roman" w:cs="Arial"/>
          <w:bCs/>
          <w:szCs w:val="20"/>
        </w:rPr>
        <w:t>21 East State Street, 17</w:t>
      </w:r>
      <w:r>
        <w:rPr>
          <w:rFonts w:eastAsia="Times New Roman" w:cs="Arial"/>
          <w:bCs/>
          <w:szCs w:val="20"/>
          <w:vertAlign w:val="superscript"/>
        </w:rPr>
        <w:t>TH</w:t>
      </w:r>
      <w:r>
        <w:rPr>
          <w:rFonts w:eastAsia="Times New Roman" w:cs="Arial"/>
          <w:bCs/>
          <w:szCs w:val="20"/>
        </w:rPr>
        <w:t xml:space="preserve"> Floor</w:t>
      </w:r>
    </w:p>
    <w:p w14:paraId="08F39604" w14:textId="77777777" w:rsidR="00053382" w:rsidRDefault="00053382" w:rsidP="00E418F7">
      <w:pPr>
        <w:tabs>
          <w:tab w:val="left" w:pos="4320"/>
        </w:tabs>
        <w:spacing w:line="240" w:lineRule="auto"/>
        <w:ind w:left="4140"/>
        <w:rPr>
          <w:rFonts w:eastAsia="Times New Roman" w:cs="Arial"/>
        </w:rPr>
      </w:pPr>
      <w:r>
        <w:rPr>
          <w:rFonts w:eastAsia="Times New Roman" w:cs="Arial"/>
        </w:rPr>
        <w:t>Columbus, OH  43215</w:t>
      </w:r>
    </w:p>
    <w:p w14:paraId="03CECE88" w14:textId="77777777" w:rsidR="00053382" w:rsidRDefault="00053382" w:rsidP="00E418F7">
      <w:pPr>
        <w:tabs>
          <w:tab w:val="left" w:pos="4320"/>
        </w:tabs>
        <w:spacing w:line="240" w:lineRule="auto"/>
        <w:ind w:left="4140"/>
        <w:rPr>
          <w:rFonts w:eastAsia="Times New Roman" w:cs="Arial"/>
        </w:rPr>
      </w:pPr>
      <w:r>
        <w:rPr>
          <w:rFonts w:eastAsia="Times New Roman" w:cs="Arial"/>
        </w:rPr>
        <w:t>Telephone:  (614) 469-8000</w:t>
      </w:r>
    </w:p>
    <w:p w14:paraId="2FD5D7ED" w14:textId="77777777" w:rsidR="00053382" w:rsidRDefault="00053382" w:rsidP="00E418F7">
      <w:pPr>
        <w:tabs>
          <w:tab w:val="left" w:pos="4320"/>
        </w:tabs>
        <w:spacing w:line="240" w:lineRule="auto"/>
        <w:ind w:left="4140"/>
        <w:rPr>
          <w:rFonts w:eastAsia="Times New Roman" w:cs="Arial"/>
        </w:rPr>
      </w:pPr>
      <w:r>
        <w:rPr>
          <w:rFonts w:eastAsia="Times New Roman" w:cs="Arial"/>
        </w:rPr>
        <w:t>Telecopier:  (614) 469-4653</w:t>
      </w:r>
    </w:p>
    <w:p w14:paraId="39C9727E" w14:textId="77777777" w:rsidR="00053382" w:rsidRDefault="00053382" w:rsidP="00E418F7">
      <w:pPr>
        <w:spacing w:line="240" w:lineRule="auto"/>
        <w:ind w:left="4140"/>
        <w:rPr>
          <w:rFonts w:eastAsia="Times New Roman" w:cs="Arial"/>
        </w:rPr>
      </w:pPr>
      <w:r>
        <w:rPr>
          <w:rFonts w:eastAsia="Times New Roman" w:cs="Arial"/>
        </w:rPr>
        <w:t>fdarr@mwncmh.com</w:t>
      </w:r>
    </w:p>
    <w:p w14:paraId="003A2BFC" w14:textId="77777777" w:rsidR="00053382" w:rsidRDefault="00053382" w:rsidP="00E418F7">
      <w:pPr>
        <w:spacing w:line="240" w:lineRule="auto"/>
        <w:ind w:left="4140"/>
        <w:rPr>
          <w:rFonts w:eastAsia="Times New Roman" w:cs="Arial"/>
        </w:rPr>
      </w:pPr>
      <w:r>
        <w:rPr>
          <w:rFonts w:eastAsia="Times New Roman" w:cs="Arial"/>
        </w:rPr>
        <w:t>mpritchard@mwncmh.com</w:t>
      </w:r>
    </w:p>
    <w:p w14:paraId="52B61EB7" w14:textId="77777777" w:rsidR="00053382" w:rsidRDefault="00053382" w:rsidP="00E418F7">
      <w:pPr>
        <w:spacing w:line="240" w:lineRule="auto"/>
        <w:ind w:left="4140"/>
        <w:rPr>
          <w:rFonts w:eastAsia="Times New Roman" w:cs="Arial"/>
        </w:rPr>
      </w:pPr>
    </w:p>
    <w:p w14:paraId="2FC526DA" w14:textId="59E08FB7" w:rsidR="00053382" w:rsidRDefault="00053382" w:rsidP="00E418F7">
      <w:pPr>
        <w:spacing w:line="240" w:lineRule="auto"/>
        <w:ind w:left="4140"/>
        <w:rPr>
          <w:rFonts w:ascii="Arial Bold" w:eastAsia="Times New Roman" w:hAnsi="Arial Bold" w:cs="Arial"/>
          <w:b/>
          <w:smallCaps/>
        </w:rPr>
      </w:pPr>
      <w:r w:rsidRPr="00E418F7">
        <w:rPr>
          <w:rFonts w:ascii="Arial Bold" w:eastAsia="Times New Roman" w:hAnsi="Arial Bold" w:cs="Arial"/>
          <w:b/>
          <w:bCs/>
          <w:smallCaps/>
        </w:rPr>
        <w:t>Attorneys for</w:t>
      </w:r>
      <w:r w:rsidRPr="00E418F7">
        <w:rPr>
          <w:rFonts w:ascii="Arial Bold" w:eastAsia="Times New Roman" w:hAnsi="Arial Bold" w:cs="Arial"/>
          <w:smallCaps/>
        </w:rPr>
        <w:t xml:space="preserve"> </w:t>
      </w:r>
      <w:r w:rsidRPr="00E418F7">
        <w:rPr>
          <w:rFonts w:ascii="Arial Bold" w:eastAsia="Times New Roman" w:hAnsi="Arial Bold" w:cs="Arial"/>
          <w:b/>
          <w:smallCaps/>
        </w:rPr>
        <w:t>Industrial Energy Users-Ohio</w:t>
      </w:r>
    </w:p>
    <w:p w14:paraId="55AC0E97" w14:textId="34A1885E" w:rsidR="00867E8A" w:rsidRDefault="00867E8A">
      <w:pPr>
        <w:spacing w:line="240" w:lineRule="auto"/>
        <w:rPr>
          <w:highlight w:val="yellow"/>
        </w:rPr>
      </w:pPr>
      <w:r>
        <w:rPr>
          <w:highlight w:val="yellow"/>
        </w:rPr>
        <w:br w:type="page"/>
      </w:r>
    </w:p>
    <w:p w14:paraId="17D36B86" w14:textId="77777777" w:rsidR="00867E8A" w:rsidRDefault="00867E8A" w:rsidP="00867E8A">
      <w:pPr>
        <w:spacing w:line="240" w:lineRule="auto"/>
        <w:jc w:val="right"/>
        <w:rPr>
          <w:b/>
        </w:rPr>
      </w:pPr>
      <w:r w:rsidRPr="00867E8A">
        <w:rPr>
          <w:b/>
        </w:rPr>
        <w:lastRenderedPageBreak/>
        <w:t>Attachment A</w:t>
      </w:r>
    </w:p>
    <w:p w14:paraId="1B5B47D4" w14:textId="77777777" w:rsidR="00867E8A" w:rsidRDefault="00867E8A" w:rsidP="00867E8A">
      <w:pPr>
        <w:spacing w:line="240" w:lineRule="auto"/>
        <w:jc w:val="right"/>
        <w:rPr>
          <w:b/>
        </w:rPr>
      </w:pPr>
    </w:p>
    <w:p w14:paraId="422DBAE2" w14:textId="77777777" w:rsidR="00867E8A" w:rsidRDefault="00867E8A" w:rsidP="00867E8A">
      <w:pPr>
        <w:spacing w:line="240" w:lineRule="auto"/>
        <w:jc w:val="right"/>
        <w:rPr>
          <w:b/>
        </w:rPr>
      </w:pPr>
    </w:p>
    <w:p w14:paraId="3032CDB9" w14:textId="77777777" w:rsidR="00867E8A" w:rsidRDefault="00867E8A" w:rsidP="00867E8A">
      <w:pPr>
        <w:spacing w:line="240" w:lineRule="auto"/>
        <w:jc w:val="right"/>
        <w:rPr>
          <w:b/>
        </w:rPr>
      </w:pPr>
    </w:p>
    <w:p w14:paraId="08B4C753" w14:textId="77777777" w:rsidR="00867E8A" w:rsidRDefault="00867E8A" w:rsidP="00867E8A">
      <w:pPr>
        <w:spacing w:line="240" w:lineRule="auto"/>
        <w:jc w:val="right"/>
        <w:rPr>
          <w:b/>
        </w:rPr>
      </w:pPr>
    </w:p>
    <w:p w14:paraId="666134E2" w14:textId="77777777" w:rsidR="00867E8A" w:rsidRDefault="00867E8A" w:rsidP="00867E8A">
      <w:pPr>
        <w:spacing w:line="240" w:lineRule="auto"/>
        <w:jc w:val="right"/>
        <w:rPr>
          <w:b/>
        </w:rPr>
      </w:pPr>
    </w:p>
    <w:p w14:paraId="5534DF3C" w14:textId="77777777" w:rsidR="00867E8A" w:rsidRDefault="00867E8A" w:rsidP="00867E8A">
      <w:pPr>
        <w:spacing w:line="240" w:lineRule="auto"/>
        <w:jc w:val="right"/>
        <w:rPr>
          <w:b/>
        </w:rPr>
      </w:pPr>
    </w:p>
    <w:p w14:paraId="2A0C2516" w14:textId="77777777" w:rsidR="00867E8A" w:rsidRDefault="00867E8A" w:rsidP="00867E8A">
      <w:pPr>
        <w:spacing w:line="240" w:lineRule="auto"/>
        <w:jc w:val="right"/>
        <w:rPr>
          <w:b/>
        </w:rPr>
      </w:pPr>
    </w:p>
    <w:p w14:paraId="33F95511" w14:textId="2553D926" w:rsidR="00867E8A" w:rsidRPr="00867E8A" w:rsidRDefault="00867E8A" w:rsidP="00867E8A">
      <w:pPr>
        <w:spacing w:line="240" w:lineRule="auto"/>
        <w:jc w:val="center"/>
        <w:rPr>
          <w:b/>
          <w:highlight w:val="yellow"/>
        </w:rPr>
      </w:pPr>
      <w:r>
        <w:rPr>
          <w:b/>
        </w:rPr>
        <w:t>Attachment provided in PDF version</w:t>
      </w:r>
      <w:bookmarkStart w:id="12" w:name="_GoBack"/>
      <w:bookmarkEnd w:id="12"/>
      <w:r>
        <w:rPr>
          <w:b/>
        </w:rPr>
        <w:t xml:space="preserve"> of filing</w:t>
      </w:r>
      <w:r w:rsidRPr="00867E8A">
        <w:rPr>
          <w:b/>
          <w:highlight w:val="yellow"/>
        </w:rPr>
        <w:br w:type="page"/>
      </w:r>
    </w:p>
    <w:p w14:paraId="1DFC48D0" w14:textId="1AD2FF37" w:rsidR="00867E8A" w:rsidRDefault="00867E8A" w:rsidP="00867E8A">
      <w:pPr>
        <w:spacing w:line="240" w:lineRule="auto"/>
        <w:jc w:val="right"/>
        <w:rPr>
          <w:b/>
        </w:rPr>
      </w:pPr>
      <w:r>
        <w:rPr>
          <w:b/>
        </w:rPr>
        <w:lastRenderedPageBreak/>
        <w:t xml:space="preserve">Attachment B </w:t>
      </w:r>
    </w:p>
    <w:p w14:paraId="7282277B" w14:textId="77777777" w:rsidR="00867E8A" w:rsidRDefault="00867E8A" w:rsidP="00867E8A">
      <w:pPr>
        <w:spacing w:line="240" w:lineRule="auto"/>
        <w:jc w:val="right"/>
        <w:rPr>
          <w:b/>
        </w:rPr>
      </w:pPr>
    </w:p>
    <w:p w14:paraId="0631844F" w14:textId="77777777" w:rsidR="00867E8A" w:rsidRDefault="00867E8A" w:rsidP="00867E8A">
      <w:pPr>
        <w:spacing w:line="240" w:lineRule="auto"/>
        <w:jc w:val="right"/>
        <w:rPr>
          <w:b/>
        </w:rPr>
      </w:pPr>
    </w:p>
    <w:p w14:paraId="34AD9075" w14:textId="77777777" w:rsidR="00867E8A" w:rsidRDefault="00867E8A" w:rsidP="00867E8A">
      <w:pPr>
        <w:spacing w:line="240" w:lineRule="auto"/>
        <w:jc w:val="right"/>
        <w:rPr>
          <w:b/>
        </w:rPr>
      </w:pPr>
    </w:p>
    <w:p w14:paraId="018BB678" w14:textId="77777777" w:rsidR="00867E8A" w:rsidRDefault="00867E8A" w:rsidP="00867E8A">
      <w:pPr>
        <w:spacing w:line="240" w:lineRule="auto"/>
        <w:jc w:val="right"/>
        <w:rPr>
          <w:b/>
        </w:rPr>
      </w:pPr>
    </w:p>
    <w:p w14:paraId="67E3C487" w14:textId="77777777" w:rsidR="00867E8A" w:rsidRDefault="00867E8A" w:rsidP="00867E8A">
      <w:pPr>
        <w:spacing w:line="240" w:lineRule="auto"/>
        <w:jc w:val="right"/>
        <w:rPr>
          <w:b/>
        </w:rPr>
      </w:pPr>
    </w:p>
    <w:p w14:paraId="27F74BF5" w14:textId="77777777" w:rsidR="00867E8A" w:rsidRDefault="00867E8A" w:rsidP="00867E8A">
      <w:pPr>
        <w:spacing w:line="240" w:lineRule="auto"/>
        <w:jc w:val="right"/>
        <w:rPr>
          <w:b/>
        </w:rPr>
      </w:pPr>
    </w:p>
    <w:p w14:paraId="5529BDEF" w14:textId="77777777" w:rsidR="00867E8A" w:rsidRDefault="00867E8A" w:rsidP="00867E8A">
      <w:pPr>
        <w:spacing w:line="240" w:lineRule="auto"/>
        <w:jc w:val="right"/>
        <w:rPr>
          <w:b/>
        </w:rPr>
      </w:pPr>
    </w:p>
    <w:p w14:paraId="09B5676D" w14:textId="68865999" w:rsidR="00867E8A" w:rsidRDefault="00867E8A" w:rsidP="002A78B9">
      <w:pPr>
        <w:spacing w:line="240" w:lineRule="auto"/>
        <w:jc w:val="center"/>
        <w:rPr>
          <w:highlight w:val="yellow"/>
        </w:rPr>
      </w:pPr>
      <w:r>
        <w:rPr>
          <w:b/>
        </w:rPr>
        <w:t>Attachment provided in PDF version of filing</w:t>
      </w:r>
      <w:r>
        <w:rPr>
          <w:highlight w:val="yellow"/>
        </w:rPr>
        <w:t xml:space="preserve"> </w:t>
      </w:r>
      <w:r>
        <w:rPr>
          <w:highlight w:val="yellow"/>
        </w:rPr>
        <w:br w:type="page"/>
      </w:r>
    </w:p>
    <w:p w14:paraId="359B1499" w14:textId="4F4F0AC3" w:rsidR="00867E8A" w:rsidRDefault="00867E8A" w:rsidP="00867E8A">
      <w:pPr>
        <w:spacing w:line="240" w:lineRule="auto"/>
        <w:jc w:val="right"/>
        <w:rPr>
          <w:b/>
        </w:rPr>
      </w:pPr>
      <w:r w:rsidRPr="00867E8A">
        <w:rPr>
          <w:b/>
        </w:rPr>
        <w:lastRenderedPageBreak/>
        <w:t xml:space="preserve">Attachment </w:t>
      </w:r>
      <w:r>
        <w:rPr>
          <w:b/>
        </w:rPr>
        <w:t>C</w:t>
      </w:r>
    </w:p>
    <w:p w14:paraId="197209ED" w14:textId="77777777" w:rsidR="00867E8A" w:rsidRDefault="00867E8A" w:rsidP="00867E8A">
      <w:pPr>
        <w:spacing w:line="240" w:lineRule="auto"/>
        <w:jc w:val="right"/>
        <w:rPr>
          <w:b/>
        </w:rPr>
      </w:pPr>
    </w:p>
    <w:p w14:paraId="46F3827E" w14:textId="77777777" w:rsidR="00867E8A" w:rsidRDefault="00867E8A" w:rsidP="00867E8A">
      <w:pPr>
        <w:spacing w:line="240" w:lineRule="auto"/>
        <w:jc w:val="right"/>
        <w:rPr>
          <w:b/>
        </w:rPr>
      </w:pPr>
    </w:p>
    <w:p w14:paraId="06E1FADC" w14:textId="77777777" w:rsidR="00867E8A" w:rsidRDefault="00867E8A" w:rsidP="00867E8A">
      <w:pPr>
        <w:spacing w:line="240" w:lineRule="auto"/>
        <w:jc w:val="right"/>
        <w:rPr>
          <w:b/>
        </w:rPr>
      </w:pPr>
    </w:p>
    <w:p w14:paraId="266190A8" w14:textId="77777777" w:rsidR="00867E8A" w:rsidRDefault="00867E8A" w:rsidP="00867E8A">
      <w:pPr>
        <w:spacing w:line="240" w:lineRule="auto"/>
        <w:jc w:val="right"/>
        <w:rPr>
          <w:b/>
        </w:rPr>
      </w:pPr>
    </w:p>
    <w:p w14:paraId="07F7427E" w14:textId="77777777" w:rsidR="00867E8A" w:rsidRDefault="00867E8A" w:rsidP="00867E8A">
      <w:pPr>
        <w:spacing w:line="240" w:lineRule="auto"/>
        <w:jc w:val="right"/>
        <w:rPr>
          <w:b/>
        </w:rPr>
      </w:pPr>
    </w:p>
    <w:p w14:paraId="33BE9DDC" w14:textId="77777777" w:rsidR="00867E8A" w:rsidRDefault="00867E8A" w:rsidP="00867E8A">
      <w:pPr>
        <w:spacing w:line="240" w:lineRule="auto"/>
        <w:jc w:val="right"/>
        <w:rPr>
          <w:b/>
        </w:rPr>
      </w:pPr>
    </w:p>
    <w:p w14:paraId="32BAE2B4" w14:textId="77777777" w:rsidR="00867E8A" w:rsidRDefault="00867E8A" w:rsidP="00867E8A">
      <w:pPr>
        <w:spacing w:line="240" w:lineRule="auto"/>
        <w:jc w:val="right"/>
        <w:rPr>
          <w:b/>
        </w:rPr>
      </w:pPr>
    </w:p>
    <w:p w14:paraId="02E648C9" w14:textId="4DB11F64" w:rsidR="00867E8A" w:rsidRDefault="00867E8A" w:rsidP="002A78B9">
      <w:pPr>
        <w:spacing w:line="240" w:lineRule="auto"/>
        <w:jc w:val="center"/>
        <w:rPr>
          <w:highlight w:val="yellow"/>
        </w:rPr>
      </w:pPr>
      <w:r>
        <w:rPr>
          <w:b/>
        </w:rPr>
        <w:t>Attachment provided in PDF version of filing</w:t>
      </w:r>
      <w:r>
        <w:rPr>
          <w:highlight w:val="yellow"/>
        </w:rPr>
        <w:t xml:space="preserve"> </w:t>
      </w:r>
      <w:r>
        <w:rPr>
          <w:highlight w:val="yellow"/>
        </w:rPr>
        <w:br w:type="page"/>
      </w:r>
    </w:p>
    <w:p w14:paraId="1B754B71" w14:textId="4F2A5A53" w:rsidR="00867E8A" w:rsidRDefault="00867E8A" w:rsidP="00867E8A">
      <w:pPr>
        <w:spacing w:line="240" w:lineRule="auto"/>
        <w:jc w:val="right"/>
        <w:rPr>
          <w:b/>
        </w:rPr>
      </w:pPr>
      <w:r>
        <w:rPr>
          <w:b/>
        </w:rPr>
        <w:lastRenderedPageBreak/>
        <w:t>Attachment D</w:t>
      </w:r>
    </w:p>
    <w:p w14:paraId="7DDBFB73" w14:textId="77777777" w:rsidR="00867E8A" w:rsidRDefault="00867E8A" w:rsidP="00867E8A">
      <w:pPr>
        <w:spacing w:line="240" w:lineRule="auto"/>
        <w:jc w:val="right"/>
        <w:rPr>
          <w:b/>
        </w:rPr>
      </w:pPr>
    </w:p>
    <w:p w14:paraId="7B4A6A9A" w14:textId="77777777" w:rsidR="00867E8A" w:rsidRDefault="00867E8A" w:rsidP="00867E8A">
      <w:pPr>
        <w:spacing w:line="240" w:lineRule="auto"/>
        <w:jc w:val="right"/>
        <w:rPr>
          <w:b/>
        </w:rPr>
      </w:pPr>
    </w:p>
    <w:p w14:paraId="70E891A6" w14:textId="77777777" w:rsidR="00867E8A" w:rsidRDefault="00867E8A" w:rsidP="00867E8A">
      <w:pPr>
        <w:spacing w:line="240" w:lineRule="auto"/>
        <w:jc w:val="right"/>
        <w:rPr>
          <w:b/>
        </w:rPr>
      </w:pPr>
    </w:p>
    <w:p w14:paraId="25288950" w14:textId="77777777" w:rsidR="00867E8A" w:rsidRDefault="00867E8A" w:rsidP="00867E8A">
      <w:pPr>
        <w:spacing w:line="240" w:lineRule="auto"/>
        <w:jc w:val="right"/>
        <w:rPr>
          <w:b/>
        </w:rPr>
      </w:pPr>
    </w:p>
    <w:p w14:paraId="1F288D38" w14:textId="77777777" w:rsidR="00867E8A" w:rsidRDefault="00867E8A" w:rsidP="00867E8A">
      <w:pPr>
        <w:spacing w:line="240" w:lineRule="auto"/>
        <w:jc w:val="right"/>
        <w:rPr>
          <w:b/>
        </w:rPr>
      </w:pPr>
    </w:p>
    <w:p w14:paraId="71BE57EF" w14:textId="77777777" w:rsidR="00867E8A" w:rsidRDefault="00867E8A" w:rsidP="00867E8A">
      <w:pPr>
        <w:spacing w:line="240" w:lineRule="auto"/>
        <w:jc w:val="right"/>
        <w:rPr>
          <w:b/>
        </w:rPr>
      </w:pPr>
    </w:p>
    <w:p w14:paraId="2E406DAD" w14:textId="77777777" w:rsidR="00867E8A" w:rsidRDefault="00867E8A" w:rsidP="00867E8A">
      <w:pPr>
        <w:spacing w:line="240" w:lineRule="auto"/>
        <w:jc w:val="right"/>
        <w:rPr>
          <w:b/>
        </w:rPr>
      </w:pPr>
    </w:p>
    <w:p w14:paraId="3D6B628D" w14:textId="79273A2A" w:rsidR="00867E8A" w:rsidRDefault="00867E8A" w:rsidP="00867E8A">
      <w:pPr>
        <w:spacing w:line="240" w:lineRule="auto"/>
        <w:jc w:val="center"/>
        <w:rPr>
          <w:highlight w:val="yellow"/>
        </w:rPr>
      </w:pPr>
      <w:r>
        <w:rPr>
          <w:b/>
        </w:rPr>
        <w:t>Attachment provided in PDF version of filing</w:t>
      </w:r>
    </w:p>
    <w:p w14:paraId="23EEB67A" w14:textId="77777777" w:rsidR="007E7074" w:rsidRDefault="007E7074">
      <w:pPr>
        <w:spacing w:line="240" w:lineRule="auto"/>
        <w:rPr>
          <w:highlight w:val="yellow"/>
        </w:rPr>
        <w:sectPr w:rsidR="007E7074" w:rsidSect="00237F3B">
          <w:pgSz w:w="12240" w:h="15840" w:code="1"/>
          <w:pgMar w:top="1440" w:right="1440" w:bottom="1440" w:left="1440" w:header="720" w:footer="720" w:gutter="0"/>
          <w:pgNumType w:start="1"/>
          <w:cols w:space="720"/>
          <w:titlePg/>
          <w:docGrid w:linePitch="360"/>
        </w:sectPr>
      </w:pPr>
    </w:p>
    <w:p w14:paraId="220A6308" w14:textId="77777777" w:rsidR="00A65BF2" w:rsidRDefault="00A65BF2" w:rsidP="00A65BF2">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14:paraId="41B30877" w14:textId="7944BDA3" w:rsidR="00A65BF2" w:rsidRPr="00E66B49" w:rsidRDefault="00A65BF2" w:rsidP="00A65BF2">
      <w:pPr>
        <w:pStyle w:val="BodyText"/>
        <w:ind w:firstLine="720"/>
      </w:pPr>
      <w:r w:rsidRPr="00E66B49">
        <w:t>In accordance with Rule 4901-1-05, Ohio Ad</w:t>
      </w:r>
      <w:r>
        <w:t>ministrative Code, the PUCO's e</w:t>
      </w:r>
      <w:r>
        <w:noBreakHyphen/>
      </w:r>
      <w:r w:rsidRPr="00E66B49">
        <w:t xml:space="preserve">filing system will electronically serve notice of the filing of this document upon the following parties.  In addition, I hereby certify that a service copy of the foregoing </w:t>
      </w:r>
      <w:r w:rsidR="00B9367B">
        <w:rPr>
          <w:i/>
        </w:rPr>
        <w:t xml:space="preserve">Industrial Energy Users-Ohio’s Motion to Compel Discovery Responses from The Dayton Power and Light Company and Memorandum in Support </w:t>
      </w:r>
      <w:r w:rsidRPr="00E66B49">
        <w:t xml:space="preserve">was sent by, or on behalf of, the undersigned counsel for IEU-Ohio to the following parties of record this </w:t>
      </w:r>
      <w:r w:rsidR="00B9367B">
        <w:t>30</w:t>
      </w:r>
      <w:r w:rsidR="00B9367B" w:rsidRPr="00B9367B">
        <w:rPr>
          <w:vertAlign w:val="superscript"/>
        </w:rPr>
        <w:t>th</w:t>
      </w:r>
      <w:r w:rsidR="00B9367B">
        <w:t xml:space="preserve"> </w:t>
      </w:r>
      <w:r w:rsidRPr="00E66B49">
        <w:t xml:space="preserve">day of </w:t>
      </w:r>
      <w:r w:rsidR="00B9367B">
        <w:t xml:space="preserve">August </w:t>
      </w:r>
      <w:r>
        <w:t xml:space="preserve">2016, </w:t>
      </w:r>
      <w:r w:rsidRPr="00E66B49">
        <w:rPr>
          <w:i/>
        </w:rPr>
        <w:t>via</w:t>
      </w:r>
      <w:r w:rsidRPr="00E66B49">
        <w:t xml:space="preserve"> electronic transmission. </w:t>
      </w:r>
    </w:p>
    <w:p w14:paraId="0C58834B" w14:textId="1B231A3E" w:rsidR="00A65BF2" w:rsidRPr="00320E03" w:rsidRDefault="00A65BF2" w:rsidP="00A65BF2">
      <w:pPr>
        <w:tabs>
          <w:tab w:val="center" w:pos="7200"/>
          <w:tab w:val="right" w:pos="9360"/>
        </w:tabs>
        <w:spacing w:line="240" w:lineRule="auto"/>
        <w:ind w:left="5040"/>
        <w:rPr>
          <w:rFonts w:cs="Arial"/>
          <w:i/>
          <w:u w:val="single"/>
        </w:rPr>
      </w:pPr>
      <w:r w:rsidRPr="00320E03">
        <w:rPr>
          <w:rFonts w:cs="Arial"/>
          <w:i/>
          <w:u w:val="single"/>
        </w:rPr>
        <w:t xml:space="preserve">/s/ </w:t>
      </w:r>
      <w:r w:rsidR="00B9367B">
        <w:rPr>
          <w:rFonts w:cs="Arial"/>
          <w:i/>
          <w:u w:val="single"/>
        </w:rPr>
        <w:t>Matthew R. Pritchard</w:t>
      </w:r>
      <w:r w:rsidRPr="00320E03">
        <w:rPr>
          <w:rFonts w:cs="Arial"/>
          <w:i/>
          <w:u w:val="single"/>
        </w:rPr>
        <w:tab/>
      </w:r>
    </w:p>
    <w:p w14:paraId="3AB1815B" w14:textId="10D9B93A" w:rsidR="00A65BF2" w:rsidRDefault="00B9367B" w:rsidP="00A65BF2">
      <w:pPr>
        <w:tabs>
          <w:tab w:val="center" w:pos="7200"/>
          <w:tab w:val="right" w:pos="9360"/>
        </w:tabs>
        <w:spacing w:line="240" w:lineRule="auto"/>
        <w:ind w:left="5760"/>
        <w:rPr>
          <w:rFonts w:cs="Arial"/>
        </w:rPr>
      </w:pPr>
      <w:r>
        <w:rPr>
          <w:rFonts w:cs="Arial"/>
        </w:rPr>
        <w:t>Matthew R. Pritchard</w:t>
      </w:r>
    </w:p>
    <w:p w14:paraId="0BA3944E" w14:textId="77777777" w:rsidR="00B9367B" w:rsidRDefault="00B9367B" w:rsidP="00A65BF2">
      <w:pPr>
        <w:tabs>
          <w:tab w:val="center" w:pos="7200"/>
          <w:tab w:val="right" w:pos="9360"/>
        </w:tabs>
        <w:spacing w:line="240" w:lineRule="auto"/>
        <w:ind w:left="5760"/>
        <w:rPr>
          <w:rFonts w:cs="Arial"/>
        </w:rPr>
      </w:pPr>
    </w:p>
    <w:p w14:paraId="6D452643" w14:textId="77777777" w:rsidR="00B9367B" w:rsidRDefault="00B9367B" w:rsidP="00A65BF2">
      <w:pPr>
        <w:autoSpaceDE w:val="0"/>
        <w:autoSpaceDN w:val="0"/>
        <w:adjustRightInd w:val="0"/>
        <w:spacing w:line="240" w:lineRule="auto"/>
        <w:rPr>
          <w:rFonts w:cs="Arial"/>
          <w:sz w:val="20"/>
          <w:szCs w:val="20"/>
        </w:rPr>
        <w:sectPr w:rsidR="00B9367B" w:rsidSect="00B9367B">
          <w:headerReference w:type="even" r:id="rId20"/>
          <w:headerReference w:type="default" r:id="rId21"/>
          <w:footerReference w:type="even" r:id="rId22"/>
          <w:footerReference w:type="default" r:id="rId23"/>
          <w:headerReference w:type="first" r:id="rId24"/>
          <w:footerReference w:type="first" r:id="rId25"/>
          <w:pgSz w:w="12240" w:h="15840" w:code="1"/>
          <w:pgMar w:top="1296" w:right="1440" w:bottom="1440" w:left="1440" w:header="720" w:footer="720" w:gutter="0"/>
          <w:cols w:space="720"/>
          <w:titlePg/>
          <w:docGrid w:linePitch="360"/>
        </w:sectPr>
      </w:pPr>
    </w:p>
    <w:p w14:paraId="1ED1C8FB" w14:textId="5B086CDC"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Charles J. Faruki</w:t>
      </w:r>
    </w:p>
    <w:p w14:paraId="7118095E"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(Counsel of Record)</w:t>
      </w:r>
    </w:p>
    <w:p w14:paraId="422C403A"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D. Jeffrey Ireland</w:t>
      </w:r>
    </w:p>
    <w:p w14:paraId="36A8CC42"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Jeffrey S. Sharkey</w:t>
      </w:r>
    </w:p>
    <w:p w14:paraId="04B0DBFE"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FARUKI IRELAND &amp; COX P.L.L.</w:t>
      </w:r>
    </w:p>
    <w:p w14:paraId="0FF454DA"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110 North Main Street, Suite 1600</w:t>
      </w:r>
    </w:p>
    <w:p w14:paraId="2B67DDCD"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Dayton, OH 45402</w:t>
      </w:r>
    </w:p>
    <w:p w14:paraId="4AB4DA90"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cfaruki@ficlaw.com</w:t>
      </w:r>
    </w:p>
    <w:p w14:paraId="17319F08"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djireland@ficlaw.com</w:t>
      </w:r>
    </w:p>
    <w:p w14:paraId="65AEABC7"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jsharkey@ficlaw.com</w:t>
      </w:r>
    </w:p>
    <w:p w14:paraId="7900E222" w14:textId="77777777" w:rsidR="00A65BF2" w:rsidRPr="005F3292" w:rsidRDefault="00A65BF2" w:rsidP="00A65BF2">
      <w:pPr>
        <w:autoSpaceDE w:val="0"/>
        <w:autoSpaceDN w:val="0"/>
        <w:adjustRightInd w:val="0"/>
        <w:spacing w:line="240" w:lineRule="auto"/>
        <w:rPr>
          <w:rFonts w:cs="Arial"/>
          <w:sz w:val="20"/>
          <w:szCs w:val="20"/>
        </w:rPr>
      </w:pPr>
    </w:p>
    <w:p w14:paraId="31F02152" w14:textId="77777777" w:rsidR="00A65BF2" w:rsidRPr="005F3292" w:rsidRDefault="00A65BF2" w:rsidP="00A65BF2">
      <w:pPr>
        <w:autoSpaceDE w:val="0"/>
        <w:autoSpaceDN w:val="0"/>
        <w:adjustRightInd w:val="0"/>
        <w:spacing w:line="240" w:lineRule="auto"/>
        <w:rPr>
          <w:rFonts w:cs="Arial"/>
          <w:b/>
          <w:smallCaps/>
          <w:sz w:val="20"/>
          <w:szCs w:val="20"/>
        </w:rPr>
      </w:pPr>
      <w:r w:rsidRPr="005F3292">
        <w:rPr>
          <w:rFonts w:cs="Arial"/>
          <w:b/>
          <w:smallCaps/>
          <w:sz w:val="20"/>
          <w:szCs w:val="20"/>
        </w:rPr>
        <w:t>Counsel for The Dayton Power and</w:t>
      </w:r>
    </w:p>
    <w:p w14:paraId="643B2113" w14:textId="77777777" w:rsidR="00A65BF2" w:rsidRPr="005F3292" w:rsidRDefault="00A65BF2" w:rsidP="00A65BF2">
      <w:pPr>
        <w:spacing w:line="240" w:lineRule="auto"/>
        <w:rPr>
          <w:rFonts w:cs="Arial"/>
          <w:b/>
          <w:smallCaps/>
          <w:sz w:val="20"/>
          <w:szCs w:val="20"/>
        </w:rPr>
      </w:pPr>
      <w:r w:rsidRPr="005F3292">
        <w:rPr>
          <w:rFonts w:cs="Arial"/>
          <w:b/>
          <w:smallCaps/>
          <w:sz w:val="20"/>
          <w:szCs w:val="20"/>
        </w:rPr>
        <w:t>Light Company</w:t>
      </w:r>
    </w:p>
    <w:p w14:paraId="4B70D162" w14:textId="77777777" w:rsidR="00A65BF2" w:rsidRPr="005F3292" w:rsidRDefault="00A65BF2" w:rsidP="00A65BF2">
      <w:pPr>
        <w:spacing w:line="240" w:lineRule="auto"/>
        <w:rPr>
          <w:rFonts w:cs="Arial"/>
          <w:sz w:val="20"/>
          <w:szCs w:val="20"/>
        </w:rPr>
      </w:pPr>
    </w:p>
    <w:p w14:paraId="421D83A1"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Madeline Fleisher</w:t>
      </w:r>
    </w:p>
    <w:p w14:paraId="014F87F7"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Kristin Field</w:t>
      </w:r>
    </w:p>
    <w:p w14:paraId="631FC55A"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Environmental Law &amp; Policy Center</w:t>
      </w:r>
    </w:p>
    <w:p w14:paraId="54E2F77F"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21 West Broad St., Suite 500</w:t>
      </w:r>
    </w:p>
    <w:p w14:paraId="223D945C"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Columbus, OH 43215</w:t>
      </w:r>
    </w:p>
    <w:p w14:paraId="2F71635E"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mfleisher@elpc.org</w:t>
      </w:r>
    </w:p>
    <w:p w14:paraId="2BFDCDBD" w14:textId="77777777" w:rsidR="00A65BF2" w:rsidRPr="005F3292" w:rsidRDefault="00A65BF2" w:rsidP="00A65BF2">
      <w:pPr>
        <w:autoSpaceDE w:val="0"/>
        <w:autoSpaceDN w:val="0"/>
        <w:adjustRightInd w:val="0"/>
        <w:spacing w:line="240" w:lineRule="auto"/>
        <w:rPr>
          <w:rFonts w:cs="Arial"/>
          <w:iCs/>
          <w:sz w:val="20"/>
          <w:szCs w:val="20"/>
        </w:rPr>
      </w:pPr>
    </w:p>
    <w:p w14:paraId="42CA952A" w14:textId="77777777" w:rsidR="00A65BF2" w:rsidRPr="005F3292" w:rsidRDefault="00A65BF2" w:rsidP="00A65BF2">
      <w:pPr>
        <w:autoSpaceDE w:val="0"/>
        <w:autoSpaceDN w:val="0"/>
        <w:adjustRightInd w:val="0"/>
        <w:spacing w:line="240" w:lineRule="auto"/>
        <w:rPr>
          <w:rFonts w:ascii="Arial Bold" w:hAnsi="Arial Bold" w:cs="Arial"/>
          <w:b/>
          <w:iCs/>
          <w:smallCaps/>
          <w:sz w:val="20"/>
          <w:szCs w:val="20"/>
        </w:rPr>
      </w:pPr>
      <w:r w:rsidRPr="005F3292">
        <w:rPr>
          <w:rFonts w:ascii="Arial Bold" w:hAnsi="Arial Bold" w:cs="Arial"/>
          <w:b/>
          <w:iCs/>
          <w:smallCaps/>
          <w:sz w:val="20"/>
          <w:szCs w:val="20"/>
        </w:rPr>
        <w:t>Counsel for the Environmental Law &amp;</w:t>
      </w:r>
    </w:p>
    <w:p w14:paraId="70C94D5D" w14:textId="77777777" w:rsidR="00A65BF2" w:rsidRPr="005F3292" w:rsidRDefault="00A65BF2" w:rsidP="00A65BF2">
      <w:pPr>
        <w:spacing w:line="240" w:lineRule="auto"/>
        <w:rPr>
          <w:rFonts w:ascii="Arial Bold" w:hAnsi="Arial Bold" w:cs="Arial"/>
          <w:b/>
          <w:iCs/>
          <w:smallCaps/>
          <w:sz w:val="20"/>
          <w:szCs w:val="20"/>
        </w:rPr>
      </w:pPr>
      <w:r w:rsidRPr="005F3292">
        <w:rPr>
          <w:rFonts w:ascii="Arial Bold" w:hAnsi="Arial Bold" w:cs="Arial"/>
          <w:b/>
          <w:iCs/>
          <w:smallCaps/>
          <w:sz w:val="20"/>
          <w:szCs w:val="20"/>
        </w:rPr>
        <w:t>Policy Center</w:t>
      </w:r>
    </w:p>
    <w:p w14:paraId="75A9D235" w14:textId="77777777" w:rsidR="00A65BF2" w:rsidRPr="005F3292" w:rsidRDefault="00A65BF2" w:rsidP="00A65BF2">
      <w:pPr>
        <w:spacing w:line="240" w:lineRule="auto"/>
        <w:rPr>
          <w:rFonts w:cs="Arial"/>
          <w:sz w:val="20"/>
          <w:szCs w:val="20"/>
        </w:rPr>
      </w:pPr>
    </w:p>
    <w:p w14:paraId="0EF22AFA"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Jeffrey W. Mayes</w:t>
      </w:r>
    </w:p>
    <w:p w14:paraId="7B6765B3"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General Counsel</w:t>
      </w:r>
    </w:p>
    <w:p w14:paraId="48B57CA9"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Monitoring Analytics, LLC</w:t>
      </w:r>
    </w:p>
    <w:p w14:paraId="757C4A50"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2621 Van Buren Avenue, Suite 160</w:t>
      </w:r>
    </w:p>
    <w:p w14:paraId="3C3BE6FC"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Valley Forge Corporate Center</w:t>
      </w:r>
    </w:p>
    <w:p w14:paraId="61191834"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Eagleville, PA  19403</w:t>
      </w:r>
    </w:p>
    <w:p w14:paraId="1AC267BF" w14:textId="77777777" w:rsidR="00A65BF2" w:rsidRPr="005F3292" w:rsidRDefault="002A78B9" w:rsidP="00A65BF2">
      <w:pPr>
        <w:spacing w:line="240" w:lineRule="auto"/>
        <w:rPr>
          <w:rFonts w:cs="Arial"/>
          <w:iCs/>
          <w:sz w:val="20"/>
          <w:szCs w:val="20"/>
        </w:rPr>
      </w:pPr>
      <w:hyperlink r:id="rId26" w:history="1">
        <w:r w:rsidR="00A65BF2" w:rsidRPr="005F3292">
          <w:rPr>
            <w:rStyle w:val="Hyperlink"/>
            <w:rFonts w:cs="Arial"/>
            <w:iCs/>
            <w:color w:val="auto"/>
            <w:sz w:val="20"/>
            <w:szCs w:val="20"/>
            <w:u w:val="none"/>
          </w:rPr>
          <w:t>jeffrey.mayes@monitoringanalytics.com</w:t>
        </w:r>
      </w:hyperlink>
    </w:p>
    <w:p w14:paraId="2F12D099" w14:textId="77777777" w:rsidR="00A65BF2" w:rsidRPr="005F3292" w:rsidRDefault="00A65BF2" w:rsidP="00A65BF2">
      <w:pPr>
        <w:spacing w:line="240" w:lineRule="auto"/>
        <w:rPr>
          <w:rFonts w:cs="Arial"/>
          <w:iCs/>
          <w:sz w:val="20"/>
          <w:szCs w:val="20"/>
        </w:rPr>
      </w:pPr>
    </w:p>
    <w:p w14:paraId="7FD9389F" w14:textId="77777777" w:rsidR="00A65BF2" w:rsidRPr="005F3292" w:rsidRDefault="00A65BF2" w:rsidP="00A65BF2">
      <w:pPr>
        <w:spacing w:line="240" w:lineRule="auto"/>
        <w:rPr>
          <w:rFonts w:ascii="Arial Bold" w:hAnsi="Arial Bold" w:cs="Arial"/>
          <w:b/>
          <w:iCs/>
          <w:smallCaps/>
          <w:sz w:val="20"/>
          <w:szCs w:val="20"/>
        </w:rPr>
      </w:pPr>
      <w:r w:rsidRPr="005F3292">
        <w:rPr>
          <w:rFonts w:ascii="Arial Bold" w:hAnsi="Arial Bold" w:cs="Arial"/>
          <w:b/>
          <w:iCs/>
          <w:smallCaps/>
          <w:sz w:val="20"/>
          <w:szCs w:val="20"/>
        </w:rPr>
        <w:t>Counsel for Monitoring Analytics, LLC</w:t>
      </w:r>
    </w:p>
    <w:p w14:paraId="4B5E310F"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br w:type="column"/>
      </w:r>
      <w:r w:rsidRPr="005F3292">
        <w:rPr>
          <w:rFonts w:cs="Arial"/>
          <w:sz w:val="20"/>
          <w:szCs w:val="20"/>
        </w:rPr>
        <w:t>Evelyn R. Robinson</w:t>
      </w:r>
    </w:p>
    <w:p w14:paraId="778CEBAE"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PJM Interconnection, L.L.C.</w:t>
      </w:r>
    </w:p>
    <w:p w14:paraId="743A6D3E"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2750 Monroe Boulevard</w:t>
      </w:r>
    </w:p>
    <w:p w14:paraId="007DC742"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Audubon, PA 19403</w:t>
      </w:r>
    </w:p>
    <w:p w14:paraId="7451D975" w14:textId="77777777" w:rsidR="00A65BF2" w:rsidRPr="005F3292" w:rsidRDefault="002A78B9" w:rsidP="00A65BF2">
      <w:pPr>
        <w:spacing w:line="240" w:lineRule="auto"/>
        <w:rPr>
          <w:rFonts w:cs="Arial"/>
          <w:iCs/>
          <w:sz w:val="20"/>
          <w:szCs w:val="20"/>
        </w:rPr>
      </w:pPr>
      <w:hyperlink r:id="rId27" w:history="1">
        <w:r w:rsidR="00A65BF2" w:rsidRPr="005F3292">
          <w:rPr>
            <w:rStyle w:val="Hyperlink"/>
            <w:rFonts w:cs="Arial"/>
            <w:iCs/>
            <w:color w:val="auto"/>
            <w:sz w:val="20"/>
            <w:szCs w:val="20"/>
            <w:u w:val="none"/>
          </w:rPr>
          <w:t>evelyn.robinson@pjm.com</w:t>
        </w:r>
      </w:hyperlink>
    </w:p>
    <w:p w14:paraId="03105D56" w14:textId="77777777" w:rsidR="00A65BF2" w:rsidRPr="005F3292" w:rsidRDefault="00A65BF2" w:rsidP="00A65BF2">
      <w:pPr>
        <w:spacing w:line="240" w:lineRule="auto"/>
        <w:rPr>
          <w:rFonts w:cs="Arial"/>
          <w:iCs/>
          <w:sz w:val="20"/>
          <w:szCs w:val="20"/>
        </w:rPr>
      </w:pPr>
    </w:p>
    <w:p w14:paraId="25D9669D" w14:textId="77777777" w:rsidR="00A65BF2" w:rsidRPr="005F3292" w:rsidRDefault="00A65BF2" w:rsidP="00A65BF2">
      <w:pPr>
        <w:autoSpaceDE w:val="0"/>
        <w:autoSpaceDN w:val="0"/>
        <w:adjustRightInd w:val="0"/>
        <w:spacing w:line="240" w:lineRule="auto"/>
        <w:rPr>
          <w:rFonts w:ascii="Arial Bold" w:hAnsi="Arial Bold" w:cs="Arial"/>
          <w:b/>
          <w:iCs/>
          <w:smallCaps/>
          <w:sz w:val="20"/>
          <w:szCs w:val="20"/>
        </w:rPr>
      </w:pPr>
      <w:r w:rsidRPr="005F3292">
        <w:rPr>
          <w:rFonts w:ascii="Arial Bold" w:hAnsi="Arial Bold" w:cs="Arial"/>
          <w:b/>
          <w:iCs/>
          <w:smallCaps/>
          <w:sz w:val="20"/>
          <w:szCs w:val="20"/>
        </w:rPr>
        <w:t>Counsel for PJM Interconnection, L.L.C.</w:t>
      </w:r>
    </w:p>
    <w:p w14:paraId="20425B9F" w14:textId="77777777" w:rsidR="00A65BF2" w:rsidRPr="005F3292" w:rsidRDefault="00A65BF2" w:rsidP="00A65BF2">
      <w:pPr>
        <w:spacing w:line="240" w:lineRule="auto"/>
        <w:rPr>
          <w:rFonts w:cs="Arial"/>
          <w:iCs/>
          <w:sz w:val="20"/>
          <w:szCs w:val="20"/>
        </w:rPr>
      </w:pPr>
    </w:p>
    <w:p w14:paraId="2CC1B14A"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David F. Boehm, Esq.</w:t>
      </w:r>
    </w:p>
    <w:p w14:paraId="1DBB2526"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Michael L. Kurtz, Esq.</w:t>
      </w:r>
    </w:p>
    <w:p w14:paraId="2F8CDE4D"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Kurt J. Boehm, Esq.</w:t>
      </w:r>
    </w:p>
    <w:p w14:paraId="4A38EBFD"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Jody Kyler Cohn, Esq.</w:t>
      </w:r>
    </w:p>
    <w:p w14:paraId="04C235B6"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Boehm, Kurtz &amp; Lowry</w:t>
      </w:r>
    </w:p>
    <w:p w14:paraId="299330B4"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36 East Seventh Street, Suite 1510</w:t>
      </w:r>
    </w:p>
    <w:p w14:paraId="0EC03BF7"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Cincinnati, OH  45202</w:t>
      </w:r>
    </w:p>
    <w:p w14:paraId="7FC92CA5"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dboehm@BKLlawfirm.com mkurtzt@BKLlawfirm.com</w:t>
      </w:r>
    </w:p>
    <w:p w14:paraId="63C2C5CD"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kboehm@BKLlawfirm.com</w:t>
      </w:r>
    </w:p>
    <w:p w14:paraId="422B4016"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jkylercohn@BKLlawfirm.com</w:t>
      </w:r>
    </w:p>
    <w:p w14:paraId="10465414" w14:textId="77777777" w:rsidR="00A65BF2" w:rsidRPr="005F3292" w:rsidRDefault="00A65BF2" w:rsidP="00A65BF2">
      <w:pPr>
        <w:spacing w:line="240" w:lineRule="auto"/>
        <w:rPr>
          <w:rFonts w:cs="Arial"/>
          <w:sz w:val="20"/>
          <w:szCs w:val="20"/>
        </w:rPr>
      </w:pPr>
    </w:p>
    <w:p w14:paraId="75142CB3" w14:textId="77777777" w:rsidR="00A65BF2" w:rsidRPr="005F3292" w:rsidRDefault="00A65BF2" w:rsidP="00A65BF2">
      <w:pPr>
        <w:spacing w:line="240" w:lineRule="auto"/>
        <w:rPr>
          <w:rFonts w:ascii="Arial Bold" w:hAnsi="Arial Bold" w:cs="Arial"/>
          <w:b/>
          <w:smallCaps/>
          <w:sz w:val="20"/>
          <w:szCs w:val="20"/>
        </w:rPr>
      </w:pPr>
      <w:r w:rsidRPr="005F3292">
        <w:rPr>
          <w:rFonts w:ascii="Arial Bold" w:hAnsi="Arial Bold" w:cs="Arial"/>
          <w:b/>
          <w:smallCaps/>
          <w:sz w:val="20"/>
          <w:szCs w:val="20"/>
        </w:rPr>
        <w:t>Counsel for Ohio Energy Group</w:t>
      </w:r>
    </w:p>
    <w:p w14:paraId="2203BA07" w14:textId="77777777" w:rsidR="00A65BF2" w:rsidRPr="005F3292" w:rsidRDefault="00A65BF2" w:rsidP="00A65BF2">
      <w:pPr>
        <w:spacing w:line="240" w:lineRule="auto"/>
        <w:rPr>
          <w:rFonts w:cs="Arial"/>
          <w:sz w:val="20"/>
          <w:szCs w:val="20"/>
        </w:rPr>
      </w:pPr>
    </w:p>
    <w:p w14:paraId="040460B5"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Kevin R. Schmidt (Reg. No. 0086722)</w:t>
      </w:r>
    </w:p>
    <w:p w14:paraId="36FEC224"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Strategic Public Partners</w:t>
      </w:r>
    </w:p>
    <w:p w14:paraId="666AB65E"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88 East Broad Street, Suite 1770</w:t>
      </w:r>
    </w:p>
    <w:p w14:paraId="26E32571"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Columbus, OH  43215</w:t>
      </w:r>
    </w:p>
    <w:p w14:paraId="73202C1A" w14:textId="77777777" w:rsidR="00A65BF2" w:rsidRPr="005F3292" w:rsidRDefault="00A65BF2" w:rsidP="00A65BF2">
      <w:pPr>
        <w:autoSpaceDE w:val="0"/>
        <w:autoSpaceDN w:val="0"/>
        <w:adjustRightInd w:val="0"/>
        <w:spacing w:line="240" w:lineRule="auto"/>
        <w:rPr>
          <w:rFonts w:cs="Arial"/>
          <w:sz w:val="20"/>
          <w:szCs w:val="20"/>
        </w:rPr>
      </w:pPr>
      <w:r w:rsidRPr="005F3292">
        <w:rPr>
          <w:rFonts w:cs="Arial"/>
          <w:sz w:val="20"/>
          <w:szCs w:val="20"/>
        </w:rPr>
        <w:t>schmidt@sppgrp.com</w:t>
      </w:r>
    </w:p>
    <w:p w14:paraId="3448C94C" w14:textId="77777777" w:rsidR="00A65BF2" w:rsidRPr="005F3292" w:rsidRDefault="00A65BF2" w:rsidP="00A65BF2">
      <w:pPr>
        <w:spacing w:line="240" w:lineRule="auto"/>
        <w:rPr>
          <w:rFonts w:cs="Arial"/>
          <w:sz w:val="20"/>
          <w:szCs w:val="20"/>
        </w:rPr>
      </w:pPr>
    </w:p>
    <w:p w14:paraId="675F3928" w14:textId="77777777" w:rsidR="00A65BF2" w:rsidRPr="005F3292" w:rsidRDefault="00A65BF2" w:rsidP="00A65BF2">
      <w:pPr>
        <w:spacing w:line="240" w:lineRule="auto"/>
        <w:rPr>
          <w:rFonts w:ascii="Arial Bold" w:hAnsi="Arial Bold" w:cs="Arial"/>
          <w:b/>
          <w:smallCaps/>
          <w:sz w:val="20"/>
          <w:szCs w:val="20"/>
        </w:rPr>
      </w:pPr>
      <w:r w:rsidRPr="005F3292">
        <w:rPr>
          <w:rFonts w:ascii="Arial Bold" w:hAnsi="Arial Bold" w:cs="Arial"/>
          <w:b/>
          <w:smallCaps/>
          <w:sz w:val="20"/>
          <w:szCs w:val="20"/>
        </w:rPr>
        <w:t>Counsel for Energy Professionals of Ohio</w:t>
      </w:r>
    </w:p>
    <w:p w14:paraId="4B20977C" w14:textId="77777777" w:rsidR="00A65BF2" w:rsidRPr="005F3292" w:rsidRDefault="00A65BF2" w:rsidP="00A65BF2">
      <w:pPr>
        <w:spacing w:line="240" w:lineRule="auto"/>
        <w:rPr>
          <w:rFonts w:cs="Arial"/>
          <w:sz w:val="20"/>
          <w:szCs w:val="20"/>
        </w:rPr>
      </w:pPr>
    </w:p>
    <w:p w14:paraId="3C6055BA" w14:textId="77777777" w:rsidR="00A65BF2" w:rsidRPr="005F3292" w:rsidRDefault="00A65BF2" w:rsidP="00A65BF2">
      <w:pPr>
        <w:spacing w:line="240" w:lineRule="auto"/>
        <w:rPr>
          <w:rFonts w:cs="Arial"/>
          <w:sz w:val="20"/>
          <w:szCs w:val="20"/>
        </w:rPr>
      </w:pPr>
      <w:r w:rsidRPr="005F3292">
        <w:rPr>
          <w:rFonts w:cs="Arial"/>
          <w:sz w:val="20"/>
          <w:szCs w:val="20"/>
        </w:rPr>
        <w:br w:type="column"/>
      </w:r>
      <w:r w:rsidRPr="005F3292">
        <w:rPr>
          <w:rFonts w:cs="Arial"/>
          <w:sz w:val="20"/>
          <w:szCs w:val="20"/>
        </w:rPr>
        <w:lastRenderedPageBreak/>
        <w:t>William J. Michael</w:t>
      </w:r>
    </w:p>
    <w:p w14:paraId="56C586B4" w14:textId="77777777" w:rsidR="00A65BF2" w:rsidRPr="005F3292" w:rsidRDefault="00A65BF2" w:rsidP="00A65BF2">
      <w:pPr>
        <w:spacing w:line="240" w:lineRule="auto"/>
        <w:rPr>
          <w:rFonts w:cs="Arial"/>
          <w:sz w:val="20"/>
          <w:szCs w:val="20"/>
        </w:rPr>
      </w:pPr>
      <w:r w:rsidRPr="005F3292">
        <w:rPr>
          <w:rFonts w:cs="Arial"/>
          <w:sz w:val="20"/>
          <w:szCs w:val="20"/>
        </w:rPr>
        <w:t>Counsel of Record</w:t>
      </w:r>
    </w:p>
    <w:p w14:paraId="72CD81D4" w14:textId="77777777" w:rsidR="00A65BF2" w:rsidRPr="005F3292" w:rsidRDefault="00A65BF2" w:rsidP="00A65BF2">
      <w:pPr>
        <w:spacing w:line="240" w:lineRule="auto"/>
        <w:rPr>
          <w:rFonts w:cs="Arial"/>
          <w:sz w:val="20"/>
          <w:szCs w:val="20"/>
        </w:rPr>
      </w:pPr>
      <w:r w:rsidRPr="005F3292">
        <w:rPr>
          <w:rFonts w:cs="Arial"/>
          <w:sz w:val="20"/>
          <w:szCs w:val="20"/>
        </w:rPr>
        <w:t>Kevin F. Moore</w:t>
      </w:r>
    </w:p>
    <w:p w14:paraId="50FA8512" w14:textId="77777777" w:rsidR="00A65BF2" w:rsidRPr="005F3292" w:rsidRDefault="00A65BF2" w:rsidP="00A65BF2">
      <w:pPr>
        <w:spacing w:line="240" w:lineRule="auto"/>
        <w:rPr>
          <w:rFonts w:cs="Arial"/>
          <w:sz w:val="20"/>
          <w:szCs w:val="20"/>
        </w:rPr>
      </w:pPr>
      <w:r w:rsidRPr="005F3292">
        <w:rPr>
          <w:rFonts w:cs="Arial"/>
          <w:sz w:val="20"/>
          <w:szCs w:val="20"/>
        </w:rPr>
        <w:t>10 West Broad Street, Suite 1800</w:t>
      </w:r>
    </w:p>
    <w:p w14:paraId="35CFE279" w14:textId="77777777" w:rsidR="00A65BF2" w:rsidRPr="005F3292" w:rsidRDefault="00A65BF2" w:rsidP="00A65BF2">
      <w:pPr>
        <w:spacing w:line="240" w:lineRule="auto"/>
        <w:rPr>
          <w:rFonts w:cs="Arial"/>
          <w:sz w:val="20"/>
          <w:szCs w:val="20"/>
        </w:rPr>
      </w:pPr>
      <w:r w:rsidRPr="005F3292">
        <w:rPr>
          <w:rFonts w:cs="Arial"/>
          <w:sz w:val="20"/>
          <w:szCs w:val="20"/>
        </w:rPr>
        <w:t>Columbus, OH  43215-3485</w:t>
      </w:r>
    </w:p>
    <w:p w14:paraId="03301B1F" w14:textId="77777777" w:rsidR="00A65BF2" w:rsidRPr="005F3292" w:rsidRDefault="002A78B9" w:rsidP="00A65BF2">
      <w:pPr>
        <w:spacing w:line="240" w:lineRule="auto"/>
        <w:rPr>
          <w:rFonts w:cs="Arial"/>
          <w:sz w:val="20"/>
          <w:szCs w:val="20"/>
        </w:rPr>
      </w:pPr>
      <w:hyperlink r:id="rId28" w:history="1">
        <w:r w:rsidR="00A65BF2" w:rsidRPr="005F3292">
          <w:rPr>
            <w:rStyle w:val="Hyperlink"/>
            <w:rFonts w:cs="Arial"/>
            <w:color w:val="auto"/>
            <w:sz w:val="20"/>
            <w:szCs w:val="20"/>
            <w:u w:val="none"/>
          </w:rPr>
          <w:t>William.Michael@occ.ohio.gov</w:t>
        </w:r>
      </w:hyperlink>
    </w:p>
    <w:p w14:paraId="678D1B99" w14:textId="77777777" w:rsidR="00A65BF2" w:rsidRPr="005F3292" w:rsidRDefault="002A78B9" w:rsidP="00A65BF2">
      <w:pPr>
        <w:spacing w:line="240" w:lineRule="auto"/>
        <w:rPr>
          <w:rFonts w:cs="Arial"/>
          <w:sz w:val="20"/>
          <w:szCs w:val="20"/>
        </w:rPr>
      </w:pPr>
      <w:hyperlink r:id="rId29" w:history="1">
        <w:r w:rsidR="00A65BF2" w:rsidRPr="005F3292">
          <w:rPr>
            <w:rStyle w:val="Hyperlink"/>
            <w:rFonts w:cs="Arial"/>
            <w:color w:val="auto"/>
            <w:sz w:val="20"/>
            <w:szCs w:val="20"/>
            <w:u w:val="none"/>
          </w:rPr>
          <w:t>Kevin.Moore@occ.ohio.gov</w:t>
        </w:r>
      </w:hyperlink>
    </w:p>
    <w:p w14:paraId="2B68A449" w14:textId="77777777" w:rsidR="00A65BF2" w:rsidRPr="005F3292" w:rsidRDefault="00A65BF2" w:rsidP="00A65BF2">
      <w:pPr>
        <w:spacing w:line="240" w:lineRule="auto"/>
        <w:rPr>
          <w:rFonts w:cs="Arial"/>
          <w:sz w:val="20"/>
          <w:szCs w:val="20"/>
        </w:rPr>
      </w:pPr>
    </w:p>
    <w:p w14:paraId="68735DFB" w14:textId="77777777" w:rsidR="00A65BF2" w:rsidRPr="005F3292" w:rsidRDefault="00A65BF2" w:rsidP="00A65BF2">
      <w:pPr>
        <w:spacing w:line="240" w:lineRule="auto"/>
        <w:rPr>
          <w:rFonts w:ascii="Arial Bold" w:hAnsi="Arial Bold" w:cs="Arial"/>
          <w:b/>
          <w:smallCaps/>
          <w:sz w:val="20"/>
          <w:szCs w:val="20"/>
        </w:rPr>
      </w:pPr>
      <w:r w:rsidRPr="005F3292">
        <w:rPr>
          <w:rFonts w:ascii="Arial Bold" w:hAnsi="Arial Bold" w:cs="Arial"/>
          <w:b/>
          <w:smallCaps/>
          <w:sz w:val="20"/>
          <w:szCs w:val="20"/>
        </w:rPr>
        <w:t>Counsel for Office of the Ohio Consumers’ Counsel</w:t>
      </w:r>
    </w:p>
    <w:p w14:paraId="2CE961BE" w14:textId="77777777" w:rsidR="00A65BF2" w:rsidRPr="005F3292" w:rsidRDefault="00A65BF2" w:rsidP="00A65BF2">
      <w:pPr>
        <w:spacing w:line="240" w:lineRule="auto"/>
        <w:rPr>
          <w:rFonts w:cs="Arial"/>
          <w:sz w:val="20"/>
          <w:szCs w:val="20"/>
        </w:rPr>
      </w:pPr>
    </w:p>
    <w:p w14:paraId="10577DA8" w14:textId="77777777" w:rsidR="00A65BF2" w:rsidRPr="005F3292" w:rsidRDefault="00A65BF2" w:rsidP="00A65BF2">
      <w:pPr>
        <w:spacing w:line="240" w:lineRule="auto"/>
        <w:rPr>
          <w:rFonts w:cs="Arial"/>
          <w:sz w:val="20"/>
          <w:szCs w:val="20"/>
        </w:rPr>
      </w:pPr>
      <w:r w:rsidRPr="005F3292">
        <w:rPr>
          <w:rFonts w:cs="Arial"/>
          <w:sz w:val="20"/>
          <w:szCs w:val="20"/>
        </w:rPr>
        <w:t>Ryan P. O’Rourke</w:t>
      </w:r>
    </w:p>
    <w:p w14:paraId="077C6263" w14:textId="77777777" w:rsidR="00A65BF2" w:rsidRPr="005F3292" w:rsidRDefault="00A65BF2" w:rsidP="00A65BF2">
      <w:pPr>
        <w:spacing w:line="240" w:lineRule="auto"/>
        <w:rPr>
          <w:rFonts w:cs="Arial"/>
          <w:sz w:val="20"/>
          <w:szCs w:val="20"/>
        </w:rPr>
      </w:pPr>
      <w:r w:rsidRPr="005F3292">
        <w:rPr>
          <w:rFonts w:cs="Arial"/>
          <w:sz w:val="20"/>
          <w:szCs w:val="20"/>
        </w:rPr>
        <w:t>Carpenter Lipps &amp; Leland LLP</w:t>
      </w:r>
    </w:p>
    <w:p w14:paraId="49D726F6" w14:textId="77777777" w:rsidR="00A65BF2" w:rsidRPr="005F3292" w:rsidRDefault="00A65BF2" w:rsidP="00A65BF2">
      <w:pPr>
        <w:spacing w:line="240" w:lineRule="auto"/>
        <w:rPr>
          <w:rFonts w:cs="Arial"/>
          <w:sz w:val="20"/>
          <w:szCs w:val="20"/>
        </w:rPr>
      </w:pPr>
      <w:r w:rsidRPr="005F3292">
        <w:rPr>
          <w:rFonts w:cs="Arial"/>
          <w:sz w:val="20"/>
          <w:szCs w:val="20"/>
        </w:rPr>
        <w:t>280 Plaza, Suite 1300</w:t>
      </w:r>
    </w:p>
    <w:p w14:paraId="5DFE91A5" w14:textId="77777777" w:rsidR="00A65BF2" w:rsidRPr="005F3292" w:rsidRDefault="00A65BF2" w:rsidP="00A65BF2">
      <w:pPr>
        <w:spacing w:line="240" w:lineRule="auto"/>
        <w:rPr>
          <w:rFonts w:cs="Arial"/>
          <w:sz w:val="20"/>
          <w:szCs w:val="20"/>
        </w:rPr>
      </w:pPr>
      <w:r w:rsidRPr="005F3292">
        <w:rPr>
          <w:rFonts w:cs="Arial"/>
          <w:sz w:val="20"/>
          <w:szCs w:val="20"/>
        </w:rPr>
        <w:t>280 North High Street</w:t>
      </w:r>
    </w:p>
    <w:p w14:paraId="0A263E76" w14:textId="77777777" w:rsidR="00A65BF2" w:rsidRPr="005F3292" w:rsidRDefault="00A65BF2" w:rsidP="00A65BF2">
      <w:pPr>
        <w:spacing w:line="240" w:lineRule="auto"/>
        <w:rPr>
          <w:rFonts w:cs="Arial"/>
          <w:sz w:val="20"/>
          <w:szCs w:val="20"/>
        </w:rPr>
      </w:pPr>
      <w:r w:rsidRPr="005F3292">
        <w:rPr>
          <w:rFonts w:cs="Arial"/>
          <w:sz w:val="20"/>
          <w:szCs w:val="20"/>
        </w:rPr>
        <w:t>Columbus, OH  43215</w:t>
      </w:r>
    </w:p>
    <w:p w14:paraId="7836EE56" w14:textId="77777777" w:rsidR="00A65BF2" w:rsidRPr="005F3292" w:rsidRDefault="00A65BF2" w:rsidP="00A65BF2">
      <w:pPr>
        <w:spacing w:line="240" w:lineRule="auto"/>
        <w:rPr>
          <w:rFonts w:cs="Arial"/>
          <w:sz w:val="20"/>
          <w:szCs w:val="20"/>
        </w:rPr>
      </w:pPr>
      <w:r w:rsidRPr="005F3292">
        <w:rPr>
          <w:rFonts w:cs="Arial"/>
          <w:sz w:val="20"/>
          <w:szCs w:val="20"/>
        </w:rPr>
        <w:t>O’Rourke@carpenterlipps.com</w:t>
      </w:r>
    </w:p>
    <w:p w14:paraId="6E623F4B" w14:textId="77777777" w:rsidR="00A65BF2" w:rsidRPr="005F3292" w:rsidRDefault="00A65BF2" w:rsidP="00A65BF2">
      <w:pPr>
        <w:spacing w:line="240" w:lineRule="auto"/>
        <w:rPr>
          <w:rFonts w:cs="Arial"/>
          <w:sz w:val="20"/>
          <w:szCs w:val="20"/>
        </w:rPr>
      </w:pPr>
    </w:p>
    <w:p w14:paraId="4A23095F" w14:textId="77777777" w:rsidR="00A65BF2" w:rsidRPr="005F3292" w:rsidRDefault="00A65BF2" w:rsidP="00A65BF2">
      <w:pPr>
        <w:spacing w:line="240" w:lineRule="auto"/>
        <w:rPr>
          <w:rFonts w:ascii="Arial Bold" w:hAnsi="Arial Bold" w:cs="Arial"/>
          <w:b/>
          <w:smallCaps/>
          <w:sz w:val="20"/>
          <w:szCs w:val="20"/>
        </w:rPr>
      </w:pPr>
      <w:r w:rsidRPr="005F3292">
        <w:rPr>
          <w:rFonts w:ascii="Arial Bold" w:hAnsi="Arial Bold" w:cs="Arial"/>
          <w:b/>
          <w:smallCaps/>
          <w:sz w:val="20"/>
          <w:szCs w:val="20"/>
        </w:rPr>
        <w:t>Counsel for The Kroger Co.</w:t>
      </w:r>
    </w:p>
    <w:p w14:paraId="3D2B555B" w14:textId="77777777" w:rsidR="00A65BF2" w:rsidRPr="005F3292" w:rsidRDefault="00A65BF2" w:rsidP="00A65BF2">
      <w:pPr>
        <w:spacing w:line="240" w:lineRule="auto"/>
        <w:rPr>
          <w:rFonts w:cs="Arial"/>
          <w:sz w:val="20"/>
          <w:szCs w:val="20"/>
        </w:rPr>
      </w:pPr>
    </w:p>
    <w:p w14:paraId="427667B7" w14:textId="77777777" w:rsidR="00A65BF2" w:rsidRPr="005F3292" w:rsidRDefault="00A65BF2" w:rsidP="00A65BF2">
      <w:pPr>
        <w:spacing w:line="240" w:lineRule="auto"/>
        <w:rPr>
          <w:rFonts w:cs="Arial"/>
          <w:sz w:val="20"/>
          <w:szCs w:val="20"/>
        </w:rPr>
      </w:pPr>
      <w:r w:rsidRPr="005F3292">
        <w:rPr>
          <w:rFonts w:cs="Arial"/>
          <w:sz w:val="20"/>
          <w:szCs w:val="20"/>
        </w:rPr>
        <w:t>Kimberly W. Bojko</w:t>
      </w:r>
    </w:p>
    <w:p w14:paraId="5375A149" w14:textId="77777777" w:rsidR="00A65BF2" w:rsidRPr="005F3292" w:rsidRDefault="00A65BF2" w:rsidP="00A65BF2">
      <w:pPr>
        <w:spacing w:line="240" w:lineRule="auto"/>
        <w:rPr>
          <w:rFonts w:cs="Arial"/>
          <w:sz w:val="20"/>
          <w:szCs w:val="20"/>
        </w:rPr>
      </w:pPr>
      <w:r w:rsidRPr="005F3292">
        <w:rPr>
          <w:rFonts w:cs="Arial"/>
          <w:sz w:val="20"/>
          <w:szCs w:val="20"/>
        </w:rPr>
        <w:t>Danielle M. Ghiloni</w:t>
      </w:r>
    </w:p>
    <w:p w14:paraId="62B94423" w14:textId="77777777" w:rsidR="00A65BF2" w:rsidRPr="005F3292" w:rsidRDefault="00A65BF2" w:rsidP="00A65BF2">
      <w:pPr>
        <w:spacing w:line="240" w:lineRule="auto"/>
        <w:rPr>
          <w:rFonts w:cs="Arial"/>
          <w:sz w:val="20"/>
          <w:szCs w:val="20"/>
        </w:rPr>
      </w:pPr>
      <w:r w:rsidRPr="005F3292">
        <w:rPr>
          <w:rFonts w:cs="Arial"/>
          <w:sz w:val="20"/>
          <w:szCs w:val="20"/>
        </w:rPr>
        <w:t>Carpenter Lipps &amp; Leland LLP</w:t>
      </w:r>
    </w:p>
    <w:p w14:paraId="7877CBA7" w14:textId="77777777" w:rsidR="00A65BF2" w:rsidRPr="005F3292" w:rsidRDefault="00A65BF2" w:rsidP="00A65BF2">
      <w:pPr>
        <w:spacing w:line="240" w:lineRule="auto"/>
        <w:rPr>
          <w:rFonts w:cs="Arial"/>
          <w:sz w:val="20"/>
          <w:szCs w:val="20"/>
        </w:rPr>
      </w:pPr>
      <w:r w:rsidRPr="005F3292">
        <w:rPr>
          <w:rFonts w:cs="Arial"/>
          <w:sz w:val="20"/>
          <w:szCs w:val="20"/>
        </w:rPr>
        <w:t>280 North High Street, Suite 1300</w:t>
      </w:r>
    </w:p>
    <w:p w14:paraId="26CCB6D0" w14:textId="77777777" w:rsidR="00A65BF2" w:rsidRPr="005F3292" w:rsidRDefault="00A65BF2" w:rsidP="00A65BF2">
      <w:pPr>
        <w:spacing w:line="240" w:lineRule="auto"/>
        <w:rPr>
          <w:rFonts w:cs="Arial"/>
          <w:sz w:val="20"/>
          <w:szCs w:val="20"/>
        </w:rPr>
      </w:pPr>
      <w:r w:rsidRPr="005F3292">
        <w:rPr>
          <w:rFonts w:cs="Arial"/>
          <w:sz w:val="20"/>
          <w:szCs w:val="20"/>
        </w:rPr>
        <w:t>Columbus, OH  43215</w:t>
      </w:r>
    </w:p>
    <w:p w14:paraId="168E07D5" w14:textId="77777777" w:rsidR="00A65BF2" w:rsidRPr="005F3292" w:rsidRDefault="002A78B9" w:rsidP="00A65BF2">
      <w:pPr>
        <w:spacing w:line="240" w:lineRule="auto"/>
        <w:rPr>
          <w:rFonts w:cs="Arial"/>
          <w:sz w:val="20"/>
          <w:szCs w:val="20"/>
        </w:rPr>
      </w:pPr>
      <w:hyperlink r:id="rId30" w:history="1">
        <w:r w:rsidR="00A65BF2" w:rsidRPr="005F3292">
          <w:rPr>
            <w:rStyle w:val="Hyperlink"/>
            <w:rFonts w:cs="Arial"/>
            <w:color w:val="auto"/>
            <w:sz w:val="20"/>
            <w:szCs w:val="20"/>
            <w:u w:val="none"/>
          </w:rPr>
          <w:t>Bojko@carpenterlipps.com</w:t>
        </w:r>
      </w:hyperlink>
    </w:p>
    <w:p w14:paraId="61CF27AE" w14:textId="77777777" w:rsidR="00A65BF2" w:rsidRPr="005F3292" w:rsidRDefault="002A78B9" w:rsidP="00A65BF2">
      <w:pPr>
        <w:spacing w:line="240" w:lineRule="auto"/>
        <w:rPr>
          <w:rFonts w:cs="Arial"/>
          <w:sz w:val="20"/>
          <w:szCs w:val="20"/>
        </w:rPr>
      </w:pPr>
      <w:hyperlink r:id="rId31" w:history="1">
        <w:r w:rsidR="00A65BF2" w:rsidRPr="005F3292">
          <w:rPr>
            <w:rStyle w:val="Hyperlink"/>
            <w:rFonts w:cs="Arial"/>
            <w:color w:val="auto"/>
            <w:sz w:val="20"/>
            <w:szCs w:val="20"/>
            <w:u w:val="none"/>
          </w:rPr>
          <w:t>Ghiloni@carpenterlipps.com</w:t>
        </w:r>
      </w:hyperlink>
    </w:p>
    <w:p w14:paraId="63322BFB" w14:textId="77777777" w:rsidR="00A65BF2" w:rsidRPr="005F3292" w:rsidRDefault="00A65BF2" w:rsidP="00A65BF2">
      <w:pPr>
        <w:spacing w:line="240" w:lineRule="auto"/>
        <w:rPr>
          <w:rFonts w:cs="Arial"/>
          <w:sz w:val="20"/>
          <w:szCs w:val="20"/>
        </w:rPr>
      </w:pPr>
    </w:p>
    <w:p w14:paraId="16CE19FF" w14:textId="77777777" w:rsidR="00A65BF2" w:rsidRPr="005F3292" w:rsidRDefault="00A65BF2" w:rsidP="00A65BF2">
      <w:pPr>
        <w:spacing w:line="240" w:lineRule="auto"/>
        <w:rPr>
          <w:rFonts w:ascii="Arial Bold" w:hAnsi="Arial Bold" w:cs="Arial"/>
          <w:b/>
          <w:smallCaps/>
          <w:sz w:val="20"/>
          <w:szCs w:val="20"/>
        </w:rPr>
      </w:pPr>
      <w:r w:rsidRPr="005F3292">
        <w:rPr>
          <w:rFonts w:ascii="Arial Bold" w:hAnsi="Arial Bold" w:cs="Arial"/>
          <w:b/>
          <w:smallCaps/>
          <w:sz w:val="20"/>
          <w:szCs w:val="20"/>
        </w:rPr>
        <w:t>Counsel for the Ohio Manufacturers’ Association Energy Group</w:t>
      </w:r>
    </w:p>
    <w:p w14:paraId="7BC80EFE" w14:textId="77777777" w:rsidR="00A65BF2" w:rsidRPr="005F3292" w:rsidRDefault="00A65BF2" w:rsidP="00A65BF2">
      <w:pPr>
        <w:spacing w:line="240" w:lineRule="auto"/>
        <w:rPr>
          <w:rFonts w:cs="Arial"/>
          <w:sz w:val="20"/>
          <w:szCs w:val="20"/>
        </w:rPr>
      </w:pPr>
    </w:p>
    <w:p w14:paraId="44F431CA" w14:textId="77777777" w:rsidR="00A65BF2" w:rsidRPr="005F3292" w:rsidRDefault="00A65BF2" w:rsidP="00A65BF2">
      <w:pPr>
        <w:spacing w:line="240" w:lineRule="auto"/>
        <w:rPr>
          <w:rFonts w:cs="Arial"/>
          <w:sz w:val="20"/>
          <w:szCs w:val="20"/>
        </w:rPr>
      </w:pPr>
      <w:r w:rsidRPr="005F3292">
        <w:rPr>
          <w:rFonts w:cs="Arial"/>
          <w:sz w:val="20"/>
          <w:szCs w:val="20"/>
        </w:rPr>
        <w:t>Michael J. Settineri</w:t>
      </w:r>
    </w:p>
    <w:p w14:paraId="6726F49D" w14:textId="77777777" w:rsidR="00A65BF2" w:rsidRPr="005F3292" w:rsidRDefault="00A65BF2" w:rsidP="00A65BF2">
      <w:pPr>
        <w:spacing w:line="240" w:lineRule="auto"/>
        <w:rPr>
          <w:rFonts w:cs="Arial"/>
          <w:sz w:val="20"/>
          <w:szCs w:val="20"/>
        </w:rPr>
      </w:pPr>
      <w:r w:rsidRPr="005F3292">
        <w:rPr>
          <w:rFonts w:cs="Arial"/>
          <w:sz w:val="20"/>
          <w:szCs w:val="20"/>
        </w:rPr>
        <w:t>Stephen M. Howard</w:t>
      </w:r>
    </w:p>
    <w:p w14:paraId="5C8309E5" w14:textId="77777777" w:rsidR="00A65BF2" w:rsidRPr="005F3292" w:rsidRDefault="00A65BF2" w:rsidP="00A65BF2">
      <w:pPr>
        <w:spacing w:line="240" w:lineRule="auto"/>
        <w:rPr>
          <w:rFonts w:cs="Arial"/>
          <w:sz w:val="20"/>
          <w:szCs w:val="20"/>
        </w:rPr>
      </w:pPr>
      <w:r w:rsidRPr="005F3292">
        <w:rPr>
          <w:rFonts w:cs="Arial"/>
          <w:sz w:val="20"/>
          <w:szCs w:val="20"/>
        </w:rPr>
        <w:t>Gretchen L. Petrucci</w:t>
      </w:r>
    </w:p>
    <w:p w14:paraId="2A1F6E62" w14:textId="77777777" w:rsidR="00A65BF2" w:rsidRPr="005F3292" w:rsidRDefault="00A65BF2" w:rsidP="00A65BF2">
      <w:pPr>
        <w:spacing w:line="240" w:lineRule="auto"/>
        <w:rPr>
          <w:rFonts w:cs="Arial"/>
          <w:sz w:val="20"/>
          <w:szCs w:val="20"/>
        </w:rPr>
      </w:pPr>
      <w:r w:rsidRPr="005F3292">
        <w:rPr>
          <w:rFonts w:cs="Arial"/>
          <w:sz w:val="20"/>
          <w:szCs w:val="20"/>
        </w:rPr>
        <w:t>Ilya Batikov</w:t>
      </w:r>
    </w:p>
    <w:p w14:paraId="12DA776D" w14:textId="77777777" w:rsidR="00A65BF2" w:rsidRPr="005F3292" w:rsidRDefault="00A65BF2" w:rsidP="00A65BF2">
      <w:pPr>
        <w:spacing w:line="240" w:lineRule="auto"/>
        <w:rPr>
          <w:rFonts w:cs="Arial"/>
          <w:sz w:val="20"/>
          <w:szCs w:val="20"/>
        </w:rPr>
      </w:pPr>
      <w:r w:rsidRPr="005F3292">
        <w:rPr>
          <w:rFonts w:cs="Arial"/>
          <w:sz w:val="20"/>
          <w:szCs w:val="20"/>
        </w:rPr>
        <w:t>Vorys, Sater, Seymour and Pease LLP</w:t>
      </w:r>
    </w:p>
    <w:p w14:paraId="6224518F" w14:textId="77777777" w:rsidR="00A65BF2" w:rsidRPr="005F3292" w:rsidRDefault="00A65BF2" w:rsidP="00A65BF2">
      <w:pPr>
        <w:spacing w:line="240" w:lineRule="auto"/>
        <w:rPr>
          <w:rFonts w:cs="Arial"/>
          <w:sz w:val="20"/>
          <w:szCs w:val="20"/>
        </w:rPr>
      </w:pPr>
      <w:r w:rsidRPr="005F3292">
        <w:rPr>
          <w:rFonts w:cs="Arial"/>
          <w:sz w:val="20"/>
          <w:szCs w:val="20"/>
        </w:rPr>
        <w:t>52 E. Gay Street</w:t>
      </w:r>
    </w:p>
    <w:p w14:paraId="2659C74C" w14:textId="77777777" w:rsidR="00A65BF2" w:rsidRPr="005F3292" w:rsidRDefault="00A65BF2" w:rsidP="00A65BF2">
      <w:pPr>
        <w:spacing w:line="240" w:lineRule="auto"/>
        <w:rPr>
          <w:rFonts w:cs="Arial"/>
          <w:sz w:val="20"/>
          <w:szCs w:val="20"/>
        </w:rPr>
      </w:pPr>
      <w:r w:rsidRPr="005F3292">
        <w:rPr>
          <w:rFonts w:cs="Arial"/>
          <w:sz w:val="20"/>
          <w:szCs w:val="20"/>
        </w:rPr>
        <w:t>Columbus, OH  43215</w:t>
      </w:r>
    </w:p>
    <w:p w14:paraId="5D3F7B1C" w14:textId="77777777" w:rsidR="00A65BF2" w:rsidRPr="005F3292" w:rsidRDefault="002A78B9" w:rsidP="00A65BF2">
      <w:pPr>
        <w:spacing w:line="240" w:lineRule="auto"/>
        <w:rPr>
          <w:rFonts w:cs="Arial"/>
          <w:sz w:val="20"/>
          <w:szCs w:val="20"/>
        </w:rPr>
      </w:pPr>
      <w:hyperlink r:id="rId32" w:history="1">
        <w:r w:rsidR="00A65BF2" w:rsidRPr="005F3292">
          <w:rPr>
            <w:rStyle w:val="Hyperlink"/>
            <w:rFonts w:cs="Arial"/>
            <w:color w:val="auto"/>
            <w:sz w:val="20"/>
            <w:szCs w:val="20"/>
            <w:u w:val="none"/>
          </w:rPr>
          <w:t>mjsettineri@vorys.com</w:t>
        </w:r>
      </w:hyperlink>
    </w:p>
    <w:p w14:paraId="6762CC78" w14:textId="77777777" w:rsidR="00A65BF2" w:rsidRPr="005F3292" w:rsidRDefault="002A78B9" w:rsidP="00A65BF2">
      <w:pPr>
        <w:spacing w:line="240" w:lineRule="auto"/>
        <w:rPr>
          <w:rFonts w:cs="Arial"/>
          <w:sz w:val="20"/>
          <w:szCs w:val="20"/>
        </w:rPr>
      </w:pPr>
      <w:hyperlink r:id="rId33" w:history="1">
        <w:r w:rsidR="00A65BF2" w:rsidRPr="005F3292">
          <w:rPr>
            <w:rStyle w:val="Hyperlink"/>
            <w:rFonts w:cs="Arial"/>
            <w:color w:val="auto"/>
            <w:sz w:val="20"/>
            <w:szCs w:val="20"/>
            <w:u w:val="none"/>
          </w:rPr>
          <w:t>smhoward@vorys.co</w:t>
        </w:r>
      </w:hyperlink>
      <w:r w:rsidR="00A65BF2" w:rsidRPr="005F3292">
        <w:rPr>
          <w:rFonts w:cs="Arial"/>
          <w:sz w:val="20"/>
          <w:szCs w:val="20"/>
        </w:rPr>
        <w:t>m</w:t>
      </w:r>
    </w:p>
    <w:p w14:paraId="544AF5A1" w14:textId="77777777" w:rsidR="00A65BF2" w:rsidRPr="005F3292" w:rsidRDefault="002A78B9" w:rsidP="00A65BF2">
      <w:pPr>
        <w:spacing w:line="240" w:lineRule="auto"/>
        <w:rPr>
          <w:rFonts w:cs="Arial"/>
          <w:sz w:val="20"/>
          <w:szCs w:val="20"/>
        </w:rPr>
      </w:pPr>
      <w:hyperlink r:id="rId34" w:history="1">
        <w:r w:rsidR="00A65BF2" w:rsidRPr="005F3292">
          <w:rPr>
            <w:rStyle w:val="Hyperlink"/>
            <w:rFonts w:cs="Arial"/>
            <w:color w:val="auto"/>
            <w:sz w:val="20"/>
            <w:szCs w:val="20"/>
            <w:u w:val="none"/>
          </w:rPr>
          <w:t>glpetrucci@vorys.com</w:t>
        </w:r>
      </w:hyperlink>
    </w:p>
    <w:p w14:paraId="5ABDF9C1" w14:textId="77777777" w:rsidR="00A65BF2" w:rsidRPr="005F3292" w:rsidRDefault="002A78B9" w:rsidP="00A65BF2">
      <w:pPr>
        <w:spacing w:line="240" w:lineRule="auto"/>
        <w:rPr>
          <w:rFonts w:cs="Arial"/>
          <w:sz w:val="20"/>
          <w:szCs w:val="20"/>
        </w:rPr>
      </w:pPr>
      <w:hyperlink r:id="rId35" w:history="1">
        <w:r w:rsidR="00A65BF2" w:rsidRPr="005F3292">
          <w:rPr>
            <w:rStyle w:val="Hyperlink"/>
            <w:rFonts w:cs="Arial"/>
            <w:color w:val="auto"/>
            <w:sz w:val="20"/>
            <w:szCs w:val="20"/>
            <w:u w:val="none"/>
          </w:rPr>
          <w:t>ibatikov@vorys.com</w:t>
        </w:r>
      </w:hyperlink>
    </w:p>
    <w:p w14:paraId="452339E7" w14:textId="77777777" w:rsidR="00A65BF2" w:rsidRPr="005F3292" w:rsidRDefault="00A65BF2" w:rsidP="00A65BF2">
      <w:pPr>
        <w:spacing w:line="240" w:lineRule="auto"/>
        <w:rPr>
          <w:rFonts w:cs="Arial"/>
          <w:sz w:val="20"/>
          <w:szCs w:val="20"/>
        </w:rPr>
      </w:pPr>
    </w:p>
    <w:p w14:paraId="7371361F" w14:textId="77777777" w:rsidR="00A65BF2" w:rsidRPr="005F3292" w:rsidRDefault="00A65BF2" w:rsidP="00A65BF2">
      <w:pPr>
        <w:spacing w:line="240" w:lineRule="auto"/>
        <w:rPr>
          <w:rFonts w:ascii="Arial Bold" w:hAnsi="Arial Bold" w:cs="Arial"/>
          <w:b/>
          <w:smallCaps/>
          <w:sz w:val="20"/>
          <w:szCs w:val="20"/>
        </w:rPr>
      </w:pPr>
      <w:r w:rsidRPr="005F3292">
        <w:rPr>
          <w:rFonts w:ascii="Arial Bold" w:hAnsi="Arial Bold" w:cs="Arial"/>
          <w:b/>
          <w:smallCaps/>
          <w:sz w:val="20"/>
          <w:szCs w:val="20"/>
        </w:rPr>
        <w:t>Counsel for Dynegy Inc., PJM Power Providers Group and the Electric Power Supply Association and the Retail Energy Supply Association</w:t>
      </w:r>
    </w:p>
    <w:p w14:paraId="59362FFB" w14:textId="77777777" w:rsidR="00A65BF2" w:rsidRPr="005F3292" w:rsidRDefault="00A65BF2" w:rsidP="00A65BF2">
      <w:pPr>
        <w:spacing w:line="240" w:lineRule="auto"/>
        <w:rPr>
          <w:rFonts w:cs="Arial"/>
          <w:sz w:val="20"/>
          <w:szCs w:val="20"/>
        </w:rPr>
      </w:pPr>
    </w:p>
    <w:p w14:paraId="0EDB9F9B" w14:textId="77777777" w:rsidR="00A65BF2" w:rsidRPr="005F3292" w:rsidRDefault="00A65BF2" w:rsidP="00A65BF2">
      <w:pPr>
        <w:spacing w:line="240" w:lineRule="auto"/>
        <w:rPr>
          <w:rFonts w:cs="Arial"/>
          <w:sz w:val="20"/>
          <w:szCs w:val="20"/>
        </w:rPr>
      </w:pPr>
      <w:r w:rsidRPr="005F3292">
        <w:rPr>
          <w:rFonts w:cs="Arial"/>
          <w:sz w:val="20"/>
          <w:szCs w:val="20"/>
        </w:rPr>
        <w:t>Joseph Oliker</w:t>
      </w:r>
    </w:p>
    <w:p w14:paraId="1A86B49C" w14:textId="77777777" w:rsidR="00A65BF2" w:rsidRPr="005F3292" w:rsidRDefault="00A65BF2" w:rsidP="00A65BF2">
      <w:pPr>
        <w:spacing w:line="240" w:lineRule="auto"/>
        <w:rPr>
          <w:rFonts w:cs="Arial"/>
          <w:sz w:val="20"/>
          <w:szCs w:val="20"/>
        </w:rPr>
      </w:pPr>
      <w:r w:rsidRPr="005F3292">
        <w:rPr>
          <w:rFonts w:cs="Arial"/>
          <w:sz w:val="20"/>
          <w:szCs w:val="20"/>
        </w:rPr>
        <w:t>IGS Energy</w:t>
      </w:r>
    </w:p>
    <w:p w14:paraId="3CCB7A19" w14:textId="77777777" w:rsidR="00A65BF2" w:rsidRPr="005F3292" w:rsidRDefault="00A65BF2" w:rsidP="00A65BF2">
      <w:pPr>
        <w:spacing w:line="240" w:lineRule="auto"/>
        <w:rPr>
          <w:rFonts w:cs="Arial"/>
          <w:sz w:val="20"/>
          <w:szCs w:val="20"/>
        </w:rPr>
      </w:pPr>
      <w:r w:rsidRPr="005F3292">
        <w:rPr>
          <w:rFonts w:cs="Arial"/>
          <w:sz w:val="20"/>
          <w:szCs w:val="20"/>
        </w:rPr>
        <w:t>6100 Emerald Parkway</w:t>
      </w:r>
    </w:p>
    <w:p w14:paraId="6517D81D" w14:textId="77777777" w:rsidR="00A65BF2" w:rsidRPr="005F3292" w:rsidRDefault="00A65BF2" w:rsidP="00A65BF2">
      <w:pPr>
        <w:spacing w:line="240" w:lineRule="auto"/>
        <w:rPr>
          <w:rFonts w:cs="Arial"/>
          <w:sz w:val="20"/>
          <w:szCs w:val="20"/>
        </w:rPr>
      </w:pPr>
      <w:r w:rsidRPr="005F3292">
        <w:rPr>
          <w:rFonts w:cs="Arial"/>
          <w:sz w:val="20"/>
          <w:szCs w:val="20"/>
        </w:rPr>
        <w:t>Dublin, OH  43016</w:t>
      </w:r>
    </w:p>
    <w:p w14:paraId="5ECAB1DE" w14:textId="77777777" w:rsidR="00A65BF2" w:rsidRPr="005F3292" w:rsidRDefault="002A78B9" w:rsidP="00A65BF2">
      <w:pPr>
        <w:spacing w:line="240" w:lineRule="auto"/>
        <w:rPr>
          <w:rFonts w:cs="Arial"/>
          <w:sz w:val="20"/>
          <w:szCs w:val="20"/>
        </w:rPr>
      </w:pPr>
      <w:hyperlink r:id="rId36" w:history="1">
        <w:r w:rsidR="00A65BF2" w:rsidRPr="005F3292">
          <w:rPr>
            <w:rStyle w:val="Hyperlink"/>
            <w:rFonts w:cs="Arial"/>
            <w:color w:val="auto"/>
            <w:sz w:val="20"/>
            <w:szCs w:val="20"/>
            <w:u w:val="none"/>
          </w:rPr>
          <w:t>joliker@igsenergy.com</w:t>
        </w:r>
      </w:hyperlink>
    </w:p>
    <w:p w14:paraId="2116699E" w14:textId="77777777" w:rsidR="00A65BF2" w:rsidRPr="005F3292" w:rsidRDefault="00A65BF2" w:rsidP="00A65BF2">
      <w:pPr>
        <w:spacing w:line="240" w:lineRule="auto"/>
        <w:rPr>
          <w:rFonts w:cs="Arial"/>
          <w:sz w:val="20"/>
          <w:szCs w:val="20"/>
        </w:rPr>
      </w:pPr>
    </w:p>
    <w:p w14:paraId="73DE8F50" w14:textId="77777777" w:rsidR="00A65BF2" w:rsidRPr="005F3292" w:rsidRDefault="00A65BF2" w:rsidP="00A65BF2">
      <w:pPr>
        <w:spacing w:line="240" w:lineRule="auto"/>
        <w:rPr>
          <w:rFonts w:ascii="Arial Bold" w:hAnsi="Arial Bold" w:cs="Arial"/>
          <w:b/>
          <w:smallCaps/>
          <w:sz w:val="20"/>
          <w:szCs w:val="20"/>
        </w:rPr>
      </w:pPr>
      <w:r w:rsidRPr="005F3292">
        <w:rPr>
          <w:rFonts w:ascii="Arial Bold" w:hAnsi="Arial Bold" w:cs="Arial"/>
          <w:b/>
          <w:smallCaps/>
          <w:sz w:val="20"/>
          <w:szCs w:val="20"/>
        </w:rPr>
        <w:t>Counsel for IGS Energy</w:t>
      </w:r>
    </w:p>
    <w:p w14:paraId="3C2CE3C1" w14:textId="77777777" w:rsidR="00A65BF2" w:rsidRPr="005F3292" w:rsidRDefault="00A65BF2" w:rsidP="00A65BF2">
      <w:pPr>
        <w:spacing w:line="240" w:lineRule="auto"/>
        <w:rPr>
          <w:rFonts w:cs="Arial"/>
          <w:sz w:val="20"/>
          <w:szCs w:val="20"/>
        </w:rPr>
      </w:pPr>
    </w:p>
    <w:p w14:paraId="212A27F9" w14:textId="77777777" w:rsidR="00A65BF2" w:rsidRPr="005F3292" w:rsidRDefault="00A65BF2" w:rsidP="00A65BF2">
      <w:pPr>
        <w:spacing w:line="240" w:lineRule="auto"/>
        <w:rPr>
          <w:rFonts w:cs="Arial"/>
          <w:sz w:val="20"/>
          <w:szCs w:val="20"/>
        </w:rPr>
      </w:pPr>
      <w:r w:rsidRPr="005F3292">
        <w:rPr>
          <w:rFonts w:cs="Arial"/>
          <w:sz w:val="20"/>
          <w:szCs w:val="20"/>
        </w:rPr>
        <w:br w:type="column"/>
      </w:r>
      <w:r w:rsidRPr="005F3292">
        <w:rPr>
          <w:rFonts w:cs="Arial"/>
          <w:sz w:val="20"/>
          <w:szCs w:val="20"/>
        </w:rPr>
        <w:t>Michael D. Dortch</w:t>
      </w:r>
    </w:p>
    <w:p w14:paraId="694C5286" w14:textId="77777777" w:rsidR="00A65BF2" w:rsidRPr="005F3292" w:rsidRDefault="00A65BF2" w:rsidP="00A65BF2">
      <w:pPr>
        <w:spacing w:line="240" w:lineRule="auto"/>
        <w:rPr>
          <w:rFonts w:cs="Arial"/>
          <w:sz w:val="20"/>
          <w:szCs w:val="20"/>
        </w:rPr>
      </w:pPr>
      <w:r w:rsidRPr="005F3292">
        <w:rPr>
          <w:rFonts w:cs="Arial"/>
          <w:sz w:val="20"/>
          <w:szCs w:val="20"/>
        </w:rPr>
        <w:t>Richard R. Parsons</w:t>
      </w:r>
    </w:p>
    <w:p w14:paraId="3006BB11" w14:textId="77777777" w:rsidR="00A65BF2" w:rsidRPr="005F3292" w:rsidRDefault="00A65BF2" w:rsidP="00A65BF2">
      <w:pPr>
        <w:spacing w:line="240" w:lineRule="auto"/>
        <w:rPr>
          <w:rFonts w:cs="Arial"/>
          <w:sz w:val="20"/>
          <w:szCs w:val="20"/>
        </w:rPr>
      </w:pPr>
      <w:r w:rsidRPr="005F3292">
        <w:rPr>
          <w:rFonts w:cs="Arial"/>
          <w:sz w:val="20"/>
          <w:szCs w:val="20"/>
        </w:rPr>
        <w:t>Kravitz, Brown &amp; Dortch, LLC</w:t>
      </w:r>
    </w:p>
    <w:p w14:paraId="0D435398" w14:textId="77777777" w:rsidR="00A65BF2" w:rsidRPr="005F3292" w:rsidRDefault="00A65BF2" w:rsidP="00A65BF2">
      <w:pPr>
        <w:spacing w:line="240" w:lineRule="auto"/>
        <w:rPr>
          <w:rFonts w:cs="Arial"/>
          <w:sz w:val="20"/>
          <w:szCs w:val="20"/>
        </w:rPr>
      </w:pPr>
      <w:r w:rsidRPr="005F3292">
        <w:rPr>
          <w:rFonts w:cs="Arial"/>
          <w:sz w:val="20"/>
          <w:szCs w:val="20"/>
        </w:rPr>
        <w:t>65 East State Street, Suite 200</w:t>
      </w:r>
    </w:p>
    <w:p w14:paraId="6AEAAE94" w14:textId="77777777" w:rsidR="00A65BF2" w:rsidRPr="005F3292" w:rsidRDefault="00A65BF2" w:rsidP="00A65BF2">
      <w:pPr>
        <w:spacing w:line="240" w:lineRule="auto"/>
        <w:rPr>
          <w:rFonts w:cs="Arial"/>
          <w:sz w:val="20"/>
          <w:szCs w:val="20"/>
        </w:rPr>
      </w:pPr>
      <w:r w:rsidRPr="005F3292">
        <w:rPr>
          <w:rFonts w:cs="Arial"/>
          <w:sz w:val="20"/>
          <w:szCs w:val="20"/>
        </w:rPr>
        <w:t>Columbus, OH  43215</w:t>
      </w:r>
    </w:p>
    <w:p w14:paraId="48386517" w14:textId="77777777" w:rsidR="00A65BF2" w:rsidRPr="005F3292" w:rsidRDefault="002A78B9" w:rsidP="00A65BF2">
      <w:pPr>
        <w:spacing w:line="240" w:lineRule="auto"/>
        <w:rPr>
          <w:rFonts w:cs="Arial"/>
          <w:sz w:val="20"/>
          <w:szCs w:val="20"/>
        </w:rPr>
      </w:pPr>
      <w:hyperlink r:id="rId37" w:history="1">
        <w:r w:rsidR="00A65BF2" w:rsidRPr="005F3292">
          <w:rPr>
            <w:rStyle w:val="Hyperlink"/>
            <w:rFonts w:cs="Arial"/>
            <w:color w:val="auto"/>
            <w:sz w:val="20"/>
            <w:szCs w:val="20"/>
            <w:u w:val="none"/>
          </w:rPr>
          <w:t>mdortch@kravitzllc.com</w:t>
        </w:r>
      </w:hyperlink>
    </w:p>
    <w:p w14:paraId="368B10FA" w14:textId="77777777" w:rsidR="00A65BF2" w:rsidRPr="005F3292" w:rsidRDefault="002A78B9" w:rsidP="00A65BF2">
      <w:pPr>
        <w:spacing w:line="240" w:lineRule="auto"/>
        <w:rPr>
          <w:rFonts w:cs="Arial"/>
          <w:sz w:val="20"/>
          <w:szCs w:val="20"/>
        </w:rPr>
      </w:pPr>
      <w:hyperlink r:id="rId38" w:history="1">
        <w:r w:rsidR="00A65BF2" w:rsidRPr="005F3292">
          <w:rPr>
            <w:rStyle w:val="Hyperlink"/>
            <w:rFonts w:cs="Arial"/>
            <w:color w:val="auto"/>
            <w:sz w:val="20"/>
            <w:szCs w:val="20"/>
            <w:u w:val="none"/>
          </w:rPr>
          <w:t>rparsons@kravitzllc.com</w:t>
        </w:r>
      </w:hyperlink>
    </w:p>
    <w:p w14:paraId="101716B2" w14:textId="77777777" w:rsidR="00A65BF2" w:rsidRPr="005F3292" w:rsidRDefault="00A65BF2" w:rsidP="00A65BF2">
      <w:pPr>
        <w:spacing w:line="240" w:lineRule="auto"/>
        <w:rPr>
          <w:rFonts w:cs="Arial"/>
          <w:sz w:val="20"/>
          <w:szCs w:val="20"/>
        </w:rPr>
      </w:pPr>
    </w:p>
    <w:p w14:paraId="60CE7644" w14:textId="77777777" w:rsidR="00A65BF2" w:rsidRPr="005F3292" w:rsidRDefault="00A65BF2" w:rsidP="00A65BF2">
      <w:pPr>
        <w:spacing w:line="240" w:lineRule="auto"/>
        <w:rPr>
          <w:rFonts w:ascii="Arial Bold" w:hAnsi="Arial Bold" w:cs="Arial"/>
          <w:b/>
          <w:smallCaps/>
          <w:sz w:val="20"/>
          <w:szCs w:val="20"/>
        </w:rPr>
      </w:pPr>
      <w:r w:rsidRPr="005F3292">
        <w:rPr>
          <w:rFonts w:ascii="Arial Bold" w:hAnsi="Arial Bold" w:cs="Arial"/>
          <w:b/>
          <w:smallCaps/>
          <w:sz w:val="20"/>
          <w:szCs w:val="20"/>
        </w:rPr>
        <w:t>Counsel for Noble Americas Energy Solutions LLC</w:t>
      </w:r>
    </w:p>
    <w:p w14:paraId="6B9BF31B" w14:textId="77777777" w:rsidR="00A65BF2" w:rsidRPr="005F3292" w:rsidRDefault="00A65BF2" w:rsidP="00A65BF2">
      <w:pPr>
        <w:spacing w:line="240" w:lineRule="auto"/>
        <w:rPr>
          <w:rFonts w:cs="Arial"/>
          <w:sz w:val="20"/>
          <w:szCs w:val="20"/>
        </w:rPr>
      </w:pPr>
    </w:p>
    <w:p w14:paraId="58CA3BEF" w14:textId="77777777" w:rsidR="00A65BF2" w:rsidRPr="005F3292" w:rsidRDefault="00A65BF2" w:rsidP="00A65BF2">
      <w:pPr>
        <w:spacing w:line="240" w:lineRule="auto"/>
        <w:rPr>
          <w:rFonts w:cs="Arial"/>
          <w:sz w:val="20"/>
          <w:szCs w:val="20"/>
        </w:rPr>
      </w:pPr>
      <w:r w:rsidRPr="005F3292">
        <w:rPr>
          <w:rFonts w:cs="Arial"/>
          <w:sz w:val="20"/>
          <w:szCs w:val="20"/>
        </w:rPr>
        <w:t>Colleen L. Mooney</w:t>
      </w:r>
    </w:p>
    <w:p w14:paraId="616A13AB" w14:textId="77777777" w:rsidR="00A65BF2" w:rsidRPr="005F3292" w:rsidRDefault="00A65BF2" w:rsidP="00A65BF2">
      <w:pPr>
        <w:spacing w:line="240" w:lineRule="auto"/>
        <w:rPr>
          <w:rFonts w:cs="Arial"/>
          <w:sz w:val="20"/>
          <w:szCs w:val="20"/>
        </w:rPr>
      </w:pPr>
      <w:r w:rsidRPr="005F3292">
        <w:rPr>
          <w:rFonts w:cs="Arial"/>
          <w:sz w:val="20"/>
          <w:szCs w:val="20"/>
        </w:rPr>
        <w:t>231 West Lima Street</w:t>
      </w:r>
    </w:p>
    <w:p w14:paraId="3D816AC7" w14:textId="77777777" w:rsidR="00A65BF2" w:rsidRPr="005F3292" w:rsidRDefault="00A65BF2" w:rsidP="00A65BF2">
      <w:pPr>
        <w:spacing w:line="240" w:lineRule="auto"/>
        <w:rPr>
          <w:rFonts w:cs="Arial"/>
          <w:sz w:val="20"/>
          <w:szCs w:val="20"/>
        </w:rPr>
      </w:pPr>
      <w:r w:rsidRPr="005F3292">
        <w:rPr>
          <w:rFonts w:cs="Arial"/>
          <w:sz w:val="20"/>
          <w:szCs w:val="20"/>
        </w:rPr>
        <w:t>PO Box 1793</w:t>
      </w:r>
    </w:p>
    <w:p w14:paraId="28EA1E19" w14:textId="77777777" w:rsidR="00A65BF2" w:rsidRPr="005F3292" w:rsidRDefault="00A65BF2" w:rsidP="00A65BF2">
      <w:pPr>
        <w:spacing w:line="240" w:lineRule="auto"/>
        <w:rPr>
          <w:rFonts w:cs="Arial"/>
          <w:sz w:val="20"/>
          <w:szCs w:val="20"/>
        </w:rPr>
      </w:pPr>
      <w:r w:rsidRPr="005F3292">
        <w:rPr>
          <w:rFonts w:cs="Arial"/>
          <w:sz w:val="20"/>
          <w:szCs w:val="20"/>
        </w:rPr>
        <w:t>Findlay, OH  45839-1793</w:t>
      </w:r>
    </w:p>
    <w:p w14:paraId="38917BB3" w14:textId="77777777" w:rsidR="00A65BF2" w:rsidRPr="005F3292" w:rsidRDefault="002A78B9" w:rsidP="00A65BF2">
      <w:pPr>
        <w:spacing w:line="240" w:lineRule="auto"/>
        <w:rPr>
          <w:rFonts w:cs="Arial"/>
          <w:sz w:val="20"/>
          <w:szCs w:val="20"/>
        </w:rPr>
      </w:pPr>
      <w:hyperlink r:id="rId39" w:history="1">
        <w:r w:rsidR="00A65BF2" w:rsidRPr="005F3292">
          <w:rPr>
            <w:rStyle w:val="Hyperlink"/>
            <w:rFonts w:cs="Arial"/>
            <w:color w:val="auto"/>
            <w:sz w:val="20"/>
            <w:szCs w:val="20"/>
            <w:u w:val="none"/>
          </w:rPr>
          <w:t>cmooney@ohiopartners.org</w:t>
        </w:r>
      </w:hyperlink>
    </w:p>
    <w:p w14:paraId="40435AF8" w14:textId="77777777" w:rsidR="00A65BF2" w:rsidRPr="005F3292" w:rsidRDefault="00A65BF2" w:rsidP="00A65BF2">
      <w:pPr>
        <w:spacing w:line="240" w:lineRule="auto"/>
        <w:rPr>
          <w:rFonts w:cs="Arial"/>
          <w:sz w:val="20"/>
          <w:szCs w:val="20"/>
        </w:rPr>
      </w:pPr>
    </w:p>
    <w:p w14:paraId="7305A6DF" w14:textId="77777777" w:rsidR="00A65BF2" w:rsidRPr="005F3292" w:rsidRDefault="00A65BF2" w:rsidP="00A65BF2">
      <w:pPr>
        <w:spacing w:line="240" w:lineRule="auto"/>
        <w:rPr>
          <w:rFonts w:ascii="Arial Bold" w:hAnsi="Arial Bold" w:cs="Arial"/>
          <w:b/>
          <w:smallCaps/>
          <w:sz w:val="20"/>
          <w:szCs w:val="20"/>
        </w:rPr>
      </w:pPr>
      <w:r w:rsidRPr="005F3292">
        <w:rPr>
          <w:rFonts w:ascii="Arial Bold" w:hAnsi="Arial Bold" w:cs="Arial"/>
          <w:b/>
          <w:smallCaps/>
          <w:sz w:val="20"/>
          <w:szCs w:val="20"/>
        </w:rPr>
        <w:t>Counsel for Ohio Partners for Affordable Energy</w:t>
      </w:r>
    </w:p>
    <w:p w14:paraId="3ADF9D7E" w14:textId="77777777" w:rsidR="00A65BF2" w:rsidRPr="005F3292" w:rsidRDefault="00A65BF2" w:rsidP="00A65BF2">
      <w:pPr>
        <w:spacing w:line="240" w:lineRule="auto"/>
        <w:rPr>
          <w:rFonts w:cs="Arial"/>
          <w:sz w:val="20"/>
          <w:szCs w:val="20"/>
        </w:rPr>
      </w:pPr>
    </w:p>
    <w:p w14:paraId="2FA9B494" w14:textId="77777777" w:rsidR="00A65BF2" w:rsidRPr="005F3292" w:rsidRDefault="00A65BF2" w:rsidP="00A65BF2">
      <w:pPr>
        <w:spacing w:line="240" w:lineRule="auto"/>
        <w:rPr>
          <w:rFonts w:cs="Arial"/>
          <w:sz w:val="20"/>
          <w:szCs w:val="20"/>
        </w:rPr>
      </w:pPr>
      <w:r w:rsidRPr="005F3292">
        <w:rPr>
          <w:rFonts w:cs="Arial"/>
          <w:sz w:val="20"/>
          <w:szCs w:val="20"/>
        </w:rPr>
        <w:t>Trent Dougherty</w:t>
      </w:r>
    </w:p>
    <w:p w14:paraId="1C816863" w14:textId="77777777" w:rsidR="00A65BF2" w:rsidRPr="005F3292" w:rsidRDefault="00A65BF2" w:rsidP="00A65BF2">
      <w:pPr>
        <w:spacing w:line="240" w:lineRule="auto"/>
        <w:rPr>
          <w:rFonts w:cs="Arial"/>
          <w:sz w:val="20"/>
          <w:szCs w:val="20"/>
        </w:rPr>
      </w:pPr>
      <w:r w:rsidRPr="005F3292">
        <w:rPr>
          <w:rFonts w:cs="Arial"/>
          <w:sz w:val="20"/>
          <w:szCs w:val="20"/>
        </w:rPr>
        <w:t>1145 Chesapeake Ave., Suite I</w:t>
      </w:r>
    </w:p>
    <w:p w14:paraId="2B8E508B" w14:textId="77777777" w:rsidR="00A65BF2" w:rsidRPr="005F3292" w:rsidRDefault="00A65BF2" w:rsidP="00A65BF2">
      <w:pPr>
        <w:spacing w:line="240" w:lineRule="auto"/>
        <w:rPr>
          <w:rFonts w:cs="Arial"/>
          <w:sz w:val="20"/>
          <w:szCs w:val="20"/>
        </w:rPr>
      </w:pPr>
      <w:r w:rsidRPr="005F3292">
        <w:rPr>
          <w:rFonts w:cs="Arial"/>
          <w:sz w:val="20"/>
          <w:szCs w:val="20"/>
        </w:rPr>
        <w:t>Columbus, OH  43212-3449</w:t>
      </w:r>
    </w:p>
    <w:p w14:paraId="0DB4AF47" w14:textId="77777777" w:rsidR="00A65BF2" w:rsidRPr="005F3292" w:rsidRDefault="002A78B9" w:rsidP="00A65BF2">
      <w:pPr>
        <w:spacing w:line="240" w:lineRule="auto"/>
        <w:rPr>
          <w:rFonts w:cs="Arial"/>
          <w:sz w:val="20"/>
          <w:szCs w:val="20"/>
        </w:rPr>
      </w:pPr>
      <w:hyperlink r:id="rId40" w:history="1">
        <w:r w:rsidR="00A65BF2" w:rsidRPr="005F3292">
          <w:rPr>
            <w:rStyle w:val="Hyperlink"/>
            <w:rFonts w:cs="Arial"/>
            <w:color w:val="auto"/>
            <w:sz w:val="20"/>
            <w:szCs w:val="20"/>
            <w:u w:val="none"/>
          </w:rPr>
          <w:t>tdougherty@theOEC.org</w:t>
        </w:r>
      </w:hyperlink>
    </w:p>
    <w:p w14:paraId="67B4F4E8" w14:textId="77777777" w:rsidR="00A65BF2" w:rsidRPr="005F3292" w:rsidRDefault="00A65BF2" w:rsidP="00A65BF2">
      <w:pPr>
        <w:spacing w:line="240" w:lineRule="auto"/>
        <w:rPr>
          <w:rFonts w:cs="Arial"/>
          <w:sz w:val="20"/>
          <w:szCs w:val="20"/>
        </w:rPr>
      </w:pPr>
    </w:p>
    <w:p w14:paraId="24245860" w14:textId="77777777" w:rsidR="00A65BF2" w:rsidRPr="005F3292" w:rsidRDefault="00A65BF2" w:rsidP="00A65BF2">
      <w:pPr>
        <w:spacing w:line="240" w:lineRule="auto"/>
        <w:rPr>
          <w:rFonts w:ascii="Arial Bold" w:hAnsi="Arial Bold" w:cs="Arial"/>
          <w:b/>
          <w:smallCaps/>
          <w:sz w:val="20"/>
          <w:szCs w:val="20"/>
        </w:rPr>
      </w:pPr>
      <w:r w:rsidRPr="005F3292">
        <w:rPr>
          <w:rFonts w:ascii="Arial Bold" w:hAnsi="Arial Bold" w:cs="Arial"/>
          <w:b/>
          <w:smallCaps/>
          <w:sz w:val="20"/>
          <w:szCs w:val="20"/>
        </w:rPr>
        <w:t>Counsel for the Ohio Environmental Council and Environmental Defense Fund</w:t>
      </w:r>
    </w:p>
    <w:p w14:paraId="215F2A87" w14:textId="77777777" w:rsidR="00A65BF2" w:rsidRPr="005F3292" w:rsidRDefault="00A65BF2" w:rsidP="00A65BF2">
      <w:pPr>
        <w:spacing w:line="240" w:lineRule="auto"/>
        <w:rPr>
          <w:rFonts w:cs="Arial"/>
          <w:sz w:val="20"/>
          <w:szCs w:val="20"/>
        </w:rPr>
      </w:pPr>
    </w:p>
    <w:p w14:paraId="5AEF33BD" w14:textId="77777777" w:rsidR="00A65BF2" w:rsidRPr="005F3292" w:rsidRDefault="00A65BF2" w:rsidP="00A65BF2">
      <w:pPr>
        <w:spacing w:line="240" w:lineRule="auto"/>
        <w:rPr>
          <w:rFonts w:cs="Arial"/>
          <w:sz w:val="20"/>
          <w:szCs w:val="20"/>
        </w:rPr>
      </w:pPr>
      <w:r w:rsidRPr="005F3292">
        <w:rPr>
          <w:rFonts w:cs="Arial"/>
          <w:sz w:val="20"/>
          <w:szCs w:val="20"/>
        </w:rPr>
        <w:t>Joel E. Sechler</w:t>
      </w:r>
    </w:p>
    <w:p w14:paraId="25A0CA6E" w14:textId="77777777" w:rsidR="00A65BF2" w:rsidRPr="005F3292" w:rsidRDefault="00A65BF2" w:rsidP="00A65BF2">
      <w:pPr>
        <w:spacing w:line="240" w:lineRule="auto"/>
        <w:rPr>
          <w:rFonts w:cs="Arial"/>
          <w:sz w:val="20"/>
          <w:szCs w:val="20"/>
        </w:rPr>
      </w:pPr>
      <w:r w:rsidRPr="005F3292">
        <w:rPr>
          <w:rFonts w:cs="Arial"/>
          <w:sz w:val="20"/>
          <w:szCs w:val="20"/>
        </w:rPr>
        <w:t>Carpenter Lipps &amp; Leland LLP</w:t>
      </w:r>
    </w:p>
    <w:p w14:paraId="24829F9A" w14:textId="77777777" w:rsidR="00A65BF2" w:rsidRPr="005F3292" w:rsidRDefault="00A65BF2" w:rsidP="00A65BF2">
      <w:pPr>
        <w:spacing w:line="240" w:lineRule="auto"/>
        <w:rPr>
          <w:rFonts w:cs="Arial"/>
          <w:sz w:val="20"/>
          <w:szCs w:val="20"/>
        </w:rPr>
      </w:pPr>
      <w:r w:rsidRPr="005F3292">
        <w:rPr>
          <w:rFonts w:cs="Arial"/>
          <w:sz w:val="20"/>
          <w:szCs w:val="20"/>
        </w:rPr>
        <w:t>280 North High Street, Suite 1300</w:t>
      </w:r>
    </w:p>
    <w:p w14:paraId="42318EEB" w14:textId="77777777" w:rsidR="00A65BF2" w:rsidRPr="005F3292" w:rsidRDefault="00A65BF2" w:rsidP="00A65BF2">
      <w:pPr>
        <w:spacing w:line="240" w:lineRule="auto"/>
        <w:rPr>
          <w:rFonts w:cs="Arial"/>
          <w:sz w:val="20"/>
          <w:szCs w:val="20"/>
        </w:rPr>
      </w:pPr>
      <w:r w:rsidRPr="005F3292">
        <w:rPr>
          <w:rFonts w:cs="Arial"/>
          <w:sz w:val="20"/>
          <w:szCs w:val="20"/>
        </w:rPr>
        <w:t>Columbus, OH  43215</w:t>
      </w:r>
    </w:p>
    <w:p w14:paraId="02449B27" w14:textId="77777777" w:rsidR="00A65BF2" w:rsidRPr="005F3292" w:rsidRDefault="002A78B9" w:rsidP="00A65BF2">
      <w:pPr>
        <w:spacing w:line="240" w:lineRule="auto"/>
        <w:rPr>
          <w:rFonts w:cs="Arial"/>
          <w:sz w:val="20"/>
          <w:szCs w:val="20"/>
        </w:rPr>
      </w:pPr>
      <w:hyperlink r:id="rId41" w:history="1">
        <w:r w:rsidR="00A65BF2" w:rsidRPr="005F3292">
          <w:rPr>
            <w:rStyle w:val="Hyperlink"/>
            <w:rFonts w:cs="Arial"/>
            <w:color w:val="auto"/>
            <w:sz w:val="20"/>
            <w:szCs w:val="20"/>
            <w:u w:val="none"/>
          </w:rPr>
          <w:t>Sechler@carpenterlipps.com</w:t>
        </w:r>
      </w:hyperlink>
    </w:p>
    <w:p w14:paraId="1D00C91D" w14:textId="77777777" w:rsidR="00A65BF2" w:rsidRPr="005F3292" w:rsidRDefault="00A65BF2" w:rsidP="00A65BF2">
      <w:pPr>
        <w:spacing w:line="240" w:lineRule="auto"/>
        <w:rPr>
          <w:rFonts w:cs="Arial"/>
          <w:sz w:val="20"/>
          <w:szCs w:val="20"/>
        </w:rPr>
      </w:pPr>
    </w:p>
    <w:p w14:paraId="42301BE1" w14:textId="77777777" w:rsidR="00A65BF2" w:rsidRPr="005F3292" w:rsidRDefault="00A65BF2" w:rsidP="00A65BF2">
      <w:pPr>
        <w:spacing w:line="240" w:lineRule="auto"/>
        <w:rPr>
          <w:rFonts w:cs="Arial"/>
          <w:sz w:val="20"/>
          <w:szCs w:val="20"/>
        </w:rPr>
      </w:pPr>
      <w:r w:rsidRPr="005F3292">
        <w:rPr>
          <w:rFonts w:cs="Arial"/>
          <w:sz w:val="20"/>
          <w:szCs w:val="20"/>
        </w:rPr>
        <w:t>Gregory J. Poulos</w:t>
      </w:r>
    </w:p>
    <w:p w14:paraId="4AAA5603" w14:textId="77777777" w:rsidR="00A65BF2" w:rsidRPr="005F3292" w:rsidRDefault="00A65BF2" w:rsidP="00A65BF2">
      <w:pPr>
        <w:spacing w:line="240" w:lineRule="auto"/>
        <w:rPr>
          <w:rFonts w:cs="Arial"/>
          <w:sz w:val="20"/>
          <w:szCs w:val="20"/>
        </w:rPr>
      </w:pPr>
      <w:r w:rsidRPr="005F3292">
        <w:rPr>
          <w:rFonts w:cs="Arial"/>
          <w:sz w:val="20"/>
          <w:szCs w:val="20"/>
        </w:rPr>
        <w:t>EnerNOC, Inc.</w:t>
      </w:r>
    </w:p>
    <w:p w14:paraId="03B291AD" w14:textId="77777777" w:rsidR="00A65BF2" w:rsidRPr="005F3292" w:rsidRDefault="00A65BF2" w:rsidP="00A65BF2">
      <w:pPr>
        <w:spacing w:line="240" w:lineRule="auto"/>
        <w:rPr>
          <w:rFonts w:cs="Arial"/>
          <w:sz w:val="20"/>
          <w:szCs w:val="20"/>
        </w:rPr>
      </w:pPr>
      <w:r w:rsidRPr="005F3292">
        <w:rPr>
          <w:rFonts w:cs="Arial"/>
          <w:sz w:val="20"/>
          <w:szCs w:val="20"/>
        </w:rPr>
        <w:t>PO Box 29492</w:t>
      </w:r>
    </w:p>
    <w:p w14:paraId="748B527E" w14:textId="77777777" w:rsidR="00A65BF2" w:rsidRPr="005F3292" w:rsidRDefault="00A65BF2" w:rsidP="00A65BF2">
      <w:pPr>
        <w:spacing w:line="240" w:lineRule="auto"/>
        <w:rPr>
          <w:rFonts w:cs="Arial"/>
          <w:sz w:val="20"/>
          <w:szCs w:val="20"/>
        </w:rPr>
      </w:pPr>
      <w:r w:rsidRPr="005F3292">
        <w:rPr>
          <w:rFonts w:cs="Arial"/>
          <w:sz w:val="20"/>
          <w:szCs w:val="20"/>
        </w:rPr>
        <w:t>Columbus, OH  43229</w:t>
      </w:r>
    </w:p>
    <w:p w14:paraId="1FE891E7" w14:textId="77777777" w:rsidR="00A65BF2" w:rsidRPr="005F3292" w:rsidRDefault="002A78B9" w:rsidP="00A65BF2">
      <w:pPr>
        <w:spacing w:line="240" w:lineRule="auto"/>
        <w:rPr>
          <w:rFonts w:cs="Arial"/>
          <w:sz w:val="20"/>
          <w:szCs w:val="20"/>
        </w:rPr>
      </w:pPr>
      <w:hyperlink r:id="rId42" w:history="1">
        <w:r w:rsidR="00A65BF2" w:rsidRPr="005F3292">
          <w:rPr>
            <w:rStyle w:val="Hyperlink"/>
            <w:rFonts w:cs="Arial"/>
            <w:color w:val="auto"/>
            <w:sz w:val="20"/>
            <w:szCs w:val="20"/>
            <w:u w:val="none"/>
          </w:rPr>
          <w:t>gpoulos@enernoc.com</w:t>
        </w:r>
      </w:hyperlink>
    </w:p>
    <w:p w14:paraId="38321493" w14:textId="77777777" w:rsidR="00A65BF2" w:rsidRPr="005F3292" w:rsidRDefault="00A65BF2" w:rsidP="00A65BF2">
      <w:pPr>
        <w:spacing w:line="240" w:lineRule="auto"/>
        <w:rPr>
          <w:rFonts w:cs="Arial"/>
          <w:sz w:val="20"/>
          <w:szCs w:val="20"/>
        </w:rPr>
      </w:pPr>
    </w:p>
    <w:p w14:paraId="744C1414" w14:textId="77777777" w:rsidR="00A65BF2" w:rsidRPr="005F3292" w:rsidRDefault="00A65BF2" w:rsidP="00A65BF2">
      <w:pPr>
        <w:spacing w:line="240" w:lineRule="auto"/>
        <w:rPr>
          <w:rFonts w:ascii="Arial Bold" w:hAnsi="Arial Bold" w:cs="Arial"/>
          <w:b/>
          <w:smallCaps/>
          <w:sz w:val="20"/>
          <w:szCs w:val="20"/>
        </w:rPr>
      </w:pPr>
      <w:r w:rsidRPr="005F3292">
        <w:rPr>
          <w:rFonts w:ascii="Arial Bold" w:hAnsi="Arial Bold" w:cs="Arial"/>
          <w:b/>
          <w:smallCaps/>
          <w:sz w:val="20"/>
          <w:szCs w:val="20"/>
        </w:rPr>
        <w:t>Counsel for EnerNOC, Inc.</w:t>
      </w:r>
    </w:p>
    <w:p w14:paraId="25AB4AD0" w14:textId="77777777" w:rsidR="00A65BF2" w:rsidRPr="005F3292" w:rsidRDefault="00A65BF2" w:rsidP="00A65BF2">
      <w:pPr>
        <w:spacing w:line="240" w:lineRule="auto"/>
        <w:rPr>
          <w:rFonts w:cs="Arial"/>
          <w:sz w:val="20"/>
          <w:szCs w:val="20"/>
        </w:rPr>
      </w:pPr>
    </w:p>
    <w:p w14:paraId="3761D7AB"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Richard L. Sites</w:t>
      </w:r>
    </w:p>
    <w:p w14:paraId="3F9B8740"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Regulatory Counsel</w:t>
      </w:r>
    </w:p>
    <w:p w14:paraId="4CA06AB5"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Ohio Hospital Association</w:t>
      </w:r>
    </w:p>
    <w:p w14:paraId="412A6E08"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155 East Broad Street, 3</w:t>
      </w:r>
      <w:r w:rsidRPr="005F3292">
        <w:rPr>
          <w:rFonts w:eastAsia="Calibri" w:cs="Arial"/>
          <w:sz w:val="20"/>
          <w:szCs w:val="20"/>
          <w:vertAlign w:val="superscript"/>
        </w:rPr>
        <w:t>rd</w:t>
      </w:r>
      <w:r w:rsidRPr="005F3292">
        <w:rPr>
          <w:rFonts w:eastAsia="Calibri" w:cs="Arial"/>
          <w:sz w:val="20"/>
          <w:szCs w:val="20"/>
        </w:rPr>
        <w:t xml:space="preserve"> Floor</w:t>
      </w:r>
    </w:p>
    <w:p w14:paraId="13CBFF4D"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Columbus, OH  43215-3620</w:t>
      </w:r>
    </w:p>
    <w:p w14:paraId="140DF103" w14:textId="77777777" w:rsidR="00A65BF2" w:rsidRPr="005F3292" w:rsidRDefault="002A78B9" w:rsidP="00A65BF2">
      <w:pPr>
        <w:spacing w:line="240" w:lineRule="auto"/>
        <w:rPr>
          <w:rFonts w:eastAsia="Calibri" w:cs="Arial"/>
          <w:sz w:val="20"/>
          <w:szCs w:val="20"/>
        </w:rPr>
      </w:pPr>
      <w:hyperlink r:id="rId43" w:history="1">
        <w:r w:rsidR="00A65BF2" w:rsidRPr="005F3292">
          <w:rPr>
            <w:rStyle w:val="Hyperlink"/>
            <w:rFonts w:eastAsia="Calibri" w:cs="Arial"/>
            <w:color w:val="auto"/>
            <w:sz w:val="20"/>
            <w:szCs w:val="20"/>
            <w:u w:val="none"/>
          </w:rPr>
          <w:t>rick.sites@ohiohospitals.org</w:t>
        </w:r>
      </w:hyperlink>
    </w:p>
    <w:p w14:paraId="75E3B0DD" w14:textId="77777777" w:rsidR="00A65BF2" w:rsidRPr="005F3292" w:rsidRDefault="00A65BF2" w:rsidP="00A65BF2">
      <w:pPr>
        <w:spacing w:line="240" w:lineRule="auto"/>
        <w:rPr>
          <w:rFonts w:eastAsia="Calibri" w:cs="Arial"/>
          <w:sz w:val="20"/>
          <w:szCs w:val="20"/>
        </w:rPr>
      </w:pPr>
    </w:p>
    <w:p w14:paraId="3B051801"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br w:type="page"/>
      </w:r>
    </w:p>
    <w:p w14:paraId="4D76B2CF"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lastRenderedPageBreak/>
        <w:t>Matthew Warnock</w:t>
      </w:r>
    </w:p>
    <w:p w14:paraId="5DB67DDF"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Dylan Borchers</w:t>
      </w:r>
    </w:p>
    <w:p w14:paraId="3D07C993"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Bricker &amp; Eckler LLP</w:t>
      </w:r>
    </w:p>
    <w:p w14:paraId="6ECCE604"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100 South Third Street</w:t>
      </w:r>
    </w:p>
    <w:p w14:paraId="45A10A95"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Columbus, OH  43215-4291</w:t>
      </w:r>
    </w:p>
    <w:p w14:paraId="4E1FDBF5" w14:textId="77777777" w:rsidR="00A65BF2" w:rsidRPr="005F3292" w:rsidRDefault="002A78B9" w:rsidP="00A65BF2">
      <w:pPr>
        <w:spacing w:line="240" w:lineRule="auto"/>
        <w:rPr>
          <w:rFonts w:eastAsia="Calibri" w:cs="Arial"/>
          <w:sz w:val="20"/>
          <w:szCs w:val="20"/>
        </w:rPr>
      </w:pPr>
      <w:hyperlink r:id="rId44" w:history="1">
        <w:r w:rsidR="00A65BF2" w:rsidRPr="005F3292">
          <w:rPr>
            <w:rStyle w:val="Hyperlink"/>
            <w:rFonts w:eastAsia="Calibri" w:cs="Arial"/>
            <w:color w:val="auto"/>
            <w:sz w:val="20"/>
            <w:szCs w:val="20"/>
            <w:u w:val="none"/>
          </w:rPr>
          <w:t>mwarnock@bricker.com</w:t>
        </w:r>
      </w:hyperlink>
    </w:p>
    <w:p w14:paraId="37461A13" w14:textId="77777777" w:rsidR="00A65BF2" w:rsidRPr="005F3292" w:rsidRDefault="002A78B9" w:rsidP="00A65BF2">
      <w:pPr>
        <w:spacing w:line="240" w:lineRule="auto"/>
        <w:rPr>
          <w:rFonts w:eastAsia="Calibri" w:cs="Arial"/>
          <w:sz w:val="20"/>
          <w:szCs w:val="20"/>
        </w:rPr>
      </w:pPr>
      <w:hyperlink r:id="rId45" w:history="1">
        <w:r w:rsidR="00A65BF2" w:rsidRPr="005F3292">
          <w:rPr>
            <w:rStyle w:val="Hyperlink"/>
            <w:rFonts w:eastAsia="Calibri" w:cs="Arial"/>
            <w:color w:val="auto"/>
            <w:sz w:val="20"/>
            <w:szCs w:val="20"/>
            <w:u w:val="none"/>
          </w:rPr>
          <w:t>dborchers@bricker.com</w:t>
        </w:r>
      </w:hyperlink>
    </w:p>
    <w:p w14:paraId="17631D1A" w14:textId="77777777" w:rsidR="00A65BF2" w:rsidRPr="005F3292" w:rsidRDefault="00A65BF2" w:rsidP="00A65BF2">
      <w:pPr>
        <w:spacing w:line="240" w:lineRule="auto"/>
        <w:rPr>
          <w:rFonts w:eastAsia="Calibri" w:cs="Arial"/>
          <w:sz w:val="20"/>
          <w:szCs w:val="20"/>
        </w:rPr>
      </w:pPr>
    </w:p>
    <w:p w14:paraId="50602BE3" w14:textId="77777777" w:rsidR="00A65BF2" w:rsidRPr="005F3292" w:rsidRDefault="00A65BF2" w:rsidP="00A65BF2">
      <w:pPr>
        <w:spacing w:line="240" w:lineRule="auto"/>
        <w:rPr>
          <w:rFonts w:ascii="Arial Bold" w:eastAsia="Calibri" w:hAnsi="Arial Bold" w:cs="Arial"/>
          <w:b/>
          <w:smallCaps/>
          <w:sz w:val="20"/>
          <w:szCs w:val="20"/>
        </w:rPr>
      </w:pPr>
      <w:r w:rsidRPr="005F3292">
        <w:rPr>
          <w:rFonts w:ascii="Arial Bold" w:eastAsia="Calibri" w:hAnsi="Arial Bold" w:cs="Arial"/>
          <w:b/>
          <w:smallCaps/>
          <w:sz w:val="20"/>
          <w:szCs w:val="20"/>
        </w:rPr>
        <w:t>Counsel for The Ohio Hospital Association</w:t>
      </w:r>
    </w:p>
    <w:p w14:paraId="14807B35" w14:textId="77777777" w:rsidR="00A65BF2" w:rsidRPr="005F3292" w:rsidRDefault="00A65BF2" w:rsidP="00A65BF2">
      <w:pPr>
        <w:spacing w:line="240" w:lineRule="auto"/>
        <w:rPr>
          <w:rFonts w:ascii="Arial Bold" w:eastAsia="Calibri" w:hAnsi="Arial Bold" w:cs="Arial"/>
          <w:b/>
          <w:smallCaps/>
          <w:sz w:val="20"/>
          <w:szCs w:val="20"/>
        </w:rPr>
      </w:pPr>
    </w:p>
    <w:p w14:paraId="20036EA2"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Richard C. Sahli</w:t>
      </w:r>
    </w:p>
    <w:p w14:paraId="3EB7F02E"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Richard Sahli Law Office, LLC</w:t>
      </w:r>
    </w:p>
    <w:p w14:paraId="3185D873"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981 Pinewood Lane</w:t>
      </w:r>
    </w:p>
    <w:p w14:paraId="76CD6F0B"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Columbus, OH  43230-3662</w:t>
      </w:r>
    </w:p>
    <w:p w14:paraId="4229ECD6" w14:textId="77777777" w:rsidR="00A65BF2" w:rsidRPr="005F3292" w:rsidRDefault="002A78B9" w:rsidP="00A65BF2">
      <w:pPr>
        <w:spacing w:line="240" w:lineRule="auto"/>
        <w:rPr>
          <w:rFonts w:eastAsia="Calibri" w:cs="Arial"/>
          <w:sz w:val="20"/>
          <w:szCs w:val="20"/>
        </w:rPr>
      </w:pPr>
      <w:hyperlink r:id="rId46" w:history="1">
        <w:r w:rsidR="00A65BF2" w:rsidRPr="005F3292">
          <w:rPr>
            <w:rStyle w:val="Hyperlink"/>
            <w:rFonts w:eastAsia="Calibri" w:cs="Arial"/>
            <w:color w:val="auto"/>
            <w:sz w:val="20"/>
            <w:szCs w:val="20"/>
            <w:u w:val="none"/>
          </w:rPr>
          <w:t>rsahli@columbus.rr.com</w:t>
        </w:r>
      </w:hyperlink>
    </w:p>
    <w:p w14:paraId="5D6FA0B0" w14:textId="77777777" w:rsidR="00A65BF2" w:rsidRPr="005F3292" w:rsidRDefault="00A65BF2" w:rsidP="00A65BF2">
      <w:pPr>
        <w:spacing w:line="240" w:lineRule="auto"/>
        <w:rPr>
          <w:rFonts w:eastAsia="Calibri" w:cs="Arial"/>
          <w:sz w:val="20"/>
          <w:szCs w:val="20"/>
        </w:rPr>
      </w:pPr>
    </w:p>
    <w:p w14:paraId="1E745CB3"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Tony Mendoza</w:t>
      </w:r>
    </w:p>
    <w:p w14:paraId="711513EB"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Sierra Club Environmental Law Program</w:t>
      </w:r>
    </w:p>
    <w:p w14:paraId="50AA16DB"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2101 Webster St., 13</w:t>
      </w:r>
      <w:r w:rsidRPr="005F3292">
        <w:rPr>
          <w:rFonts w:eastAsia="Calibri" w:cs="Arial"/>
          <w:sz w:val="20"/>
          <w:szCs w:val="20"/>
          <w:vertAlign w:val="superscript"/>
        </w:rPr>
        <w:t>th</w:t>
      </w:r>
      <w:r w:rsidRPr="005F3292">
        <w:rPr>
          <w:rFonts w:eastAsia="Calibri" w:cs="Arial"/>
          <w:sz w:val="20"/>
          <w:szCs w:val="20"/>
        </w:rPr>
        <w:t xml:space="preserve"> Floor</w:t>
      </w:r>
    </w:p>
    <w:p w14:paraId="283BAC66"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Oakland, CA  94612</w:t>
      </w:r>
    </w:p>
    <w:p w14:paraId="14517A8E" w14:textId="77777777" w:rsidR="00A65BF2" w:rsidRPr="005F3292" w:rsidRDefault="002A78B9" w:rsidP="00A65BF2">
      <w:pPr>
        <w:spacing w:line="240" w:lineRule="auto"/>
        <w:rPr>
          <w:rFonts w:eastAsia="Calibri" w:cs="Arial"/>
          <w:sz w:val="20"/>
          <w:szCs w:val="20"/>
        </w:rPr>
      </w:pPr>
      <w:hyperlink r:id="rId47" w:history="1">
        <w:r w:rsidR="00A65BF2" w:rsidRPr="005F3292">
          <w:rPr>
            <w:rStyle w:val="Hyperlink"/>
            <w:rFonts w:eastAsia="Calibri" w:cs="Arial"/>
            <w:color w:val="auto"/>
            <w:sz w:val="20"/>
            <w:szCs w:val="20"/>
            <w:u w:val="none"/>
          </w:rPr>
          <w:t>Tony.mendoza@sierraclub.org</w:t>
        </w:r>
      </w:hyperlink>
    </w:p>
    <w:p w14:paraId="14D76797" w14:textId="77777777" w:rsidR="00A65BF2" w:rsidRPr="005F3292" w:rsidRDefault="00A65BF2" w:rsidP="00A65BF2">
      <w:pPr>
        <w:spacing w:line="240" w:lineRule="auto"/>
        <w:rPr>
          <w:rFonts w:eastAsia="Calibri" w:cs="Arial"/>
          <w:sz w:val="20"/>
          <w:szCs w:val="20"/>
        </w:rPr>
      </w:pPr>
    </w:p>
    <w:p w14:paraId="26ADC2B4" w14:textId="77777777" w:rsidR="00A65BF2" w:rsidRPr="005F3292" w:rsidRDefault="00A65BF2" w:rsidP="00A65BF2">
      <w:pPr>
        <w:spacing w:line="240" w:lineRule="auto"/>
        <w:rPr>
          <w:rFonts w:ascii="Arial Bold" w:eastAsia="Calibri" w:hAnsi="Arial Bold" w:cs="Arial"/>
          <w:b/>
          <w:smallCaps/>
          <w:sz w:val="20"/>
          <w:szCs w:val="20"/>
        </w:rPr>
      </w:pPr>
      <w:r w:rsidRPr="005F3292">
        <w:rPr>
          <w:rFonts w:ascii="Arial Bold" w:eastAsia="Calibri" w:hAnsi="Arial Bold" w:cs="Arial"/>
          <w:b/>
          <w:smallCaps/>
          <w:sz w:val="20"/>
          <w:szCs w:val="20"/>
        </w:rPr>
        <w:t>Counsel for Sierra Club</w:t>
      </w:r>
    </w:p>
    <w:p w14:paraId="73134BBA" w14:textId="77777777" w:rsidR="00A65BF2" w:rsidRPr="005F3292" w:rsidRDefault="00A65BF2" w:rsidP="00A65BF2">
      <w:pPr>
        <w:spacing w:line="240" w:lineRule="auto"/>
        <w:rPr>
          <w:rFonts w:ascii="Arial Bold" w:eastAsia="Calibri" w:hAnsi="Arial Bold" w:cs="Arial"/>
          <w:b/>
          <w:smallCaps/>
          <w:sz w:val="20"/>
          <w:szCs w:val="20"/>
        </w:rPr>
      </w:pPr>
    </w:p>
    <w:p w14:paraId="464D24B1"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Steven D. Lesser</w:t>
      </w:r>
    </w:p>
    <w:p w14:paraId="1885798A"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James F. Lang</w:t>
      </w:r>
    </w:p>
    <w:p w14:paraId="53945170"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N. Trevor Alexander</w:t>
      </w:r>
    </w:p>
    <w:p w14:paraId="7C051944"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Calfee, Halter &amp; Griswold LLP</w:t>
      </w:r>
    </w:p>
    <w:p w14:paraId="6AA72EE6"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41 S. High St.</w:t>
      </w:r>
    </w:p>
    <w:p w14:paraId="2ABF2EA8"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1200 Huntington Center</w:t>
      </w:r>
    </w:p>
    <w:p w14:paraId="036DBB9A"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Columbus, OH  43215</w:t>
      </w:r>
    </w:p>
    <w:p w14:paraId="23C2AAE2" w14:textId="77777777" w:rsidR="00A65BF2" w:rsidRPr="005F3292" w:rsidRDefault="002A78B9" w:rsidP="00A65BF2">
      <w:pPr>
        <w:spacing w:line="240" w:lineRule="auto"/>
        <w:rPr>
          <w:rFonts w:eastAsia="Calibri" w:cs="Arial"/>
          <w:sz w:val="20"/>
          <w:szCs w:val="20"/>
        </w:rPr>
      </w:pPr>
      <w:hyperlink r:id="rId48" w:history="1">
        <w:r w:rsidR="00A65BF2" w:rsidRPr="005F3292">
          <w:rPr>
            <w:rStyle w:val="Hyperlink"/>
            <w:rFonts w:eastAsia="Calibri" w:cs="Arial"/>
            <w:color w:val="auto"/>
            <w:sz w:val="20"/>
            <w:szCs w:val="20"/>
            <w:u w:val="none"/>
          </w:rPr>
          <w:t>slesser@calfee.com</w:t>
        </w:r>
      </w:hyperlink>
    </w:p>
    <w:p w14:paraId="7E2272D2" w14:textId="77777777" w:rsidR="00A65BF2" w:rsidRPr="005F3292" w:rsidRDefault="002A78B9" w:rsidP="00A65BF2">
      <w:pPr>
        <w:spacing w:line="240" w:lineRule="auto"/>
        <w:rPr>
          <w:rFonts w:eastAsia="Calibri" w:cs="Arial"/>
          <w:sz w:val="20"/>
          <w:szCs w:val="20"/>
        </w:rPr>
      </w:pPr>
      <w:hyperlink r:id="rId49" w:history="1">
        <w:r w:rsidR="00A65BF2" w:rsidRPr="005F3292">
          <w:rPr>
            <w:rStyle w:val="Hyperlink"/>
            <w:rFonts w:eastAsia="Calibri" w:cs="Arial"/>
            <w:color w:val="auto"/>
            <w:sz w:val="20"/>
            <w:szCs w:val="20"/>
            <w:u w:val="none"/>
          </w:rPr>
          <w:t>jlang@calfee.com</w:t>
        </w:r>
      </w:hyperlink>
    </w:p>
    <w:p w14:paraId="0A9BD083" w14:textId="77777777" w:rsidR="00A65BF2" w:rsidRPr="005F3292" w:rsidRDefault="002A78B9" w:rsidP="00A65BF2">
      <w:pPr>
        <w:spacing w:line="240" w:lineRule="auto"/>
        <w:rPr>
          <w:rFonts w:eastAsia="Calibri" w:cs="Arial"/>
          <w:sz w:val="20"/>
          <w:szCs w:val="20"/>
        </w:rPr>
      </w:pPr>
      <w:hyperlink r:id="rId50" w:history="1">
        <w:r w:rsidR="00A65BF2" w:rsidRPr="005F3292">
          <w:rPr>
            <w:rStyle w:val="Hyperlink"/>
            <w:rFonts w:eastAsia="Calibri" w:cs="Arial"/>
            <w:color w:val="auto"/>
            <w:sz w:val="20"/>
            <w:szCs w:val="20"/>
            <w:u w:val="none"/>
          </w:rPr>
          <w:t>talexander@calfee.com</w:t>
        </w:r>
      </w:hyperlink>
    </w:p>
    <w:p w14:paraId="169AEC90" w14:textId="77777777" w:rsidR="00A65BF2" w:rsidRPr="005F3292" w:rsidRDefault="00A65BF2" w:rsidP="00A65BF2">
      <w:pPr>
        <w:spacing w:line="240" w:lineRule="auto"/>
        <w:rPr>
          <w:rFonts w:eastAsia="Calibri" w:cs="Arial"/>
          <w:sz w:val="20"/>
          <w:szCs w:val="20"/>
        </w:rPr>
      </w:pPr>
    </w:p>
    <w:p w14:paraId="507201EA" w14:textId="77777777" w:rsidR="00A65BF2" w:rsidRPr="005F3292" w:rsidRDefault="00A65BF2" w:rsidP="00A65BF2">
      <w:pPr>
        <w:spacing w:line="240" w:lineRule="auto"/>
        <w:rPr>
          <w:rFonts w:ascii="Arial Bold" w:eastAsia="Calibri" w:hAnsi="Arial Bold" w:cs="Arial"/>
          <w:b/>
          <w:smallCaps/>
          <w:sz w:val="20"/>
          <w:szCs w:val="20"/>
        </w:rPr>
      </w:pPr>
      <w:r w:rsidRPr="005F3292">
        <w:rPr>
          <w:rFonts w:ascii="Arial Bold" w:eastAsia="Calibri" w:hAnsi="Arial Bold" w:cs="Arial"/>
          <w:b/>
          <w:smallCaps/>
          <w:sz w:val="20"/>
          <w:szCs w:val="20"/>
        </w:rPr>
        <w:t>Counsel for the City of Dayton and Honda of America Mfg., Inc.</w:t>
      </w:r>
    </w:p>
    <w:p w14:paraId="40C0514A" w14:textId="77777777" w:rsidR="00A65BF2" w:rsidRPr="005F3292" w:rsidRDefault="00A65BF2" w:rsidP="00A65BF2">
      <w:pPr>
        <w:spacing w:line="240" w:lineRule="auto"/>
        <w:rPr>
          <w:rFonts w:ascii="Arial Bold" w:eastAsia="Calibri" w:hAnsi="Arial Bold" w:cs="Arial"/>
          <w:b/>
          <w:smallCaps/>
          <w:sz w:val="20"/>
          <w:szCs w:val="20"/>
        </w:rPr>
      </w:pPr>
    </w:p>
    <w:p w14:paraId="2CFB5136" w14:textId="77777777" w:rsidR="00A65BF2" w:rsidRPr="005F3292" w:rsidRDefault="00A65BF2" w:rsidP="00A65BF2">
      <w:pPr>
        <w:spacing w:line="240" w:lineRule="auto"/>
        <w:rPr>
          <w:rFonts w:cs="Arial"/>
          <w:sz w:val="20"/>
          <w:szCs w:val="20"/>
        </w:rPr>
      </w:pPr>
      <w:r w:rsidRPr="005F3292">
        <w:rPr>
          <w:rFonts w:cs="Arial"/>
          <w:sz w:val="20"/>
          <w:szCs w:val="20"/>
        </w:rPr>
        <w:t>Amy B. Spiller</w:t>
      </w:r>
    </w:p>
    <w:p w14:paraId="4067497A" w14:textId="77777777" w:rsidR="00A65BF2" w:rsidRPr="005F3292" w:rsidRDefault="00A65BF2" w:rsidP="00A65BF2">
      <w:pPr>
        <w:spacing w:line="240" w:lineRule="auto"/>
        <w:rPr>
          <w:rFonts w:cs="Arial"/>
          <w:sz w:val="20"/>
          <w:szCs w:val="20"/>
        </w:rPr>
      </w:pPr>
      <w:r w:rsidRPr="005F3292">
        <w:rPr>
          <w:rFonts w:cs="Arial"/>
          <w:sz w:val="20"/>
          <w:szCs w:val="20"/>
        </w:rPr>
        <w:t>Elizabeth H. Watts</w:t>
      </w:r>
    </w:p>
    <w:p w14:paraId="557AA463" w14:textId="77777777" w:rsidR="00A65BF2" w:rsidRPr="005F3292" w:rsidRDefault="00A65BF2" w:rsidP="00A65BF2">
      <w:pPr>
        <w:spacing w:line="240" w:lineRule="auto"/>
        <w:rPr>
          <w:rFonts w:cs="Arial"/>
          <w:sz w:val="20"/>
          <w:szCs w:val="20"/>
        </w:rPr>
      </w:pPr>
      <w:r w:rsidRPr="005F3292">
        <w:rPr>
          <w:rFonts w:cs="Arial"/>
          <w:sz w:val="20"/>
          <w:szCs w:val="20"/>
        </w:rPr>
        <w:t>Jeanne W. Kingery</w:t>
      </w:r>
    </w:p>
    <w:p w14:paraId="5D01465A" w14:textId="77777777" w:rsidR="00A65BF2" w:rsidRPr="005F3292" w:rsidRDefault="00A65BF2" w:rsidP="00A65BF2">
      <w:pPr>
        <w:spacing w:line="240" w:lineRule="auto"/>
        <w:rPr>
          <w:rFonts w:cs="Arial"/>
          <w:sz w:val="20"/>
          <w:szCs w:val="20"/>
        </w:rPr>
      </w:pPr>
      <w:r w:rsidRPr="005F3292">
        <w:rPr>
          <w:rFonts w:cs="Arial"/>
          <w:sz w:val="20"/>
          <w:szCs w:val="20"/>
        </w:rPr>
        <w:t>139 East Fourth Street</w:t>
      </w:r>
    </w:p>
    <w:p w14:paraId="14F4C31D" w14:textId="77777777" w:rsidR="00A65BF2" w:rsidRPr="005F3292" w:rsidRDefault="00A65BF2" w:rsidP="00A65BF2">
      <w:pPr>
        <w:spacing w:line="240" w:lineRule="auto"/>
        <w:rPr>
          <w:rFonts w:cs="Arial"/>
          <w:sz w:val="20"/>
          <w:szCs w:val="20"/>
        </w:rPr>
      </w:pPr>
      <w:r w:rsidRPr="005F3292">
        <w:rPr>
          <w:rFonts w:cs="Arial"/>
          <w:sz w:val="20"/>
          <w:szCs w:val="20"/>
        </w:rPr>
        <w:t>1303-Main</w:t>
      </w:r>
    </w:p>
    <w:p w14:paraId="0CEDEFE7" w14:textId="77777777" w:rsidR="00A65BF2" w:rsidRPr="005F3292" w:rsidRDefault="00A65BF2" w:rsidP="00A65BF2">
      <w:pPr>
        <w:spacing w:line="240" w:lineRule="auto"/>
        <w:rPr>
          <w:rFonts w:cs="Arial"/>
          <w:sz w:val="20"/>
          <w:szCs w:val="20"/>
        </w:rPr>
      </w:pPr>
      <w:r w:rsidRPr="005F3292">
        <w:rPr>
          <w:rFonts w:cs="Arial"/>
          <w:sz w:val="20"/>
          <w:szCs w:val="20"/>
        </w:rPr>
        <w:t>Cincinnati, OH  45202</w:t>
      </w:r>
    </w:p>
    <w:p w14:paraId="1F192585" w14:textId="77777777" w:rsidR="00A65BF2" w:rsidRPr="005F3292" w:rsidRDefault="00A65BF2" w:rsidP="00A65BF2">
      <w:pPr>
        <w:spacing w:line="240" w:lineRule="auto"/>
        <w:rPr>
          <w:rFonts w:cs="Arial"/>
          <w:sz w:val="20"/>
          <w:szCs w:val="20"/>
        </w:rPr>
      </w:pPr>
      <w:r w:rsidRPr="005F3292">
        <w:rPr>
          <w:rFonts w:cs="Arial"/>
          <w:sz w:val="20"/>
          <w:szCs w:val="20"/>
        </w:rPr>
        <w:t>Amy.Spiller@Duke-Energy.com</w:t>
      </w:r>
    </w:p>
    <w:p w14:paraId="22C1266D" w14:textId="77777777" w:rsidR="00A65BF2" w:rsidRPr="005F3292" w:rsidRDefault="00A65BF2" w:rsidP="00A65BF2">
      <w:pPr>
        <w:spacing w:line="240" w:lineRule="auto"/>
        <w:rPr>
          <w:rFonts w:cs="Arial"/>
          <w:sz w:val="20"/>
          <w:szCs w:val="20"/>
        </w:rPr>
      </w:pPr>
      <w:r w:rsidRPr="005F3292">
        <w:rPr>
          <w:rFonts w:cs="Arial"/>
          <w:sz w:val="20"/>
          <w:szCs w:val="20"/>
        </w:rPr>
        <w:t>elizabeth.watts@duke-energy.com</w:t>
      </w:r>
    </w:p>
    <w:p w14:paraId="66EBE588" w14:textId="77777777" w:rsidR="00A65BF2" w:rsidRPr="005F3292" w:rsidRDefault="00A65BF2" w:rsidP="00A65BF2">
      <w:pPr>
        <w:spacing w:line="240" w:lineRule="auto"/>
        <w:rPr>
          <w:rFonts w:cs="Arial"/>
          <w:sz w:val="20"/>
          <w:szCs w:val="20"/>
        </w:rPr>
      </w:pPr>
      <w:r w:rsidRPr="005F3292">
        <w:rPr>
          <w:rFonts w:cs="Arial"/>
          <w:sz w:val="20"/>
          <w:szCs w:val="20"/>
        </w:rPr>
        <w:t>Jeanne.kingery@duke-energy.com</w:t>
      </w:r>
    </w:p>
    <w:p w14:paraId="02D18C9E" w14:textId="77777777" w:rsidR="00A65BF2" w:rsidRPr="005F3292" w:rsidRDefault="00A65BF2" w:rsidP="00A65BF2">
      <w:pPr>
        <w:spacing w:line="240" w:lineRule="auto"/>
        <w:rPr>
          <w:rFonts w:cs="Arial"/>
          <w:sz w:val="20"/>
          <w:szCs w:val="20"/>
        </w:rPr>
      </w:pPr>
    </w:p>
    <w:p w14:paraId="3C0C46B1" w14:textId="77777777" w:rsidR="00A65BF2" w:rsidRPr="005F3292" w:rsidRDefault="00A65BF2" w:rsidP="00A65BF2">
      <w:pPr>
        <w:spacing w:line="240" w:lineRule="auto"/>
        <w:rPr>
          <w:rFonts w:ascii="Arial Bold" w:eastAsia="Calibri" w:hAnsi="Arial Bold" w:cs="Arial"/>
          <w:b/>
          <w:smallCaps/>
          <w:sz w:val="20"/>
          <w:szCs w:val="20"/>
        </w:rPr>
      </w:pPr>
      <w:r w:rsidRPr="005F3292">
        <w:rPr>
          <w:rFonts w:ascii="Arial Bold" w:eastAsia="Calibri" w:hAnsi="Arial Bold" w:cs="Arial"/>
          <w:b/>
          <w:smallCaps/>
          <w:sz w:val="20"/>
          <w:szCs w:val="20"/>
        </w:rPr>
        <w:t>Counsel for Duke energy Ohio, Inc.</w:t>
      </w:r>
    </w:p>
    <w:p w14:paraId="3E00BE1C" w14:textId="77777777" w:rsidR="00A65BF2" w:rsidRPr="005F3292" w:rsidRDefault="00A65BF2" w:rsidP="00A65BF2">
      <w:pPr>
        <w:spacing w:line="240" w:lineRule="auto"/>
        <w:rPr>
          <w:rFonts w:cs="Arial"/>
          <w:sz w:val="20"/>
          <w:szCs w:val="20"/>
        </w:rPr>
      </w:pPr>
    </w:p>
    <w:p w14:paraId="3D89FF6E"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Lisa Hawrot</w:t>
      </w:r>
    </w:p>
    <w:p w14:paraId="7218EED5"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Spilman Thomas &amp; Battle, PLLC</w:t>
      </w:r>
    </w:p>
    <w:p w14:paraId="418F5358"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Century Centre Building</w:t>
      </w:r>
    </w:p>
    <w:p w14:paraId="327D3B73"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1233 Main Street, Suite 4000</w:t>
      </w:r>
    </w:p>
    <w:p w14:paraId="095E7483"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Wheeling, WV 26003</w:t>
      </w:r>
    </w:p>
    <w:p w14:paraId="07A86EE1" w14:textId="77777777" w:rsidR="00A65BF2" w:rsidRPr="005F3292" w:rsidRDefault="002A78B9" w:rsidP="00A65BF2">
      <w:pPr>
        <w:spacing w:line="240" w:lineRule="auto"/>
        <w:rPr>
          <w:rFonts w:eastAsia="Calibri" w:cs="Arial"/>
          <w:sz w:val="20"/>
          <w:szCs w:val="20"/>
        </w:rPr>
      </w:pPr>
      <w:hyperlink r:id="rId51" w:history="1">
        <w:r w:rsidR="00A65BF2" w:rsidRPr="005F3292">
          <w:rPr>
            <w:rStyle w:val="Hyperlink"/>
            <w:rFonts w:eastAsia="Calibri" w:cs="Arial"/>
            <w:color w:val="auto"/>
            <w:sz w:val="20"/>
            <w:szCs w:val="20"/>
            <w:u w:val="none"/>
          </w:rPr>
          <w:t>lhawrot@spilmanlaw.com</w:t>
        </w:r>
      </w:hyperlink>
    </w:p>
    <w:p w14:paraId="4DC3E717"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Derrick Price Williamson</w:t>
      </w:r>
    </w:p>
    <w:p w14:paraId="6F85455A"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Spilman Thomas &amp; Battle, PLLC</w:t>
      </w:r>
    </w:p>
    <w:p w14:paraId="66C29264"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1100 Bent Creek Blvd., Suite 101</w:t>
      </w:r>
    </w:p>
    <w:p w14:paraId="5176FA8B" w14:textId="77777777" w:rsidR="00A65BF2" w:rsidRPr="005F3292" w:rsidRDefault="00A65BF2" w:rsidP="00A65BF2">
      <w:pPr>
        <w:spacing w:line="240" w:lineRule="auto"/>
        <w:rPr>
          <w:rFonts w:cs="Arial"/>
          <w:sz w:val="20"/>
          <w:szCs w:val="20"/>
        </w:rPr>
      </w:pPr>
      <w:r w:rsidRPr="005F3292">
        <w:rPr>
          <w:rFonts w:cs="Arial"/>
          <w:sz w:val="20"/>
          <w:szCs w:val="20"/>
        </w:rPr>
        <w:t>Mechanicsburg, PA  17050</w:t>
      </w:r>
    </w:p>
    <w:p w14:paraId="5C7675C5" w14:textId="77777777" w:rsidR="00A65BF2" w:rsidRPr="005F3292" w:rsidRDefault="002A78B9" w:rsidP="00A65BF2">
      <w:pPr>
        <w:spacing w:line="240" w:lineRule="auto"/>
        <w:rPr>
          <w:rFonts w:cs="Arial"/>
          <w:sz w:val="20"/>
          <w:szCs w:val="20"/>
        </w:rPr>
      </w:pPr>
      <w:hyperlink r:id="rId52" w:history="1">
        <w:r w:rsidR="00A65BF2" w:rsidRPr="005F3292">
          <w:rPr>
            <w:rStyle w:val="Hyperlink"/>
            <w:rFonts w:cs="Arial"/>
            <w:color w:val="auto"/>
            <w:sz w:val="20"/>
            <w:szCs w:val="20"/>
            <w:u w:val="none"/>
          </w:rPr>
          <w:t>dwilliamson@spilmanlaw.com</w:t>
        </w:r>
      </w:hyperlink>
    </w:p>
    <w:p w14:paraId="4790E726" w14:textId="77777777" w:rsidR="00A65BF2" w:rsidRPr="005F3292" w:rsidRDefault="00A65BF2" w:rsidP="00A65BF2">
      <w:pPr>
        <w:spacing w:line="240" w:lineRule="auto"/>
        <w:rPr>
          <w:rFonts w:cs="Arial"/>
          <w:sz w:val="20"/>
          <w:szCs w:val="20"/>
        </w:rPr>
      </w:pPr>
    </w:p>
    <w:p w14:paraId="1D007BD1" w14:textId="77777777" w:rsidR="00A65BF2" w:rsidRPr="005F3292" w:rsidRDefault="00A65BF2" w:rsidP="00A65BF2">
      <w:pPr>
        <w:spacing w:line="240" w:lineRule="auto"/>
        <w:rPr>
          <w:rFonts w:cs="Arial"/>
          <w:sz w:val="20"/>
          <w:szCs w:val="20"/>
        </w:rPr>
      </w:pPr>
      <w:r w:rsidRPr="005F3292">
        <w:rPr>
          <w:rFonts w:cs="Arial"/>
          <w:sz w:val="20"/>
          <w:szCs w:val="20"/>
        </w:rPr>
        <w:t>Carrie M. Harris</w:t>
      </w:r>
    </w:p>
    <w:p w14:paraId="369AC0B1" w14:textId="77777777" w:rsidR="00A65BF2" w:rsidRPr="005F3292" w:rsidRDefault="00A65BF2" w:rsidP="00A65BF2">
      <w:pPr>
        <w:spacing w:line="240" w:lineRule="auto"/>
        <w:rPr>
          <w:rFonts w:cs="Arial"/>
          <w:sz w:val="20"/>
          <w:szCs w:val="20"/>
        </w:rPr>
      </w:pPr>
      <w:r w:rsidRPr="005F3292">
        <w:rPr>
          <w:rFonts w:cs="Arial"/>
          <w:sz w:val="20"/>
          <w:szCs w:val="20"/>
        </w:rPr>
        <w:t>Spilman Thomas &amp; Battle, PLLC</w:t>
      </w:r>
    </w:p>
    <w:p w14:paraId="69DF0FE1" w14:textId="77777777" w:rsidR="00A65BF2" w:rsidRPr="005F3292" w:rsidRDefault="00A65BF2" w:rsidP="00A65BF2">
      <w:pPr>
        <w:spacing w:line="240" w:lineRule="auto"/>
        <w:rPr>
          <w:rFonts w:cs="Arial"/>
          <w:sz w:val="20"/>
          <w:szCs w:val="20"/>
        </w:rPr>
      </w:pPr>
      <w:r w:rsidRPr="005F3292">
        <w:rPr>
          <w:rFonts w:cs="Arial"/>
          <w:sz w:val="20"/>
          <w:szCs w:val="20"/>
        </w:rPr>
        <w:t>310 First Street, Suite 1100</w:t>
      </w:r>
    </w:p>
    <w:p w14:paraId="2D7112D1" w14:textId="77777777" w:rsidR="00A65BF2" w:rsidRPr="005F3292" w:rsidRDefault="00A65BF2" w:rsidP="00A65BF2">
      <w:pPr>
        <w:spacing w:line="240" w:lineRule="auto"/>
        <w:rPr>
          <w:rFonts w:cs="Arial"/>
          <w:sz w:val="20"/>
          <w:szCs w:val="20"/>
        </w:rPr>
      </w:pPr>
      <w:r w:rsidRPr="005F3292">
        <w:rPr>
          <w:rFonts w:cs="Arial"/>
          <w:sz w:val="20"/>
          <w:szCs w:val="20"/>
        </w:rPr>
        <w:t>PO Box 90</w:t>
      </w:r>
    </w:p>
    <w:p w14:paraId="65EB9ADD" w14:textId="77777777" w:rsidR="00A65BF2" w:rsidRPr="005F3292" w:rsidRDefault="00A65BF2" w:rsidP="00A65BF2">
      <w:pPr>
        <w:spacing w:line="240" w:lineRule="auto"/>
        <w:rPr>
          <w:rFonts w:cs="Arial"/>
          <w:sz w:val="20"/>
          <w:szCs w:val="20"/>
        </w:rPr>
      </w:pPr>
      <w:r w:rsidRPr="005F3292">
        <w:rPr>
          <w:rFonts w:cs="Arial"/>
          <w:sz w:val="20"/>
          <w:szCs w:val="20"/>
        </w:rPr>
        <w:t>Roanoke, VA  24002-0090</w:t>
      </w:r>
    </w:p>
    <w:p w14:paraId="1AA1004E" w14:textId="77777777" w:rsidR="00A65BF2" w:rsidRPr="005F3292" w:rsidRDefault="002A78B9" w:rsidP="00A65BF2">
      <w:pPr>
        <w:spacing w:line="240" w:lineRule="auto"/>
        <w:rPr>
          <w:rFonts w:cs="Arial"/>
          <w:sz w:val="20"/>
          <w:szCs w:val="20"/>
        </w:rPr>
      </w:pPr>
      <w:hyperlink r:id="rId53" w:history="1">
        <w:r w:rsidR="00A65BF2" w:rsidRPr="005F3292">
          <w:rPr>
            <w:rStyle w:val="Hyperlink"/>
            <w:rFonts w:cs="Arial"/>
            <w:color w:val="auto"/>
            <w:sz w:val="20"/>
            <w:szCs w:val="20"/>
            <w:u w:val="none"/>
          </w:rPr>
          <w:t>charis@spilmanlaw.com</w:t>
        </w:r>
      </w:hyperlink>
    </w:p>
    <w:p w14:paraId="2D957905" w14:textId="77777777" w:rsidR="00A65BF2" w:rsidRPr="005F3292" w:rsidRDefault="00A65BF2" w:rsidP="00A65BF2">
      <w:pPr>
        <w:spacing w:line="240" w:lineRule="auto"/>
        <w:rPr>
          <w:rFonts w:cs="Arial"/>
          <w:sz w:val="20"/>
          <w:szCs w:val="20"/>
        </w:rPr>
      </w:pPr>
    </w:p>
    <w:p w14:paraId="5A506FA2" w14:textId="77777777" w:rsidR="00A65BF2" w:rsidRPr="005F3292" w:rsidRDefault="00A65BF2" w:rsidP="00A65BF2">
      <w:pPr>
        <w:spacing w:line="240" w:lineRule="auto"/>
        <w:rPr>
          <w:rFonts w:ascii="Arial Bold" w:hAnsi="Arial Bold" w:cs="Arial"/>
          <w:b/>
          <w:smallCaps/>
          <w:sz w:val="20"/>
          <w:szCs w:val="20"/>
        </w:rPr>
      </w:pPr>
      <w:r w:rsidRPr="005F3292">
        <w:rPr>
          <w:rFonts w:ascii="Arial Bold" w:hAnsi="Arial Bold" w:cs="Arial"/>
          <w:b/>
          <w:smallCaps/>
          <w:sz w:val="20"/>
          <w:szCs w:val="20"/>
        </w:rPr>
        <w:t>Counsel to Wal-Mart Stores East, LP and Sam’s East, Inc.</w:t>
      </w:r>
    </w:p>
    <w:p w14:paraId="5AD78A3E" w14:textId="77777777" w:rsidR="00A65BF2" w:rsidRPr="005F3292" w:rsidRDefault="00A65BF2" w:rsidP="00A65BF2">
      <w:pPr>
        <w:spacing w:line="240" w:lineRule="auto"/>
        <w:rPr>
          <w:rFonts w:cs="Arial"/>
          <w:sz w:val="20"/>
          <w:szCs w:val="20"/>
        </w:rPr>
      </w:pPr>
    </w:p>
    <w:p w14:paraId="19DF580C" w14:textId="77777777" w:rsidR="00A65BF2" w:rsidRPr="005F3292" w:rsidRDefault="00A65BF2" w:rsidP="00A65BF2">
      <w:pPr>
        <w:spacing w:line="240" w:lineRule="auto"/>
        <w:rPr>
          <w:rFonts w:cs="Arial"/>
          <w:sz w:val="20"/>
          <w:szCs w:val="20"/>
        </w:rPr>
      </w:pPr>
      <w:r w:rsidRPr="005F3292">
        <w:rPr>
          <w:rFonts w:cs="Arial"/>
          <w:sz w:val="20"/>
          <w:szCs w:val="20"/>
        </w:rPr>
        <w:t>Terrence O’Donnell</w:t>
      </w:r>
    </w:p>
    <w:p w14:paraId="284190F0" w14:textId="77777777" w:rsidR="00A65BF2" w:rsidRPr="005F3292" w:rsidRDefault="00A65BF2" w:rsidP="00A65BF2">
      <w:pPr>
        <w:spacing w:line="240" w:lineRule="auto"/>
        <w:rPr>
          <w:rFonts w:cs="Arial"/>
          <w:sz w:val="20"/>
          <w:szCs w:val="20"/>
        </w:rPr>
      </w:pPr>
      <w:r w:rsidRPr="005F3292">
        <w:rPr>
          <w:rFonts w:cs="Arial"/>
          <w:sz w:val="20"/>
          <w:szCs w:val="20"/>
        </w:rPr>
        <w:t>Raymond Seiler</w:t>
      </w:r>
    </w:p>
    <w:p w14:paraId="76621316" w14:textId="77777777" w:rsidR="00A65BF2" w:rsidRPr="005F3292" w:rsidRDefault="00A65BF2" w:rsidP="00A65BF2">
      <w:pPr>
        <w:spacing w:line="240" w:lineRule="auto"/>
        <w:rPr>
          <w:rFonts w:cs="Arial"/>
          <w:sz w:val="20"/>
          <w:szCs w:val="20"/>
        </w:rPr>
      </w:pPr>
      <w:r w:rsidRPr="005F3292">
        <w:rPr>
          <w:rFonts w:cs="Arial"/>
          <w:sz w:val="20"/>
          <w:szCs w:val="20"/>
        </w:rPr>
        <w:t>Dickinson Wright PLLC</w:t>
      </w:r>
    </w:p>
    <w:p w14:paraId="2B833345" w14:textId="77777777" w:rsidR="00A65BF2" w:rsidRPr="005F3292" w:rsidRDefault="00A65BF2" w:rsidP="00A65BF2">
      <w:pPr>
        <w:spacing w:line="240" w:lineRule="auto"/>
        <w:rPr>
          <w:rFonts w:cs="Arial"/>
          <w:sz w:val="20"/>
          <w:szCs w:val="20"/>
        </w:rPr>
      </w:pPr>
      <w:r w:rsidRPr="005F3292">
        <w:rPr>
          <w:rFonts w:cs="Arial"/>
          <w:sz w:val="20"/>
          <w:szCs w:val="20"/>
        </w:rPr>
        <w:t>150 E. Gay Street, Suite 2400</w:t>
      </w:r>
    </w:p>
    <w:p w14:paraId="6352B6B4" w14:textId="77777777" w:rsidR="00A65BF2" w:rsidRPr="005F3292" w:rsidRDefault="00A65BF2" w:rsidP="00A65BF2">
      <w:pPr>
        <w:spacing w:line="240" w:lineRule="auto"/>
        <w:rPr>
          <w:rFonts w:cs="Arial"/>
          <w:sz w:val="20"/>
          <w:szCs w:val="20"/>
        </w:rPr>
      </w:pPr>
      <w:r w:rsidRPr="005F3292">
        <w:rPr>
          <w:rFonts w:cs="Arial"/>
          <w:sz w:val="20"/>
          <w:szCs w:val="20"/>
        </w:rPr>
        <w:t>Columbus, OH  43215</w:t>
      </w:r>
    </w:p>
    <w:p w14:paraId="77381305" w14:textId="77777777" w:rsidR="00A65BF2" w:rsidRPr="005F3292" w:rsidRDefault="002A78B9" w:rsidP="00A65BF2">
      <w:pPr>
        <w:spacing w:line="240" w:lineRule="auto"/>
        <w:rPr>
          <w:rFonts w:cs="Arial"/>
          <w:sz w:val="20"/>
          <w:szCs w:val="20"/>
        </w:rPr>
      </w:pPr>
      <w:hyperlink r:id="rId54" w:history="1">
        <w:r w:rsidR="00A65BF2" w:rsidRPr="005F3292">
          <w:rPr>
            <w:rStyle w:val="Hyperlink"/>
            <w:rFonts w:cs="Arial"/>
            <w:color w:val="auto"/>
            <w:sz w:val="20"/>
            <w:szCs w:val="20"/>
            <w:u w:val="none"/>
          </w:rPr>
          <w:t>todonnell@dickinsonwright.com</w:t>
        </w:r>
      </w:hyperlink>
    </w:p>
    <w:p w14:paraId="3D3E9BC8" w14:textId="77777777" w:rsidR="00A65BF2" w:rsidRPr="005F3292" w:rsidRDefault="002A78B9" w:rsidP="00A65BF2">
      <w:pPr>
        <w:spacing w:line="240" w:lineRule="auto"/>
        <w:rPr>
          <w:rFonts w:cs="Arial"/>
          <w:sz w:val="20"/>
          <w:szCs w:val="20"/>
        </w:rPr>
      </w:pPr>
      <w:hyperlink r:id="rId55" w:history="1">
        <w:r w:rsidR="00A65BF2" w:rsidRPr="005F3292">
          <w:rPr>
            <w:rStyle w:val="Hyperlink"/>
            <w:rFonts w:cs="Arial"/>
            <w:color w:val="auto"/>
            <w:sz w:val="20"/>
            <w:szCs w:val="20"/>
            <w:u w:val="none"/>
          </w:rPr>
          <w:t>rseiler@dickinsonwright.com</w:t>
        </w:r>
      </w:hyperlink>
    </w:p>
    <w:p w14:paraId="25EB0FF7" w14:textId="77777777" w:rsidR="00A65BF2" w:rsidRPr="005F3292" w:rsidRDefault="00A65BF2" w:rsidP="00A65BF2">
      <w:pPr>
        <w:spacing w:line="240" w:lineRule="auto"/>
        <w:rPr>
          <w:rFonts w:cs="Arial"/>
          <w:sz w:val="20"/>
          <w:szCs w:val="20"/>
        </w:rPr>
      </w:pPr>
    </w:p>
    <w:p w14:paraId="45D03512" w14:textId="77777777" w:rsidR="00A65BF2" w:rsidRPr="005F3292" w:rsidRDefault="00A65BF2" w:rsidP="00A65BF2">
      <w:pPr>
        <w:spacing w:line="240" w:lineRule="auto"/>
        <w:rPr>
          <w:rFonts w:ascii="Arial Bold" w:hAnsi="Arial Bold" w:cs="Arial"/>
          <w:b/>
          <w:smallCaps/>
          <w:sz w:val="20"/>
          <w:szCs w:val="20"/>
        </w:rPr>
      </w:pPr>
      <w:r w:rsidRPr="005F3292">
        <w:rPr>
          <w:rFonts w:ascii="Arial Bold" w:hAnsi="Arial Bold" w:cs="Arial"/>
          <w:b/>
          <w:smallCaps/>
          <w:sz w:val="20"/>
          <w:szCs w:val="20"/>
        </w:rPr>
        <w:t>Counsel to Mid-Atlantic Renewable Energy Coalition</w:t>
      </w:r>
    </w:p>
    <w:p w14:paraId="5F90D22C" w14:textId="77777777" w:rsidR="00A65BF2" w:rsidRPr="005F3292" w:rsidRDefault="00A65BF2" w:rsidP="00A65BF2">
      <w:pPr>
        <w:spacing w:line="240" w:lineRule="auto"/>
        <w:rPr>
          <w:rFonts w:cs="Arial"/>
          <w:sz w:val="20"/>
          <w:szCs w:val="20"/>
        </w:rPr>
      </w:pPr>
    </w:p>
    <w:p w14:paraId="51DBCBA2" w14:textId="77777777" w:rsidR="00A65BF2" w:rsidRPr="005F3292" w:rsidRDefault="00A65BF2" w:rsidP="00A65BF2">
      <w:pPr>
        <w:spacing w:line="240" w:lineRule="auto"/>
        <w:rPr>
          <w:rFonts w:cs="Arial"/>
          <w:sz w:val="20"/>
          <w:szCs w:val="20"/>
        </w:rPr>
      </w:pPr>
      <w:r w:rsidRPr="005F3292">
        <w:rPr>
          <w:rFonts w:cs="Arial"/>
          <w:sz w:val="20"/>
          <w:szCs w:val="20"/>
        </w:rPr>
        <w:t>Ellis Jacobs</w:t>
      </w:r>
    </w:p>
    <w:p w14:paraId="781FE409" w14:textId="77777777" w:rsidR="00A65BF2" w:rsidRPr="005F3292" w:rsidRDefault="00A65BF2" w:rsidP="00A65BF2">
      <w:pPr>
        <w:spacing w:line="240" w:lineRule="auto"/>
        <w:rPr>
          <w:rFonts w:cs="Arial"/>
          <w:sz w:val="20"/>
          <w:szCs w:val="20"/>
        </w:rPr>
      </w:pPr>
      <w:r w:rsidRPr="005F3292">
        <w:rPr>
          <w:rFonts w:cs="Arial"/>
          <w:sz w:val="20"/>
          <w:szCs w:val="20"/>
        </w:rPr>
        <w:t>130 West Second Street, Suite 700 East</w:t>
      </w:r>
    </w:p>
    <w:p w14:paraId="7A7C1378" w14:textId="77777777" w:rsidR="00A65BF2" w:rsidRPr="005F3292" w:rsidRDefault="00A65BF2" w:rsidP="00A65BF2">
      <w:pPr>
        <w:spacing w:line="240" w:lineRule="auto"/>
        <w:rPr>
          <w:rFonts w:cs="Arial"/>
          <w:sz w:val="20"/>
          <w:szCs w:val="20"/>
        </w:rPr>
      </w:pPr>
      <w:r w:rsidRPr="005F3292">
        <w:rPr>
          <w:rFonts w:cs="Arial"/>
          <w:sz w:val="20"/>
          <w:szCs w:val="20"/>
        </w:rPr>
        <w:t>Dayton, OH  45402</w:t>
      </w:r>
    </w:p>
    <w:p w14:paraId="0503D982" w14:textId="77777777" w:rsidR="00A65BF2" w:rsidRPr="005F3292" w:rsidRDefault="002A78B9" w:rsidP="00A65BF2">
      <w:pPr>
        <w:spacing w:line="240" w:lineRule="auto"/>
        <w:rPr>
          <w:rFonts w:cs="Arial"/>
          <w:sz w:val="20"/>
          <w:szCs w:val="20"/>
        </w:rPr>
      </w:pPr>
      <w:hyperlink r:id="rId56" w:history="1">
        <w:r w:rsidR="00A65BF2" w:rsidRPr="005F3292">
          <w:rPr>
            <w:rStyle w:val="Hyperlink"/>
            <w:rFonts w:cs="Arial"/>
            <w:color w:val="auto"/>
            <w:sz w:val="20"/>
            <w:szCs w:val="20"/>
            <w:u w:val="none"/>
          </w:rPr>
          <w:t>ejacobs@ablelaw.org</w:t>
        </w:r>
      </w:hyperlink>
    </w:p>
    <w:p w14:paraId="7FBC0DE4" w14:textId="77777777" w:rsidR="00A65BF2" w:rsidRPr="005F3292" w:rsidRDefault="00A65BF2" w:rsidP="00A65BF2">
      <w:pPr>
        <w:spacing w:line="240" w:lineRule="auto"/>
        <w:rPr>
          <w:rFonts w:cs="Arial"/>
          <w:sz w:val="20"/>
          <w:szCs w:val="20"/>
        </w:rPr>
      </w:pPr>
    </w:p>
    <w:p w14:paraId="6C6DD079" w14:textId="77777777" w:rsidR="00A65BF2" w:rsidRPr="005F3292" w:rsidRDefault="00A65BF2" w:rsidP="00A65BF2">
      <w:pPr>
        <w:spacing w:line="240" w:lineRule="auto"/>
        <w:rPr>
          <w:rFonts w:ascii="Arial Bold" w:hAnsi="Arial Bold" w:cs="Arial"/>
          <w:b/>
          <w:smallCaps/>
          <w:sz w:val="20"/>
          <w:szCs w:val="20"/>
        </w:rPr>
      </w:pPr>
      <w:r w:rsidRPr="005F3292">
        <w:rPr>
          <w:rFonts w:ascii="Arial Bold" w:hAnsi="Arial Bold" w:cs="Arial"/>
          <w:b/>
          <w:smallCaps/>
          <w:sz w:val="20"/>
          <w:szCs w:val="20"/>
        </w:rPr>
        <w:t>Counsel to Edgemont Neighborhood Coalition and Advocates for Basic Legal Equality</w:t>
      </w:r>
    </w:p>
    <w:p w14:paraId="4BE39A7B" w14:textId="77777777" w:rsidR="00A65BF2" w:rsidRPr="005F3292" w:rsidRDefault="00A65BF2" w:rsidP="00A65BF2">
      <w:pPr>
        <w:spacing w:line="240" w:lineRule="auto"/>
        <w:rPr>
          <w:rFonts w:cs="Arial"/>
          <w:sz w:val="20"/>
          <w:szCs w:val="20"/>
        </w:rPr>
      </w:pPr>
    </w:p>
    <w:p w14:paraId="75AA4981" w14:textId="77777777" w:rsidR="00A65BF2" w:rsidRPr="005F3292" w:rsidRDefault="00A65BF2" w:rsidP="00A65BF2">
      <w:pPr>
        <w:spacing w:line="240" w:lineRule="auto"/>
        <w:rPr>
          <w:rFonts w:cs="Arial"/>
          <w:sz w:val="20"/>
          <w:szCs w:val="20"/>
        </w:rPr>
      </w:pPr>
      <w:r w:rsidRPr="005F3292">
        <w:rPr>
          <w:rFonts w:cs="Arial"/>
          <w:sz w:val="20"/>
          <w:szCs w:val="20"/>
        </w:rPr>
        <w:t>John R. Doll</w:t>
      </w:r>
    </w:p>
    <w:p w14:paraId="20D2DE7D" w14:textId="77777777" w:rsidR="00A65BF2" w:rsidRPr="005F3292" w:rsidRDefault="00A65BF2" w:rsidP="00A65BF2">
      <w:pPr>
        <w:spacing w:line="240" w:lineRule="auto"/>
        <w:rPr>
          <w:rFonts w:cs="Arial"/>
          <w:sz w:val="20"/>
          <w:szCs w:val="20"/>
        </w:rPr>
      </w:pPr>
      <w:r w:rsidRPr="005F3292">
        <w:rPr>
          <w:rFonts w:cs="Arial"/>
          <w:sz w:val="20"/>
          <w:szCs w:val="20"/>
        </w:rPr>
        <w:t>Matthew T. Crawford</w:t>
      </w:r>
    </w:p>
    <w:p w14:paraId="54AE285E" w14:textId="77777777" w:rsidR="00A65BF2" w:rsidRPr="005F3292" w:rsidRDefault="00A65BF2" w:rsidP="00A65BF2">
      <w:pPr>
        <w:spacing w:line="240" w:lineRule="auto"/>
        <w:rPr>
          <w:rFonts w:cs="Arial"/>
          <w:sz w:val="20"/>
          <w:szCs w:val="20"/>
        </w:rPr>
      </w:pPr>
      <w:r w:rsidRPr="005F3292">
        <w:rPr>
          <w:rFonts w:cs="Arial"/>
          <w:sz w:val="20"/>
          <w:szCs w:val="20"/>
        </w:rPr>
        <w:t>111 W. First Street, Suite 1100</w:t>
      </w:r>
    </w:p>
    <w:p w14:paraId="384F7883" w14:textId="77777777" w:rsidR="00A65BF2" w:rsidRPr="005F3292" w:rsidRDefault="00A65BF2" w:rsidP="00A65BF2">
      <w:pPr>
        <w:spacing w:line="240" w:lineRule="auto"/>
        <w:rPr>
          <w:rFonts w:cs="Arial"/>
          <w:sz w:val="20"/>
          <w:szCs w:val="20"/>
        </w:rPr>
      </w:pPr>
      <w:r w:rsidRPr="005F3292">
        <w:rPr>
          <w:rFonts w:cs="Arial"/>
          <w:sz w:val="20"/>
          <w:szCs w:val="20"/>
        </w:rPr>
        <w:t>Dayton, OH  45402-1156</w:t>
      </w:r>
    </w:p>
    <w:p w14:paraId="5BCF15AD" w14:textId="77777777" w:rsidR="00A65BF2" w:rsidRPr="005F3292" w:rsidRDefault="002A78B9" w:rsidP="00A65BF2">
      <w:pPr>
        <w:spacing w:line="240" w:lineRule="auto"/>
        <w:rPr>
          <w:rFonts w:cs="Arial"/>
          <w:sz w:val="20"/>
          <w:szCs w:val="20"/>
        </w:rPr>
      </w:pPr>
      <w:hyperlink r:id="rId57" w:history="1">
        <w:r w:rsidR="00A65BF2" w:rsidRPr="005F3292">
          <w:rPr>
            <w:rStyle w:val="Hyperlink"/>
            <w:rFonts w:cs="Arial"/>
            <w:color w:val="auto"/>
            <w:sz w:val="20"/>
            <w:szCs w:val="20"/>
            <w:u w:val="none"/>
          </w:rPr>
          <w:t>jdoll@djflawfirm.com</w:t>
        </w:r>
      </w:hyperlink>
    </w:p>
    <w:p w14:paraId="327F70C1" w14:textId="77777777" w:rsidR="00A65BF2" w:rsidRPr="005F3292" w:rsidRDefault="002A78B9" w:rsidP="00A65BF2">
      <w:pPr>
        <w:spacing w:line="240" w:lineRule="auto"/>
        <w:rPr>
          <w:rFonts w:cs="Arial"/>
          <w:sz w:val="20"/>
          <w:szCs w:val="20"/>
        </w:rPr>
      </w:pPr>
      <w:hyperlink r:id="rId58" w:history="1">
        <w:r w:rsidR="00A65BF2" w:rsidRPr="005F3292">
          <w:rPr>
            <w:rStyle w:val="Hyperlink"/>
            <w:rFonts w:cs="Arial"/>
            <w:color w:val="auto"/>
            <w:sz w:val="20"/>
            <w:szCs w:val="20"/>
            <w:u w:val="none"/>
          </w:rPr>
          <w:t>mcrawcord@djflawfirm.com</w:t>
        </w:r>
      </w:hyperlink>
    </w:p>
    <w:p w14:paraId="5E156CF6" w14:textId="77777777" w:rsidR="00A65BF2" w:rsidRPr="005F3292" w:rsidRDefault="00A65BF2" w:rsidP="00A65BF2">
      <w:pPr>
        <w:spacing w:line="240" w:lineRule="auto"/>
        <w:rPr>
          <w:rFonts w:cs="Arial"/>
          <w:sz w:val="20"/>
          <w:szCs w:val="20"/>
        </w:rPr>
      </w:pPr>
    </w:p>
    <w:p w14:paraId="7701F2D4" w14:textId="77777777" w:rsidR="00A65BF2" w:rsidRPr="005F3292" w:rsidRDefault="00A65BF2" w:rsidP="00A65BF2">
      <w:pPr>
        <w:spacing w:line="240" w:lineRule="auto"/>
        <w:rPr>
          <w:rFonts w:ascii="Arial Bold" w:hAnsi="Arial Bold" w:cs="Arial"/>
          <w:b/>
          <w:smallCaps/>
          <w:sz w:val="20"/>
          <w:szCs w:val="20"/>
        </w:rPr>
      </w:pPr>
      <w:r w:rsidRPr="005F3292">
        <w:rPr>
          <w:rFonts w:ascii="Arial Bold" w:hAnsi="Arial Bold" w:cs="Arial"/>
          <w:b/>
          <w:smallCaps/>
          <w:sz w:val="20"/>
          <w:szCs w:val="20"/>
        </w:rPr>
        <w:t>Counsel for Utility Workers of America, Local 175</w:t>
      </w:r>
    </w:p>
    <w:p w14:paraId="20CDAA93" w14:textId="77777777" w:rsidR="00A65BF2" w:rsidRPr="005F3292" w:rsidRDefault="00A65BF2" w:rsidP="00A65BF2">
      <w:pPr>
        <w:spacing w:line="240" w:lineRule="auto"/>
        <w:rPr>
          <w:rFonts w:cs="Arial"/>
          <w:sz w:val="20"/>
          <w:szCs w:val="20"/>
        </w:rPr>
      </w:pPr>
    </w:p>
    <w:p w14:paraId="0D15911D" w14:textId="77777777" w:rsidR="00A65BF2" w:rsidRPr="005F3292" w:rsidRDefault="00A65BF2" w:rsidP="00A65BF2">
      <w:pPr>
        <w:spacing w:line="240" w:lineRule="auto"/>
        <w:rPr>
          <w:rFonts w:cs="Arial"/>
          <w:sz w:val="20"/>
          <w:szCs w:val="20"/>
        </w:rPr>
      </w:pPr>
      <w:r w:rsidRPr="005F3292">
        <w:rPr>
          <w:rFonts w:cs="Arial"/>
          <w:sz w:val="20"/>
          <w:szCs w:val="20"/>
        </w:rPr>
        <w:t>Devin Parram</w:t>
      </w:r>
    </w:p>
    <w:p w14:paraId="0F6CB27F" w14:textId="77777777" w:rsidR="00A65BF2" w:rsidRPr="005F3292" w:rsidRDefault="00A65BF2" w:rsidP="00A65BF2">
      <w:pPr>
        <w:spacing w:line="240" w:lineRule="auto"/>
        <w:rPr>
          <w:rFonts w:cs="Arial"/>
          <w:sz w:val="20"/>
          <w:szCs w:val="20"/>
        </w:rPr>
      </w:pPr>
      <w:r w:rsidRPr="005F3292">
        <w:rPr>
          <w:rFonts w:cs="Arial"/>
          <w:sz w:val="20"/>
          <w:szCs w:val="20"/>
        </w:rPr>
        <w:t>Taft Stettinius &amp; Hollister LLP</w:t>
      </w:r>
    </w:p>
    <w:p w14:paraId="58086503" w14:textId="77777777" w:rsidR="00A65BF2" w:rsidRPr="005F3292" w:rsidRDefault="00A65BF2" w:rsidP="00A65BF2">
      <w:pPr>
        <w:spacing w:line="240" w:lineRule="auto"/>
        <w:rPr>
          <w:rFonts w:cs="Arial"/>
          <w:sz w:val="20"/>
          <w:szCs w:val="20"/>
        </w:rPr>
      </w:pPr>
      <w:r w:rsidRPr="005F3292">
        <w:rPr>
          <w:rFonts w:cs="Arial"/>
          <w:sz w:val="20"/>
          <w:szCs w:val="20"/>
        </w:rPr>
        <w:t>65 E. State St., Suite 1000</w:t>
      </w:r>
    </w:p>
    <w:p w14:paraId="55180ABE" w14:textId="77777777" w:rsidR="00A65BF2" w:rsidRPr="005F3292" w:rsidRDefault="00A65BF2" w:rsidP="00A65BF2">
      <w:pPr>
        <w:spacing w:line="240" w:lineRule="auto"/>
        <w:rPr>
          <w:rFonts w:cs="Arial"/>
          <w:sz w:val="20"/>
          <w:szCs w:val="20"/>
        </w:rPr>
      </w:pPr>
      <w:r w:rsidRPr="005F3292">
        <w:rPr>
          <w:rFonts w:cs="Arial"/>
          <w:sz w:val="20"/>
          <w:szCs w:val="20"/>
        </w:rPr>
        <w:t>Columbus, OH  43215</w:t>
      </w:r>
    </w:p>
    <w:p w14:paraId="1660EF05" w14:textId="77777777" w:rsidR="00A65BF2" w:rsidRPr="005F3292" w:rsidRDefault="002A78B9" w:rsidP="00A65BF2">
      <w:pPr>
        <w:spacing w:line="240" w:lineRule="auto"/>
        <w:rPr>
          <w:rFonts w:cs="Arial"/>
          <w:sz w:val="20"/>
          <w:szCs w:val="20"/>
        </w:rPr>
      </w:pPr>
      <w:hyperlink r:id="rId59" w:history="1">
        <w:r w:rsidR="00A65BF2" w:rsidRPr="005F3292">
          <w:rPr>
            <w:rStyle w:val="Hyperlink"/>
            <w:rFonts w:cs="Arial"/>
            <w:color w:val="auto"/>
            <w:sz w:val="20"/>
            <w:szCs w:val="20"/>
            <w:u w:val="none"/>
          </w:rPr>
          <w:t>dparram@taftlaw.com</w:t>
        </w:r>
      </w:hyperlink>
    </w:p>
    <w:p w14:paraId="1FBE5E0C" w14:textId="77777777" w:rsidR="00A65BF2" w:rsidRPr="005F3292" w:rsidRDefault="00A65BF2" w:rsidP="00A65BF2">
      <w:pPr>
        <w:spacing w:line="240" w:lineRule="auto"/>
        <w:rPr>
          <w:rFonts w:cs="Arial"/>
          <w:sz w:val="20"/>
          <w:szCs w:val="20"/>
        </w:rPr>
      </w:pPr>
    </w:p>
    <w:p w14:paraId="652AB3EB" w14:textId="77777777" w:rsidR="00A65BF2" w:rsidRPr="005F3292" w:rsidRDefault="00A65BF2" w:rsidP="00A65BF2">
      <w:pPr>
        <w:spacing w:line="240" w:lineRule="auto"/>
        <w:rPr>
          <w:rFonts w:ascii="Arial Bold" w:hAnsi="Arial Bold" w:cs="Arial"/>
          <w:b/>
          <w:smallCaps/>
          <w:sz w:val="20"/>
          <w:szCs w:val="20"/>
        </w:rPr>
      </w:pPr>
      <w:r w:rsidRPr="005F3292">
        <w:rPr>
          <w:rFonts w:ascii="Arial Bold" w:hAnsi="Arial Bold" w:cs="Arial"/>
          <w:b/>
          <w:smallCaps/>
          <w:sz w:val="20"/>
          <w:szCs w:val="20"/>
        </w:rPr>
        <w:t>Counsel for People Working Cooperatively, Inc.</w:t>
      </w:r>
    </w:p>
    <w:p w14:paraId="32453C1A" w14:textId="77777777" w:rsidR="00A65BF2" w:rsidRPr="005F3292" w:rsidRDefault="00A65BF2" w:rsidP="00A65BF2">
      <w:pPr>
        <w:spacing w:line="240" w:lineRule="auto"/>
        <w:rPr>
          <w:rFonts w:cs="Arial"/>
          <w:sz w:val="20"/>
          <w:szCs w:val="20"/>
        </w:rPr>
      </w:pPr>
    </w:p>
    <w:p w14:paraId="65D78373" w14:textId="77777777" w:rsidR="00B9367B" w:rsidRDefault="00B9367B" w:rsidP="00A65BF2">
      <w:pPr>
        <w:spacing w:line="240" w:lineRule="auto"/>
        <w:rPr>
          <w:rFonts w:cs="Arial"/>
          <w:sz w:val="20"/>
          <w:szCs w:val="20"/>
        </w:rPr>
        <w:sectPr w:rsidR="00B9367B" w:rsidSect="00B9367B">
          <w:type w:val="continuous"/>
          <w:pgSz w:w="12240" w:h="15840" w:code="1"/>
          <w:pgMar w:top="1440" w:right="1440" w:bottom="1440" w:left="1440" w:header="720" w:footer="720" w:gutter="0"/>
          <w:cols w:num="2" w:space="720"/>
          <w:titlePg/>
          <w:docGrid w:linePitch="360"/>
        </w:sectPr>
      </w:pPr>
    </w:p>
    <w:p w14:paraId="251F8358" w14:textId="1D7D2A96" w:rsidR="00A65BF2" w:rsidRPr="005F3292" w:rsidRDefault="00A65BF2" w:rsidP="00A65BF2">
      <w:pPr>
        <w:spacing w:line="240" w:lineRule="auto"/>
        <w:rPr>
          <w:rFonts w:cs="Arial"/>
          <w:sz w:val="20"/>
          <w:szCs w:val="20"/>
        </w:rPr>
      </w:pPr>
      <w:r w:rsidRPr="005F3292">
        <w:rPr>
          <w:rFonts w:cs="Arial"/>
          <w:sz w:val="20"/>
          <w:szCs w:val="20"/>
        </w:rPr>
        <w:lastRenderedPageBreak/>
        <w:t>William L. Wright</w:t>
      </w:r>
    </w:p>
    <w:p w14:paraId="44FE8EE6" w14:textId="77777777" w:rsidR="00A65BF2" w:rsidRPr="005F3292" w:rsidRDefault="00A65BF2" w:rsidP="00A65BF2">
      <w:pPr>
        <w:spacing w:line="240" w:lineRule="auto"/>
        <w:rPr>
          <w:rFonts w:cs="Arial"/>
          <w:sz w:val="20"/>
          <w:szCs w:val="20"/>
        </w:rPr>
      </w:pPr>
      <w:r w:rsidRPr="005F3292">
        <w:rPr>
          <w:rFonts w:cs="Arial"/>
          <w:sz w:val="20"/>
          <w:szCs w:val="20"/>
        </w:rPr>
        <w:t>Chief, Public Utilities Section</w:t>
      </w:r>
    </w:p>
    <w:p w14:paraId="74BCF5C7" w14:textId="77777777" w:rsidR="00A65BF2" w:rsidRPr="005F3292" w:rsidRDefault="00A65BF2" w:rsidP="00A65BF2">
      <w:pPr>
        <w:autoSpaceDE w:val="0"/>
        <w:autoSpaceDN w:val="0"/>
        <w:adjustRightInd w:val="0"/>
        <w:snapToGrid w:val="0"/>
        <w:spacing w:line="240" w:lineRule="auto"/>
        <w:rPr>
          <w:rFonts w:cs="Arial"/>
          <w:sz w:val="20"/>
          <w:szCs w:val="20"/>
        </w:rPr>
      </w:pPr>
      <w:r w:rsidRPr="005F3292">
        <w:rPr>
          <w:rFonts w:cs="Arial"/>
          <w:sz w:val="20"/>
          <w:szCs w:val="20"/>
        </w:rPr>
        <w:t>Office of Attorney General</w:t>
      </w:r>
    </w:p>
    <w:p w14:paraId="102DC689" w14:textId="77777777" w:rsidR="00A65BF2" w:rsidRPr="005F3292" w:rsidRDefault="00A65BF2" w:rsidP="00A65BF2">
      <w:pPr>
        <w:autoSpaceDE w:val="0"/>
        <w:autoSpaceDN w:val="0"/>
        <w:adjustRightInd w:val="0"/>
        <w:snapToGrid w:val="0"/>
        <w:spacing w:line="240" w:lineRule="auto"/>
        <w:rPr>
          <w:rFonts w:cs="Arial"/>
          <w:sz w:val="20"/>
          <w:szCs w:val="20"/>
        </w:rPr>
      </w:pPr>
      <w:r w:rsidRPr="005F3292">
        <w:rPr>
          <w:rFonts w:cs="Arial"/>
          <w:sz w:val="20"/>
          <w:szCs w:val="20"/>
        </w:rPr>
        <w:t>30 East Broad Street, 16th Floor</w:t>
      </w:r>
    </w:p>
    <w:p w14:paraId="47263755" w14:textId="77777777" w:rsidR="00A65BF2" w:rsidRPr="005F3292" w:rsidRDefault="00A65BF2" w:rsidP="00A65BF2">
      <w:pPr>
        <w:autoSpaceDE w:val="0"/>
        <w:autoSpaceDN w:val="0"/>
        <w:adjustRightInd w:val="0"/>
        <w:snapToGrid w:val="0"/>
        <w:spacing w:line="240" w:lineRule="auto"/>
        <w:rPr>
          <w:rFonts w:cs="Arial"/>
          <w:sz w:val="20"/>
          <w:szCs w:val="20"/>
        </w:rPr>
      </w:pPr>
      <w:r w:rsidRPr="005F3292">
        <w:rPr>
          <w:rFonts w:cs="Arial"/>
          <w:sz w:val="20"/>
          <w:szCs w:val="20"/>
        </w:rPr>
        <w:t>Columbus, OH 43215</w:t>
      </w:r>
    </w:p>
    <w:p w14:paraId="20258F3F" w14:textId="77777777" w:rsidR="00A65BF2" w:rsidRPr="005F3292" w:rsidRDefault="00A65BF2" w:rsidP="00A65BF2">
      <w:pPr>
        <w:spacing w:line="240" w:lineRule="auto"/>
        <w:rPr>
          <w:rFonts w:cs="Arial"/>
          <w:sz w:val="20"/>
          <w:szCs w:val="20"/>
        </w:rPr>
      </w:pPr>
      <w:r w:rsidRPr="005F3292">
        <w:rPr>
          <w:rFonts w:cs="Arial"/>
          <w:sz w:val="20"/>
          <w:szCs w:val="20"/>
        </w:rPr>
        <w:t>william.wright@ohioattorneygeneral.gov</w:t>
      </w:r>
    </w:p>
    <w:p w14:paraId="5BF535C8" w14:textId="77777777" w:rsidR="00A65BF2" w:rsidRPr="005F3292" w:rsidRDefault="00A65BF2" w:rsidP="00A65BF2">
      <w:pPr>
        <w:spacing w:line="240" w:lineRule="auto"/>
        <w:rPr>
          <w:rFonts w:eastAsia="Calibri" w:cs="Arial"/>
          <w:sz w:val="20"/>
          <w:szCs w:val="20"/>
        </w:rPr>
      </w:pPr>
    </w:p>
    <w:p w14:paraId="691D27F3" w14:textId="77777777" w:rsidR="00A65BF2" w:rsidRPr="005F3292" w:rsidRDefault="00A65BF2" w:rsidP="00A65BF2">
      <w:pPr>
        <w:spacing w:line="240" w:lineRule="auto"/>
        <w:rPr>
          <w:rFonts w:eastAsia="Calibri" w:cs="Arial"/>
          <w:b/>
          <w:smallCaps/>
          <w:sz w:val="20"/>
          <w:szCs w:val="20"/>
        </w:rPr>
      </w:pPr>
      <w:r w:rsidRPr="005F3292">
        <w:rPr>
          <w:rFonts w:eastAsia="Calibri" w:cs="Arial"/>
          <w:b/>
          <w:smallCaps/>
          <w:sz w:val="20"/>
          <w:szCs w:val="20"/>
        </w:rPr>
        <w:t>Counsel for the Staff of the Public Utilities Commission of Ohio</w:t>
      </w:r>
    </w:p>
    <w:p w14:paraId="1E927D81" w14:textId="77777777" w:rsidR="00A65BF2" w:rsidRPr="005F3292" w:rsidRDefault="00A65BF2" w:rsidP="00A65BF2">
      <w:pPr>
        <w:spacing w:line="240" w:lineRule="auto"/>
        <w:rPr>
          <w:rFonts w:eastAsia="Calibri" w:cs="Arial"/>
          <w:b/>
          <w:smallCaps/>
          <w:sz w:val="20"/>
          <w:szCs w:val="20"/>
        </w:rPr>
      </w:pPr>
    </w:p>
    <w:p w14:paraId="74E58ABD"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Bryce McKenney</w:t>
      </w:r>
    </w:p>
    <w:p w14:paraId="25085C70"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Gregory Price</w:t>
      </w:r>
    </w:p>
    <w:p w14:paraId="4CCEFE31"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Attorney Examiners</w:t>
      </w:r>
    </w:p>
    <w:p w14:paraId="3BFA7EE9"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Legal Department</w:t>
      </w:r>
    </w:p>
    <w:p w14:paraId="13E373B5"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Public Utilities Commission of Ohio</w:t>
      </w:r>
    </w:p>
    <w:p w14:paraId="17DAB009"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180 East Broad Street, 12</w:t>
      </w:r>
      <w:r w:rsidRPr="005F3292">
        <w:rPr>
          <w:rFonts w:eastAsia="Calibri" w:cs="Arial"/>
          <w:sz w:val="20"/>
          <w:szCs w:val="20"/>
          <w:vertAlign w:val="superscript"/>
        </w:rPr>
        <w:t>th</w:t>
      </w:r>
      <w:r w:rsidRPr="005F3292">
        <w:rPr>
          <w:rFonts w:eastAsia="Calibri" w:cs="Arial"/>
          <w:sz w:val="20"/>
          <w:szCs w:val="20"/>
        </w:rPr>
        <w:t xml:space="preserve"> Floor</w:t>
      </w:r>
    </w:p>
    <w:p w14:paraId="3BA01579"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Columbus OH  43215</w:t>
      </w:r>
    </w:p>
    <w:p w14:paraId="07649263"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bryce.mckenney@puc.state.oh.us</w:t>
      </w:r>
    </w:p>
    <w:p w14:paraId="385081C2" w14:textId="77777777" w:rsidR="00A65BF2" w:rsidRPr="005F3292" w:rsidRDefault="00A65BF2" w:rsidP="00A65BF2">
      <w:pPr>
        <w:spacing w:line="240" w:lineRule="auto"/>
        <w:rPr>
          <w:rFonts w:eastAsia="Calibri" w:cs="Arial"/>
          <w:sz w:val="20"/>
          <w:szCs w:val="20"/>
        </w:rPr>
      </w:pPr>
      <w:r w:rsidRPr="005F3292">
        <w:rPr>
          <w:rFonts w:eastAsia="Calibri" w:cs="Arial"/>
          <w:sz w:val="20"/>
          <w:szCs w:val="20"/>
        </w:rPr>
        <w:t>gregory.price@puc.state.oh.us</w:t>
      </w:r>
    </w:p>
    <w:p w14:paraId="038EC63F" w14:textId="77777777" w:rsidR="00A65BF2" w:rsidRPr="005F3292" w:rsidRDefault="00A65BF2" w:rsidP="00A65BF2">
      <w:pPr>
        <w:spacing w:line="240" w:lineRule="auto"/>
        <w:rPr>
          <w:rFonts w:eastAsia="Calibri" w:cs="Arial"/>
          <w:sz w:val="20"/>
          <w:szCs w:val="20"/>
        </w:rPr>
      </w:pPr>
    </w:p>
    <w:p w14:paraId="17581F67" w14:textId="77777777" w:rsidR="00A65BF2" w:rsidRPr="005F3292" w:rsidRDefault="00A65BF2" w:rsidP="00A65BF2">
      <w:pPr>
        <w:spacing w:line="240" w:lineRule="auto"/>
        <w:rPr>
          <w:rFonts w:ascii="Arial Bold" w:eastAsia="Calibri" w:hAnsi="Arial Bold" w:cs="Arial"/>
          <w:b/>
          <w:smallCaps/>
          <w:sz w:val="20"/>
          <w:szCs w:val="20"/>
        </w:rPr>
      </w:pPr>
      <w:r w:rsidRPr="005F3292">
        <w:rPr>
          <w:rFonts w:ascii="Arial Bold" w:eastAsia="Calibri" w:hAnsi="Arial Bold" w:cs="Arial"/>
          <w:b/>
          <w:smallCaps/>
          <w:sz w:val="20"/>
          <w:szCs w:val="20"/>
        </w:rPr>
        <w:t>Attorney Examiners</w:t>
      </w:r>
    </w:p>
    <w:p w14:paraId="2AB974F5" w14:textId="77777777" w:rsidR="00A65BF2" w:rsidRPr="005F3292" w:rsidRDefault="00A65BF2" w:rsidP="00A65BF2">
      <w:pPr>
        <w:spacing w:line="240" w:lineRule="auto"/>
        <w:rPr>
          <w:rFonts w:eastAsia="Calibri" w:cs="Arial"/>
          <w:sz w:val="20"/>
          <w:szCs w:val="20"/>
        </w:rPr>
      </w:pPr>
    </w:p>
    <w:p w14:paraId="28A6A7BF" w14:textId="24782579" w:rsidR="004C7680" w:rsidRDefault="004C7680" w:rsidP="00A65BF2"/>
    <w:sectPr w:rsidR="004C7680" w:rsidSect="00B9367B">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919DF" w14:textId="77777777" w:rsidR="00A65BF2" w:rsidRDefault="00A65BF2" w:rsidP="004F3764">
      <w:pPr>
        <w:spacing w:line="240" w:lineRule="auto"/>
      </w:pPr>
      <w:r>
        <w:separator/>
      </w:r>
    </w:p>
  </w:endnote>
  <w:endnote w:type="continuationSeparator" w:id="0">
    <w:p w14:paraId="4FC97CDC" w14:textId="77777777" w:rsidR="00A65BF2" w:rsidRDefault="00A65BF2" w:rsidP="004F3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3B806" w14:textId="77777777" w:rsidR="00A65BF2" w:rsidRDefault="00A65BF2">
    <w:pPr>
      <w:pStyle w:val="Footer"/>
      <w:framePr w:wrap="around" w:vAnchor="text" w:hAnchor="margin" w:xAlign="center" w:y="1"/>
      <w:rPr>
        <w:rStyle w:val="PageNumber"/>
      </w:rPr>
    </w:pPr>
    <w:r>
      <w:rPr>
        <w:rStyle w:val="PageNumber"/>
        <w:noProof/>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67C113" w14:textId="77777777" w:rsidR="00A65BF2" w:rsidRDefault="00A65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F25D4" w14:textId="3634C71C" w:rsidR="00A65BF2" w:rsidRDefault="00847199">
    <w:pPr>
      <w:pStyle w:val="Footer"/>
      <w:rPr>
        <w:rFonts w:cs="Arial"/>
        <w:noProof/>
        <w:sz w:val="16"/>
      </w:rPr>
    </w:pPr>
    <w:r w:rsidRPr="00847199">
      <w:rPr>
        <w:rFonts w:cs="Arial"/>
        <w:noProof/>
        <w:sz w:val="16"/>
      </w:rPr>
      <w:t>{C50742:2 }</w:t>
    </w:r>
    <w:r w:rsidR="00A65BF2">
      <w:rPr>
        <w:rFonts w:cs="Arial"/>
        <w:noProof/>
        <w:sz w:val="16"/>
      </w:rPr>
      <w:tab/>
    </w:r>
    <w:r w:rsidR="00A65BF2">
      <w:rPr>
        <w:rFonts w:cs="Arial"/>
        <w:noProof/>
      </w:rPr>
      <w:fldChar w:fldCharType="begin"/>
    </w:r>
    <w:r w:rsidR="00A65BF2">
      <w:rPr>
        <w:rFonts w:cs="Arial"/>
        <w:noProof/>
      </w:rPr>
      <w:instrText xml:space="preserve"> PAGE   \* MERGEFORMAT </w:instrText>
    </w:r>
    <w:r w:rsidR="00A65BF2">
      <w:rPr>
        <w:rFonts w:cs="Arial"/>
        <w:noProof/>
      </w:rPr>
      <w:fldChar w:fldCharType="separate"/>
    </w:r>
    <w:r w:rsidR="00A65BF2">
      <w:rPr>
        <w:rFonts w:cs="Arial"/>
        <w:noProof/>
      </w:rPr>
      <w:t>1</w:t>
    </w:r>
    <w:r w:rsidR="00A65BF2">
      <w:rPr>
        <w:rFonts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D3395" w14:textId="6A94DC4C" w:rsidR="00A65BF2" w:rsidRDefault="00847199">
    <w:pPr>
      <w:pStyle w:val="Footer"/>
      <w:rPr>
        <w:rFonts w:cs="Arial"/>
      </w:rPr>
    </w:pPr>
    <w:r w:rsidRPr="00847199">
      <w:rPr>
        <w:rFonts w:cs="Arial"/>
        <w:noProof/>
        <w:sz w:val="16"/>
      </w:rPr>
      <w:t>{C50742:2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637C5" w14:textId="77777777" w:rsidR="00A65BF2" w:rsidRDefault="00A65B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F156D" w14:textId="520505E8" w:rsidR="00A65BF2" w:rsidRPr="004F3764" w:rsidRDefault="00847199">
    <w:pPr>
      <w:pStyle w:val="Footer"/>
    </w:pPr>
    <w:r w:rsidRPr="00847199">
      <w:rPr>
        <w:noProof/>
        <w:sz w:val="16"/>
      </w:rPr>
      <w:t>{C50742:2 }</w:t>
    </w:r>
    <w:r w:rsidR="00237F3B">
      <w:rPr>
        <w:noProof/>
        <w:sz w:val="16"/>
      </w:rPr>
      <w:tab/>
    </w:r>
    <w:r w:rsidR="00237F3B" w:rsidRPr="00237F3B">
      <w:rPr>
        <w:noProof/>
        <w:sz w:val="22"/>
      </w:rPr>
      <w:fldChar w:fldCharType="begin"/>
    </w:r>
    <w:r w:rsidR="00237F3B" w:rsidRPr="00237F3B">
      <w:rPr>
        <w:noProof/>
        <w:sz w:val="22"/>
      </w:rPr>
      <w:instrText xml:space="preserve"> PAGE   \* MERGEFORMAT </w:instrText>
    </w:r>
    <w:r w:rsidR="00237F3B" w:rsidRPr="00237F3B">
      <w:rPr>
        <w:noProof/>
        <w:sz w:val="22"/>
      </w:rPr>
      <w:fldChar w:fldCharType="separate"/>
    </w:r>
    <w:r w:rsidR="002A78B9">
      <w:rPr>
        <w:noProof/>
        <w:sz w:val="22"/>
      </w:rPr>
      <w:t>24</w:t>
    </w:r>
    <w:r w:rsidR="00237F3B" w:rsidRPr="00237F3B">
      <w:rPr>
        <w:noProof/>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53FD0" w14:textId="4962E91A" w:rsidR="00A65BF2" w:rsidRPr="004F3764" w:rsidRDefault="00F55C3B">
    <w:pPr>
      <w:pStyle w:val="Footer"/>
    </w:pPr>
    <w:r w:rsidRPr="00F55C3B">
      <w:rPr>
        <w:noProof/>
        <w:sz w:val="16"/>
      </w:rPr>
      <w:t>{C50742:2 }</w:t>
    </w:r>
    <w:r w:rsidR="00CF198D">
      <w:rPr>
        <w:noProof/>
        <w:sz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3FE34" w14:textId="77777777" w:rsidR="00A65BF2" w:rsidRDefault="00A65BF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8D99C" w14:textId="1F35F398" w:rsidR="00A65BF2" w:rsidRPr="000C3B01" w:rsidRDefault="00847199">
    <w:pPr>
      <w:pStyle w:val="Footer"/>
    </w:pPr>
    <w:r w:rsidRPr="00847199">
      <w:rPr>
        <w:noProof/>
        <w:sz w:val="16"/>
      </w:rPr>
      <w:t>{C50742:2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F9821" w14:textId="2865106F" w:rsidR="00A65BF2" w:rsidRPr="000C3B01" w:rsidRDefault="00847199">
    <w:pPr>
      <w:pStyle w:val="Footer"/>
    </w:pPr>
    <w:r w:rsidRPr="00847199">
      <w:rPr>
        <w:noProof/>
        <w:sz w:val="16"/>
      </w:rPr>
      <w:t>{C50742:2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08458" w14:textId="77777777" w:rsidR="00A65BF2" w:rsidRDefault="00A65BF2" w:rsidP="004F3764">
      <w:pPr>
        <w:spacing w:line="240" w:lineRule="auto"/>
        <w:rPr>
          <w:noProof/>
        </w:rPr>
      </w:pPr>
      <w:r>
        <w:rPr>
          <w:noProof/>
        </w:rPr>
        <w:separator/>
      </w:r>
    </w:p>
  </w:footnote>
  <w:footnote w:type="continuationSeparator" w:id="0">
    <w:p w14:paraId="200066DC" w14:textId="77777777" w:rsidR="00A65BF2" w:rsidRDefault="00A65BF2" w:rsidP="004F3764">
      <w:pPr>
        <w:spacing w:line="240" w:lineRule="auto"/>
      </w:pPr>
      <w:r>
        <w:continuationSeparator/>
      </w:r>
    </w:p>
  </w:footnote>
  <w:footnote w:id="1">
    <w:p w14:paraId="02780641" w14:textId="77777777" w:rsidR="00A65BF2" w:rsidRDefault="00A65BF2">
      <w:pPr>
        <w:pStyle w:val="FootnoteText"/>
      </w:pPr>
      <w:r>
        <w:rPr>
          <w:rStyle w:val="FootnoteReference"/>
        </w:rPr>
        <w:footnoteRef/>
      </w:r>
      <w:r>
        <w:t xml:space="preserve"> Attachment A at 11, 13.</w:t>
      </w:r>
    </w:p>
  </w:footnote>
  <w:footnote w:id="2">
    <w:p w14:paraId="5194974C" w14:textId="77777777" w:rsidR="00A65BF2" w:rsidRPr="00CD154D" w:rsidRDefault="00A65BF2" w:rsidP="0034055C">
      <w:pPr>
        <w:spacing w:after="120" w:line="240" w:lineRule="auto"/>
      </w:pPr>
      <w:r w:rsidRPr="0034055C">
        <w:rPr>
          <w:rStyle w:val="FootnoteReference"/>
          <w:sz w:val="20"/>
          <w:szCs w:val="20"/>
        </w:rPr>
        <w:footnoteRef/>
      </w:r>
      <w:r w:rsidRPr="0034055C">
        <w:rPr>
          <w:sz w:val="20"/>
          <w:szCs w:val="20"/>
        </w:rPr>
        <w:t xml:space="preserve"> DP&amp;L SEC Form 8-K at 3 (Oct. 31, 2012) (identifying that DP&amp;L took an impairment of $80.8 million related to the Conesville and Hutchings generating plants), available at:  </w:t>
      </w:r>
      <w:hyperlink r:id="rId1" w:history="1">
        <w:r w:rsidRPr="0034055C">
          <w:rPr>
            <w:rStyle w:val="Hyperlink"/>
            <w:sz w:val="20"/>
            <w:szCs w:val="20"/>
          </w:rPr>
          <w:t>https://www.sec.gov/Archives/edgar/data/874761/000119312512446900/d431640d8k.htm</w:t>
        </w:r>
      </w:hyperlink>
      <w:r w:rsidRPr="0034055C">
        <w:rPr>
          <w:sz w:val="20"/>
          <w:szCs w:val="20"/>
        </w:rPr>
        <w:t xml:space="preserve">; DPL Inc./DP&amp;L SEC Form 10-Q at 51, 61 (June 30, 2016) (identifying that DP&amp;L took an impairment of $857 million related to the Stuart, Killen, and Zimmer generating plants), available at:  </w:t>
      </w:r>
      <w:hyperlink r:id="rId2" w:history="1">
        <w:r w:rsidRPr="0034055C">
          <w:rPr>
            <w:rStyle w:val="Hyperlink"/>
            <w:sz w:val="20"/>
            <w:szCs w:val="20"/>
          </w:rPr>
          <w:t>https://www.sec.gov/Archives/edgar/data/27430/000078725016000053/dpl10q20160630q2.htm</w:t>
        </w:r>
      </w:hyperlink>
      <w:r w:rsidRPr="0034055C">
        <w:rPr>
          <w:sz w:val="20"/>
          <w:szCs w:val="20"/>
        </w:rPr>
        <w:t>.</w:t>
      </w:r>
    </w:p>
  </w:footnote>
  <w:footnote w:id="3">
    <w:p w14:paraId="4C7D147B" w14:textId="77777777" w:rsidR="00A65BF2" w:rsidRDefault="00A65BF2" w:rsidP="005F5B7D">
      <w:pPr>
        <w:pStyle w:val="FootnoteText"/>
      </w:pPr>
      <w:r>
        <w:rPr>
          <w:rStyle w:val="FootnoteReference"/>
        </w:rPr>
        <w:footnoteRef/>
      </w:r>
      <w:r>
        <w:t xml:space="preserve"> Attachment B at 23.</w:t>
      </w:r>
    </w:p>
  </w:footnote>
  <w:footnote w:id="4">
    <w:p w14:paraId="7587834E" w14:textId="77777777" w:rsidR="00A65BF2" w:rsidRPr="009E3BF8" w:rsidRDefault="00A65BF2" w:rsidP="005F5B7D">
      <w:pPr>
        <w:pStyle w:val="FootnoteText"/>
        <w:rPr>
          <w:i/>
        </w:rPr>
      </w:pPr>
      <w:r>
        <w:rPr>
          <w:rStyle w:val="FootnoteReference"/>
        </w:rPr>
        <w:footnoteRef/>
      </w:r>
      <w:r>
        <w:t xml:space="preserve"> </w:t>
      </w:r>
      <w:r>
        <w:rPr>
          <w:i/>
        </w:rPr>
        <w:t>Id.</w:t>
      </w:r>
    </w:p>
  </w:footnote>
  <w:footnote w:id="5">
    <w:p w14:paraId="6AC53242" w14:textId="4AE2D694" w:rsidR="00A65BF2" w:rsidRDefault="00A65BF2">
      <w:pPr>
        <w:pStyle w:val="FootnoteText"/>
      </w:pPr>
      <w:r>
        <w:rPr>
          <w:rStyle w:val="FootnoteReference"/>
        </w:rPr>
        <w:footnoteRef/>
      </w:r>
      <w:r>
        <w:t xml:space="preserve"> An affidavit of counsel setting forth the good faith efforts to informally resolve the discovery dispute is attached hereto as Attachment C.  Correspondence between counsel for IEU-Ohio and DP&amp;L detailing IEU-Ohio’s good faith efforts to informally resolve the discovery dispute i</w:t>
      </w:r>
      <w:r w:rsidR="005D11E0">
        <w:t>s attached hereto as Attachment </w:t>
      </w:r>
      <w:r>
        <w:t>D.</w:t>
      </w:r>
    </w:p>
  </w:footnote>
  <w:footnote w:id="6">
    <w:p w14:paraId="2A25EF9C" w14:textId="77777777" w:rsidR="00A65BF2" w:rsidRDefault="00A65BF2" w:rsidP="00875E59">
      <w:pPr>
        <w:pStyle w:val="FootnoteText"/>
      </w:pPr>
      <w:r>
        <w:rPr>
          <w:rStyle w:val="FootnoteReference"/>
        </w:rPr>
        <w:footnoteRef/>
      </w:r>
      <w:r>
        <w:t xml:space="preserve"> Rule 4901-1-23(B), O.A.C.</w:t>
      </w:r>
    </w:p>
  </w:footnote>
  <w:footnote w:id="7">
    <w:p w14:paraId="0C66013A" w14:textId="3F4D2888" w:rsidR="00A65BF2" w:rsidRPr="00C41F82" w:rsidRDefault="00A65BF2" w:rsidP="00E8635A">
      <w:pPr>
        <w:pStyle w:val="FootnoteText"/>
        <w:rPr>
          <w:i/>
        </w:rPr>
      </w:pPr>
      <w:r>
        <w:rPr>
          <w:rStyle w:val="FootnoteReference"/>
        </w:rPr>
        <w:footnoteRef/>
      </w:r>
      <w:r>
        <w:t xml:space="preserve"> Direct Testimony of R. Jeffrey Malinak at Exhibit RJM-9 (Feb. 22, 2016).  The rate of return assumes a 50/50 debt to equity ratio with a cost of debt of 5.29% and a return on equity of 10.7%.  </w:t>
      </w:r>
      <w:r>
        <w:rPr>
          <w:i/>
        </w:rPr>
        <w:t>Id.</w:t>
      </w:r>
    </w:p>
  </w:footnote>
  <w:footnote w:id="8">
    <w:p w14:paraId="4049C179" w14:textId="77777777" w:rsidR="00A65BF2" w:rsidRPr="00E8635A" w:rsidRDefault="00A65BF2">
      <w:pPr>
        <w:pStyle w:val="FootnoteText"/>
        <w:rPr>
          <w:i/>
        </w:rPr>
      </w:pPr>
      <w:r>
        <w:rPr>
          <w:rStyle w:val="FootnoteReference"/>
        </w:rPr>
        <w:footnoteRef/>
      </w:r>
      <w:r>
        <w:t xml:space="preserve"> </w:t>
      </w:r>
      <w:r>
        <w:rPr>
          <w:i/>
        </w:rPr>
        <w:t>Id.</w:t>
      </w:r>
    </w:p>
  </w:footnote>
  <w:footnote w:id="9">
    <w:p w14:paraId="689009A9" w14:textId="77777777" w:rsidR="00A65BF2" w:rsidRPr="00DE6C65" w:rsidRDefault="00A65BF2">
      <w:pPr>
        <w:pStyle w:val="FootnoteText"/>
        <w:rPr>
          <w:i/>
        </w:rPr>
      </w:pPr>
      <w:r>
        <w:rPr>
          <w:rStyle w:val="FootnoteReference"/>
        </w:rPr>
        <w:footnoteRef/>
      </w:r>
      <w:r>
        <w:t xml:space="preserve"> </w:t>
      </w:r>
      <w:r>
        <w:rPr>
          <w:i/>
        </w:rPr>
        <w:t>Id.</w:t>
      </w:r>
    </w:p>
  </w:footnote>
  <w:footnote w:id="10">
    <w:p w14:paraId="78CF75E7" w14:textId="77777777" w:rsidR="00A65BF2" w:rsidRPr="00AB0442" w:rsidRDefault="00A65BF2" w:rsidP="0034055C">
      <w:pPr>
        <w:pStyle w:val="FootnoteText"/>
        <w:spacing w:after="0"/>
        <w:rPr>
          <w:i/>
        </w:rPr>
      </w:pPr>
      <w:r w:rsidRPr="00AB0442">
        <w:rPr>
          <w:rStyle w:val="FootnoteReference"/>
        </w:rPr>
        <w:footnoteRef/>
      </w:r>
      <w:r w:rsidRPr="00AB0442">
        <w:t xml:space="preserve"> </w:t>
      </w:r>
      <w:r w:rsidRPr="00AB0442">
        <w:rPr>
          <w:i/>
        </w:rPr>
        <w:t>Id.</w:t>
      </w:r>
    </w:p>
  </w:footnote>
  <w:footnote w:id="11">
    <w:p w14:paraId="49EB1322" w14:textId="0E18B996" w:rsidR="00A65BF2" w:rsidRPr="00CD154D" w:rsidRDefault="00A65BF2" w:rsidP="0034055C">
      <w:pPr>
        <w:spacing w:after="120" w:line="240" w:lineRule="auto"/>
      </w:pPr>
      <w:r w:rsidRPr="0034055C">
        <w:rPr>
          <w:rStyle w:val="FootnoteReference"/>
          <w:sz w:val="20"/>
          <w:szCs w:val="20"/>
        </w:rPr>
        <w:footnoteRef/>
      </w:r>
      <w:r w:rsidRPr="0034055C">
        <w:rPr>
          <w:sz w:val="20"/>
          <w:szCs w:val="20"/>
        </w:rPr>
        <w:t xml:space="preserve"> DPL Inc./DP&amp;L SEC Form 10-Q at 61 (June 30, 2016).  DP&amp;L has also previously taken in impairment charge for the full value of the Conesville generating plant recorded on DP&amp;L’s books.  DPL Inc./DP&amp;L SEC Form 8-K at 3 (Oct. 31, 2012).  The impairment analysis is the product of accounting requirements.  If an entity believes that there are indicators present that might result in the inability to recover a long-lived asset’s book value</w:t>
      </w:r>
      <w:r>
        <w:rPr>
          <w:sz w:val="20"/>
          <w:szCs w:val="20"/>
        </w:rPr>
        <w:t>,</w:t>
      </w:r>
      <w:r w:rsidRPr="0034055C">
        <w:rPr>
          <w:sz w:val="20"/>
          <w:szCs w:val="20"/>
        </w:rPr>
        <w:t xml:space="preserve"> it must perform </w:t>
      </w:r>
      <w:r>
        <w:rPr>
          <w:sz w:val="20"/>
          <w:szCs w:val="20"/>
        </w:rPr>
        <w:t>a</w:t>
      </w:r>
      <w:r w:rsidRPr="0034055C">
        <w:rPr>
          <w:sz w:val="20"/>
          <w:szCs w:val="20"/>
        </w:rPr>
        <w:t>n impairment analysis.  The first step is to compare projected undiscounted cash flows against the book value.  If the undiscounted cash flows are less than the book value</w:t>
      </w:r>
      <w:r>
        <w:rPr>
          <w:sz w:val="20"/>
          <w:szCs w:val="20"/>
        </w:rPr>
        <w:t>,</w:t>
      </w:r>
      <w:r w:rsidRPr="0034055C">
        <w:rPr>
          <w:sz w:val="20"/>
          <w:szCs w:val="20"/>
        </w:rPr>
        <w:t xml:space="preserve"> then an impairment loss must be calculated.  The impairment loss is calculated using methods that market participants would utilize to value the asset and could include a projected sale price or a discounted cash flow analysis.  In its recent June 30, 2016 SEC Form 10-Q filing, DP&amp;L and DPL Inc. indicated that the</w:t>
      </w:r>
      <w:r>
        <w:rPr>
          <w:sz w:val="20"/>
          <w:szCs w:val="20"/>
        </w:rPr>
        <w:t>y</w:t>
      </w:r>
      <w:r w:rsidRPr="0034055C">
        <w:rPr>
          <w:sz w:val="20"/>
          <w:szCs w:val="20"/>
        </w:rPr>
        <w:t xml:space="preserve"> relied on a discounted cash flow analysis to estimate the impairment loss for the Stuart, Killin, and Zimmer plants. </w:t>
      </w:r>
      <w:r w:rsidRPr="0034055C">
        <w:rPr>
          <w:i/>
          <w:sz w:val="20"/>
          <w:szCs w:val="20"/>
        </w:rPr>
        <w:t>Id.</w:t>
      </w:r>
      <w:r w:rsidRPr="0034055C">
        <w:rPr>
          <w:sz w:val="20"/>
          <w:szCs w:val="20"/>
        </w:rPr>
        <w:t xml:space="preserve"> at 22, 51.</w:t>
      </w:r>
    </w:p>
  </w:footnote>
  <w:footnote w:id="12">
    <w:p w14:paraId="5A49CEB3" w14:textId="77777777" w:rsidR="00A65BF2" w:rsidRDefault="00A65BF2" w:rsidP="0034055C">
      <w:pPr>
        <w:pStyle w:val="FootnoteText"/>
        <w:spacing w:afterLines="120" w:after="288"/>
      </w:pPr>
      <w:r w:rsidRPr="00AB0442">
        <w:rPr>
          <w:rStyle w:val="FootnoteReference"/>
        </w:rPr>
        <w:footnoteRef/>
      </w:r>
      <w:r w:rsidRPr="00AB0442">
        <w:t xml:space="preserve"> DPL Inc./DP&amp;L SEC </w:t>
      </w:r>
      <w:r>
        <w:t xml:space="preserve">Form </w:t>
      </w:r>
      <w:r w:rsidRPr="00AB0442">
        <w:t>10-Q at 37 (June 30, 2016).  DP&amp;L has also made other public SEC filings a</w:t>
      </w:r>
      <w:r>
        <w:t>cknowledging other impairments to the generating plants proposed for inclusion in the RER.  DPL Inc./DP&amp;L SEC Form 8-K (Oct 31, 2012).</w:t>
      </w:r>
    </w:p>
  </w:footnote>
  <w:footnote w:id="13">
    <w:p w14:paraId="5C8B9094" w14:textId="77777777" w:rsidR="00A65BF2" w:rsidRPr="00457D28" w:rsidRDefault="00A65BF2">
      <w:pPr>
        <w:pStyle w:val="FootnoteText"/>
      </w:pPr>
      <w:r>
        <w:rPr>
          <w:rStyle w:val="FootnoteReference"/>
        </w:rPr>
        <w:footnoteRef/>
      </w:r>
      <w:r>
        <w:t xml:space="preserve"> DPL Inc./DP&amp;L SEC Form 10-Q at 22, 51 (June 30, 2016).</w:t>
      </w:r>
    </w:p>
  </w:footnote>
  <w:footnote w:id="14">
    <w:p w14:paraId="713658A7" w14:textId="77777777" w:rsidR="00A65BF2" w:rsidRPr="00B53145" w:rsidRDefault="00A65BF2">
      <w:pPr>
        <w:pStyle w:val="FootnoteText"/>
      </w:pPr>
      <w:r>
        <w:rPr>
          <w:rStyle w:val="FootnoteReference"/>
        </w:rPr>
        <w:footnoteRef/>
      </w:r>
      <w:r>
        <w:t xml:space="preserve"> </w:t>
      </w:r>
      <w:r>
        <w:rPr>
          <w:i/>
        </w:rPr>
        <w:t>Id.</w:t>
      </w:r>
      <w:r>
        <w:t xml:space="preserve">  The ranges for each generating plant were: Stuart -9% to +10%; Killen -11% to +13%; Zimmer -14% to +13%.  </w:t>
      </w:r>
      <w:r>
        <w:rPr>
          <w:i/>
        </w:rPr>
        <w:t>Id.</w:t>
      </w:r>
      <w:r>
        <w:t xml:space="preserve"> at 51.</w:t>
      </w:r>
    </w:p>
  </w:footnote>
  <w:footnote w:id="15">
    <w:p w14:paraId="4CF3E52B" w14:textId="77777777" w:rsidR="00A65BF2" w:rsidRPr="00897D39" w:rsidRDefault="00A65BF2">
      <w:pPr>
        <w:pStyle w:val="FootnoteText"/>
      </w:pPr>
      <w:r>
        <w:rPr>
          <w:rStyle w:val="FootnoteReference"/>
        </w:rPr>
        <w:footnoteRef/>
      </w:r>
      <w:r>
        <w:t xml:space="preserve"> </w:t>
      </w:r>
      <w:r>
        <w:rPr>
          <w:i/>
        </w:rPr>
        <w:t>Id.</w:t>
      </w:r>
      <w:r>
        <w:t xml:space="preserve"> at 37, 61.</w:t>
      </w:r>
    </w:p>
  </w:footnote>
  <w:footnote w:id="16">
    <w:p w14:paraId="43AB8F0B" w14:textId="6594613E" w:rsidR="00A65BF2" w:rsidRDefault="00A65BF2" w:rsidP="007F48CF">
      <w:pPr>
        <w:pStyle w:val="FootnoteText"/>
      </w:pPr>
      <w:r>
        <w:rPr>
          <w:rStyle w:val="FootnoteReference"/>
        </w:rPr>
        <w:footnoteRef/>
      </w:r>
      <w:r>
        <w:t xml:space="preserve"> Attachment B at 2.</w:t>
      </w:r>
    </w:p>
  </w:footnote>
  <w:footnote w:id="17">
    <w:p w14:paraId="279B6C78" w14:textId="77777777" w:rsidR="00A65BF2" w:rsidRPr="00BB2527" w:rsidRDefault="00A65BF2">
      <w:pPr>
        <w:pStyle w:val="FootnoteText"/>
      </w:pPr>
      <w:r>
        <w:rPr>
          <w:rStyle w:val="FootnoteReference"/>
        </w:rPr>
        <w:footnoteRef/>
      </w:r>
      <w:r>
        <w:t xml:space="preserve"> </w:t>
      </w:r>
      <w:r>
        <w:rPr>
          <w:i/>
        </w:rPr>
        <w:t>Svoboda</w:t>
      </w:r>
      <w:r>
        <w:t>, 2003-Ohio-6201 at ¶17.</w:t>
      </w:r>
    </w:p>
  </w:footnote>
  <w:footnote w:id="18">
    <w:p w14:paraId="109CF869" w14:textId="77777777" w:rsidR="00A65BF2" w:rsidRDefault="00A65BF2">
      <w:pPr>
        <w:pStyle w:val="FootnoteText"/>
      </w:pPr>
      <w:r w:rsidRPr="000B03B7">
        <w:rPr>
          <w:rStyle w:val="FootnoteReference"/>
        </w:rPr>
        <w:footnoteRef/>
      </w:r>
      <w:r w:rsidRPr="000B03B7">
        <w:t xml:space="preserve"> </w:t>
      </w:r>
      <w:r w:rsidRPr="000B03B7">
        <w:rPr>
          <w:i/>
        </w:rPr>
        <w:t>Id.</w:t>
      </w:r>
      <w:r w:rsidRPr="000B03B7">
        <w:t xml:space="preserve"> at ¶ 4-5, 44. </w:t>
      </w:r>
    </w:p>
  </w:footnote>
  <w:footnote w:id="19">
    <w:p w14:paraId="70F28C30" w14:textId="77777777" w:rsidR="00A65BF2" w:rsidRPr="0015647D" w:rsidRDefault="00A65BF2">
      <w:pPr>
        <w:pStyle w:val="FootnoteText"/>
        <w:rPr>
          <w:i/>
        </w:rPr>
      </w:pPr>
      <w:r w:rsidRPr="0018496D">
        <w:rPr>
          <w:rStyle w:val="FootnoteReference"/>
        </w:rPr>
        <w:footnoteRef/>
      </w:r>
      <w:r w:rsidRPr="0018496D">
        <w:t xml:space="preserve"> </w:t>
      </w:r>
      <w:r w:rsidRPr="00C22278">
        <w:rPr>
          <w:i/>
        </w:rPr>
        <w:t>Id.</w:t>
      </w:r>
      <w:r w:rsidRPr="0034055C">
        <w:t xml:space="preserve"> </w:t>
      </w:r>
      <w:r w:rsidRPr="0018496D">
        <w:t>a</w:t>
      </w:r>
      <w:r w:rsidRPr="00C22278">
        <w:t xml:space="preserve">t </w:t>
      </w:r>
      <w:r>
        <w:t>¶</w:t>
      </w:r>
      <w:r w:rsidRPr="00C22278">
        <w:t>19.</w:t>
      </w:r>
    </w:p>
  </w:footnote>
  <w:footnote w:id="20">
    <w:p w14:paraId="23F9088C" w14:textId="086378BE" w:rsidR="00A65BF2" w:rsidRPr="00BB2527" w:rsidRDefault="00A65BF2">
      <w:pPr>
        <w:pStyle w:val="FootnoteText"/>
      </w:pPr>
      <w:r>
        <w:rPr>
          <w:rStyle w:val="FootnoteReference"/>
        </w:rPr>
        <w:footnoteRef/>
      </w:r>
      <w:r>
        <w:t xml:space="preserve"> </w:t>
      </w:r>
      <w:r>
        <w:rPr>
          <w:i/>
        </w:rPr>
        <w:t>Teodecki</w:t>
      </w:r>
      <w:r>
        <w:t>, 2015-Ohio-2309 at ¶ 25.</w:t>
      </w:r>
    </w:p>
  </w:footnote>
  <w:footnote w:id="21">
    <w:p w14:paraId="23C9A71F" w14:textId="77777777" w:rsidR="00A65BF2" w:rsidRPr="009A3393" w:rsidRDefault="00A65BF2">
      <w:pPr>
        <w:pStyle w:val="FootnoteText"/>
      </w:pPr>
      <w:r>
        <w:rPr>
          <w:rStyle w:val="FootnoteReference"/>
        </w:rPr>
        <w:footnoteRef/>
      </w:r>
      <w:r>
        <w:t xml:space="preserve"> </w:t>
      </w:r>
      <w:r>
        <w:rPr>
          <w:i/>
        </w:rPr>
        <w:t>Id.</w:t>
      </w:r>
      <w:r>
        <w:t xml:space="preserve"> at ¶ 22 (</w:t>
      </w:r>
      <w:r>
        <w:rPr>
          <w:i/>
        </w:rPr>
        <w:t>citing Bell v. N. Ohio Tel. Co.</w:t>
      </w:r>
      <w:r>
        <w:t xml:space="preserve"> 149 Ohio St. 157, 158 (1948)).</w:t>
      </w:r>
    </w:p>
  </w:footnote>
  <w:footnote w:id="22">
    <w:p w14:paraId="0A1D15F3" w14:textId="77777777" w:rsidR="00A65BF2" w:rsidRPr="00E9538B" w:rsidRDefault="00A65BF2">
      <w:pPr>
        <w:pStyle w:val="FootnoteText"/>
        <w:rPr>
          <w:i/>
        </w:rPr>
      </w:pPr>
      <w:r>
        <w:rPr>
          <w:rStyle w:val="FootnoteReference"/>
        </w:rPr>
        <w:footnoteRef/>
      </w:r>
      <w:r>
        <w:t xml:space="preserve"> </w:t>
      </w:r>
      <w:r>
        <w:rPr>
          <w:i/>
        </w:rPr>
        <w:t>Id.</w:t>
      </w:r>
    </w:p>
  </w:footnote>
  <w:footnote w:id="23">
    <w:p w14:paraId="18DFBBE9" w14:textId="6B1BD61B" w:rsidR="00A65BF2" w:rsidRDefault="00A65BF2">
      <w:pPr>
        <w:pStyle w:val="FootnoteText"/>
      </w:pPr>
      <w:r>
        <w:rPr>
          <w:rStyle w:val="FootnoteReference"/>
        </w:rPr>
        <w:footnoteRef/>
      </w:r>
      <w:r>
        <w:t xml:space="preserve"> </w:t>
      </w:r>
      <w:r>
        <w:rPr>
          <w:i/>
        </w:rPr>
        <w:t>Teodecki</w:t>
      </w:r>
      <w:r>
        <w:t>, 2015-Ohio-2309, at ¶ 22.</w:t>
      </w:r>
    </w:p>
  </w:footnote>
  <w:footnote w:id="24">
    <w:p w14:paraId="5A3888B3" w14:textId="44D789C1" w:rsidR="00A65BF2" w:rsidRDefault="00A65BF2">
      <w:pPr>
        <w:pStyle w:val="FootnoteText"/>
      </w:pPr>
      <w:r>
        <w:rPr>
          <w:rStyle w:val="FootnoteReference"/>
        </w:rPr>
        <w:footnoteRef/>
      </w:r>
      <w:r>
        <w:t xml:space="preserve"> </w:t>
      </w:r>
      <w:r w:rsidRPr="0034055C">
        <w:rPr>
          <w:i/>
        </w:rPr>
        <w:t>Ohio Consumers' Counsel v. PUC</w:t>
      </w:r>
      <w:r w:rsidRPr="00761982">
        <w:t>, 111 Ohio St.3d 300, 2006-Ohio-5789</w:t>
      </w:r>
      <w:r>
        <w:t>, at ¶ 83.</w:t>
      </w:r>
    </w:p>
  </w:footnote>
  <w:footnote w:id="25">
    <w:p w14:paraId="45E11790" w14:textId="1BCC91A0" w:rsidR="00A65BF2" w:rsidRDefault="00A65BF2">
      <w:pPr>
        <w:pStyle w:val="FootnoteText"/>
      </w:pPr>
      <w:r>
        <w:rPr>
          <w:rStyle w:val="FootnoteReference"/>
        </w:rPr>
        <w:footnoteRef/>
      </w:r>
      <w:r>
        <w:t xml:space="preserve"> Civ.R. 34(A)(1); Rule 4901-1-20(A)(1), O.A.C.</w:t>
      </w:r>
    </w:p>
  </w:footnote>
  <w:footnote w:id="26">
    <w:p w14:paraId="6751D5AA" w14:textId="77777777" w:rsidR="00A65BF2" w:rsidRPr="00EA2CC5" w:rsidRDefault="00A65BF2">
      <w:pPr>
        <w:pStyle w:val="FootnoteText"/>
      </w:pPr>
      <w:r>
        <w:rPr>
          <w:rStyle w:val="FootnoteReference"/>
        </w:rPr>
        <w:footnoteRef/>
      </w:r>
      <w:r>
        <w:t xml:space="preserve"> Anderson’s Ohio Civil Rules Practice with Forms (2015) (</w:t>
      </w:r>
      <w:r>
        <w:rPr>
          <w:i/>
        </w:rPr>
        <w:t xml:space="preserve">citing </w:t>
      </w:r>
      <w:r w:rsidRPr="00EA2CC5">
        <w:t>Searock v. Striplin</w:t>
      </w:r>
      <w:r>
        <w:t>g, 736 F.2d 650 (11th Cir. 1984); Moore’s Federal Practice—Civil § 34.14[2]).</w:t>
      </w:r>
    </w:p>
  </w:footnote>
  <w:footnote w:id="27">
    <w:p w14:paraId="497EB93E" w14:textId="77777777" w:rsidR="00A65BF2" w:rsidRDefault="00A65BF2">
      <w:pPr>
        <w:pStyle w:val="FootnoteText"/>
      </w:pPr>
      <w:r>
        <w:rPr>
          <w:rStyle w:val="FootnoteReference"/>
        </w:rPr>
        <w:footnoteRef/>
      </w:r>
      <w:r>
        <w:t xml:space="preserve"> The Commission in the past has required parties to produce information and documents in the possession of an affiliate that the party had access to.  </w:t>
      </w:r>
      <w:r>
        <w:rPr>
          <w:i/>
        </w:rPr>
        <w:t>In the Matter of the Complaint of The Manchester Group, LLC v. Columbia Gas of Ohio, Inc.</w:t>
      </w:r>
      <w:r>
        <w:t xml:space="preserve">, Case No. 08-360-GA-CSS, Entry at 2 (Oct. 2, 2009) (granting the motion to compel “to the extent Columbia has access” to the relevant information sought in discovery).  R.C. 4928.145 further also makes clear that just because a document is in an affiliate’s possession does not make the document beyond the scope of discovery.  That statute provides that an electric distribution utility (“EDU”) must “make available to the requesting party every contract or agreement that is between the utility </w:t>
      </w:r>
      <w:r>
        <w:rPr>
          <w:i/>
          <w:u w:val="single"/>
        </w:rPr>
        <w:t>or any of its affiliates</w:t>
      </w:r>
      <w:r>
        <w:t xml:space="preserve"> and a party to the proceeding, consumer, electric services company, or political subdivision and that is relevant to the proceeding, subject to such protection for proprietary or confidential information as is determined appropriate by the public utilities commission.” (emphasis added).</w:t>
      </w:r>
    </w:p>
  </w:footnote>
  <w:footnote w:id="28">
    <w:p w14:paraId="1D955B3D" w14:textId="77777777" w:rsidR="00A65BF2" w:rsidRDefault="00A65BF2">
      <w:pPr>
        <w:pStyle w:val="FootnoteText"/>
      </w:pPr>
      <w:r>
        <w:rPr>
          <w:rStyle w:val="FootnoteReference"/>
        </w:rPr>
        <w:footnoteRef/>
      </w:r>
      <w:r>
        <w:t xml:space="preserve"> DP&amp;L SEC Form 8-K at 3 (Oct. 31, 2012) (identifying that DP&amp;L took an impairment of $80.8 million related to the Conesville and Hutchings generating plants); DPL Inc./DP&amp;L SEC 10-Q at 51, 61 (identifying that DP&amp;L took an impairment of $857 million related to the Stuart, Killen, and Zimmer generating plants).</w:t>
      </w:r>
    </w:p>
  </w:footnote>
  <w:footnote w:id="29">
    <w:p w14:paraId="05D9F33A" w14:textId="11FB58CE" w:rsidR="00A65BF2" w:rsidRDefault="00A65BF2" w:rsidP="009443AA">
      <w:pPr>
        <w:pStyle w:val="FootnoteText"/>
      </w:pPr>
      <w:r>
        <w:rPr>
          <w:rStyle w:val="FootnoteReference"/>
        </w:rPr>
        <w:footnoteRef/>
      </w:r>
      <w:r>
        <w:t xml:space="preserve"> </w:t>
      </w:r>
      <w:r>
        <w:rPr>
          <w:i/>
        </w:rPr>
        <w:t>Sutton v. Stevens Painton Corp.</w:t>
      </w:r>
      <w:r>
        <w:t>, 193 Ohio App.3d, 68, 951 N.E.2d 91, 2011-Ohio-841 at ¶ 15 (</w:t>
      </w:r>
      <w:r>
        <w:rPr>
          <w:i/>
        </w:rPr>
        <w:t>citing Boone v. Vanliner Ins. Co.</w:t>
      </w:r>
      <w:r>
        <w:t>, 91 Ohio St.3d 209, 210, 744 N.E. 2d 154 (2001)).</w:t>
      </w:r>
    </w:p>
  </w:footnote>
  <w:footnote w:id="30">
    <w:p w14:paraId="1554B72A" w14:textId="77777777" w:rsidR="00A65BF2" w:rsidRDefault="00A65BF2" w:rsidP="009443AA">
      <w:pPr>
        <w:pStyle w:val="FootnoteText"/>
      </w:pPr>
      <w:r>
        <w:rPr>
          <w:rStyle w:val="FootnoteReference"/>
        </w:rPr>
        <w:footnoteRef/>
      </w:r>
      <w:r>
        <w:t xml:space="preserve"> </w:t>
      </w:r>
      <w:r>
        <w:rPr>
          <w:i/>
        </w:rPr>
        <w:t>Sutton</w:t>
      </w:r>
      <w:r>
        <w:t>, 2011-Ohio-841 at ¶ 16 (</w:t>
      </w:r>
      <w:r>
        <w:rPr>
          <w:i/>
        </w:rPr>
        <w:t>quoting Moskovitz v. Mt. Sinai Med. Ctr.</w:t>
      </w:r>
      <w:r>
        <w:t>, 69 Ohio St.3d 638, 660, 635 N.E.2d 331 (1994)).</w:t>
      </w:r>
    </w:p>
  </w:footnote>
  <w:footnote w:id="31">
    <w:p w14:paraId="6E03777C" w14:textId="77777777" w:rsidR="00A65BF2" w:rsidRDefault="00A65BF2" w:rsidP="009443AA">
      <w:pPr>
        <w:pStyle w:val="FootnoteText"/>
      </w:pPr>
      <w:r>
        <w:rPr>
          <w:rStyle w:val="FootnoteReference"/>
        </w:rPr>
        <w:footnoteRef/>
      </w:r>
      <w:r>
        <w:t xml:space="preserve"> </w:t>
      </w:r>
      <w:r>
        <w:rPr>
          <w:i/>
        </w:rPr>
        <w:t>Sutton</w:t>
      </w:r>
      <w:r>
        <w:t>, 2011-Ohio-841 at ¶ 16 (</w:t>
      </w:r>
      <w:r>
        <w:rPr>
          <w:i/>
        </w:rPr>
        <w:t>quoting Upjohn v. U.S.</w:t>
      </w:r>
      <w:r>
        <w:t>, 449 U.S. 383, 389 (1981)).</w:t>
      </w:r>
    </w:p>
  </w:footnote>
  <w:footnote w:id="32">
    <w:p w14:paraId="160BB6DA" w14:textId="728A9AB8" w:rsidR="00A65BF2" w:rsidRDefault="00A65BF2" w:rsidP="009443AA">
      <w:pPr>
        <w:pStyle w:val="FootnoteText"/>
      </w:pPr>
      <w:r>
        <w:rPr>
          <w:rStyle w:val="FootnoteReference"/>
        </w:rPr>
        <w:footnoteRef/>
      </w:r>
      <w:r>
        <w:t xml:space="preserve"> </w:t>
      </w:r>
      <w:r>
        <w:rPr>
          <w:i/>
        </w:rPr>
        <w:t>State ex rel. Leslie v. Ohio Hous. Fin. Agency</w:t>
      </w:r>
      <w:r>
        <w:t>, 105 Ohio St.3d 261, 2006-Ohio-1508, at ¶ 21 (</w:t>
      </w:r>
      <w:r>
        <w:rPr>
          <w:i/>
        </w:rPr>
        <w:t>quoting Reed v. Baxter</w:t>
      </w:r>
      <w:r>
        <w:t xml:space="preserve">, 134 F.3d 351, 355-56 (6th Cir. 1998)). </w:t>
      </w:r>
    </w:p>
  </w:footnote>
  <w:footnote w:id="33">
    <w:p w14:paraId="5A7284C3" w14:textId="77777777" w:rsidR="00A65BF2" w:rsidRDefault="00A65BF2" w:rsidP="009443AA">
      <w:pPr>
        <w:pStyle w:val="FootnoteText"/>
      </w:pPr>
      <w:r>
        <w:rPr>
          <w:rStyle w:val="FootnoteReference"/>
        </w:rPr>
        <w:footnoteRef/>
      </w:r>
      <w:r>
        <w:t xml:space="preserve"> </w:t>
      </w:r>
      <w:r>
        <w:rPr>
          <w:i/>
        </w:rPr>
        <w:t>State ex rel. Toledo Blade Co. v. Toledo-Lucas Cty. Port Authority</w:t>
      </w:r>
      <w:r>
        <w:t>, 121 Ohio St.3d 537, 2009-Ohio-1767, at ¶ 27 (</w:t>
      </w:r>
      <w:r>
        <w:rPr>
          <w:i/>
        </w:rPr>
        <w:t>quoting In re Allen</w:t>
      </w:r>
      <w:r>
        <w:t>, 106 F.3d 582, 602 (4th Cir. 1997)).</w:t>
      </w:r>
    </w:p>
  </w:footnote>
  <w:footnote w:id="34">
    <w:p w14:paraId="765C1630" w14:textId="77777777" w:rsidR="00A65BF2" w:rsidRDefault="00A65BF2" w:rsidP="009443AA">
      <w:pPr>
        <w:pStyle w:val="FootnoteText"/>
      </w:pPr>
      <w:r>
        <w:rPr>
          <w:rStyle w:val="FootnoteReference"/>
        </w:rPr>
        <w:footnoteRef/>
      </w:r>
      <w:r>
        <w:t xml:space="preserve"> </w:t>
      </w:r>
      <w:r>
        <w:rPr>
          <w:i/>
        </w:rPr>
        <w:t>Toledo Blade</w:t>
      </w:r>
      <w:r>
        <w:t>, 2009-Ohio-1767, at ¶ 28 (emphasis in original).</w:t>
      </w:r>
    </w:p>
  </w:footnote>
  <w:footnote w:id="35">
    <w:p w14:paraId="45CC181D" w14:textId="77777777" w:rsidR="00A65BF2" w:rsidRDefault="00A65BF2" w:rsidP="009443AA">
      <w:pPr>
        <w:pStyle w:val="FootnoteText"/>
      </w:pPr>
      <w:r>
        <w:rPr>
          <w:rStyle w:val="FootnoteReference"/>
        </w:rPr>
        <w:footnoteRef/>
      </w:r>
      <w:r>
        <w:t xml:space="preserve"> </w:t>
      </w:r>
      <w:r>
        <w:rPr>
          <w:i/>
        </w:rPr>
        <w:t>Squire Sanders &amp; Dempsey v. Givaudan Flavors Corp.</w:t>
      </w:r>
      <w:r>
        <w:t>, 127 Ohio St.3d 161, 2010-Ohio-4469, at ¶ 55; 23 Am. Jur. 2d § 45.</w:t>
      </w:r>
    </w:p>
  </w:footnote>
  <w:footnote w:id="36">
    <w:p w14:paraId="41C5E0EF" w14:textId="77777777" w:rsidR="00A65BF2" w:rsidRDefault="00A65BF2" w:rsidP="009443AA">
      <w:pPr>
        <w:pStyle w:val="FootnoteText"/>
      </w:pPr>
      <w:r>
        <w:rPr>
          <w:rStyle w:val="FootnoteReference"/>
        </w:rPr>
        <w:footnoteRef/>
      </w:r>
      <w:r>
        <w:t xml:space="preserve"> </w:t>
      </w:r>
      <w:r>
        <w:rPr>
          <w:i/>
        </w:rPr>
        <w:t>Estate of Hohler v. Hohler</w:t>
      </w:r>
      <w:r>
        <w:t>,</w:t>
      </w:r>
      <w:r>
        <w:rPr>
          <w:i/>
        </w:rPr>
        <w:t xml:space="preserve"> </w:t>
      </w:r>
      <w:r>
        <w:t>197 Ohio App.3d 237, 2011-Ohio-5469, 967 N.E.2d 219, ¶ 28 (7th Dist.).</w:t>
      </w:r>
    </w:p>
  </w:footnote>
  <w:footnote w:id="37">
    <w:p w14:paraId="5F5306D7" w14:textId="77777777" w:rsidR="00A65BF2" w:rsidRDefault="00A65BF2" w:rsidP="009443AA">
      <w:pPr>
        <w:pStyle w:val="FootnoteText"/>
      </w:pPr>
      <w:r>
        <w:rPr>
          <w:rStyle w:val="FootnoteReference"/>
        </w:rPr>
        <w:footnoteRef/>
      </w:r>
      <w:r>
        <w:t xml:space="preserve"> </w:t>
      </w:r>
      <w:r>
        <w:rPr>
          <w:i/>
        </w:rPr>
        <w:t>Hohler</w:t>
      </w:r>
      <w:r>
        <w:t>,</w:t>
      </w:r>
      <w:r>
        <w:rPr>
          <w:i/>
        </w:rPr>
        <w:t xml:space="preserve"> </w:t>
      </w:r>
      <w:r>
        <w:t>2011-Ohio-5469, at ¶¶ 29-30.</w:t>
      </w:r>
    </w:p>
  </w:footnote>
  <w:footnote w:id="38">
    <w:p w14:paraId="0F3A5407" w14:textId="4A5E7469" w:rsidR="00A65BF2" w:rsidRDefault="00A65BF2" w:rsidP="009443AA">
      <w:pPr>
        <w:pStyle w:val="FootnoteText"/>
      </w:pPr>
      <w:r>
        <w:rPr>
          <w:rStyle w:val="FootnoteReference"/>
        </w:rPr>
        <w:footnoteRef/>
      </w:r>
      <w:r>
        <w:t xml:space="preserve"> </w:t>
      </w:r>
      <w:r>
        <w:rPr>
          <w:i/>
        </w:rPr>
        <w:t>In the Matter of the Regulation of the Purchased Gas Adjustment Clause Contained Within the Rate Schedules of The East Oho Gas Company d.b.a Dominion East Ohio and Related Matters</w:t>
      </w:r>
      <w:r>
        <w:t>, Case No. 05</w:t>
      </w:r>
      <w:r>
        <w:noBreakHyphen/>
        <w:t>219</w:t>
      </w:r>
      <w:r>
        <w:noBreakHyphen/>
        <w:t>GA</w:t>
      </w:r>
      <w:r>
        <w:noBreakHyphen/>
        <w:t>GCR, Entry at 7 (July 28, 2006).</w:t>
      </w:r>
    </w:p>
  </w:footnote>
  <w:footnote w:id="39">
    <w:p w14:paraId="4BB655ED" w14:textId="77777777" w:rsidR="00A65BF2" w:rsidRDefault="00A65BF2" w:rsidP="009443AA">
      <w:pPr>
        <w:pStyle w:val="FootnoteText"/>
      </w:pPr>
      <w:r>
        <w:rPr>
          <w:rStyle w:val="FootnoteReference"/>
        </w:rPr>
        <w:footnoteRef/>
      </w:r>
      <w:r>
        <w:t xml:space="preserve"> </w:t>
      </w:r>
      <w:r>
        <w:rPr>
          <w:i/>
        </w:rPr>
        <w:t>Id.</w:t>
      </w:r>
    </w:p>
  </w:footnote>
  <w:footnote w:id="40">
    <w:p w14:paraId="2D0B4695" w14:textId="77777777" w:rsidR="00A65BF2" w:rsidRDefault="00A65BF2" w:rsidP="009443AA">
      <w:pPr>
        <w:pStyle w:val="FootnoteText"/>
        <w:rPr>
          <w:i/>
        </w:rPr>
      </w:pPr>
      <w:r>
        <w:rPr>
          <w:rStyle w:val="FootnoteReference"/>
        </w:rPr>
        <w:footnoteRef/>
      </w:r>
      <w:r>
        <w:t xml:space="preserve"> </w:t>
      </w:r>
      <w:r>
        <w:rPr>
          <w:i/>
        </w:rPr>
        <w:t>Id.</w:t>
      </w:r>
    </w:p>
  </w:footnote>
  <w:footnote w:id="41">
    <w:p w14:paraId="249F81AC" w14:textId="612BEB70" w:rsidR="00A65BF2" w:rsidRDefault="00A65BF2" w:rsidP="009443AA">
      <w:pPr>
        <w:pStyle w:val="FootnoteText"/>
      </w:pPr>
      <w:r>
        <w:rPr>
          <w:rStyle w:val="FootnoteReference"/>
        </w:rPr>
        <w:footnoteRef/>
      </w:r>
      <w:r>
        <w:t xml:space="preserve"> MA Equip. Leasing I, LLC v. Tilton, 980 N.E.2d 1072, 2012 Ohio App. LEXIS 4102, 2012</w:t>
      </w:r>
      <w:r>
        <w:noBreakHyphen/>
        <w:t>Ohio</w:t>
      </w:r>
      <w:r>
        <w:noBreakHyphen/>
        <w:t xml:space="preserve">468, </w:t>
      </w:r>
      <w:r>
        <w:rPr>
          <w:i/>
        </w:rPr>
        <w:t xml:space="preserve">at </w:t>
      </w:r>
      <w:r>
        <w:t xml:space="preserve">¶ 20; </w:t>
      </w:r>
      <w:r>
        <w:rPr>
          <w:i/>
        </w:rPr>
        <w:t>Mid-American Natl. Bank and Trust Co. v. Cincinnati Ins. Co.</w:t>
      </w:r>
      <w:r>
        <w:t>, 74 Ohio App.3d 481, 599 N.E.2d 699, 704 (6th Dist. 1991) (</w:t>
      </w:r>
      <w:r>
        <w:rPr>
          <w:i/>
        </w:rPr>
        <w:t>citing Hercules Inc. v. Exxon Corp.</w:t>
      </w:r>
      <w:r>
        <w:t>, 434 F.Supp 136, 156 (D. Del. 1977)).</w:t>
      </w:r>
    </w:p>
  </w:footnote>
  <w:footnote w:id="42">
    <w:p w14:paraId="163E5829" w14:textId="77777777" w:rsidR="00A65BF2" w:rsidRDefault="00A65BF2" w:rsidP="009443AA">
      <w:pPr>
        <w:pStyle w:val="FootnoteText"/>
      </w:pPr>
      <w:r>
        <w:rPr>
          <w:rStyle w:val="FootnoteReference"/>
        </w:rPr>
        <w:footnoteRef/>
      </w:r>
      <w:r>
        <w:t xml:space="preserve"> </w:t>
      </w:r>
      <w:r>
        <w:rPr>
          <w:i/>
        </w:rPr>
        <w:t>Mid-American</w:t>
      </w:r>
      <w:r>
        <w:t>, 599 N.E.2d at 704 (</w:t>
      </w:r>
      <w:r>
        <w:rPr>
          <w:i/>
        </w:rPr>
        <w:t>citing Hercules Inc. v. Exxon Corp.</w:t>
      </w:r>
      <w:r>
        <w:t>, 434 F.Supp 136, 156 (D. Del. 1977)).</w:t>
      </w:r>
    </w:p>
  </w:footnote>
  <w:footnote w:id="43">
    <w:p w14:paraId="70C8EAF8" w14:textId="77777777" w:rsidR="00A65BF2" w:rsidRDefault="00A65BF2" w:rsidP="009443AA">
      <w:pPr>
        <w:pStyle w:val="FootnoteText"/>
      </w:pPr>
      <w:r>
        <w:rPr>
          <w:rStyle w:val="FootnoteReference"/>
        </w:rPr>
        <w:footnoteRef/>
      </w:r>
      <w:r>
        <w:t xml:space="preserve"> </w:t>
      </w:r>
      <w:r>
        <w:rPr>
          <w:i/>
        </w:rPr>
        <w:t>Squire Sanders,</w:t>
      </w:r>
      <w:r>
        <w:t xml:space="preserve"> 2010-Ohio-4469, at ¶ 57.</w:t>
      </w:r>
    </w:p>
  </w:footnote>
  <w:footnote w:id="44">
    <w:p w14:paraId="66EB1045" w14:textId="77777777" w:rsidR="00A65BF2" w:rsidRDefault="00A65BF2" w:rsidP="009443AA">
      <w:pPr>
        <w:pStyle w:val="FootnoteText"/>
        <w:rPr>
          <w:i/>
        </w:rPr>
      </w:pPr>
      <w:r>
        <w:rPr>
          <w:rStyle w:val="FootnoteReference"/>
        </w:rPr>
        <w:footnoteRef/>
      </w:r>
      <w:r>
        <w:t xml:space="preserve"> </w:t>
      </w:r>
      <w:r>
        <w:rPr>
          <w:i/>
        </w:rPr>
        <w:t>Id.</w:t>
      </w:r>
    </w:p>
  </w:footnote>
  <w:footnote w:id="45">
    <w:p w14:paraId="62DC21B9" w14:textId="77777777" w:rsidR="00A65BF2" w:rsidRDefault="00A65BF2">
      <w:pPr>
        <w:pStyle w:val="FootnoteText"/>
      </w:pPr>
      <w:r>
        <w:rPr>
          <w:rStyle w:val="FootnoteReference"/>
        </w:rPr>
        <w:footnoteRef/>
      </w:r>
      <w:r>
        <w:t xml:space="preserve"> IEU-Ohio offers the caveat about the entirety of the documents not being privileged based upon the assertion by counsel for DP&amp;L that some of the documents might contain summaries or other write-ups identifying counsel’s expectation about certain issues.  That being said, market price forecasts and projected sale prices are not advice given by legal counsel in their role as a legal advisor to a client and are therefore certainly not protected by any claim of attorney-client privilege.  Without the benefit of seeing the documents, IEU-Ohio will rely on the Commission’s in camera review to determine if statements outside of the projected market values and sale prices in the responsive documents may reflect legal advice.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88B43" w14:textId="77777777" w:rsidR="00597AE0" w:rsidRDefault="00597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9A404" w14:textId="77777777" w:rsidR="00597AE0" w:rsidRDefault="00597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C27E3" w14:textId="77777777" w:rsidR="00597AE0" w:rsidRDefault="00597A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69B2" w14:textId="77777777" w:rsidR="00A65BF2" w:rsidRDefault="00A65B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A31C5" w14:textId="77777777" w:rsidR="00A65BF2" w:rsidRDefault="00A65B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0A4A" w14:textId="77777777" w:rsidR="00A65BF2" w:rsidRDefault="00A65B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899DF" w14:textId="77777777" w:rsidR="00A65BF2" w:rsidRDefault="00A65B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119D4" w14:textId="77777777" w:rsidR="00A65BF2" w:rsidRDefault="00A65B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941" w14:textId="77777777" w:rsidR="00A65BF2" w:rsidRDefault="00A65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4628F"/>
    <w:multiLevelType w:val="hybridMultilevel"/>
    <w:tmpl w:val="B24CB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71568"/>
    <w:multiLevelType w:val="multilevel"/>
    <w:tmpl w:val="F860389A"/>
    <w:name w:val="IEU-Ohio PUCO Basic-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rFonts w:cs="Times New Roman"/>
        <w:b/>
        <w:bCs w:val="0"/>
        <w:i w:val="0"/>
        <w:iCs w:val="0"/>
        <w:caps w:val="0"/>
        <w:smallCaps w:val="0"/>
        <w:strike w:val="0"/>
        <w:dstrike w:val="0"/>
        <w:noProof w:val="0"/>
        <w:vanish w:val="0"/>
        <w:color w:val="010000"/>
        <w:spacing w:val="0"/>
        <w:kern w:val="0"/>
        <w:position w:val="0"/>
        <w:u w:val="none"/>
        <w:effect w:val="none"/>
        <w:vertAlign w:val="baseline"/>
        <w:em w:val="none"/>
        <w:specVanish w:val="0"/>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1"/>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Ohio PUCO Basic&lt;/Name&gt;&lt;Description&gt;General pleading format&lt;/Description&gt;&lt;FilterID&gt;0&lt;/FilterID&gt;&lt;CustomTOCAttached&gt;false&lt;/CustomTOCAttached&gt;&lt;DefaultTOCSchemeID&gt;0&lt;/DefaultTOCSchemeID&gt;&lt;BitMapID&gt;2&lt;/BitMapID&gt;&lt;Hidden&gt;false&lt;/Hidden&gt;&lt;ListIndexUsed&gt;0&lt;/ListIndexUsed&gt;&lt;CapturedDocument&gt;M:\CLIENTS\18480\FE\C50135.DOCX&lt;/CapturedDocument&gt;&lt;CreatedByEndUser&gt;true&lt;/CreatedByEndUser&gt;&lt;ConnectionType&gt;User&lt;/ConnectionType&gt;&lt;EnforceSchemeFont&gt;false&lt;/EnforceSchemeFont&gt;&lt;/SelectedNumberingScheme&gt;&lt;SelectedSchemeFilter&gt;&lt;LastUpdated&gt;0001-01-01T00:00:00&lt;/LastUpdated&gt;&lt;FilterID&gt;2&lt;/FilterID&gt;&lt;FilterName&gt;User-Defined Numbering Schemes&lt;/FilterName&gt;&lt;FilterNameFrench&gt;Schémas de numérotation définis par l'utilisateur&lt;/FilterNameFrench&gt;&lt;UserDatabaseOnly&gt;true&lt;/UserDatabaseOnly&gt;&lt;Default&gt;true&lt;/Default&gt;&lt;SortPosition&gt;2&lt;/SortPosition&gt;&lt;/SelectedSchemeFilter&gt;&lt;SelectedNumberingSchemeOptions /&gt;&lt;Index&gt;1&lt;/Index&gt;&lt;/AddedNumberingScheme&gt;&lt;/ArrayOfAddedNumberingScheme&gt;"/>
    <w:docVar w:name="EnforceSchemeFont" w:val="False"/>
    <w:docVar w:name="LastSchemeChoice" w:val="IEU-Ohio PUCO Basic"/>
    <w:docVar w:name="LastSchemeUniqueID" w:val="1"/>
    <w:docVar w:name="LegacyNa" w:val="False"/>
  </w:docVars>
  <w:rsids>
    <w:rsidRoot w:val="004F3764"/>
    <w:rsid w:val="00015C21"/>
    <w:rsid w:val="00024EB8"/>
    <w:rsid w:val="000301D7"/>
    <w:rsid w:val="00030843"/>
    <w:rsid w:val="000321DB"/>
    <w:rsid w:val="0003528B"/>
    <w:rsid w:val="00036AE9"/>
    <w:rsid w:val="00053382"/>
    <w:rsid w:val="00082880"/>
    <w:rsid w:val="00091A3F"/>
    <w:rsid w:val="000B03B7"/>
    <w:rsid w:val="000B29F1"/>
    <w:rsid w:val="000C12D4"/>
    <w:rsid w:val="000D37E4"/>
    <w:rsid w:val="000D5783"/>
    <w:rsid w:val="000D7445"/>
    <w:rsid w:val="000E5897"/>
    <w:rsid w:val="000E5B55"/>
    <w:rsid w:val="001043D9"/>
    <w:rsid w:val="00105B5F"/>
    <w:rsid w:val="00126FEB"/>
    <w:rsid w:val="001363D8"/>
    <w:rsid w:val="00137222"/>
    <w:rsid w:val="00141B90"/>
    <w:rsid w:val="0015647D"/>
    <w:rsid w:val="00162375"/>
    <w:rsid w:val="0016279E"/>
    <w:rsid w:val="00164269"/>
    <w:rsid w:val="00172AF1"/>
    <w:rsid w:val="00172DD8"/>
    <w:rsid w:val="00177A15"/>
    <w:rsid w:val="0018496D"/>
    <w:rsid w:val="00193225"/>
    <w:rsid w:val="00194BD7"/>
    <w:rsid w:val="001B11BE"/>
    <w:rsid w:val="001B6C1A"/>
    <w:rsid w:val="001D25DD"/>
    <w:rsid w:val="001E5CF0"/>
    <w:rsid w:val="001E736F"/>
    <w:rsid w:val="001F61B1"/>
    <w:rsid w:val="00217E3F"/>
    <w:rsid w:val="0022222F"/>
    <w:rsid w:val="00226F6F"/>
    <w:rsid w:val="00234C1B"/>
    <w:rsid w:val="00237F3B"/>
    <w:rsid w:val="00241336"/>
    <w:rsid w:val="00247535"/>
    <w:rsid w:val="00260E50"/>
    <w:rsid w:val="0026186A"/>
    <w:rsid w:val="00262C19"/>
    <w:rsid w:val="00264C1F"/>
    <w:rsid w:val="0027230D"/>
    <w:rsid w:val="0027490B"/>
    <w:rsid w:val="00282F38"/>
    <w:rsid w:val="002860BA"/>
    <w:rsid w:val="00286C9F"/>
    <w:rsid w:val="002A5E62"/>
    <w:rsid w:val="002A7494"/>
    <w:rsid w:val="002A78B9"/>
    <w:rsid w:val="002B56FC"/>
    <w:rsid w:val="002C7CD2"/>
    <w:rsid w:val="002D48B6"/>
    <w:rsid w:val="002D5D2C"/>
    <w:rsid w:val="002E5FC6"/>
    <w:rsid w:val="002F0BF1"/>
    <w:rsid w:val="002F27BE"/>
    <w:rsid w:val="002F4A3F"/>
    <w:rsid w:val="00313229"/>
    <w:rsid w:val="00314143"/>
    <w:rsid w:val="003155B8"/>
    <w:rsid w:val="003316D8"/>
    <w:rsid w:val="0033566C"/>
    <w:rsid w:val="0034055C"/>
    <w:rsid w:val="0034578C"/>
    <w:rsid w:val="0037088E"/>
    <w:rsid w:val="00370A58"/>
    <w:rsid w:val="003768CA"/>
    <w:rsid w:val="00383BBC"/>
    <w:rsid w:val="00395C4C"/>
    <w:rsid w:val="003B38FB"/>
    <w:rsid w:val="003B6DED"/>
    <w:rsid w:val="003C5DCC"/>
    <w:rsid w:val="003E47D3"/>
    <w:rsid w:val="003E4C13"/>
    <w:rsid w:val="003F01DE"/>
    <w:rsid w:val="00410381"/>
    <w:rsid w:val="00412C5D"/>
    <w:rsid w:val="00413307"/>
    <w:rsid w:val="00415B6C"/>
    <w:rsid w:val="00431CAB"/>
    <w:rsid w:val="00450BA2"/>
    <w:rsid w:val="00450BC1"/>
    <w:rsid w:val="00457D28"/>
    <w:rsid w:val="0046445F"/>
    <w:rsid w:val="00475584"/>
    <w:rsid w:val="00475A30"/>
    <w:rsid w:val="00476799"/>
    <w:rsid w:val="00482A10"/>
    <w:rsid w:val="00491F34"/>
    <w:rsid w:val="004932DE"/>
    <w:rsid w:val="004B4627"/>
    <w:rsid w:val="004C365B"/>
    <w:rsid w:val="004C7680"/>
    <w:rsid w:val="004C7E5E"/>
    <w:rsid w:val="004D2AB6"/>
    <w:rsid w:val="004E0375"/>
    <w:rsid w:val="004F3764"/>
    <w:rsid w:val="00500888"/>
    <w:rsid w:val="00500CCD"/>
    <w:rsid w:val="005010C2"/>
    <w:rsid w:val="00503247"/>
    <w:rsid w:val="00504887"/>
    <w:rsid w:val="00506148"/>
    <w:rsid w:val="00516A3D"/>
    <w:rsid w:val="00525D32"/>
    <w:rsid w:val="00535903"/>
    <w:rsid w:val="00552628"/>
    <w:rsid w:val="00555F16"/>
    <w:rsid w:val="0056170A"/>
    <w:rsid w:val="0057495A"/>
    <w:rsid w:val="00583931"/>
    <w:rsid w:val="005920D7"/>
    <w:rsid w:val="00592DE0"/>
    <w:rsid w:val="00596109"/>
    <w:rsid w:val="00597AE0"/>
    <w:rsid w:val="005B1D45"/>
    <w:rsid w:val="005D01EE"/>
    <w:rsid w:val="005D11E0"/>
    <w:rsid w:val="005D660A"/>
    <w:rsid w:val="005E070E"/>
    <w:rsid w:val="005F2EBA"/>
    <w:rsid w:val="005F5B7D"/>
    <w:rsid w:val="006003AC"/>
    <w:rsid w:val="00623635"/>
    <w:rsid w:val="00623722"/>
    <w:rsid w:val="00630362"/>
    <w:rsid w:val="00634FAB"/>
    <w:rsid w:val="006460CD"/>
    <w:rsid w:val="00647BF9"/>
    <w:rsid w:val="006503C2"/>
    <w:rsid w:val="006538CE"/>
    <w:rsid w:val="00653C45"/>
    <w:rsid w:val="00665518"/>
    <w:rsid w:val="00685C8A"/>
    <w:rsid w:val="00687548"/>
    <w:rsid w:val="00697829"/>
    <w:rsid w:val="00697AFB"/>
    <w:rsid w:val="006C3779"/>
    <w:rsid w:val="006C49ED"/>
    <w:rsid w:val="006C6476"/>
    <w:rsid w:val="006E12B7"/>
    <w:rsid w:val="006E266D"/>
    <w:rsid w:val="00725411"/>
    <w:rsid w:val="007515BB"/>
    <w:rsid w:val="00751AB8"/>
    <w:rsid w:val="007541E0"/>
    <w:rsid w:val="00761982"/>
    <w:rsid w:val="007621C0"/>
    <w:rsid w:val="00770095"/>
    <w:rsid w:val="00783C4D"/>
    <w:rsid w:val="007840AB"/>
    <w:rsid w:val="00787BB1"/>
    <w:rsid w:val="0079175A"/>
    <w:rsid w:val="007A0104"/>
    <w:rsid w:val="007B57C5"/>
    <w:rsid w:val="007C25B5"/>
    <w:rsid w:val="007C6B1C"/>
    <w:rsid w:val="007D27BD"/>
    <w:rsid w:val="007D64A3"/>
    <w:rsid w:val="007E3903"/>
    <w:rsid w:val="007E5468"/>
    <w:rsid w:val="007E7074"/>
    <w:rsid w:val="007F44E9"/>
    <w:rsid w:val="007F48CF"/>
    <w:rsid w:val="007F5B69"/>
    <w:rsid w:val="00806164"/>
    <w:rsid w:val="0081584C"/>
    <w:rsid w:val="00836B73"/>
    <w:rsid w:val="00836FA9"/>
    <w:rsid w:val="00843BA6"/>
    <w:rsid w:val="0084568F"/>
    <w:rsid w:val="00847199"/>
    <w:rsid w:val="00847AB3"/>
    <w:rsid w:val="0085112F"/>
    <w:rsid w:val="008519E8"/>
    <w:rsid w:val="008618B4"/>
    <w:rsid w:val="00866548"/>
    <w:rsid w:val="00867E8A"/>
    <w:rsid w:val="0087370C"/>
    <w:rsid w:val="00875DFF"/>
    <w:rsid w:val="00875E59"/>
    <w:rsid w:val="008763EA"/>
    <w:rsid w:val="00897D39"/>
    <w:rsid w:val="008A425D"/>
    <w:rsid w:val="008A7D17"/>
    <w:rsid w:val="008B3637"/>
    <w:rsid w:val="008B7C01"/>
    <w:rsid w:val="008C6728"/>
    <w:rsid w:val="008D156F"/>
    <w:rsid w:val="008D6175"/>
    <w:rsid w:val="008E3BF4"/>
    <w:rsid w:val="008F35A1"/>
    <w:rsid w:val="008F7335"/>
    <w:rsid w:val="008F7653"/>
    <w:rsid w:val="00901BBA"/>
    <w:rsid w:val="00903DA4"/>
    <w:rsid w:val="009111EE"/>
    <w:rsid w:val="00911CAA"/>
    <w:rsid w:val="0093039D"/>
    <w:rsid w:val="009443AA"/>
    <w:rsid w:val="00954126"/>
    <w:rsid w:val="00973350"/>
    <w:rsid w:val="00973E60"/>
    <w:rsid w:val="00982B47"/>
    <w:rsid w:val="009856D0"/>
    <w:rsid w:val="0099371A"/>
    <w:rsid w:val="00997B1E"/>
    <w:rsid w:val="009A275A"/>
    <w:rsid w:val="009A3393"/>
    <w:rsid w:val="009A57F6"/>
    <w:rsid w:val="009B6030"/>
    <w:rsid w:val="009C64A9"/>
    <w:rsid w:val="009E3BF8"/>
    <w:rsid w:val="009F0C6F"/>
    <w:rsid w:val="009F162B"/>
    <w:rsid w:val="009F2215"/>
    <w:rsid w:val="009F2D40"/>
    <w:rsid w:val="009F385F"/>
    <w:rsid w:val="009F4AB8"/>
    <w:rsid w:val="00A06502"/>
    <w:rsid w:val="00A07956"/>
    <w:rsid w:val="00A13F1A"/>
    <w:rsid w:val="00A23B42"/>
    <w:rsid w:val="00A47649"/>
    <w:rsid w:val="00A637C4"/>
    <w:rsid w:val="00A65BF2"/>
    <w:rsid w:val="00A80548"/>
    <w:rsid w:val="00A83341"/>
    <w:rsid w:val="00A9086C"/>
    <w:rsid w:val="00AA145C"/>
    <w:rsid w:val="00AA27BD"/>
    <w:rsid w:val="00AA47F1"/>
    <w:rsid w:val="00AB0442"/>
    <w:rsid w:val="00AB674D"/>
    <w:rsid w:val="00AD32CC"/>
    <w:rsid w:val="00AD4BB4"/>
    <w:rsid w:val="00AE24FF"/>
    <w:rsid w:val="00AE60CB"/>
    <w:rsid w:val="00AE6AF3"/>
    <w:rsid w:val="00AF4E89"/>
    <w:rsid w:val="00B02D8B"/>
    <w:rsid w:val="00B22BD6"/>
    <w:rsid w:val="00B340EE"/>
    <w:rsid w:val="00B3560C"/>
    <w:rsid w:val="00B37FC5"/>
    <w:rsid w:val="00B53145"/>
    <w:rsid w:val="00B53AC2"/>
    <w:rsid w:val="00B56A3D"/>
    <w:rsid w:val="00B61B49"/>
    <w:rsid w:val="00B64B91"/>
    <w:rsid w:val="00B66E00"/>
    <w:rsid w:val="00B67496"/>
    <w:rsid w:val="00B74E43"/>
    <w:rsid w:val="00B804B1"/>
    <w:rsid w:val="00B9367B"/>
    <w:rsid w:val="00B967EB"/>
    <w:rsid w:val="00B96AB6"/>
    <w:rsid w:val="00BA091C"/>
    <w:rsid w:val="00BA0DB9"/>
    <w:rsid w:val="00BA1637"/>
    <w:rsid w:val="00BA2BF4"/>
    <w:rsid w:val="00BA505A"/>
    <w:rsid w:val="00BB2527"/>
    <w:rsid w:val="00BB6C80"/>
    <w:rsid w:val="00BC6CBC"/>
    <w:rsid w:val="00BE0017"/>
    <w:rsid w:val="00BE1F49"/>
    <w:rsid w:val="00BE267F"/>
    <w:rsid w:val="00BE7F5B"/>
    <w:rsid w:val="00BF6F55"/>
    <w:rsid w:val="00C0405A"/>
    <w:rsid w:val="00C06E94"/>
    <w:rsid w:val="00C07B1D"/>
    <w:rsid w:val="00C10281"/>
    <w:rsid w:val="00C22278"/>
    <w:rsid w:val="00C41F82"/>
    <w:rsid w:val="00C47684"/>
    <w:rsid w:val="00C52B5F"/>
    <w:rsid w:val="00C5563C"/>
    <w:rsid w:val="00C61310"/>
    <w:rsid w:val="00C663A2"/>
    <w:rsid w:val="00C822C2"/>
    <w:rsid w:val="00C844D3"/>
    <w:rsid w:val="00C85E38"/>
    <w:rsid w:val="00CA0D9C"/>
    <w:rsid w:val="00CA6DF5"/>
    <w:rsid w:val="00CC2C02"/>
    <w:rsid w:val="00CD154D"/>
    <w:rsid w:val="00CD2374"/>
    <w:rsid w:val="00CE415D"/>
    <w:rsid w:val="00CE69AC"/>
    <w:rsid w:val="00CF198D"/>
    <w:rsid w:val="00CF46B7"/>
    <w:rsid w:val="00CF7FBF"/>
    <w:rsid w:val="00D03D23"/>
    <w:rsid w:val="00D15C22"/>
    <w:rsid w:val="00D174E6"/>
    <w:rsid w:val="00D215C7"/>
    <w:rsid w:val="00D22D4E"/>
    <w:rsid w:val="00D270BA"/>
    <w:rsid w:val="00D37DAB"/>
    <w:rsid w:val="00D511C7"/>
    <w:rsid w:val="00D63B5E"/>
    <w:rsid w:val="00D653D2"/>
    <w:rsid w:val="00D66CA1"/>
    <w:rsid w:val="00D75AD9"/>
    <w:rsid w:val="00D76714"/>
    <w:rsid w:val="00D807A9"/>
    <w:rsid w:val="00D87B3F"/>
    <w:rsid w:val="00D90EAE"/>
    <w:rsid w:val="00D964C6"/>
    <w:rsid w:val="00DA2CD5"/>
    <w:rsid w:val="00DB2A5E"/>
    <w:rsid w:val="00DE6C65"/>
    <w:rsid w:val="00E009DC"/>
    <w:rsid w:val="00E11C56"/>
    <w:rsid w:val="00E418F7"/>
    <w:rsid w:val="00E50BAD"/>
    <w:rsid w:val="00E63AA9"/>
    <w:rsid w:val="00E82414"/>
    <w:rsid w:val="00E8635A"/>
    <w:rsid w:val="00E9538B"/>
    <w:rsid w:val="00EA2CC5"/>
    <w:rsid w:val="00EB137A"/>
    <w:rsid w:val="00EB4BDC"/>
    <w:rsid w:val="00EC0F4B"/>
    <w:rsid w:val="00ED2E72"/>
    <w:rsid w:val="00ED6081"/>
    <w:rsid w:val="00ED79F3"/>
    <w:rsid w:val="00EF086C"/>
    <w:rsid w:val="00EF4275"/>
    <w:rsid w:val="00F03855"/>
    <w:rsid w:val="00F154EA"/>
    <w:rsid w:val="00F17D76"/>
    <w:rsid w:val="00F32E87"/>
    <w:rsid w:val="00F35E36"/>
    <w:rsid w:val="00F37AE9"/>
    <w:rsid w:val="00F40588"/>
    <w:rsid w:val="00F453DF"/>
    <w:rsid w:val="00F45E92"/>
    <w:rsid w:val="00F53444"/>
    <w:rsid w:val="00F55C3B"/>
    <w:rsid w:val="00F65D77"/>
    <w:rsid w:val="00F74866"/>
    <w:rsid w:val="00F87E71"/>
    <w:rsid w:val="00FB36AB"/>
    <w:rsid w:val="00FD1DA3"/>
    <w:rsid w:val="00FF15F5"/>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A0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086C"/>
    <w:pPr>
      <w:spacing w:line="480" w:lineRule="auto"/>
    </w:pPr>
    <w:rPr>
      <w:szCs w:val="22"/>
    </w:rPr>
  </w:style>
  <w:style w:type="paragraph" w:styleId="Heading1">
    <w:name w:val="heading 1"/>
    <w:basedOn w:val="Normal"/>
    <w:next w:val="Normal"/>
    <w:link w:val="Heading1Char"/>
    <w:uiPriority w:val="9"/>
    <w:qFormat/>
    <w:rsid w:val="009E3BF8"/>
    <w:pPr>
      <w:numPr>
        <w:numId w:val="1"/>
      </w:numPr>
      <w:spacing w:before="18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9E3BF8"/>
    <w:pPr>
      <w:numPr>
        <w:ilvl w:val="1"/>
        <w:numId w:val="1"/>
      </w:numPr>
      <w:tabs>
        <w:tab w:val="left" w:pos="1440"/>
      </w:tabs>
      <w:spacing w:after="240" w:line="240" w:lineRule="auto"/>
      <w:outlineLvl w:val="1"/>
    </w:pPr>
    <w:rPr>
      <w:rFonts w:eastAsiaTheme="majorEastAsia" w:cs="Arial"/>
      <w:b/>
      <w:szCs w:val="26"/>
    </w:rPr>
  </w:style>
  <w:style w:type="paragraph" w:styleId="Heading3">
    <w:name w:val="heading 3"/>
    <w:basedOn w:val="Normal"/>
    <w:next w:val="Normal"/>
    <w:link w:val="Heading3Char"/>
    <w:uiPriority w:val="9"/>
    <w:qFormat/>
    <w:rsid w:val="009E3BF8"/>
    <w:pPr>
      <w:numPr>
        <w:ilvl w:val="2"/>
        <w:numId w:val="1"/>
      </w:numPr>
      <w:tabs>
        <w:tab w:val="left" w:pos="2160"/>
      </w:tabs>
      <w:spacing w:after="240" w:line="240" w:lineRule="auto"/>
      <w:outlineLvl w:val="2"/>
    </w:pPr>
    <w:rPr>
      <w:rFonts w:eastAsiaTheme="majorEastAsia" w:cs="Arial"/>
      <w:b/>
      <w:bCs/>
      <w:szCs w:val="20"/>
    </w:rPr>
  </w:style>
  <w:style w:type="paragraph" w:styleId="Heading4">
    <w:name w:val="heading 4"/>
    <w:basedOn w:val="Normal"/>
    <w:next w:val="Normal"/>
    <w:link w:val="Heading4Char"/>
    <w:uiPriority w:val="9"/>
    <w:unhideWhenUsed/>
    <w:qFormat/>
    <w:rsid w:val="009E3BF8"/>
    <w:pPr>
      <w:numPr>
        <w:ilvl w:val="3"/>
        <w:numId w:val="1"/>
      </w:numPr>
      <w:tabs>
        <w:tab w:val="left" w:pos="2880"/>
      </w:tabs>
      <w:spacing w:after="240" w:line="240" w:lineRule="auto"/>
      <w:outlineLvl w:val="3"/>
    </w:pPr>
    <w:rPr>
      <w:rFonts w:eastAsiaTheme="majorEastAsia" w:cs="Arial"/>
      <w:b/>
      <w:bCs/>
      <w:i/>
      <w:iCs/>
      <w:szCs w:val="20"/>
    </w:rPr>
  </w:style>
  <w:style w:type="paragraph" w:styleId="Heading5">
    <w:name w:val="heading 5"/>
    <w:basedOn w:val="Normal"/>
    <w:next w:val="Normal"/>
    <w:link w:val="Heading5Char"/>
    <w:uiPriority w:val="9"/>
    <w:semiHidden/>
    <w:unhideWhenUsed/>
    <w:qFormat/>
    <w:rsid w:val="009E3BF8"/>
    <w:pPr>
      <w:numPr>
        <w:ilvl w:val="4"/>
        <w:numId w:val="1"/>
      </w:numPr>
      <w:tabs>
        <w:tab w:val="left" w:pos="3600"/>
      </w:tabs>
      <w:spacing w:after="240" w:line="240" w:lineRule="auto"/>
      <w:outlineLvl w:val="4"/>
    </w:pPr>
    <w:rPr>
      <w:rFonts w:eastAsiaTheme="majorEastAsia" w:cs="Arial"/>
      <w:color w:val="243F60" w:themeColor="accent1" w:themeShade="7F"/>
    </w:rPr>
  </w:style>
  <w:style w:type="paragraph" w:styleId="Heading6">
    <w:name w:val="heading 6"/>
    <w:basedOn w:val="Normal"/>
    <w:next w:val="Normal"/>
    <w:link w:val="Heading6Char"/>
    <w:uiPriority w:val="9"/>
    <w:semiHidden/>
    <w:unhideWhenUsed/>
    <w:qFormat/>
    <w:rsid w:val="009E3BF8"/>
    <w:pPr>
      <w:numPr>
        <w:ilvl w:val="5"/>
        <w:numId w:val="1"/>
      </w:numPr>
      <w:tabs>
        <w:tab w:val="left" w:pos="4320"/>
      </w:tabs>
      <w:spacing w:after="240" w:line="240" w:lineRule="auto"/>
      <w:outlineLvl w:val="5"/>
    </w:pPr>
    <w:rPr>
      <w:rFonts w:eastAsiaTheme="majorEastAsia" w:cs="Arial"/>
      <w:color w:val="243F60" w:themeColor="accent1" w:themeShade="7F"/>
    </w:rPr>
  </w:style>
  <w:style w:type="paragraph" w:styleId="Heading7">
    <w:name w:val="heading 7"/>
    <w:basedOn w:val="Normal"/>
    <w:next w:val="Normal"/>
    <w:link w:val="Heading7Char"/>
    <w:uiPriority w:val="9"/>
    <w:semiHidden/>
    <w:unhideWhenUsed/>
    <w:qFormat/>
    <w:rsid w:val="009E3BF8"/>
    <w:pPr>
      <w:numPr>
        <w:ilvl w:val="6"/>
        <w:numId w:val="1"/>
      </w:numPr>
      <w:tabs>
        <w:tab w:val="left" w:pos="5040"/>
      </w:tabs>
      <w:spacing w:after="240" w:line="240" w:lineRule="auto"/>
      <w:outlineLvl w:val="6"/>
    </w:pPr>
    <w:rPr>
      <w:rFonts w:eastAsiaTheme="majorEastAsia" w:cs="Arial"/>
      <w:iCs/>
      <w:color w:val="404040" w:themeColor="text1" w:themeTint="BF"/>
    </w:rPr>
  </w:style>
  <w:style w:type="paragraph" w:styleId="Heading8">
    <w:name w:val="heading 8"/>
    <w:basedOn w:val="Normal"/>
    <w:next w:val="Normal"/>
    <w:link w:val="Heading8Char"/>
    <w:uiPriority w:val="9"/>
    <w:semiHidden/>
    <w:unhideWhenUsed/>
    <w:qFormat/>
    <w:rsid w:val="009E3BF8"/>
    <w:pPr>
      <w:numPr>
        <w:ilvl w:val="7"/>
        <w:numId w:val="1"/>
      </w:numPr>
      <w:tabs>
        <w:tab w:val="left" w:pos="5760"/>
      </w:tabs>
      <w:spacing w:after="240" w:line="240" w:lineRule="auto"/>
      <w:outlineLvl w:val="7"/>
    </w:pPr>
    <w:rPr>
      <w:rFonts w:eastAsiaTheme="majorEastAsia" w:cs="Arial"/>
      <w:color w:val="404040" w:themeColor="text1" w:themeTint="BF"/>
      <w:szCs w:val="21"/>
    </w:rPr>
  </w:style>
  <w:style w:type="paragraph" w:styleId="Heading9">
    <w:name w:val="heading 9"/>
    <w:basedOn w:val="Normal"/>
    <w:next w:val="Normal"/>
    <w:link w:val="Heading9Char"/>
    <w:uiPriority w:val="9"/>
    <w:semiHidden/>
    <w:unhideWhenUsed/>
    <w:qFormat/>
    <w:rsid w:val="009E3BF8"/>
    <w:pPr>
      <w:numPr>
        <w:ilvl w:val="8"/>
        <w:numId w:val="1"/>
      </w:numPr>
      <w:tabs>
        <w:tab w:val="left" w:pos="6480"/>
      </w:tabs>
      <w:spacing w:after="240" w:line="240" w:lineRule="auto"/>
      <w:outlineLvl w:val="8"/>
    </w:pPr>
    <w:rPr>
      <w:rFonts w:eastAsiaTheme="majorEastAsia" w:cs="Arial"/>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 Char,ft Char,fn,char,ft,Footnote Text Char1"/>
    <w:basedOn w:val="Normal"/>
    <w:link w:val="FootnoteTextChar"/>
    <w:uiPriority w:val="99"/>
    <w:unhideWhenUsed/>
    <w:qFormat/>
    <w:rsid w:val="00EF086C"/>
    <w:pPr>
      <w:spacing w:after="120" w:line="240" w:lineRule="auto"/>
    </w:pPr>
    <w:rPr>
      <w:rFonts w:cs="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 Char Char1"/>
    <w:basedOn w:val="DefaultParagraphFont"/>
    <w:link w:val="FootnoteText"/>
    <w:uiPriority w:val="99"/>
    <w:rsid w:val="00EF086C"/>
    <w:rPr>
      <w:rFonts w:cs="Arial"/>
      <w:sz w:val="20"/>
      <w:szCs w:val="20"/>
    </w:rPr>
  </w:style>
  <w:style w:type="paragraph" w:customStyle="1" w:styleId="Footnotes">
    <w:name w:val="Footnotes"/>
    <w:basedOn w:val="Normal"/>
    <w:qFormat/>
    <w:rsid w:val="0003528B"/>
    <w:pPr>
      <w:spacing w:after="120" w:line="240" w:lineRule="auto"/>
    </w:pPr>
    <w:rPr>
      <w:rFonts w:cs="Times New Roman"/>
      <w:sz w:val="20"/>
      <w:szCs w:val="24"/>
    </w:rPr>
  </w:style>
  <w:style w:type="paragraph" w:styleId="Header">
    <w:name w:val="header"/>
    <w:basedOn w:val="Normal"/>
    <w:link w:val="HeaderChar"/>
    <w:unhideWhenUsed/>
    <w:rsid w:val="004F3764"/>
    <w:pPr>
      <w:tabs>
        <w:tab w:val="center" w:pos="4680"/>
        <w:tab w:val="right" w:pos="9360"/>
      </w:tabs>
      <w:spacing w:line="240" w:lineRule="auto"/>
    </w:pPr>
  </w:style>
  <w:style w:type="character" w:customStyle="1" w:styleId="HeaderChar">
    <w:name w:val="Header Char"/>
    <w:basedOn w:val="DefaultParagraphFont"/>
    <w:link w:val="Header"/>
    <w:rsid w:val="004F3764"/>
    <w:rPr>
      <w:szCs w:val="22"/>
    </w:rPr>
  </w:style>
  <w:style w:type="paragraph" w:styleId="Footer">
    <w:name w:val="footer"/>
    <w:basedOn w:val="Normal"/>
    <w:link w:val="FooterChar"/>
    <w:unhideWhenUsed/>
    <w:rsid w:val="004F3764"/>
    <w:pPr>
      <w:tabs>
        <w:tab w:val="center" w:pos="4680"/>
        <w:tab w:val="right" w:pos="9360"/>
      </w:tabs>
      <w:spacing w:line="240" w:lineRule="auto"/>
    </w:pPr>
  </w:style>
  <w:style w:type="character" w:customStyle="1" w:styleId="FooterChar">
    <w:name w:val="Footer Char"/>
    <w:basedOn w:val="DefaultParagraphFont"/>
    <w:link w:val="Footer"/>
    <w:rsid w:val="004F3764"/>
    <w:rPr>
      <w:szCs w:val="22"/>
    </w:rPr>
  </w:style>
  <w:style w:type="character" w:styleId="FootnoteReference">
    <w:name w:val="footnote reference"/>
    <w:basedOn w:val="DefaultParagraphFont"/>
    <w:uiPriority w:val="99"/>
    <w:semiHidden/>
    <w:unhideWhenUsed/>
    <w:rsid w:val="005D01EE"/>
    <w:rPr>
      <w:vertAlign w:val="superscript"/>
    </w:rPr>
  </w:style>
  <w:style w:type="character" w:customStyle="1" w:styleId="Heading1Char">
    <w:name w:val="Heading 1 Char"/>
    <w:basedOn w:val="DefaultParagraphFont"/>
    <w:link w:val="Heading1"/>
    <w:uiPriority w:val="9"/>
    <w:rsid w:val="007F48CF"/>
    <w:rPr>
      <w:rFonts w:eastAsiaTheme="majorEastAsia" w:cs="Arial"/>
      <w:b/>
      <w:bCs/>
      <w:caps/>
      <w:szCs w:val="28"/>
      <w:u w:val="single"/>
    </w:rPr>
  </w:style>
  <w:style w:type="character" w:customStyle="1" w:styleId="Heading3Char">
    <w:name w:val="Heading 3 Char"/>
    <w:basedOn w:val="DefaultParagraphFont"/>
    <w:link w:val="Heading3"/>
    <w:uiPriority w:val="9"/>
    <w:rsid w:val="00647BF9"/>
    <w:rPr>
      <w:rFonts w:eastAsiaTheme="majorEastAsia" w:cs="Arial"/>
      <w:b/>
      <w:bCs/>
      <w:szCs w:val="20"/>
    </w:rPr>
  </w:style>
  <w:style w:type="character" w:customStyle="1" w:styleId="Heading4Char">
    <w:name w:val="Heading 4 Char"/>
    <w:basedOn w:val="DefaultParagraphFont"/>
    <w:link w:val="Heading4"/>
    <w:uiPriority w:val="9"/>
    <w:rsid w:val="007F48CF"/>
    <w:rPr>
      <w:rFonts w:eastAsiaTheme="majorEastAsia" w:cs="Arial"/>
      <w:b/>
      <w:bCs/>
      <w:i/>
      <w:iCs/>
      <w:szCs w:val="20"/>
    </w:rPr>
  </w:style>
  <w:style w:type="paragraph" w:styleId="ListParagraph">
    <w:name w:val="List Paragraph"/>
    <w:basedOn w:val="Normal"/>
    <w:link w:val="ListParagraphChar"/>
    <w:uiPriority w:val="34"/>
    <w:qFormat/>
    <w:rsid w:val="007F48CF"/>
    <w:pPr>
      <w:ind w:left="720"/>
      <w:contextualSpacing/>
    </w:pPr>
  </w:style>
  <w:style w:type="character" w:customStyle="1" w:styleId="ListParagraphChar">
    <w:name w:val="List Paragraph Char"/>
    <w:basedOn w:val="DefaultParagraphFont"/>
    <w:link w:val="ListParagraph"/>
    <w:uiPriority w:val="34"/>
    <w:rsid w:val="00875E59"/>
    <w:rPr>
      <w:szCs w:val="22"/>
    </w:rPr>
  </w:style>
  <w:style w:type="character" w:styleId="Hyperlink">
    <w:name w:val="Hyperlink"/>
    <w:basedOn w:val="DefaultParagraphFont"/>
    <w:uiPriority w:val="99"/>
    <w:unhideWhenUsed/>
    <w:rsid w:val="00EA2CC5"/>
    <w:rPr>
      <w:color w:val="0000FF"/>
      <w:u w:val="single"/>
    </w:rPr>
  </w:style>
  <w:style w:type="character" w:customStyle="1" w:styleId="Heading2Char">
    <w:name w:val="Heading 2 Char"/>
    <w:basedOn w:val="DefaultParagraphFont"/>
    <w:link w:val="Heading2"/>
    <w:uiPriority w:val="9"/>
    <w:rsid w:val="009E3BF8"/>
    <w:rPr>
      <w:rFonts w:eastAsiaTheme="majorEastAsia" w:cs="Arial"/>
      <w:b/>
      <w:szCs w:val="26"/>
    </w:rPr>
  </w:style>
  <w:style w:type="character" w:customStyle="1" w:styleId="Heading5Char">
    <w:name w:val="Heading 5 Char"/>
    <w:basedOn w:val="DefaultParagraphFont"/>
    <w:link w:val="Heading5"/>
    <w:uiPriority w:val="9"/>
    <w:semiHidden/>
    <w:rsid w:val="009E3BF8"/>
    <w:rPr>
      <w:rFonts w:eastAsiaTheme="majorEastAsia" w:cs="Arial"/>
      <w:color w:val="243F60" w:themeColor="accent1" w:themeShade="7F"/>
      <w:szCs w:val="22"/>
    </w:rPr>
  </w:style>
  <w:style w:type="character" w:customStyle="1" w:styleId="Heading6Char">
    <w:name w:val="Heading 6 Char"/>
    <w:basedOn w:val="DefaultParagraphFont"/>
    <w:link w:val="Heading6"/>
    <w:uiPriority w:val="9"/>
    <w:semiHidden/>
    <w:rsid w:val="009E3BF8"/>
    <w:rPr>
      <w:rFonts w:eastAsiaTheme="majorEastAsia" w:cs="Arial"/>
      <w:color w:val="243F60" w:themeColor="accent1" w:themeShade="7F"/>
      <w:szCs w:val="22"/>
    </w:rPr>
  </w:style>
  <w:style w:type="character" w:customStyle="1" w:styleId="Heading7Char">
    <w:name w:val="Heading 7 Char"/>
    <w:basedOn w:val="DefaultParagraphFont"/>
    <w:link w:val="Heading7"/>
    <w:uiPriority w:val="9"/>
    <w:semiHidden/>
    <w:rsid w:val="009E3BF8"/>
    <w:rPr>
      <w:rFonts w:eastAsiaTheme="majorEastAsia" w:cs="Arial"/>
      <w:iCs/>
      <w:color w:val="404040" w:themeColor="text1" w:themeTint="BF"/>
      <w:szCs w:val="22"/>
    </w:rPr>
  </w:style>
  <w:style w:type="character" w:customStyle="1" w:styleId="Heading8Char">
    <w:name w:val="Heading 8 Char"/>
    <w:basedOn w:val="DefaultParagraphFont"/>
    <w:link w:val="Heading8"/>
    <w:uiPriority w:val="9"/>
    <w:semiHidden/>
    <w:rsid w:val="009E3BF8"/>
    <w:rPr>
      <w:rFonts w:eastAsiaTheme="majorEastAsia" w:cs="Arial"/>
      <w:color w:val="404040" w:themeColor="text1" w:themeTint="BF"/>
      <w:szCs w:val="21"/>
    </w:rPr>
  </w:style>
  <w:style w:type="character" w:customStyle="1" w:styleId="Heading9Char">
    <w:name w:val="Heading 9 Char"/>
    <w:basedOn w:val="DefaultParagraphFont"/>
    <w:link w:val="Heading9"/>
    <w:uiPriority w:val="9"/>
    <w:semiHidden/>
    <w:rsid w:val="009E3BF8"/>
    <w:rPr>
      <w:rFonts w:eastAsiaTheme="majorEastAsia" w:cs="Arial"/>
      <w:iCs/>
      <w:color w:val="404040" w:themeColor="text1" w:themeTint="BF"/>
      <w:szCs w:val="21"/>
    </w:rPr>
  </w:style>
  <w:style w:type="paragraph" w:styleId="BodyText">
    <w:name w:val="Body Text"/>
    <w:basedOn w:val="Normal"/>
    <w:link w:val="BodyTextChar"/>
    <w:uiPriority w:val="99"/>
    <w:semiHidden/>
    <w:unhideWhenUsed/>
    <w:rsid w:val="009E3BF8"/>
    <w:pPr>
      <w:spacing w:after="120"/>
    </w:pPr>
  </w:style>
  <w:style w:type="character" w:customStyle="1" w:styleId="BodyTextChar">
    <w:name w:val="Body Text Char"/>
    <w:basedOn w:val="DefaultParagraphFont"/>
    <w:link w:val="BodyText"/>
    <w:uiPriority w:val="99"/>
    <w:semiHidden/>
    <w:rsid w:val="009E3BF8"/>
    <w:rPr>
      <w:szCs w:val="22"/>
    </w:rPr>
  </w:style>
  <w:style w:type="character" w:styleId="PageNumber">
    <w:name w:val="page number"/>
    <w:basedOn w:val="DefaultParagraphFont"/>
    <w:rsid w:val="0034578C"/>
  </w:style>
  <w:style w:type="paragraph" w:styleId="BalloonText">
    <w:name w:val="Balloon Text"/>
    <w:basedOn w:val="Normal"/>
    <w:link w:val="BalloonTextChar"/>
    <w:uiPriority w:val="99"/>
    <w:semiHidden/>
    <w:unhideWhenUsed/>
    <w:rsid w:val="004D2A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AB6"/>
    <w:rPr>
      <w:rFonts w:ascii="Segoe UI" w:hAnsi="Segoe UI" w:cs="Segoe UI"/>
      <w:sz w:val="18"/>
      <w:szCs w:val="18"/>
    </w:rPr>
  </w:style>
  <w:style w:type="character" w:styleId="FollowedHyperlink">
    <w:name w:val="FollowedHyperlink"/>
    <w:basedOn w:val="DefaultParagraphFont"/>
    <w:uiPriority w:val="99"/>
    <w:semiHidden/>
    <w:unhideWhenUsed/>
    <w:rsid w:val="00AB0442"/>
    <w:rPr>
      <w:color w:val="800080" w:themeColor="followedHyperlink"/>
      <w:u w:val="single"/>
    </w:rPr>
  </w:style>
  <w:style w:type="character" w:styleId="CommentReference">
    <w:name w:val="annotation reference"/>
    <w:basedOn w:val="DefaultParagraphFont"/>
    <w:uiPriority w:val="99"/>
    <w:semiHidden/>
    <w:unhideWhenUsed/>
    <w:rsid w:val="00282F38"/>
    <w:rPr>
      <w:sz w:val="16"/>
      <w:szCs w:val="16"/>
    </w:rPr>
  </w:style>
  <w:style w:type="paragraph" w:styleId="CommentText">
    <w:name w:val="annotation text"/>
    <w:basedOn w:val="Normal"/>
    <w:link w:val="CommentTextChar"/>
    <w:uiPriority w:val="99"/>
    <w:semiHidden/>
    <w:unhideWhenUsed/>
    <w:rsid w:val="00282F38"/>
    <w:pPr>
      <w:spacing w:line="240" w:lineRule="auto"/>
    </w:pPr>
    <w:rPr>
      <w:sz w:val="20"/>
      <w:szCs w:val="20"/>
    </w:rPr>
  </w:style>
  <w:style w:type="character" w:customStyle="1" w:styleId="CommentTextChar">
    <w:name w:val="Comment Text Char"/>
    <w:basedOn w:val="DefaultParagraphFont"/>
    <w:link w:val="CommentText"/>
    <w:uiPriority w:val="99"/>
    <w:semiHidden/>
    <w:rsid w:val="00282F38"/>
    <w:rPr>
      <w:sz w:val="20"/>
      <w:szCs w:val="20"/>
    </w:rPr>
  </w:style>
  <w:style w:type="paragraph" w:styleId="CommentSubject">
    <w:name w:val="annotation subject"/>
    <w:basedOn w:val="CommentText"/>
    <w:next w:val="CommentText"/>
    <w:link w:val="CommentSubjectChar"/>
    <w:uiPriority w:val="99"/>
    <w:semiHidden/>
    <w:unhideWhenUsed/>
    <w:rsid w:val="00282F38"/>
    <w:rPr>
      <w:b/>
      <w:bCs/>
    </w:rPr>
  </w:style>
  <w:style w:type="character" w:customStyle="1" w:styleId="CommentSubjectChar">
    <w:name w:val="Comment Subject Char"/>
    <w:basedOn w:val="CommentTextChar"/>
    <w:link w:val="CommentSubject"/>
    <w:uiPriority w:val="99"/>
    <w:semiHidden/>
    <w:rsid w:val="00282F38"/>
    <w:rPr>
      <w:b/>
      <w:bCs/>
      <w:sz w:val="20"/>
      <w:szCs w:val="20"/>
    </w:rPr>
  </w:style>
  <w:style w:type="paragraph" w:styleId="TOCHeading">
    <w:name w:val="TOC Heading"/>
    <w:basedOn w:val="Heading1"/>
    <w:next w:val="Normal"/>
    <w:uiPriority w:val="39"/>
    <w:unhideWhenUsed/>
    <w:qFormat/>
    <w:rsid w:val="008618B4"/>
    <w:pPr>
      <w:keepNext/>
      <w:keepLines/>
      <w:numPr>
        <w:numId w:val="0"/>
      </w:numPr>
      <w:spacing w:before="240" w:after="0" w:line="259" w:lineRule="auto"/>
      <w:jc w:val="left"/>
      <w:outlineLvl w:val="9"/>
    </w:pPr>
    <w:rPr>
      <w:rFonts w:asciiTheme="majorHAnsi" w:hAnsiTheme="majorHAnsi" w:cstheme="majorBidi"/>
      <w:b w:val="0"/>
      <w:bCs w:val="0"/>
      <w:caps w:val="0"/>
      <w:color w:val="365F91" w:themeColor="accent1" w:themeShade="BF"/>
      <w:sz w:val="32"/>
      <w:szCs w:val="32"/>
      <w:u w:val="none"/>
    </w:rPr>
  </w:style>
  <w:style w:type="paragraph" w:styleId="TOC1">
    <w:name w:val="toc 1"/>
    <w:basedOn w:val="Normal"/>
    <w:next w:val="Normal"/>
    <w:autoRedefine/>
    <w:uiPriority w:val="39"/>
    <w:unhideWhenUsed/>
    <w:rsid w:val="00843BA6"/>
    <w:pPr>
      <w:tabs>
        <w:tab w:val="right" w:leader="dot" w:pos="9180"/>
      </w:tabs>
      <w:spacing w:after="100"/>
      <w:ind w:left="720" w:right="720" w:hanging="720"/>
      <w:jc w:val="right"/>
    </w:pPr>
    <w:rPr>
      <w:b/>
      <w:noProof/>
      <w:u w:val="single"/>
    </w:rPr>
  </w:style>
  <w:style w:type="paragraph" w:styleId="TOC2">
    <w:name w:val="toc 2"/>
    <w:basedOn w:val="Normal"/>
    <w:next w:val="Normal"/>
    <w:autoRedefine/>
    <w:uiPriority w:val="39"/>
    <w:unhideWhenUsed/>
    <w:rsid w:val="00843BA6"/>
    <w:pPr>
      <w:tabs>
        <w:tab w:val="right" w:leader="dot" w:pos="9180"/>
      </w:tabs>
      <w:spacing w:after="180" w:line="240" w:lineRule="auto"/>
      <w:ind w:left="1440" w:righ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76671">
      <w:bodyDiv w:val="1"/>
      <w:marLeft w:val="0"/>
      <w:marRight w:val="0"/>
      <w:marTop w:val="0"/>
      <w:marBottom w:val="0"/>
      <w:divBdr>
        <w:top w:val="none" w:sz="0" w:space="0" w:color="auto"/>
        <w:left w:val="none" w:sz="0" w:space="0" w:color="auto"/>
        <w:bottom w:val="none" w:sz="0" w:space="0" w:color="auto"/>
        <w:right w:val="none" w:sz="0" w:space="0" w:color="auto"/>
      </w:divBdr>
      <w:divsChild>
        <w:div w:id="1454401894">
          <w:marLeft w:val="0"/>
          <w:marRight w:val="0"/>
          <w:marTop w:val="0"/>
          <w:marBottom w:val="0"/>
          <w:divBdr>
            <w:top w:val="none" w:sz="0" w:space="0" w:color="auto"/>
            <w:left w:val="none" w:sz="0" w:space="0" w:color="auto"/>
            <w:bottom w:val="none" w:sz="0" w:space="0" w:color="auto"/>
            <w:right w:val="none" w:sz="0" w:space="0" w:color="auto"/>
          </w:divBdr>
        </w:div>
      </w:divsChild>
    </w:div>
    <w:div w:id="1167359634">
      <w:bodyDiv w:val="1"/>
      <w:marLeft w:val="0"/>
      <w:marRight w:val="0"/>
      <w:marTop w:val="0"/>
      <w:marBottom w:val="0"/>
      <w:divBdr>
        <w:top w:val="none" w:sz="0" w:space="0" w:color="auto"/>
        <w:left w:val="none" w:sz="0" w:space="0" w:color="auto"/>
        <w:bottom w:val="none" w:sz="0" w:space="0" w:color="auto"/>
        <w:right w:val="none" w:sz="0" w:space="0" w:color="auto"/>
      </w:divBdr>
      <w:divsChild>
        <w:div w:id="367682559">
          <w:marLeft w:val="0"/>
          <w:marRight w:val="0"/>
          <w:marTop w:val="0"/>
          <w:marBottom w:val="0"/>
          <w:divBdr>
            <w:top w:val="none" w:sz="0" w:space="0" w:color="auto"/>
            <w:left w:val="none" w:sz="0" w:space="0" w:color="auto"/>
            <w:bottom w:val="none" w:sz="0" w:space="0" w:color="auto"/>
            <w:right w:val="none" w:sz="0" w:space="0" w:color="auto"/>
          </w:divBdr>
        </w:div>
      </w:divsChild>
    </w:div>
    <w:div w:id="1464229268">
      <w:bodyDiv w:val="1"/>
      <w:marLeft w:val="0"/>
      <w:marRight w:val="0"/>
      <w:marTop w:val="0"/>
      <w:marBottom w:val="0"/>
      <w:divBdr>
        <w:top w:val="none" w:sz="0" w:space="0" w:color="auto"/>
        <w:left w:val="none" w:sz="0" w:space="0" w:color="auto"/>
        <w:bottom w:val="none" w:sz="0" w:space="0" w:color="auto"/>
        <w:right w:val="none" w:sz="0" w:space="0" w:color="auto"/>
      </w:divBdr>
      <w:divsChild>
        <w:div w:id="1820728004">
          <w:marLeft w:val="0"/>
          <w:marRight w:val="0"/>
          <w:marTop w:val="0"/>
          <w:marBottom w:val="0"/>
          <w:divBdr>
            <w:top w:val="none" w:sz="0" w:space="0" w:color="auto"/>
            <w:left w:val="none" w:sz="0" w:space="0" w:color="auto"/>
            <w:bottom w:val="none" w:sz="0" w:space="0" w:color="auto"/>
            <w:right w:val="none" w:sz="0" w:space="0" w:color="auto"/>
          </w:divBdr>
        </w:div>
      </w:divsChild>
    </w:div>
    <w:div w:id="169692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mailto:jeffrey.mayes@monitoringanalytics.com" TargetMode="External"/><Relationship Id="rId39" Type="http://schemas.openxmlformats.org/officeDocument/2006/relationships/hyperlink" Target="mailto:cmooney@ohiopartners.org" TargetMode="External"/><Relationship Id="rId21" Type="http://schemas.openxmlformats.org/officeDocument/2006/relationships/header" Target="header8.xml"/><Relationship Id="rId34" Type="http://schemas.openxmlformats.org/officeDocument/2006/relationships/hyperlink" Target="mailto:glpetrucci@vorys.com" TargetMode="External"/><Relationship Id="rId42" Type="http://schemas.openxmlformats.org/officeDocument/2006/relationships/hyperlink" Target="mailto:gpoulos@enernoc.com" TargetMode="External"/><Relationship Id="rId47" Type="http://schemas.openxmlformats.org/officeDocument/2006/relationships/hyperlink" Target="mailto:Tony.mendoza@sierraclub.org" TargetMode="External"/><Relationship Id="rId50" Type="http://schemas.openxmlformats.org/officeDocument/2006/relationships/hyperlink" Target="mailto:talexander@calfee.com" TargetMode="External"/><Relationship Id="rId55" Type="http://schemas.openxmlformats.org/officeDocument/2006/relationships/hyperlink" Target="mailto:rseiler@dickinsonwright.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yperlink" Target="mailto:Kevin.Moore@occ.ohio.gov" TargetMode="External"/><Relationship Id="rId41" Type="http://schemas.openxmlformats.org/officeDocument/2006/relationships/hyperlink" Target="mailto:Sechler@carpenterlipps.com" TargetMode="External"/><Relationship Id="rId54" Type="http://schemas.openxmlformats.org/officeDocument/2006/relationships/hyperlink" Target="mailto:todonnell@dickinsonwrigh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mailto:mjsettineri@vorys.com" TargetMode="External"/><Relationship Id="rId37" Type="http://schemas.openxmlformats.org/officeDocument/2006/relationships/hyperlink" Target="mailto:mdortch@kravitzllc.com" TargetMode="External"/><Relationship Id="rId40" Type="http://schemas.openxmlformats.org/officeDocument/2006/relationships/hyperlink" Target="mailto:tdougherty@theOEC.org" TargetMode="External"/><Relationship Id="rId45" Type="http://schemas.openxmlformats.org/officeDocument/2006/relationships/hyperlink" Target="mailto:dborchers@bricker.com" TargetMode="External"/><Relationship Id="rId53" Type="http://schemas.openxmlformats.org/officeDocument/2006/relationships/hyperlink" Target="mailto:charis@spilmanlaw.com" TargetMode="External"/><Relationship Id="rId58" Type="http://schemas.openxmlformats.org/officeDocument/2006/relationships/hyperlink" Target="mailto:mcrawcord@djflawfirm.com"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yperlink" Target="mailto:William.Michael@occ.ohio.gov" TargetMode="External"/><Relationship Id="rId36" Type="http://schemas.openxmlformats.org/officeDocument/2006/relationships/hyperlink" Target="mailto:joliker@igsenergy.com" TargetMode="External"/><Relationship Id="rId49" Type="http://schemas.openxmlformats.org/officeDocument/2006/relationships/hyperlink" Target="mailto:jlang@calfee.com" TargetMode="External"/><Relationship Id="rId57" Type="http://schemas.openxmlformats.org/officeDocument/2006/relationships/hyperlink" Target="mailto:jdoll@djflawfirm.com"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mailto:Ghiloni@carpenterlipps.com" TargetMode="External"/><Relationship Id="rId44" Type="http://schemas.openxmlformats.org/officeDocument/2006/relationships/hyperlink" Target="mailto:mwarnock@bricker.com" TargetMode="External"/><Relationship Id="rId52" Type="http://schemas.openxmlformats.org/officeDocument/2006/relationships/hyperlink" Target="mailto:dwilliamson@spilmanlaw.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mailto:evelyn.robinson@pjm.com" TargetMode="External"/><Relationship Id="rId30" Type="http://schemas.openxmlformats.org/officeDocument/2006/relationships/hyperlink" Target="mailto:Bojko@carpenterlipps.com" TargetMode="External"/><Relationship Id="rId35" Type="http://schemas.openxmlformats.org/officeDocument/2006/relationships/hyperlink" Target="mailto:ibatikov@vorys.com" TargetMode="External"/><Relationship Id="rId43" Type="http://schemas.openxmlformats.org/officeDocument/2006/relationships/hyperlink" Target="mailto:rick.sites@ohiohospitals.org" TargetMode="External"/><Relationship Id="rId48" Type="http://schemas.openxmlformats.org/officeDocument/2006/relationships/hyperlink" Target="mailto:slesser@calfee.com" TargetMode="External"/><Relationship Id="rId56" Type="http://schemas.openxmlformats.org/officeDocument/2006/relationships/hyperlink" Target="mailto:ejacobs@ablelaw.org" TargetMode="External"/><Relationship Id="rId8" Type="http://schemas.openxmlformats.org/officeDocument/2006/relationships/header" Target="header1.xml"/><Relationship Id="rId51" Type="http://schemas.openxmlformats.org/officeDocument/2006/relationships/hyperlink" Target="mailto:lhawrot@spilmanlaw.co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mailto:smhoward@vorys.co" TargetMode="External"/><Relationship Id="rId38" Type="http://schemas.openxmlformats.org/officeDocument/2006/relationships/hyperlink" Target="mailto:rparsons@kravitzllc.com" TargetMode="External"/><Relationship Id="rId46" Type="http://schemas.openxmlformats.org/officeDocument/2006/relationships/hyperlink" Target="mailto:rsahli@columbus.rr.com" TargetMode="External"/><Relationship Id="rId59" Type="http://schemas.openxmlformats.org/officeDocument/2006/relationships/hyperlink" Target="mailto:dparram@taftlaw.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ec.gov/Archives/edgar/data/27430/000078725016000053/dpl10q20160630q2.htm" TargetMode="External"/><Relationship Id="rId1" Type="http://schemas.openxmlformats.org/officeDocument/2006/relationships/hyperlink" Target="https://www.sec.gov/Archives/edgar/data/874761/000119312512446900/d431640d8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149F-86CB-4585-95F4-C0E354E1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5646</Words>
  <Characters>32315</Characters>
  <Application>Microsoft Office Word</Application>
  <DocSecurity>0</DocSecurity>
  <PresentationFormat>14|.DOCX</PresentationFormat>
  <Lines>878</Lines>
  <Paragraphs>398</Paragraphs>
  <ScaleCrop>false</ScaleCrop>
  <HeadingPairs>
    <vt:vector size="2" baseType="variant">
      <vt:variant>
        <vt:lpstr>Title</vt:lpstr>
      </vt:variant>
      <vt:variant>
        <vt:i4>1</vt:i4>
      </vt:variant>
    </vt:vector>
  </HeadingPairs>
  <TitlesOfParts>
    <vt:vector size="1" baseType="lpstr">
      <vt:lpstr>Motion to Compel (16-395) (C50742-2).DOCX</vt:lpstr>
    </vt:vector>
  </TitlesOfParts>
  <Company/>
  <LinksUpToDate>false</LinksUpToDate>
  <CharactersWithSpaces>37742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Compel (16-395) (C50742-2).DOCX</dc:title>
  <dc:subject>C50742:2 /font=8</dc:subject>
  <dc:creator/>
  <cp:keywords/>
  <dc:description/>
  <cp:lastModifiedBy/>
  <cp:revision>1</cp:revision>
  <dcterms:created xsi:type="dcterms:W3CDTF">2016-08-30T19:09:00Z</dcterms:created>
  <dcterms:modified xsi:type="dcterms:W3CDTF">2016-08-30T19:11:00Z</dcterms:modified>
</cp:coreProperties>
</file>