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E10" w:rsidRDefault="004A6E10" w:rsidP="004A6E10">
      <w:pPr>
        <w:pStyle w:val="Title"/>
        <w:rPr>
          <w:sz w:val="28"/>
        </w:rPr>
      </w:pPr>
      <w:bookmarkStart w:id="0" w:name="OLE_LINK2"/>
      <w:bookmarkStart w:id="1" w:name="OLE_LINK1"/>
      <w:r>
        <w:rPr>
          <w:sz w:val="28"/>
        </w:rPr>
        <w:t>Before</w:t>
      </w:r>
      <w:bookmarkStart w:id="2" w:name="_GoBack"/>
      <w:bookmarkEnd w:id="2"/>
    </w:p>
    <w:p w:rsidR="004A6E10" w:rsidRDefault="004A6E10" w:rsidP="004A6E10">
      <w:pPr>
        <w:jc w:val="center"/>
        <w:rPr>
          <w:rFonts w:cs="Arial"/>
          <w:b/>
          <w:smallCaps/>
          <w:sz w:val="28"/>
        </w:rPr>
      </w:pPr>
      <w:r>
        <w:rPr>
          <w:rFonts w:cs="Arial"/>
          <w:b/>
          <w:smallCaps/>
          <w:sz w:val="28"/>
        </w:rPr>
        <w:t>The Public Utilities Commission of Ohio</w:t>
      </w:r>
    </w:p>
    <w:p w:rsidR="004A6E10" w:rsidRDefault="004A6E10" w:rsidP="004A6E10">
      <w:pPr>
        <w:autoSpaceDE w:val="0"/>
        <w:autoSpaceDN w:val="0"/>
        <w:adjustRightInd w:val="0"/>
        <w:rPr>
          <w:rFonts w:cs="Arial"/>
        </w:rPr>
      </w:pPr>
    </w:p>
    <w:p w:rsidR="004A6E10" w:rsidRDefault="004A6E10" w:rsidP="004A6E10">
      <w:pPr>
        <w:pStyle w:val="BodyTextIndent2"/>
        <w:ind w:left="0"/>
        <w:rPr>
          <w:sz w:val="24"/>
        </w:rPr>
      </w:pPr>
    </w:p>
    <w:p w:rsidR="004A6E10" w:rsidRDefault="004A6E10" w:rsidP="004A6E10">
      <w:pPr>
        <w:pStyle w:val="BodyText"/>
        <w:tabs>
          <w:tab w:val="left" w:pos="4680"/>
          <w:tab w:val="left" w:pos="5040"/>
        </w:tabs>
      </w:pPr>
      <w:r>
        <w:t>In the Matter of the Long-Term Forecast</w:t>
      </w:r>
      <w:r>
        <w:tab/>
        <w:t>)</w:t>
      </w:r>
    </w:p>
    <w:p w:rsidR="004A6E10" w:rsidRDefault="004A6E10" w:rsidP="004A6E10">
      <w:pPr>
        <w:pStyle w:val="BodyText"/>
        <w:tabs>
          <w:tab w:val="left" w:pos="4680"/>
        </w:tabs>
      </w:pPr>
      <w:r>
        <w:t>Report of Ohio Power Company and</w:t>
      </w:r>
      <w:r>
        <w:tab/>
        <w:t>)</w:t>
      </w:r>
      <w:r>
        <w:tab/>
      </w:r>
      <w:r>
        <w:tab/>
        <w:t>Case No. 10-501-EL-FOR</w:t>
      </w:r>
    </w:p>
    <w:p w:rsidR="004A6E10" w:rsidRDefault="004A6E10" w:rsidP="004A6E10">
      <w:pPr>
        <w:pStyle w:val="BodyText"/>
        <w:tabs>
          <w:tab w:val="left" w:pos="4680"/>
          <w:tab w:val="left" w:pos="5040"/>
        </w:tabs>
      </w:pPr>
      <w:r>
        <w:t>Related Matters.</w:t>
      </w:r>
      <w:r>
        <w:tab/>
        <w:t>)</w:t>
      </w:r>
    </w:p>
    <w:p w:rsidR="004A6E10" w:rsidRDefault="004A6E10" w:rsidP="004A6E10">
      <w:pPr>
        <w:pStyle w:val="BodyText"/>
        <w:tabs>
          <w:tab w:val="left" w:pos="5040"/>
        </w:tabs>
      </w:pPr>
    </w:p>
    <w:p w:rsidR="004A6E10" w:rsidRDefault="004A6E10" w:rsidP="004A6E10">
      <w:pPr>
        <w:pStyle w:val="BodyText"/>
        <w:tabs>
          <w:tab w:val="left" w:pos="4680"/>
          <w:tab w:val="left" w:pos="5040"/>
        </w:tabs>
      </w:pPr>
      <w:r>
        <w:t>In the Matter of the Long-Term Forecast</w:t>
      </w:r>
      <w:r>
        <w:tab/>
        <w:t>)</w:t>
      </w:r>
    </w:p>
    <w:p w:rsidR="004A6E10" w:rsidRDefault="004A6E10" w:rsidP="004A6E10">
      <w:pPr>
        <w:pStyle w:val="BodyText"/>
        <w:tabs>
          <w:tab w:val="left" w:pos="4680"/>
        </w:tabs>
      </w:pPr>
      <w:r>
        <w:t>Report of Columbus Southern Power</w:t>
      </w:r>
      <w:r>
        <w:tab/>
        <w:t>)</w:t>
      </w:r>
      <w:r>
        <w:tab/>
      </w:r>
      <w:r>
        <w:tab/>
        <w:t>Case No. 10-502-EL-FOR</w:t>
      </w:r>
    </w:p>
    <w:p w:rsidR="004A6E10" w:rsidRDefault="004A6E10" w:rsidP="004A6E10">
      <w:pPr>
        <w:pStyle w:val="BodyText"/>
        <w:tabs>
          <w:tab w:val="left" w:pos="4680"/>
        </w:tabs>
      </w:pPr>
      <w:r>
        <w:t>Company and Related Matters.</w:t>
      </w:r>
      <w:r>
        <w:tab/>
        <w:t>)</w:t>
      </w:r>
    </w:p>
    <w:p w:rsidR="004A6E10" w:rsidRDefault="004A6E10" w:rsidP="004A6E10">
      <w:pPr>
        <w:pStyle w:val="BodyText"/>
        <w:tabs>
          <w:tab w:val="left" w:pos="5040"/>
        </w:tabs>
      </w:pPr>
    </w:p>
    <w:p w:rsidR="004A6E10" w:rsidRDefault="004A6E10" w:rsidP="004A6E10">
      <w:pPr>
        <w:pStyle w:val="BodyText"/>
        <w:tabs>
          <w:tab w:val="left" w:pos="5040"/>
        </w:tabs>
      </w:pPr>
    </w:p>
    <w:p w:rsidR="004A6E10" w:rsidRDefault="004A6E10" w:rsidP="004A6E10">
      <w:pPr>
        <w:pBdr>
          <w:top w:val="single" w:sz="12" w:space="1" w:color="auto"/>
        </w:pBdr>
        <w:tabs>
          <w:tab w:val="left" w:pos="7320"/>
        </w:tabs>
        <w:jc w:val="both"/>
        <w:rPr>
          <w:rFonts w:cs="Arial"/>
          <w:sz w:val="28"/>
        </w:rPr>
      </w:pPr>
    </w:p>
    <w:p w:rsidR="00A01559" w:rsidRDefault="009D4893" w:rsidP="00BD2496">
      <w:pPr>
        <w:jc w:val="center"/>
        <w:rPr>
          <w:b/>
        </w:rPr>
      </w:pPr>
      <w:r>
        <w:rPr>
          <w:b/>
        </w:rPr>
        <w:t>APPLICATION FOR REHEARING</w:t>
      </w:r>
      <w:r w:rsidR="00D66582">
        <w:rPr>
          <w:b/>
        </w:rPr>
        <w:t xml:space="preserve"> AND</w:t>
      </w:r>
    </w:p>
    <w:p w:rsidR="004A6E10" w:rsidRPr="00BD2496" w:rsidRDefault="00ED6FAA" w:rsidP="00BD2496">
      <w:pPr>
        <w:jc w:val="center"/>
        <w:rPr>
          <w:b/>
          <w:szCs w:val="28"/>
        </w:rPr>
      </w:pPr>
      <w:r>
        <w:rPr>
          <w:b/>
        </w:rPr>
        <w:t xml:space="preserve">MEMORANDUM IN SUPPORT </w:t>
      </w:r>
      <w:r w:rsidR="004A6E10" w:rsidRPr="00BD2496">
        <w:rPr>
          <w:b/>
        </w:rPr>
        <w:t>OF INDUSTRIAL ENERGY USERS-OHIO</w:t>
      </w:r>
    </w:p>
    <w:p w:rsidR="004A6E10" w:rsidRDefault="004A6E10" w:rsidP="004A6E10">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4A6E10" w:rsidRDefault="004A6E10" w:rsidP="004A6E10">
      <w:pPr>
        <w:pStyle w:val="Title"/>
        <w:rPr>
          <w:sz w:val="28"/>
          <w:u w:val="single"/>
        </w:rPr>
      </w:pPr>
    </w:p>
    <w:bookmarkEnd w:id="0"/>
    <w:bookmarkEnd w:id="1"/>
    <w:p w:rsidR="004A6E10" w:rsidRDefault="004A6E10" w:rsidP="004A6E10">
      <w:pPr>
        <w:rPr>
          <w:rFonts w:cs="Arial"/>
          <w:b/>
          <w:smallCaps/>
          <w:sz w:val="28"/>
          <w:u w:val="single"/>
        </w:rPr>
        <w:sectPr w:rsidR="004A6E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41" w:left="1440" w:header="720" w:footer="720" w:gutter="0"/>
          <w:pgNumType w:start="1"/>
          <w:cols w:space="720"/>
        </w:sectPr>
      </w:pPr>
    </w:p>
    <w:p w:rsidR="004A6E10" w:rsidRDefault="004A6E10" w:rsidP="004A6E10">
      <w:pPr>
        <w:pStyle w:val="Title"/>
        <w:rPr>
          <w:sz w:val="28"/>
          <w:u w:val="single"/>
        </w:rPr>
      </w:pPr>
    </w:p>
    <w:p w:rsidR="004A6E10" w:rsidRDefault="004A6E10" w:rsidP="004A6E10">
      <w:pPr>
        <w:pStyle w:val="Title"/>
        <w:rPr>
          <w:sz w:val="28"/>
          <w:u w:val="single"/>
        </w:rPr>
      </w:pPr>
    </w:p>
    <w:p w:rsidR="004A6E10" w:rsidRDefault="004A6E10" w:rsidP="004A6E10">
      <w:pPr>
        <w:pStyle w:val="Title"/>
        <w:rPr>
          <w:sz w:val="28"/>
          <w:u w:val="single"/>
        </w:rPr>
      </w:pPr>
    </w:p>
    <w:p w:rsidR="004A6E10" w:rsidRDefault="004A6E10" w:rsidP="004A6E10">
      <w:pPr>
        <w:pStyle w:val="Title"/>
        <w:rPr>
          <w:sz w:val="28"/>
          <w:u w:val="single"/>
        </w:rPr>
      </w:pPr>
    </w:p>
    <w:p w:rsidR="004A6E10" w:rsidRDefault="004A6E10" w:rsidP="004A6E10">
      <w:pPr>
        <w:pStyle w:val="Title"/>
        <w:rPr>
          <w:sz w:val="28"/>
          <w:u w:val="single"/>
        </w:rPr>
      </w:pPr>
    </w:p>
    <w:p w:rsidR="004A6E10" w:rsidRDefault="004A6E10" w:rsidP="004A6E10">
      <w:pPr>
        <w:pStyle w:val="Title"/>
        <w:rPr>
          <w:sz w:val="28"/>
          <w:u w:val="single"/>
        </w:rPr>
      </w:pPr>
    </w:p>
    <w:p w:rsidR="004A6E10" w:rsidRDefault="004A6E10" w:rsidP="004A6E10">
      <w:pPr>
        <w:pStyle w:val="Title"/>
        <w:rPr>
          <w:sz w:val="28"/>
          <w:u w:val="single"/>
        </w:rPr>
      </w:pPr>
    </w:p>
    <w:p w:rsidR="004A6E10" w:rsidRDefault="004A6E10" w:rsidP="004A6E10">
      <w:pPr>
        <w:pStyle w:val="Title"/>
        <w:tabs>
          <w:tab w:val="left" w:pos="4140"/>
        </w:tabs>
        <w:rPr>
          <w:sz w:val="28"/>
          <w:u w:val="single"/>
        </w:rPr>
      </w:pPr>
    </w:p>
    <w:p w:rsidR="004A6E10" w:rsidRDefault="004A6E10" w:rsidP="004A6E10">
      <w:pPr>
        <w:tabs>
          <w:tab w:val="left" w:pos="-1350"/>
          <w:tab w:val="right" w:pos="8640"/>
        </w:tabs>
        <w:ind w:left="4320" w:hanging="180"/>
        <w:jc w:val="both"/>
        <w:rPr>
          <w:rFonts w:cs="Arial"/>
        </w:rPr>
      </w:pPr>
      <w:r>
        <w:rPr>
          <w:rFonts w:cs="Arial"/>
        </w:rPr>
        <w:t xml:space="preserve">Samuel C. Randazzo </w:t>
      </w:r>
    </w:p>
    <w:p w:rsidR="004A6E10" w:rsidRDefault="004A6E10" w:rsidP="004A6E10">
      <w:pPr>
        <w:pStyle w:val="BodyText3"/>
        <w:widowControl w:val="0"/>
        <w:tabs>
          <w:tab w:val="left" w:pos="0"/>
        </w:tabs>
        <w:ind w:left="4140"/>
        <w:jc w:val="both"/>
        <w:rPr>
          <w:rFonts w:cs="Arial"/>
          <w:b w:val="0"/>
          <w:bCs/>
        </w:rPr>
      </w:pPr>
      <w:r>
        <w:rPr>
          <w:rFonts w:cs="Arial"/>
          <w:b w:val="0"/>
          <w:bCs/>
        </w:rPr>
        <w:t>(Counsel of Record)</w:t>
      </w:r>
    </w:p>
    <w:p w:rsidR="004A6E10" w:rsidRDefault="004A6E10" w:rsidP="004A6E10">
      <w:pPr>
        <w:pStyle w:val="BodyText3"/>
        <w:widowControl w:val="0"/>
        <w:tabs>
          <w:tab w:val="left" w:pos="0"/>
        </w:tabs>
        <w:ind w:left="4140"/>
        <w:jc w:val="both"/>
        <w:rPr>
          <w:rFonts w:cs="Arial"/>
          <w:b w:val="0"/>
          <w:bCs/>
        </w:rPr>
      </w:pPr>
      <w:r>
        <w:rPr>
          <w:rFonts w:cs="Arial"/>
          <w:b w:val="0"/>
          <w:bCs/>
        </w:rPr>
        <w:t>Frank P. Darr</w:t>
      </w:r>
    </w:p>
    <w:p w:rsidR="004A6E10" w:rsidRDefault="004A6E10" w:rsidP="004A6E10">
      <w:pPr>
        <w:pStyle w:val="BodyText3"/>
        <w:widowControl w:val="0"/>
        <w:tabs>
          <w:tab w:val="left" w:pos="0"/>
        </w:tabs>
        <w:ind w:left="4140"/>
        <w:jc w:val="both"/>
        <w:rPr>
          <w:rFonts w:cs="Arial"/>
          <w:b w:val="0"/>
          <w:bCs/>
        </w:rPr>
      </w:pPr>
      <w:r>
        <w:rPr>
          <w:rFonts w:cs="Arial"/>
          <w:b w:val="0"/>
          <w:bCs/>
        </w:rPr>
        <w:t>Joseph E. Oliker</w:t>
      </w:r>
    </w:p>
    <w:p w:rsidR="00806AC4" w:rsidRDefault="00806AC4" w:rsidP="004A6E10">
      <w:pPr>
        <w:pStyle w:val="BodyText3"/>
        <w:widowControl w:val="0"/>
        <w:tabs>
          <w:tab w:val="left" w:pos="0"/>
        </w:tabs>
        <w:ind w:left="4140"/>
        <w:jc w:val="both"/>
        <w:rPr>
          <w:rFonts w:cs="Arial"/>
          <w:b w:val="0"/>
          <w:bCs/>
        </w:rPr>
      </w:pPr>
      <w:r>
        <w:rPr>
          <w:rFonts w:cs="Arial"/>
          <w:b w:val="0"/>
          <w:bCs/>
        </w:rPr>
        <w:t>Matthew R. Pritchard</w:t>
      </w:r>
    </w:p>
    <w:p w:rsidR="004A6E10" w:rsidRDefault="004A6E10" w:rsidP="004A6E10">
      <w:pPr>
        <w:pStyle w:val="BodyText3"/>
        <w:widowControl w:val="0"/>
        <w:tabs>
          <w:tab w:val="left" w:pos="0"/>
        </w:tabs>
        <w:ind w:left="4140"/>
        <w:jc w:val="both"/>
        <w:rPr>
          <w:rFonts w:cs="Arial"/>
          <w:b w:val="0"/>
          <w:bCs/>
          <w:smallCaps/>
          <w:szCs w:val="24"/>
        </w:rPr>
      </w:pPr>
      <w:r>
        <w:rPr>
          <w:rFonts w:cs="Arial"/>
          <w:b w:val="0"/>
          <w:bCs/>
          <w:smallCaps/>
          <w:szCs w:val="24"/>
        </w:rPr>
        <w:t>McNees Wallace &amp; Nurick LLC</w:t>
      </w:r>
    </w:p>
    <w:p w:rsidR="004A6E10" w:rsidRDefault="004A6E10" w:rsidP="004A6E10">
      <w:pPr>
        <w:pStyle w:val="BodyText3"/>
        <w:widowControl w:val="0"/>
        <w:tabs>
          <w:tab w:val="left" w:pos="0"/>
        </w:tabs>
        <w:ind w:left="4140"/>
        <w:jc w:val="both"/>
        <w:rPr>
          <w:rFonts w:cs="Arial"/>
          <w:b w:val="0"/>
          <w:bCs/>
        </w:rPr>
      </w:pPr>
      <w:r>
        <w:rPr>
          <w:rFonts w:cs="Arial"/>
          <w:b w:val="0"/>
          <w:bCs/>
        </w:rPr>
        <w:t>21 East State Street, 17</w:t>
      </w:r>
      <w:r>
        <w:rPr>
          <w:rFonts w:cs="Arial"/>
          <w:b w:val="0"/>
          <w:bCs/>
          <w:vertAlign w:val="superscript"/>
        </w:rPr>
        <w:t>TH</w:t>
      </w:r>
      <w:r>
        <w:rPr>
          <w:rFonts w:cs="Arial"/>
          <w:b w:val="0"/>
          <w:bCs/>
        </w:rPr>
        <w:t xml:space="preserve"> Floor</w:t>
      </w:r>
    </w:p>
    <w:p w:rsidR="004A6E10" w:rsidRDefault="004A6E10" w:rsidP="004A6E10">
      <w:pPr>
        <w:pStyle w:val="BodyText"/>
        <w:tabs>
          <w:tab w:val="left" w:pos="0"/>
        </w:tabs>
        <w:ind w:left="4140"/>
      </w:pPr>
      <w:r>
        <w:t>Columbus, OH  43215</w:t>
      </w:r>
    </w:p>
    <w:p w:rsidR="004A6E10" w:rsidRDefault="004A6E10" w:rsidP="004A6E10">
      <w:pPr>
        <w:pStyle w:val="BodyText"/>
        <w:tabs>
          <w:tab w:val="left" w:pos="0"/>
        </w:tabs>
        <w:ind w:left="4140"/>
      </w:pPr>
      <w:r>
        <w:t>Telephone:  (614) 469-8000</w:t>
      </w:r>
    </w:p>
    <w:p w:rsidR="004A6E10" w:rsidRDefault="004A6E10" w:rsidP="004A6E10">
      <w:pPr>
        <w:pStyle w:val="BodyText"/>
        <w:tabs>
          <w:tab w:val="left" w:pos="0"/>
        </w:tabs>
        <w:ind w:left="4140"/>
      </w:pPr>
      <w:r>
        <w:t>Telecopier:  (614) 469-4653</w:t>
      </w:r>
    </w:p>
    <w:p w:rsidR="004A6E10" w:rsidRDefault="004A6E10" w:rsidP="004A6E10">
      <w:pPr>
        <w:pStyle w:val="BodyText"/>
        <w:tabs>
          <w:tab w:val="left" w:pos="0"/>
        </w:tabs>
        <w:ind w:left="4140"/>
      </w:pPr>
      <w:r>
        <w:t>sam@mwncmh.com</w:t>
      </w:r>
    </w:p>
    <w:p w:rsidR="004A6E10" w:rsidRDefault="004A6E10" w:rsidP="004A6E10">
      <w:pPr>
        <w:pStyle w:val="BodyText"/>
        <w:tabs>
          <w:tab w:val="left" w:pos="0"/>
        </w:tabs>
        <w:ind w:left="4140"/>
      </w:pPr>
      <w:r>
        <w:t>fdarr@mwncmh.com</w:t>
      </w:r>
    </w:p>
    <w:p w:rsidR="004A6E10" w:rsidRDefault="004A6E10" w:rsidP="004A6E10">
      <w:pPr>
        <w:pStyle w:val="BodyText"/>
        <w:tabs>
          <w:tab w:val="left" w:pos="0"/>
        </w:tabs>
        <w:ind w:left="4140"/>
      </w:pPr>
      <w:r>
        <w:t>joliker@mwncmh.com</w:t>
      </w:r>
    </w:p>
    <w:p w:rsidR="00806AC4" w:rsidRDefault="00806AC4" w:rsidP="004A6E10">
      <w:pPr>
        <w:pStyle w:val="BodyText"/>
        <w:tabs>
          <w:tab w:val="left" w:pos="0"/>
        </w:tabs>
        <w:ind w:left="4140"/>
      </w:pPr>
      <w:r>
        <w:t>mpritchard@mwncmh.com</w:t>
      </w:r>
    </w:p>
    <w:p w:rsidR="004A6E10" w:rsidRDefault="004A6E10" w:rsidP="004A6E10">
      <w:pPr>
        <w:pStyle w:val="BodyText"/>
        <w:tabs>
          <w:tab w:val="left" w:pos="0"/>
        </w:tabs>
      </w:pPr>
    </w:p>
    <w:p w:rsidR="004A6E10" w:rsidRDefault="00D87DD3" w:rsidP="004A6E10">
      <w:pPr>
        <w:autoSpaceDE w:val="0"/>
        <w:autoSpaceDN w:val="0"/>
        <w:adjustRightInd w:val="0"/>
        <w:ind w:left="4140" w:hanging="4140"/>
        <w:rPr>
          <w:rFonts w:cs="Arial"/>
          <w:b/>
          <w:smallCaps/>
        </w:rPr>
      </w:pPr>
      <w:r>
        <w:rPr>
          <w:rFonts w:ascii="Arial Bold" w:hAnsi="Arial Bold" w:cs="Arial"/>
          <w:b/>
        </w:rPr>
        <w:t>February 8</w:t>
      </w:r>
      <w:r w:rsidR="009C4B4A">
        <w:rPr>
          <w:rFonts w:ascii="Arial Bold" w:hAnsi="Arial Bold" w:cs="Arial"/>
          <w:b/>
        </w:rPr>
        <w:t>, 2013</w:t>
      </w:r>
      <w:r w:rsidR="004A6E10" w:rsidRPr="00866E97">
        <w:rPr>
          <w:rFonts w:cs="Arial"/>
          <w:b/>
        </w:rPr>
        <w:tab/>
      </w:r>
      <w:r w:rsidR="004A6E10" w:rsidRPr="00866E97">
        <w:rPr>
          <w:rFonts w:cs="Arial"/>
          <w:b/>
          <w:smallCaps/>
        </w:rPr>
        <w:t>Attorneys for Industrial Energy Users-Ohio</w:t>
      </w:r>
    </w:p>
    <w:p w:rsidR="00D514AE" w:rsidRDefault="00D514AE" w:rsidP="004A6E10">
      <w:pPr>
        <w:autoSpaceDE w:val="0"/>
        <w:autoSpaceDN w:val="0"/>
        <w:adjustRightInd w:val="0"/>
        <w:ind w:left="4140" w:hanging="4140"/>
        <w:rPr>
          <w:rFonts w:cs="Arial"/>
          <w:b/>
          <w:smallCaps/>
        </w:rPr>
      </w:pPr>
    </w:p>
    <w:p w:rsidR="00D514AE" w:rsidRDefault="00D514AE" w:rsidP="004A6E10">
      <w:pPr>
        <w:autoSpaceDE w:val="0"/>
        <w:autoSpaceDN w:val="0"/>
        <w:adjustRightInd w:val="0"/>
        <w:ind w:left="4140" w:hanging="4140"/>
        <w:rPr>
          <w:rFonts w:cs="Arial"/>
          <w:b/>
          <w:smallCaps/>
        </w:rPr>
      </w:pPr>
    </w:p>
    <w:p w:rsidR="00866E97" w:rsidRDefault="00866E97" w:rsidP="004A6E10">
      <w:pPr>
        <w:autoSpaceDE w:val="0"/>
        <w:autoSpaceDN w:val="0"/>
        <w:adjustRightInd w:val="0"/>
        <w:ind w:left="4140" w:hanging="4140"/>
        <w:rPr>
          <w:rFonts w:cs="Arial"/>
          <w:b/>
          <w:smallCaps/>
        </w:rPr>
        <w:sectPr w:rsidR="00866E97" w:rsidSect="00866E97">
          <w:headerReference w:type="default" r:id="rId14"/>
          <w:footerReference w:type="default" r:id="rId15"/>
          <w:headerReference w:type="first" r:id="rId16"/>
          <w:footerReference w:type="first" r:id="rId17"/>
          <w:type w:val="continuous"/>
          <w:pgSz w:w="12240" w:h="15840" w:code="1"/>
          <w:pgMar w:top="1152" w:right="1253" w:bottom="662" w:left="1571" w:header="720" w:footer="720" w:gutter="0"/>
          <w:pgNumType w:fmt="lowerRoman" w:start="1"/>
          <w:cols w:space="720"/>
          <w:noEndnote/>
          <w:titlePg/>
          <w:docGrid w:linePitch="326"/>
        </w:sectPr>
      </w:pPr>
    </w:p>
    <w:p w:rsidR="00D87DD3" w:rsidRPr="00D87DD3" w:rsidRDefault="00D87DD3" w:rsidP="00D87DD3">
      <w:pPr>
        <w:pStyle w:val="TOCHeading"/>
        <w:rPr>
          <w:color w:val="auto"/>
        </w:rPr>
      </w:pPr>
      <w:bookmarkStart w:id="3" w:name="TOCHeading"/>
      <w:r>
        <w:rPr>
          <w:color w:val="auto"/>
        </w:rPr>
        <w:lastRenderedPageBreak/>
        <w:t>TABLE OF CONTENTS</w:t>
      </w:r>
    </w:p>
    <w:p w:rsidR="00D87DD3" w:rsidRDefault="00EC51E2" w:rsidP="00EC51E2">
      <w:pPr>
        <w:pStyle w:val="TOCPage"/>
        <w:tabs>
          <w:tab w:val="left" w:pos="974"/>
          <w:tab w:val="right" w:pos="9360"/>
        </w:tabs>
        <w:jc w:val="left"/>
      </w:pPr>
      <w:bookmarkStart w:id="4" w:name="TOCPage"/>
      <w:bookmarkEnd w:id="3"/>
      <w:r>
        <w:tab/>
      </w:r>
      <w:r>
        <w:tab/>
      </w:r>
      <w:r w:rsidR="00633C15">
        <w:tab/>
      </w:r>
      <w:r w:rsidR="00D87DD3">
        <w:t>Page</w:t>
      </w:r>
    </w:p>
    <w:bookmarkEnd w:id="4"/>
    <w:p w:rsidR="00633C15" w:rsidRDefault="00633C15">
      <w:pPr>
        <w:pStyle w:val="TOC1"/>
        <w:rPr>
          <w:noProof/>
        </w:rPr>
      </w:pPr>
      <w:r>
        <w:rPr>
          <w:b/>
        </w:rPr>
        <w:fldChar w:fldCharType="begin"/>
      </w:r>
      <w:r>
        <w:rPr>
          <w:b/>
        </w:rPr>
        <w:instrText xml:space="preserve"> TOC \t "Heading 1,1,Heading 2,2,Heading 3,3" </w:instrText>
      </w:r>
      <w:r>
        <w:rPr>
          <w:b/>
        </w:rPr>
        <w:fldChar w:fldCharType="separate"/>
      </w:r>
      <w:bookmarkStart w:id="5" w:name="TOCLocation"/>
      <w:r w:rsidRPr="00F75694">
        <w:rPr>
          <w:b/>
          <w:noProof/>
          <w:color w:val="010000"/>
        </w:rPr>
        <w:t>I.</w:t>
      </w:r>
      <w:r w:rsidRPr="00F75694">
        <w:rPr>
          <w:rFonts w:asciiTheme="minorHAnsi" w:eastAsiaTheme="minorEastAsia" w:hAnsiTheme="minorHAnsi" w:cstheme="minorBidi"/>
          <w:b/>
          <w:noProof/>
          <w:sz w:val="22"/>
          <w:szCs w:val="22"/>
        </w:rPr>
        <w:tab/>
      </w:r>
      <w:r w:rsidRPr="00F75694">
        <w:rPr>
          <w:b/>
          <w:noProof/>
        </w:rPr>
        <w:t>BACKGROUND</w:t>
      </w:r>
      <w:r>
        <w:rPr>
          <w:noProof/>
        </w:rPr>
        <w:tab/>
      </w:r>
      <w:r>
        <w:rPr>
          <w:noProof/>
        </w:rPr>
        <w:fldChar w:fldCharType="begin"/>
      </w:r>
      <w:r>
        <w:rPr>
          <w:noProof/>
        </w:rPr>
        <w:instrText xml:space="preserve"> PAGEREF _Toc348097100 \h </w:instrText>
      </w:r>
      <w:r>
        <w:rPr>
          <w:noProof/>
        </w:rPr>
      </w:r>
      <w:r>
        <w:rPr>
          <w:noProof/>
        </w:rPr>
        <w:fldChar w:fldCharType="separate"/>
      </w:r>
      <w:r w:rsidR="002A2DF3">
        <w:rPr>
          <w:noProof/>
        </w:rPr>
        <w:t>3</w:t>
      </w:r>
      <w:r>
        <w:rPr>
          <w:noProof/>
        </w:rPr>
        <w:fldChar w:fldCharType="end"/>
      </w:r>
    </w:p>
    <w:p w:rsidR="00F75694" w:rsidRPr="00F75694" w:rsidRDefault="00F75694" w:rsidP="00F75694">
      <w:pPr>
        <w:rPr>
          <w:noProof/>
        </w:rPr>
      </w:pPr>
    </w:p>
    <w:p w:rsidR="00633C15" w:rsidRDefault="00633C15">
      <w:pPr>
        <w:pStyle w:val="TOC1"/>
        <w:rPr>
          <w:noProof/>
        </w:rPr>
      </w:pPr>
      <w:r w:rsidRPr="00F75694">
        <w:rPr>
          <w:b/>
          <w:noProof/>
          <w:color w:val="010000"/>
          <w:lang w:val="en"/>
        </w:rPr>
        <w:t>II.</w:t>
      </w:r>
      <w:r w:rsidRPr="00F75694">
        <w:rPr>
          <w:rFonts w:asciiTheme="minorHAnsi" w:eastAsiaTheme="minorEastAsia" w:hAnsiTheme="minorHAnsi" w:cstheme="minorBidi"/>
          <w:b/>
          <w:noProof/>
          <w:sz w:val="22"/>
          <w:szCs w:val="22"/>
        </w:rPr>
        <w:tab/>
      </w:r>
      <w:r w:rsidRPr="00F75694">
        <w:rPr>
          <w:b/>
          <w:noProof/>
          <w:lang w:val="en"/>
        </w:rPr>
        <w:t>ARGUMENT</w:t>
      </w:r>
      <w:r>
        <w:rPr>
          <w:noProof/>
        </w:rPr>
        <w:tab/>
      </w:r>
      <w:r>
        <w:rPr>
          <w:noProof/>
        </w:rPr>
        <w:fldChar w:fldCharType="begin"/>
      </w:r>
      <w:r>
        <w:rPr>
          <w:noProof/>
        </w:rPr>
        <w:instrText xml:space="preserve"> PAGEREF _Toc348097101 \h </w:instrText>
      </w:r>
      <w:r>
        <w:rPr>
          <w:noProof/>
        </w:rPr>
      </w:r>
      <w:r>
        <w:rPr>
          <w:noProof/>
        </w:rPr>
        <w:fldChar w:fldCharType="separate"/>
      </w:r>
      <w:r w:rsidR="002A2DF3">
        <w:rPr>
          <w:noProof/>
        </w:rPr>
        <w:t>5</w:t>
      </w:r>
      <w:r>
        <w:rPr>
          <w:noProof/>
        </w:rPr>
        <w:fldChar w:fldCharType="end"/>
      </w:r>
    </w:p>
    <w:p w:rsidR="00F75694" w:rsidRPr="00F75694" w:rsidRDefault="00F75694" w:rsidP="00F75694">
      <w:pPr>
        <w:rPr>
          <w:noProof/>
        </w:rPr>
      </w:pPr>
    </w:p>
    <w:p w:rsidR="00633C15" w:rsidRDefault="00633C15" w:rsidP="00F75694">
      <w:pPr>
        <w:pStyle w:val="TOC2"/>
        <w:rPr>
          <w:noProof/>
        </w:rPr>
      </w:pPr>
      <w:r w:rsidRPr="00D8787C">
        <w:rPr>
          <w:noProof/>
          <w:color w:val="010000"/>
        </w:rPr>
        <w:t>1.</w:t>
      </w:r>
      <w:r>
        <w:rPr>
          <w:rFonts w:asciiTheme="minorHAnsi" w:eastAsiaTheme="minorEastAsia" w:hAnsiTheme="minorHAnsi" w:cstheme="minorBidi"/>
          <w:noProof/>
          <w:sz w:val="22"/>
          <w:szCs w:val="22"/>
        </w:rPr>
        <w:tab/>
      </w:r>
      <w:r>
        <w:rPr>
          <w:noProof/>
        </w:rPr>
        <w:t>The LTFR Order is unlawful and unreasonable because it determined that Section 4928.143(B)(2)(c), Revised Code, does not require a finding of need to be made within an ESP proceeding.  The Commission lacks jurisdiction to make a finding of need in an LTFR proceeding; the Commission can consider a finding of need under Section 4928.143(B)(2)(b) and (c), Revised Code, only in an ESP proceeding.</w:t>
      </w:r>
      <w:r>
        <w:rPr>
          <w:noProof/>
        </w:rPr>
        <w:tab/>
      </w:r>
      <w:r>
        <w:rPr>
          <w:noProof/>
        </w:rPr>
        <w:fldChar w:fldCharType="begin"/>
      </w:r>
      <w:r>
        <w:rPr>
          <w:noProof/>
        </w:rPr>
        <w:instrText xml:space="preserve"> PAGEREF _Toc348097102 \h </w:instrText>
      </w:r>
      <w:r>
        <w:rPr>
          <w:noProof/>
        </w:rPr>
      </w:r>
      <w:r>
        <w:rPr>
          <w:noProof/>
        </w:rPr>
        <w:fldChar w:fldCharType="separate"/>
      </w:r>
      <w:r w:rsidR="002A2DF3">
        <w:rPr>
          <w:noProof/>
        </w:rPr>
        <w:t>5</w:t>
      </w:r>
      <w:r>
        <w:rPr>
          <w:noProof/>
        </w:rPr>
        <w:fldChar w:fldCharType="end"/>
      </w:r>
    </w:p>
    <w:p w:rsidR="00F75694" w:rsidRPr="00F75694" w:rsidRDefault="00F75694" w:rsidP="00F75694">
      <w:pPr>
        <w:rPr>
          <w:noProof/>
        </w:rPr>
      </w:pPr>
    </w:p>
    <w:p w:rsidR="00633C15" w:rsidRDefault="00633C15" w:rsidP="00F75694">
      <w:pPr>
        <w:pStyle w:val="TOC2"/>
        <w:rPr>
          <w:noProof/>
        </w:rPr>
      </w:pPr>
      <w:r w:rsidRPr="00D8787C">
        <w:rPr>
          <w:noProof/>
          <w:color w:val="010000"/>
        </w:rPr>
        <w:t>2.</w:t>
      </w:r>
      <w:r>
        <w:rPr>
          <w:rFonts w:asciiTheme="minorHAnsi" w:eastAsiaTheme="minorEastAsia" w:hAnsiTheme="minorHAnsi" w:cstheme="minorBidi"/>
          <w:noProof/>
          <w:sz w:val="22"/>
          <w:szCs w:val="22"/>
        </w:rPr>
        <w:tab/>
      </w:r>
      <w:r>
        <w:rPr>
          <w:noProof/>
        </w:rPr>
        <w:t>The LTFR Order is unlawful and unreasonable because it considered whether a renewable energy facility is needed to satisfy renewable energy requirements, and the LTFR Order assumed, for purposes of considering the Stipulation, that the Commission had authority to determine the need for a renewable energy facility.  Even in an ESP proceeding, renewable energy facilities are not eligible to be considered for a finding of need; Sections 4928.64(E) and 4928.143(B), Revised Code, prohibit the recovery of the cost of compliance with renewable energy requirements through non-bypassable charges.</w:t>
      </w:r>
      <w:r>
        <w:rPr>
          <w:noProof/>
        </w:rPr>
        <w:tab/>
      </w:r>
      <w:r>
        <w:rPr>
          <w:noProof/>
        </w:rPr>
        <w:fldChar w:fldCharType="begin"/>
      </w:r>
      <w:r>
        <w:rPr>
          <w:noProof/>
        </w:rPr>
        <w:instrText xml:space="preserve"> PAGEREF _Toc348097103 \h </w:instrText>
      </w:r>
      <w:r>
        <w:rPr>
          <w:noProof/>
        </w:rPr>
      </w:r>
      <w:r>
        <w:rPr>
          <w:noProof/>
        </w:rPr>
        <w:fldChar w:fldCharType="separate"/>
      </w:r>
      <w:r w:rsidR="002A2DF3">
        <w:rPr>
          <w:noProof/>
        </w:rPr>
        <w:t>8</w:t>
      </w:r>
      <w:r>
        <w:rPr>
          <w:noProof/>
        </w:rPr>
        <w:fldChar w:fldCharType="end"/>
      </w:r>
    </w:p>
    <w:p w:rsidR="00F75694" w:rsidRPr="00F75694" w:rsidRDefault="00F75694" w:rsidP="00F75694">
      <w:pPr>
        <w:rPr>
          <w:noProof/>
        </w:rPr>
      </w:pPr>
    </w:p>
    <w:p w:rsidR="00633C15" w:rsidRDefault="00633C15" w:rsidP="00F75694">
      <w:pPr>
        <w:pStyle w:val="TOC2"/>
        <w:rPr>
          <w:noProof/>
        </w:rPr>
      </w:pPr>
      <w:r w:rsidRPr="00D8787C">
        <w:rPr>
          <w:noProof/>
          <w:color w:val="010000"/>
        </w:rPr>
        <w:t>3.</w:t>
      </w:r>
      <w:r>
        <w:rPr>
          <w:rFonts w:asciiTheme="minorHAnsi" w:eastAsiaTheme="minorEastAsia" w:hAnsiTheme="minorHAnsi" w:cstheme="minorBidi"/>
          <w:noProof/>
          <w:sz w:val="22"/>
          <w:szCs w:val="22"/>
        </w:rPr>
        <w:tab/>
      </w:r>
      <w:r>
        <w:rPr>
          <w:noProof/>
        </w:rPr>
        <w:t>The LTFR Order is unlawful and unreasonable because it failed to grant the motion to strike the portion of the testimony of William Castle, which improperly relied upon a settlement agreement from another proceeding for the purpose of addressing a contested issue in the LTFR proceeding.</w:t>
      </w:r>
      <w:r>
        <w:rPr>
          <w:noProof/>
        </w:rPr>
        <w:tab/>
      </w:r>
      <w:r>
        <w:rPr>
          <w:noProof/>
        </w:rPr>
        <w:fldChar w:fldCharType="begin"/>
      </w:r>
      <w:r>
        <w:rPr>
          <w:noProof/>
        </w:rPr>
        <w:instrText xml:space="preserve"> PAGEREF _Toc348097104 \h </w:instrText>
      </w:r>
      <w:r>
        <w:rPr>
          <w:noProof/>
        </w:rPr>
      </w:r>
      <w:r>
        <w:rPr>
          <w:noProof/>
        </w:rPr>
        <w:fldChar w:fldCharType="separate"/>
      </w:r>
      <w:r w:rsidR="002A2DF3">
        <w:rPr>
          <w:noProof/>
        </w:rPr>
        <w:t>10</w:t>
      </w:r>
      <w:r>
        <w:rPr>
          <w:noProof/>
        </w:rPr>
        <w:fldChar w:fldCharType="end"/>
      </w:r>
    </w:p>
    <w:p w:rsidR="00F75694" w:rsidRPr="00F75694" w:rsidRDefault="00F75694" w:rsidP="00F75694">
      <w:pPr>
        <w:rPr>
          <w:b/>
          <w:noProof/>
        </w:rPr>
      </w:pPr>
    </w:p>
    <w:p w:rsidR="00633C15" w:rsidRDefault="00633C15">
      <w:pPr>
        <w:pStyle w:val="TOC1"/>
        <w:rPr>
          <w:rFonts w:asciiTheme="minorHAnsi" w:eastAsiaTheme="minorEastAsia" w:hAnsiTheme="minorHAnsi" w:cstheme="minorBidi"/>
          <w:noProof/>
          <w:sz w:val="22"/>
          <w:szCs w:val="22"/>
        </w:rPr>
      </w:pPr>
      <w:r w:rsidRPr="00F75694">
        <w:rPr>
          <w:b/>
          <w:noProof/>
          <w:color w:val="010000"/>
        </w:rPr>
        <w:t>III.</w:t>
      </w:r>
      <w:r w:rsidRPr="00F75694">
        <w:rPr>
          <w:rFonts w:asciiTheme="minorHAnsi" w:eastAsiaTheme="minorEastAsia" w:hAnsiTheme="minorHAnsi" w:cstheme="minorBidi"/>
          <w:b/>
          <w:noProof/>
          <w:sz w:val="22"/>
          <w:szCs w:val="22"/>
        </w:rPr>
        <w:tab/>
      </w:r>
      <w:r w:rsidRPr="00F75694">
        <w:rPr>
          <w:b/>
          <w:noProof/>
        </w:rPr>
        <w:t>CONCLUSION</w:t>
      </w:r>
      <w:r>
        <w:rPr>
          <w:noProof/>
        </w:rPr>
        <w:tab/>
      </w:r>
      <w:r>
        <w:rPr>
          <w:noProof/>
        </w:rPr>
        <w:fldChar w:fldCharType="begin"/>
      </w:r>
      <w:r>
        <w:rPr>
          <w:noProof/>
        </w:rPr>
        <w:instrText xml:space="preserve"> PAGEREF _Toc348097105 \h </w:instrText>
      </w:r>
      <w:r>
        <w:rPr>
          <w:noProof/>
        </w:rPr>
      </w:r>
      <w:r>
        <w:rPr>
          <w:noProof/>
        </w:rPr>
        <w:fldChar w:fldCharType="separate"/>
      </w:r>
      <w:r w:rsidR="002A2DF3">
        <w:rPr>
          <w:noProof/>
        </w:rPr>
        <w:t>12</w:t>
      </w:r>
      <w:r>
        <w:rPr>
          <w:noProof/>
        </w:rPr>
        <w:fldChar w:fldCharType="end"/>
      </w:r>
    </w:p>
    <w:bookmarkEnd w:id="5"/>
    <w:p w:rsidR="00D514AE" w:rsidRDefault="00633C15" w:rsidP="00D514AE">
      <w:pPr>
        <w:pStyle w:val="Title"/>
        <w:jc w:val="left"/>
        <w:rPr>
          <w:b w:val="0"/>
          <w:sz w:val="24"/>
        </w:rPr>
      </w:pPr>
      <w:r>
        <w:rPr>
          <w:b w:val="0"/>
          <w:sz w:val="24"/>
        </w:rPr>
        <w:fldChar w:fldCharType="end"/>
      </w:r>
    </w:p>
    <w:p w:rsidR="00D87DD3" w:rsidRDefault="00D87DD3" w:rsidP="00D514AE">
      <w:pPr>
        <w:pStyle w:val="Title"/>
        <w:jc w:val="left"/>
        <w:rPr>
          <w:b w:val="0"/>
          <w:sz w:val="24"/>
        </w:rPr>
      </w:pPr>
    </w:p>
    <w:p w:rsidR="00D514AE" w:rsidRDefault="00D514AE" w:rsidP="004A6E10">
      <w:pPr>
        <w:pStyle w:val="Title"/>
        <w:rPr>
          <w:b w:val="0"/>
          <w:sz w:val="24"/>
        </w:rPr>
      </w:pPr>
    </w:p>
    <w:p w:rsidR="00D514AE" w:rsidRDefault="00D514AE" w:rsidP="004A6E10">
      <w:pPr>
        <w:pStyle w:val="Title"/>
        <w:rPr>
          <w:b w:val="0"/>
          <w:sz w:val="24"/>
        </w:rPr>
      </w:pPr>
    </w:p>
    <w:p w:rsidR="00D514AE" w:rsidRDefault="00D514AE" w:rsidP="00D514AE">
      <w:pPr>
        <w:pStyle w:val="Title"/>
        <w:jc w:val="left"/>
        <w:rPr>
          <w:b w:val="0"/>
          <w:sz w:val="24"/>
        </w:rPr>
        <w:sectPr w:rsidR="00D514AE" w:rsidSect="00D87DD3">
          <w:headerReference w:type="default" r:id="rId18"/>
          <w:footerReference w:type="default" r:id="rId19"/>
          <w:headerReference w:type="first" r:id="rId20"/>
          <w:footerReference w:type="first" r:id="rId21"/>
          <w:pgSz w:w="12240" w:h="15840" w:code="1"/>
          <w:pgMar w:top="1440" w:right="1440" w:bottom="1440" w:left="1440" w:header="720" w:footer="720" w:gutter="0"/>
          <w:pgNumType w:fmt="lowerRoman" w:start="1"/>
          <w:cols w:space="720"/>
          <w:noEndnote/>
          <w:titlePg/>
          <w:docGrid w:linePitch="326"/>
        </w:sectPr>
      </w:pPr>
    </w:p>
    <w:p w:rsidR="004A6E10" w:rsidRPr="00865D80" w:rsidRDefault="004A6E10" w:rsidP="004A6E10">
      <w:pPr>
        <w:pStyle w:val="Title"/>
        <w:rPr>
          <w:sz w:val="28"/>
        </w:rPr>
      </w:pPr>
      <w:r w:rsidRPr="00865D80">
        <w:rPr>
          <w:sz w:val="28"/>
        </w:rPr>
        <w:lastRenderedPageBreak/>
        <w:t>Before</w:t>
      </w:r>
    </w:p>
    <w:p w:rsidR="004A6E10" w:rsidRDefault="004A6E10" w:rsidP="004A6E10">
      <w:pPr>
        <w:jc w:val="center"/>
        <w:rPr>
          <w:rFonts w:cs="Arial"/>
          <w:b/>
          <w:smallCaps/>
          <w:sz w:val="28"/>
        </w:rPr>
      </w:pPr>
      <w:r>
        <w:rPr>
          <w:rFonts w:cs="Arial"/>
          <w:b/>
          <w:smallCaps/>
          <w:sz w:val="28"/>
        </w:rPr>
        <w:t>The Public Utilities Commission of Ohio</w:t>
      </w:r>
    </w:p>
    <w:p w:rsidR="004A6E10" w:rsidRDefault="004A6E10" w:rsidP="004A6E10">
      <w:pPr>
        <w:autoSpaceDE w:val="0"/>
        <w:autoSpaceDN w:val="0"/>
        <w:adjustRightInd w:val="0"/>
        <w:rPr>
          <w:rFonts w:cs="Arial"/>
        </w:rPr>
      </w:pPr>
    </w:p>
    <w:p w:rsidR="004A6E10" w:rsidRDefault="004A6E10" w:rsidP="004A6E10">
      <w:pPr>
        <w:pStyle w:val="BodyText"/>
        <w:tabs>
          <w:tab w:val="left" w:pos="4680"/>
          <w:tab w:val="left" w:pos="5040"/>
        </w:tabs>
      </w:pPr>
      <w:r>
        <w:t>In the Matter of the Long-Term Forecast</w:t>
      </w:r>
      <w:r>
        <w:tab/>
        <w:t>)</w:t>
      </w:r>
    </w:p>
    <w:p w:rsidR="004A6E10" w:rsidRDefault="004A6E10" w:rsidP="004A6E10">
      <w:pPr>
        <w:pStyle w:val="BodyText"/>
        <w:tabs>
          <w:tab w:val="left" w:pos="4680"/>
        </w:tabs>
      </w:pPr>
      <w:r>
        <w:t>Report of Ohio Power Company and</w:t>
      </w:r>
      <w:r>
        <w:tab/>
        <w:t>)</w:t>
      </w:r>
      <w:r>
        <w:tab/>
      </w:r>
      <w:r>
        <w:tab/>
        <w:t>Case No. 10-501-EL-FOR</w:t>
      </w:r>
    </w:p>
    <w:p w:rsidR="004A6E10" w:rsidRDefault="004A6E10" w:rsidP="004A6E10">
      <w:pPr>
        <w:pStyle w:val="BodyText"/>
        <w:tabs>
          <w:tab w:val="left" w:pos="4680"/>
          <w:tab w:val="left" w:pos="5040"/>
        </w:tabs>
      </w:pPr>
      <w:r>
        <w:t>Related Matters.</w:t>
      </w:r>
      <w:r>
        <w:tab/>
        <w:t>)</w:t>
      </w:r>
    </w:p>
    <w:p w:rsidR="004A6E10" w:rsidRDefault="004A6E10" w:rsidP="004A6E10">
      <w:pPr>
        <w:pStyle w:val="BodyText"/>
        <w:tabs>
          <w:tab w:val="left" w:pos="5040"/>
        </w:tabs>
      </w:pPr>
    </w:p>
    <w:p w:rsidR="004A6E10" w:rsidRDefault="004A6E10" w:rsidP="004A6E10">
      <w:pPr>
        <w:pStyle w:val="BodyText"/>
        <w:tabs>
          <w:tab w:val="left" w:pos="4680"/>
          <w:tab w:val="left" w:pos="5040"/>
        </w:tabs>
      </w:pPr>
      <w:r>
        <w:t>In the Matter of the Long-Term Forecast</w:t>
      </w:r>
      <w:r>
        <w:tab/>
        <w:t>)</w:t>
      </w:r>
    </w:p>
    <w:p w:rsidR="004A6E10" w:rsidRDefault="004A6E10" w:rsidP="004A6E10">
      <w:pPr>
        <w:pStyle w:val="BodyText"/>
        <w:tabs>
          <w:tab w:val="left" w:pos="4680"/>
        </w:tabs>
      </w:pPr>
      <w:r>
        <w:t>Report of Columbus Southern Power</w:t>
      </w:r>
      <w:r>
        <w:tab/>
        <w:t>)</w:t>
      </w:r>
      <w:r>
        <w:tab/>
      </w:r>
      <w:r>
        <w:tab/>
        <w:t>Case No. 10-502-EL-FOR</w:t>
      </w:r>
    </w:p>
    <w:p w:rsidR="004A6E10" w:rsidRDefault="004A6E10" w:rsidP="004A6E10">
      <w:pPr>
        <w:pStyle w:val="BodyText"/>
        <w:tabs>
          <w:tab w:val="left" w:pos="4680"/>
        </w:tabs>
      </w:pPr>
      <w:r>
        <w:t>Company and Related Matters.</w:t>
      </w:r>
      <w:r>
        <w:tab/>
        <w:t>)</w:t>
      </w:r>
    </w:p>
    <w:p w:rsidR="004A6E10" w:rsidRDefault="004A6E10" w:rsidP="004A6E10">
      <w:pPr>
        <w:pStyle w:val="BodyText"/>
        <w:tabs>
          <w:tab w:val="left" w:pos="5040"/>
        </w:tabs>
      </w:pPr>
    </w:p>
    <w:p w:rsidR="004A6E10" w:rsidRDefault="004A6E10" w:rsidP="004A6E10">
      <w:pPr>
        <w:pStyle w:val="BodyText"/>
        <w:tabs>
          <w:tab w:val="left" w:pos="5040"/>
        </w:tabs>
      </w:pPr>
    </w:p>
    <w:p w:rsidR="004A6E10" w:rsidRDefault="004A6E10" w:rsidP="004A6E10">
      <w:pPr>
        <w:pBdr>
          <w:top w:val="single" w:sz="12" w:space="1" w:color="auto"/>
        </w:pBdr>
        <w:tabs>
          <w:tab w:val="left" w:pos="7320"/>
        </w:tabs>
        <w:jc w:val="both"/>
        <w:rPr>
          <w:rFonts w:cs="Arial"/>
          <w:sz w:val="28"/>
        </w:rPr>
      </w:pPr>
    </w:p>
    <w:p w:rsidR="009C4B4A" w:rsidRPr="00BD2496" w:rsidRDefault="00D66582" w:rsidP="009C4B4A">
      <w:pPr>
        <w:jc w:val="center"/>
        <w:rPr>
          <w:b/>
          <w:szCs w:val="28"/>
        </w:rPr>
      </w:pPr>
      <w:r>
        <w:rPr>
          <w:b/>
        </w:rPr>
        <w:t xml:space="preserve">APPLICATION FOR REHEARING </w:t>
      </w:r>
      <w:r w:rsidR="009C4B4A" w:rsidRPr="00BD2496">
        <w:rPr>
          <w:b/>
        </w:rPr>
        <w:t>OF INDUSTRIAL ENERGY USERS-OHIO</w:t>
      </w:r>
    </w:p>
    <w:p w:rsidR="004A6E10" w:rsidRDefault="004A6E10" w:rsidP="004A6E10">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E80327" w:rsidRDefault="00E91985" w:rsidP="00DE13B8">
      <w:pPr>
        <w:tabs>
          <w:tab w:val="left" w:pos="3780"/>
        </w:tabs>
        <w:spacing w:line="480" w:lineRule="auto"/>
        <w:jc w:val="both"/>
        <w:rPr>
          <w:rFonts w:eastAsia="Calibri" w:cs="Arial"/>
        </w:rPr>
      </w:pPr>
      <w:r>
        <w:rPr>
          <w:rFonts w:eastAsia="Calibri" w:cs="Arial"/>
        </w:rPr>
        <w:tab/>
      </w:r>
    </w:p>
    <w:p w:rsidR="00E80327" w:rsidRDefault="00E80327" w:rsidP="00E80327">
      <w:pPr>
        <w:spacing w:line="480" w:lineRule="auto"/>
        <w:ind w:firstLine="720"/>
        <w:jc w:val="both"/>
      </w:pPr>
      <w:r>
        <w:rPr>
          <w:rFonts w:cs="Arial"/>
          <w:bCs/>
        </w:rPr>
        <w:t>Pursuant to Section 4903.10, Revised Code, and Rule 4901-1-35, Ohio Administrative Code (“O.A.C.”), Industrial Energy Users-Ohio (“IEU-Ohio”) respectfully submits this Application for Rehearing of the Opinion and Order (“LTFR Order”) issued by the Public Utilities Commission of Ohio (“Commission”) on January 9, 2013, which modified and approved the Stipulation and Recommendation</w:t>
      </w:r>
      <w:r w:rsidR="00085BB3">
        <w:rPr>
          <w:rFonts w:cs="Arial"/>
          <w:bCs/>
        </w:rPr>
        <w:t xml:space="preserve"> (“Stipulation”)</w:t>
      </w:r>
      <w:r>
        <w:rPr>
          <w:rFonts w:cs="Arial"/>
          <w:bCs/>
        </w:rPr>
        <w:t xml:space="preserve"> filed by Ohio Power Company and Columbus Southern Power Company (collectively, “AEP-Ohio”) and Commission Staff (“Staff”)</w:t>
      </w:r>
      <w:r w:rsidR="00DB3431">
        <w:rPr>
          <w:rFonts w:cs="Arial"/>
          <w:bCs/>
        </w:rPr>
        <w:t xml:space="preserve"> in AEP-Ohio’s long-term forecast report (“LTFR”) proceeding</w:t>
      </w:r>
      <w:r>
        <w:rPr>
          <w:rFonts w:cs="Arial"/>
          <w:bCs/>
        </w:rPr>
        <w:t>.  IEU-Ohio commends the Commission for rejecting the portion of the Stipulation requesting that the Commission find that there is a “need” for the Turning Point Solar (“Turning Point”) project.  The LTFR Order, however, is unlawful and unreasonable in the following respects:</w:t>
      </w:r>
      <w:r>
        <w:tab/>
      </w:r>
    </w:p>
    <w:p w:rsidR="00AF1E61" w:rsidRPr="00AF1E61" w:rsidRDefault="00AF1E61" w:rsidP="00BE64E6">
      <w:pPr>
        <w:pStyle w:val="ListParagraph"/>
        <w:numPr>
          <w:ilvl w:val="0"/>
          <w:numId w:val="12"/>
        </w:numPr>
        <w:ind w:right="720"/>
        <w:jc w:val="both"/>
      </w:pPr>
      <w:r w:rsidRPr="00AF1E61">
        <w:t>The LTFR Order is unlawful and unreasonable because it determined that Section 4928.143(B)(2)(c), Revised Code, does not require a finding of need to be made within an</w:t>
      </w:r>
      <w:r>
        <w:t xml:space="preserve"> </w:t>
      </w:r>
      <w:r w:rsidR="00A361E4">
        <w:t>electric security plan (</w:t>
      </w:r>
      <w:r w:rsidR="00A361E4">
        <w:rPr>
          <w:rFonts w:cs="Arial"/>
          <w:bCs/>
        </w:rPr>
        <w:t>“</w:t>
      </w:r>
      <w:r w:rsidRPr="00AF1E61">
        <w:t>ESP</w:t>
      </w:r>
      <w:r w:rsidR="00A361E4">
        <w:rPr>
          <w:rFonts w:cs="Arial"/>
          <w:bCs/>
        </w:rPr>
        <w:t>”</w:t>
      </w:r>
      <w:r w:rsidR="00A361E4">
        <w:t>)</w:t>
      </w:r>
      <w:r w:rsidRPr="00AF1E61">
        <w:t xml:space="preserve"> proceeding.  The Commission lacks jurisdiction to make a finding of need in an LTFR proceeding; the Commission can consider a finding of need under Section 4928.143(B)(2)(b) and (c), Revised Code, only in an ESP proceeding.</w:t>
      </w:r>
    </w:p>
    <w:p w:rsidR="006F3596" w:rsidRPr="006F3596" w:rsidRDefault="006F3596" w:rsidP="006F3596">
      <w:pPr>
        <w:pStyle w:val="ListParagraph"/>
        <w:numPr>
          <w:ilvl w:val="0"/>
          <w:numId w:val="12"/>
        </w:numPr>
        <w:ind w:right="720"/>
        <w:jc w:val="both"/>
      </w:pPr>
      <w:r w:rsidRPr="006F3596">
        <w:lastRenderedPageBreak/>
        <w:t xml:space="preserve">The LTFR Order is unlawful and unreasonable because it considered whether a renewable energy facility is needed to satisfy renewable energy requirements, and the LTFR Order assumed, for purposes of considering the Stipulation, that the Commission had authority to determine the need for a renewable energy facility.  Even in an ESP proceeding, renewable energy facilities are not eligible to be considered for a finding of need; Sections 4928.64(E) and 4928.143(B), Revised Code, prohibit the recovery of the cost of compliance with renewable energy requirements through non-bypassable charges. </w:t>
      </w:r>
    </w:p>
    <w:p w:rsidR="007E7D3F" w:rsidRPr="007E7D3F" w:rsidRDefault="007E7D3F" w:rsidP="00BE64E6">
      <w:pPr>
        <w:ind w:right="720"/>
        <w:jc w:val="both"/>
      </w:pPr>
    </w:p>
    <w:p w:rsidR="00E54DC9" w:rsidRPr="00E55187" w:rsidRDefault="00DC6491" w:rsidP="00B10358">
      <w:pPr>
        <w:pStyle w:val="ListParagraph"/>
        <w:numPr>
          <w:ilvl w:val="0"/>
          <w:numId w:val="12"/>
        </w:numPr>
        <w:tabs>
          <w:tab w:val="left" w:pos="720"/>
        </w:tabs>
        <w:ind w:right="720"/>
        <w:jc w:val="both"/>
        <w:rPr>
          <w:rFonts w:cs="Arial"/>
        </w:rPr>
      </w:pPr>
      <w:r>
        <w:t>The LTFR Order is unlawful and unreasonable because it failed to grant the motion to strike the portion of the testimony of William Castle, which improperly relied upon a settlement agreement from another proceeding for the purpos</w:t>
      </w:r>
      <w:r w:rsidR="00E539DF">
        <w:t>e of addressing a contested issue</w:t>
      </w:r>
      <w:r>
        <w:t xml:space="preserve"> in the</w:t>
      </w:r>
      <w:r w:rsidR="00E539DF">
        <w:t xml:space="preserve"> LTFR proceeding.</w:t>
      </w:r>
    </w:p>
    <w:p w:rsidR="00DC6491" w:rsidRPr="00CB292F" w:rsidRDefault="00DC6491" w:rsidP="00CB292F">
      <w:pPr>
        <w:tabs>
          <w:tab w:val="left" w:pos="720"/>
          <w:tab w:val="right" w:pos="9360"/>
        </w:tabs>
        <w:jc w:val="both"/>
        <w:rPr>
          <w:rFonts w:cs="Arial"/>
        </w:rPr>
      </w:pPr>
    </w:p>
    <w:p w:rsidR="00E54DC9" w:rsidRPr="00E54DC9" w:rsidRDefault="00B10358" w:rsidP="00E54DC9">
      <w:pPr>
        <w:tabs>
          <w:tab w:val="left" w:pos="720"/>
          <w:tab w:val="right" w:pos="9360"/>
        </w:tabs>
        <w:spacing w:line="480" w:lineRule="auto"/>
        <w:jc w:val="both"/>
        <w:rPr>
          <w:rFonts w:cs="Arial"/>
        </w:rPr>
      </w:pPr>
      <w:r>
        <w:rPr>
          <w:rFonts w:cs="Arial"/>
        </w:rPr>
        <w:tab/>
      </w:r>
      <w:r w:rsidR="00E54DC9" w:rsidRPr="00E54DC9">
        <w:rPr>
          <w:rFonts w:cs="Arial"/>
        </w:rPr>
        <w:t xml:space="preserve">As discussed in additional detail in the </w:t>
      </w:r>
      <w:r w:rsidR="00DE13B8">
        <w:rPr>
          <w:rFonts w:cs="Arial"/>
        </w:rPr>
        <w:t>M</w:t>
      </w:r>
      <w:r w:rsidR="00E54DC9" w:rsidRPr="00E54DC9">
        <w:rPr>
          <w:rFonts w:cs="Arial"/>
        </w:rPr>
        <w:t xml:space="preserve">emorandum in </w:t>
      </w:r>
      <w:r w:rsidR="00DE13B8">
        <w:rPr>
          <w:rFonts w:cs="Arial"/>
        </w:rPr>
        <w:t>S</w:t>
      </w:r>
      <w:r w:rsidR="00E54DC9" w:rsidRPr="00E54DC9">
        <w:rPr>
          <w:rFonts w:cs="Arial"/>
        </w:rPr>
        <w:t xml:space="preserve">upport attached hereto, IEU-Ohio respectfully requests that the Commission grant this Application for Rehearing. </w:t>
      </w:r>
    </w:p>
    <w:p w:rsidR="00EB6B22" w:rsidRDefault="00E54DC9" w:rsidP="001B14FD">
      <w:pPr>
        <w:tabs>
          <w:tab w:val="left" w:pos="3780"/>
        </w:tabs>
        <w:spacing w:after="200" w:line="480" w:lineRule="auto"/>
        <w:ind w:firstLine="720"/>
        <w:jc w:val="both"/>
        <w:rPr>
          <w:rFonts w:eastAsia="Calibri" w:cs="Arial"/>
        </w:rPr>
      </w:pPr>
      <w:r>
        <w:rPr>
          <w:rFonts w:eastAsia="Calibri" w:cs="Arial"/>
        </w:rPr>
        <w:tab/>
      </w:r>
      <w:r w:rsidR="001B14FD">
        <w:rPr>
          <w:rFonts w:eastAsia="Calibri" w:cs="Arial"/>
        </w:rPr>
        <w:t xml:space="preserve">Respectfully </w:t>
      </w:r>
      <w:r w:rsidR="00866E97">
        <w:rPr>
          <w:rFonts w:eastAsia="Calibri" w:cs="Arial"/>
        </w:rPr>
        <w:t>s</w:t>
      </w:r>
      <w:r w:rsidR="00693780">
        <w:rPr>
          <w:rFonts w:eastAsia="Calibri" w:cs="Arial"/>
        </w:rPr>
        <w:t>ubmitted:</w:t>
      </w:r>
    </w:p>
    <w:p w:rsidR="00693780" w:rsidRPr="00693780" w:rsidRDefault="00A76247" w:rsidP="001B14FD">
      <w:pPr>
        <w:tabs>
          <w:tab w:val="left" w:pos="-1350"/>
          <w:tab w:val="left" w:pos="7920"/>
        </w:tabs>
        <w:ind w:left="3780"/>
        <w:jc w:val="both"/>
        <w:rPr>
          <w:rFonts w:cs="Arial"/>
          <w:u w:val="single"/>
        </w:rPr>
      </w:pPr>
      <w:r>
        <w:rPr>
          <w:rFonts w:cs="Arial"/>
          <w:u w:val="single"/>
        </w:rPr>
        <w:t>/s/ Joseph E. Oliker</w:t>
      </w:r>
      <w:r w:rsidR="001B14FD">
        <w:rPr>
          <w:rFonts w:cs="Arial"/>
          <w:u w:val="single"/>
        </w:rPr>
        <w:tab/>
      </w:r>
    </w:p>
    <w:p w:rsidR="00693780" w:rsidRDefault="00693780" w:rsidP="001B14FD">
      <w:pPr>
        <w:tabs>
          <w:tab w:val="left" w:pos="-1350"/>
          <w:tab w:val="right" w:pos="8640"/>
        </w:tabs>
        <w:ind w:left="3780"/>
        <w:jc w:val="both"/>
        <w:rPr>
          <w:rFonts w:cs="Arial"/>
        </w:rPr>
      </w:pPr>
      <w:r>
        <w:rPr>
          <w:rFonts w:cs="Arial"/>
        </w:rPr>
        <w:t xml:space="preserve">Samuel C. Randazzo </w:t>
      </w:r>
    </w:p>
    <w:p w:rsidR="00693780" w:rsidRDefault="00693780" w:rsidP="001B14FD">
      <w:pPr>
        <w:pStyle w:val="BodyText3"/>
        <w:widowControl w:val="0"/>
        <w:tabs>
          <w:tab w:val="left" w:pos="0"/>
        </w:tabs>
        <w:ind w:left="3780"/>
        <w:jc w:val="both"/>
        <w:rPr>
          <w:rFonts w:cs="Arial"/>
          <w:b w:val="0"/>
          <w:bCs/>
        </w:rPr>
      </w:pPr>
      <w:r>
        <w:rPr>
          <w:rFonts w:cs="Arial"/>
          <w:b w:val="0"/>
          <w:bCs/>
        </w:rPr>
        <w:t>(Counsel of Record)</w:t>
      </w:r>
    </w:p>
    <w:p w:rsidR="00693780" w:rsidRDefault="00693780" w:rsidP="001B14FD">
      <w:pPr>
        <w:pStyle w:val="BodyText3"/>
        <w:widowControl w:val="0"/>
        <w:tabs>
          <w:tab w:val="left" w:pos="0"/>
        </w:tabs>
        <w:ind w:left="3780"/>
        <w:jc w:val="both"/>
        <w:rPr>
          <w:rFonts w:cs="Arial"/>
          <w:b w:val="0"/>
          <w:bCs/>
        </w:rPr>
      </w:pPr>
      <w:r>
        <w:rPr>
          <w:rFonts w:cs="Arial"/>
          <w:b w:val="0"/>
          <w:bCs/>
        </w:rPr>
        <w:t>Frank P. Darr</w:t>
      </w:r>
    </w:p>
    <w:p w:rsidR="00693780" w:rsidRDefault="00693780" w:rsidP="001B14FD">
      <w:pPr>
        <w:pStyle w:val="BodyText3"/>
        <w:widowControl w:val="0"/>
        <w:tabs>
          <w:tab w:val="left" w:pos="0"/>
        </w:tabs>
        <w:ind w:left="3780"/>
        <w:jc w:val="both"/>
        <w:rPr>
          <w:rFonts w:cs="Arial"/>
          <w:b w:val="0"/>
          <w:bCs/>
        </w:rPr>
      </w:pPr>
      <w:r>
        <w:rPr>
          <w:rFonts w:cs="Arial"/>
          <w:b w:val="0"/>
          <w:bCs/>
        </w:rPr>
        <w:t>Joseph E. Oliker</w:t>
      </w:r>
    </w:p>
    <w:p w:rsidR="00806AC4" w:rsidRDefault="00806AC4" w:rsidP="001B14FD">
      <w:pPr>
        <w:pStyle w:val="BodyText3"/>
        <w:widowControl w:val="0"/>
        <w:tabs>
          <w:tab w:val="left" w:pos="0"/>
        </w:tabs>
        <w:ind w:left="3780"/>
        <w:jc w:val="both"/>
        <w:rPr>
          <w:rFonts w:cs="Arial"/>
          <w:b w:val="0"/>
          <w:bCs/>
        </w:rPr>
      </w:pPr>
      <w:r>
        <w:rPr>
          <w:rFonts w:cs="Arial"/>
          <w:b w:val="0"/>
          <w:bCs/>
        </w:rPr>
        <w:t>Matthew R. Pritchard</w:t>
      </w:r>
    </w:p>
    <w:p w:rsidR="00693780" w:rsidRDefault="00693780" w:rsidP="001B14FD">
      <w:pPr>
        <w:pStyle w:val="BodyText3"/>
        <w:widowControl w:val="0"/>
        <w:tabs>
          <w:tab w:val="left" w:pos="0"/>
        </w:tabs>
        <w:ind w:left="3780"/>
        <w:jc w:val="both"/>
        <w:rPr>
          <w:rFonts w:cs="Arial"/>
          <w:b w:val="0"/>
          <w:bCs/>
          <w:smallCaps/>
          <w:szCs w:val="24"/>
        </w:rPr>
      </w:pPr>
      <w:r>
        <w:rPr>
          <w:rFonts w:cs="Arial"/>
          <w:b w:val="0"/>
          <w:bCs/>
          <w:smallCaps/>
          <w:szCs w:val="24"/>
        </w:rPr>
        <w:t>McNees Wallace &amp; Nurick LLC</w:t>
      </w:r>
    </w:p>
    <w:p w:rsidR="00693780" w:rsidRDefault="00693780" w:rsidP="001B14FD">
      <w:pPr>
        <w:pStyle w:val="BodyText3"/>
        <w:widowControl w:val="0"/>
        <w:tabs>
          <w:tab w:val="left" w:pos="0"/>
        </w:tabs>
        <w:ind w:left="3780"/>
        <w:jc w:val="both"/>
        <w:rPr>
          <w:rFonts w:cs="Arial"/>
          <w:b w:val="0"/>
          <w:bCs/>
        </w:rPr>
      </w:pPr>
      <w:r>
        <w:rPr>
          <w:rFonts w:cs="Arial"/>
          <w:b w:val="0"/>
          <w:bCs/>
        </w:rPr>
        <w:t>21 East State Street, 17</w:t>
      </w:r>
      <w:r>
        <w:rPr>
          <w:rFonts w:cs="Arial"/>
          <w:b w:val="0"/>
          <w:bCs/>
          <w:vertAlign w:val="superscript"/>
        </w:rPr>
        <w:t>TH</w:t>
      </w:r>
      <w:r>
        <w:rPr>
          <w:rFonts w:cs="Arial"/>
          <w:b w:val="0"/>
          <w:bCs/>
        </w:rPr>
        <w:t xml:space="preserve"> Floor</w:t>
      </w:r>
    </w:p>
    <w:p w:rsidR="00693780" w:rsidRDefault="00693780" w:rsidP="001B14FD">
      <w:pPr>
        <w:pStyle w:val="BodyText"/>
        <w:tabs>
          <w:tab w:val="left" w:pos="0"/>
        </w:tabs>
        <w:ind w:left="3780"/>
      </w:pPr>
      <w:r>
        <w:t>Columbus, OH  43215</w:t>
      </w:r>
    </w:p>
    <w:p w:rsidR="00693780" w:rsidRDefault="00693780" w:rsidP="001B14FD">
      <w:pPr>
        <w:pStyle w:val="BodyText"/>
        <w:tabs>
          <w:tab w:val="left" w:pos="0"/>
        </w:tabs>
        <w:ind w:left="3780"/>
      </w:pPr>
      <w:r>
        <w:t>Telephone:  (614) 469-8000</w:t>
      </w:r>
    </w:p>
    <w:p w:rsidR="00693780" w:rsidRDefault="00693780" w:rsidP="001B14FD">
      <w:pPr>
        <w:pStyle w:val="BodyText"/>
        <w:tabs>
          <w:tab w:val="left" w:pos="0"/>
        </w:tabs>
        <w:ind w:left="3780"/>
      </w:pPr>
      <w:r>
        <w:t>Telecopier:  (614) 469-4653</w:t>
      </w:r>
    </w:p>
    <w:p w:rsidR="00693780" w:rsidRDefault="00693780" w:rsidP="001B14FD">
      <w:pPr>
        <w:pStyle w:val="BodyText"/>
        <w:tabs>
          <w:tab w:val="left" w:pos="0"/>
        </w:tabs>
        <w:ind w:left="3780"/>
      </w:pPr>
      <w:r>
        <w:t>sam@mwncmh.com</w:t>
      </w:r>
    </w:p>
    <w:p w:rsidR="00693780" w:rsidRDefault="00693780" w:rsidP="001B14FD">
      <w:pPr>
        <w:pStyle w:val="BodyText"/>
        <w:tabs>
          <w:tab w:val="left" w:pos="0"/>
        </w:tabs>
        <w:ind w:left="3780"/>
      </w:pPr>
      <w:r>
        <w:t>fdarr@mwncmh.com</w:t>
      </w:r>
    </w:p>
    <w:p w:rsidR="00693780" w:rsidRDefault="00693780" w:rsidP="001B14FD">
      <w:pPr>
        <w:pStyle w:val="BodyText"/>
        <w:tabs>
          <w:tab w:val="left" w:pos="0"/>
        </w:tabs>
        <w:ind w:left="3780"/>
      </w:pPr>
      <w:r>
        <w:t>joliker@mwncmh.com</w:t>
      </w:r>
    </w:p>
    <w:p w:rsidR="00693780" w:rsidRDefault="00806AC4" w:rsidP="001B14FD">
      <w:pPr>
        <w:pStyle w:val="BodyText"/>
        <w:tabs>
          <w:tab w:val="left" w:pos="0"/>
        </w:tabs>
        <w:ind w:left="3780"/>
      </w:pPr>
      <w:r>
        <w:t>mpritchard@mwncmh.com</w:t>
      </w:r>
    </w:p>
    <w:p w:rsidR="00806AC4" w:rsidRDefault="00806AC4" w:rsidP="001B14FD">
      <w:pPr>
        <w:pStyle w:val="BodyText"/>
        <w:tabs>
          <w:tab w:val="left" w:pos="0"/>
        </w:tabs>
        <w:ind w:left="3780"/>
      </w:pPr>
    </w:p>
    <w:p w:rsidR="00693780" w:rsidRDefault="00693780" w:rsidP="001B14FD">
      <w:pPr>
        <w:autoSpaceDE w:val="0"/>
        <w:autoSpaceDN w:val="0"/>
        <w:adjustRightInd w:val="0"/>
        <w:ind w:left="3780"/>
        <w:rPr>
          <w:rFonts w:cs="Arial"/>
          <w:b/>
          <w:smallCaps/>
        </w:rPr>
      </w:pPr>
      <w:r w:rsidRPr="001B14FD">
        <w:rPr>
          <w:rFonts w:cs="Arial"/>
          <w:b/>
          <w:smallCaps/>
        </w:rPr>
        <w:t>Attorneys for Industrial Energy Users-Ohio</w:t>
      </w:r>
    </w:p>
    <w:p w:rsidR="00ED6FAA" w:rsidRDefault="00ED6FAA" w:rsidP="00633C15">
      <w:pPr>
        <w:autoSpaceDE w:val="0"/>
        <w:autoSpaceDN w:val="0"/>
        <w:adjustRightInd w:val="0"/>
        <w:rPr>
          <w:rFonts w:cs="Arial"/>
          <w:b/>
          <w:smallCaps/>
        </w:rPr>
      </w:pPr>
    </w:p>
    <w:p w:rsidR="00ED6FAA" w:rsidRDefault="00ED6FAA" w:rsidP="001B14FD">
      <w:pPr>
        <w:autoSpaceDE w:val="0"/>
        <w:autoSpaceDN w:val="0"/>
        <w:adjustRightInd w:val="0"/>
        <w:ind w:left="3780"/>
        <w:rPr>
          <w:rFonts w:cs="Arial"/>
          <w:b/>
          <w:smallCaps/>
        </w:rPr>
      </w:pPr>
    </w:p>
    <w:p w:rsidR="00ED6FAA" w:rsidRDefault="00ED6FAA">
      <w:pPr>
        <w:spacing w:after="200" w:line="276" w:lineRule="auto"/>
        <w:rPr>
          <w:rFonts w:cs="Arial"/>
          <w:b/>
          <w:smallCaps/>
        </w:rPr>
      </w:pPr>
      <w:r>
        <w:rPr>
          <w:rFonts w:cs="Arial"/>
          <w:b/>
          <w:smallCaps/>
        </w:rPr>
        <w:br w:type="page"/>
      </w:r>
    </w:p>
    <w:p w:rsidR="00ED6FAA" w:rsidRPr="00865D80" w:rsidRDefault="00ED6FAA" w:rsidP="00ED6FAA">
      <w:pPr>
        <w:pStyle w:val="Title"/>
        <w:rPr>
          <w:sz w:val="28"/>
        </w:rPr>
      </w:pPr>
      <w:r w:rsidRPr="00865D80">
        <w:rPr>
          <w:sz w:val="28"/>
        </w:rPr>
        <w:lastRenderedPageBreak/>
        <w:t>Before</w:t>
      </w:r>
    </w:p>
    <w:p w:rsidR="00ED6FAA" w:rsidRDefault="00ED6FAA" w:rsidP="00ED6FAA">
      <w:pPr>
        <w:jc w:val="center"/>
        <w:rPr>
          <w:rFonts w:cs="Arial"/>
          <w:b/>
          <w:smallCaps/>
          <w:sz w:val="28"/>
        </w:rPr>
      </w:pPr>
      <w:r>
        <w:rPr>
          <w:rFonts w:cs="Arial"/>
          <w:b/>
          <w:smallCaps/>
          <w:sz w:val="28"/>
        </w:rPr>
        <w:t>The Public Utilities Commission of Ohio</w:t>
      </w:r>
    </w:p>
    <w:p w:rsidR="00ED6FAA" w:rsidRDefault="00ED6FAA" w:rsidP="00ED6FAA">
      <w:pPr>
        <w:autoSpaceDE w:val="0"/>
        <w:autoSpaceDN w:val="0"/>
        <w:adjustRightInd w:val="0"/>
        <w:rPr>
          <w:rFonts w:cs="Arial"/>
        </w:rPr>
      </w:pPr>
    </w:p>
    <w:p w:rsidR="00ED6FAA" w:rsidRDefault="00ED6FAA" w:rsidP="00ED6FAA">
      <w:pPr>
        <w:pStyle w:val="BodyText"/>
        <w:tabs>
          <w:tab w:val="left" w:pos="4680"/>
          <w:tab w:val="left" w:pos="5040"/>
        </w:tabs>
      </w:pPr>
      <w:r>
        <w:t>In the Matter of the Long-Term Forecast</w:t>
      </w:r>
      <w:r>
        <w:tab/>
        <w:t>)</w:t>
      </w:r>
    </w:p>
    <w:p w:rsidR="00ED6FAA" w:rsidRDefault="00ED6FAA" w:rsidP="00ED6FAA">
      <w:pPr>
        <w:pStyle w:val="BodyText"/>
        <w:tabs>
          <w:tab w:val="left" w:pos="4680"/>
        </w:tabs>
      </w:pPr>
      <w:r>
        <w:t>Report of Ohio Power Company and</w:t>
      </w:r>
      <w:r>
        <w:tab/>
        <w:t>)</w:t>
      </w:r>
      <w:r>
        <w:tab/>
      </w:r>
      <w:r>
        <w:tab/>
        <w:t>Case No. 10-501-EL-FOR</w:t>
      </w:r>
    </w:p>
    <w:p w:rsidR="00ED6FAA" w:rsidRDefault="00ED6FAA" w:rsidP="00ED6FAA">
      <w:pPr>
        <w:pStyle w:val="BodyText"/>
        <w:tabs>
          <w:tab w:val="left" w:pos="4680"/>
          <w:tab w:val="left" w:pos="5040"/>
        </w:tabs>
      </w:pPr>
      <w:r>
        <w:t>Related Matters.</w:t>
      </w:r>
      <w:r>
        <w:tab/>
        <w:t>)</w:t>
      </w:r>
    </w:p>
    <w:p w:rsidR="00ED6FAA" w:rsidRDefault="00ED6FAA" w:rsidP="00ED6FAA">
      <w:pPr>
        <w:pStyle w:val="BodyText"/>
        <w:tabs>
          <w:tab w:val="left" w:pos="5040"/>
        </w:tabs>
      </w:pPr>
    </w:p>
    <w:p w:rsidR="00ED6FAA" w:rsidRDefault="00ED6FAA" w:rsidP="00ED6FAA">
      <w:pPr>
        <w:pStyle w:val="BodyText"/>
        <w:tabs>
          <w:tab w:val="left" w:pos="4680"/>
          <w:tab w:val="left" w:pos="5040"/>
        </w:tabs>
      </w:pPr>
      <w:r>
        <w:t>In the Matter of the Long-Term Forecast</w:t>
      </w:r>
      <w:r>
        <w:tab/>
        <w:t>)</w:t>
      </w:r>
    </w:p>
    <w:p w:rsidR="00ED6FAA" w:rsidRDefault="00ED6FAA" w:rsidP="00ED6FAA">
      <w:pPr>
        <w:pStyle w:val="BodyText"/>
        <w:tabs>
          <w:tab w:val="left" w:pos="4680"/>
        </w:tabs>
      </w:pPr>
      <w:r>
        <w:t>Report of Columbus Southern Power</w:t>
      </w:r>
      <w:r>
        <w:tab/>
        <w:t>)</w:t>
      </w:r>
      <w:r>
        <w:tab/>
      </w:r>
      <w:r>
        <w:tab/>
        <w:t>Case No. 10-502-EL-FOR</w:t>
      </w:r>
    </w:p>
    <w:p w:rsidR="00ED6FAA" w:rsidRDefault="00ED6FAA" w:rsidP="00ED6FAA">
      <w:pPr>
        <w:pStyle w:val="BodyText"/>
        <w:tabs>
          <w:tab w:val="left" w:pos="4680"/>
        </w:tabs>
      </w:pPr>
      <w:r>
        <w:t>Company and Related Matters.</w:t>
      </w:r>
      <w:r>
        <w:tab/>
        <w:t>)</w:t>
      </w:r>
    </w:p>
    <w:p w:rsidR="00ED6FAA" w:rsidRDefault="00ED6FAA" w:rsidP="00ED6FAA">
      <w:pPr>
        <w:pStyle w:val="BodyText"/>
        <w:tabs>
          <w:tab w:val="left" w:pos="5040"/>
        </w:tabs>
      </w:pPr>
    </w:p>
    <w:p w:rsidR="00ED6FAA" w:rsidRDefault="00ED6FAA" w:rsidP="00ED6FAA">
      <w:pPr>
        <w:pStyle w:val="BodyText"/>
        <w:tabs>
          <w:tab w:val="left" w:pos="5040"/>
        </w:tabs>
      </w:pPr>
    </w:p>
    <w:p w:rsidR="00ED6FAA" w:rsidRDefault="00ED6FAA" w:rsidP="00ED6FAA">
      <w:pPr>
        <w:pBdr>
          <w:top w:val="single" w:sz="12" w:space="1" w:color="auto"/>
        </w:pBdr>
        <w:tabs>
          <w:tab w:val="left" w:pos="7320"/>
        </w:tabs>
        <w:jc w:val="both"/>
        <w:rPr>
          <w:rFonts w:cs="Arial"/>
          <w:sz w:val="28"/>
        </w:rPr>
      </w:pPr>
    </w:p>
    <w:p w:rsidR="00ED6FAA" w:rsidRPr="00BD2496" w:rsidRDefault="00305452" w:rsidP="00ED6FAA">
      <w:pPr>
        <w:jc w:val="center"/>
        <w:rPr>
          <w:b/>
          <w:szCs w:val="28"/>
        </w:rPr>
      </w:pPr>
      <w:r>
        <w:rPr>
          <w:b/>
        </w:rPr>
        <w:t>MEMORANDUM IN SUPPORT</w:t>
      </w:r>
    </w:p>
    <w:p w:rsidR="00ED6FAA" w:rsidRDefault="00ED6FAA" w:rsidP="00ED6FAA">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ED6FAA" w:rsidRDefault="00ED6FAA" w:rsidP="00ED6FAA">
      <w:pPr>
        <w:pStyle w:val="BodyTextIndent"/>
        <w:tabs>
          <w:tab w:val="left" w:pos="7320"/>
        </w:tabs>
        <w:spacing w:after="100" w:afterAutospacing="1"/>
        <w:ind w:firstLine="0"/>
      </w:pPr>
    </w:p>
    <w:p w:rsidR="00DC6491" w:rsidRPr="00DC6491" w:rsidRDefault="00DB3431" w:rsidP="008341BC">
      <w:pPr>
        <w:pStyle w:val="Heading1"/>
      </w:pPr>
      <w:bookmarkStart w:id="6" w:name="_Toc348086884"/>
      <w:bookmarkStart w:id="7" w:name="_Toc348087972"/>
      <w:bookmarkStart w:id="8" w:name="_Toc348097100"/>
      <w:r>
        <w:t>BACKGROUND</w:t>
      </w:r>
      <w:bookmarkEnd w:id="6"/>
      <w:bookmarkEnd w:id="7"/>
      <w:bookmarkEnd w:id="8"/>
    </w:p>
    <w:p w:rsidR="00E54DC9" w:rsidRDefault="004837A3" w:rsidP="000D4DF5">
      <w:pPr>
        <w:spacing w:line="480" w:lineRule="auto"/>
        <w:ind w:firstLine="720"/>
        <w:jc w:val="both"/>
        <w:rPr>
          <w:rFonts w:cs="Arial"/>
        </w:rPr>
      </w:pPr>
      <w:r>
        <w:rPr>
          <w:rFonts w:cs="Arial"/>
        </w:rPr>
        <w:t>O</w:t>
      </w:r>
      <w:r w:rsidR="00E54DC9">
        <w:rPr>
          <w:rFonts w:cs="Arial"/>
        </w:rPr>
        <w:t>n December 20, 2010, AEP-Ohio filed a supplement to its 2010 LTFR</w:t>
      </w:r>
      <w:r w:rsidR="00DB3431">
        <w:rPr>
          <w:rFonts w:cs="Arial"/>
        </w:rPr>
        <w:t>, which requested</w:t>
      </w:r>
      <w:r w:rsidR="00E54DC9">
        <w:rPr>
          <w:rFonts w:cs="Arial"/>
        </w:rPr>
        <w:t xml:space="preserve"> that the Commission find that there is a “need” </w:t>
      </w:r>
      <w:r>
        <w:rPr>
          <w:rFonts w:cs="Arial"/>
        </w:rPr>
        <w:t>for the Turning Point project.</w:t>
      </w:r>
      <w:r w:rsidR="00C83E0D">
        <w:rPr>
          <w:rFonts w:cs="Arial"/>
        </w:rPr>
        <w:t xml:space="preserve">  </w:t>
      </w:r>
      <w:r w:rsidR="00E54DC9">
        <w:rPr>
          <w:rFonts w:cs="Arial"/>
        </w:rPr>
        <w:t>On November 21, 2011, AEP-Ohio and Staff entered into a Stipulation and Recommendation requesting that the Commission find that there is a need for the Turning Point project.  The Stipulation, in Paragraph 2, stated that AEP-Ohio was seeking a f</w:t>
      </w:r>
      <w:r>
        <w:rPr>
          <w:rFonts w:cs="Arial"/>
        </w:rPr>
        <w:t xml:space="preserve">inding of need </w:t>
      </w:r>
      <w:r w:rsidR="00E54DC9">
        <w:rPr>
          <w:rFonts w:cs="Arial"/>
        </w:rPr>
        <w:t xml:space="preserve">pursuant to </w:t>
      </w:r>
      <w:r w:rsidR="00D514AE">
        <w:rPr>
          <w:rFonts w:cs="Arial"/>
        </w:rPr>
        <w:t xml:space="preserve">Section </w:t>
      </w:r>
      <w:r w:rsidR="00E54DC9">
        <w:rPr>
          <w:rFonts w:cs="Arial"/>
        </w:rPr>
        <w:t>4928.143(B)(2)(c), and the provisions of 4928.64(B)(2)</w:t>
      </w:r>
      <w:r w:rsidR="00D514AE">
        <w:rPr>
          <w:rFonts w:cs="Arial"/>
        </w:rPr>
        <w:t>, Revised Code</w:t>
      </w:r>
      <w:r w:rsidR="00E54DC9">
        <w:rPr>
          <w:rFonts w:cs="Arial"/>
        </w:rPr>
        <w:t>.</w:t>
      </w:r>
    </w:p>
    <w:p w:rsidR="000D4DF5" w:rsidRPr="00B7160F" w:rsidRDefault="000D4DF5" w:rsidP="00085BB3">
      <w:pPr>
        <w:spacing w:line="480" w:lineRule="auto"/>
        <w:ind w:firstLine="720"/>
        <w:jc w:val="both"/>
      </w:pPr>
      <w:r>
        <w:rPr>
          <w:rFonts w:cs="Arial"/>
        </w:rPr>
        <w:t>On March 28, 2012, the Commission held a hearing on the Stipulation.  During the hearing,</w:t>
      </w:r>
      <w:r>
        <w:rPr>
          <w:rFonts w:eastAsia="Calibri" w:cs="Arial"/>
        </w:rPr>
        <w:t xml:space="preserve"> IEU-Ohio moved to strike a portion of the testimony of AEP-Ohio witness Castle, which was based on a stipulation that includes the following language:  “</w:t>
      </w:r>
      <w:r>
        <w:rPr>
          <w:rFonts w:eastAsia="Calibri" w:cs="Arial"/>
          <w:szCs w:val="20"/>
        </w:rPr>
        <w:t xml:space="preserve">Except for purposes of enforcement of the terms of this Stipulation, </w:t>
      </w:r>
      <w:r w:rsidRPr="00056DF4">
        <w:rPr>
          <w:rFonts w:eastAsia="Calibri" w:cs="Arial"/>
          <w:i/>
          <w:szCs w:val="20"/>
        </w:rPr>
        <w:t>this Stipulation</w:t>
      </w:r>
      <w:r>
        <w:rPr>
          <w:rFonts w:eastAsia="Calibri" w:cs="Arial"/>
          <w:szCs w:val="20"/>
        </w:rPr>
        <w:t xml:space="preserve">, the information and data contained therein or attached and </w:t>
      </w:r>
      <w:r w:rsidRPr="00056DF4">
        <w:rPr>
          <w:rFonts w:eastAsia="Calibri" w:cs="Arial"/>
          <w:i/>
          <w:szCs w:val="20"/>
        </w:rPr>
        <w:t>any Commission rulings adopting it</w:t>
      </w:r>
      <w:r w:rsidRPr="00DB3431">
        <w:rPr>
          <w:rFonts w:eastAsia="Calibri" w:cs="Arial"/>
          <w:i/>
          <w:szCs w:val="20"/>
        </w:rPr>
        <w:t xml:space="preserve">, shall not be cited as precedent in any future proceeding for or against any </w:t>
      </w:r>
      <w:r w:rsidRPr="00DB3431">
        <w:rPr>
          <w:rFonts w:eastAsia="Calibri" w:cs="Arial"/>
          <w:i/>
          <w:szCs w:val="20"/>
        </w:rPr>
        <w:lastRenderedPageBreak/>
        <w:t>Party or the Commission itself</w:t>
      </w:r>
      <w:r>
        <w:rPr>
          <w:rFonts w:eastAsia="Calibri" w:cs="Arial"/>
          <w:szCs w:val="20"/>
        </w:rPr>
        <w:t>.”</w:t>
      </w:r>
      <w:r>
        <w:rPr>
          <w:rStyle w:val="FootnoteReference"/>
          <w:rFonts w:eastAsia="Calibri"/>
          <w:szCs w:val="20"/>
        </w:rPr>
        <w:footnoteReference w:id="1"/>
      </w:r>
      <w:r>
        <w:t xml:space="preserve"> </w:t>
      </w:r>
      <w:r w:rsidR="00D514AE">
        <w:t xml:space="preserve"> </w:t>
      </w:r>
      <w:r>
        <w:rPr>
          <w:rFonts w:eastAsia="Calibri" w:cs="Arial"/>
        </w:rPr>
        <w:t>The Attorney Examiner denied IEU-Ohio’s oral motion.</w:t>
      </w:r>
      <w:r>
        <w:rPr>
          <w:rStyle w:val="FootnoteReference"/>
          <w:rFonts w:eastAsia="Calibri"/>
        </w:rPr>
        <w:footnoteReference w:id="2"/>
      </w:r>
      <w:r w:rsidR="00DE13B8">
        <w:rPr>
          <w:rFonts w:eastAsia="Calibri" w:cs="Arial"/>
        </w:rPr>
        <w:t xml:space="preserve"> </w:t>
      </w:r>
      <w:r w:rsidR="00085BB3" w:rsidRPr="00085BB3">
        <w:rPr>
          <w:rFonts w:cs="Arial"/>
        </w:rPr>
        <w:t xml:space="preserve"> </w:t>
      </w:r>
      <w:r w:rsidR="00085BB3">
        <w:rPr>
          <w:rFonts w:cs="Arial"/>
        </w:rPr>
        <w:t>On January 9, 2013, the Commission issued an Opinion and Order that, among other things,</w:t>
      </w:r>
      <w:r>
        <w:t xml:space="preserve"> </w:t>
      </w:r>
      <w:r w:rsidR="00015F38">
        <w:t>upheld the Attorney Examiner’s rulin</w:t>
      </w:r>
      <w:r w:rsidR="00085BB3">
        <w:t>g</w:t>
      </w:r>
      <w:r w:rsidR="00056DF4">
        <w:t>, stating, “[a]</w:t>
      </w:r>
      <w:r w:rsidR="00015F38">
        <w:t>s AEP-Ohio was not a signatory party to the stipulation in the DP&amp;L Case, the Company is not bound by its terms and, accordingly, we believe the attorney examiner's ruling denying the motion to strike was appropriate under the circumstances.”</w:t>
      </w:r>
      <w:r w:rsidR="00015F38">
        <w:rPr>
          <w:rStyle w:val="FootnoteReference"/>
        </w:rPr>
        <w:footnoteReference w:id="3"/>
      </w:r>
      <w:r w:rsidR="00DC6491">
        <w:t xml:space="preserve">  </w:t>
      </w:r>
      <w:r w:rsidR="00056DF4">
        <w:t>T</w:t>
      </w:r>
      <w:r w:rsidR="00DC6491">
        <w:t>he Commission’s determination was unlawful and unreasonable, and, as a practical matter, the Commission’s determination will have a chilling effect on the willingness of parties to settle contested legal issues.</w:t>
      </w:r>
      <w:r w:rsidR="00DE13B8">
        <w:t xml:space="preserve"> </w:t>
      </w:r>
    </w:p>
    <w:p w:rsidR="00DC6491" w:rsidRDefault="00085BB3" w:rsidP="004837A3">
      <w:pPr>
        <w:spacing w:line="480" w:lineRule="auto"/>
        <w:ind w:firstLine="720"/>
        <w:jc w:val="both"/>
        <w:rPr>
          <w:rFonts w:cs="Arial"/>
        </w:rPr>
      </w:pPr>
      <w:r>
        <w:rPr>
          <w:rFonts w:cs="Arial"/>
        </w:rPr>
        <w:t>The LTFR Order also rejected</w:t>
      </w:r>
      <w:r w:rsidR="00DC6491">
        <w:rPr>
          <w:rFonts w:cs="Arial"/>
        </w:rPr>
        <w:t xml:space="preserve"> the portion of the Stipulation which provided that there is a “need” for the Turning Point project.</w:t>
      </w:r>
      <w:r w:rsidR="00D77ECB">
        <w:rPr>
          <w:rStyle w:val="FootnoteReference"/>
          <w:rFonts w:cs="Arial"/>
        </w:rPr>
        <w:footnoteReference w:id="4"/>
      </w:r>
      <w:r w:rsidR="00DC6491">
        <w:rPr>
          <w:rFonts w:cs="Arial"/>
        </w:rPr>
        <w:t xml:space="preserve">  Because AEP-Ohio failed to demonstrate that Turning Point was needed to satisfy its own renewable energy benchmark requirements or the statewide requirements of other utilities and </w:t>
      </w:r>
      <w:r w:rsidR="00D514AE">
        <w:rPr>
          <w:rFonts w:cs="Arial"/>
        </w:rPr>
        <w:t>c</w:t>
      </w:r>
      <w:r w:rsidR="000536FC">
        <w:rPr>
          <w:rFonts w:cs="Arial"/>
        </w:rPr>
        <w:t xml:space="preserve">ompetitive </w:t>
      </w:r>
      <w:r w:rsidR="00D514AE">
        <w:rPr>
          <w:rFonts w:cs="Arial"/>
        </w:rPr>
        <w:t>retail electric service (</w:t>
      </w:r>
      <w:r w:rsidR="00D514AE">
        <w:t>“</w:t>
      </w:r>
      <w:r w:rsidR="00DC6491">
        <w:rPr>
          <w:rFonts w:cs="Arial"/>
        </w:rPr>
        <w:t>CRES</w:t>
      </w:r>
      <w:r w:rsidR="00D514AE">
        <w:t>”)</w:t>
      </w:r>
      <w:r w:rsidR="00DC6491">
        <w:rPr>
          <w:rFonts w:cs="Arial"/>
        </w:rPr>
        <w:t xml:space="preserve"> providers, the Commission determined that the Stipulation was not in the public interest.</w:t>
      </w:r>
      <w:r w:rsidR="00D77ECB">
        <w:rPr>
          <w:rStyle w:val="FootnoteReference"/>
          <w:rFonts w:cs="Arial"/>
        </w:rPr>
        <w:footnoteReference w:id="5"/>
      </w:r>
      <w:r w:rsidR="00DC6491">
        <w:rPr>
          <w:rFonts w:cs="Arial"/>
        </w:rPr>
        <w:t xml:space="preserve">  </w:t>
      </w:r>
    </w:p>
    <w:p w:rsidR="00D77ECB" w:rsidRDefault="00DC6491" w:rsidP="00D77ECB">
      <w:pPr>
        <w:spacing w:line="480" w:lineRule="auto"/>
        <w:ind w:firstLine="720"/>
        <w:jc w:val="both"/>
        <w:rPr>
          <w:rFonts w:cs="Arial"/>
        </w:rPr>
      </w:pPr>
      <w:r>
        <w:rPr>
          <w:rFonts w:cs="Arial"/>
        </w:rPr>
        <w:t>T</w:t>
      </w:r>
      <w:r w:rsidR="004837A3">
        <w:rPr>
          <w:rFonts w:cs="Arial"/>
        </w:rPr>
        <w:t>he Commission correctly determined that AEP-Ohio had not demonstrated that the T</w:t>
      </w:r>
      <w:r w:rsidR="00D77ECB">
        <w:rPr>
          <w:rFonts w:cs="Arial"/>
        </w:rPr>
        <w:t>urning Point project was needed.</w:t>
      </w:r>
      <w:r w:rsidR="005B0225">
        <w:rPr>
          <w:rFonts w:cs="Arial"/>
        </w:rPr>
        <w:t xml:space="preserve"> </w:t>
      </w:r>
      <w:r w:rsidR="00D77ECB">
        <w:rPr>
          <w:rFonts w:cs="Arial"/>
        </w:rPr>
        <w:t xml:space="preserve"> But</w:t>
      </w:r>
      <w:r w:rsidR="004837A3">
        <w:rPr>
          <w:rFonts w:cs="Arial"/>
        </w:rPr>
        <w:t xml:space="preserve"> the Commission</w:t>
      </w:r>
      <w:r w:rsidR="00CA0DF1">
        <w:rPr>
          <w:rFonts w:cs="Arial"/>
        </w:rPr>
        <w:t xml:space="preserve"> also</w:t>
      </w:r>
      <w:r w:rsidR="004837A3">
        <w:rPr>
          <w:rFonts w:cs="Arial"/>
        </w:rPr>
        <w:t xml:space="preserve"> determined that it had authority to consi</w:t>
      </w:r>
      <w:r w:rsidR="005B0225">
        <w:rPr>
          <w:rFonts w:cs="Arial"/>
        </w:rPr>
        <w:t>der in a LTFR proceeding whether</w:t>
      </w:r>
      <w:r w:rsidR="004837A3">
        <w:rPr>
          <w:rFonts w:cs="Arial"/>
        </w:rPr>
        <w:t xml:space="preserve"> a new generating facility is </w:t>
      </w:r>
      <w:r w:rsidR="004837A3">
        <w:rPr>
          <w:rFonts w:cs="Arial"/>
        </w:rPr>
        <w:lastRenderedPageBreak/>
        <w:t>needed.</w:t>
      </w:r>
      <w:r w:rsidR="00D77ECB">
        <w:rPr>
          <w:rStyle w:val="FootnoteReference"/>
          <w:rFonts w:cs="Arial"/>
        </w:rPr>
        <w:footnoteReference w:id="6"/>
      </w:r>
      <w:r w:rsidR="005B0225">
        <w:rPr>
          <w:rFonts w:cs="Arial"/>
        </w:rPr>
        <w:t xml:space="preserve">  The Commission can only exercise the jurisdiction provided by the General Assembly.  A s</w:t>
      </w:r>
      <w:r w:rsidR="00D77ECB" w:rsidRPr="00D77ECB">
        <w:rPr>
          <w:rFonts w:cs="Arial"/>
        </w:rPr>
        <w:t>ettlement cannot provide the Commissio</w:t>
      </w:r>
      <w:r w:rsidR="00D77ECB">
        <w:rPr>
          <w:rFonts w:cs="Arial"/>
        </w:rPr>
        <w:t>n with authority to do what the Commission does not other</w:t>
      </w:r>
      <w:r w:rsidR="00D77ECB" w:rsidRPr="00D77ECB">
        <w:rPr>
          <w:rFonts w:cs="Arial"/>
        </w:rPr>
        <w:t>wise have authority to do or to disrespect procedural or</w:t>
      </w:r>
      <w:r w:rsidR="00D77ECB">
        <w:rPr>
          <w:rFonts w:cs="Arial"/>
        </w:rPr>
        <w:t xml:space="preserve"> </w:t>
      </w:r>
      <w:r w:rsidR="00D77ECB" w:rsidRPr="00D77ECB">
        <w:rPr>
          <w:rFonts w:cs="Arial"/>
        </w:rPr>
        <w:t>substantive requirements established by the General Assembly or the Commission's</w:t>
      </w:r>
      <w:r w:rsidR="00D77ECB">
        <w:rPr>
          <w:rFonts w:cs="Arial"/>
        </w:rPr>
        <w:t xml:space="preserve"> </w:t>
      </w:r>
      <w:r w:rsidR="00D77ECB" w:rsidRPr="00D77ECB">
        <w:rPr>
          <w:rFonts w:cs="Arial"/>
        </w:rPr>
        <w:t>rules.</w:t>
      </w:r>
      <w:r w:rsidR="005B0225">
        <w:rPr>
          <w:rStyle w:val="FootnoteReference"/>
          <w:rFonts w:cs="Arial"/>
        </w:rPr>
        <w:footnoteReference w:id="7"/>
      </w:r>
      <w:r w:rsidR="00D77ECB">
        <w:rPr>
          <w:rFonts w:cs="Arial"/>
        </w:rPr>
        <w:t xml:space="preserve">  </w:t>
      </w:r>
    </w:p>
    <w:p w:rsidR="00D77ECB" w:rsidRDefault="004837A3" w:rsidP="00E24BAB">
      <w:pPr>
        <w:spacing w:after="120" w:line="480" w:lineRule="auto"/>
        <w:ind w:firstLine="720"/>
        <w:jc w:val="both"/>
      </w:pPr>
      <w:r>
        <w:rPr>
          <w:rFonts w:cs="Arial"/>
        </w:rPr>
        <w:t>There is no legal basis for the Commission</w:t>
      </w:r>
      <w:r w:rsidR="006A6DE9">
        <w:rPr>
          <w:rFonts w:cs="Arial"/>
        </w:rPr>
        <w:t xml:space="preserve"> </w:t>
      </w:r>
      <w:r>
        <w:rPr>
          <w:rFonts w:cs="Arial"/>
        </w:rPr>
        <w:t>to consider whether a new generating facility is “needed” in a LTFR</w:t>
      </w:r>
      <w:r w:rsidR="006A6DE9">
        <w:rPr>
          <w:rFonts w:cs="Arial"/>
        </w:rPr>
        <w:t xml:space="preserve"> </w:t>
      </w:r>
      <w:r>
        <w:rPr>
          <w:rFonts w:cs="Arial"/>
        </w:rPr>
        <w:t>proceeding</w:t>
      </w:r>
      <w:r w:rsidR="00D77ECB">
        <w:rPr>
          <w:rFonts w:cs="Arial"/>
        </w:rPr>
        <w:t>.  Moreover, e</w:t>
      </w:r>
      <w:r>
        <w:rPr>
          <w:rFonts w:cs="Arial"/>
        </w:rPr>
        <w:t>ven if such a finding were lawful in a LTFR proceeding, renewable energy generating facilities may not be</w:t>
      </w:r>
      <w:r w:rsidR="00056DF4">
        <w:rPr>
          <w:rFonts w:cs="Arial"/>
        </w:rPr>
        <w:t xml:space="preserve"> the subject of a</w:t>
      </w:r>
      <w:r>
        <w:rPr>
          <w:rFonts w:cs="Arial"/>
        </w:rPr>
        <w:t xml:space="preserve"> need determination because they are not eligible for non-bypassable cost recovery.</w:t>
      </w:r>
      <w:r w:rsidR="00D77ECB">
        <w:rPr>
          <w:rFonts w:cs="Arial"/>
        </w:rPr>
        <w:t xml:space="preserve">  Therefore, the LTFR Order is unlawful and unreasonable.</w:t>
      </w:r>
      <w:r w:rsidR="00D77ECB" w:rsidRPr="00D77ECB">
        <w:t xml:space="preserve"> </w:t>
      </w:r>
      <w:r w:rsidR="00D77ECB">
        <w:t xml:space="preserve"> </w:t>
      </w:r>
    </w:p>
    <w:p w:rsidR="00D66582" w:rsidRPr="00D77ECB" w:rsidRDefault="0093363E" w:rsidP="008341BC">
      <w:pPr>
        <w:pStyle w:val="Heading1"/>
        <w:rPr>
          <w:lang w:val="en"/>
        </w:rPr>
      </w:pPr>
      <w:bookmarkStart w:id="9" w:name="_Toc348086885"/>
      <w:bookmarkStart w:id="10" w:name="_Toc348087973"/>
      <w:bookmarkStart w:id="11" w:name="_Toc348097101"/>
      <w:r w:rsidRPr="00D77ECB">
        <w:rPr>
          <w:lang w:val="en"/>
        </w:rPr>
        <w:t>ARGUMENT</w:t>
      </w:r>
      <w:bookmarkEnd w:id="9"/>
      <w:bookmarkEnd w:id="10"/>
      <w:bookmarkEnd w:id="11"/>
    </w:p>
    <w:p w:rsidR="00290A33" w:rsidRPr="00850684" w:rsidRDefault="00850684" w:rsidP="005F78F5">
      <w:pPr>
        <w:pStyle w:val="Heading2"/>
        <w:ind w:right="720"/>
      </w:pPr>
      <w:bookmarkStart w:id="12" w:name="_Toc348086886"/>
      <w:bookmarkStart w:id="13" w:name="_Toc348087974"/>
      <w:bookmarkStart w:id="14" w:name="_Toc348097102"/>
      <w:r w:rsidRPr="00850684">
        <w:t>The LTFR Order is unlaw</w:t>
      </w:r>
      <w:r w:rsidR="00AF1E61">
        <w:t>ful and unreasonable because it determined that Section 4928.143(B)(2)(c), Revised Code, does not require a finding of need to be made within an ESP proceeding</w:t>
      </w:r>
      <w:r w:rsidRPr="00850684">
        <w:t>.  The Commission lacks jurisdiction to make a finding of need in an LTFR proceeding; the Commission can consider a finding of need under Section 4928.143(B)(2)(b) and (c), Revised Code, only in an ESP proceeding.</w:t>
      </w:r>
      <w:bookmarkEnd w:id="12"/>
      <w:bookmarkEnd w:id="13"/>
      <w:bookmarkEnd w:id="14"/>
    </w:p>
    <w:p w:rsidR="00E33490" w:rsidRDefault="00E33490" w:rsidP="00DE13B8">
      <w:pPr>
        <w:spacing w:line="480" w:lineRule="auto"/>
        <w:ind w:firstLine="720"/>
        <w:jc w:val="both"/>
        <w:rPr>
          <w:rFonts w:cs="Arial"/>
        </w:rPr>
      </w:pPr>
      <w:r>
        <w:rPr>
          <w:rFonts w:cs="Arial"/>
        </w:rPr>
        <w:t xml:space="preserve">The LTFR Order </w:t>
      </w:r>
      <w:r w:rsidR="003F154B">
        <w:rPr>
          <w:rFonts w:cs="Arial"/>
        </w:rPr>
        <w:t>determined that the Commission may consider whether a new generating facility is needed</w:t>
      </w:r>
      <w:r>
        <w:rPr>
          <w:rFonts w:cs="Arial"/>
        </w:rPr>
        <w:t xml:space="preserve"> in a LTFR proceeding, stating:</w:t>
      </w:r>
    </w:p>
    <w:p w:rsidR="009856DB" w:rsidRDefault="00E33490" w:rsidP="00DE13B8">
      <w:pPr>
        <w:ind w:left="720" w:right="720"/>
        <w:jc w:val="both"/>
        <w:rPr>
          <w:rFonts w:cs="Arial"/>
        </w:rPr>
      </w:pPr>
      <w:r w:rsidRPr="00E33490">
        <w:rPr>
          <w:rFonts w:cs="Arial"/>
        </w:rPr>
        <w:t>Additionally, Section 4935.04(E)(2), Revised Code, provides a</w:t>
      </w:r>
      <w:r>
        <w:rPr>
          <w:rFonts w:cs="Arial"/>
        </w:rPr>
        <w:t xml:space="preserve"> </w:t>
      </w:r>
      <w:r w:rsidRPr="00E33490">
        <w:rPr>
          <w:rFonts w:cs="Arial"/>
        </w:rPr>
        <w:t>non-exhaustive list of matters that may be review</w:t>
      </w:r>
      <w:r>
        <w:rPr>
          <w:rFonts w:cs="Arial"/>
        </w:rPr>
        <w:t xml:space="preserve">ed during a public hearing in a </w:t>
      </w:r>
      <w:r w:rsidRPr="00E33490">
        <w:rPr>
          <w:rFonts w:cs="Arial"/>
        </w:rPr>
        <w:t>forecasting case, including the projected loads and energy requirements for each year</w:t>
      </w:r>
      <w:r>
        <w:rPr>
          <w:rFonts w:cs="Arial"/>
        </w:rPr>
        <w:t xml:space="preserve"> </w:t>
      </w:r>
      <w:r w:rsidRPr="00E33490">
        <w:rPr>
          <w:rFonts w:cs="Arial"/>
        </w:rPr>
        <w:t>of the period, as well as the estimated installed ca</w:t>
      </w:r>
      <w:r>
        <w:rPr>
          <w:rFonts w:cs="Arial"/>
        </w:rPr>
        <w:t xml:space="preserve">pacity and supplies to meet the </w:t>
      </w:r>
      <w:r w:rsidRPr="00E33490">
        <w:rPr>
          <w:rFonts w:cs="Arial"/>
        </w:rPr>
        <w:t xml:space="preserve">projected load requirements. </w:t>
      </w:r>
      <w:r w:rsidR="00E24BAB">
        <w:rPr>
          <w:rFonts w:cs="Arial"/>
        </w:rPr>
        <w:t xml:space="preserve"> </w:t>
      </w:r>
      <w:r w:rsidRPr="00E33490">
        <w:rPr>
          <w:rFonts w:cs="Arial"/>
        </w:rPr>
        <w:t>The provisions of the statute do not limit our review to</w:t>
      </w:r>
      <w:r>
        <w:rPr>
          <w:rFonts w:cs="Arial"/>
        </w:rPr>
        <w:t xml:space="preserve"> </w:t>
      </w:r>
      <w:r w:rsidRPr="00E33490">
        <w:rPr>
          <w:rFonts w:cs="Arial"/>
        </w:rPr>
        <w:t>the sole issue of AEP-Ohio's traditional generation capacity or otherwise preclude our</w:t>
      </w:r>
      <w:r>
        <w:rPr>
          <w:rFonts w:cs="Arial"/>
        </w:rPr>
        <w:t xml:space="preserve"> </w:t>
      </w:r>
      <w:r w:rsidRPr="00E33490">
        <w:rPr>
          <w:rFonts w:cs="Arial"/>
        </w:rPr>
        <w:t>consideration of the alternative energy resourc</w:t>
      </w:r>
      <w:r>
        <w:rPr>
          <w:rFonts w:cs="Arial"/>
        </w:rPr>
        <w:t xml:space="preserve">e requirements found in Section </w:t>
      </w:r>
      <w:r w:rsidRPr="00E33490">
        <w:rPr>
          <w:rFonts w:cs="Arial"/>
        </w:rPr>
        <w:t xml:space="preserve">4928.64, Revised Code. In fact, the Commission believes that the alternative </w:t>
      </w:r>
      <w:r w:rsidRPr="00E33490">
        <w:rPr>
          <w:rFonts w:cs="Arial"/>
        </w:rPr>
        <w:lastRenderedPageBreak/>
        <w:t>energy</w:t>
      </w:r>
      <w:r>
        <w:rPr>
          <w:rFonts w:cs="Arial"/>
        </w:rPr>
        <w:t xml:space="preserve"> </w:t>
      </w:r>
      <w:r w:rsidRPr="00E33490">
        <w:rPr>
          <w:rFonts w:cs="Arial"/>
        </w:rPr>
        <w:t>resource requirements properly fall within the m</w:t>
      </w:r>
      <w:r w:rsidR="000D07D8">
        <w:rPr>
          <w:rFonts w:cs="Arial"/>
        </w:rPr>
        <w:t xml:space="preserve">ore general category of </w:t>
      </w:r>
      <w:r w:rsidR="000D07D8">
        <w:t>“</w:t>
      </w:r>
      <w:r>
        <w:rPr>
          <w:rFonts w:cs="Arial"/>
        </w:rPr>
        <w:t xml:space="preserve">energy </w:t>
      </w:r>
      <w:r w:rsidRPr="00E33490">
        <w:rPr>
          <w:rFonts w:cs="Arial"/>
        </w:rPr>
        <w:t>requirements</w:t>
      </w:r>
      <w:r w:rsidR="00E24BAB">
        <w:t>”</w:t>
      </w:r>
      <w:r w:rsidRPr="00E33490">
        <w:rPr>
          <w:rFonts w:cs="Arial"/>
        </w:rPr>
        <w:t xml:space="preserve"> enumerated in Section 4935.04(E)(2</w:t>
      </w:r>
      <w:r w:rsidR="00A54E12">
        <w:rPr>
          <w:rFonts w:cs="Arial"/>
        </w:rPr>
        <w:t xml:space="preserve">)(a), Revised Code. </w:t>
      </w:r>
      <w:r w:rsidR="000D07D8">
        <w:rPr>
          <w:rFonts w:cs="Arial"/>
        </w:rPr>
        <w:t xml:space="preserve"> </w:t>
      </w:r>
      <w:r w:rsidR="00A54E12">
        <w:rPr>
          <w:rFonts w:cs="Arial"/>
        </w:rPr>
        <w:t>The statute,</w:t>
      </w:r>
      <w:r w:rsidR="00A54E12" w:rsidRPr="00A54E12">
        <w:t xml:space="preserve"> </w:t>
      </w:r>
      <w:r w:rsidR="00A54E12" w:rsidRPr="00A54E12">
        <w:rPr>
          <w:rFonts w:cs="Arial"/>
        </w:rPr>
        <w:t>therefore, provides a basis upon which the Commissio</w:t>
      </w:r>
      <w:r w:rsidR="00A54E12">
        <w:rPr>
          <w:rFonts w:cs="Arial"/>
        </w:rPr>
        <w:t xml:space="preserve">n may consider the need for the </w:t>
      </w:r>
      <w:r w:rsidR="00A54E12" w:rsidRPr="00A54E12">
        <w:rPr>
          <w:rFonts w:cs="Arial"/>
        </w:rPr>
        <w:t>Turning Point project in these proceedings</w:t>
      </w:r>
      <w:r w:rsidR="00A54E12">
        <w:rPr>
          <w:rFonts w:cs="Arial"/>
        </w:rPr>
        <w:t xml:space="preserve">. </w:t>
      </w:r>
      <w:r w:rsidR="000D07D8">
        <w:rPr>
          <w:rFonts w:cs="Arial"/>
        </w:rPr>
        <w:t xml:space="preserve"> </w:t>
      </w:r>
      <w:r w:rsidR="00A54E12">
        <w:rPr>
          <w:rFonts w:cs="Arial"/>
        </w:rPr>
        <w:t xml:space="preserve">We note that the Commission's </w:t>
      </w:r>
      <w:r w:rsidR="00A54E12" w:rsidRPr="00A54E12">
        <w:rPr>
          <w:rFonts w:cs="Arial"/>
        </w:rPr>
        <w:t>forecasting rules, as set forth in Chapters 49</w:t>
      </w:r>
      <w:r w:rsidR="00A54E12">
        <w:rPr>
          <w:rFonts w:cs="Arial"/>
        </w:rPr>
        <w:t xml:space="preserve">01:5-1 through 4901:5-5, O.A.C, </w:t>
      </w:r>
      <w:r w:rsidR="00A54E12" w:rsidRPr="00A54E12">
        <w:rPr>
          <w:rFonts w:cs="Arial"/>
        </w:rPr>
        <w:t>contemplate consideration of the alternative energy resource requirements within the</w:t>
      </w:r>
      <w:r w:rsidR="00A54E12">
        <w:rPr>
          <w:rFonts w:cs="Arial"/>
        </w:rPr>
        <w:t xml:space="preserve"> </w:t>
      </w:r>
      <w:r w:rsidR="00A54E12" w:rsidRPr="00A54E12">
        <w:rPr>
          <w:rFonts w:cs="Arial"/>
        </w:rPr>
        <w:t>context of a LTFR proceeding</w:t>
      </w:r>
      <w:r w:rsidR="00A54E12">
        <w:rPr>
          <w:rFonts w:cs="Arial"/>
        </w:rPr>
        <w:t>.</w:t>
      </w:r>
    </w:p>
    <w:p w:rsidR="00A54E12" w:rsidRDefault="00A54E12" w:rsidP="00DE13B8">
      <w:pPr>
        <w:ind w:left="720" w:right="720"/>
        <w:jc w:val="both"/>
      </w:pPr>
      <w:r w:rsidRPr="00A54E12">
        <w:t xml:space="preserve"> </w:t>
      </w:r>
    </w:p>
    <w:p w:rsidR="00E33490" w:rsidRDefault="00A54E12" w:rsidP="00DE13B8">
      <w:pPr>
        <w:spacing w:after="240"/>
        <w:ind w:left="720" w:right="720" w:firstLine="720"/>
        <w:jc w:val="both"/>
        <w:rPr>
          <w:rFonts w:cs="Arial"/>
        </w:rPr>
      </w:pPr>
      <w:r w:rsidRPr="00A54E12">
        <w:rPr>
          <w:rFonts w:cs="Arial"/>
        </w:rPr>
        <w:t>We disagree that Section 4928.143(B)(2)</w:t>
      </w:r>
      <w:r>
        <w:rPr>
          <w:rFonts w:cs="Arial"/>
        </w:rPr>
        <w:t xml:space="preserve">(c), Revised Code, requires the </w:t>
      </w:r>
      <w:r w:rsidRPr="00A54E12">
        <w:rPr>
          <w:rFonts w:cs="Arial"/>
        </w:rPr>
        <w:t>Commission to first determine, within an ESP proce</w:t>
      </w:r>
      <w:r>
        <w:rPr>
          <w:rFonts w:cs="Arial"/>
        </w:rPr>
        <w:t xml:space="preserve">eding, the need for an electric </w:t>
      </w:r>
      <w:r w:rsidRPr="00A54E12">
        <w:rPr>
          <w:rFonts w:cs="Arial"/>
        </w:rPr>
        <w:t xml:space="preserve">generating facility before authorizing a nonbypassable surcharge. </w:t>
      </w:r>
      <w:r w:rsidR="000D07D8">
        <w:rPr>
          <w:rFonts w:cs="Arial"/>
        </w:rPr>
        <w:t xml:space="preserve"> </w:t>
      </w:r>
      <w:r w:rsidRPr="00A54E12">
        <w:rPr>
          <w:rFonts w:cs="Arial"/>
        </w:rPr>
        <w:t>As the Commission</w:t>
      </w:r>
      <w:r>
        <w:rPr>
          <w:rFonts w:cs="Arial"/>
        </w:rPr>
        <w:t xml:space="preserve"> </w:t>
      </w:r>
      <w:r w:rsidRPr="00A54E12">
        <w:rPr>
          <w:rFonts w:cs="Arial"/>
        </w:rPr>
        <w:t>stated in the ESP 2 Case, we do not read the statute to restrict our determination of the</w:t>
      </w:r>
      <w:r>
        <w:rPr>
          <w:rFonts w:cs="Arial"/>
        </w:rPr>
        <w:t xml:space="preserve"> </w:t>
      </w:r>
      <w:r w:rsidRPr="00A54E12">
        <w:rPr>
          <w:rFonts w:cs="Arial"/>
        </w:rPr>
        <w:t>need for the electric generating facility to the time at which an ESP is approved, but</w:t>
      </w:r>
      <w:r>
        <w:rPr>
          <w:rFonts w:cs="Arial"/>
        </w:rPr>
        <w:t xml:space="preserve"> </w:t>
      </w:r>
      <w:r w:rsidRPr="00A54E12">
        <w:rPr>
          <w:rFonts w:cs="Arial"/>
        </w:rPr>
        <w:t>rather to ensure that the Commission holds a proc</w:t>
      </w:r>
      <w:r>
        <w:rPr>
          <w:rFonts w:cs="Arial"/>
        </w:rPr>
        <w:t xml:space="preserve">eeding before it authorizes any </w:t>
      </w:r>
      <w:r w:rsidRPr="00A54E12">
        <w:rPr>
          <w:rFonts w:cs="Arial"/>
        </w:rPr>
        <w:t>allowance under the statut</w:t>
      </w:r>
      <w:r>
        <w:rPr>
          <w:rFonts w:cs="Arial"/>
        </w:rPr>
        <w:t>e.</w:t>
      </w:r>
      <w:r w:rsidR="00056DF4">
        <w:rPr>
          <w:rStyle w:val="FootnoteReference"/>
          <w:rFonts w:cs="Arial"/>
        </w:rPr>
        <w:footnoteReference w:id="8"/>
      </w:r>
    </w:p>
    <w:p w:rsidR="00F95749" w:rsidRDefault="00A54E12" w:rsidP="00DE13B8">
      <w:pPr>
        <w:spacing w:line="480" w:lineRule="auto"/>
        <w:ind w:firstLine="720"/>
        <w:jc w:val="both"/>
        <w:rPr>
          <w:rFonts w:eastAsia="Calibri" w:cs="Arial"/>
          <w:lang w:val="en"/>
        </w:rPr>
      </w:pPr>
      <w:r>
        <w:rPr>
          <w:rFonts w:cs="Arial"/>
        </w:rPr>
        <w:t xml:space="preserve">The LTFR Order </w:t>
      </w:r>
      <w:r w:rsidR="00F95749">
        <w:rPr>
          <w:rFonts w:cs="Arial"/>
        </w:rPr>
        <w:t>claims that need may be determined in a LTFR proceeding because the hearing may include matters related to projected loads and energy requirements as well as the installed capacity to meet forecasted load requirements.  The Commission is incorrect.</w:t>
      </w:r>
      <w:r w:rsidR="00F95749" w:rsidRPr="00F95749">
        <w:rPr>
          <w:rFonts w:eastAsia="Calibri" w:cs="Arial"/>
          <w:lang w:val="en"/>
        </w:rPr>
        <w:t xml:space="preserve"> </w:t>
      </w:r>
      <w:r w:rsidR="00F95749">
        <w:rPr>
          <w:rFonts w:eastAsia="Calibri" w:cs="Arial"/>
          <w:lang w:val="en"/>
        </w:rPr>
        <w:t xml:space="preserve"> L</w:t>
      </w:r>
      <w:r w:rsidR="00F95749">
        <w:rPr>
          <w:rFonts w:cs="Arial"/>
        </w:rPr>
        <w:t>TFR proceedings are “</w:t>
      </w:r>
      <w:r w:rsidR="00F95749" w:rsidRPr="00CE6A44">
        <w:rPr>
          <w:rFonts w:cs="Arial"/>
        </w:rPr>
        <w:t>limited to issues relating to forecasting</w:t>
      </w:r>
      <w:r w:rsidR="00F95749">
        <w:rPr>
          <w:rFonts w:cs="Arial"/>
        </w:rPr>
        <w:t>”</w:t>
      </w:r>
      <w:r w:rsidR="00F95749">
        <w:rPr>
          <w:rStyle w:val="FootnoteReference"/>
          <w:rFonts w:cs="Arial"/>
        </w:rPr>
        <w:footnoteReference w:id="9"/>
      </w:r>
      <w:r w:rsidR="00F95749">
        <w:rPr>
          <w:rFonts w:cs="Arial"/>
        </w:rPr>
        <w:t xml:space="preserve"> and the Commission’s role is to determine whether the LTFR</w:t>
      </w:r>
      <w:r w:rsidR="00F95749">
        <w:rPr>
          <w:rFonts w:eastAsia="Calibri" w:cs="Arial"/>
          <w:lang w:val="en"/>
        </w:rPr>
        <w:t xml:space="preserve"> </w:t>
      </w:r>
      <w:r w:rsidR="00F95749">
        <w:rPr>
          <w:rFonts w:cs="Arial"/>
        </w:rPr>
        <w:t>is accurate, complete, and reasonable.</w:t>
      </w:r>
      <w:r w:rsidR="00F95749">
        <w:rPr>
          <w:rStyle w:val="FootnoteReference"/>
          <w:rFonts w:cs="Arial"/>
        </w:rPr>
        <w:footnoteReference w:id="10"/>
      </w:r>
      <w:r w:rsidR="00F95749">
        <w:rPr>
          <w:rFonts w:cs="Arial"/>
        </w:rPr>
        <w:t xml:space="preserve">  The ultimate purpose of an LTFR is to </w:t>
      </w:r>
      <w:r w:rsidR="00F95749">
        <w:rPr>
          <w:rFonts w:eastAsia="Calibri" w:cs="Arial"/>
          <w:lang w:val="en"/>
        </w:rPr>
        <w:t>determine whether the applicant’s forecast of load requirements and resources is accurate and reasonable—it is specifically focused on the reasonableness of forecasting techniques and methodologies.</w:t>
      </w:r>
      <w:r w:rsidR="00F95749">
        <w:rPr>
          <w:rStyle w:val="FootnoteReference"/>
          <w:rFonts w:eastAsia="Calibri" w:cs="Arial"/>
          <w:lang w:val="en"/>
        </w:rPr>
        <w:footnoteReference w:id="11"/>
      </w:r>
      <w:r w:rsidR="009856DB">
        <w:rPr>
          <w:rFonts w:eastAsia="Calibri" w:cs="Arial"/>
          <w:lang w:val="en"/>
        </w:rPr>
        <w:t xml:space="preserve">  The LTFR statute (Section 4935.04, Revised Code) does not provide the Commission wi</w:t>
      </w:r>
      <w:r w:rsidR="005B0225">
        <w:rPr>
          <w:rFonts w:eastAsia="Calibri" w:cs="Arial"/>
          <w:lang w:val="en"/>
        </w:rPr>
        <w:t>th jurisdiction to consider whether</w:t>
      </w:r>
      <w:r w:rsidR="009856DB">
        <w:rPr>
          <w:rFonts w:eastAsia="Calibri" w:cs="Arial"/>
          <w:lang w:val="en"/>
        </w:rPr>
        <w:t xml:space="preserve"> a new</w:t>
      </w:r>
      <w:r w:rsidR="000D07D8">
        <w:rPr>
          <w:rFonts w:eastAsia="Calibri" w:cs="Arial"/>
          <w:lang w:val="en"/>
        </w:rPr>
        <w:t xml:space="preserve"> generating facility is needed.</w:t>
      </w:r>
    </w:p>
    <w:p w:rsidR="00F95749" w:rsidRDefault="00F95749" w:rsidP="000D07D8">
      <w:pPr>
        <w:spacing w:line="480" w:lineRule="auto"/>
        <w:ind w:firstLine="720"/>
        <w:jc w:val="both"/>
        <w:rPr>
          <w:rFonts w:cs="Arial"/>
          <w:lang w:val="en"/>
        </w:rPr>
      </w:pPr>
      <w:r>
        <w:rPr>
          <w:rFonts w:eastAsia="Calibri" w:cs="Arial"/>
          <w:lang w:val="en"/>
        </w:rPr>
        <w:lastRenderedPageBreak/>
        <w:t>Amended Substitute Senate Bill 3 (“SB 3”) and Amended Substitute Senate Bill 221 (“SB 221”) lend further support to the conclusion that</w:t>
      </w:r>
      <w:r w:rsidR="009856DB">
        <w:rPr>
          <w:rFonts w:eastAsia="Calibri" w:cs="Arial"/>
          <w:lang w:val="en"/>
        </w:rPr>
        <w:t xml:space="preserve"> the Commission lacks jurisdiction to consider in a LTFR proceeding whether a new generating facility is needed.</w:t>
      </w:r>
      <w:r>
        <w:rPr>
          <w:rFonts w:eastAsia="Calibri" w:cs="Arial"/>
          <w:lang w:val="en"/>
        </w:rPr>
        <w:t xml:space="preserve">  First, SB 3 declared generation service to be a competitive service, eliminating the Commission’s authority to regulate generation service through traditional cos</w:t>
      </w:r>
      <w:r w:rsidR="00056DF4">
        <w:rPr>
          <w:rFonts w:eastAsia="Calibri" w:cs="Arial"/>
          <w:lang w:val="en"/>
        </w:rPr>
        <w:t xml:space="preserve">t-based ratemaking.  Moreover, </w:t>
      </w:r>
      <w:r>
        <w:rPr>
          <w:rFonts w:eastAsia="Calibri" w:cs="Arial"/>
          <w:lang w:val="en"/>
        </w:rPr>
        <w:t>SB 3 removed “electric generating facility” from the definition of “major utility facility” in the LTFR statute (Section 4935.04, Revised Code), further limiting the Commission’s authority over generation service in an LTFR proceeding.  “Major utility facility” is now defined as a transmission line.</w:t>
      </w:r>
      <w:r>
        <w:rPr>
          <w:rStyle w:val="FootnoteReference"/>
          <w:rFonts w:eastAsia="Calibri" w:cs="Arial"/>
          <w:lang w:val="en"/>
        </w:rPr>
        <w:footnoteReference w:id="12"/>
      </w:r>
      <w:r>
        <w:rPr>
          <w:rFonts w:eastAsia="Calibri" w:cs="Arial"/>
          <w:lang w:val="en"/>
        </w:rPr>
        <w:t xml:space="preserve">  As a result of the General Assembly’s actions, an </w:t>
      </w:r>
      <w:r w:rsidR="004A44DF">
        <w:rPr>
          <w:rFonts w:eastAsia="Calibri" w:cs="Arial"/>
          <w:lang w:val="en"/>
        </w:rPr>
        <w:t>electric distribution utility (“</w:t>
      </w:r>
      <w:r>
        <w:rPr>
          <w:rFonts w:eastAsia="Calibri" w:cs="Arial"/>
          <w:lang w:val="en"/>
        </w:rPr>
        <w:t>EDU</w:t>
      </w:r>
      <w:r w:rsidR="004A44DF">
        <w:rPr>
          <w:rFonts w:eastAsia="Calibri" w:cs="Arial"/>
          <w:lang w:val="en"/>
        </w:rPr>
        <w:t>”)</w:t>
      </w:r>
      <w:r w:rsidR="00FD4D47">
        <w:rPr>
          <w:rFonts w:eastAsia="Calibri" w:cs="Arial"/>
          <w:lang w:val="en"/>
        </w:rPr>
        <w:t xml:space="preserve"> submitting a</w:t>
      </w:r>
      <w:r>
        <w:rPr>
          <w:rFonts w:eastAsia="Calibri" w:cs="Arial"/>
          <w:lang w:val="en"/>
        </w:rPr>
        <w:t xml:space="preserve"> LTFR is no longer required to provide a description of an electric generating plant to be added or taken out of service during the LTFR period.  Rather, the EDU must </w:t>
      </w:r>
      <w:r w:rsidRPr="00A735F8">
        <w:rPr>
          <w:rFonts w:eastAsia="Calibri" w:cs="Arial"/>
          <w:lang w:val="en"/>
        </w:rPr>
        <w:t>provide</w:t>
      </w:r>
      <w:r w:rsidRPr="00A735F8">
        <w:rPr>
          <w:rFonts w:cs="Arial"/>
          <w:lang w:val="en"/>
        </w:rPr>
        <w:t xml:space="preserve"> “A year-by-year, ten-year forecast of annual energy demand, peak load, reserves, and a general description of the resource plan</w:t>
      </w:r>
      <w:r>
        <w:rPr>
          <w:rFonts w:cs="Arial"/>
          <w:lang w:val="en"/>
        </w:rPr>
        <w:t>ning projections</w:t>
      </w:r>
      <w:r w:rsidRPr="00A735F8">
        <w:rPr>
          <w:rFonts w:cs="Arial"/>
          <w:lang w:val="en"/>
        </w:rPr>
        <w:t xml:space="preserve"> to meet demand.”</w:t>
      </w:r>
      <w:r>
        <w:rPr>
          <w:rStyle w:val="FootnoteReference"/>
          <w:rFonts w:cs="Arial"/>
          <w:lang w:val="en"/>
        </w:rPr>
        <w:footnoteReference w:id="13"/>
      </w:r>
    </w:p>
    <w:p w:rsidR="009856DB" w:rsidRPr="009856DB" w:rsidRDefault="009856DB" w:rsidP="009856DB">
      <w:pPr>
        <w:spacing w:line="480" w:lineRule="auto"/>
        <w:ind w:firstLine="720"/>
        <w:jc w:val="both"/>
        <w:rPr>
          <w:rFonts w:eastAsia="Calibri" w:cs="Arial"/>
          <w:lang w:val="en"/>
        </w:rPr>
      </w:pPr>
      <w:r>
        <w:rPr>
          <w:rFonts w:eastAsia="Calibri" w:cs="Arial"/>
          <w:lang w:val="en"/>
        </w:rPr>
        <w:t xml:space="preserve">If the LTFR projects an imbalance between supply and demand, the LTFR proceeding is not the place to determine whether a particular new generating facility should be built to fill the gap.  That is a determination for an ESP proceeding.  </w:t>
      </w:r>
      <w:r>
        <w:rPr>
          <w:rFonts w:cs="Arial"/>
        </w:rPr>
        <w:t>Section 4928.143(B)(2)(c), Revised Code, specifies when a finding of need must be made—it must be made in an ESP proceeding.</w:t>
      </w:r>
      <w:r>
        <w:rPr>
          <w:rStyle w:val="FootnoteReference"/>
          <w:rFonts w:cs="Arial"/>
        </w:rPr>
        <w:footnoteReference w:id="14"/>
      </w:r>
      <w:r>
        <w:rPr>
          <w:rFonts w:cs="Arial"/>
        </w:rPr>
        <w:t xml:space="preserve">  Specifically, Section 4928.143(B)(2)(c), Revised Code,</w:t>
      </w:r>
      <w:r w:rsidRPr="00F95749">
        <w:rPr>
          <w:rFonts w:eastAsia="Calibri" w:cs="Arial"/>
          <w:lang w:val="en"/>
        </w:rPr>
        <w:t xml:space="preserve"> </w:t>
      </w:r>
      <w:r w:rsidRPr="002E2C46">
        <w:rPr>
          <w:rFonts w:eastAsia="Calibri" w:cs="Arial"/>
        </w:rPr>
        <w:t>states,</w:t>
      </w:r>
      <w:r w:rsidR="000D07D8">
        <w:rPr>
          <w:rFonts w:ascii="Verdana" w:eastAsia="Times New Roman" w:hAnsi="Verdana"/>
          <w:sz w:val="19"/>
          <w:szCs w:val="19"/>
          <w:lang w:val="en"/>
        </w:rPr>
        <w:t xml:space="preserve"> </w:t>
      </w:r>
      <w:r w:rsidR="000D07D8">
        <w:t>“</w:t>
      </w:r>
      <w:r w:rsidRPr="002E2C46">
        <w:rPr>
          <w:rFonts w:eastAsia="Calibri" w:cs="Arial"/>
          <w:lang w:val="en"/>
        </w:rPr>
        <w:t xml:space="preserve">no surcharge shall be authorized </w:t>
      </w:r>
      <w:r w:rsidRPr="005B0225">
        <w:rPr>
          <w:rFonts w:eastAsia="Calibri" w:cs="Arial"/>
          <w:b/>
          <w:i/>
          <w:lang w:val="en"/>
        </w:rPr>
        <w:t xml:space="preserve">unless the commission first </w:t>
      </w:r>
      <w:r w:rsidRPr="005B0225">
        <w:rPr>
          <w:rFonts w:eastAsia="Calibri" w:cs="Arial"/>
          <w:b/>
          <w:i/>
          <w:lang w:val="en"/>
        </w:rPr>
        <w:lastRenderedPageBreak/>
        <w:t>determines in the [ESP] proceeding that there is need</w:t>
      </w:r>
      <w:r w:rsidRPr="005B0225">
        <w:rPr>
          <w:rFonts w:eastAsia="Calibri" w:cs="Arial"/>
          <w:i/>
          <w:lang w:val="en"/>
        </w:rPr>
        <w:t xml:space="preserve"> </w:t>
      </w:r>
      <w:r w:rsidRPr="005B0225">
        <w:rPr>
          <w:rFonts w:eastAsia="Calibri" w:cs="Arial"/>
          <w:b/>
          <w:i/>
          <w:lang w:val="en"/>
        </w:rPr>
        <w:t>for the facility</w:t>
      </w:r>
      <w:r w:rsidRPr="005B0225">
        <w:rPr>
          <w:rFonts w:eastAsia="Calibri" w:cs="Arial"/>
          <w:i/>
          <w:lang w:val="en"/>
        </w:rPr>
        <w:t xml:space="preserve"> </w:t>
      </w:r>
      <w:r w:rsidRPr="002E2C46">
        <w:rPr>
          <w:rFonts w:eastAsia="Calibri" w:cs="Arial"/>
          <w:lang w:val="en"/>
        </w:rPr>
        <w:t>based on resource planning projections submitted by the electric distribution utility.”</w:t>
      </w:r>
      <w:r w:rsidRPr="002E2C46">
        <w:rPr>
          <w:rFonts w:eastAsia="Calibri" w:cs="Arial"/>
          <w:vertAlign w:val="superscript"/>
          <w:lang w:val="en"/>
        </w:rPr>
        <w:footnoteReference w:id="15"/>
      </w:r>
      <w:r>
        <w:rPr>
          <w:rFonts w:eastAsia="Calibri" w:cs="Arial"/>
          <w:lang w:val="en"/>
        </w:rPr>
        <w:t xml:space="preserve">  Accordingly, any need determination relevant for purposes of Section 4928.143(B)(2)(c), Revised Code, must be made in an ESP proceeding rather than an LTFR proceeding.</w:t>
      </w:r>
    </w:p>
    <w:p w:rsidR="00290A33" w:rsidRPr="00700D58" w:rsidRDefault="00215797" w:rsidP="00FF61B7">
      <w:pPr>
        <w:spacing w:after="120" w:line="480" w:lineRule="auto"/>
        <w:ind w:firstLine="720"/>
        <w:jc w:val="both"/>
        <w:rPr>
          <w:rFonts w:eastAsia="Calibri" w:cs="Arial"/>
        </w:rPr>
      </w:pPr>
      <w:r>
        <w:rPr>
          <w:rFonts w:cs="Arial"/>
          <w:lang w:val="en"/>
        </w:rPr>
        <w:t>The LTFR Order’s claim that the Commission’s rules support determining</w:t>
      </w:r>
      <w:r w:rsidR="00056DF4">
        <w:rPr>
          <w:rFonts w:cs="Arial"/>
          <w:lang w:val="en"/>
        </w:rPr>
        <w:t xml:space="preserve"> whether Turning Point is</w:t>
      </w:r>
      <w:r>
        <w:rPr>
          <w:rFonts w:cs="Arial"/>
          <w:lang w:val="en"/>
        </w:rPr>
        <w:t xml:space="preserve"> need</w:t>
      </w:r>
      <w:r w:rsidR="00056DF4">
        <w:rPr>
          <w:rFonts w:cs="Arial"/>
          <w:lang w:val="en"/>
        </w:rPr>
        <w:t>ed</w:t>
      </w:r>
      <w:r>
        <w:rPr>
          <w:rFonts w:cs="Arial"/>
          <w:lang w:val="en"/>
        </w:rPr>
        <w:t xml:space="preserve"> in a LTFR proceeding is</w:t>
      </w:r>
      <w:r w:rsidR="00056DF4">
        <w:rPr>
          <w:rFonts w:cs="Arial"/>
          <w:lang w:val="en"/>
        </w:rPr>
        <w:t xml:space="preserve"> also incorrect and</w:t>
      </w:r>
      <w:r>
        <w:rPr>
          <w:rFonts w:cs="Arial"/>
          <w:lang w:val="en"/>
        </w:rPr>
        <w:t xml:space="preserve"> unlawful and unreasonable.</w:t>
      </w:r>
      <w:r w:rsidR="005B0225">
        <w:rPr>
          <w:rStyle w:val="FootnoteReference"/>
          <w:rFonts w:cs="Arial"/>
          <w:lang w:val="en"/>
        </w:rPr>
        <w:footnoteReference w:id="16"/>
      </w:r>
      <w:r>
        <w:rPr>
          <w:rFonts w:cs="Arial"/>
          <w:lang w:val="en"/>
        </w:rPr>
        <w:t xml:space="preserve"> </w:t>
      </w:r>
      <w:r w:rsidR="00056DF4">
        <w:rPr>
          <w:rFonts w:cs="Arial"/>
          <w:lang w:val="en"/>
        </w:rPr>
        <w:t xml:space="preserve"> </w:t>
      </w:r>
      <w:r>
        <w:rPr>
          <w:rFonts w:eastAsia="Calibri" w:cs="Arial"/>
        </w:rPr>
        <w:t xml:space="preserve">Regardless of what the Commission’s rules provide, the rules must be interpreted </w:t>
      </w:r>
      <w:r w:rsidR="0048323B">
        <w:rPr>
          <w:rFonts w:eastAsia="Calibri" w:cs="Arial"/>
        </w:rPr>
        <w:t xml:space="preserve">so </w:t>
      </w:r>
      <w:r>
        <w:rPr>
          <w:rFonts w:eastAsia="Calibri" w:cs="Arial"/>
        </w:rPr>
        <w:t>as to not conflict with Section 4928.143(B)(2)(c), Revised Code.</w:t>
      </w:r>
      <w:r>
        <w:rPr>
          <w:rStyle w:val="FootnoteReference"/>
          <w:rFonts w:eastAsia="Calibri" w:cs="Arial"/>
        </w:rPr>
        <w:footnoteReference w:id="17"/>
      </w:r>
      <w:r>
        <w:rPr>
          <w:rFonts w:eastAsia="Calibri" w:cs="Arial"/>
        </w:rPr>
        <w:t xml:space="preserve">  Since that Section provides that a finding of need must be made</w:t>
      </w:r>
      <w:r w:rsidR="00FD4D47">
        <w:rPr>
          <w:rFonts w:eastAsia="Calibri" w:cs="Arial"/>
        </w:rPr>
        <w:t xml:space="preserve"> in an ESP proceeding, any conclusion</w:t>
      </w:r>
      <w:r>
        <w:rPr>
          <w:rFonts w:eastAsia="Calibri" w:cs="Arial"/>
        </w:rPr>
        <w:t xml:space="preserve"> that Rules 4901:5-5-03 or 4901:1-5-5-06, </w:t>
      </w:r>
      <w:r w:rsidR="007E41B1">
        <w:t>O.A.C.</w:t>
      </w:r>
      <w:r w:rsidR="00FD4D47">
        <w:rPr>
          <w:rFonts w:eastAsia="Calibri" w:cs="Arial"/>
        </w:rPr>
        <w:t>, provide</w:t>
      </w:r>
      <w:r>
        <w:rPr>
          <w:rFonts w:eastAsia="Calibri" w:cs="Arial"/>
        </w:rPr>
        <w:t xml:space="preserve"> otherwise is unlawful and unreasonable. </w:t>
      </w:r>
    </w:p>
    <w:p w:rsidR="003F0D98" w:rsidRPr="003F0D98" w:rsidRDefault="003F0D98" w:rsidP="005F78F5">
      <w:pPr>
        <w:pStyle w:val="Heading2"/>
        <w:ind w:right="720"/>
      </w:pPr>
      <w:bookmarkStart w:id="15" w:name="_Toc348086887"/>
      <w:bookmarkStart w:id="16" w:name="_Toc348087975"/>
      <w:bookmarkStart w:id="17" w:name="_Toc348097103"/>
      <w:r w:rsidRPr="003F0D98">
        <w:t>The LTFR Order is unlawful and un</w:t>
      </w:r>
      <w:r w:rsidR="0048323B">
        <w:t>reasonable because it considered</w:t>
      </w:r>
      <w:r w:rsidRPr="003F0D98">
        <w:t xml:space="preserve"> whether a renewable energy facility is needed to satisfy renewable energy requirements</w:t>
      </w:r>
      <w:r w:rsidR="0048323B">
        <w:t>, and the LTFR Order assumed, for purposes of cons</w:t>
      </w:r>
      <w:r w:rsidR="006F3596">
        <w:t>idering the Stipulation, that the Commission</w:t>
      </w:r>
      <w:r w:rsidR="0048323B">
        <w:t xml:space="preserve"> had authority to determine the need for a renewable energy facility</w:t>
      </w:r>
      <w:r w:rsidRPr="003F0D98">
        <w:t>.</w:t>
      </w:r>
      <w:r w:rsidR="007E7D3F">
        <w:t xml:space="preserve">  Even in an</w:t>
      </w:r>
      <w:r w:rsidRPr="003F0D98">
        <w:t xml:space="preserve"> </w:t>
      </w:r>
      <w:r w:rsidR="007E7D3F">
        <w:t>ESP proceeding, r</w:t>
      </w:r>
      <w:r w:rsidRPr="003F0D98">
        <w:t>enewable energy facil</w:t>
      </w:r>
      <w:r>
        <w:t>ities are not eligi</w:t>
      </w:r>
      <w:r w:rsidR="007E7D3F">
        <w:t xml:space="preserve">ble to be considered for a finding of need; </w:t>
      </w:r>
      <w:r w:rsidRPr="003F0D98">
        <w:t>Sections 4928.64(E) and 4928.143(B), Revised Code, prohibit the recovery of the cost of compliance with renewable energy requirements through non-bypassable charges.</w:t>
      </w:r>
      <w:bookmarkEnd w:id="15"/>
      <w:bookmarkEnd w:id="16"/>
      <w:bookmarkEnd w:id="17"/>
      <w:r w:rsidRPr="003F0D98">
        <w:t xml:space="preserve"> </w:t>
      </w:r>
    </w:p>
    <w:p w:rsidR="000E5F9D" w:rsidRDefault="000E5F9D" w:rsidP="00BE64E6">
      <w:pPr>
        <w:ind w:left="360"/>
        <w:jc w:val="both"/>
        <w:rPr>
          <w:b/>
        </w:rPr>
      </w:pPr>
    </w:p>
    <w:p w:rsidR="00700D58" w:rsidRDefault="00823046" w:rsidP="00202B55">
      <w:pPr>
        <w:spacing w:line="480" w:lineRule="auto"/>
        <w:ind w:firstLine="720"/>
        <w:jc w:val="both"/>
      </w:pPr>
      <w:r>
        <w:lastRenderedPageBreak/>
        <w:t>The LTFR Order evaluated whether Staff and AEP-Ohio had demonstrate</w:t>
      </w:r>
      <w:r w:rsidR="00F108A3">
        <w:t>d that</w:t>
      </w:r>
      <w:r w:rsidR="00085BB3">
        <w:t xml:space="preserve"> Turning Point</w:t>
      </w:r>
      <w:r w:rsidR="005B0225">
        <w:t>—a renewable generating facility—</w:t>
      </w:r>
      <w:r w:rsidR="00F108A3">
        <w:t>was needed under Section 4928.143(B)(2)(c), Revised Code</w:t>
      </w:r>
      <w:r w:rsidR="00085BB3">
        <w:t>.</w:t>
      </w:r>
      <w:r w:rsidR="0048323B">
        <w:rPr>
          <w:rStyle w:val="FootnoteReference"/>
        </w:rPr>
        <w:footnoteReference w:id="18"/>
      </w:r>
      <w:r w:rsidR="00085BB3">
        <w:t xml:space="preserve">  IEU-Ohio argued that Turning was not eligible for such a consideration; the LTFR Order stated that IEU-Ohio’s argument was not ripe</w:t>
      </w:r>
      <w:r>
        <w:t xml:space="preserve"> because</w:t>
      </w:r>
      <w:r w:rsidR="00202B55">
        <w:t xml:space="preserve"> cost recovery was not a</w:t>
      </w:r>
      <w:r w:rsidR="007E41B1">
        <w:t>t</w:t>
      </w:r>
      <w:r w:rsidR="00202B55">
        <w:t xml:space="preserve"> issue in the LTFR proceeding:</w:t>
      </w:r>
      <w:r w:rsidR="00700D58">
        <w:t xml:space="preserve"> </w:t>
      </w:r>
    </w:p>
    <w:p w:rsidR="00E539DF" w:rsidRDefault="00202B55" w:rsidP="00202B55">
      <w:pPr>
        <w:pStyle w:val="ListParagraph"/>
        <w:ind w:right="720"/>
        <w:jc w:val="both"/>
      </w:pPr>
      <w:r>
        <w:t xml:space="preserve">FES and lEU-Ohio argue that, pursuant to Section 4928.64(E), Revised Code, the costs associated with an alternative energy resource facility must be bypassable and that that section prevails over Section 4928.143(B)(2)(c), Revised Code, as specified in Section 4928.143(B), Revised Code. </w:t>
      </w:r>
      <w:r w:rsidR="00612CD1">
        <w:t xml:space="preserve"> </w:t>
      </w:r>
      <w:r>
        <w:t xml:space="preserve">FES and lEU-Ohio also raise general concerns regarding the cost of the Turning Point project and the corresponding impact on ratepayers. </w:t>
      </w:r>
      <w:r w:rsidR="00612CD1">
        <w:t xml:space="preserve"> </w:t>
      </w:r>
      <w:r>
        <w:t xml:space="preserve">However, the Commission finds that arguments regarding the cost recovery provisions of Sections 4928.143(B)(2)(c) and 4928.64(E), Revised Code, are premature at this point. </w:t>
      </w:r>
      <w:r w:rsidR="007E41B1">
        <w:t xml:space="preserve"> </w:t>
      </w:r>
      <w:r>
        <w:t>Consistent with our recent opini</w:t>
      </w:r>
      <w:r w:rsidR="00823046">
        <w:t>on and order in the ESP 2 Case,</w:t>
      </w:r>
      <w:r>
        <w:t xml:space="preserve"> we believe that cost recovery is a matter that should be addressed in a separate proceeding. </w:t>
      </w:r>
      <w:r w:rsidR="007E41B1">
        <w:t xml:space="preserve"> </w:t>
      </w:r>
      <w:r>
        <w:t>Further, as we have previously stated, the Commission cannot and will not approve any recovery by way of a nonbypassable surcharge unless an applicant meets its burden of satisfying all of the requirements of Section 4928.143(B)(2)(c), Revised Code.</w:t>
      </w:r>
      <w:r>
        <w:rPr>
          <w:rStyle w:val="FootnoteReference"/>
        </w:rPr>
        <w:footnoteReference w:id="19"/>
      </w:r>
    </w:p>
    <w:p w:rsidR="00056DF4" w:rsidRDefault="00056DF4" w:rsidP="00202B55">
      <w:pPr>
        <w:pStyle w:val="ListParagraph"/>
        <w:ind w:right="720"/>
        <w:jc w:val="both"/>
      </w:pPr>
    </w:p>
    <w:p w:rsidR="0048323B" w:rsidRDefault="00085BB3" w:rsidP="0048323B">
      <w:pPr>
        <w:spacing w:after="120" w:line="480" w:lineRule="auto"/>
        <w:ind w:firstLine="720"/>
        <w:contextualSpacing/>
        <w:jc w:val="both"/>
        <w:rPr>
          <w:rFonts w:eastAsia="Calibri" w:cs="Arial"/>
        </w:rPr>
      </w:pPr>
      <w:r>
        <w:rPr>
          <w:rFonts w:eastAsia="Calibri" w:cs="Arial"/>
        </w:rPr>
        <w:t xml:space="preserve">IEU-Ohio’s argument is not premature.  </w:t>
      </w:r>
      <w:r w:rsidR="00797F19">
        <w:rPr>
          <w:rFonts w:eastAsia="Calibri" w:cs="Arial"/>
        </w:rPr>
        <w:t>Although Section 4928.143(B)(2)(b) and (c), Revised Code, authorizes the Commission to approve a non-bypassable charge for a generating facility if certain requirements are satisfied, the Section specifically prohibits recovery of a non-bypassable charge for a facility designed to recover</w:t>
      </w:r>
      <w:r w:rsidR="0093363E">
        <w:rPr>
          <w:rFonts w:eastAsia="Calibri" w:cs="Arial"/>
        </w:rPr>
        <w:t xml:space="preserve"> the cost of compliance with renewable energy r</w:t>
      </w:r>
      <w:r w:rsidR="00797F19">
        <w:rPr>
          <w:rFonts w:eastAsia="Calibri" w:cs="Arial"/>
        </w:rPr>
        <w:t xml:space="preserve">equirements.  Specifically, Section 4928.143(B), </w:t>
      </w:r>
      <w:r w:rsidR="00797F19">
        <w:rPr>
          <w:rFonts w:eastAsia="Calibri" w:cs="Arial"/>
        </w:rPr>
        <w:lastRenderedPageBreak/>
        <w:t xml:space="preserve">Revised Code, states </w:t>
      </w:r>
      <w:r w:rsidR="00797F19" w:rsidRPr="00171707">
        <w:rPr>
          <w:rFonts w:eastAsia="Calibri" w:cs="Arial"/>
          <w:i/>
        </w:rPr>
        <w:t>“</w:t>
      </w:r>
      <w:r w:rsidR="00797F19" w:rsidRPr="00171707">
        <w:rPr>
          <w:rFonts w:eastAsia="Calibri" w:cs="Arial"/>
          <w:b/>
          <w:i/>
        </w:rPr>
        <w:t xml:space="preserve">[n]otwithstanding any other provision of Title XLIX of the Revised Code to the contrary </w:t>
      </w:r>
      <w:r w:rsidR="00797F19" w:rsidRPr="00171707">
        <w:rPr>
          <w:rFonts w:eastAsia="Calibri" w:cs="Arial"/>
          <w:b/>
          <w:i/>
          <w:u w:val="single"/>
        </w:rPr>
        <w:t>except</w:t>
      </w:r>
      <w:r w:rsidR="00797F19" w:rsidRPr="00171707">
        <w:rPr>
          <w:rFonts w:eastAsia="Calibri" w:cs="Arial"/>
          <w:b/>
        </w:rPr>
        <w:t xml:space="preserve"> </w:t>
      </w:r>
      <w:r w:rsidR="00797F19" w:rsidRPr="00171707">
        <w:rPr>
          <w:rFonts w:eastAsia="Calibri" w:cs="Arial"/>
        </w:rPr>
        <w:t xml:space="preserve">division (D) of this section, divisions (I), (J), and (K) of section </w:t>
      </w:r>
      <w:r w:rsidR="00797F19" w:rsidRPr="002A2DF3">
        <w:rPr>
          <w:rFonts w:eastAsia="Calibri" w:cs="Arial"/>
        </w:rPr>
        <w:t>4928.20</w:t>
      </w:r>
      <w:r w:rsidR="00797F19" w:rsidRPr="00171707">
        <w:rPr>
          <w:rFonts w:eastAsia="Calibri" w:cs="Arial"/>
          <w:i/>
        </w:rPr>
        <w:t>,</w:t>
      </w:r>
      <w:r w:rsidR="00797F19" w:rsidRPr="00171707">
        <w:rPr>
          <w:rFonts w:eastAsia="Calibri" w:cs="Arial"/>
          <w:b/>
          <w:i/>
        </w:rPr>
        <w:t xml:space="preserve"> division (E) of section </w:t>
      </w:r>
      <w:r w:rsidR="00797F19" w:rsidRPr="002A2DF3">
        <w:rPr>
          <w:rFonts w:eastAsia="Calibri" w:cs="Arial"/>
          <w:b/>
          <w:i/>
        </w:rPr>
        <w:t>4928.64</w:t>
      </w:r>
      <w:r w:rsidR="00797F19" w:rsidRPr="00171707">
        <w:rPr>
          <w:rFonts w:eastAsia="Calibri" w:cs="Arial"/>
        </w:rPr>
        <w:t xml:space="preserve"> . . . .</w:t>
      </w:r>
      <w:r w:rsidR="004D051D">
        <w:rPr>
          <w:rFonts w:eastAsia="Calibri" w:cs="Arial"/>
        </w:rPr>
        <w:t xml:space="preserve"> </w:t>
      </w:r>
      <w:r w:rsidR="00797F19" w:rsidRPr="00171707">
        <w:rPr>
          <w:rFonts w:eastAsia="Calibri" w:cs="Arial"/>
        </w:rPr>
        <w:t>the plan may provide for</w:t>
      </w:r>
      <w:r w:rsidR="004D051D">
        <w:rPr>
          <w:rFonts w:eastAsia="Calibri" w:cs="Arial"/>
        </w:rPr>
        <w:t xml:space="preserve"> </w:t>
      </w:r>
      <w:r w:rsidR="00797F19" w:rsidRPr="00171707">
        <w:rPr>
          <w:rFonts w:eastAsia="Calibri" w:cs="Arial"/>
        </w:rPr>
        <w:t>. . . a nonbypassable surcharge.”</w:t>
      </w:r>
      <w:r w:rsidR="00797F19" w:rsidRPr="00171707">
        <w:rPr>
          <w:rStyle w:val="FootnoteReference"/>
          <w:rFonts w:eastAsia="Calibri" w:cs="Arial"/>
        </w:rPr>
        <w:footnoteReference w:id="20"/>
      </w:r>
      <w:r w:rsidR="00797F19" w:rsidRPr="00171707">
        <w:rPr>
          <w:rFonts w:eastAsia="Calibri" w:cs="Arial"/>
        </w:rPr>
        <w:t xml:space="preserve">  Division (E) of Section 4928.</w:t>
      </w:r>
      <w:r w:rsidR="00797F19">
        <w:rPr>
          <w:rFonts w:eastAsia="Calibri" w:cs="Arial"/>
        </w:rPr>
        <w:t xml:space="preserve">64, Revised Code, provides that </w:t>
      </w:r>
      <w:r w:rsidR="00797F19">
        <w:rPr>
          <w:rFonts w:eastAsia="Calibri" w:cs="Arial"/>
          <w:b/>
          <w:i/>
        </w:rPr>
        <w:t>“[a]</w:t>
      </w:r>
      <w:r w:rsidR="00797F19" w:rsidRPr="009A13B0">
        <w:rPr>
          <w:rFonts w:eastAsia="Calibri" w:cs="Arial"/>
          <w:b/>
          <w:i/>
        </w:rPr>
        <w:t>ll costs incurred by an electric distribution utility in complying with the requirements of this section shall be bypassable by any consumer that has exercised choice of supplier.”</w:t>
      </w:r>
      <w:r w:rsidR="00797F19" w:rsidRPr="00B11705">
        <w:rPr>
          <w:rStyle w:val="FootnoteReference"/>
          <w:rFonts w:eastAsia="Calibri" w:cs="Arial"/>
        </w:rPr>
        <w:footnoteReference w:id="21"/>
      </w:r>
      <w:r w:rsidR="00797F19" w:rsidRPr="00B11705">
        <w:rPr>
          <w:rFonts w:eastAsia="Calibri" w:cs="Arial"/>
        </w:rPr>
        <w:t xml:space="preserve"> </w:t>
      </w:r>
      <w:r w:rsidR="00797F19">
        <w:rPr>
          <w:rFonts w:eastAsia="Calibri" w:cs="Arial"/>
        </w:rPr>
        <w:t xml:space="preserve"> Thus,</w:t>
      </w:r>
      <w:r w:rsidR="00030B58">
        <w:rPr>
          <w:rFonts w:eastAsia="Calibri" w:cs="Arial"/>
        </w:rPr>
        <w:t xml:space="preserve"> even if this was the proper venue for a need determination (an ESP proceeding),</w:t>
      </w:r>
      <w:r w:rsidR="00797F19">
        <w:rPr>
          <w:rFonts w:eastAsia="Calibri" w:cs="Arial"/>
        </w:rPr>
        <w:t xml:space="preserve"> cost recovery for an alternative energy resource—such as Turning Point—is specifically excluded from the scope of the permissive</w:t>
      </w:r>
      <w:r w:rsidR="00FF61B7">
        <w:rPr>
          <w:rFonts w:eastAsia="Calibri" w:cs="Arial"/>
        </w:rPr>
        <w:t xml:space="preserve"> </w:t>
      </w:r>
      <w:r w:rsidR="00797F19">
        <w:rPr>
          <w:rFonts w:eastAsia="Calibri" w:cs="Arial"/>
        </w:rPr>
        <w:t>ESP provisions contained in Sect</w:t>
      </w:r>
      <w:r w:rsidR="0048323B">
        <w:rPr>
          <w:rFonts w:eastAsia="Calibri" w:cs="Arial"/>
        </w:rPr>
        <w:t>ion 4928.143(B), Revised Code.  The Commission’s refusal to address “cost recovery” misses the point; the Commission does not have authority to authorize a non-bypassable charge for a renewable generating facility.  As a result, the Commission’s failure to determine that it lacked jurisdiction to determine the need for a renewable energy facility, as urged by IEU-Ohio, was unlawful and unreasonable.</w:t>
      </w:r>
    </w:p>
    <w:p w:rsidR="00E539DF" w:rsidRPr="00AF1E61" w:rsidRDefault="00E539DF" w:rsidP="005F78F5">
      <w:pPr>
        <w:pStyle w:val="Heading2"/>
        <w:ind w:right="720"/>
      </w:pPr>
      <w:bookmarkStart w:id="18" w:name="_Toc348086888"/>
      <w:bookmarkStart w:id="19" w:name="_Toc348087976"/>
      <w:bookmarkStart w:id="20" w:name="_Toc348097104"/>
      <w:r w:rsidRPr="00AF1E61">
        <w:t>The LTFR Order is unlawful and unreasonable because it failed to grant the motion to strike the portion of the testimony of William Castle, which improperly relied upon a settlement agreement from another proceeding for the purpose of addressing a contested issue in the LTFR proceeding.</w:t>
      </w:r>
      <w:bookmarkEnd w:id="18"/>
      <w:bookmarkEnd w:id="19"/>
      <w:bookmarkEnd w:id="20"/>
    </w:p>
    <w:p w:rsidR="00DC503E" w:rsidRDefault="00DC503E" w:rsidP="00DC503E">
      <w:pPr>
        <w:autoSpaceDE w:val="0"/>
        <w:autoSpaceDN w:val="0"/>
        <w:adjustRightInd w:val="0"/>
        <w:spacing w:after="120" w:line="480" w:lineRule="auto"/>
        <w:ind w:firstLine="720"/>
        <w:contextualSpacing/>
        <w:jc w:val="both"/>
      </w:pPr>
      <w:r>
        <w:rPr>
          <w:rFonts w:eastAsia="Calibri" w:cs="Arial"/>
        </w:rPr>
        <w:t>During the hearing, the Attorney Examiner denied IEU-Ohio’s oral motion to strike the portion of</w:t>
      </w:r>
      <w:r w:rsidR="005B0225">
        <w:rPr>
          <w:rFonts w:eastAsia="Calibri" w:cs="Arial"/>
        </w:rPr>
        <w:t xml:space="preserve"> the</w:t>
      </w:r>
      <w:r>
        <w:rPr>
          <w:rFonts w:eastAsia="Calibri" w:cs="Arial"/>
        </w:rPr>
        <w:t xml:space="preserve"> testimony of AEP-Ohio </w:t>
      </w:r>
      <w:r w:rsidR="00FF61B7">
        <w:rPr>
          <w:rFonts w:eastAsia="Calibri" w:cs="Arial"/>
        </w:rPr>
        <w:t xml:space="preserve">witness </w:t>
      </w:r>
      <w:r>
        <w:rPr>
          <w:rFonts w:eastAsia="Calibri" w:cs="Arial"/>
        </w:rPr>
        <w:t xml:space="preserve">Castle, which relied upon the </w:t>
      </w:r>
      <w:r>
        <w:rPr>
          <w:rFonts w:eastAsia="Calibri" w:cs="Arial"/>
          <w:i/>
        </w:rPr>
        <w:lastRenderedPageBreak/>
        <w:t>Yankee</w:t>
      </w:r>
      <w:r w:rsidR="007E00C1">
        <w:rPr>
          <w:rFonts w:eastAsia="Calibri" w:cs="Arial"/>
          <w:i/>
        </w:rPr>
        <w:t xml:space="preserve"> Solar </w:t>
      </w:r>
      <w:r w:rsidR="007E00C1">
        <w:rPr>
          <w:rFonts w:eastAsia="Calibri" w:cs="Arial"/>
        </w:rPr>
        <w:t>Stipulation</w:t>
      </w:r>
      <w:r>
        <w:rPr>
          <w:rFonts w:eastAsia="Calibri" w:cs="Arial"/>
        </w:rPr>
        <w:t>.</w:t>
      </w:r>
      <w:r>
        <w:rPr>
          <w:rStyle w:val="FootnoteReference"/>
          <w:rFonts w:eastAsia="Calibri"/>
        </w:rPr>
        <w:footnoteReference w:id="22"/>
      </w:r>
      <w:r>
        <w:rPr>
          <w:rFonts w:eastAsia="Calibri" w:cs="Arial"/>
        </w:rPr>
        <w:t xml:space="preserve">  </w:t>
      </w:r>
      <w:r>
        <w:rPr>
          <w:rFonts w:cs="Arial"/>
        </w:rPr>
        <w:t>T</w:t>
      </w:r>
      <w:r>
        <w:t>he LTFR Order upheld the Attorney Examiner’s ruling denying IEU-Ohio’s motion to strike the testimony of AEP-Ohio witness Castle, stating, “As AEP-Ohio was not a signatory party to the stipulation in the DP&amp;L Case, the Company is not bound by its terms and, accordingly, we believe the attorney examiner's ruling denying the motion to strike was appropriate under the circumstances.”</w:t>
      </w:r>
      <w:r>
        <w:rPr>
          <w:rStyle w:val="FootnoteReference"/>
        </w:rPr>
        <w:footnoteReference w:id="23"/>
      </w:r>
      <w:r w:rsidR="0093363E">
        <w:t xml:space="preserve">  As discussed further below, the Commission’s determination may undermine future settlement negotiations and lead to protracted litigation.</w:t>
      </w:r>
      <w:r>
        <w:t xml:space="preserve">  </w:t>
      </w:r>
    </w:p>
    <w:p w:rsidR="00DC503E" w:rsidRPr="00DC503E" w:rsidRDefault="007E00C1" w:rsidP="00DC503E">
      <w:pPr>
        <w:autoSpaceDE w:val="0"/>
        <w:autoSpaceDN w:val="0"/>
        <w:adjustRightInd w:val="0"/>
        <w:spacing w:after="120" w:line="480" w:lineRule="auto"/>
        <w:ind w:firstLine="720"/>
        <w:contextualSpacing/>
        <w:jc w:val="both"/>
      </w:pPr>
      <w:r>
        <w:rPr>
          <w:rFonts w:eastAsia="Calibri" w:cs="Arial"/>
        </w:rPr>
        <w:t xml:space="preserve">The </w:t>
      </w:r>
      <w:r>
        <w:rPr>
          <w:rFonts w:eastAsia="Calibri" w:cs="Arial"/>
          <w:i/>
        </w:rPr>
        <w:t xml:space="preserve">Yankee Solar </w:t>
      </w:r>
      <w:r>
        <w:rPr>
          <w:rFonts w:eastAsia="Calibri" w:cs="Arial"/>
        </w:rPr>
        <w:t>S</w:t>
      </w:r>
      <w:r w:rsidR="00DC503E">
        <w:rPr>
          <w:rFonts w:eastAsia="Calibri" w:cs="Arial"/>
        </w:rPr>
        <w:t xml:space="preserve">tipulation contained the following provision: </w:t>
      </w:r>
      <w:r w:rsidR="00DC503E">
        <w:t xml:space="preserve"> </w:t>
      </w:r>
      <w:r w:rsidR="00DC503E">
        <w:rPr>
          <w:rFonts w:eastAsia="Calibri" w:cs="Arial"/>
        </w:rPr>
        <w:t>“</w:t>
      </w:r>
      <w:r w:rsidR="00DC503E">
        <w:rPr>
          <w:rFonts w:eastAsia="Calibri" w:cs="Arial"/>
          <w:szCs w:val="20"/>
        </w:rPr>
        <w:t xml:space="preserve">Except for purposes of enforcement of the terms of this Stipulation, </w:t>
      </w:r>
      <w:r w:rsidR="00DC503E" w:rsidRPr="005B0225">
        <w:rPr>
          <w:rFonts w:eastAsia="Calibri" w:cs="Arial"/>
          <w:b/>
          <w:i/>
          <w:szCs w:val="20"/>
        </w:rPr>
        <w:t>this Stipulation</w:t>
      </w:r>
      <w:r w:rsidR="00DC503E">
        <w:rPr>
          <w:rFonts w:eastAsia="Calibri" w:cs="Arial"/>
          <w:szCs w:val="20"/>
        </w:rPr>
        <w:t xml:space="preserve">, the information and data contained therein or attached and </w:t>
      </w:r>
      <w:r w:rsidR="00DC503E" w:rsidRPr="005B0225">
        <w:rPr>
          <w:rFonts w:eastAsia="Calibri" w:cs="Arial"/>
          <w:b/>
          <w:i/>
          <w:szCs w:val="20"/>
        </w:rPr>
        <w:t>any Commission rulings adopting it</w:t>
      </w:r>
      <w:r w:rsidR="00DC503E">
        <w:rPr>
          <w:rFonts w:eastAsia="Calibri" w:cs="Arial"/>
          <w:szCs w:val="20"/>
        </w:rPr>
        <w:t>, shall not be cited as precedent in any future proceeding for or against any Party or the Commission itself.”</w:t>
      </w:r>
      <w:r w:rsidR="00DC503E">
        <w:rPr>
          <w:rStyle w:val="FootnoteReference"/>
          <w:rFonts w:eastAsia="Calibri"/>
          <w:szCs w:val="20"/>
        </w:rPr>
        <w:footnoteReference w:id="24"/>
      </w:r>
      <w:r w:rsidR="00DC503E">
        <w:t xml:space="preserve"> </w:t>
      </w:r>
      <w:r w:rsidR="00FF61B7">
        <w:t xml:space="preserve"> </w:t>
      </w:r>
      <w:r w:rsidR="00DC503E">
        <w:rPr>
          <w:rFonts w:cs="Arial"/>
        </w:rPr>
        <w:t xml:space="preserve">The Commission orders adopting the </w:t>
      </w:r>
      <w:r w:rsidR="00FF61B7">
        <w:rPr>
          <w:rFonts w:cs="Arial"/>
        </w:rPr>
        <w:t>S</w:t>
      </w:r>
      <w:r w:rsidR="00DC503E">
        <w:rPr>
          <w:rFonts w:cs="Arial"/>
        </w:rPr>
        <w:t>tipulation did not modify this term; thus, the Commission agreed to enforce the prohibition against citation to an</w:t>
      </w:r>
      <w:r w:rsidR="005B0225">
        <w:rPr>
          <w:rFonts w:cs="Arial"/>
        </w:rPr>
        <w:t xml:space="preserve">d reliance upon the </w:t>
      </w:r>
      <w:r w:rsidR="007E41B1">
        <w:rPr>
          <w:rFonts w:cs="Arial"/>
        </w:rPr>
        <w:t>S</w:t>
      </w:r>
      <w:r w:rsidR="005B0225">
        <w:rPr>
          <w:rFonts w:cs="Arial"/>
        </w:rPr>
        <w:t>tipulation</w:t>
      </w:r>
      <w:r w:rsidR="00DC503E">
        <w:rPr>
          <w:rFonts w:cs="Arial"/>
        </w:rPr>
        <w:t>.</w:t>
      </w:r>
      <w:r w:rsidR="000536FC">
        <w:rPr>
          <w:rStyle w:val="FootnoteReference"/>
          <w:rFonts w:cs="Arial"/>
        </w:rPr>
        <w:footnoteReference w:id="25"/>
      </w:r>
    </w:p>
    <w:p w:rsidR="00DC503E" w:rsidRDefault="00DC503E" w:rsidP="00FF61B7">
      <w:pPr>
        <w:autoSpaceDE w:val="0"/>
        <w:autoSpaceDN w:val="0"/>
        <w:adjustRightInd w:val="0"/>
        <w:spacing w:after="120" w:line="480" w:lineRule="auto"/>
        <w:ind w:firstLine="720"/>
        <w:jc w:val="both"/>
        <w:rPr>
          <w:rFonts w:eastAsia="Times New Roman" w:cs="Arial"/>
          <w:color w:val="000000" w:themeColor="text1"/>
        </w:rPr>
      </w:pPr>
      <w:r>
        <w:rPr>
          <w:rFonts w:eastAsia="Times New Roman" w:cs="Arial"/>
          <w:color w:val="000000" w:themeColor="text1"/>
        </w:rPr>
        <w:t>The Commission has an interest in facilitating settlements.  The quoted language is designed to facilitate the settlement process</w:t>
      </w:r>
      <w:r w:rsidR="0093363E">
        <w:rPr>
          <w:rFonts w:eastAsia="Times New Roman" w:cs="Arial"/>
          <w:color w:val="000000" w:themeColor="text1"/>
        </w:rPr>
        <w:t xml:space="preserve"> and allow parties to support reasonable solutions to contested legal issues.</w:t>
      </w:r>
      <w:r>
        <w:rPr>
          <w:rFonts w:eastAsia="Times New Roman" w:cs="Arial"/>
          <w:color w:val="000000" w:themeColor="text1"/>
        </w:rPr>
        <w:t xml:space="preserve">  By allowing par</w:t>
      </w:r>
      <w:r w:rsidR="007E00C1">
        <w:rPr>
          <w:rFonts w:eastAsia="Times New Roman" w:cs="Arial"/>
          <w:color w:val="000000" w:themeColor="text1"/>
        </w:rPr>
        <w:t xml:space="preserve">ties to violate the terms of the </w:t>
      </w:r>
      <w:r w:rsidR="000536FC">
        <w:rPr>
          <w:rFonts w:eastAsia="Times New Roman" w:cs="Arial"/>
          <w:i/>
          <w:color w:val="000000" w:themeColor="text1"/>
        </w:rPr>
        <w:t xml:space="preserve">Yankee Solar </w:t>
      </w:r>
      <w:r w:rsidR="007E00C1">
        <w:rPr>
          <w:rFonts w:eastAsia="Times New Roman" w:cs="Arial"/>
          <w:color w:val="000000" w:themeColor="text1"/>
        </w:rPr>
        <w:t>Stipulation</w:t>
      </w:r>
      <w:r>
        <w:rPr>
          <w:rFonts w:eastAsia="Times New Roman" w:cs="Arial"/>
          <w:color w:val="000000" w:themeColor="text1"/>
        </w:rPr>
        <w:t>, the Commission’s interest in encouraging settlements in contested cases has been undermined and the failure</w:t>
      </w:r>
      <w:r w:rsidR="007E00C1">
        <w:rPr>
          <w:rFonts w:eastAsia="Times New Roman" w:cs="Arial"/>
          <w:color w:val="000000" w:themeColor="text1"/>
        </w:rPr>
        <w:t xml:space="preserve"> to enforce the terms of the Stipulation</w:t>
      </w:r>
      <w:r>
        <w:rPr>
          <w:rFonts w:eastAsia="Times New Roman" w:cs="Arial"/>
          <w:color w:val="000000" w:themeColor="text1"/>
        </w:rPr>
        <w:t xml:space="preserve"> has negatively affected the rights of parties such as IEU-Ohio.  As a result, </w:t>
      </w:r>
      <w:r>
        <w:rPr>
          <w:rFonts w:eastAsia="Times New Roman" w:cs="Arial"/>
          <w:color w:val="000000" w:themeColor="text1"/>
        </w:rPr>
        <w:lastRenderedPageBreak/>
        <w:t xml:space="preserve">future settlements will be more difficult to achieve.  Therefore, the failure to grant </w:t>
      </w:r>
      <w:r w:rsidR="00F75694">
        <w:rPr>
          <w:rFonts w:eastAsia="Times New Roman" w:cs="Arial"/>
          <w:color w:val="000000" w:themeColor="text1"/>
        </w:rPr>
        <w:t xml:space="preserve">     </w:t>
      </w:r>
      <w:r>
        <w:rPr>
          <w:rFonts w:eastAsia="Times New Roman" w:cs="Arial"/>
          <w:color w:val="000000" w:themeColor="text1"/>
        </w:rPr>
        <w:t xml:space="preserve">IEU-Ohio’s motions to strike the portion of testimony that relied upon the </w:t>
      </w:r>
      <w:r>
        <w:rPr>
          <w:rFonts w:eastAsia="Times New Roman" w:cs="Arial"/>
          <w:i/>
          <w:color w:val="000000" w:themeColor="text1"/>
        </w:rPr>
        <w:t>Yankee Solar</w:t>
      </w:r>
      <w:r w:rsidR="000536FC">
        <w:rPr>
          <w:rFonts w:eastAsia="Times New Roman" w:cs="Arial"/>
          <w:i/>
          <w:color w:val="000000" w:themeColor="text1"/>
        </w:rPr>
        <w:t xml:space="preserve"> </w:t>
      </w:r>
      <w:r w:rsidR="007E00C1">
        <w:rPr>
          <w:rFonts w:eastAsia="Times New Roman" w:cs="Arial"/>
          <w:color w:val="000000" w:themeColor="text1"/>
        </w:rPr>
        <w:t>S</w:t>
      </w:r>
      <w:r w:rsidR="000536FC">
        <w:rPr>
          <w:rFonts w:eastAsia="Times New Roman" w:cs="Arial"/>
          <w:color w:val="000000" w:themeColor="text1"/>
        </w:rPr>
        <w:t>tipulation</w:t>
      </w:r>
      <w:r>
        <w:rPr>
          <w:rFonts w:eastAsia="Times New Roman" w:cs="Arial"/>
          <w:i/>
          <w:color w:val="000000" w:themeColor="text1"/>
        </w:rPr>
        <w:t xml:space="preserve"> </w:t>
      </w:r>
      <w:r>
        <w:rPr>
          <w:rFonts w:eastAsia="Times New Roman" w:cs="Arial"/>
          <w:color w:val="000000" w:themeColor="text1"/>
        </w:rPr>
        <w:t>renders the LTFR Order unlawful and unreasonable and otherwise evades the Commission’s obligation to address contested issues on the merits based on the evidence properly admissible and applicable law.  Stipulations containing recommendations which are subsequently adopted by the Commission as a packaged resolution of any potentially contested issues are not properly included in testimony and they may not be relied upon by the Commission to address or co</w:t>
      </w:r>
      <w:r w:rsidR="005B0225">
        <w:rPr>
          <w:rFonts w:eastAsia="Times New Roman" w:cs="Arial"/>
          <w:color w:val="000000" w:themeColor="text1"/>
        </w:rPr>
        <w:t>nsider contested issues in this proceeding</w:t>
      </w:r>
      <w:r>
        <w:rPr>
          <w:rFonts w:eastAsia="Times New Roman" w:cs="Arial"/>
          <w:color w:val="000000" w:themeColor="text1"/>
        </w:rPr>
        <w:t xml:space="preserve"> or any other.  </w:t>
      </w:r>
    </w:p>
    <w:p w:rsidR="0093363E" w:rsidRDefault="0093363E" w:rsidP="00D87DD3">
      <w:pPr>
        <w:pStyle w:val="Heading1"/>
      </w:pPr>
      <w:bookmarkStart w:id="21" w:name="_Toc348086889"/>
      <w:bookmarkStart w:id="22" w:name="_Toc348087977"/>
      <w:bookmarkStart w:id="23" w:name="_Toc348097105"/>
      <w:r w:rsidRPr="0093363E">
        <w:t>CONCLUSION</w:t>
      </w:r>
      <w:bookmarkEnd w:id="21"/>
      <w:bookmarkEnd w:id="22"/>
      <w:bookmarkEnd w:id="23"/>
    </w:p>
    <w:p w:rsidR="001E249F" w:rsidRDefault="001E249F" w:rsidP="001E249F">
      <w:pPr>
        <w:autoSpaceDE w:val="0"/>
        <w:autoSpaceDN w:val="0"/>
        <w:adjustRightInd w:val="0"/>
        <w:spacing w:line="480" w:lineRule="auto"/>
        <w:ind w:firstLine="720"/>
        <w:jc w:val="both"/>
        <w:rPr>
          <w:rFonts w:eastAsia="Times New Roman" w:cs="Arial"/>
          <w:color w:val="000000" w:themeColor="text1"/>
        </w:rPr>
      </w:pPr>
      <w:r>
        <w:rPr>
          <w:rFonts w:eastAsia="Times New Roman" w:cs="Arial"/>
          <w:color w:val="000000" w:themeColor="text1"/>
        </w:rPr>
        <w:t>IEU-Ohio commends the Commission for reaching the correct ultimate result in this proceeding—Tu</w:t>
      </w:r>
      <w:r w:rsidR="009F1121">
        <w:rPr>
          <w:rFonts w:eastAsia="Times New Roman" w:cs="Arial"/>
          <w:color w:val="000000" w:themeColor="text1"/>
        </w:rPr>
        <w:t>rning Point simply is</w:t>
      </w:r>
      <w:r>
        <w:rPr>
          <w:rFonts w:eastAsia="Times New Roman" w:cs="Arial"/>
          <w:color w:val="000000" w:themeColor="text1"/>
        </w:rPr>
        <w:t xml:space="preserve"> not needed.  But that does not change the fact that the Commissi</w:t>
      </w:r>
      <w:r w:rsidR="009F1121">
        <w:rPr>
          <w:rFonts w:eastAsia="Times New Roman" w:cs="Arial"/>
          <w:color w:val="000000" w:themeColor="text1"/>
        </w:rPr>
        <w:t>on should not have considered</w:t>
      </w:r>
      <w:r w:rsidR="005B0225">
        <w:rPr>
          <w:rFonts w:eastAsia="Times New Roman" w:cs="Arial"/>
          <w:color w:val="000000" w:themeColor="text1"/>
        </w:rPr>
        <w:t xml:space="preserve"> in a proceeding of this nature</w:t>
      </w:r>
      <w:r w:rsidR="009F1121">
        <w:rPr>
          <w:rFonts w:eastAsia="Times New Roman" w:cs="Arial"/>
          <w:color w:val="000000" w:themeColor="text1"/>
        </w:rPr>
        <w:t xml:space="preserve"> whether a generating facility—especially a rene</w:t>
      </w:r>
      <w:r w:rsidR="005B0225">
        <w:rPr>
          <w:rFonts w:eastAsia="Times New Roman" w:cs="Arial"/>
          <w:color w:val="000000" w:themeColor="text1"/>
        </w:rPr>
        <w:t>wable energy facility—is needed</w:t>
      </w:r>
      <w:r>
        <w:rPr>
          <w:rFonts w:eastAsia="Times New Roman" w:cs="Arial"/>
          <w:color w:val="000000" w:themeColor="text1"/>
        </w:rPr>
        <w:t xml:space="preserve">.  Unless the Commission grants IEU-Ohio’s </w:t>
      </w:r>
      <w:r w:rsidR="00FF61B7">
        <w:rPr>
          <w:rFonts w:eastAsia="Times New Roman" w:cs="Arial"/>
          <w:color w:val="000000" w:themeColor="text1"/>
        </w:rPr>
        <w:t>A</w:t>
      </w:r>
      <w:r>
        <w:rPr>
          <w:rFonts w:eastAsia="Times New Roman" w:cs="Arial"/>
          <w:color w:val="000000" w:themeColor="text1"/>
        </w:rPr>
        <w:t xml:space="preserve">pplication for </w:t>
      </w:r>
      <w:r w:rsidR="00FF61B7">
        <w:rPr>
          <w:rFonts w:eastAsia="Times New Roman" w:cs="Arial"/>
          <w:color w:val="000000" w:themeColor="text1"/>
        </w:rPr>
        <w:t>R</w:t>
      </w:r>
      <w:r>
        <w:rPr>
          <w:rFonts w:eastAsia="Times New Roman" w:cs="Arial"/>
          <w:color w:val="000000" w:themeColor="text1"/>
        </w:rPr>
        <w:t>ehearing, we are destined to repeat this p</w:t>
      </w:r>
      <w:r w:rsidR="009F1121">
        <w:rPr>
          <w:rFonts w:eastAsia="Times New Roman" w:cs="Arial"/>
          <w:color w:val="000000" w:themeColor="text1"/>
        </w:rPr>
        <w:t>rotracted process in the future.</w:t>
      </w:r>
    </w:p>
    <w:p w:rsidR="001E249F" w:rsidRDefault="001E249F" w:rsidP="001E249F">
      <w:pPr>
        <w:autoSpaceDE w:val="0"/>
        <w:autoSpaceDN w:val="0"/>
        <w:adjustRightInd w:val="0"/>
        <w:spacing w:line="480" w:lineRule="auto"/>
        <w:ind w:firstLine="720"/>
        <w:jc w:val="both"/>
        <w:rPr>
          <w:rFonts w:eastAsia="Times New Roman" w:cs="Arial"/>
          <w:color w:val="000000" w:themeColor="text1"/>
        </w:rPr>
      </w:pPr>
      <w:r>
        <w:rPr>
          <w:rFonts w:eastAsia="Times New Roman" w:cs="Arial"/>
          <w:color w:val="000000" w:themeColor="text1"/>
        </w:rPr>
        <w:t>Finally, Commission pr</w:t>
      </w:r>
      <w:r w:rsidR="009F1121">
        <w:rPr>
          <w:rFonts w:eastAsia="Times New Roman" w:cs="Arial"/>
          <w:color w:val="000000" w:themeColor="text1"/>
        </w:rPr>
        <w:t>oceedings involve diverse parties</w:t>
      </w:r>
      <w:r>
        <w:rPr>
          <w:rFonts w:eastAsia="Times New Roman" w:cs="Arial"/>
          <w:color w:val="000000" w:themeColor="text1"/>
        </w:rPr>
        <w:t>, with varying legal theories and goals.</w:t>
      </w:r>
      <w:r w:rsidR="00CB7B85">
        <w:rPr>
          <w:rFonts w:eastAsia="Times New Roman" w:cs="Arial"/>
          <w:color w:val="000000" w:themeColor="text1"/>
        </w:rPr>
        <w:t xml:space="preserve">  I</w:t>
      </w:r>
      <w:r>
        <w:rPr>
          <w:rFonts w:eastAsia="Times New Roman" w:cs="Arial"/>
          <w:color w:val="000000" w:themeColor="text1"/>
        </w:rPr>
        <w:t>n the past,</w:t>
      </w:r>
      <w:r w:rsidR="00CB7B85">
        <w:rPr>
          <w:rFonts w:eastAsia="Times New Roman" w:cs="Arial"/>
          <w:color w:val="000000" w:themeColor="text1"/>
        </w:rPr>
        <w:t xml:space="preserve"> these diverse parties have</w:t>
      </w:r>
      <w:r>
        <w:rPr>
          <w:rFonts w:eastAsia="Times New Roman" w:cs="Arial"/>
          <w:color w:val="000000" w:themeColor="text1"/>
        </w:rPr>
        <w:t xml:space="preserve"> often been able to let go of their legal positi</w:t>
      </w:r>
      <w:r w:rsidR="009F1121">
        <w:rPr>
          <w:rFonts w:eastAsia="Times New Roman" w:cs="Arial"/>
          <w:color w:val="000000" w:themeColor="text1"/>
        </w:rPr>
        <w:t>ons to support reasonable settlement outcomes</w:t>
      </w:r>
      <w:r w:rsidR="00CB7B85">
        <w:rPr>
          <w:rFonts w:eastAsia="Times New Roman" w:cs="Arial"/>
          <w:color w:val="000000" w:themeColor="text1"/>
        </w:rPr>
        <w:t>.  It is encouraging that parties can work together to resolve their differences through settlements because the alternative is protracted litigation.  The LTFR Order, by determining that settlements may be cited</w:t>
      </w:r>
      <w:r w:rsidR="007E00C1">
        <w:rPr>
          <w:rFonts w:eastAsia="Times New Roman" w:cs="Arial"/>
          <w:color w:val="000000" w:themeColor="text1"/>
        </w:rPr>
        <w:t xml:space="preserve"> as precedent</w:t>
      </w:r>
      <w:r w:rsidR="00CB7B85">
        <w:rPr>
          <w:rFonts w:eastAsia="Times New Roman" w:cs="Arial"/>
          <w:color w:val="000000" w:themeColor="text1"/>
        </w:rPr>
        <w:t xml:space="preserve"> by non-signatory parties, undermines the settlement process.  The Commission has effectively shot a warning to parties that they must look </w:t>
      </w:r>
      <w:r w:rsidR="00CB7B85">
        <w:rPr>
          <w:rFonts w:eastAsia="Times New Roman" w:cs="Arial"/>
          <w:color w:val="000000" w:themeColor="text1"/>
        </w:rPr>
        <w:lastRenderedPageBreak/>
        <w:t xml:space="preserve">over their shoulder every time they </w:t>
      </w:r>
      <w:r w:rsidR="00030B58">
        <w:rPr>
          <w:rFonts w:eastAsia="Times New Roman" w:cs="Arial"/>
          <w:color w:val="000000" w:themeColor="text1"/>
        </w:rPr>
        <w:t>support a</w:t>
      </w:r>
      <w:r w:rsidR="00CB7B85">
        <w:rPr>
          <w:rFonts w:eastAsia="Times New Roman" w:cs="Arial"/>
          <w:color w:val="000000" w:themeColor="text1"/>
        </w:rPr>
        <w:t xml:space="preserve"> settlement, because it will be used against them by any utility that did not sign the document.  That result</w:t>
      </w:r>
      <w:r w:rsidR="0056606F">
        <w:rPr>
          <w:rFonts w:eastAsia="Times New Roman" w:cs="Arial"/>
          <w:color w:val="000000" w:themeColor="text1"/>
        </w:rPr>
        <w:t xml:space="preserve"> is unfair and may render </w:t>
      </w:r>
      <w:r w:rsidR="00EF7FCB">
        <w:rPr>
          <w:rFonts w:eastAsia="Times New Roman" w:cs="Arial"/>
          <w:color w:val="000000" w:themeColor="text1"/>
        </w:rPr>
        <w:t xml:space="preserve">future </w:t>
      </w:r>
      <w:r w:rsidR="0056606F">
        <w:rPr>
          <w:rFonts w:eastAsia="Times New Roman" w:cs="Arial"/>
          <w:color w:val="000000" w:themeColor="text1"/>
        </w:rPr>
        <w:t>settlements impossible to achieve</w:t>
      </w:r>
      <w:r w:rsidR="00EF7FCB">
        <w:rPr>
          <w:rFonts w:eastAsia="Times New Roman" w:cs="Arial"/>
          <w:color w:val="000000" w:themeColor="text1"/>
        </w:rPr>
        <w:t>.</w:t>
      </w:r>
    </w:p>
    <w:p w:rsidR="009F1121" w:rsidRPr="001E249F" w:rsidRDefault="009F1121" w:rsidP="001E249F">
      <w:pPr>
        <w:autoSpaceDE w:val="0"/>
        <w:autoSpaceDN w:val="0"/>
        <w:adjustRightInd w:val="0"/>
        <w:spacing w:line="480" w:lineRule="auto"/>
        <w:ind w:firstLine="720"/>
        <w:jc w:val="both"/>
        <w:rPr>
          <w:rFonts w:eastAsia="Times New Roman" w:cs="Arial"/>
          <w:color w:val="000000" w:themeColor="text1"/>
        </w:rPr>
      </w:pPr>
      <w:r>
        <w:rPr>
          <w:rFonts w:eastAsia="Times New Roman" w:cs="Arial"/>
          <w:color w:val="000000" w:themeColor="text1"/>
        </w:rPr>
        <w:t>Wherefore, IEU-Ohio requests that the Commission grant the relief requested in this Application for Rehearing and Memorandum in Support.</w:t>
      </w:r>
    </w:p>
    <w:p w:rsidR="00ED6FAA" w:rsidRDefault="00ED6FAA" w:rsidP="00ED6FAA">
      <w:pPr>
        <w:tabs>
          <w:tab w:val="left" w:pos="-1350"/>
          <w:tab w:val="right" w:pos="8640"/>
        </w:tabs>
        <w:ind w:left="4320" w:hanging="180"/>
        <w:jc w:val="both"/>
        <w:rPr>
          <w:rFonts w:cs="Arial"/>
        </w:rPr>
      </w:pPr>
      <w:r>
        <w:rPr>
          <w:rFonts w:cs="Arial"/>
        </w:rPr>
        <w:t>Respectfully submitted,</w:t>
      </w:r>
    </w:p>
    <w:p w:rsidR="00ED6FAA" w:rsidRDefault="00ED6FAA" w:rsidP="00ED6FAA">
      <w:pPr>
        <w:tabs>
          <w:tab w:val="left" w:pos="-1350"/>
          <w:tab w:val="right" w:pos="8640"/>
        </w:tabs>
        <w:ind w:left="4320" w:hanging="180"/>
        <w:jc w:val="both"/>
        <w:rPr>
          <w:rFonts w:cs="Arial"/>
        </w:rPr>
      </w:pPr>
    </w:p>
    <w:p w:rsidR="00ED6FAA" w:rsidRDefault="00ED6FAA" w:rsidP="00ED6FAA">
      <w:pPr>
        <w:tabs>
          <w:tab w:val="left" w:pos="-1350"/>
          <w:tab w:val="right" w:pos="8640"/>
        </w:tabs>
        <w:ind w:left="4320" w:hanging="180"/>
        <w:jc w:val="both"/>
        <w:rPr>
          <w:rFonts w:cs="Arial"/>
        </w:rPr>
      </w:pPr>
    </w:p>
    <w:p w:rsidR="00ED6FAA" w:rsidRPr="002413F1" w:rsidRDefault="00A76247" w:rsidP="00ED6FAA">
      <w:pPr>
        <w:tabs>
          <w:tab w:val="left" w:pos="-1350"/>
          <w:tab w:val="right" w:pos="8640"/>
        </w:tabs>
        <w:ind w:left="4320" w:hanging="180"/>
        <w:jc w:val="both"/>
        <w:rPr>
          <w:rFonts w:cs="Arial"/>
          <w:u w:val="single"/>
        </w:rPr>
      </w:pPr>
      <w:r>
        <w:rPr>
          <w:rFonts w:cs="Arial"/>
          <w:u w:val="single"/>
        </w:rPr>
        <w:t>/s/ Joseph E. Oliker</w:t>
      </w:r>
      <w:r w:rsidR="00145AA9">
        <w:rPr>
          <w:rFonts w:cs="Arial"/>
          <w:u w:val="single"/>
        </w:rPr>
        <w:tab/>
      </w:r>
      <w:r w:rsidR="002413F1">
        <w:rPr>
          <w:rFonts w:cs="Arial"/>
          <w:u w:val="single"/>
        </w:rPr>
        <w:tab/>
      </w:r>
    </w:p>
    <w:p w:rsidR="00ED6FAA" w:rsidRDefault="00ED6FAA" w:rsidP="00ED6FAA">
      <w:pPr>
        <w:tabs>
          <w:tab w:val="left" w:pos="-1350"/>
          <w:tab w:val="right" w:pos="8640"/>
        </w:tabs>
        <w:ind w:left="4320" w:hanging="180"/>
        <w:jc w:val="both"/>
        <w:rPr>
          <w:rFonts w:cs="Arial"/>
        </w:rPr>
      </w:pPr>
      <w:r>
        <w:rPr>
          <w:rFonts w:cs="Arial"/>
        </w:rPr>
        <w:t xml:space="preserve">Samuel C. Randazzo </w:t>
      </w:r>
    </w:p>
    <w:p w:rsidR="00ED6FAA" w:rsidRDefault="00ED6FAA" w:rsidP="00ED6FAA">
      <w:pPr>
        <w:pStyle w:val="BodyText3"/>
        <w:widowControl w:val="0"/>
        <w:tabs>
          <w:tab w:val="left" w:pos="0"/>
        </w:tabs>
        <w:ind w:left="4140"/>
        <w:jc w:val="both"/>
        <w:rPr>
          <w:rFonts w:cs="Arial"/>
          <w:b w:val="0"/>
          <w:bCs/>
        </w:rPr>
      </w:pPr>
      <w:r>
        <w:rPr>
          <w:rFonts w:cs="Arial"/>
          <w:b w:val="0"/>
          <w:bCs/>
        </w:rPr>
        <w:t>(Counsel of Record)</w:t>
      </w:r>
    </w:p>
    <w:p w:rsidR="00ED6FAA" w:rsidRDefault="00ED6FAA" w:rsidP="00ED6FAA">
      <w:pPr>
        <w:pStyle w:val="BodyText3"/>
        <w:widowControl w:val="0"/>
        <w:tabs>
          <w:tab w:val="left" w:pos="0"/>
        </w:tabs>
        <w:ind w:left="4140"/>
        <w:jc w:val="both"/>
        <w:rPr>
          <w:rFonts w:cs="Arial"/>
          <w:b w:val="0"/>
          <w:bCs/>
        </w:rPr>
      </w:pPr>
      <w:r>
        <w:rPr>
          <w:rFonts w:cs="Arial"/>
          <w:b w:val="0"/>
          <w:bCs/>
        </w:rPr>
        <w:t>Frank P. Darr</w:t>
      </w:r>
    </w:p>
    <w:p w:rsidR="00ED6FAA" w:rsidRDefault="00ED6FAA" w:rsidP="00ED6FAA">
      <w:pPr>
        <w:pStyle w:val="BodyText3"/>
        <w:widowControl w:val="0"/>
        <w:tabs>
          <w:tab w:val="left" w:pos="0"/>
        </w:tabs>
        <w:ind w:left="4140"/>
        <w:jc w:val="both"/>
        <w:rPr>
          <w:rFonts w:cs="Arial"/>
          <w:b w:val="0"/>
          <w:bCs/>
        </w:rPr>
      </w:pPr>
      <w:r>
        <w:rPr>
          <w:rFonts w:cs="Arial"/>
          <w:b w:val="0"/>
          <w:bCs/>
        </w:rPr>
        <w:t>Joseph E. Oliker</w:t>
      </w:r>
    </w:p>
    <w:p w:rsidR="00ED6FAA" w:rsidRDefault="00ED6FAA" w:rsidP="00ED6FAA">
      <w:pPr>
        <w:pStyle w:val="BodyText3"/>
        <w:widowControl w:val="0"/>
        <w:tabs>
          <w:tab w:val="left" w:pos="0"/>
        </w:tabs>
        <w:ind w:left="4140"/>
        <w:jc w:val="both"/>
        <w:rPr>
          <w:rFonts w:cs="Arial"/>
          <w:b w:val="0"/>
          <w:bCs/>
        </w:rPr>
      </w:pPr>
      <w:r>
        <w:rPr>
          <w:rFonts w:cs="Arial"/>
          <w:b w:val="0"/>
          <w:bCs/>
        </w:rPr>
        <w:t>Matthew R. Pritchard</w:t>
      </w:r>
    </w:p>
    <w:p w:rsidR="00ED6FAA" w:rsidRDefault="00ED6FAA" w:rsidP="00ED6FAA">
      <w:pPr>
        <w:pStyle w:val="BodyText3"/>
        <w:widowControl w:val="0"/>
        <w:tabs>
          <w:tab w:val="left" w:pos="0"/>
        </w:tabs>
        <w:ind w:left="4140"/>
        <w:jc w:val="both"/>
        <w:rPr>
          <w:rFonts w:cs="Arial"/>
          <w:b w:val="0"/>
          <w:bCs/>
          <w:smallCaps/>
          <w:szCs w:val="24"/>
        </w:rPr>
      </w:pPr>
      <w:r>
        <w:rPr>
          <w:rFonts w:cs="Arial"/>
          <w:b w:val="0"/>
          <w:bCs/>
          <w:smallCaps/>
          <w:szCs w:val="24"/>
        </w:rPr>
        <w:t>McNees Wallace &amp; Nurick LLC</w:t>
      </w:r>
    </w:p>
    <w:p w:rsidR="00ED6FAA" w:rsidRDefault="00ED6FAA" w:rsidP="00ED6FAA">
      <w:pPr>
        <w:pStyle w:val="BodyText3"/>
        <w:widowControl w:val="0"/>
        <w:tabs>
          <w:tab w:val="left" w:pos="0"/>
        </w:tabs>
        <w:ind w:left="4140"/>
        <w:jc w:val="both"/>
        <w:rPr>
          <w:rFonts w:cs="Arial"/>
          <w:b w:val="0"/>
          <w:bCs/>
        </w:rPr>
      </w:pPr>
      <w:r>
        <w:rPr>
          <w:rFonts w:cs="Arial"/>
          <w:b w:val="0"/>
          <w:bCs/>
        </w:rPr>
        <w:t>21 East State Street, 17</w:t>
      </w:r>
      <w:r>
        <w:rPr>
          <w:rFonts w:cs="Arial"/>
          <w:b w:val="0"/>
          <w:bCs/>
          <w:vertAlign w:val="superscript"/>
        </w:rPr>
        <w:t>TH</w:t>
      </w:r>
      <w:r>
        <w:rPr>
          <w:rFonts w:cs="Arial"/>
          <w:b w:val="0"/>
          <w:bCs/>
        </w:rPr>
        <w:t xml:space="preserve"> Floor</w:t>
      </w:r>
    </w:p>
    <w:p w:rsidR="00ED6FAA" w:rsidRDefault="00ED6FAA" w:rsidP="00ED6FAA">
      <w:pPr>
        <w:pStyle w:val="BodyText"/>
        <w:tabs>
          <w:tab w:val="left" w:pos="0"/>
        </w:tabs>
        <w:ind w:left="4140"/>
      </w:pPr>
      <w:r>
        <w:t>Columbus, OH  43215</w:t>
      </w:r>
    </w:p>
    <w:p w:rsidR="00ED6FAA" w:rsidRDefault="00ED6FAA" w:rsidP="00ED6FAA">
      <w:pPr>
        <w:pStyle w:val="BodyText"/>
        <w:tabs>
          <w:tab w:val="left" w:pos="0"/>
        </w:tabs>
        <w:ind w:left="4140"/>
      </w:pPr>
      <w:r>
        <w:t>Telephone:  (614) 469-8000</w:t>
      </w:r>
    </w:p>
    <w:p w:rsidR="00ED6FAA" w:rsidRDefault="00ED6FAA" w:rsidP="00ED6FAA">
      <w:pPr>
        <w:pStyle w:val="BodyText"/>
        <w:tabs>
          <w:tab w:val="left" w:pos="0"/>
        </w:tabs>
        <w:ind w:left="4140"/>
      </w:pPr>
      <w:r>
        <w:t>Telecopier:  (614) 469-4653</w:t>
      </w:r>
    </w:p>
    <w:p w:rsidR="00ED6FAA" w:rsidRDefault="00ED6FAA" w:rsidP="00ED6FAA">
      <w:pPr>
        <w:pStyle w:val="BodyText"/>
        <w:tabs>
          <w:tab w:val="left" w:pos="0"/>
        </w:tabs>
        <w:ind w:left="4140"/>
      </w:pPr>
      <w:r>
        <w:t>sam@mwncmh.com</w:t>
      </w:r>
    </w:p>
    <w:p w:rsidR="00ED6FAA" w:rsidRDefault="00ED6FAA" w:rsidP="00ED6FAA">
      <w:pPr>
        <w:pStyle w:val="BodyText"/>
        <w:tabs>
          <w:tab w:val="left" w:pos="0"/>
        </w:tabs>
        <w:ind w:left="4140"/>
      </w:pPr>
      <w:r>
        <w:t>fdarr@mwncmh.com</w:t>
      </w:r>
    </w:p>
    <w:p w:rsidR="00ED6FAA" w:rsidRDefault="00ED6FAA" w:rsidP="00ED6FAA">
      <w:pPr>
        <w:pStyle w:val="BodyText"/>
        <w:tabs>
          <w:tab w:val="left" w:pos="0"/>
        </w:tabs>
        <w:ind w:left="4140"/>
      </w:pPr>
      <w:r>
        <w:t>joliker@mwncmh.com</w:t>
      </w:r>
    </w:p>
    <w:p w:rsidR="00ED6FAA" w:rsidRDefault="00ED6FAA" w:rsidP="00ED6FAA">
      <w:pPr>
        <w:pStyle w:val="BodyText"/>
        <w:tabs>
          <w:tab w:val="left" w:pos="0"/>
        </w:tabs>
        <w:ind w:left="4140"/>
      </w:pPr>
      <w:r>
        <w:t>mpritchard@mwncmh.com</w:t>
      </w:r>
    </w:p>
    <w:p w:rsidR="00ED6FAA" w:rsidRDefault="00ED6FAA" w:rsidP="00ED6FAA">
      <w:pPr>
        <w:pStyle w:val="BodyText"/>
        <w:tabs>
          <w:tab w:val="left" w:pos="0"/>
        </w:tabs>
      </w:pPr>
    </w:p>
    <w:p w:rsidR="00ED6FAA" w:rsidRDefault="00ED6FAA" w:rsidP="00ED6FAA">
      <w:pPr>
        <w:autoSpaceDE w:val="0"/>
        <w:autoSpaceDN w:val="0"/>
        <w:adjustRightInd w:val="0"/>
        <w:ind w:left="4140" w:hanging="4140"/>
        <w:rPr>
          <w:rFonts w:cs="Arial"/>
          <w:b/>
          <w:smallCaps/>
        </w:rPr>
      </w:pPr>
      <w:r w:rsidRPr="00866E97">
        <w:rPr>
          <w:rFonts w:cs="Arial"/>
          <w:b/>
        </w:rPr>
        <w:tab/>
      </w:r>
      <w:r w:rsidRPr="00866E97">
        <w:rPr>
          <w:rFonts w:cs="Arial"/>
          <w:b/>
          <w:smallCaps/>
        </w:rPr>
        <w:t>Attorneys for Industrial Energy Users-Ohio</w:t>
      </w:r>
    </w:p>
    <w:p w:rsidR="00ED6FAA" w:rsidRPr="00ED6FAA" w:rsidRDefault="00ED6FAA" w:rsidP="00ED6FAA">
      <w:pPr>
        <w:autoSpaceDE w:val="0"/>
        <w:autoSpaceDN w:val="0"/>
        <w:adjustRightInd w:val="0"/>
        <w:rPr>
          <w:rFonts w:cs="Arial"/>
          <w:smallCaps/>
        </w:rPr>
      </w:pPr>
    </w:p>
    <w:p w:rsidR="00865D80" w:rsidRDefault="00865D80" w:rsidP="001B14FD">
      <w:pPr>
        <w:autoSpaceDE w:val="0"/>
        <w:autoSpaceDN w:val="0"/>
        <w:adjustRightInd w:val="0"/>
        <w:ind w:left="3780"/>
        <w:rPr>
          <w:rFonts w:cs="Arial"/>
          <w:b/>
          <w:smallCaps/>
        </w:rPr>
        <w:sectPr w:rsidR="00865D80" w:rsidSect="00D87DD3">
          <w:headerReference w:type="default" r:id="rId22"/>
          <w:footerReference w:type="default" r:id="rId23"/>
          <w:headerReference w:type="first" r:id="rId24"/>
          <w:footerReference w:type="first" r:id="rId25"/>
          <w:pgSz w:w="12240" w:h="15840" w:code="1"/>
          <w:pgMar w:top="1440" w:right="1440" w:bottom="1440" w:left="1440" w:header="720" w:footer="720" w:gutter="0"/>
          <w:pgNumType w:start="1"/>
          <w:cols w:space="720"/>
          <w:noEndnote/>
          <w:titlePg/>
          <w:docGrid w:linePitch="326"/>
        </w:sectPr>
      </w:pPr>
    </w:p>
    <w:p w:rsidR="00806AC4" w:rsidRPr="00BD2496" w:rsidRDefault="00806AC4" w:rsidP="00BD2496">
      <w:pPr>
        <w:jc w:val="center"/>
        <w:rPr>
          <w:rFonts w:ascii="Arial Bold" w:hAnsi="Arial Bold"/>
          <w:b/>
          <w:i/>
          <w:caps/>
          <w:smallCaps/>
          <w:u w:val="single"/>
        </w:rPr>
      </w:pPr>
      <w:r w:rsidRPr="00BD2496">
        <w:rPr>
          <w:rFonts w:ascii="Arial Bold" w:hAnsi="Arial Bold"/>
          <w:b/>
          <w:caps/>
          <w:u w:val="single"/>
        </w:rPr>
        <w:lastRenderedPageBreak/>
        <w:t>Certificate of Service</w:t>
      </w:r>
    </w:p>
    <w:p w:rsidR="00806AC4" w:rsidRDefault="00806AC4" w:rsidP="00806AC4">
      <w:pPr>
        <w:jc w:val="both"/>
      </w:pPr>
    </w:p>
    <w:p w:rsidR="00806AC4" w:rsidRDefault="00806AC4" w:rsidP="00806AC4">
      <w:pPr>
        <w:pStyle w:val="BodyText"/>
        <w:spacing w:line="480" w:lineRule="auto"/>
        <w:ind w:firstLine="720"/>
        <w:rPr>
          <w:b/>
          <w:smallCaps/>
        </w:rPr>
      </w:pPr>
      <w:r>
        <w:t xml:space="preserve">I hereby certify that a copy of the foregoing </w:t>
      </w:r>
      <w:r w:rsidR="00D66582">
        <w:rPr>
          <w:i/>
        </w:rPr>
        <w:t xml:space="preserve">Application for Rehearing and Memorandum in Support </w:t>
      </w:r>
      <w:r w:rsidR="00CE1247">
        <w:rPr>
          <w:i/>
        </w:rPr>
        <w:t>of Industrial Energy Users-Ohio</w:t>
      </w:r>
      <w:r>
        <w:rPr>
          <w:i/>
          <w:iCs/>
        </w:rPr>
        <w:t xml:space="preserve"> </w:t>
      </w:r>
      <w:r>
        <w:t xml:space="preserve">was served upon the following parties of record this </w:t>
      </w:r>
      <w:r w:rsidR="00406685">
        <w:t>8th</w:t>
      </w:r>
      <w:r w:rsidR="00CB0126">
        <w:t xml:space="preserve"> </w:t>
      </w:r>
      <w:r>
        <w:t xml:space="preserve">day of </w:t>
      </w:r>
      <w:r w:rsidR="00EF7FCB">
        <w:t xml:space="preserve">February </w:t>
      </w:r>
      <w:r>
        <w:t>201</w:t>
      </w:r>
      <w:r w:rsidR="009C4B4A">
        <w:t>3</w:t>
      </w:r>
      <w:r>
        <w:t xml:space="preserve">, </w:t>
      </w:r>
      <w:r>
        <w:rPr>
          <w:i/>
        </w:rPr>
        <w:t>via</w:t>
      </w:r>
      <w:r>
        <w:t xml:space="preserve"> electronic transmission, hand-delivery or first class U.S. mail, postage prepaid.</w:t>
      </w:r>
    </w:p>
    <w:p w:rsidR="00806AC4" w:rsidRDefault="00A76247" w:rsidP="00806AC4">
      <w:pPr>
        <w:tabs>
          <w:tab w:val="left" w:pos="-1440"/>
          <w:tab w:val="left" w:pos="-720"/>
          <w:tab w:val="left" w:pos="5040"/>
          <w:tab w:val="center" w:pos="7200"/>
          <w:tab w:val="right" w:pos="9360"/>
        </w:tabs>
        <w:ind w:firstLine="5040"/>
        <w:jc w:val="both"/>
        <w:rPr>
          <w:rFonts w:cs="Arial"/>
        </w:rPr>
      </w:pPr>
      <w:r>
        <w:rPr>
          <w:rFonts w:cs="Arial"/>
          <w:u w:val="single"/>
        </w:rPr>
        <w:t>/s/ Joseph E. Oliker</w:t>
      </w:r>
      <w:r w:rsidR="00D66582">
        <w:rPr>
          <w:rFonts w:cs="Arial"/>
          <w:u w:val="single"/>
        </w:rPr>
        <w:tab/>
      </w:r>
      <w:r w:rsidR="00806AC4">
        <w:rPr>
          <w:rFonts w:cs="Arial"/>
          <w:u w:val="single"/>
        </w:rPr>
        <w:tab/>
      </w:r>
    </w:p>
    <w:p w:rsidR="00806AC4" w:rsidRDefault="00CB0126" w:rsidP="00806AC4">
      <w:pPr>
        <w:tabs>
          <w:tab w:val="left" w:pos="-1440"/>
          <w:tab w:val="left" w:pos="-720"/>
          <w:tab w:val="left" w:pos="5040"/>
          <w:tab w:val="center" w:pos="7200"/>
        </w:tabs>
        <w:ind w:firstLine="5040"/>
        <w:jc w:val="both"/>
        <w:rPr>
          <w:rFonts w:cs="Arial"/>
        </w:rPr>
      </w:pPr>
      <w:r>
        <w:rPr>
          <w:rFonts w:cs="Arial"/>
        </w:rPr>
        <w:t>Joseph E. Oliker</w:t>
      </w:r>
    </w:p>
    <w:p w:rsidR="00806AC4" w:rsidRDefault="00806AC4" w:rsidP="00806AC4">
      <w:pPr>
        <w:tabs>
          <w:tab w:val="left" w:pos="2160"/>
          <w:tab w:val="left" w:pos="2280"/>
        </w:tabs>
        <w:jc w:val="both"/>
        <w:rPr>
          <w:rFonts w:cs="Arial"/>
          <w:sz w:val="20"/>
          <w:szCs w:val="20"/>
        </w:rPr>
        <w:sectPr w:rsidR="00806AC4" w:rsidSect="00600153">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141" w:left="1440" w:header="720" w:footer="720" w:gutter="0"/>
          <w:pgNumType w:start="1"/>
          <w:cols w:space="720"/>
          <w:titlePg/>
          <w:docGrid w:linePitch="326"/>
        </w:sectPr>
      </w:pPr>
    </w:p>
    <w:p w:rsidR="00145AA9" w:rsidRDefault="00145AA9" w:rsidP="00EE4281">
      <w:pPr>
        <w:tabs>
          <w:tab w:val="left" w:pos="2160"/>
          <w:tab w:val="left" w:pos="2280"/>
        </w:tabs>
        <w:rPr>
          <w:rFonts w:cs="Arial"/>
          <w:sz w:val="20"/>
          <w:szCs w:val="20"/>
        </w:rPr>
      </w:pPr>
    </w:p>
    <w:p w:rsidR="00145AA9" w:rsidRPr="00145AA9" w:rsidRDefault="00145AA9" w:rsidP="00EE4281">
      <w:pPr>
        <w:tabs>
          <w:tab w:val="left" w:pos="2160"/>
          <w:tab w:val="left" w:pos="2280"/>
        </w:tabs>
        <w:rPr>
          <w:rFonts w:cs="Arial"/>
          <w:sz w:val="22"/>
          <w:szCs w:val="22"/>
        </w:rPr>
      </w:pPr>
      <w:r w:rsidRPr="00145AA9">
        <w:rPr>
          <w:rFonts w:cs="Arial"/>
          <w:sz w:val="22"/>
          <w:szCs w:val="22"/>
        </w:rPr>
        <w:t>Matthew J. Satterwhite</w:t>
      </w:r>
    </w:p>
    <w:p w:rsidR="00145AA9" w:rsidRPr="00145AA9" w:rsidRDefault="00145AA9" w:rsidP="00EE4281">
      <w:pPr>
        <w:tabs>
          <w:tab w:val="left" w:pos="2160"/>
          <w:tab w:val="left" w:pos="2280"/>
        </w:tabs>
        <w:rPr>
          <w:rFonts w:cs="Arial"/>
          <w:sz w:val="22"/>
          <w:szCs w:val="22"/>
        </w:rPr>
      </w:pPr>
      <w:r w:rsidRPr="00145AA9">
        <w:rPr>
          <w:rFonts w:cs="Arial"/>
          <w:sz w:val="22"/>
          <w:szCs w:val="22"/>
        </w:rPr>
        <w:t>Yazen Alami</w:t>
      </w:r>
    </w:p>
    <w:p w:rsidR="00EE4281" w:rsidRPr="00145AA9" w:rsidRDefault="00EE4281" w:rsidP="00EE4281">
      <w:pPr>
        <w:tabs>
          <w:tab w:val="left" w:pos="2160"/>
          <w:tab w:val="left" w:pos="2280"/>
        </w:tabs>
        <w:rPr>
          <w:rFonts w:cs="Arial"/>
          <w:sz w:val="22"/>
          <w:szCs w:val="22"/>
        </w:rPr>
      </w:pPr>
      <w:r w:rsidRPr="00145AA9">
        <w:rPr>
          <w:rFonts w:cs="Arial"/>
          <w:sz w:val="22"/>
          <w:szCs w:val="22"/>
        </w:rPr>
        <w:t>Steven T. Nourse</w:t>
      </w:r>
    </w:p>
    <w:p w:rsidR="00EE4281" w:rsidRPr="00145AA9" w:rsidRDefault="00EE4281" w:rsidP="00EE4281">
      <w:pPr>
        <w:tabs>
          <w:tab w:val="left" w:pos="2160"/>
          <w:tab w:val="left" w:pos="2280"/>
        </w:tabs>
        <w:rPr>
          <w:rFonts w:cs="Arial"/>
          <w:sz w:val="22"/>
          <w:szCs w:val="22"/>
        </w:rPr>
      </w:pPr>
      <w:r w:rsidRPr="00145AA9">
        <w:rPr>
          <w:rFonts w:cs="Arial"/>
          <w:sz w:val="22"/>
          <w:szCs w:val="22"/>
        </w:rPr>
        <w:t>American Electric Power Service Corporation</w:t>
      </w:r>
    </w:p>
    <w:p w:rsidR="00EE4281" w:rsidRPr="00145AA9" w:rsidRDefault="00EE4281" w:rsidP="00EE4281">
      <w:pPr>
        <w:tabs>
          <w:tab w:val="left" w:pos="2160"/>
          <w:tab w:val="left" w:pos="2280"/>
        </w:tabs>
        <w:rPr>
          <w:rFonts w:cs="Arial"/>
          <w:sz w:val="22"/>
          <w:szCs w:val="22"/>
        </w:rPr>
      </w:pPr>
      <w:r w:rsidRPr="00145AA9">
        <w:rPr>
          <w:rFonts w:cs="Arial"/>
          <w:sz w:val="22"/>
          <w:szCs w:val="22"/>
        </w:rPr>
        <w:t>1 Riverside Plaza, 29</w:t>
      </w:r>
      <w:r w:rsidRPr="00145AA9">
        <w:rPr>
          <w:rFonts w:cs="Arial"/>
          <w:sz w:val="22"/>
          <w:szCs w:val="22"/>
          <w:vertAlign w:val="superscript"/>
        </w:rPr>
        <w:t>th</w:t>
      </w:r>
      <w:r w:rsidRPr="00145AA9">
        <w:rPr>
          <w:rFonts w:cs="Arial"/>
          <w:sz w:val="22"/>
          <w:szCs w:val="22"/>
        </w:rPr>
        <w:t xml:space="preserve"> Floor</w:t>
      </w:r>
    </w:p>
    <w:p w:rsidR="00EE4281" w:rsidRPr="00145AA9" w:rsidRDefault="00EE4281" w:rsidP="00EE4281">
      <w:pPr>
        <w:tabs>
          <w:tab w:val="left" w:pos="2160"/>
          <w:tab w:val="left" w:pos="2280"/>
        </w:tabs>
        <w:rPr>
          <w:rFonts w:cs="Arial"/>
          <w:sz w:val="22"/>
          <w:szCs w:val="22"/>
        </w:rPr>
      </w:pPr>
      <w:r w:rsidRPr="00145AA9">
        <w:rPr>
          <w:rFonts w:cs="Arial"/>
          <w:sz w:val="22"/>
          <w:szCs w:val="22"/>
        </w:rPr>
        <w:t>Columbus, OH  43215</w:t>
      </w:r>
    </w:p>
    <w:p w:rsidR="00EE4281" w:rsidRPr="00145AA9" w:rsidRDefault="00EE4281" w:rsidP="00EE4281">
      <w:pPr>
        <w:tabs>
          <w:tab w:val="left" w:pos="2160"/>
          <w:tab w:val="left" w:pos="2280"/>
        </w:tabs>
        <w:rPr>
          <w:rFonts w:cs="Arial"/>
          <w:sz w:val="22"/>
          <w:szCs w:val="22"/>
        </w:rPr>
      </w:pPr>
      <w:r w:rsidRPr="00145AA9">
        <w:rPr>
          <w:rFonts w:cs="Arial"/>
          <w:sz w:val="22"/>
          <w:szCs w:val="22"/>
        </w:rPr>
        <w:t>mjsatterwhite@aep.com</w:t>
      </w:r>
    </w:p>
    <w:p w:rsidR="00145AA9" w:rsidRPr="00145AA9" w:rsidRDefault="00145AA9" w:rsidP="00EE4281">
      <w:pPr>
        <w:tabs>
          <w:tab w:val="left" w:pos="2160"/>
          <w:tab w:val="left" w:pos="2280"/>
        </w:tabs>
        <w:rPr>
          <w:rFonts w:cs="Arial"/>
          <w:sz w:val="22"/>
          <w:szCs w:val="22"/>
        </w:rPr>
      </w:pPr>
      <w:r w:rsidRPr="00145AA9">
        <w:rPr>
          <w:rFonts w:cs="Arial"/>
          <w:sz w:val="22"/>
          <w:szCs w:val="22"/>
        </w:rPr>
        <w:t>yazenalami@aep.com</w:t>
      </w:r>
    </w:p>
    <w:p w:rsidR="00EE4281" w:rsidRPr="00145AA9" w:rsidRDefault="00EE4281" w:rsidP="00EE4281">
      <w:pPr>
        <w:tabs>
          <w:tab w:val="left" w:pos="2160"/>
          <w:tab w:val="left" w:pos="2280"/>
        </w:tabs>
        <w:rPr>
          <w:rFonts w:cs="Arial"/>
          <w:sz w:val="22"/>
          <w:szCs w:val="22"/>
        </w:rPr>
      </w:pPr>
      <w:r w:rsidRPr="00145AA9">
        <w:rPr>
          <w:rFonts w:cs="Arial"/>
          <w:sz w:val="22"/>
          <w:szCs w:val="22"/>
        </w:rPr>
        <w:t>stnourse@aep.com</w:t>
      </w:r>
    </w:p>
    <w:p w:rsidR="00EE4281" w:rsidRPr="00145AA9" w:rsidRDefault="00EE4281" w:rsidP="00EE4281">
      <w:pPr>
        <w:tabs>
          <w:tab w:val="left" w:pos="2160"/>
          <w:tab w:val="left" w:pos="2280"/>
        </w:tabs>
        <w:rPr>
          <w:rFonts w:cs="Arial"/>
          <w:sz w:val="22"/>
          <w:szCs w:val="22"/>
        </w:rPr>
      </w:pPr>
    </w:p>
    <w:p w:rsidR="00EE4281" w:rsidRPr="00145AA9" w:rsidRDefault="00EE4281" w:rsidP="00EE4281">
      <w:pPr>
        <w:tabs>
          <w:tab w:val="left" w:pos="2160"/>
          <w:tab w:val="left" w:pos="2280"/>
        </w:tabs>
        <w:rPr>
          <w:rFonts w:cs="Arial"/>
          <w:b/>
          <w:smallCaps/>
          <w:sz w:val="22"/>
          <w:szCs w:val="22"/>
        </w:rPr>
      </w:pPr>
      <w:r w:rsidRPr="00145AA9">
        <w:rPr>
          <w:rFonts w:cs="Arial"/>
          <w:b/>
          <w:smallCaps/>
          <w:sz w:val="22"/>
          <w:szCs w:val="22"/>
        </w:rPr>
        <w:t>On Behalf of Columbus Southern Power Company and Ohio Power Company</w:t>
      </w:r>
    </w:p>
    <w:p w:rsidR="00EE4281" w:rsidRPr="00145AA9" w:rsidRDefault="00EE4281" w:rsidP="00EE4281">
      <w:pPr>
        <w:tabs>
          <w:tab w:val="left" w:pos="2160"/>
          <w:tab w:val="left" w:pos="2280"/>
        </w:tabs>
        <w:rPr>
          <w:rFonts w:cs="Arial"/>
          <w:sz w:val="22"/>
          <w:szCs w:val="22"/>
        </w:rPr>
      </w:pPr>
    </w:p>
    <w:p w:rsidR="00EE4281" w:rsidRPr="00145AA9" w:rsidRDefault="00EE4281" w:rsidP="00EE4281">
      <w:pPr>
        <w:ind w:right="144"/>
        <w:rPr>
          <w:rFonts w:cs="Arial"/>
          <w:sz w:val="22"/>
          <w:szCs w:val="22"/>
        </w:rPr>
      </w:pPr>
      <w:r w:rsidRPr="00145AA9">
        <w:rPr>
          <w:rFonts w:cs="Arial"/>
          <w:sz w:val="22"/>
          <w:szCs w:val="22"/>
        </w:rPr>
        <w:t>Mark A. Hayden</w:t>
      </w:r>
    </w:p>
    <w:p w:rsidR="00EE4281" w:rsidRPr="00145AA9" w:rsidRDefault="00EE4281" w:rsidP="00EE4281">
      <w:pPr>
        <w:ind w:right="144"/>
        <w:rPr>
          <w:rFonts w:cs="Arial"/>
          <w:sz w:val="22"/>
          <w:szCs w:val="22"/>
        </w:rPr>
      </w:pPr>
      <w:r w:rsidRPr="00145AA9">
        <w:rPr>
          <w:rFonts w:cs="Arial"/>
          <w:sz w:val="22"/>
          <w:szCs w:val="22"/>
        </w:rPr>
        <w:t>FirstEnergy Service Company</w:t>
      </w:r>
    </w:p>
    <w:p w:rsidR="00EE4281" w:rsidRPr="00145AA9" w:rsidRDefault="00EE4281" w:rsidP="00EE4281">
      <w:pPr>
        <w:ind w:right="144"/>
        <w:rPr>
          <w:rFonts w:cs="Arial"/>
          <w:sz w:val="22"/>
          <w:szCs w:val="22"/>
        </w:rPr>
      </w:pPr>
      <w:r w:rsidRPr="00145AA9">
        <w:rPr>
          <w:rFonts w:cs="Arial"/>
          <w:sz w:val="22"/>
          <w:szCs w:val="22"/>
        </w:rPr>
        <w:t>76 South Main Street</w:t>
      </w:r>
    </w:p>
    <w:p w:rsidR="00EE4281" w:rsidRPr="00145AA9" w:rsidRDefault="00EE4281" w:rsidP="00EE4281">
      <w:pPr>
        <w:tabs>
          <w:tab w:val="left" w:pos="2160"/>
          <w:tab w:val="left" w:pos="2280"/>
        </w:tabs>
        <w:rPr>
          <w:rFonts w:cs="Arial"/>
          <w:sz w:val="22"/>
          <w:szCs w:val="22"/>
        </w:rPr>
      </w:pPr>
      <w:r w:rsidRPr="00145AA9">
        <w:rPr>
          <w:rFonts w:cs="Arial"/>
          <w:sz w:val="22"/>
          <w:szCs w:val="22"/>
        </w:rPr>
        <w:t>Akron, OH  44308</w:t>
      </w:r>
    </w:p>
    <w:p w:rsidR="00EE4281" w:rsidRPr="00145AA9" w:rsidRDefault="00EE4281" w:rsidP="00EE4281">
      <w:pPr>
        <w:tabs>
          <w:tab w:val="left" w:pos="2160"/>
          <w:tab w:val="left" w:pos="2280"/>
        </w:tabs>
        <w:rPr>
          <w:rFonts w:cs="Arial"/>
          <w:sz w:val="22"/>
          <w:szCs w:val="22"/>
        </w:rPr>
      </w:pPr>
      <w:r w:rsidRPr="00145AA9">
        <w:rPr>
          <w:rFonts w:cs="Arial"/>
          <w:sz w:val="22"/>
          <w:szCs w:val="22"/>
        </w:rPr>
        <w:t>haydenm@firstenergycorp.com</w:t>
      </w:r>
    </w:p>
    <w:p w:rsidR="00EE4281" w:rsidRPr="00145AA9" w:rsidRDefault="00EE4281" w:rsidP="00EE4281">
      <w:pPr>
        <w:tabs>
          <w:tab w:val="left" w:pos="2160"/>
          <w:tab w:val="left" w:pos="2280"/>
        </w:tabs>
        <w:rPr>
          <w:rFonts w:cs="Arial"/>
          <w:sz w:val="22"/>
          <w:szCs w:val="22"/>
        </w:rPr>
      </w:pPr>
    </w:p>
    <w:p w:rsidR="00EE4281" w:rsidRPr="00145AA9" w:rsidRDefault="00EE4281" w:rsidP="00EE4281">
      <w:pPr>
        <w:autoSpaceDE w:val="0"/>
        <w:autoSpaceDN w:val="0"/>
        <w:adjustRightInd w:val="0"/>
        <w:rPr>
          <w:rFonts w:cs="Arial"/>
          <w:sz w:val="22"/>
          <w:szCs w:val="22"/>
        </w:rPr>
      </w:pPr>
      <w:r w:rsidRPr="00145AA9">
        <w:rPr>
          <w:rFonts w:cs="Arial"/>
          <w:sz w:val="22"/>
          <w:szCs w:val="22"/>
        </w:rPr>
        <w:t xml:space="preserve">James F. Lang </w:t>
      </w:r>
    </w:p>
    <w:p w:rsidR="00EE4281" w:rsidRPr="00145AA9" w:rsidRDefault="00EE4281" w:rsidP="00EE4281">
      <w:pPr>
        <w:autoSpaceDE w:val="0"/>
        <w:autoSpaceDN w:val="0"/>
        <w:adjustRightInd w:val="0"/>
        <w:rPr>
          <w:rFonts w:cs="Arial"/>
          <w:sz w:val="22"/>
          <w:szCs w:val="22"/>
        </w:rPr>
      </w:pPr>
      <w:r w:rsidRPr="00145AA9">
        <w:rPr>
          <w:rFonts w:cs="Arial"/>
          <w:sz w:val="22"/>
          <w:szCs w:val="22"/>
        </w:rPr>
        <w:t xml:space="preserve">Laura C. McBride </w:t>
      </w:r>
    </w:p>
    <w:p w:rsidR="00EE4281" w:rsidRPr="00145AA9" w:rsidRDefault="00145AA9" w:rsidP="00EE4281">
      <w:pPr>
        <w:autoSpaceDE w:val="0"/>
        <w:autoSpaceDN w:val="0"/>
        <w:adjustRightInd w:val="0"/>
        <w:rPr>
          <w:rFonts w:cs="Arial"/>
          <w:smallCaps/>
          <w:sz w:val="22"/>
          <w:szCs w:val="22"/>
        </w:rPr>
      </w:pPr>
      <w:r w:rsidRPr="00145AA9">
        <w:rPr>
          <w:rFonts w:cs="Arial"/>
          <w:smallCaps/>
          <w:sz w:val="22"/>
          <w:szCs w:val="22"/>
        </w:rPr>
        <w:t xml:space="preserve">Calfee, Halter &amp; </w:t>
      </w:r>
      <w:r w:rsidR="00EE4281" w:rsidRPr="00145AA9">
        <w:rPr>
          <w:rFonts w:cs="Arial"/>
          <w:smallCaps/>
          <w:sz w:val="22"/>
          <w:szCs w:val="22"/>
        </w:rPr>
        <w:t>Griswold LLP</w:t>
      </w:r>
    </w:p>
    <w:p w:rsidR="00EE4281" w:rsidRPr="00145AA9" w:rsidRDefault="00EE4281" w:rsidP="00EE4281">
      <w:pPr>
        <w:autoSpaceDE w:val="0"/>
        <w:autoSpaceDN w:val="0"/>
        <w:adjustRightInd w:val="0"/>
        <w:rPr>
          <w:rFonts w:cs="Arial"/>
          <w:sz w:val="22"/>
          <w:szCs w:val="22"/>
        </w:rPr>
      </w:pPr>
      <w:r w:rsidRPr="00145AA9">
        <w:rPr>
          <w:rFonts w:cs="Arial"/>
          <w:sz w:val="22"/>
          <w:szCs w:val="22"/>
        </w:rPr>
        <w:t>1400 KeyBank Center</w:t>
      </w:r>
    </w:p>
    <w:p w:rsidR="00EE4281" w:rsidRPr="00145AA9" w:rsidRDefault="00EE4281" w:rsidP="00EE4281">
      <w:pPr>
        <w:autoSpaceDE w:val="0"/>
        <w:autoSpaceDN w:val="0"/>
        <w:adjustRightInd w:val="0"/>
        <w:rPr>
          <w:rFonts w:cs="Arial"/>
          <w:sz w:val="22"/>
          <w:szCs w:val="22"/>
        </w:rPr>
      </w:pPr>
      <w:r w:rsidRPr="00145AA9">
        <w:rPr>
          <w:rFonts w:cs="Arial"/>
          <w:sz w:val="22"/>
          <w:szCs w:val="22"/>
        </w:rPr>
        <w:t>800 Superior Ave.</w:t>
      </w:r>
    </w:p>
    <w:p w:rsidR="00EE4281" w:rsidRPr="00145AA9" w:rsidRDefault="00EE4281" w:rsidP="00EE4281">
      <w:pPr>
        <w:autoSpaceDE w:val="0"/>
        <w:autoSpaceDN w:val="0"/>
        <w:adjustRightInd w:val="0"/>
        <w:rPr>
          <w:rFonts w:cs="Arial"/>
          <w:sz w:val="22"/>
          <w:szCs w:val="22"/>
        </w:rPr>
      </w:pPr>
      <w:r w:rsidRPr="00145AA9">
        <w:rPr>
          <w:rFonts w:cs="Arial"/>
          <w:sz w:val="22"/>
          <w:szCs w:val="22"/>
        </w:rPr>
        <w:t>Cleveland, OH 44114</w:t>
      </w:r>
    </w:p>
    <w:p w:rsidR="00EE4281" w:rsidRPr="00145AA9" w:rsidRDefault="00EE4281" w:rsidP="00EE4281">
      <w:pPr>
        <w:autoSpaceDE w:val="0"/>
        <w:autoSpaceDN w:val="0"/>
        <w:adjustRightInd w:val="0"/>
        <w:rPr>
          <w:rFonts w:cs="Arial"/>
          <w:sz w:val="22"/>
          <w:szCs w:val="22"/>
        </w:rPr>
      </w:pPr>
      <w:r w:rsidRPr="00145AA9">
        <w:rPr>
          <w:rFonts w:cs="Arial"/>
          <w:sz w:val="22"/>
          <w:szCs w:val="22"/>
        </w:rPr>
        <w:t>jlang@calfee.com</w:t>
      </w:r>
    </w:p>
    <w:p w:rsidR="00EE4281" w:rsidRPr="00145AA9" w:rsidRDefault="00EE4281" w:rsidP="00EE4281">
      <w:pPr>
        <w:autoSpaceDE w:val="0"/>
        <w:autoSpaceDN w:val="0"/>
        <w:adjustRightInd w:val="0"/>
        <w:rPr>
          <w:rFonts w:cs="Arial"/>
          <w:sz w:val="22"/>
          <w:szCs w:val="22"/>
        </w:rPr>
      </w:pPr>
      <w:r w:rsidRPr="00145AA9">
        <w:rPr>
          <w:rFonts w:cs="Arial"/>
          <w:sz w:val="22"/>
          <w:szCs w:val="22"/>
        </w:rPr>
        <w:t>lmcbride@calfee.com</w:t>
      </w:r>
    </w:p>
    <w:p w:rsidR="00EE4281" w:rsidRPr="00145AA9" w:rsidRDefault="00EE4281" w:rsidP="00EE4281">
      <w:pPr>
        <w:tabs>
          <w:tab w:val="left" w:pos="2160"/>
          <w:tab w:val="left" w:pos="2280"/>
        </w:tabs>
        <w:rPr>
          <w:rFonts w:cs="Arial"/>
          <w:sz w:val="22"/>
          <w:szCs w:val="22"/>
        </w:rPr>
      </w:pPr>
    </w:p>
    <w:p w:rsidR="00EE4281" w:rsidRPr="00145AA9" w:rsidRDefault="00EE4281" w:rsidP="00EE4281">
      <w:pPr>
        <w:tabs>
          <w:tab w:val="left" w:pos="2160"/>
          <w:tab w:val="left" w:pos="2280"/>
        </w:tabs>
        <w:rPr>
          <w:rFonts w:cs="Arial"/>
          <w:b/>
          <w:smallCaps/>
          <w:sz w:val="22"/>
          <w:szCs w:val="22"/>
        </w:rPr>
      </w:pPr>
      <w:r w:rsidRPr="00145AA9">
        <w:rPr>
          <w:rFonts w:cs="Arial"/>
          <w:b/>
          <w:smallCaps/>
          <w:sz w:val="22"/>
          <w:szCs w:val="22"/>
        </w:rPr>
        <w:t>On Behalf of FirstEnergy S</w:t>
      </w:r>
      <w:r w:rsidR="00145AA9" w:rsidRPr="00145AA9">
        <w:rPr>
          <w:rFonts w:cs="Arial"/>
          <w:b/>
          <w:smallCaps/>
          <w:sz w:val="22"/>
          <w:szCs w:val="22"/>
        </w:rPr>
        <w:t>olutions Corp.</w:t>
      </w:r>
    </w:p>
    <w:p w:rsidR="00EE4281" w:rsidRPr="00145AA9" w:rsidRDefault="00145AA9" w:rsidP="00EE4281">
      <w:pPr>
        <w:tabs>
          <w:tab w:val="left" w:pos="2160"/>
          <w:tab w:val="left" w:pos="2280"/>
        </w:tabs>
        <w:rPr>
          <w:rFonts w:cs="Arial"/>
          <w:sz w:val="22"/>
          <w:szCs w:val="22"/>
        </w:rPr>
      </w:pPr>
      <w:r>
        <w:rPr>
          <w:rFonts w:cs="Arial"/>
          <w:sz w:val="22"/>
          <w:szCs w:val="22"/>
        </w:rPr>
        <w:br w:type="column"/>
      </w:r>
    </w:p>
    <w:p w:rsidR="00EE4281" w:rsidRPr="00145AA9" w:rsidRDefault="00EE4281" w:rsidP="00EE4281">
      <w:pPr>
        <w:tabs>
          <w:tab w:val="left" w:pos="2160"/>
          <w:tab w:val="left" w:pos="2280"/>
        </w:tabs>
        <w:rPr>
          <w:rFonts w:cs="Arial"/>
          <w:sz w:val="22"/>
          <w:szCs w:val="22"/>
        </w:rPr>
      </w:pPr>
      <w:r w:rsidRPr="00145AA9">
        <w:rPr>
          <w:rFonts w:cs="Arial"/>
          <w:sz w:val="22"/>
          <w:szCs w:val="22"/>
        </w:rPr>
        <w:t>Jack D’Aurora</w:t>
      </w:r>
    </w:p>
    <w:p w:rsidR="00EE4281" w:rsidRPr="00145AA9" w:rsidRDefault="00EE4281" w:rsidP="00EE4281">
      <w:pPr>
        <w:tabs>
          <w:tab w:val="left" w:pos="2160"/>
          <w:tab w:val="left" w:pos="2280"/>
        </w:tabs>
        <w:rPr>
          <w:rFonts w:cs="Arial"/>
          <w:sz w:val="22"/>
          <w:szCs w:val="22"/>
        </w:rPr>
      </w:pPr>
      <w:r w:rsidRPr="00145AA9">
        <w:rPr>
          <w:rFonts w:cs="Arial"/>
          <w:sz w:val="22"/>
          <w:szCs w:val="22"/>
        </w:rPr>
        <w:t>The Behal Law Group LLC</w:t>
      </w:r>
    </w:p>
    <w:p w:rsidR="00EE4281" w:rsidRPr="00145AA9" w:rsidRDefault="00EE4281" w:rsidP="00EE4281">
      <w:pPr>
        <w:tabs>
          <w:tab w:val="left" w:pos="2160"/>
          <w:tab w:val="left" w:pos="2280"/>
        </w:tabs>
        <w:rPr>
          <w:rFonts w:cs="Arial"/>
          <w:sz w:val="22"/>
          <w:szCs w:val="22"/>
        </w:rPr>
      </w:pPr>
      <w:r w:rsidRPr="00145AA9">
        <w:rPr>
          <w:rFonts w:cs="Arial"/>
          <w:sz w:val="22"/>
          <w:szCs w:val="22"/>
        </w:rPr>
        <w:t>501 South High Street</w:t>
      </w:r>
    </w:p>
    <w:p w:rsidR="00EE4281" w:rsidRPr="00145AA9" w:rsidRDefault="00EE4281" w:rsidP="00EE4281">
      <w:pPr>
        <w:tabs>
          <w:tab w:val="left" w:pos="2160"/>
          <w:tab w:val="left" w:pos="2280"/>
        </w:tabs>
        <w:rPr>
          <w:rFonts w:cs="Arial"/>
          <w:sz w:val="22"/>
          <w:szCs w:val="22"/>
        </w:rPr>
      </w:pPr>
      <w:r w:rsidRPr="00145AA9">
        <w:rPr>
          <w:rFonts w:cs="Arial"/>
          <w:sz w:val="22"/>
          <w:szCs w:val="22"/>
        </w:rPr>
        <w:t>Columbus, OH  43215</w:t>
      </w:r>
    </w:p>
    <w:p w:rsidR="00EE4281" w:rsidRPr="00406685" w:rsidRDefault="00EE4281" w:rsidP="00EE4281">
      <w:pPr>
        <w:tabs>
          <w:tab w:val="left" w:pos="2160"/>
          <w:tab w:val="left" w:pos="2280"/>
        </w:tabs>
        <w:rPr>
          <w:rFonts w:cs="Arial"/>
          <w:color w:val="000000" w:themeColor="text1"/>
          <w:sz w:val="22"/>
          <w:szCs w:val="22"/>
        </w:rPr>
      </w:pPr>
      <w:r w:rsidRPr="002A2DF3">
        <w:rPr>
          <w:rFonts w:cs="Arial"/>
          <w:sz w:val="22"/>
          <w:szCs w:val="22"/>
        </w:rPr>
        <w:t>jdaurora@behallaw.com</w:t>
      </w:r>
    </w:p>
    <w:p w:rsidR="00EE4281" w:rsidRPr="00145AA9" w:rsidRDefault="00EE4281" w:rsidP="00EE4281">
      <w:pPr>
        <w:tabs>
          <w:tab w:val="left" w:pos="2160"/>
          <w:tab w:val="left" w:pos="2280"/>
        </w:tabs>
        <w:rPr>
          <w:rFonts w:cs="Arial"/>
          <w:sz w:val="22"/>
          <w:szCs w:val="22"/>
        </w:rPr>
      </w:pPr>
    </w:p>
    <w:p w:rsidR="00EE4281" w:rsidRPr="00145AA9" w:rsidRDefault="00EE4281" w:rsidP="00EE4281">
      <w:pPr>
        <w:tabs>
          <w:tab w:val="left" w:pos="2160"/>
          <w:tab w:val="left" w:pos="2280"/>
        </w:tabs>
        <w:rPr>
          <w:rFonts w:cs="Arial"/>
          <w:b/>
          <w:smallCaps/>
          <w:sz w:val="22"/>
          <w:szCs w:val="22"/>
        </w:rPr>
      </w:pPr>
      <w:r w:rsidRPr="00145AA9">
        <w:rPr>
          <w:rFonts w:cs="Arial"/>
          <w:b/>
          <w:smallCaps/>
          <w:sz w:val="22"/>
          <w:szCs w:val="22"/>
        </w:rPr>
        <w:t>On Behalf of University of Toledo Innovation Enterprises Corporation</w:t>
      </w:r>
    </w:p>
    <w:p w:rsidR="00EE4281" w:rsidRPr="00145AA9" w:rsidRDefault="00EE4281" w:rsidP="00EE4281">
      <w:pPr>
        <w:tabs>
          <w:tab w:val="left" w:pos="450"/>
          <w:tab w:val="left" w:pos="2160"/>
          <w:tab w:val="left" w:pos="2280"/>
        </w:tabs>
        <w:rPr>
          <w:rFonts w:cs="Arial"/>
          <w:sz w:val="22"/>
          <w:szCs w:val="22"/>
        </w:rPr>
      </w:pPr>
    </w:p>
    <w:p w:rsidR="00EE4281" w:rsidRPr="00145AA9" w:rsidRDefault="00EE4281" w:rsidP="00EE4281">
      <w:pPr>
        <w:tabs>
          <w:tab w:val="left" w:pos="450"/>
          <w:tab w:val="left" w:pos="2160"/>
          <w:tab w:val="left" w:pos="2280"/>
        </w:tabs>
        <w:rPr>
          <w:rFonts w:cs="Arial"/>
          <w:sz w:val="22"/>
          <w:szCs w:val="22"/>
        </w:rPr>
      </w:pPr>
      <w:r w:rsidRPr="00145AA9">
        <w:rPr>
          <w:rFonts w:cs="Arial"/>
          <w:sz w:val="22"/>
          <w:szCs w:val="22"/>
        </w:rPr>
        <w:t>M. Howard Petricoff</w:t>
      </w:r>
    </w:p>
    <w:p w:rsidR="00EE4281" w:rsidRPr="00145AA9" w:rsidRDefault="00EE4281" w:rsidP="00EE4281">
      <w:pPr>
        <w:tabs>
          <w:tab w:val="left" w:pos="450"/>
          <w:tab w:val="left" w:pos="2160"/>
          <w:tab w:val="left" w:pos="2280"/>
        </w:tabs>
        <w:rPr>
          <w:rFonts w:cs="Arial"/>
          <w:sz w:val="22"/>
          <w:szCs w:val="22"/>
        </w:rPr>
      </w:pPr>
      <w:r w:rsidRPr="00145AA9">
        <w:rPr>
          <w:rFonts w:cs="Arial"/>
          <w:sz w:val="22"/>
          <w:szCs w:val="22"/>
        </w:rPr>
        <w:t>Vorys, Sater, Seymour and Pease LLP</w:t>
      </w:r>
    </w:p>
    <w:p w:rsidR="00EE4281" w:rsidRPr="00145AA9" w:rsidRDefault="00EE4281" w:rsidP="00EE4281">
      <w:pPr>
        <w:tabs>
          <w:tab w:val="left" w:pos="450"/>
          <w:tab w:val="left" w:pos="2160"/>
          <w:tab w:val="left" w:pos="2280"/>
        </w:tabs>
        <w:rPr>
          <w:rFonts w:cs="Arial"/>
          <w:sz w:val="22"/>
          <w:szCs w:val="22"/>
        </w:rPr>
      </w:pPr>
      <w:r w:rsidRPr="00145AA9">
        <w:rPr>
          <w:rFonts w:cs="Arial"/>
          <w:sz w:val="22"/>
          <w:szCs w:val="22"/>
        </w:rPr>
        <w:t>52 E. Gay Street</w:t>
      </w:r>
    </w:p>
    <w:p w:rsidR="00EE4281" w:rsidRPr="00145AA9" w:rsidRDefault="00EE4281" w:rsidP="00EE4281">
      <w:pPr>
        <w:tabs>
          <w:tab w:val="left" w:pos="450"/>
          <w:tab w:val="left" w:pos="2160"/>
          <w:tab w:val="left" w:pos="2280"/>
        </w:tabs>
        <w:rPr>
          <w:rFonts w:cs="Arial"/>
          <w:sz w:val="22"/>
          <w:szCs w:val="22"/>
        </w:rPr>
      </w:pPr>
      <w:r w:rsidRPr="00145AA9">
        <w:rPr>
          <w:rFonts w:cs="Arial"/>
          <w:sz w:val="22"/>
          <w:szCs w:val="22"/>
        </w:rPr>
        <w:t>Columbus, OH  43215</w:t>
      </w:r>
    </w:p>
    <w:p w:rsidR="00EE4281" w:rsidRPr="00406685" w:rsidRDefault="00EE4281" w:rsidP="00EE4281">
      <w:pPr>
        <w:tabs>
          <w:tab w:val="left" w:pos="450"/>
          <w:tab w:val="left" w:pos="2160"/>
          <w:tab w:val="left" w:pos="2280"/>
        </w:tabs>
        <w:rPr>
          <w:rFonts w:cs="Arial"/>
          <w:color w:val="000000" w:themeColor="text1"/>
          <w:sz w:val="22"/>
          <w:szCs w:val="22"/>
        </w:rPr>
      </w:pPr>
      <w:r w:rsidRPr="002A2DF3">
        <w:rPr>
          <w:rFonts w:cs="Arial"/>
          <w:sz w:val="22"/>
          <w:szCs w:val="22"/>
        </w:rPr>
        <w:t>mhpetricof@vorys.com</w:t>
      </w:r>
    </w:p>
    <w:p w:rsidR="00EE4281" w:rsidRPr="00145AA9" w:rsidRDefault="00EE4281" w:rsidP="00EE4281">
      <w:pPr>
        <w:tabs>
          <w:tab w:val="left" w:pos="450"/>
          <w:tab w:val="left" w:pos="2160"/>
          <w:tab w:val="left" w:pos="2280"/>
        </w:tabs>
        <w:rPr>
          <w:rFonts w:cs="Arial"/>
          <w:sz w:val="22"/>
          <w:szCs w:val="22"/>
        </w:rPr>
      </w:pPr>
    </w:p>
    <w:p w:rsidR="00EE4281" w:rsidRPr="00145AA9" w:rsidRDefault="00EE4281" w:rsidP="00EE4281">
      <w:pPr>
        <w:tabs>
          <w:tab w:val="left" w:pos="450"/>
          <w:tab w:val="left" w:pos="2160"/>
          <w:tab w:val="left" w:pos="2280"/>
        </w:tabs>
        <w:rPr>
          <w:rFonts w:ascii="Arial Bold" w:hAnsi="Arial Bold" w:cs="Arial"/>
          <w:b/>
          <w:smallCaps/>
          <w:sz w:val="22"/>
          <w:szCs w:val="22"/>
        </w:rPr>
      </w:pPr>
      <w:r w:rsidRPr="00145AA9">
        <w:rPr>
          <w:rFonts w:ascii="Arial Bold" w:hAnsi="Arial Bold" w:cs="Arial"/>
          <w:b/>
          <w:smallCaps/>
          <w:sz w:val="22"/>
          <w:szCs w:val="22"/>
        </w:rPr>
        <w:t>On Behalf of Interstate Gas Supply, Inc. d/b/a IGS Energy and The Retail Energy Supply Association</w:t>
      </w:r>
    </w:p>
    <w:p w:rsidR="00EE4281" w:rsidRPr="00145AA9" w:rsidRDefault="00EE4281" w:rsidP="00EE4281">
      <w:pPr>
        <w:tabs>
          <w:tab w:val="left" w:pos="450"/>
        </w:tabs>
        <w:rPr>
          <w:rFonts w:cs="Arial"/>
          <w:sz w:val="22"/>
          <w:szCs w:val="22"/>
        </w:rPr>
      </w:pPr>
    </w:p>
    <w:p w:rsidR="00EE4281" w:rsidRPr="00145AA9" w:rsidRDefault="00EE4281" w:rsidP="00EE4281">
      <w:pPr>
        <w:rPr>
          <w:rFonts w:cs="Arial"/>
          <w:sz w:val="22"/>
          <w:szCs w:val="22"/>
        </w:rPr>
      </w:pPr>
      <w:r w:rsidRPr="00145AA9">
        <w:rPr>
          <w:rFonts w:cs="Arial"/>
          <w:sz w:val="22"/>
          <w:szCs w:val="22"/>
        </w:rPr>
        <w:t>Thomas W. McNamee</w:t>
      </w:r>
    </w:p>
    <w:p w:rsidR="00EE4281" w:rsidRPr="00145AA9" w:rsidRDefault="00EE4281" w:rsidP="00EE4281">
      <w:pPr>
        <w:tabs>
          <w:tab w:val="left" w:pos="2160"/>
          <w:tab w:val="left" w:pos="2280"/>
        </w:tabs>
        <w:rPr>
          <w:rFonts w:cs="Arial"/>
          <w:sz w:val="22"/>
          <w:szCs w:val="22"/>
        </w:rPr>
      </w:pPr>
      <w:r w:rsidRPr="00145AA9">
        <w:rPr>
          <w:rFonts w:cs="Arial"/>
          <w:sz w:val="22"/>
          <w:szCs w:val="22"/>
        </w:rPr>
        <w:t>Assistant Attorney General</w:t>
      </w:r>
    </w:p>
    <w:p w:rsidR="00EE4281" w:rsidRPr="00145AA9" w:rsidRDefault="00EE4281" w:rsidP="00EE4281">
      <w:pPr>
        <w:tabs>
          <w:tab w:val="left" w:pos="2160"/>
          <w:tab w:val="left" w:pos="2280"/>
        </w:tabs>
        <w:rPr>
          <w:rFonts w:cs="Arial"/>
          <w:sz w:val="22"/>
          <w:szCs w:val="22"/>
        </w:rPr>
      </w:pPr>
      <w:r w:rsidRPr="00145AA9">
        <w:rPr>
          <w:rFonts w:cs="Arial"/>
          <w:sz w:val="22"/>
          <w:szCs w:val="22"/>
        </w:rPr>
        <w:t>William Wright, Chief</w:t>
      </w:r>
    </w:p>
    <w:p w:rsidR="00EE4281" w:rsidRPr="00145AA9" w:rsidRDefault="00EE4281" w:rsidP="00EE4281">
      <w:pPr>
        <w:tabs>
          <w:tab w:val="left" w:pos="2160"/>
          <w:tab w:val="left" w:pos="2280"/>
        </w:tabs>
        <w:rPr>
          <w:rFonts w:cs="Arial"/>
          <w:sz w:val="22"/>
          <w:szCs w:val="22"/>
        </w:rPr>
      </w:pPr>
      <w:r w:rsidRPr="00145AA9">
        <w:rPr>
          <w:rFonts w:cs="Arial"/>
          <w:sz w:val="22"/>
          <w:szCs w:val="22"/>
        </w:rPr>
        <w:t>Public Utilities Section</w:t>
      </w:r>
    </w:p>
    <w:p w:rsidR="00EE4281" w:rsidRPr="00145AA9" w:rsidRDefault="00EE4281" w:rsidP="00EE4281">
      <w:pPr>
        <w:tabs>
          <w:tab w:val="left" w:pos="2160"/>
          <w:tab w:val="left" w:pos="2280"/>
        </w:tabs>
        <w:rPr>
          <w:rFonts w:cs="Arial"/>
          <w:sz w:val="22"/>
          <w:szCs w:val="22"/>
        </w:rPr>
      </w:pPr>
      <w:r w:rsidRPr="00145AA9">
        <w:rPr>
          <w:rFonts w:cs="Arial"/>
          <w:sz w:val="22"/>
          <w:szCs w:val="22"/>
        </w:rPr>
        <w:t>180 E. Broad Street, 6</w:t>
      </w:r>
      <w:r w:rsidRPr="00145AA9">
        <w:rPr>
          <w:rFonts w:cs="Arial"/>
          <w:sz w:val="22"/>
          <w:szCs w:val="22"/>
          <w:vertAlign w:val="superscript"/>
        </w:rPr>
        <w:t>th</w:t>
      </w:r>
      <w:r w:rsidRPr="00145AA9">
        <w:rPr>
          <w:rFonts w:cs="Arial"/>
          <w:sz w:val="22"/>
          <w:szCs w:val="22"/>
        </w:rPr>
        <w:t xml:space="preserve"> Floor</w:t>
      </w:r>
    </w:p>
    <w:p w:rsidR="00EE4281" w:rsidRPr="00145AA9" w:rsidRDefault="00EE4281" w:rsidP="00EE4281">
      <w:pPr>
        <w:tabs>
          <w:tab w:val="left" w:pos="2160"/>
          <w:tab w:val="left" w:pos="2280"/>
        </w:tabs>
        <w:rPr>
          <w:rFonts w:cs="Arial"/>
          <w:sz w:val="22"/>
          <w:szCs w:val="22"/>
        </w:rPr>
      </w:pPr>
      <w:r w:rsidRPr="00145AA9">
        <w:rPr>
          <w:rFonts w:cs="Arial"/>
          <w:sz w:val="22"/>
          <w:szCs w:val="22"/>
        </w:rPr>
        <w:t>Columbus, OH  43215-3793</w:t>
      </w:r>
    </w:p>
    <w:p w:rsidR="00EE4281" w:rsidRPr="00145AA9" w:rsidRDefault="00EE4281" w:rsidP="00EE4281">
      <w:pPr>
        <w:tabs>
          <w:tab w:val="left" w:pos="2160"/>
          <w:tab w:val="left" w:pos="2280"/>
        </w:tabs>
        <w:rPr>
          <w:rFonts w:cs="Arial"/>
          <w:sz w:val="22"/>
          <w:szCs w:val="22"/>
        </w:rPr>
      </w:pPr>
      <w:r w:rsidRPr="00145AA9">
        <w:rPr>
          <w:rFonts w:cs="Arial"/>
          <w:sz w:val="22"/>
          <w:szCs w:val="22"/>
        </w:rPr>
        <w:t>thomas.mcnamee@puc.state.oh.us</w:t>
      </w:r>
    </w:p>
    <w:p w:rsidR="00EE4281" w:rsidRPr="00145AA9" w:rsidRDefault="00EE4281" w:rsidP="00EE4281">
      <w:pPr>
        <w:tabs>
          <w:tab w:val="left" w:pos="2160"/>
          <w:tab w:val="left" w:pos="2280"/>
        </w:tabs>
        <w:rPr>
          <w:rFonts w:cs="Arial"/>
          <w:sz w:val="22"/>
          <w:szCs w:val="22"/>
        </w:rPr>
      </w:pPr>
    </w:p>
    <w:p w:rsidR="00EE4281" w:rsidRPr="00145AA9" w:rsidRDefault="00EE4281" w:rsidP="00EE4281">
      <w:pPr>
        <w:tabs>
          <w:tab w:val="left" w:pos="2160"/>
          <w:tab w:val="left" w:pos="2280"/>
        </w:tabs>
        <w:rPr>
          <w:rFonts w:cs="Arial"/>
          <w:b/>
          <w:smallCaps/>
          <w:sz w:val="22"/>
          <w:szCs w:val="22"/>
        </w:rPr>
      </w:pPr>
      <w:r w:rsidRPr="00145AA9">
        <w:rPr>
          <w:rFonts w:cs="Arial"/>
          <w:b/>
          <w:smallCaps/>
          <w:sz w:val="22"/>
          <w:szCs w:val="22"/>
        </w:rPr>
        <w:t>On Behalf of the Staff of the Public Utilities Commission of Ohio</w:t>
      </w:r>
    </w:p>
    <w:p w:rsidR="00145AA9" w:rsidRPr="00145AA9" w:rsidRDefault="00145AA9" w:rsidP="00EE4281">
      <w:pPr>
        <w:tabs>
          <w:tab w:val="left" w:pos="2160"/>
          <w:tab w:val="left" w:pos="2280"/>
        </w:tabs>
        <w:rPr>
          <w:rFonts w:cs="Arial"/>
          <w:sz w:val="22"/>
          <w:szCs w:val="22"/>
        </w:rPr>
      </w:pPr>
    </w:p>
    <w:p w:rsidR="00EE4281" w:rsidRPr="00145AA9" w:rsidRDefault="00EE4281" w:rsidP="00EE4281">
      <w:pPr>
        <w:tabs>
          <w:tab w:val="left" w:pos="2160"/>
          <w:tab w:val="left" w:pos="2280"/>
        </w:tabs>
        <w:rPr>
          <w:rFonts w:cs="Arial"/>
          <w:sz w:val="22"/>
          <w:szCs w:val="22"/>
        </w:rPr>
      </w:pPr>
      <w:r w:rsidRPr="00145AA9">
        <w:rPr>
          <w:rFonts w:cs="Arial"/>
          <w:sz w:val="22"/>
          <w:szCs w:val="22"/>
        </w:rPr>
        <w:t>Greta See</w:t>
      </w:r>
    </w:p>
    <w:p w:rsidR="00EE4281" w:rsidRPr="00145AA9" w:rsidRDefault="00EE4281" w:rsidP="00EE4281">
      <w:pPr>
        <w:tabs>
          <w:tab w:val="left" w:pos="2160"/>
          <w:tab w:val="left" w:pos="2280"/>
        </w:tabs>
        <w:rPr>
          <w:rFonts w:cs="Arial"/>
          <w:sz w:val="22"/>
          <w:szCs w:val="22"/>
        </w:rPr>
      </w:pPr>
      <w:r w:rsidRPr="00145AA9">
        <w:rPr>
          <w:rFonts w:cs="Arial"/>
          <w:sz w:val="22"/>
          <w:szCs w:val="22"/>
        </w:rPr>
        <w:t>Sarah Parrott</w:t>
      </w:r>
    </w:p>
    <w:p w:rsidR="00EE4281" w:rsidRPr="00145AA9" w:rsidRDefault="00EE4281" w:rsidP="00EE4281">
      <w:pPr>
        <w:tabs>
          <w:tab w:val="left" w:pos="2160"/>
          <w:tab w:val="left" w:pos="2280"/>
        </w:tabs>
        <w:rPr>
          <w:rFonts w:cs="Arial"/>
          <w:sz w:val="22"/>
          <w:szCs w:val="22"/>
        </w:rPr>
      </w:pPr>
      <w:r w:rsidRPr="00145AA9">
        <w:rPr>
          <w:rFonts w:cs="Arial"/>
          <w:sz w:val="22"/>
          <w:szCs w:val="22"/>
        </w:rPr>
        <w:t>Attorney Examiners</w:t>
      </w:r>
    </w:p>
    <w:p w:rsidR="00EE4281" w:rsidRPr="00145AA9" w:rsidRDefault="00EE4281" w:rsidP="00EE4281">
      <w:pPr>
        <w:tabs>
          <w:tab w:val="left" w:pos="2160"/>
          <w:tab w:val="left" w:pos="2280"/>
        </w:tabs>
        <w:rPr>
          <w:rFonts w:cs="Arial"/>
          <w:sz w:val="22"/>
          <w:szCs w:val="22"/>
        </w:rPr>
      </w:pPr>
      <w:r w:rsidRPr="00145AA9">
        <w:rPr>
          <w:rFonts w:cs="Arial"/>
          <w:sz w:val="22"/>
          <w:szCs w:val="22"/>
        </w:rPr>
        <w:t>Public Utilities Commission of Ohio</w:t>
      </w:r>
    </w:p>
    <w:p w:rsidR="00EE4281" w:rsidRPr="00145AA9" w:rsidRDefault="00EE4281" w:rsidP="00EE4281">
      <w:pPr>
        <w:tabs>
          <w:tab w:val="left" w:pos="2160"/>
          <w:tab w:val="left" w:pos="2280"/>
        </w:tabs>
        <w:rPr>
          <w:rFonts w:cs="Arial"/>
          <w:sz w:val="22"/>
          <w:szCs w:val="22"/>
        </w:rPr>
      </w:pPr>
      <w:r w:rsidRPr="00145AA9">
        <w:rPr>
          <w:rFonts w:cs="Arial"/>
          <w:sz w:val="22"/>
          <w:szCs w:val="22"/>
        </w:rPr>
        <w:t>180 E. Broad Street, 12</w:t>
      </w:r>
      <w:r w:rsidRPr="00145AA9">
        <w:rPr>
          <w:rFonts w:cs="Arial"/>
          <w:sz w:val="22"/>
          <w:szCs w:val="22"/>
          <w:vertAlign w:val="superscript"/>
        </w:rPr>
        <w:t>th</w:t>
      </w:r>
      <w:r w:rsidRPr="00145AA9">
        <w:rPr>
          <w:rFonts w:cs="Arial"/>
          <w:sz w:val="22"/>
          <w:szCs w:val="22"/>
        </w:rPr>
        <w:t xml:space="preserve"> Floor</w:t>
      </w:r>
    </w:p>
    <w:p w:rsidR="00EE4281" w:rsidRPr="00145AA9" w:rsidRDefault="00EE4281" w:rsidP="00EE4281">
      <w:pPr>
        <w:tabs>
          <w:tab w:val="left" w:pos="2160"/>
          <w:tab w:val="left" w:pos="2280"/>
        </w:tabs>
        <w:rPr>
          <w:rFonts w:cs="Arial"/>
          <w:sz w:val="22"/>
          <w:szCs w:val="22"/>
        </w:rPr>
      </w:pPr>
      <w:r w:rsidRPr="00145AA9">
        <w:rPr>
          <w:rFonts w:cs="Arial"/>
          <w:sz w:val="22"/>
          <w:szCs w:val="22"/>
        </w:rPr>
        <w:t>Columbus, OH  43215-3793</w:t>
      </w:r>
    </w:p>
    <w:p w:rsidR="00EE4281" w:rsidRPr="00145AA9" w:rsidRDefault="00EE4281" w:rsidP="00EE4281">
      <w:pPr>
        <w:tabs>
          <w:tab w:val="left" w:pos="2160"/>
          <w:tab w:val="left" w:pos="2280"/>
        </w:tabs>
        <w:rPr>
          <w:rFonts w:cs="Arial"/>
          <w:sz w:val="22"/>
          <w:szCs w:val="22"/>
        </w:rPr>
      </w:pPr>
      <w:r w:rsidRPr="00145AA9">
        <w:rPr>
          <w:rFonts w:cs="Arial"/>
          <w:sz w:val="22"/>
          <w:szCs w:val="22"/>
        </w:rPr>
        <w:t>Greta.See@puc.state.oh.us</w:t>
      </w:r>
    </w:p>
    <w:p w:rsidR="00EE4281" w:rsidRPr="00145AA9" w:rsidRDefault="00EE4281" w:rsidP="00EE4281">
      <w:pPr>
        <w:tabs>
          <w:tab w:val="left" w:pos="2160"/>
          <w:tab w:val="left" w:pos="2280"/>
        </w:tabs>
        <w:rPr>
          <w:rFonts w:cs="Arial"/>
          <w:sz w:val="22"/>
          <w:szCs w:val="22"/>
        </w:rPr>
      </w:pPr>
      <w:r w:rsidRPr="00145AA9">
        <w:rPr>
          <w:rFonts w:cs="Arial"/>
          <w:sz w:val="22"/>
          <w:szCs w:val="22"/>
        </w:rPr>
        <w:t>Sarah.Parrot@puc.state.oh.us</w:t>
      </w:r>
    </w:p>
    <w:sectPr w:rsidR="00EE4281" w:rsidRPr="00145AA9" w:rsidSect="00BE31C7">
      <w:headerReference w:type="default" r:id="rId32"/>
      <w:footerReference w:type="default" r:id="rId33"/>
      <w:headerReference w:type="first" r:id="rId34"/>
      <w:footerReference w:type="first" r:id="rId35"/>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384" w:rsidRDefault="00A27384" w:rsidP="004A6E10">
      <w:r>
        <w:separator/>
      </w:r>
    </w:p>
  </w:endnote>
  <w:endnote w:type="continuationSeparator" w:id="0">
    <w:p w:rsidR="00A27384" w:rsidRDefault="00A27384" w:rsidP="004A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F3" w:rsidRDefault="002A2DF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84" w:rsidRDefault="00A2738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84" w:rsidRPr="00F16EE5" w:rsidRDefault="00A76247">
    <w:pPr>
      <w:pStyle w:val="Footer"/>
    </w:pPr>
    <w:r w:rsidRPr="00A76247">
      <w:rPr>
        <w:noProof/>
        <w:sz w:val="16"/>
      </w:rPr>
      <w:t>{C39658:4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84" w:rsidRPr="00F16EE5" w:rsidRDefault="00A76247">
    <w:pPr>
      <w:pStyle w:val="Footer"/>
    </w:pPr>
    <w:r w:rsidRPr="00A76247">
      <w:rPr>
        <w:noProof/>
        <w:sz w:val="16"/>
      </w:rPr>
      <w:t>{C39658:4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D3" w:rsidRPr="00F16EE5" w:rsidRDefault="00A76247">
    <w:pPr>
      <w:pStyle w:val="Footer"/>
    </w:pPr>
    <w:r w:rsidRPr="00A76247">
      <w:rPr>
        <w:noProof/>
        <w:sz w:val="16"/>
      </w:rPr>
      <w:t>{C39658:4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D3" w:rsidRPr="00F16EE5" w:rsidRDefault="00A76247">
    <w:pPr>
      <w:pStyle w:val="Footer"/>
    </w:pPr>
    <w:r w:rsidRPr="00A76247">
      <w:rPr>
        <w:noProof/>
        <w:sz w:val="16"/>
      </w:rPr>
      <w:t>{C39658:4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84" w:rsidRPr="00A4168D" w:rsidRDefault="00A76247" w:rsidP="00345A39">
    <w:pPr>
      <w:pStyle w:val="Footer"/>
    </w:pPr>
    <w:r w:rsidRPr="00A76247">
      <w:rPr>
        <w:noProof/>
        <w:sz w:val="16"/>
      </w:rPr>
      <w:t>{C39658:4 }</w:t>
    </w:r>
    <w:sdt>
      <w:sdtPr>
        <w:id w:val="-2075649541"/>
        <w:docPartObj>
          <w:docPartGallery w:val="Page Numbers (Bottom of Page)"/>
          <w:docPartUnique/>
        </w:docPartObj>
      </w:sdtPr>
      <w:sdtEndPr>
        <w:rPr>
          <w:noProof/>
        </w:rPr>
      </w:sdtEndPr>
      <w:sdtContent>
        <w:r w:rsidR="00A27384">
          <w:tab/>
        </w:r>
      </w:sdtContent>
    </w:sdt>
  </w:p>
  <w:p w:rsidR="00A27384" w:rsidRPr="00A4168D" w:rsidRDefault="00A273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F3" w:rsidRDefault="002A2D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97" w:rsidRPr="00866E97" w:rsidRDefault="00A76247">
    <w:pPr>
      <w:pStyle w:val="Footer"/>
      <w:jc w:val="center"/>
    </w:pPr>
    <w:r w:rsidRPr="00A76247">
      <w:rPr>
        <w:noProof/>
        <w:sz w:val="16"/>
      </w:rPr>
      <w:t>{C39658:4 }</w:t>
    </w:r>
    <w:sdt>
      <w:sdtPr>
        <w:id w:val="1433629970"/>
        <w:docPartObj>
          <w:docPartGallery w:val="Page Numbers (Bottom of Page)"/>
          <w:docPartUnique/>
        </w:docPartObj>
      </w:sdtPr>
      <w:sdtEndPr>
        <w:rPr>
          <w:noProof/>
        </w:rPr>
      </w:sdtEndPr>
      <w:sdtContent>
        <w:r w:rsidR="00866E97" w:rsidRPr="00866E97">
          <w:fldChar w:fldCharType="begin"/>
        </w:r>
        <w:r w:rsidR="00866E97" w:rsidRPr="00866E97">
          <w:instrText xml:space="preserve"> PAGE   \* MERGEFORMAT </w:instrText>
        </w:r>
        <w:r w:rsidR="00866E97" w:rsidRPr="00866E97">
          <w:fldChar w:fldCharType="separate"/>
        </w:r>
        <w:r w:rsidR="002A2DF3">
          <w:rPr>
            <w:noProof/>
          </w:rPr>
          <w:t>i</w:t>
        </w:r>
        <w:r w:rsidR="00866E97" w:rsidRPr="00866E97">
          <w:rPr>
            <w:noProof/>
          </w:rPr>
          <w:fldChar w:fldCharType="end"/>
        </w:r>
      </w:sdtContent>
    </w:sdt>
  </w:p>
  <w:p w:rsidR="00A27384" w:rsidRPr="00866E97" w:rsidRDefault="00A2738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97" w:rsidRPr="00866E97" w:rsidRDefault="00A76247" w:rsidP="00630941">
    <w:pPr>
      <w:pStyle w:val="Footer"/>
    </w:pPr>
    <w:r w:rsidRPr="00A76247">
      <w:rPr>
        <w:noProof/>
        <w:sz w:val="16"/>
      </w:rPr>
      <w:t>{C39658:4 }</w:t>
    </w:r>
    <w:sdt>
      <w:sdtPr>
        <w:id w:val="261732659"/>
        <w:docPartObj>
          <w:docPartGallery w:val="Page Numbers (Bottom of Page)"/>
          <w:docPartUnique/>
        </w:docPartObj>
      </w:sdtPr>
      <w:sdtEndPr>
        <w:rPr>
          <w:noProof/>
        </w:rPr>
      </w:sdtEndPr>
      <w:sdtContent>
        <w:r w:rsidR="00630941">
          <w:tab/>
        </w:r>
        <w:r w:rsidR="00866E97" w:rsidRPr="00866E97">
          <w:fldChar w:fldCharType="begin"/>
        </w:r>
        <w:r w:rsidR="00866E97" w:rsidRPr="00866E97">
          <w:instrText xml:space="preserve"> PAGE   \* MERGEFORMAT </w:instrText>
        </w:r>
        <w:r w:rsidR="00866E97" w:rsidRPr="00866E97">
          <w:fldChar w:fldCharType="separate"/>
        </w:r>
        <w:r w:rsidR="002A2DF3">
          <w:rPr>
            <w:noProof/>
          </w:rPr>
          <w:t>i</w:t>
        </w:r>
        <w:r w:rsidR="00866E97" w:rsidRPr="00866E97">
          <w:rPr>
            <w:noProof/>
          </w:rPr>
          <w:fldChar w:fldCharType="end"/>
        </w:r>
      </w:sdtContent>
    </w:sdt>
  </w:p>
  <w:p w:rsidR="00A27384" w:rsidRPr="00866E97" w:rsidRDefault="00A2738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84" w:rsidRPr="00C63F63" w:rsidRDefault="00A76247" w:rsidP="00010A30">
    <w:pPr>
      <w:pStyle w:val="Footer"/>
    </w:pPr>
    <w:r w:rsidRPr="00A76247">
      <w:rPr>
        <w:noProof/>
        <w:sz w:val="16"/>
      </w:rPr>
      <w:t>{C39658:4 }</w:t>
    </w:r>
    <w:sdt>
      <w:sdtPr>
        <w:id w:val="-1972272700"/>
        <w:docPartObj>
          <w:docPartGallery w:val="Page Numbers (Bottom of Page)"/>
          <w:docPartUnique/>
        </w:docPartObj>
      </w:sdtPr>
      <w:sdtEndPr>
        <w:rPr>
          <w:noProof/>
        </w:rPr>
      </w:sdtEndPr>
      <w:sdtContent>
        <w:r w:rsidR="00A27384">
          <w:tab/>
        </w:r>
        <w:r w:rsidR="00A27384" w:rsidRPr="00C63F63">
          <w:fldChar w:fldCharType="begin"/>
        </w:r>
        <w:r w:rsidR="00A27384" w:rsidRPr="00C63F63">
          <w:instrText xml:space="preserve"> PAGE   \* MERGEFORMAT </w:instrText>
        </w:r>
        <w:r w:rsidR="00A27384" w:rsidRPr="00C63F63">
          <w:fldChar w:fldCharType="separate"/>
        </w:r>
        <w:r w:rsidR="002A2DF3">
          <w:rPr>
            <w:noProof/>
          </w:rPr>
          <w:t>i</w:t>
        </w:r>
        <w:r w:rsidR="00A27384" w:rsidRPr="00C63F63">
          <w:rPr>
            <w:noProof/>
          </w:rPr>
          <w:fldChar w:fldCharType="end"/>
        </w:r>
      </w:sdtContent>
    </w:sdt>
  </w:p>
  <w:p w:rsidR="00A27384" w:rsidRPr="00C63F63" w:rsidRDefault="00A2738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D3" w:rsidRPr="005F78F5" w:rsidRDefault="00A76247" w:rsidP="001903AA">
    <w:pPr>
      <w:pStyle w:val="Footer"/>
    </w:pPr>
    <w:r w:rsidRPr="00A76247">
      <w:rPr>
        <w:noProof/>
        <w:sz w:val="16"/>
      </w:rPr>
      <w:t>{C39658:4 }</w:t>
    </w:r>
    <w:sdt>
      <w:sdtPr>
        <w:id w:val="823623722"/>
        <w:docPartObj>
          <w:docPartGallery w:val="Page Numbers (Bottom of Page)"/>
          <w:docPartUnique/>
        </w:docPartObj>
      </w:sdtPr>
      <w:sdtEndPr>
        <w:rPr>
          <w:noProof/>
        </w:rPr>
      </w:sdtEndPr>
      <w:sdtContent>
        <w:r w:rsidR="001903AA">
          <w:tab/>
        </w:r>
        <w:r w:rsidR="00D87DD3" w:rsidRPr="005F78F5">
          <w:fldChar w:fldCharType="begin"/>
        </w:r>
        <w:r w:rsidR="00D87DD3" w:rsidRPr="005F78F5">
          <w:instrText xml:space="preserve"> PAGE   \* MERGEFORMAT </w:instrText>
        </w:r>
        <w:r w:rsidR="00D87DD3" w:rsidRPr="005F78F5">
          <w:fldChar w:fldCharType="separate"/>
        </w:r>
        <w:r w:rsidR="002A2DF3">
          <w:rPr>
            <w:noProof/>
          </w:rPr>
          <w:t>i</w:t>
        </w:r>
        <w:r w:rsidR="00D87DD3" w:rsidRPr="005F78F5">
          <w:rPr>
            <w:noProof/>
          </w:rPr>
          <w:fldChar w:fldCharType="end"/>
        </w:r>
      </w:sdtContent>
    </w:sdt>
  </w:p>
  <w:p w:rsidR="00A27384" w:rsidRPr="005F78F5" w:rsidRDefault="00A2738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D3" w:rsidRPr="005F78F5" w:rsidRDefault="00A76247" w:rsidP="001903AA">
    <w:pPr>
      <w:pStyle w:val="Footer"/>
    </w:pPr>
    <w:r w:rsidRPr="00A76247">
      <w:rPr>
        <w:noProof/>
        <w:sz w:val="16"/>
      </w:rPr>
      <w:t>{C39658:4 }</w:t>
    </w:r>
    <w:sdt>
      <w:sdtPr>
        <w:id w:val="-810484914"/>
        <w:docPartObj>
          <w:docPartGallery w:val="Page Numbers (Bottom of Page)"/>
          <w:docPartUnique/>
        </w:docPartObj>
      </w:sdtPr>
      <w:sdtEndPr>
        <w:rPr>
          <w:noProof/>
        </w:rPr>
      </w:sdtEndPr>
      <w:sdtContent>
        <w:r w:rsidR="001903AA">
          <w:tab/>
        </w:r>
        <w:r w:rsidR="00D87DD3" w:rsidRPr="005F78F5">
          <w:fldChar w:fldCharType="begin"/>
        </w:r>
        <w:r w:rsidR="00D87DD3" w:rsidRPr="005F78F5">
          <w:instrText xml:space="preserve"> PAGE   \* MERGEFORMAT </w:instrText>
        </w:r>
        <w:r w:rsidR="00D87DD3" w:rsidRPr="005F78F5">
          <w:fldChar w:fldCharType="separate"/>
        </w:r>
        <w:r w:rsidR="002A2DF3">
          <w:rPr>
            <w:noProof/>
          </w:rPr>
          <w:t>13</w:t>
        </w:r>
        <w:r w:rsidR="00D87DD3" w:rsidRPr="005F78F5">
          <w:rPr>
            <w:noProof/>
          </w:rPr>
          <w:fldChar w:fldCharType="end"/>
        </w:r>
      </w:sdtContent>
    </w:sdt>
  </w:p>
  <w:p w:rsidR="00D87DD3" w:rsidRPr="005F78F5" w:rsidRDefault="00D87DD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D3" w:rsidRPr="005F78F5" w:rsidRDefault="00A76247" w:rsidP="00EC51E2">
    <w:pPr>
      <w:pStyle w:val="Footer"/>
    </w:pPr>
    <w:r w:rsidRPr="00A76247">
      <w:rPr>
        <w:noProof/>
        <w:sz w:val="16"/>
      </w:rPr>
      <w:t>{C39658:4 }</w:t>
    </w:r>
  </w:p>
  <w:p w:rsidR="00D87DD3" w:rsidRPr="005F78F5" w:rsidRDefault="00D87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384" w:rsidRDefault="00A27384" w:rsidP="004A6E10">
      <w:pPr>
        <w:rPr>
          <w:noProof/>
        </w:rPr>
      </w:pPr>
      <w:r>
        <w:rPr>
          <w:noProof/>
        </w:rPr>
        <w:separator/>
      </w:r>
    </w:p>
  </w:footnote>
  <w:footnote w:type="continuationSeparator" w:id="0">
    <w:p w:rsidR="00A27384" w:rsidRDefault="00A27384" w:rsidP="004A6E10">
      <w:r>
        <w:continuationSeparator/>
      </w:r>
    </w:p>
  </w:footnote>
  <w:footnote w:id="1">
    <w:p w:rsidR="000D4DF5" w:rsidRDefault="000D4DF5" w:rsidP="000D4DF5">
      <w:pPr>
        <w:pStyle w:val="FootnoteText"/>
        <w:jc w:val="both"/>
        <w:rPr>
          <w:rFonts w:cs="Arial"/>
        </w:rPr>
      </w:pPr>
      <w:r>
        <w:rPr>
          <w:rStyle w:val="FootnoteReference"/>
        </w:rPr>
        <w:footnoteRef/>
      </w:r>
      <w:r>
        <w:rPr>
          <w:rFonts w:cs="Arial"/>
        </w:rPr>
        <w:t xml:space="preserve"> </w:t>
      </w:r>
      <w:r>
        <w:rPr>
          <w:rFonts w:cs="Arial"/>
          <w:i/>
        </w:rPr>
        <w:t xml:space="preserve">In the Matter of the </w:t>
      </w:r>
      <w:r w:rsidR="006A6DE9">
        <w:rPr>
          <w:rFonts w:cs="Arial"/>
          <w:i/>
        </w:rPr>
        <w:t xml:space="preserve">2010 </w:t>
      </w:r>
      <w:r>
        <w:rPr>
          <w:rFonts w:cs="Arial"/>
          <w:i/>
        </w:rPr>
        <w:t>Long</w:t>
      </w:r>
      <w:r w:rsidR="006A6DE9">
        <w:rPr>
          <w:rFonts w:cs="Arial"/>
          <w:i/>
        </w:rPr>
        <w:t>-</w:t>
      </w:r>
      <w:r>
        <w:rPr>
          <w:rFonts w:cs="Arial"/>
          <w:i/>
        </w:rPr>
        <w:t>Term Forecast Report of Dayton Power and Light Company and Related Matters</w:t>
      </w:r>
      <w:r>
        <w:rPr>
          <w:rFonts w:cs="Arial"/>
        </w:rPr>
        <w:t xml:space="preserve">, Case No. 10-505-EL-FOR, Stipulation and Recommendation at 2 (Jan. 14, 2011) (hereinafter </w:t>
      </w:r>
      <w:r w:rsidRPr="00030B58">
        <w:rPr>
          <w:rFonts w:cs="Arial"/>
        </w:rPr>
        <w:t>“</w:t>
      </w:r>
      <w:r w:rsidR="000536FC">
        <w:rPr>
          <w:rFonts w:cs="Arial"/>
          <w:i/>
        </w:rPr>
        <w:t>Yankee Solar</w:t>
      </w:r>
      <w:r w:rsidRPr="00030B58">
        <w:rPr>
          <w:rFonts w:cs="Arial"/>
        </w:rPr>
        <w:t>”</w:t>
      </w:r>
      <w:r>
        <w:rPr>
          <w:rFonts w:cs="Arial"/>
        </w:rPr>
        <w:t>) (emphasis added).</w:t>
      </w:r>
    </w:p>
    <w:p w:rsidR="000D4DF5" w:rsidRDefault="000D4DF5" w:rsidP="000D4DF5">
      <w:pPr>
        <w:pStyle w:val="FootnoteText"/>
        <w:jc w:val="both"/>
        <w:rPr>
          <w:rFonts w:cs="Arial"/>
        </w:rPr>
      </w:pPr>
    </w:p>
  </w:footnote>
  <w:footnote w:id="2">
    <w:p w:rsidR="000D4DF5" w:rsidRDefault="000D4DF5" w:rsidP="000D4DF5">
      <w:pPr>
        <w:pStyle w:val="FootnoteText"/>
        <w:jc w:val="both"/>
        <w:rPr>
          <w:rFonts w:eastAsia="Times New Roman" w:cs="Arial"/>
        </w:rPr>
      </w:pPr>
      <w:r>
        <w:rPr>
          <w:rStyle w:val="FootnoteReference"/>
        </w:rPr>
        <w:footnoteRef/>
      </w:r>
      <w:r>
        <w:rPr>
          <w:rFonts w:cs="Arial"/>
        </w:rPr>
        <w:t xml:space="preserve"> Tr. Vol. I at 17.</w:t>
      </w:r>
    </w:p>
    <w:p w:rsidR="000D4DF5" w:rsidRDefault="000D4DF5" w:rsidP="000D4DF5">
      <w:pPr>
        <w:pStyle w:val="FootnoteText"/>
        <w:jc w:val="both"/>
        <w:rPr>
          <w:rFonts w:cs="Arial"/>
        </w:rPr>
      </w:pPr>
    </w:p>
  </w:footnote>
  <w:footnote w:id="3">
    <w:p w:rsidR="00015F38" w:rsidRDefault="00015F38">
      <w:pPr>
        <w:pStyle w:val="FootnoteText"/>
      </w:pPr>
      <w:r>
        <w:rPr>
          <w:rStyle w:val="FootnoteReference"/>
        </w:rPr>
        <w:footnoteRef/>
      </w:r>
      <w:r>
        <w:t xml:space="preserve"> LTFR Order at 7.</w:t>
      </w:r>
    </w:p>
    <w:p w:rsidR="00D77ECB" w:rsidRDefault="00D77ECB">
      <w:pPr>
        <w:pStyle w:val="FootnoteText"/>
      </w:pPr>
    </w:p>
  </w:footnote>
  <w:footnote w:id="4">
    <w:p w:rsidR="00D77ECB" w:rsidRDefault="00D77ECB">
      <w:pPr>
        <w:pStyle w:val="FootnoteText"/>
      </w:pPr>
      <w:r>
        <w:rPr>
          <w:rStyle w:val="FootnoteReference"/>
        </w:rPr>
        <w:footnoteRef/>
      </w:r>
      <w:r>
        <w:t xml:space="preserve"> LTFR Order at 26. </w:t>
      </w:r>
    </w:p>
    <w:p w:rsidR="00D77ECB" w:rsidRDefault="00D77ECB">
      <w:pPr>
        <w:pStyle w:val="FootnoteText"/>
      </w:pPr>
    </w:p>
  </w:footnote>
  <w:footnote w:id="5">
    <w:p w:rsidR="00D77ECB" w:rsidRPr="00D77ECB" w:rsidRDefault="00D77ECB">
      <w:pPr>
        <w:pStyle w:val="FootnoteText"/>
        <w:rPr>
          <w:i/>
        </w:rPr>
      </w:pPr>
      <w:r>
        <w:rPr>
          <w:rStyle w:val="FootnoteReference"/>
        </w:rPr>
        <w:footnoteRef/>
      </w:r>
      <w:r>
        <w:t xml:space="preserve"> </w:t>
      </w:r>
      <w:r>
        <w:rPr>
          <w:i/>
        </w:rPr>
        <w:t>Id.</w:t>
      </w:r>
    </w:p>
  </w:footnote>
  <w:footnote w:id="6">
    <w:p w:rsidR="00D77ECB" w:rsidRDefault="00D77ECB">
      <w:pPr>
        <w:pStyle w:val="FootnoteText"/>
      </w:pPr>
      <w:r>
        <w:rPr>
          <w:rStyle w:val="FootnoteReference"/>
        </w:rPr>
        <w:footnoteRef/>
      </w:r>
      <w:r>
        <w:t xml:space="preserve"> LTFR Order at 22-23.</w:t>
      </w:r>
    </w:p>
    <w:p w:rsidR="005B0225" w:rsidRDefault="005B0225" w:rsidP="00A76247">
      <w:pPr>
        <w:pStyle w:val="FootnoteText"/>
        <w:jc w:val="both"/>
      </w:pPr>
    </w:p>
  </w:footnote>
  <w:footnote w:id="7">
    <w:p w:rsidR="005B0225" w:rsidRDefault="005B0225" w:rsidP="00A76247">
      <w:pPr>
        <w:pStyle w:val="FootnoteText"/>
        <w:jc w:val="both"/>
      </w:pPr>
      <w:r>
        <w:rPr>
          <w:rStyle w:val="FootnoteReference"/>
        </w:rPr>
        <w:footnoteRef/>
      </w:r>
      <w:r>
        <w:t xml:space="preserve"> </w:t>
      </w:r>
      <w:r w:rsidRPr="005B0225">
        <w:rPr>
          <w:i/>
        </w:rPr>
        <w:t>M</w:t>
      </w:r>
      <w:r>
        <w:rPr>
          <w:i/>
        </w:rPr>
        <w:t>onongahela Power Co. v. Pub. Util</w:t>
      </w:r>
      <w:r w:rsidRPr="005B0225">
        <w:rPr>
          <w:i/>
        </w:rPr>
        <w:t>. Comm.</w:t>
      </w:r>
      <w:r w:rsidRPr="005B0225">
        <w:t>, 104 Ohi</w:t>
      </w:r>
      <w:r>
        <w:t xml:space="preserve">o St.3d 571, 2004-Ohio-6896 at </w:t>
      </w:r>
      <w:r>
        <w:rPr>
          <w:rFonts w:cs="Arial"/>
        </w:rPr>
        <w:t>¶</w:t>
      </w:r>
      <w:r w:rsidRPr="005B0225">
        <w:t xml:space="preserve"> 26</w:t>
      </w:r>
      <w:r>
        <w:t xml:space="preserve"> (2004).</w:t>
      </w:r>
    </w:p>
  </w:footnote>
  <w:footnote w:id="8">
    <w:p w:rsidR="00056DF4" w:rsidRDefault="00056DF4">
      <w:pPr>
        <w:pStyle w:val="FootnoteText"/>
      </w:pPr>
      <w:r>
        <w:rPr>
          <w:rStyle w:val="FootnoteReference"/>
        </w:rPr>
        <w:footnoteRef/>
      </w:r>
      <w:r>
        <w:t xml:space="preserve"> LTFR Order at 22-23.</w:t>
      </w:r>
    </w:p>
    <w:p w:rsidR="005B0225" w:rsidRDefault="005B0225">
      <w:pPr>
        <w:pStyle w:val="FootnoteText"/>
      </w:pPr>
    </w:p>
  </w:footnote>
  <w:footnote w:id="9">
    <w:p w:rsidR="00F95749" w:rsidRPr="00907680" w:rsidRDefault="00F95749" w:rsidP="00F95749">
      <w:pPr>
        <w:pStyle w:val="FootnoteText"/>
        <w:jc w:val="both"/>
        <w:rPr>
          <w:rFonts w:cs="Arial"/>
        </w:rPr>
      </w:pPr>
      <w:r w:rsidRPr="00907680">
        <w:rPr>
          <w:rStyle w:val="FootnoteReference"/>
          <w:rFonts w:cs="Arial"/>
        </w:rPr>
        <w:footnoteRef/>
      </w:r>
      <w:r w:rsidRPr="00907680">
        <w:rPr>
          <w:rFonts w:cs="Arial"/>
        </w:rPr>
        <w:t xml:space="preserve"> Section 4935.04(E)(1), Revised Code.</w:t>
      </w:r>
    </w:p>
    <w:p w:rsidR="00F95749" w:rsidRPr="00C55E94" w:rsidRDefault="00F95749" w:rsidP="00F95749">
      <w:pPr>
        <w:pStyle w:val="FootnoteText"/>
        <w:jc w:val="both"/>
        <w:rPr>
          <w:rFonts w:cs="Arial"/>
        </w:rPr>
      </w:pPr>
    </w:p>
  </w:footnote>
  <w:footnote w:id="10">
    <w:p w:rsidR="00F95749" w:rsidRPr="00C55E94" w:rsidRDefault="00F95749" w:rsidP="00F95749">
      <w:pPr>
        <w:pStyle w:val="FootnoteText"/>
        <w:jc w:val="both"/>
        <w:rPr>
          <w:rFonts w:cs="Arial"/>
        </w:rPr>
      </w:pPr>
      <w:r w:rsidRPr="00C55E94">
        <w:rPr>
          <w:rStyle w:val="FootnoteReference"/>
          <w:rFonts w:cs="Arial"/>
        </w:rPr>
        <w:footnoteRef/>
      </w:r>
      <w:r w:rsidRPr="00C55E94">
        <w:rPr>
          <w:rFonts w:cs="Arial"/>
        </w:rPr>
        <w:t xml:space="preserve"> </w:t>
      </w:r>
      <w:r>
        <w:rPr>
          <w:rFonts w:cs="Arial"/>
        </w:rPr>
        <w:t xml:space="preserve">Section </w:t>
      </w:r>
      <w:r w:rsidRPr="00C55E94">
        <w:rPr>
          <w:rFonts w:cs="Arial"/>
        </w:rPr>
        <w:t>4935.04(F), Revised Code.</w:t>
      </w:r>
    </w:p>
    <w:p w:rsidR="00F95749" w:rsidRPr="004A566D" w:rsidRDefault="00F95749" w:rsidP="00F95749">
      <w:pPr>
        <w:pStyle w:val="FootnoteText"/>
        <w:jc w:val="both"/>
        <w:rPr>
          <w:rFonts w:cs="Arial"/>
        </w:rPr>
      </w:pPr>
    </w:p>
  </w:footnote>
  <w:footnote w:id="11">
    <w:p w:rsidR="00F95749" w:rsidRDefault="00F95749" w:rsidP="00F95749">
      <w:pPr>
        <w:pStyle w:val="FootnoteText"/>
        <w:rPr>
          <w:i/>
        </w:rPr>
      </w:pPr>
      <w:r>
        <w:rPr>
          <w:rStyle w:val="FootnoteReference"/>
        </w:rPr>
        <w:footnoteRef/>
      </w:r>
      <w:r>
        <w:t xml:space="preserve"> </w:t>
      </w:r>
      <w:r>
        <w:rPr>
          <w:i/>
        </w:rPr>
        <w:t>Id.</w:t>
      </w:r>
    </w:p>
    <w:p w:rsidR="00F95749" w:rsidRDefault="00F95749" w:rsidP="00F95749">
      <w:pPr>
        <w:pStyle w:val="FootnoteText"/>
      </w:pPr>
    </w:p>
  </w:footnote>
  <w:footnote w:id="12">
    <w:p w:rsidR="00F95749" w:rsidRDefault="00F95749" w:rsidP="00F95749">
      <w:pPr>
        <w:pStyle w:val="FootnoteText"/>
        <w:jc w:val="both"/>
      </w:pPr>
      <w:r>
        <w:rPr>
          <w:rStyle w:val="FootnoteReference"/>
        </w:rPr>
        <w:footnoteRef/>
      </w:r>
      <w:r>
        <w:t xml:space="preserve"> Section 4935.04(A)(1), Revised Code.</w:t>
      </w:r>
    </w:p>
    <w:p w:rsidR="00F95749" w:rsidRDefault="00F95749" w:rsidP="00F95749">
      <w:pPr>
        <w:pStyle w:val="FootnoteText"/>
        <w:jc w:val="both"/>
      </w:pPr>
    </w:p>
  </w:footnote>
  <w:footnote w:id="13">
    <w:p w:rsidR="00F95749" w:rsidRDefault="00F95749" w:rsidP="00F95749">
      <w:pPr>
        <w:pStyle w:val="FootnoteText"/>
        <w:jc w:val="both"/>
      </w:pPr>
      <w:r>
        <w:rPr>
          <w:rStyle w:val="FootnoteReference"/>
        </w:rPr>
        <w:footnoteRef/>
      </w:r>
      <w:r>
        <w:t xml:space="preserve"> Section 4935.04(C)(1), Revised Code.</w:t>
      </w:r>
    </w:p>
    <w:p w:rsidR="00F95749" w:rsidRDefault="00F95749" w:rsidP="00F95749">
      <w:pPr>
        <w:pStyle w:val="FootnoteText"/>
      </w:pPr>
    </w:p>
  </w:footnote>
  <w:footnote w:id="14">
    <w:p w:rsidR="009856DB" w:rsidRDefault="009856DB" w:rsidP="009856DB">
      <w:pPr>
        <w:pStyle w:val="FootnoteText"/>
        <w:jc w:val="both"/>
      </w:pPr>
      <w:r>
        <w:rPr>
          <w:rStyle w:val="FootnoteReference"/>
        </w:rPr>
        <w:footnoteRef/>
      </w:r>
      <w:r>
        <w:t xml:space="preserve"> Section 4928.143(B)(2)(c), Revised Code.</w:t>
      </w:r>
    </w:p>
    <w:p w:rsidR="009856DB" w:rsidRDefault="009856DB" w:rsidP="009856DB">
      <w:pPr>
        <w:pStyle w:val="FootnoteText"/>
      </w:pPr>
    </w:p>
  </w:footnote>
  <w:footnote w:id="15">
    <w:p w:rsidR="009856DB" w:rsidRPr="002E2C46" w:rsidRDefault="009856DB" w:rsidP="009856DB">
      <w:pPr>
        <w:pStyle w:val="FootnoteText"/>
        <w:jc w:val="both"/>
        <w:rPr>
          <w:rFonts w:cs="Arial"/>
        </w:rPr>
      </w:pPr>
      <w:r w:rsidRPr="002702CD">
        <w:rPr>
          <w:rStyle w:val="FootnoteReference"/>
          <w:rFonts w:cs="Arial"/>
        </w:rPr>
        <w:footnoteRef/>
      </w:r>
      <w:r w:rsidRPr="002702CD">
        <w:rPr>
          <w:rFonts w:cs="Arial"/>
        </w:rPr>
        <w:t xml:space="preserve"> Section 4928.143(B)(2)(c)</w:t>
      </w:r>
      <w:r>
        <w:rPr>
          <w:rFonts w:cs="Arial"/>
        </w:rPr>
        <w:t xml:space="preserve">, Revised Code (emphasis added); </w:t>
      </w:r>
      <w:r w:rsidRPr="00075599">
        <w:rPr>
          <w:rFonts w:cs="Arial"/>
          <w:i/>
        </w:rPr>
        <w:t>see</w:t>
      </w:r>
      <w:r>
        <w:rPr>
          <w:rFonts w:cs="Arial"/>
        </w:rPr>
        <w:t xml:space="preserve"> Post </w:t>
      </w:r>
      <w:r w:rsidRPr="00863E16">
        <w:rPr>
          <w:rFonts w:cs="Arial"/>
        </w:rPr>
        <w:t>Hearing</w:t>
      </w:r>
      <w:r>
        <w:rPr>
          <w:rFonts w:cs="Arial"/>
        </w:rPr>
        <w:t xml:space="preserve"> Brief of Industrial Energy Users-Ohio at 12 (Apr. 25, 2012). </w:t>
      </w:r>
    </w:p>
    <w:p w:rsidR="009856DB" w:rsidRPr="002702CD" w:rsidRDefault="009856DB" w:rsidP="009856DB">
      <w:pPr>
        <w:pStyle w:val="FootnoteText"/>
        <w:jc w:val="both"/>
        <w:rPr>
          <w:rFonts w:cs="Arial"/>
        </w:rPr>
      </w:pPr>
    </w:p>
  </w:footnote>
  <w:footnote w:id="16">
    <w:p w:rsidR="005B0225" w:rsidRDefault="005B0225">
      <w:pPr>
        <w:pStyle w:val="FootnoteText"/>
      </w:pPr>
      <w:r>
        <w:rPr>
          <w:rStyle w:val="FootnoteReference"/>
        </w:rPr>
        <w:footnoteRef/>
      </w:r>
      <w:r>
        <w:t xml:space="preserve"> LTFR Order at 23. </w:t>
      </w:r>
    </w:p>
    <w:p w:rsidR="005B0225" w:rsidRDefault="005B0225">
      <w:pPr>
        <w:pStyle w:val="FootnoteText"/>
      </w:pPr>
    </w:p>
  </w:footnote>
  <w:footnote w:id="17">
    <w:p w:rsidR="00215797" w:rsidRDefault="00215797" w:rsidP="00215797">
      <w:pPr>
        <w:pStyle w:val="FootnoteText"/>
        <w:jc w:val="both"/>
      </w:pPr>
      <w:r w:rsidRPr="00B132EB">
        <w:rPr>
          <w:rStyle w:val="FootnoteReference"/>
        </w:rPr>
        <w:footnoteRef/>
      </w:r>
      <w:r>
        <w:t xml:space="preserve"> </w:t>
      </w:r>
      <w:r>
        <w:rPr>
          <w:i/>
        </w:rPr>
        <w:t>See</w:t>
      </w:r>
      <w:r w:rsidRPr="00B132EB">
        <w:t xml:space="preserve"> </w:t>
      </w:r>
      <w:r w:rsidRPr="00B132EB">
        <w:rPr>
          <w:i/>
        </w:rPr>
        <w:t>Youngstown Sheet &amp; Tube Company v. Lindley</w:t>
      </w:r>
      <w:r w:rsidRPr="00B132EB">
        <w:t xml:space="preserve">, </w:t>
      </w:r>
      <w:r w:rsidRPr="00B132EB">
        <w:rPr>
          <w:rFonts w:cs="Arial"/>
          <w:bCs/>
        </w:rPr>
        <w:t>38 Ohio St. 3d 232</w:t>
      </w:r>
      <w:r>
        <w:rPr>
          <w:rFonts w:cs="Arial"/>
          <w:bCs/>
        </w:rPr>
        <w:t>, 234</w:t>
      </w:r>
      <w:r w:rsidRPr="00B132EB">
        <w:rPr>
          <w:rFonts w:cs="Arial"/>
          <w:bCs/>
        </w:rPr>
        <w:t xml:space="preserve"> (1988)</w:t>
      </w:r>
      <w:r>
        <w:t xml:space="preserve">. </w:t>
      </w:r>
    </w:p>
    <w:p w:rsidR="00215797" w:rsidRDefault="00215797" w:rsidP="00215797">
      <w:pPr>
        <w:pStyle w:val="FootnoteText"/>
        <w:jc w:val="both"/>
      </w:pPr>
    </w:p>
  </w:footnote>
  <w:footnote w:id="18">
    <w:p w:rsidR="0048323B" w:rsidRDefault="0048323B" w:rsidP="006F297D">
      <w:pPr>
        <w:autoSpaceDE w:val="0"/>
        <w:autoSpaceDN w:val="0"/>
        <w:adjustRightInd w:val="0"/>
        <w:jc w:val="both"/>
        <w:rPr>
          <w:rFonts w:cs="Arial"/>
          <w:sz w:val="20"/>
          <w:szCs w:val="20"/>
        </w:rPr>
      </w:pPr>
      <w:r w:rsidRPr="0048323B">
        <w:rPr>
          <w:rStyle w:val="FootnoteReference"/>
          <w:rFonts w:cs="Arial"/>
          <w:sz w:val="20"/>
          <w:szCs w:val="20"/>
        </w:rPr>
        <w:footnoteRef/>
      </w:r>
      <w:r w:rsidRPr="0048323B">
        <w:rPr>
          <w:rFonts w:cs="Arial"/>
          <w:sz w:val="20"/>
          <w:szCs w:val="20"/>
        </w:rPr>
        <w:t xml:space="preserve"> </w:t>
      </w:r>
      <w:r>
        <w:rPr>
          <w:rFonts w:cs="Arial"/>
          <w:sz w:val="20"/>
          <w:szCs w:val="20"/>
        </w:rPr>
        <w:t>For purposes of its analysis, the Commission assumed that it had authority to issue a finding of need for a renewable generating facility, stating, “</w:t>
      </w:r>
      <w:r w:rsidRPr="0048323B">
        <w:rPr>
          <w:rFonts w:cs="Arial"/>
          <w:sz w:val="20"/>
          <w:szCs w:val="20"/>
        </w:rPr>
        <w:t>The Commission emphasizes that we only assume for the purpose o</w:t>
      </w:r>
      <w:r>
        <w:rPr>
          <w:rFonts w:cs="Arial"/>
          <w:sz w:val="20"/>
          <w:szCs w:val="20"/>
        </w:rPr>
        <w:t xml:space="preserve">f reaching a decision regarding </w:t>
      </w:r>
      <w:r w:rsidRPr="0048323B">
        <w:rPr>
          <w:rFonts w:cs="Arial"/>
          <w:sz w:val="20"/>
          <w:szCs w:val="20"/>
        </w:rPr>
        <w:t>the stipulation, but do not decide, that the determination of need u</w:t>
      </w:r>
      <w:r>
        <w:rPr>
          <w:rFonts w:cs="Arial"/>
          <w:sz w:val="20"/>
          <w:szCs w:val="20"/>
        </w:rPr>
        <w:t xml:space="preserve">nder Section 4928.143(B)(2)(c), </w:t>
      </w:r>
      <w:r w:rsidRPr="0048323B">
        <w:rPr>
          <w:rFonts w:cs="Arial"/>
          <w:sz w:val="20"/>
          <w:szCs w:val="20"/>
        </w:rPr>
        <w:t>Revised Code, may take into account the SER benchmarks found in Section 4928.64(B)(2), Rev</w:t>
      </w:r>
      <w:r>
        <w:rPr>
          <w:rFonts w:cs="Arial"/>
          <w:sz w:val="20"/>
          <w:szCs w:val="20"/>
        </w:rPr>
        <w:t xml:space="preserve">ised </w:t>
      </w:r>
      <w:r w:rsidRPr="0048323B">
        <w:rPr>
          <w:rFonts w:cs="Arial"/>
          <w:sz w:val="20"/>
          <w:szCs w:val="20"/>
        </w:rPr>
        <w:t>Code.</w:t>
      </w:r>
      <w:r>
        <w:rPr>
          <w:rFonts w:cs="Arial"/>
          <w:sz w:val="20"/>
          <w:szCs w:val="20"/>
        </w:rPr>
        <w:t xml:space="preserve">”  LTFR Order at FN 10. </w:t>
      </w:r>
    </w:p>
    <w:p w:rsidR="0048323B" w:rsidRPr="0048323B" w:rsidRDefault="0048323B" w:rsidP="0048323B">
      <w:pPr>
        <w:autoSpaceDE w:val="0"/>
        <w:autoSpaceDN w:val="0"/>
        <w:adjustRightInd w:val="0"/>
        <w:rPr>
          <w:rFonts w:cs="Arial"/>
          <w:sz w:val="20"/>
          <w:szCs w:val="20"/>
        </w:rPr>
      </w:pPr>
    </w:p>
  </w:footnote>
  <w:footnote w:id="19">
    <w:p w:rsidR="00202B55" w:rsidRPr="00202B55" w:rsidRDefault="00202B55" w:rsidP="00FF61B7">
      <w:pPr>
        <w:autoSpaceDE w:val="0"/>
        <w:autoSpaceDN w:val="0"/>
        <w:adjustRightInd w:val="0"/>
        <w:jc w:val="both"/>
        <w:rPr>
          <w:rFonts w:cs="Arial"/>
          <w:sz w:val="20"/>
          <w:szCs w:val="20"/>
        </w:rPr>
      </w:pPr>
      <w:r w:rsidRPr="00202B55">
        <w:rPr>
          <w:rStyle w:val="FootnoteReference"/>
          <w:rFonts w:cs="Arial"/>
          <w:sz w:val="20"/>
          <w:szCs w:val="20"/>
        </w:rPr>
        <w:footnoteRef/>
      </w:r>
      <w:r w:rsidRPr="00202B55">
        <w:rPr>
          <w:rFonts w:cs="Arial"/>
          <w:sz w:val="20"/>
          <w:szCs w:val="20"/>
        </w:rPr>
        <w:t xml:space="preserve"> LTFR Order at 23</w:t>
      </w:r>
      <w:r w:rsidR="00823046">
        <w:rPr>
          <w:rFonts w:cs="Arial"/>
          <w:sz w:val="20"/>
          <w:szCs w:val="20"/>
        </w:rPr>
        <w:t xml:space="preserve"> (footnotes omitted)</w:t>
      </w:r>
      <w:r w:rsidRPr="00202B55">
        <w:rPr>
          <w:rFonts w:cs="Arial"/>
          <w:sz w:val="20"/>
          <w:szCs w:val="20"/>
        </w:rPr>
        <w:t xml:space="preserve">; </w:t>
      </w:r>
      <w:r w:rsidRPr="00202B55">
        <w:rPr>
          <w:rFonts w:cs="Arial"/>
          <w:i/>
          <w:sz w:val="20"/>
          <w:szCs w:val="20"/>
        </w:rPr>
        <w:t xml:space="preserve">see also </w:t>
      </w:r>
      <w:r w:rsidRPr="00202B55">
        <w:rPr>
          <w:rFonts w:cs="Arial"/>
          <w:sz w:val="20"/>
          <w:szCs w:val="20"/>
        </w:rPr>
        <w:t>LTFR Order at FN 10 (“The Commission emphasizes that we only assume for the purpose of reaching a decision regarding the stipulation, but do not decide, that the determination of need under Section 4928.143(B)(2)(c), Revised Code, may take into account the SER benchmarks found in Section 4928.64(B)(2), Revised Code.”)</w:t>
      </w:r>
    </w:p>
    <w:p w:rsidR="00202B55" w:rsidRPr="00202B55" w:rsidRDefault="00202B55" w:rsidP="00FF61B7">
      <w:pPr>
        <w:autoSpaceDE w:val="0"/>
        <w:autoSpaceDN w:val="0"/>
        <w:adjustRightInd w:val="0"/>
        <w:jc w:val="both"/>
        <w:rPr>
          <w:rFonts w:ascii="Times New Roman" w:hAnsi="Times New Roman"/>
          <w:sz w:val="22"/>
          <w:szCs w:val="22"/>
        </w:rPr>
      </w:pPr>
    </w:p>
  </w:footnote>
  <w:footnote w:id="20">
    <w:p w:rsidR="00797F19" w:rsidRDefault="00797F19" w:rsidP="00797F19">
      <w:pPr>
        <w:pStyle w:val="FootnoteText"/>
        <w:jc w:val="both"/>
      </w:pPr>
      <w:r w:rsidRPr="00B11705">
        <w:rPr>
          <w:rStyle w:val="FootnoteReference"/>
          <w:rFonts w:cs="Arial"/>
        </w:rPr>
        <w:footnoteRef/>
      </w:r>
      <w:r w:rsidRPr="00B11705">
        <w:rPr>
          <w:rFonts w:cs="Arial"/>
        </w:rPr>
        <w:t xml:space="preserve"> Section 4928.143(B), Revised Code</w:t>
      </w:r>
      <w:r>
        <w:rPr>
          <w:rFonts w:cs="Arial"/>
        </w:rPr>
        <w:t xml:space="preserve"> (emphasis added)</w:t>
      </w:r>
      <w:r w:rsidRPr="00B11705">
        <w:rPr>
          <w:rFonts w:cs="Arial"/>
        </w:rPr>
        <w:t>.</w:t>
      </w:r>
      <w:r>
        <w:t xml:space="preserve"> </w:t>
      </w:r>
    </w:p>
    <w:p w:rsidR="00797F19" w:rsidRDefault="00797F19" w:rsidP="00797F19">
      <w:pPr>
        <w:pStyle w:val="FootnoteText"/>
        <w:jc w:val="both"/>
      </w:pPr>
    </w:p>
  </w:footnote>
  <w:footnote w:id="21">
    <w:p w:rsidR="00797F19" w:rsidRDefault="00797F19" w:rsidP="00797F19">
      <w:pPr>
        <w:pStyle w:val="FootnoteText"/>
        <w:jc w:val="both"/>
        <w:rPr>
          <w:rFonts w:cs="Arial"/>
        </w:rPr>
      </w:pPr>
      <w:r w:rsidRPr="00B11705">
        <w:rPr>
          <w:rStyle w:val="FootnoteReference"/>
          <w:rFonts w:cs="Arial"/>
        </w:rPr>
        <w:footnoteRef/>
      </w:r>
      <w:r w:rsidRPr="00B11705">
        <w:rPr>
          <w:rFonts w:cs="Arial"/>
        </w:rPr>
        <w:t xml:space="preserve"> Section 4928.64(E), Revised Code (emphasis added).</w:t>
      </w:r>
    </w:p>
    <w:p w:rsidR="00797F19" w:rsidRPr="00B11705" w:rsidRDefault="00797F19" w:rsidP="00797F19">
      <w:pPr>
        <w:pStyle w:val="FootnoteText"/>
        <w:jc w:val="both"/>
        <w:rPr>
          <w:rFonts w:cs="Arial"/>
        </w:rPr>
      </w:pPr>
    </w:p>
  </w:footnote>
  <w:footnote w:id="22">
    <w:p w:rsidR="00DC503E" w:rsidRDefault="00DC503E" w:rsidP="00DC503E">
      <w:pPr>
        <w:pStyle w:val="FootnoteText"/>
        <w:jc w:val="both"/>
        <w:rPr>
          <w:rFonts w:eastAsia="Times New Roman" w:cs="Arial"/>
        </w:rPr>
      </w:pPr>
      <w:r>
        <w:rPr>
          <w:rStyle w:val="FootnoteReference"/>
        </w:rPr>
        <w:footnoteRef/>
      </w:r>
      <w:r>
        <w:rPr>
          <w:rFonts w:cs="Arial"/>
        </w:rPr>
        <w:t xml:space="preserve"> Tr. Vol. I at 17.</w:t>
      </w:r>
    </w:p>
    <w:p w:rsidR="00DC503E" w:rsidRDefault="00DC503E" w:rsidP="00DC503E">
      <w:pPr>
        <w:pStyle w:val="FootnoteText"/>
        <w:jc w:val="both"/>
        <w:rPr>
          <w:rFonts w:cs="Arial"/>
        </w:rPr>
      </w:pPr>
    </w:p>
  </w:footnote>
  <w:footnote w:id="23">
    <w:p w:rsidR="00DC503E" w:rsidRDefault="00DC503E" w:rsidP="00DC503E">
      <w:pPr>
        <w:pStyle w:val="FootnoteText"/>
      </w:pPr>
      <w:r>
        <w:rPr>
          <w:rStyle w:val="FootnoteReference"/>
        </w:rPr>
        <w:footnoteRef/>
      </w:r>
      <w:r>
        <w:t xml:space="preserve"> LTFR Order at 7.</w:t>
      </w:r>
    </w:p>
    <w:p w:rsidR="00FF61B7" w:rsidRDefault="00FF61B7" w:rsidP="00DC503E">
      <w:pPr>
        <w:pStyle w:val="FootnoteText"/>
      </w:pPr>
    </w:p>
  </w:footnote>
  <w:footnote w:id="24">
    <w:p w:rsidR="00DC503E" w:rsidRDefault="00DC503E" w:rsidP="00DC503E">
      <w:pPr>
        <w:pStyle w:val="FootnoteText"/>
        <w:jc w:val="both"/>
        <w:rPr>
          <w:rFonts w:cs="Arial"/>
        </w:rPr>
      </w:pPr>
      <w:r>
        <w:rPr>
          <w:rStyle w:val="FootnoteReference"/>
        </w:rPr>
        <w:footnoteRef/>
      </w:r>
      <w:r>
        <w:rPr>
          <w:rFonts w:cs="Arial"/>
        </w:rPr>
        <w:t xml:space="preserve"> </w:t>
      </w:r>
      <w:r w:rsidR="000536FC">
        <w:rPr>
          <w:rFonts w:cs="Arial"/>
          <w:i/>
        </w:rPr>
        <w:t>Yankee Solar</w:t>
      </w:r>
      <w:r w:rsidR="000536FC">
        <w:rPr>
          <w:rFonts w:cs="Arial"/>
        </w:rPr>
        <w:t>, Stipulation and Recommendation a</w:t>
      </w:r>
      <w:r>
        <w:rPr>
          <w:rFonts w:cs="Arial"/>
        </w:rPr>
        <w:t>t 2 (Jan. 14, 2011)</w:t>
      </w:r>
      <w:r w:rsidR="00FD4D47">
        <w:rPr>
          <w:rFonts w:cs="Arial"/>
        </w:rPr>
        <w:t xml:space="preserve"> (emphasis added)</w:t>
      </w:r>
      <w:r>
        <w:rPr>
          <w:rFonts w:cs="Arial"/>
        </w:rPr>
        <w:t>.</w:t>
      </w:r>
    </w:p>
    <w:p w:rsidR="00DC503E" w:rsidRDefault="00DC503E" w:rsidP="00DC503E">
      <w:pPr>
        <w:pStyle w:val="FootnoteText"/>
        <w:jc w:val="both"/>
        <w:rPr>
          <w:rFonts w:cs="Arial"/>
        </w:rPr>
      </w:pPr>
    </w:p>
  </w:footnote>
  <w:footnote w:id="25">
    <w:p w:rsidR="000536FC" w:rsidRPr="000536FC" w:rsidRDefault="000536FC">
      <w:pPr>
        <w:pStyle w:val="FootnoteText"/>
      </w:pPr>
      <w:r>
        <w:rPr>
          <w:rStyle w:val="FootnoteReference"/>
        </w:rPr>
        <w:footnoteRef/>
      </w:r>
      <w:r>
        <w:t xml:space="preserve"> </w:t>
      </w:r>
      <w:r>
        <w:rPr>
          <w:i/>
        </w:rPr>
        <w:t>Yankee Solar</w:t>
      </w:r>
      <w:r>
        <w:t>, Opinion and Order (Apr. 19,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F3" w:rsidRDefault="002A2DF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84" w:rsidRDefault="00A2738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84" w:rsidRDefault="00A2738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84" w:rsidRDefault="00A2738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D3" w:rsidRDefault="00D87DD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D3" w:rsidRDefault="00D87D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F3" w:rsidRDefault="002A2D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F3" w:rsidRDefault="002A2D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84" w:rsidRDefault="00A273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84" w:rsidRDefault="00A2738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84" w:rsidRDefault="00A2738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84" w:rsidRDefault="00A2738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D3" w:rsidRDefault="00D87DD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D3" w:rsidRDefault="00D87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3B89"/>
    <w:multiLevelType w:val="hybridMultilevel"/>
    <w:tmpl w:val="51BE35F0"/>
    <w:lvl w:ilvl="0" w:tplc="0128C7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4E3ABE"/>
    <w:multiLevelType w:val="hybridMultilevel"/>
    <w:tmpl w:val="1E32C40E"/>
    <w:lvl w:ilvl="0" w:tplc="C3D8AF4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C7A1F"/>
    <w:multiLevelType w:val="hybridMultilevel"/>
    <w:tmpl w:val="A5402348"/>
    <w:name w:val="IEU-Ohio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8900643"/>
    <w:multiLevelType w:val="hybridMultilevel"/>
    <w:tmpl w:val="13447E56"/>
    <w:lvl w:ilvl="0" w:tplc="C5CA7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CC5A46"/>
    <w:multiLevelType w:val="hybridMultilevel"/>
    <w:tmpl w:val="9CE4743A"/>
    <w:lvl w:ilvl="0" w:tplc="744E48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640036"/>
    <w:multiLevelType w:val="hybridMultilevel"/>
    <w:tmpl w:val="1FA8BE3E"/>
    <w:lvl w:ilvl="0" w:tplc="12545D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D90960"/>
    <w:multiLevelType w:val="hybridMultilevel"/>
    <w:tmpl w:val="E5FCA906"/>
    <w:lvl w:ilvl="0" w:tplc="FCC0E884">
      <w:start w:val="3"/>
      <w:numFmt w:val="upperRoman"/>
      <w:lvlText w:val="%1."/>
      <w:lvlJc w:val="left"/>
      <w:pPr>
        <w:ind w:left="900" w:hanging="720"/>
      </w:pPr>
      <w:rPr>
        <w:rFonts w:ascii="Arial" w:hAnsi="Arial"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56F2AE7"/>
    <w:multiLevelType w:val="multilevel"/>
    <w:tmpl w:val="141E0B8A"/>
    <w:name w:val="IEU-Ohio"/>
    <w:lvl w:ilvl="0">
      <w:start w:val="1"/>
      <w:numFmt w:val="upperRoman"/>
      <w:pStyle w:val="Heading1"/>
      <w:lvlText w:val="%1."/>
      <w:lvlJc w:val="left"/>
      <w:pPr>
        <w:tabs>
          <w:tab w:val="num" w:pos="720"/>
        </w:tabs>
        <w:ind w:left="720" w:hanging="720"/>
      </w:pPr>
      <w:rPr>
        <w:rFonts w:hint="default"/>
        <w:b/>
        <w:caps w:val="0"/>
        <w:vanish w:val="0"/>
        <w:color w:val="010000"/>
        <w:u w:val="none"/>
      </w:rPr>
    </w:lvl>
    <w:lvl w:ilvl="1">
      <w:start w:val="1"/>
      <w:numFmt w:val="decimal"/>
      <w:pStyle w:val="Heading2"/>
      <w:lvlText w:val="%2."/>
      <w:lvlJc w:val="left"/>
      <w:pPr>
        <w:tabs>
          <w:tab w:val="num" w:pos="1440"/>
        </w:tabs>
        <w:ind w:left="1440" w:hanging="720"/>
      </w:pPr>
      <w:rPr>
        <w:rFonts w:hint="default"/>
        <w:b/>
        <w:caps w:val="0"/>
        <w:vanish w:val="0"/>
        <w:color w:val="010000"/>
        <w:u w:val="none"/>
      </w:rPr>
    </w:lvl>
    <w:lvl w:ilvl="2">
      <w:start w:val="1"/>
      <w:numFmt w:val="decimal"/>
      <w:pStyle w:val="Heading3"/>
      <w:lvlText w:val="%3."/>
      <w:lvlJc w:val="left"/>
      <w:pPr>
        <w:tabs>
          <w:tab w:val="num" w:pos="2160"/>
        </w:tabs>
        <w:ind w:left="2160" w:hanging="720"/>
      </w:pPr>
      <w:rPr>
        <w:rFonts w:hint="default"/>
        <w:b/>
        <w:i w:val="0"/>
        <w:caps w:val="0"/>
        <w:vanish w:val="0"/>
        <w:color w:val="010000"/>
        <w:u w:val="none"/>
      </w:rPr>
    </w:lvl>
    <w:lvl w:ilvl="3">
      <w:start w:val="1"/>
      <w:numFmt w:val="lowerLetter"/>
      <w:pStyle w:val="Heading4"/>
      <w:lvlText w:val="%4."/>
      <w:lvlJc w:val="left"/>
      <w:pPr>
        <w:tabs>
          <w:tab w:val="num" w:pos="2880"/>
        </w:tabs>
        <w:ind w:left="2880" w:hanging="720"/>
      </w:pPr>
      <w:rPr>
        <w:rFonts w:hint="default"/>
        <w:b/>
        <w:i/>
        <w:caps w:val="0"/>
        <w:vanish w:val="0"/>
        <w:color w:val="010000"/>
        <w:u w:val="none"/>
      </w:rPr>
    </w:lvl>
    <w:lvl w:ilvl="4">
      <w:start w:val="1"/>
      <w:numFmt w:val="lowerRoman"/>
      <w:pStyle w:val="Heading5"/>
      <w:lvlText w:val="%5."/>
      <w:lvlJc w:val="left"/>
      <w:pPr>
        <w:tabs>
          <w:tab w:val="num" w:pos="3600"/>
        </w:tabs>
        <w:ind w:left="3600" w:hanging="720"/>
      </w:pPr>
      <w:rPr>
        <w:rFonts w:hint="default"/>
        <w:caps w:val="0"/>
        <w:vanish w:val="0"/>
        <w:color w:val="010000"/>
        <w:u w:val="none"/>
      </w:rPr>
    </w:lvl>
    <w:lvl w:ilvl="5">
      <w:start w:val="1"/>
      <w:numFmt w:val="lowerLetter"/>
      <w:pStyle w:val="Heading6"/>
      <w:lvlText w:val="(%6)"/>
      <w:lvlJc w:val="left"/>
      <w:pPr>
        <w:tabs>
          <w:tab w:val="num" w:pos="4320"/>
        </w:tabs>
        <w:ind w:left="4320" w:hanging="720"/>
      </w:pPr>
      <w:rPr>
        <w:rFonts w:hint="default"/>
        <w:caps w:val="0"/>
        <w:vanish w:val="0"/>
        <w:color w:val="010000"/>
        <w:u w:val="none"/>
      </w:rPr>
    </w:lvl>
    <w:lvl w:ilvl="6">
      <w:start w:val="1"/>
      <w:numFmt w:val="decimal"/>
      <w:pStyle w:val="Heading7"/>
      <w:lvlText w:val="(%7)"/>
      <w:lvlJc w:val="left"/>
      <w:pPr>
        <w:tabs>
          <w:tab w:val="num" w:pos="5040"/>
        </w:tabs>
        <w:ind w:left="5040" w:hanging="720"/>
      </w:pPr>
      <w:rPr>
        <w:rFonts w:hint="default"/>
        <w:caps w:val="0"/>
        <w:vanish w:val="0"/>
        <w:color w:val="010000"/>
        <w:u w:val="none"/>
      </w:rPr>
    </w:lvl>
    <w:lvl w:ilvl="7">
      <w:start w:val="1"/>
      <w:numFmt w:val="lowerRoman"/>
      <w:pStyle w:val="Heading8"/>
      <w:lvlText w:val="%8)"/>
      <w:lvlJc w:val="left"/>
      <w:pPr>
        <w:tabs>
          <w:tab w:val="num" w:pos="5760"/>
        </w:tabs>
        <w:ind w:left="5760" w:hanging="720"/>
      </w:pPr>
      <w:rPr>
        <w:rFonts w:hint="default"/>
        <w:caps w:val="0"/>
        <w:vanish w:val="0"/>
        <w:color w:val="010000"/>
        <w:u w:val="none"/>
      </w:rPr>
    </w:lvl>
    <w:lvl w:ilvl="8">
      <w:start w:val="1"/>
      <w:numFmt w:val="lowerLetter"/>
      <w:pStyle w:val="Heading9"/>
      <w:lvlText w:val="%9)"/>
      <w:lvlJc w:val="left"/>
      <w:pPr>
        <w:tabs>
          <w:tab w:val="num" w:pos="6480"/>
        </w:tabs>
        <w:ind w:left="6480" w:hanging="720"/>
      </w:pPr>
      <w:rPr>
        <w:rFonts w:hint="default"/>
        <w:caps w:val="0"/>
        <w:vanish w:val="0"/>
        <w:color w:val="010000"/>
        <w:u w:val="none"/>
      </w:rPr>
    </w:lvl>
  </w:abstractNum>
  <w:abstractNum w:abstractNumId="8">
    <w:nsid w:val="4D1F7488"/>
    <w:multiLevelType w:val="hybridMultilevel"/>
    <w:tmpl w:val="7DC6AF56"/>
    <w:lvl w:ilvl="0" w:tplc="0AFE1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DB07F7"/>
    <w:multiLevelType w:val="hybridMultilevel"/>
    <w:tmpl w:val="B6623CE0"/>
    <w:lvl w:ilvl="0" w:tplc="41526B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50020A"/>
    <w:multiLevelType w:val="hybridMultilevel"/>
    <w:tmpl w:val="BB34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BD2EEB"/>
    <w:multiLevelType w:val="hybridMultilevel"/>
    <w:tmpl w:val="361644CC"/>
    <w:name w:val="(Unnamed Numbering Scheme)"/>
    <w:lvl w:ilvl="0" w:tplc="4FEC64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5236BF"/>
    <w:multiLevelType w:val="hybridMultilevel"/>
    <w:tmpl w:val="794241D6"/>
    <w:lvl w:ilvl="0" w:tplc="BC3848A0">
      <w:start w:val="1"/>
      <w:numFmt w:val="upperRoman"/>
      <w:lvlText w:val="%1."/>
      <w:lvlJc w:val="left"/>
      <w:pPr>
        <w:ind w:left="2520" w:hanging="72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
    <w:nsid w:val="70D2078A"/>
    <w:multiLevelType w:val="hybridMultilevel"/>
    <w:tmpl w:val="42C039F2"/>
    <w:lvl w:ilvl="0" w:tplc="A93014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E97ABE"/>
    <w:multiLevelType w:val="hybridMultilevel"/>
    <w:tmpl w:val="AF62E612"/>
    <w:lvl w:ilvl="0" w:tplc="6D143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7474DA"/>
    <w:multiLevelType w:val="hybridMultilevel"/>
    <w:tmpl w:val="99746328"/>
    <w:lvl w:ilvl="0" w:tplc="C5CA7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3"/>
  </w:num>
  <w:num w:numId="5">
    <w:abstractNumId w:val="4"/>
  </w:num>
  <w:num w:numId="6">
    <w:abstractNumId w:val="11"/>
  </w:num>
  <w:num w:numId="7">
    <w:abstractNumId w:val="5"/>
  </w:num>
  <w:num w:numId="8">
    <w:abstractNumId w:val="9"/>
  </w:num>
  <w:num w:numId="9">
    <w:abstractNumId w:val="1"/>
  </w:num>
  <w:num w:numId="10">
    <w:abstractNumId w:val="7"/>
  </w:num>
  <w:num w:numId="11">
    <w:abstractNumId w:val="2"/>
  </w:num>
  <w:num w:numId="12">
    <w:abstractNumId w:val="15"/>
  </w:num>
  <w:num w:numId="13">
    <w:abstractNumId w:val="3"/>
  </w:num>
  <w:num w:numId="14">
    <w:abstractNumId w:val="10"/>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10"/>
    <w:rsid w:val="000048F4"/>
    <w:rsid w:val="00005E21"/>
    <w:rsid w:val="00007B92"/>
    <w:rsid w:val="00010A30"/>
    <w:rsid w:val="000131FC"/>
    <w:rsid w:val="00015F38"/>
    <w:rsid w:val="0002440A"/>
    <w:rsid w:val="00025A05"/>
    <w:rsid w:val="00027507"/>
    <w:rsid w:val="00027845"/>
    <w:rsid w:val="00030B58"/>
    <w:rsid w:val="0003365F"/>
    <w:rsid w:val="000500D1"/>
    <w:rsid w:val="000536FC"/>
    <w:rsid w:val="00055CD2"/>
    <w:rsid w:val="00056DF4"/>
    <w:rsid w:val="00075599"/>
    <w:rsid w:val="00085BB3"/>
    <w:rsid w:val="000922F8"/>
    <w:rsid w:val="000A07D5"/>
    <w:rsid w:val="000C3802"/>
    <w:rsid w:val="000C705F"/>
    <w:rsid w:val="000D07D8"/>
    <w:rsid w:val="000D4DF5"/>
    <w:rsid w:val="000E06A0"/>
    <w:rsid w:val="000E559D"/>
    <w:rsid w:val="000E5F9D"/>
    <w:rsid w:val="000E655A"/>
    <w:rsid w:val="00105CD2"/>
    <w:rsid w:val="00114891"/>
    <w:rsid w:val="00117F09"/>
    <w:rsid w:val="00141523"/>
    <w:rsid w:val="00145AA9"/>
    <w:rsid w:val="00145DC2"/>
    <w:rsid w:val="00152EEA"/>
    <w:rsid w:val="00171707"/>
    <w:rsid w:val="00173C06"/>
    <w:rsid w:val="001903AA"/>
    <w:rsid w:val="00191950"/>
    <w:rsid w:val="00196B67"/>
    <w:rsid w:val="001B14FD"/>
    <w:rsid w:val="001B50B1"/>
    <w:rsid w:val="001D112E"/>
    <w:rsid w:val="001D2461"/>
    <w:rsid w:val="001D5CD7"/>
    <w:rsid w:val="001E0E3D"/>
    <w:rsid w:val="001E249F"/>
    <w:rsid w:val="001F3F8F"/>
    <w:rsid w:val="00202308"/>
    <w:rsid w:val="00202B55"/>
    <w:rsid w:val="00205677"/>
    <w:rsid w:val="00214D85"/>
    <w:rsid w:val="00215797"/>
    <w:rsid w:val="00217E8B"/>
    <w:rsid w:val="00230942"/>
    <w:rsid w:val="00236F08"/>
    <w:rsid w:val="0023778B"/>
    <w:rsid w:val="0024069C"/>
    <w:rsid w:val="002413F1"/>
    <w:rsid w:val="002448A0"/>
    <w:rsid w:val="00245CCC"/>
    <w:rsid w:val="00250C72"/>
    <w:rsid w:val="00265A1C"/>
    <w:rsid w:val="00280425"/>
    <w:rsid w:val="00290A33"/>
    <w:rsid w:val="002918A3"/>
    <w:rsid w:val="00295284"/>
    <w:rsid w:val="002957E3"/>
    <w:rsid w:val="002A2DF3"/>
    <w:rsid w:val="002A587B"/>
    <w:rsid w:val="002B0460"/>
    <w:rsid w:val="002B3885"/>
    <w:rsid w:val="002B3986"/>
    <w:rsid w:val="002B3A04"/>
    <w:rsid w:val="002B746C"/>
    <w:rsid w:val="002B7DF4"/>
    <w:rsid w:val="002C6C2E"/>
    <w:rsid w:val="002D43BC"/>
    <w:rsid w:val="002E2C46"/>
    <w:rsid w:val="002E72FC"/>
    <w:rsid w:val="00300756"/>
    <w:rsid w:val="00302064"/>
    <w:rsid w:val="00303F7C"/>
    <w:rsid w:val="00305452"/>
    <w:rsid w:val="003104F9"/>
    <w:rsid w:val="00313CE5"/>
    <w:rsid w:val="00313E77"/>
    <w:rsid w:val="00316805"/>
    <w:rsid w:val="003402F6"/>
    <w:rsid w:val="0034371E"/>
    <w:rsid w:val="00345A39"/>
    <w:rsid w:val="003536F4"/>
    <w:rsid w:val="0035410A"/>
    <w:rsid w:val="0035451B"/>
    <w:rsid w:val="003702FF"/>
    <w:rsid w:val="003733BC"/>
    <w:rsid w:val="003738FD"/>
    <w:rsid w:val="00384B51"/>
    <w:rsid w:val="003A15F9"/>
    <w:rsid w:val="003A361F"/>
    <w:rsid w:val="003A4F93"/>
    <w:rsid w:val="003A7C78"/>
    <w:rsid w:val="003B3A85"/>
    <w:rsid w:val="003B4E21"/>
    <w:rsid w:val="003C1401"/>
    <w:rsid w:val="003C68F4"/>
    <w:rsid w:val="003D46DB"/>
    <w:rsid w:val="003F0D98"/>
    <w:rsid w:val="003F154B"/>
    <w:rsid w:val="003F59CD"/>
    <w:rsid w:val="003F5D81"/>
    <w:rsid w:val="004005A2"/>
    <w:rsid w:val="004024E4"/>
    <w:rsid w:val="00405A2D"/>
    <w:rsid w:val="00406685"/>
    <w:rsid w:val="00417336"/>
    <w:rsid w:val="0042342A"/>
    <w:rsid w:val="0045017F"/>
    <w:rsid w:val="00460179"/>
    <w:rsid w:val="00477221"/>
    <w:rsid w:val="0048323B"/>
    <w:rsid w:val="004837A3"/>
    <w:rsid w:val="00483CCD"/>
    <w:rsid w:val="004A1C73"/>
    <w:rsid w:val="004A44DF"/>
    <w:rsid w:val="004A6E10"/>
    <w:rsid w:val="004B49FE"/>
    <w:rsid w:val="004D051D"/>
    <w:rsid w:val="004D2566"/>
    <w:rsid w:val="004E4A13"/>
    <w:rsid w:val="004F1874"/>
    <w:rsid w:val="004F3A00"/>
    <w:rsid w:val="004F6991"/>
    <w:rsid w:val="00503E46"/>
    <w:rsid w:val="00504804"/>
    <w:rsid w:val="00517926"/>
    <w:rsid w:val="00521BCD"/>
    <w:rsid w:val="00531034"/>
    <w:rsid w:val="0055724C"/>
    <w:rsid w:val="0056606F"/>
    <w:rsid w:val="00567798"/>
    <w:rsid w:val="00571D6C"/>
    <w:rsid w:val="0058010D"/>
    <w:rsid w:val="00582EE3"/>
    <w:rsid w:val="00597797"/>
    <w:rsid w:val="005B0225"/>
    <w:rsid w:val="005B2C70"/>
    <w:rsid w:val="005C19F5"/>
    <w:rsid w:val="005C4E3C"/>
    <w:rsid w:val="005F0BFA"/>
    <w:rsid w:val="005F28F3"/>
    <w:rsid w:val="005F3095"/>
    <w:rsid w:val="005F3438"/>
    <w:rsid w:val="005F4C4E"/>
    <w:rsid w:val="005F78F5"/>
    <w:rsid w:val="005F79C3"/>
    <w:rsid w:val="00600153"/>
    <w:rsid w:val="00600BD0"/>
    <w:rsid w:val="00605EE2"/>
    <w:rsid w:val="00611D80"/>
    <w:rsid w:val="00612CD1"/>
    <w:rsid w:val="0061320A"/>
    <w:rsid w:val="00613D45"/>
    <w:rsid w:val="006145CE"/>
    <w:rsid w:val="00630941"/>
    <w:rsid w:val="006315FC"/>
    <w:rsid w:val="00633C15"/>
    <w:rsid w:val="0064703A"/>
    <w:rsid w:val="00655C28"/>
    <w:rsid w:val="0066023F"/>
    <w:rsid w:val="00680F83"/>
    <w:rsid w:val="00686D6A"/>
    <w:rsid w:val="00693780"/>
    <w:rsid w:val="006A6DE9"/>
    <w:rsid w:val="006C5178"/>
    <w:rsid w:val="006C6EA0"/>
    <w:rsid w:val="006F1EA6"/>
    <w:rsid w:val="006F2855"/>
    <w:rsid w:val="006F297D"/>
    <w:rsid w:val="006F3596"/>
    <w:rsid w:val="006F5838"/>
    <w:rsid w:val="006F6146"/>
    <w:rsid w:val="006F6780"/>
    <w:rsid w:val="00700D58"/>
    <w:rsid w:val="007051DF"/>
    <w:rsid w:val="00717330"/>
    <w:rsid w:val="00725236"/>
    <w:rsid w:val="00740BB7"/>
    <w:rsid w:val="00740BC5"/>
    <w:rsid w:val="0074649C"/>
    <w:rsid w:val="0075271E"/>
    <w:rsid w:val="00772D06"/>
    <w:rsid w:val="007769D1"/>
    <w:rsid w:val="0078062C"/>
    <w:rsid w:val="0079616E"/>
    <w:rsid w:val="00797F19"/>
    <w:rsid w:val="007B15F6"/>
    <w:rsid w:val="007D61CB"/>
    <w:rsid w:val="007E00C1"/>
    <w:rsid w:val="007E41B1"/>
    <w:rsid w:val="007E56C4"/>
    <w:rsid w:val="007E7D3F"/>
    <w:rsid w:val="007F0198"/>
    <w:rsid w:val="007F7B2D"/>
    <w:rsid w:val="008024F1"/>
    <w:rsid w:val="008042F9"/>
    <w:rsid w:val="008064EE"/>
    <w:rsid w:val="00806AC4"/>
    <w:rsid w:val="00811B0F"/>
    <w:rsid w:val="008123F4"/>
    <w:rsid w:val="00812739"/>
    <w:rsid w:val="008127D9"/>
    <w:rsid w:val="00812F50"/>
    <w:rsid w:val="00813594"/>
    <w:rsid w:val="00816008"/>
    <w:rsid w:val="00823046"/>
    <w:rsid w:val="008254BD"/>
    <w:rsid w:val="0082661C"/>
    <w:rsid w:val="00826EAF"/>
    <w:rsid w:val="00830789"/>
    <w:rsid w:val="008315F6"/>
    <w:rsid w:val="008341BC"/>
    <w:rsid w:val="00845B7E"/>
    <w:rsid w:val="00850684"/>
    <w:rsid w:val="00863E16"/>
    <w:rsid w:val="00865D80"/>
    <w:rsid w:val="00866E97"/>
    <w:rsid w:val="00887989"/>
    <w:rsid w:val="008942FC"/>
    <w:rsid w:val="008A0507"/>
    <w:rsid w:val="008B063B"/>
    <w:rsid w:val="008C118C"/>
    <w:rsid w:val="008D3291"/>
    <w:rsid w:val="008D4F42"/>
    <w:rsid w:val="008E090B"/>
    <w:rsid w:val="008E135D"/>
    <w:rsid w:val="008F2F6E"/>
    <w:rsid w:val="008F4568"/>
    <w:rsid w:val="00907E1F"/>
    <w:rsid w:val="009178E4"/>
    <w:rsid w:val="009213AE"/>
    <w:rsid w:val="009259B2"/>
    <w:rsid w:val="00926272"/>
    <w:rsid w:val="00927192"/>
    <w:rsid w:val="00932571"/>
    <w:rsid w:val="0093363E"/>
    <w:rsid w:val="009348C9"/>
    <w:rsid w:val="00934919"/>
    <w:rsid w:val="009354E5"/>
    <w:rsid w:val="00935AAA"/>
    <w:rsid w:val="00936034"/>
    <w:rsid w:val="009433E3"/>
    <w:rsid w:val="00955790"/>
    <w:rsid w:val="009559E9"/>
    <w:rsid w:val="0096037E"/>
    <w:rsid w:val="0098245C"/>
    <w:rsid w:val="009856DB"/>
    <w:rsid w:val="00985B87"/>
    <w:rsid w:val="009A4D61"/>
    <w:rsid w:val="009B5551"/>
    <w:rsid w:val="009C4B4A"/>
    <w:rsid w:val="009D024F"/>
    <w:rsid w:val="009D2BF6"/>
    <w:rsid w:val="009D3E9B"/>
    <w:rsid w:val="009D4893"/>
    <w:rsid w:val="009F1121"/>
    <w:rsid w:val="00A01559"/>
    <w:rsid w:val="00A20548"/>
    <w:rsid w:val="00A238BE"/>
    <w:rsid w:val="00A27384"/>
    <w:rsid w:val="00A33FE0"/>
    <w:rsid w:val="00A361E4"/>
    <w:rsid w:val="00A4168D"/>
    <w:rsid w:val="00A4773A"/>
    <w:rsid w:val="00A54E12"/>
    <w:rsid w:val="00A62624"/>
    <w:rsid w:val="00A6718B"/>
    <w:rsid w:val="00A72B8D"/>
    <w:rsid w:val="00A735F8"/>
    <w:rsid w:val="00A76247"/>
    <w:rsid w:val="00A81AC2"/>
    <w:rsid w:val="00AA40B5"/>
    <w:rsid w:val="00AC5293"/>
    <w:rsid w:val="00AC6ED8"/>
    <w:rsid w:val="00AD176F"/>
    <w:rsid w:val="00AF1E61"/>
    <w:rsid w:val="00AF3B21"/>
    <w:rsid w:val="00B10358"/>
    <w:rsid w:val="00B12FFA"/>
    <w:rsid w:val="00B132EB"/>
    <w:rsid w:val="00B177D3"/>
    <w:rsid w:val="00B23FC2"/>
    <w:rsid w:val="00B47E49"/>
    <w:rsid w:val="00B55710"/>
    <w:rsid w:val="00B55D7F"/>
    <w:rsid w:val="00B56B10"/>
    <w:rsid w:val="00B60E46"/>
    <w:rsid w:val="00B62727"/>
    <w:rsid w:val="00B63FD3"/>
    <w:rsid w:val="00B7160F"/>
    <w:rsid w:val="00B7558C"/>
    <w:rsid w:val="00B8385E"/>
    <w:rsid w:val="00BA66DA"/>
    <w:rsid w:val="00BB13E5"/>
    <w:rsid w:val="00BB5BD0"/>
    <w:rsid w:val="00BB66D5"/>
    <w:rsid w:val="00BB6AB8"/>
    <w:rsid w:val="00BC2860"/>
    <w:rsid w:val="00BC72F1"/>
    <w:rsid w:val="00BD2496"/>
    <w:rsid w:val="00BD7BD1"/>
    <w:rsid w:val="00BE64E6"/>
    <w:rsid w:val="00BF34C5"/>
    <w:rsid w:val="00BF58F2"/>
    <w:rsid w:val="00BF64C0"/>
    <w:rsid w:val="00BF7CE9"/>
    <w:rsid w:val="00C03AF6"/>
    <w:rsid w:val="00C136E3"/>
    <w:rsid w:val="00C17FF4"/>
    <w:rsid w:val="00C27297"/>
    <w:rsid w:val="00C34F52"/>
    <w:rsid w:val="00C4023E"/>
    <w:rsid w:val="00C45916"/>
    <w:rsid w:val="00C63F63"/>
    <w:rsid w:val="00C65FD5"/>
    <w:rsid w:val="00C768A1"/>
    <w:rsid w:val="00C804AB"/>
    <w:rsid w:val="00C8189C"/>
    <w:rsid w:val="00C83E0D"/>
    <w:rsid w:val="00C9160E"/>
    <w:rsid w:val="00C923AC"/>
    <w:rsid w:val="00CA0DF1"/>
    <w:rsid w:val="00CA427B"/>
    <w:rsid w:val="00CA574F"/>
    <w:rsid w:val="00CA789B"/>
    <w:rsid w:val="00CB0126"/>
    <w:rsid w:val="00CB0426"/>
    <w:rsid w:val="00CB292F"/>
    <w:rsid w:val="00CB55BA"/>
    <w:rsid w:val="00CB7B85"/>
    <w:rsid w:val="00CD1F0D"/>
    <w:rsid w:val="00CD35D5"/>
    <w:rsid w:val="00CE1247"/>
    <w:rsid w:val="00CF1946"/>
    <w:rsid w:val="00CF5106"/>
    <w:rsid w:val="00CF541D"/>
    <w:rsid w:val="00D07042"/>
    <w:rsid w:val="00D119BF"/>
    <w:rsid w:val="00D11F2E"/>
    <w:rsid w:val="00D16327"/>
    <w:rsid w:val="00D173D2"/>
    <w:rsid w:val="00D33A72"/>
    <w:rsid w:val="00D3726E"/>
    <w:rsid w:val="00D42806"/>
    <w:rsid w:val="00D514AE"/>
    <w:rsid w:val="00D53DDA"/>
    <w:rsid w:val="00D549FF"/>
    <w:rsid w:val="00D66582"/>
    <w:rsid w:val="00D72915"/>
    <w:rsid w:val="00D77ECB"/>
    <w:rsid w:val="00D85BE8"/>
    <w:rsid w:val="00D87DD3"/>
    <w:rsid w:val="00D9125D"/>
    <w:rsid w:val="00D91F3C"/>
    <w:rsid w:val="00DA115F"/>
    <w:rsid w:val="00DA2691"/>
    <w:rsid w:val="00DA7864"/>
    <w:rsid w:val="00DB3431"/>
    <w:rsid w:val="00DC123D"/>
    <w:rsid w:val="00DC503E"/>
    <w:rsid w:val="00DC6491"/>
    <w:rsid w:val="00DC7FF7"/>
    <w:rsid w:val="00DE13B8"/>
    <w:rsid w:val="00DE3EB7"/>
    <w:rsid w:val="00DE4469"/>
    <w:rsid w:val="00DE49ED"/>
    <w:rsid w:val="00DE7252"/>
    <w:rsid w:val="00DF04E1"/>
    <w:rsid w:val="00DF39B6"/>
    <w:rsid w:val="00E00842"/>
    <w:rsid w:val="00E24862"/>
    <w:rsid w:val="00E249E7"/>
    <w:rsid w:val="00E24BAB"/>
    <w:rsid w:val="00E31884"/>
    <w:rsid w:val="00E32EB4"/>
    <w:rsid w:val="00E33490"/>
    <w:rsid w:val="00E539DF"/>
    <w:rsid w:val="00E53EEE"/>
    <w:rsid w:val="00E53FC0"/>
    <w:rsid w:val="00E54DC9"/>
    <w:rsid w:val="00E55187"/>
    <w:rsid w:val="00E561A6"/>
    <w:rsid w:val="00E80327"/>
    <w:rsid w:val="00E86EB4"/>
    <w:rsid w:val="00E91985"/>
    <w:rsid w:val="00E93008"/>
    <w:rsid w:val="00E9558B"/>
    <w:rsid w:val="00EA6158"/>
    <w:rsid w:val="00EA6E6E"/>
    <w:rsid w:val="00EB6B22"/>
    <w:rsid w:val="00EC0D46"/>
    <w:rsid w:val="00EC51E2"/>
    <w:rsid w:val="00ED19E7"/>
    <w:rsid w:val="00ED3587"/>
    <w:rsid w:val="00ED416E"/>
    <w:rsid w:val="00ED6FAA"/>
    <w:rsid w:val="00ED7BE6"/>
    <w:rsid w:val="00EE4281"/>
    <w:rsid w:val="00EF7FCB"/>
    <w:rsid w:val="00F108A3"/>
    <w:rsid w:val="00F115DA"/>
    <w:rsid w:val="00F15AF2"/>
    <w:rsid w:val="00F16A4C"/>
    <w:rsid w:val="00F16BD8"/>
    <w:rsid w:val="00F4337C"/>
    <w:rsid w:val="00F621D0"/>
    <w:rsid w:val="00F75694"/>
    <w:rsid w:val="00F7737D"/>
    <w:rsid w:val="00F87A1B"/>
    <w:rsid w:val="00F9414C"/>
    <w:rsid w:val="00F95749"/>
    <w:rsid w:val="00FA0043"/>
    <w:rsid w:val="00FD4D47"/>
    <w:rsid w:val="00FD703A"/>
    <w:rsid w:val="00FD72F2"/>
    <w:rsid w:val="00FD7E93"/>
    <w:rsid w:val="00FF258B"/>
    <w:rsid w:val="00FF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10"/>
    <w:pPr>
      <w:spacing w:after="0" w:line="240" w:lineRule="auto"/>
    </w:pPr>
  </w:style>
  <w:style w:type="paragraph" w:styleId="Heading1">
    <w:name w:val="heading 1"/>
    <w:basedOn w:val="Normal"/>
    <w:next w:val="Normal"/>
    <w:link w:val="Heading1Char"/>
    <w:qFormat/>
    <w:rsid w:val="008341BC"/>
    <w:pPr>
      <w:numPr>
        <w:numId w:val="10"/>
      </w:numPr>
      <w:spacing w:after="240"/>
      <w:jc w:val="both"/>
      <w:outlineLvl w:val="0"/>
    </w:pPr>
    <w:rPr>
      <w:rFonts w:cs="Arial"/>
      <w:b/>
      <w:caps/>
      <w:u w:val="single"/>
    </w:rPr>
  </w:style>
  <w:style w:type="paragraph" w:styleId="Heading2">
    <w:name w:val="heading 2"/>
    <w:basedOn w:val="Normal"/>
    <w:next w:val="Normal"/>
    <w:link w:val="Heading2Char"/>
    <w:uiPriority w:val="9"/>
    <w:unhideWhenUsed/>
    <w:qFormat/>
    <w:rsid w:val="008341BC"/>
    <w:pPr>
      <w:numPr>
        <w:ilvl w:val="1"/>
        <w:numId w:val="10"/>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unhideWhenUsed/>
    <w:qFormat/>
    <w:rsid w:val="008341BC"/>
    <w:pPr>
      <w:numPr>
        <w:ilvl w:val="2"/>
        <w:numId w:val="10"/>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8341BC"/>
    <w:pPr>
      <w:numPr>
        <w:ilvl w:val="3"/>
        <w:numId w:val="10"/>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8341BC"/>
    <w:pPr>
      <w:numPr>
        <w:ilvl w:val="4"/>
        <w:numId w:val="10"/>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8341BC"/>
    <w:pPr>
      <w:numPr>
        <w:ilvl w:val="5"/>
        <w:numId w:val="10"/>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8341BC"/>
    <w:pPr>
      <w:numPr>
        <w:ilvl w:val="6"/>
        <w:numId w:val="10"/>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8341BC"/>
    <w:pPr>
      <w:numPr>
        <w:ilvl w:val="7"/>
        <w:numId w:val="10"/>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8341BC"/>
    <w:pPr>
      <w:numPr>
        <w:ilvl w:val="8"/>
        <w:numId w:val="10"/>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1BC"/>
    <w:rPr>
      <w:rFonts w:cs="Arial"/>
      <w:b/>
      <w:caps/>
      <w:u w:val="single"/>
    </w:rPr>
  </w:style>
  <w:style w:type="paragraph" w:styleId="Title">
    <w:name w:val="Title"/>
    <w:basedOn w:val="Normal"/>
    <w:link w:val="TitleChar"/>
    <w:qFormat/>
    <w:rsid w:val="004A6E10"/>
    <w:pPr>
      <w:jc w:val="center"/>
    </w:pPr>
    <w:rPr>
      <w:rFonts w:cs="Arial"/>
      <w:b/>
      <w:smallCaps/>
      <w:sz w:val="32"/>
    </w:rPr>
  </w:style>
  <w:style w:type="character" w:customStyle="1" w:styleId="TitleChar">
    <w:name w:val="Title Char"/>
    <w:basedOn w:val="DefaultParagraphFont"/>
    <w:link w:val="Title"/>
    <w:rsid w:val="004A6E10"/>
    <w:rPr>
      <w:rFonts w:eastAsia="Times New Roman" w:cs="Arial"/>
      <w:b/>
      <w:smallCaps/>
      <w:sz w:val="32"/>
      <w:szCs w:val="24"/>
    </w:rPr>
  </w:style>
  <w:style w:type="paragraph" w:styleId="BodyText">
    <w:name w:val="Body Text"/>
    <w:basedOn w:val="Normal"/>
    <w:link w:val="BodyTextChar"/>
    <w:unhideWhenUsed/>
    <w:rsid w:val="004A6E10"/>
    <w:pPr>
      <w:jc w:val="both"/>
    </w:pPr>
    <w:rPr>
      <w:rFonts w:cs="Arial"/>
    </w:rPr>
  </w:style>
  <w:style w:type="character" w:customStyle="1" w:styleId="BodyTextChar">
    <w:name w:val="Body Text Char"/>
    <w:basedOn w:val="DefaultParagraphFont"/>
    <w:link w:val="BodyText"/>
    <w:rsid w:val="004A6E10"/>
    <w:rPr>
      <w:rFonts w:eastAsia="Times New Roman" w:cs="Arial"/>
      <w:szCs w:val="24"/>
    </w:rPr>
  </w:style>
  <w:style w:type="paragraph" w:styleId="BodyTextIndent">
    <w:name w:val="Body Text Indent"/>
    <w:basedOn w:val="Normal"/>
    <w:link w:val="BodyTextIndentChar"/>
    <w:semiHidden/>
    <w:unhideWhenUsed/>
    <w:rsid w:val="004A6E10"/>
    <w:pPr>
      <w:ind w:firstLine="720"/>
      <w:jc w:val="both"/>
    </w:pPr>
    <w:rPr>
      <w:rFonts w:cs="Arial"/>
    </w:rPr>
  </w:style>
  <w:style w:type="character" w:customStyle="1" w:styleId="BodyTextIndentChar">
    <w:name w:val="Body Text Indent Char"/>
    <w:basedOn w:val="DefaultParagraphFont"/>
    <w:link w:val="BodyTextIndent"/>
    <w:semiHidden/>
    <w:rsid w:val="004A6E10"/>
    <w:rPr>
      <w:rFonts w:eastAsia="Times New Roman" w:cs="Arial"/>
      <w:szCs w:val="24"/>
    </w:rPr>
  </w:style>
  <w:style w:type="paragraph" w:styleId="BodyText3">
    <w:name w:val="Body Text 3"/>
    <w:basedOn w:val="Normal"/>
    <w:link w:val="BodyText3Char"/>
    <w:semiHidden/>
    <w:unhideWhenUsed/>
    <w:rsid w:val="004A6E10"/>
    <w:rPr>
      <w:b/>
      <w:szCs w:val="20"/>
    </w:rPr>
  </w:style>
  <w:style w:type="character" w:customStyle="1" w:styleId="BodyText3Char">
    <w:name w:val="Body Text 3 Char"/>
    <w:basedOn w:val="DefaultParagraphFont"/>
    <w:link w:val="BodyText3"/>
    <w:semiHidden/>
    <w:rsid w:val="004A6E10"/>
    <w:rPr>
      <w:rFonts w:ascii="Times New Roman" w:eastAsia="Times New Roman" w:hAnsi="Times New Roman" w:cs="Times New Roman"/>
      <w:b/>
      <w:szCs w:val="20"/>
    </w:rPr>
  </w:style>
  <w:style w:type="paragraph" w:styleId="BodyTextIndent2">
    <w:name w:val="Body Text Indent 2"/>
    <w:basedOn w:val="Normal"/>
    <w:link w:val="BodyTextIndent2Char"/>
    <w:semiHidden/>
    <w:unhideWhenUsed/>
    <w:rsid w:val="004A6E10"/>
    <w:pPr>
      <w:ind w:left="4920"/>
      <w:jc w:val="both"/>
    </w:pPr>
    <w:rPr>
      <w:rFonts w:cs="Arial"/>
      <w:sz w:val="21"/>
    </w:rPr>
  </w:style>
  <w:style w:type="character" w:customStyle="1" w:styleId="BodyTextIndent2Char">
    <w:name w:val="Body Text Indent 2 Char"/>
    <w:basedOn w:val="DefaultParagraphFont"/>
    <w:link w:val="BodyTextIndent2"/>
    <w:semiHidden/>
    <w:rsid w:val="004A6E10"/>
    <w:rPr>
      <w:rFonts w:eastAsia="Times New Roman" w:cs="Arial"/>
      <w:sz w:val="21"/>
      <w:szCs w:val="24"/>
    </w:rPr>
  </w:style>
  <w:style w:type="paragraph" w:styleId="ListParagraph">
    <w:name w:val="List Paragraph"/>
    <w:basedOn w:val="Normal"/>
    <w:uiPriority w:val="34"/>
    <w:qFormat/>
    <w:rsid w:val="004A6E10"/>
    <w:pPr>
      <w:ind w:left="720"/>
      <w:contextualSpacing/>
    </w:pPr>
  </w:style>
  <w:style w:type="paragraph" w:styleId="Header">
    <w:name w:val="header"/>
    <w:basedOn w:val="Normal"/>
    <w:link w:val="HeaderChar"/>
    <w:uiPriority w:val="99"/>
    <w:unhideWhenUsed/>
    <w:rsid w:val="004A6E10"/>
    <w:pPr>
      <w:tabs>
        <w:tab w:val="center" w:pos="4680"/>
        <w:tab w:val="right" w:pos="9360"/>
      </w:tabs>
    </w:pPr>
  </w:style>
  <w:style w:type="character" w:customStyle="1" w:styleId="HeaderChar">
    <w:name w:val="Header Char"/>
    <w:basedOn w:val="DefaultParagraphFont"/>
    <w:link w:val="Header"/>
    <w:uiPriority w:val="99"/>
    <w:rsid w:val="004A6E10"/>
    <w:rPr>
      <w:rFonts w:ascii="Times New Roman" w:eastAsia="Times New Roman" w:hAnsi="Times New Roman" w:cs="Times New Roman"/>
      <w:szCs w:val="24"/>
    </w:rPr>
  </w:style>
  <w:style w:type="paragraph" w:styleId="Footer">
    <w:name w:val="footer"/>
    <w:basedOn w:val="Normal"/>
    <w:link w:val="FooterChar"/>
    <w:uiPriority w:val="99"/>
    <w:unhideWhenUsed/>
    <w:rsid w:val="004A6E10"/>
    <w:pPr>
      <w:tabs>
        <w:tab w:val="center" w:pos="4680"/>
        <w:tab w:val="right" w:pos="9360"/>
      </w:tabs>
    </w:pPr>
  </w:style>
  <w:style w:type="character" w:customStyle="1" w:styleId="FooterChar">
    <w:name w:val="Footer Char"/>
    <w:basedOn w:val="DefaultParagraphFont"/>
    <w:link w:val="Footer"/>
    <w:uiPriority w:val="99"/>
    <w:rsid w:val="004A6E10"/>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597797"/>
    <w:rPr>
      <w:sz w:val="20"/>
      <w:szCs w:val="20"/>
    </w:rPr>
  </w:style>
  <w:style w:type="character" w:customStyle="1" w:styleId="FootnoteTextChar">
    <w:name w:val="Footnote Text Char"/>
    <w:basedOn w:val="DefaultParagraphFont"/>
    <w:link w:val="FootnoteText"/>
    <w:uiPriority w:val="99"/>
    <w:semiHidden/>
    <w:rsid w:val="005977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97797"/>
    <w:rPr>
      <w:vertAlign w:val="superscript"/>
    </w:rPr>
  </w:style>
  <w:style w:type="character" w:customStyle="1" w:styleId="ft">
    <w:name w:val="ft"/>
    <w:basedOn w:val="DefaultParagraphFont"/>
    <w:rsid w:val="00597797"/>
  </w:style>
  <w:style w:type="paragraph" w:styleId="BalloonText">
    <w:name w:val="Balloon Text"/>
    <w:basedOn w:val="Normal"/>
    <w:link w:val="BalloonTextChar"/>
    <w:uiPriority w:val="99"/>
    <w:semiHidden/>
    <w:unhideWhenUsed/>
    <w:rsid w:val="00027845"/>
    <w:rPr>
      <w:rFonts w:ascii="Tahoma" w:hAnsi="Tahoma" w:cs="Tahoma"/>
      <w:sz w:val="16"/>
      <w:szCs w:val="16"/>
    </w:rPr>
  </w:style>
  <w:style w:type="character" w:customStyle="1" w:styleId="BalloonTextChar">
    <w:name w:val="Balloon Text Char"/>
    <w:basedOn w:val="DefaultParagraphFont"/>
    <w:link w:val="BalloonText"/>
    <w:uiPriority w:val="99"/>
    <w:semiHidden/>
    <w:rsid w:val="00027845"/>
    <w:rPr>
      <w:rFonts w:ascii="Tahoma" w:hAnsi="Tahoma" w:cs="Tahoma"/>
      <w:sz w:val="16"/>
      <w:szCs w:val="16"/>
    </w:rPr>
  </w:style>
  <w:style w:type="character" w:customStyle="1" w:styleId="Heading4Char">
    <w:name w:val="Heading 4 Char"/>
    <w:basedOn w:val="DefaultParagraphFont"/>
    <w:link w:val="Heading4"/>
    <w:uiPriority w:val="9"/>
    <w:semiHidden/>
    <w:rsid w:val="008341BC"/>
    <w:rPr>
      <w:rFonts w:eastAsiaTheme="majorEastAsia" w:cs="Arial"/>
      <w:b/>
      <w:bCs/>
      <w:i/>
      <w:iCs/>
    </w:rPr>
  </w:style>
  <w:style w:type="paragraph" w:styleId="NormalWeb">
    <w:name w:val="Normal (Web)"/>
    <w:basedOn w:val="Normal"/>
    <w:uiPriority w:val="99"/>
    <w:semiHidden/>
    <w:unhideWhenUsed/>
    <w:rsid w:val="002957E3"/>
    <w:rPr>
      <w:rFonts w:ascii="Times New Roman" w:eastAsia="Times New Roman" w:hAnsi="Times New Roman"/>
    </w:rPr>
  </w:style>
  <w:style w:type="character" w:customStyle="1" w:styleId="Heading9Char">
    <w:name w:val="Heading 9 Char"/>
    <w:basedOn w:val="DefaultParagraphFont"/>
    <w:link w:val="Heading9"/>
    <w:uiPriority w:val="9"/>
    <w:semiHidden/>
    <w:rsid w:val="008341BC"/>
    <w:rPr>
      <w:rFonts w:asciiTheme="majorHAnsi" w:eastAsiaTheme="majorEastAsia" w:hAnsiTheme="majorHAnsi" w:cs="Arial"/>
      <w:iCs/>
      <w:color w:val="404040" w:themeColor="text1" w:themeTint="BF"/>
      <w:szCs w:val="20"/>
    </w:rPr>
  </w:style>
  <w:style w:type="character" w:styleId="Hyperlink">
    <w:name w:val="Hyperlink"/>
    <w:basedOn w:val="DefaultParagraphFont"/>
    <w:uiPriority w:val="99"/>
    <w:unhideWhenUsed/>
    <w:rsid w:val="00806AC4"/>
    <w:rPr>
      <w:color w:val="0000FF" w:themeColor="hyperlink"/>
      <w:u w:val="single"/>
    </w:rPr>
  </w:style>
  <w:style w:type="character" w:customStyle="1" w:styleId="Heading2Char">
    <w:name w:val="Heading 2 Char"/>
    <w:basedOn w:val="DefaultParagraphFont"/>
    <w:link w:val="Heading2"/>
    <w:uiPriority w:val="9"/>
    <w:rsid w:val="008341BC"/>
    <w:rPr>
      <w:rFonts w:eastAsiaTheme="majorEastAsia" w:cs="Arial"/>
      <w:b/>
      <w:bCs/>
      <w:szCs w:val="26"/>
    </w:rPr>
  </w:style>
  <w:style w:type="character" w:customStyle="1" w:styleId="Heading3Char">
    <w:name w:val="Heading 3 Char"/>
    <w:basedOn w:val="DefaultParagraphFont"/>
    <w:link w:val="Heading3"/>
    <w:uiPriority w:val="9"/>
    <w:rsid w:val="008341BC"/>
    <w:rPr>
      <w:rFonts w:eastAsiaTheme="majorEastAsia" w:cs="Arial"/>
      <w:b/>
      <w:bCs/>
    </w:rPr>
  </w:style>
  <w:style w:type="character" w:customStyle="1" w:styleId="Heading5Char">
    <w:name w:val="Heading 5 Char"/>
    <w:basedOn w:val="DefaultParagraphFont"/>
    <w:link w:val="Heading5"/>
    <w:uiPriority w:val="9"/>
    <w:semiHidden/>
    <w:rsid w:val="008341BC"/>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8341BC"/>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8341BC"/>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8341BC"/>
    <w:rPr>
      <w:rFonts w:asciiTheme="majorHAnsi" w:eastAsiaTheme="majorEastAsia" w:hAnsiTheme="majorHAnsi" w:cs="Arial"/>
      <w:color w:val="404040" w:themeColor="text1" w:themeTint="BF"/>
      <w:szCs w:val="20"/>
    </w:rPr>
  </w:style>
  <w:style w:type="paragraph" w:styleId="TOCHeading">
    <w:name w:val="TOC Heading"/>
    <w:basedOn w:val="Normal"/>
    <w:next w:val="TOC1"/>
    <w:uiPriority w:val="39"/>
    <w:unhideWhenUsed/>
    <w:qFormat/>
    <w:rsid w:val="00BD2496"/>
    <w:pPr>
      <w:keepNext/>
      <w:keepLines/>
      <w:spacing w:before="480" w:after="240"/>
      <w:jc w:val="center"/>
    </w:pPr>
    <w:rPr>
      <w:rFonts w:eastAsiaTheme="majorEastAsia" w:cs="Arial"/>
      <w:b/>
      <w:bCs/>
      <w:color w:val="365F91" w:themeColor="accent1" w:themeShade="BF"/>
      <w:szCs w:val="28"/>
    </w:rPr>
  </w:style>
  <w:style w:type="paragraph" w:styleId="TOC1">
    <w:name w:val="toc 1"/>
    <w:basedOn w:val="Normal"/>
    <w:next w:val="Normal"/>
    <w:autoRedefine/>
    <w:uiPriority w:val="39"/>
    <w:unhideWhenUsed/>
    <w:rsid w:val="00866E97"/>
    <w:pPr>
      <w:tabs>
        <w:tab w:val="right" w:leader="dot" w:pos="9406"/>
      </w:tabs>
      <w:spacing w:after="100"/>
      <w:ind w:left="720" w:hanging="720"/>
    </w:pPr>
  </w:style>
  <w:style w:type="paragraph" w:styleId="TOC2">
    <w:name w:val="toc 2"/>
    <w:basedOn w:val="Normal"/>
    <w:next w:val="Normal"/>
    <w:autoRedefine/>
    <w:uiPriority w:val="39"/>
    <w:unhideWhenUsed/>
    <w:rsid w:val="00F75694"/>
    <w:pPr>
      <w:tabs>
        <w:tab w:val="left" w:pos="1440"/>
        <w:tab w:val="right" w:leader="dot" w:pos="9360"/>
      </w:tabs>
      <w:spacing w:after="100"/>
      <w:ind w:left="1440" w:right="720" w:hanging="720"/>
      <w:jc w:val="both"/>
    </w:pPr>
  </w:style>
  <w:style w:type="paragraph" w:styleId="TOC3">
    <w:name w:val="toc 3"/>
    <w:basedOn w:val="Normal"/>
    <w:next w:val="Normal"/>
    <w:autoRedefine/>
    <w:uiPriority w:val="39"/>
    <w:semiHidden/>
    <w:unhideWhenUsed/>
    <w:rsid w:val="00BD2496"/>
    <w:pPr>
      <w:spacing w:after="100"/>
      <w:ind w:left="480"/>
    </w:pPr>
  </w:style>
  <w:style w:type="paragraph" w:styleId="TOC4">
    <w:name w:val="toc 4"/>
    <w:basedOn w:val="Normal"/>
    <w:next w:val="Normal"/>
    <w:autoRedefine/>
    <w:uiPriority w:val="39"/>
    <w:semiHidden/>
    <w:unhideWhenUsed/>
    <w:rsid w:val="00BD2496"/>
    <w:pPr>
      <w:spacing w:after="100"/>
      <w:ind w:left="720"/>
    </w:pPr>
  </w:style>
  <w:style w:type="paragraph" w:styleId="TOC5">
    <w:name w:val="toc 5"/>
    <w:basedOn w:val="Normal"/>
    <w:next w:val="Normal"/>
    <w:autoRedefine/>
    <w:uiPriority w:val="39"/>
    <w:semiHidden/>
    <w:unhideWhenUsed/>
    <w:rsid w:val="00BD2496"/>
    <w:pPr>
      <w:spacing w:after="100"/>
      <w:ind w:left="960"/>
    </w:pPr>
  </w:style>
  <w:style w:type="paragraph" w:styleId="TOC6">
    <w:name w:val="toc 6"/>
    <w:basedOn w:val="Normal"/>
    <w:next w:val="Normal"/>
    <w:autoRedefine/>
    <w:uiPriority w:val="39"/>
    <w:semiHidden/>
    <w:unhideWhenUsed/>
    <w:rsid w:val="00BD2496"/>
    <w:pPr>
      <w:spacing w:after="100"/>
      <w:ind w:left="1200"/>
    </w:pPr>
  </w:style>
  <w:style w:type="paragraph" w:styleId="TOC7">
    <w:name w:val="toc 7"/>
    <w:basedOn w:val="Normal"/>
    <w:next w:val="Normal"/>
    <w:autoRedefine/>
    <w:uiPriority w:val="39"/>
    <w:semiHidden/>
    <w:unhideWhenUsed/>
    <w:rsid w:val="00BD2496"/>
    <w:pPr>
      <w:spacing w:after="100"/>
      <w:ind w:left="1440"/>
    </w:pPr>
  </w:style>
  <w:style w:type="paragraph" w:styleId="TOC8">
    <w:name w:val="toc 8"/>
    <w:basedOn w:val="Normal"/>
    <w:next w:val="Normal"/>
    <w:autoRedefine/>
    <w:uiPriority w:val="39"/>
    <w:semiHidden/>
    <w:unhideWhenUsed/>
    <w:rsid w:val="00BD2496"/>
    <w:pPr>
      <w:spacing w:after="100"/>
      <w:ind w:left="1680"/>
    </w:pPr>
  </w:style>
  <w:style w:type="paragraph" w:styleId="TOC9">
    <w:name w:val="toc 9"/>
    <w:basedOn w:val="Normal"/>
    <w:next w:val="Normal"/>
    <w:autoRedefine/>
    <w:uiPriority w:val="39"/>
    <w:semiHidden/>
    <w:unhideWhenUsed/>
    <w:rsid w:val="00BD2496"/>
    <w:pPr>
      <w:spacing w:after="100"/>
      <w:ind w:left="1920"/>
    </w:pPr>
  </w:style>
  <w:style w:type="paragraph" w:customStyle="1" w:styleId="TOCPage">
    <w:name w:val="TOC Page"/>
    <w:basedOn w:val="Normal"/>
    <w:next w:val="Normal"/>
    <w:link w:val="TOCPageChar"/>
    <w:rsid w:val="00BD2496"/>
    <w:pPr>
      <w:autoSpaceDE w:val="0"/>
      <w:autoSpaceDN w:val="0"/>
      <w:adjustRightInd w:val="0"/>
      <w:spacing w:after="240"/>
      <w:ind w:left="4140" w:hanging="4140"/>
      <w:jc w:val="right"/>
    </w:pPr>
    <w:rPr>
      <w:rFonts w:cs="Arial"/>
      <w:b/>
      <w:smallCaps/>
    </w:rPr>
  </w:style>
  <w:style w:type="character" w:customStyle="1" w:styleId="TOCPageChar">
    <w:name w:val="TOC Page Char"/>
    <w:basedOn w:val="DefaultParagraphFont"/>
    <w:link w:val="TOCPage"/>
    <w:rsid w:val="00BD2496"/>
    <w:rPr>
      <w:rFonts w:cs="Arial"/>
      <w:b/>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10"/>
    <w:pPr>
      <w:spacing w:after="0" w:line="240" w:lineRule="auto"/>
    </w:pPr>
  </w:style>
  <w:style w:type="paragraph" w:styleId="Heading1">
    <w:name w:val="heading 1"/>
    <w:basedOn w:val="Normal"/>
    <w:next w:val="Normal"/>
    <w:link w:val="Heading1Char"/>
    <w:qFormat/>
    <w:rsid w:val="008341BC"/>
    <w:pPr>
      <w:numPr>
        <w:numId w:val="10"/>
      </w:numPr>
      <w:spacing w:after="240"/>
      <w:jc w:val="both"/>
      <w:outlineLvl w:val="0"/>
    </w:pPr>
    <w:rPr>
      <w:rFonts w:cs="Arial"/>
      <w:b/>
      <w:caps/>
      <w:u w:val="single"/>
    </w:rPr>
  </w:style>
  <w:style w:type="paragraph" w:styleId="Heading2">
    <w:name w:val="heading 2"/>
    <w:basedOn w:val="Normal"/>
    <w:next w:val="Normal"/>
    <w:link w:val="Heading2Char"/>
    <w:uiPriority w:val="9"/>
    <w:unhideWhenUsed/>
    <w:qFormat/>
    <w:rsid w:val="008341BC"/>
    <w:pPr>
      <w:numPr>
        <w:ilvl w:val="1"/>
        <w:numId w:val="10"/>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unhideWhenUsed/>
    <w:qFormat/>
    <w:rsid w:val="008341BC"/>
    <w:pPr>
      <w:numPr>
        <w:ilvl w:val="2"/>
        <w:numId w:val="10"/>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8341BC"/>
    <w:pPr>
      <w:numPr>
        <w:ilvl w:val="3"/>
        <w:numId w:val="10"/>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8341BC"/>
    <w:pPr>
      <w:numPr>
        <w:ilvl w:val="4"/>
        <w:numId w:val="10"/>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8341BC"/>
    <w:pPr>
      <w:numPr>
        <w:ilvl w:val="5"/>
        <w:numId w:val="10"/>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8341BC"/>
    <w:pPr>
      <w:numPr>
        <w:ilvl w:val="6"/>
        <w:numId w:val="10"/>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8341BC"/>
    <w:pPr>
      <w:numPr>
        <w:ilvl w:val="7"/>
        <w:numId w:val="10"/>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8341BC"/>
    <w:pPr>
      <w:numPr>
        <w:ilvl w:val="8"/>
        <w:numId w:val="10"/>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1BC"/>
    <w:rPr>
      <w:rFonts w:cs="Arial"/>
      <w:b/>
      <w:caps/>
      <w:u w:val="single"/>
    </w:rPr>
  </w:style>
  <w:style w:type="paragraph" w:styleId="Title">
    <w:name w:val="Title"/>
    <w:basedOn w:val="Normal"/>
    <w:link w:val="TitleChar"/>
    <w:qFormat/>
    <w:rsid w:val="004A6E10"/>
    <w:pPr>
      <w:jc w:val="center"/>
    </w:pPr>
    <w:rPr>
      <w:rFonts w:cs="Arial"/>
      <w:b/>
      <w:smallCaps/>
      <w:sz w:val="32"/>
    </w:rPr>
  </w:style>
  <w:style w:type="character" w:customStyle="1" w:styleId="TitleChar">
    <w:name w:val="Title Char"/>
    <w:basedOn w:val="DefaultParagraphFont"/>
    <w:link w:val="Title"/>
    <w:rsid w:val="004A6E10"/>
    <w:rPr>
      <w:rFonts w:eastAsia="Times New Roman" w:cs="Arial"/>
      <w:b/>
      <w:smallCaps/>
      <w:sz w:val="32"/>
      <w:szCs w:val="24"/>
    </w:rPr>
  </w:style>
  <w:style w:type="paragraph" w:styleId="BodyText">
    <w:name w:val="Body Text"/>
    <w:basedOn w:val="Normal"/>
    <w:link w:val="BodyTextChar"/>
    <w:unhideWhenUsed/>
    <w:rsid w:val="004A6E10"/>
    <w:pPr>
      <w:jc w:val="both"/>
    </w:pPr>
    <w:rPr>
      <w:rFonts w:cs="Arial"/>
    </w:rPr>
  </w:style>
  <w:style w:type="character" w:customStyle="1" w:styleId="BodyTextChar">
    <w:name w:val="Body Text Char"/>
    <w:basedOn w:val="DefaultParagraphFont"/>
    <w:link w:val="BodyText"/>
    <w:rsid w:val="004A6E10"/>
    <w:rPr>
      <w:rFonts w:eastAsia="Times New Roman" w:cs="Arial"/>
      <w:szCs w:val="24"/>
    </w:rPr>
  </w:style>
  <w:style w:type="paragraph" w:styleId="BodyTextIndent">
    <w:name w:val="Body Text Indent"/>
    <w:basedOn w:val="Normal"/>
    <w:link w:val="BodyTextIndentChar"/>
    <w:semiHidden/>
    <w:unhideWhenUsed/>
    <w:rsid w:val="004A6E10"/>
    <w:pPr>
      <w:ind w:firstLine="720"/>
      <w:jc w:val="both"/>
    </w:pPr>
    <w:rPr>
      <w:rFonts w:cs="Arial"/>
    </w:rPr>
  </w:style>
  <w:style w:type="character" w:customStyle="1" w:styleId="BodyTextIndentChar">
    <w:name w:val="Body Text Indent Char"/>
    <w:basedOn w:val="DefaultParagraphFont"/>
    <w:link w:val="BodyTextIndent"/>
    <w:semiHidden/>
    <w:rsid w:val="004A6E10"/>
    <w:rPr>
      <w:rFonts w:eastAsia="Times New Roman" w:cs="Arial"/>
      <w:szCs w:val="24"/>
    </w:rPr>
  </w:style>
  <w:style w:type="paragraph" w:styleId="BodyText3">
    <w:name w:val="Body Text 3"/>
    <w:basedOn w:val="Normal"/>
    <w:link w:val="BodyText3Char"/>
    <w:semiHidden/>
    <w:unhideWhenUsed/>
    <w:rsid w:val="004A6E10"/>
    <w:rPr>
      <w:b/>
      <w:szCs w:val="20"/>
    </w:rPr>
  </w:style>
  <w:style w:type="character" w:customStyle="1" w:styleId="BodyText3Char">
    <w:name w:val="Body Text 3 Char"/>
    <w:basedOn w:val="DefaultParagraphFont"/>
    <w:link w:val="BodyText3"/>
    <w:semiHidden/>
    <w:rsid w:val="004A6E10"/>
    <w:rPr>
      <w:rFonts w:ascii="Times New Roman" w:eastAsia="Times New Roman" w:hAnsi="Times New Roman" w:cs="Times New Roman"/>
      <w:b/>
      <w:szCs w:val="20"/>
    </w:rPr>
  </w:style>
  <w:style w:type="paragraph" w:styleId="BodyTextIndent2">
    <w:name w:val="Body Text Indent 2"/>
    <w:basedOn w:val="Normal"/>
    <w:link w:val="BodyTextIndent2Char"/>
    <w:semiHidden/>
    <w:unhideWhenUsed/>
    <w:rsid w:val="004A6E10"/>
    <w:pPr>
      <w:ind w:left="4920"/>
      <w:jc w:val="both"/>
    </w:pPr>
    <w:rPr>
      <w:rFonts w:cs="Arial"/>
      <w:sz w:val="21"/>
    </w:rPr>
  </w:style>
  <w:style w:type="character" w:customStyle="1" w:styleId="BodyTextIndent2Char">
    <w:name w:val="Body Text Indent 2 Char"/>
    <w:basedOn w:val="DefaultParagraphFont"/>
    <w:link w:val="BodyTextIndent2"/>
    <w:semiHidden/>
    <w:rsid w:val="004A6E10"/>
    <w:rPr>
      <w:rFonts w:eastAsia="Times New Roman" w:cs="Arial"/>
      <w:sz w:val="21"/>
      <w:szCs w:val="24"/>
    </w:rPr>
  </w:style>
  <w:style w:type="paragraph" w:styleId="ListParagraph">
    <w:name w:val="List Paragraph"/>
    <w:basedOn w:val="Normal"/>
    <w:uiPriority w:val="34"/>
    <w:qFormat/>
    <w:rsid w:val="004A6E10"/>
    <w:pPr>
      <w:ind w:left="720"/>
      <w:contextualSpacing/>
    </w:pPr>
  </w:style>
  <w:style w:type="paragraph" w:styleId="Header">
    <w:name w:val="header"/>
    <w:basedOn w:val="Normal"/>
    <w:link w:val="HeaderChar"/>
    <w:uiPriority w:val="99"/>
    <w:unhideWhenUsed/>
    <w:rsid w:val="004A6E10"/>
    <w:pPr>
      <w:tabs>
        <w:tab w:val="center" w:pos="4680"/>
        <w:tab w:val="right" w:pos="9360"/>
      </w:tabs>
    </w:pPr>
  </w:style>
  <w:style w:type="character" w:customStyle="1" w:styleId="HeaderChar">
    <w:name w:val="Header Char"/>
    <w:basedOn w:val="DefaultParagraphFont"/>
    <w:link w:val="Header"/>
    <w:uiPriority w:val="99"/>
    <w:rsid w:val="004A6E10"/>
    <w:rPr>
      <w:rFonts w:ascii="Times New Roman" w:eastAsia="Times New Roman" w:hAnsi="Times New Roman" w:cs="Times New Roman"/>
      <w:szCs w:val="24"/>
    </w:rPr>
  </w:style>
  <w:style w:type="paragraph" w:styleId="Footer">
    <w:name w:val="footer"/>
    <w:basedOn w:val="Normal"/>
    <w:link w:val="FooterChar"/>
    <w:uiPriority w:val="99"/>
    <w:unhideWhenUsed/>
    <w:rsid w:val="004A6E10"/>
    <w:pPr>
      <w:tabs>
        <w:tab w:val="center" w:pos="4680"/>
        <w:tab w:val="right" w:pos="9360"/>
      </w:tabs>
    </w:pPr>
  </w:style>
  <w:style w:type="character" w:customStyle="1" w:styleId="FooterChar">
    <w:name w:val="Footer Char"/>
    <w:basedOn w:val="DefaultParagraphFont"/>
    <w:link w:val="Footer"/>
    <w:uiPriority w:val="99"/>
    <w:rsid w:val="004A6E10"/>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597797"/>
    <w:rPr>
      <w:sz w:val="20"/>
      <w:szCs w:val="20"/>
    </w:rPr>
  </w:style>
  <w:style w:type="character" w:customStyle="1" w:styleId="FootnoteTextChar">
    <w:name w:val="Footnote Text Char"/>
    <w:basedOn w:val="DefaultParagraphFont"/>
    <w:link w:val="FootnoteText"/>
    <w:uiPriority w:val="99"/>
    <w:semiHidden/>
    <w:rsid w:val="005977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97797"/>
    <w:rPr>
      <w:vertAlign w:val="superscript"/>
    </w:rPr>
  </w:style>
  <w:style w:type="character" w:customStyle="1" w:styleId="ft">
    <w:name w:val="ft"/>
    <w:basedOn w:val="DefaultParagraphFont"/>
    <w:rsid w:val="00597797"/>
  </w:style>
  <w:style w:type="paragraph" w:styleId="BalloonText">
    <w:name w:val="Balloon Text"/>
    <w:basedOn w:val="Normal"/>
    <w:link w:val="BalloonTextChar"/>
    <w:uiPriority w:val="99"/>
    <w:semiHidden/>
    <w:unhideWhenUsed/>
    <w:rsid w:val="00027845"/>
    <w:rPr>
      <w:rFonts w:ascii="Tahoma" w:hAnsi="Tahoma" w:cs="Tahoma"/>
      <w:sz w:val="16"/>
      <w:szCs w:val="16"/>
    </w:rPr>
  </w:style>
  <w:style w:type="character" w:customStyle="1" w:styleId="BalloonTextChar">
    <w:name w:val="Balloon Text Char"/>
    <w:basedOn w:val="DefaultParagraphFont"/>
    <w:link w:val="BalloonText"/>
    <w:uiPriority w:val="99"/>
    <w:semiHidden/>
    <w:rsid w:val="00027845"/>
    <w:rPr>
      <w:rFonts w:ascii="Tahoma" w:hAnsi="Tahoma" w:cs="Tahoma"/>
      <w:sz w:val="16"/>
      <w:szCs w:val="16"/>
    </w:rPr>
  </w:style>
  <w:style w:type="character" w:customStyle="1" w:styleId="Heading4Char">
    <w:name w:val="Heading 4 Char"/>
    <w:basedOn w:val="DefaultParagraphFont"/>
    <w:link w:val="Heading4"/>
    <w:uiPriority w:val="9"/>
    <w:semiHidden/>
    <w:rsid w:val="008341BC"/>
    <w:rPr>
      <w:rFonts w:eastAsiaTheme="majorEastAsia" w:cs="Arial"/>
      <w:b/>
      <w:bCs/>
      <w:i/>
      <w:iCs/>
    </w:rPr>
  </w:style>
  <w:style w:type="paragraph" w:styleId="NormalWeb">
    <w:name w:val="Normal (Web)"/>
    <w:basedOn w:val="Normal"/>
    <w:uiPriority w:val="99"/>
    <w:semiHidden/>
    <w:unhideWhenUsed/>
    <w:rsid w:val="002957E3"/>
    <w:rPr>
      <w:rFonts w:ascii="Times New Roman" w:eastAsia="Times New Roman" w:hAnsi="Times New Roman"/>
    </w:rPr>
  </w:style>
  <w:style w:type="character" w:customStyle="1" w:styleId="Heading9Char">
    <w:name w:val="Heading 9 Char"/>
    <w:basedOn w:val="DefaultParagraphFont"/>
    <w:link w:val="Heading9"/>
    <w:uiPriority w:val="9"/>
    <w:semiHidden/>
    <w:rsid w:val="008341BC"/>
    <w:rPr>
      <w:rFonts w:asciiTheme="majorHAnsi" w:eastAsiaTheme="majorEastAsia" w:hAnsiTheme="majorHAnsi" w:cs="Arial"/>
      <w:iCs/>
      <w:color w:val="404040" w:themeColor="text1" w:themeTint="BF"/>
      <w:szCs w:val="20"/>
    </w:rPr>
  </w:style>
  <w:style w:type="character" w:styleId="Hyperlink">
    <w:name w:val="Hyperlink"/>
    <w:basedOn w:val="DefaultParagraphFont"/>
    <w:uiPriority w:val="99"/>
    <w:unhideWhenUsed/>
    <w:rsid w:val="00806AC4"/>
    <w:rPr>
      <w:color w:val="0000FF" w:themeColor="hyperlink"/>
      <w:u w:val="single"/>
    </w:rPr>
  </w:style>
  <w:style w:type="character" w:customStyle="1" w:styleId="Heading2Char">
    <w:name w:val="Heading 2 Char"/>
    <w:basedOn w:val="DefaultParagraphFont"/>
    <w:link w:val="Heading2"/>
    <w:uiPriority w:val="9"/>
    <w:rsid w:val="008341BC"/>
    <w:rPr>
      <w:rFonts w:eastAsiaTheme="majorEastAsia" w:cs="Arial"/>
      <w:b/>
      <w:bCs/>
      <w:szCs w:val="26"/>
    </w:rPr>
  </w:style>
  <w:style w:type="character" w:customStyle="1" w:styleId="Heading3Char">
    <w:name w:val="Heading 3 Char"/>
    <w:basedOn w:val="DefaultParagraphFont"/>
    <w:link w:val="Heading3"/>
    <w:uiPriority w:val="9"/>
    <w:rsid w:val="008341BC"/>
    <w:rPr>
      <w:rFonts w:eastAsiaTheme="majorEastAsia" w:cs="Arial"/>
      <w:b/>
      <w:bCs/>
    </w:rPr>
  </w:style>
  <w:style w:type="character" w:customStyle="1" w:styleId="Heading5Char">
    <w:name w:val="Heading 5 Char"/>
    <w:basedOn w:val="DefaultParagraphFont"/>
    <w:link w:val="Heading5"/>
    <w:uiPriority w:val="9"/>
    <w:semiHidden/>
    <w:rsid w:val="008341BC"/>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8341BC"/>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8341BC"/>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8341BC"/>
    <w:rPr>
      <w:rFonts w:asciiTheme="majorHAnsi" w:eastAsiaTheme="majorEastAsia" w:hAnsiTheme="majorHAnsi" w:cs="Arial"/>
      <w:color w:val="404040" w:themeColor="text1" w:themeTint="BF"/>
      <w:szCs w:val="20"/>
    </w:rPr>
  </w:style>
  <w:style w:type="paragraph" w:styleId="TOCHeading">
    <w:name w:val="TOC Heading"/>
    <w:basedOn w:val="Normal"/>
    <w:next w:val="TOC1"/>
    <w:uiPriority w:val="39"/>
    <w:unhideWhenUsed/>
    <w:qFormat/>
    <w:rsid w:val="00BD2496"/>
    <w:pPr>
      <w:keepNext/>
      <w:keepLines/>
      <w:spacing w:before="480" w:after="240"/>
      <w:jc w:val="center"/>
    </w:pPr>
    <w:rPr>
      <w:rFonts w:eastAsiaTheme="majorEastAsia" w:cs="Arial"/>
      <w:b/>
      <w:bCs/>
      <w:color w:val="365F91" w:themeColor="accent1" w:themeShade="BF"/>
      <w:szCs w:val="28"/>
    </w:rPr>
  </w:style>
  <w:style w:type="paragraph" w:styleId="TOC1">
    <w:name w:val="toc 1"/>
    <w:basedOn w:val="Normal"/>
    <w:next w:val="Normal"/>
    <w:autoRedefine/>
    <w:uiPriority w:val="39"/>
    <w:unhideWhenUsed/>
    <w:rsid w:val="00866E97"/>
    <w:pPr>
      <w:tabs>
        <w:tab w:val="right" w:leader="dot" w:pos="9406"/>
      </w:tabs>
      <w:spacing w:after="100"/>
      <w:ind w:left="720" w:hanging="720"/>
    </w:pPr>
  </w:style>
  <w:style w:type="paragraph" w:styleId="TOC2">
    <w:name w:val="toc 2"/>
    <w:basedOn w:val="Normal"/>
    <w:next w:val="Normal"/>
    <w:autoRedefine/>
    <w:uiPriority w:val="39"/>
    <w:unhideWhenUsed/>
    <w:rsid w:val="00F75694"/>
    <w:pPr>
      <w:tabs>
        <w:tab w:val="left" w:pos="1440"/>
        <w:tab w:val="right" w:leader="dot" w:pos="9360"/>
      </w:tabs>
      <w:spacing w:after="100"/>
      <w:ind w:left="1440" w:right="720" w:hanging="720"/>
      <w:jc w:val="both"/>
    </w:pPr>
  </w:style>
  <w:style w:type="paragraph" w:styleId="TOC3">
    <w:name w:val="toc 3"/>
    <w:basedOn w:val="Normal"/>
    <w:next w:val="Normal"/>
    <w:autoRedefine/>
    <w:uiPriority w:val="39"/>
    <w:semiHidden/>
    <w:unhideWhenUsed/>
    <w:rsid w:val="00BD2496"/>
    <w:pPr>
      <w:spacing w:after="100"/>
      <w:ind w:left="480"/>
    </w:pPr>
  </w:style>
  <w:style w:type="paragraph" w:styleId="TOC4">
    <w:name w:val="toc 4"/>
    <w:basedOn w:val="Normal"/>
    <w:next w:val="Normal"/>
    <w:autoRedefine/>
    <w:uiPriority w:val="39"/>
    <w:semiHidden/>
    <w:unhideWhenUsed/>
    <w:rsid w:val="00BD2496"/>
    <w:pPr>
      <w:spacing w:after="100"/>
      <w:ind w:left="720"/>
    </w:pPr>
  </w:style>
  <w:style w:type="paragraph" w:styleId="TOC5">
    <w:name w:val="toc 5"/>
    <w:basedOn w:val="Normal"/>
    <w:next w:val="Normal"/>
    <w:autoRedefine/>
    <w:uiPriority w:val="39"/>
    <w:semiHidden/>
    <w:unhideWhenUsed/>
    <w:rsid w:val="00BD2496"/>
    <w:pPr>
      <w:spacing w:after="100"/>
      <w:ind w:left="960"/>
    </w:pPr>
  </w:style>
  <w:style w:type="paragraph" w:styleId="TOC6">
    <w:name w:val="toc 6"/>
    <w:basedOn w:val="Normal"/>
    <w:next w:val="Normal"/>
    <w:autoRedefine/>
    <w:uiPriority w:val="39"/>
    <w:semiHidden/>
    <w:unhideWhenUsed/>
    <w:rsid w:val="00BD2496"/>
    <w:pPr>
      <w:spacing w:after="100"/>
      <w:ind w:left="1200"/>
    </w:pPr>
  </w:style>
  <w:style w:type="paragraph" w:styleId="TOC7">
    <w:name w:val="toc 7"/>
    <w:basedOn w:val="Normal"/>
    <w:next w:val="Normal"/>
    <w:autoRedefine/>
    <w:uiPriority w:val="39"/>
    <w:semiHidden/>
    <w:unhideWhenUsed/>
    <w:rsid w:val="00BD2496"/>
    <w:pPr>
      <w:spacing w:after="100"/>
      <w:ind w:left="1440"/>
    </w:pPr>
  </w:style>
  <w:style w:type="paragraph" w:styleId="TOC8">
    <w:name w:val="toc 8"/>
    <w:basedOn w:val="Normal"/>
    <w:next w:val="Normal"/>
    <w:autoRedefine/>
    <w:uiPriority w:val="39"/>
    <w:semiHidden/>
    <w:unhideWhenUsed/>
    <w:rsid w:val="00BD2496"/>
    <w:pPr>
      <w:spacing w:after="100"/>
      <w:ind w:left="1680"/>
    </w:pPr>
  </w:style>
  <w:style w:type="paragraph" w:styleId="TOC9">
    <w:name w:val="toc 9"/>
    <w:basedOn w:val="Normal"/>
    <w:next w:val="Normal"/>
    <w:autoRedefine/>
    <w:uiPriority w:val="39"/>
    <w:semiHidden/>
    <w:unhideWhenUsed/>
    <w:rsid w:val="00BD2496"/>
    <w:pPr>
      <w:spacing w:after="100"/>
      <w:ind w:left="1920"/>
    </w:pPr>
  </w:style>
  <w:style w:type="paragraph" w:customStyle="1" w:styleId="TOCPage">
    <w:name w:val="TOC Page"/>
    <w:basedOn w:val="Normal"/>
    <w:next w:val="Normal"/>
    <w:link w:val="TOCPageChar"/>
    <w:rsid w:val="00BD2496"/>
    <w:pPr>
      <w:autoSpaceDE w:val="0"/>
      <w:autoSpaceDN w:val="0"/>
      <w:adjustRightInd w:val="0"/>
      <w:spacing w:after="240"/>
      <w:ind w:left="4140" w:hanging="4140"/>
      <w:jc w:val="right"/>
    </w:pPr>
    <w:rPr>
      <w:rFonts w:cs="Arial"/>
      <w:b/>
      <w:smallCaps/>
    </w:rPr>
  </w:style>
  <w:style w:type="character" w:customStyle="1" w:styleId="TOCPageChar">
    <w:name w:val="TOC Page Char"/>
    <w:basedOn w:val="DefaultParagraphFont"/>
    <w:link w:val="TOCPage"/>
    <w:rsid w:val="00BD2496"/>
    <w:rPr>
      <w:rFonts w:cs="Arial"/>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05970">
      <w:bodyDiv w:val="1"/>
      <w:marLeft w:val="0"/>
      <w:marRight w:val="0"/>
      <w:marTop w:val="0"/>
      <w:marBottom w:val="0"/>
      <w:divBdr>
        <w:top w:val="none" w:sz="0" w:space="0" w:color="auto"/>
        <w:left w:val="none" w:sz="0" w:space="0" w:color="auto"/>
        <w:bottom w:val="none" w:sz="0" w:space="0" w:color="auto"/>
        <w:right w:val="none" w:sz="0" w:space="0" w:color="auto"/>
      </w:divBdr>
    </w:div>
    <w:div w:id="602538870">
      <w:bodyDiv w:val="1"/>
      <w:marLeft w:val="0"/>
      <w:marRight w:val="0"/>
      <w:marTop w:val="0"/>
      <w:marBottom w:val="0"/>
      <w:divBdr>
        <w:top w:val="none" w:sz="0" w:space="0" w:color="auto"/>
        <w:left w:val="none" w:sz="0" w:space="0" w:color="auto"/>
        <w:bottom w:val="none" w:sz="0" w:space="0" w:color="auto"/>
        <w:right w:val="none" w:sz="0" w:space="0" w:color="auto"/>
      </w:divBdr>
    </w:div>
    <w:div w:id="868837870">
      <w:bodyDiv w:val="1"/>
      <w:marLeft w:val="0"/>
      <w:marRight w:val="0"/>
      <w:marTop w:val="0"/>
      <w:marBottom w:val="0"/>
      <w:divBdr>
        <w:top w:val="none" w:sz="0" w:space="0" w:color="auto"/>
        <w:left w:val="none" w:sz="0" w:space="0" w:color="auto"/>
        <w:bottom w:val="none" w:sz="0" w:space="0" w:color="auto"/>
        <w:right w:val="none" w:sz="0" w:space="0" w:color="auto"/>
      </w:divBdr>
    </w:div>
    <w:div w:id="1090470091">
      <w:bodyDiv w:val="1"/>
      <w:marLeft w:val="0"/>
      <w:marRight w:val="0"/>
      <w:marTop w:val="0"/>
      <w:marBottom w:val="0"/>
      <w:divBdr>
        <w:top w:val="none" w:sz="0" w:space="0" w:color="auto"/>
        <w:left w:val="none" w:sz="0" w:space="0" w:color="auto"/>
        <w:bottom w:val="none" w:sz="0" w:space="0" w:color="auto"/>
        <w:right w:val="none" w:sz="0" w:space="0" w:color="auto"/>
      </w:divBdr>
    </w:div>
    <w:div w:id="1131244447">
      <w:bodyDiv w:val="1"/>
      <w:marLeft w:val="0"/>
      <w:marRight w:val="0"/>
      <w:marTop w:val="0"/>
      <w:marBottom w:val="0"/>
      <w:divBdr>
        <w:top w:val="none" w:sz="0" w:space="0" w:color="auto"/>
        <w:left w:val="none" w:sz="0" w:space="0" w:color="auto"/>
        <w:bottom w:val="none" w:sz="0" w:space="0" w:color="auto"/>
        <w:right w:val="none" w:sz="0" w:space="0" w:color="auto"/>
      </w:divBdr>
    </w:div>
    <w:div w:id="1208948904">
      <w:bodyDiv w:val="1"/>
      <w:marLeft w:val="0"/>
      <w:marRight w:val="0"/>
      <w:marTop w:val="0"/>
      <w:marBottom w:val="0"/>
      <w:divBdr>
        <w:top w:val="none" w:sz="0" w:space="0" w:color="auto"/>
        <w:left w:val="none" w:sz="0" w:space="0" w:color="auto"/>
        <w:bottom w:val="none" w:sz="0" w:space="0" w:color="auto"/>
        <w:right w:val="none" w:sz="0" w:space="0" w:color="auto"/>
      </w:divBdr>
    </w:div>
    <w:div w:id="1367750758">
      <w:bodyDiv w:val="1"/>
      <w:marLeft w:val="0"/>
      <w:marRight w:val="0"/>
      <w:marTop w:val="0"/>
      <w:marBottom w:val="0"/>
      <w:divBdr>
        <w:top w:val="none" w:sz="0" w:space="0" w:color="auto"/>
        <w:left w:val="none" w:sz="0" w:space="0" w:color="auto"/>
        <w:bottom w:val="none" w:sz="0" w:space="0" w:color="auto"/>
        <w:right w:val="none" w:sz="0" w:space="0" w:color="auto"/>
      </w:divBdr>
    </w:div>
    <w:div w:id="1870727091">
      <w:bodyDiv w:val="1"/>
      <w:marLeft w:val="0"/>
      <w:marRight w:val="0"/>
      <w:marTop w:val="0"/>
      <w:marBottom w:val="0"/>
      <w:divBdr>
        <w:top w:val="none" w:sz="0" w:space="0" w:color="auto"/>
        <w:left w:val="none" w:sz="0" w:space="0" w:color="auto"/>
        <w:bottom w:val="none" w:sz="0" w:space="0" w:color="auto"/>
        <w:right w:val="none" w:sz="0" w:space="0" w:color="auto"/>
      </w:divBdr>
    </w:div>
    <w:div w:id="1886676498">
      <w:bodyDiv w:val="1"/>
      <w:marLeft w:val="0"/>
      <w:marRight w:val="0"/>
      <w:marTop w:val="0"/>
      <w:marBottom w:val="0"/>
      <w:divBdr>
        <w:top w:val="none" w:sz="0" w:space="0" w:color="auto"/>
        <w:left w:val="none" w:sz="0" w:space="0" w:color="auto"/>
        <w:bottom w:val="none" w:sz="0" w:space="0" w:color="auto"/>
        <w:right w:val="none" w:sz="0" w:space="0" w:color="auto"/>
      </w:divBdr>
    </w:div>
    <w:div w:id="2053117430">
      <w:bodyDiv w:val="1"/>
      <w:marLeft w:val="0"/>
      <w:marRight w:val="0"/>
      <w:marTop w:val="0"/>
      <w:marBottom w:val="0"/>
      <w:divBdr>
        <w:top w:val="none" w:sz="0" w:space="0" w:color="auto"/>
        <w:left w:val="none" w:sz="0" w:space="0" w:color="auto"/>
        <w:bottom w:val="none" w:sz="0" w:space="0" w:color="auto"/>
        <w:right w:val="none" w:sz="0" w:space="0" w:color="auto"/>
      </w:divBdr>
    </w:div>
    <w:div w:id="21362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3661</Words>
  <Characters>20870</Characters>
  <Application>Microsoft Office Word</Application>
  <DocSecurity>0</DocSecurity>
  <PresentationFormat/>
  <Lines>521</Lines>
  <Paragraphs>206</Paragraphs>
  <ScaleCrop>false</ScaleCrop>
  <HeadingPairs>
    <vt:vector size="2" baseType="variant">
      <vt:variant>
        <vt:lpstr>Title</vt:lpstr>
      </vt:variant>
      <vt:variant>
        <vt:i4>1</vt:i4>
      </vt:variant>
    </vt:vector>
  </HeadingPairs>
  <TitlesOfParts>
    <vt:vector size="1" baseType="lpstr">
      <vt:lpstr>Application for Rehearing 10-501-EL-FOR (C39658-4).DOCX</vt:lpstr>
    </vt:vector>
  </TitlesOfParts>
  <Manager/>
  <Company/>
  <LinksUpToDate>false</LinksUpToDate>
  <CharactersWithSpaces>24325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42</cp:revision>
  <cp:lastPrinted>2013-02-08T19:30:00Z</cp:lastPrinted>
  <dcterms:created xsi:type="dcterms:W3CDTF">2013-01-17T15:35:00Z</dcterms:created>
  <dcterms:modified xsi:type="dcterms:W3CDTF">2013-02-08T20:52:00Z</dcterms:modified>
  <cp:category> </cp:category>
  <cp:contentStatus> </cp:contentStatus>
</cp:coreProperties>
</file>