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6E5" w:rsidRDefault="00677878">
      <w:pPr>
        <w:pStyle w:val="Title"/>
        <w:rPr>
          <w:sz w:val="28"/>
        </w:rPr>
      </w:pPr>
      <w:bookmarkStart w:id="0" w:name="OLE_LINK1"/>
      <w:bookmarkStart w:id="1" w:name="OLE_LINK2"/>
      <w:bookmarkStart w:id="2" w:name="_GoBack"/>
      <w:bookmarkEnd w:id="2"/>
      <w:r>
        <w:rPr>
          <w:sz w:val="28"/>
        </w:rPr>
        <w:t>Before</w:t>
      </w:r>
    </w:p>
    <w:p w:rsidR="007066E5" w:rsidRDefault="00677878">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rsidR="007066E5" w:rsidRDefault="007066E5">
      <w:pPr>
        <w:autoSpaceDE w:val="0"/>
        <w:autoSpaceDN w:val="0"/>
        <w:adjustRightInd w:val="0"/>
        <w:jc w:val="both"/>
        <w:rPr>
          <w:rFonts w:ascii="Arial" w:eastAsiaTheme="minorHAnsi" w:hAnsi="Arial" w:cs="Arial"/>
        </w:rPr>
      </w:pPr>
    </w:p>
    <w:p w:rsidR="007066E5" w:rsidRDefault="00677878">
      <w:pPr>
        <w:autoSpaceDE w:val="0"/>
        <w:autoSpaceDN w:val="0"/>
        <w:adjustRightInd w:val="0"/>
        <w:jc w:val="both"/>
        <w:rPr>
          <w:rFonts w:ascii="Arial" w:eastAsiaTheme="minorHAnsi" w:hAnsi="Arial" w:cs="Arial"/>
        </w:rPr>
      </w:pPr>
      <w:r>
        <w:rPr>
          <w:rFonts w:ascii="Arial" w:eastAsiaTheme="minorHAnsi" w:hAnsi="Arial" w:cs="Arial"/>
        </w:rPr>
        <w:t>In the Matter of the Application of</w:t>
      </w:r>
      <w:r>
        <w:rPr>
          <w:rFonts w:ascii="Arial" w:eastAsiaTheme="minorHAnsi" w:hAnsi="Arial" w:cs="Arial"/>
        </w:rPr>
        <w:tab/>
      </w:r>
      <w:r>
        <w:rPr>
          <w:rFonts w:ascii="Arial" w:eastAsiaTheme="minorHAnsi" w:hAnsi="Arial" w:cs="Arial"/>
        </w:rPr>
        <w:tab/>
      </w:r>
      <w:r>
        <w:rPr>
          <w:rFonts w:ascii="Arial" w:eastAsiaTheme="minorHAnsi" w:hAnsi="Arial" w:cs="Arial"/>
        </w:rPr>
        <w:tab/>
        <w:t>)</w:t>
      </w:r>
    </w:p>
    <w:p w:rsidR="007066E5" w:rsidRDefault="00677878">
      <w:pPr>
        <w:autoSpaceDE w:val="0"/>
        <w:autoSpaceDN w:val="0"/>
        <w:adjustRightInd w:val="0"/>
        <w:jc w:val="both"/>
        <w:rPr>
          <w:rFonts w:ascii="Arial" w:eastAsiaTheme="minorHAnsi" w:hAnsi="Arial" w:cs="Arial"/>
        </w:rPr>
      </w:pPr>
      <w:r>
        <w:rPr>
          <w:rFonts w:ascii="Arial" w:eastAsiaTheme="minorHAnsi" w:hAnsi="Arial" w:cs="Arial"/>
        </w:rPr>
        <w:t xml:space="preserve">Ohio Edison Company, The Cleveland </w:t>
      </w:r>
      <w:r>
        <w:rPr>
          <w:rFonts w:ascii="Arial" w:eastAsiaTheme="minorHAnsi" w:hAnsi="Arial" w:cs="Arial"/>
        </w:rPr>
        <w:tab/>
      </w:r>
      <w:r>
        <w:rPr>
          <w:rFonts w:ascii="Arial" w:eastAsiaTheme="minorHAnsi" w:hAnsi="Arial" w:cs="Arial"/>
        </w:rPr>
        <w:tab/>
        <w:t>)</w:t>
      </w:r>
    </w:p>
    <w:p w:rsidR="007066E5" w:rsidRDefault="00677878">
      <w:pPr>
        <w:autoSpaceDE w:val="0"/>
        <w:autoSpaceDN w:val="0"/>
        <w:adjustRightInd w:val="0"/>
        <w:jc w:val="both"/>
        <w:rPr>
          <w:rFonts w:ascii="Arial" w:eastAsiaTheme="minorHAnsi" w:hAnsi="Arial" w:cs="Arial"/>
        </w:rPr>
      </w:pPr>
      <w:r>
        <w:rPr>
          <w:rFonts w:ascii="Arial" w:eastAsiaTheme="minorHAnsi" w:hAnsi="Arial" w:cs="Arial"/>
        </w:rPr>
        <w:t>Electric Illuminating Company and The</w:t>
      </w:r>
      <w:r>
        <w:rPr>
          <w:rFonts w:ascii="Arial" w:eastAsiaTheme="minorHAnsi" w:hAnsi="Arial" w:cs="Arial"/>
        </w:rPr>
        <w:tab/>
      </w:r>
      <w:r>
        <w:rPr>
          <w:rFonts w:ascii="Arial" w:eastAsiaTheme="minorHAnsi" w:hAnsi="Arial" w:cs="Arial"/>
        </w:rPr>
        <w:tab/>
        <w:t>)</w:t>
      </w:r>
      <w:r>
        <w:rPr>
          <w:rFonts w:ascii="Arial" w:eastAsiaTheme="minorHAnsi" w:hAnsi="Arial" w:cs="Arial"/>
        </w:rPr>
        <w:tab/>
        <w:t>Case No. 12-2190-EL-POR</w:t>
      </w:r>
    </w:p>
    <w:p w:rsidR="007066E5" w:rsidRDefault="00677878">
      <w:pPr>
        <w:autoSpaceDE w:val="0"/>
        <w:autoSpaceDN w:val="0"/>
        <w:adjustRightInd w:val="0"/>
        <w:jc w:val="both"/>
        <w:rPr>
          <w:rFonts w:ascii="Arial" w:eastAsiaTheme="minorHAnsi" w:hAnsi="Arial" w:cs="Arial"/>
        </w:rPr>
      </w:pPr>
      <w:r>
        <w:rPr>
          <w:rFonts w:ascii="Arial" w:eastAsiaTheme="minorHAnsi" w:hAnsi="Arial" w:cs="Arial"/>
        </w:rPr>
        <w:t>Toledo Edison Company for Approval of</w:t>
      </w:r>
      <w:r>
        <w:rPr>
          <w:rFonts w:ascii="Arial" w:eastAsiaTheme="minorHAnsi" w:hAnsi="Arial" w:cs="Arial"/>
        </w:rPr>
        <w:tab/>
      </w:r>
      <w:r>
        <w:rPr>
          <w:rFonts w:ascii="Arial" w:eastAsiaTheme="minorHAnsi" w:hAnsi="Arial" w:cs="Arial"/>
        </w:rPr>
        <w:tab/>
        <w:t>)</w:t>
      </w:r>
      <w:r>
        <w:rPr>
          <w:rFonts w:ascii="Arial" w:eastAsiaTheme="minorHAnsi" w:hAnsi="Arial" w:cs="Arial"/>
        </w:rPr>
        <w:tab/>
        <w:t>Case No. 12-2191-EL-POR</w:t>
      </w:r>
    </w:p>
    <w:p w:rsidR="007066E5" w:rsidRDefault="00677878">
      <w:pPr>
        <w:autoSpaceDE w:val="0"/>
        <w:autoSpaceDN w:val="0"/>
        <w:adjustRightInd w:val="0"/>
        <w:jc w:val="both"/>
        <w:rPr>
          <w:rFonts w:ascii="Arial" w:eastAsiaTheme="minorHAnsi" w:hAnsi="Arial" w:cs="Arial"/>
        </w:rPr>
      </w:pPr>
      <w:r>
        <w:rPr>
          <w:rFonts w:ascii="Arial" w:eastAsiaTheme="minorHAnsi" w:hAnsi="Arial" w:cs="Arial"/>
        </w:rPr>
        <w:t>Their Energy Efficiency and Peak Demand</w:t>
      </w:r>
      <w:r>
        <w:rPr>
          <w:rFonts w:ascii="Arial" w:eastAsiaTheme="minorHAnsi" w:hAnsi="Arial" w:cs="Arial"/>
        </w:rPr>
        <w:tab/>
        <w:t>)</w:t>
      </w:r>
      <w:r>
        <w:rPr>
          <w:rFonts w:ascii="Arial" w:eastAsiaTheme="minorHAnsi" w:hAnsi="Arial" w:cs="Arial"/>
        </w:rPr>
        <w:tab/>
        <w:t>Case No. 12-2192-EL-POR</w:t>
      </w:r>
    </w:p>
    <w:p w:rsidR="007066E5" w:rsidRDefault="00677878">
      <w:pPr>
        <w:autoSpaceDE w:val="0"/>
        <w:autoSpaceDN w:val="0"/>
        <w:adjustRightInd w:val="0"/>
        <w:jc w:val="both"/>
        <w:rPr>
          <w:rFonts w:ascii="Arial" w:eastAsiaTheme="minorHAnsi" w:hAnsi="Arial" w:cs="Arial"/>
        </w:rPr>
      </w:pPr>
      <w:r>
        <w:rPr>
          <w:rFonts w:ascii="Arial" w:eastAsiaTheme="minorHAnsi" w:hAnsi="Arial" w:cs="Arial"/>
        </w:rPr>
        <w:t>Reduction Program Portfolio Plans for</w:t>
      </w:r>
      <w:r>
        <w:rPr>
          <w:rFonts w:ascii="Arial" w:eastAsiaTheme="minorHAnsi" w:hAnsi="Arial" w:cs="Arial"/>
        </w:rPr>
        <w:tab/>
      </w:r>
      <w:r>
        <w:rPr>
          <w:rFonts w:ascii="Arial" w:eastAsiaTheme="minorHAnsi" w:hAnsi="Arial" w:cs="Arial"/>
        </w:rPr>
        <w:tab/>
        <w:t>)</w:t>
      </w:r>
    </w:p>
    <w:p w:rsidR="007066E5" w:rsidRDefault="00677878">
      <w:pPr>
        <w:autoSpaceDE w:val="0"/>
        <w:autoSpaceDN w:val="0"/>
        <w:adjustRightInd w:val="0"/>
        <w:jc w:val="both"/>
        <w:rPr>
          <w:rFonts w:ascii="Arial" w:eastAsiaTheme="minorHAnsi" w:hAnsi="Arial" w:cs="Arial"/>
        </w:rPr>
      </w:pPr>
      <w:r>
        <w:rPr>
          <w:rFonts w:ascii="Arial" w:eastAsiaTheme="minorHAnsi" w:hAnsi="Arial" w:cs="Arial"/>
        </w:rPr>
        <w:t>2013 through 2015</w:t>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t>)</w:t>
      </w:r>
    </w:p>
    <w:p w:rsidR="007066E5" w:rsidRDefault="007066E5">
      <w:pPr>
        <w:autoSpaceDE w:val="0"/>
        <w:autoSpaceDN w:val="0"/>
        <w:adjustRightInd w:val="0"/>
        <w:jc w:val="both"/>
      </w:pPr>
    </w:p>
    <w:p w:rsidR="007066E5" w:rsidRDefault="007066E5">
      <w:pPr>
        <w:pStyle w:val="BodyText"/>
        <w:tabs>
          <w:tab w:val="left" w:pos="5040"/>
        </w:tabs>
      </w:pPr>
    </w:p>
    <w:p w:rsidR="007066E5" w:rsidRDefault="007066E5">
      <w:pPr>
        <w:pBdr>
          <w:top w:val="single" w:sz="12" w:space="1" w:color="auto"/>
        </w:pBdr>
        <w:tabs>
          <w:tab w:val="left" w:pos="7320"/>
        </w:tabs>
        <w:jc w:val="both"/>
        <w:rPr>
          <w:rFonts w:ascii="Arial" w:hAnsi="Arial" w:cs="Arial"/>
          <w:sz w:val="28"/>
        </w:rPr>
      </w:pPr>
    </w:p>
    <w:p w:rsidR="007066E5" w:rsidRDefault="00677878">
      <w:pPr>
        <w:jc w:val="center"/>
        <w:rPr>
          <w:rFonts w:ascii="Arial" w:hAnsi="Arial" w:cs="Arial"/>
          <w:b/>
        </w:rPr>
      </w:pPr>
      <w:r>
        <w:rPr>
          <w:rFonts w:ascii="Arial" w:hAnsi="Arial" w:cs="Arial"/>
          <w:b/>
        </w:rPr>
        <w:t>REPLY BRIEF OF INDUSTRIAL ENERGY USERS-OHIO</w:t>
      </w:r>
    </w:p>
    <w:p w:rsidR="007066E5" w:rsidRDefault="00677878">
      <w:pPr>
        <w:pStyle w:val="Title"/>
        <w:jc w:val="both"/>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bookmarkEnd w:id="0"/>
    <w:bookmarkEnd w:id="1"/>
    <w:p w:rsidR="007066E5" w:rsidRDefault="007066E5">
      <w:pPr>
        <w:pStyle w:val="Title"/>
        <w:jc w:val="both"/>
        <w:rPr>
          <w:sz w:val="28"/>
          <w:u w:val="single"/>
        </w:rPr>
      </w:pPr>
    </w:p>
    <w:p w:rsidR="007066E5" w:rsidRDefault="007066E5">
      <w:pPr>
        <w:pStyle w:val="Title"/>
        <w:tabs>
          <w:tab w:val="left" w:pos="2190"/>
        </w:tabs>
        <w:jc w:val="both"/>
        <w:rPr>
          <w:sz w:val="28"/>
          <w:u w:val="single"/>
        </w:rPr>
      </w:pPr>
    </w:p>
    <w:p w:rsidR="007066E5" w:rsidRDefault="007066E5">
      <w:pPr>
        <w:pStyle w:val="Title"/>
        <w:jc w:val="both"/>
        <w:rPr>
          <w:sz w:val="28"/>
          <w:u w:val="single"/>
        </w:rPr>
      </w:pPr>
    </w:p>
    <w:p w:rsidR="007066E5" w:rsidRDefault="007066E5">
      <w:pPr>
        <w:pStyle w:val="Title"/>
        <w:jc w:val="both"/>
        <w:rPr>
          <w:sz w:val="28"/>
          <w:u w:val="single"/>
        </w:rPr>
      </w:pPr>
    </w:p>
    <w:p w:rsidR="007066E5" w:rsidRDefault="007066E5">
      <w:pPr>
        <w:pStyle w:val="Title"/>
        <w:jc w:val="both"/>
        <w:rPr>
          <w:sz w:val="28"/>
          <w:u w:val="single"/>
        </w:rPr>
      </w:pPr>
    </w:p>
    <w:p w:rsidR="007066E5" w:rsidRDefault="007066E5">
      <w:pPr>
        <w:pStyle w:val="Title"/>
        <w:jc w:val="both"/>
        <w:rPr>
          <w:sz w:val="28"/>
          <w:u w:val="single"/>
        </w:rPr>
      </w:pPr>
    </w:p>
    <w:p w:rsidR="007066E5" w:rsidRDefault="007066E5">
      <w:pPr>
        <w:pStyle w:val="Title"/>
        <w:jc w:val="both"/>
        <w:rPr>
          <w:sz w:val="28"/>
          <w:u w:val="single"/>
        </w:rPr>
      </w:pPr>
    </w:p>
    <w:p w:rsidR="007066E5" w:rsidRDefault="007066E5">
      <w:pPr>
        <w:pStyle w:val="Title"/>
        <w:jc w:val="both"/>
        <w:rPr>
          <w:sz w:val="28"/>
          <w:u w:val="single"/>
        </w:rPr>
      </w:pPr>
    </w:p>
    <w:p w:rsidR="007066E5" w:rsidRDefault="007066E5">
      <w:pPr>
        <w:pStyle w:val="Title"/>
        <w:jc w:val="both"/>
        <w:rPr>
          <w:sz w:val="28"/>
          <w:u w:val="single"/>
        </w:rPr>
      </w:pPr>
    </w:p>
    <w:p w:rsidR="007066E5" w:rsidRDefault="007066E5">
      <w:pPr>
        <w:pStyle w:val="Title"/>
        <w:jc w:val="both"/>
        <w:rPr>
          <w:sz w:val="28"/>
          <w:u w:val="single"/>
        </w:rPr>
      </w:pPr>
    </w:p>
    <w:p w:rsidR="007066E5" w:rsidRDefault="007066E5">
      <w:pPr>
        <w:pStyle w:val="Title"/>
        <w:jc w:val="both"/>
        <w:rPr>
          <w:sz w:val="28"/>
          <w:u w:val="single"/>
        </w:rPr>
      </w:pPr>
    </w:p>
    <w:p w:rsidR="007066E5" w:rsidRDefault="00677878">
      <w:pPr>
        <w:tabs>
          <w:tab w:val="left" w:pos="4320"/>
          <w:tab w:val="right" w:pos="8640"/>
        </w:tabs>
        <w:ind w:left="4320"/>
        <w:jc w:val="both"/>
        <w:rPr>
          <w:rFonts w:ascii="Arial" w:hAnsi="Arial" w:cs="Arial"/>
        </w:rPr>
      </w:pPr>
      <w:r>
        <w:rPr>
          <w:rFonts w:ascii="Arial" w:hAnsi="Arial" w:cs="Arial"/>
        </w:rPr>
        <w:t>Samuel C. Randazzo (Counsel of Record)</w:t>
      </w:r>
    </w:p>
    <w:p w:rsidR="007066E5" w:rsidRDefault="00677878">
      <w:pPr>
        <w:pStyle w:val="BodyText3"/>
        <w:widowControl w:val="0"/>
        <w:tabs>
          <w:tab w:val="left" w:pos="4320"/>
        </w:tabs>
        <w:ind w:left="4320"/>
        <w:jc w:val="both"/>
        <w:rPr>
          <w:rFonts w:ascii="Arial" w:hAnsi="Arial" w:cs="Arial"/>
          <w:b w:val="0"/>
          <w:bCs/>
        </w:rPr>
      </w:pPr>
      <w:r>
        <w:rPr>
          <w:rFonts w:ascii="Arial" w:hAnsi="Arial" w:cs="Arial"/>
          <w:b w:val="0"/>
          <w:bCs/>
        </w:rPr>
        <w:t>Frank P. Darr</w:t>
      </w:r>
    </w:p>
    <w:p w:rsidR="007066E5" w:rsidRDefault="00677878">
      <w:pPr>
        <w:pStyle w:val="BodyText3"/>
        <w:widowControl w:val="0"/>
        <w:tabs>
          <w:tab w:val="left" w:pos="4320"/>
        </w:tabs>
        <w:ind w:left="4320"/>
        <w:jc w:val="both"/>
        <w:rPr>
          <w:rFonts w:ascii="Arial" w:hAnsi="Arial" w:cs="Arial"/>
          <w:b w:val="0"/>
          <w:bCs/>
        </w:rPr>
      </w:pPr>
      <w:r>
        <w:rPr>
          <w:rFonts w:ascii="Arial" w:hAnsi="Arial" w:cs="Arial"/>
          <w:b w:val="0"/>
          <w:bCs/>
        </w:rPr>
        <w:t>Joseph E. Oliker</w:t>
      </w:r>
    </w:p>
    <w:p w:rsidR="007066E5" w:rsidRDefault="00677878">
      <w:pPr>
        <w:pStyle w:val="BodyText3"/>
        <w:widowControl w:val="0"/>
        <w:tabs>
          <w:tab w:val="left" w:pos="4320"/>
        </w:tabs>
        <w:ind w:left="4320"/>
        <w:jc w:val="both"/>
        <w:rPr>
          <w:rFonts w:ascii="Arial" w:hAnsi="Arial" w:cs="Arial"/>
          <w:b w:val="0"/>
          <w:bCs/>
        </w:rPr>
      </w:pPr>
      <w:r>
        <w:rPr>
          <w:rFonts w:ascii="Arial" w:hAnsi="Arial" w:cs="Arial"/>
          <w:b w:val="0"/>
          <w:bCs/>
        </w:rPr>
        <w:t>Matthew R. Pritchard</w:t>
      </w:r>
    </w:p>
    <w:p w:rsidR="007066E5" w:rsidRDefault="00677878">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McNees Wallace &amp; Nurick LLC</w:t>
      </w:r>
    </w:p>
    <w:p w:rsidR="007066E5" w:rsidRDefault="00677878">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7066E5" w:rsidRDefault="00677878">
      <w:pPr>
        <w:pStyle w:val="BodyText"/>
        <w:tabs>
          <w:tab w:val="left" w:pos="4320"/>
        </w:tabs>
        <w:ind w:left="4320"/>
      </w:pPr>
      <w:r>
        <w:t>Columbus, OH  43215</w:t>
      </w:r>
    </w:p>
    <w:p w:rsidR="007066E5" w:rsidRDefault="00677878">
      <w:pPr>
        <w:pStyle w:val="BodyText"/>
        <w:tabs>
          <w:tab w:val="left" w:pos="4320"/>
        </w:tabs>
        <w:ind w:left="4320"/>
      </w:pPr>
      <w:r>
        <w:t>Telephone:  (614) 469-8000</w:t>
      </w:r>
    </w:p>
    <w:p w:rsidR="007066E5" w:rsidRDefault="00677878">
      <w:pPr>
        <w:pStyle w:val="BodyText"/>
        <w:tabs>
          <w:tab w:val="left" w:pos="4320"/>
        </w:tabs>
        <w:ind w:left="4320"/>
      </w:pPr>
      <w:r>
        <w:t>Telecopier:  (614) 469-4653</w:t>
      </w:r>
    </w:p>
    <w:p w:rsidR="007066E5" w:rsidRDefault="00677878">
      <w:pPr>
        <w:pStyle w:val="BodyText"/>
        <w:ind w:left="4320"/>
      </w:pPr>
      <w:r>
        <w:t>sam@mwncmh.com</w:t>
      </w:r>
    </w:p>
    <w:p w:rsidR="007066E5" w:rsidRDefault="00677878">
      <w:pPr>
        <w:pStyle w:val="BodyText"/>
        <w:ind w:left="4320"/>
      </w:pPr>
      <w:r>
        <w:t>fdarr@mwncmh.com</w:t>
      </w:r>
    </w:p>
    <w:p w:rsidR="007066E5" w:rsidRDefault="00677878">
      <w:pPr>
        <w:pStyle w:val="BodyText"/>
        <w:ind w:left="4320"/>
      </w:pPr>
      <w:r>
        <w:t>joliker@mwncmh.com</w:t>
      </w:r>
    </w:p>
    <w:p w:rsidR="007066E5" w:rsidRDefault="00677878">
      <w:pPr>
        <w:pStyle w:val="BodyText"/>
        <w:ind w:left="4320"/>
      </w:pPr>
      <w:r>
        <w:t>mpritchard@mwncmh.com</w:t>
      </w:r>
    </w:p>
    <w:p w:rsidR="007066E5" w:rsidRDefault="007066E5">
      <w:pPr>
        <w:pStyle w:val="BodyText"/>
      </w:pPr>
    </w:p>
    <w:p w:rsidR="007066E5" w:rsidRDefault="00E24540">
      <w:pPr>
        <w:pStyle w:val="Title"/>
        <w:jc w:val="both"/>
        <w:rPr>
          <w:smallCaps w:val="0"/>
          <w:sz w:val="24"/>
        </w:rPr>
      </w:pPr>
      <w:r>
        <w:rPr>
          <w:smallCaps w:val="0"/>
          <w:sz w:val="24"/>
        </w:rPr>
        <w:t>November 30</w:t>
      </w:r>
      <w:r w:rsidR="00677878">
        <w:rPr>
          <w:smallCaps w:val="0"/>
          <w:sz w:val="24"/>
        </w:rPr>
        <w:t>, 2012</w:t>
      </w:r>
      <w:r w:rsidR="00677878">
        <w:rPr>
          <w:smallCaps w:val="0"/>
          <w:sz w:val="24"/>
        </w:rPr>
        <w:tab/>
      </w:r>
      <w:r w:rsidR="00677878">
        <w:rPr>
          <w:smallCaps w:val="0"/>
          <w:sz w:val="24"/>
        </w:rPr>
        <w:tab/>
      </w:r>
      <w:r w:rsidR="00677878">
        <w:rPr>
          <w:smallCaps w:val="0"/>
          <w:sz w:val="24"/>
        </w:rPr>
        <w:tab/>
        <w:t>Attorneys for Industrial Energy Users-Ohio</w:t>
      </w:r>
    </w:p>
    <w:p w:rsidR="007066E5" w:rsidRDefault="007066E5">
      <w:pPr>
        <w:pStyle w:val="Title"/>
        <w:jc w:val="both"/>
        <w:rPr>
          <w:smallCaps w:val="0"/>
          <w:sz w:val="24"/>
        </w:rPr>
      </w:pPr>
    </w:p>
    <w:p w:rsidR="007066E5" w:rsidRDefault="007066E5">
      <w:pPr>
        <w:pStyle w:val="Title"/>
        <w:jc w:val="both"/>
        <w:rPr>
          <w:smallCaps w:val="0"/>
          <w:sz w:val="24"/>
        </w:rPr>
        <w:sectPr w:rsidR="007066E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141" w:left="1440" w:header="720" w:footer="720" w:gutter="0"/>
          <w:pgNumType w:start="1"/>
          <w:cols w:space="720"/>
          <w:titlePg/>
          <w:docGrid w:linePitch="326"/>
        </w:sectPr>
      </w:pPr>
    </w:p>
    <w:p w:rsidR="007066E5" w:rsidRDefault="00677878">
      <w:pPr>
        <w:pStyle w:val="Title"/>
        <w:rPr>
          <w:sz w:val="28"/>
        </w:rPr>
      </w:pPr>
      <w:r>
        <w:rPr>
          <w:sz w:val="28"/>
        </w:rPr>
        <w:lastRenderedPageBreak/>
        <w:t>Before</w:t>
      </w:r>
    </w:p>
    <w:p w:rsidR="007066E5" w:rsidRDefault="00677878">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rsidR="007066E5" w:rsidRDefault="007066E5">
      <w:pPr>
        <w:autoSpaceDE w:val="0"/>
        <w:autoSpaceDN w:val="0"/>
        <w:adjustRightInd w:val="0"/>
        <w:jc w:val="both"/>
        <w:rPr>
          <w:rFonts w:ascii="Arial" w:eastAsiaTheme="minorHAnsi" w:hAnsi="Arial" w:cs="Arial"/>
        </w:rPr>
      </w:pPr>
    </w:p>
    <w:p w:rsidR="007066E5" w:rsidRDefault="00677878">
      <w:pPr>
        <w:autoSpaceDE w:val="0"/>
        <w:autoSpaceDN w:val="0"/>
        <w:adjustRightInd w:val="0"/>
        <w:jc w:val="both"/>
        <w:rPr>
          <w:rFonts w:ascii="Arial" w:eastAsiaTheme="minorHAnsi" w:hAnsi="Arial" w:cs="Arial"/>
        </w:rPr>
      </w:pPr>
      <w:r>
        <w:rPr>
          <w:rFonts w:ascii="Arial" w:eastAsiaTheme="minorHAnsi" w:hAnsi="Arial" w:cs="Arial"/>
        </w:rPr>
        <w:t>In the Matter of the Application of</w:t>
      </w:r>
      <w:r>
        <w:rPr>
          <w:rFonts w:ascii="Arial" w:eastAsiaTheme="minorHAnsi" w:hAnsi="Arial" w:cs="Arial"/>
        </w:rPr>
        <w:tab/>
      </w:r>
      <w:r>
        <w:rPr>
          <w:rFonts w:ascii="Arial" w:eastAsiaTheme="minorHAnsi" w:hAnsi="Arial" w:cs="Arial"/>
        </w:rPr>
        <w:tab/>
      </w:r>
      <w:r>
        <w:rPr>
          <w:rFonts w:ascii="Arial" w:eastAsiaTheme="minorHAnsi" w:hAnsi="Arial" w:cs="Arial"/>
        </w:rPr>
        <w:tab/>
        <w:t>)</w:t>
      </w:r>
    </w:p>
    <w:p w:rsidR="007066E5" w:rsidRDefault="00677878">
      <w:pPr>
        <w:autoSpaceDE w:val="0"/>
        <w:autoSpaceDN w:val="0"/>
        <w:adjustRightInd w:val="0"/>
        <w:jc w:val="both"/>
        <w:rPr>
          <w:rFonts w:ascii="Arial" w:eastAsiaTheme="minorHAnsi" w:hAnsi="Arial" w:cs="Arial"/>
        </w:rPr>
      </w:pPr>
      <w:r>
        <w:rPr>
          <w:rFonts w:ascii="Arial" w:eastAsiaTheme="minorHAnsi" w:hAnsi="Arial" w:cs="Arial"/>
        </w:rPr>
        <w:t xml:space="preserve">Ohio Edison Company, The Cleveland </w:t>
      </w:r>
      <w:r>
        <w:rPr>
          <w:rFonts w:ascii="Arial" w:eastAsiaTheme="minorHAnsi" w:hAnsi="Arial" w:cs="Arial"/>
        </w:rPr>
        <w:tab/>
      </w:r>
      <w:r>
        <w:rPr>
          <w:rFonts w:ascii="Arial" w:eastAsiaTheme="minorHAnsi" w:hAnsi="Arial" w:cs="Arial"/>
        </w:rPr>
        <w:tab/>
        <w:t>)</w:t>
      </w:r>
    </w:p>
    <w:p w:rsidR="007066E5" w:rsidRDefault="00677878">
      <w:pPr>
        <w:autoSpaceDE w:val="0"/>
        <w:autoSpaceDN w:val="0"/>
        <w:adjustRightInd w:val="0"/>
        <w:jc w:val="both"/>
        <w:rPr>
          <w:rFonts w:ascii="Arial" w:eastAsiaTheme="minorHAnsi" w:hAnsi="Arial" w:cs="Arial"/>
        </w:rPr>
      </w:pPr>
      <w:r>
        <w:rPr>
          <w:rFonts w:ascii="Arial" w:eastAsiaTheme="minorHAnsi" w:hAnsi="Arial" w:cs="Arial"/>
        </w:rPr>
        <w:t>Electric Illuminating Company and The</w:t>
      </w:r>
      <w:r>
        <w:rPr>
          <w:rFonts w:ascii="Arial" w:eastAsiaTheme="minorHAnsi" w:hAnsi="Arial" w:cs="Arial"/>
        </w:rPr>
        <w:tab/>
      </w:r>
      <w:r>
        <w:rPr>
          <w:rFonts w:ascii="Arial" w:eastAsiaTheme="minorHAnsi" w:hAnsi="Arial" w:cs="Arial"/>
        </w:rPr>
        <w:tab/>
        <w:t>)</w:t>
      </w:r>
      <w:r>
        <w:rPr>
          <w:rFonts w:ascii="Arial" w:eastAsiaTheme="minorHAnsi" w:hAnsi="Arial" w:cs="Arial"/>
        </w:rPr>
        <w:tab/>
        <w:t>Case No. 12-2190-EL-POR</w:t>
      </w:r>
    </w:p>
    <w:p w:rsidR="007066E5" w:rsidRDefault="00677878">
      <w:pPr>
        <w:autoSpaceDE w:val="0"/>
        <w:autoSpaceDN w:val="0"/>
        <w:adjustRightInd w:val="0"/>
        <w:jc w:val="both"/>
        <w:rPr>
          <w:rFonts w:ascii="Arial" w:eastAsiaTheme="minorHAnsi" w:hAnsi="Arial" w:cs="Arial"/>
        </w:rPr>
      </w:pPr>
      <w:r>
        <w:rPr>
          <w:rFonts w:ascii="Arial" w:eastAsiaTheme="minorHAnsi" w:hAnsi="Arial" w:cs="Arial"/>
        </w:rPr>
        <w:t>Toledo Edison Company for Approval of</w:t>
      </w:r>
      <w:r>
        <w:rPr>
          <w:rFonts w:ascii="Arial" w:eastAsiaTheme="minorHAnsi" w:hAnsi="Arial" w:cs="Arial"/>
        </w:rPr>
        <w:tab/>
      </w:r>
      <w:r>
        <w:rPr>
          <w:rFonts w:ascii="Arial" w:eastAsiaTheme="minorHAnsi" w:hAnsi="Arial" w:cs="Arial"/>
        </w:rPr>
        <w:tab/>
        <w:t>)</w:t>
      </w:r>
      <w:r>
        <w:rPr>
          <w:rFonts w:ascii="Arial" w:eastAsiaTheme="minorHAnsi" w:hAnsi="Arial" w:cs="Arial"/>
        </w:rPr>
        <w:tab/>
        <w:t>Case No. 12-2191-EL-POR</w:t>
      </w:r>
    </w:p>
    <w:p w:rsidR="007066E5" w:rsidRDefault="00677878">
      <w:pPr>
        <w:autoSpaceDE w:val="0"/>
        <w:autoSpaceDN w:val="0"/>
        <w:adjustRightInd w:val="0"/>
        <w:jc w:val="both"/>
        <w:rPr>
          <w:rFonts w:ascii="Arial" w:eastAsiaTheme="minorHAnsi" w:hAnsi="Arial" w:cs="Arial"/>
        </w:rPr>
      </w:pPr>
      <w:r>
        <w:rPr>
          <w:rFonts w:ascii="Arial" w:eastAsiaTheme="minorHAnsi" w:hAnsi="Arial" w:cs="Arial"/>
        </w:rPr>
        <w:t>Their Energy Efficiency and Peak Demand</w:t>
      </w:r>
      <w:r>
        <w:rPr>
          <w:rFonts w:ascii="Arial" w:eastAsiaTheme="minorHAnsi" w:hAnsi="Arial" w:cs="Arial"/>
        </w:rPr>
        <w:tab/>
        <w:t>)</w:t>
      </w:r>
      <w:r>
        <w:rPr>
          <w:rFonts w:ascii="Arial" w:eastAsiaTheme="minorHAnsi" w:hAnsi="Arial" w:cs="Arial"/>
        </w:rPr>
        <w:tab/>
        <w:t>Case No. 12-2192-EL-POR</w:t>
      </w:r>
    </w:p>
    <w:p w:rsidR="007066E5" w:rsidRDefault="00677878">
      <w:pPr>
        <w:autoSpaceDE w:val="0"/>
        <w:autoSpaceDN w:val="0"/>
        <w:adjustRightInd w:val="0"/>
        <w:jc w:val="both"/>
        <w:rPr>
          <w:rFonts w:ascii="Arial" w:eastAsiaTheme="minorHAnsi" w:hAnsi="Arial" w:cs="Arial"/>
        </w:rPr>
      </w:pPr>
      <w:r>
        <w:rPr>
          <w:rFonts w:ascii="Arial" w:eastAsiaTheme="minorHAnsi" w:hAnsi="Arial" w:cs="Arial"/>
        </w:rPr>
        <w:t>Reduction Program Portfolio Plans for</w:t>
      </w:r>
      <w:r>
        <w:rPr>
          <w:rFonts w:ascii="Arial" w:eastAsiaTheme="minorHAnsi" w:hAnsi="Arial" w:cs="Arial"/>
        </w:rPr>
        <w:tab/>
      </w:r>
      <w:r>
        <w:rPr>
          <w:rFonts w:ascii="Arial" w:eastAsiaTheme="minorHAnsi" w:hAnsi="Arial" w:cs="Arial"/>
        </w:rPr>
        <w:tab/>
        <w:t>)</w:t>
      </w:r>
    </w:p>
    <w:p w:rsidR="007066E5" w:rsidRDefault="00677878">
      <w:pPr>
        <w:autoSpaceDE w:val="0"/>
        <w:autoSpaceDN w:val="0"/>
        <w:adjustRightInd w:val="0"/>
        <w:jc w:val="both"/>
        <w:rPr>
          <w:rFonts w:ascii="Arial" w:eastAsiaTheme="minorHAnsi" w:hAnsi="Arial" w:cs="Arial"/>
        </w:rPr>
      </w:pPr>
      <w:r>
        <w:rPr>
          <w:rFonts w:ascii="Arial" w:eastAsiaTheme="minorHAnsi" w:hAnsi="Arial" w:cs="Arial"/>
        </w:rPr>
        <w:t>2013 through 2015</w:t>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r>
      <w:r>
        <w:rPr>
          <w:rFonts w:ascii="Arial" w:eastAsiaTheme="minorHAnsi" w:hAnsi="Arial" w:cs="Arial"/>
        </w:rPr>
        <w:tab/>
        <w:t>)</w:t>
      </w:r>
    </w:p>
    <w:p w:rsidR="007066E5" w:rsidRDefault="007066E5">
      <w:pPr>
        <w:pStyle w:val="BodyText"/>
        <w:tabs>
          <w:tab w:val="left" w:pos="5040"/>
        </w:tabs>
      </w:pPr>
    </w:p>
    <w:p w:rsidR="007066E5" w:rsidRDefault="007066E5">
      <w:pPr>
        <w:pStyle w:val="BodyText"/>
        <w:tabs>
          <w:tab w:val="left" w:pos="5040"/>
        </w:tabs>
      </w:pPr>
    </w:p>
    <w:p w:rsidR="007066E5" w:rsidRDefault="007066E5">
      <w:pPr>
        <w:pBdr>
          <w:top w:val="single" w:sz="12" w:space="1" w:color="auto"/>
        </w:pBdr>
        <w:tabs>
          <w:tab w:val="left" w:pos="7320"/>
        </w:tabs>
        <w:jc w:val="both"/>
        <w:rPr>
          <w:rFonts w:ascii="Arial" w:hAnsi="Arial" w:cs="Arial"/>
          <w:sz w:val="28"/>
        </w:rPr>
      </w:pPr>
    </w:p>
    <w:p w:rsidR="007066E5" w:rsidRDefault="00677878">
      <w:pPr>
        <w:jc w:val="center"/>
        <w:rPr>
          <w:rFonts w:ascii="Arial" w:hAnsi="Arial" w:cs="Arial"/>
          <w:b/>
        </w:rPr>
      </w:pPr>
      <w:r>
        <w:rPr>
          <w:rFonts w:ascii="Arial" w:hAnsi="Arial" w:cs="Arial"/>
          <w:b/>
        </w:rPr>
        <w:t>REPLY BRIEF OF INDUSTRIAL ENERGY USERS-OHIO</w:t>
      </w:r>
    </w:p>
    <w:p w:rsidR="007066E5" w:rsidRDefault="00677878">
      <w:pPr>
        <w:pStyle w:val="Title"/>
        <w:tabs>
          <w:tab w:val="right" w:pos="9630"/>
        </w:tabs>
        <w:jc w:val="both"/>
        <w:rPr>
          <w:sz w:val="28"/>
          <w:u w:val="single"/>
        </w:rPr>
      </w:pPr>
      <w:r>
        <w:rPr>
          <w:sz w:val="28"/>
          <w:u w:val="single"/>
        </w:rPr>
        <w:tab/>
      </w:r>
    </w:p>
    <w:p w:rsidR="007066E5" w:rsidRDefault="007066E5">
      <w:pPr>
        <w:pStyle w:val="BodyText2"/>
        <w:ind w:firstLine="0"/>
        <w:rPr>
          <w:rFonts w:eastAsia="Calibri"/>
        </w:rPr>
      </w:pPr>
    </w:p>
    <w:p w:rsidR="007066E5" w:rsidRDefault="00677878">
      <w:pPr>
        <w:pStyle w:val="BodyText2"/>
        <w:numPr>
          <w:ilvl w:val="0"/>
          <w:numId w:val="8"/>
        </w:numPr>
        <w:ind w:left="720"/>
        <w:rPr>
          <w:rFonts w:eastAsia="Calibri"/>
          <w:b/>
        </w:rPr>
      </w:pPr>
      <w:r>
        <w:rPr>
          <w:rFonts w:eastAsia="Calibri"/>
          <w:b/>
        </w:rPr>
        <w:t>INTRODUCTION</w:t>
      </w:r>
    </w:p>
    <w:p w:rsidR="007066E5" w:rsidRDefault="00677878">
      <w:pPr>
        <w:pStyle w:val="BodyText2"/>
        <w:ind w:firstLine="0"/>
        <w:rPr>
          <w:rFonts w:eastAsia="Calibri" w:cs="Arial"/>
          <w:color w:val="000000"/>
        </w:rPr>
      </w:pPr>
      <w:r>
        <w:rPr>
          <w:rFonts w:eastAsia="Calibri"/>
        </w:rPr>
        <w:tab/>
        <w:t>On July 31, 2012, Ohio Edison Company, The Toledo Edison Company, and The Cleveland Electric Illuminating Compan</w:t>
      </w:r>
      <w:r w:rsidR="00155E01">
        <w:rPr>
          <w:rFonts w:eastAsia="Calibri"/>
        </w:rPr>
        <w:t>y (collectively, “FirstEnergy”)</w:t>
      </w:r>
      <w:r>
        <w:rPr>
          <w:rFonts w:eastAsia="Calibri"/>
        </w:rPr>
        <w:t xml:space="preserve"> filed an Application for </w:t>
      </w:r>
      <w:r>
        <w:rPr>
          <w:rFonts w:eastAsia="Calibri" w:cs="Arial"/>
          <w:color w:val="000000"/>
        </w:rPr>
        <w:t>Approval of their Energy Efficiency and Peak Demand Reduction (“EE/PDR”) Program Portfolio Plans for 2013 to 2015 (“Application” or “Portfolio Plan”).  After a week of hearings, parties submitted post-hearing briefs proposing certain modifications to FirstEnergy’s Portfolio Plan.</w:t>
      </w:r>
    </w:p>
    <w:p w:rsidR="007066E5" w:rsidRDefault="00677878">
      <w:pPr>
        <w:pStyle w:val="BodyText2"/>
        <w:ind w:firstLine="0"/>
        <w:rPr>
          <w:rFonts w:eastAsia="Calibri" w:cs="Arial"/>
          <w:color w:val="000000"/>
        </w:rPr>
      </w:pPr>
      <w:r>
        <w:rPr>
          <w:rFonts w:eastAsia="Calibri" w:cs="Arial"/>
          <w:color w:val="000000"/>
        </w:rPr>
        <w:tab/>
        <w:t>Although Industrial Energy-Users of Ohio (“IEU-Ohio”) does not support every aspect of the Portfolio Plan, it does appear</w:t>
      </w:r>
      <w:r>
        <w:rPr>
          <w:rStyle w:val="FootnoteReference"/>
          <w:rFonts w:eastAsia="Calibri" w:cs="Arial"/>
          <w:color w:val="000000"/>
        </w:rPr>
        <w:footnoteReference w:id="1"/>
      </w:r>
      <w:r>
        <w:rPr>
          <w:rFonts w:eastAsia="Calibri" w:cs="Arial"/>
          <w:color w:val="000000"/>
        </w:rPr>
        <w:t xml:space="preserve"> to be designed to achieve the statutory EE/PDR benchmarks contained in Section 4928.66, Revised Code.  Thus, IEU-Ohio’s </w:t>
      </w:r>
      <w:r>
        <w:rPr>
          <w:rFonts w:eastAsia="Calibri" w:cs="Arial"/>
          <w:color w:val="000000"/>
        </w:rPr>
        <w:lastRenderedPageBreak/>
        <w:t>Post-Hearing Brief was narrowly focused on one issue:  FirstEnergy’s overly broad modification of the Mercantile Customer Commitment Agreement (“Commitment Agreement”) through which mercantile customers commit their customer-sited capabilities for integration into FirstEnergy’s Portfolio Plan in return for an exemption from the demand-side energy (“DSE2”) Rider.</w:t>
      </w:r>
      <w:r>
        <w:rPr>
          <w:rStyle w:val="FootnoteReference"/>
          <w:rFonts w:eastAsia="Calibri" w:cs="Arial"/>
          <w:color w:val="000000"/>
        </w:rPr>
        <w:footnoteReference w:id="2"/>
      </w:r>
      <w:r>
        <w:rPr>
          <w:rFonts w:eastAsia="Calibri" w:cs="Arial"/>
          <w:color w:val="000000"/>
        </w:rPr>
        <w:t xml:space="preserve">  The </w:t>
      </w:r>
      <w:r w:rsidR="003C2ABC">
        <w:rPr>
          <w:rFonts w:eastAsia="Calibri" w:cs="Arial"/>
          <w:color w:val="000000"/>
        </w:rPr>
        <w:t xml:space="preserve">Initial </w:t>
      </w:r>
      <w:r>
        <w:rPr>
          <w:rFonts w:eastAsia="Calibri" w:cs="Arial"/>
          <w:color w:val="000000"/>
        </w:rPr>
        <w:t>Post-Hearing Brief filed by Advanced Energy Economy Ohio (“AEE Ohio”) similarly contests FirstEnergy’s modification of the Commitment Agreement.</w:t>
      </w:r>
      <w:r>
        <w:rPr>
          <w:rStyle w:val="FootnoteReference"/>
          <w:rFonts w:eastAsia="Calibri" w:cs="Arial"/>
          <w:color w:val="000000"/>
        </w:rPr>
        <w:footnoteReference w:id="3"/>
      </w:r>
    </w:p>
    <w:p w:rsidR="007066E5" w:rsidRDefault="00677878">
      <w:pPr>
        <w:pStyle w:val="BodyText2"/>
        <w:ind w:firstLine="0"/>
        <w:rPr>
          <w:rFonts w:eastAsia="Calibri" w:cs="Arial"/>
          <w:color w:val="000000"/>
        </w:rPr>
      </w:pPr>
      <w:r>
        <w:rPr>
          <w:rFonts w:eastAsia="Calibri" w:cs="Arial"/>
          <w:color w:val="000000"/>
        </w:rPr>
        <w:tab/>
        <w:t>The Environmental Law and Policy Center (“ELPC”) and the Ohio Environmental Council (“OEC”) submitted a</w:t>
      </w:r>
      <w:r w:rsidR="003C2ABC">
        <w:rPr>
          <w:rFonts w:eastAsia="Calibri" w:cs="Arial"/>
          <w:color w:val="000000"/>
        </w:rPr>
        <w:t>n</w:t>
      </w:r>
      <w:r>
        <w:rPr>
          <w:rFonts w:eastAsia="Calibri" w:cs="Arial"/>
          <w:color w:val="000000"/>
        </w:rPr>
        <w:t xml:space="preserve"> </w:t>
      </w:r>
      <w:r w:rsidR="003C2ABC">
        <w:rPr>
          <w:rFonts w:eastAsia="Calibri" w:cs="Arial"/>
          <w:color w:val="000000"/>
        </w:rPr>
        <w:t>Initial</w:t>
      </w:r>
      <w:r>
        <w:rPr>
          <w:rFonts w:eastAsia="Calibri" w:cs="Arial"/>
          <w:color w:val="000000"/>
        </w:rPr>
        <w:t xml:space="preserve"> Brief objecting to, among other things, contesting the use of the “as-found” method of compliance measurement which identifies actual (not hypothetical) energy efficiency results.  ELPC and OEC have extended their attack on the as-found method to FirstEnergy’s proposed lighting programs.</w:t>
      </w:r>
    </w:p>
    <w:p w:rsidR="007066E5" w:rsidRDefault="00677878">
      <w:pPr>
        <w:pStyle w:val="BodyText2"/>
        <w:spacing w:after="120"/>
        <w:ind w:firstLine="0"/>
        <w:rPr>
          <w:rFonts w:eastAsia="Calibri" w:cs="Arial"/>
          <w:color w:val="000000"/>
        </w:rPr>
      </w:pPr>
      <w:r>
        <w:rPr>
          <w:rFonts w:eastAsia="Calibri" w:cs="Arial"/>
          <w:color w:val="000000"/>
        </w:rPr>
        <w:tab/>
        <w:t xml:space="preserve">IEU-Ohio’s response to each of these positions is discussed below.  IEU-Ohio’s failure to address all of the arguments raised by parties in their Briefs should not be construed as an agreement with the positions advocated by the parties. </w:t>
      </w:r>
    </w:p>
    <w:p w:rsidR="007066E5" w:rsidRDefault="00677878">
      <w:pPr>
        <w:pStyle w:val="BodyText2"/>
        <w:numPr>
          <w:ilvl w:val="0"/>
          <w:numId w:val="8"/>
        </w:numPr>
        <w:ind w:left="720"/>
        <w:rPr>
          <w:rFonts w:eastAsia="Calibri" w:cs="Arial"/>
          <w:b/>
          <w:color w:val="000000"/>
        </w:rPr>
      </w:pPr>
      <w:r>
        <w:rPr>
          <w:rFonts w:eastAsia="Calibri" w:cs="Arial"/>
          <w:b/>
          <w:color w:val="000000"/>
        </w:rPr>
        <w:t>ARGUMENT</w:t>
      </w:r>
    </w:p>
    <w:p w:rsidR="007066E5" w:rsidRDefault="00677878">
      <w:pPr>
        <w:pStyle w:val="BodyText2"/>
        <w:numPr>
          <w:ilvl w:val="0"/>
          <w:numId w:val="6"/>
        </w:numPr>
        <w:rPr>
          <w:rFonts w:eastAsia="Calibri" w:cs="Arial"/>
          <w:b/>
          <w:color w:val="000000"/>
        </w:rPr>
      </w:pPr>
      <w:r>
        <w:rPr>
          <w:rFonts w:eastAsia="Calibri" w:cs="Arial"/>
          <w:b/>
          <w:color w:val="000000"/>
        </w:rPr>
        <w:t>Ownership of Attributes</w:t>
      </w:r>
    </w:p>
    <w:p w:rsidR="007066E5" w:rsidRDefault="00677878">
      <w:pPr>
        <w:pStyle w:val="BodyText2"/>
        <w:ind w:firstLine="0"/>
        <w:rPr>
          <w:rFonts w:eastAsia="Calibri" w:cs="Arial"/>
          <w:color w:val="000000"/>
        </w:rPr>
      </w:pPr>
      <w:r>
        <w:rPr>
          <w:rFonts w:eastAsia="Calibri" w:cs="Arial"/>
          <w:color w:val="000000"/>
        </w:rPr>
        <w:tab/>
        <w:t xml:space="preserve">FirstEnergy has improperly interpreted the Opinion and Order approving FirstEnergy’s third electric security plan (“ESP”) as requiring FirstEnergy to modify the Commitment Agreement through which mercantile customers commit their customer-sited capabilities for integration with FirstEnergy’s Portfolio Plan in return for an exemption from </w:t>
      </w:r>
      <w:r>
        <w:rPr>
          <w:rFonts w:eastAsia="Calibri" w:cs="Arial"/>
          <w:color w:val="000000"/>
        </w:rPr>
        <w:lastRenderedPageBreak/>
        <w:t>the DSE2 Rider.</w:t>
      </w:r>
      <w:r>
        <w:rPr>
          <w:rStyle w:val="FootnoteReference"/>
          <w:rFonts w:eastAsia="Calibri" w:cs="Arial"/>
          <w:color w:val="000000"/>
        </w:rPr>
        <w:footnoteReference w:id="4"/>
      </w:r>
      <w:r>
        <w:rPr>
          <w:rFonts w:eastAsia="Calibri" w:cs="Arial"/>
          <w:color w:val="000000"/>
        </w:rPr>
        <w:t xml:space="preserve">  More specifically, FirstEnergy’s proposed Commitment Agreement requires mercantile customers requesting an exemption from the DSE2 Rider to transfer to FirstEnergy ownership of the energy efficiency capacity rights associated with their </w:t>
      </w:r>
      <w:r w:rsidR="003C2ABC">
        <w:rPr>
          <w:rFonts w:eastAsia="Calibri" w:cs="Arial"/>
          <w:color w:val="000000"/>
        </w:rPr>
        <w:t xml:space="preserve">      </w:t>
      </w:r>
      <w:r>
        <w:rPr>
          <w:rFonts w:eastAsia="Calibri" w:cs="Arial"/>
          <w:color w:val="000000"/>
        </w:rPr>
        <w:t xml:space="preserve">self-funded projects so that FirstEnergy can bid the customer funded capacity rights into future PJM </w:t>
      </w:r>
      <w:r w:rsidR="003C2ABC">
        <w:rPr>
          <w:rFonts w:eastAsia="Calibri" w:cs="Arial"/>
          <w:color w:val="000000"/>
        </w:rPr>
        <w:t xml:space="preserve">Interconnection LLC (“PJM”) </w:t>
      </w:r>
      <w:r>
        <w:rPr>
          <w:rFonts w:eastAsia="Calibri" w:cs="Arial"/>
          <w:color w:val="000000"/>
        </w:rPr>
        <w:t>capacity auctions.</w:t>
      </w:r>
      <w:r>
        <w:rPr>
          <w:rStyle w:val="FootnoteReference"/>
          <w:rFonts w:eastAsia="Calibri" w:cs="Arial"/>
          <w:color w:val="000000"/>
        </w:rPr>
        <w:footnoteReference w:id="5"/>
      </w:r>
    </w:p>
    <w:p w:rsidR="007066E5" w:rsidRDefault="00677878">
      <w:pPr>
        <w:pStyle w:val="FootnoteText"/>
        <w:ind w:firstLine="720"/>
        <w:rPr>
          <w:sz w:val="24"/>
          <w:szCs w:val="24"/>
        </w:rPr>
      </w:pPr>
      <w:r>
        <w:rPr>
          <w:sz w:val="24"/>
          <w:szCs w:val="24"/>
        </w:rPr>
        <w:t>Section 4928.66(C), Revised Code, states (emphasis added):</w:t>
      </w:r>
    </w:p>
    <w:p w:rsidR="007066E5" w:rsidRDefault="007066E5">
      <w:pPr>
        <w:pStyle w:val="FootnoteText"/>
        <w:rPr>
          <w:sz w:val="24"/>
          <w:szCs w:val="24"/>
        </w:rPr>
      </w:pPr>
    </w:p>
    <w:p w:rsidR="007066E5" w:rsidRDefault="00677878">
      <w:pPr>
        <w:pStyle w:val="FootnoteText"/>
        <w:ind w:left="720" w:right="1008"/>
        <w:jc w:val="both"/>
        <w:rPr>
          <w:rFonts w:eastAsiaTheme="minorHAnsi" w:cs="Arial"/>
          <w:sz w:val="24"/>
          <w:szCs w:val="24"/>
        </w:rPr>
      </w:pPr>
      <w:r>
        <w:rPr>
          <w:rFonts w:eastAsiaTheme="minorHAnsi" w:cs="Arial"/>
          <w:sz w:val="24"/>
          <w:szCs w:val="24"/>
        </w:rPr>
        <w:t xml:space="preserve">Compliance with divisions (A)(1)(a) and (b) of this section </w:t>
      </w:r>
      <w:r>
        <w:rPr>
          <w:rFonts w:eastAsiaTheme="minorHAnsi" w:cs="Arial"/>
          <w:b/>
          <w:sz w:val="24"/>
          <w:szCs w:val="24"/>
          <w:u w:val="single"/>
        </w:rPr>
        <w:t>shall</w:t>
      </w:r>
      <w:r>
        <w:rPr>
          <w:rFonts w:eastAsiaTheme="minorHAnsi" w:cs="Arial"/>
          <w:sz w:val="24"/>
          <w:szCs w:val="24"/>
        </w:rPr>
        <w:t xml:space="preserve"> be measured by including the effects of all demand-response programs for mercantile customers of the subject electric distribution utility, all waste energy recovery systems and all combined heat and power systems, and all such mercantile customer-sited energy efficiency, including waste energy recovery and combined heat and power, and peak demand reduction programs, adjusted upward by the appropriate loss factors.</w:t>
      </w:r>
    </w:p>
    <w:p w:rsidR="007066E5" w:rsidRDefault="007066E5">
      <w:pPr>
        <w:pStyle w:val="FootnoteText"/>
        <w:ind w:left="720" w:right="1008"/>
        <w:jc w:val="both"/>
        <w:rPr>
          <w:rFonts w:eastAsiaTheme="minorHAnsi" w:cs="Arial"/>
          <w:sz w:val="24"/>
          <w:szCs w:val="24"/>
        </w:rPr>
      </w:pPr>
    </w:p>
    <w:p w:rsidR="007066E5" w:rsidRDefault="00677878">
      <w:pPr>
        <w:pStyle w:val="FootnoteText"/>
        <w:spacing w:line="480" w:lineRule="auto"/>
        <w:jc w:val="both"/>
        <w:rPr>
          <w:rFonts w:cs="Arial"/>
          <w:sz w:val="24"/>
          <w:szCs w:val="24"/>
        </w:rPr>
      </w:pPr>
      <w:r>
        <w:rPr>
          <w:rFonts w:cs="Arial"/>
          <w:sz w:val="24"/>
          <w:szCs w:val="24"/>
        </w:rPr>
        <w:t>Section 4928.66, Revised Code, does not require that a mercantile customer commit eligible capability so that it can be included for purposes of measuring compliance; it plainly states that mercantile customers’ capabilities must be counted by the Commission for purposes of measuring compliance.</w:t>
      </w:r>
      <w:r>
        <w:rPr>
          <w:rFonts w:cs="Arial"/>
        </w:rPr>
        <w:t xml:space="preserve">  </w:t>
      </w:r>
      <w:r>
        <w:rPr>
          <w:rFonts w:cs="Arial"/>
          <w:sz w:val="24"/>
          <w:szCs w:val="24"/>
        </w:rPr>
        <w:t>Thus, it is important to note that the question about FirstEnergy’s proposed Commitment Agreement has nothing to do with how compliance with Section 4928.66, Revised Code, must be measured.</w:t>
      </w:r>
    </w:p>
    <w:p w:rsidR="007066E5" w:rsidRDefault="00677878">
      <w:pPr>
        <w:pStyle w:val="FootnoteText"/>
        <w:spacing w:line="480" w:lineRule="auto"/>
        <w:jc w:val="both"/>
        <w:rPr>
          <w:rFonts w:cs="Arial"/>
          <w:sz w:val="24"/>
          <w:szCs w:val="24"/>
        </w:rPr>
      </w:pPr>
      <w:r>
        <w:rPr>
          <w:rFonts w:cs="Arial"/>
          <w:sz w:val="24"/>
          <w:szCs w:val="24"/>
        </w:rPr>
        <w:lastRenderedPageBreak/>
        <w:tab/>
        <w:t>The commitment process that is identified in Section 4928.66, Revised Code, relates to circumstances where the mercantile customer is requesting an exemption from the cost recovery mechanism such as the DSE2 Rider.  In this context, Section 4928.66, Revised Code, does not condition the exemption opportunity on the mercantile customer transferring ownership of any rights</w:t>
      </w:r>
      <w:r>
        <w:rPr>
          <w:rStyle w:val="FootnoteReference"/>
          <w:rFonts w:cs="Arial"/>
          <w:sz w:val="24"/>
          <w:szCs w:val="24"/>
        </w:rPr>
        <w:footnoteReference w:id="6"/>
      </w:r>
      <w:r>
        <w:rPr>
          <w:rFonts w:cs="Arial"/>
          <w:sz w:val="24"/>
          <w:szCs w:val="24"/>
        </w:rPr>
        <w:t xml:space="preserve"> that may be associated with the mercantile customer’s capability.  Section 4928.66, Revised Code, authorizes the Commission to grant an exemption from the cost recovery mechanism if the Commission determines that it will encourage the mercantile customer to so commit such capability.</w:t>
      </w:r>
    </w:p>
    <w:p w:rsidR="007066E5" w:rsidRDefault="00677878">
      <w:pPr>
        <w:pStyle w:val="BodyText2"/>
        <w:ind w:firstLine="0"/>
        <w:rPr>
          <w:rFonts w:eastAsia="Calibri" w:cs="Arial"/>
          <w:color w:val="000000"/>
        </w:rPr>
      </w:pPr>
      <w:r>
        <w:rPr>
          <w:rFonts w:eastAsia="Calibri" w:cs="Arial"/>
          <w:color w:val="000000"/>
        </w:rPr>
        <w:tab/>
        <w:t xml:space="preserve">As discussed in IEU-Ohio’s Post-Hearing Brief, FirstEnergy’s interpretation of the ESP III Order is incorrect and the Commission should direct FirstEnergy to remove the language in their proposed Commitment Agreement that requires mercantile customers that complete customer funded self-directed energy efficiency projects to automatically assign to FirstEnergy any RTO-related capacity resource that may be associated with such projects.  The ESP III Order directed FirstEnergy to require customers to transfer ownership of their capacity resources as a condition for participation in FirstEnergy programs.  But mercantile customers undertaking self-funded energy efficiency projects that may have a capacity resource status as a result of RTO programs and seek an exemption from the DSE2 Rider are not participating in FirstEnergy programs.  Self-funded projects are customer initiated projects </w:t>
      </w:r>
      <w:r w:rsidR="00155E01">
        <w:rPr>
          <w:rFonts w:eastAsia="Calibri" w:cs="Arial"/>
          <w:color w:val="000000"/>
        </w:rPr>
        <w:t xml:space="preserve">that </w:t>
      </w:r>
      <w:r>
        <w:rPr>
          <w:rFonts w:eastAsia="Calibri" w:cs="Arial"/>
          <w:color w:val="000000"/>
        </w:rPr>
        <w:t xml:space="preserve">do not rely upon any funding from FirstEnergy.  </w:t>
      </w:r>
      <w:r>
        <w:rPr>
          <w:rFonts w:eastAsia="Calibri" w:cs="Arial"/>
          <w:color w:val="000000"/>
        </w:rPr>
        <w:lastRenderedPageBreak/>
        <w:t>Because the ESP III Order directive was limited to customers participating in FirstEnergy programs, there is no reasonable or lawful reason for FirstEnergy to extend the condition so that it also attaches to mercantile customers that have established a capacity resource capability that is recognized by an RTO and have done so at their own cost.</w:t>
      </w:r>
      <w:r>
        <w:rPr>
          <w:rStyle w:val="FootnoteReference"/>
          <w:rFonts w:eastAsia="Calibri" w:cs="Arial"/>
          <w:color w:val="000000"/>
        </w:rPr>
        <w:footnoteReference w:id="7"/>
      </w:r>
    </w:p>
    <w:p w:rsidR="007066E5" w:rsidRDefault="00677878">
      <w:pPr>
        <w:pStyle w:val="BodyText2"/>
        <w:spacing w:after="120"/>
        <w:ind w:firstLine="0"/>
        <w:rPr>
          <w:rFonts w:eastAsia="Calibri" w:cs="Arial"/>
          <w:color w:val="000000"/>
        </w:rPr>
      </w:pPr>
      <w:r>
        <w:rPr>
          <w:rFonts w:eastAsia="Calibri" w:cs="Arial"/>
          <w:color w:val="000000"/>
        </w:rPr>
        <w:tab/>
        <w:t>During his cross examination, Commission Staff (“Staff”) witness Scheck agreed that FirstEnergy’s interpretation of the Commission’s ESP</w:t>
      </w:r>
      <w:r w:rsidR="00E24540">
        <w:rPr>
          <w:rFonts w:eastAsia="Calibri" w:cs="Arial"/>
          <w:color w:val="000000"/>
        </w:rPr>
        <w:t xml:space="preserve"> </w:t>
      </w:r>
      <w:r>
        <w:rPr>
          <w:rFonts w:eastAsia="Calibri" w:cs="Arial"/>
          <w:color w:val="000000"/>
        </w:rPr>
        <w:t>III Order was incorrect.</w:t>
      </w:r>
      <w:r>
        <w:rPr>
          <w:rStyle w:val="FootnoteReference"/>
          <w:rFonts w:eastAsia="Calibri" w:cs="Arial"/>
          <w:color w:val="000000"/>
        </w:rPr>
        <w:footnoteReference w:id="8"/>
      </w:r>
      <w:r w:rsidR="00491714">
        <w:rPr>
          <w:rFonts w:eastAsia="Calibri" w:cs="Arial"/>
          <w:color w:val="000000"/>
        </w:rPr>
        <w:t xml:space="preserve">  </w:t>
      </w:r>
      <w:r>
        <w:rPr>
          <w:rFonts w:eastAsia="Calibri" w:cs="Arial"/>
          <w:color w:val="000000"/>
        </w:rPr>
        <w:t>For these reasons and those previously expressed, IEU-Ohio urges the Commission to approve FirstEnergy’s use of its proposed Commitment Agreement provided that FirstEnergy removes any language requiring mercantile customers that have established a capacity resource capability that is recognized by an RTO</w:t>
      </w:r>
      <w:r w:rsidR="00377405">
        <w:rPr>
          <w:rFonts w:eastAsia="Calibri" w:cs="Arial"/>
          <w:color w:val="000000"/>
        </w:rPr>
        <w:t>—</w:t>
      </w:r>
      <w:r>
        <w:rPr>
          <w:rFonts w:eastAsia="Calibri" w:cs="Arial"/>
          <w:color w:val="000000"/>
        </w:rPr>
        <w:t>and</w:t>
      </w:r>
      <w:r w:rsidR="00377405">
        <w:rPr>
          <w:rFonts w:eastAsia="Calibri" w:cs="Arial"/>
          <w:color w:val="000000"/>
        </w:rPr>
        <w:t xml:space="preserve"> have done so at their own cost—</w:t>
      </w:r>
      <w:r>
        <w:rPr>
          <w:rFonts w:eastAsia="Calibri" w:cs="Arial"/>
          <w:color w:val="000000"/>
        </w:rPr>
        <w:t xml:space="preserve">to involuntarily transfer the value of such capability to FirstEnergy.  </w:t>
      </w:r>
    </w:p>
    <w:p w:rsidR="007066E5" w:rsidRDefault="00677878">
      <w:pPr>
        <w:pStyle w:val="BodyText2"/>
        <w:numPr>
          <w:ilvl w:val="0"/>
          <w:numId w:val="6"/>
        </w:numPr>
        <w:spacing w:line="240" w:lineRule="auto"/>
        <w:rPr>
          <w:rFonts w:eastAsia="Calibri" w:cs="Arial"/>
          <w:color w:val="000000"/>
        </w:rPr>
      </w:pPr>
      <w:r>
        <w:rPr>
          <w:b/>
        </w:rPr>
        <w:t xml:space="preserve">The Commission Should Reject the Recommendation of ELPC and OEC to Disallow Measurement of the Energy Savings Associated with </w:t>
      </w:r>
      <w:r w:rsidR="00491714">
        <w:rPr>
          <w:b/>
        </w:rPr>
        <w:t xml:space="preserve">                 </w:t>
      </w:r>
      <w:r>
        <w:rPr>
          <w:b/>
        </w:rPr>
        <w:t xml:space="preserve">Self-directed Mercantile Customer Projects Based on the As-found Measurement Method </w:t>
      </w:r>
    </w:p>
    <w:p w:rsidR="007066E5" w:rsidRDefault="007066E5">
      <w:pPr>
        <w:ind w:firstLine="720"/>
        <w:jc w:val="both"/>
        <w:rPr>
          <w:rFonts w:ascii="Arial" w:hAnsi="Arial"/>
          <w:szCs w:val="20"/>
        </w:rPr>
      </w:pPr>
    </w:p>
    <w:p w:rsidR="007066E5" w:rsidRDefault="00677878">
      <w:pPr>
        <w:spacing w:line="480" w:lineRule="auto"/>
        <w:ind w:firstLine="720"/>
        <w:jc w:val="both"/>
        <w:rPr>
          <w:rFonts w:ascii="Arial" w:hAnsi="Arial"/>
          <w:szCs w:val="20"/>
        </w:rPr>
      </w:pPr>
      <w:r>
        <w:rPr>
          <w:rFonts w:ascii="Arial" w:hAnsi="Arial"/>
          <w:szCs w:val="20"/>
        </w:rPr>
        <w:t>In their Initial Brief, ELPC and OEC state the Commission should not allow FirstEnergy to rely on the use of the as-found method to measure the amount of compliance available from the contribution of mercantile customers’ energy efficiency improvements.</w:t>
      </w:r>
      <w:r>
        <w:rPr>
          <w:rFonts w:ascii="Arial" w:hAnsi="Arial"/>
          <w:szCs w:val="20"/>
          <w:vertAlign w:val="superscript"/>
        </w:rPr>
        <w:footnoteReference w:id="9"/>
      </w:r>
      <w:r>
        <w:rPr>
          <w:rFonts w:ascii="Arial" w:hAnsi="Arial"/>
          <w:szCs w:val="20"/>
        </w:rPr>
        <w:t xml:space="preserve">  Their position, however, is not supported by the applicable law or Commission precedent and, if adopted, would result in consumers paying unreasonable and excessive compliance costs.</w:t>
      </w:r>
    </w:p>
    <w:p w:rsidR="007066E5" w:rsidRDefault="00677878">
      <w:pPr>
        <w:spacing w:line="480" w:lineRule="auto"/>
        <w:ind w:firstLine="720"/>
        <w:jc w:val="both"/>
        <w:rPr>
          <w:rFonts w:ascii="Arial" w:hAnsi="Arial"/>
          <w:szCs w:val="20"/>
        </w:rPr>
      </w:pPr>
      <w:r>
        <w:rPr>
          <w:rFonts w:ascii="Arial" w:hAnsi="Arial"/>
          <w:szCs w:val="20"/>
        </w:rPr>
        <w:lastRenderedPageBreak/>
        <w:t xml:space="preserve">The ELPC and OEC attack on the as-found method of measuring compliance is without merit as a matter of law.  </w:t>
      </w:r>
      <w:r>
        <w:rPr>
          <w:rFonts w:ascii="Arial" w:hAnsi="Arial"/>
          <w:bCs/>
          <w:szCs w:val="20"/>
        </w:rPr>
        <w:t>Section 4928.66(A)(2)(c), Revised Code</w:t>
      </w:r>
      <w:r>
        <w:rPr>
          <w:rFonts w:ascii="Arial" w:hAnsi="Arial"/>
          <w:szCs w:val="20"/>
        </w:rPr>
        <w:t xml:space="preserve">, directs the Commission to measure </w:t>
      </w:r>
      <w:r>
        <w:rPr>
          <w:rFonts w:ascii="Arial" w:hAnsi="Arial"/>
          <w:bCs/>
          <w:i/>
          <w:szCs w:val="20"/>
        </w:rPr>
        <w:t>compliance</w:t>
      </w:r>
      <w:r>
        <w:rPr>
          <w:rFonts w:ascii="Arial" w:hAnsi="Arial"/>
          <w:szCs w:val="20"/>
        </w:rPr>
        <w:t xml:space="preserve"> with divisions (A)(1)(a) and (b) by including the </w:t>
      </w:r>
      <w:r>
        <w:rPr>
          <w:rFonts w:ascii="Arial" w:hAnsi="Arial"/>
          <w:bCs/>
          <w:szCs w:val="20"/>
        </w:rPr>
        <w:t>effects</w:t>
      </w:r>
      <w:r>
        <w:rPr>
          <w:rFonts w:ascii="Arial" w:hAnsi="Arial"/>
          <w:szCs w:val="20"/>
        </w:rPr>
        <w:t xml:space="preserve"> of all demand response capabilities of mercantile customers of the subject </w:t>
      </w:r>
      <w:r w:rsidR="00491714">
        <w:rPr>
          <w:rFonts w:ascii="Arial" w:hAnsi="Arial"/>
          <w:szCs w:val="20"/>
        </w:rPr>
        <w:t>electric distribution utility (“</w:t>
      </w:r>
      <w:r>
        <w:rPr>
          <w:rFonts w:ascii="Arial" w:hAnsi="Arial"/>
          <w:szCs w:val="20"/>
        </w:rPr>
        <w:t>EDU</w:t>
      </w:r>
      <w:r w:rsidR="00491714">
        <w:rPr>
          <w:rFonts w:ascii="Arial" w:hAnsi="Arial"/>
          <w:szCs w:val="20"/>
        </w:rPr>
        <w:t>”)</w:t>
      </w:r>
      <w:r>
        <w:rPr>
          <w:rFonts w:ascii="Arial" w:hAnsi="Arial"/>
          <w:szCs w:val="20"/>
        </w:rPr>
        <w:t xml:space="preserve"> and all such mercantile customer-sited energy efficiency and peak demand reduction capabilities adjusted upward by the appropriate loss factors.  </w:t>
      </w:r>
    </w:p>
    <w:p w:rsidR="007066E5" w:rsidRDefault="00677878">
      <w:pPr>
        <w:spacing w:line="480" w:lineRule="auto"/>
        <w:ind w:firstLine="720"/>
        <w:jc w:val="both"/>
        <w:rPr>
          <w:rFonts w:ascii="Arial" w:hAnsi="Arial"/>
          <w:szCs w:val="20"/>
        </w:rPr>
      </w:pPr>
      <w:r>
        <w:rPr>
          <w:rFonts w:ascii="Arial" w:hAnsi="Arial"/>
          <w:szCs w:val="20"/>
        </w:rPr>
        <w:t>To assure that all energy efficiency improvements are counted toward compliance, this Section requires that compliance with energy efficiency requirements of the EDU shall be measured by the “as-found” method.  Under the as-found method, the baseline for measuring savings is based on existing equipment and thus all energy efficiency improvements are captured for compliance purposes.</w:t>
      </w:r>
      <w:r>
        <w:rPr>
          <w:rStyle w:val="FootnoteReference"/>
          <w:rFonts w:ascii="Arial" w:hAnsi="Arial"/>
          <w:szCs w:val="20"/>
        </w:rPr>
        <w:footnoteReference w:id="10"/>
      </w:r>
      <w:r>
        <w:rPr>
          <w:rFonts w:ascii="Arial" w:hAnsi="Arial"/>
          <w:szCs w:val="20"/>
        </w:rPr>
        <w:t xml:space="preserve">  Based on the applicable law, FirstEnergy’s reliance on the as-found method for purposes of measuring the compliance associated with mercantile customer capabilities is lawful and reasonable.</w:t>
      </w:r>
    </w:p>
    <w:p w:rsidR="007066E5" w:rsidRDefault="00677878">
      <w:pPr>
        <w:spacing w:line="480" w:lineRule="auto"/>
        <w:jc w:val="both"/>
        <w:rPr>
          <w:rFonts w:ascii="Arial" w:hAnsi="Arial"/>
          <w:szCs w:val="20"/>
        </w:rPr>
      </w:pPr>
      <w:r>
        <w:rPr>
          <w:rFonts w:ascii="Arial" w:hAnsi="Arial"/>
          <w:szCs w:val="20"/>
        </w:rPr>
        <w:tab/>
        <w:t xml:space="preserve">The </w:t>
      </w:r>
      <w:r w:rsidR="00F45BDB">
        <w:rPr>
          <w:rFonts w:ascii="Arial" w:hAnsi="Arial"/>
          <w:szCs w:val="20"/>
        </w:rPr>
        <w:t>Initial B</w:t>
      </w:r>
      <w:r>
        <w:rPr>
          <w:rFonts w:ascii="Arial" w:hAnsi="Arial"/>
          <w:szCs w:val="20"/>
        </w:rPr>
        <w:t>rief of ELPC and OEC nonetheless urges the Commission to ignore Ohio law and reject the “as-found” method of measuring compliance based on three claims.  All three are without merit.</w:t>
      </w:r>
    </w:p>
    <w:p w:rsidR="007066E5" w:rsidRDefault="00677878">
      <w:pPr>
        <w:spacing w:line="480" w:lineRule="auto"/>
        <w:ind w:firstLine="720"/>
        <w:jc w:val="both"/>
        <w:rPr>
          <w:rFonts w:ascii="Arial" w:hAnsi="Arial"/>
          <w:szCs w:val="20"/>
        </w:rPr>
      </w:pPr>
      <w:r>
        <w:rPr>
          <w:rFonts w:ascii="Arial" w:hAnsi="Arial"/>
          <w:szCs w:val="20"/>
        </w:rPr>
        <w:t>First, ELPC and OEC state</w:t>
      </w:r>
      <w:r w:rsidR="00377405">
        <w:rPr>
          <w:rFonts w:ascii="Arial" w:hAnsi="Arial"/>
          <w:szCs w:val="20"/>
        </w:rPr>
        <w:t xml:space="preserve"> that</w:t>
      </w:r>
      <w:r>
        <w:rPr>
          <w:rFonts w:ascii="Arial" w:hAnsi="Arial"/>
          <w:szCs w:val="20"/>
        </w:rPr>
        <w:t xml:space="preserve"> FirstEnergy should not be permitted to use</w:t>
      </w:r>
      <w:r w:rsidR="00377405">
        <w:rPr>
          <w:rFonts w:ascii="Arial" w:hAnsi="Arial"/>
          <w:szCs w:val="20"/>
        </w:rPr>
        <w:t xml:space="preserve"> </w:t>
      </w:r>
      <w:r>
        <w:rPr>
          <w:rFonts w:ascii="Arial" w:hAnsi="Arial"/>
          <w:szCs w:val="20"/>
        </w:rPr>
        <w:t xml:space="preserve">the as-found method of measuring compliance that the Commission has adopted in the </w:t>
      </w:r>
      <w:r>
        <w:rPr>
          <w:rFonts w:ascii="Arial" w:hAnsi="Arial"/>
          <w:i/>
          <w:szCs w:val="20"/>
        </w:rPr>
        <w:t>Pilot Program</w:t>
      </w:r>
      <w:r>
        <w:rPr>
          <w:rFonts w:ascii="Arial" w:hAnsi="Arial"/>
          <w:szCs w:val="20"/>
        </w:rPr>
        <w:t xml:space="preserve"> because the Commission’s decision was “erroneous.”</w:t>
      </w:r>
      <w:r>
        <w:rPr>
          <w:rFonts w:ascii="Arial" w:hAnsi="Arial"/>
          <w:szCs w:val="20"/>
          <w:vertAlign w:val="superscript"/>
        </w:rPr>
        <w:footnoteReference w:id="11"/>
      </w:r>
      <w:r>
        <w:rPr>
          <w:rFonts w:ascii="Arial" w:hAnsi="Arial"/>
          <w:szCs w:val="20"/>
        </w:rPr>
        <w:t xml:space="preserve">  ELPC and OEC do not explain what they mean when they say the Commission’s ruling was erroneous.  But the lawfulness and reasonableness of the use of the as-found method in the </w:t>
      </w:r>
      <w:r>
        <w:rPr>
          <w:rFonts w:ascii="Arial" w:hAnsi="Arial"/>
          <w:i/>
          <w:szCs w:val="20"/>
        </w:rPr>
        <w:t>Pilot Program</w:t>
      </w:r>
      <w:r>
        <w:rPr>
          <w:rFonts w:ascii="Arial" w:hAnsi="Arial"/>
          <w:szCs w:val="20"/>
        </w:rPr>
        <w:t xml:space="preserve"> has </w:t>
      </w:r>
      <w:r>
        <w:rPr>
          <w:rFonts w:ascii="Arial" w:hAnsi="Arial"/>
          <w:szCs w:val="20"/>
        </w:rPr>
        <w:lastRenderedPageBreak/>
        <w:t>been challenged on at least two occasions.  In each instance, the Commission rejected the challenge finding that the as-found method is lawful and supports policy goals.</w:t>
      </w:r>
      <w:r>
        <w:rPr>
          <w:rFonts w:ascii="Arial" w:hAnsi="Arial"/>
          <w:szCs w:val="20"/>
          <w:vertAlign w:val="superscript"/>
        </w:rPr>
        <w:footnoteReference w:id="12"/>
      </w:r>
      <w:r>
        <w:rPr>
          <w:rFonts w:ascii="Arial" w:hAnsi="Arial"/>
          <w:szCs w:val="20"/>
        </w:rPr>
        <w:t xml:space="preserve">  The Commission did not err when it approved the use of the as-found method.  </w:t>
      </w:r>
    </w:p>
    <w:p w:rsidR="007066E5" w:rsidRDefault="00677878">
      <w:pPr>
        <w:spacing w:line="480" w:lineRule="auto"/>
        <w:jc w:val="both"/>
        <w:rPr>
          <w:rFonts w:ascii="Arial" w:hAnsi="Arial"/>
          <w:szCs w:val="20"/>
        </w:rPr>
      </w:pPr>
      <w:r>
        <w:rPr>
          <w:rFonts w:ascii="Arial" w:hAnsi="Arial"/>
          <w:szCs w:val="20"/>
        </w:rPr>
        <w:tab/>
        <w:t xml:space="preserve">Second, the </w:t>
      </w:r>
      <w:r w:rsidR="00F45BDB">
        <w:rPr>
          <w:rFonts w:ascii="Arial" w:hAnsi="Arial"/>
          <w:szCs w:val="20"/>
        </w:rPr>
        <w:t>Initial B</w:t>
      </w:r>
      <w:r>
        <w:rPr>
          <w:rFonts w:ascii="Arial" w:hAnsi="Arial"/>
          <w:szCs w:val="20"/>
        </w:rPr>
        <w:t xml:space="preserve">rief of ELPC and OEC also claim that the Commission Rules support rejection of the as-found method.  The </w:t>
      </w:r>
      <w:r w:rsidR="00F45BDB">
        <w:rPr>
          <w:rFonts w:ascii="Arial" w:hAnsi="Arial"/>
          <w:szCs w:val="20"/>
        </w:rPr>
        <w:t>Initial B</w:t>
      </w:r>
      <w:r>
        <w:rPr>
          <w:rFonts w:ascii="Arial" w:hAnsi="Arial"/>
          <w:szCs w:val="20"/>
        </w:rPr>
        <w:t>rief reference</w:t>
      </w:r>
      <w:r w:rsidR="00F45BDB">
        <w:rPr>
          <w:rFonts w:ascii="Arial" w:hAnsi="Arial"/>
          <w:szCs w:val="20"/>
        </w:rPr>
        <w:t>s</w:t>
      </w:r>
      <w:r>
        <w:rPr>
          <w:rFonts w:ascii="Arial" w:hAnsi="Arial"/>
          <w:szCs w:val="20"/>
        </w:rPr>
        <w:t xml:space="preserve"> a statement the Commission made in proceedings involving a </w:t>
      </w:r>
      <w:r>
        <w:rPr>
          <w:rFonts w:ascii="Arial" w:hAnsi="Arial"/>
          <w:b/>
          <w:szCs w:val="20"/>
        </w:rPr>
        <w:t>proposed</w:t>
      </w:r>
      <w:r>
        <w:rPr>
          <w:rFonts w:ascii="Arial" w:hAnsi="Arial"/>
          <w:szCs w:val="20"/>
        </w:rPr>
        <w:t xml:space="preserve"> Technical Reference Manual (“TRM”) to urge that the Commission modify the FirstEnergy Portfolio Plan by requiring that compliance be measured by a method that understates the actual amount of energy efficiency and peak demand reduction available from mercantile customers</w:t>
      </w:r>
      <w:r>
        <w:rPr>
          <w:rFonts w:ascii="Arial" w:hAnsi="Arial"/>
          <w:szCs w:val="20"/>
          <w:vertAlign w:val="superscript"/>
        </w:rPr>
        <w:footnoteReference w:id="13"/>
      </w:r>
      <w:r>
        <w:rPr>
          <w:rFonts w:ascii="Arial" w:hAnsi="Arial"/>
          <w:szCs w:val="20"/>
        </w:rPr>
        <w:t xml:space="preserve">  As discussed above and in numerous other pleadings that are presently before the Commission, use of the as-found method is required by and complies with the applicable statutory requirements.</w:t>
      </w:r>
      <w:r>
        <w:rPr>
          <w:rFonts w:ascii="Arial" w:hAnsi="Arial"/>
          <w:szCs w:val="20"/>
          <w:vertAlign w:val="superscript"/>
        </w:rPr>
        <w:footnoteReference w:id="14"/>
      </w:r>
      <w:r>
        <w:rPr>
          <w:rFonts w:ascii="Arial" w:hAnsi="Arial"/>
          <w:szCs w:val="20"/>
        </w:rPr>
        <w:t xml:space="preserve">  To the extent that the Commission’s </w:t>
      </w:r>
      <w:r w:rsidR="00F45BDB">
        <w:rPr>
          <w:rFonts w:ascii="Arial" w:hAnsi="Arial"/>
          <w:szCs w:val="20"/>
        </w:rPr>
        <w:t>R</w:t>
      </w:r>
      <w:r>
        <w:rPr>
          <w:rFonts w:ascii="Arial" w:hAnsi="Arial"/>
          <w:szCs w:val="20"/>
        </w:rPr>
        <w:t>ules or any proposed TRM say otherwise</w:t>
      </w:r>
      <w:r w:rsidR="00E24540">
        <w:rPr>
          <w:rFonts w:ascii="Arial" w:hAnsi="Arial"/>
          <w:szCs w:val="20"/>
        </w:rPr>
        <w:t xml:space="preserve"> </w:t>
      </w:r>
      <w:r>
        <w:rPr>
          <w:rFonts w:ascii="Arial" w:hAnsi="Arial"/>
          <w:szCs w:val="20"/>
        </w:rPr>
        <w:t>they do so in conflict with controlling statutory language.</w:t>
      </w:r>
    </w:p>
    <w:p w:rsidR="007066E5" w:rsidRDefault="00677878">
      <w:pPr>
        <w:spacing w:after="120" w:line="480" w:lineRule="auto"/>
        <w:jc w:val="both"/>
        <w:rPr>
          <w:rFonts w:ascii="Arial" w:hAnsi="Arial"/>
          <w:szCs w:val="20"/>
        </w:rPr>
      </w:pPr>
      <w:r>
        <w:rPr>
          <w:rFonts w:ascii="Arial" w:hAnsi="Arial"/>
          <w:szCs w:val="20"/>
        </w:rPr>
        <w:tab/>
        <w:t xml:space="preserve">Third, the </w:t>
      </w:r>
      <w:r w:rsidR="00F45BDB">
        <w:rPr>
          <w:rFonts w:ascii="Arial" w:hAnsi="Arial"/>
          <w:szCs w:val="20"/>
        </w:rPr>
        <w:t>Initial B</w:t>
      </w:r>
      <w:r>
        <w:rPr>
          <w:rFonts w:ascii="Arial" w:hAnsi="Arial"/>
          <w:szCs w:val="20"/>
        </w:rPr>
        <w:t xml:space="preserve">rief of EPLC and OEC urge the Commission to block use of the as-found method of measuring compliance based on the claim that “rejection of the as </w:t>
      </w:r>
      <w:r>
        <w:rPr>
          <w:rFonts w:ascii="Arial" w:hAnsi="Arial"/>
          <w:szCs w:val="20"/>
        </w:rPr>
        <w:lastRenderedPageBreak/>
        <w:t>found method would result in significantly less savings than what FirstEnergy has projected” which “can be made up by requiring FirstEnergy to implement … lighting and data center programs.”</w:t>
      </w:r>
      <w:r>
        <w:rPr>
          <w:rFonts w:ascii="Arial" w:hAnsi="Arial"/>
          <w:szCs w:val="20"/>
          <w:vertAlign w:val="superscript"/>
        </w:rPr>
        <w:footnoteReference w:id="15"/>
      </w:r>
      <w:r>
        <w:rPr>
          <w:rFonts w:ascii="Arial" w:hAnsi="Arial"/>
          <w:szCs w:val="20"/>
        </w:rPr>
        <w:t xml:space="preserve">  As they make clear elsewhere, the programs ELPC and OEC are pushing to fill the gap created by their unwillingness to apply actual energy efficiency and peak demand reduction results to measure compliance raises the cost of compliance that will be passed on to consumers.</w:t>
      </w:r>
      <w:r>
        <w:rPr>
          <w:rStyle w:val="FootnoteReference"/>
          <w:rFonts w:ascii="Arial" w:hAnsi="Arial"/>
          <w:szCs w:val="20"/>
        </w:rPr>
        <w:footnoteReference w:id="16"/>
      </w:r>
      <w:r>
        <w:rPr>
          <w:rFonts w:ascii="Arial" w:hAnsi="Arial"/>
          <w:szCs w:val="20"/>
        </w:rPr>
        <w:t xml:space="preserve">  Their proposal is as unreasonable as it is unlawful.</w:t>
      </w:r>
    </w:p>
    <w:p w:rsidR="007066E5" w:rsidRDefault="00677878" w:rsidP="006B7D65">
      <w:pPr>
        <w:pStyle w:val="ListParagraph"/>
        <w:numPr>
          <w:ilvl w:val="0"/>
          <w:numId w:val="6"/>
        </w:numPr>
        <w:rPr>
          <w:rFonts w:ascii="Arial" w:hAnsi="Arial" w:cs="Arial"/>
          <w:b/>
        </w:rPr>
      </w:pPr>
      <w:r>
        <w:rPr>
          <w:rFonts w:ascii="Arial" w:hAnsi="Arial" w:cs="Arial"/>
          <w:b/>
        </w:rPr>
        <w:t>The Commission Should Reject Recommendations Regarding T-8 Lighting</w:t>
      </w:r>
    </w:p>
    <w:p w:rsidR="007066E5" w:rsidRDefault="007066E5">
      <w:pPr>
        <w:rPr>
          <w:rFonts w:ascii="Arial" w:hAnsi="Arial"/>
          <w:szCs w:val="20"/>
        </w:rPr>
      </w:pPr>
    </w:p>
    <w:p w:rsidR="007066E5" w:rsidRDefault="00677878">
      <w:pPr>
        <w:spacing w:line="480" w:lineRule="auto"/>
        <w:ind w:firstLine="720"/>
        <w:jc w:val="both"/>
        <w:rPr>
          <w:rFonts w:ascii="Arial" w:hAnsi="Arial"/>
          <w:szCs w:val="20"/>
        </w:rPr>
      </w:pPr>
      <w:r>
        <w:rPr>
          <w:rFonts w:ascii="Arial" w:eastAsiaTheme="minorHAnsi" w:hAnsi="Arial" w:cs="Arial"/>
        </w:rPr>
        <w:t xml:space="preserve">ELPC and OEC’s </w:t>
      </w:r>
      <w:r w:rsidR="00F45BDB">
        <w:rPr>
          <w:rFonts w:ascii="Arial" w:eastAsiaTheme="minorHAnsi" w:hAnsi="Arial" w:cs="Arial"/>
        </w:rPr>
        <w:t>Initial B</w:t>
      </w:r>
      <w:r>
        <w:rPr>
          <w:rFonts w:ascii="Arial" w:eastAsiaTheme="minorHAnsi" w:hAnsi="Arial" w:cs="Arial"/>
        </w:rPr>
        <w:t xml:space="preserve">rief argues that incentives should not be provided for standard T-8 fixtures and light bulbs because the </w:t>
      </w:r>
      <w:r>
        <w:rPr>
          <w:rFonts w:ascii="Arial" w:hAnsi="Arial"/>
          <w:szCs w:val="20"/>
        </w:rPr>
        <w:t xml:space="preserve">Energy Independence and Security Act prohibits the manufacture or importation of T-12 or standard T-8 lighting after July 14, 2012.  </w:t>
      </w:r>
      <w:r>
        <w:rPr>
          <w:rFonts w:ascii="Arial" w:eastAsiaTheme="minorHAnsi" w:hAnsi="Arial" w:cs="Arial"/>
        </w:rPr>
        <w:t>ELPC and OEC claim that “[w]hile a limited number of T-12 fixtures may still be available for purchase today, within a few months the least efficient fixture on the market will be the Standard T-8.  Thus, the Standard T-8 becomes the new baseline.”</w:t>
      </w:r>
      <w:r>
        <w:rPr>
          <w:rStyle w:val="FootnoteReference"/>
          <w:rFonts w:ascii="Arial" w:eastAsiaTheme="minorHAnsi" w:hAnsi="Arial" w:cs="Arial"/>
        </w:rPr>
        <w:footnoteReference w:id="17"/>
      </w:r>
      <w:r>
        <w:rPr>
          <w:rFonts w:ascii="Arial" w:hAnsi="Arial"/>
          <w:szCs w:val="20"/>
        </w:rPr>
        <w:t xml:space="preserve"> </w:t>
      </w:r>
      <w:r w:rsidR="00F45BDB">
        <w:rPr>
          <w:rFonts w:ascii="Arial" w:hAnsi="Arial"/>
          <w:szCs w:val="20"/>
        </w:rPr>
        <w:t xml:space="preserve"> </w:t>
      </w:r>
      <w:r>
        <w:rPr>
          <w:rFonts w:ascii="Arial" w:hAnsi="Arial"/>
          <w:szCs w:val="20"/>
        </w:rPr>
        <w:t>ELPC and OEC argue that incentives should not be provided to purchase T-8 fixtures and bulbs, because customers will purchase these bulbs and fixtures when no other option is available.</w:t>
      </w:r>
      <w:r>
        <w:rPr>
          <w:rStyle w:val="FootnoteReference"/>
          <w:rFonts w:ascii="Arial" w:hAnsi="Arial"/>
          <w:szCs w:val="20"/>
        </w:rPr>
        <w:footnoteReference w:id="18"/>
      </w:r>
      <w:r>
        <w:rPr>
          <w:rFonts w:ascii="Arial" w:hAnsi="Arial"/>
          <w:szCs w:val="20"/>
        </w:rPr>
        <w:t xml:space="preserve">  </w:t>
      </w:r>
      <w:r w:rsidR="009244A5">
        <w:rPr>
          <w:rFonts w:ascii="Arial" w:hAnsi="Arial"/>
          <w:szCs w:val="20"/>
        </w:rPr>
        <w:t xml:space="preserve">The </w:t>
      </w:r>
      <w:r>
        <w:rPr>
          <w:rFonts w:ascii="Arial" w:hAnsi="Arial"/>
          <w:szCs w:val="20"/>
        </w:rPr>
        <w:t>Sierra Club, N</w:t>
      </w:r>
      <w:r w:rsidR="009244A5">
        <w:rPr>
          <w:rFonts w:ascii="Arial" w:hAnsi="Arial"/>
          <w:szCs w:val="20"/>
        </w:rPr>
        <w:t xml:space="preserve">atural </w:t>
      </w:r>
      <w:r>
        <w:rPr>
          <w:rFonts w:ascii="Arial" w:hAnsi="Arial"/>
          <w:szCs w:val="20"/>
        </w:rPr>
        <w:t>R</w:t>
      </w:r>
      <w:r w:rsidR="009244A5">
        <w:rPr>
          <w:rFonts w:ascii="Arial" w:hAnsi="Arial"/>
          <w:szCs w:val="20"/>
        </w:rPr>
        <w:t xml:space="preserve">esources </w:t>
      </w:r>
      <w:r>
        <w:rPr>
          <w:rFonts w:ascii="Arial" w:hAnsi="Arial"/>
          <w:szCs w:val="20"/>
        </w:rPr>
        <w:t>D</w:t>
      </w:r>
      <w:r w:rsidR="009244A5">
        <w:rPr>
          <w:rFonts w:ascii="Arial" w:hAnsi="Arial"/>
          <w:szCs w:val="20"/>
        </w:rPr>
        <w:t xml:space="preserve">efense </w:t>
      </w:r>
      <w:r>
        <w:rPr>
          <w:rFonts w:ascii="Arial" w:hAnsi="Arial"/>
          <w:szCs w:val="20"/>
        </w:rPr>
        <w:t>C</w:t>
      </w:r>
      <w:r w:rsidR="009244A5">
        <w:rPr>
          <w:rFonts w:ascii="Arial" w:hAnsi="Arial"/>
          <w:szCs w:val="20"/>
        </w:rPr>
        <w:t>ouncil (“NRDC”)</w:t>
      </w:r>
      <w:r>
        <w:rPr>
          <w:rFonts w:ascii="Arial" w:hAnsi="Arial"/>
          <w:szCs w:val="20"/>
        </w:rPr>
        <w:t>, Citizen Power,</w:t>
      </w:r>
      <w:r>
        <w:rPr>
          <w:rFonts w:ascii="Arial" w:hAnsi="Arial"/>
          <w:szCs w:val="20"/>
          <w:vertAlign w:val="superscript"/>
        </w:rPr>
        <w:footnoteReference w:id="19"/>
      </w:r>
      <w:r>
        <w:rPr>
          <w:rFonts w:ascii="Arial" w:hAnsi="Arial"/>
          <w:szCs w:val="20"/>
        </w:rPr>
        <w:t xml:space="preserve"> and O</w:t>
      </w:r>
      <w:r w:rsidR="009244A5">
        <w:rPr>
          <w:rFonts w:ascii="Arial" w:hAnsi="Arial"/>
          <w:szCs w:val="20"/>
        </w:rPr>
        <w:t xml:space="preserve">hio </w:t>
      </w:r>
      <w:r>
        <w:rPr>
          <w:rFonts w:ascii="Arial" w:hAnsi="Arial"/>
          <w:szCs w:val="20"/>
        </w:rPr>
        <w:t>P</w:t>
      </w:r>
      <w:r w:rsidR="009244A5">
        <w:rPr>
          <w:rFonts w:ascii="Arial" w:hAnsi="Arial"/>
          <w:szCs w:val="20"/>
        </w:rPr>
        <w:t>art</w:t>
      </w:r>
      <w:r w:rsidR="00E24540">
        <w:rPr>
          <w:rFonts w:ascii="Arial" w:hAnsi="Arial"/>
          <w:szCs w:val="20"/>
        </w:rPr>
        <w:t>ne</w:t>
      </w:r>
      <w:r w:rsidR="009244A5">
        <w:rPr>
          <w:rFonts w:ascii="Arial" w:hAnsi="Arial"/>
          <w:szCs w:val="20"/>
        </w:rPr>
        <w:t xml:space="preserve">rs for </w:t>
      </w:r>
      <w:r>
        <w:rPr>
          <w:rFonts w:ascii="Arial" w:hAnsi="Arial"/>
          <w:szCs w:val="20"/>
        </w:rPr>
        <w:t>A</w:t>
      </w:r>
      <w:r w:rsidR="009244A5">
        <w:rPr>
          <w:rFonts w:ascii="Arial" w:hAnsi="Arial"/>
          <w:szCs w:val="20"/>
        </w:rPr>
        <w:t xml:space="preserve">ffordable </w:t>
      </w:r>
      <w:r>
        <w:rPr>
          <w:rFonts w:ascii="Arial" w:hAnsi="Arial"/>
          <w:szCs w:val="20"/>
        </w:rPr>
        <w:t>E</w:t>
      </w:r>
      <w:r w:rsidR="009244A5">
        <w:rPr>
          <w:rFonts w:ascii="Arial" w:hAnsi="Arial"/>
          <w:szCs w:val="20"/>
        </w:rPr>
        <w:t>nergy (“OPAE”)</w:t>
      </w:r>
      <w:r>
        <w:rPr>
          <w:rFonts w:ascii="Arial" w:hAnsi="Arial"/>
          <w:szCs w:val="20"/>
          <w:vertAlign w:val="superscript"/>
        </w:rPr>
        <w:footnoteReference w:id="20"/>
      </w:r>
      <w:r>
        <w:rPr>
          <w:rFonts w:ascii="Arial" w:hAnsi="Arial"/>
          <w:szCs w:val="20"/>
        </w:rPr>
        <w:t xml:space="preserve"> also argue that incentives should not be provided to purchase standard T-8 bulbs and fixtures.</w:t>
      </w:r>
    </w:p>
    <w:p w:rsidR="007066E5" w:rsidRDefault="00677878" w:rsidP="006B7D65">
      <w:pPr>
        <w:autoSpaceDE w:val="0"/>
        <w:autoSpaceDN w:val="0"/>
        <w:adjustRightInd w:val="0"/>
        <w:spacing w:line="480" w:lineRule="auto"/>
        <w:ind w:firstLine="720"/>
        <w:jc w:val="both"/>
        <w:rPr>
          <w:rFonts w:ascii="Arial" w:eastAsiaTheme="minorHAnsi" w:hAnsi="Arial" w:cs="Arial"/>
        </w:rPr>
      </w:pPr>
      <w:r>
        <w:rPr>
          <w:rFonts w:ascii="Arial" w:eastAsiaTheme="minorHAnsi" w:hAnsi="Arial" w:cs="Arial"/>
        </w:rPr>
        <w:lastRenderedPageBreak/>
        <w:t xml:space="preserve">Prohibiting incentives for upgrading lighting as recommended by these parties would ignore for compliance purposes the actual energy savings that result from upgrading to higher efficiency light bulbs and fixtures.  The statutory baseline is measured by a historical three-year average of energy sold by the EDU and the peak demand on the EDU. </w:t>
      </w:r>
      <w:r w:rsidR="009244A5">
        <w:rPr>
          <w:rFonts w:ascii="Arial" w:eastAsiaTheme="minorHAnsi" w:hAnsi="Arial" w:cs="Arial"/>
        </w:rPr>
        <w:t xml:space="preserve"> </w:t>
      </w:r>
      <w:r>
        <w:rPr>
          <w:rFonts w:ascii="Arial" w:eastAsiaTheme="minorHAnsi" w:hAnsi="Arial" w:cs="Arial"/>
        </w:rPr>
        <w:t xml:space="preserve">Improvements in lighting efficiency will assist the EDU in meeting the compliance requirement that is based on the historical average.  But the ELPC and OEC </w:t>
      </w:r>
      <w:r w:rsidR="009244A5">
        <w:rPr>
          <w:rFonts w:ascii="Arial" w:eastAsiaTheme="minorHAnsi" w:hAnsi="Arial" w:cs="Arial"/>
        </w:rPr>
        <w:t>Initial B</w:t>
      </w:r>
      <w:r>
        <w:rPr>
          <w:rFonts w:ascii="Arial" w:eastAsiaTheme="minorHAnsi" w:hAnsi="Arial" w:cs="Arial"/>
        </w:rPr>
        <w:t>rief urges the Commission to deny incentives based upon the argument that a “new baseline,”</w:t>
      </w:r>
      <w:r>
        <w:rPr>
          <w:rStyle w:val="FootnoteReference"/>
          <w:rFonts w:ascii="Arial" w:eastAsiaTheme="minorHAnsi" w:hAnsi="Arial" w:cs="Arial"/>
        </w:rPr>
        <w:footnoteReference w:id="21"/>
      </w:r>
      <w:r>
        <w:rPr>
          <w:rFonts w:ascii="Arial" w:eastAsiaTheme="minorHAnsi" w:hAnsi="Arial" w:cs="Arial"/>
        </w:rPr>
        <w:t xml:space="preserve"> (based upon the assumed use of Standard T-8 fixtures) rather than the statutorily defined baseline should apply.  Their recommendation is another attack on the as-found method for measuring energy efficiency.  </w:t>
      </w:r>
    </w:p>
    <w:p w:rsidR="007066E5" w:rsidRDefault="00677878">
      <w:pPr>
        <w:autoSpaceDE w:val="0"/>
        <w:autoSpaceDN w:val="0"/>
        <w:adjustRightInd w:val="0"/>
        <w:spacing w:after="120" w:line="480" w:lineRule="auto"/>
        <w:ind w:firstLine="720"/>
        <w:jc w:val="both"/>
        <w:rPr>
          <w:rFonts w:ascii="Arial" w:hAnsi="Arial" w:cs="Arial"/>
          <w:szCs w:val="20"/>
        </w:rPr>
      </w:pPr>
      <w:r>
        <w:rPr>
          <w:rFonts w:ascii="Arial" w:eastAsiaTheme="minorHAnsi" w:hAnsi="Arial" w:cs="Arial"/>
        </w:rPr>
        <w:t xml:space="preserve">Eliminating incentives associated with T-8 lighting will fail to capture the energy savings opportunities that presently exist at a point in time when these types of projects are low hanging fruit.  Moreover, ignoring the savings associated with these measures will drive up the total cost of compliance.  </w:t>
      </w:r>
      <w:r>
        <w:rPr>
          <w:rFonts w:ascii="Arial" w:hAnsi="Arial" w:cs="Arial"/>
          <w:szCs w:val="20"/>
        </w:rPr>
        <w:t xml:space="preserve">For these reasons, the Commission should </w:t>
      </w:r>
      <w:r>
        <w:rPr>
          <w:rFonts w:ascii="Arial" w:hAnsi="Arial"/>
          <w:szCs w:val="20"/>
        </w:rPr>
        <w:t xml:space="preserve">reject the recommendations to limit incentives for T-8 lighting. </w:t>
      </w:r>
    </w:p>
    <w:p w:rsidR="007066E5" w:rsidRDefault="00677878">
      <w:pPr>
        <w:pStyle w:val="BodyText2"/>
        <w:numPr>
          <w:ilvl w:val="0"/>
          <w:numId w:val="8"/>
        </w:numPr>
        <w:ind w:left="720"/>
        <w:rPr>
          <w:b/>
        </w:rPr>
      </w:pPr>
      <w:r>
        <w:rPr>
          <w:b/>
        </w:rPr>
        <w:t>CONCLUSION</w:t>
      </w:r>
    </w:p>
    <w:p w:rsidR="007066E5" w:rsidRDefault="00677878">
      <w:pPr>
        <w:pStyle w:val="BodyText2"/>
        <w:ind w:firstLine="0"/>
      </w:pPr>
      <w:r>
        <w:rPr>
          <w:b/>
        </w:rPr>
        <w:tab/>
      </w:r>
      <w:r>
        <w:t>For the reasons stated herein, the Commission should modify and approve FirstEnergy’s Portfolio Plan subject to granting the relief requested in IEU-Ohio’s Post-Hearing Brief.</w:t>
      </w:r>
    </w:p>
    <w:p w:rsidR="007066E5" w:rsidRDefault="007066E5">
      <w:pPr>
        <w:pStyle w:val="BodyText2"/>
        <w:ind w:firstLine="0"/>
      </w:pPr>
    </w:p>
    <w:p w:rsidR="007066E5" w:rsidRDefault="007066E5">
      <w:pPr>
        <w:pStyle w:val="BodyText2"/>
        <w:ind w:firstLine="0"/>
      </w:pPr>
    </w:p>
    <w:p w:rsidR="007066E5" w:rsidRDefault="007066E5">
      <w:pPr>
        <w:pStyle w:val="BodyText2"/>
        <w:ind w:firstLine="0"/>
      </w:pPr>
    </w:p>
    <w:p w:rsidR="007066E5" w:rsidRDefault="007066E5">
      <w:pPr>
        <w:pStyle w:val="BodyText2"/>
        <w:ind w:firstLine="0"/>
      </w:pPr>
    </w:p>
    <w:p w:rsidR="007066E5" w:rsidRDefault="00677878">
      <w:pPr>
        <w:pStyle w:val="BodyText2"/>
        <w:ind w:firstLine="0"/>
      </w:pPr>
      <w:r>
        <w:tab/>
      </w:r>
      <w:r>
        <w:tab/>
      </w:r>
      <w:r>
        <w:tab/>
      </w:r>
      <w:r>
        <w:tab/>
      </w:r>
      <w:r>
        <w:tab/>
      </w:r>
      <w:r>
        <w:tab/>
        <w:t>Respectfully submitted,</w:t>
      </w:r>
    </w:p>
    <w:p w:rsidR="007066E5" w:rsidRDefault="007066E5">
      <w:pPr>
        <w:pStyle w:val="BodyText2"/>
        <w:ind w:firstLine="0"/>
      </w:pPr>
    </w:p>
    <w:p w:rsidR="007066E5" w:rsidRDefault="002D6A75">
      <w:pPr>
        <w:tabs>
          <w:tab w:val="left" w:pos="-1440"/>
          <w:tab w:val="left" w:pos="-720"/>
          <w:tab w:val="left" w:pos="4320"/>
          <w:tab w:val="left" w:pos="4680"/>
          <w:tab w:val="left" w:pos="8640"/>
        </w:tabs>
        <w:ind w:left="4320"/>
        <w:jc w:val="both"/>
        <w:rPr>
          <w:rFonts w:ascii="Arial" w:hAnsi="Arial" w:cs="Arial"/>
          <w:u w:val="single"/>
        </w:rPr>
      </w:pPr>
      <w:r>
        <w:rPr>
          <w:rFonts w:ascii="Arial" w:hAnsi="Arial" w:cs="Arial"/>
          <w:u w:val="single"/>
        </w:rPr>
        <w:t>/s/ Joseph E. Oliker</w:t>
      </w:r>
      <w:r w:rsidR="00677878">
        <w:rPr>
          <w:rFonts w:ascii="Arial" w:hAnsi="Arial" w:cs="Arial"/>
          <w:u w:val="single"/>
        </w:rPr>
        <w:tab/>
      </w:r>
      <w:r w:rsidR="00677878">
        <w:rPr>
          <w:rFonts w:ascii="Arial" w:hAnsi="Arial" w:cs="Arial"/>
          <w:u w:val="single"/>
        </w:rPr>
        <w:tab/>
      </w:r>
    </w:p>
    <w:p w:rsidR="007066E5" w:rsidRDefault="00677878">
      <w:pPr>
        <w:tabs>
          <w:tab w:val="left" w:pos="4320"/>
          <w:tab w:val="right" w:pos="8640"/>
        </w:tabs>
        <w:ind w:left="4320"/>
        <w:jc w:val="both"/>
        <w:rPr>
          <w:rFonts w:ascii="Arial" w:hAnsi="Arial" w:cs="Arial"/>
        </w:rPr>
      </w:pPr>
      <w:r>
        <w:rPr>
          <w:rFonts w:ascii="Arial" w:hAnsi="Arial" w:cs="Arial"/>
        </w:rPr>
        <w:t>Samuel C. Randazzo (Counsel of Record)</w:t>
      </w:r>
    </w:p>
    <w:p w:rsidR="007066E5" w:rsidRDefault="00677878">
      <w:pPr>
        <w:pStyle w:val="BodyText3"/>
        <w:widowControl w:val="0"/>
        <w:tabs>
          <w:tab w:val="left" w:pos="4320"/>
        </w:tabs>
        <w:ind w:left="4320"/>
        <w:jc w:val="both"/>
        <w:rPr>
          <w:rFonts w:ascii="Arial" w:hAnsi="Arial" w:cs="Arial"/>
          <w:b w:val="0"/>
          <w:bCs/>
        </w:rPr>
      </w:pPr>
      <w:r>
        <w:rPr>
          <w:rFonts w:ascii="Arial" w:hAnsi="Arial" w:cs="Arial"/>
          <w:b w:val="0"/>
          <w:bCs/>
        </w:rPr>
        <w:t>Frank P. Darr</w:t>
      </w:r>
    </w:p>
    <w:p w:rsidR="007066E5" w:rsidRDefault="00677878">
      <w:pPr>
        <w:pStyle w:val="BodyText3"/>
        <w:widowControl w:val="0"/>
        <w:tabs>
          <w:tab w:val="left" w:pos="4320"/>
        </w:tabs>
        <w:ind w:left="4320"/>
        <w:jc w:val="both"/>
        <w:rPr>
          <w:rFonts w:ascii="Arial" w:hAnsi="Arial" w:cs="Arial"/>
          <w:b w:val="0"/>
          <w:bCs/>
        </w:rPr>
      </w:pPr>
      <w:r>
        <w:rPr>
          <w:rFonts w:ascii="Arial" w:hAnsi="Arial" w:cs="Arial"/>
          <w:b w:val="0"/>
          <w:bCs/>
        </w:rPr>
        <w:t>Joseph E. Oliker</w:t>
      </w:r>
    </w:p>
    <w:p w:rsidR="007066E5" w:rsidRDefault="00677878">
      <w:pPr>
        <w:pStyle w:val="BodyText3"/>
        <w:widowControl w:val="0"/>
        <w:tabs>
          <w:tab w:val="left" w:pos="4320"/>
        </w:tabs>
        <w:ind w:left="4320"/>
        <w:jc w:val="both"/>
        <w:rPr>
          <w:rFonts w:ascii="Arial" w:hAnsi="Arial" w:cs="Arial"/>
          <w:b w:val="0"/>
          <w:bCs/>
        </w:rPr>
      </w:pPr>
      <w:r>
        <w:rPr>
          <w:rFonts w:ascii="Arial" w:hAnsi="Arial" w:cs="Arial"/>
          <w:b w:val="0"/>
          <w:bCs/>
        </w:rPr>
        <w:t>Matthew R. Pritchard</w:t>
      </w:r>
    </w:p>
    <w:p w:rsidR="007066E5" w:rsidRDefault="00677878">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McNees Wallace &amp; Nurick LLC</w:t>
      </w:r>
    </w:p>
    <w:p w:rsidR="007066E5" w:rsidRDefault="00677878">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7066E5" w:rsidRDefault="00677878">
      <w:pPr>
        <w:pStyle w:val="BodyText"/>
        <w:tabs>
          <w:tab w:val="left" w:pos="4320"/>
        </w:tabs>
        <w:ind w:left="4320"/>
      </w:pPr>
      <w:r>
        <w:t>Columbus, OH  43215</w:t>
      </w:r>
    </w:p>
    <w:p w:rsidR="007066E5" w:rsidRDefault="00677878">
      <w:pPr>
        <w:pStyle w:val="BodyText"/>
        <w:tabs>
          <w:tab w:val="left" w:pos="4320"/>
        </w:tabs>
        <w:ind w:left="4320"/>
      </w:pPr>
      <w:r>
        <w:t>Telephone:  (614) 469-8000</w:t>
      </w:r>
    </w:p>
    <w:p w:rsidR="007066E5" w:rsidRDefault="00677878">
      <w:pPr>
        <w:pStyle w:val="BodyText"/>
        <w:tabs>
          <w:tab w:val="left" w:pos="4320"/>
        </w:tabs>
        <w:ind w:left="4320"/>
      </w:pPr>
      <w:r>
        <w:t>Telecopier:  (614) 469-4653</w:t>
      </w:r>
    </w:p>
    <w:p w:rsidR="007066E5" w:rsidRDefault="00677878">
      <w:pPr>
        <w:pStyle w:val="BodyText"/>
        <w:ind w:left="4320"/>
      </w:pPr>
      <w:r>
        <w:t>sam@mwncmh.com</w:t>
      </w:r>
    </w:p>
    <w:p w:rsidR="007066E5" w:rsidRDefault="00677878">
      <w:pPr>
        <w:pStyle w:val="BodyText"/>
        <w:ind w:left="4320"/>
      </w:pPr>
      <w:r>
        <w:t>fdarr@mwncmh.com</w:t>
      </w:r>
    </w:p>
    <w:p w:rsidR="007066E5" w:rsidRDefault="00677878">
      <w:pPr>
        <w:pStyle w:val="BodyText"/>
        <w:ind w:left="4320"/>
      </w:pPr>
      <w:r>
        <w:t>joliker@mwncmh.com</w:t>
      </w:r>
    </w:p>
    <w:p w:rsidR="007066E5" w:rsidRDefault="00677878">
      <w:pPr>
        <w:pStyle w:val="BodyText"/>
        <w:ind w:left="4320"/>
      </w:pPr>
      <w:r>
        <w:t>mpritchard@mwncmh.com</w:t>
      </w:r>
    </w:p>
    <w:p w:rsidR="007066E5" w:rsidRDefault="007066E5">
      <w:pPr>
        <w:tabs>
          <w:tab w:val="left" w:pos="-1440"/>
          <w:tab w:val="left" w:pos="-720"/>
          <w:tab w:val="left" w:pos="4320"/>
          <w:tab w:val="left" w:pos="5040"/>
        </w:tabs>
        <w:ind w:left="4320"/>
        <w:jc w:val="both"/>
        <w:rPr>
          <w:rFonts w:ascii="Arial" w:hAnsi="Arial" w:cs="Arial"/>
        </w:rPr>
      </w:pPr>
    </w:p>
    <w:p w:rsidR="007066E5" w:rsidRDefault="00677878">
      <w:pPr>
        <w:tabs>
          <w:tab w:val="left" w:pos="4320"/>
          <w:tab w:val="right" w:pos="8640"/>
        </w:tabs>
        <w:ind w:left="4320"/>
        <w:jc w:val="both"/>
        <w:rPr>
          <w:rFonts w:ascii="Arial" w:hAnsi="Arial" w:cs="Arial"/>
          <w:b/>
        </w:rPr>
      </w:pPr>
      <w:r>
        <w:rPr>
          <w:rFonts w:ascii="Arial" w:hAnsi="Arial" w:cs="Arial"/>
          <w:b/>
          <w:bCs/>
        </w:rPr>
        <w:t>Attorneys for</w:t>
      </w:r>
      <w:r>
        <w:rPr>
          <w:rFonts w:ascii="Arial" w:hAnsi="Arial" w:cs="Arial"/>
        </w:rPr>
        <w:t xml:space="preserve"> </w:t>
      </w:r>
      <w:r>
        <w:rPr>
          <w:rFonts w:ascii="Arial" w:hAnsi="Arial" w:cs="Arial"/>
          <w:b/>
        </w:rPr>
        <w:t>Industrial Energy Users-Ohio</w:t>
      </w:r>
    </w:p>
    <w:p w:rsidR="007066E5" w:rsidRDefault="007066E5">
      <w:pPr>
        <w:tabs>
          <w:tab w:val="left" w:pos="4320"/>
          <w:tab w:val="right" w:pos="8640"/>
        </w:tabs>
        <w:jc w:val="both"/>
        <w:rPr>
          <w:rFonts w:ascii="Arial" w:hAnsi="Arial" w:cs="Arial"/>
          <w:b/>
        </w:rPr>
      </w:pPr>
    </w:p>
    <w:p w:rsidR="007066E5" w:rsidRDefault="007066E5">
      <w:pPr>
        <w:tabs>
          <w:tab w:val="left" w:pos="4320"/>
          <w:tab w:val="right" w:pos="8640"/>
        </w:tabs>
        <w:jc w:val="both"/>
        <w:sectPr w:rsidR="007066E5">
          <w:headerReference w:type="default" r:id="rId15"/>
          <w:footerReference w:type="default" r:id="rId16"/>
          <w:headerReference w:type="first" r:id="rId17"/>
          <w:footerReference w:type="first" r:id="rId18"/>
          <w:pgSz w:w="12240" w:h="15840" w:code="1"/>
          <w:pgMar w:top="1296" w:right="1296" w:bottom="1008" w:left="1296" w:header="720" w:footer="720" w:gutter="0"/>
          <w:pgNumType w:start="1"/>
          <w:cols w:space="720"/>
          <w:titlePg/>
          <w:docGrid w:linePitch="326"/>
        </w:sectPr>
      </w:pPr>
    </w:p>
    <w:p w:rsidR="007066E5" w:rsidRDefault="00677878">
      <w:pPr>
        <w:tabs>
          <w:tab w:val="left" w:pos="2160"/>
          <w:tab w:val="left" w:pos="2280"/>
        </w:tabs>
        <w:jc w:val="center"/>
        <w:rPr>
          <w:rFonts w:ascii="Arial" w:hAnsi="Arial" w:cs="Arial"/>
          <w:b/>
        </w:rPr>
      </w:pPr>
      <w:r>
        <w:rPr>
          <w:rFonts w:ascii="Arial" w:hAnsi="Arial" w:cs="Arial"/>
          <w:b/>
        </w:rPr>
        <w:lastRenderedPageBreak/>
        <w:t>CERTIFICATE OF SERVICE</w:t>
      </w:r>
    </w:p>
    <w:p w:rsidR="007066E5" w:rsidRDefault="007066E5">
      <w:pPr>
        <w:jc w:val="both"/>
        <w:rPr>
          <w:rFonts w:ascii="Arial" w:hAnsi="Arial" w:cs="Arial"/>
        </w:rPr>
      </w:pPr>
    </w:p>
    <w:p w:rsidR="007066E5" w:rsidRDefault="00677878">
      <w:pPr>
        <w:pStyle w:val="Heading4"/>
        <w:numPr>
          <w:ilvl w:val="0"/>
          <w:numId w:val="0"/>
        </w:numPr>
        <w:spacing w:after="0" w:line="480" w:lineRule="auto"/>
        <w:ind w:firstLine="720"/>
        <w:rPr>
          <w:rFonts w:ascii="Arial" w:hAnsi="Arial" w:cs="Arial"/>
          <w:b w:val="0"/>
          <w:i w:val="0"/>
        </w:rPr>
      </w:pPr>
      <w:r>
        <w:rPr>
          <w:rFonts w:ascii="Arial" w:hAnsi="Arial" w:cs="Arial"/>
          <w:b w:val="0"/>
          <w:i w:val="0"/>
        </w:rPr>
        <w:t xml:space="preserve">I hereby certify that a copy of the foregoing </w:t>
      </w:r>
      <w:r>
        <w:rPr>
          <w:rFonts w:ascii="Arial" w:hAnsi="Arial" w:cs="Arial"/>
          <w:b w:val="0"/>
        </w:rPr>
        <w:t>Reply Brief of Industrial Energy Users-Ohio</w:t>
      </w:r>
      <w:r>
        <w:rPr>
          <w:rFonts w:ascii="Arial" w:hAnsi="Arial" w:cs="Arial"/>
          <w:b w:val="0"/>
          <w:i w:val="0"/>
        </w:rPr>
        <w:t xml:space="preserve">, was served upon the following parties of record this </w:t>
      </w:r>
      <w:r w:rsidR="009244A5">
        <w:rPr>
          <w:rFonts w:ascii="Arial" w:hAnsi="Arial" w:cs="Arial"/>
          <w:b w:val="0"/>
          <w:i w:val="0"/>
        </w:rPr>
        <w:t>30</w:t>
      </w:r>
      <w:r>
        <w:rPr>
          <w:rFonts w:ascii="Arial" w:hAnsi="Arial" w:cs="Arial"/>
          <w:b w:val="0"/>
          <w:i w:val="0"/>
        </w:rPr>
        <w:t>th day of November, 2012 via hand-delivery, electronic transmission, or first class mail, U.S. postage prepaid.</w:t>
      </w:r>
    </w:p>
    <w:p w:rsidR="007066E5" w:rsidRDefault="00677878">
      <w:pPr>
        <w:jc w:val="both"/>
        <w:rPr>
          <w:rFonts w:ascii="Arial" w:hAnsi="Arial" w:cs="Arial"/>
          <w:u w:val="single"/>
        </w:rPr>
      </w:pPr>
      <w:r>
        <w:tab/>
      </w:r>
      <w:r>
        <w:tab/>
      </w:r>
      <w:r>
        <w:tab/>
      </w:r>
      <w:r>
        <w:tab/>
      </w:r>
      <w:r>
        <w:tab/>
      </w:r>
      <w:r>
        <w:tab/>
      </w:r>
      <w:r>
        <w:tab/>
      </w:r>
      <w:r w:rsidR="002D6A75">
        <w:rPr>
          <w:rFonts w:ascii="Arial" w:hAnsi="Arial" w:cs="Arial"/>
          <w:u w:val="single"/>
        </w:rPr>
        <w:t>/s/ Joseph E. Oliker</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066E5" w:rsidRDefault="00677878">
      <w:pPr>
        <w:tabs>
          <w:tab w:val="left" w:pos="2160"/>
          <w:tab w:val="left" w:pos="228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Joseph E. Oliker</w:t>
      </w:r>
    </w:p>
    <w:p w:rsidR="007066E5" w:rsidRDefault="007066E5">
      <w:pPr>
        <w:tabs>
          <w:tab w:val="left" w:pos="2160"/>
          <w:tab w:val="left" w:pos="2280"/>
        </w:tabs>
        <w:jc w:val="both"/>
        <w:rPr>
          <w:rFonts w:ascii="Arial" w:hAnsi="Arial" w:cs="Arial"/>
          <w:b/>
          <w:smallCaps/>
        </w:rPr>
        <w:sectPr w:rsidR="007066E5">
          <w:headerReference w:type="default" r:id="rId19"/>
          <w:footerReference w:type="default" r:id="rId20"/>
          <w:headerReference w:type="first" r:id="rId21"/>
          <w:footerReference w:type="first" r:id="rId22"/>
          <w:pgSz w:w="12240" w:h="15840" w:code="1"/>
          <w:pgMar w:top="1440" w:right="1440" w:bottom="1141" w:left="1440" w:header="720" w:footer="720" w:gutter="0"/>
          <w:pgNumType w:start="1"/>
          <w:cols w:space="720"/>
          <w:titlePg/>
          <w:docGrid w:linePitch="326"/>
        </w:sectPr>
      </w:pPr>
    </w:p>
    <w:p w:rsidR="00C43A96" w:rsidRDefault="00C43A96" w:rsidP="00C43A96">
      <w:pPr>
        <w:tabs>
          <w:tab w:val="left" w:pos="2160"/>
          <w:tab w:val="left" w:pos="2280"/>
        </w:tabs>
        <w:rPr>
          <w:rFonts w:ascii="Arial" w:hAnsi="Arial" w:cs="Arial"/>
        </w:rPr>
      </w:pPr>
    </w:p>
    <w:p w:rsidR="00C43A96" w:rsidRPr="00743EE2" w:rsidRDefault="00C43A96" w:rsidP="00C43A96">
      <w:pPr>
        <w:tabs>
          <w:tab w:val="left" w:pos="2160"/>
          <w:tab w:val="left" w:pos="2280"/>
        </w:tabs>
        <w:rPr>
          <w:rFonts w:ascii="Arial" w:hAnsi="Arial" w:cs="Arial"/>
        </w:rPr>
      </w:pPr>
      <w:r w:rsidRPr="00743EE2">
        <w:rPr>
          <w:rFonts w:ascii="Arial" w:hAnsi="Arial" w:cs="Arial"/>
        </w:rPr>
        <w:t>Kathy J. Kolich (Counsel of Record)</w:t>
      </w:r>
    </w:p>
    <w:p w:rsidR="00C43A96" w:rsidRPr="00743EE2" w:rsidRDefault="00C43A96" w:rsidP="00C43A96">
      <w:pPr>
        <w:tabs>
          <w:tab w:val="left" w:pos="2160"/>
          <w:tab w:val="left" w:pos="2280"/>
        </w:tabs>
        <w:rPr>
          <w:rFonts w:ascii="Arial" w:hAnsi="Arial" w:cs="Arial"/>
        </w:rPr>
      </w:pPr>
      <w:r w:rsidRPr="00743EE2">
        <w:rPr>
          <w:rFonts w:ascii="Arial" w:hAnsi="Arial" w:cs="Arial"/>
        </w:rPr>
        <w:t>Carrie M. Dunn</w:t>
      </w:r>
    </w:p>
    <w:p w:rsidR="00C43A96" w:rsidRPr="00743EE2" w:rsidRDefault="00C43A96" w:rsidP="00C43A96">
      <w:pPr>
        <w:tabs>
          <w:tab w:val="left" w:pos="2160"/>
          <w:tab w:val="left" w:pos="2280"/>
        </w:tabs>
        <w:rPr>
          <w:rFonts w:ascii="Arial" w:hAnsi="Arial" w:cs="Arial"/>
        </w:rPr>
      </w:pPr>
      <w:r w:rsidRPr="00743EE2">
        <w:rPr>
          <w:rFonts w:ascii="Arial" w:hAnsi="Arial" w:cs="Arial"/>
        </w:rPr>
        <w:t>First Energy Service Company</w:t>
      </w:r>
    </w:p>
    <w:p w:rsidR="00C43A96" w:rsidRPr="00743EE2" w:rsidRDefault="00C43A96" w:rsidP="00C43A96">
      <w:pPr>
        <w:tabs>
          <w:tab w:val="left" w:pos="2160"/>
          <w:tab w:val="left" w:pos="2280"/>
        </w:tabs>
        <w:rPr>
          <w:rFonts w:ascii="Arial" w:hAnsi="Arial" w:cs="Arial"/>
        </w:rPr>
      </w:pPr>
      <w:r w:rsidRPr="00743EE2">
        <w:rPr>
          <w:rFonts w:ascii="Arial" w:hAnsi="Arial" w:cs="Arial"/>
        </w:rPr>
        <w:t>76 South Main Street</w:t>
      </w:r>
    </w:p>
    <w:p w:rsidR="00C43A96" w:rsidRPr="00743EE2" w:rsidRDefault="00C43A96" w:rsidP="00C43A96">
      <w:pPr>
        <w:tabs>
          <w:tab w:val="left" w:pos="2160"/>
          <w:tab w:val="left" w:pos="2280"/>
        </w:tabs>
        <w:rPr>
          <w:rFonts w:ascii="Arial" w:hAnsi="Arial" w:cs="Arial"/>
        </w:rPr>
      </w:pPr>
      <w:r w:rsidRPr="00743EE2">
        <w:rPr>
          <w:rFonts w:ascii="Arial" w:hAnsi="Arial" w:cs="Arial"/>
        </w:rPr>
        <w:t>Akron, OH  44308</w:t>
      </w:r>
    </w:p>
    <w:p w:rsidR="00C43A96" w:rsidRPr="00743EE2" w:rsidRDefault="00C43A96" w:rsidP="00C43A96">
      <w:pPr>
        <w:tabs>
          <w:tab w:val="left" w:pos="2160"/>
          <w:tab w:val="left" w:pos="2280"/>
        </w:tabs>
        <w:rPr>
          <w:rFonts w:ascii="Arial" w:hAnsi="Arial" w:cs="Arial"/>
        </w:rPr>
      </w:pPr>
      <w:r w:rsidRPr="00743EE2">
        <w:rPr>
          <w:rFonts w:ascii="Arial" w:hAnsi="Arial" w:cs="Arial"/>
        </w:rPr>
        <w:t>kjkolich@firstenergycorp.com</w:t>
      </w:r>
    </w:p>
    <w:p w:rsidR="00C43A96" w:rsidRDefault="00C43A96" w:rsidP="00C43A96">
      <w:pPr>
        <w:tabs>
          <w:tab w:val="left" w:pos="2160"/>
          <w:tab w:val="left" w:pos="2280"/>
        </w:tabs>
        <w:rPr>
          <w:rFonts w:ascii="Arial" w:hAnsi="Arial" w:cs="Arial"/>
        </w:rPr>
      </w:pPr>
      <w:r w:rsidRPr="00743EE2">
        <w:rPr>
          <w:rFonts w:ascii="Arial" w:hAnsi="Arial" w:cs="Arial"/>
        </w:rPr>
        <w:t>edunn@firstenergycorp.com</w:t>
      </w:r>
    </w:p>
    <w:p w:rsidR="00C43A96" w:rsidRDefault="00C43A96" w:rsidP="00C43A96">
      <w:pPr>
        <w:tabs>
          <w:tab w:val="left" w:pos="2160"/>
          <w:tab w:val="left" w:pos="2280"/>
        </w:tabs>
        <w:rPr>
          <w:rFonts w:ascii="Arial" w:hAnsi="Arial" w:cs="Arial"/>
        </w:rPr>
      </w:pPr>
    </w:p>
    <w:p w:rsidR="00C43A96" w:rsidRDefault="00C43A96" w:rsidP="00C43A96">
      <w:pPr>
        <w:tabs>
          <w:tab w:val="left" w:pos="2160"/>
          <w:tab w:val="left" w:pos="2280"/>
        </w:tabs>
        <w:rPr>
          <w:rFonts w:ascii="Arial" w:hAnsi="Arial" w:cs="Arial"/>
        </w:rPr>
      </w:pPr>
      <w:r>
        <w:rPr>
          <w:rFonts w:ascii="Arial" w:hAnsi="Arial" w:cs="Arial"/>
        </w:rPr>
        <w:t>James F. Lang</w:t>
      </w:r>
    </w:p>
    <w:p w:rsidR="00C43A96" w:rsidRDefault="00C43A96" w:rsidP="00C43A96">
      <w:pPr>
        <w:tabs>
          <w:tab w:val="left" w:pos="2160"/>
          <w:tab w:val="left" w:pos="2280"/>
        </w:tabs>
        <w:rPr>
          <w:rFonts w:ascii="Arial" w:hAnsi="Arial" w:cs="Arial"/>
        </w:rPr>
      </w:pPr>
      <w:r>
        <w:rPr>
          <w:rFonts w:ascii="Arial" w:hAnsi="Arial" w:cs="Arial"/>
        </w:rPr>
        <w:t>Calfee, Halter &amp; Griswold LLP</w:t>
      </w:r>
    </w:p>
    <w:p w:rsidR="00C43A96" w:rsidRDefault="00C43A96" w:rsidP="00C43A96">
      <w:pPr>
        <w:tabs>
          <w:tab w:val="left" w:pos="2160"/>
          <w:tab w:val="left" w:pos="2280"/>
        </w:tabs>
        <w:rPr>
          <w:rFonts w:ascii="Arial" w:hAnsi="Arial" w:cs="Arial"/>
        </w:rPr>
      </w:pPr>
      <w:r>
        <w:rPr>
          <w:rFonts w:ascii="Arial" w:hAnsi="Arial" w:cs="Arial"/>
        </w:rPr>
        <w:t>The Calfee Building</w:t>
      </w:r>
    </w:p>
    <w:p w:rsidR="00C43A96" w:rsidRDefault="00C43A96" w:rsidP="00C43A96">
      <w:pPr>
        <w:tabs>
          <w:tab w:val="left" w:pos="2160"/>
          <w:tab w:val="left" w:pos="2280"/>
        </w:tabs>
        <w:rPr>
          <w:rFonts w:ascii="Arial" w:hAnsi="Arial" w:cs="Arial"/>
        </w:rPr>
      </w:pPr>
      <w:r>
        <w:rPr>
          <w:rFonts w:ascii="Arial" w:hAnsi="Arial" w:cs="Arial"/>
        </w:rPr>
        <w:t>1405 East 6</w:t>
      </w:r>
      <w:r w:rsidRPr="00F20602">
        <w:rPr>
          <w:rFonts w:ascii="Arial" w:hAnsi="Arial" w:cs="Arial"/>
          <w:vertAlign w:val="superscript"/>
        </w:rPr>
        <w:t>th</w:t>
      </w:r>
      <w:r>
        <w:rPr>
          <w:rFonts w:ascii="Arial" w:hAnsi="Arial" w:cs="Arial"/>
        </w:rPr>
        <w:t xml:space="preserve"> Street</w:t>
      </w:r>
    </w:p>
    <w:p w:rsidR="00C43A96" w:rsidRDefault="00C43A96" w:rsidP="00C43A96">
      <w:pPr>
        <w:tabs>
          <w:tab w:val="left" w:pos="2160"/>
          <w:tab w:val="left" w:pos="2280"/>
        </w:tabs>
        <w:rPr>
          <w:rFonts w:ascii="Arial" w:hAnsi="Arial" w:cs="Arial"/>
        </w:rPr>
      </w:pPr>
      <w:r>
        <w:rPr>
          <w:rFonts w:ascii="Arial" w:hAnsi="Arial" w:cs="Arial"/>
        </w:rPr>
        <w:t>Cleveland, OH  44114</w:t>
      </w:r>
    </w:p>
    <w:p w:rsidR="00C43A96" w:rsidRPr="00743EE2" w:rsidRDefault="00C43A96" w:rsidP="00C43A96">
      <w:pPr>
        <w:tabs>
          <w:tab w:val="left" w:pos="2160"/>
          <w:tab w:val="left" w:pos="2280"/>
        </w:tabs>
        <w:rPr>
          <w:rFonts w:ascii="Arial" w:hAnsi="Arial" w:cs="Arial"/>
        </w:rPr>
      </w:pPr>
      <w:r>
        <w:rPr>
          <w:rFonts w:ascii="Arial" w:hAnsi="Arial" w:cs="Arial"/>
        </w:rPr>
        <w:t>jlang@calfee.com</w:t>
      </w:r>
    </w:p>
    <w:p w:rsidR="00C43A96" w:rsidRPr="00743EE2" w:rsidRDefault="00C43A96" w:rsidP="00C43A96">
      <w:pPr>
        <w:tabs>
          <w:tab w:val="left" w:pos="2160"/>
          <w:tab w:val="left" w:pos="2280"/>
        </w:tabs>
        <w:rPr>
          <w:rFonts w:ascii="Arial" w:hAnsi="Arial" w:cs="Arial"/>
        </w:rPr>
      </w:pPr>
    </w:p>
    <w:p w:rsidR="00C43A96" w:rsidRPr="00743EE2" w:rsidRDefault="00C43A96" w:rsidP="00C43A96">
      <w:pPr>
        <w:tabs>
          <w:tab w:val="left" w:pos="2160"/>
          <w:tab w:val="left" w:pos="2280"/>
        </w:tabs>
        <w:rPr>
          <w:rFonts w:ascii="Arial" w:hAnsi="Arial" w:cs="Arial"/>
          <w:b/>
          <w:smallCaps/>
        </w:rPr>
      </w:pPr>
      <w:r w:rsidRPr="00743EE2">
        <w:rPr>
          <w:rFonts w:ascii="Arial" w:hAnsi="Arial" w:cs="Arial"/>
          <w:b/>
          <w:smallCaps/>
        </w:rPr>
        <w:t>Attorneys for Ohio Edison Company, The Cleveland Electric Company, and The Toledo Edison Company</w:t>
      </w:r>
    </w:p>
    <w:p w:rsidR="00C43A96" w:rsidRDefault="00C43A96" w:rsidP="00C43A96">
      <w:pPr>
        <w:tabs>
          <w:tab w:val="left" w:pos="2160"/>
          <w:tab w:val="left" w:pos="2280"/>
        </w:tabs>
        <w:rPr>
          <w:rFonts w:ascii="Arial" w:hAnsi="Arial" w:cs="Arial"/>
        </w:rPr>
      </w:pPr>
    </w:p>
    <w:p w:rsidR="00C43A96" w:rsidRDefault="00C43A96" w:rsidP="00C43A96">
      <w:pPr>
        <w:tabs>
          <w:tab w:val="left" w:pos="2160"/>
          <w:tab w:val="left" w:pos="2280"/>
        </w:tabs>
        <w:rPr>
          <w:rFonts w:ascii="Arial" w:hAnsi="Arial" w:cs="Arial"/>
        </w:rPr>
      </w:pPr>
      <w:r>
        <w:rPr>
          <w:rFonts w:ascii="Arial" w:hAnsi="Arial" w:cs="Arial"/>
        </w:rPr>
        <w:t>Colleen L. Mooney</w:t>
      </w:r>
    </w:p>
    <w:p w:rsidR="00C43A96" w:rsidRDefault="00C43A96" w:rsidP="00C43A96">
      <w:pPr>
        <w:tabs>
          <w:tab w:val="left" w:pos="2160"/>
          <w:tab w:val="left" w:pos="2280"/>
        </w:tabs>
        <w:rPr>
          <w:rFonts w:ascii="Arial" w:hAnsi="Arial" w:cs="Arial"/>
        </w:rPr>
      </w:pPr>
      <w:r>
        <w:rPr>
          <w:rFonts w:ascii="Arial" w:hAnsi="Arial" w:cs="Arial"/>
        </w:rPr>
        <w:t>Ohio Partners for Affordable Energy</w:t>
      </w:r>
    </w:p>
    <w:p w:rsidR="00C43A96" w:rsidRDefault="00C43A96" w:rsidP="00C43A96">
      <w:pPr>
        <w:tabs>
          <w:tab w:val="left" w:pos="2160"/>
          <w:tab w:val="left" w:pos="2280"/>
        </w:tabs>
        <w:rPr>
          <w:rFonts w:ascii="Arial" w:hAnsi="Arial" w:cs="Arial"/>
        </w:rPr>
      </w:pPr>
      <w:r>
        <w:rPr>
          <w:rFonts w:ascii="Arial" w:hAnsi="Arial" w:cs="Arial"/>
        </w:rPr>
        <w:t>231 West Lima Street</w:t>
      </w:r>
    </w:p>
    <w:p w:rsidR="00C43A96" w:rsidRDefault="00C43A96" w:rsidP="00C43A96">
      <w:pPr>
        <w:tabs>
          <w:tab w:val="left" w:pos="2160"/>
          <w:tab w:val="left" w:pos="2280"/>
        </w:tabs>
        <w:rPr>
          <w:rFonts w:ascii="Arial" w:hAnsi="Arial" w:cs="Arial"/>
        </w:rPr>
      </w:pPr>
      <w:r>
        <w:rPr>
          <w:rFonts w:ascii="Arial" w:hAnsi="Arial" w:cs="Arial"/>
        </w:rPr>
        <w:t>Findlay, OH  45839-1793</w:t>
      </w:r>
    </w:p>
    <w:p w:rsidR="00C43A96" w:rsidRDefault="00C43A96" w:rsidP="00C43A96">
      <w:pPr>
        <w:tabs>
          <w:tab w:val="left" w:pos="2160"/>
          <w:tab w:val="left" w:pos="2280"/>
        </w:tabs>
        <w:rPr>
          <w:rFonts w:ascii="Arial" w:hAnsi="Arial" w:cs="Arial"/>
        </w:rPr>
      </w:pPr>
      <w:r>
        <w:rPr>
          <w:rFonts w:ascii="Arial" w:hAnsi="Arial" w:cs="Arial"/>
        </w:rPr>
        <w:t>cmooney2@columbus.rr.com</w:t>
      </w:r>
    </w:p>
    <w:p w:rsidR="00C43A96" w:rsidRDefault="00C43A96" w:rsidP="00C43A96">
      <w:pPr>
        <w:tabs>
          <w:tab w:val="left" w:pos="2160"/>
          <w:tab w:val="left" w:pos="2280"/>
        </w:tabs>
        <w:rPr>
          <w:rFonts w:ascii="Arial" w:hAnsi="Arial" w:cs="Arial"/>
        </w:rPr>
      </w:pPr>
    </w:p>
    <w:p w:rsidR="00C43A96" w:rsidRPr="00743EE2" w:rsidRDefault="00C43A96" w:rsidP="00C43A96">
      <w:pPr>
        <w:tabs>
          <w:tab w:val="left" w:pos="2160"/>
          <w:tab w:val="left" w:pos="2280"/>
        </w:tabs>
        <w:rPr>
          <w:rFonts w:ascii="Arial" w:hAnsi="Arial" w:cs="Arial"/>
        </w:rPr>
      </w:pPr>
      <w:r w:rsidRPr="00E6208A">
        <w:rPr>
          <w:rFonts w:ascii="Arial" w:hAnsi="Arial" w:cs="Arial"/>
          <w:b/>
          <w:smallCaps/>
        </w:rPr>
        <w:t>On Behalf of Ohio Partners for Affordable Energy</w:t>
      </w:r>
    </w:p>
    <w:p w:rsidR="00C43A96" w:rsidRDefault="00C43A96" w:rsidP="00C43A96">
      <w:pPr>
        <w:tabs>
          <w:tab w:val="left" w:pos="2160"/>
          <w:tab w:val="left" w:pos="2280"/>
        </w:tabs>
        <w:rPr>
          <w:rFonts w:ascii="Arial" w:hAnsi="Arial" w:cs="Arial"/>
        </w:rPr>
      </w:pPr>
      <w:r>
        <w:rPr>
          <w:rFonts w:ascii="Arial" w:hAnsi="Arial" w:cs="Arial"/>
        </w:rPr>
        <w:br w:type="column"/>
      </w:r>
    </w:p>
    <w:p w:rsidR="00C43A96" w:rsidRDefault="00C43A96" w:rsidP="00C43A96">
      <w:pPr>
        <w:tabs>
          <w:tab w:val="left" w:pos="2160"/>
          <w:tab w:val="left" w:pos="2280"/>
        </w:tabs>
        <w:rPr>
          <w:rFonts w:ascii="Arial" w:hAnsi="Arial" w:cs="Arial"/>
        </w:rPr>
      </w:pPr>
      <w:r>
        <w:rPr>
          <w:rFonts w:ascii="Arial" w:hAnsi="Arial" w:cs="Arial"/>
        </w:rPr>
        <w:t>Richard L. Sites</w:t>
      </w:r>
    </w:p>
    <w:p w:rsidR="00C43A96" w:rsidRDefault="00C43A96" w:rsidP="00C43A96">
      <w:pPr>
        <w:tabs>
          <w:tab w:val="left" w:pos="2160"/>
          <w:tab w:val="left" w:pos="2280"/>
        </w:tabs>
        <w:rPr>
          <w:rFonts w:ascii="Arial" w:hAnsi="Arial" w:cs="Arial"/>
        </w:rPr>
      </w:pPr>
      <w:r>
        <w:rPr>
          <w:rFonts w:ascii="Arial" w:hAnsi="Arial" w:cs="Arial"/>
        </w:rPr>
        <w:t>General Counsel &amp; Senior Director of Health Policy</w:t>
      </w:r>
    </w:p>
    <w:p w:rsidR="00C43A96" w:rsidRDefault="00C43A96" w:rsidP="00C43A96">
      <w:pPr>
        <w:tabs>
          <w:tab w:val="left" w:pos="2160"/>
          <w:tab w:val="left" w:pos="2280"/>
        </w:tabs>
        <w:rPr>
          <w:rFonts w:ascii="Arial" w:hAnsi="Arial" w:cs="Arial"/>
        </w:rPr>
      </w:pPr>
      <w:r>
        <w:rPr>
          <w:rFonts w:ascii="Arial" w:hAnsi="Arial" w:cs="Arial"/>
        </w:rPr>
        <w:t>Ohio Hospital Association</w:t>
      </w:r>
    </w:p>
    <w:p w:rsidR="00C43A96" w:rsidRDefault="00C43A96" w:rsidP="00C43A96">
      <w:pPr>
        <w:tabs>
          <w:tab w:val="left" w:pos="2160"/>
          <w:tab w:val="left" w:pos="2280"/>
        </w:tabs>
        <w:rPr>
          <w:rFonts w:ascii="Arial" w:hAnsi="Arial" w:cs="Arial"/>
        </w:rPr>
      </w:pPr>
      <w:r>
        <w:rPr>
          <w:rFonts w:ascii="Arial" w:hAnsi="Arial" w:cs="Arial"/>
        </w:rPr>
        <w:t>155 East Broad Street, 15</w:t>
      </w:r>
      <w:r w:rsidRPr="00F14714">
        <w:rPr>
          <w:rFonts w:ascii="Arial" w:hAnsi="Arial" w:cs="Arial"/>
          <w:vertAlign w:val="superscript"/>
        </w:rPr>
        <w:t>th</w:t>
      </w:r>
      <w:r>
        <w:rPr>
          <w:rFonts w:ascii="Arial" w:hAnsi="Arial" w:cs="Arial"/>
        </w:rPr>
        <w:t xml:space="preserve"> Floor</w:t>
      </w:r>
    </w:p>
    <w:p w:rsidR="00C43A96" w:rsidRDefault="00C43A96" w:rsidP="00C43A96">
      <w:pPr>
        <w:tabs>
          <w:tab w:val="left" w:pos="2160"/>
          <w:tab w:val="left" w:pos="2280"/>
        </w:tabs>
        <w:rPr>
          <w:rFonts w:ascii="Arial" w:hAnsi="Arial" w:cs="Arial"/>
        </w:rPr>
      </w:pPr>
      <w:r>
        <w:rPr>
          <w:rFonts w:ascii="Arial" w:hAnsi="Arial" w:cs="Arial"/>
        </w:rPr>
        <w:t>Columbus, OH  43215-3620</w:t>
      </w:r>
    </w:p>
    <w:p w:rsidR="00C43A96" w:rsidRDefault="00C43A96" w:rsidP="00C43A96">
      <w:pPr>
        <w:tabs>
          <w:tab w:val="left" w:pos="2160"/>
          <w:tab w:val="left" w:pos="2280"/>
        </w:tabs>
        <w:rPr>
          <w:rFonts w:ascii="Arial" w:hAnsi="Arial" w:cs="Arial"/>
        </w:rPr>
      </w:pPr>
      <w:r>
        <w:rPr>
          <w:rFonts w:ascii="Arial" w:hAnsi="Arial" w:cs="Arial"/>
        </w:rPr>
        <w:t>ricks@ohanet.org</w:t>
      </w:r>
    </w:p>
    <w:p w:rsidR="00C43A96" w:rsidRDefault="00C43A96" w:rsidP="00C43A96">
      <w:pPr>
        <w:tabs>
          <w:tab w:val="left" w:pos="2160"/>
          <w:tab w:val="left" w:pos="2280"/>
        </w:tabs>
        <w:rPr>
          <w:rFonts w:ascii="Arial" w:hAnsi="Arial" w:cs="Arial"/>
          <w:b/>
          <w:smallCaps/>
        </w:rPr>
      </w:pPr>
    </w:p>
    <w:p w:rsidR="00C43A96" w:rsidRPr="00E6208A" w:rsidRDefault="00C43A96" w:rsidP="00C43A96">
      <w:pPr>
        <w:tabs>
          <w:tab w:val="left" w:pos="2160"/>
          <w:tab w:val="left" w:pos="2280"/>
        </w:tabs>
        <w:rPr>
          <w:rFonts w:ascii="Arial" w:hAnsi="Arial" w:cs="Arial"/>
          <w:b/>
          <w:smallCaps/>
        </w:rPr>
      </w:pPr>
      <w:r w:rsidRPr="00E6208A">
        <w:rPr>
          <w:rFonts w:ascii="Arial" w:hAnsi="Arial" w:cs="Arial"/>
          <w:b/>
          <w:smallCaps/>
        </w:rPr>
        <w:t>On Behalf of the Ohio Hospital Association</w:t>
      </w:r>
    </w:p>
    <w:p w:rsidR="00C43A96" w:rsidRDefault="00C43A96" w:rsidP="00C43A96">
      <w:pPr>
        <w:tabs>
          <w:tab w:val="left" w:pos="2160"/>
          <w:tab w:val="left" w:pos="2280"/>
        </w:tabs>
        <w:rPr>
          <w:rFonts w:ascii="Arial" w:hAnsi="Arial" w:cs="Arial"/>
        </w:rPr>
      </w:pPr>
    </w:p>
    <w:p w:rsidR="00C43A96" w:rsidRDefault="00C43A96" w:rsidP="00C43A96">
      <w:pPr>
        <w:tabs>
          <w:tab w:val="left" w:pos="2160"/>
          <w:tab w:val="left" w:pos="2280"/>
        </w:tabs>
        <w:rPr>
          <w:rFonts w:ascii="Arial" w:hAnsi="Arial" w:cs="Arial"/>
        </w:rPr>
      </w:pPr>
      <w:r w:rsidRPr="00E76A53">
        <w:rPr>
          <w:rFonts w:ascii="Arial" w:hAnsi="Arial" w:cs="Arial"/>
          <w:smallCaps/>
        </w:rPr>
        <w:t xml:space="preserve">J. </w:t>
      </w:r>
      <w:r w:rsidRPr="00E76A53">
        <w:rPr>
          <w:rFonts w:ascii="Arial" w:hAnsi="Arial" w:cs="Arial"/>
        </w:rPr>
        <w:t xml:space="preserve">Thomas </w:t>
      </w:r>
      <w:r>
        <w:rPr>
          <w:rFonts w:ascii="Arial" w:hAnsi="Arial" w:cs="Arial"/>
        </w:rPr>
        <w:t>Siwo</w:t>
      </w:r>
    </w:p>
    <w:p w:rsidR="00C43A96" w:rsidRDefault="00C43A96" w:rsidP="00C43A96">
      <w:pPr>
        <w:tabs>
          <w:tab w:val="left" w:pos="2160"/>
          <w:tab w:val="left" w:pos="2280"/>
        </w:tabs>
        <w:rPr>
          <w:rFonts w:ascii="Arial" w:hAnsi="Arial" w:cs="Arial"/>
        </w:rPr>
      </w:pPr>
      <w:r>
        <w:rPr>
          <w:rFonts w:ascii="Arial" w:hAnsi="Arial" w:cs="Arial"/>
        </w:rPr>
        <w:t>Thomas J. O’Brien</w:t>
      </w:r>
    </w:p>
    <w:p w:rsidR="00C43A96" w:rsidRDefault="00C43A96" w:rsidP="00C43A96">
      <w:pPr>
        <w:tabs>
          <w:tab w:val="left" w:pos="2160"/>
          <w:tab w:val="left" w:pos="2280"/>
        </w:tabs>
        <w:rPr>
          <w:rFonts w:ascii="Arial" w:hAnsi="Arial" w:cs="Arial"/>
        </w:rPr>
      </w:pPr>
      <w:r>
        <w:rPr>
          <w:rFonts w:ascii="Arial" w:hAnsi="Arial" w:cs="Arial"/>
        </w:rPr>
        <w:t>Bricker &amp; Eckler, LLP</w:t>
      </w:r>
    </w:p>
    <w:p w:rsidR="00C43A96" w:rsidRDefault="00C43A96" w:rsidP="00C43A96">
      <w:pPr>
        <w:tabs>
          <w:tab w:val="left" w:pos="2160"/>
          <w:tab w:val="left" w:pos="2280"/>
        </w:tabs>
        <w:rPr>
          <w:rFonts w:ascii="Arial" w:hAnsi="Arial" w:cs="Arial"/>
        </w:rPr>
      </w:pPr>
      <w:r>
        <w:rPr>
          <w:rFonts w:ascii="Arial" w:hAnsi="Arial" w:cs="Arial"/>
        </w:rPr>
        <w:t>100 South Third Street</w:t>
      </w:r>
    </w:p>
    <w:p w:rsidR="00C43A96" w:rsidRDefault="00C43A96" w:rsidP="00C43A96">
      <w:pPr>
        <w:tabs>
          <w:tab w:val="left" w:pos="2160"/>
          <w:tab w:val="left" w:pos="2280"/>
        </w:tabs>
        <w:rPr>
          <w:rFonts w:ascii="Arial" w:hAnsi="Arial" w:cs="Arial"/>
        </w:rPr>
      </w:pPr>
      <w:r>
        <w:rPr>
          <w:rFonts w:ascii="Arial" w:hAnsi="Arial" w:cs="Arial"/>
        </w:rPr>
        <w:t>Columbus, OH  43215-4291</w:t>
      </w:r>
    </w:p>
    <w:p w:rsidR="00C43A96" w:rsidRDefault="00C43A96" w:rsidP="00C43A96">
      <w:pPr>
        <w:tabs>
          <w:tab w:val="left" w:pos="2160"/>
          <w:tab w:val="left" w:pos="2280"/>
        </w:tabs>
        <w:rPr>
          <w:rFonts w:ascii="Arial" w:hAnsi="Arial" w:cs="Arial"/>
        </w:rPr>
      </w:pPr>
      <w:r>
        <w:rPr>
          <w:rFonts w:ascii="Arial" w:hAnsi="Arial" w:cs="Arial"/>
        </w:rPr>
        <w:t>tobrien@bricker.com</w:t>
      </w:r>
    </w:p>
    <w:p w:rsidR="00C43A96" w:rsidRDefault="00C43A96" w:rsidP="00C43A96">
      <w:pPr>
        <w:tabs>
          <w:tab w:val="left" w:pos="2160"/>
          <w:tab w:val="left" w:pos="2280"/>
        </w:tabs>
        <w:rPr>
          <w:rFonts w:ascii="Arial" w:hAnsi="Arial" w:cs="Arial"/>
        </w:rPr>
      </w:pPr>
      <w:r w:rsidRPr="00E76A53">
        <w:rPr>
          <w:rFonts w:ascii="Arial" w:hAnsi="Arial" w:cs="Arial"/>
        </w:rPr>
        <w:t>tsiwo@bricker.com</w:t>
      </w:r>
    </w:p>
    <w:p w:rsidR="00C43A96" w:rsidRDefault="00C43A96" w:rsidP="00C43A96">
      <w:pPr>
        <w:tabs>
          <w:tab w:val="left" w:pos="2160"/>
          <w:tab w:val="left" w:pos="2280"/>
        </w:tabs>
        <w:rPr>
          <w:rFonts w:ascii="Arial" w:hAnsi="Arial" w:cs="Arial"/>
        </w:rPr>
      </w:pPr>
    </w:p>
    <w:p w:rsidR="00C43A96" w:rsidRPr="00E76A53" w:rsidRDefault="00C43A96" w:rsidP="00C43A96">
      <w:pPr>
        <w:tabs>
          <w:tab w:val="left" w:pos="2160"/>
          <w:tab w:val="left" w:pos="2280"/>
        </w:tabs>
        <w:rPr>
          <w:rFonts w:ascii="Arial" w:hAnsi="Arial" w:cs="Arial"/>
        </w:rPr>
      </w:pPr>
      <w:r w:rsidRPr="00E6208A">
        <w:rPr>
          <w:rFonts w:ascii="Arial" w:hAnsi="Arial" w:cs="Arial"/>
          <w:b/>
          <w:smallCaps/>
        </w:rPr>
        <w:t>On Behalf of the Ohio Hospital Association</w:t>
      </w:r>
      <w:r>
        <w:rPr>
          <w:rFonts w:ascii="Arial" w:hAnsi="Arial" w:cs="Arial"/>
          <w:b/>
          <w:smallCaps/>
        </w:rPr>
        <w:t xml:space="preserve"> and The OMA Energy Group</w:t>
      </w:r>
    </w:p>
    <w:p w:rsidR="00C43A96" w:rsidRPr="00E6208A" w:rsidRDefault="00C43A96" w:rsidP="00C43A96">
      <w:pPr>
        <w:tabs>
          <w:tab w:val="left" w:pos="2160"/>
          <w:tab w:val="left" w:pos="2280"/>
        </w:tabs>
        <w:rPr>
          <w:rFonts w:ascii="Arial" w:hAnsi="Arial" w:cs="Arial"/>
          <w:b/>
          <w:smallCaps/>
        </w:rPr>
      </w:pPr>
    </w:p>
    <w:p w:rsidR="00C43A96" w:rsidRDefault="00C43A96" w:rsidP="00C43A96">
      <w:pPr>
        <w:tabs>
          <w:tab w:val="left" w:pos="2160"/>
          <w:tab w:val="left" w:pos="2280"/>
        </w:tabs>
        <w:rPr>
          <w:rFonts w:ascii="Arial" w:hAnsi="Arial" w:cs="Arial"/>
        </w:rPr>
      </w:pPr>
      <w:r>
        <w:rPr>
          <w:rFonts w:ascii="Arial" w:hAnsi="Arial" w:cs="Arial"/>
        </w:rPr>
        <w:t>Todd M. Williams (Counsel of Record)</w:t>
      </w:r>
    </w:p>
    <w:p w:rsidR="00C43A96" w:rsidRDefault="00C43A96" w:rsidP="00C43A96">
      <w:pPr>
        <w:tabs>
          <w:tab w:val="left" w:pos="2160"/>
          <w:tab w:val="left" w:pos="2280"/>
        </w:tabs>
        <w:rPr>
          <w:rFonts w:ascii="Arial" w:hAnsi="Arial" w:cs="Arial"/>
        </w:rPr>
      </w:pPr>
      <w:r>
        <w:rPr>
          <w:rFonts w:ascii="Arial" w:hAnsi="Arial" w:cs="Arial"/>
        </w:rPr>
        <w:t>Williams Allwein and Moser, LLC</w:t>
      </w:r>
    </w:p>
    <w:p w:rsidR="00C43A96" w:rsidRDefault="00C43A96" w:rsidP="00C43A96">
      <w:pPr>
        <w:tabs>
          <w:tab w:val="left" w:pos="2160"/>
          <w:tab w:val="left" w:pos="2280"/>
        </w:tabs>
        <w:rPr>
          <w:rFonts w:ascii="Arial" w:hAnsi="Arial" w:cs="Arial"/>
        </w:rPr>
      </w:pPr>
      <w:r>
        <w:rPr>
          <w:rFonts w:ascii="Arial" w:hAnsi="Arial" w:cs="Arial"/>
        </w:rPr>
        <w:t>Two Maritime Plaza, Third Floor</w:t>
      </w:r>
    </w:p>
    <w:p w:rsidR="00C43A96" w:rsidRDefault="00C43A96" w:rsidP="00C43A96">
      <w:pPr>
        <w:tabs>
          <w:tab w:val="left" w:pos="2160"/>
          <w:tab w:val="left" w:pos="2280"/>
        </w:tabs>
        <w:rPr>
          <w:rFonts w:ascii="Arial" w:hAnsi="Arial" w:cs="Arial"/>
        </w:rPr>
      </w:pPr>
      <w:r>
        <w:rPr>
          <w:rFonts w:ascii="Arial" w:hAnsi="Arial" w:cs="Arial"/>
        </w:rPr>
        <w:t>Toledo, OH  43604</w:t>
      </w:r>
    </w:p>
    <w:p w:rsidR="00C43A96" w:rsidRDefault="00C43A96" w:rsidP="00C43A96">
      <w:pPr>
        <w:tabs>
          <w:tab w:val="left" w:pos="2160"/>
          <w:tab w:val="left" w:pos="2280"/>
        </w:tabs>
        <w:rPr>
          <w:rFonts w:ascii="Arial" w:hAnsi="Arial" w:cs="Arial"/>
        </w:rPr>
      </w:pPr>
      <w:r>
        <w:rPr>
          <w:rFonts w:ascii="Arial" w:hAnsi="Arial" w:cs="Arial"/>
        </w:rPr>
        <w:t>toddm@wamenergylaw.com</w:t>
      </w:r>
    </w:p>
    <w:p w:rsidR="00C43A96" w:rsidRDefault="00C43A96" w:rsidP="00C43A96">
      <w:pPr>
        <w:tabs>
          <w:tab w:val="left" w:pos="2160"/>
          <w:tab w:val="left" w:pos="2280"/>
        </w:tabs>
        <w:rPr>
          <w:rFonts w:ascii="Arial" w:hAnsi="Arial" w:cs="Arial"/>
          <w:b/>
          <w:smallCaps/>
        </w:rPr>
      </w:pPr>
    </w:p>
    <w:p w:rsidR="00C43A96" w:rsidRDefault="00C43A96" w:rsidP="00C43A96">
      <w:pPr>
        <w:tabs>
          <w:tab w:val="left" w:pos="2160"/>
          <w:tab w:val="left" w:pos="2280"/>
        </w:tabs>
        <w:rPr>
          <w:rFonts w:ascii="Arial" w:hAnsi="Arial" w:cs="Arial"/>
          <w:b/>
          <w:smallCaps/>
        </w:rPr>
      </w:pPr>
      <w:r w:rsidRPr="00E6208A">
        <w:rPr>
          <w:rFonts w:ascii="Arial" w:hAnsi="Arial" w:cs="Arial"/>
          <w:b/>
          <w:smallCaps/>
        </w:rPr>
        <w:t>On Behalf of</w:t>
      </w:r>
      <w:r>
        <w:rPr>
          <w:rFonts w:ascii="Arial" w:hAnsi="Arial" w:cs="Arial"/>
          <w:b/>
          <w:smallCaps/>
        </w:rPr>
        <w:t xml:space="preserve"> Advanced Energy Economy Ohio</w:t>
      </w:r>
    </w:p>
    <w:p w:rsidR="00C43A96" w:rsidRDefault="00C43A96" w:rsidP="00C43A96">
      <w:pPr>
        <w:tabs>
          <w:tab w:val="left" w:pos="2160"/>
          <w:tab w:val="left" w:pos="2280"/>
        </w:tabs>
        <w:rPr>
          <w:rFonts w:ascii="Arial" w:hAnsi="Arial" w:cs="Arial"/>
        </w:rPr>
        <w:sectPr w:rsidR="00C43A96" w:rsidSect="00BB0A2B">
          <w:type w:val="continuous"/>
          <w:pgSz w:w="12240" w:h="15840" w:code="1"/>
          <w:pgMar w:top="1440" w:right="1440" w:bottom="1141" w:left="1440" w:header="720" w:footer="720" w:gutter="0"/>
          <w:pgNumType w:start="1"/>
          <w:cols w:num="2" w:space="720"/>
          <w:titlePg/>
          <w:docGrid w:linePitch="326"/>
        </w:sectPr>
      </w:pPr>
    </w:p>
    <w:p w:rsidR="00C43A96" w:rsidRDefault="00C43A96" w:rsidP="00C43A96">
      <w:pPr>
        <w:tabs>
          <w:tab w:val="left" w:pos="2160"/>
          <w:tab w:val="left" w:pos="2280"/>
        </w:tabs>
        <w:rPr>
          <w:rFonts w:ascii="Arial" w:hAnsi="Arial" w:cs="Arial"/>
        </w:rPr>
      </w:pPr>
      <w:r>
        <w:rPr>
          <w:rFonts w:ascii="Arial" w:hAnsi="Arial" w:cs="Arial"/>
        </w:rPr>
        <w:lastRenderedPageBreak/>
        <w:t>Christopher J. Allwein</w:t>
      </w:r>
    </w:p>
    <w:p w:rsidR="00C43A96" w:rsidRDefault="00C43A96" w:rsidP="00C43A96">
      <w:pPr>
        <w:tabs>
          <w:tab w:val="left" w:pos="2160"/>
          <w:tab w:val="left" w:pos="2280"/>
        </w:tabs>
        <w:rPr>
          <w:rFonts w:ascii="Arial" w:hAnsi="Arial" w:cs="Arial"/>
        </w:rPr>
      </w:pPr>
      <w:r>
        <w:rPr>
          <w:rFonts w:ascii="Arial" w:hAnsi="Arial" w:cs="Arial"/>
        </w:rPr>
        <w:t>Williams Allwein and Moser, LLC</w:t>
      </w:r>
    </w:p>
    <w:p w:rsidR="00C43A96" w:rsidRDefault="00C43A96" w:rsidP="00C43A96">
      <w:pPr>
        <w:tabs>
          <w:tab w:val="left" w:pos="2160"/>
          <w:tab w:val="left" w:pos="2280"/>
        </w:tabs>
        <w:rPr>
          <w:rFonts w:ascii="Arial" w:hAnsi="Arial" w:cs="Arial"/>
        </w:rPr>
      </w:pPr>
      <w:r>
        <w:rPr>
          <w:rFonts w:ascii="Arial" w:hAnsi="Arial" w:cs="Arial"/>
        </w:rPr>
        <w:t>1371 Grandview Ave., Suite 212</w:t>
      </w:r>
    </w:p>
    <w:p w:rsidR="00C43A96" w:rsidRDefault="00C43A96" w:rsidP="00C43A96">
      <w:pPr>
        <w:tabs>
          <w:tab w:val="left" w:pos="2160"/>
          <w:tab w:val="left" w:pos="2280"/>
        </w:tabs>
        <w:rPr>
          <w:rFonts w:ascii="Arial" w:hAnsi="Arial" w:cs="Arial"/>
        </w:rPr>
      </w:pPr>
      <w:r>
        <w:rPr>
          <w:rFonts w:ascii="Arial" w:hAnsi="Arial" w:cs="Arial"/>
        </w:rPr>
        <w:t>Columbus, OH  43212</w:t>
      </w:r>
    </w:p>
    <w:p w:rsidR="00C43A96" w:rsidRDefault="00C43A96" w:rsidP="00C43A96">
      <w:pPr>
        <w:tabs>
          <w:tab w:val="left" w:pos="2160"/>
          <w:tab w:val="left" w:pos="2280"/>
        </w:tabs>
        <w:rPr>
          <w:rFonts w:ascii="Arial" w:hAnsi="Arial" w:cs="Arial"/>
        </w:rPr>
      </w:pPr>
      <w:r w:rsidRPr="00E76A53">
        <w:rPr>
          <w:rFonts w:ascii="Arial" w:hAnsi="Arial" w:cs="Arial"/>
        </w:rPr>
        <w:t>callwein@wamenergylaw.com</w:t>
      </w:r>
    </w:p>
    <w:p w:rsidR="00C43A96" w:rsidRDefault="00C43A96" w:rsidP="00C43A96">
      <w:pPr>
        <w:tabs>
          <w:tab w:val="left" w:pos="2160"/>
          <w:tab w:val="left" w:pos="2280"/>
        </w:tabs>
        <w:rPr>
          <w:rFonts w:ascii="Arial" w:hAnsi="Arial" w:cs="Arial"/>
        </w:rPr>
      </w:pPr>
    </w:p>
    <w:p w:rsidR="00C43A96" w:rsidRDefault="00C43A96" w:rsidP="00C43A96">
      <w:pPr>
        <w:tabs>
          <w:tab w:val="left" w:pos="2160"/>
          <w:tab w:val="left" w:pos="2280"/>
        </w:tabs>
        <w:rPr>
          <w:rFonts w:ascii="Arial" w:hAnsi="Arial" w:cs="Arial"/>
        </w:rPr>
      </w:pPr>
      <w:r>
        <w:rPr>
          <w:rFonts w:ascii="Arial" w:hAnsi="Arial" w:cs="Arial"/>
        </w:rPr>
        <w:t>Manuel Somoza</w:t>
      </w:r>
    </w:p>
    <w:p w:rsidR="00C43A96" w:rsidRDefault="00C43A96" w:rsidP="00C43A96">
      <w:pPr>
        <w:tabs>
          <w:tab w:val="left" w:pos="2160"/>
          <w:tab w:val="left" w:pos="2280"/>
        </w:tabs>
        <w:rPr>
          <w:rFonts w:ascii="Arial" w:hAnsi="Arial" w:cs="Arial"/>
        </w:rPr>
      </w:pPr>
      <w:r>
        <w:rPr>
          <w:rFonts w:ascii="Arial" w:hAnsi="Arial" w:cs="Arial"/>
        </w:rPr>
        <w:t>Sierra Club</w:t>
      </w:r>
    </w:p>
    <w:p w:rsidR="00C43A96" w:rsidRDefault="00C43A96" w:rsidP="00C43A96">
      <w:pPr>
        <w:tabs>
          <w:tab w:val="left" w:pos="2160"/>
          <w:tab w:val="left" w:pos="2280"/>
        </w:tabs>
        <w:rPr>
          <w:rFonts w:ascii="Arial" w:hAnsi="Arial" w:cs="Arial"/>
        </w:rPr>
      </w:pPr>
      <w:r>
        <w:rPr>
          <w:rFonts w:ascii="Arial" w:hAnsi="Arial" w:cs="Arial"/>
        </w:rPr>
        <w:t>Environmental Law Program</w:t>
      </w:r>
    </w:p>
    <w:p w:rsidR="00C43A96" w:rsidRDefault="00C43A96" w:rsidP="00C43A96">
      <w:pPr>
        <w:tabs>
          <w:tab w:val="left" w:pos="2160"/>
          <w:tab w:val="left" w:pos="2280"/>
        </w:tabs>
        <w:rPr>
          <w:rFonts w:ascii="Arial" w:hAnsi="Arial" w:cs="Arial"/>
        </w:rPr>
      </w:pPr>
      <w:r>
        <w:rPr>
          <w:rFonts w:ascii="Arial" w:hAnsi="Arial" w:cs="Arial"/>
        </w:rPr>
        <w:t>85 Second Street, Second Floor</w:t>
      </w:r>
    </w:p>
    <w:p w:rsidR="00C43A96" w:rsidRDefault="00C43A96" w:rsidP="00C43A96">
      <w:pPr>
        <w:tabs>
          <w:tab w:val="left" w:pos="2160"/>
          <w:tab w:val="left" w:pos="2280"/>
        </w:tabs>
        <w:rPr>
          <w:rFonts w:ascii="Arial" w:hAnsi="Arial" w:cs="Arial"/>
        </w:rPr>
      </w:pPr>
      <w:r>
        <w:rPr>
          <w:rFonts w:ascii="Arial" w:hAnsi="Arial" w:cs="Arial"/>
        </w:rPr>
        <w:t>San Francisco, CA  94105-3459</w:t>
      </w:r>
    </w:p>
    <w:p w:rsidR="00C43A96" w:rsidRDefault="00C43A96" w:rsidP="00C43A96">
      <w:pPr>
        <w:tabs>
          <w:tab w:val="left" w:pos="2160"/>
          <w:tab w:val="left" w:pos="2280"/>
        </w:tabs>
        <w:rPr>
          <w:rFonts w:ascii="Arial" w:hAnsi="Arial" w:cs="Arial"/>
        </w:rPr>
      </w:pPr>
      <w:r>
        <w:rPr>
          <w:rFonts w:ascii="Arial" w:hAnsi="Arial" w:cs="Arial"/>
        </w:rPr>
        <w:t>manuel.somoza@sierraclub.org</w:t>
      </w:r>
    </w:p>
    <w:p w:rsidR="00C43A96" w:rsidRDefault="00C43A96" w:rsidP="00C43A96">
      <w:pPr>
        <w:tabs>
          <w:tab w:val="left" w:pos="2160"/>
          <w:tab w:val="left" w:pos="2280"/>
        </w:tabs>
        <w:rPr>
          <w:rFonts w:ascii="Arial" w:hAnsi="Arial" w:cs="Arial"/>
        </w:rPr>
      </w:pPr>
    </w:p>
    <w:p w:rsidR="00C43A96" w:rsidRDefault="00C43A96" w:rsidP="00C43A96">
      <w:pPr>
        <w:tabs>
          <w:tab w:val="left" w:pos="2160"/>
          <w:tab w:val="left" w:pos="2280"/>
        </w:tabs>
        <w:rPr>
          <w:rFonts w:ascii="Arial" w:hAnsi="Arial" w:cs="Arial"/>
        </w:rPr>
      </w:pPr>
      <w:r>
        <w:rPr>
          <w:rFonts w:ascii="Arial" w:hAnsi="Arial" w:cs="Arial"/>
        </w:rPr>
        <w:t>Rebecca J. Riley</w:t>
      </w:r>
    </w:p>
    <w:p w:rsidR="00C43A96" w:rsidRDefault="00C43A96" w:rsidP="00C43A96">
      <w:pPr>
        <w:tabs>
          <w:tab w:val="left" w:pos="2160"/>
          <w:tab w:val="left" w:pos="2280"/>
        </w:tabs>
        <w:rPr>
          <w:rFonts w:ascii="Arial" w:hAnsi="Arial" w:cs="Arial"/>
        </w:rPr>
      </w:pPr>
      <w:r>
        <w:rPr>
          <w:rFonts w:ascii="Arial" w:hAnsi="Arial" w:cs="Arial"/>
        </w:rPr>
        <w:t>Natural Resources Defense Council</w:t>
      </w:r>
    </w:p>
    <w:p w:rsidR="00C43A96" w:rsidRDefault="00C43A96" w:rsidP="00C43A96">
      <w:pPr>
        <w:tabs>
          <w:tab w:val="left" w:pos="2160"/>
          <w:tab w:val="left" w:pos="2280"/>
        </w:tabs>
        <w:rPr>
          <w:rFonts w:ascii="Arial" w:hAnsi="Arial" w:cs="Arial"/>
        </w:rPr>
      </w:pPr>
      <w:r>
        <w:rPr>
          <w:rFonts w:ascii="Arial" w:hAnsi="Arial" w:cs="Arial"/>
        </w:rPr>
        <w:t>2 N. Riverside Plaza, Suite 2250</w:t>
      </w:r>
    </w:p>
    <w:p w:rsidR="00C43A96" w:rsidRDefault="00C43A96" w:rsidP="00C43A96">
      <w:pPr>
        <w:tabs>
          <w:tab w:val="left" w:pos="2160"/>
          <w:tab w:val="left" w:pos="2280"/>
        </w:tabs>
        <w:rPr>
          <w:rFonts w:ascii="Arial" w:hAnsi="Arial" w:cs="Arial"/>
        </w:rPr>
      </w:pPr>
      <w:r>
        <w:rPr>
          <w:rFonts w:ascii="Arial" w:hAnsi="Arial" w:cs="Arial"/>
        </w:rPr>
        <w:t>Chicago, IL  60606</w:t>
      </w:r>
    </w:p>
    <w:p w:rsidR="00C43A96" w:rsidRDefault="00C43A96" w:rsidP="00C43A96">
      <w:pPr>
        <w:tabs>
          <w:tab w:val="left" w:pos="2160"/>
          <w:tab w:val="left" w:pos="2280"/>
        </w:tabs>
        <w:rPr>
          <w:rFonts w:ascii="Arial" w:hAnsi="Arial" w:cs="Arial"/>
        </w:rPr>
      </w:pPr>
      <w:r>
        <w:rPr>
          <w:rFonts w:ascii="Arial" w:hAnsi="Arial" w:cs="Arial"/>
        </w:rPr>
        <w:t>rriley@nrdc.org</w:t>
      </w:r>
    </w:p>
    <w:p w:rsidR="00C43A96" w:rsidRDefault="00C43A96" w:rsidP="00C43A96">
      <w:pPr>
        <w:tabs>
          <w:tab w:val="left" w:pos="2160"/>
          <w:tab w:val="left" w:pos="2280"/>
        </w:tabs>
        <w:rPr>
          <w:rFonts w:ascii="Arial" w:hAnsi="Arial" w:cs="Arial"/>
        </w:rPr>
      </w:pPr>
    </w:p>
    <w:p w:rsidR="00C43A96" w:rsidRPr="00E6208A" w:rsidRDefault="00C43A96" w:rsidP="00C43A96">
      <w:pPr>
        <w:tabs>
          <w:tab w:val="left" w:pos="2160"/>
          <w:tab w:val="left" w:pos="2280"/>
        </w:tabs>
        <w:rPr>
          <w:rFonts w:ascii="Arial" w:hAnsi="Arial" w:cs="Arial"/>
          <w:b/>
          <w:smallCaps/>
        </w:rPr>
      </w:pPr>
      <w:r w:rsidRPr="00E6208A">
        <w:rPr>
          <w:rFonts w:ascii="Arial" w:hAnsi="Arial" w:cs="Arial"/>
          <w:b/>
          <w:smallCaps/>
        </w:rPr>
        <w:t>On Behalf of the Sierra Club and The Natural Resources Defense Council</w:t>
      </w:r>
    </w:p>
    <w:p w:rsidR="00C43A96" w:rsidRDefault="00C43A96" w:rsidP="00C43A96">
      <w:pPr>
        <w:tabs>
          <w:tab w:val="left" w:pos="2160"/>
          <w:tab w:val="left" w:pos="2280"/>
        </w:tabs>
        <w:rPr>
          <w:rFonts w:ascii="Arial" w:hAnsi="Arial" w:cs="Arial"/>
        </w:rPr>
      </w:pPr>
    </w:p>
    <w:p w:rsidR="00C43A96" w:rsidRDefault="00C43A96" w:rsidP="00C43A96">
      <w:pPr>
        <w:tabs>
          <w:tab w:val="left" w:pos="2160"/>
          <w:tab w:val="left" w:pos="2280"/>
        </w:tabs>
        <w:rPr>
          <w:rFonts w:ascii="Arial" w:hAnsi="Arial" w:cs="Arial"/>
        </w:rPr>
      </w:pPr>
      <w:r>
        <w:rPr>
          <w:rFonts w:ascii="Arial" w:hAnsi="Arial" w:cs="Arial"/>
        </w:rPr>
        <w:t>Michael L. Kurtz</w:t>
      </w:r>
    </w:p>
    <w:p w:rsidR="00C43A96" w:rsidRDefault="00C43A96" w:rsidP="00C43A96">
      <w:pPr>
        <w:tabs>
          <w:tab w:val="left" w:pos="2160"/>
          <w:tab w:val="left" w:pos="2280"/>
        </w:tabs>
        <w:rPr>
          <w:rFonts w:ascii="Arial" w:hAnsi="Arial" w:cs="Arial"/>
        </w:rPr>
      </w:pPr>
      <w:r>
        <w:rPr>
          <w:rFonts w:ascii="Arial" w:hAnsi="Arial" w:cs="Arial"/>
        </w:rPr>
        <w:t>Kurt J. Boehm</w:t>
      </w:r>
    </w:p>
    <w:p w:rsidR="00C43A96" w:rsidRDefault="00C43A96" w:rsidP="00C43A96">
      <w:pPr>
        <w:tabs>
          <w:tab w:val="left" w:pos="2160"/>
          <w:tab w:val="left" w:pos="2280"/>
        </w:tabs>
        <w:rPr>
          <w:rFonts w:ascii="Arial" w:hAnsi="Arial" w:cs="Arial"/>
        </w:rPr>
      </w:pPr>
      <w:r>
        <w:rPr>
          <w:rFonts w:ascii="Arial" w:hAnsi="Arial" w:cs="Arial"/>
        </w:rPr>
        <w:t>Jody M. Kyler</w:t>
      </w:r>
    </w:p>
    <w:p w:rsidR="00C43A96" w:rsidRDefault="00C43A96" w:rsidP="00C43A96">
      <w:pPr>
        <w:tabs>
          <w:tab w:val="left" w:pos="2160"/>
          <w:tab w:val="left" w:pos="2280"/>
        </w:tabs>
        <w:rPr>
          <w:rFonts w:ascii="Arial" w:hAnsi="Arial" w:cs="Arial"/>
        </w:rPr>
      </w:pPr>
      <w:r>
        <w:rPr>
          <w:rFonts w:ascii="Arial" w:hAnsi="Arial" w:cs="Arial"/>
        </w:rPr>
        <w:t>Boehm, Kurtz &amp; Lowry</w:t>
      </w:r>
    </w:p>
    <w:p w:rsidR="00C43A96" w:rsidRDefault="00C43A96" w:rsidP="00C43A96">
      <w:pPr>
        <w:tabs>
          <w:tab w:val="left" w:pos="2160"/>
          <w:tab w:val="left" w:pos="2280"/>
        </w:tabs>
        <w:rPr>
          <w:rFonts w:ascii="Arial" w:hAnsi="Arial" w:cs="Arial"/>
        </w:rPr>
      </w:pPr>
      <w:r>
        <w:rPr>
          <w:rFonts w:ascii="Arial" w:hAnsi="Arial" w:cs="Arial"/>
        </w:rPr>
        <w:t>36 East Seventh Street, Suite 1510</w:t>
      </w:r>
    </w:p>
    <w:p w:rsidR="00C43A96" w:rsidRDefault="00C43A96" w:rsidP="00C43A96">
      <w:pPr>
        <w:tabs>
          <w:tab w:val="left" w:pos="2160"/>
          <w:tab w:val="left" w:pos="2280"/>
        </w:tabs>
        <w:rPr>
          <w:rFonts w:ascii="Arial" w:hAnsi="Arial" w:cs="Arial"/>
        </w:rPr>
      </w:pPr>
      <w:r>
        <w:rPr>
          <w:rFonts w:ascii="Arial" w:hAnsi="Arial" w:cs="Arial"/>
        </w:rPr>
        <w:t>Cincinnati, OH  45202</w:t>
      </w:r>
    </w:p>
    <w:p w:rsidR="00C43A96" w:rsidRDefault="00C43A96" w:rsidP="00C43A96">
      <w:pPr>
        <w:tabs>
          <w:tab w:val="left" w:pos="2160"/>
          <w:tab w:val="left" w:pos="2280"/>
        </w:tabs>
        <w:rPr>
          <w:rFonts w:ascii="Arial" w:hAnsi="Arial" w:cs="Arial"/>
        </w:rPr>
      </w:pPr>
      <w:r>
        <w:rPr>
          <w:rFonts w:ascii="Arial" w:hAnsi="Arial" w:cs="Arial"/>
        </w:rPr>
        <w:t>mkurtz@BKLlawfirm.com</w:t>
      </w:r>
    </w:p>
    <w:p w:rsidR="00C43A96" w:rsidRDefault="00C43A96" w:rsidP="00C43A96">
      <w:pPr>
        <w:tabs>
          <w:tab w:val="left" w:pos="2160"/>
          <w:tab w:val="left" w:pos="2280"/>
        </w:tabs>
        <w:rPr>
          <w:rFonts w:ascii="Arial" w:hAnsi="Arial" w:cs="Arial"/>
        </w:rPr>
      </w:pPr>
      <w:r>
        <w:rPr>
          <w:rFonts w:ascii="Arial" w:hAnsi="Arial" w:cs="Arial"/>
        </w:rPr>
        <w:t>kboehm@BKLlawfirm.com</w:t>
      </w:r>
    </w:p>
    <w:p w:rsidR="00C43A96" w:rsidRDefault="00C43A96" w:rsidP="00C43A96">
      <w:pPr>
        <w:tabs>
          <w:tab w:val="left" w:pos="2160"/>
          <w:tab w:val="left" w:pos="2280"/>
        </w:tabs>
        <w:rPr>
          <w:rFonts w:ascii="Arial" w:hAnsi="Arial" w:cs="Arial"/>
        </w:rPr>
      </w:pPr>
      <w:r w:rsidRPr="00E76A53">
        <w:rPr>
          <w:rFonts w:ascii="Arial" w:hAnsi="Arial" w:cs="Arial"/>
        </w:rPr>
        <w:t>jkyler@BKLlawfirm.com</w:t>
      </w:r>
    </w:p>
    <w:p w:rsidR="00C43A96" w:rsidRDefault="00C43A96" w:rsidP="00C43A96">
      <w:pPr>
        <w:tabs>
          <w:tab w:val="left" w:pos="2160"/>
          <w:tab w:val="left" w:pos="2280"/>
        </w:tabs>
        <w:rPr>
          <w:rFonts w:ascii="Arial" w:hAnsi="Arial" w:cs="Arial"/>
        </w:rPr>
      </w:pPr>
    </w:p>
    <w:p w:rsidR="00C43A96" w:rsidRPr="00E6208A" w:rsidRDefault="00C43A96" w:rsidP="00C43A96">
      <w:pPr>
        <w:tabs>
          <w:tab w:val="left" w:pos="2160"/>
          <w:tab w:val="left" w:pos="2280"/>
        </w:tabs>
        <w:rPr>
          <w:rFonts w:ascii="Arial" w:hAnsi="Arial" w:cs="Arial"/>
          <w:b/>
          <w:smallCaps/>
        </w:rPr>
      </w:pPr>
      <w:r w:rsidRPr="00E6208A">
        <w:rPr>
          <w:rFonts w:ascii="Arial" w:hAnsi="Arial" w:cs="Arial"/>
          <w:b/>
          <w:smallCaps/>
        </w:rPr>
        <w:t>On Behalf of the Ohio Energy Group</w:t>
      </w:r>
    </w:p>
    <w:p w:rsidR="00C43A96" w:rsidRDefault="00C43A96" w:rsidP="00C43A96">
      <w:pPr>
        <w:tabs>
          <w:tab w:val="left" w:pos="2160"/>
          <w:tab w:val="left" w:pos="2280"/>
        </w:tabs>
        <w:rPr>
          <w:rFonts w:ascii="Arial" w:hAnsi="Arial" w:cs="Arial"/>
        </w:rPr>
      </w:pPr>
    </w:p>
    <w:p w:rsidR="00C43A96" w:rsidRDefault="00C43A96" w:rsidP="00C43A96">
      <w:pPr>
        <w:tabs>
          <w:tab w:val="left" w:pos="2160"/>
          <w:tab w:val="left" w:pos="2280"/>
        </w:tabs>
        <w:rPr>
          <w:rFonts w:ascii="Arial" w:hAnsi="Arial" w:cs="Arial"/>
        </w:rPr>
      </w:pPr>
      <w:r>
        <w:rPr>
          <w:rFonts w:ascii="Arial" w:hAnsi="Arial" w:cs="Arial"/>
        </w:rPr>
        <w:t>Gregory J. Poulos</w:t>
      </w:r>
    </w:p>
    <w:p w:rsidR="00C43A96" w:rsidRDefault="00C43A96" w:rsidP="00C43A96">
      <w:pPr>
        <w:tabs>
          <w:tab w:val="left" w:pos="2160"/>
          <w:tab w:val="left" w:pos="2280"/>
        </w:tabs>
        <w:rPr>
          <w:rFonts w:ascii="Arial" w:hAnsi="Arial" w:cs="Arial"/>
        </w:rPr>
      </w:pPr>
      <w:r>
        <w:rPr>
          <w:rFonts w:ascii="Arial" w:hAnsi="Arial" w:cs="Arial"/>
        </w:rPr>
        <w:t>EnerNOC, Inc.</w:t>
      </w:r>
    </w:p>
    <w:p w:rsidR="00C43A96" w:rsidRDefault="00C43A96" w:rsidP="00C43A96">
      <w:pPr>
        <w:tabs>
          <w:tab w:val="left" w:pos="2160"/>
          <w:tab w:val="left" w:pos="2280"/>
        </w:tabs>
        <w:rPr>
          <w:rFonts w:ascii="Arial" w:hAnsi="Arial" w:cs="Arial"/>
        </w:rPr>
      </w:pPr>
      <w:r>
        <w:rPr>
          <w:rFonts w:ascii="Arial" w:hAnsi="Arial" w:cs="Arial"/>
        </w:rPr>
        <w:t>471 East Broad Street, Suite 1520</w:t>
      </w:r>
    </w:p>
    <w:p w:rsidR="00C43A96" w:rsidRDefault="00C43A96" w:rsidP="00C43A96">
      <w:pPr>
        <w:tabs>
          <w:tab w:val="left" w:pos="2160"/>
          <w:tab w:val="left" w:pos="2280"/>
        </w:tabs>
        <w:rPr>
          <w:rFonts w:ascii="Arial" w:hAnsi="Arial" w:cs="Arial"/>
        </w:rPr>
      </w:pPr>
      <w:r>
        <w:rPr>
          <w:rFonts w:ascii="Arial" w:hAnsi="Arial" w:cs="Arial"/>
        </w:rPr>
        <w:t>Columbus, OH  43215</w:t>
      </w:r>
    </w:p>
    <w:p w:rsidR="00C43A96" w:rsidRDefault="00C43A96" w:rsidP="00C43A96">
      <w:pPr>
        <w:tabs>
          <w:tab w:val="left" w:pos="2160"/>
          <w:tab w:val="left" w:pos="2280"/>
        </w:tabs>
        <w:rPr>
          <w:rFonts w:ascii="Arial" w:hAnsi="Arial" w:cs="Arial"/>
        </w:rPr>
      </w:pPr>
      <w:r>
        <w:rPr>
          <w:rFonts w:ascii="Arial" w:hAnsi="Arial" w:cs="Arial"/>
        </w:rPr>
        <w:t>gpoulos@enernoc.com</w:t>
      </w:r>
    </w:p>
    <w:p w:rsidR="00C43A96" w:rsidRDefault="00C43A96" w:rsidP="00C43A96">
      <w:pPr>
        <w:tabs>
          <w:tab w:val="left" w:pos="2160"/>
          <w:tab w:val="left" w:pos="2280"/>
        </w:tabs>
        <w:rPr>
          <w:rFonts w:ascii="Arial" w:hAnsi="Arial" w:cs="Arial"/>
          <w:b/>
          <w:smallCaps/>
        </w:rPr>
      </w:pPr>
    </w:p>
    <w:p w:rsidR="00C43A96" w:rsidRDefault="00C43A96" w:rsidP="00C43A96">
      <w:pPr>
        <w:tabs>
          <w:tab w:val="left" w:pos="2160"/>
          <w:tab w:val="left" w:pos="2280"/>
        </w:tabs>
        <w:rPr>
          <w:rFonts w:ascii="Arial" w:hAnsi="Arial" w:cs="Arial"/>
          <w:b/>
          <w:smallCaps/>
        </w:rPr>
      </w:pPr>
      <w:r w:rsidRPr="00E6208A">
        <w:rPr>
          <w:rFonts w:ascii="Arial" w:hAnsi="Arial" w:cs="Arial"/>
          <w:b/>
          <w:smallCaps/>
        </w:rPr>
        <w:t>On Behalf of</w:t>
      </w:r>
      <w:r>
        <w:rPr>
          <w:rFonts w:ascii="Arial" w:hAnsi="Arial" w:cs="Arial"/>
          <w:b/>
          <w:smallCaps/>
        </w:rPr>
        <w:t xml:space="preserve"> EnerNOC, Inc.</w:t>
      </w:r>
    </w:p>
    <w:p w:rsidR="00C43A96" w:rsidRDefault="00C43A96" w:rsidP="00C43A96">
      <w:pPr>
        <w:tabs>
          <w:tab w:val="left" w:pos="2160"/>
          <w:tab w:val="left" w:pos="2280"/>
        </w:tabs>
        <w:rPr>
          <w:rFonts w:ascii="Arial" w:hAnsi="Arial" w:cs="Arial"/>
        </w:rPr>
      </w:pPr>
      <w:r>
        <w:rPr>
          <w:rFonts w:ascii="Arial" w:hAnsi="Arial" w:cs="Arial"/>
        </w:rPr>
        <w:br w:type="column"/>
      </w:r>
      <w:r>
        <w:rPr>
          <w:rFonts w:ascii="Arial" w:hAnsi="Arial" w:cs="Arial"/>
        </w:rPr>
        <w:lastRenderedPageBreak/>
        <w:t>Justin Vickers</w:t>
      </w:r>
    </w:p>
    <w:p w:rsidR="00C43A96" w:rsidRDefault="00C43A96" w:rsidP="00C43A96">
      <w:pPr>
        <w:tabs>
          <w:tab w:val="left" w:pos="2160"/>
          <w:tab w:val="left" w:pos="2280"/>
        </w:tabs>
        <w:rPr>
          <w:rFonts w:ascii="Arial" w:hAnsi="Arial" w:cs="Arial"/>
        </w:rPr>
      </w:pPr>
      <w:r>
        <w:rPr>
          <w:rFonts w:ascii="Arial" w:hAnsi="Arial" w:cs="Arial"/>
        </w:rPr>
        <w:t>Robert Kelter</w:t>
      </w:r>
    </w:p>
    <w:p w:rsidR="00C43A96" w:rsidRDefault="00C43A96" w:rsidP="00C43A96">
      <w:pPr>
        <w:tabs>
          <w:tab w:val="left" w:pos="2160"/>
          <w:tab w:val="left" w:pos="2280"/>
        </w:tabs>
        <w:rPr>
          <w:rFonts w:ascii="Arial" w:hAnsi="Arial" w:cs="Arial"/>
        </w:rPr>
      </w:pPr>
      <w:r>
        <w:rPr>
          <w:rFonts w:ascii="Arial" w:hAnsi="Arial" w:cs="Arial"/>
        </w:rPr>
        <w:t>Environmental Law &amp; Policy Center</w:t>
      </w:r>
    </w:p>
    <w:p w:rsidR="00C43A96" w:rsidRDefault="00C43A96" w:rsidP="00C43A96">
      <w:pPr>
        <w:tabs>
          <w:tab w:val="left" w:pos="2160"/>
          <w:tab w:val="left" w:pos="2280"/>
        </w:tabs>
        <w:rPr>
          <w:rFonts w:ascii="Arial" w:hAnsi="Arial" w:cs="Arial"/>
        </w:rPr>
      </w:pPr>
      <w:r>
        <w:rPr>
          <w:rFonts w:ascii="Arial" w:hAnsi="Arial" w:cs="Arial"/>
        </w:rPr>
        <w:t>35 East Wacker Drive, Suite 1600</w:t>
      </w:r>
    </w:p>
    <w:p w:rsidR="00C43A96" w:rsidRDefault="00C43A96" w:rsidP="00C43A96">
      <w:pPr>
        <w:tabs>
          <w:tab w:val="left" w:pos="2160"/>
          <w:tab w:val="left" w:pos="2280"/>
        </w:tabs>
        <w:rPr>
          <w:rFonts w:ascii="Arial" w:hAnsi="Arial" w:cs="Arial"/>
        </w:rPr>
      </w:pPr>
      <w:r>
        <w:rPr>
          <w:rFonts w:ascii="Arial" w:hAnsi="Arial" w:cs="Arial"/>
        </w:rPr>
        <w:t>Chicago, IL  60601-2110</w:t>
      </w:r>
    </w:p>
    <w:p w:rsidR="00C43A96" w:rsidRDefault="00C43A96" w:rsidP="00C43A96">
      <w:pPr>
        <w:tabs>
          <w:tab w:val="left" w:pos="2160"/>
          <w:tab w:val="left" w:pos="2280"/>
        </w:tabs>
        <w:rPr>
          <w:rFonts w:ascii="Arial" w:hAnsi="Arial" w:cs="Arial"/>
        </w:rPr>
      </w:pPr>
      <w:r w:rsidRPr="00E76A53">
        <w:rPr>
          <w:rFonts w:ascii="Arial" w:hAnsi="Arial" w:cs="Arial"/>
        </w:rPr>
        <w:t>jvickers@elpc.org</w:t>
      </w:r>
    </w:p>
    <w:p w:rsidR="00C43A96" w:rsidRDefault="00C43A96" w:rsidP="00C43A96">
      <w:pPr>
        <w:tabs>
          <w:tab w:val="left" w:pos="2160"/>
          <w:tab w:val="left" w:pos="2280"/>
        </w:tabs>
        <w:rPr>
          <w:rFonts w:ascii="Arial" w:hAnsi="Arial" w:cs="Arial"/>
        </w:rPr>
      </w:pPr>
      <w:r>
        <w:rPr>
          <w:rFonts w:ascii="Arial" w:hAnsi="Arial" w:cs="Arial"/>
        </w:rPr>
        <w:t>rkelter@elpc.org</w:t>
      </w:r>
    </w:p>
    <w:p w:rsidR="00C43A96" w:rsidRDefault="00C43A96" w:rsidP="00C43A96">
      <w:pPr>
        <w:tabs>
          <w:tab w:val="left" w:pos="2160"/>
          <w:tab w:val="left" w:pos="2280"/>
        </w:tabs>
        <w:rPr>
          <w:rFonts w:ascii="Arial" w:hAnsi="Arial" w:cs="Arial"/>
        </w:rPr>
      </w:pPr>
    </w:p>
    <w:p w:rsidR="00C43A96" w:rsidRDefault="00C43A96" w:rsidP="00C43A96">
      <w:pPr>
        <w:tabs>
          <w:tab w:val="left" w:pos="2160"/>
          <w:tab w:val="left" w:pos="2280"/>
        </w:tabs>
        <w:rPr>
          <w:rFonts w:ascii="Arial" w:hAnsi="Arial" w:cs="Arial"/>
        </w:rPr>
      </w:pPr>
      <w:r>
        <w:rPr>
          <w:rFonts w:ascii="Arial" w:hAnsi="Arial" w:cs="Arial"/>
        </w:rPr>
        <w:t>Nicholas McDaniel</w:t>
      </w:r>
    </w:p>
    <w:p w:rsidR="00C43A96" w:rsidRDefault="00C43A96" w:rsidP="00C43A96">
      <w:pPr>
        <w:tabs>
          <w:tab w:val="left" w:pos="2160"/>
          <w:tab w:val="left" w:pos="2280"/>
        </w:tabs>
        <w:rPr>
          <w:rFonts w:ascii="Arial" w:hAnsi="Arial" w:cs="Arial"/>
        </w:rPr>
      </w:pPr>
      <w:r>
        <w:rPr>
          <w:rFonts w:ascii="Arial" w:hAnsi="Arial" w:cs="Arial"/>
        </w:rPr>
        <w:t>Trent A. Dougherty</w:t>
      </w:r>
    </w:p>
    <w:p w:rsidR="00C43A96" w:rsidRDefault="00C43A96" w:rsidP="00C43A96">
      <w:pPr>
        <w:tabs>
          <w:tab w:val="left" w:pos="2160"/>
          <w:tab w:val="left" w:pos="2280"/>
        </w:tabs>
        <w:rPr>
          <w:rFonts w:ascii="Arial" w:hAnsi="Arial" w:cs="Arial"/>
        </w:rPr>
      </w:pPr>
      <w:r>
        <w:rPr>
          <w:rFonts w:ascii="Arial" w:hAnsi="Arial" w:cs="Arial"/>
        </w:rPr>
        <w:t>Environmental Law &amp; Policy Center</w:t>
      </w:r>
    </w:p>
    <w:p w:rsidR="00C43A96" w:rsidRDefault="00C43A96" w:rsidP="00C43A96">
      <w:pPr>
        <w:tabs>
          <w:tab w:val="left" w:pos="2160"/>
          <w:tab w:val="left" w:pos="2280"/>
        </w:tabs>
        <w:rPr>
          <w:rFonts w:ascii="Arial" w:hAnsi="Arial" w:cs="Arial"/>
        </w:rPr>
      </w:pPr>
      <w:r>
        <w:rPr>
          <w:rFonts w:ascii="Arial" w:hAnsi="Arial" w:cs="Arial"/>
        </w:rPr>
        <w:t>1207 Grandview Avenue, Suite 201</w:t>
      </w:r>
    </w:p>
    <w:p w:rsidR="00C43A96" w:rsidRDefault="00C43A96" w:rsidP="00C43A96">
      <w:pPr>
        <w:tabs>
          <w:tab w:val="left" w:pos="2160"/>
          <w:tab w:val="left" w:pos="2280"/>
        </w:tabs>
        <w:rPr>
          <w:rFonts w:ascii="Arial" w:hAnsi="Arial" w:cs="Arial"/>
        </w:rPr>
      </w:pPr>
      <w:r>
        <w:rPr>
          <w:rFonts w:ascii="Arial" w:hAnsi="Arial" w:cs="Arial"/>
        </w:rPr>
        <w:t>Columbus, OH  43212</w:t>
      </w:r>
    </w:p>
    <w:p w:rsidR="00C43A96" w:rsidRDefault="00C43A96" w:rsidP="00C43A96">
      <w:pPr>
        <w:tabs>
          <w:tab w:val="left" w:pos="2160"/>
          <w:tab w:val="left" w:pos="2280"/>
        </w:tabs>
        <w:rPr>
          <w:rFonts w:ascii="Arial" w:hAnsi="Arial" w:cs="Arial"/>
        </w:rPr>
      </w:pPr>
      <w:r>
        <w:rPr>
          <w:rFonts w:ascii="Arial" w:hAnsi="Arial" w:cs="Arial"/>
        </w:rPr>
        <w:t>nmcdaniel@elpc.org</w:t>
      </w:r>
    </w:p>
    <w:p w:rsidR="00C43A96" w:rsidRDefault="00C43A96" w:rsidP="00C43A96">
      <w:pPr>
        <w:tabs>
          <w:tab w:val="left" w:pos="2160"/>
          <w:tab w:val="left" w:pos="2280"/>
        </w:tabs>
        <w:rPr>
          <w:rFonts w:ascii="Arial" w:hAnsi="Arial" w:cs="Arial"/>
        </w:rPr>
      </w:pPr>
      <w:r>
        <w:rPr>
          <w:rFonts w:ascii="Arial" w:hAnsi="Arial" w:cs="Arial"/>
        </w:rPr>
        <w:t>trent@theoec.org</w:t>
      </w:r>
    </w:p>
    <w:p w:rsidR="00C43A96" w:rsidRDefault="00C43A96" w:rsidP="00C43A96">
      <w:pPr>
        <w:tabs>
          <w:tab w:val="left" w:pos="2160"/>
          <w:tab w:val="left" w:pos="2280"/>
        </w:tabs>
        <w:rPr>
          <w:rFonts w:ascii="Arial" w:hAnsi="Arial" w:cs="Arial"/>
        </w:rPr>
      </w:pPr>
    </w:p>
    <w:p w:rsidR="00C43A96" w:rsidRPr="00E6208A" w:rsidRDefault="00C43A96" w:rsidP="00C43A96">
      <w:pPr>
        <w:tabs>
          <w:tab w:val="left" w:pos="2160"/>
          <w:tab w:val="left" w:pos="2280"/>
        </w:tabs>
        <w:rPr>
          <w:rFonts w:ascii="Arial" w:hAnsi="Arial" w:cs="Arial"/>
          <w:b/>
          <w:smallCaps/>
        </w:rPr>
      </w:pPr>
      <w:r w:rsidRPr="00E6208A">
        <w:rPr>
          <w:rFonts w:ascii="Arial" w:hAnsi="Arial" w:cs="Arial"/>
          <w:b/>
          <w:smallCaps/>
        </w:rPr>
        <w:t>On Behalf of the Environmental Law &amp; Policy Center</w:t>
      </w:r>
      <w:r>
        <w:rPr>
          <w:rFonts w:ascii="Arial" w:hAnsi="Arial" w:cs="Arial"/>
          <w:b/>
          <w:smallCaps/>
        </w:rPr>
        <w:t xml:space="preserve"> and Ohio Environmental Council</w:t>
      </w:r>
    </w:p>
    <w:p w:rsidR="00C43A96" w:rsidRDefault="00C43A96" w:rsidP="00C43A96">
      <w:pPr>
        <w:tabs>
          <w:tab w:val="left" w:pos="2160"/>
          <w:tab w:val="left" w:pos="2280"/>
        </w:tabs>
        <w:rPr>
          <w:rFonts w:ascii="Arial" w:hAnsi="Arial" w:cs="Arial"/>
        </w:rPr>
      </w:pPr>
    </w:p>
    <w:p w:rsidR="00C43A96" w:rsidRDefault="00C43A96" w:rsidP="00C43A96">
      <w:pPr>
        <w:tabs>
          <w:tab w:val="left" w:pos="2160"/>
          <w:tab w:val="left" w:pos="2280"/>
        </w:tabs>
        <w:rPr>
          <w:rFonts w:ascii="Arial" w:hAnsi="Arial" w:cs="Arial"/>
        </w:rPr>
      </w:pPr>
      <w:r>
        <w:rPr>
          <w:rFonts w:ascii="Arial" w:hAnsi="Arial" w:cs="Arial"/>
        </w:rPr>
        <w:t>Bruce J. Weston</w:t>
      </w:r>
    </w:p>
    <w:p w:rsidR="00C43A96" w:rsidRDefault="00C43A96" w:rsidP="00C43A96">
      <w:pPr>
        <w:tabs>
          <w:tab w:val="left" w:pos="2160"/>
          <w:tab w:val="left" w:pos="2280"/>
        </w:tabs>
        <w:rPr>
          <w:rFonts w:ascii="Arial" w:hAnsi="Arial" w:cs="Arial"/>
        </w:rPr>
      </w:pPr>
      <w:r>
        <w:rPr>
          <w:rFonts w:ascii="Arial" w:hAnsi="Arial" w:cs="Arial"/>
        </w:rPr>
        <w:t>Ohio Consumers’ Counsel</w:t>
      </w:r>
    </w:p>
    <w:p w:rsidR="00C43A96" w:rsidRDefault="00C43A96" w:rsidP="00C43A96">
      <w:pPr>
        <w:tabs>
          <w:tab w:val="left" w:pos="2160"/>
          <w:tab w:val="left" w:pos="2280"/>
        </w:tabs>
        <w:rPr>
          <w:rFonts w:ascii="Arial" w:hAnsi="Arial" w:cs="Arial"/>
        </w:rPr>
      </w:pPr>
    </w:p>
    <w:p w:rsidR="00C43A96" w:rsidRDefault="00C43A96" w:rsidP="00C43A96">
      <w:pPr>
        <w:tabs>
          <w:tab w:val="left" w:pos="2160"/>
          <w:tab w:val="left" w:pos="2280"/>
        </w:tabs>
        <w:rPr>
          <w:rFonts w:ascii="Arial" w:hAnsi="Arial" w:cs="Arial"/>
        </w:rPr>
      </w:pPr>
      <w:r>
        <w:rPr>
          <w:rFonts w:ascii="Arial" w:hAnsi="Arial" w:cs="Arial"/>
        </w:rPr>
        <w:t>Kyle L. Kern</w:t>
      </w:r>
    </w:p>
    <w:p w:rsidR="00C43A96" w:rsidRDefault="00C43A96" w:rsidP="00C43A96">
      <w:pPr>
        <w:tabs>
          <w:tab w:val="left" w:pos="2160"/>
          <w:tab w:val="left" w:pos="2280"/>
        </w:tabs>
        <w:rPr>
          <w:rFonts w:ascii="Arial" w:hAnsi="Arial" w:cs="Arial"/>
        </w:rPr>
      </w:pPr>
      <w:r>
        <w:rPr>
          <w:rFonts w:ascii="Arial" w:hAnsi="Arial" w:cs="Arial"/>
        </w:rPr>
        <w:t>Assistant Consumers’ Counsel</w:t>
      </w:r>
    </w:p>
    <w:p w:rsidR="00C43A96" w:rsidRDefault="00C43A96" w:rsidP="00C43A96">
      <w:pPr>
        <w:tabs>
          <w:tab w:val="left" w:pos="2160"/>
          <w:tab w:val="left" w:pos="2280"/>
        </w:tabs>
        <w:rPr>
          <w:rFonts w:ascii="Arial" w:hAnsi="Arial" w:cs="Arial"/>
        </w:rPr>
      </w:pPr>
      <w:r>
        <w:rPr>
          <w:rFonts w:ascii="Arial" w:hAnsi="Arial" w:cs="Arial"/>
        </w:rPr>
        <w:t>10 West Broad Street, Suite 1800</w:t>
      </w:r>
    </w:p>
    <w:p w:rsidR="00C43A96" w:rsidRDefault="00C43A96" w:rsidP="00C43A96">
      <w:pPr>
        <w:tabs>
          <w:tab w:val="left" w:pos="2160"/>
          <w:tab w:val="left" w:pos="2280"/>
        </w:tabs>
        <w:rPr>
          <w:rFonts w:ascii="Arial" w:hAnsi="Arial" w:cs="Arial"/>
        </w:rPr>
      </w:pPr>
      <w:r>
        <w:rPr>
          <w:rFonts w:ascii="Arial" w:hAnsi="Arial" w:cs="Arial"/>
        </w:rPr>
        <w:t>Columbus, OH  43215-3485</w:t>
      </w:r>
    </w:p>
    <w:p w:rsidR="00C43A96" w:rsidRDefault="00C43A96" w:rsidP="00C43A96">
      <w:pPr>
        <w:tabs>
          <w:tab w:val="left" w:pos="2160"/>
          <w:tab w:val="left" w:pos="2280"/>
        </w:tabs>
        <w:rPr>
          <w:rFonts w:ascii="Arial" w:hAnsi="Arial" w:cs="Arial"/>
        </w:rPr>
      </w:pPr>
      <w:r w:rsidRPr="00E76A53">
        <w:rPr>
          <w:rFonts w:ascii="Arial" w:hAnsi="Arial" w:cs="Arial"/>
        </w:rPr>
        <w:t>kern@occ.state.oh.us</w:t>
      </w:r>
    </w:p>
    <w:p w:rsidR="00C43A96" w:rsidRDefault="00C43A96" w:rsidP="00C43A96">
      <w:pPr>
        <w:tabs>
          <w:tab w:val="left" w:pos="2160"/>
          <w:tab w:val="left" w:pos="2280"/>
        </w:tabs>
        <w:rPr>
          <w:rFonts w:ascii="Arial" w:hAnsi="Arial" w:cs="Arial"/>
        </w:rPr>
      </w:pPr>
    </w:p>
    <w:p w:rsidR="00C43A96" w:rsidRDefault="00C43A96" w:rsidP="00C43A96">
      <w:pPr>
        <w:tabs>
          <w:tab w:val="left" w:pos="2160"/>
          <w:tab w:val="left" w:pos="2280"/>
        </w:tabs>
        <w:rPr>
          <w:rFonts w:ascii="Arial" w:hAnsi="Arial" w:cs="Arial"/>
          <w:b/>
          <w:smallCaps/>
        </w:rPr>
      </w:pPr>
      <w:r w:rsidRPr="00E6208A">
        <w:rPr>
          <w:rFonts w:ascii="Arial" w:hAnsi="Arial" w:cs="Arial"/>
          <w:b/>
          <w:smallCaps/>
        </w:rPr>
        <w:t>On Behalf of The Office of the Ohio Consumers’ Counsel</w:t>
      </w:r>
    </w:p>
    <w:p w:rsidR="00C43A96" w:rsidRDefault="00C43A96" w:rsidP="00C43A96">
      <w:pPr>
        <w:tabs>
          <w:tab w:val="left" w:pos="2160"/>
          <w:tab w:val="left" w:pos="2280"/>
        </w:tabs>
        <w:rPr>
          <w:rFonts w:ascii="Arial" w:hAnsi="Arial" w:cs="Arial"/>
        </w:rPr>
      </w:pPr>
    </w:p>
    <w:p w:rsidR="00C43A96" w:rsidRDefault="00C43A96" w:rsidP="00C43A96">
      <w:pPr>
        <w:tabs>
          <w:tab w:val="left" w:pos="2160"/>
          <w:tab w:val="left" w:pos="2280"/>
        </w:tabs>
        <w:rPr>
          <w:rFonts w:ascii="Arial" w:hAnsi="Arial" w:cs="Arial"/>
        </w:rPr>
      </w:pPr>
      <w:r>
        <w:rPr>
          <w:rFonts w:ascii="Arial" w:hAnsi="Arial" w:cs="Arial"/>
        </w:rPr>
        <w:t>Theodore S. Robinson</w:t>
      </w:r>
    </w:p>
    <w:p w:rsidR="00C43A96" w:rsidRDefault="00C43A96" w:rsidP="00C43A96">
      <w:pPr>
        <w:tabs>
          <w:tab w:val="left" w:pos="2160"/>
          <w:tab w:val="left" w:pos="2280"/>
        </w:tabs>
        <w:rPr>
          <w:rFonts w:ascii="Arial" w:hAnsi="Arial" w:cs="Arial"/>
        </w:rPr>
      </w:pPr>
      <w:r>
        <w:rPr>
          <w:rFonts w:ascii="Arial" w:hAnsi="Arial" w:cs="Arial"/>
        </w:rPr>
        <w:t>Citizen Power</w:t>
      </w:r>
    </w:p>
    <w:p w:rsidR="00C43A96" w:rsidRDefault="00C43A96" w:rsidP="00C43A96">
      <w:pPr>
        <w:tabs>
          <w:tab w:val="left" w:pos="2160"/>
          <w:tab w:val="left" w:pos="2280"/>
        </w:tabs>
        <w:rPr>
          <w:rFonts w:ascii="Arial" w:hAnsi="Arial" w:cs="Arial"/>
        </w:rPr>
      </w:pPr>
      <w:r>
        <w:rPr>
          <w:rFonts w:ascii="Arial" w:hAnsi="Arial" w:cs="Arial"/>
        </w:rPr>
        <w:t>2121 Murray Ave.</w:t>
      </w:r>
    </w:p>
    <w:p w:rsidR="00C43A96" w:rsidRDefault="00C43A96" w:rsidP="00C43A96">
      <w:pPr>
        <w:tabs>
          <w:tab w:val="left" w:pos="2160"/>
          <w:tab w:val="left" w:pos="2280"/>
        </w:tabs>
        <w:rPr>
          <w:rFonts w:ascii="Arial" w:hAnsi="Arial" w:cs="Arial"/>
        </w:rPr>
      </w:pPr>
      <w:r>
        <w:rPr>
          <w:rFonts w:ascii="Arial" w:hAnsi="Arial" w:cs="Arial"/>
        </w:rPr>
        <w:t>Pittsburgh, PA  15217</w:t>
      </w:r>
    </w:p>
    <w:p w:rsidR="00C43A96" w:rsidRDefault="00C43A96" w:rsidP="00C43A96">
      <w:pPr>
        <w:tabs>
          <w:tab w:val="left" w:pos="2160"/>
          <w:tab w:val="left" w:pos="2280"/>
        </w:tabs>
        <w:rPr>
          <w:rFonts w:ascii="Arial" w:hAnsi="Arial" w:cs="Arial"/>
        </w:rPr>
      </w:pPr>
      <w:r w:rsidRPr="00EF0599">
        <w:rPr>
          <w:rFonts w:ascii="Arial" w:hAnsi="Arial" w:cs="Arial"/>
        </w:rPr>
        <w:t>robinson@citizenpower.com</w:t>
      </w:r>
    </w:p>
    <w:p w:rsidR="00C43A96" w:rsidRDefault="00C43A96" w:rsidP="00C43A96">
      <w:pPr>
        <w:tabs>
          <w:tab w:val="left" w:pos="2160"/>
          <w:tab w:val="left" w:pos="2280"/>
        </w:tabs>
        <w:rPr>
          <w:rFonts w:ascii="Arial" w:hAnsi="Arial" w:cs="Arial"/>
        </w:rPr>
      </w:pPr>
    </w:p>
    <w:p w:rsidR="00C43A96" w:rsidRPr="00EF0599" w:rsidRDefault="00C43A96" w:rsidP="00C43A96">
      <w:pPr>
        <w:tabs>
          <w:tab w:val="left" w:pos="2160"/>
          <w:tab w:val="left" w:pos="2280"/>
        </w:tabs>
        <w:rPr>
          <w:rFonts w:ascii="Arial" w:hAnsi="Arial" w:cs="Arial"/>
          <w:b/>
          <w:smallCaps/>
        </w:rPr>
      </w:pPr>
      <w:r>
        <w:rPr>
          <w:rFonts w:ascii="Arial" w:hAnsi="Arial" w:cs="Arial"/>
          <w:b/>
          <w:smallCaps/>
        </w:rPr>
        <w:t>On Behalf of Citizen Power</w:t>
      </w:r>
    </w:p>
    <w:p w:rsidR="00C43A96" w:rsidRDefault="00C43A96" w:rsidP="00C43A96">
      <w:pPr>
        <w:tabs>
          <w:tab w:val="left" w:pos="2160"/>
          <w:tab w:val="left" w:pos="2280"/>
        </w:tabs>
        <w:rPr>
          <w:rFonts w:ascii="Arial" w:hAnsi="Arial" w:cs="Arial"/>
        </w:rPr>
        <w:sectPr w:rsidR="00C43A96" w:rsidSect="002C4EDE">
          <w:pgSz w:w="12240" w:h="15840" w:code="1"/>
          <w:pgMar w:top="1440" w:right="1440" w:bottom="1141" w:left="1440" w:header="720" w:footer="720" w:gutter="0"/>
          <w:pgNumType w:start="1"/>
          <w:cols w:num="2" w:space="720"/>
          <w:titlePg/>
          <w:docGrid w:linePitch="326"/>
        </w:sectPr>
      </w:pPr>
    </w:p>
    <w:p w:rsidR="00C43A96" w:rsidRDefault="00C43A96" w:rsidP="00C43A96">
      <w:pPr>
        <w:tabs>
          <w:tab w:val="left" w:pos="2160"/>
          <w:tab w:val="left" w:pos="2280"/>
        </w:tabs>
        <w:rPr>
          <w:rFonts w:ascii="Arial" w:hAnsi="Arial" w:cs="Arial"/>
        </w:rPr>
      </w:pPr>
      <w:r>
        <w:rPr>
          <w:rFonts w:ascii="Arial" w:hAnsi="Arial" w:cs="Arial"/>
        </w:rPr>
        <w:lastRenderedPageBreak/>
        <w:t>Michael K. Lavanga</w:t>
      </w:r>
    </w:p>
    <w:p w:rsidR="00C43A96" w:rsidRDefault="00C43A96" w:rsidP="00C43A96">
      <w:pPr>
        <w:tabs>
          <w:tab w:val="left" w:pos="2160"/>
          <w:tab w:val="left" w:pos="2280"/>
        </w:tabs>
        <w:rPr>
          <w:rFonts w:ascii="Arial" w:hAnsi="Arial" w:cs="Arial"/>
        </w:rPr>
      </w:pPr>
      <w:r>
        <w:rPr>
          <w:rFonts w:ascii="Arial" w:hAnsi="Arial" w:cs="Arial"/>
        </w:rPr>
        <w:t>Brickfield, Burchette, Ritts &amp; Stone, P.C.</w:t>
      </w:r>
    </w:p>
    <w:p w:rsidR="00C43A96" w:rsidRDefault="00C43A96" w:rsidP="00C43A96">
      <w:pPr>
        <w:tabs>
          <w:tab w:val="left" w:pos="2160"/>
          <w:tab w:val="left" w:pos="2280"/>
        </w:tabs>
        <w:rPr>
          <w:rFonts w:ascii="Arial" w:hAnsi="Arial" w:cs="Arial"/>
        </w:rPr>
      </w:pPr>
      <w:r>
        <w:rPr>
          <w:rFonts w:ascii="Arial" w:hAnsi="Arial" w:cs="Arial"/>
        </w:rPr>
        <w:t>1025 Thomas Jefferson Street, N.W.</w:t>
      </w:r>
    </w:p>
    <w:p w:rsidR="00C43A96" w:rsidRDefault="00C43A96" w:rsidP="00C43A96">
      <w:pPr>
        <w:tabs>
          <w:tab w:val="left" w:pos="2160"/>
          <w:tab w:val="left" w:pos="2280"/>
        </w:tabs>
        <w:rPr>
          <w:rFonts w:ascii="Arial" w:hAnsi="Arial" w:cs="Arial"/>
        </w:rPr>
      </w:pPr>
      <w:r>
        <w:rPr>
          <w:rFonts w:ascii="Arial" w:hAnsi="Arial" w:cs="Arial"/>
        </w:rPr>
        <w:t>8</w:t>
      </w:r>
      <w:r w:rsidRPr="00ED22CC">
        <w:rPr>
          <w:rFonts w:ascii="Arial" w:hAnsi="Arial" w:cs="Arial"/>
          <w:vertAlign w:val="superscript"/>
        </w:rPr>
        <w:t>th</w:t>
      </w:r>
      <w:r>
        <w:rPr>
          <w:rFonts w:ascii="Arial" w:hAnsi="Arial" w:cs="Arial"/>
        </w:rPr>
        <w:t xml:space="preserve"> Floor, West Tower</w:t>
      </w:r>
    </w:p>
    <w:p w:rsidR="00C43A96" w:rsidRDefault="00C43A96" w:rsidP="00C43A96">
      <w:pPr>
        <w:tabs>
          <w:tab w:val="left" w:pos="2160"/>
          <w:tab w:val="left" w:pos="2280"/>
        </w:tabs>
        <w:rPr>
          <w:rFonts w:ascii="Arial" w:hAnsi="Arial" w:cs="Arial"/>
        </w:rPr>
      </w:pPr>
      <w:r>
        <w:rPr>
          <w:rFonts w:ascii="Arial" w:hAnsi="Arial" w:cs="Arial"/>
        </w:rPr>
        <w:t>Washington, DC 20007</w:t>
      </w:r>
    </w:p>
    <w:p w:rsidR="00C43A96" w:rsidRDefault="00C43A96" w:rsidP="00C43A96">
      <w:pPr>
        <w:tabs>
          <w:tab w:val="left" w:pos="2160"/>
          <w:tab w:val="left" w:pos="2280"/>
        </w:tabs>
        <w:rPr>
          <w:rFonts w:ascii="Arial" w:hAnsi="Arial" w:cs="Arial"/>
        </w:rPr>
      </w:pPr>
      <w:r>
        <w:rPr>
          <w:rFonts w:ascii="Arial" w:hAnsi="Arial" w:cs="Arial"/>
        </w:rPr>
        <w:t>mkl@bbrslaw.com</w:t>
      </w:r>
    </w:p>
    <w:p w:rsidR="00C43A96" w:rsidRDefault="00C43A96" w:rsidP="00C43A96">
      <w:pPr>
        <w:tabs>
          <w:tab w:val="left" w:pos="2160"/>
          <w:tab w:val="left" w:pos="2280"/>
        </w:tabs>
        <w:rPr>
          <w:rFonts w:ascii="Arial" w:hAnsi="Arial" w:cs="Arial"/>
        </w:rPr>
      </w:pPr>
    </w:p>
    <w:p w:rsidR="00C43A96" w:rsidRDefault="00C43A96" w:rsidP="00C43A96">
      <w:pPr>
        <w:tabs>
          <w:tab w:val="left" w:pos="2160"/>
          <w:tab w:val="left" w:pos="2280"/>
        </w:tabs>
        <w:rPr>
          <w:rFonts w:ascii="Arial" w:hAnsi="Arial" w:cs="Arial"/>
          <w:b/>
          <w:smallCaps/>
        </w:rPr>
      </w:pPr>
      <w:r>
        <w:rPr>
          <w:rFonts w:ascii="Arial" w:hAnsi="Arial" w:cs="Arial"/>
          <w:b/>
          <w:smallCaps/>
        </w:rPr>
        <w:t>On Behalf of Nucor Steel Marion, Inc.</w:t>
      </w:r>
    </w:p>
    <w:p w:rsidR="00C43A96" w:rsidRDefault="00C43A96" w:rsidP="00C43A96">
      <w:pPr>
        <w:tabs>
          <w:tab w:val="left" w:pos="2160"/>
          <w:tab w:val="left" w:pos="2280"/>
        </w:tabs>
        <w:rPr>
          <w:rFonts w:ascii="Arial" w:hAnsi="Arial" w:cs="Arial"/>
        </w:rPr>
      </w:pPr>
    </w:p>
    <w:p w:rsidR="00C43A96" w:rsidRDefault="00C43A96" w:rsidP="00C43A96">
      <w:pPr>
        <w:tabs>
          <w:tab w:val="left" w:pos="2160"/>
          <w:tab w:val="left" w:pos="2280"/>
        </w:tabs>
        <w:rPr>
          <w:rFonts w:ascii="Arial" w:hAnsi="Arial" w:cs="Arial"/>
        </w:rPr>
      </w:pPr>
      <w:r>
        <w:rPr>
          <w:rFonts w:ascii="Arial" w:hAnsi="Arial" w:cs="Arial"/>
        </w:rPr>
        <w:t>Glenn S. Krassen</w:t>
      </w:r>
    </w:p>
    <w:p w:rsidR="00C43A96" w:rsidRDefault="00C43A96" w:rsidP="00C43A96">
      <w:pPr>
        <w:tabs>
          <w:tab w:val="left" w:pos="2160"/>
          <w:tab w:val="left" w:pos="2280"/>
        </w:tabs>
        <w:rPr>
          <w:rFonts w:ascii="Arial" w:hAnsi="Arial" w:cs="Arial"/>
        </w:rPr>
      </w:pPr>
      <w:r>
        <w:rPr>
          <w:rFonts w:ascii="Arial" w:hAnsi="Arial" w:cs="Arial"/>
        </w:rPr>
        <w:t>Bricker &amp; Eckler LLP</w:t>
      </w:r>
    </w:p>
    <w:p w:rsidR="00C43A96" w:rsidRDefault="00C43A96" w:rsidP="00C43A96">
      <w:pPr>
        <w:tabs>
          <w:tab w:val="left" w:pos="2160"/>
          <w:tab w:val="left" w:pos="2280"/>
        </w:tabs>
        <w:rPr>
          <w:rFonts w:ascii="Arial" w:hAnsi="Arial" w:cs="Arial"/>
        </w:rPr>
      </w:pPr>
      <w:r>
        <w:rPr>
          <w:rFonts w:ascii="Arial" w:hAnsi="Arial" w:cs="Arial"/>
        </w:rPr>
        <w:t>1001 Lakeside Avenue East, Suite 1350</w:t>
      </w:r>
    </w:p>
    <w:p w:rsidR="00C43A96" w:rsidRDefault="00C43A96" w:rsidP="00C43A96">
      <w:pPr>
        <w:tabs>
          <w:tab w:val="left" w:pos="2160"/>
          <w:tab w:val="left" w:pos="2280"/>
        </w:tabs>
        <w:rPr>
          <w:rFonts w:ascii="Arial" w:hAnsi="Arial" w:cs="Arial"/>
        </w:rPr>
      </w:pPr>
      <w:r>
        <w:rPr>
          <w:rFonts w:ascii="Arial" w:hAnsi="Arial" w:cs="Arial"/>
        </w:rPr>
        <w:t>Cleveland, OH  44114</w:t>
      </w:r>
    </w:p>
    <w:p w:rsidR="00C43A96" w:rsidRDefault="00C43A96" w:rsidP="00C43A96">
      <w:pPr>
        <w:tabs>
          <w:tab w:val="left" w:pos="2160"/>
          <w:tab w:val="left" w:pos="2280"/>
        </w:tabs>
        <w:rPr>
          <w:rFonts w:ascii="Arial" w:hAnsi="Arial" w:cs="Arial"/>
        </w:rPr>
      </w:pPr>
      <w:r>
        <w:rPr>
          <w:rFonts w:ascii="Arial" w:hAnsi="Arial" w:cs="Arial"/>
        </w:rPr>
        <w:t>gkrassen@bricker.com</w:t>
      </w:r>
    </w:p>
    <w:p w:rsidR="00C43A96" w:rsidRDefault="00C43A96" w:rsidP="00C43A96">
      <w:pPr>
        <w:tabs>
          <w:tab w:val="left" w:pos="2160"/>
          <w:tab w:val="left" w:pos="2280"/>
        </w:tabs>
        <w:rPr>
          <w:rFonts w:ascii="Arial" w:hAnsi="Arial" w:cs="Arial"/>
        </w:rPr>
      </w:pPr>
    </w:p>
    <w:p w:rsidR="00C43A96" w:rsidRDefault="00C43A96" w:rsidP="00C43A96">
      <w:pPr>
        <w:tabs>
          <w:tab w:val="left" w:pos="2160"/>
          <w:tab w:val="left" w:pos="2280"/>
        </w:tabs>
        <w:rPr>
          <w:rFonts w:ascii="Arial" w:hAnsi="Arial" w:cs="Arial"/>
        </w:rPr>
      </w:pPr>
      <w:r>
        <w:rPr>
          <w:rFonts w:ascii="Arial" w:hAnsi="Arial" w:cs="Arial"/>
        </w:rPr>
        <w:t>Matthew W. Warnock</w:t>
      </w:r>
    </w:p>
    <w:p w:rsidR="00C43A96" w:rsidRDefault="00C43A96" w:rsidP="00C43A96">
      <w:pPr>
        <w:tabs>
          <w:tab w:val="left" w:pos="2160"/>
          <w:tab w:val="left" w:pos="2280"/>
        </w:tabs>
        <w:rPr>
          <w:rFonts w:ascii="Arial" w:hAnsi="Arial" w:cs="Arial"/>
        </w:rPr>
      </w:pPr>
      <w:r>
        <w:rPr>
          <w:rFonts w:ascii="Arial" w:hAnsi="Arial" w:cs="Arial"/>
        </w:rPr>
        <w:t>Bricker &amp; Eckler LLP</w:t>
      </w:r>
    </w:p>
    <w:p w:rsidR="00C43A96" w:rsidRDefault="00C43A96" w:rsidP="00C43A96">
      <w:pPr>
        <w:tabs>
          <w:tab w:val="left" w:pos="2160"/>
          <w:tab w:val="left" w:pos="2280"/>
        </w:tabs>
        <w:rPr>
          <w:rFonts w:ascii="Arial" w:hAnsi="Arial" w:cs="Arial"/>
        </w:rPr>
      </w:pPr>
      <w:r>
        <w:rPr>
          <w:rFonts w:ascii="Arial" w:hAnsi="Arial" w:cs="Arial"/>
        </w:rPr>
        <w:t>100 South Third Street</w:t>
      </w:r>
    </w:p>
    <w:p w:rsidR="00C43A96" w:rsidRDefault="00C43A96" w:rsidP="00C43A96">
      <w:pPr>
        <w:tabs>
          <w:tab w:val="left" w:pos="2160"/>
          <w:tab w:val="left" w:pos="2280"/>
        </w:tabs>
        <w:rPr>
          <w:rFonts w:ascii="Arial" w:hAnsi="Arial" w:cs="Arial"/>
        </w:rPr>
      </w:pPr>
      <w:r>
        <w:rPr>
          <w:rFonts w:ascii="Arial" w:hAnsi="Arial" w:cs="Arial"/>
        </w:rPr>
        <w:t>Columbus, OH  43215</w:t>
      </w:r>
    </w:p>
    <w:p w:rsidR="00C43A96" w:rsidRDefault="00C43A96" w:rsidP="00C43A96">
      <w:pPr>
        <w:tabs>
          <w:tab w:val="left" w:pos="2160"/>
          <w:tab w:val="left" w:pos="2280"/>
        </w:tabs>
        <w:rPr>
          <w:rFonts w:ascii="Arial" w:hAnsi="Arial" w:cs="Arial"/>
        </w:rPr>
      </w:pPr>
      <w:r>
        <w:rPr>
          <w:rFonts w:ascii="Arial" w:hAnsi="Arial" w:cs="Arial"/>
        </w:rPr>
        <w:t>mwarnock@bricker.com</w:t>
      </w:r>
    </w:p>
    <w:p w:rsidR="00C43A96" w:rsidRDefault="00C43A96" w:rsidP="00C43A96">
      <w:pPr>
        <w:tabs>
          <w:tab w:val="left" w:pos="2160"/>
          <w:tab w:val="left" w:pos="2280"/>
        </w:tabs>
        <w:rPr>
          <w:rFonts w:ascii="Arial" w:hAnsi="Arial" w:cs="Arial"/>
        </w:rPr>
      </w:pPr>
    </w:p>
    <w:p w:rsidR="00C43A96" w:rsidRPr="003E3CC2" w:rsidRDefault="00C43A96" w:rsidP="00C43A96">
      <w:pPr>
        <w:tabs>
          <w:tab w:val="left" w:pos="2160"/>
          <w:tab w:val="left" w:pos="2280"/>
        </w:tabs>
        <w:rPr>
          <w:rFonts w:ascii="Arial" w:hAnsi="Arial" w:cs="Arial"/>
          <w:b/>
          <w:smallCaps/>
        </w:rPr>
      </w:pPr>
      <w:r w:rsidRPr="003E3CC2">
        <w:rPr>
          <w:rFonts w:ascii="Arial" w:hAnsi="Arial" w:cs="Arial"/>
          <w:b/>
          <w:smallCaps/>
        </w:rPr>
        <w:t>On Behalf of Northeast Ohio Public Energy Council</w:t>
      </w:r>
    </w:p>
    <w:p w:rsidR="00C43A96" w:rsidRDefault="00C43A96" w:rsidP="00C43A96">
      <w:pPr>
        <w:tabs>
          <w:tab w:val="left" w:pos="2160"/>
          <w:tab w:val="left" w:pos="2280"/>
        </w:tabs>
      </w:pPr>
    </w:p>
    <w:p w:rsidR="00C43A96" w:rsidRDefault="00C43A96" w:rsidP="00C43A96">
      <w:pPr>
        <w:tabs>
          <w:tab w:val="left" w:pos="2160"/>
          <w:tab w:val="left" w:pos="2280"/>
        </w:tabs>
        <w:rPr>
          <w:rFonts w:ascii="Arial" w:hAnsi="Arial" w:cs="Arial"/>
        </w:rPr>
      </w:pPr>
      <w:r>
        <w:rPr>
          <w:rFonts w:ascii="Arial" w:hAnsi="Arial" w:cs="Arial"/>
        </w:rPr>
        <w:t>William Wright</w:t>
      </w:r>
    </w:p>
    <w:p w:rsidR="00C43A96" w:rsidRDefault="00C43A96" w:rsidP="00C43A96">
      <w:pPr>
        <w:tabs>
          <w:tab w:val="left" w:pos="2160"/>
          <w:tab w:val="left" w:pos="2280"/>
        </w:tabs>
        <w:rPr>
          <w:rFonts w:ascii="Arial" w:hAnsi="Arial" w:cs="Arial"/>
        </w:rPr>
      </w:pPr>
      <w:r>
        <w:rPr>
          <w:rFonts w:ascii="Arial" w:hAnsi="Arial" w:cs="Arial"/>
        </w:rPr>
        <w:t>Devin Parram</w:t>
      </w:r>
    </w:p>
    <w:p w:rsidR="00C43A96" w:rsidRDefault="00C43A96" w:rsidP="00C43A96">
      <w:pPr>
        <w:tabs>
          <w:tab w:val="left" w:pos="2160"/>
          <w:tab w:val="left" w:pos="2280"/>
        </w:tabs>
        <w:rPr>
          <w:rFonts w:ascii="Arial" w:hAnsi="Arial" w:cs="Arial"/>
        </w:rPr>
      </w:pPr>
      <w:r>
        <w:rPr>
          <w:rFonts w:ascii="Arial" w:hAnsi="Arial" w:cs="Arial"/>
        </w:rPr>
        <w:t>Attorney General’s Office</w:t>
      </w:r>
    </w:p>
    <w:p w:rsidR="00C43A96" w:rsidRDefault="00C43A96" w:rsidP="00C43A96">
      <w:pPr>
        <w:tabs>
          <w:tab w:val="left" w:pos="2160"/>
          <w:tab w:val="left" w:pos="2280"/>
        </w:tabs>
        <w:rPr>
          <w:rFonts w:ascii="Arial" w:hAnsi="Arial" w:cs="Arial"/>
        </w:rPr>
      </w:pPr>
      <w:r>
        <w:rPr>
          <w:rFonts w:ascii="Arial" w:hAnsi="Arial" w:cs="Arial"/>
        </w:rPr>
        <w:t>Public Utilities Commission of Ohio</w:t>
      </w:r>
    </w:p>
    <w:p w:rsidR="00C43A96" w:rsidRDefault="00C43A96" w:rsidP="00C43A96">
      <w:pPr>
        <w:tabs>
          <w:tab w:val="left" w:pos="2160"/>
          <w:tab w:val="left" w:pos="2280"/>
        </w:tabs>
        <w:rPr>
          <w:rFonts w:ascii="Arial" w:hAnsi="Arial" w:cs="Arial"/>
        </w:rPr>
      </w:pPr>
      <w:r>
        <w:rPr>
          <w:rFonts w:ascii="Arial" w:hAnsi="Arial" w:cs="Arial"/>
        </w:rPr>
        <w:t>180 East Broad St., 6</w:t>
      </w:r>
      <w:r w:rsidRPr="00E6208A">
        <w:rPr>
          <w:rFonts w:ascii="Arial" w:hAnsi="Arial" w:cs="Arial"/>
          <w:vertAlign w:val="superscript"/>
        </w:rPr>
        <w:t>th</w:t>
      </w:r>
      <w:r>
        <w:rPr>
          <w:rFonts w:ascii="Arial" w:hAnsi="Arial" w:cs="Arial"/>
        </w:rPr>
        <w:t xml:space="preserve"> Floor</w:t>
      </w:r>
    </w:p>
    <w:p w:rsidR="00C43A96" w:rsidRDefault="00C43A96" w:rsidP="00C43A96">
      <w:pPr>
        <w:tabs>
          <w:tab w:val="left" w:pos="2160"/>
          <w:tab w:val="left" w:pos="2280"/>
        </w:tabs>
        <w:rPr>
          <w:rFonts w:ascii="Arial" w:hAnsi="Arial" w:cs="Arial"/>
        </w:rPr>
      </w:pPr>
      <w:r>
        <w:rPr>
          <w:rFonts w:ascii="Arial" w:hAnsi="Arial" w:cs="Arial"/>
        </w:rPr>
        <w:t>Columbus, OH  43215</w:t>
      </w:r>
    </w:p>
    <w:p w:rsidR="00C43A96" w:rsidRDefault="00C43A96" w:rsidP="00C43A96">
      <w:pPr>
        <w:tabs>
          <w:tab w:val="left" w:pos="2160"/>
          <w:tab w:val="left" w:pos="2280"/>
        </w:tabs>
        <w:rPr>
          <w:rFonts w:ascii="Arial" w:hAnsi="Arial" w:cs="Arial"/>
        </w:rPr>
      </w:pPr>
      <w:r>
        <w:rPr>
          <w:rFonts w:ascii="Arial" w:hAnsi="Arial" w:cs="Arial"/>
        </w:rPr>
        <w:t>william.wright@puc.state.oh.us</w:t>
      </w:r>
    </w:p>
    <w:p w:rsidR="00C43A96" w:rsidRDefault="00C43A96" w:rsidP="00C43A96">
      <w:pPr>
        <w:tabs>
          <w:tab w:val="left" w:pos="2160"/>
          <w:tab w:val="left" w:pos="2280"/>
        </w:tabs>
        <w:rPr>
          <w:rFonts w:ascii="Arial" w:hAnsi="Arial" w:cs="Arial"/>
        </w:rPr>
      </w:pPr>
      <w:r w:rsidRPr="00E76A53">
        <w:rPr>
          <w:rFonts w:ascii="Arial" w:hAnsi="Arial" w:cs="Arial"/>
        </w:rPr>
        <w:t>devin.parram@puc.state.oh.us</w:t>
      </w:r>
    </w:p>
    <w:p w:rsidR="00C43A96" w:rsidRDefault="00C43A96" w:rsidP="00C43A96">
      <w:pPr>
        <w:tabs>
          <w:tab w:val="left" w:pos="2160"/>
          <w:tab w:val="left" w:pos="2280"/>
        </w:tabs>
        <w:rPr>
          <w:rFonts w:ascii="Arial" w:hAnsi="Arial" w:cs="Arial"/>
        </w:rPr>
      </w:pPr>
    </w:p>
    <w:p w:rsidR="00C43A96" w:rsidRPr="00473CF2" w:rsidRDefault="00C43A96" w:rsidP="00C43A96">
      <w:pPr>
        <w:tabs>
          <w:tab w:val="left" w:pos="2160"/>
          <w:tab w:val="left" w:pos="2280"/>
        </w:tabs>
        <w:rPr>
          <w:rFonts w:ascii="Arial" w:hAnsi="Arial" w:cs="Arial"/>
          <w:b/>
          <w:smallCaps/>
        </w:rPr>
      </w:pPr>
      <w:r w:rsidRPr="00473CF2">
        <w:rPr>
          <w:rFonts w:ascii="Arial" w:hAnsi="Arial" w:cs="Arial"/>
          <w:b/>
          <w:smallCaps/>
        </w:rPr>
        <w:t>On Behalf of the Public Utilities Commission of Ohio</w:t>
      </w:r>
    </w:p>
    <w:p w:rsidR="00C43A96" w:rsidRDefault="00C43A96" w:rsidP="00C43A96">
      <w:pPr>
        <w:tabs>
          <w:tab w:val="left" w:pos="2160"/>
          <w:tab w:val="left" w:pos="2280"/>
        </w:tabs>
      </w:pPr>
    </w:p>
    <w:p w:rsidR="00C43A96" w:rsidRDefault="00C43A96" w:rsidP="00C43A96">
      <w:pPr>
        <w:tabs>
          <w:tab w:val="left" w:pos="2160"/>
          <w:tab w:val="left" w:pos="2280"/>
        </w:tabs>
        <w:rPr>
          <w:rFonts w:ascii="Arial" w:hAnsi="Arial" w:cs="Arial"/>
        </w:rPr>
      </w:pPr>
      <w:r>
        <w:rPr>
          <w:rFonts w:ascii="Arial" w:hAnsi="Arial" w:cs="Arial"/>
        </w:rPr>
        <w:t>Gregory Price</w:t>
      </w:r>
    </w:p>
    <w:p w:rsidR="00C43A96" w:rsidRDefault="00C43A96" w:rsidP="00C43A96">
      <w:pPr>
        <w:tabs>
          <w:tab w:val="left" w:pos="2160"/>
          <w:tab w:val="left" w:pos="2280"/>
        </w:tabs>
        <w:rPr>
          <w:rFonts w:ascii="Arial" w:hAnsi="Arial" w:cs="Arial"/>
        </w:rPr>
      </w:pPr>
      <w:r>
        <w:rPr>
          <w:rFonts w:ascii="Arial" w:hAnsi="Arial" w:cs="Arial"/>
        </w:rPr>
        <w:t>Mandy Willey Chiles</w:t>
      </w:r>
    </w:p>
    <w:p w:rsidR="00C43A96" w:rsidRDefault="00C43A96" w:rsidP="00C43A96">
      <w:pPr>
        <w:tabs>
          <w:tab w:val="left" w:pos="2160"/>
          <w:tab w:val="left" w:pos="2280"/>
        </w:tabs>
        <w:rPr>
          <w:rFonts w:ascii="Arial" w:hAnsi="Arial" w:cs="Arial"/>
        </w:rPr>
      </w:pPr>
      <w:r>
        <w:rPr>
          <w:rFonts w:ascii="Arial" w:hAnsi="Arial" w:cs="Arial"/>
        </w:rPr>
        <w:t>Attorney Examiners</w:t>
      </w:r>
    </w:p>
    <w:p w:rsidR="00C43A96" w:rsidRDefault="00C43A96" w:rsidP="00C43A96">
      <w:pPr>
        <w:tabs>
          <w:tab w:val="left" w:pos="2160"/>
          <w:tab w:val="left" w:pos="2280"/>
        </w:tabs>
        <w:rPr>
          <w:rFonts w:ascii="Arial" w:hAnsi="Arial" w:cs="Arial"/>
        </w:rPr>
      </w:pPr>
      <w:r>
        <w:rPr>
          <w:rFonts w:ascii="Arial" w:hAnsi="Arial" w:cs="Arial"/>
        </w:rPr>
        <w:t>Public Utilities Commission of Ohio</w:t>
      </w:r>
    </w:p>
    <w:p w:rsidR="00C43A96" w:rsidRDefault="00C43A96" w:rsidP="00C43A96">
      <w:pPr>
        <w:tabs>
          <w:tab w:val="left" w:pos="2160"/>
          <w:tab w:val="left" w:pos="2280"/>
        </w:tabs>
        <w:rPr>
          <w:rFonts w:ascii="Arial" w:hAnsi="Arial" w:cs="Arial"/>
        </w:rPr>
      </w:pPr>
      <w:r>
        <w:rPr>
          <w:rFonts w:ascii="Arial" w:hAnsi="Arial" w:cs="Arial"/>
        </w:rPr>
        <w:t>180 East Broad Street</w:t>
      </w:r>
    </w:p>
    <w:p w:rsidR="00C43A96" w:rsidRDefault="00C43A96" w:rsidP="00C43A96">
      <w:pPr>
        <w:tabs>
          <w:tab w:val="left" w:pos="2160"/>
          <w:tab w:val="left" w:pos="2280"/>
        </w:tabs>
        <w:rPr>
          <w:rFonts w:ascii="Arial" w:hAnsi="Arial" w:cs="Arial"/>
        </w:rPr>
      </w:pPr>
      <w:r>
        <w:rPr>
          <w:rFonts w:ascii="Arial" w:hAnsi="Arial" w:cs="Arial"/>
        </w:rPr>
        <w:t>Columbus, OH  43215</w:t>
      </w:r>
    </w:p>
    <w:p w:rsidR="00C43A96" w:rsidRDefault="00C43A96" w:rsidP="00C43A96">
      <w:pPr>
        <w:tabs>
          <w:tab w:val="left" w:pos="2160"/>
          <w:tab w:val="left" w:pos="2280"/>
        </w:tabs>
        <w:rPr>
          <w:rFonts w:ascii="Arial" w:hAnsi="Arial" w:cs="Arial"/>
        </w:rPr>
      </w:pPr>
      <w:r>
        <w:rPr>
          <w:rFonts w:ascii="Arial" w:hAnsi="Arial" w:cs="Arial"/>
        </w:rPr>
        <w:t>gregory.price@puc.state.oh.us</w:t>
      </w:r>
    </w:p>
    <w:p w:rsidR="00C43A96" w:rsidRDefault="00C43A96" w:rsidP="00C43A96">
      <w:pPr>
        <w:tabs>
          <w:tab w:val="left" w:pos="2160"/>
          <w:tab w:val="left" w:pos="2280"/>
        </w:tabs>
        <w:rPr>
          <w:rFonts w:ascii="Arial" w:hAnsi="Arial" w:cs="Arial"/>
        </w:rPr>
      </w:pPr>
      <w:r w:rsidRPr="00E76A53">
        <w:rPr>
          <w:rFonts w:ascii="Arial" w:hAnsi="Arial" w:cs="Arial"/>
        </w:rPr>
        <w:t>mandy.willey@puc.state.oh.us</w:t>
      </w:r>
    </w:p>
    <w:p w:rsidR="00C43A96" w:rsidRDefault="00C43A96" w:rsidP="00C43A96">
      <w:pPr>
        <w:tabs>
          <w:tab w:val="left" w:pos="2160"/>
          <w:tab w:val="left" w:pos="2280"/>
        </w:tabs>
        <w:rPr>
          <w:rFonts w:ascii="Arial" w:hAnsi="Arial" w:cs="Arial"/>
        </w:rPr>
      </w:pPr>
    </w:p>
    <w:p w:rsidR="00C43A96" w:rsidRDefault="00C43A96" w:rsidP="00C43A96">
      <w:pPr>
        <w:tabs>
          <w:tab w:val="left" w:pos="2160"/>
          <w:tab w:val="left" w:pos="2280"/>
        </w:tabs>
        <w:rPr>
          <w:rFonts w:ascii="Arial" w:hAnsi="Arial" w:cs="Arial"/>
          <w:b/>
          <w:smallCaps/>
        </w:rPr>
      </w:pPr>
      <w:r w:rsidRPr="00473CF2">
        <w:rPr>
          <w:rFonts w:ascii="Arial" w:hAnsi="Arial" w:cs="Arial"/>
          <w:b/>
          <w:smallCaps/>
        </w:rPr>
        <w:t>Attorney Examiners</w:t>
      </w:r>
    </w:p>
    <w:p w:rsidR="00C43A96" w:rsidRPr="003E3CC2" w:rsidRDefault="00C43A96" w:rsidP="00C43A96">
      <w:pPr>
        <w:tabs>
          <w:tab w:val="left" w:pos="2160"/>
          <w:tab w:val="left" w:pos="2280"/>
        </w:tabs>
      </w:pPr>
    </w:p>
    <w:p w:rsidR="007066E5" w:rsidRDefault="007066E5">
      <w:pPr>
        <w:tabs>
          <w:tab w:val="left" w:pos="2160"/>
          <w:tab w:val="left" w:pos="2280"/>
        </w:tabs>
        <w:jc w:val="both"/>
        <w:rPr>
          <w:rFonts w:ascii="Arial" w:hAnsi="Arial" w:cs="Arial"/>
          <w:b/>
          <w:smallCaps/>
        </w:rPr>
      </w:pPr>
    </w:p>
    <w:sectPr w:rsidR="007066E5" w:rsidSect="002C4EDE">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4A5" w:rsidRDefault="009244A5">
      <w:r>
        <w:separator/>
      </w:r>
    </w:p>
  </w:endnote>
  <w:endnote w:type="continuationSeparator" w:id="0">
    <w:p w:rsidR="009244A5" w:rsidRDefault="00924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4A5" w:rsidRDefault="009244A5">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sidR="003E5B1A">
      <w:rPr>
        <w:rStyle w:val="PageNumber"/>
        <w:noProof/>
      </w:rPr>
      <w:t>1</w:t>
    </w:r>
    <w:r>
      <w:rPr>
        <w:rStyle w:val="PageNumber"/>
      </w:rPr>
      <w:fldChar w:fldCharType="end"/>
    </w:r>
  </w:p>
  <w:p w:rsidR="009244A5" w:rsidRDefault="009244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4A5" w:rsidRDefault="003E5B1A">
    <w:pPr>
      <w:pStyle w:val="Footer"/>
    </w:pPr>
    <w:r w:rsidRPr="003E5B1A">
      <w:rPr>
        <w:sz w:val="16"/>
      </w:rPr>
      <w:t>{C39242:8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4A5" w:rsidRDefault="003E5B1A">
    <w:pPr>
      <w:pStyle w:val="Footer"/>
    </w:pPr>
    <w:r w:rsidRPr="003E5B1A">
      <w:rPr>
        <w:noProof/>
        <w:sz w:val="16"/>
      </w:rPr>
      <w:t>{C39242:8 }</w:t>
    </w:r>
    <w:r w:rsidR="009244A5">
      <w:rPr>
        <w:noProof/>
        <w:sz w:val="16"/>
      </w:rPr>
      <w:tab/>
    </w:r>
  </w:p>
  <w:p w:rsidR="009244A5" w:rsidRDefault="009244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4A5" w:rsidRDefault="003E5B1A">
    <w:pPr>
      <w:pStyle w:val="Footer"/>
      <w:rPr>
        <w:rFonts w:ascii="Arial" w:hAnsi="Arial" w:cs="Arial"/>
      </w:rPr>
    </w:pPr>
    <w:r w:rsidRPr="003E5B1A">
      <w:rPr>
        <w:rFonts w:ascii="Arial" w:hAnsi="Arial" w:cs="Arial"/>
        <w:noProof/>
        <w:sz w:val="16"/>
      </w:rPr>
      <w:t>{C39242:8 }</w:t>
    </w:r>
    <w:sdt>
      <w:sdtPr>
        <w:rPr>
          <w:rFonts w:ascii="Arial" w:hAnsi="Arial" w:cs="Arial"/>
        </w:rPr>
        <w:id w:val="-241948787"/>
        <w:docPartObj>
          <w:docPartGallery w:val="Page Numbers (Bottom of Page)"/>
          <w:docPartUnique/>
        </w:docPartObj>
      </w:sdtPr>
      <w:sdtEndPr>
        <w:rPr>
          <w:noProof/>
        </w:rPr>
      </w:sdtEndPr>
      <w:sdtContent>
        <w:r w:rsidR="009244A5">
          <w:rPr>
            <w:rFonts w:ascii="Arial" w:hAnsi="Arial" w:cs="Arial"/>
          </w:rPr>
          <w:tab/>
        </w:r>
        <w:r w:rsidR="009244A5">
          <w:rPr>
            <w:rFonts w:ascii="Arial" w:hAnsi="Arial" w:cs="Arial"/>
          </w:rPr>
          <w:fldChar w:fldCharType="begin"/>
        </w:r>
        <w:r w:rsidR="009244A5">
          <w:rPr>
            <w:rFonts w:ascii="Arial" w:hAnsi="Arial" w:cs="Arial"/>
          </w:rPr>
          <w:instrText xml:space="preserve"> PAGE   \* MERGEFORMAT </w:instrText>
        </w:r>
        <w:r w:rsidR="009244A5">
          <w:rPr>
            <w:rFonts w:ascii="Arial" w:hAnsi="Arial" w:cs="Arial"/>
          </w:rPr>
          <w:fldChar w:fldCharType="separate"/>
        </w:r>
        <w:r>
          <w:rPr>
            <w:rFonts w:ascii="Arial" w:hAnsi="Arial" w:cs="Arial"/>
            <w:noProof/>
          </w:rPr>
          <w:t>10</w:t>
        </w:r>
        <w:r w:rsidR="009244A5">
          <w:rPr>
            <w:rFonts w:ascii="Arial" w:hAnsi="Arial" w:cs="Arial"/>
            <w:noProof/>
          </w:rPr>
          <w:fldChar w:fldCharType="end"/>
        </w:r>
      </w:sdtContent>
    </w:sdt>
  </w:p>
  <w:p w:rsidR="009244A5" w:rsidRDefault="009244A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4A5" w:rsidRDefault="003E5B1A">
    <w:pPr>
      <w:pStyle w:val="Footer"/>
    </w:pPr>
    <w:r w:rsidRPr="003E5B1A">
      <w:rPr>
        <w:noProof/>
        <w:sz w:val="16"/>
      </w:rPr>
      <w:t>{C39242:8 }</w:t>
    </w:r>
  </w:p>
  <w:p w:rsidR="009244A5" w:rsidRDefault="009244A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4A5" w:rsidRDefault="003E5B1A">
    <w:pPr>
      <w:pStyle w:val="Footer"/>
    </w:pPr>
    <w:r w:rsidRPr="003E5B1A">
      <w:rPr>
        <w:sz w:val="16"/>
      </w:rPr>
      <w:t>{C39242:8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4A5" w:rsidRDefault="003E5B1A">
    <w:pPr>
      <w:pStyle w:val="Footer"/>
    </w:pPr>
    <w:r w:rsidRPr="003E5B1A">
      <w:rPr>
        <w:noProof/>
        <w:sz w:val="16"/>
      </w:rPr>
      <w:t>{C39242:8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4A5" w:rsidRDefault="009244A5">
      <w:pPr>
        <w:rPr>
          <w:noProof/>
        </w:rPr>
      </w:pPr>
      <w:r>
        <w:rPr>
          <w:noProof/>
        </w:rPr>
        <w:separator/>
      </w:r>
    </w:p>
  </w:footnote>
  <w:footnote w:type="continuationSeparator" w:id="0">
    <w:p w:rsidR="009244A5" w:rsidRDefault="009244A5">
      <w:r>
        <w:continuationSeparator/>
      </w:r>
    </w:p>
  </w:footnote>
  <w:footnote w:id="1">
    <w:p w:rsidR="009244A5" w:rsidRDefault="009244A5">
      <w:pPr>
        <w:pStyle w:val="FootnoteText"/>
        <w:jc w:val="both"/>
      </w:pPr>
      <w:r>
        <w:rPr>
          <w:rStyle w:val="FootnoteReference"/>
        </w:rPr>
        <w:footnoteRef/>
      </w:r>
      <w:r>
        <w:t xml:space="preserve"> Compliance with the portfolio requirements benchmarks depends on how results are measured.  Compliance measurement also directly affects the cost incurred by utilities to achieve compliance and the amount of compliance cost that is passed on to consumers in their electric bills.  The Commission has before it various proceedings which have been open for several years and in which the Commission has been asked to address fundamental issues related to measuring compliance.  The open cases include Case Nos. 10-834-EL-POR, 09-512-GE-UNC, and 08-888-EL-ORD.  As the annual compliance requirements escalate, the penalty inflicted on the public interest by leaving these fundamental questions unresolved is growing. Some of these unresolved measurement issues have been placed before the Commission in these proceedings.  For the reasons which IEU-Ohio and other parties have expressed in these open cases,     IEU-Ohio continues to urge the Commission to address and resolve these fundamental issues.</w:t>
      </w:r>
    </w:p>
    <w:p w:rsidR="009244A5" w:rsidRDefault="009244A5">
      <w:pPr>
        <w:pStyle w:val="FootnoteText"/>
        <w:jc w:val="both"/>
      </w:pPr>
    </w:p>
  </w:footnote>
  <w:footnote w:id="2">
    <w:p w:rsidR="009244A5" w:rsidRDefault="009244A5">
      <w:pPr>
        <w:pStyle w:val="FootnoteText"/>
        <w:jc w:val="both"/>
      </w:pPr>
      <w:r>
        <w:rPr>
          <w:rStyle w:val="FootnoteReference"/>
        </w:rPr>
        <w:footnoteRef/>
      </w:r>
      <w:r>
        <w:t xml:space="preserve"> </w:t>
      </w:r>
      <w:r>
        <w:rPr>
          <w:i/>
        </w:rPr>
        <w:t xml:space="preserve">See </w:t>
      </w:r>
      <w:r>
        <w:t>FirstEnergy Ex.1 at 15-16 (</w:t>
      </w:r>
      <w:r>
        <w:rPr>
          <w:i/>
        </w:rPr>
        <w:t>citing</w:t>
      </w:r>
      <w:r>
        <w:t xml:space="preserve"> </w:t>
      </w:r>
      <w:r>
        <w:rPr>
          <w:i/>
        </w:rPr>
        <w:t>In the Matter of Ohio Edison Company, The Cleveland Electric Illuminating Company, and The Toledo Edison Company for Authority to Provide for a Standard Service Offer Pursuant to Section 4928.143, Revised Code, in the Form of an Electric Security Plan</w:t>
      </w:r>
      <w:r>
        <w:t>, Case             No. 12-1230-EL-SSO, Opinion and Order at 38 (Jul. 18, 2012)) (hereinafter “ESP III Order”).</w:t>
      </w:r>
    </w:p>
    <w:p w:rsidR="009244A5" w:rsidRDefault="009244A5">
      <w:pPr>
        <w:pStyle w:val="FootnoteText"/>
        <w:jc w:val="both"/>
      </w:pPr>
    </w:p>
  </w:footnote>
  <w:footnote w:id="3">
    <w:p w:rsidR="009244A5" w:rsidRDefault="009244A5">
      <w:pPr>
        <w:pStyle w:val="FootnoteText"/>
      </w:pPr>
      <w:r>
        <w:rPr>
          <w:rStyle w:val="FootnoteReference"/>
        </w:rPr>
        <w:footnoteRef/>
      </w:r>
      <w:r>
        <w:t xml:space="preserve"> Initial Post-Hearing Brief by the Advanced Energy Economy Ohio at 3 (Nov. 20, 2012).</w:t>
      </w:r>
    </w:p>
  </w:footnote>
  <w:footnote w:id="4">
    <w:p w:rsidR="009244A5" w:rsidRDefault="009244A5">
      <w:pPr>
        <w:pStyle w:val="FootnoteText"/>
      </w:pPr>
      <w:r>
        <w:rPr>
          <w:rStyle w:val="FootnoteReference"/>
        </w:rPr>
        <w:footnoteRef/>
      </w:r>
      <w:r>
        <w:t xml:space="preserve"> </w:t>
      </w:r>
      <w:r>
        <w:rPr>
          <w:i/>
        </w:rPr>
        <w:t xml:space="preserve">See </w:t>
      </w:r>
      <w:r>
        <w:t>Post-Hearing Brief of IEU-Ohio (Nov. 20, 2012).</w:t>
      </w:r>
    </w:p>
    <w:p w:rsidR="009244A5" w:rsidRDefault="009244A5">
      <w:pPr>
        <w:pStyle w:val="FootnoteText"/>
      </w:pPr>
    </w:p>
  </w:footnote>
  <w:footnote w:id="5">
    <w:p w:rsidR="009244A5" w:rsidRDefault="009244A5">
      <w:pPr>
        <w:pStyle w:val="FootnoteText"/>
        <w:jc w:val="both"/>
      </w:pPr>
      <w:r>
        <w:rPr>
          <w:rStyle w:val="FootnoteReference"/>
        </w:rPr>
        <w:footnoteRef/>
      </w:r>
      <w:r>
        <w:t xml:space="preserve"> </w:t>
      </w:r>
      <w:r>
        <w:rPr>
          <w:i/>
        </w:rPr>
        <w:t xml:space="preserve">See </w:t>
      </w:r>
      <w:r>
        <w:t>FirstEnergy Ex. 1 at 15-16.  The specific language FirstEnergy has added to the Commitment Agreement is as follows:</w:t>
      </w:r>
    </w:p>
    <w:p w:rsidR="009244A5" w:rsidRDefault="009244A5">
      <w:pPr>
        <w:pStyle w:val="Default"/>
      </w:pPr>
    </w:p>
    <w:p w:rsidR="009244A5" w:rsidRDefault="009244A5">
      <w:pPr>
        <w:pStyle w:val="Default"/>
        <w:ind w:left="720" w:right="720"/>
        <w:jc w:val="both"/>
        <w:rPr>
          <w:rFonts w:ascii="Arial" w:hAnsi="Arial" w:cs="Arial"/>
          <w:sz w:val="20"/>
          <w:szCs w:val="20"/>
        </w:rPr>
      </w:pPr>
      <w:r>
        <w:rPr>
          <w:rFonts w:ascii="Arial" w:hAnsi="Arial" w:cs="Arial"/>
          <w:sz w:val="20"/>
          <w:szCs w:val="20"/>
        </w:rPr>
        <w:t xml:space="preserve">By committing the Customer Energy Project(s), Customer further acknowledges and agrees that the Company shall take ownership of the energy efficiency capacity rights associated with said Project(s) and shall, at its sole discretion, aggregate said capacity into the PJM market through an auction. Any proceeds from any such bids accepted by PJM will be used to offset the costs charged to the Customer and other of the Company’s customers for compliance with state mandated energy efficiency and/or peak demand requirements. </w:t>
      </w:r>
    </w:p>
    <w:p w:rsidR="009244A5" w:rsidRDefault="009244A5">
      <w:pPr>
        <w:pStyle w:val="Default"/>
        <w:ind w:left="720" w:right="720"/>
        <w:jc w:val="both"/>
        <w:rPr>
          <w:rFonts w:ascii="Arial" w:hAnsi="Arial" w:cs="Arial"/>
          <w:sz w:val="20"/>
          <w:szCs w:val="20"/>
        </w:rPr>
      </w:pPr>
    </w:p>
    <w:p w:rsidR="009244A5" w:rsidRDefault="009244A5">
      <w:pPr>
        <w:pStyle w:val="Default"/>
        <w:tabs>
          <w:tab w:val="left" w:pos="9630"/>
        </w:tabs>
        <w:ind w:right="720"/>
        <w:jc w:val="both"/>
        <w:rPr>
          <w:rFonts w:ascii="Arial" w:hAnsi="Arial" w:cs="Arial"/>
          <w:sz w:val="20"/>
          <w:szCs w:val="20"/>
        </w:rPr>
      </w:pPr>
      <w:r w:rsidRPr="003E5B1A">
        <w:rPr>
          <w:rFonts w:ascii="Arial" w:hAnsi="Arial" w:cs="Arial"/>
          <w:sz w:val="20"/>
          <w:szCs w:val="20"/>
        </w:rPr>
        <w:t>https://www.firstenergycorp.com/content/dam/customer/Saving%20Energy/Files/OH/Mercantile%20Customer%20Project%20Commitment%20Agreement%20(Exemption).doc</w:t>
      </w:r>
      <w:r>
        <w:rPr>
          <w:rFonts w:ascii="Arial" w:hAnsi="Arial" w:cs="Arial"/>
          <w:sz w:val="20"/>
          <w:szCs w:val="20"/>
        </w:rPr>
        <w:t xml:space="preserve"> (last viewed Nov. 15, 2012).</w:t>
      </w:r>
    </w:p>
    <w:p w:rsidR="009244A5" w:rsidRDefault="009244A5">
      <w:pPr>
        <w:pStyle w:val="FootnoteText"/>
      </w:pPr>
    </w:p>
  </w:footnote>
  <w:footnote w:id="6">
    <w:p w:rsidR="009244A5" w:rsidRDefault="009244A5">
      <w:pPr>
        <w:pStyle w:val="FootnoteText"/>
        <w:jc w:val="both"/>
        <w:rPr>
          <w:rFonts w:cs="Arial"/>
        </w:rPr>
      </w:pPr>
      <w:r>
        <w:rPr>
          <w:rStyle w:val="FootnoteReference"/>
          <w:rFonts w:cs="Arial"/>
        </w:rPr>
        <w:footnoteRef/>
      </w:r>
      <w:r>
        <w:rPr>
          <w:rFonts w:cs="Arial"/>
        </w:rPr>
        <w:t xml:space="preserve"> The use of the word “rights” here refers to the status that the customers’ peak demand response and energy efficiency capabilities may have as a result of reliability-related programs that are available from regional transmission organizations (“RTO”) such as PJM.  These RTO programs are subject to the exclusive jurisdiction of the Federal Energy Regulatory Commission (“FERC”) and the Commission may not regulate, directly or indirectly, these RTO programs.  These RTO programs do not establish assignable rights or obligations; they operate to make the functional capability of an ultimate customer available to the RTO with the voluntary consent of the ultimate customer (and only with such consent) so that the RTO can “dispatch” the capability to satisfy reliability objectives.  For these reasons, it is IEU-Ohio’s view that FirstEnergy’s proposed Commitment Agreement invites the Commission to exercise authority it does not have and impose an economic penalty upon a customer seeking an exemption from the cost recovery mechanism by confiscating the value that the customer might otherwise derive from the status conferred in its capability by the RTO program approved by FERC.  </w:t>
      </w:r>
    </w:p>
  </w:footnote>
  <w:footnote w:id="7">
    <w:p w:rsidR="009244A5" w:rsidRDefault="009244A5">
      <w:pPr>
        <w:pStyle w:val="FootnoteText"/>
        <w:jc w:val="both"/>
      </w:pPr>
      <w:r>
        <w:rPr>
          <w:rStyle w:val="FootnoteReference"/>
        </w:rPr>
        <w:footnoteRef/>
      </w:r>
      <w:r>
        <w:t xml:space="preserve"> FirstEnergy’s Post-Hearing Brief identified that mercantile customers have historically negotiated their own terms when seeking an exemption.  FirstEnergy, moreover, indicated that it did not believe its proposed modification of the Commitment Agreement would prevent mercantile customers from further altering the Commitment Agreement.  FirstEnergy Post-Hearing Brief at footnote 152 (Nov. 20, 2012).</w:t>
      </w:r>
    </w:p>
    <w:p w:rsidR="009244A5" w:rsidRDefault="009244A5">
      <w:pPr>
        <w:pStyle w:val="FootnoteText"/>
        <w:jc w:val="both"/>
      </w:pPr>
    </w:p>
  </w:footnote>
  <w:footnote w:id="8">
    <w:p w:rsidR="009244A5" w:rsidRDefault="009244A5">
      <w:pPr>
        <w:pStyle w:val="FootnoteText"/>
        <w:jc w:val="both"/>
      </w:pPr>
      <w:r>
        <w:rPr>
          <w:rStyle w:val="FootnoteReference"/>
        </w:rPr>
        <w:footnoteRef/>
      </w:r>
      <w:r>
        <w:t xml:space="preserve"> Tr. Vol. IV at 769-771, 824-825.</w:t>
      </w:r>
    </w:p>
    <w:p w:rsidR="009244A5" w:rsidRDefault="009244A5">
      <w:pPr>
        <w:pStyle w:val="FootnoteText"/>
        <w:jc w:val="both"/>
      </w:pPr>
    </w:p>
  </w:footnote>
  <w:footnote w:id="9">
    <w:p w:rsidR="009244A5" w:rsidRDefault="009244A5">
      <w:pPr>
        <w:pStyle w:val="FootnoteText"/>
      </w:pPr>
      <w:r>
        <w:rPr>
          <w:rStyle w:val="FootnoteReference"/>
        </w:rPr>
        <w:footnoteRef/>
      </w:r>
      <w:r>
        <w:t xml:space="preserve"> ELPC/OEC Initial Brief at 33 (Nov. 20, 2012).</w:t>
      </w:r>
    </w:p>
    <w:p w:rsidR="009244A5" w:rsidRDefault="009244A5">
      <w:pPr>
        <w:pStyle w:val="FootnoteText"/>
      </w:pPr>
    </w:p>
  </w:footnote>
  <w:footnote w:id="10">
    <w:p w:rsidR="009244A5" w:rsidRDefault="009244A5">
      <w:pPr>
        <w:pStyle w:val="FootnoteText"/>
      </w:pPr>
      <w:r>
        <w:rPr>
          <w:rStyle w:val="FootnoteReference"/>
        </w:rPr>
        <w:footnoteRef/>
      </w:r>
      <w:r>
        <w:t xml:space="preserve"> “Under the ‘as found’ method, the baseline for energy savings is the efficiency rating of existing equipment at the time of replacement.”  </w:t>
      </w:r>
      <w:r w:rsidRPr="00155E01">
        <w:rPr>
          <w:i/>
        </w:rPr>
        <w:t>In the Matter of a Mercantile Application Pilot Program Regarding Special Arrangements with Electric Utilities and Exemptions from Energy Efficiency and Peak Demand Reduction Riders</w:t>
      </w:r>
      <w:r w:rsidR="00155E01">
        <w:t>, Case No. 10-834-EL-POR</w:t>
      </w:r>
      <w:r>
        <w:t>, Entry at 4 (Sept. 15, 2010) (“</w:t>
      </w:r>
      <w:r>
        <w:rPr>
          <w:i/>
        </w:rPr>
        <w:t>Pilot Program</w:t>
      </w:r>
      <w:r>
        <w:t>”).</w:t>
      </w:r>
    </w:p>
    <w:p w:rsidR="009244A5" w:rsidRDefault="009244A5">
      <w:pPr>
        <w:pStyle w:val="FootnoteText"/>
      </w:pPr>
    </w:p>
  </w:footnote>
  <w:footnote w:id="11">
    <w:p w:rsidR="009244A5" w:rsidRDefault="009244A5">
      <w:pPr>
        <w:pStyle w:val="FootnoteText"/>
      </w:pPr>
      <w:r>
        <w:rPr>
          <w:rStyle w:val="FootnoteReference"/>
        </w:rPr>
        <w:footnoteRef/>
      </w:r>
      <w:r>
        <w:t xml:space="preserve"> ELPC/OEC Initial Brief at 33 (Nov. 20, 2012).</w:t>
      </w:r>
    </w:p>
    <w:p w:rsidR="009244A5" w:rsidRDefault="009244A5">
      <w:pPr>
        <w:pStyle w:val="FootnoteText"/>
      </w:pPr>
    </w:p>
  </w:footnote>
  <w:footnote w:id="12">
    <w:p w:rsidR="009244A5" w:rsidRDefault="009244A5">
      <w:pPr>
        <w:pStyle w:val="FootnoteText"/>
      </w:pPr>
      <w:r>
        <w:rPr>
          <w:rStyle w:val="FootnoteReference"/>
        </w:rPr>
        <w:footnoteRef/>
      </w:r>
      <w:r>
        <w:t xml:space="preserve"> </w:t>
      </w:r>
      <w:r>
        <w:rPr>
          <w:i/>
        </w:rPr>
        <w:t>Pilot Program</w:t>
      </w:r>
      <w:r>
        <w:t>, Second Entry on Rehearing at 4 (May 25, 2011); id., Sixth Entry on Rehearing (Oct. 31, 2012).</w:t>
      </w:r>
    </w:p>
    <w:p w:rsidR="009244A5" w:rsidRDefault="009244A5">
      <w:pPr>
        <w:pStyle w:val="FootnoteText"/>
      </w:pPr>
    </w:p>
  </w:footnote>
  <w:footnote w:id="13">
    <w:p w:rsidR="009244A5" w:rsidRDefault="009244A5">
      <w:pPr>
        <w:pStyle w:val="FootnoteText"/>
      </w:pPr>
      <w:r>
        <w:rPr>
          <w:rStyle w:val="FootnoteReference"/>
        </w:rPr>
        <w:footnoteRef/>
      </w:r>
      <w:r>
        <w:t xml:space="preserve"> ELPC/OEC Initial Brief at 33 &amp; 34 (Nov. 20, 2012).</w:t>
      </w:r>
    </w:p>
    <w:p w:rsidR="009244A5" w:rsidRDefault="009244A5">
      <w:pPr>
        <w:pStyle w:val="FootnoteText"/>
      </w:pPr>
    </w:p>
  </w:footnote>
  <w:footnote w:id="14">
    <w:p w:rsidR="009244A5" w:rsidRDefault="009244A5">
      <w:pPr>
        <w:pStyle w:val="FootnoteText"/>
        <w:jc w:val="both"/>
      </w:pPr>
      <w:r>
        <w:rPr>
          <w:rStyle w:val="FootnoteReference"/>
        </w:rPr>
        <w:footnoteRef/>
      </w:r>
      <w:r>
        <w:t xml:space="preserve"> </w:t>
      </w:r>
      <w:r>
        <w:rPr>
          <w:i/>
        </w:rPr>
        <w:t>Pilot Program</w:t>
      </w:r>
      <w:r>
        <w:t xml:space="preserve">, Finding and Order at 4 (Sept. 5, 2012).  The legality of the ules cited by ELPC and OEC, to the extent they would preclude counting all energy efficiency improvements, and the Technical Reference Manual remain subject to outstanding grants of rehearing on their lawfulness and reasonableness. </w:t>
      </w:r>
      <w:r>
        <w:rPr>
          <w:i/>
        </w:rPr>
        <w:t xml:space="preserve"> See In the Matter of the Adoption of Rules for Alternative and Renewable Energy Technology, Resources, and Climate Regulations, and Review of Chapters 4901:5-1, 4901:5-3, 4901:5-5, and 4901:5-7 of the Ohio Administrative Code, Pursuant to Amended Substitute Senate Bill No. 221</w:t>
      </w:r>
      <w:r>
        <w:t xml:space="preserve">, Case No. 08-888-EL-ORD, Entry on Rehearing at 2 (Dec. 9, 2009);  </w:t>
      </w:r>
      <w:r>
        <w:rPr>
          <w:i/>
        </w:rPr>
        <w:t>In the Matter of Protocols for the Measurement and Verification of Energy Efficiency and Peak Demand Reduction Measures</w:t>
      </w:r>
      <w:r>
        <w:t xml:space="preserve">, Case No. 09-512-GE-UNC, Entry on Rehearing (July 29, 2010).  As the Commission is a creation of statute, it has no authority to increase FirstEnergy’s energy efficiency compliance requirements, and thereby its cost, based on a rule that does not comport with the statutory requirement on which the rule is purportedly based.  </w:t>
      </w:r>
      <w:r>
        <w:rPr>
          <w:i/>
        </w:rPr>
        <w:t>Central Ohio Joint Vocational School District Board of Education v. Ohio Bureau of Employment Services</w:t>
      </w:r>
      <w:r>
        <w:t xml:space="preserve">, 21 Ohio St. 3d 5 (1986); </w:t>
      </w:r>
      <w:r>
        <w:rPr>
          <w:i/>
        </w:rPr>
        <w:t>Franklin Iron and Metal Corp. v. Ohio Petroleum Underground Storage Tank Release Compensation Board</w:t>
      </w:r>
      <w:r>
        <w:t xml:space="preserve">, 117 Ohio App. 3d 509 (1996).  Further the Commission has determined that the use of the as-found method is lawful.  </w:t>
      </w:r>
      <w:r>
        <w:rPr>
          <w:i/>
        </w:rPr>
        <w:t>Pilot Program</w:t>
      </w:r>
      <w:r>
        <w:t>, Second Entry on Rehearing at 4 (May 25, 2011).</w:t>
      </w:r>
    </w:p>
    <w:p w:rsidR="009244A5" w:rsidRDefault="009244A5">
      <w:pPr>
        <w:pStyle w:val="FootnoteText"/>
        <w:jc w:val="both"/>
      </w:pPr>
    </w:p>
  </w:footnote>
  <w:footnote w:id="15">
    <w:p w:rsidR="009244A5" w:rsidRDefault="009244A5">
      <w:pPr>
        <w:pStyle w:val="FootnoteText"/>
        <w:jc w:val="both"/>
      </w:pPr>
      <w:r>
        <w:rPr>
          <w:rStyle w:val="FootnoteReference"/>
        </w:rPr>
        <w:footnoteRef/>
      </w:r>
      <w:r>
        <w:t xml:space="preserve"> ELPC/OEC Initial Brief at 35</w:t>
      </w:r>
      <w:r w:rsidR="00E24540">
        <w:t xml:space="preserve"> (Nov. 20, 2012)</w:t>
      </w:r>
      <w:r>
        <w:t>.</w:t>
      </w:r>
    </w:p>
    <w:p w:rsidR="009244A5" w:rsidRDefault="009244A5">
      <w:pPr>
        <w:pStyle w:val="FootnoteText"/>
        <w:jc w:val="both"/>
      </w:pPr>
    </w:p>
  </w:footnote>
  <w:footnote w:id="16">
    <w:p w:rsidR="009244A5" w:rsidRDefault="009244A5">
      <w:pPr>
        <w:pStyle w:val="FootnoteText"/>
        <w:jc w:val="both"/>
      </w:pPr>
      <w:r>
        <w:rPr>
          <w:rStyle w:val="FootnoteReference"/>
        </w:rPr>
        <w:footnoteRef/>
      </w:r>
      <w:r>
        <w:t xml:space="preserve"> </w:t>
      </w:r>
      <w:r>
        <w:rPr>
          <w:i/>
        </w:rPr>
        <w:t>Id.</w:t>
      </w:r>
      <w:r>
        <w:t xml:space="preserve"> at 31 (urging the Commission to increase the total cost of the Portfolio Plan to accommodate data center programs).</w:t>
      </w:r>
    </w:p>
    <w:p w:rsidR="009244A5" w:rsidRDefault="009244A5">
      <w:pPr>
        <w:pStyle w:val="FootnoteText"/>
        <w:jc w:val="both"/>
      </w:pPr>
    </w:p>
  </w:footnote>
  <w:footnote w:id="17">
    <w:p w:rsidR="009244A5" w:rsidRDefault="009244A5">
      <w:pPr>
        <w:pStyle w:val="FootnoteText"/>
      </w:pPr>
      <w:r>
        <w:rPr>
          <w:rStyle w:val="FootnoteReference"/>
        </w:rPr>
        <w:footnoteRef/>
      </w:r>
      <w:r>
        <w:t xml:space="preserve"> </w:t>
      </w:r>
      <w:r w:rsidR="00E24540">
        <w:rPr>
          <w:i/>
        </w:rPr>
        <w:t>Id.</w:t>
      </w:r>
      <w:r w:rsidR="00E24540">
        <w:t xml:space="preserve"> </w:t>
      </w:r>
      <w:r>
        <w:t xml:space="preserve">at 23. </w:t>
      </w:r>
    </w:p>
    <w:p w:rsidR="009244A5" w:rsidRDefault="009244A5">
      <w:pPr>
        <w:pStyle w:val="FootnoteText"/>
      </w:pPr>
    </w:p>
  </w:footnote>
  <w:footnote w:id="18">
    <w:p w:rsidR="009244A5" w:rsidRDefault="009244A5">
      <w:pPr>
        <w:pStyle w:val="FootnoteText"/>
      </w:pPr>
      <w:r>
        <w:rPr>
          <w:rStyle w:val="FootnoteReference"/>
        </w:rPr>
        <w:footnoteRef/>
      </w:r>
      <w:r>
        <w:t xml:space="preserve"> </w:t>
      </w:r>
      <w:r>
        <w:rPr>
          <w:i/>
        </w:rPr>
        <w:t xml:space="preserve">Id. </w:t>
      </w:r>
      <w:r>
        <w:t xml:space="preserve">at 23-25. </w:t>
      </w:r>
    </w:p>
    <w:p w:rsidR="009244A5" w:rsidRDefault="009244A5">
      <w:pPr>
        <w:pStyle w:val="FootnoteText"/>
      </w:pPr>
    </w:p>
  </w:footnote>
  <w:footnote w:id="19">
    <w:p w:rsidR="009244A5" w:rsidRDefault="009244A5">
      <w:pPr>
        <w:pStyle w:val="FootnoteText"/>
      </w:pPr>
      <w:r>
        <w:rPr>
          <w:rStyle w:val="FootnoteReference"/>
        </w:rPr>
        <w:footnoteRef/>
      </w:r>
      <w:r>
        <w:t xml:space="preserve"> Sierra Club/NRDC/Citizen Power Initial Hearing Brief at 55 (Nov. 20, 2012).</w:t>
      </w:r>
    </w:p>
    <w:p w:rsidR="009244A5" w:rsidRDefault="009244A5">
      <w:pPr>
        <w:pStyle w:val="FootnoteText"/>
      </w:pPr>
    </w:p>
  </w:footnote>
  <w:footnote w:id="20">
    <w:p w:rsidR="009244A5" w:rsidRDefault="009244A5">
      <w:pPr>
        <w:pStyle w:val="FootnoteText"/>
      </w:pPr>
      <w:r>
        <w:rPr>
          <w:rStyle w:val="FootnoteReference"/>
        </w:rPr>
        <w:footnoteRef/>
      </w:r>
      <w:r>
        <w:t xml:space="preserve"> OPAE Post-Hearing Brief at 9 (Nov. 20, 2012). </w:t>
      </w:r>
    </w:p>
    <w:p w:rsidR="009244A5" w:rsidRDefault="009244A5">
      <w:pPr>
        <w:pStyle w:val="FootnoteText"/>
      </w:pPr>
    </w:p>
  </w:footnote>
  <w:footnote w:id="21">
    <w:p w:rsidR="009244A5" w:rsidRDefault="009244A5" w:rsidP="006B7D65">
      <w:pPr>
        <w:pStyle w:val="FootnoteText"/>
        <w:jc w:val="both"/>
      </w:pPr>
      <w:r>
        <w:rPr>
          <w:rStyle w:val="FootnoteReference"/>
        </w:rPr>
        <w:footnoteRef/>
      </w:r>
      <w:r>
        <w:t xml:space="preserve"> None of the parties urging that the Commission deny the use of incentives propose to adjust the historical averages, yet they would deny incentives on the assumption that the lighting is the “new baseline.”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B1A" w:rsidRDefault="003E5B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B1A" w:rsidRDefault="003E5B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B1A" w:rsidRDefault="003E5B1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4A5" w:rsidRDefault="009244A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4A5" w:rsidRDefault="009244A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4A5" w:rsidRDefault="009244A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4A5" w:rsidRDefault="009244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CEB"/>
    <w:multiLevelType w:val="hybridMultilevel"/>
    <w:tmpl w:val="D79E6896"/>
    <w:lvl w:ilvl="0" w:tplc="9D400FBE">
      <w:start w:val="1"/>
      <w:numFmt w:val="decimal"/>
      <w:lvlText w:val="%1."/>
      <w:lvlJc w:val="left"/>
      <w:pPr>
        <w:ind w:left="1080" w:hanging="360"/>
      </w:pPr>
      <w:rPr>
        <w:rFonts w:ascii="Arial" w:hAnsi="Arial" w:cs="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AF16C0"/>
    <w:multiLevelType w:val="hybridMultilevel"/>
    <w:tmpl w:val="BC0CC47A"/>
    <w:lvl w:ilvl="0" w:tplc="1AE62F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AF356B"/>
    <w:multiLevelType w:val="hybridMultilevel"/>
    <w:tmpl w:val="CE90E6E4"/>
    <w:name w:val="(Unnamed Numbering Scheme)"/>
    <w:lvl w:ilvl="0" w:tplc="9B0ED7E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B03720"/>
    <w:multiLevelType w:val="hybridMultilevel"/>
    <w:tmpl w:val="D79E6896"/>
    <w:lvl w:ilvl="0" w:tplc="9D400FBE">
      <w:start w:val="1"/>
      <w:numFmt w:val="decimal"/>
      <w:lvlText w:val="%1."/>
      <w:lvlJc w:val="left"/>
      <w:pPr>
        <w:ind w:left="1080" w:hanging="360"/>
      </w:pPr>
      <w:rPr>
        <w:rFonts w:ascii="Arial" w:hAnsi="Arial" w:cs="Arial"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7F082B"/>
    <w:multiLevelType w:val="hybridMultilevel"/>
    <w:tmpl w:val="0B7273EE"/>
    <w:lvl w:ilvl="0" w:tplc="535C6C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E902FC"/>
    <w:multiLevelType w:val="hybridMultilevel"/>
    <w:tmpl w:val="32A8A496"/>
    <w:lvl w:ilvl="0" w:tplc="E690B7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75114F"/>
    <w:multiLevelType w:val="multilevel"/>
    <w:tmpl w:val="A3A80910"/>
    <w:name w:val="IEU-Ohio"/>
    <w:lvl w:ilvl="0">
      <w:start w:val="1"/>
      <w:numFmt w:val="upperRoman"/>
      <w:pStyle w:val="Heading1"/>
      <w:lvlText w:val="%1."/>
      <w:lvlJc w:val="left"/>
      <w:pPr>
        <w:tabs>
          <w:tab w:val="num" w:pos="720"/>
        </w:tabs>
        <w:ind w:left="720" w:hanging="720"/>
      </w:pPr>
      <w:rPr>
        <w:rFonts w:ascii="Arial" w:hAnsi="Arial" w:cs="Arial" w:hint="default"/>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abstractNum w:abstractNumId="7">
    <w:nsid w:val="790F0D6A"/>
    <w:multiLevelType w:val="hybridMultilevel"/>
    <w:tmpl w:val="FA40FE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8851AE"/>
    <w:multiLevelType w:val="hybridMultilevel"/>
    <w:tmpl w:val="440034A0"/>
    <w:lvl w:ilvl="0" w:tplc="E312B2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2"/>
  </w:num>
  <w:num w:numId="5">
    <w:abstractNumId w:val="6"/>
  </w:num>
  <w:num w:numId="6">
    <w:abstractNumId w:val="3"/>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6E5"/>
    <w:rsid w:val="00155E01"/>
    <w:rsid w:val="002D6A75"/>
    <w:rsid w:val="00377405"/>
    <w:rsid w:val="003C2ABC"/>
    <w:rsid w:val="003E5B1A"/>
    <w:rsid w:val="00491714"/>
    <w:rsid w:val="00677878"/>
    <w:rsid w:val="006B7D65"/>
    <w:rsid w:val="007066E5"/>
    <w:rsid w:val="009244A5"/>
    <w:rsid w:val="00C43A96"/>
    <w:rsid w:val="00DE3BA1"/>
    <w:rsid w:val="00E24540"/>
    <w:rsid w:val="00F45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2357F"/>
    <w:pPr>
      <w:numPr>
        <w:numId w:val="5"/>
      </w:numPr>
      <w:tabs>
        <w:tab w:val="clear" w:pos="720"/>
      </w:tabs>
      <w:spacing w:after="240"/>
      <w:jc w:val="both"/>
      <w:outlineLvl w:val="0"/>
    </w:pPr>
    <w:rPr>
      <w:b/>
      <w:caps/>
      <w:u w:val="single"/>
    </w:rPr>
  </w:style>
  <w:style w:type="paragraph" w:styleId="Heading2">
    <w:name w:val="heading 2"/>
    <w:basedOn w:val="Normal"/>
    <w:next w:val="Normal"/>
    <w:link w:val="Heading2Char"/>
    <w:uiPriority w:val="9"/>
    <w:semiHidden/>
    <w:unhideWhenUsed/>
    <w:qFormat/>
    <w:rsid w:val="00C2357F"/>
    <w:pPr>
      <w:numPr>
        <w:ilvl w:val="1"/>
        <w:numId w:val="5"/>
      </w:numPr>
      <w:spacing w:after="240"/>
      <w:jc w:val="both"/>
      <w:outlineLvl w:val="1"/>
    </w:pPr>
    <w:rPr>
      <w:rFonts w:eastAsiaTheme="majorEastAsia"/>
      <w:b/>
      <w:bCs/>
      <w:szCs w:val="26"/>
    </w:rPr>
  </w:style>
  <w:style w:type="paragraph" w:styleId="Heading3">
    <w:name w:val="heading 3"/>
    <w:basedOn w:val="Normal"/>
    <w:next w:val="Normal"/>
    <w:link w:val="Heading3Char"/>
    <w:uiPriority w:val="9"/>
    <w:semiHidden/>
    <w:unhideWhenUsed/>
    <w:qFormat/>
    <w:rsid w:val="00C2357F"/>
    <w:pPr>
      <w:numPr>
        <w:ilvl w:val="2"/>
        <w:numId w:val="5"/>
      </w:numPr>
      <w:spacing w:after="240"/>
      <w:jc w:val="both"/>
      <w:outlineLvl w:val="2"/>
    </w:pPr>
    <w:rPr>
      <w:rFonts w:eastAsiaTheme="majorEastAsia"/>
      <w:b/>
      <w:bCs/>
    </w:rPr>
  </w:style>
  <w:style w:type="paragraph" w:styleId="Heading4">
    <w:name w:val="heading 4"/>
    <w:basedOn w:val="Normal"/>
    <w:next w:val="Normal"/>
    <w:link w:val="Heading4Char"/>
    <w:qFormat/>
    <w:rsid w:val="00C2357F"/>
    <w:pPr>
      <w:numPr>
        <w:ilvl w:val="3"/>
        <w:numId w:val="5"/>
      </w:numPr>
      <w:spacing w:after="240"/>
      <w:jc w:val="both"/>
      <w:outlineLvl w:val="3"/>
    </w:pPr>
    <w:rPr>
      <w:b/>
      <w:i/>
    </w:rPr>
  </w:style>
  <w:style w:type="paragraph" w:styleId="Heading5">
    <w:name w:val="heading 5"/>
    <w:basedOn w:val="Normal"/>
    <w:next w:val="Normal"/>
    <w:link w:val="Heading5Char"/>
    <w:uiPriority w:val="9"/>
    <w:semiHidden/>
    <w:unhideWhenUsed/>
    <w:qFormat/>
    <w:rsid w:val="00C2357F"/>
    <w:pPr>
      <w:numPr>
        <w:ilvl w:val="4"/>
        <w:numId w:val="5"/>
      </w:numPr>
      <w:spacing w:after="240"/>
      <w:jc w:val="both"/>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C2357F"/>
    <w:pPr>
      <w:numPr>
        <w:ilvl w:val="5"/>
        <w:numId w:val="5"/>
      </w:numPr>
      <w:spacing w:after="240"/>
      <w:jc w:val="both"/>
      <w:outlineLvl w:val="5"/>
    </w:pPr>
    <w:rPr>
      <w:rFonts w:asciiTheme="majorHAnsi" w:eastAsiaTheme="majorEastAsia" w:hAnsiTheme="majorHAnsi"/>
      <w:iCs/>
      <w:color w:val="243F60" w:themeColor="accent1" w:themeShade="7F"/>
    </w:rPr>
  </w:style>
  <w:style w:type="paragraph" w:styleId="Heading7">
    <w:name w:val="heading 7"/>
    <w:basedOn w:val="Normal"/>
    <w:next w:val="Normal"/>
    <w:link w:val="Heading7Char"/>
    <w:uiPriority w:val="9"/>
    <w:semiHidden/>
    <w:unhideWhenUsed/>
    <w:qFormat/>
    <w:rsid w:val="00C2357F"/>
    <w:pPr>
      <w:numPr>
        <w:ilvl w:val="6"/>
        <w:numId w:val="5"/>
      </w:numPr>
      <w:spacing w:after="240"/>
      <w:jc w:val="both"/>
      <w:outlineLvl w:val="6"/>
    </w:pPr>
    <w:rPr>
      <w:rFonts w:asciiTheme="majorHAnsi" w:eastAsiaTheme="majorEastAsia" w:hAnsiTheme="majorHAnsi"/>
      <w:iCs/>
      <w:color w:val="404040" w:themeColor="text1" w:themeTint="BF"/>
    </w:rPr>
  </w:style>
  <w:style w:type="paragraph" w:styleId="Heading8">
    <w:name w:val="heading 8"/>
    <w:basedOn w:val="Normal"/>
    <w:next w:val="Normal"/>
    <w:link w:val="Heading8Char"/>
    <w:uiPriority w:val="9"/>
    <w:semiHidden/>
    <w:unhideWhenUsed/>
    <w:qFormat/>
    <w:rsid w:val="00C2357F"/>
    <w:pPr>
      <w:numPr>
        <w:ilvl w:val="7"/>
        <w:numId w:val="5"/>
      </w:numPr>
      <w:spacing w:after="240"/>
      <w:jc w:val="both"/>
      <w:outlineLvl w:val="7"/>
    </w:pPr>
    <w:rPr>
      <w:rFonts w:asciiTheme="majorHAnsi" w:eastAsiaTheme="majorEastAsia" w:hAnsiTheme="majorHAnsi"/>
      <w:color w:val="404040" w:themeColor="text1" w:themeTint="BF"/>
      <w:szCs w:val="20"/>
    </w:rPr>
  </w:style>
  <w:style w:type="paragraph" w:styleId="Heading9">
    <w:name w:val="heading 9"/>
    <w:basedOn w:val="Normal"/>
    <w:next w:val="Normal"/>
    <w:link w:val="Heading9Char"/>
    <w:uiPriority w:val="9"/>
    <w:semiHidden/>
    <w:unhideWhenUsed/>
    <w:qFormat/>
    <w:rsid w:val="00C2357F"/>
    <w:pPr>
      <w:numPr>
        <w:ilvl w:val="8"/>
        <w:numId w:val="5"/>
      </w:numPr>
      <w:spacing w:after="240"/>
      <w:jc w:val="both"/>
      <w:outlineLvl w:val="8"/>
    </w:pPr>
    <w:rPr>
      <w:rFonts w:asciiTheme="majorHAnsi" w:eastAsiaTheme="majorEastAsia" w:hAnsiTheme="majorHAns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357F"/>
    <w:rPr>
      <w:rFonts w:ascii="Times New Roman" w:eastAsia="Times New Roman" w:hAnsi="Times New Roman" w:cs="Times New Roman"/>
      <w:b/>
      <w:caps/>
      <w:sz w:val="24"/>
      <w:szCs w:val="24"/>
      <w:u w:val="single"/>
    </w:rPr>
  </w:style>
  <w:style w:type="character" w:customStyle="1" w:styleId="Heading4Char">
    <w:name w:val="Heading 4 Char"/>
    <w:basedOn w:val="DefaultParagraphFont"/>
    <w:link w:val="Heading4"/>
    <w:rsid w:val="00C2357F"/>
    <w:rPr>
      <w:rFonts w:ascii="Times New Roman" w:eastAsia="Times New Roman" w:hAnsi="Times New Roman" w:cs="Times New Roman"/>
      <w:b/>
      <w:i/>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odyText">
    <w:name w:val="Body Text"/>
    <w:basedOn w:val="Normal"/>
    <w:link w:val="BodyTextChar"/>
    <w:pPr>
      <w:jc w:val="both"/>
    </w:pPr>
    <w:rPr>
      <w:rFonts w:ascii="Arial" w:hAnsi="Arial"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ascii="Arial" w:hAnsi="Arial"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character" w:styleId="PageNumber">
    <w:name w:val="page number"/>
    <w:basedOn w:val="DefaultParagraphFont"/>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paragraph" w:styleId="Title">
    <w:name w:val="Title"/>
    <w:basedOn w:val="Normal"/>
    <w:link w:val="TitleChar"/>
    <w:qFormat/>
    <w:pPr>
      <w:jc w:val="center"/>
    </w:pPr>
    <w:rPr>
      <w:rFonts w:ascii="Arial" w:hAnsi="Arial"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ascii="Arial" w:hAnsi="Arial"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473CF2"/>
    <w:rPr>
      <w:rFonts w:ascii="Tahoma" w:hAnsi="Tahoma" w:cs="Tahoma"/>
      <w:sz w:val="16"/>
      <w:szCs w:val="16"/>
    </w:rPr>
  </w:style>
  <w:style w:type="character" w:customStyle="1" w:styleId="BalloonTextChar">
    <w:name w:val="Balloon Text Char"/>
    <w:basedOn w:val="DefaultParagraphFont"/>
    <w:link w:val="BalloonText"/>
    <w:uiPriority w:val="99"/>
    <w:semiHidden/>
    <w:rsid w:val="00473CF2"/>
    <w:rPr>
      <w:rFonts w:ascii="Tahoma" w:eastAsia="Times New Roman" w:hAnsi="Tahoma" w:cs="Tahoma"/>
      <w:sz w:val="16"/>
      <w:szCs w:val="16"/>
    </w:rPr>
  </w:style>
  <w:style w:type="paragraph" w:styleId="FootnoteText">
    <w:name w:val="footnote text"/>
    <w:basedOn w:val="Normal"/>
    <w:link w:val="FootnoteTextChar"/>
    <w:uiPriority w:val="99"/>
    <w:unhideWhenUsed/>
    <w:rsid w:val="00306FDA"/>
    <w:rPr>
      <w:rFonts w:ascii="Arial" w:eastAsia="Calibri" w:hAnsi="Arial"/>
      <w:sz w:val="20"/>
      <w:szCs w:val="20"/>
    </w:rPr>
  </w:style>
  <w:style w:type="character" w:customStyle="1" w:styleId="FootnoteTextChar">
    <w:name w:val="Footnote Text Char"/>
    <w:basedOn w:val="DefaultParagraphFont"/>
    <w:link w:val="FootnoteText"/>
    <w:uiPriority w:val="99"/>
    <w:rsid w:val="00306FDA"/>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306FDA"/>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F608D"/>
    <w:pPr>
      <w:ind w:left="720"/>
      <w:contextualSpacing/>
    </w:pPr>
  </w:style>
  <w:style w:type="character" w:customStyle="1" w:styleId="Heading2Char">
    <w:name w:val="Heading 2 Char"/>
    <w:basedOn w:val="DefaultParagraphFont"/>
    <w:link w:val="Heading2"/>
    <w:uiPriority w:val="9"/>
    <w:semiHidden/>
    <w:rsid w:val="00C2357F"/>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sid w:val="00C2357F"/>
    <w:rPr>
      <w:rFonts w:ascii="Times New Roman" w:eastAsiaTheme="majorEastAsia" w:hAnsi="Times New Roman" w:cs="Times New Roman"/>
      <w:b/>
      <w:bCs/>
      <w:sz w:val="24"/>
      <w:szCs w:val="24"/>
    </w:rPr>
  </w:style>
  <w:style w:type="character" w:customStyle="1" w:styleId="Heading5Char">
    <w:name w:val="Heading 5 Char"/>
    <w:basedOn w:val="DefaultParagraphFont"/>
    <w:link w:val="Heading5"/>
    <w:uiPriority w:val="9"/>
    <w:semiHidden/>
    <w:rsid w:val="00C2357F"/>
    <w:rPr>
      <w:rFonts w:asciiTheme="majorHAnsi" w:eastAsiaTheme="majorEastAsia" w:hAnsiTheme="majorHAnsi" w:cs="Times New Roman"/>
      <w:color w:val="243F60" w:themeColor="accent1" w:themeShade="7F"/>
      <w:sz w:val="24"/>
      <w:szCs w:val="24"/>
    </w:rPr>
  </w:style>
  <w:style w:type="character" w:customStyle="1" w:styleId="Heading6Char">
    <w:name w:val="Heading 6 Char"/>
    <w:basedOn w:val="DefaultParagraphFont"/>
    <w:link w:val="Heading6"/>
    <w:uiPriority w:val="9"/>
    <w:semiHidden/>
    <w:rsid w:val="00C2357F"/>
    <w:rPr>
      <w:rFonts w:asciiTheme="majorHAnsi" w:eastAsiaTheme="majorEastAsia" w:hAnsiTheme="majorHAnsi" w:cs="Times New Roman"/>
      <w:iCs/>
      <w:color w:val="243F60" w:themeColor="accent1" w:themeShade="7F"/>
      <w:sz w:val="24"/>
      <w:szCs w:val="24"/>
    </w:rPr>
  </w:style>
  <w:style w:type="character" w:customStyle="1" w:styleId="Heading7Char">
    <w:name w:val="Heading 7 Char"/>
    <w:basedOn w:val="DefaultParagraphFont"/>
    <w:link w:val="Heading7"/>
    <w:uiPriority w:val="9"/>
    <w:semiHidden/>
    <w:rsid w:val="00C2357F"/>
    <w:rPr>
      <w:rFonts w:asciiTheme="majorHAnsi" w:eastAsiaTheme="majorEastAsia" w:hAnsiTheme="majorHAnsi" w:cs="Times New Roman"/>
      <w:iCs/>
      <w:color w:val="404040" w:themeColor="text1" w:themeTint="BF"/>
      <w:sz w:val="24"/>
      <w:szCs w:val="24"/>
    </w:rPr>
  </w:style>
  <w:style w:type="character" w:customStyle="1" w:styleId="Heading8Char">
    <w:name w:val="Heading 8 Char"/>
    <w:basedOn w:val="DefaultParagraphFont"/>
    <w:link w:val="Heading8"/>
    <w:uiPriority w:val="9"/>
    <w:semiHidden/>
    <w:rsid w:val="00C2357F"/>
    <w:rPr>
      <w:rFonts w:asciiTheme="majorHAnsi" w:eastAsiaTheme="majorEastAsia" w:hAnsiTheme="majorHAnsi" w:cs="Times New Roman"/>
      <w:color w:val="404040" w:themeColor="text1" w:themeTint="BF"/>
      <w:sz w:val="24"/>
      <w:szCs w:val="20"/>
    </w:rPr>
  </w:style>
  <w:style w:type="character" w:customStyle="1" w:styleId="Heading9Char">
    <w:name w:val="Heading 9 Char"/>
    <w:basedOn w:val="DefaultParagraphFont"/>
    <w:link w:val="Heading9"/>
    <w:uiPriority w:val="9"/>
    <w:semiHidden/>
    <w:rsid w:val="00C2357F"/>
    <w:rPr>
      <w:rFonts w:asciiTheme="majorHAnsi" w:eastAsiaTheme="majorEastAsia" w:hAnsiTheme="majorHAnsi" w:cs="Times New Roman"/>
      <w:iCs/>
      <w:color w:val="404040" w:themeColor="text1" w:themeTint="BF"/>
      <w:sz w:val="24"/>
      <w:szCs w:val="20"/>
    </w:rPr>
  </w:style>
  <w:style w:type="paragraph" w:styleId="TOCHeading">
    <w:name w:val="TOC Heading"/>
    <w:basedOn w:val="Normal"/>
    <w:next w:val="TOC1"/>
    <w:uiPriority w:val="39"/>
    <w:unhideWhenUsed/>
    <w:qFormat/>
    <w:rsid w:val="00C2357F"/>
    <w:pPr>
      <w:keepNext/>
      <w:keepLines/>
      <w:spacing w:before="480" w:after="240"/>
      <w:jc w:val="center"/>
    </w:pPr>
    <w:rPr>
      <w:rFonts w:eastAsiaTheme="majorEastAsia"/>
      <w:b/>
      <w:bCs/>
      <w:color w:val="365F91" w:themeColor="accent1" w:themeShade="BF"/>
      <w:szCs w:val="28"/>
    </w:rPr>
  </w:style>
  <w:style w:type="paragraph" w:styleId="TOC1">
    <w:name w:val="toc 1"/>
    <w:basedOn w:val="Normal"/>
    <w:next w:val="Normal"/>
    <w:autoRedefine/>
    <w:uiPriority w:val="39"/>
    <w:unhideWhenUsed/>
    <w:rsid w:val="00C2357F"/>
    <w:pPr>
      <w:tabs>
        <w:tab w:val="left" w:pos="720"/>
        <w:tab w:val="right" w:leader="dot" w:pos="9350"/>
      </w:tabs>
      <w:spacing w:after="100"/>
    </w:pPr>
  </w:style>
  <w:style w:type="paragraph" w:styleId="TOC2">
    <w:name w:val="toc 2"/>
    <w:basedOn w:val="Normal"/>
    <w:next w:val="Normal"/>
    <w:autoRedefine/>
    <w:uiPriority w:val="39"/>
    <w:semiHidden/>
    <w:unhideWhenUsed/>
    <w:rsid w:val="00C2357F"/>
    <w:pPr>
      <w:spacing w:after="100"/>
      <w:ind w:left="240"/>
    </w:pPr>
  </w:style>
  <w:style w:type="paragraph" w:styleId="TOC3">
    <w:name w:val="toc 3"/>
    <w:basedOn w:val="Normal"/>
    <w:next w:val="Normal"/>
    <w:autoRedefine/>
    <w:uiPriority w:val="39"/>
    <w:semiHidden/>
    <w:unhideWhenUsed/>
    <w:rsid w:val="00C2357F"/>
    <w:pPr>
      <w:spacing w:after="100"/>
      <w:ind w:left="480"/>
    </w:pPr>
  </w:style>
  <w:style w:type="paragraph" w:styleId="TOC4">
    <w:name w:val="toc 4"/>
    <w:basedOn w:val="Normal"/>
    <w:next w:val="Normal"/>
    <w:autoRedefine/>
    <w:uiPriority w:val="39"/>
    <w:semiHidden/>
    <w:unhideWhenUsed/>
    <w:rsid w:val="00C2357F"/>
    <w:pPr>
      <w:spacing w:after="100"/>
      <w:ind w:left="720"/>
    </w:pPr>
  </w:style>
  <w:style w:type="paragraph" w:styleId="TOC5">
    <w:name w:val="toc 5"/>
    <w:basedOn w:val="Normal"/>
    <w:next w:val="Normal"/>
    <w:autoRedefine/>
    <w:uiPriority w:val="39"/>
    <w:semiHidden/>
    <w:unhideWhenUsed/>
    <w:rsid w:val="00C2357F"/>
    <w:pPr>
      <w:spacing w:after="100"/>
      <w:ind w:left="960"/>
    </w:pPr>
  </w:style>
  <w:style w:type="paragraph" w:styleId="TOC6">
    <w:name w:val="toc 6"/>
    <w:basedOn w:val="Normal"/>
    <w:next w:val="Normal"/>
    <w:autoRedefine/>
    <w:uiPriority w:val="39"/>
    <w:semiHidden/>
    <w:unhideWhenUsed/>
    <w:rsid w:val="00C2357F"/>
    <w:pPr>
      <w:spacing w:after="100"/>
      <w:ind w:left="1200"/>
    </w:pPr>
  </w:style>
  <w:style w:type="paragraph" w:styleId="TOC7">
    <w:name w:val="toc 7"/>
    <w:basedOn w:val="Normal"/>
    <w:next w:val="Normal"/>
    <w:autoRedefine/>
    <w:uiPriority w:val="39"/>
    <w:semiHidden/>
    <w:unhideWhenUsed/>
    <w:rsid w:val="00C2357F"/>
    <w:pPr>
      <w:spacing w:after="100"/>
      <w:ind w:left="1440"/>
    </w:pPr>
  </w:style>
  <w:style w:type="paragraph" w:styleId="TOC8">
    <w:name w:val="toc 8"/>
    <w:basedOn w:val="Normal"/>
    <w:next w:val="Normal"/>
    <w:autoRedefine/>
    <w:uiPriority w:val="39"/>
    <w:semiHidden/>
    <w:unhideWhenUsed/>
    <w:rsid w:val="00C2357F"/>
    <w:pPr>
      <w:spacing w:after="100"/>
      <w:ind w:left="1680"/>
    </w:pPr>
  </w:style>
  <w:style w:type="paragraph" w:styleId="TOC9">
    <w:name w:val="toc 9"/>
    <w:basedOn w:val="Normal"/>
    <w:next w:val="Normal"/>
    <w:autoRedefine/>
    <w:uiPriority w:val="39"/>
    <w:semiHidden/>
    <w:unhideWhenUsed/>
    <w:rsid w:val="00C2357F"/>
    <w:pPr>
      <w:spacing w:after="100"/>
      <w:ind w:left="1920"/>
    </w:pPr>
  </w:style>
  <w:style w:type="paragraph" w:customStyle="1" w:styleId="TOCPage">
    <w:name w:val="TOC Page"/>
    <w:basedOn w:val="Normal"/>
    <w:next w:val="Normal"/>
    <w:link w:val="TOCPageChar"/>
    <w:rsid w:val="00C2357F"/>
    <w:pPr>
      <w:spacing w:after="240"/>
      <w:jc w:val="right"/>
    </w:pPr>
    <w:rPr>
      <w:b/>
      <w:smallCaps/>
    </w:rPr>
  </w:style>
  <w:style w:type="character" w:customStyle="1" w:styleId="TOCPageChar">
    <w:name w:val="TOC Page Char"/>
    <w:basedOn w:val="TitleChar"/>
    <w:link w:val="TOCPage"/>
    <w:rsid w:val="00C2357F"/>
    <w:rPr>
      <w:rFonts w:ascii="Times New Roman" w:eastAsia="Times New Roman" w:hAnsi="Times New Roman" w:cs="Times New Roman"/>
      <w:b/>
      <w:smallCaps/>
      <w:sz w:val="24"/>
      <w:szCs w:val="24"/>
    </w:rPr>
  </w:style>
  <w:style w:type="character" w:styleId="CommentReference">
    <w:name w:val="annotation reference"/>
    <w:basedOn w:val="DefaultParagraphFont"/>
    <w:uiPriority w:val="99"/>
    <w:semiHidden/>
    <w:unhideWhenUsed/>
    <w:rsid w:val="005E3435"/>
    <w:rPr>
      <w:sz w:val="16"/>
      <w:szCs w:val="16"/>
    </w:rPr>
  </w:style>
  <w:style w:type="paragraph" w:styleId="CommentText">
    <w:name w:val="annotation text"/>
    <w:basedOn w:val="Normal"/>
    <w:link w:val="CommentTextChar"/>
    <w:uiPriority w:val="99"/>
    <w:semiHidden/>
    <w:unhideWhenUsed/>
    <w:rsid w:val="005E3435"/>
    <w:rPr>
      <w:rFonts w:ascii="Arial" w:hAnsi="Arial"/>
      <w:sz w:val="20"/>
      <w:szCs w:val="20"/>
    </w:rPr>
  </w:style>
  <w:style w:type="character" w:customStyle="1" w:styleId="CommentTextChar">
    <w:name w:val="Comment Text Char"/>
    <w:basedOn w:val="DefaultParagraphFont"/>
    <w:link w:val="CommentText"/>
    <w:uiPriority w:val="99"/>
    <w:semiHidden/>
    <w:rsid w:val="005E343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Pr>
      <w:rFonts w:ascii="Times New Roman" w:hAnsi="Times New Roman"/>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2357F"/>
    <w:pPr>
      <w:numPr>
        <w:numId w:val="5"/>
      </w:numPr>
      <w:tabs>
        <w:tab w:val="clear" w:pos="720"/>
      </w:tabs>
      <w:spacing w:after="240"/>
      <w:jc w:val="both"/>
      <w:outlineLvl w:val="0"/>
    </w:pPr>
    <w:rPr>
      <w:b/>
      <w:caps/>
      <w:u w:val="single"/>
    </w:rPr>
  </w:style>
  <w:style w:type="paragraph" w:styleId="Heading2">
    <w:name w:val="heading 2"/>
    <w:basedOn w:val="Normal"/>
    <w:next w:val="Normal"/>
    <w:link w:val="Heading2Char"/>
    <w:uiPriority w:val="9"/>
    <w:semiHidden/>
    <w:unhideWhenUsed/>
    <w:qFormat/>
    <w:rsid w:val="00C2357F"/>
    <w:pPr>
      <w:numPr>
        <w:ilvl w:val="1"/>
        <w:numId w:val="5"/>
      </w:numPr>
      <w:spacing w:after="240"/>
      <w:jc w:val="both"/>
      <w:outlineLvl w:val="1"/>
    </w:pPr>
    <w:rPr>
      <w:rFonts w:eastAsiaTheme="majorEastAsia"/>
      <w:b/>
      <w:bCs/>
      <w:szCs w:val="26"/>
    </w:rPr>
  </w:style>
  <w:style w:type="paragraph" w:styleId="Heading3">
    <w:name w:val="heading 3"/>
    <w:basedOn w:val="Normal"/>
    <w:next w:val="Normal"/>
    <w:link w:val="Heading3Char"/>
    <w:uiPriority w:val="9"/>
    <w:semiHidden/>
    <w:unhideWhenUsed/>
    <w:qFormat/>
    <w:rsid w:val="00C2357F"/>
    <w:pPr>
      <w:numPr>
        <w:ilvl w:val="2"/>
        <w:numId w:val="5"/>
      </w:numPr>
      <w:spacing w:after="240"/>
      <w:jc w:val="both"/>
      <w:outlineLvl w:val="2"/>
    </w:pPr>
    <w:rPr>
      <w:rFonts w:eastAsiaTheme="majorEastAsia"/>
      <w:b/>
      <w:bCs/>
    </w:rPr>
  </w:style>
  <w:style w:type="paragraph" w:styleId="Heading4">
    <w:name w:val="heading 4"/>
    <w:basedOn w:val="Normal"/>
    <w:next w:val="Normal"/>
    <w:link w:val="Heading4Char"/>
    <w:qFormat/>
    <w:rsid w:val="00C2357F"/>
    <w:pPr>
      <w:numPr>
        <w:ilvl w:val="3"/>
        <w:numId w:val="5"/>
      </w:numPr>
      <w:spacing w:after="240"/>
      <w:jc w:val="both"/>
      <w:outlineLvl w:val="3"/>
    </w:pPr>
    <w:rPr>
      <w:b/>
      <w:i/>
    </w:rPr>
  </w:style>
  <w:style w:type="paragraph" w:styleId="Heading5">
    <w:name w:val="heading 5"/>
    <w:basedOn w:val="Normal"/>
    <w:next w:val="Normal"/>
    <w:link w:val="Heading5Char"/>
    <w:uiPriority w:val="9"/>
    <w:semiHidden/>
    <w:unhideWhenUsed/>
    <w:qFormat/>
    <w:rsid w:val="00C2357F"/>
    <w:pPr>
      <w:numPr>
        <w:ilvl w:val="4"/>
        <w:numId w:val="5"/>
      </w:numPr>
      <w:spacing w:after="240"/>
      <w:jc w:val="both"/>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C2357F"/>
    <w:pPr>
      <w:numPr>
        <w:ilvl w:val="5"/>
        <w:numId w:val="5"/>
      </w:numPr>
      <w:spacing w:after="240"/>
      <w:jc w:val="both"/>
      <w:outlineLvl w:val="5"/>
    </w:pPr>
    <w:rPr>
      <w:rFonts w:asciiTheme="majorHAnsi" w:eastAsiaTheme="majorEastAsia" w:hAnsiTheme="majorHAnsi"/>
      <w:iCs/>
      <w:color w:val="243F60" w:themeColor="accent1" w:themeShade="7F"/>
    </w:rPr>
  </w:style>
  <w:style w:type="paragraph" w:styleId="Heading7">
    <w:name w:val="heading 7"/>
    <w:basedOn w:val="Normal"/>
    <w:next w:val="Normal"/>
    <w:link w:val="Heading7Char"/>
    <w:uiPriority w:val="9"/>
    <w:semiHidden/>
    <w:unhideWhenUsed/>
    <w:qFormat/>
    <w:rsid w:val="00C2357F"/>
    <w:pPr>
      <w:numPr>
        <w:ilvl w:val="6"/>
        <w:numId w:val="5"/>
      </w:numPr>
      <w:spacing w:after="240"/>
      <w:jc w:val="both"/>
      <w:outlineLvl w:val="6"/>
    </w:pPr>
    <w:rPr>
      <w:rFonts w:asciiTheme="majorHAnsi" w:eastAsiaTheme="majorEastAsia" w:hAnsiTheme="majorHAnsi"/>
      <w:iCs/>
      <w:color w:val="404040" w:themeColor="text1" w:themeTint="BF"/>
    </w:rPr>
  </w:style>
  <w:style w:type="paragraph" w:styleId="Heading8">
    <w:name w:val="heading 8"/>
    <w:basedOn w:val="Normal"/>
    <w:next w:val="Normal"/>
    <w:link w:val="Heading8Char"/>
    <w:uiPriority w:val="9"/>
    <w:semiHidden/>
    <w:unhideWhenUsed/>
    <w:qFormat/>
    <w:rsid w:val="00C2357F"/>
    <w:pPr>
      <w:numPr>
        <w:ilvl w:val="7"/>
        <w:numId w:val="5"/>
      </w:numPr>
      <w:spacing w:after="240"/>
      <w:jc w:val="both"/>
      <w:outlineLvl w:val="7"/>
    </w:pPr>
    <w:rPr>
      <w:rFonts w:asciiTheme="majorHAnsi" w:eastAsiaTheme="majorEastAsia" w:hAnsiTheme="majorHAnsi"/>
      <w:color w:val="404040" w:themeColor="text1" w:themeTint="BF"/>
      <w:szCs w:val="20"/>
    </w:rPr>
  </w:style>
  <w:style w:type="paragraph" w:styleId="Heading9">
    <w:name w:val="heading 9"/>
    <w:basedOn w:val="Normal"/>
    <w:next w:val="Normal"/>
    <w:link w:val="Heading9Char"/>
    <w:uiPriority w:val="9"/>
    <w:semiHidden/>
    <w:unhideWhenUsed/>
    <w:qFormat/>
    <w:rsid w:val="00C2357F"/>
    <w:pPr>
      <w:numPr>
        <w:ilvl w:val="8"/>
        <w:numId w:val="5"/>
      </w:numPr>
      <w:spacing w:after="240"/>
      <w:jc w:val="both"/>
      <w:outlineLvl w:val="8"/>
    </w:pPr>
    <w:rPr>
      <w:rFonts w:asciiTheme="majorHAnsi" w:eastAsiaTheme="majorEastAsia" w:hAnsiTheme="majorHAns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357F"/>
    <w:rPr>
      <w:rFonts w:ascii="Times New Roman" w:eastAsia="Times New Roman" w:hAnsi="Times New Roman" w:cs="Times New Roman"/>
      <w:b/>
      <w:caps/>
      <w:sz w:val="24"/>
      <w:szCs w:val="24"/>
      <w:u w:val="single"/>
    </w:rPr>
  </w:style>
  <w:style w:type="character" w:customStyle="1" w:styleId="Heading4Char">
    <w:name w:val="Heading 4 Char"/>
    <w:basedOn w:val="DefaultParagraphFont"/>
    <w:link w:val="Heading4"/>
    <w:rsid w:val="00C2357F"/>
    <w:rPr>
      <w:rFonts w:ascii="Times New Roman" w:eastAsia="Times New Roman" w:hAnsi="Times New Roman" w:cs="Times New Roman"/>
      <w:b/>
      <w:i/>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odyText">
    <w:name w:val="Body Text"/>
    <w:basedOn w:val="Normal"/>
    <w:link w:val="BodyTextChar"/>
    <w:pPr>
      <w:jc w:val="both"/>
    </w:pPr>
    <w:rPr>
      <w:rFonts w:ascii="Arial" w:hAnsi="Arial"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ascii="Arial" w:hAnsi="Arial"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character" w:styleId="PageNumber">
    <w:name w:val="page number"/>
    <w:basedOn w:val="DefaultParagraphFont"/>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paragraph" w:styleId="Title">
    <w:name w:val="Title"/>
    <w:basedOn w:val="Normal"/>
    <w:link w:val="TitleChar"/>
    <w:qFormat/>
    <w:pPr>
      <w:jc w:val="center"/>
    </w:pPr>
    <w:rPr>
      <w:rFonts w:ascii="Arial" w:hAnsi="Arial"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ascii="Arial" w:hAnsi="Arial"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473CF2"/>
    <w:rPr>
      <w:rFonts w:ascii="Tahoma" w:hAnsi="Tahoma" w:cs="Tahoma"/>
      <w:sz w:val="16"/>
      <w:szCs w:val="16"/>
    </w:rPr>
  </w:style>
  <w:style w:type="character" w:customStyle="1" w:styleId="BalloonTextChar">
    <w:name w:val="Balloon Text Char"/>
    <w:basedOn w:val="DefaultParagraphFont"/>
    <w:link w:val="BalloonText"/>
    <w:uiPriority w:val="99"/>
    <w:semiHidden/>
    <w:rsid w:val="00473CF2"/>
    <w:rPr>
      <w:rFonts w:ascii="Tahoma" w:eastAsia="Times New Roman" w:hAnsi="Tahoma" w:cs="Tahoma"/>
      <w:sz w:val="16"/>
      <w:szCs w:val="16"/>
    </w:rPr>
  </w:style>
  <w:style w:type="paragraph" w:styleId="FootnoteText">
    <w:name w:val="footnote text"/>
    <w:basedOn w:val="Normal"/>
    <w:link w:val="FootnoteTextChar"/>
    <w:uiPriority w:val="99"/>
    <w:unhideWhenUsed/>
    <w:rsid w:val="00306FDA"/>
    <w:rPr>
      <w:rFonts w:ascii="Arial" w:eastAsia="Calibri" w:hAnsi="Arial"/>
      <w:sz w:val="20"/>
      <w:szCs w:val="20"/>
    </w:rPr>
  </w:style>
  <w:style w:type="character" w:customStyle="1" w:styleId="FootnoteTextChar">
    <w:name w:val="Footnote Text Char"/>
    <w:basedOn w:val="DefaultParagraphFont"/>
    <w:link w:val="FootnoteText"/>
    <w:uiPriority w:val="99"/>
    <w:rsid w:val="00306FDA"/>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306FDA"/>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F608D"/>
    <w:pPr>
      <w:ind w:left="720"/>
      <w:contextualSpacing/>
    </w:pPr>
  </w:style>
  <w:style w:type="character" w:customStyle="1" w:styleId="Heading2Char">
    <w:name w:val="Heading 2 Char"/>
    <w:basedOn w:val="DefaultParagraphFont"/>
    <w:link w:val="Heading2"/>
    <w:uiPriority w:val="9"/>
    <w:semiHidden/>
    <w:rsid w:val="00C2357F"/>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sid w:val="00C2357F"/>
    <w:rPr>
      <w:rFonts w:ascii="Times New Roman" w:eastAsiaTheme="majorEastAsia" w:hAnsi="Times New Roman" w:cs="Times New Roman"/>
      <w:b/>
      <w:bCs/>
      <w:sz w:val="24"/>
      <w:szCs w:val="24"/>
    </w:rPr>
  </w:style>
  <w:style w:type="character" w:customStyle="1" w:styleId="Heading5Char">
    <w:name w:val="Heading 5 Char"/>
    <w:basedOn w:val="DefaultParagraphFont"/>
    <w:link w:val="Heading5"/>
    <w:uiPriority w:val="9"/>
    <w:semiHidden/>
    <w:rsid w:val="00C2357F"/>
    <w:rPr>
      <w:rFonts w:asciiTheme="majorHAnsi" w:eastAsiaTheme="majorEastAsia" w:hAnsiTheme="majorHAnsi" w:cs="Times New Roman"/>
      <w:color w:val="243F60" w:themeColor="accent1" w:themeShade="7F"/>
      <w:sz w:val="24"/>
      <w:szCs w:val="24"/>
    </w:rPr>
  </w:style>
  <w:style w:type="character" w:customStyle="1" w:styleId="Heading6Char">
    <w:name w:val="Heading 6 Char"/>
    <w:basedOn w:val="DefaultParagraphFont"/>
    <w:link w:val="Heading6"/>
    <w:uiPriority w:val="9"/>
    <w:semiHidden/>
    <w:rsid w:val="00C2357F"/>
    <w:rPr>
      <w:rFonts w:asciiTheme="majorHAnsi" w:eastAsiaTheme="majorEastAsia" w:hAnsiTheme="majorHAnsi" w:cs="Times New Roman"/>
      <w:iCs/>
      <w:color w:val="243F60" w:themeColor="accent1" w:themeShade="7F"/>
      <w:sz w:val="24"/>
      <w:szCs w:val="24"/>
    </w:rPr>
  </w:style>
  <w:style w:type="character" w:customStyle="1" w:styleId="Heading7Char">
    <w:name w:val="Heading 7 Char"/>
    <w:basedOn w:val="DefaultParagraphFont"/>
    <w:link w:val="Heading7"/>
    <w:uiPriority w:val="9"/>
    <w:semiHidden/>
    <w:rsid w:val="00C2357F"/>
    <w:rPr>
      <w:rFonts w:asciiTheme="majorHAnsi" w:eastAsiaTheme="majorEastAsia" w:hAnsiTheme="majorHAnsi" w:cs="Times New Roman"/>
      <w:iCs/>
      <w:color w:val="404040" w:themeColor="text1" w:themeTint="BF"/>
      <w:sz w:val="24"/>
      <w:szCs w:val="24"/>
    </w:rPr>
  </w:style>
  <w:style w:type="character" w:customStyle="1" w:styleId="Heading8Char">
    <w:name w:val="Heading 8 Char"/>
    <w:basedOn w:val="DefaultParagraphFont"/>
    <w:link w:val="Heading8"/>
    <w:uiPriority w:val="9"/>
    <w:semiHidden/>
    <w:rsid w:val="00C2357F"/>
    <w:rPr>
      <w:rFonts w:asciiTheme="majorHAnsi" w:eastAsiaTheme="majorEastAsia" w:hAnsiTheme="majorHAnsi" w:cs="Times New Roman"/>
      <w:color w:val="404040" w:themeColor="text1" w:themeTint="BF"/>
      <w:sz w:val="24"/>
      <w:szCs w:val="20"/>
    </w:rPr>
  </w:style>
  <w:style w:type="character" w:customStyle="1" w:styleId="Heading9Char">
    <w:name w:val="Heading 9 Char"/>
    <w:basedOn w:val="DefaultParagraphFont"/>
    <w:link w:val="Heading9"/>
    <w:uiPriority w:val="9"/>
    <w:semiHidden/>
    <w:rsid w:val="00C2357F"/>
    <w:rPr>
      <w:rFonts w:asciiTheme="majorHAnsi" w:eastAsiaTheme="majorEastAsia" w:hAnsiTheme="majorHAnsi" w:cs="Times New Roman"/>
      <w:iCs/>
      <w:color w:val="404040" w:themeColor="text1" w:themeTint="BF"/>
      <w:sz w:val="24"/>
      <w:szCs w:val="20"/>
    </w:rPr>
  </w:style>
  <w:style w:type="paragraph" w:styleId="TOCHeading">
    <w:name w:val="TOC Heading"/>
    <w:basedOn w:val="Normal"/>
    <w:next w:val="TOC1"/>
    <w:uiPriority w:val="39"/>
    <w:unhideWhenUsed/>
    <w:qFormat/>
    <w:rsid w:val="00C2357F"/>
    <w:pPr>
      <w:keepNext/>
      <w:keepLines/>
      <w:spacing w:before="480" w:after="240"/>
      <w:jc w:val="center"/>
    </w:pPr>
    <w:rPr>
      <w:rFonts w:eastAsiaTheme="majorEastAsia"/>
      <w:b/>
      <w:bCs/>
      <w:color w:val="365F91" w:themeColor="accent1" w:themeShade="BF"/>
      <w:szCs w:val="28"/>
    </w:rPr>
  </w:style>
  <w:style w:type="paragraph" w:styleId="TOC1">
    <w:name w:val="toc 1"/>
    <w:basedOn w:val="Normal"/>
    <w:next w:val="Normal"/>
    <w:autoRedefine/>
    <w:uiPriority w:val="39"/>
    <w:unhideWhenUsed/>
    <w:rsid w:val="00C2357F"/>
    <w:pPr>
      <w:tabs>
        <w:tab w:val="left" w:pos="720"/>
        <w:tab w:val="right" w:leader="dot" w:pos="9350"/>
      </w:tabs>
      <w:spacing w:after="100"/>
    </w:pPr>
  </w:style>
  <w:style w:type="paragraph" w:styleId="TOC2">
    <w:name w:val="toc 2"/>
    <w:basedOn w:val="Normal"/>
    <w:next w:val="Normal"/>
    <w:autoRedefine/>
    <w:uiPriority w:val="39"/>
    <w:semiHidden/>
    <w:unhideWhenUsed/>
    <w:rsid w:val="00C2357F"/>
    <w:pPr>
      <w:spacing w:after="100"/>
      <w:ind w:left="240"/>
    </w:pPr>
  </w:style>
  <w:style w:type="paragraph" w:styleId="TOC3">
    <w:name w:val="toc 3"/>
    <w:basedOn w:val="Normal"/>
    <w:next w:val="Normal"/>
    <w:autoRedefine/>
    <w:uiPriority w:val="39"/>
    <w:semiHidden/>
    <w:unhideWhenUsed/>
    <w:rsid w:val="00C2357F"/>
    <w:pPr>
      <w:spacing w:after="100"/>
      <w:ind w:left="480"/>
    </w:pPr>
  </w:style>
  <w:style w:type="paragraph" w:styleId="TOC4">
    <w:name w:val="toc 4"/>
    <w:basedOn w:val="Normal"/>
    <w:next w:val="Normal"/>
    <w:autoRedefine/>
    <w:uiPriority w:val="39"/>
    <w:semiHidden/>
    <w:unhideWhenUsed/>
    <w:rsid w:val="00C2357F"/>
    <w:pPr>
      <w:spacing w:after="100"/>
      <w:ind w:left="720"/>
    </w:pPr>
  </w:style>
  <w:style w:type="paragraph" w:styleId="TOC5">
    <w:name w:val="toc 5"/>
    <w:basedOn w:val="Normal"/>
    <w:next w:val="Normal"/>
    <w:autoRedefine/>
    <w:uiPriority w:val="39"/>
    <w:semiHidden/>
    <w:unhideWhenUsed/>
    <w:rsid w:val="00C2357F"/>
    <w:pPr>
      <w:spacing w:after="100"/>
      <w:ind w:left="960"/>
    </w:pPr>
  </w:style>
  <w:style w:type="paragraph" w:styleId="TOC6">
    <w:name w:val="toc 6"/>
    <w:basedOn w:val="Normal"/>
    <w:next w:val="Normal"/>
    <w:autoRedefine/>
    <w:uiPriority w:val="39"/>
    <w:semiHidden/>
    <w:unhideWhenUsed/>
    <w:rsid w:val="00C2357F"/>
    <w:pPr>
      <w:spacing w:after="100"/>
      <w:ind w:left="1200"/>
    </w:pPr>
  </w:style>
  <w:style w:type="paragraph" w:styleId="TOC7">
    <w:name w:val="toc 7"/>
    <w:basedOn w:val="Normal"/>
    <w:next w:val="Normal"/>
    <w:autoRedefine/>
    <w:uiPriority w:val="39"/>
    <w:semiHidden/>
    <w:unhideWhenUsed/>
    <w:rsid w:val="00C2357F"/>
    <w:pPr>
      <w:spacing w:after="100"/>
      <w:ind w:left="1440"/>
    </w:pPr>
  </w:style>
  <w:style w:type="paragraph" w:styleId="TOC8">
    <w:name w:val="toc 8"/>
    <w:basedOn w:val="Normal"/>
    <w:next w:val="Normal"/>
    <w:autoRedefine/>
    <w:uiPriority w:val="39"/>
    <w:semiHidden/>
    <w:unhideWhenUsed/>
    <w:rsid w:val="00C2357F"/>
    <w:pPr>
      <w:spacing w:after="100"/>
      <w:ind w:left="1680"/>
    </w:pPr>
  </w:style>
  <w:style w:type="paragraph" w:styleId="TOC9">
    <w:name w:val="toc 9"/>
    <w:basedOn w:val="Normal"/>
    <w:next w:val="Normal"/>
    <w:autoRedefine/>
    <w:uiPriority w:val="39"/>
    <w:semiHidden/>
    <w:unhideWhenUsed/>
    <w:rsid w:val="00C2357F"/>
    <w:pPr>
      <w:spacing w:after="100"/>
      <w:ind w:left="1920"/>
    </w:pPr>
  </w:style>
  <w:style w:type="paragraph" w:customStyle="1" w:styleId="TOCPage">
    <w:name w:val="TOC Page"/>
    <w:basedOn w:val="Normal"/>
    <w:next w:val="Normal"/>
    <w:link w:val="TOCPageChar"/>
    <w:rsid w:val="00C2357F"/>
    <w:pPr>
      <w:spacing w:after="240"/>
      <w:jc w:val="right"/>
    </w:pPr>
    <w:rPr>
      <w:b/>
      <w:smallCaps/>
    </w:rPr>
  </w:style>
  <w:style w:type="character" w:customStyle="1" w:styleId="TOCPageChar">
    <w:name w:val="TOC Page Char"/>
    <w:basedOn w:val="TitleChar"/>
    <w:link w:val="TOCPage"/>
    <w:rsid w:val="00C2357F"/>
    <w:rPr>
      <w:rFonts w:ascii="Times New Roman" w:eastAsia="Times New Roman" w:hAnsi="Times New Roman" w:cs="Times New Roman"/>
      <w:b/>
      <w:smallCaps/>
      <w:sz w:val="24"/>
      <w:szCs w:val="24"/>
    </w:rPr>
  </w:style>
  <w:style w:type="character" w:styleId="CommentReference">
    <w:name w:val="annotation reference"/>
    <w:basedOn w:val="DefaultParagraphFont"/>
    <w:uiPriority w:val="99"/>
    <w:semiHidden/>
    <w:unhideWhenUsed/>
    <w:rsid w:val="005E3435"/>
    <w:rPr>
      <w:sz w:val="16"/>
      <w:szCs w:val="16"/>
    </w:rPr>
  </w:style>
  <w:style w:type="paragraph" w:styleId="CommentText">
    <w:name w:val="annotation text"/>
    <w:basedOn w:val="Normal"/>
    <w:link w:val="CommentTextChar"/>
    <w:uiPriority w:val="99"/>
    <w:semiHidden/>
    <w:unhideWhenUsed/>
    <w:rsid w:val="005E3435"/>
    <w:rPr>
      <w:rFonts w:ascii="Arial" w:hAnsi="Arial"/>
      <w:sz w:val="20"/>
      <w:szCs w:val="20"/>
    </w:rPr>
  </w:style>
  <w:style w:type="character" w:customStyle="1" w:styleId="CommentTextChar">
    <w:name w:val="Comment Text Char"/>
    <w:basedOn w:val="DefaultParagraphFont"/>
    <w:link w:val="CommentText"/>
    <w:uiPriority w:val="99"/>
    <w:semiHidden/>
    <w:rsid w:val="005E343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Pr>
      <w:rFonts w:ascii="Times New Roman" w:hAnsi="Times New Roman"/>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71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87536-50E0-4A92-991F-D900028E2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2651</Words>
  <Characters>15602</Characters>
  <Application>Microsoft Office Word</Application>
  <DocSecurity>0</DocSecurity>
  <PresentationFormat/>
  <Lines>451</Lines>
  <Paragraphs>221</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18198</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IEU Reply Brief - Case No. 12-2190-EL-POR, et al. (C39242-8).DOCX</dc:title>
  <dc:subject>C39242:8 /font=8</dc:subject>
  <dc:creator/>
  <cp:keywords> </cp:keywords>
  <dc:description> </dc:description>
  <cp:lastModifiedBy/>
  <cp:revision>1</cp:revision>
  <cp:lastPrinted>2012-11-20T14:51:00Z</cp:lastPrinted>
  <dcterms:created xsi:type="dcterms:W3CDTF">2012-11-26T19:21:00Z</dcterms:created>
  <dcterms:modified xsi:type="dcterms:W3CDTF">2012-11-30T21:48:00Z</dcterms:modified>
  <cp:category> </cp:category>
  <cp:contentStatus> </cp:contentStatus>
</cp:coreProperties>
</file>