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B5FE" w14:textId="77777777" w:rsidR="00545F29" w:rsidRPr="00A41E19" w:rsidRDefault="0056270F">
      <w:pPr>
        <w:pStyle w:val="Title"/>
        <w:widowControl w:val="0"/>
        <w:rPr>
          <w:rFonts w:ascii="Arial" w:hAnsi="Arial" w:cs="Arial"/>
          <w:szCs w:val="24"/>
        </w:rPr>
      </w:pPr>
      <w:r w:rsidRPr="00A41E19">
        <w:rPr>
          <w:rFonts w:ascii="Arial" w:hAnsi="Arial" w:cs="Arial"/>
          <w:szCs w:val="24"/>
        </w:rPr>
        <w:t>BEFORE</w:t>
      </w:r>
    </w:p>
    <w:p w14:paraId="0D9CC0D8" w14:textId="77777777" w:rsidR="00545F29" w:rsidRPr="00A41E19" w:rsidRDefault="0056270F">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545F29" w:rsidRPr="00A41E19" w14:paraId="009A41DA" w14:textId="77777777" w:rsidTr="00FD1CCF">
        <w:trPr>
          <w:trHeight w:val="1288"/>
          <w:jc w:val="center"/>
        </w:trPr>
        <w:tc>
          <w:tcPr>
            <w:tcW w:w="4769" w:type="dxa"/>
          </w:tcPr>
          <w:p w14:paraId="519EE3C7" w14:textId="77777777" w:rsidR="00545F29" w:rsidRPr="00A41E19" w:rsidRDefault="00FD1CCF" w:rsidP="00AF2F97">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sidR="00301981">
              <w:rPr>
                <w:rFonts w:ascii="Arial" w:hAnsi="Arial" w:cs="Arial"/>
                <w:sz w:val="24"/>
                <w:szCs w:val="24"/>
              </w:rPr>
              <w:t>e, Regarding Electric Companies</w:t>
            </w:r>
          </w:p>
        </w:tc>
        <w:tc>
          <w:tcPr>
            <w:tcW w:w="634" w:type="dxa"/>
          </w:tcPr>
          <w:p w14:paraId="579523CE" w14:textId="77777777"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14:paraId="0F8B7FDD" w14:textId="77777777"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14:paraId="75B4F595" w14:textId="77777777" w:rsidR="00545F29" w:rsidRPr="00A41E19" w:rsidRDefault="0056270F" w:rsidP="00FD1CCF">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3A3E4D17" w14:textId="77777777" w:rsidR="00545F29" w:rsidRPr="00A41E19" w:rsidRDefault="00545F29">
            <w:pPr>
              <w:widowControl w:val="0"/>
              <w:spacing w:after="0" w:line="240" w:lineRule="auto"/>
              <w:rPr>
                <w:rFonts w:ascii="Arial" w:hAnsi="Arial" w:cs="Arial"/>
                <w:sz w:val="24"/>
                <w:szCs w:val="24"/>
              </w:rPr>
            </w:pPr>
          </w:p>
          <w:p w14:paraId="03203DDB" w14:textId="77777777" w:rsidR="00545F29" w:rsidRPr="00A41E19" w:rsidRDefault="00FD1CCF">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06F1AD83" w14:textId="77777777" w:rsidR="00545F29" w:rsidRPr="00A41E19" w:rsidRDefault="00545F29">
            <w:pPr>
              <w:widowControl w:val="0"/>
              <w:spacing w:after="0" w:line="240" w:lineRule="auto"/>
              <w:rPr>
                <w:rFonts w:ascii="Arial" w:hAnsi="Arial" w:cs="Arial"/>
                <w:sz w:val="24"/>
                <w:szCs w:val="24"/>
              </w:rPr>
            </w:pPr>
          </w:p>
        </w:tc>
      </w:tr>
    </w:tbl>
    <w:p w14:paraId="4A153572" w14:textId="77777777" w:rsidR="004E2D0D" w:rsidRDefault="004E2D0D" w:rsidP="003A174A">
      <w:pPr>
        <w:pStyle w:val="Footer"/>
        <w:pBdr>
          <w:top w:val="single" w:sz="12" w:space="1" w:color="auto"/>
          <w:bottom w:val="single" w:sz="12" w:space="1" w:color="auto"/>
        </w:pBdr>
        <w:tabs>
          <w:tab w:val="left" w:pos="4320"/>
        </w:tabs>
        <w:jc w:val="center"/>
        <w:rPr>
          <w:rFonts w:ascii="Arial" w:hAnsi="Arial" w:cs="Arial"/>
          <w:b/>
          <w:sz w:val="24"/>
          <w:szCs w:val="24"/>
        </w:rPr>
      </w:pPr>
    </w:p>
    <w:p w14:paraId="12A394AD" w14:textId="6EA03B41" w:rsidR="00602B8D" w:rsidRPr="006C0A40" w:rsidRDefault="006C0A40" w:rsidP="003A174A">
      <w:pPr>
        <w:pStyle w:val="Footer"/>
        <w:pBdr>
          <w:top w:val="single" w:sz="12" w:space="1" w:color="auto"/>
          <w:bottom w:val="single" w:sz="12" w:space="1" w:color="auto"/>
        </w:pBdr>
        <w:tabs>
          <w:tab w:val="left" w:pos="4320"/>
        </w:tabs>
        <w:jc w:val="center"/>
        <w:rPr>
          <w:rFonts w:ascii="Arial" w:hAnsi="Arial" w:cs="Arial"/>
          <w:b/>
          <w:sz w:val="24"/>
          <w:szCs w:val="24"/>
        </w:rPr>
      </w:pPr>
      <w:r w:rsidRPr="006C0A40">
        <w:rPr>
          <w:rFonts w:ascii="Arial" w:hAnsi="Arial" w:cs="Arial"/>
          <w:b/>
          <w:sz w:val="24"/>
          <w:szCs w:val="24"/>
        </w:rPr>
        <w:t xml:space="preserve">MEMORANDUM </w:t>
      </w:r>
      <w:r w:rsidR="004E2D0D">
        <w:rPr>
          <w:rFonts w:ascii="Arial" w:hAnsi="Arial" w:cs="Arial"/>
          <w:b/>
          <w:sz w:val="24"/>
          <w:szCs w:val="24"/>
        </w:rPr>
        <w:t>CONTRA OF</w:t>
      </w:r>
      <w:r w:rsidR="002F3413">
        <w:rPr>
          <w:rFonts w:ascii="Arial" w:hAnsi="Arial" w:cs="Arial"/>
          <w:b/>
          <w:sz w:val="24"/>
          <w:szCs w:val="24"/>
        </w:rPr>
        <w:t xml:space="preserve"> IGS SOLAR, LLC, IGS GENERATION, LLC, AND</w:t>
      </w:r>
      <w:r w:rsidR="002F3413" w:rsidRPr="002F3413">
        <w:t xml:space="preserve"> </w:t>
      </w:r>
      <w:r w:rsidR="002F3413">
        <w:rPr>
          <w:rFonts w:ascii="Arial" w:hAnsi="Arial" w:cs="Arial"/>
          <w:b/>
          <w:sz w:val="24"/>
          <w:szCs w:val="24"/>
        </w:rPr>
        <w:t>IGS</w:t>
      </w:r>
    </w:p>
    <w:p w14:paraId="288B5A23" w14:textId="77777777" w:rsidR="00602B8D" w:rsidRPr="006C0A40" w:rsidRDefault="003A174A" w:rsidP="00D41653">
      <w:pPr>
        <w:pStyle w:val="Footer"/>
        <w:pBdr>
          <w:top w:val="single" w:sz="12" w:space="1" w:color="auto"/>
          <w:bottom w:val="single" w:sz="12" w:space="1" w:color="auto"/>
        </w:pBdr>
        <w:tabs>
          <w:tab w:val="left" w:pos="4320"/>
        </w:tabs>
        <w:jc w:val="center"/>
        <w:rPr>
          <w:rFonts w:ascii="Arial" w:hAnsi="Arial" w:cs="Arial"/>
          <w:b/>
          <w:sz w:val="24"/>
          <w:szCs w:val="24"/>
        </w:rPr>
      </w:pPr>
      <w:r w:rsidRPr="006C0A40">
        <w:rPr>
          <w:rFonts w:ascii="Arial" w:hAnsi="Arial" w:cs="Arial"/>
          <w:b/>
          <w:sz w:val="24"/>
          <w:szCs w:val="24"/>
        </w:rPr>
        <w:t xml:space="preserve"> INTERSTATE GAS SUPPLY, INC.</w:t>
      </w:r>
    </w:p>
    <w:p w14:paraId="050DA76B" w14:textId="77777777" w:rsidR="001F62DA" w:rsidRPr="00A41E19" w:rsidRDefault="001F62DA" w:rsidP="00D41653">
      <w:pPr>
        <w:pStyle w:val="Footer"/>
        <w:pBdr>
          <w:top w:val="single" w:sz="12" w:space="1" w:color="auto"/>
          <w:bottom w:val="single" w:sz="12" w:space="1" w:color="auto"/>
        </w:pBdr>
        <w:tabs>
          <w:tab w:val="left" w:pos="4320"/>
        </w:tabs>
        <w:jc w:val="center"/>
        <w:rPr>
          <w:rFonts w:ascii="Arial" w:hAnsi="Arial" w:cs="Arial"/>
          <w:b/>
          <w:sz w:val="24"/>
          <w:szCs w:val="24"/>
        </w:rPr>
      </w:pPr>
    </w:p>
    <w:p w14:paraId="77DC57E9" w14:textId="77777777" w:rsidR="0078178D" w:rsidRDefault="0078178D"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B256DA5"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EC3147" w14:textId="605D7AD0" w:rsidR="001F62DA" w:rsidRDefault="00680A5F" w:rsidP="00680A5F">
      <w:pPr>
        <w:widowControl w:val="0"/>
        <w:tabs>
          <w:tab w:val="left" w:pos="3210"/>
        </w:tabs>
        <w:overflowPunct w:val="0"/>
        <w:autoSpaceDE w:val="0"/>
        <w:autoSpaceDN w:val="0"/>
        <w:adjustRightInd w:val="0"/>
        <w:spacing w:after="0" w:line="240" w:lineRule="auto"/>
        <w:rPr>
          <w:rFonts w:ascii="Arial" w:eastAsia="Times New Roman" w:hAnsi="Arial" w:cs="Arial"/>
          <w:kern w:val="28"/>
          <w:sz w:val="24"/>
          <w:szCs w:val="24"/>
        </w:rPr>
      </w:pPr>
      <w:r>
        <w:rPr>
          <w:rFonts w:ascii="Arial" w:eastAsia="Times New Roman" w:hAnsi="Arial" w:cs="Arial"/>
          <w:kern w:val="28"/>
          <w:sz w:val="24"/>
          <w:szCs w:val="24"/>
        </w:rPr>
        <w:tab/>
      </w:r>
    </w:p>
    <w:p w14:paraId="112B3E92"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30C2F58" w14:textId="77777777" w:rsidR="001F62DA" w:rsidRDefault="001F62DA"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D3D7119"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928CFB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bookmarkStart w:id="0" w:name="_GoBack"/>
      <w:bookmarkEnd w:id="0"/>
    </w:p>
    <w:p w14:paraId="6DB61851"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DCFBE07"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5BA143F"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EA7788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60E478E"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0CDBC95D"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66C89FCB"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39A712A0"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598262D5"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7A1675FE"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AB991B3"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C1766C1" w14:textId="77777777" w:rsid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458127AC" w14:textId="77777777" w:rsidR="001F62DA" w:rsidRPr="001F62DA" w:rsidRDefault="001F62DA" w:rsidP="001F62DA">
      <w:pPr>
        <w:spacing w:after="0"/>
        <w:ind w:left="5040"/>
        <w:rPr>
          <w:rFonts w:ascii="Arial" w:hAnsi="Arial" w:cs="Arial"/>
          <w:sz w:val="24"/>
        </w:rPr>
      </w:pPr>
      <w:r w:rsidRPr="001F62DA">
        <w:rPr>
          <w:rFonts w:ascii="Arial" w:hAnsi="Arial" w:cs="Arial"/>
          <w:sz w:val="24"/>
        </w:rPr>
        <w:t>Joseph Oliker (0086088)</w:t>
      </w:r>
    </w:p>
    <w:p w14:paraId="06DBD01F" w14:textId="77777777" w:rsidR="001F62DA" w:rsidRPr="00DD41B2" w:rsidRDefault="001F62DA" w:rsidP="001F62DA">
      <w:pPr>
        <w:spacing w:after="0"/>
        <w:ind w:left="5040"/>
        <w:rPr>
          <w:rFonts w:ascii="Arial" w:hAnsi="Arial" w:cs="Arial"/>
          <w:sz w:val="24"/>
        </w:rPr>
      </w:pPr>
      <w:r w:rsidRPr="00DD41B2">
        <w:rPr>
          <w:rFonts w:ascii="Arial" w:hAnsi="Arial" w:cs="Arial"/>
          <w:sz w:val="24"/>
        </w:rPr>
        <w:t>Counsel of Record</w:t>
      </w:r>
    </w:p>
    <w:p w14:paraId="39CBF88C" w14:textId="77777777" w:rsidR="001F62DA" w:rsidRPr="00DD41B2" w:rsidRDefault="004B4602" w:rsidP="001F62DA">
      <w:pPr>
        <w:spacing w:after="0"/>
        <w:ind w:left="5040"/>
        <w:rPr>
          <w:rStyle w:val="Hyperlink"/>
          <w:rFonts w:ascii="Arial" w:hAnsi="Arial" w:cs="Arial"/>
          <w:color w:val="auto"/>
          <w:sz w:val="24"/>
          <w:u w:val="none"/>
        </w:rPr>
      </w:pPr>
      <w:hyperlink r:id="rId8" w:history="1">
        <w:r w:rsidR="001F62DA" w:rsidRPr="00DD41B2">
          <w:rPr>
            <w:rStyle w:val="Hyperlink"/>
            <w:rFonts w:ascii="Arial" w:hAnsi="Arial" w:cs="Arial"/>
            <w:color w:val="auto"/>
            <w:sz w:val="24"/>
            <w:u w:val="none"/>
          </w:rPr>
          <w:t>joliker@igsenergy.com</w:t>
        </w:r>
      </w:hyperlink>
    </w:p>
    <w:p w14:paraId="6B5B28EA" w14:textId="0B4E53D6" w:rsidR="00DD41B2" w:rsidRPr="00DD41B2" w:rsidRDefault="00DD41B2" w:rsidP="001F62DA">
      <w:pPr>
        <w:spacing w:after="0"/>
        <w:ind w:left="5040"/>
        <w:rPr>
          <w:rStyle w:val="Hyperlink"/>
          <w:rFonts w:ascii="Arial" w:hAnsi="Arial" w:cs="Arial"/>
          <w:color w:val="auto"/>
          <w:sz w:val="24"/>
          <w:u w:val="none"/>
        </w:rPr>
      </w:pPr>
      <w:r w:rsidRPr="00DD41B2">
        <w:rPr>
          <w:rStyle w:val="Hyperlink"/>
          <w:rFonts w:ascii="Arial" w:hAnsi="Arial" w:cs="Arial"/>
          <w:color w:val="auto"/>
          <w:sz w:val="24"/>
          <w:u w:val="none"/>
        </w:rPr>
        <w:t>Michael Nugent</w:t>
      </w:r>
    </w:p>
    <w:p w14:paraId="233D8CC6" w14:textId="56F2EC4B" w:rsidR="00DD41B2" w:rsidRPr="00DD41B2" w:rsidRDefault="00DD41B2" w:rsidP="001F62DA">
      <w:pPr>
        <w:spacing w:after="0"/>
        <w:ind w:left="5040"/>
        <w:rPr>
          <w:rFonts w:ascii="Arial" w:hAnsi="Arial" w:cs="Arial"/>
          <w:sz w:val="24"/>
        </w:rPr>
      </w:pPr>
      <w:r w:rsidRPr="00DD41B2">
        <w:rPr>
          <w:rStyle w:val="Hyperlink"/>
          <w:rFonts w:ascii="Arial" w:hAnsi="Arial" w:cs="Arial"/>
          <w:color w:val="auto"/>
          <w:sz w:val="24"/>
          <w:u w:val="none"/>
        </w:rPr>
        <w:t>Mnugent@igsenegy.com</w:t>
      </w:r>
    </w:p>
    <w:p w14:paraId="610AF10B" w14:textId="77777777" w:rsidR="001F62DA" w:rsidRPr="00DD41B2" w:rsidRDefault="001F62DA" w:rsidP="001F62DA">
      <w:pPr>
        <w:spacing w:after="0"/>
        <w:ind w:left="5040"/>
        <w:rPr>
          <w:rFonts w:ascii="Arial" w:hAnsi="Arial" w:cs="Arial"/>
          <w:sz w:val="24"/>
        </w:rPr>
      </w:pPr>
      <w:r w:rsidRPr="00DD41B2">
        <w:rPr>
          <w:rFonts w:ascii="Arial" w:hAnsi="Arial" w:cs="Arial"/>
          <w:sz w:val="24"/>
        </w:rPr>
        <w:t>IGS Energy</w:t>
      </w:r>
    </w:p>
    <w:p w14:paraId="7BCE1932" w14:textId="77777777" w:rsidR="001F62DA" w:rsidRPr="00DD41B2" w:rsidRDefault="001F62DA" w:rsidP="001F62DA">
      <w:pPr>
        <w:spacing w:after="0"/>
        <w:ind w:left="5040"/>
        <w:rPr>
          <w:rFonts w:ascii="Arial" w:hAnsi="Arial" w:cs="Arial"/>
          <w:sz w:val="24"/>
        </w:rPr>
      </w:pPr>
      <w:r w:rsidRPr="00DD41B2">
        <w:rPr>
          <w:rFonts w:ascii="Arial" w:hAnsi="Arial" w:cs="Arial"/>
          <w:sz w:val="24"/>
        </w:rPr>
        <w:t>6100 Emerald Parkway</w:t>
      </w:r>
    </w:p>
    <w:p w14:paraId="2CA98A14" w14:textId="77777777" w:rsidR="001F62DA" w:rsidRPr="001F62DA" w:rsidRDefault="001F62DA" w:rsidP="001F62DA">
      <w:pPr>
        <w:spacing w:after="0"/>
        <w:ind w:left="5040"/>
        <w:rPr>
          <w:rFonts w:ascii="Arial" w:hAnsi="Arial" w:cs="Arial"/>
          <w:sz w:val="24"/>
        </w:rPr>
      </w:pPr>
      <w:r w:rsidRPr="001F62DA">
        <w:rPr>
          <w:rFonts w:ascii="Arial" w:hAnsi="Arial" w:cs="Arial"/>
          <w:sz w:val="24"/>
        </w:rPr>
        <w:t>Dublin, Ohio 43016</w:t>
      </w:r>
    </w:p>
    <w:p w14:paraId="7F22DEEE" w14:textId="77777777" w:rsidR="001F62DA" w:rsidRPr="001F62DA" w:rsidRDefault="001F62DA" w:rsidP="001F62DA">
      <w:pPr>
        <w:spacing w:after="0"/>
        <w:ind w:left="5040"/>
        <w:rPr>
          <w:rFonts w:ascii="Arial" w:hAnsi="Arial" w:cs="Arial"/>
          <w:sz w:val="24"/>
        </w:rPr>
      </w:pPr>
      <w:r w:rsidRPr="001F62DA">
        <w:rPr>
          <w:rFonts w:ascii="Arial" w:hAnsi="Arial" w:cs="Arial"/>
          <w:sz w:val="24"/>
        </w:rPr>
        <w:t>Telephone:</w:t>
      </w:r>
      <w:r w:rsidRPr="001F62DA">
        <w:rPr>
          <w:rFonts w:ascii="Arial" w:hAnsi="Arial" w:cs="Arial"/>
          <w:sz w:val="24"/>
        </w:rPr>
        <w:tab/>
        <w:t>(614) 659-5000</w:t>
      </w:r>
    </w:p>
    <w:p w14:paraId="77CF3D1B" w14:textId="77777777" w:rsidR="001F62DA" w:rsidRPr="001F62DA" w:rsidRDefault="001F62DA" w:rsidP="001F62DA">
      <w:pPr>
        <w:spacing w:after="0"/>
        <w:ind w:left="5040"/>
        <w:rPr>
          <w:rFonts w:ascii="Arial" w:hAnsi="Arial" w:cs="Arial"/>
          <w:sz w:val="24"/>
        </w:rPr>
      </w:pPr>
    </w:p>
    <w:p w14:paraId="64681D55" w14:textId="26EBE8E6" w:rsidR="001F62DA" w:rsidRPr="001F62DA" w:rsidRDefault="001F62DA" w:rsidP="001F62DA">
      <w:pPr>
        <w:spacing w:after="0"/>
        <w:ind w:left="5040"/>
        <w:rPr>
          <w:rFonts w:ascii="Arial" w:hAnsi="Arial" w:cs="Arial"/>
          <w:b/>
          <w:i/>
          <w:sz w:val="24"/>
        </w:rPr>
      </w:pPr>
      <w:r w:rsidRPr="001F62DA">
        <w:rPr>
          <w:rFonts w:ascii="Arial" w:hAnsi="Arial" w:cs="Arial"/>
          <w:b/>
          <w:i/>
          <w:sz w:val="24"/>
        </w:rPr>
        <w:t>Attorney</w:t>
      </w:r>
      <w:r w:rsidR="00DD41B2">
        <w:rPr>
          <w:rFonts w:ascii="Arial" w:hAnsi="Arial" w:cs="Arial"/>
          <w:b/>
          <w:i/>
          <w:sz w:val="24"/>
        </w:rPr>
        <w:t>s</w:t>
      </w:r>
      <w:r w:rsidRPr="001F62DA">
        <w:rPr>
          <w:rFonts w:ascii="Arial" w:hAnsi="Arial" w:cs="Arial"/>
          <w:b/>
          <w:i/>
          <w:sz w:val="24"/>
        </w:rPr>
        <w:t xml:space="preserve"> for IGS Energy</w:t>
      </w:r>
    </w:p>
    <w:p w14:paraId="093A2EB5" w14:textId="77777777" w:rsidR="001F62DA" w:rsidRPr="001F62DA" w:rsidRDefault="001F62DA" w:rsidP="001F62DA">
      <w:pPr>
        <w:spacing w:after="0"/>
        <w:jc w:val="center"/>
        <w:rPr>
          <w:rFonts w:ascii="Arial" w:hAnsi="Arial" w:cs="Arial"/>
          <w:b/>
          <w:sz w:val="24"/>
        </w:rPr>
      </w:pPr>
    </w:p>
    <w:p w14:paraId="181E8DA7" w14:textId="77777777" w:rsidR="001F62DA" w:rsidRDefault="001F62DA" w:rsidP="001F62DA">
      <w:pPr>
        <w:spacing w:after="0"/>
        <w:jc w:val="center"/>
        <w:rPr>
          <w:rFonts w:ascii="Arial" w:hAnsi="Arial" w:cs="Arial"/>
          <w:b/>
        </w:rPr>
      </w:pPr>
    </w:p>
    <w:p w14:paraId="1E2C58CA" w14:textId="2AB02910" w:rsidR="00A353E6" w:rsidRPr="00680A5F" w:rsidRDefault="00680A5F" w:rsidP="003A174A">
      <w:pPr>
        <w:widowControl w:val="0"/>
        <w:overflowPunct w:val="0"/>
        <w:autoSpaceDE w:val="0"/>
        <w:autoSpaceDN w:val="0"/>
        <w:adjustRightInd w:val="0"/>
        <w:spacing w:after="0" w:line="240" w:lineRule="auto"/>
        <w:rPr>
          <w:rFonts w:ascii="Arial" w:eastAsia="Times New Roman" w:hAnsi="Arial" w:cs="Arial"/>
          <w:kern w:val="28"/>
          <w:sz w:val="28"/>
          <w:szCs w:val="24"/>
        </w:rPr>
      </w:pPr>
      <w:r>
        <w:rPr>
          <w:rFonts w:ascii="Arial" w:hAnsi="Arial" w:cs="Arial"/>
          <w:b/>
          <w:sz w:val="24"/>
        </w:rPr>
        <w:t xml:space="preserve">December </w:t>
      </w:r>
      <w:r w:rsidR="004E2D0D">
        <w:rPr>
          <w:rFonts w:ascii="Arial" w:hAnsi="Arial" w:cs="Arial"/>
          <w:b/>
          <w:sz w:val="24"/>
        </w:rPr>
        <w:t>1</w:t>
      </w:r>
      <w:r>
        <w:rPr>
          <w:rFonts w:ascii="Arial" w:hAnsi="Arial" w:cs="Arial"/>
          <w:b/>
          <w:sz w:val="24"/>
        </w:rPr>
        <w:t>8, 2017</w:t>
      </w:r>
    </w:p>
    <w:p w14:paraId="704EDA7F" w14:textId="77777777" w:rsidR="008E6380" w:rsidRPr="00C91896" w:rsidRDefault="008E6380" w:rsidP="00712DD7">
      <w:pPr>
        <w:pStyle w:val="Title"/>
        <w:widowControl w:val="0"/>
        <w:rPr>
          <w:rFonts w:ascii="Arial" w:hAnsi="Arial" w:cs="Arial"/>
          <w:szCs w:val="24"/>
        </w:rPr>
      </w:pPr>
      <w:r w:rsidRPr="00C91896">
        <w:rPr>
          <w:rFonts w:ascii="Arial" w:hAnsi="Arial" w:cs="Arial"/>
          <w:szCs w:val="24"/>
        </w:rPr>
        <w:lastRenderedPageBreak/>
        <w:t>BEFORE</w:t>
      </w:r>
    </w:p>
    <w:p w14:paraId="1C213060" w14:textId="77777777" w:rsidR="008E6380" w:rsidRPr="00A41E19" w:rsidRDefault="008E6380" w:rsidP="008E6380">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69"/>
        <w:gridCol w:w="634"/>
        <w:gridCol w:w="3954"/>
      </w:tblGrid>
      <w:tr w:rsidR="008E6380" w:rsidRPr="00A41E19" w14:paraId="674A939D" w14:textId="77777777" w:rsidTr="00745C36">
        <w:trPr>
          <w:trHeight w:val="1288"/>
          <w:jc w:val="center"/>
        </w:trPr>
        <w:tc>
          <w:tcPr>
            <w:tcW w:w="4769" w:type="dxa"/>
          </w:tcPr>
          <w:p w14:paraId="40499EA1" w14:textId="77777777" w:rsidR="008E6380" w:rsidRPr="00A41E19" w:rsidRDefault="008E6380" w:rsidP="00745C36">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Pr>
                <w:rFonts w:ascii="Arial" w:hAnsi="Arial" w:cs="Arial"/>
                <w:sz w:val="24"/>
                <w:szCs w:val="24"/>
              </w:rPr>
              <w:t>e, Regarding Electric Companies</w:t>
            </w:r>
          </w:p>
        </w:tc>
        <w:tc>
          <w:tcPr>
            <w:tcW w:w="634" w:type="dxa"/>
          </w:tcPr>
          <w:p w14:paraId="63575277" w14:textId="77777777" w:rsidR="008E6380" w:rsidRPr="00A41E19" w:rsidRDefault="008E638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p w14:paraId="2803801D" w14:textId="77777777" w:rsidR="008E6380" w:rsidRPr="00A41E19" w:rsidRDefault="008E638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p w14:paraId="2956AD0E" w14:textId="77777777" w:rsidR="008E6380" w:rsidRPr="00A41E19" w:rsidRDefault="008E6380" w:rsidP="00745C36">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14:paraId="7D39C7BA" w14:textId="77777777" w:rsidR="008E6380" w:rsidRPr="00A41E19" w:rsidRDefault="008E6380" w:rsidP="00745C36">
            <w:pPr>
              <w:widowControl w:val="0"/>
              <w:spacing w:after="0" w:line="240" w:lineRule="auto"/>
              <w:rPr>
                <w:rFonts w:ascii="Arial" w:hAnsi="Arial" w:cs="Arial"/>
                <w:sz w:val="24"/>
                <w:szCs w:val="24"/>
              </w:rPr>
            </w:pPr>
          </w:p>
          <w:p w14:paraId="2CB01C03" w14:textId="77777777" w:rsidR="008E6380" w:rsidRPr="00A41E19" w:rsidRDefault="008E6380" w:rsidP="00745C36">
            <w:pPr>
              <w:widowControl w:val="0"/>
              <w:spacing w:after="0" w:line="240" w:lineRule="auto"/>
              <w:rPr>
                <w:rFonts w:ascii="Arial" w:hAnsi="Arial" w:cs="Arial"/>
                <w:sz w:val="24"/>
                <w:szCs w:val="24"/>
              </w:rPr>
            </w:pPr>
            <w:r w:rsidRPr="00A41E19">
              <w:rPr>
                <w:rFonts w:ascii="Arial" w:hAnsi="Arial" w:cs="Arial"/>
                <w:sz w:val="24"/>
                <w:szCs w:val="24"/>
              </w:rPr>
              <w:t>Case No. 12-2050-EL-ORD</w:t>
            </w:r>
          </w:p>
          <w:p w14:paraId="7B2F793A" w14:textId="77777777" w:rsidR="008E6380" w:rsidRPr="00A41E19" w:rsidRDefault="008E6380" w:rsidP="00745C36">
            <w:pPr>
              <w:widowControl w:val="0"/>
              <w:spacing w:after="0" w:line="240" w:lineRule="auto"/>
              <w:rPr>
                <w:rFonts w:ascii="Arial" w:hAnsi="Arial" w:cs="Arial"/>
                <w:sz w:val="24"/>
                <w:szCs w:val="24"/>
              </w:rPr>
            </w:pPr>
          </w:p>
        </w:tc>
      </w:tr>
    </w:tbl>
    <w:p w14:paraId="330DDD74" w14:textId="77777777" w:rsidR="008E6380" w:rsidRDefault="008E6380" w:rsidP="008E6380">
      <w:pPr>
        <w:pStyle w:val="Footer"/>
        <w:pBdr>
          <w:top w:val="single" w:sz="12" w:space="1" w:color="auto"/>
          <w:bottom w:val="single" w:sz="12" w:space="1" w:color="auto"/>
        </w:pBdr>
        <w:tabs>
          <w:tab w:val="left" w:pos="4320"/>
        </w:tabs>
        <w:jc w:val="center"/>
        <w:rPr>
          <w:rFonts w:ascii="Arial" w:hAnsi="Arial" w:cs="Arial"/>
          <w:b/>
          <w:sz w:val="24"/>
          <w:szCs w:val="24"/>
        </w:rPr>
      </w:pPr>
    </w:p>
    <w:p w14:paraId="292D3A98" w14:textId="77777777" w:rsidR="002F3413" w:rsidRPr="002F3413" w:rsidRDefault="002F3413" w:rsidP="002F3413">
      <w:pPr>
        <w:pStyle w:val="Footer"/>
        <w:pBdr>
          <w:top w:val="single" w:sz="12" w:space="1" w:color="auto"/>
          <w:bottom w:val="single" w:sz="12" w:space="1" w:color="auto"/>
        </w:pBdr>
        <w:tabs>
          <w:tab w:val="left" w:pos="4320"/>
        </w:tabs>
        <w:jc w:val="center"/>
        <w:rPr>
          <w:rFonts w:ascii="Arial" w:hAnsi="Arial" w:cs="Arial"/>
          <w:b/>
          <w:sz w:val="24"/>
          <w:szCs w:val="24"/>
        </w:rPr>
      </w:pPr>
      <w:r w:rsidRPr="002F3413">
        <w:rPr>
          <w:rFonts w:ascii="Arial" w:hAnsi="Arial" w:cs="Arial"/>
          <w:b/>
          <w:sz w:val="24"/>
          <w:szCs w:val="24"/>
        </w:rPr>
        <w:t>MEMORANDUM CONTRA OF IGS SOLAR, LLC, IGS GENERATION, LLC, AND IGS</w:t>
      </w:r>
    </w:p>
    <w:p w14:paraId="0D135D60" w14:textId="472D9ADB" w:rsidR="008E6380" w:rsidRDefault="002F3413" w:rsidP="002F3413">
      <w:pPr>
        <w:pStyle w:val="Footer"/>
        <w:pBdr>
          <w:top w:val="single" w:sz="12" w:space="1" w:color="auto"/>
          <w:bottom w:val="single" w:sz="12" w:space="1" w:color="auto"/>
        </w:pBdr>
        <w:tabs>
          <w:tab w:val="left" w:pos="4320"/>
        </w:tabs>
        <w:jc w:val="center"/>
        <w:rPr>
          <w:rFonts w:ascii="Arial" w:hAnsi="Arial" w:cs="Arial"/>
          <w:b/>
          <w:sz w:val="24"/>
          <w:szCs w:val="24"/>
        </w:rPr>
      </w:pPr>
      <w:r w:rsidRPr="002F3413">
        <w:rPr>
          <w:rFonts w:ascii="Arial" w:hAnsi="Arial" w:cs="Arial"/>
          <w:b/>
          <w:sz w:val="24"/>
          <w:szCs w:val="24"/>
        </w:rPr>
        <w:t xml:space="preserve"> INTERSTATE GAS SUPPLY, INC.</w:t>
      </w:r>
    </w:p>
    <w:p w14:paraId="3B9AA1E5" w14:textId="77777777" w:rsidR="002F3413" w:rsidRPr="00A41E19" w:rsidRDefault="002F3413" w:rsidP="002F3413">
      <w:pPr>
        <w:pStyle w:val="Footer"/>
        <w:pBdr>
          <w:top w:val="single" w:sz="12" w:space="1" w:color="auto"/>
          <w:bottom w:val="single" w:sz="12" w:space="1" w:color="auto"/>
        </w:pBdr>
        <w:tabs>
          <w:tab w:val="left" w:pos="4320"/>
        </w:tabs>
        <w:jc w:val="center"/>
        <w:rPr>
          <w:rFonts w:ascii="Arial" w:hAnsi="Arial" w:cs="Arial"/>
          <w:b/>
          <w:sz w:val="24"/>
          <w:szCs w:val="24"/>
        </w:rPr>
      </w:pPr>
    </w:p>
    <w:p w14:paraId="605B1B62" w14:textId="77777777" w:rsidR="006C0A40" w:rsidRDefault="006C0A40" w:rsidP="004E2D0D">
      <w:pPr>
        <w:widowControl w:val="0"/>
        <w:overflowPunct w:val="0"/>
        <w:autoSpaceDE w:val="0"/>
        <w:autoSpaceDN w:val="0"/>
        <w:adjustRightInd w:val="0"/>
        <w:spacing w:after="0" w:line="480" w:lineRule="auto"/>
        <w:jc w:val="both"/>
        <w:rPr>
          <w:rFonts w:ascii="Arial" w:eastAsia="Times New Roman" w:hAnsi="Arial" w:cs="Arial"/>
          <w:bCs/>
          <w:kern w:val="28"/>
          <w:sz w:val="24"/>
          <w:szCs w:val="24"/>
        </w:rPr>
      </w:pPr>
    </w:p>
    <w:p w14:paraId="2236566B" w14:textId="64F27E0D" w:rsidR="004D58C1" w:rsidRPr="00B22875" w:rsidRDefault="00751E25" w:rsidP="00B22875">
      <w:pPr>
        <w:pStyle w:val="ListParagraph"/>
        <w:widowControl w:val="0"/>
        <w:numPr>
          <w:ilvl w:val="0"/>
          <w:numId w:val="17"/>
        </w:numPr>
        <w:overflowPunct w:val="0"/>
        <w:autoSpaceDE w:val="0"/>
        <w:autoSpaceDN w:val="0"/>
        <w:adjustRightInd w:val="0"/>
        <w:spacing w:after="0" w:line="480" w:lineRule="auto"/>
        <w:jc w:val="both"/>
        <w:rPr>
          <w:rFonts w:ascii="Arial" w:eastAsia="Times New Roman" w:hAnsi="Arial" w:cs="Arial"/>
          <w:b/>
          <w:bCs/>
          <w:kern w:val="28"/>
          <w:sz w:val="24"/>
          <w:szCs w:val="24"/>
        </w:rPr>
      </w:pPr>
      <w:r>
        <w:rPr>
          <w:rFonts w:ascii="Arial" w:eastAsia="Times New Roman" w:hAnsi="Arial" w:cs="Arial"/>
          <w:b/>
          <w:bCs/>
          <w:kern w:val="28"/>
          <w:sz w:val="24"/>
          <w:szCs w:val="24"/>
        </w:rPr>
        <w:t>BACKGROUND</w:t>
      </w:r>
    </w:p>
    <w:p w14:paraId="199E1C38" w14:textId="250BFFAD" w:rsidR="00602B8D" w:rsidRDefault="0078178D" w:rsidP="00ED5FC8">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On </w:t>
      </w:r>
      <w:r w:rsidR="00141803">
        <w:rPr>
          <w:rFonts w:ascii="Arial" w:eastAsia="Times New Roman" w:hAnsi="Arial" w:cs="Arial"/>
          <w:bCs/>
          <w:kern w:val="28"/>
          <w:sz w:val="24"/>
          <w:szCs w:val="24"/>
        </w:rPr>
        <w:t>November 8, 2017</w:t>
      </w:r>
      <w:r>
        <w:rPr>
          <w:rFonts w:ascii="Arial" w:eastAsia="Times New Roman" w:hAnsi="Arial" w:cs="Arial"/>
          <w:bCs/>
          <w:kern w:val="28"/>
          <w:sz w:val="24"/>
          <w:szCs w:val="24"/>
        </w:rPr>
        <w:t>, the Public Utilities Commi</w:t>
      </w:r>
      <w:r w:rsidR="00751E25">
        <w:rPr>
          <w:rFonts w:ascii="Arial" w:eastAsia="Times New Roman" w:hAnsi="Arial" w:cs="Arial"/>
          <w:bCs/>
          <w:kern w:val="28"/>
          <w:sz w:val="24"/>
          <w:szCs w:val="24"/>
        </w:rPr>
        <w:t>ssion of Ohio (“Commission”) issued</w:t>
      </w:r>
      <w:r w:rsidR="00B87675">
        <w:rPr>
          <w:rFonts w:ascii="Arial" w:eastAsia="Times New Roman" w:hAnsi="Arial" w:cs="Arial"/>
          <w:bCs/>
          <w:kern w:val="28"/>
          <w:sz w:val="24"/>
          <w:szCs w:val="24"/>
        </w:rPr>
        <w:t xml:space="preserve"> a Finding and Order (“</w:t>
      </w:r>
      <w:r>
        <w:rPr>
          <w:rFonts w:ascii="Arial" w:eastAsia="Times New Roman" w:hAnsi="Arial" w:cs="Arial"/>
          <w:bCs/>
          <w:kern w:val="28"/>
          <w:sz w:val="24"/>
          <w:szCs w:val="24"/>
        </w:rPr>
        <w:t xml:space="preserve">Order”) amending the </w:t>
      </w:r>
      <w:r w:rsidR="00141803">
        <w:rPr>
          <w:rFonts w:ascii="Arial" w:eastAsia="Times New Roman" w:hAnsi="Arial" w:cs="Arial"/>
          <w:bCs/>
          <w:kern w:val="28"/>
          <w:sz w:val="24"/>
          <w:szCs w:val="24"/>
        </w:rPr>
        <w:t xml:space="preserve">net metering </w:t>
      </w:r>
      <w:r>
        <w:rPr>
          <w:rFonts w:ascii="Arial" w:eastAsia="Times New Roman" w:hAnsi="Arial" w:cs="Arial"/>
          <w:bCs/>
          <w:kern w:val="28"/>
          <w:sz w:val="24"/>
          <w:szCs w:val="24"/>
        </w:rPr>
        <w:t>rules</w:t>
      </w:r>
      <w:r w:rsidR="00DE141E">
        <w:rPr>
          <w:rFonts w:ascii="Arial" w:eastAsia="Times New Roman" w:hAnsi="Arial" w:cs="Arial"/>
          <w:bCs/>
          <w:kern w:val="28"/>
          <w:sz w:val="24"/>
          <w:szCs w:val="24"/>
        </w:rPr>
        <w:t>.  On December 8, 2017 the Office of Ohio Consumers’ Counsel (“OCC”) and Ohio Edison Company, Toledo Edison Company, and the Cleveland Electric Illuminating Company (c</w:t>
      </w:r>
      <w:r w:rsidR="00751E25">
        <w:rPr>
          <w:rFonts w:ascii="Arial" w:eastAsia="Times New Roman" w:hAnsi="Arial" w:cs="Arial"/>
          <w:bCs/>
          <w:kern w:val="28"/>
          <w:sz w:val="24"/>
          <w:szCs w:val="24"/>
        </w:rPr>
        <w:t>ollectively “FirstEnergy”) filed</w:t>
      </w:r>
      <w:r w:rsidR="00DE141E">
        <w:rPr>
          <w:rFonts w:ascii="Arial" w:eastAsia="Times New Roman" w:hAnsi="Arial" w:cs="Arial"/>
          <w:bCs/>
          <w:kern w:val="28"/>
          <w:sz w:val="24"/>
          <w:szCs w:val="24"/>
        </w:rPr>
        <w:t xml:space="preserve"> applications for rehearing. </w:t>
      </w:r>
    </w:p>
    <w:p w14:paraId="4C986FEA" w14:textId="58BC33D8" w:rsidR="00751E25" w:rsidRDefault="00DE141E" w:rsidP="00470DDF">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In its application for rehearing, OCC raises </w:t>
      </w:r>
      <w:r w:rsidR="00DB774B">
        <w:rPr>
          <w:rFonts w:ascii="Arial" w:eastAsia="Times New Roman" w:hAnsi="Arial" w:cs="Arial"/>
          <w:bCs/>
          <w:kern w:val="28"/>
          <w:sz w:val="24"/>
          <w:szCs w:val="24"/>
        </w:rPr>
        <w:t xml:space="preserve">two assignments of error.  </w:t>
      </w:r>
      <w:r>
        <w:rPr>
          <w:rFonts w:ascii="Arial" w:eastAsia="Times New Roman" w:hAnsi="Arial" w:cs="Arial"/>
          <w:bCs/>
          <w:kern w:val="28"/>
          <w:sz w:val="24"/>
          <w:szCs w:val="24"/>
        </w:rPr>
        <w:t>Specifically, OCC alleges that the Commission</w:t>
      </w:r>
      <w:r w:rsidR="00815E23">
        <w:rPr>
          <w:rFonts w:ascii="Arial" w:eastAsia="Times New Roman" w:hAnsi="Arial" w:cs="Arial"/>
          <w:bCs/>
          <w:kern w:val="28"/>
          <w:sz w:val="24"/>
          <w:szCs w:val="24"/>
        </w:rPr>
        <w:t xml:space="preserve"> should have </w:t>
      </w:r>
      <w:r w:rsidR="00751E25">
        <w:rPr>
          <w:rFonts w:ascii="Arial" w:eastAsia="Times New Roman" w:hAnsi="Arial" w:cs="Arial"/>
          <w:bCs/>
          <w:kern w:val="28"/>
          <w:sz w:val="24"/>
          <w:szCs w:val="24"/>
        </w:rPr>
        <w:t>increased consumer protections for</w:t>
      </w:r>
      <w:r w:rsidR="00815E23">
        <w:rPr>
          <w:rFonts w:ascii="Arial" w:eastAsia="Times New Roman" w:hAnsi="Arial" w:cs="Arial"/>
          <w:bCs/>
          <w:kern w:val="28"/>
          <w:sz w:val="24"/>
          <w:szCs w:val="24"/>
        </w:rPr>
        <w:t xml:space="preserve"> customers served by </w:t>
      </w:r>
      <w:r w:rsidR="00DB774B" w:rsidRPr="00DB774B">
        <w:rPr>
          <w:rFonts w:ascii="Arial" w:eastAsia="Times New Roman" w:hAnsi="Arial" w:cs="Arial"/>
          <w:bCs/>
          <w:kern w:val="28"/>
          <w:sz w:val="24"/>
          <w:szCs w:val="24"/>
        </w:rPr>
        <w:t>competitive retail electric service pro</w:t>
      </w:r>
      <w:r w:rsidR="00DB774B">
        <w:rPr>
          <w:rFonts w:ascii="Arial" w:eastAsia="Times New Roman" w:hAnsi="Arial" w:cs="Arial"/>
          <w:bCs/>
          <w:kern w:val="28"/>
          <w:sz w:val="24"/>
          <w:szCs w:val="24"/>
        </w:rPr>
        <w:t xml:space="preserve">viders (“CRES” or Suppliers”) </w:t>
      </w:r>
      <w:r w:rsidR="00815E23">
        <w:rPr>
          <w:rFonts w:ascii="Arial" w:eastAsia="Times New Roman" w:hAnsi="Arial" w:cs="Arial"/>
          <w:bCs/>
          <w:kern w:val="28"/>
          <w:sz w:val="24"/>
          <w:szCs w:val="24"/>
        </w:rPr>
        <w:t xml:space="preserve">(OCC Assignment of Error 5).  OCC further alleges the Commission should have required the electric distribution utilities (“EDUs”) to update their supplier tariffs to increase the costs billed to Suppliers for purposes of </w:t>
      </w:r>
      <w:r w:rsidR="00751E25">
        <w:rPr>
          <w:rFonts w:ascii="Arial" w:eastAsia="Times New Roman" w:hAnsi="Arial" w:cs="Arial"/>
          <w:bCs/>
          <w:kern w:val="28"/>
          <w:sz w:val="24"/>
          <w:szCs w:val="24"/>
        </w:rPr>
        <w:t xml:space="preserve">invoicing customers </w:t>
      </w:r>
      <w:r w:rsidR="00815E23">
        <w:rPr>
          <w:rFonts w:ascii="Arial" w:eastAsia="Times New Roman" w:hAnsi="Arial" w:cs="Arial"/>
          <w:bCs/>
          <w:kern w:val="28"/>
          <w:sz w:val="24"/>
          <w:szCs w:val="24"/>
        </w:rPr>
        <w:t>u</w:t>
      </w:r>
      <w:r w:rsidR="00751E25">
        <w:rPr>
          <w:rFonts w:ascii="Arial" w:eastAsia="Times New Roman" w:hAnsi="Arial" w:cs="Arial"/>
          <w:bCs/>
          <w:kern w:val="28"/>
          <w:sz w:val="24"/>
          <w:szCs w:val="24"/>
        </w:rPr>
        <w:t xml:space="preserve">sing the bill ready function </w:t>
      </w:r>
      <w:r w:rsidR="00815E23">
        <w:rPr>
          <w:rFonts w:ascii="Arial" w:eastAsia="Times New Roman" w:hAnsi="Arial" w:cs="Arial"/>
          <w:bCs/>
          <w:kern w:val="28"/>
          <w:sz w:val="24"/>
          <w:szCs w:val="24"/>
        </w:rPr>
        <w:t xml:space="preserve">(OCC Assignment of Error 6).  </w:t>
      </w:r>
    </w:p>
    <w:p w14:paraId="2E5FD5E9" w14:textId="4396C746" w:rsidR="00DE141E" w:rsidRPr="00470DDF" w:rsidRDefault="00815E23" w:rsidP="00470DDF">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FirstEnergy’s application for rehearing </w:t>
      </w:r>
      <w:r w:rsidR="00751E25">
        <w:rPr>
          <w:rFonts w:ascii="Arial" w:eastAsia="Times New Roman" w:hAnsi="Arial" w:cs="Arial"/>
          <w:bCs/>
          <w:kern w:val="28"/>
          <w:sz w:val="24"/>
          <w:szCs w:val="24"/>
        </w:rPr>
        <w:t xml:space="preserve">asserts arguments, which, if successful, would reduce </w:t>
      </w:r>
      <w:r>
        <w:rPr>
          <w:rFonts w:ascii="Arial" w:eastAsia="Times New Roman" w:hAnsi="Arial" w:cs="Arial"/>
          <w:bCs/>
          <w:kern w:val="28"/>
          <w:sz w:val="24"/>
          <w:szCs w:val="24"/>
        </w:rPr>
        <w:t xml:space="preserve">opportunities for distributed generation </w:t>
      </w:r>
      <w:r w:rsidR="00751E25">
        <w:rPr>
          <w:rFonts w:ascii="Arial" w:eastAsia="Times New Roman" w:hAnsi="Arial" w:cs="Arial"/>
          <w:bCs/>
          <w:kern w:val="28"/>
          <w:sz w:val="24"/>
          <w:szCs w:val="24"/>
        </w:rPr>
        <w:t xml:space="preserve">resources </w:t>
      </w:r>
      <w:r>
        <w:rPr>
          <w:rFonts w:ascii="Arial" w:eastAsia="Times New Roman" w:hAnsi="Arial" w:cs="Arial"/>
          <w:bCs/>
          <w:kern w:val="28"/>
          <w:sz w:val="24"/>
          <w:szCs w:val="24"/>
        </w:rPr>
        <w:t>to receive net metering compensation.</w:t>
      </w:r>
      <w:r w:rsidR="00C93902">
        <w:rPr>
          <w:rFonts w:ascii="Arial" w:eastAsia="Times New Roman" w:hAnsi="Arial" w:cs="Arial"/>
          <w:bCs/>
          <w:kern w:val="28"/>
          <w:sz w:val="24"/>
          <w:szCs w:val="24"/>
        </w:rPr>
        <w:t xml:space="preserve">  FirstEnergy argues that the Order impermissib</w:t>
      </w:r>
      <w:r w:rsidR="00751E25">
        <w:rPr>
          <w:rFonts w:ascii="Arial" w:eastAsia="Times New Roman" w:hAnsi="Arial" w:cs="Arial"/>
          <w:bCs/>
          <w:kern w:val="28"/>
          <w:sz w:val="24"/>
          <w:szCs w:val="24"/>
        </w:rPr>
        <w:t xml:space="preserve">ly authorized </w:t>
      </w:r>
      <w:r w:rsidR="00C93902">
        <w:rPr>
          <w:rFonts w:ascii="Arial" w:eastAsia="Times New Roman" w:hAnsi="Arial" w:cs="Arial"/>
          <w:bCs/>
          <w:kern w:val="28"/>
          <w:sz w:val="24"/>
          <w:szCs w:val="24"/>
        </w:rPr>
        <w:t xml:space="preserve">net metering </w:t>
      </w:r>
      <w:r w:rsidR="00751E25">
        <w:rPr>
          <w:rFonts w:ascii="Arial" w:eastAsia="Times New Roman" w:hAnsi="Arial" w:cs="Arial"/>
          <w:bCs/>
          <w:kern w:val="28"/>
          <w:sz w:val="24"/>
          <w:szCs w:val="24"/>
        </w:rPr>
        <w:t>facilities to be sized up to 120% of customer</w:t>
      </w:r>
      <w:r w:rsidR="00C93902">
        <w:rPr>
          <w:rFonts w:ascii="Arial" w:eastAsia="Times New Roman" w:hAnsi="Arial" w:cs="Arial"/>
          <w:bCs/>
          <w:kern w:val="28"/>
          <w:sz w:val="24"/>
          <w:szCs w:val="24"/>
        </w:rPr>
        <w:t xml:space="preserve"> usage</w:t>
      </w:r>
      <w:r w:rsidR="00751E25">
        <w:rPr>
          <w:rFonts w:ascii="Arial" w:eastAsia="Times New Roman" w:hAnsi="Arial" w:cs="Arial"/>
          <w:bCs/>
          <w:kern w:val="28"/>
          <w:sz w:val="24"/>
          <w:szCs w:val="24"/>
        </w:rPr>
        <w:t xml:space="preserve"> requirements (FirstEnergy </w:t>
      </w:r>
      <w:r w:rsidR="00751E25">
        <w:rPr>
          <w:rFonts w:ascii="Arial" w:eastAsia="Times New Roman" w:hAnsi="Arial" w:cs="Arial"/>
          <w:bCs/>
          <w:kern w:val="28"/>
          <w:sz w:val="24"/>
          <w:szCs w:val="24"/>
        </w:rPr>
        <w:lastRenderedPageBreak/>
        <w:t>Assignment of Error 1)</w:t>
      </w:r>
      <w:r w:rsidR="00C93902">
        <w:rPr>
          <w:rFonts w:ascii="Arial" w:eastAsia="Times New Roman" w:hAnsi="Arial" w:cs="Arial"/>
          <w:bCs/>
          <w:kern w:val="28"/>
          <w:sz w:val="24"/>
          <w:szCs w:val="24"/>
        </w:rPr>
        <w:t xml:space="preserve">. </w:t>
      </w:r>
      <w:r w:rsidR="00DB774B">
        <w:rPr>
          <w:rFonts w:ascii="Arial" w:eastAsia="Times New Roman" w:hAnsi="Arial" w:cs="Arial"/>
          <w:bCs/>
          <w:kern w:val="28"/>
          <w:sz w:val="24"/>
          <w:szCs w:val="24"/>
        </w:rPr>
        <w:t xml:space="preserve"> </w:t>
      </w:r>
      <w:r w:rsidR="00C93902">
        <w:rPr>
          <w:rFonts w:ascii="Arial" w:eastAsia="Times New Roman" w:hAnsi="Arial" w:cs="Arial"/>
          <w:bCs/>
          <w:kern w:val="28"/>
          <w:sz w:val="24"/>
          <w:szCs w:val="24"/>
        </w:rPr>
        <w:t>FirstEnergy</w:t>
      </w:r>
      <w:r w:rsidR="00DB774B">
        <w:rPr>
          <w:rFonts w:ascii="Arial" w:eastAsia="Times New Roman" w:hAnsi="Arial" w:cs="Arial"/>
          <w:bCs/>
          <w:kern w:val="28"/>
          <w:sz w:val="24"/>
          <w:szCs w:val="24"/>
        </w:rPr>
        <w:t xml:space="preserve"> also</w:t>
      </w:r>
      <w:r w:rsidR="00C93902">
        <w:rPr>
          <w:rFonts w:ascii="Arial" w:eastAsia="Times New Roman" w:hAnsi="Arial" w:cs="Arial"/>
          <w:bCs/>
          <w:kern w:val="28"/>
          <w:sz w:val="24"/>
          <w:szCs w:val="24"/>
        </w:rPr>
        <w:t xml:space="preserve"> challenges the Order’s determination that facilities up to 2 megawatt</w:t>
      </w:r>
      <w:r w:rsidR="00751E25">
        <w:rPr>
          <w:rFonts w:ascii="Arial" w:eastAsia="Times New Roman" w:hAnsi="Arial" w:cs="Arial"/>
          <w:bCs/>
          <w:kern w:val="28"/>
          <w:sz w:val="24"/>
          <w:szCs w:val="24"/>
        </w:rPr>
        <w:t xml:space="preserve">s </w:t>
      </w:r>
      <w:r w:rsidR="00DB774B">
        <w:rPr>
          <w:rFonts w:ascii="Arial" w:eastAsia="Times New Roman" w:hAnsi="Arial" w:cs="Arial"/>
          <w:bCs/>
          <w:kern w:val="28"/>
          <w:sz w:val="24"/>
          <w:szCs w:val="24"/>
        </w:rPr>
        <w:t>may qualify as net metering systems</w:t>
      </w:r>
      <w:r w:rsidR="00751E25">
        <w:rPr>
          <w:rFonts w:ascii="Arial" w:eastAsia="Times New Roman" w:hAnsi="Arial" w:cs="Arial"/>
          <w:bCs/>
          <w:kern w:val="28"/>
          <w:sz w:val="24"/>
          <w:szCs w:val="24"/>
        </w:rPr>
        <w:t xml:space="preserve"> (FirstEnergy Assignment of Error 3)</w:t>
      </w:r>
      <w:r w:rsidR="00C93902">
        <w:rPr>
          <w:rFonts w:ascii="Arial" w:eastAsia="Times New Roman" w:hAnsi="Arial" w:cs="Arial"/>
          <w:bCs/>
          <w:kern w:val="28"/>
          <w:sz w:val="24"/>
          <w:szCs w:val="24"/>
        </w:rPr>
        <w:t>.</w:t>
      </w:r>
      <w:r>
        <w:rPr>
          <w:rFonts w:ascii="Arial" w:eastAsia="Times New Roman" w:hAnsi="Arial" w:cs="Arial"/>
          <w:bCs/>
          <w:kern w:val="28"/>
          <w:sz w:val="24"/>
          <w:szCs w:val="24"/>
        </w:rPr>
        <w:t xml:space="preserve"> </w:t>
      </w:r>
      <w:r w:rsidR="00DE141E">
        <w:rPr>
          <w:rFonts w:ascii="Arial" w:eastAsia="Times New Roman" w:hAnsi="Arial" w:cs="Arial"/>
          <w:bCs/>
          <w:kern w:val="28"/>
          <w:sz w:val="24"/>
          <w:szCs w:val="24"/>
        </w:rPr>
        <w:t xml:space="preserve"> </w:t>
      </w:r>
      <w:r w:rsidR="00751E25">
        <w:rPr>
          <w:rFonts w:ascii="Arial" w:eastAsia="Times New Roman" w:hAnsi="Arial" w:cs="Arial"/>
          <w:bCs/>
          <w:kern w:val="28"/>
          <w:sz w:val="24"/>
          <w:szCs w:val="24"/>
        </w:rPr>
        <w:t>Because each of these assignments of error lack merit,</w:t>
      </w:r>
      <w:r w:rsidR="002F3413" w:rsidRPr="002F3413">
        <w:t xml:space="preserve"> </w:t>
      </w:r>
      <w:r w:rsidR="002F3413" w:rsidRPr="002F3413">
        <w:rPr>
          <w:rFonts w:ascii="Arial" w:eastAsia="Times New Roman" w:hAnsi="Arial" w:cs="Arial"/>
          <w:bCs/>
          <w:kern w:val="28"/>
          <w:sz w:val="24"/>
          <w:szCs w:val="24"/>
        </w:rPr>
        <w:t>IGS S</w:t>
      </w:r>
      <w:r w:rsidR="002F3413">
        <w:rPr>
          <w:rFonts w:ascii="Arial" w:eastAsia="Times New Roman" w:hAnsi="Arial" w:cs="Arial"/>
          <w:bCs/>
          <w:kern w:val="28"/>
          <w:sz w:val="24"/>
          <w:szCs w:val="24"/>
        </w:rPr>
        <w:t>olar, LLC, IGS Generation, LLC, and</w:t>
      </w:r>
      <w:r w:rsidR="00751E25">
        <w:rPr>
          <w:rFonts w:ascii="Arial" w:eastAsia="Times New Roman" w:hAnsi="Arial" w:cs="Arial"/>
          <w:bCs/>
          <w:kern w:val="28"/>
          <w:sz w:val="24"/>
          <w:szCs w:val="24"/>
        </w:rPr>
        <w:t xml:space="preserve"> </w:t>
      </w:r>
      <w:r w:rsidR="00DE141E" w:rsidRPr="00DE141E">
        <w:rPr>
          <w:rFonts w:ascii="Arial" w:eastAsia="Times New Roman" w:hAnsi="Arial" w:cs="Arial"/>
          <w:bCs/>
          <w:kern w:val="28"/>
          <w:sz w:val="24"/>
          <w:szCs w:val="24"/>
        </w:rPr>
        <w:t xml:space="preserve">Interstate Gas </w:t>
      </w:r>
      <w:r w:rsidR="002F3413">
        <w:rPr>
          <w:rFonts w:ascii="Arial" w:eastAsia="Times New Roman" w:hAnsi="Arial" w:cs="Arial"/>
          <w:bCs/>
          <w:kern w:val="28"/>
          <w:sz w:val="24"/>
          <w:szCs w:val="24"/>
        </w:rPr>
        <w:t xml:space="preserve">Supply, Inc. (“IGS”) recommend </w:t>
      </w:r>
      <w:r w:rsidR="00DE141E" w:rsidRPr="00DE141E">
        <w:rPr>
          <w:rFonts w:ascii="Arial" w:eastAsia="Times New Roman" w:hAnsi="Arial" w:cs="Arial"/>
          <w:bCs/>
          <w:kern w:val="28"/>
          <w:sz w:val="24"/>
          <w:szCs w:val="24"/>
        </w:rPr>
        <w:t>that the Commission deny</w:t>
      </w:r>
      <w:r w:rsidR="00751E25">
        <w:rPr>
          <w:rFonts w:ascii="Arial" w:eastAsia="Times New Roman" w:hAnsi="Arial" w:cs="Arial"/>
          <w:bCs/>
          <w:kern w:val="28"/>
          <w:sz w:val="24"/>
          <w:szCs w:val="24"/>
        </w:rPr>
        <w:t xml:space="preserve"> the applications for rehearing as discussed herein.</w:t>
      </w:r>
    </w:p>
    <w:p w14:paraId="7C6BE4AA" w14:textId="79613D12" w:rsidR="00DE141E" w:rsidRDefault="00DE141E" w:rsidP="00DE141E">
      <w:pPr>
        <w:pStyle w:val="ListParagraph"/>
        <w:widowControl w:val="0"/>
        <w:numPr>
          <w:ilvl w:val="0"/>
          <w:numId w:val="17"/>
        </w:numPr>
        <w:overflowPunct w:val="0"/>
        <w:autoSpaceDE w:val="0"/>
        <w:autoSpaceDN w:val="0"/>
        <w:adjustRightInd w:val="0"/>
        <w:spacing w:after="0" w:line="480" w:lineRule="auto"/>
        <w:jc w:val="both"/>
        <w:rPr>
          <w:rFonts w:ascii="Arial" w:eastAsia="Times New Roman" w:hAnsi="Arial" w:cs="Arial"/>
          <w:b/>
          <w:bCs/>
          <w:kern w:val="28"/>
          <w:sz w:val="24"/>
          <w:szCs w:val="24"/>
        </w:rPr>
      </w:pPr>
      <w:r>
        <w:rPr>
          <w:rFonts w:ascii="Arial" w:eastAsia="Times New Roman" w:hAnsi="Arial" w:cs="Arial"/>
          <w:b/>
          <w:bCs/>
          <w:kern w:val="28"/>
          <w:sz w:val="24"/>
          <w:szCs w:val="24"/>
        </w:rPr>
        <w:t>ARGUMENT</w:t>
      </w:r>
    </w:p>
    <w:p w14:paraId="2270D034" w14:textId="4F0D33B9" w:rsidR="00C93902" w:rsidRDefault="00C93902" w:rsidP="008F4DBC">
      <w:pPr>
        <w:pStyle w:val="ListParagraph"/>
        <w:widowControl w:val="0"/>
        <w:numPr>
          <w:ilvl w:val="1"/>
          <w:numId w:val="17"/>
        </w:numPr>
        <w:overflowPunct w:val="0"/>
        <w:autoSpaceDE w:val="0"/>
        <w:autoSpaceDN w:val="0"/>
        <w:adjustRightInd w:val="0"/>
        <w:spacing w:after="0" w:line="240" w:lineRule="auto"/>
        <w:jc w:val="both"/>
        <w:rPr>
          <w:rFonts w:ascii="Arial" w:eastAsia="Times New Roman" w:hAnsi="Arial" w:cs="Arial"/>
          <w:b/>
          <w:bCs/>
          <w:kern w:val="28"/>
          <w:sz w:val="24"/>
          <w:szCs w:val="24"/>
        </w:rPr>
      </w:pPr>
      <w:r>
        <w:rPr>
          <w:rFonts w:ascii="Arial" w:eastAsia="Times New Roman" w:hAnsi="Arial" w:cs="Arial"/>
          <w:b/>
          <w:bCs/>
          <w:kern w:val="28"/>
          <w:sz w:val="24"/>
          <w:szCs w:val="24"/>
        </w:rPr>
        <w:t xml:space="preserve">OCC’s request for additional consumer safeguards is </w:t>
      </w:r>
      <w:r w:rsidR="00A171A3">
        <w:rPr>
          <w:rFonts w:ascii="Arial" w:eastAsia="Times New Roman" w:hAnsi="Arial" w:cs="Arial"/>
          <w:b/>
          <w:bCs/>
          <w:kern w:val="28"/>
          <w:sz w:val="24"/>
          <w:szCs w:val="24"/>
        </w:rPr>
        <w:t>neither</w:t>
      </w:r>
      <w:r>
        <w:rPr>
          <w:rFonts w:ascii="Arial" w:eastAsia="Times New Roman" w:hAnsi="Arial" w:cs="Arial"/>
          <w:b/>
          <w:bCs/>
          <w:kern w:val="28"/>
          <w:sz w:val="24"/>
          <w:szCs w:val="24"/>
        </w:rPr>
        <w:t xml:space="preserve"> justified</w:t>
      </w:r>
      <w:r w:rsidR="00A171A3">
        <w:rPr>
          <w:rFonts w:ascii="Arial" w:eastAsia="Times New Roman" w:hAnsi="Arial" w:cs="Arial"/>
          <w:b/>
          <w:bCs/>
          <w:kern w:val="28"/>
          <w:sz w:val="24"/>
          <w:szCs w:val="24"/>
        </w:rPr>
        <w:t xml:space="preserve"> nor ripe </w:t>
      </w:r>
    </w:p>
    <w:p w14:paraId="731BA093" w14:textId="77777777" w:rsidR="008F4DBC" w:rsidRDefault="008F4DBC" w:rsidP="008F4DBC">
      <w:pPr>
        <w:pStyle w:val="ListParagraph"/>
        <w:widowControl w:val="0"/>
        <w:overflowPunct w:val="0"/>
        <w:autoSpaceDE w:val="0"/>
        <w:autoSpaceDN w:val="0"/>
        <w:adjustRightInd w:val="0"/>
        <w:spacing w:after="0" w:line="240" w:lineRule="auto"/>
        <w:ind w:left="1800"/>
        <w:jc w:val="both"/>
        <w:rPr>
          <w:rFonts w:ascii="Arial" w:eastAsia="Times New Roman" w:hAnsi="Arial" w:cs="Arial"/>
          <w:b/>
          <w:bCs/>
          <w:kern w:val="28"/>
          <w:sz w:val="24"/>
          <w:szCs w:val="24"/>
        </w:rPr>
      </w:pPr>
    </w:p>
    <w:p w14:paraId="2A69B115" w14:textId="17E47DC0" w:rsidR="00116045" w:rsidRDefault="00470DDF" w:rsidP="00470DDF">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The Order provided that a CRES provider may offer a net metering contract consistent with OAC 4901:1-21.</w:t>
      </w:r>
      <w:r w:rsidR="00DB774B">
        <w:rPr>
          <w:rStyle w:val="FootnoteReference"/>
          <w:rFonts w:ascii="Arial" w:eastAsia="Times New Roman" w:hAnsi="Arial" w:cs="Arial"/>
          <w:bCs/>
          <w:kern w:val="28"/>
          <w:sz w:val="24"/>
          <w:szCs w:val="24"/>
        </w:rPr>
        <w:footnoteReference w:id="1"/>
      </w:r>
      <w:r>
        <w:rPr>
          <w:rFonts w:ascii="Arial" w:eastAsia="Times New Roman" w:hAnsi="Arial" w:cs="Arial"/>
          <w:bCs/>
          <w:kern w:val="28"/>
          <w:sz w:val="24"/>
          <w:szCs w:val="24"/>
        </w:rPr>
        <w:t xml:space="preserve"> OCC alleges </w:t>
      </w:r>
      <w:r w:rsidR="00751E25">
        <w:rPr>
          <w:rFonts w:ascii="Arial" w:eastAsia="Times New Roman" w:hAnsi="Arial" w:cs="Arial"/>
          <w:bCs/>
          <w:kern w:val="28"/>
          <w:sz w:val="24"/>
          <w:szCs w:val="24"/>
        </w:rPr>
        <w:t>that</w:t>
      </w:r>
      <w:r>
        <w:rPr>
          <w:rFonts w:ascii="Arial" w:eastAsia="Times New Roman" w:hAnsi="Arial" w:cs="Arial"/>
          <w:bCs/>
          <w:kern w:val="28"/>
          <w:sz w:val="24"/>
          <w:szCs w:val="24"/>
        </w:rPr>
        <w:t xml:space="preserve"> section is generally “</w:t>
      </w:r>
      <w:r w:rsidRPr="00470DDF">
        <w:rPr>
          <w:rFonts w:ascii="Arial" w:eastAsia="Times New Roman" w:hAnsi="Arial" w:cs="Arial"/>
          <w:bCs/>
          <w:kern w:val="28"/>
          <w:sz w:val="24"/>
          <w:szCs w:val="24"/>
        </w:rPr>
        <w:t>structured to address req</w:t>
      </w:r>
      <w:r>
        <w:rPr>
          <w:rFonts w:ascii="Arial" w:eastAsia="Times New Roman" w:hAnsi="Arial" w:cs="Arial"/>
          <w:bCs/>
          <w:kern w:val="28"/>
          <w:sz w:val="24"/>
          <w:szCs w:val="24"/>
        </w:rPr>
        <w:t xml:space="preserve">uirements for contracts between </w:t>
      </w:r>
      <w:r w:rsidRPr="00470DDF">
        <w:rPr>
          <w:rFonts w:ascii="Arial" w:eastAsia="Times New Roman" w:hAnsi="Arial" w:cs="Arial"/>
          <w:bCs/>
          <w:kern w:val="28"/>
          <w:sz w:val="24"/>
          <w:szCs w:val="24"/>
        </w:rPr>
        <w:t>marketers and customers for supplying retail electric service</w:t>
      </w:r>
      <w:r>
        <w:rPr>
          <w:rFonts w:ascii="Arial" w:eastAsia="Times New Roman" w:hAnsi="Arial" w:cs="Arial"/>
          <w:bCs/>
          <w:kern w:val="28"/>
          <w:sz w:val="24"/>
          <w:szCs w:val="24"/>
        </w:rPr>
        <w:t>”</w:t>
      </w:r>
      <w:r w:rsidR="00751E25">
        <w:rPr>
          <w:rStyle w:val="FootnoteReference"/>
          <w:rFonts w:ascii="Arial" w:eastAsia="Times New Roman" w:hAnsi="Arial" w:cs="Arial"/>
          <w:bCs/>
          <w:kern w:val="28"/>
          <w:sz w:val="24"/>
          <w:szCs w:val="24"/>
        </w:rPr>
        <w:footnoteReference w:id="2"/>
      </w:r>
      <w:r>
        <w:rPr>
          <w:rFonts w:ascii="Arial" w:eastAsia="Times New Roman" w:hAnsi="Arial" w:cs="Arial"/>
          <w:bCs/>
          <w:kern w:val="28"/>
          <w:sz w:val="24"/>
          <w:szCs w:val="24"/>
        </w:rPr>
        <w:t xml:space="preserve"> and such protections are not suffic</w:t>
      </w:r>
      <w:r w:rsidR="00284A81">
        <w:rPr>
          <w:rFonts w:ascii="Arial" w:eastAsia="Times New Roman" w:hAnsi="Arial" w:cs="Arial"/>
          <w:bCs/>
          <w:kern w:val="28"/>
          <w:sz w:val="24"/>
          <w:szCs w:val="24"/>
        </w:rPr>
        <w:t>ient here.  This</w:t>
      </w:r>
      <w:r w:rsidR="00116045">
        <w:rPr>
          <w:rFonts w:ascii="Arial" w:eastAsia="Times New Roman" w:hAnsi="Arial" w:cs="Arial"/>
          <w:bCs/>
          <w:kern w:val="28"/>
          <w:sz w:val="24"/>
          <w:szCs w:val="24"/>
        </w:rPr>
        <w:t xml:space="preserve"> argument is misplaced.</w:t>
      </w:r>
    </w:p>
    <w:p w14:paraId="0BF42245" w14:textId="4F36DCF3" w:rsidR="00116045" w:rsidRDefault="00116045" w:rsidP="00116045">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OCC’s argument </w:t>
      </w:r>
      <w:r w:rsidRPr="00116045">
        <w:rPr>
          <w:rFonts w:ascii="Arial" w:eastAsia="Times New Roman" w:hAnsi="Arial" w:cs="Arial"/>
          <w:bCs/>
          <w:kern w:val="28"/>
          <w:sz w:val="24"/>
          <w:szCs w:val="24"/>
        </w:rPr>
        <w:t>ignores existing rules that already address its concern</w:t>
      </w:r>
      <w:r>
        <w:rPr>
          <w:rFonts w:ascii="Arial" w:eastAsia="Times New Roman" w:hAnsi="Arial" w:cs="Arial"/>
          <w:bCs/>
          <w:kern w:val="28"/>
          <w:sz w:val="24"/>
          <w:szCs w:val="24"/>
        </w:rPr>
        <w:t>.  Indeed, OAC 4901:1-</w:t>
      </w:r>
      <w:r w:rsidR="00470DDF">
        <w:rPr>
          <w:rFonts w:ascii="Arial" w:eastAsia="Times New Roman" w:hAnsi="Arial" w:cs="Arial"/>
          <w:bCs/>
          <w:kern w:val="28"/>
          <w:sz w:val="24"/>
          <w:szCs w:val="24"/>
        </w:rPr>
        <w:t>21-13, titled “Net Metering Contracts”, set</w:t>
      </w:r>
      <w:r w:rsidR="00ED1EB4">
        <w:rPr>
          <w:rFonts w:ascii="Arial" w:eastAsia="Times New Roman" w:hAnsi="Arial" w:cs="Arial"/>
          <w:bCs/>
          <w:kern w:val="28"/>
          <w:sz w:val="24"/>
          <w:szCs w:val="24"/>
        </w:rPr>
        <w:t xml:space="preserve">s forth requirements that a Supplier must </w:t>
      </w:r>
      <w:r w:rsidR="00DB774B">
        <w:rPr>
          <w:rFonts w:ascii="Arial" w:eastAsia="Times New Roman" w:hAnsi="Arial" w:cs="Arial"/>
          <w:bCs/>
          <w:kern w:val="28"/>
          <w:sz w:val="24"/>
          <w:szCs w:val="24"/>
        </w:rPr>
        <w:t xml:space="preserve">follow </w:t>
      </w:r>
      <w:r w:rsidR="00ED1EB4">
        <w:rPr>
          <w:rFonts w:ascii="Arial" w:eastAsia="Times New Roman" w:hAnsi="Arial" w:cs="Arial"/>
          <w:bCs/>
          <w:kern w:val="28"/>
          <w:sz w:val="24"/>
          <w:szCs w:val="24"/>
        </w:rPr>
        <w:t>to the extent it</w:t>
      </w:r>
      <w:r w:rsidR="00470DDF">
        <w:rPr>
          <w:rFonts w:ascii="Arial" w:eastAsia="Times New Roman" w:hAnsi="Arial" w:cs="Arial"/>
          <w:bCs/>
          <w:kern w:val="28"/>
          <w:sz w:val="24"/>
          <w:szCs w:val="24"/>
        </w:rPr>
        <w:t xml:space="preserve"> offers a customer a net metering contract. It is unclear what else OCC is seeking.  Because OCC’s Application for Rehearing does not clearly identify what it is seeking in this proceeding</w:t>
      </w:r>
      <w:r>
        <w:rPr>
          <w:rFonts w:ascii="Arial" w:eastAsia="Times New Roman" w:hAnsi="Arial" w:cs="Arial"/>
          <w:bCs/>
          <w:kern w:val="28"/>
          <w:sz w:val="24"/>
          <w:szCs w:val="24"/>
        </w:rPr>
        <w:t xml:space="preserve"> and obligations already exist that OCC does not claim are insufficient, </w:t>
      </w:r>
      <w:r w:rsidR="00470DDF">
        <w:rPr>
          <w:rFonts w:ascii="Arial" w:eastAsia="Times New Roman" w:hAnsi="Arial" w:cs="Arial"/>
          <w:bCs/>
          <w:kern w:val="28"/>
          <w:sz w:val="24"/>
          <w:szCs w:val="24"/>
        </w:rPr>
        <w:t>the Commission should reject OCC’s application</w:t>
      </w:r>
      <w:r w:rsidR="00A171A3">
        <w:rPr>
          <w:rFonts w:ascii="Arial" w:eastAsia="Times New Roman" w:hAnsi="Arial" w:cs="Arial"/>
          <w:bCs/>
          <w:kern w:val="28"/>
          <w:sz w:val="24"/>
          <w:szCs w:val="24"/>
        </w:rPr>
        <w:t xml:space="preserve"> for rehearing in this respect.  </w:t>
      </w:r>
    </w:p>
    <w:p w14:paraId="497715D0" w14:textId="596C3E7B" w:rsidR="00470DDF" w:rsidRDefault="00A171A3" w:rsidP="00116045">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Moreover,</w:t>
      </w:r>
      <w:r w:rsidR="00116045">
        <w:rPr>
          <w:rFonts w:ascii="Arial" w:eastAsia="Times New Roman" w:hAnsi="Arial" w:cs="Arial"/>
          <w:bCs/>
          <w:kern w:val="28"/>
          <w:sz w:val="24"/>
          <w:szCs w:val="24"/>
        </w:rPr>
        <w:t xml:space="preserve"> OCC’s request</w:t>
      </w:r>
      <w:r w:rsidR="00284A81">
        <w:rPr>
          <w:rFonts w:ascii="Arial" w:eastAsia="Times New Roman" w:hAnsi="Arial" w:cs="Arial"/>
          <w:bCs/>
          <w:kern w:val="28"/>
          <w:sz w:val="24"/>
          <w:szCs w:val="24"/>
        </w:rPr>
        <w:t xml:space="preserve"> that the Commission</w:t>
      </w:r>
      <w:r w:rsidR="00116045">
        <w:rPr>
          <w:rFonts w:ascii="Arial" w:eastAsia="Times New Roman" w:hAnsi="Arial" w:cs="Arial"/>
          <w:bCs/>
          <w:kern w:val="28"/>
          <w:sz w:val="24"/>
          <w:szCs w:val="24"/>
        </w:rPr>
        <w:t xml:space="preserve"> address its concern in Case </w:t>
      </w:r>
      <w:r w:rsidR="00DB774B">
        <w:rPr>
          <w:rFonts w:ascii="Arial" w:eastAsia="Times New Roman" w:hAnsi="Arial" w:cs="Arial"/>
          <w:bCs/>
          <w:kern w:val="28"/>
          <w:sz w:val="24"/>
          <w:szCs w:val="24"/>
        </w:rPr>
        <w:t xml:space="preserve">No. </w:t>
      </w:r>
      <w:r w:rsidR="00116045">
        <w:rPr>
          <w:rFonts w:ascii="Arial" w:eastAsia="Times New Roman" w:hAnsi="Arial" w:cs="Arial"/>
          <w:bCs/>
          <w:kern w:val="28"/>
          <w:sz w:val="24"/>
          <w:szCs w:val="24"/>
        </w:rPr>
        <w:t xml:space="preserve">17-1843 is simply a recommendation to predetermine another proceeding before it has run its course. </w:t>
      </w:r>
      <w:r>
        <w:rPr>
          <w:rFonts w:ascii="Arial" w:eastAsia="Times New Roman" w:hAnsi="Arial" w:cs="Arial"/>
          <w:bCs/>
          <w:kern w:val="28"/>
          <w:sz w:val="24"/>
          <w:szCs w:val="24"/>
        </w:rPr>
        <w:t xml:space="preserve"> </w:t>
      </w:r>
      <w:r w:rsidR="00116045">
        <w:rPr>
          <w:rFonts w:ascii="Arial" w:eastAsia="Times New Roman" w:hAnsi="Arial" w:cs="Arial"/>
          <w:bCs/>
          <w:kern w:val="28"/>
          <w:sz w:val="24"/>
          <w:szCs w:val="24"/>
        </w:rPr>
        <w:lastRenderedPageBreak/>
        <w:t xml:space="preserve">Therefore, the Commission, at this time, should </w:t>
      </w:r>
      <w:r w:rsidR="00B0779F">
        <w:rPr>
          <w:rFonts w:ascii="Arial" w:eastAsia="Times New Roman" w:hAnsi="Arial" w:cs="Arial"/>
          <w:bCs/>
          <w:kern w:val="28"/>
          <w:sz w:val="24"/>
          <w:szCs w:val="24"/>
        </w:rPr>
        <w:t>reject Assignment of Error 5</w:t>
      </w:r>
      <w:r w:rsidR="00116045">
        <w:rPr>
          <w:rFonts w:ascii="Arial" w:eastAsia="Times New Roman" w:hAnsi="Arial" w:cs="Arial"/>
          <w:bCs/>
          <w:kern w:val="28"/>
          <w:sz w:val="24"/>
          <w:szCs w:val="24"/>
        </w:rPr>
        <w:t>, which seeks an outcome that is outside the scope of this proceeding.</w:t>
      </w:r>
    </w:p>
    <w:p w14:paraId="357D9D7B" w14:textId="389A3D9C" w:rsidR="00ED1EB4" w:rsidRDefault="00ED1EB4" w:rsidP="008F4DBC">
      <w:pPr>
        <w:pStyle w:val="ListParagraph"/>
        <w:widowControl w:val="0"/>
        <w:numPr>
          <w:ilvl w:val="1"/>
          <w:numId w:val="17"/>
        </w:numPr>
        <w:overflowPunct w:val="0"/>
        <w:autoSpaceDE w:val="0"/>
        <w:autoSpaceDN w:val="0"/>
        <w:adjustRightInd w:val="0"/>
        <w:spacing w:after="0" w:line="240" w:lineRule="auto"/>
        <w:jc w:val="both"/>
        <w:rPr>
          <w:rFonts w:ascii="Arial" w:eastAsia="Times New Roman" w:hAnsi="Arial" w:cs="Arial"/>
          <w:b/>
          <w:bCs/>
          <w:kern w:val="28"/>
          <w:sz w:val="24"/>
          <w:szCs w:val="24"/>
        </w:rPr>
      </w:pPr>
      <w:r>
        <w:rPr>
          <w:rFonts w:ascii="Arial" w:eastAsia="Times New Roman" w:hAnsi="Arial" w:cs="Arial"/>
          <w:b/>
          <w:bCs/>
          <w:kern w:val="28"/>
          <w:sz w:val="24"/>
          <w:szCs w:val="24"/>
        </w:rPr>
        <w:t>OCC’s proposal to impose additional costs on Suppliers and their customers lacks merit</w:t>
      </w:r>
    </w:p>
    <w:p w14:paraId="05EC243D" w14:textId="77777777" w:rsidR="008F4DBC" w:rsidRDefault="008F4DBC" w:rsidP="008F4DBC">
      <w:pPr>
        <w:pStyle w:val="ListParagraph"/>
        <w:widowControl w:val="0"/>
        <w:overflowPunct w:val="0"/>
        <w:autoSpaceDE w:val="0"/>
        <w:autoSpaceDN w:val="0"/>
        <w:adjustRightInd w:val="0"/>
        <w:spacing w:after="0" w:line="240" w:lineRule="auto"/>
        <w:ind w:left="1800"/>
        <w:jc w:val="both"/>
        <w:rPr>
          <w:rFonts w:ascii="Arial" w:eastAsia="Times New Roman" w:hAnsi="Arial" w:cs="Arial"/>
          <w:b/>
          <w:bCs/>
          <w:kern w:val="28"/>
          <w:sz w:val="24"/>
          <w:szCs w:val="24"/>
        </w:rPr>
      </w:pPr>
    </w:p>
    <w:p w14:paraId="29181E43" w14:textId="06C7373D" w:rsidR="00001B6C" w:rsidRDefault="00001B6C" w:rsidP="00001B6C">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The Order determined that net metered customers served by a Supplier should automatically be transferred to bill ready billing, unless the customers is issued a separate bill by Supplier.</w:t>
      </w:r>
      <w:r w:rsidR="008F4DBC">
        <w:rPr>
          <w:rStyle w:val="FootnoteReference"/>
          <w:rFonts w:ascii="Arial" w:eastAsia="Times New Roman" w:hAnsi="Arial" w:cs="Arial"/>
          <w:bCs/>
          <w:kern w:val="28"/>
          <w:sz w:val="24"/>
          <w:szCs w:val="24"/>
        </w:rPr>
        <w:footnoteReference w:id="3"/>
      </w:r>
      <w:r>
        <w:rPr>
          <w:rFonts w:ascii="Arial" w:eastAsia="Times New Roman" w:hAnsi="Arial" w:cs="Arial"/>
          <w:bCs/>
          <w:kern w:val="28"/>
          <w:sz w:val="24"/>
          <w:szCs w:val="24"/>
        </w:rPr>
        <w:t xml:space="preserve">  OCC takes i</w:t>
      </w:r>
      <w:r w:rsidR="00116045">
        <w:rPr>
          <w:rFonts w:ascii="Arial" w:eastAsia="Times New Roman" w:hAnsi="Arial" w:cs="Arial"/>
          <w:bCs/>
          <w:kern w:val="28"/>
          <w:sz w:val="24"/>
          <w:szCs w:val="24"/>
        </w:rPr>
        <w:t>ssue with this portion of the Or</w:t>
      </w:r>
      <w:r>
        <w:rPr>
          <w:rFonts w:ascii="Arial" w:eastAsia="Times New Roman" w:hAnsi="Arial" w:cs="Arial"/>
          <w:bCs/>
          <w:kern w:val="28"/>
          <w:sz w:val="24"/>
          <w:szCs w:val="24"/>
        </w:rPr>
        <w:t>der, claiming that the Commission should also have required “th</w:t>
      </w:r>
      <w:r w:rsidRPr="00001B6C">
        <w:rPr>
          <w:rFonts w:ascii="Arial" w:eastAsia="Times New Roman" w:hAnsi="Arial" w:cs="Arial"/>
          <w:bCs/>
          <w:kern w:val="28"/>
          <w:sz w:val="24"/>
          <w:szCs w:val="24"/>
        </w:rPr>
        <w:t>e electric distribution utilities to file updates to their</w:t>
      </w:r>
      <w:r>
        <w:rPr>
          <w:rFonts w:ascii="Arial" w:eastAsia="Times New Roman" w:hAnsi="Arial" w:cs="Arial"/>
          <w:bCs/>
          <w:kern w:val="28"/>
          <w:sz w:val="24"/>
          <w:szCs w:val="24"/>
        </w:rPr>
        <w:t xml:space="preserve"> supplier tariff to reflect the </w:t>
      </w:r>
      <w:r w:rsidRPr="00001B6C">
        <w:rPr>
          <w:rFonts w:ascii="Arial" w:eastAsia="Times New Roman" w:hAnsi="Arial" w:cs="Arial"/>
          <w:bCs/>
          <w:kern w:val="28"/>
          <w:sz w:val="24"/>
          <w:szCs w:val="24"/>
        </w:rPr>
        <w:t>costs for providing this service.</w:t>
      </w:r>
      <w:r>
        <w:rPr>
          <w:rFonts w:ascii="Arial" w:eastAsia="Times New Roman" w:hAnsi="Arial" w:cs="Arial"/>
          <w:bCs/>
          <w:kern w:val="28"/>
          <w:sz w:val="24"/>
          <w:szCs w:val="24"/>
        </w:rPr>
        <w:t>”</w:t>
      </w:r>
      <w:r w:rsidR="00116045">
        <w:rPr>
          <w:rStyle w:val="FootnoteReference"/>
          <w:rFonts w:ascii="Arial" w:eastAsia="Times New Roman" w:hAnsi="Arial" w:cs="Arial"/>
          <w:bCs/>
          <w:kern w:val="28"/>
          <w:sz w:val="24"/>
          <w:szCs w:val="24"/>
        </w:rPr>
        <w:footnoteReference w:id="4"/>
      </w:r>
      <w:r>
        <w:rPr>
          <w:rFonts w:ascii="Arial" w:eastAsia="Times New Roman" w:hAnsi="Arial" w:cs="Arial"/>
          <w:bCs/>
          <w:kern w:val="28"/>
          <w:sz w:val="24"/>
          <w:szCs w:val="24"/>
        </w:rPr>
        <w:t xml:space="preserve">  OCC’s assignment of error lacks merit.</w:t>
      </w:r>
    </w:p>
    <w:p w14:paraId="66F3C572" w14:textId="28A5C8D4" w:rsidR="00B0779F" w:rsidRDefault="00001B6C" w:rsidP="00A171A3">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 xml:space="preserve">As a practical matter, a Supplier entering into a net metering </w:t>
      </w:r>
      <w:r w:rsidR="00B0779F">
        <w:rPr>
          <w:rFonts w:ascii="Arial" w:eastAsia="Times New Roman" w:hAnsi="Arial" w:cs="Arial"/>
          <w:bCs/>
          <w:kern w:val="28"/>
          <w:sz w:val="24"/>
          <w:szCs w:val="24"/>
        </w:rPr>
        <w:t>contract with a customer is</w:t>
      </w:r>
      <w:r>
        <w:rPr>
          <w:rFonts w:ascii="Arial" w:eastAsia="Times New Roman" w:hAnsi="Arial" w:cs="Arial"/>
          <w:bCs/>
          <w:kern w:val="28"/>
          <w:sz w:val="24"/>
          <w:szCs w:val="24"/>
        </w:rPr>
        <w:t xml:space="preserve"> likely to use bill ready</w:t>
      </w:r>
      <w:r w:rsidR="00B0779F">
        <w:rPr>
          <w:rFonts w:ascii="Arial" w:eastAsia="Times New Roman" w:hAnsi="Arial" w:cs="Arial"/>
          <w:bCs/>
          <w:kern w:val="28"/>
          <w:sz w:val="24"/>
          <w:szCs w:val="24"/>
        </w:rPr>
        <w:t xml:space="preserve"> to invoice the customer</w:t>
      </w:r>
      <w:r>
        <w:rPr>
          <w:rFonts w:ascii="Arial" w:eastAsia="Times New Roman" w:hAnsi="Arial" w:cs="Arial"/>
          <w:bCs/>
          <w:kern w:val="28"/>
          <w:sz w:val="24"/>
          <w:szCs w:val="24"/>
        </w:rPr>
        <w:t xml:space="preserve"> from the outset</w:t>
      </w:r>
      <w:r w:rsidR="008F4DBC">
        <w:rPr>
          <w:rFonts w:ascii="Arial" w:eastAsia="Times New Roman" w:hAnsi="Arial" w:cs="Arial"/>
          <w:bCs/>
          <w:kern w:val="28"/>
          <w:sz w:val="24"/>
          <w:szCs w:val="24"/>
        </w:rPr>
        <w:t xml:space="preserve">.  Therefore, OCC is concerned with a situation that </w:t>
      </w:r>
      <w:r w:rsidR="00B0779F">
        <w:rPr>
          <w:rFonts w:ascii="Arial" w:eastAsia="Times New Roman" w:hAnsi="Arial" w:cs="Arial"/>
          <w:bCs/>
          <w:kern w:val="28"/>
          <w:sz w:val="24"/>
          <w:szCs w:val="24"/>
        </w:rPr>
        <w:t>is not likely to be a common occurrence</w:t>
      </w:r>
      <w:r>
        <w:rPr>
          <w:rFonts w:ascii="Arial" w:eastAsia="Times New Roman" w:hAnsi="Arial" w:cs="Arial"/>
          <w:bCs/>
          <w:kern w:val="28"/>
          <w:sz w:val="24"/>
          <w:szCs w:val="24"/>
        </w:rPr>
        <w:t xml:space="preserve">.  </w:t>
      </w:r>
      <w:r w:rsidR="00A171A3">
        <w:rPr>
          <w:rFonts w:ascii="Arial" w:eastAsia="Times New Roman" w:hAnsi="Arial" w:cs="Arial"/>
          <w:bCs/>
          <w:kern w:val="28"/>
          <w:sz w:val="24"/>
          <w:szCs w:val="24"/>
        </w:rPr>
        <w:t xml:space="preserve">Regardless, </w:t>
      </w:r>
      <w:r w:rsidR="00A171A3" w:rsidRPr="00A171A3">
        <w:rPr>
          <w:rFonts w:ascii="Arial" w:eastAsia="Times New Roman" w:hAnsi="Arial" w:cs="Arial"/>
          <w:bCs/>
          <w:kern w:val="28"/>
          <w:sz w:val="24"/>
          <w:szCs w:val="24"/>
        </w:rPr>
        <w:t>each of the four EDUs alrea</w:t>
      </w:r>
      <w:r w:rsidR="00B0779F">
        <w:rPr>
          <w:rFonts w:ascii="Arial" w:eastAsia="Times New Roman" w:hAnsi="Arial" w:cs="Arial"/>
          <w:bCs/>
          <w:kern w:val="28"/>
          <w:sz w:val="24"/>
          <w:szCs w:val="24"/>
        </w:rPr>
        <w:t>dy have bill ready capability to the extent there is a need to transfer a customer from rate ready</w:t>
      </w:r>
      <w:r w:rsidR="00284A81">
        <w:rPr>
          <w:rFonts w:ascii="Arial" w:eastAsia="Times New Roman" w:hAnsi="Arial" w:cs="Arial"/>
          <w:bCs/>
          <w:kern w:val="28"/>
          <w:sz w:val="24"/>
          <w:szCs w:val="24"/>
        </w:rPr>
        <w:t xml:space="preserve"> billing</w:t>
      </w:r>
      <w:r w:rsidR="00B0779F">
        <w:rPr>
          <w:rFonts w:ascii="Arial" w:eastAsia="Times New Roman" w:hAnsi="Arial" w:cs="Arial"/>
          <w:bCs/>
          <w:kern w:val="28"/>
          <w:sz w:val="24"/>
          <w:szCs w:val="24"/>
        </w:rPr>
        <w:t xml:space="preserve"> to bill ready billing.</w:t>
      </w:r>
      <w:r w:rsidR="00A171A3">
        <w:rPr>
          <w:rFonts w:ascii="Arial" w:eastAsia="Times New Roman" w:hAnsi="Arial" w:cs="Arial"/>
          <w:bCs/>
          <w:kern w:val="28"/>
          <w:sz w:val="24"/>
          <w:szCs w:val="24"/>
        </w:rPr>
        <w:t xml:space="preserve"> </w:t>
      </w:r>
    </w:p>
    <w:p w14:paraId="2722EA6E" w14:textId="0E082B2E" w:rsidR="00470DDF" w:rsidRDefault="00B0779F" w:rsidP="00A171A3">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r>
        <w:rPr>
          <w:rFonts w:ascii="Arial" w:eastAsia="Times New Roman" w:hAnsi="Arial" w:cs="Arial"/>
          <w:bCs/>
          <w:kern w:val="28"/>
          <w:sz w:val="24"/>
          <w:szCs w:val="24"/>
        </w:rPr>
        <w:t>Moreover,</w:t>
      </w:r>
      <w:r w:rsidR="00A171A3">
        <w:rPr>
          <w:rFonts w:ascii="Arial" w:eastAsia="Times New Roman" w:hAnsi="Arial" w:cs="Arial"/>
          <w:bCs/>
          <w:kern w:val="28"/>
          <w:sz w:val="24"/>
          <w:szCs w:val="24"/>
        </w:rPr>
        <w:t xml:space="preserve"> there are no fees</w:t>
      </w:r>
      <w:r w:rsidR="00001B6C">
        <w:rPr>
          <w:rFonts w:ascii="Arial" w:eastAsia="Times New Roman" w:hAnsi="Arial" w:cs="Arial"/>
          <w:bCs/>
          <w:kern w:val="28"/>
          <w:sz w:val="24"/>
          <w:szCs w:val="24"/>
        </w:rPr>
        <w:t xml:space="preserve"> to switch from rate ready billing to bill ready billing.  Thus, OCC</w:t>
      </w:r>
      <w:r w:rsidR="00A65A95">
        <w:rPr>
          <w:rFonts w:ascii="Arial" w:eastAsia="Times New Roman" w:hAnsi="Arial" w:cs="Arial"/>
          <w:bCs/>
          <w:kern w:val="28"/>
          <w:sz w:val="24"/>
          <w:szCs w:val="24"/>
        </w:rPr>
        <w:t>’s request</w:t>
      </w:r>
      <w:r>
        <w:rPr>
          <w:rFonts w:ascii="Arial" w:eastAsia="Times New Roman" w:hAnsi="Arial" w:cs="Arial"/>
          <w:bCs/>
          <w:kern w:val="28"/>
          <w:sz w:val="24"/>
          <w:szCs w:val="24"/>
        </w:rPr>
        <w:t xml:space="preserve"> to impose fees here</w:t>
      </w:r>
      <w:r w:rsidR="00A65A95">
        <w:rPr>
          <w:rFonts w:ascii="Arial" w:eastAsia="Times New Roman" w:hAnsi="Arial" w:cs="Arial"/>
          <w:bCs/>
          <w:kern w:val="28"/>
          <w:sz w:val="24"/>
          <w:szCs w:val="24"/>
        </w:rPr>
        <w:t xml:space="preserve"> is a collateral attack</w:t>
      </w:r>
      <w:r w:rsidR="00001B6C">
        <w:rPr>
          <w:rFonts w:ascii="Arial" w:eastAsia="Times New Roman" w:hAnsi="Arial" w:cs="Arial"/>
          <w:bCs/>
          <w:kern w:val="28"/>
          <w:sz w:val="24"/>
          <w:szCs w:val="24"/>
        </w:rPr>
        <w:t xml:space="preserve"> on</w:t>
      </w:r>
      <w:r>
        <w:rPr>
          <w:rFonts w:ascii="Arial" w:eastAsia="Times New Roman" w:hAnsi="Arial" w:cs="Arial"/>
          <w:bCs/>
          <w:kern w:val="28"/>
          <w:sz w:val="24"/>
          <w:szCs w:val="24"/>
        </w:rPr>
        <w:t xml:space="preserve"> the existing billing arrangements</w:t>
      </w:r>
      <w:r w:rsidR="00284A81">
        <w:rPr>
          <w:rFonts w:ascii="Arial" w:eastAsia="Times New Roman" w:hAnsi="Arial" w:cs="Arial"/>
          <w:bCs/>
          <w:kern w:val="28"/>
          <w:sz w:val="24"/>
          <w:szCs w:val="24"/>
        </w:rPr>
        <w:t xml:space="preserve"> </w:t>
      </w:r>
      <w:r w:rsidR="00001B6C">
        <w:rPr>
          <w:rFonts w:ascii="Arial" w:eastAsia="Times New Roman" w:hAnsi="Arial" w:cs="Arial"/>
          <w:bCs/>
          <w:kern w:val="28"/>
          <w:sz w:val="24"/>
          <w:szCs w:val="24"/>
        </w:rPr>
        <w:t>between ED</w:t>
      </w:r>
      <w:r w:rsidR="00A65A95">
        <w:rPr>
          <w:rFonts w:ascii="Arial" w:eastAsia="Times New Roman" w:hAnsi="Arial" w:cs="Arial"/>
          <w:bCs/>
          <w:kern w:val="28"/>
          <w:sz w:val="24"/>
          <w:szCs w:val="24"/>
        </w:rPr>
        <w:t>Us and Suppliers</w:t>
      </w:r>
      <w:r w:rsidR="008F4DBC">
        <w:rPr>
          <w:rFonts w:ascii="Arial" w:eastAsia="Times New Roman" w:hAnsi="Arial" w:cs="Arial"/>
          <w:bCs/>
          <w:kern w:val="28"/>
          <w:sz w:val="24"/>
          <w:szCs w:val="24"/>
        </w:rPr>
        <w:t xml:space="preserve"> regarding billing</w:t>
      </w:r>
      <w:r w:rsidR="00A65A95">
        <w:rPr>
          <w:rFonts w:ascii="Arial" w:eastAsia="Times New Roman" w:hAnsi="Arial" w:cs="Arial"/>
          <w:bCs/>
          <w:kern w:val="28"/>
          <w:sz w:val="24"/>
          <w:szCs w:val="24"/>
        </w:rPr>
        <w:t xml:space="preserve"> </w:t>
      </w:r>
      <w:r w:rsidR="00001B6C">
        <w:rPr>
          <w:rFonts w:ascii="Arial" w:eastAsia="Times New Roman" w:hAnsi="Arial" w:cs="Arial"/>
          <w:bCs/>
          <w:kern w:val="28"/>
          <w:sz w:val="24"/>
          <w:szCs w:val="24"/>
        </w:rPr>
        <w:t>functionality t</w:t>
      </w:r>
      <w:r>
        <w:rPr>
          <w:rFonts w:ascii="Arial" w:eastAsia="Times New Roman" w:hAnsi="Arial" w:cs="Arial"/>
          <w:bCs/>
          <w:kern w:val="28"/>
          <w:sz w:val="24"/>
          <w:szCs w:val="24"/>
        </w:rPr>
        <w:t xml:space="preserve">hat </w:t>
      </w:r>
      <w:r w:rsidR="00A65A95">
        <w:rPr>
          <w:rFonts w:ascii="Arial" w:eastAsia="Times New Roman" w:hAnsi="Arial" w:cs="Arial"/>
          <w:bCs/>
          <w:kern w:val="28"/>
          <w:sz w:val="24"/>
          <w:szCs w:val="24"/>
        </w:rPr>
        <w:t>existed prior to the Order.</w:t>
      </w:r>
      <w:r>
        <w:rPr>
          <w:rFonts w:ascii="Arial" w:eastAsia="Times New Roman" w:hAnsi="Arial" w:cs="Arial"/>
          <w:bCs/>
          <w:kern w:val="28"/>
          <w:sz w:val="24"/>
          <w:szCs w:val="24"/>
        </w:rPr>
        <w:t xml:space="preserve">  Therefore, Assignment of Error 6 lacks merit and should be rejected.</w:t>
      </w:r>
    </w:p>
    <w:p w14:paraId="247FAA3D" w14:textId="77777777" w:rsidR="00C91896" w:rsidRDefault="00C91896" w:rsidP="00A171A3">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p>
    <w:p w14:paraId="50B2A6BF" w14:textId="77777777" w:rsidR="00C91896" w:rsidRDefault="00C91896" w:rsidP="00A171A3">
      <w:pPr>
        <w:widowControl w:val="0"/>
        <w:overflowPunct w:val="0"/>
        <w:autoSpaceDE w:val="0"/>
        <w:autoSpaceDN w:val="0"/>
        <w:adjustRightInd w:val="0"/>
        <w:spacing w:after="0" w:line="480" w:lineRule="auto"/>
        <w:ind w:firstLine="720"/>
        <w:jc w:val="both"/>
        <w:rPr>
          <w:rFonts w:ascii="Arial" w:eastAsia="Times New Roman" w:hAnsi="Arial" w:cs="Arial"/>
          <w:bCs/>
          <w:kern w:val="28"/>
          <w:sz w:val="24"/>
          <w:szCs w:val="24"/>
        </w:rPr>
      </w:pPr>
    </w:p>
    <w:p w14:paraId="5DEC66D8" w14:textId="37AE0FD9" w:rsidR="004F2BFA" w:rsidRPr="004F2BFA" w:rsidRDefault="004F2BFA" w:rsidP="008F4DBC">
      <w:pPr>
        <w:pStyle w:val="ListParagraph"/>
        <w:numPr>
          <w:ilvl w:val="1"/>
          <w:numId w:val="17"/>
        </w:numPr>
        <w:spacing w:line="240" w:lineRule="auto"/>
        <w:rPr>
          <w:rFonts w:ascii="Arial" w:eastAsia="Times New Roman" w:hAnsi="Arial" w:cs="Arial"/>
          <w:b/>
          <w:bCs/>
          <w:kern w:val="28"/>
          <w:sz w:val="24"/>
          <w:szCs w:val="24"/>
        </w:rPr>
      </w:pPr>
      <w:r>
        <w:rPr>
          <w:rFonts w:ascii="Arial" w:eastAsia="Times New Roman" w:hAnsi="Arial" w:cs="Arial"/>
          <w:b/>
          <w:bCs/>
          <w:kern w:val="28"/>
          <w:sz w:val="24"/>
          <w:szCs w:val="24"/>
        </w:rPr>
        <w:lastRenderedPageBreak/>
        <w:t xml:space="preserve">Net metering facilities should be permitted to be sized up to 120% of usage requirements </w:t>
      </w:r>
    </w:p>
    <w:p w14:paraId="19ED3E2E" w14:textId="21655962" w:rsidR="004F2BFA" w:rsidRPr="004F2BFA" w:rsidRDefault="004F2BFA" w:rsidP="004F2BFA">
      <w:pPr>
        <w:spacing w:after="120" w:line="480" w:lineRule="auto"/>
        <w:ind w:firstLine="720"/>
        <w:jc w:val="both"/>
        <w:rPr>
          <w:rFonts w:ascii="Arial" w:eastAsia="Times New Roman" w:hAnsi="Arial" w:cs="Arial"/>
          <w:sz w:val="24"/>
          <w:szCs w:val="24"/>
        </w:rPr>
      </w:pPr>
      <w:r>
        <w:rPr>
          <w:rFonts w:ascii="Arial" w:eastAsia="Times New Roman" w:hAnsi="Arial" w:cs="Arial"/>
          <w:b/>
          <w:bCs/>
          <w:kern w:val="28"/>
          <w:sz w:val="24"/>
          <w:szCs w:val="24"/>
        </w:rPr>
        <w:t xml:space="preserve"> </w:t>
      </w:r>
      <w:r w:rsidRPr="004F2BFA">
        <w:rPr>
          <w:rFonts w:ascii="Arial" w:eastAsia="Times New Roman" w:hAnsi="Arial" w:cs="Arial"/>
          <w:sz w:val="24"/>
          <w:szCs w:val="24"/>
        </w:rPr>
        <w:t>The Order determined that net metering systems may produce up to 120% of a customer’s usage requirements.  The O</w:t>
      </w:r>
      <w:r w:rsidR="00B0779F">
        <w:rPr>
          <w:rFonts w:ascii="Arial" w:eastAsia="Times New Roman" w:hAnsi="Arial" w:cs="Arial"/>
          <w:sz w:val="24"/>
          <w:szCs w:val="24"/>
        </w:rPr>
        <w:t>rder established</w:t>
      </w:r>
      <w:r w:rsidRPr="004F2BFA">
        <w:rPr>
          <w:rFonts w:ascii="Arial" w:eastAsia="Times New Roman" w:hAnsi="Arial" w:cs="Arial"/>
          <w:sz w:val="24"/>
          <w:szCs w:val="24"/>
        </w:rPr>
        <w:t xml:space="preserve"> this limit because “there may be annual fluctuations in electricity usage, and the Commission has provided flexibility to the electric utilities in providing consumption estimates to customers . . . .”</w:t>
      </w:r>
      <w:r>
        <w:rPr>
          <w:rStyle w:val="FootnoteReference"/>
          <w:rFonts w:ascii="Arial" w:eastAsia="Times New Roman" w:hAnsi="Arial" w:cs="Arial"/>
          <w:sz w:val="24"/>
          <w:szCs w:val="24"/>
        </w:rPr>
        <w:footnoteReference w:id="5"/>
      </w:r>
      <w:r w:rsidRPr="004F2BFA">
        <w:rPr>
          <w:rFonts w:ascii="Arial" w:eastAsia="Times New Roman" w:hAnsi="Arial" w:cs="Arial"/>
          <w:sz w:val="24"/>
          <w:szCs w:val="24"/>
        </w:rPr>
        <w:t xml:space="preserve">  FirstEnergy </w:t>
      </w:r>
      <w:r w:rsidR="00284A81">
        <w:rPr>
          <w:rFonts w:ascii="Arial" w:eastAsia="Times New Roman" w:hAnsi="Arial" w:cs="Arial"/>
          <w:sz w:val="24"/>
          <w:szCs w:val="24"/>
        </w:rPr>
        <w:t xml:space="preserve">argues </w:t>
      </w:r>
      <w:r w:rsidRPr="004F2BFA">
        <w:rPr>
          <w:rFonts w:ascii="Arial" w:eastAsia="Times New Roman" w:hAnsi="Arial" w:cs="Arial"/>
          <w:sz w:val="24"/>
          <w:szCs w:val="24"/>
        </w:rPr>
        <w:t>that the Commission should have limited faciliti</w:t>
      </w:r>
      <w:r w:rsidR="00284A81">
        <w:rPr>
          <w:rFonts w:ascii="Arial" w:eastAsia="Times New Roman" w:hAnsi="Arial" w:cs="Arial"/>
          <w:sz w:val="24"/>
          <w:szCs w:val="24"/>
        </w:rPr>
        <w:t>es</w:t>
      </w:r>
      <w:r w:rsidRPr="004F2BFA">
        <w:rPr>
          <w:rFonts w:ascii="Arial" w:eastAsia="Times New Roman" w:hAnsi="Arial" w:cs="Arial"/>
          <w:sz w:val="24"/>
          <w:szCs w:val="24"/>
        </w:rPr>
        <w:t xml:space="preserve"> to producing 100% of their total energy usage.</w:t>
      </w:r>
      <w:r w:rsidR="00532D50">
        <w:rPr>
          <w:rStyle w:val="FootnoteReference"/>
          <w:rFonts w:ascii="Arial" w:eastAsia="Times New Roman" w:hAnsi="Arial" w:cs="Arial"/>
          <w:sz w:val="24"/>
          <w:szCs w:val="24"/>
        </w:rPr>
        <w:footnoteReference w:id="6"/>
      </w:r>
      <w:r w:rsidRPr="004F2BFA">
        <w:rPr>
          <w:rFonts w:ascii="Arial" w:eastAsia="Times New Roman" w:hAnsi="Arial" w:cs="Arial"/>
          <w:sz w:val="24"/>
          <w:szCs w:val="24"/>
        </w:rPr>
        <w:t xml:space="preserve">  FirstEnergy’s argument lacks merit. </w:t>
      </w:r>
    </w:p>
    <w:p w14:paraId="1314EAC8" w14:textId="47435BF4" w:rsidR="00C91896" w:rsidRPr="004F2BFA" w:rsidRDefault="004F2BFA" w:rsidP="004F2BFA">
      <w:pPr>
        <w:spacing w:after="120" w:line="480" w:lineRule="auto"/>
        <w:jc w:val="both"/>
        <w:rPr>
          <w:rFonts w:ascii="Arial" w:eastAsia="Times New Roman" w:hAnsi="Arial" w:cs="Arial"/>
          <w:sz w:val="24"/>
          <w:szCs w:val="24"/>
        </w:rPr>
      </w:pPr>
      <w:r w:rsidRPr="004F2BFA">
        <w:rPr>
          <w:rFonts w:ascii="Arial" w:eastAsia="Times New Roman" w:hAnsi="Arial" w:cs="Arial"/>
          <w:sz w:val="24"/>
          <w:szCs w:val="24"/>
        </w:rPr>
        <w:tab/>
        <w:t xml:space="preserve">As the Order acknowledges, </w:t>
      </w:r>
      <w:r>
        <w:rPr>
          <w:rFonts w:ascii="Arial" w:eastAsia="Times New Roman" w:hAnsi="Arial" w:cs="Arial"/>
          <w:sz w:val="24"/>
          <w:szCs w:val="24"/>
        </w:rPr>
        <w:t xml:space="preserve">customer usage </w:t>
      </w:r>
      <w:r w:rsidR="00B0779F">
        <w:rPr>
          <w:rFonts w:ascii="Arial" w:eastAsia="Times New Roman" w:hAnsi="Arial" w:cs="Arial"/>
          <w:sz w:val="24"/>
          <w:szCs w:val="24"/>
        </w:rPr>
        <w:t xml:space="preserve">and estimates of usage </w:t>
      </w:r>
      <w:r>
        <w:rPr>
          <w:rFonts w:ascii="Arial" w:eastAsia="Times New Roman" w:hAnsi="Arial" w:cs="Arial"/>
          <w:sz w:val="24"/>
          <w:szCs w:val="24"/>
        </w:rPr>
        <w:t>requirements may vary.</w:t>
      </w:r>
      <w:r w:rsidR="00532D50">
        <w:rPr>
          <w:rStyle w:val="FootnoteReference"/>
          <w:rFonts w:ascii="Arial" w:eastAsia="Times New Roman" w:hAnsi="Arial" w:cs="Arial"/>
          <w:sz w:val="24"/>
          <w:szCs w:val="24"/>
        </w:rPr>
        <w:footnoteReference w:id="7"/>
      </w:r>
      <w:r>
        <w:rPr>
          <w:rFonts w:ascii="Arial" w:eastAsia="Times New Roman" w:hAnsi="Arial" w:cs="Arial"/>
          <w:sz w:val="24"/>
          <w:szCs w:val="24"/>
        </w:rPr>
        <w:t xml:space="preserve">  Moreove</w:t>
      </w:r>
      <w:r w:rsidR="00B0779F">
        <w:rPr>
          <w:rFonts w:ascii="Arial" w:eastAsia="Times New Roman" w:hAnsi="Arial" w:cs="Arial"/>
          <w:sz w:val="24"/>
          <w:szCs w:val="24"/>
        </w:rPr>
        <w:t>r</w:t>
      </w:r>
      <w:r>
        <w:rPr>
          <w:rFonts w:ascii="Arial" w:eastAsia="Times New Roman" w:hAnsi="Arial" w:cs="Arial"/>
          <w:sz w:val="24"/>
          <w:szCs w:val="24"/>
        </w:rPr>
        <w:t xml:space="preserve">, </w:t>
      </w:r>
      <w:r w:rsidRPr="004F2BFA">
        <w:rPr>
          <w:rFonts w:ascii="Arial" w:eastAsia="Times New Roman" w:hAnsi="Arial" w:cs="Arial"/>
          <w:sz w:val="24"/>
          <w:szCs w:val="24"/>
        </w:rPr>
        <w:t>many distributed generation resources, such as solar, produce varying levels of generation output d</w:t>
      </w:r>
      <w:r w:rsidR="00B0779F">
        <w:rPr>
          <w:rFonts w:ascii="Arial" w:eastAsia="Times New Roman" w:hAnsi="Arial" w:cs="Arial"/>
          <w:sz w:val="24"/>
          <w:szCs w:val="24"/>
        </w:rPr>
        <w:t>epending on weather conditions.  Because both usage and distributed generation</w:t>
      </w:r>
      <w:r w:rsidR="00532D50">
        <w:rPr>
          <w:rFonts w:ascii="Arial" w:eastAsia="Times New Roman" w:hAnsi="Arial" w:cs="Arial"/>
          <w:sz w:val="24"/>
          <w:szCs w:val="24"/>
        </w:rPr>
        <w:t xml:space="preserve"> resource</w:t>
      </w:r>
      <w:r w:rsidR="00B0779F">
        <w:rPr>
          <w:rFonts w:ascii="Arial" w:eastAsia="Times New Roman" w:hAnsi="Arial" w:cs="Arial"/>
          <w:sz w:val="24"/>
          <w:szCs w:val="24"/>
        </w:rPr>
        <w:t xml:space="preserve"> production may not be certain, </w:t>
      </w:r>
      <w:r w:rsidRPr="004F2BFA">
        <w:rPr>
          <w:rFonts w:ascii="Arial" w:eastAsia="Times New Roman" w:hAnsi="Arial" w:cs="Arial"/>
          <w:sz w:val="24"/>
          <w:szCs w:val="24"/>
        </w:rPr>
        <w:t xml:space="preserve">it may be appropriate to construct a distributed generation resource that is larger than a customer’s total usage requirements to ensure it satisfies its intended purpose </w:t>
      </w:r>
      <w:r w:rsidR="00B0779F">
        <w:rPr>
          <w:rFonts w:ascii="Arial" w:eastAsia="Times New Roman" w:hAnsi="Arial" w:cs="Arial"/>
          <w:sz w:val="24"/>
          <w:szCs w:val="24"/>
        </w:rPr>
        <w:t xml:space="preserve">of offsetting customer usage.  </w:t>
      </w:r>
      <w:r w:rsidR="00532D50">
        <w:rPr>
          <w:rFonts w:ascii="Arial" w:eastAsia="Times New Roman" w:hAnsi="Arial" w:cs="Arial"/>
          <w:sz w:val="24"/>
          <w:szCs w:val="24"/>
        </w:rPr>
        <w:t>Thus, establishing a threshold level of 120%</w:t>
      </w:r>
      <w:r w:rsidRPr="004F2BFA">
        <w:rPr>
          <w:rFonts w:ascii="Arial" w:eastAsia="Times New Roman" w:hAnsi="Arial" w:cs="Arial"/>
          <w:sz w:val="24"/>
          <w:szCs w:val="24"/>
        </w:rPr>
        <w:t xml:space="preserve"> is</w:t>
      </w:r>
      <w:r w:rsidR="00532D50">
        <w:rPr>
          <w:rFonts w:ascii="Arial" w:eastAsia="Times New Roman" w:hAnsi="Arial" w:cs="Arial"/>
          <w:sz w:val="24"/>
          <w:szCs w:val="24"/>
        </w:rPr>
        <w:t xml:space="preserve"> reasonable and consistent with the requirement that the facility be “intended primarily </w:t>
      </w:r>
      <w:r w:rsidRPr="004F2BFA">
        <w:rPr>
          <w:rFonts w:ascii="Arial" w:eastAsia="Times New Roman" w:hAnsi="Arial" w:cs="Arial"/>
          <w:sz w:val="24"/>
          <w:szCs w:val="24"/>
        </w:rPr>
        <w:t>to offset part or all of the customer-generator's requirements for electricity.”</w:t>
      </w:r>
      <w:r>
        <w:rPr>
          <w:rStyle w:val="FootnoteReference"/>
          <w:rFonts w:ascii="Arial" w:eastAsia="Times New Roman" w:hAnsi="Arial" w:cs="Arial"/>
          <w:sz w:val="24"/>
          <w:szCs w:val="24"/>
        </w:rPr>
        <w:footnoteReference w:id="8"/>
      </w:r>
      <w:r w:rsidRPr="004F2BFA">
        <w:rPr>
          <w:rFonts w:ascii="Arial" w:eastAsia="Times New Roman" w:hAnsi="Arial" w:cs="Arial"/>
          <w:sz w:val="24"/>
          <w:szCs w:val="24"/>
        </w:rPr>
        <w:t xml:space="preserve">   </w:t>
      </w:r>
    </w:p>
    <w:p w14:paraId="54F06C9F" w14:textId="7C2F8D0E" w:rsidR="00A171A3" w:rsidRPr="00A171A3" w:rsidRDefault="00A171A3" w:rsidP="00A171A3">
      <w:pPr>
        <w:pStyle w:val="ListParagraph"/>
        <w:numPr>
          <w:ilvl w:val="1"/>
          <w:numId w:val="17"/>
        </w:numPr>
        <w:rPr>
          <w:rFonts w:ascii="Arial" w:eastAsia="Times New Roman" w:hAnsi="Arial" w:cs="Arial"/>
          <w:b/>
          <w:bCs/>
          <w:kern w:val="28"/>
          <w:sz w:val="24"/>
          <w:szCs w:val="24"/>
        </w:rPr>
      </w:pPr>
      <w:r w:rsidRPr="00A171A3">
        <w:rPr>
          <w:rFonts w:ascii="Arial" w:eastAsia="Times New Roman" w:hAnsi="Arial" w:cs="Arial"/>
          <w:b/>
          <w:bCs/>
          <w:kern w:val="28"/>
          <w:sz w:val="24"/>
          <w:szCs w:val="24"/>
        </w:rPr>
        <w:lastRenderedPageBreak/>
        <w:t>The Commission should</w:t>
      </w:r>
      <w:r w:rsidR="00284A81">
        <w:rPr>
          <w:rFonts w:ascii="Arial" w:eastAsia="Times New Roman" w:hAnsi="Arial" w:cs="Arial"/>
          <w:b/>
          <w:bCs/>
          <w:kern w:val="28"/>
          <w:sz w:val="24"/>
          <w:szCs w:val="24"/>
        </w:rPr>
        <w:t xml:space="preserve"> not reduce the size of a micro</w:t>
      </w:r>
      <w:r w:rsidRPr="00A171A3">
        <w:rPr>
          <w:rFonts w:ascii="Arial" w:eastAsia="Times New Roman" w:hAnsi="Arial" w:cs="Arial"/>
          <w:b/>
          <w:bCs/>
          <w:kern w:val="28"/>
          <w:sz w:val="24"/>
          <w:szCs w:val="24"/>
        </w:rPr>
        <w:t xml:space="preserve">turbine eligible for net metering </w:t>
      </w:r>
    </w:p>
    <w:p w14:paraId="407B84FF" w14:textId="7E2B81DE" w:rsidR="00E54252" w:rsidRDefault="00DA0D5F" w:rsidP="00F13C1E">
      <w:pPr>
        <w:spacing w:after="120" w:line="480" w:lineRule="auto"/>
        <w:ind w:firstLine="720"/>
        <w:jc w:val="both"/>
        <w:rPr>
          <w:rFonts w:ascii="Arial" w:hAnsi="Arial" w:cs="Arial"/>
          <w:sz w:val="24"/>
          <w:szCs w:val="24"/>
        </w:rPr>
      </w:pPr>
      <w:r>
        <w:rPr>
          <w:rFonts w:ascii="Arial" w:hAnsi="Arial" w:cs="Arial"/>
          <w:sz w:val="24"/>
          <w:szCs w:val="24"/>
        </w:rPr>
        <w:t>The Order concluded that “the size limit for microturbines should be set at 2 MW.”</w:t>
      </w:r>
      <w:r w:rsidR="00E54252">
        <w:rPr>
          <w:rStyle w:val="FootnoteReference"/>
          <w:rFonts w:ascii="Arial" w:hAnsi="Arial" w:cs="Arial"/>
          <w:sz w:val="24"/>
          <w:szCs w:val="24"/>
        </w:rPr>
        <w:footnoteReference w:id="9"/>
      </w:r>
      <w:r>
        <w:rPr>
          <w:rFonts w:ascii="Arial" w:hAnsi="Arial" w:cs="Arial"/>
          <w:sz w:val="24"/>
          <w:szCs w:val="24"/>
        </w:rPr>
        <w:t xml:space="preserve">     FirstEnergy challenges thi</w:t>
      </w:r>
      <w:r w:rsidR="00E54252">
        <w:rPr>
          <w:rFonts w:ascii="Arial" w:hAnsi="Arial" w:cs="Arial"/>
          <w:sz w:val="24"/>
          <w:szCs w:val="24"/>
        </w:rPr>
        <w:t>s determination, arguing that the Commission should have set the</w:t>
      </w:r>
      <w:r w:rsidR="00A171A3" w:rsidRPr="0027639C">
        <w:rPr>
          <w:rFonts w:ascii="Arial" w:hAnsi="Arial" w:cs="Arial"/>
          <w:sz w:val="24"/>
          <w:szCs w:val="24"/>
        </w:rPr>
        <w:t xml:space="preserve"> threshold </w:t>
      </w:r>
      <w:r w:rsidR="00E54252">
        <w:rPr>
          <w:rFonts w:ascii="Arial" w:hAnsi="Arial" w:cs="Arial"/>
          <w:sz w:val="24"/>
          <w:szCs w:val="24"/>
        </w:rPr>
        <w:t>size at</w:t>
      </w:r>
      <w:r w:rsidR="00A171A3" w:rsidRPr="0027639C">
        <w:rPr>
          <w:rFonts w:ascii="Arial" w:hAnsi="Arial" w:cs="Arial"/>
          <w:sz w:val="24"/>
          <w:szCs w:val="24"/>
        </w:rPr>
        <w:t xml:space="preserve"> 500 k</w:t>
      </w:r>
      <w:r w:rsidR="00532D50">
        <w:rPr>
          <w:rFonts w:ascii="Arial" w:hAnsi="Arial" w:cs="Arial"/>
          <w:sz w:val="24"/>
          <w:szCs w:val="24"/>
        </w:rPr>
        <w:t>ilo</w:t>
      </w:r>
      <w:r w:rsidR="00A171A3" w:rsidRPr="0027639C">
        <w:rPr>
          <w:rFonts w:ascii="Arial" w:hAnsi="Arial" w:cs="Arial"/>
          <w:sz w:val="24"/>
          <w:szCs w:val="24"/>
        </w:rPr>
        <w:t>w</w:t>
      </w:r>
      <w:r w:rsidR="00532D50">
        <w:rPr>
          <w:rFonts w:ascii="Arial" w:hAnsi="Arial" w:cs="Arial"/>
          <w:sz w:val="24"/>
          <w:szCs w:val="24"/>
        </w:rPr>
        <w:t>att</w:t>
      </w:r>
      <w:r w:rsidR="00284A81">
        <w:rPr>
          <w:rFonts w:ascii="Arial" w:hAnsi="Arial" w:cs="Arial"/>
          <w:sz w:val="24"/>
          <w:szCs w:val="24"/>
        </w:rPr>
        <w:t>s</w:t>
      </w:r>
      <w:r w:rsidR="00A171A3" w:rsidRPr="0027639C">
        <w:rPr>
          <w:rFonts w:ascii="Arial" w:hAnsi="Arial" w:cs="Arial"/>
          <w:sz w:val="24"/>
          <w:szCs w:val="24"/>
        </w:rPr>
        <w:t xml:space="preserve"> or smaller.</w:t>
      </w:r>
      <w:r w:rsidR="00A171A3" w:rsidRPr="0027639C">
        <w:rPr>
          <w:rStyle w:val="FootnoteReference"/>
          <w:rFonts w:ascii="Arial" w:hAnsi="Arial" w:cs="Arial"/>
          <w:sz w:val="24"/>
          <w:szCs w:val="24"/>
        </w:rPr>
        <w:footnoteReference w:id="10"/>
      </w:r>
      <w:r w:rsidR="00E54252">
        <w:rPr>
          <w:rFonts w:ascii="Arial" w:hAnsi="Arial" w:cs="Arial"/>
          <w:sz w:val="24"/>
          <w:szCs w:val="24"/>
        </w:rPr>
        <w:t xml:space="preserve">  First</w:t>
      </w:r>
      <w:r w:rsidR="002F3413">
        <w:rPr>
          <w:rFonts w:ascii="Arial" w:hAnsi="Arial" w:cs="Arial"/>
          <w:sz w:val="24"/>
          <w:szCs w:val="24"/>
        </w:rPr>
        <w:t>Energy</w:t>
      </w:r>
      <w:r w:rsidR="00E54252">
        <w:rPr>
          <w:rFonts w:ascii="Arial" w:hAnsi="Arial" w:cs="Arial"/>
          <w:sz w:val="24"/>
          <w:szCs w:val="24"/>
        </w:rPr>
        <w:t xml:space="preserve"> alleges that the Commission has ignored the industry standard</w:t>
      </w:r>
      <w:r w:rsidR="00F13C1E">
        <w:rPr>
          <w:rFonts w:ascii="Arial" w:hAnsi="Arial" w:cs="Arial"/>
          <w:sz w:val="24"/>
          <w:szCs w:val="24"/>
        </w:rPr>
        <w:t xml:space="preserve"> in defining the size of a microturbine and the Commission placed too much significance on a customer’s intent to displace their usage requirements.  FirstEnergy further argues that the Commission should not have relied upon its interconnection rules to support its size limitation.  As discussed below, FirstEnergy’s arguments lack merit.  </w:t>
      </w:r>
    </w:p>
    <w:p w14:paraId="2CE4AA4D" w14:textId="19B88975" w:rsidR="008E15D8" w:rsidRDefault="00941E60" w:rsidP="008E15D8">
      <w:pPr>
        <w:spacing w:after="120" w:line="480" w:lineRule="auto"/>
        <w:ind w:firstLine="720"/>
        <w:jc w:val="both"/>
        <w:rPr>
          <w:rFonts w:ascii="Arial" w:hAnsi="Arial" w:cs="Arial"/>
          <w:sz w:val="24"/>
          <w:szCs w:val="24"/>
        </w:rPr>
      </w:pPr>
      <w:r>
        <w:rPr>
          <w:rFonts w:ascii="Arial" w:hAnsi="Arial" w:cs="Arial"/>
          <w:sz w:val="24"/>
          <w:szCs w:val="24"/>
        </w:rPr>
        <w:t>Although FirstEnergy would rather t</w:t>
      </w:r>
      <w:r w:rsidR="00532D50">
        <w:rPr>
          <w:rFonts w:ascii="Arial" w:hAnsi="Arial" w:cs="Arial"/>
          <w:sz w:val="24"/>
          <w:szCs w:val="24"/>
        </w:rPr>
        <w:t xml:space="preserve">he Commission establish a 500 kilowatt </w:t>
      </w:r>
      <w:r>
        <w:rPr>
          <w:rFonts w:ascii="Arial" w:hAnsi="Arial" w:cs="Arial"/>
          <w:sz w:val="24"/>
          <w:szCs w:val="24"/>
        </w:rPr>
        <w:t>threshold,</w:t>
      </w:r>
      <w:r w:rsidR="00532D50">
        <w:rPr>
          <w:rFonts w:ascii="Arial" w:hAnsi="Arial" w:cs="Arial"/>
          <w:sz w:val="24"/>
          <w:szCs w:val="24"/>
        </w:rPr>
        <w:t xml:space="preserve"> the statute does specifically define microturbine.  Indeed, i</w:t>
      </w:r>
      <w:r w:rsidR="008E15D8">
        <w:rPr>
          <w:rFonts w:ascii="Arial" w:hAnsi="Arial" w:cs="Arial"/>
          <w:sz w:val="24"/>
          <w:szCs w:val="24"/>
        </w:rPr>
        <w:t xml:space="preserve">t is referenced only once in the entire Ohio Revised Code (R.C. 4928.01(A)(31). </w:t>
      </w:r>
      <w:r w:rsidR="008E15D8" w:rsidRPr="008E15D8">
        <w:rPr>
          <w:rFonts w:ascii="Arial" w:hAnsi="Arial" w:cs="Arial"/>
          <w:sz w:val="24"/>
          <w:szCs w:val="24"/>
        </w:rPr>
        <w:t>Given</w:t>
      </w:r>
      <w:r w:rsidR="00532D50">
        <w:rPr>
          <w:rFonts w:ascii="Arial" w:hAnsi="Arial" w:cs="Arial"/>
          <w:sz w:val="24"/>
          <w:szCs w:val="24"/>
        </w:rPr>
        <w:t xml:space="preserve"> that</w:t>
      </w:r>
      <w:r w:rsidR="008E15D8" w:rsidRPr="008E15D8">
        <w:rPr>
          <w:rFonts w:ascii="Arial" w:hAnsi="Arial" w:cs="Arial"/>
          <w:sz w:val="24"/>
          <w:szCs w:val="24"/>
        </w:rPr>
        <w:t xml:space="preserve"> the General Assembly did not specifically codify the definition of microturbine, the Commission has wide latitude to rely upon its own expertise, judgment, and state policy to define</w:t>
      </w:r>
      <w:r w:rsidR="00284A81">
        <w:rPr>
          <w:rFonts w:ascii="Arial" w:hAnsi="Arial" w:cs="Arial"/>
          <w:sz w:val="24"/>
          <w:szCs w:val="24"/>
        </w:rPr>
        <w:t xml:space="preserve"> it</w:t>
      </w:r>
      <w:r w:rsidR="008E15D8" w:rsidRPr="008E15D8">
        <w:rPr>
          <w:rFonts w:ascii="Arial" w:hAnsi="Arial" w:cs="Arial"/>
          <w:sz w:val="24"/>
          <w:szCs w:val="24"/>
        </w:rPr>
        <w:t xml:space="preserve">.  Because state policy favors the use of net metering </w:t>
      </w:r>
      <w:r w:rsidR="00532D50">
        <w:rPr>
          <w:rFonts w:ascii="Arial" w:hAnsi="Arial" w:cs="Arial"/>
          <w:sz w:val="24"/>
          <w:szCs w:val="24"/>
        </w:rPr>
        <w:t xml:space="preserve">systems </w:t>
      </w:r>
      <w:r w:rsidR="008E15D8" w:rsidRPr="008E15D8">
        <w:rPr>
          <w:rFonts w:ascii="Arial" w:hAnsi="Arial" w:cs="Arial"/>
          <w:sz w:val="24"/>
          <w:szCs w:val="24"/>
        </w:rPr>
        <w:t>to facilitate the development of distributed generation resources, it is reasonable and appropriate to adopt an expansive definition of microturbine.  That is exactly what</w:t>
      </w:r>
      <w:r w:rsidR="00532D50">
        <w:rPr>
          <w:rFonts w:ascii="Arial" w:hAnsi="Arial" w:cs="Arial"/>
          <w:sz w:val="24"/>
          <w:szCs w:val="24"/>
        </w:rPr>
        <w:t xml:space="preserve"> the Commission did</w:t>
      </w:r>
      <w:r w:rsidR="008E15D8" w:rsidRPr="008E15D8">
        <w:rPr>
          <w:rFonts w:ascii="Arial" w:hAnsi="Arial" w:cs="Arial"/>
          <w:sz w:val="24"/>
          <w:szCs w:val="24"/>
        </w:rPr>
        <w:t xml:space="preserve">, finding that “we note that pursuant to R.C. 4928.02(K), it is the policy of this state to encourage implementation of distributed generation across customer classes </w:t>
      </w:r>
      <w:r w:rsidR="008E15D8" w:rsidRPr="008E15D8">
        <w:rPr>
          <w:rFonts w:ascii="Arial" w:hAnsi="Arial" w:cs="Arial"/>
          <w:sz w:val="24"/>
          <w:szCs w:val="24"/>
        </w:rPr>
        <w:lastRenderedPageBreak/>
        <w:t>through regular review and updating of administrative rules governing critical issues such as interconnecti</w:t>
      </w:r>
      <w:r w:rsidR="008E15D8">
        <w:rPr>
          <w:rFonts w:ascii="Arial" w:hAnsi="Arial" w:cs="Arial"/>
          <w:sz w:val="24"/>
          <w:szCs w:val="24"/>
        </w:rPr>
        <w:t>on standards and net metering.”</w:t>
      </w:r>
      <w:r w:rsidR="008E15D8">
        <w:rPr>
          <w:rStyle w:val="FootnoteReference"/>
          <w:rFonts w:ascii="Arial" w:hAnsi="Arial" w:cs="Arial"/>
          <w:sz w:val="24"/>
          <w:szCs w:val="24"/>
        </w:rPr>
        <w:footnoteReference w:id="11"/>
      </w:r>
      <w:r w:rsidR="008E15D8" w:rsidRPr="008E15D8">
        <w:rPr>
          <w:rFonts w:ascii="Arial" w:hAnsi="Arial" w:cs="Arial"/>
          <w:sz w:val="24"/>
          <w:szCs w:val="24"/>
        </w:rPr>
        <w:t xml:space="preserve"> </w:t>
      </w:r>
      <w:r w:rsidR="008E15D8">
        <w:rPr>
          <w:rFonts w:ascii="Arial" w:hAnsi="Arial" w:cs="Arial"/>
          <w:sz w:val="24"/>
          <w:szCs w:val="24"/>
        </w:rPr>
        <w:tab/>
      </w:r>
    </w:p>
    <w:p w14:paraId="693ED947" w14:textId="6969C2ED" w:rsidR="008E15D8" w:rsidRDefault="008E15D8" w:rsidP="002F3413">
      <w:pPr>
        <w:spacing w:after="120" w:line="480" w:lineRule="auto"/>
        <w:ind w:firstLine="720"/>
        <w:jc w:val="both"/>
        <w:rPr>
          <w:rFonts w:ascii="Arial" w:hAnsi="Arial" w:cs="Arial"/>
          <w:sz w:val="24"/>
          <w:szCs w:val="24"/>
        </w:rPr>
      </w:pPr>
      <w:r>
        <w:rPr>
          <w:rFonts w:ascii="Arial" w:hAnsi="Arial" w:cs="Arial"/>
          <w:sz w:val="24"/>
          <w:szCs w:val="24"/>
        </w:rPr>
        <w:t xml:space="preserve">While FirstEnergy takes issue with the “secondary limitation” contained in the Order, </w:t>
      </w:r>
      <w:r w:rsidR="002F3413">
        <w:rPr>
          <w:rFonts w:ascii="Arial" w:hAnsi="Arial" w:cs="Arial"/>
          <w:sz w:val="24"/>
          <w:szCs w:val="24"/>
        </w:rPr>
        <w:t xml:space="preserve">this argument is misplaced and misses the point of the Order’s reasoning.  </w:t>
      </w:r>
      <w:r>
        <w:rPr>
          <w:rFonts w:ascii="Arial" w:hAnsi="Arial" w:cs="Arial"/>
          <w:sz w:val="24"/>
          <w:szCs w:val="24"/>
        </w:rPr>
        <w:t>The Order</w:t>
      </w:r>
      <w:r w:rsidR="00941E60">
        <w:rPr>
          <w:rFonts w:ascii="Arial" w:hAnsi="Arial" w:cs="Arial"/>
          <w:sz w:val="24"/>
          <w:szCs w:val="24"/>
        </w:rPr>
        <w:t xml:space="preserve"> simply pointed out that whatever thre</w:t>
      </w:r>
      <w:r>
        <w:rPr>
          <w:rFonts w:ascii="Arial" w:hAnsi="Arial" w:cs="Arial"/>
          <w:sz w:val="24"/>
          <w:szCs w:val="24"/>
        </w:rPr>
        <w:t>shold the Commission adopts, any resource must also be constructed for</w:t>
      </w:r>
      <w:r w:rsidR="00941E60">
        <w:rPr>
          <w:rFonts w:ascii="Arial" w:hAnsi="Arial" w:cs="Arial"/>
          <w:sz w:val="24"/>
          <w:szCs w:val="24"/>
        </w:rPr>
        <w:t xml:space="preserve"> the purpose </w:t>
      </w:r>
      <w:r>
        <w:rPr>
          <w:rFonts w:ascii="Arial" w:hAnsi="Arial" w:cs="Arial"/>
          <w:sz w:val="24"/>
          <w:szCs w:val="24"/>
        </w:rPr>
        <w:t>displacing</w:t>
      </w:r>
      <w:r w:rsidR="00941E60">
        <w:rPr>
          <w:rFonts w:ascii="Arial" w:hAnsi="Arial" w:cs="Arial"/>
          <w:sz w:val="24"/>
          <w:szCs w:val="24"/>
        </w:rPr>
        <w:t xml:space="preserve"> individual consumption requirements.</w:t>
      </w:r>
      <w:r>
        <w:rPr>
          <w:rFonts w:ascii="Arial" w:hAnsi="Arial" w:cs="Arial"/>
          <w:sz w:val="24"/>
          <w:szCs w:val="24"/>
        </w:rPr>
        <w:t xml:space="preserve"> </w:t>
      </w:r>
    </w:p>
    <w:p w14:paraId="78EE608A" w14:textId="5802954B" w:rsidR="00745C36" w:rsidRPr="00C91896" w:rsidRDefault="008E15D8" w:rsidP="00734737">
      <w:pPr>
        <w:spacing w:after="120" w:line="480" w:lineRule="auto"/>
        <w:ind w:firstLine="720"/>
        <w:jc w:val="both"/>
        <w:rPr>
          <w:rFonts w:ascii="Arial" w:hAnsi="Arial" w:cs="Arial"/>
          <w:sz w:val="24"/>
          <w:szCs w:val="24"/>
        </w:rPr>
      </w:pPr>
      <w:r>
        <w:rPr>
          <w:rFonts w:ascii="Arial" w:hAnsi="Arial" w:cs="Arial"/>
          <w:sz w:val="24"/>
          <w:szCs w:val="24"/>
        </w:rPr>
        <w:t>Moreover, the Order’s reliance upon the interconnection rules was permissible.  The Order identified that different interconnection requirements apply to resources based upon their size</w:t>
      </w:r>
      <w:r w:rsidR="002F3413">
        <w:rPr>
          <w:rFonts w:ascii="Arial" w:hAnsi="Arial" w:cs="Arial"/>
          <w:sz w:val="24"/>
          <w:szCs w:val="24"/>
        </w:rPr>
        <w:t xml:space="preserve"> (Levels 1, 2, and 3)</w:t>
      </w:r>
      <w:r>
        <w:rPr>
          <w:rFonts w:ascii="Arial" w:hAnsi="Arial" w:cs="Arial"/>
          <w:sz w:val="24"/>
          <w:szCs w:val="24"/>
        </w:rPr>
        <w:t>—with the burden increasing as size increases.  The Order identified that a microturb</w:t>
      </w:r>
      <w:r w:rsidR="00532D50">
        <w:rPr>
          <w:rFonts w:ascii="Arial" w:hAnsi="Arial" w:cs="Arial"/>
          <w:sz w:val="24"/>
          <w:szCs w:val="24"/>
        </w:rPr>
        <w:t>ine under 2 megawatts</w:t>
      </w:r>
      <w:r>
        <w:rPr>
          <w:rFonts w:ascii="Arial" w:hAnsi="Arial" w:cs="Arial"/>
          <w:sz w:val="24"/>
          <w:szCs w:val="24"/>
        </w:rPr>
        <w:t xml:space="preserve"> in size would qualify for </w:t>
      </w:r>
      <w:r w:rsidR="00284A81">
        <w:rPr>
          <w:rFonts w:ascii="Arial" w:hAnsi="Arial" w:cs="Arial"/>
          <w:sz w:val="24"/>
          <w:szCs w:val="24"/>
        </w:rPr>
        <w:t xml:space="preserve">the </w:t>
      </w:r>
      <w:r>
        <w:rPr>
          <w:rFonts w:ascii="Arial" w:hAnsi="Arial" w:cs="Arial"/>
          <w:sz w:val="24"/>
          <w:szCs w:val="24"/>
        </w:rPr>
        <w:t xml:space="preserve">Level 2 </w:t>
      </w:r>
      <w:r w:rsidR="002F3413">
        <w:rPr>
          <w:rFonts w:ascii="Arial" w:hAnsi="Arial" w:cs="Arial"/>
          <w:sz w:val="24"/>
          <w:szCs w:val="24"/>
        </w:rPr>
        <w:t>interconnection review process.  The</w:t>
      </w:r>
      <w:r w:rsidR="00C91896">
        <w:rPr>
          <w:rFonts w:ascii="Arial" w:hAnsi="Arial" w:cs="Arial"/>
          <w:sz w:val="24"/>
          <w:szCs w:val="24"/>
        </w:rPr>
        <w:t xml:space="preserve"> interconnection process for</w:t>
      </w:r>
      <w:r w:rsidR="002F3413">
        <w:rPr>
          <w:rFonts w:ascii="Arial" w:hAnsi="Arial" w:cs="Arial"/>
          <w:sz w:val="24"/>
          <w:szCs w:val="24"/>
        </w:rPr>
        <w:t xml:space="preserve"> </w:t>
      </w:r>
      <w:r w:rsidR="00C91896">
        <w:rPr>
          <w:rFonts w:ascii="Arial" w:hAnsi="Arial" w:cs="Arial"/>
          <w:sz w:val="24"/>
          <w:szCs w:val="24"/>
        </w:rPr>
        <w:t>Level 2 generators is</w:t>
      </w:r>
      <w:r w:rsidR="002F3413">
        <w:rPr>
          <w:rFonts w:ascii="Arial" w:hAnsi="Arial" w:cs="Arial"/>
          <w:sz w:val="24"/>
          <w:szCs w:val="24"/>
        </w:rPr>
        <w:t xml:space="preserve"> less </w:t>
      </w:r>
      <w:r>
        <w:rPr>
          <w:rFonts w:ascii="Arial" w:hAnsi="Arial" w:cs="Arial"/>
          <w:sz w:val="24"/>
          <w:szCs w:val="24"/>
        </w:rPr>
        <w:t>burdensome than the process</w:t>
      </w:r>
      <w:r w:rsidR="00532D50">
        <w:rPr>
          <w:rFonts w:ascii="Arial" w:hAnsi="Arial" w:cs="Arial"/>
          <w:sz w:val="24"/>
          <w:szCs w:val="24"/>
        </w:rPr>
        <w:t xml:space="preserve"> applicable to larger</w:t>
      </w:r>
      <w:r w:rsidR="00C91896">
        <w:rPr>
          <w:rFonts w:ascii="Arial" w:hAnsi="Arial" w:cs="Arial"/>
          <w:sz w:val="24"/>
          <w:szCs w:val="24"/>
        </w:rPr>
        <w:t xml:space="preserve"> Level 3</w:t>
      </w:r>
      <w:r w:rsidR="00532D50">
        <w:rPr>
          <w:rFonts w:ascii="Arial" w:hAnsi="Arial" w:cs="Arial"/>
          <w:sz w:val="24"/>
          <w:szCs w:val="24"/>
        </w:rPr>
        <w:t xml:space="preserve"> generators</w:t>
      </w:r>
      <w:r>
        <w:rPr>
          <w:rFonts w:ascii="Arial" w:hAnsi="Arial" w:cs="Arial"/>
          <w:sz w:val="24"/>
          <w:szCs w:val="24"/>
        </w:rPr>
        <w:t>.</w:t>
      </w:r>
      <w:r w:rsidR="00C91896">
        <w:rPr>
          <w:rFonts w:ascii="Arial" w:hAnsi="Arial" w:cs="Arial"/>
          <w:sz w:val="24"/>
          <w:szCs w:val="24"/>
        </w:rPr>
        <w:t xml:space="preserve">  Therefore, the Commission determined that this</w:t>
      </w:r>
      <w:r w:rsidR="00284A81">
        <w:rPr>
          <w:rFonts w:ascii="Arial" w:hAnsi="Arial" w:cs="Arial"/>
          <w:sz w:val="24"/>
          <w:szCs w:val="24"/>
        </w:rPr>
        <w:t xml:space="preserve"> size</w:t>
      </w:r>
      <w:r w:rsidR="00C91896">
        <w:rPr>
          <w:rFonts w:ascii="Arial" w:hAnsi="Arial" w:cs="Arial"/>
          <w:sz w:val="24"/>
          <w:szCs w:val="24"/>
        </w:rPr>
        <w:t xml:space="preserve"> distinction supports establishing a 2 megawatt threshold</w:t>
      </w:r>
      <w:r w:rsidR="002F3413">
        <w:rPr>
          <w:rFonts w:ascii="Arial" w:hAnsi="Arial" w:cs="Arial"/>
          <w:sz w:val="24"/>
          <w:szCs w:val="24"/>
        </w:rPr>
        <w:t>.</w:t>
      </w:r>
      <w:r>
        <w:rPr>
          <w:rFonts w:ascii="Arial" w:hAnsi="Arial" w:cs="Arial"/>
          <w:sz w:val="24"/>
          <w:szCs w:val="24"/>
        </w:rPr>
        <w:t xml:space="preserve">  </w:t>
      </w:r>
      <w:r w:rsidR="002F3413">
        <w:rPr>
          <w:rFonts w:ascii="Arial" w:hAnsi="Arial" w:cs="Arial"/>
          <w:sz w:val="24"/>
          <w:szCs w:val="24"/>
        </w:rPr>
        <w:t>In this respect, t</w:t>
      </w:r>
      <w:r w:rsidR="004F2BFA">
        <w:rPr>
          <w:rFonts w:ascii="Arial" w:hAnsi="Arial" w:cs="Arial"/>
          <w:sz w:val="24"/>
          <w:szCs w:val="24"/>
        </w:rPr>
        <w:t xml:space="preserve">he </w:t>
      </w:r>
      <w:r w:rsidR="002F3413">
        <w:rPr>
          <w:rFonts w:ascii="Arial" w:hAnsi="Arial" w:cs="Arial"/>
          <w:sz w:val="24"/>
          <w:szCs w:val="24"/>
        </w:rPr>
        <w:t>Commission acted</w:t>
      </w:r>
      <w:r w:rsidR="004F2BFA">
        <w:rPr>
          <w:rFonts w:ascii="Arial" w:hAnsi="Arial" w:cs="Arial"/>
          <w:sz w:val="24"/>
          <w:szCs w:val="24"/>
        </w:rPr>
        <w:t xml:space="preserve"> within its discretion</w:t>
      </w:r>
      <w:r w:rsidR="002F3413">
        <w:rPr>
          <w:rFonts w:ascii="Arial" w:hAnsi="Arial" w:cs="Arial"/>
          <w:sz w:val="24"/>
          <w:szCs w:val="24"/>
        </w:rPr>
        <w:t xml:space="preserve"> and expertise</w:t>
      </w:r>
      <w:r w:rsidR="00C91896">
        <w:rPr>
          <w:rFonts w:ascii="Arial" w:hAnsi="Arial" w:cs="Arial"/>
          <w:sz w:val="24"/>
          <w:szCs w:val="24"/>
        </w:rPr>
        <w:t>.</w:t>
      </w:r>
    </w:p>
    <w:p w14:paraId="58D792CC" w14:textId="77777777" w:rsidR="00647FC6" w:rsidRPr="00286FA5" w:rsidRDefault="00286FA5" w:rsidP="00ED5FC8">
      <w:pPr>
        <w:pStyle w:val="ListParagraph"/>
        <w:numPr>
          <w:ilvl w:val="0"/>
          <w:numId w:val="17"/>
        </w:numPr>
        <w:jc w:val="both"/>
        <w:rPr>
          <w:rFonts w:ascii="Arial" w:eastAsia="Calibri" w:hAnsi="Arial" w:cs="Arial"/>
          <w:b/>
          <w:sz w:val="24"/>
          <w:szCs w:val="24"/>
        </w:rPr>
      </w:pPr>
      <w:r w:rsidRPr="00286FA5">
        <w:rPr>
          <w:rFonts w:ascii="Arial" w:eastAsia="Calibri" w:hAnsi="Arial" w:cs="Arial"/>
          <w:b/>
          <w:sz w:val="24"/>
          <w:szCs w:val="24"/>
        </w:rPr>
        <w:t>CONCLUSION</w:t>
      </w:r>
    </w:p>
    <w:p w14:paraId="67F5B88E" w14:textId="4FEF7D95" w:rsidR="00500B89" w:rsidRPr="00286FA5" w:rsidRDefault="00D747A5" w:rsidP="00ED5FC8">
      <w:pPr>
        <w:tabs>
          <w:tab w:val="left" w:pos="960"/>
          <w:tab w:val="left" w:pos="1710"/>
          <w:tab w:val="right" w:leader="dot" w:pos="9360"/>
        </w:tabs>
        <w:spacing w:line="480" w:lineRule="auto"/>
        <w:jc w:val="both"/>
        <w:rPr>
          <w:rFonts w:ascii="Arial" w:hAnsi="Arial" w:cs="Arial"/>
          <w:sz w:val="24"/>
        </w:rPr>
      </w:pPr>
      <w:r>
        <w:rPr>
          <w:rFonts w:ascii="Arial" w:hAnsi="Arial" w:cs="Arial"/>
          <w:sz w:val="24"/>
        </w:rPr>
        <w:tab/>
      </w:r>
      <w:r w:rsidR="002F3413">
        <w:rPr>
          <w:rFonts w:ascii="Arial" w:hAnsi="Arial" w:cs="Arial"/>
          <w:sz w:val="24"/>
        </w:rPr>
        <w:t>For the reasons discussed herein, IGS urges the Commission to reject the Applications for Rehearing submitted by OCC and FirstEnergy.</w:t>
      </w:r>
      <w:r w:rsidR="00286FA5" w:rsidRPr="00B93199">
        <w:rPr>
          <w:rFonts w:ascii="Arial" w:hAnsi="Arial" w:cs="Arial"/>
          <w:sz w:val="24"/>
        </w:rPr>
        <w:t xml:space="preserve"> </w:t>
      </w:r>
    </w:p>
    <w:p w14:paraId="3C381C77" w14:textId="1E9735FA" w:rsidR="00286FA5" w:rsidRDefault="00286FA5" w:rsidP="00C91896">
      <w:pPr>
        <w:ind w:left="5040"/>
        <w:jc w:val="both"/>
        <w:rPr>
          <w:rFonts w:ascii="Arial" w:eastAsia="Calibri" w:hAnsi="Arial" w:cs="Arial"/>
          <w:sz w:val="24"/>
          <w:szCs w:val="24"/>
        </w:rPr>
      </w:pPr>
      <w:r>
        <w:rPr>
          <w:rFonts w:ascii="Arial" w:eastAsia="Calibri" w:hAnsi="Arial" w:cs="Arial"/>
          <w:sz w:val="24"/>
          <w:szCs w:val="24"/>
        </w:rPr>
        <w:t>Respectfully submitted,</w:t>
      </w:r>
    </w:p>
    <w:p w14:paraId="4FA8D393" w14:textId="77777777" w:rsidR="00286FA5" w:rsidRPr="00286FA5" w:rsidRDefault="00286FA5" w:rsidP="00ED5FC8">
      <w:pPr>
        <w:spacing w:after="0" w:line="240" w:lineRule="auto"/>
        <w:ind w:left="4320" w:firstLine="720"/>
        <w:jc w:val="both"/>
        <w:rPr>
          <w:rFonts w:ascii="Arial" w:eastAsia="Arial" w:hAnsi="Arial" w:cs="Arial"/>
          <w:sz w:val="24"/>
          <w:szCs w:val="24"/>
          <w:u w:val="single"/>
        </w:rPr>
      </w:pPr>
      <w:r w:rsidRPr="00286FA5">
        <w:rPr>
          <w:rFonts w:ascii="Arial" w:eastAsia="Arial" w:hAnsi="Arial" w:cs="Arial"/>
          <w:sz w:val="24"/>
          <w:szCs w:val="24"/>
          <w:u w:val="single"/>
        </w:rPr>
        <w:t xml:space="preserve">/s/ Joseph Oliker </w:t>
      </w:r>
    </w:p>
    <w:p w14:paraId="1AC9A025"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Joseph Oliker (0086088)</w:t>
      </w:r>
    </w:p>
    <w:p w14:paraId="44117AF1"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Counsel of Record</w:t>
      </w:r>
    </w:p>
    <w:p w14:paraId="6DA63EAC" w14:textId="77777777" w:rsidR="00286FA5" w:rsidRPr="00DD41B2" w:rsidRDefault="004B4602" w:rsidP="00ED5FC8">
      <w:pPr>
        <w:spacing w:after="0" w:line="240" w:lineRule="auto"/>
        <w:ind w:left="5040"/>
        <w:jc w:val="both"/>
        <w:rPr>
          <w:rFonts w:ascii="Arial" w:eastAsiaTheme="minorHAnsi" w:hAnsi="Arial" w:cs="Arial"/>
          <w:sz w:val="24"/>
          <w:szCs w:val="24"/>
        </w:rPr>
      </w:pPr>
      <w:hyperlink r:id="rId9" w:history="1">
        <w:r w:rsidR="00286FA5" w:rsidRPr="00DD41B2">
          <w:rPr>
            <w:rFonts w:ascii="Arial" w:eastAsiaTheme="minorHAnsi" w:hAnsi="Arial" w:cs="Arial"/>
            <w:sz w:val="24"/>
            <w:szCs w:val="24"/>
          </w:rPr>
          <w:t>joliker@igsenergy.com</w:t>
        </w:r>
      </w:hyperlink>
    </w:p>
    <w:p w14:paraId="435287C9" w14:textId="5DA659DE" w:rsidR="00DD41B2" w:rsidRPr="00DD41B2" w:rsidRDefault="00DD41B2"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Michael Nugent</w:t>
      </w:r>
    </w:p>
    <w:p w14:paraId="503007C1" w14:textId="51D282EC" w:rsidR="00DD41B2" w:rsidRPr="00DD41B2" w:rsidRDefault="00DD41B2"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lastRenderedPageBreak/>
        <w:t>Mnugent@igsenergy.com</w:t>
      </w:r>
    </w:p>
    <w:p w14:paraId="1DBF457F"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IGS Energy</w:t>
      </w:r>
    </w:p>
    <w:p w14:paraId="4DD9DA19"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6100 Emerald Parkway</w:t>
      </w:r>
    </w:p>
    <w:p w14:paraId="3990DD6E" w14:textId="77777777" w:rsidR="00286FA5" w:rsidRPr="00DD41B2" w:rsidRDefault="00286FA5" w:rsidP="00ED5FC8">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Dublin, Ohio 43016</w:t>
      </w:r>
    </w:p>
    <w:p w14:paraId="5658472A" w14:textId="234CB2EB" w:rsidR="00286FA5" w:rsidRDefault="00286FA5" w:rsidP="00C91896">
      <w:pPr>
        <w:spacing w:after="0" w:line="240" w:lineRule="auto"/>
        <w:ind w:left="5040"/>
        <w:jc w:val="both"/>
        <w:rPr>
          <w:rFonts w:ascii="Arial" w:eastAsiaTheme="minorHAnsi" w:hAnsi="Arial" w:cs="Arial"/>
          <w:sz w:val="24"/>
          <w:szCs w:val="24"/>
        </w:rPr>
      </w:pPr>
      <w:r w:rsidRPr="00DD41B2">
        <w:rPr>
          <w:rFonts w:ascii="Arial" w:eastAsiaTheme="minorHAnsi" w:hAnsi="Arial" w:cs="Arial"/>
          <w:sz w:val="24"/>
          <w:szCs w:val="24"/>
        </w:rPr>
        <w:t>Telephone:</w:t>
      </w:r>
      <w:r w:rsidRPr="00DD41B2">
        <w:rPr>
          <w:rFonts w:ascii="Arial" w:eastAsiaTheme="minorHAnsi" w:hAnsi="Arial" w:cs="Arial"/>
          <w:sz w:val="24"/>
          <w:szCs w:val="24"/>
        </w:rPr>
        <w:tab/>
        <w:t>(614) 659-5000</w:t>
      </w:r>
    </w:p>
    <w:p w14:paraId="70B3DD41" w14:textId="77777777" w:rsidR="00C91896" w:rsidRPr="00286FA5" w:rsidRDefault="00C91896" w:rsidP="00C91896">
      <w:pPr>
        <w:spacing w:after="0" w:line="240" w:lineRule="auto"/>
        <w:ind w:left="5040"/>
        <w:jc w:val="both"/>
        <w:rPr>
          <w:rFonts w:ascii="Arial" w:eastAsiaTheme="minorHAnsi" w:hAnsi="Arial" w:cs="Arial"/>
          <w:sz w:val="24"/>
          <w:szCs w:val="24"/>
        </w:rPr>
      </w:pPr>
    </w:p>
    <w:p w14:paraId="2BAFC9B4" w14:textId="23CE88F3" w:rsidR="00097A66" w:rsidRDefault="00286FA5" w:rsidP="00C91896">
      <w:pPr>
        <w:spacing w:after="0" w:line="240" w:lineRule="auto"/>
        <w:ind w:left="5040"/>
        <w:jc w:val="both"/>
        <w:rPr>
          <w:rFonts w:ascii="Arial" w:eastAsiaTheme="minorHAnsi" w:hAnsi="Arial" w:cs="Arial"/>
          <w:b/>
          <w:i/>
          <w:sz w:val="24"/>
          <w:szCs w:val="24"/>
        </w:rPr>
      </w:pPr>
      <w:r w:rsidRPr="00286FA5">
        <w:rPr>
          <w:rFonts w:ascii="Arial" w:eastAsiaTheme="minorHAnsi" w:hAnsi="Arial" w:cs="Arial"/>
          <w:b/>
          <w:i/>
          <w:sz w:val="24"/>
          <w:szCs w:val="24"/>
        </w:rPr>
        <w:t>Attorney</w:t>
      </w:r>
      <w:r w:rsidR="00C91896">
        <w:rPr>
          <w:rFonts w:ascii="Arial" w:eastAsiaTheme="minorHAnsi" w:hAnsi="Arial" w:cs="Arial"/>
          <w:b/>
          <w:i/>
          <w:sz w:val="24"/>
          <w:szCs w:val="24"/>
        </w:rPr>
        <w:t>s for IGS Energy</w:t>
      </w:r>
    </w:p>
    <w:p w14:paraId="0871AC74" w14:textId="77777777" w:rsidR="00C91896" w:rsidRPr="00097A66" w:rsidRDefault="00C91896" w:rsidP="00284A81">
      <w:pPr>
        <w:spacing w:after="0" w:line="240" w:lineRule="auto"/>
        <w:jc w:val="both"/>
        <w:rPr>
          <w:rFonts w:ascii="Arial" w:eastAsiaTheme="minorHAnsi" w:hAnsi="Arial" w:cs="Arial"/>
          <w:b/>
          <w:i/>
          <w:sz w:val="24"/>
          <w:szCs w:val="24"/>
        </w:rPr>
      </w:pPr>
    </w:p>
    <w:p w14:paraId="5083D37C" w14:textId="77777777" w:rsidR="00637395" w:rsidRPr="00637395" w:rsidRDefault="00637395" w:rsidP="00ED5FC8">
      <w:pPr>
        <w:spacing w:after="0"/>
        <w:ind w:left="2160" w:firstLine="720"/>
        <w:jc w:val="both"/>
        <w:rPr>
          <w:rFonts w:ascii="Arial" w:eastAsia="Arial" w:hAnsi="Arial" w:cs="Arial"/>
          <w:b/>
          <w:sz w:val="24"/>
          <w:u w:val="single"/>
        </w:rPr>
      </w:pPr>
      <w:r w:rsidRPr="00637395">
        <w:rPr>
          <w:rFonts w:ascii="Arial" w:eastAsia="Arial" w:hAnsi="Arial" w:cs="Arial"/>
          <w:b/>
          <w:sz w:val="24"/>
          <w:u w:val="single"/>
        </w:rPr>
        <w:lastRenderedPageBreak/>
        <w:t>CERTIFICATE OF SERVICE</w:t>
      </w:r>
    </w:p>
    <w:p w14:paraId="6C5529F7" w14:textId="77777777" w:rsidR="00637395" w:rsidRPr="00637395" w:rsidRDefault="00637395" w:rsidP="00ED5FC8">
      <w:pPr>
        <w:spacing w:after="0"/>
        <w:jc w:val="both"/>
        <w:rPr>
          <w:rFonts w:ascii="Arial" w:eastAsia="Arial" w:hAnsi="Arial" w:cs="Arial"/>
          <w:b/>
          <w:sz w:val="24"/>
          <w:u w:val="single"/>
        </w:rPr>
      </w:pPr>
    </w:p>
    <w:p w14:paraId="7357A9C6" w14:textId="31B19519" w:rsidR="00BD0F51" w:rsidRPr="00BD0F51" w:rsidRDefault="00BD0F51" w:rsidP="00ED5FC8">
      <w:pPr>
        <w:spacing w:after="0" w:line="480" w:lineRule="auto"/>
        <w:ind w:firstLine="720"/>
        <w:jc w:val="both"/>
        <w:rPr>
          <w:rFonts w:ascii="Arial" w:eastAsia="Times New Roman" w:hAnsi="Arial" w:cs="Arial"/>
          <w:color w:val="000000"/>
          <w:sz w:val="24"/>
          <w:szCs w:val="24"/>
        </w:rPr>
      </w:pPr>
      <w:r w:rsidRPr="00BD0F51">
        <w:rPr>
          <w:rFonts w:ascii="Arial" w:eastAsia="Times New Roman" w:hAnsi="Arial" w:cs="Arial"/>
          <w:color w:val="000000"/>
          <w:sz w:val="24"/>
          <w:szCs w:val="24"/>
        </w:rPr>
        <w:t xml:space="preserve">I hereby certify that I served a true copy of the </w:t>
      </w:r>
      <w:r w:rsidR="006B71CC">
        <w:rPr>
          <w:rFonts w:ascii="Arial" w:eastAsia="Times New Roman" w:hAnsi="Arial" w:cs="Arial"/>
          <w:color w:val="000000"/>
          <w:sz w:val="24"/>
          <w:szCs w:val="24"/>
        </w:rPr>
        <w:t xml:space="preserve">foregoing </w:t>
      </w:r>
      <w:r>
        <w:rPr>
          <w:rFonts w:ascii="Arial" w:eastAsia="Times New Roman" w:hAnsi="Arial" w:cs="Arial"/>
          <w:color w:val="000000"/>
          <w:sz w:val="24"/>
          <w:szCs w:val="24"/>
        </w:rPr>
        <w:t>Application for Rehearing of IGS</w:t>
      </w:r>
      <w:r w:rsidRPr="00BD0F51">
        <w:rPr>
          <w:rFonts w:ascii="Arial" w:eastAsia="Times New Roman" w:hAnsi="Arial" w:cs="Arial"/>
          <w:i/>
          <w:color w:val="000000"/>
          <w:sz w:val="24"/>
          <w:szCs w:val="24"/>
        </w:rPr>
        <w:t xml:space="preserve"> Solar, LLC, IGS Generation, LLC, and Interstate Gas Supply, Inc. </w:t>
      </w:r>
      <w:r w:rsidRPr="00BD0F51">
        <w:rPr>
          <w:rFonts w:ascii="Arial" w:eastAsia="Times New Roman" w:hAnsi="Arial" w:cs="Arial"/>
          <w:color w:val="000000"/>
          <w:sz w:val="24"/>
          <w:szCs w:val="24"/>
        </w:rPr>
        <w:t xml:space="preserve">upon the following parties via electric transmission, this </w:t>
      </w:r>
      <w:r w:rsidR="002F3413">
        <w:rPr>
          <w:rFonts w:ascii="Arial" w:eastAsia="Times New Roman" w:hAnsi="Arial" w:cs="Arial"/>
          <w:color w:val="000000"/>
          <w:sz w:val="24"/>
          <w:szCs w:val="24"/>
        </w:rPr>
        <w:t>1</w:t>
      </w:r>
      <w:r w:rsidRPr="00BD0F51">
        <w:rPr>
          <w:rFonts w:ascii="Arial" w:eastAsia="Times New Roman" w:hAnsi="Arial" w:cs="Arial"/>
          <w:color w:val="000000"/>
          <w:sz w:val="24"/>
          <w:szCs w:val="24"/>
        </w:rPr>
        <w:t xml:space="preserve">8th day of </w:t>
      </w:r>
      <w:r>
        <w:rPr>
          <w:rFonts w:ascii="Arial" w:eastAsia="Times New Roman" w:hAnsi="Arial" w:cs="Arial"/>
          <w:color w:val="000000"/>
          <w:sz w:val="24"/>
          <w:szCs w:val="24"/>
        </w:rPr>
        <w:t>December 2017.</w:t>
      </w:r>
    </w:p>
    <w:p w14:paraId="1A37D47B" w14:textId="38436BBD" w:rsidR="00637395" w:rsidRDefault="00637395" w:rsidP="00ED5FC8">
      <w:pPr>
        <w:spacing w:after="0"/>
        <w:jc w:val="both"/>
        <w:rPr>
          <w:rFonts w:ascii="Arial" w:hAnsi="Arial" w:cs="Arial"/>
          <w:sz w:val="24"/>
        </w:rPr>
      </w:pPr>
    </w:p>
    <w:tbl>
      <w:tblPr>
        <w:tblW w:w="0" w:type="auto"/>
        <w:tblLook w:val="04A0" w:firstRow="1" w:lastRow="0" w:firstColumn="1" w:lastColumn="0" w:noHBand="0" w:noVBand="1"/>
      </w:tblPr>
      <w:tblGrid>
        <w:gridCol w:w="4515"/>
        <w:gridCol w:w="4428"/>
      </w:tblGrid>
      <w:tr w:rsidR="00E2012E" w:rsidRPr="00E2012E" w14:paraId="2981359F" w14:textId="77777777" w:rsidTr="006A0503">
        <w:tc>
          <w:tcPr>
            <w:tcW w:w="4428" w:type="dxa"/>
            <w:shd w:val="clear" w:color="auto" w:fill="auto"/>
          </w:tcPr>
          <w:p w14:paraId="677156D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William.wright@ohioattorneygeneral.gov</w:t>
            </w:r>
            <w:r w:rsidRPr="00E2012E">
              <w:rPr>
                <w:rFonts w:ascii="Arial" w:hAnsi="Arial" w:cs="Arial"/>
                <w:color w:val="0000FF"/>
                <w:sz w:val="24"/>
                <w:szCs w:val="24"/>
              </w:rPr>
              <w:t xml:space="preserve"> </w:t>
            </w:r>
          </w:p>
          <w:p w14:paraId="021C7B2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callwein@keglerbrown.com</w:t>
            </w:r>
            <w:r w:rsidRPr="00E2012E">
              <w:rPr>
                <w:rFonts w:ascii="Arial" w:hAnsi="Arial" w:cs="Arial"/>
                <w:color w:val="0000FF"/>
                <w:sz w:val="24"/>
                <w:szCs w:val="24"/>
              </w:rPr>
              <w:t xml:space="preserve"> </w:t>
            </w:r>
          </w:p>
          <w:p w14:paraId="19AD37E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tdougherty@theoec.org</w:t>
            </w:r>
          </w:p>
          <w:p w14:paraId="2545426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mleppla@theoec.org</w:t>
            </w:r>
            <w:r w:rsidRPr="00E2012E">
              <w:rPr>
                <w:rFonts w:ascii="Arial" w:hAnsi="Arial" w:cs="Arial"/>
                <w:color w:val="0000FF"/>
                <w:sz w:val="24"/>
                <w:szCs w:val="24"/>
              </w:rPr>
              <w:t xml:space="preserve"> </w:t>
            </w:r>
          </w:p>
          <w:p w14:paraId="6D11327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bojko@carpenterlipps.com</w:t>
            </w:r>
            <w:r w:rsidRPr="00E2012E">
              <w:rPr>
                <w:rFonts w:ascii="Arial" w:hAnsi="Arial" w:cs="Arial"/>
                <w:color w:val="0000FF"/>
                <w:sz w:val="24"/>
                <w:szCs w:val="24"/>
              </w:rPr>
              <w:t xml:space="preserve"> </w:t>
            </w:r>
          </w:p>
          <w:p w14:paraId="47CA299E"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annie@votesolar.org</w:t>
            </w:r>
            <w:r w:rsidRPr="00E2012E">
              <w:rPr>
                <w:rFonts w:ascii="Arial" w:hAnsi="Arial" w:cs="Arial"/>
                <w:color w:val="0000FF"/>
                <w:sz w:val="24"/>
                <w:szCs w:val="24"/>
              </w:rPr>
              <w:t xml:space="preserve"> </w:t>
            </w:r>
          </w:p>
          <w:p w14:paraId="31AB6E56"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nathan@buckeyeforestcouncil.org</w:t>
            </w:r>
            <w:r w:rsidRPr="00E2012E">
              <w:rPr>
                <w:rFonts w:ascii="Arial" w:hAnsi="Arial" w:cs="Arial"/>
                <w:color w:val="0000FF"/>
                <w:sz w:val="24"/>
                <w:szCs w:val="24"/>
              </w:rPr>
              <w:t xml:space="preserve"> </w:t>
            </w:r>
          </w:p>
          <w:p w14:paraId="18B4AE3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Judi.sobecki@dplinc.com</w:t>
            </w:r>
            <w:r w:rsidRPr="00E2012E">
              <w:rPr>
                <w:rFonts w:ascii="Arial" w:hAnsi="Arial" w:cs="Arial"/>
                <w:color w:val="0000FF"/>
                <w:sz w:val="24"/>
                <w:szCs w:val="24"/>
              </w:rPr>
              <w:t xml:space="preserve"> </w:t>
            </w:r>
          </w:p>
          <w:p w14:paraId="668C26B4"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mswhite@igsenergy.com</w:t>
            </w:r>
            <w:r w:rsidRPr="00E2012E">
              <w:rPr>
                <w:rFonts w:ascii="Arial" w:hAnsi="Arial" w:cs="Arial"/>
                <w:color w:val="0000FF"/>
                <w:sz w:val="24"/>
                <w:szCs w:val="24"/>
              </w:rPr>
              <w:t xml:space="preserve"> </w:t>
            </w:r>
          </w:p>
          <w:p w14:paraId="29B5C67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joliker@igsenergy.com</w:t>
            </w:r>
            <w:r w:rsidRPr="00E2012E">
              <w:rPr>
                <w:rFonts w:ascii="Arial" w:hAnsi="Arial" w:cs="Arial"/>
                <w:color w:val="0000FF"/>
                <w:sz w:val="24"/>
                <w:szCs w:val="24"/>
              </w:rPr>
              <w:t xml:space="preserve"> </w:t>
            </w:r>
          </w:p>
          <w:p w14:paraId="3D8BC5D5"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vparisi@igsenergy.com</w:t>
            </w:r>
            <w:r w:rsidRPr="00E2012E">
              <w:rPr>
                <w:rFonts w:ascii="Arial" w:hAnsi="Arial" w:cs="Arial"/>
                <w:color w:val="0000FF"/>
                <w:sz w:val="24"/>
                <w:szCs w:val="24"/>
              </w:rPr>
              <w:t xml:space="preserve"> </w:t>
            </w:r>
          </w:p>
          <w:p w14:paraId="363146D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mjstatterwhite@aep.com</w:t>
            </w:r>
            <w:r w:rsidRPr="00E2012E">
              <w:rPr>
                <w:rFonts w:ascii="Arial" w:hAnsi="Arial" w:cs="Arial"/>
                <w:color w:val="0000FF"/>
                <w:sz w:val="24"/>
                <w:szCs w:val="24"/>
              </w:rPr>
              <w:t xml:space="preserve"> </w:t>
            </w:r>
          </w:p>
          <w:p w14:paraId="1B782E8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stnourse@aep.com</w:t>
            </w:r>
            <w:r w:rsidRPr="00E2012E">
              <w:rPr>
                <w:rFonts w:ascii="Arial" w:hAnsi="Arial" w:cs="Arial"/>
                <w:color w:val="0000FF"/>
                <w:sz w:val="24"/>
                <w:szCs w:val="24"/>
              </w:rPr>
              <w:t xml:space="preserve"> </w:t>
            </w:r>
          </w:p>
          <w:p w14:paraId="6C9DCB4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msmckenzie@aep.com</w:t>
            </w:r>
            <w:r w:rsidRPr="00E2012E">
              <w:rPr>
                <w:rFonts w:ascii="Arial" w:hAnsi="Arial" w:cs="Arial"/>
                <w:color w:val="0000FF"/>
                <w:sz w:val="24"/>
                <w:szCs w:val="24"/>
              </w:rPr>
              <w:t xml:space="preserve"> </w:t>
            </w:r>
          </w:p>
          <w:p w14:paraId="7C8B712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sgiles@hullinc.com</w:t>
            </w:r>
            <w:r w:rsidRPr="00E2012E">
              <w:rPr>
                <w:rFonts w:ascii="Arial" w:hAnsi="Arial" w:cs="Arial"/>
                <w:color w:val="0000FF"/>
                <w:sz w:val="24"/>
                <w:szCs w:val="24"/>
              </w:rPr>
              <w:t xml:space="preserve"> </w:t>
            </w:r>
          </w:p>
          <w:p w14:paraId="0C7FC3D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Emma.berndt@opower.com</w:t>
            </w:r>
            <w:r w:rsidRPr="00E2012E">
              <w:rPr>
                <w:rFonts w:ascii="Arial" w:hAnsi="Arial" w:cs="Arial"/>
                <w:color w:val="0000FF"/>
                <w:sz w:val="24"/>
                <w:szCs w:val="24"/>
              </w:rPr>
              <w:t xml:space="preserve"> </w:t>
            </w:r>
          </w:p>
          <w:p w14:paraId="1C8932F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jnice@energy-avenue.com</w:t>
            </w:r>
            <w:r w:rsidRPr="00E2012E">
              <w:rPr>
                <w:rFonts w:ascii="Arial" w:hAnsi="Arial" w:cs="Arial"/>
                <w:color w:val="0000FF"/>
                <w:sz w:val="24"/>
                <w:szCs w:val="24"/>
              </w:rPr>
              <w:t xml:space="preserve"> </w:t>
            </w:r>
          </w:p>
          <w:p w14:paraId="56755DD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sechler@carpenterlipps.com</w:t>
            </w:r>
            <w:r w:rsidRPr="00E2012E">
              <w:rPr>
                <w:rFonts w:ascii="Arial" w:hAnsi="Arial" w:cs="Arial"/>
                <w:color w:val="0000FF"/>
                <w:sz w:val="24"/>
                <w:szCs w:val="24"/>
              </w:rPr>
              <w:t xml:space="preserve"> </w:t>
            </w:r>
          </w:p>
          <w:p w14:paraId="6F9CC8D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dparram@bricker.com</w:t>
            </w:r>
          </w:p>
          <w:p w14:paraId="6CD260A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dborchers@bricker.com</w:t>
            </w:r>
            <w:r w:rsidRPr="00E2012E">
              <w:rPr>
                <w:rFonts w:ascii="Arial" w:hAnsi="Arial" w:cs="Arial"/>
                <w:color w:val="0000FF"/>
                <w:sz w:val="24"/>
                <w:szCs w:val="24"/>
              </w:rPr>
              <w:t xml:space="preserve"> </w:t>
            </w:r>
          </w:p>
          <w:p w14:paraId="5DD30AD6"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whitt@whitt-sturtevant.com</w:t>
            </w:r>
          </w:p>
          <w:p w14:paraId="04538CB0"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glover@whitt-sturtevant.com</w:t>
            </w:r>
            <w:r w:rsidRPr="00E2012E">
              <w:rPr>
                <w:rFonts w:ascii="Arial" w:hAnsi="Arial" w:cs="Arial"/>
                <w:color w:val="0000FF"/>
                <w:sz w:val="24"/>
                <w:szCs w:val="24"/>
              </w:rPr>
              <w:t xml:space="preserve"> </w:t>
            </w:r>
          </w:p>
          <w:p w14:paraId="1448E05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campbell@whitt-sturtevant.com</w:t>
            </w:r>
            <w:r w:rsidRPr="00E2012E">
              <w:rPr>
                <w:rFonts w:ascii="Arial" w:hAnsi="Arial" w:cs="Arial"/>
                <w:color w:val="0000FF"/>
                <w:sz w:val="24"/>
                <w:szCs w:val="24"/>
              </w:rPr>
              <w:t xml:space="preserve"> </w:t>
            </w:r>
          </w:p>
          <w:p w14:paraId="6C17BFE9" w14:textId="5CF2E037" w:rsidR="00E2012E" w:rsidRPr="00E2012E" w:rsidRDefault="00E2012E" w:rsidP="00E2012E">
            <w:pPr>
              <w:spacing w:after="0" w:line="240" w:lineRule="auto"/>
              <w:rPr>
                <w:rFonts w:ascii="Arial" w:hAnsi="Arial" w:cs="Arial"/>
                <w:sz w:val="24"/>
                <w:szCs w:val="24"/>
              </w:rPr>
            </w:pPr>
            <w:r w:rsidRPr="00E2012E">
              <w:rPr>
                <w:rFonts w:ascii="Arial" w:hAnsi="Arial" w:cs="Arial"/>
                <w:color w:val="0000FF"/>
                <w:sz w:val="24"/>
                <w:szCs w:val="24"/>
              </w:rPr>
              <w:t xml:space="preserve"> </w:t>
            </w:r>
          </w:p>
        </w:tc>
        <w:tc>
          <w:tcPr>
            <w:tcW w:w="4428" w:type="dxa"/>
            <w:shd w:val="clear" w:color="auto" w:fill="auto"/>
          </w:tcPr>
          <w:p w14:paraId="662A511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jkeyes@kfwlaw.com</w:t>
            </w:r>
            <w:r w:rsidRPr="00E2012E">
              <w:rPr>
                <w:rFonts w:ascii="Arial" w:hAnsi="Arial" w:cs="Arial"/>
                <w:color w:val="0000FF"/>
                <w:sz w:val="24"/>
                <w:szCs w:val="24"/>
              </w:rPr>
              <w:t xml:space="preserve"> </w:t>
            </w:r>
          </w:p>
          <w:p w14:paraId="0074EA19"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tculley@kfwlaw.com</w:t>
            </w:r>
            <w:r w:rsidRPr="00E2012E">
              <w:rPr>
                <w:rFonts w:ascii="Arial" w:hAnsi="Arial" w:cs="Arial"/>
                <w:color w:val="0000FF"/>
                <w:sz w:val="24"/>
                <w:szCs w:val="24"/>
              </w:rPr>
              <w:t xml:space="preserve"> </w:t>
            </w:r>
          </w:p>
          <w:p w14:paraId="20456A4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Amy.spiller@duke-energy.com</w:t>
            </w:r>
            <w:r w:rsidRPr="00E2012E">
              <w:rPr>
                <w:rFonts w:ascii="Arial" w:hAnsi="Arial" w:cs="Arial"/>
                <w:color w:val="0000FF"/>
                <w:sz w:val="24"/>
                <w:szCs w:val="24"/>
              </w:rPr>
              <w:t xml:space="preserve"> </w:t>
            </w:r>
          </w:p>
          <w:p w14:paraId="220B955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Jeanne.kingery@duke-energy.com</w:t>
            </w:r>
            <w:r w:rsidRPr="00E2012E">
              <w:rPr>
                <w:rFonts w:ascii="Arial" w:hAnsi="Arial" w:cs="Arial"/>
                <w:color w:val="0000FF"/>
                <w:sz w:val="24"/>
                <w:szCs w:val="24"/>
              </w:rPr>
              <w:t xml:space="preserve"> </w:t>
            </w:r>
          </w:p>
          <w:p w14:paraId="316D04A2"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Elizabeth.watts@duke-energy.com</w:t>
            </w:r>
            <w:r w:rsidRPr="00E2012E">
              <w:rPr>
                <w:rFonts w:ascii="Arial" w:hAnsi="Arial" w:cs="Arial"/>
                <w:color w:val="0000FF"/>
                <w:sz w:val="24"/>
                <w:szCs w:val="24"/>
              </w:rPr>
              <w:t xml:space="preserve"> </w:t>
            </w:r>
          </w:p>
          <w:p w14:paraId="3E578AC3"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trent@theoec.org</w:t>
            </w:r>
            <w:r w:rsidRPr="00E2012E">
              <w:rPr>
                <w:rFonts w:ascii="Arial" w:hAnsi="Arial" w:cs="Arial"/>
                <w:color w:val="0000FF"/>
                <w:sz w:val="24"/>
                <w:szCs w:val="24"/>
              </w:rPr>
              <w:t xml:space="preserve"> </w:t>
            </w:r>
          </w:p>
          <w:p w14:paraId="3F733D1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selliott@metrocdengineering.com</w:t>
            </w:r>
            <w:r w:rsidRPr="00E2012E">
              <w:rPr>
                <w:rFonts w:ascii="Arial" w:hAnsi="Arial" w:cs="Arial"/>
                <w:color w:val="0000FF"/>
                <w:sz w:val="24"/>
                <w:szCs w:val="24"/>
              </w:rPr>
              <w:t xml:space="preserve"> </w:t>
            </w:r>
          </w:p>
          <w:p w14:paraId="42FC2A4C"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haydenm@firstenergycorp.com</w:t>
            </w:r>
            <w:r w:rsidRPr="00E2012E">
              <w:rPr>
                <w:rFonts w:ascii="Arial" w:hAnsi="Arial" w:cs="Arial"/>
                <w:color w:val="0000FF"/>
                <w:sz w:val="24"/>
                <w:szCs w:val="24"/>
              </w:rPr>
              <w:t xml:space="preserve"> </w:t>
            </w:r>
          </w:p>
          <w:p w14:paraId="5EEF784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scasto@firstenergycorp.com</w:t>
            </w:r>
            <w:r w:rsidRPr="00E2012E">
              <w:rPr>
                <w:rFonts w:ascii="Arial" w:hAnsi="Arial" w:cs="Arial"/>
                <w:color w:val="0000FF"/>
                <w:sz w:val="24"/>
                <w:szCs w:val="24"/>
              </w:rPr>
              <w:t xml:space="preserve"> </w:t>
            </w:r>
          </w:p>
          <w:p w14:paraId="23E53CDE"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burkj@firstenergycorp.com</w:t>
            </w:r>
            <w:r w:rsidRPr="00E2012E">
              <w:rPr>
                <w:rFonts w:ascii="Arial" w:hAnsi="Arial" w:cs="Arial"/>
                <w:color w:val="0000FF"/>
                <w:sz w:val="24"/>
                <w:szCs w:val="24"/>
              </w:rPr>
              <w:t xml:space="preserve"> </w:t>
            </w:r>
          </w:p>
          <w:p w14:paraId="2C5CCFAA"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cdunn@firstenergycorp.com</w:t>
            </w:r>
            <w:r w:rsidRPr="00E2012E">
              <w:rPr>
                <w:rFonts w:ascii="Arial" w:hAnsi="Arial" w:cs="Arial"/>
                <w:color w:val="0000FF"/>
                <w:sz w:val="24"/>
                <w:szCs w:val="24"/>
              </w:rPr>
              <w:t xml:space="preserve"> </w:t>
            </w:r>
          </w:p>
          <w:p w14:paraId="7F977D61"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cmooney@ohiopartners.org</w:t>
            </w:r>
            <w:r w:rsidRPr="00E2012E">
              <w:rPr>
                <w:rFonts w:ascii="Arial" w:hAnsi="Arial" w:cs="Arial"/>
                <w:color w:val="0000FF"/>
                <w:sz w:val="24"/>
                <w:szCs w:val="24"/>
              </w:rPr>
              <w:t xml:space="preserve"> </w:t>
            </w:r>
          </w:p>
          <w:p w14:paraId="71B1DD29"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cloucas@ohiopartners.org</w:t>
            </w:r>
            <w:r w:rsidRPr="00E2012E">
              <w:rPr>
                <w:rFonts w:ascii="Arial" w:hAnsi="Arial" w:cs="Arial"/>
                <w:color w:val="0000FF"/>
                <w:sz w:val="24"/>
                <w:szCs w:val="24"/>
              </w:rPr>
              <w:t xml:space="preserve"> </w:t>
            </w:r>
          </w:p>
          <w:p w14:paraId="4F7E4F87"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ricks@OHANET.org</w:t>
            </w:r>
            <w:r w:rsidRPr="00E2012E">
              <w:rPr>
                <w:rFonts w:ascii="Arial" w:hAnsi="Arial" w:cs="Arial"/>
                <w:color w:val="0000FF"/>
                <w:sz w:val="24"/>
                <w:szCs w:val="24"/>
              </w:rPr>
              <w:t xml:space="preserve">  </w:t>
            </w:r>
          </w:p>
          <w:p w14:paraId="3BBDBB98"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joseph.clark@directenergy.com</w:t>
            </w:r>
            <w:r w:rsidRPr="00E2012E">
              <w:rPr>
                <w:rFonts w:ascii="Arial" w:hAnsi="Arial" w:cs="Arial"/>
                <w:color w:val="0000FF"/>
                <w:sz w:val="24"/>
                <w:szCs w:val="24"/>
              </w:rPr>
              <w:t xml:space="preserve"> </w:t>
            </w:r>
          </w:p>
          <w:p w14:paraId="78D28FFB" w14:textId="77777777" w:rsidR="00E2012E" w:rsidRPr="00E2012E" w:rsidRDefault="00E2012E" w:rsidP="00E2012E">
            <w:pPr>
              <w:autoSpaceDE w:val="0"/>
              <w:autoSpaceDN w:val="0"/>
              <w:adjustRightInd w:val="0"/>
              <w:spacing w:after="0" w:line="240" w:lineRule="auto"/>
              <w:rPr>
                <w:rFonts w:ascii="Arial" w:hAnsi="Arial" w:cs="Arial"/>
                <w:color w:val="0000FF"/>
                <w:sz w:val="24"/>
                <w:szCs w:val="24"/>
              </w:rPr>
            </w:pPr>
            <w:r w:rsidRPr="00E2012E">
              <w:rPr>
                <w:rFonts w:ascii="Arial" w:hAnsi="Arial" w:cs="Arial"/>
                <w:sz w:val="24"/>
                <w:szCs w:val="24"/>
              </w:rPr>
              <w:t>jennifer.lause@directenergy.com</w:t>
            </w:r>
            <w:r w:rsidRPr="00E2012E">
              <w:rPr>
                <w:rFonts w:ascii="Arial" w:hAnsi="Arial" w:cs="Arial"/>
                <w:color w:val="0000FF"/>
                <w:sz w:val="24"/>
                <w:szCs w:val="24"/>
              </w:rPr>
              <w:t xml:space="preserve"> </w:t>
            </w:r>
          </w:p>
          <w:p w14:paraId="40EA814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rdove@attorneydove.com</w:t>
            </w:r>
          </w:p>
          <w:p w14:paraId="7F6D51D5"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Cynthia.brady@exeloncorp.com</w:t>
            </w:r>
            <w:r w:rsidRPr="00E2012E">
              <w:rPr>
                <w:rFonts w:ascii="Arial" w:hAnsi="Arial" w:cs="Arial"/>
                <w:color w:val="0000FF"/>
                <w:sz w:val="24"/>
                <w:szCs w:val="24"/>
              </w:rPr>
              <w:t xml:space="preserve"> </w:t>
            </w:r>
          </w:p>
          <w:p w14:paraId="1FE9539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Kurt.helfrich@thompsonhine.com</w:t>
            </w:r>
          </w:p>
          <w:p w14:paraId="55378677"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Stephanie.chmiel@thompsonhine.com</w:t>
            </w:r>
            <w:r w:rsidRPr="00E2012E">
              <w:rPr>
                <w:rFonts w:ascii="Arial" w:hAnsi="Arial" w:cs="Arial"/>
                <w:color w:val="0000FF"/>
                <w:sz w:val="24"/>
                <w:szCs w:val="24"/>
              </w:rPr>
              <w:t xml:space="preserve"> </w:t>
            </w:r>
          </w:p>
          <w:p w14:paraId="4E2E6430" w14:textId="77777777" w:rsidR="00E2012E" w:rsidRPr="00E2012E" w:rsidRDefault="00E2012E" w:rsidP="00E2012E">
            <w:pPr>
              <w:spacing w:after="0" w:line="240" w:lineRule="auto"/>
              <w:rPr>
                <w:rFonts w:ascii="Arial" w:hAnsi="Arial" w:cs="Arial"/>
                <w:color w:val="0000FF"/>
                <w:sz w:val="24"/>
                <w:szCs w:val="24"/>
              </w:rPr>
            </w:pPr>
            <w:r w:rsidRPr="00E2012E">
              <w:rPr>
                <w:rFonts w:ascii="Arial" w:hAnsi="Arial" w:cs="Arial"/>
                <w:sz w:val="24"/>
                <w:szCs w:val="24"/>
              </w:rPr>
              <w:t>ktreadway@oneenergyllc.com</w:t>
            </w:r>
          </w:p>
          <w:p w14:paraId="64C660EC" w14:textId="77777777" w:rsidR="00E2012E" w:rsidRPr="00E2012E" w:rsidRDefault="00E2012E" w:rsidP="00E2012E">
            <w:pPr>
              <w:spacing w:after="0" w:line="240" w:lineRule="auto"/>
              <w:rPr>
                <w:rFonts w:ascii="Arial" w:hAnsi="Arial" w:cs="Arial"/>
                <w:color w:val="0000FF"/>
                <w:sz w:val="24"/>
                <w:szCs w:val="24"/>
              </w:rPr>
            </w:pPr>
          </w:p>
        </w:tc>
      </w:tr>
    </w:tbl>
    <w:p w14:paraId="16D092E7" w14:textId="77777777" w:rsidR="00680A5F" w:rsidRDefault="00680A5F" w:rsidP="00ED5FC8">
      <w:pPr>
        <w:spacing w:after="0"/>
        <w:jc w:val="both"/>
        <w:rPr>
          <w:rFonts w:ascii="Arial" w:hAnsi="Arial" w:cs="Arial"/>
          <w:sz w:val="24"/>
        </w:rPr>
      </w:pPr>
    </w:p>
    <w:p w14:paraId="5AA05420" w14:textId="77777777" w:rsidR="00680A5F" w:rsidRPr="00637395" w:rsidRDefault="00680A5F" w:rsidP="00ED5FC8">
      <w:pPr>
        <w:spacing w:after="0"/>
        <w:jc w:val="both"/>
        <w:rPr>
          <w:rFonts w:ascii="Arial" w:hAnsi="Arial" w:cs="Arial"/>
          <w:sz w:val="24"/>
        </w:rPr>
      </w:pPr>
    </w:p>
    <w:p w14:paraId="5942EDC6" w14:textId="77777777" w:rsidR="00BD0F51" w:rsidRPr="00BD0F51" w:rsidRDefault="00BD0F51" w:rsidP="00ED5FC8">
      <w:pPr>
        <w:spacing w:after="0" w:line="240" w:lineRule="auto"/>
        <w:ind w:left="6480" w:firstLine="720"/>
        <w:jc w:val="both"/>
        <w:rPr>
          <w:rFonts w:ascii="Arial" w:eastAsia="Times New Roman" w:hAnsi="Arial" w:cs="Arial"/>
          <w:b/>
          <w:i/>
          <w:color w:val="000000"/>
          <w:sz w:val="24"/>
          <w:szCs w:val="24"/>
        </w:rPr>
      </w:pPr>
      <w:r w:rsidRPr="00BD0F51">
        <w:rPr>
          <w:rFonts w:ascii="Arial" w:eastAsia="Times New Roman" w:hAnsi="Arial" w:cs="Arial"/>
          <w:b/>
          <w:i/>
          <w:color w:val="000000"/>
          <w:sz w:val="24"/>
          <w:szCs w:val="24"/>
          <w:u w:val="single"/>
        </w:rPr>
        <w:t>/s/ Joseph Oliker</w:t>
      </w:r>
    </w:p>
    <w:p w14:paraId="77A8BAF0" w14:textId="2E8396E7" w:rsidR="00BD0F51" w:rsidRDefault="00BD0F51" w:rsidP="00ED5FC8">
      <w:pPr>
        <w:spacing w:after="0" w:line="240" w:lineRule="auto"/>
        <w:ind w:left="720" w:firstLine="720"/>
        <w:jc w:val="both"/>
        <w:rPr>
          <w:rFonts w:ascii="Arial" w:eastAsia="Times New Roman" w:hAnsi="Arial" w:cs="Arial"/>
          <w:color w:val="000000"/>
          <w:sz w:val="24"/>
          <w:szCs w:val="24"/>
        </w:rPr>
      </w:pP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r>
      <w:r w:rsidRPr="00BD0F51">
        <w:rPr>
          <w:rFonts w:ascii="Arial" w:eastAsia="Times New Roman" w:hAnsi="Arial" w:cs="Arial"/>
          <w:color w:val="000000"/>
          <w:sz w:val="24"/>
          <w:szCs w:val="24"/>
        </w:rPr>
        <w:tab/>
        <w:t>Joseph Oliker</w:t>
      </w:r>
    </w:p>
    <w:p w14:paraId="0940FAB5" w14:textId="2821CDC3" w:rsidR="00BD0F51" w:rsidRDefault="00BD0F51" w:rsidP="00ED5FC8">
      <w:pPr>
        <w:spacing w:after="0" w:line="240" w:lineRule="auto"/>
        <w:ind w:left="720" w:firstLine="720"/>
        <w:jc w:val="both"/>
        <w:rPr>
          <w:rFonts w:ascii="Arial" w:eastAsia="Times New Roman" w:hAnsi="Arial" w:cs="Arial"/>
          <w:color w:val="000000"/>
          <w:sz w:val="24"/>
          <w:szCs w:val="24"/>
        </w:rPr>
      </w:pPr>
    </w:p>
    <w:sectPr w:rsidR="00BD0F51" w:rsidSect="00B60C7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2A793" w14:textId="77777777" w:rsidR="008D6D70" w:rsidRDefault="008D6D70">
      <w:pPr>
        <w:spacing w:after="0" w:line="240" w:lineRule="auto"/>
      </w:pPr>
      <w:r>
        <w:separator/>
      </w:r>
    </w:p>
  </w:endnote>
  <w:endnote w:type="continuationSeparator" w:id="0">
    <w:p w14:paraId="70F18A7C" w14:textId="77777777" w:rsidR="008D6D70" w:rsidRDefault="008D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3350D" w14:textId="77777777" w:rsidR="004B4602" w:rsidRDefault="004B4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402739"/>
      <w:docPartObj>
        <w:docPartGallery w:val="Page Numbers (Bottom of Page)"/>
        <w:docPartUnique/>
      </w:docPartObj>
    </w:sdtPr>
    <w:sdtEndPr>
      <w:rPr>
        <w:noProof/>
      </w:rPr>
    </w:sdtEndPr>
    <w:sdtContent>
      <w:p w14:paraId="7F3D8BA5" w14:textId="662CDBFF" w:rsidR="00C57063" w:rsidRDefault="00C57063">
        <w:pPr>
          <w:pStyle w:val="Footer"/>
          <w:jc w:val="center"/>
        </w:pPr>
        <w:r>
          <w:fldChar w:fldCharType="begin"/>
        </w:r>
        <w:r>
          <w:instrText xml:space="preserve"> PAGE   \* MERGEFORMAT </w:instrText>
        </w:r>
        <w:r>
          <w:fldChar w:fldCharType="separate"/>
        </w:r>
        <w:r w:rsidR="004B4602">
          <w:rPr>
            <w:noProof/>
          </w:rPr>
          <w:t>8</w:t>
        </w:r>
        <w:r>
          <w:rPr>
            <w:noProof/>
          </w:rPr>
          <w:fldChar w:fldCharType="end"/>
        </w:r>
      </w:p>
    </w:sdtContent>
  </w:sdt>
  <w:p w14:paraId="77233A2E" w14:textId="77777777" w:rsidR="00C57063" w:rsidRDefault="00C5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035498"/>
      <w:docPartObj>
        <w:docPartGallery w:val="Page Numbers (Bottom of Page)"/>
        <w:docPartUnique/>
      </w:docPartObj>
    </w:sdtPr>
    <w:sdtEndPr>
      <w:rPr>
        <w:rFonts w:ascii="Arial" w:hAnsi="Arial" w:cs="Arial"/>
        <w:noProof/>
        <w:sz w:val="20"/>
      </w:rPr>
    </w:sdtEndPr>
    <w:sdtContent>
      <w:p w14:paraId="3B81A12B" w14:textId="3C30BC6E" w:rsidR="00C57063" w:rsidRPr="001F62DA" w:rsidRDefault="00C57063">
        <w:pPr>
          <w:pStyle w:val="Footer"/>
          <w:jc w:val="center"/>
          <w:rPr>
            <w:rFonts w:ascii="Arial" w:hAnsi="Arial" w:cs="Arial"/>
            <w:sz w:val="20"/>
          </w:rPr>
        </w:pPr>
        <w:r w:rsidRPr="001F62DA">
          <w:rPr>
            <w:rFonts w:ascii="Arial" w:hAnsi="Arial" w:cs="Arial"/>
            <w:sz w:val="20"/>
          </w:rPr>
          <w:fldChar w:fldCharType="begin"/>
        </w:r>
        <w:r w:rsidRPr="001F62DA">
          <w:rPr>
            <w:rFonts w:ascii="Arial" w:hAnsi="Arial" w:cs="Arial"/>
            <w:sz w:val="20"/>
          </w:rPr>
          <w:instrText xml:space="preserve"> PAGE   \* MERGEFORMAT </w:instrText>
        </w:r>
        <w:r w:rsidRPr="001F62DA">
          <w:rPr>
            <w:rFonts w:ascii="Arial" w:hAnsi="Arial" w:cs="Arial"/>
            <w:sz w:val="20"/>
          </w:rPr>
          <w:fldChar w:fldCharType="separate"/>
        </w:r>
        <w:r w:rsidR="004B4602">
          <w:rPr>
            <w:rFonts w:ascii="Arial" w:hAnsi="Arial" w:cs="Arial"/>
            <w:noProof/>
            <w:sz w:val="20"/>
          </w:rPr>
          <w:t>1</w:t>
        </w:r>
        <w:r w:rsidRPr="001F62DA">
          <w:rPr>
            <w:rFonts w:ascii="Arial" w:hAnsi="Arial" w:cs="Arial"/>
            <w:noProof/>
            <w:sz w:val="20"/>
          </w:rPr>
          <w:fldChar w:fldCharType="end"/>
        </w:r>
      </w:p>
    </w:sdtContent>
  </w:sdt>
  <w:p w14:paraId="7710BF64" w14:textId="77777777" w:rsidR="00C57063" w:rsidRDefault="00C5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EE0D9" w14:textId="77777777" w:rsidR="008D6D70" w:rsidRDefault="008D6D70">
      <w:pPr>
        <w:spacing w:after="0" w:line="240" w:lineRule="auto"/>
      </w:pPr>
      <w:r>
        <w:separator/>
      </w:r>
    </w:p>
  </w:footnote>
  <w:footnote w:type="continuationSeparator" w:id="0">
    <w:p w14:paraId="06F5E6B2" w14:textId="77777777" w:rsidR="008D6D70" w:rsidRDefault="008D6D70">
      <w:pPr>
        <w:spacing w:after="0" w:line="240" w:lineRule="auto"/>
      </w:pPr>
      <w:r>
        <w:continuationSeparator/>
      </w:r>
    </w:p>
  </w:footnote>
  <w:footnote w:id="1">
    <w:p w14:paraId="436492C6" w14:textId="58D5727C" w:rsidR="00DB774B" w:rsidRPr="008C5D54" w:rsidRDefault="00DB774B">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Order, Attachment A at 2 of 10. </w:t>
      </w:r>
    </w:p>
    <w:p w14:paraId="7E713A45" w14:textId="77777777" w:rsidR="00DB774B" w:rsidRPr="008C5D54" w:rsidRDefault="00DB774B">
      <w:pPr>
        <w:pStyle w:val="FootnoteText"/>
        <w:rPr>
          <w:rFonts w:ascii="Arial" w:hAnsi="Arial" w:cs="Arial"/>
        </w:rPr>
      </w:pPr>
    </w:p>
  </w:footnote>
  <w:footnote w:id="2">
    <w:p w14:paraId="77E8866B" w14:textId="31E238B0" w:rsidR="00751E25" w:rsidRPr="008C5D54" w:rsidRDefault="00751E25">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OCC Application for Rehearing at 8. </w:t>
      </w:r>
    </w:p>
  </w:footnote>
  <w:footnote w:id="3">
    <w:p w14:paraId="239ED449" w14:textId="1B705CE4" w:rsidR="008F4DBC" w:rsidRPr="008C5D54" w:rsidRDefault="008F4DBC">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Order at 9, 19. </w:t>
      </w:r>
    </w:p>
    <w:p w14:paraId="25BE953F" w14:textId="77777777" w:rsidR="008F4DBC" w:rsidRPr="008C5D54" w:rsidRDefault="008F4DBC">
      <w:pPr>
        <w:pStyle w:val="FootnoteText"/>
        <w:rPr>
          <w:rFonts w:ascii="Arial" w:hAnsi="Arial" w:cs="Arial"/>
        </w:rPr>
      </w:pPr>
    </w:p>
  </w:footnote>
  <w:footnote w:id="4">
    <w:p w14:paraId="08CC3C52" w14:textId="5215CC84" w:rsidR="00116045" w:rsidRPr="008C5D54" w:rsidRDefault="00116045">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w:t>
      </w:r>
      <w:r w:rsidR="00B0779F" w:rsidRPr="008C5D54">
        <w:rPr>
          <w:rFonts w:ascii="Arial" w:hAnsi="Arial" w:cs="Arial"/>
        </w:rPr>
        <w:t xml:space="preserve">OCC Application for Rehearing at 9. </w:t>
      </w:r>
    </w:p>
  </w:footnote>
  <w:footnote w:id="5">
    <w:p w14:paraId="207AC359" w14:textId="4747ADA8" w:rsidR="004F2BFA" w:rsidRPr="008C5D54" w:rsidRDefault="004F2BFA">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Order at 14.  </w:t>
      </w:r>
    </w:p>
    <w:p w14:paraId="792A8287" w14:textId="77777777" w:rsidR="002F3413" w:rsidRPr="008C5D54" w:rsidRDefault="002F3413">
      <w:pPr>
        <w:pStyle w:val="FootnoteText"/>
        <w:rPr>
          <w:rFonts w:ascii="Arial" w:hAnsi="Arial" w:cs="Arial"/>
        </w:rPr>
      </w:pPr>
    </w:p>
  </w:footnote>
  <w:footnote w:id="6">
    <w:p w14:paraId="2DB9C6E0" w14:textId="6FB17338" w:rsidR="00532D50" w:rsidRPr="008C5D54" w:rsidRDefault="00532D50">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FirstEnergy Application for Rehearing at 4-6.</w:t>
      </w:r>
    </w:p>
    <w:p w14:paraId="1010CDBD" w14:textId="77777777" w:rsidR="00532D50" w:rsidRPr="008C5D54" w:rsidRDefault="00532D50">
      <w:pPr>
        <w:pStyle w:val="FootnoteText"/>
        <w:rPr>
          <w:rFonts w:ascii="Arial" w:hAnsi="Arial" w:cs="Arial"/>
        </w:rPr>
      </w:pPr>
    </w:p>
  </w:footnote>
  <w:footnote w:id="7">
    <w:p w14:paraId="1F6F71D1" w14:textId="51616179" w:rsidR="00532D50" w:rsidRPr="008C5D54" w:rsidRDefault="00532D50">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Order at 14.</w:t>
      </w:r>
    </w:p>
    <w:p w14:paraId="769F1E7C" w14:textId="77777777" w:rsidR="00532D50" w:rsidRPr="008C5D54" w:rsidRDefault="00532D50">
      <w:pPr>
        <w:pStyle w:val="FootnoteText"/>
        <w:rPr>
          <w:rFonts w:ascii="Arial" w:hAnsi="Arial" w:cs="Arial"/>
        </w:rPr>
      </w:pPr>
    </w:p>
  </w:footnote>
  <w:footnote w:id="8">
    <w:p w14:paraId="5570EC24" w14:textId="6D6E20F4" w:rsidR="004F2BFA" w:rsidRPr="008C5D54" w:rsidRDefault="004F2BFA">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R.C. 4928.01(A)(31)(d). </w:t>
      </w:r>
    </w:p>
    <w:p w14:paraId="713A44CB" w14:textId="77777777" w:rsidR="004F2BFA" w:rsidRPr="008C5D54" w:rsidRDefault="004F2BFA">
      <w:pPr>
        <w:pStyle w:val="FootnoteText"/>
        <w:rPr>
          <w:rFonts w:ascii="Arial" w:hAnsi="Arial" w:cs="Arial"/>
        </w:rPr>
      </w:pPr>
    </w:p>
  </w:footnote>
  <w:footnote w:id="9">
    <w:p w14:paraId="1811F51C" w14:textId="326922E0" w:rsidR="00E54252" w:rsidRPr="008C5D54" w:rsidRDefault="00E54252">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Order at 6. </w:t>
      </w:r>
    </w:p>
    <w:p w14:paraId="636E13CF" w14:textId="77777777" w:rsidR="004F2BFA" w:rsidRPr="008C5D54" w:rsidRDefault="004F2BFA">
      <w:pPr>
        <w:pStyle w:val="FootnoteText"/>
        <w:rPr>
          <w:rFonts w:ascii="Arial" w:hAnsi="Arial" w:cs="Arial"/>
        </w:rPr>
      </w:pPr>
    </w:p>
  </w:footnote>
  <w:footnote w:id="10">
    <w:p w14:paraId="2E4ED902" w14:textId="7465D7A7" w:rsidR="00A171A3" w:rsidRPr="008C5D54" w:rsidRDefault="00A171A3" w:rsidP="00A171A3">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FirstEnergy</w:t>
      </w:r>
      <w:r w:rsidR="0027639C" w:rsidRPr="008C5D54">
        <w:rPr>
          <w:rFonts w:ascii="Arial" w:hAnsi="Arial" w:cs="Arial"/>
        </w:rPr>
        <w:t xml:space="preserve"> Assignment of Error 2. </w:t>
      </w:r>
    </w:p>
    <w:p w14:paraId="14E3D7FA" w14:textId="77777777" w:rsidR="002F3413" w:rsidRPr="008C5D54" w:rsidRDefault="002F3413" w:rsidP="00A171A3">
      <w:pPr>
        <w:pStyle w:val="FootnoteText"/>
        <w:rPr>
          <w:rFonts w:ascii="Arial" w:hAnsi="Arial" w:cs="Arial"/>
        </w:rPr>
      </w:pPr>
    </w:p>
  </w:footnote>
  <w:footnote w:id="11">
    <w:p w14:paraId="7C3DB469" w14:textId="11FBDB6F" w:rsidR="008E15D8" w:rsidRPr="002F3413" w:rsidRDefault="008E15D8">
      <w:pPr>
        <w:pStyle w:val="FootnoteText"/>
        <w:rPr>
          <w:rFonts w:ascii="Arial" w:hAnsi="Arial" w:cs="Arial"/>
        </w:rPr>
      </w:pPr>
      <w:r w:rsidRPr="008C5D54">
        <w:rPr>
          <w:rStyle w:val="FootnoteReference"/>
          <w:rFonts w:ascii="Arial" w:hAnsi="Arial" w:cs="Arial"/>
        </w:rPr>
        <w:footnoteRef/>
      </w:r>
      <w:r w:rsidRPr="008C5D54">
        <w:rPr>
          <w:rFonts w:ascii="Arial" w:hAnsi="Arial" w:cs="Arial"/>
        </w:rPr>
        <w:t xml:space="preserve"> Order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35055" w14:textId="77777777" w:rsidR="004B4602" w:rsidRDefault="004B46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8C1F" w14:textId="77777777" w:rsidR="004B4602" w:rsidRDefault="004B4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8527" w14:textId="77777777" w:rsidR="00C57063" w:rsidRDefault="00C57063">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656D8"/>
    <w:multiLevelType w:val="hybridMultilevel"/>
    <w:tmpl w:val="E6B0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392E"/>
    <w:multiLevelType w:val="hybridMultilevel"/>
    <w:tmpl w:val="ECAACD8C"/>
    <w:lvl w:ilvl="0" w:tplc="68E22AC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7A1FAC"/>
    <w:multiLevelType w:val="hybridMultilevel"/>
    <w:tmpl w:val="5380C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836AB9"/>
    <w:multiLevelType w:val="hybridMultilevel"/>
    <w:tmpl w:val="B42C9BE0"/>
    <w:lvl w:ilvl="0" w:tplc="87C4D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77252"/>
    <w:multiLevelType w:val="hybridMultilevel"/>
    <w:tmpl w:val="191ED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327C0"/>
    <w:multiLevelType w:val="hybridMultilevel"/>
    <w:tmpl w:val="4B625E9A"/>
    <w:lvl w:ilvl="0" w:tplc="28CA3674">
      <w:start w:val="4"/>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7100D"/>
    <w:multiLevelType w:val="hybridMultilevel"/>
    <w:tmpl w:val="E6889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13472"/>
    <w:multiLevelType w:val="hybridMultilevel"/>
    <w:tmpl w:val="909653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8010428"/>
    <w:multiLevelType w:val="hybridMultilevel"/>
    <w:tmpl w:val="55C49D1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7" w15:restartNumberingAfterBreak="0">
    <w:nsid w:val="4CE832FB"/>
    <w:multiLevelType w:val="hybridMultilevel"/>
    <w:tmpl w:val="B972D0E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D667F"/>
    <w:multiLevelType w:val="hybridMultilevel"/>
    <w:tmpl w:val="B27A6F50"/>
    <w:lvl w:ilvl="0" w:tplc="1666A2EE">
      <w:start w:val="1"/>
      <w:numFmt w:val="upperRoman"/>
      <w:lvlText w:val="%1."/>
      <w:lvlJc w:val="left"/>
      <w:pPr>
        <w:ind w:left="1440" w:hanging="720"/>
      </w:pPr>
      <w:rPr>
        <w:rFonts w:hint="default"/>
      </w:rPr>
    </w:lvl>
    <w:lvl w:ilvl="1" w:tplc="2A86B47E">
      <w:start w:val="1"/>
      <w:numFmt w:val="upperLetter"/>
      <w:lvlText w:val="%2."/>
      <w:lvlJc w:val="left"/>
      <w:pPr>
        <w:ind w:left="1800" w:hanging="360"/>
      </w:pPr>
      <w:rPr>
        <w:rFonts w:ascii="Arial" w:eastAsiaTheme="minorEastAsia" w:hAnsi="Arial" w:cs="Arial"/>
      </w:rPr>
    </w:lvl>
    <w:lvl w:ilvl="2" w:tplc="0409000F">
      <w:start w:val="1"/>
      <w:numFmt w:val="decimal"/>
      <w:lvlText w:val="%3."/>
      <w:lvlJc w:val="left"/>
      <w:pPr>
        <w:ind w:left="2520" w:hanging="180"/>
      </w:pPr>
      <w:rPr>
        <w:rFonts w:hint="default"/>
      </w:rPr>
    </w:lvl>
    <w:lvl w:ilvl="3" w:tplc="074AEF90">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85BA1"/>
    <w:multiLevelType w:val="hybridMultilevel"/>
    <w:tmpl w:val="50928B16"/>
    <w:lvl w:ilvl="0" w:tplc="A936F97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007B00"/>
    <w:multiLevelType w:val="hybridMultilevel"/>
    <w:tmpl w:val="E072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19"/>
  </w:num>
  <w:num w:numId="4">
    <w:abstractNumId w:val="13"/>
  </w:num>
  <w:num w:numId="5">
    <w:abstractNumId w:val="8"/>
  </w:num>
  <w:num w:numId="6">
    <w:abstractNumId w:val="14"/>
  </w:num>
  <w:num w:numId="7">
    <w:abstractNumId w:val="5"/>
  </w:num>
  <w:num w:numId="8">
    <w:abstractNumId w:val="7"/>
  </w:num>
  <w:num w:numId="9">
    <w:abstractNumId w:val="11"/>
  </w:num>
  <w:num w:numId="10">
    <w:abstractNumId w:val="9"/>
  </w:num>
  <w:num w:numId="11">
    <w:abstractNumId w:val="23"/>
  </w:num>
  <w:num w:numId="12">
    <w:abstractNumId w:val="17"/>
  </w:num>
  <w:num w:numId="13">
    <w:abstractNumId w:val="16"/>
  </w:num>
  <w:num w:numId="14">
    <w:abstractNumId w:val="22"/>
  </w:num>
  <w:num w:numId="15">
    <w:abstractNumId w:val="3"/>
  </w:num>
  <w:num w:numId="16">
    <w:abstractNumId w:val="6"/>
  </w:num>
  <w:num w:numId="17">
    <w:abstractNumId w:val="20"/>
  </w:num>
  <w:num w:numId="18">
    <w:abstractNumId w:val="15"/>
  </w:num>
  <w:num w:numId="19">
    <w:abstractNumId w:val="10"/>
  </w:num>
  <w:num w:numId="20">
    <w:abstractNumId w:val="12"/>
  </w:num>
  <w:num w:numId="21">
    <w:abstractNumId w:val="21"/>
  </w:num>
  <w:num w:numId="22">
    <w:abstractNumId w:val="1"/>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29"/>
    <w:rsid w:val="0000027A"/>
    <w:rsid w:val="00000657"/>
    <w:rsid w:val="00001B6C"/>
    <w:rsid w:val="000062F7"/>
    <w:rsid w:val="00011765"/>
    <w:rsid w:val="00016A5F"/>
    <w:rsid w:val="00016EBA"/>
    <w:rsid w:val="00017054"/>
    <w:rsid w:val="000212A8"/>
    <w:rsid w:val="00023A72"/>
    <w:rsid w:val="00037BB6"/>
    <w:rsid w:val="00046B67"/>
    <w:rsid w:val="000516C6"/>
    <w:rsid w:val="00067341"/>
    <w:rsid w:val="000811FF"/>
    <w:rsid w:val="00094915"/>
    <w:rsid w:val="0009622D"/>
    <w:rsid w:val="00097A66"/>
    <w:rsid w:val="000A41B7"/>
    <w:rsid w:val="000B1AE8"/>
    <w:rsid w:val="000B2D00"/>
    <w:rsid w:val="000B6474"/>
    <w:rsid w:val="000C1E9B"/>
    <w:rsid w:val="000C620D"/>
    <w:rsid w:val="000D4885"/>
    <w:rsid w:val="000E7087"/>
    <w:rsid w:val="000F1EC4"/>
    <w:rsid w:val="000F47BB"/>
    <w:rsid w:val="000F48F4"/>
    <w:rsid w:val="00101875"/>
    <w:rsid w:val="00101D53"/>
    <w:rsid w:val="00103659"/>
    <w:rsid w:val="001079A6"/>
    <w:rsid w:val="0011023D"/>
    <w:rsid w:val="00116045"/>
    <w:rsid w:val="00123C3C"/>
    <w:rsid w:val="00131906"/>
    <w:rsid w:val="00133440"/>
    <w:rsid w:val="00141803"/>
    <w:rsid w:val="00141D40"/>
    <w:rsid w:val="00145DEA"/>
    <w:rsid w:val="00154C1B"/>
    <w:rsid w:val="00156A10"/>
    <w:rsid w:val="00156E8D"/>
    <w:rsid w:val="00160CDF"/>
    <w:rsid w:val="001632E8"/>
    <w:rsid w:val="00163DC1"/>
    <w:rsid w:val="0016721B"/>
    <w:rsid w:val="00170DB7"/>
    <w:rsid w:val="00184679"/>
    <w:rsid w:val="00186FDB"/>
    <w:rsid w:val="001975B2"/>
    <w:rsid w:val="001A1D69"/>
    <w:rsid w:val="001B07AC"/>
    <w:rsid w:val="001B67A2"/>
    <w:rsid w:val="001C4C85"/>
    <w:rsid w:val="001D3B81"/>
    <w:rsid w:val="001D629C"/>
    <w:rsid w:val="001E55AB"/>
    <w:rsid w:val="001F23B3"/>
    <w:rsid w:val="001F5EEC"/>
    <w:rsid w:val="001F62DA"/>
    <w:rsid w:val="001F7988"/>
    <w:rsid w:val="001F7F40"/>
    <w:rsid w:val="002105CF"/>
    <w:rsid w:val="00210CCE"/>
    <w:rsid w:val="00212440"/>
    <w:rsid w:val="00214A06"/>
    <w:rsid w:val="00214B82"/>
    <w:rsid w:val="00214C32"/>
    <w:rsid w:val="0022491E"/>
    <w:rsid w:val="00230B27"/>
    <w:rsid w:val="00230EE3"/>
    <w:rsid w:val="002540DA"/>
    <w:rsid w:val="0025415D"/>
    <w:rsid w:val="00271C15"/>
    <w:rsid w:val="00273532"/>
    <w:rsid w:val="0027639C"/>
    <w:rsid w:val="0027726F"/>
    <w:rsid w:val="00277703"/>
    <w:rsid w:val="0028099E"/>
    <w:rsid w:val="00284A81"/>
    <w:rsid w:val="0028662B"/>
    <w:rsid w:val="00286FA5"/>
    <w:rsid w:val="002938F2"/>
    <w:rsid w:val="00294583"/>
    <w:rsid w:val="00295CBE"/>
    <w:rsid w:val="002A6C66"/>
    <w:rsid w:val="002B0C6A"/>
    <w:rsid w:val="002B12D1"/>
    <w:rsid w:val="002B5AFB"/>
    <w:rsid w:val="002D3210"/>
    <w:rsid w:val="002E65EF"/>
    <w:rsid w:val="002F3413"/>
    <w:rsid w:val="00300A57"/>
    <w:rsid w:val="0030162A"/>
    <w:rsid w:val="00301981"/>
    <w:rsid w:val="00305083"/>
    <w:rsid w:val="003102A6"/>
    <w:rsid w:val="00311EAF"/>
    <w:rsid w:val="0031209F"/>
    <w:rsid w:val="00317816"/>
    <w:rsid w:val="00323FB3"/>
    <w:rsid w:val="00324714"/>
    <w:rsid w:val="003265CD"/>
    <w:rsid w:val="003266D1"/>
    <w:rsid w:val="00331150"/>
    <w:rsid w:val="00335233"/>
    <w:rsid w:val="00335A56"/>
    <w:rsid w:val="003463D9"/>
    <w:rsid w:val="00354196"/>
    <w:rsid w:val="00362C95"/>
    <w:rsid w:val="0036697D"/>
    <w:rsid w:val="00372E8D"/>
    <w:rsid w:val="00374CD8"/>
    <w:rsid w:val="0038250E"/>
    <w:rsid w:val="0038452C"/>
    <w:rsid w:val="003904A3"/>
    <w:rsid w:val="00391D95"/>
    <w:rsid w:val="003A09BE"/>
    <w:rsid w:val="003A174A"/>
    <w:rsid w:val="003B77F3"/>
    <w:rsid w:val="003C168F"/>
    <w:rsid w:val="003C1721"/>
    <w:rsid w:val="003C2AC5"/>
    <w:rsid w:val="003C7E46"/>
    <w:rsid w:val="003D3254"/>
    <w:rsid w:val="003D4019"/>
    <w:rsid w:val="003E2C19"/>
    <w:rsid w:val="003E334E"/>
    <w:rsid w:val="003F2FB8"/>
    <w:rsid w:val="00405506"/>
    <w:rsid w:val="00411B70"/>
    <w:rsid w:val="00413990"/>
    <w:rsid w:val="00417D8E"/>
    <w:rsid w:val="00422E77"/>
    <w:rsid w:val="00426911"/>
    <w:rsid w:val="004447E9"/>
    <w:rsid w:val="0045231C"/>
    <w:rsid w:val="00452EAA"/>
    <w:rsid w:val="00455DB7"/>
    <w:rsid w:val="00466AC2"/>
    <w:rsid w:val="00470DDF"/>
    <w:rsid w:val="004831BB"/>
    <w:rsid w:val="004A0FA6"/>
    <w:rsid w:val="004A3B91"/>
    <w:rsid w:val="004A7B61"/>
    <w:rsid w:val="004B4602"/>
    <w:rsid w:val="004B7F04"/>
    <w:rsid w:val="004C104B"/>
    <w:rsid w:val="004C2D05"/>
    <w:rsid w:val="004C32DF"/>
    <w:rsid w:val="004C560D"/>
    <w:rsid w:val="004D1F31"/>
    <w:rsid w:val="004D58C1"/>
    <w:rsid w:val="004D7CEF"/>
    <w:rsid w:val="004E13F9"/>
    <w:rsid w:val="004E2D0D"/>
    <w:rsid w:val="004E37F2"/>
    <w:rsid w:val="004F146B"/>
    <w:rsid w:val="004F2BFA"/>
    <w:rsid w:val="004F5421"/>
    <w:rsid w:val="00500B89"/>
    <w:rsid w:val="00502D84"/>
    <w:rsid w:val="00502FE8"/>
    <w:rsid w:val="005069DC"/>
    <w:rsid w:val="0051676C"/>
    <w:rsid w:val="005204E8"/>
    <w:rsid w:val="00525854"/>
    <w:rsid w:val="005271DC"/>
    <w:rsid w:val="00532D50"/>
    <w:rsid w:val="005368CE"/>
    <w:rsid w:val="00545F29"/>
    <w:rsid w:val="005518A3"/>
    <w:rsid w:val="00557AB6"/>
    <w:rsid w:val="0056021F"/>
    <w:rsid w:val="0056270F"/>
    <w:rsid w:val="00572932"/>
    <w:rsid w:val="005829F3"/>
    <w:rsid w:val="00591FA5"/>
    <w:rsid w:val="00597802"/>
    <w:rsid w:val="00597DF2"/>
    <w:rsid w:val="005A063A"/>
    <w:rsid w:val="005A5453"/>
    <w:rsid w:val="005B0D76"/>
    <w:rsid w:val="005C1049"/>
    <w:rsid w:val="005D0E92"/>
    <w:rsid w:val="005D5AD5"/>
    <w:rsid w:val="005F2D0B"/>
    <w:rsid w:val="00602389"/>
    <w:rsid w:val="00602B8D"/>
    <w:rsid w:val="00611E84"/>
    <w:rsid w:val="00621A6E"/>
    <w:rsid w:val="00630E44"/>
    <w:rsid w:val="006356F7"/>
    <w:rsid w:val="00637013"/>
    <w:rsid w:val="00637395"/>
    <w:rsid w:val="00640CB2"/>
    <w:rsid w:val="00647FC6"/>
    <w:rsid w:val="0066027F"/>
    <w:rsid w:val="006729C5"/>
    <w:rsid w:val="00680A5F"/>
    <w:rsid w:val="0068156F"/>
    <w:rsid w:val="0068543A"/>
    <w:rsid w:val="006855B3"/>
    <w:rsid w:val="006A2872"/>
    <w:rsid w:val="006A3FCD"/>
    <w:rsid w:val="006B0FAA"/>
    <w:rsid w:val="006B71CC"/>
    <w:rsid w:val="006C0A40"/>
    <w:rsid w:val="006C295B"/>
    <w:rsid w:val="006C61C2"/>
    <w:rsid w:val="006C61D2"/>
    <w:rsid w:val="006D1A95"/>
    <w:rsid w:val="006E7BEA"/>
    <w:rsid w:val="006F52B1"/>
    <w:rsid w:val="006F7196"/>
    <w:rsid w:val="00700821"/>
    <w:rsid w:val="00712DD7"/>
    <w:rsid w:val="00732964"/>
    <w:rsid w:val="00734737"/>
    <w:rsid w:val="00745C36"/>
    <w:rsid w:val="00751E25"/>
    <w:rsid w:val="00752431"/>
    <w:rsid w:val="00772588"/>
    <w:rsid w:val="00772670"/>
    <w:rsid w:val="00777D27"/>
    <w:rsid w:val="00777EF2"/>
    <w:rsid w:val="0078178D"/>
    <w:rsid w:val="007914D8"/>
    <w:rsid w:val="00793C17"/>
    <w:rsid w:val="0079497D"/>
    <w:rsid w:val="007A340B"/>
    <w:rsid w:val="007A42EA"/>
    <w:rsid w:val="007B5118"/>
    <w:rsid w:val="007C1107"/>
    <w:rsid w:val="007C21E2"/>
    <w:rsid w:val="007D2BD6"/>
    <w:rsid w:val="007E0644"/>
    <w:rsid w:val="007E0C7C"/>
    <w:rsid w:val="007E362A"/>
    <w:rsid w:val="007F46A6"/>
    <w:rsid w:val="007F6182"/>
    <w:rsid w:val="00802626"/>
    <w:rsid w:val="00802F5C"/>
    <w:rsid w:val="00815E23"/>
    <w:rsid w:val="00836B91"/>
    <w:rsid w:val="00837C13"/>
    <w:rsid w:val="0084201A"/>
    <w:rsid w:val="008439AC"/>
    <w:rsid w:val="00846595"/>
    <w:rsid w:val="00853D87"/>
    <w:rsid w:val="0086576E"/>
    <w:rsid w:val="00870933"/>
    <w:rsid w:val="00891BB1"/>
    <w:rsid w:val="00895962"/>
    <w:rsid w:val="008A53A0"/>
    <w:rsid w:val="008B6807"/>
    <w:rsid w:val="008C49ED"/>
    <w:rsid w:val="008C5D54"/>
    <w:rsid w:val="008C62EF"/>
    <w:rsid w:val="008D150E"/>
    <w:rsid w:val="008D26E4"/>
    <w:rsid w:val="008D6D70"/>
    <w:rsid w:val="008E15D8"/>
    <w:rsid w:val="008E6380"/>
    <w:rsid w:val="008F3667"/>
    <w:rsid w:val="008F4DBC"/>
    <w:rsid w:val="009037C5"/>
    <w:rsid w:val="00915444"/>
    <w:rsid w:val="00920BC9"/>
    <w:rsid w:val="00922711"/>
    <w:rsid w:val="00922CE9"/>
    <w:rsid w:val="00925597"/>
    <w:rsid w:val="0093455C"/>
    <w:rsid w:val="00941E60"/>
    <w:rsid w:val="00945DE5"/>
    <w:rsid w:val="00946EEC"/>
    <w:rsid w:val="00951FFB"/>
    <w:rsid w:val="009536EC"/>
    <w:rsid w:val="00965068"/>
    <w:rsid w:val="00977EA9"/>
    <w:rsid w:val="00982FD5"/>
    <w:rsid w:val="00983983"/>
    <w:rsid w:val="00992598"/>
    <w:rsid w:val="009A542C"/>
    <w:rsid w:val="009A60A1"/>
    <w:rsid w:val="009B3F37"/>
    <w:rsid w:val="009C2136"/>
    <w:rsid w:val="009C601C"/>
    <w:rsid w:val="009C7DF1"/>
    <w:rsid w:val="009D136B"/>
    <w:rsid w:val="009E37D0"/>
    <w:rsid w:val="009E48E9"/>
    <w:rsid w:val="009E4C2C"/>
    <w:rsid w:val="009E69D6"/>
    <w:rsid w:val="009E6A4C"/>
    <w:rsid w:val="00A021FE"/>
    <w:rsid w:val="00A0547B"/>
    <w:rsid w:val="00A05FC2"/>
    <w:rsid w:val="00A110A3"/>
    <w:rsid w:val="00A14F9E"/>
    <w:rsid w:val="00A171A3"/>
    <w:rsid w:val="00A3048A"/>
    <w:rsid w:val="00A30AFE"/>
    <w:rsid w:val="00A3120B"/>
    <w:rsid w:val="00A353E6"/>
    <w:rsid w:val="00A36F6A"/>
    <w:rsid w:val="00A4117E"/>
    <w:rsid w:val="00A41E19"/>
    <w:rsid w:val="00A54829"/>
    <w:rsid w:val="00A65A95"/>
    <w:rsid w:val="00A711A2"/>
    <w:rsid w:val="00A9358E"/>
    <w:rsid w:val="00A94F26"/>
    <w:rsid w:val="00AC077F"/>
    <w:rsid w:val="00AC2EBB"/>
    <w:rsid w:val="00AC3ECC"/>
    <w:rsid w:val="00AD5F65"/>
    <w:rsid w:val="00AF2F97"/>
    <w:rsid w:val="00B0319C"/>
    <w:rsid w:val="00B0779F"/>
    <w:rsid w:val="00B22875"/>
    <w:rsid w:val="00B22ED0"/>
    <w:rsid w:val="00B329F4"/>
    <w:rsid w:val="00B35952"/>
    <w:rsid w:val="00B415C8"/>
    <w:rsid w:val="00B42522"/>
    <w:rsid w:val="00B47B3B"/>
    <w:rsid w:val="00B60C74"/>
    <w:rsid w:val="00B61231"/>
    <w:rsid w:val="00B77FEA"/>
    <w:rsid w:val="00B87675"/>
    <w:rsid w:val="00B904C1"/>
    <w:rsid w:val="00B914C1"/>
    <w:rsid w:val="00B92013"/>
    <w:rsid w:val="00B92A76"/>
    <w:rsid w:val="00B93199"/>
    <w:rsid w:val="00B94F9B"/>
    <w:rsid w:val="00B96974"/>
    <w:rsid w:val="00BC1DCE"/>
    <w:rsid w:val="00BC584C"/>
    <w:rsid w:val="00BD0F51"/>
    <w:rsid w:val="00BD370E"/>
    <w:rsid w:val="00BD4E76"/>
    <w:rsid w:val="00BE1846"/>
    <w:rsid w:val="00BE2ABC"/>
    <w:rsid w:val="00C1038E"/>
    <w:rsid w:val="00C1387A"/>
    <w:rsid w:val="00C21957"/>
    <w:rsid w:val="00C345C7"/>
    <w:rsid w:val="00C52308"/>
    <w:rsid w:val="00C57063"/>
    <w:rsid w:val="00C573FF"/>
    <w:rsid w:val="00C6116C"/>
    <w:rsid w:val="00C84784"/>
    <w:rsid w:val="00C902E0"/>
    <w:rsid w:val="00C91896"/>
    <w:rsid w:val="00C93902"/>
    <w:rsid w:val="00C9548D"/>
    <w:rsid w:val="00CB1425"/>
    <w:rsid w:val="00CB52F3"/>
    <w:rsid w:val="00CB75FE"/>
    <w:rsid w:val="00CD01BF"/>
    <w:rsid w:val="00CD5E2F"/>
    <w:rsid w:val="00CF7FA7"/>
    <w:rsid w:val="00D001D0"/>
    <w:rsid w:val="00D04ABC"/>
    <w:rsid w:val="00D31C95"/>
    <w:rsid w:val="00D32CCC"/>
    <w:rsid w:val="00D34159"/>
    <w:rsid w:val="00D347DD"/>
    <w:rsid w:val="00D41653"/>
    <w:rsid w:val="00D42E23"/>
    <w:rsid w:val="00D4372D"/>
    <w:rsid w:val="00D45C02"/>
    <w:rsid w:val="00D5674F"/>
    <w:rsid w:val="00D6543C"/>
    <w:rsid w:val="00D747A5"/>
    <w:rsid w:val="00D7581F"/>
    <w:rsid w:val="00D85FDB"/>
    <w:rsid w:val="00D870CE"/>
    <w:rsid w:val="00D92DFB"/>
    <w:rsid w:val="00D96AE4"/>
    <w:rsid w:val="00DA0D5F"/>
    <w:rsid w:val="00DA20FE"/>
    <w:rsid w:val="00DA5C3C"/>
    <w:rsid w:val="00DB131D"/>
    <w:rsid w:val="00DB136F"/>
    <w:rsid w:val="00DB774B"/>
    <w:rsid w:val="00DD41B2"/>
    <w:rsid w:val="00DD533E"/>
    <w:rsid w:val="00DD61CC"/>
    <w:rsid w:val="00DE141E"/>
    <w:rsid w:val="00DF2D32"/>
    <w:rsid w:val="00E03A7F"/>
    <w:rsid w:val="00E16478"/>
    <w:rsid w:val="00E2012E"/>
    <w:rsid w:val="00E230C4"/>
    <w:rsid w:val="00E23381"/>
    <w:rsid w:val="00E2417C"/>
    <w:rsid w:val="00E43B52"/>
    <w:rsid w:val="00E46029"/>
    <w:rsid w:val="00E54252"/>
    <w:rsid w:val="00E55F7C"/>
    <w:rsid w:val="00E62310"/>
    <w:rsid w:val="00E70B6A"/>
    <w:rsid w:val="00E72075"/>
    <w:rsid w:val="00E75642"/>
    <w:rsid w:val="00E75ABA"/>
    <w:rsid w:val="00E813F8"/>
    <w:rsid w:val="00E84E4A"/>
    <w:rsid w:val="00E91CC0"/>
    <w:rsid w:val="00E943BB"/>
    <w:rsid w:val="00EC057B"/>
    <w:rsid w:val="00EC6739"/>
    <w:rsid w:val="00EC754E"/>
    <w:rsid w:val="00ED1EB4"/>
    <w:rsid w:val="00ED3EA2"/>
    <w:rsid w:val="00ED5FC8"/>
    <w:rsid w:val="00ED6CB3"/>
    <w:rsid w:val="00EE77AE"/>
    <w:rsid w:val="00EF101F"/>
    <w:rsid w:val="00F05300"/>
    <w:rsid w:val="00F13C1E"/>
    <w:rsid w:val="00F2105E"/>
    <w:rsid w:val="00F232FD"/>
    <w:rsid w:val="00F24D6D"/>
    <w:rsid w:val="00F2699A"/>
    <w:rsid w:val="00F36EAB"/>
    <w:rsid w:val="00F539E4"/>
    <w:rsid w:val="00F600A7"/>
    <w:rsid w:val="00F61762"/>
    <w:rsid w:val="00F82F71"/>
    <w:rsid w:val="00F842FA"/>
    <w:rsid w:val="00F8624A"/>
    <w:rsid w:val="00F9300E"/>
    <w:rsid w:val="00FA4FD5"/>
    <w:rsid w:val="00FA5B52"/>
    <w:rsid w:val="00FB6CA5"/>
    <w:rsid w:val="00FC7D58"/>
    <w:rsid w:val="00FD1CCF"/>
    <w:rsid w:val="00FD22E6"/>
    <w:rsid w:val="00FF207C"/>
    <w:rsid w:val="00FF37F3"/>
    <w:rsid w:val="00FF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7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 w:type="paragraph" w:customStyle="1" w:styleId="Default">
    <w:name w:val="Default"/>
    <w:rsid w:val="008D26E4"/>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18458446">
      <w:bodyDiv w:val="1"/>
      <w:marLeft w:val="0"/>
      <w:marRight w:val="0"/>
      <w:marTop w:val="0"/>
      <w:marBottom w:val="0"/>
      <w:divBdr>
        <w:top w:val="none" w:sz="0" w:space="0" w:color="auto"/>
        <w:left w:val="none" w:sz="0" w:space="0" w:color="auto"/>
        <w:bottom w:val="none" w:sz="0" w:space="0" w:color="auto"/>
        <w:right w:val="none" w:sz="0" w:space="0" w:color="auto"/>
      </w:divBdr>
    </w:div>
    <w:div w:id="1326670959">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23324162">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
    <w:div w:id="1670474782">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 w:id="208105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iker@igsenerg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liker@igs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DDF8-9366-4DDF-A18F-674CC7E9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1664</Words>
  <Characters>9487</Characters>
  <Application>Microsoft Office Word</Application>
  <DocSecurity>0</DocSecurity>
  <Lines>79</Lines>
  <Paragraphs>22</Paragraphs>
  <ScaleCrop>false</ScaleCrop>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2017-12-18T22:11:00Z</dcterms:created>
  <dcterms:modified xsi:type="dcterms:W3CDTF">2017-12-18T22:11:00Z</dcterms:modified>
</cp:coreProperties>
</file>