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60C8D" w14:textId="77777777" w:rsidR="001B6B6B" w:rsidRDefault="001B6B6B" w:rsidP="001B6B6B">
      <w:pPr>
        <w:jc w:val="center"/>
        <w:rPr>
          <w:rFonts w:ascii="Times New Roman" w:hAnsi="Times New Roman" w:cs="Times New Roman"/>
          <w:b/>
        </w:rPr>
      </w:pPr>
      <w:bookmarkStart w:id="0" w:name="_GoBack"/>
      <w:bookmarkEnd w:id="0"/>
      <w:r>
        <w:rPr>
          <w:rFonts w:ascii="Times New Roman" w:hAnsi="Times New Roman" w:cs="Times New Roman"/>
          <w:b/>
        </w:rPr>
        <w:t>BEFORE</w:t>
      </w:r>
      <w:r>
        <w:rPr>
          <w:rFonts w:ascii="Times New Roman" w:hAnsi="Times New Roman" w:cs="Times New Roman"/>
          <w:b/>
        </w:rPr>
        <w:br/>
        <w:t>THE PUBLIC UTILITIES COMMISSION OF OHIO</w:t>
      </w:r>
    </w:p>
    <w:p w14:paraId="2D5C43F5" w14:textId="77777777" w:rsidR="001B6B6B" w:rsidRDefault="001B6B6B" w:rsidP="001B6B6B">
      <w:pPr>
        <w:jc w:val="center"/>
        <w:rPr>
          <w:rFonts w:ascii="Times New Roman" w:hAnsi="Times New Roman" w:cs="Times New Roman"/>
          <w:b/>
        </w:rPr>
      </w:pPr>
    </w:p>
    <w:tbl>
      <w:tblPr>
        <w:tblW w:w="0" w:type="auto"/>
        <w:tblLook w:val="04A0" w:firstRow="1" w:lastRow="0" w:firstColumn="1" w:lastColumn="0" w:noHBand="0" w:noVBand="1"/>
      </w:tblPr>
      <w:tblGrid>
        <w:gridCol w:w="4608"/>
        <w:gridCol w:w="360"/>
        <w:gridCol w:w="4608"/>
      </w:tblGrid>
      <w:tr w:rsidR="001B6B6B" w:rsidRPr="003968CE" w14:paraId="6DF30129" w14:textId="77777777" w:rsidTr="001B6B6B">
        <w:trPr>
          <w:trHeight w:val="882"/>
        </w:trPr>
        <w:tc>
          <w:tcPr>
            <w:tcW w:w="4608" w:type="dxa"/>
            <w:shd w:val="clear" w:color="auto" w:fill="auto"/>
          </w:tcPr>
          <w:p w14:paraId="47A7D376" w14:textId="77777777" w:rsidR="001B6B6B" w:rsidRDefault="001B6B6B" w:rsidP="001B6B6B">
            <w:pPr>
              <w:pStyle w:val="Footer"/>
              <w:tabs>
                <w:tab w:val="clear" w:pos="8640"/>
                <w:tab w:val="left" w:pos="4320"/>
                <w:tab w:val="right" w:pos="9360"/>
              </w:tabs>
              <w:rPr>
                <w:rFonts w:ascii="Times New Roman" w:hAnsi="Times New Roman" w:cs="Times New Roman"/>
              </w:rPr>
            </w:pPr>
            <w:r>
              <w:rPr>
                <w:rFonts w:ascii="Times New Roman" w:hAnsi="Times New Roman" w:cs="Times New Roman"/>
              </w:rPr>
              <w:t>GWENDOLYN TANDY,</w:t>
            </w:r>
          </w:p>
          <w:p w14:paraId="0C683E52" w14:textId="77777777" w:rsidR="001B6B6B" w:rsidRDefault="001B6B6B" w:rsidP="001B6B6B">
            <w:pPr>
              <w:pStyle w:val="Footer"/>
              <w:tabs>
                <w:tab w:val="clear" w:pos="8640"/>
                <w:tab w:val="left" w:pos="4320"/>
                <w:tab w:val="right" w:pos="9360"/>
              </w:tabs>
              <w:rPr>
                <w:rFonts w:ascii="Times New Roman" w:hAnsi="Times New Roman" w:cs="Times New Roman"/>
              </w:rPr>
            </w:pPr>
          </w:p>
          <w:p w14:paraId="162B8B36" w14:textId="77777777" w:rsidR="001B6B6B" w:rsidRDefault="001B6B6B" w:rsidP="001B6B6B">
            <w:pPr>
              <w:pStyle w:val="Footer"/>
              <w:tabs>
                <w:tab w:val="clear" w:pos="8640"/>
                <w:tab w:val="left" w:pos="4320"/>
                <w:tab w:val="right" w:pos="9360"/>
              </w:tabs>
              <w:ind w:left="720" w:hanging="720"/>
              <w:rPr>
                <w:rFonts w:ascii="Times New Roman" w:hAnsi="Times New Roman" w:cs="Times New Roman"/>
              </w:rPr>
            </w:pPr>
            <w:r>
              <w:rPr>
                <w:rFonts w:ascii="Times New Roman" w:hAnsi="Times New Roman" w:cs="Times New Roman"/>
              </w:rPr>
              <w:tab/>
              <w:t>Complainant,</w:t>
            </w:r>
          </w:p>
          <w:p w14:paraId="1F884BAB" w14:textId="77777777" w:rsidR="001B6B6B" w:rsidRDefault="001B6B6B" w:rsidP="001B6B6B">
            <w:pPr>
              <w:pStyle w:val="Footer"/>
              <w:tabs>
                <w:tab w:val="clear" w:pos="8640"/>
                <w:tab w:val="left" w:pos="4320"/>
                <w:tab w:val="right" w:pos="9360"/>
              </w:tabs>
              <w:ind w:left="720" w:hanging="720"/>
              <w:rPr>
                <w:rFonts w:ascii="Times New Roman" w:hAnsi="Times New Roman" w:cs="Times New Roman"/>
              </w:rPr>
            </w:pPr>
          </w:p>
          <w:p w14:paraId="4ACBA9AD" w14:textId="77777777" w:rsidR="001B6B6B" w:rsidRDefault="001B6B6B" w:rsidP="001B6B6B">
            <w:pPr>
              <w:pStyle w:val="Footer"/>
              <w:tabs>
                <w:tab w:val="clear" w:pos="8640"/>
                <w:tab w:val="left" w:pos="4320"/>
                <w:tab w:val="right" w:pos="9360"/>
              </w:tabs>
              <w:ind w:left="720" w:hanging="72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v</w:t>
            </w:r>
            <w:proofErr w:type="gramEnd"/>
            <w:r>
              <w:rPr>
                <w:rFonts w:ascii="Times New Roman" w:hAnsi="Times New Roman" w:cs="Times New Roman"/>
              </w:rPr>
              <w:t>.</w:t>
            </w:r>
          </w:p>
          <w:p w14:paraId="0239216D" w14:textId="77777777" w:rsidR="001B6B6B" w:rsidRDefault="001B6B6B" w:rsidP="001B6B6B">
            <w:pPr>
              <w:pStyle w:val="Footer"/>
              <w:tabs>
                <w:tab w:val="clear" w:pos="8640"/>
                <w:tab w:val="left" w:pos="4320"/>
                <w:tab w:val="right" w:pos="9360"/>
              </w:tabs>
              <w:ind w:left="720" w:hanging="720"/>
              <w:rPr>
                <w:rFonts w:ascii="Times New Roman" w:hAnsi="Times New Roman" w:cs="Times New Roman"/>
              </w:rPr>
            </w:pPr>
          </w:p>
          <w:p w14:paraId="64C40253" w14:textId="77777777" w:rsidR="001B6B6B" w:rsidRDefault="001B6B6B" w:rsidP="001B6B6B">
            <w:pPr>
              <w:pStyle w:val="Footer"/>
              <w:tabs>
                <w:tab w:val="clear" w:pos="8640"/>
                <w:tab w:val="left" w:pos="4320"/>
                <w:tab w:val="right" w:pos="9360"/>
              </w:tabs>
              <w:rPr>
                <w:rFonts w:ascii="Times New Roman" w:hAnsi="Times New Roman" w:cs="Times New Roman"/>
              </w:rPr>
            </w:pPr>
            <w:r>
              <w:rPr>
                <w:rFonts w:ascii="Times New Roman" w:hAnsi="Times New Roman" w:cs="Times New Roman"/>
              </w:rPr>
              <w:t>THE CLEVELAND ELECTRIC ILLUMINATING COMPANY,</w:t>
            </w:r>
          </w:p>
          <w:p w14:paraId="4E9A1F0B" w14:textId="77777777" w:rsidR="001B6B6B" w:rsidRDefault="001B6B6B" w:rsidP="001B6B6B">
            <w:pPr>
              <w:pStyle w:val="Footer"/>
              <w:tabs>
                <w:tab w:val="clear" w:pos="8640"/>
                <w:tab w:val="left" w:pos="4320"/>
                <w:tab w:val="right" w:pos="9360"/>
              </w:tabs>
              <w:rPr>
                <w:rFonts w:ascii="Times New Roman" w:hAnsi="Times New Roman" w:cs="Times New Roman"/>
              </w:rPr>
            </w:pPr>
          </w:p>
          <w:p w14:paraId="51187926" w14:textId="77777777" w:rsidR="001B6B6B" w:rsidRDefault="001B6B6B" w:rsidP="001B6B6B">
            <w:pPr>
              <w:pStyle w:val="Footer"/>
              <w:tabs>
                <w:tab w:val="clear" w:pos="8640"/>
                <w:tab w:val="left" w:pos="4320"/>
                <w:tab w:val="right" w:pos="9360"/>
              </w:tabs>
              <w:ind w:left="720" w:hanging="720"/>
              <w:rPr>
                <w:rFonts w:ascii="Times New Roman" w:hAnsi="Times New Roman" w:cs="Times New Roman"/>
              </w:rPr>
            </w:pPr>
            <w:r>
              <w:rPr>
                <w:rFonts w:ascii="Times New Roman" w:hAnsi="Times New Roman" w:cs="Times New Roman"/>
              </w:rPr>
              <w:tab/>
              <w:t>Respondent.</w:t>
            </w:r>
          </w:p>
          <w:p w14:paraId="32EC76D4" w14:textId="77777777" w:rsidR="00E85304" w:rsidRDefault="00E85304" w:rsidP="001B6B6B">
            <w:pPr>
              <w:pStyle w:val="Footer"/>
              <w:tabs>
                <w:tab w:val="clear" w:pos="8640"/>
                <w:tab w:val="left" w:pos="4320"/>
                <w:tab w:val="right" w:pos="9360"/>
              </w:tabs>
              <w:ind w:left="720" w:hanging="720"/>
              <w:rPr>
                <w:rFonts w:ascii="Times New Roman" w:hAnsi="Times New Roman" w:cs="Times New Roman"/>
              </w:rPr>
            </w:pPr>
          </w:p>
          <w:p w14:paraId="09A5C144" w14:textId="77777777" w:rsidR="00E85304" w:rsidRPr="003968CE" w:rsidRDefault="00E85304" w:rsidP="000E4758">
            <w:pPr>
              <w:pStyle w:val="Footer"/>
              <w:tabs>
                <w:tab w:val="clear" w:pos="8640"/>
                <w:tab w:val="left" w:pos="4320"/>
                <w:tab w:val="right" w:pos="9360"/>
              </w:tabs>
              <w:rPr>
                <w:rFonts w:ascii="Times New Roman" w:hAnsi="Times New Roman" w:cs="Times New Roman"/>
              </w:rPr>
            </w:pPr>
          </w:p>
        </w:tc>
        <w:tc>
          <w:tcPr>
            <w:tcW w:w="360" w:type="dxa"/>
            <w:shd w:val="clear" w:color="auto" w:fill="auto"/>
          </w:tcPr>
          <w:p w14:paraId="36F40021" w14:textId="77777777" w:rsidR="001B6B6B" w:rsidRPr="003968CE" w:rsidRDefault="001B6B6B" w:rsidP="001B6B6B">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p w14:paraId="49B5D531" w14:textId="77777777" w:rsidR="001B6B6B" w:rsidRPr="003968CE" w:rsidRDefault="001B6B6B" w:rsidP="001B6B6B">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p w14:paraId="5FC0A585" w14:textId="77777777" w:rsidR="001B6B6B" w:rsidRPr="003968CE" w:rsidRDefault="001B6B6B" w:rsidP="001B6B6B">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p w14:paraId="7C9ACEA8" w14:textId="77777777" w:rsidR="001B6B6B" w:rsidRPr="003968CE" w:rsidRDefault="001B6B6B" w:rsidP="001B6B6B">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p w14:paraId="59F70016" w14:textId="77777777" w:rsidR="001B6B6B" w:rsidRPr="003968CE" w:rsidRDefault="001B6B6B" w:rsidP="001B6B6B">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p w14:paraId="73CB2BF9" w14:textId="77777777" w:rsidR="001B6B6B" w:rsidRDefault="001B6B6B" w:rsidP="001B6B6B">
            <w:pPr>
              <w:pStyle w:val="Footer"/>
              <w:tabs>
                <w:tab w:val="clear" w:pos="8640"/>
                <w:tab w:val="left" w:pos="4320"/>
                <w:tab w:val="right" w:pos="9360"/>
              </w:tabs>
              <w:rPr>
                <w:rFonts w:ascii="Times New Roman" w:hAnsi="Times New Roman" w:cs="Times New Roman"/>
              </w:rPr>
            </w:pPr>
            <w:r>
              <w:rPr>
                <w:rFonts w:ascii="Times New Roman" w:hAnsi="Times New Roman" w:cs="Times New Roman"/>
              </w:rPr>
              <w:t>)</w:t>
            </w:r>
          </w:p>
          <w:p w14:paraId="5462E372" w14:textId="77777777" w:rsidR="001B6B6B" w:rsidRDefault="001B6B6B" w:rsidP="001B6B6B">
            <w:pPr>
              <w:pStyle w:val="Footer"/>
              <w:tabs>
                <w:tab w:val="clear" w:pos="8640"/>
                <w:tab w:val="left" w:pos="4320"/>
                <w:tab w:val="right" w:pos="9360"/>
              </w:tabs>
              <w:rPr>
                <w:rFonts w:ascii="Times New Roman" w:hAnsi="Times New Roman" w:cs="Times New Roman"/>
              </w:rPr>
            </w:pPr>
            <w:r>
              <w:rPr>
                <w:rFonts w:ascii="Times New Roman" w:hAnsi="Times New Roman" w:cs="Times New Roman"/>
              </w:rPr>
              <w:t>)</w:t>
            </w:r>
            <w:r>
              <w:rPr>
                <w:rFonts w:ascii="Times New Roman" w:hAnsi="Times New Roman" w:cs="Times New Roman"/>
              </w:rPr>
              <w:br/>
              <w:t>)</w:t>
            </w:r>
          </w:p>
          <w:p w14:paraId="70BC6D25" w14:textId="77777777" w:rsidR="001B6B6B" w:rsidRDefault="001B6B6B" w:rsidP="001B6B6B">
            <w:pPr>
              <w:pStyle w:val="Footer"/>
              <w:tabs>
                <w:tab w:val="clear" w:pos="8640"/>
                <w:tab w:val="left" w:pos="4320"/>
                <w:tab w:val="right" w:pos="9360"/>
              </w:tabs>
              <w:rPr>
                <w:rFonts w:ascii="Times New Roman" w:hAnsi="Times New Roman" w:cs="Times New Roman"/>
              </w:rPr>
            </w:pPr>
            <w:r>
              <w:rPr>
                <w:rFonts w:ascii="Times New Roman" w:hAnsi="Times New Roman" w:cs="Times New Roman"/>
              </w:rPr>
              <w:t>)</w:t>
            </w:r>
          </w:p>
          <w:p w14:paraId="07B41164" w14:textId="77777777" w:rsidR="001B6B6B" w:rsidRDefault="001B6B6B" w:rsidP="001B6B6B">
            <w:pPr>
              <w:pStyle w:val="Footer"/>
              <w:tabs>
                <w:tab w:val="clear" w:pos="8640"/>
                <w:tab w:val="left" w:pos="4320"/>
                <w:tab w:val="right" w:pos="9360"/>
              </w:tabs>
              <w:rPr>
                <w:rFonts w:ascii="Times New Roman" w:hAnsi="Times New Roman" w:cs="Times New Roman"/>
              </w:rPr>
            </w:pPr>
            <w:r>
              <w:rPr>
                <w:rFonts w:ascii="Times New Roman" w:hAnsi="Times New Roman" w:cs="Times New Roman"/>
              </w:rPr>
              <w:t>)</w:t>
            </w:r>
          </w:p>
          <w:p w14:paraId="59C5AC5F" w14:textId="77777777" w:rsidR="00E85304" w:rsidRDefault="00E85304" w:rsidP="001B6B6B">
            <w:pPr>
              <w:pStyle w:val="Footer"/>
              <w:tabs>
                <w:tab w:val="clear" w:pos="8640"/>
                <w:tab w:val="left" w:pos="4320"/>
                <w:tab w:val="right" w:pos="9360"/>
              </w:tabs>
              <w:rPr>
                <w:rFonts w:ascii="Times New Roman" w:hAnsi="Times New Roman" w:cs="Times New Roman"/>
              </w:rPr>
            </w:pPr>
            <w:r>
              <w:rPr>
                <w:rFonts w:ascii="Times New Roman" w:hAnsi="Times New Roman" w:cs="Times New Roman"/>
              </w:rPr>
              <w:t>)</w:t>
            </w:r>
          </w:p>
          <w:p w14:paraId="220BE101" w14:textId="0F72B08D" w:rsidR="00E85304" w:rsidRPr="003968CE" w:rsidRDefault="00E85304" w:rsidP="001B6B6B">
            <w:pPr>
              <w:pStyle w:val="Footer"/>
              <w:tabs>
                <w:tab w:val="clear" w:pos="8640"/>
                <w:tab w:val="left" w:pos="4320"/>
                <w:tab w:val="right" w:pos="9360"/>
              </w:tabs>
              <w:rPr>
                <w:rFonts w:ascii="Times New Roman" w:hAnsi="Times New Roman" w:cs="Times New Roman"/>
              </w:rPr>
            </w:pPr>
            <w:r>
              <w:rPr>
                <w:rFonts w:ascii="Times New Roman" w:hAnsi="Times New Roman" w:cs="Times New Roman"/>
              </w:rPr>
              <w:t>)</w:t>
            </w:r>
          </w:p>
        </w:tc>
        <w:tc>
          <w:tcPr>
            <w:tcW w:w="4608" w:type="dxa"/>
            <w:shd w:val="clear" w:color="auto" w:fill="auto"/>
          </w:tcPr>
          <w:p w14:paraId="3CC39544" w14:textId="77777777" w:rsidR="001B6B6B" w:rsidRDefault="001B6B6B" w:rsidP="001B6B6B">
            <w:pPr>
              <w:pStyle w:val="Footer"/>
              <w:tabs>
                <w:tab w:val="clear" w:pos="8640"/>
                <w:tab w:val="left" w:pos="4320"/>
                <w:tab w:val="right" w:pos="9360"/>
              </w:tabs>
              <w:ind w:firstLine="612"/>
              <w:rPr>
                <w:rFonts w:ascii="Times New Roman" w:hAnsi="Times New Roman" w:cs="Times New Roman"/>
              </w:rPr>
            </w:pPr>
          </w:p>
          <w:p w14:paraId="36422A7E" w14:textId="77777777" w:rsidR="001B6B6B" w:rsidRDefault="001B6B6B" w:rsidP="001B6B6B">
            <w:pPr>
              <w:pStyle w:val="Footer"/>
              <w:tabs>
                <w:tab w:val="clear" w:pos="8640"/>
                <w:tab w:val="left" w:pos="4320"/>
                <w:tab w:val="right" w:pos="9360"/>
              </w:tabs>
              <w:ind w:firstLine="612"/>
              <w:rPr>
                <w:rFonts w:ascii="Times New Roman" w:hAnsi="Times New Roman" w:cs="Times New Roman"/>
              </w:rPr>
            </w:pPr>
          </w:p>
          <w:p w14:paraId="236506FB" w14:textId="77777777" w:rsidR="001B6B6B" w:rsidRDefault="001B6B6B" w:rsidP="001B6B6B">
            <w:pPr>
              <w:pStyle w:val="Footer"/>
              <w:tabs>
                <w:tab w:val="clear" w:pos="8640"/>
                <w:tab w:val="left" w:pos="4320"/>
                <w:tab w:val="right" w:pos="9360"/>
              </w:tabs>
              <w:ind w:firstLine="612"/>
              <w:rPr>
                <w:rFonts w:ascii="Times New Roman" w:hAnsi="Times New Roman" w:cs="Times New Roman"/>
              </w:rPr>
            </w:pPr>
          </w:p>
          <w:p w14:paraId="75C9918A" w14:textId="77777777" w:rsidR="001B6B6B" w:rsidRDefault="001B6B6B" w:rsidP="001B6B6B">
            <w:pPr>
              <w:pStyle w:val="Footer"/>
              <w:tabs>
                <w:tab w:val="clear" w:pos="8640"/>
                <w:tab w:val="left" w:pos="4320"/>
                <w:tab w:val="right" w:pos="9360"/>
              </w:tabs>
              <w:ind w:firstLine="612"/>
              <w:rPr>
                <w:rFonts w:ascii="Times New Roman" w:hAnsi="Times New Roman" w:cs="Times New Roman"/>
              </w:rPr>
            </w:pPr>
          </w:p>
          <w:p w14:paraId="50E14A7A" w14:textId="77777777" w:rsidR="001B6B6B" w:rsidRPr="003968CE" w:rsidRDefault="001B6B6B" w:rsidP="001B6B6B">
            <w:pPr>
              <w:pStyle w:val="Footer"/>
              <w:tabs>
                <w:tab w:val="clear" w:pos="8640"/>
                <w:tab w:val="left" w:pos="4320"/>
                <w:tab w:val="right" w:pos="9360"/>
              </w:tabs>
              <w:ind w:firstLine="612"/>
              <w:rPr>
                <w:rFonts w:ascii="Times New Roman" w:hAnsi="Times New Roman" w:cs="Times New Roman"/>
              </w:rPr>
            </w:pPr>
            <w:r>
              <w:rPr>
                <w:rFonts w:ascii="Times New Roman" w:hAnsi="Times New Roman" w:cs="Times New Roman"/>
              </w:rPr>
              <w:t>Case No. 15-395-EL-CSS</w:t>
            </w:r>
          </w:p>
        </w:tc>
      </w:tr>
      <w:tr w:rsidR="000E4758" w:rsidRPr="003968CE" w14:paraId="5D7AF511" w14:textId="77777777" w:rsidTr="00E85304">
        <w:trPr>
          <w:trHeight w:val="882"/>
        </w:trPr>
        <w:tc>
          <w:tcPr>
            <w:tcW w:w="4608" w:type="dxa"/>
            <w:shd w:val="clear" w:color="auto" w:fill="auto"/>
          </w:tcPr>
          <w:p w14:paraId="03992583" w14:textId="2F7BAEB8" w:rsidR="00E85304" w:rsidRDefault="00E85304" w:rsidP="00080155">
            <w:pPr>
              <w:pStyle w:val="Footer"/>
              <w:tabs>
                <w:tab w:val="clear" w:pos="8640"/>
                <w:tab w:val="left" w:pos="4320"/>
                <w:tab w:val="right" w:pos="9360"/>
              </w:tabs>
              <w:rPr>
                <w:rFonts w:ascii="Times New Roman" w:hAnsi="Times New Roman" w:cs="Times New Roman"/>
              </w:rPr>
            </w:pPr>
            <w:r>
              <w:rPr>
                <w:rFonts w:ascii="Times New Roman" w:hAnsi="Times New Roman" w:cs="Times New Roman"/>
              </w:rPr>
              <w:t>GWENDOLYN TANDY,</w:t>
            </w:r>
          </w:p>
          <w:p w14:paraId="2540B608" w14:textId="77777777" w:rsidR="00E85304" w:rsidRDefault="00E85304" w:rsidP="00080155">
            <w:pPr>
              <w:pStyle w:val="Footer"/>
              <w:tabs>
                <w:tab w:val="clear" w:pos="8640"/>
                <w:tab w:val="left" w:pos="4320"/>
                <w:tab w:val="right" w:pos="9360"/>
              </w:tabs>
              <w:rPr>
                <w:rFonts w:ascii="Times New Roman" w:hAnsi="Times New Roman" w:cs="Times New Roman"/>
              </w:rPr>
            </w:pPr>
          </w:p>
          <w:p w14:paraId="3E942786" w14:textId="77777777" w:rsidR="00E85304" w:rsidRDefault="00E85304" w:rsidP="00E85304">
            <w:pPr>
              <w:pStyle w:val="Footer"/>
              <w:tabs>
                <w:tab w:val="clear" w:pos="4320"/>
                <w:tab w:val="clear" w:pos="8640"/>
                <w:tab w:val="left" w:pos="720"/>
                <w:tab w:val="right" w:pos="9360"/>
              </w:tabs>
              <w:rPr>
                <w:rFonts w:ascii="Times New Roman" w:hAnsi="Times New Roman" w:cs="Times New Roman"/>
              </w:rPr>
            </w:pPr>
            <w:r>
              <w:rPr>
                <w:rFonts w:ascii="Times New Roman" w:hAnsi="Times New Roman" w:cs="Times New Roman"/>
              </w:rPr>
              <w:tab/>
              <w:t>Complainant,</w:t>
            </w:r>
          </w:p>
          <w:p w14:paraId="54BD189E" w14:textId="77777777" w:rsidR="00E85304" w:rsidRDefault="00E85304" w:rsidP="00E85304">
            <w:pPr>
              <w:pStyle w:val="Footer"/>
              <w:tabs>
                <w:tab w:val="clear" w:pos="8640"/>
                <w:tab w:val="left" w:pos="4320"/>
                <w:tab w:val="right" w:pos="9360"/>
              </w:tabs>
              <w:rPr>
                <w:rFonts w:ascii="Times New Roman" w:hAnsi="Times New Roman" w:cs="Times New Roman"/>
              </w:rPr>
            </w:pPr>
          </w:p>
          <w:p w14:paraId="7566568A" w14:textId="77777777" w:rsidR="00E85304" w:rsidRDefault="00E85304" w:rsidP="00201E2F">
            <w:pPr>
              <w:pStyle w:val="Footer"/>
              <w:tabs>
                <w:tab w:val="clear" w:pos="8640"/>
                <w:tab w:val="left" w:pos="720"/>
                <w:tab w:val="left" w:pos="4320"/>
                <w:tab w:val="right" w:pos="936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v</w:t>
            </w:r>
            <w:proofErr w:type="gramEnd"/>
            <w:r>
              <w:rPr>
                <w:rFonts w:ascii="Times New Roman" w:hAnsi="Times New Roman" w:cs="Times New Roman"/>
              </w:rPr>
              <w:t>.</w:t>
            </w:r>
          </w:p>
          <w:p w14:paraId="7212D09C" w14:textId="77777777" w:rsidR="00E85304" w:rsidRDefault="00E85304" w:rsidP="00E85304">
            <w:pPr>
              <w:pStyle w:val="Footer"/>
              <w:tabs>
                <w:tab w:val="clear" w:pos="8640"/>
                <w:tab w:val="left" w:pos="4320"/>
                <w:tab w:val="right" w:pos="9360"/>
              </w:tabs>
              <w:rPr>
                <w:rFonts w:ascii="Times New Roman" w:hAnsi="Times New Roman" w:cs="Times New Roman"/>
              </w:rPr>
            </w:pPr>
          </w:p>
          <w:p w14:paraId="7F936ECB" w14:textId="0376E701" w:rsidR="00E85304" w:rsidRDefault="000E4758" w:rsidP="00080155">
            <w:pPr>
              <w:pStyle w:val="Footer"/>
              <w:tabs>
                <w:tab w:val="clear" w:pos="8640"/>
                <w:tab w:val="left" w:pos="4320"/>
                <w:tab w:val="right" w:pos="9360"/>
              </w:tabs>
              <w:rPr>
                <w:rFonts w:ascii="Times New Roman" w:hAnsi="Times New Roman" w:cs="Times New Roman"/>
              </w:rPr>
            </w:pPr>
            <w:r>
              <w:rPr>
                <w:rFonts w:ascii="Times New Roman" w:hAnsi="Times New Roman" w:cs="Times New Roman"/>
              </w:rPr>
              <w:t>THE EAST OHIO GAS COMPANY D/B/A</w:t>
            </w:r>
          </w:p>
          <w:p w14:paraId="0388BB07" w14:textId="36EAA502" w:rsidR="000E4758" w:rsidRDefault="000E4758" w:rsidP="00080155">
            <w:pPr>
              <w:pStyle w:val="Footer"/>
              <w:tabs>
                <w:tab w:val="clear" w:pos="8640"/>
                <w:tab w:val="left" w:pos="4320"/>
                <w:tab w:val="right" w:pos="9360"/>
              </w:tabs>
              <w:rPr>
                <w:rFonts w:ascii="Times New Roman" w:hAnsi="Times New Roman" w:cs="Times New Roman"/>
              </w:rPr>
            </w:pPr>
            <w:r>
              <w:rPr>
                <w:rFonts w:ascii="Times New Roman" w:hAnsi="Times New Roman" w:cs="Times New Roman"/>
              </w:rPr>
              <w:t>DOMINION EAST OHIO</w:t>
            </w:r>
          </w:p>
          <w:p w14:paraId="560E6804" w14:textId="77777777" w:rsidR="00E85304" w:rsidRDefault="00E85304" w:rsidP="00080155">
            <w:pPr>
              <w:pStyle w:val="Footer"/>
              <w:tabs>
                <w:tab w:val="clear" w:pos="8640"/>
                <w:tab w:val="left" w:pos="4320"/>
                <w:tab w:val="right" w:pos="9360"/>
              </w:tabs>
              <w:rPr>
                <w:rFonts w:ascii="Times New Roman" w:hAnsi="Times New Roman" w:cs="Times New Roman"/>
              </w:rPr>
            </w:pPr>
          </w:p>
          <w:p w14:paraId="01B94E7A" w14:textId="77777777" w:rsidR="00E85304" w:rsidRPr="003968CE" w:rsidRDefault="00E85304" w:rsidP="00E85304">
            <w:pPr>
              <w:pStyle w:val="Footer"/>
              <w:tabs>
                <w:tab w:val="clear" w:pos="4320"/>
                <w:tab w:val="clear" w:pos="8640"/>
                <w:tab w:val="left" w:pos="720"/>
                <w:tab w:val="right" w:pos="9360"/>
              </w:tabs>
              <w:rPr>
                <w:rFonts w:ascii="Times New Roman" w:hAnsi="Times New Roman" w:cs="Times New Roman"/>
              </w:rPr>
            </w:pPr>
            <w:r>
              <w:rPr>
                <w:rFonts w:ascii="Times New Roman" w:hAnsi="Times New Roman" w:cs="Times New Roman"/>
              </w:rPr>
              <w:tab/>
              <w:t>Respondent.</w:t>
            </w:r>
          </w:p>
        </w:tc>
        <w:tc>
          <w:tcPr>
            <w:tcW w:w="360" w:type="dxa"/>
            <w:shd w:val="clear" w:color="auto" w:fill="auto"/>
          </w:tcPr>
          <w:p w14:paraId="3D045CD0" w14:textId="77777777" w:rsidR="00E85304" w:rsidRPr="003968CE" w:rsidRDefault="00E85304" w:rsidP="00080155">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p w14:paraId="6B695DC5" w14:textId="77777777" w:rsidR="00E85304" w:rsidRPr="003968CE" w:rsidRDefault="00E85304" w:rsidP="00080155">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p w14:paraId="443F46FA" w14:textId="77777777" w:rsidR="00E85304" w:rsidRPr="003968CE" w:rsidRDefault="00E85304" w:rsidP="00080155">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p w14:paraId="4A92BAC3" w14:textId="77777777" w:rsidR="00E85304" w:rsidRPr="003968CE" w:rsidRDefault="00E85304" w:rsidP="00080155">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p w14:paraId="7A13B1CA" w14:textId="77777777" w:rsidR="00E85304" w:rsidRPr="003968CE" w:rsidRDefault="00E85304" w:rsidP="00080155">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p w14:paraId="60988240" w14:textId="77777777" w:rsidR="00E85304" w:rsidRDefault="00E85304" w:rsidP="00080155">
            <w:pPr>
              <w:pStyle w:val="Footer"/>
              <w:tabs>
                <w:tab w:val="clear" w:pos="8640"/>
                <w:tab w:val="left" w:pos="4320"/>
                <w:tab w:val="right" w:pos="9360"/>
              </w:tabs>
              <w:rPr>
                <w:rFonts w:ascii="Times New Roman" w:hAnsi="Times New Roman" w:cs="Times New Roman"/>
              </w:rPr>
            </w:pPr>
            <w:r>
              <w:rPr>
                <w:rFonts w:ascii="Times New Roman" w:hAnsi="Times New Roman" w:cs="Times New Roman"/>
              </w:rPr>
              <w:t>)</w:t>
            </w:r>
          </w:p>
          <w:p w14:paraId="55C9B26E" w14:textId="77777777" w:rsidR="00E85304" w:rsidRDefault="00E85304" w:rsidP="00080155">
            <w:pPr>
              <w:pStyle w:val="Footer"/>
              <w:tabs>
                <w:tab w:val="clear" w:pos="8640"/>
                <w:tab w:val="left" w:pos="4320"/>
                <w:tab w:val="right" w:pos="9360"/>
              </w:tabs>
              <w:rPr>
                <w:rFonts w:ascii="Times New Roman" w:hAnsi="Times New Roman" w:cs="Times New Roman"/>
              </w:rPr>
            </w:pPr>
            <w:r>
              <w:rPr>
                <w:rFonts w:ascii="Times New Roman" w:hAnsi="Times New Roman" w:cs="Times New Roman"/>
              </w:rPr>
              <w:t>)</w:t>
            </w:r>
            <w:r>
              <w:rPr>
                <w:rFonts w:ascii="Times New Roman" w:hAnsi="Times New Roman" w:cs="Times New Roman"/>
              </w:rPr>
              <w:br/>
              <w:t>)</w:t>
            </w:r>
          </w:p>
          <w:p w14:paraId="35CF165B" w14:textId="77777777" w:rsidR="00E85304" w:rsidRDefault="00E85304" w:rsidP="00080155">
            <w:pPr>
              <w:pStyle w:val="Footer"/>
              <w:tabs>
                <w:tab w:val="clear" w:pos="8640"/>
                <w:tab w:val="left" w:pos="4320"/>
                <w:tab w:val="right" w:pos="9360"/>
              </w:tabs>
              <w:rPr>
                <w:rFonts w:ascii="Times New Roman" w:hAnsi="Times New Roman" w:cs="Times New Roman"/>
              </w:rPr>
            </w:pPr>
            <w:r>
              <w:rPr>
                <w:rFonts w:ascii="Times New Roman" w:hAnsi="Times New Roman" w:cs="Times New Roman"/>
              </w:rPr>
              <w:t>)</w:t>
            </w:r>
          </w:p>
          <w:p w14:paraId="6BF33EEB" w14:textId="6855D74D" w:rsidR="00E85304" w:rsidRPr="003968CE" w:rsidRDefault="00E85304" w:rsidP="000E4758">
            <w:pPr>
              <w:pStyle w:val="Footer"/>
              <w:tabs>
                <w:tab w:val="clear" w:pos="8640"/>
                <w:tab w:val="left" w:pos="4320"/>
                <w:tab w:val="right" w:pos="9360"/>
              </w:tabs>
              <w:rPr>
                <w:rFonts w:ascii="Times New Roman" w:hAnsi="Times New Roman" w:cs="Times New Roman"/>
              </w:rPr>
            </w:pPr>
            <w:r>
              <w:rPr>
                <w:rFonts w:ascii="Times New Roman" w:hAnsi="Times New Roman" w:cs="Times New Roman"/>
              </w:rPr>
              <w:t>)</w:t>
            </w:r>
          </w:p>
        </w:tc>
        <w:tc>
          <w:tcPr>
            <w:tcW w:w="4608" w:type="dxa"/>
            <w:shd w:val="clear" w:color="auto" w:fill="auto"/>
          </w:tcPr>
          <w:p w14:paraId="6DC1AFA2" w14:textId="77777777" w:rsidR="00E85304" w:rsidRDefault="00E85304" w:rsidP="00080155">
            <w:pPr>
              <w:pStyle w:val="Footer"/>
              <w:tabs>
                <w:tab w:val="clear" w:pos="8640"/>
                <w:tab w:val="left" w:pos="4320"/>
                <w:tab w:val="right" w:pos="9360"/>
              </w:tabs>
              <w:ind w:firstLine="612"/>
              <w:rPr>
                <w:rFonts w:ascii="Times New Roman" w:hAnsi="Times New Roman" w:cs="Times New Roman"/>
              </w:rPr>
            </w:pPr>
          </w:p>
          <w:p w14:paraId="3A7BDA34" w14:textId="77777777" w:rsidR="00E85304" w:rsidRDefault="00E85304" w:rsidP="00080155">
            <w:pPr>
              <w:pStyle w:val="Footer"/>
              <w:tabs>
                <w:tab w:val="clear" w:pos="8640"/>
                <w:tab w:val="left" w:pos="4320"/>
                <w:tab w:val="right" w:pos="9360"/>
              </w:tabs>
              <w:ind w:firstLine="612"/>
              <w:rPr>
                <w:rFonts w:ascii="Times New Roman" w:hAnsi="Times New Roman" w:cs="Times New Roman"/>
              </w:rPr>
            </w:pPr>
          </w:p>
          <w:p w14:paraId="3C6EDC93" w14:textId="77777777" w:rsidR="00E85304" w:rsidRDefault="00E85304" w:rsidP="00080155">
            <w:pPr>
              <w:pStyle w:val="Footer"/>
              <w:tabs>
                <w:tab w:val="clear" w:pos="8640"/>
                <w:tab w:val="left" w:pos="4320"/>
                <w:tab w:val="right" w:pos="9360"/>
              </w:tabs>
              <w:ind w:firstLine="612"/>
              <w:rPr>
                <w:rFonts w:ascii="Times New Roman" w:hAnsi="Times New Roman" w:cs="Times New Roman"/>
              </w:rPr>
            </w:pPr>
          </w:p>
          <w:p w14:paraId="0410CB86" w14:textId="77777777" w:rsidR="00E85304" w:rsidRDefault="00E85304" w:rsidP="00080155">
            <w:pPr>
              <w:pStyle w:val="Footer"/>
              <w:tabs>
                <w:tab w:val="clear" w:pos="8640"/>
                <w:tab w:val="left" w:pos="4320"/>
                <w:tab w:val="right" w:pos="9360"/>
              </w:tabs>
              <w:ind w:firstLine="612"/>
              <w:rPr>
                <w:rFonts w:ascii="Times New Roman" w:hAnsi="Times New Roman" w:cs="Times New Roman"/>
              </w:rPr>
            </w:pPr>
          </w:p>
          <w:p w14:paraId="135C782C" w14:textId="4A612F1E" w:rsidR="00E85304" w:rsidRPr="003968CE" w:rsidRDefault="00E85304" w:rsidP="000E4758">
            <w:pPr>
              <w:pStyle w:val="Footer"/>
              <w:tabs>
                <w:tab w:val="clear" w:pos="8640"/>
                <w:tab w:val="left" w:pos="4320"/>
                <w:tab w:val="right" w:pos="9360"/>
              </w:tabs>
              <w:ind w:firstLine="612"/>
              <w:rPr>
                <w:rFonts w:ascii="Times New Roman" w:hAnsi="Times New Roman" w:cs="Times New Roman"/>
              </w:rPr>
            </w:pPr>
            <w:r>
              <w:rPr>
                <w:rFonts w:ascii="Times New Roman" w:hAnsi="Times New Roman" w:cs="Times New Roman"/>
              </w:rPr>
              <w:t>Case No. 15-39</w:t>
            </w:r>
            <w:r w:rsidR="000E4758">
              <w:rPr>
                <w:rFonts w:ascii="Times New Roman" w:hAnsi="Times New Roman" w:cs="Times New Roman"/>
              </w:rPr>
              <w:t>6</w:t>
            </w:r>
            <w:r>
              <w:rPr>
                <w:rFonts w:ascii="Times New Roman" w:hAnsi="Times New Roman" w:cs="Times New Roman"/>
              </w:rPr>
              <w:t>-</w:t>
            </w:r>
            <w:r w:rsidR="000E4758">
              <w:rPr>
                <w:rFonts w:ascii="Times New Roman" w:hAnsi="Times New Roman" w:cs="Times New Roman"/>
              </w:rPr>
              <w:t>GA</w:t>
            </w:r>
            <w:r>
              <w:rPr>
                <w:rFonts w:ascii="Times New Roman" w:hAnsi="Times New Roman" w:cs="Times New Roman"/>
              </w:rPr>
              <w:t>-CSS</w:t>
            </w:r>
          </w:p>
        </w:tc>
      </w:tr>
    </w:tbl>
    <w:p w14:paraId="2E23E252" w14:textId="77777777" w:rsidR="00E85304" w:rsidRDefault="00E85304" w:rsidP="001B6B6B">
      <w:pPr>
        <w:jc w:val="center"/>
        <w:rPr>
          <w:rFonts w:ascii="Times New Roman" w:hAnsi="Times New Roman" w:cs="Times New Roman"/>
          <w:b/>
        </w:rPr>
      </w:pPr>
    </w:p>
    <w:p w14:paraId="31AE37A3" w14:textId="77777777" w:rsidR="00E85304" w:rsidRDefault="00E85304" w:rsidP="001B6B6B">
      <w:pPr>
        <w:jc w:val="center"/>
        <w:rPr>
          <w:rFonts w:ascii="Times New Roman" w:hAnsi="Times New Roman" w:cs="Times New Roman"/>
          <w:b/>
        </w:rPr>
      </w:pPr>
    </w:p>
    <w:p w14:paraId="0FD8AA8B" w14:textId="77777777" w:rsidR="001406B9" w:rsidRDefault="001B6B6B" w:rsidP="001B6B6B">
      <w:pPr>
        <w:jc w:val="center"/>
        <w:rPr>
          <w:rFonts w:ascii="Times New Roman" w:hAnsi="Times New Roman" w:cs="Times New Roman"/>
          <w:b/>
        </w:rPr>
      </w:pPr>
      <w:r>
        <w:rPr>
          <w:rFonts w:ascii="Times New Roman" w:hAnsi="Times New Roman" w:cs="Times New Roman"/>
          <w:b/>
        </w:rPr>
        <w:t>THE CLEVELAND</w:t>
      </w:r>
      <w:r w:rsidR="001406B9">
        <w:rPr>
          <w:rFonts w:ascii="Times New Roman" w:hAnsi="Times New Roman" w:cs="Times New Roman"/>
          <w:b/>
        </w:rPr>
        <w:t xml:space="preserve"> ELECTRIC ILLUMINATING COMPANY AND</w:t>
      </w:r>
    </w:p>
    <w:p w14:paraId="1E806FBE" w14:textId="7DD898B2" w:rsidR="001B6B6B" w:rsidRDefault="001406B9" w:rsidP="001B6B6B">
      <w:pPr>
        <w:jc w:val="center"/>
        <w:rPr>
          <w:rFonts w:ascii="Times New Roman" w:hAnsi="Times New Roman" w:cs="Times New Roman"/>
          <w:b/>
        </w:rPr>
      </w:pPr>
      <w:r>
        <w:rPr>
          <w:rFonts w:ascii="Times New Roman" w:hAnsi="Times New Roman" w:cs="Times New Roman"/>
          <w:b/>
        </w:rPr>
        <w:t>THE EAST OHIO GAS COMPANY D/B/A DOMINION EAST OHIO’S</w:t>
      </w:r>
      <w:r w:rsidR="001B6B6B">
        <w:rPr>
          <w:rFonts w:ascii="Times New Roman" w:hAnsi="Times New Roman" w:cs="Times New Roman"/>
          <w:b/>
        </w:rPr>
        <w:t xml:space="preserve"> </w:t>
      </w:r>
    </w:p>
    <w:p w14:paraId="2D109008" w14:textId="2E7F2D48" w:rsidR="001B6B6B" w:rsidRDefault="001406B9" w:rsidP="001B6B6B">
      <w:pPr>
        <w:jc w:val="center"/>
        <w:rPr>
          <w:rFonts w:ascii="Times New Roman" w:hAnsi="Times New Roman" w:cs="Times New Roman"/>
          <w:b/>
        </w:rPr>
      </w:pPr>
      <w:r>
        <w:rPr>
          <w:rFonts w:ascii="Times New Roman" w:hAnsi="Times New Roman" w:cs="Times New Roman"/>
          <w:b/>
          <w:u w:val="single"/>
        </w:rPr>
        <w:t xml:space="preserve">JOINT </w:t>
      </w:r>
      <w:r w:rsidR="001B6B6B" w:rsidRPr="009542AC">
        <w:rPr>
          <w:rFonts w:ascii="Times New Roman" w:hAnsi="Times New Roman" w:cs="Times New Roman"/>
          <w:b/>
          <w:u w:val="single"/>
        </w:rPr>
        <w:t xml:space="preserve">MOTION </w:t>
      </w:r>
      <w:r w:rsidR="007715B6">
        <w:rPr>
          <w:rFonts w:ascii="Times New Roman" w:hAnsi="Times New Roman" w:cs="Times New Roman"/>
          <w:b/>
          <w:u w:val="single"/>
        </w:rPr>
        <w:t xml:space="preserve">FOR </w:t>
      </w:r>
      <w:r w:rsidR="007C0575">
        <w:rPr>
          <w:rFonts w:ascii="Times New Roman" w:hAnsi="Times New Roman" w:cs="Times New Roman"/>
          <w:b/>
          <w:u w:val="single"/>
        </w:rPr>
        <w:t>RELIEF FROM VEXATIOUS LITIGATION</w:t>
      </w:r>
      <w:r w:rsidR="007715B6">
        <w:rPr>
          <w:rFonts w:ascii="Times New Roman" w:hAnsi="Times New Roman" w:cs="Times New Roman"/>
          <w:b/>
          <w:u w:val="single"/>
        </w:rPr>
        <w:t xml:space="preserve"> </w:t>
      </w:r>
      <w:r>
        <w:rPr>
          <w:rFonts w:ascii="Times New Roman" w:hAnsi="Times New Roman" w:cs="Times New Roman"/>
          <w:b/>
          <w:u w:val="single"/>
        </w:rPr>
        <w:br/>
      </w:r>
    </w:p>
    <w:p w14:paraId="6F726030" w14:textId="5660AAE6" w:rsidR="001B6B6B" w:rsidRDefault="001B6B6B" w:rsidP="001B6B6B">
      <w:pPr>
        <w:pStyle w:val="MemoBodyText"/>
      </w:pPr>
      <w:r w:rsidRPr="009542AC">
        <w:t>In accordance with Ohio Adm. Code 4901-</w:t>
      </w:r>
      <w:r w:rsidR="00320396">
        <w:t>1-12</w:t>
      </w:r>
      <w:r w:rsidRPr="009542AC">
        <w:t xml:space="preserve">, The </w:t>
      </w:r>
      <w:r>
        <w:t>Cleveland Electric Illuminating Company</w:t>
      </w:r>
      <w:r w:rsidRPr="009542AC">
        <w:t xml:space="preserve"> (</w:t>
      </w:r>
      <w:r>
        <w:t>CEI</w:t>
      </w:r>
      <w:r w:rsidR="001406B9">
        <w:t>) and The East Ohio Gas Company d/b/a Dominion East Ohio (DEO) (collectively, the Companies) respectfully request</w:t>
      </w:r>
      <w:r w:rsidRPr="009542AC">
        <w:t xml:space="preserve"> that the Commission </w:t>
      </w:r>
      <w:r w:rsidR="007C0575">
        <w:t xml:space="preserve">grant their </w:t>
      </w:r>
      <w:r w:rsidR="006912AE">
        <w:t xml:space="preserve">Joint </w:t>
      </w:r>
      <w:r w:rsidR="007C0575">
        <w:t>Motion for Relief from Vexatious Litigation</w:t>
      </w:r>
      <w:r>
        <w:t xml:space="preserve">. </w:t>
      </w:r>
      <w:r w:rsidR="0097576E">
        <w:t xml:space="preserve">Good cause exists to grant this motion for the reasons set forth in the attached </w:t>
      </w:r>
      <w:r w:rsidRPr="009542AC">
        <w:t>Memorandum in Support.</w:t>
      </w:r>
    </w:p>
    <w:p w14:paraId="0D596021" w14:textId="77777777" w:rsidR="000E4758" w:rsidRDefault="000E4758" w:rsidP="001B6B6B">
      <w:pPr>
        <w:pStyle w:val="MemoBodyText"/>
      </w:pPr>
    </w:p>
    <w:p w14:paraId="4A561E36" w14:textId="77777777" w:rsidR="000E4758" w:rsidRDefault="000E4758" w:rsidP="001B6B6B">
      <w:pPr>
        <w:pStyle w:val="MemoBodyText"/>
      </w:pPr>
    </w:p>
    <w:p w14:paraId="64D1DD4C" w14:textId="77777777" w:rsidR="000E4758" w:rsidRPr="00AE4328" w:rsidRDefault="000E4758" w:rsidP="001B6B6B">
      <w:pPr>
        <w:pStyle w:val="MemoBodyText"/>
      </w:pPr>
    </w:p>
    <w:p w14:paraId="11E1171D" w14:textId="77777777" w:rsidR="001B6B6B" w:rsidRPr="0032154A" w:rsidRDefault="001B6B6B" w:rsidP="001B6B6B">
      <w:pPr>
        <w:tabs>
          <w:tab w:val="left" w:pos="5040"/>
        </w:tabs>
        <w:rPr>
          <w:rFonts w:ascii="Times New Roman" w:hAnsi="Times New Roman" w:cs="Times New Roman"/>
        </w:rPr>
      </w:pPr>
      <w:r>
        <w:rPr>
          <w:rFonts w:ascii="Times New Roman" w:hAnsi="Times New Roman" w:cs="Times New Roman"/>
        </w:rPr>
        <w:lastRenderedPageBreak/>
        <w:t>Dated: March 16, 2015</w:t>
      </w:r>
      <w:r>
        <w:rPr>
          <w:rFonts w:ascii="Times New Roman" w:hAnsi="Times New Roman" w:cs="Times New Roman"/>
        </w:rPr>
        <w:tab/>
      </w:r>
      <w:proofErr w:type="gramStart"/>
      <w:r>
        <w:rPr>
          <w:rFonts w:ascii="Times New Roman" w:hAnsi="Times New Roman" w:cs="Times New Roman"/>
        </w:rPr>
        <w:t>Respectfully</w:t>
      </w:r>
      <w:proofErr w:type="gramEnd"/>
      <w:r>
        <w:rPr>
          <w:rFonts w:ascii="Times New Roman" w:hAnsi="Times New Roman" w:cs="Times New Roman"/>
        </w:rPr>
        <w:t xml:space="preserve"> submitted,</w:t>
      </w:r>
    </w:p>
    <w:p w14:paraId="034068D0" w14:textId="77777777" w:rsidR="001B6B6B" w:rsidRPr="0032154A" w:rsidRDefault="001B6B6B" w:rsidP="001B6B6B">
      <w:pPr>
        <w:ind w:left="5040"/>
        <w:rPr>
          <w:rFonts w:ascii="Times New Roman" w:hAnsi="Times New Roman" w:cs="Times New Roman"/>
        </w:rPr>
      </w:pPr>
    </w:p>
    <w:p w14:paraId="5901ACA8" w14:textId="77777777" w:rsidR="001B6B6B" w:rsidRPr="0032154A" w:rsidRDefault="001B6B6B" w:rsidP="001B6B6B">
      <w:pPr>
        <w:ind w:left="5040"/>
        <w:rPr>
          <w:rFonts w:ascii="Times New Roman" w:hAnsi="Times New Roman" w:cs="Times New Roman"/>
        </w:rPr>
      </w:pPr>
      <w:r>
        <w:rPr>
          <w:rFonts w:ascii="Times New Roman" w:hAnsi="Times New Roman" w:cs="Times New Roman"/>
          <w:u w:val="single"/>
        </w:rPr>
        <w:t>/s/ Andrew J. Campbell</w:t>
      </w:r>
      <w:r>
        <w:rPr>
          <w:rFonts w:ascii="Times New Roman" w:hAnsi="Times New Roman" w:cs="Times New Roman"/>
          <w:u w:val="single"/>
        </w:rPr>
        <w:tab/>
      </w:r>
      <w:r>
        <w:rPr>
          <w:rFonts w:ascii="Times New Roman" w:hAnsi="Times New Roman" w:cs="Times New Roman"/>
          <w:u w:val="single"/>
        </w:rPr>
        <w:tab/>
      </w:r>
      <w:r w:rsidRPr="0032154A">
        <w:rPr>
          <w:rFonts w:ascii="Times New Roman" w:hAnsi="Times New Roman" w:cs="Times New Roman"/>
          <w:u w:val="single"/>
        </w:rPr>
        <w:tab/>
      </w:r>
    </w:p>
    <w:p w14:paraId="06C81C48" w14:textId="77777777" w:rsidR="00F81B71" w:rsidRPr="00F81B71" w:rsidRDefault="00F81B71" w:rsidP="00F81B71">
      <w:pPr>
        <w:keepLines/>
        <w:ind w:left="5040"/>
        <w:rPr>
          <w:rFonts w:ascii="Times New Roman" w:hAnsi="Times New Roman"/>
        </w:rPr>
      </w:pPr>
      <w:r w:rsidRPr="00F81B71">
        <w:rPr>
          <w:rFonts w:ascii="Times New Roman" w:hAnsi="Times New Roman"/>
        </w:rPr>
        <w:t>Mark A. Whitt (0067996)</w:t>
      </w:r>
    </w:p>
    <w:p w14:paraId="45F1BA6A" w14:textId="77777777" w:rsidR="00F81B71" w:rsidRDefault="00F81B71" w:rsidP="00F81B71">
      <w:pPr>
        <w:keepLines/>
        <w:ind w:left="5040"/>
        <w:rPr>
          <w:rFonts w:ascii="Times New Roman" w:hAnsi="Times New Roman"/>
        </w:rPr>
      </w:pPr>
      <w:r w:rsidRPr="00F81B71">
        <w:rPr>
          <w:rFonts w:ascii="Times New Roman" w:hAnsi="Times New Roman"/>
        </w:rPr>
        <w:t>Andrew J. Campbell (0081485)</w:t>
      </w:r>
    </w:p>
    <w:p w14:paraId="5FCDC212" w14:textId="447F4CC3" w:rsidR="00F81B71" w:rsidRPr="00F81B71" w:rsidRDefault="00F81B71" w:rsidP="00F81B71">
      <w:pPr>
        <w:keepLines/>
        <w:ind w:left="5040"/>
        <w:rPr>
          <w:rFonts w:ascii="Times New Roman" w:hAnsi="Times New Roman"/>
        </w:rPr>
      </w:pPr>
      <w:r>
        <w:rPr>
          <w:rFonts w:ascii="Times New Roman" w:hAnsi="Times New Roman"/>
        </w:rPr>
        <w:t>Rebekah J. Glover (</w:t>
      </w:r>
      <w:r w:rsidRPr="00F81B71">
        <w:rPr>
          <w:rFonts w:ascii="Times New Roman" w:hAnsi="Times New Roman"/>
        </w:rPr>
        <w:t>0088798</w:t>
      </w:r>
      <w:r>
        <w:rPr>
          <w:rFonts w:ascii="Times New Roman" w:hAnsi="Times New Roman"/>
        </w:rPr>
        <w:t>)</w:t>
      </w:r>
    </w:p>
    <w:p w14:paraId="6589608D" w14:textId="77777777" w:rsidR="00F81B71" w:rsidRPr="00F81B71" w:rsidRDefault="00F81B71" w:rsidP="00F81B71">
      <w:pPr>
        <w:keepLines/>
        <w:ind w:left="5040"/>
        <w:rPr>
          <w:rFonts w:ascii="Times New Roman" w:hAnsi="Times New Roman"/>
        </w:rPr>
      </w:pPr>
      <w:r w:rsidRPr="00F81B71">
        <w:rPr>
          <w:rFonts w:ascii="Times New Roman" w:hAnsi="Times New Roman"/>
        </w:rPr>
        <w:t>WHITT STURTEVANT LLP</w:t>
      </w:r>
    </w:p>
    <w:p w14:paraId="6249FE93" w14:textId="77777777" w:rsidR="00F81B71" w:rsidRPr="00F81B71" w:rsidRDefault="00F81B71" w:rsidP="00F81B71">
      <w:pPr>
        <w:keepLines/>
        <w:ind w:left="5040"/>
        <w:rPr>
          <w:rFonts w:ascii="Times New Roman" w:hAnsi="Times New Roman"/>
        </w:rPr>
      </w:pPr>
      <w:r w:rsidRPr="00F81B71">
        <w:rPr>
          <w:rFonts w:ascii="Times New Roman" w:hAnsi="Times New Roman"/>
        </w:rPr>
        <w:t>The KeyBank Building, Suite 1590</w:t>
      </w:r>
    </w:p>
    <w:p w14:paraId="4BB8492F" w14:textId="77777777" w:rsidR="00F81B71" w:rsidRPr="00F81B71" w:rsidRDefault="00F81B71" w:rsidP="00F81B71">
      <w:pPr>
        <w:keepLines/>
        <w:ind w:left="5040"/>
        <w:rPr>
          <w:rFonts w:ascii="Times New Roman" w:hAnsi="Times New Roman"/>
        </w:rPr>
      </w:pPr>
      <w:r w:rsidRPr="00F81B71">
        <w:rPr>
          <w:rFonts w:ascii="Times New Roman" w:hAnsi="Times New Roman"/>
        </w:rPr>
        <w:t>88 East Broad Street</w:t>
      </w:r>
    </w:p>
    <w:p w14:paraId="77DC6C9C" w14:textId="77777777" w:rsidR="00F81B71" w:rsidRPr="00F81B71" w:rsidRDefault="00F81B71" w:rsidP="00F81B71">
      <w:pPr>
        <w:keepLines/>
        <w:ind w:left="5040"/>
        <w:rPr>
          <w:rFonts w:ascii="Times New Roman" w:hAnsi="Times New Roman"/>
        </w:rPr>
      </w:pPr>
      <w:r w:rsidRPr="00F81B71">
        <w:rPr>
          <w:rFonts w:ascii="Times New Roman" w:hAnsi="Times New Roman"/>
        </w:rPr>
        <w:t>Columbus, Ohio 43215</w:t>
      </w:r>
    </w:p>
    <w:p w14:paraId="5E3F8306" w14:textId="77777777" w:rsidR="00F81B71" w:rsidRPr="00F81B71" w:rsidRDefault="00F81B71" w:rsidP="00F81B71">
      <w:pPr>
        <w:keepLines/>
        <w:ind w:left="5040"/>
        <w:rPr>
          <w:rFonts w:ascii="Times New Roman" w:hAnsi="Times New Roman"/>
        </w:rPr>
      </w:pPr>
      <w:r w:rsidRPr="00F81B71">
        <w:rPr>
          <w:rFonts w:ascii="Times New Roman" w:hAnsi="Times New Roman"/>
        </w:rPr>
        <w:t>Telephone: (614) 224-3911</w:t>
      </w:r>
    </w:p>
    <w:p w14:paraId="45925BD0" w14:textId="77777777" w:rsidR="00F81B71" w:rsidRPr="00F81B71" w:rsidRDefault="00F81B71" w:rsidP="00F81B71">
      <w:pPr>
        <w:keepLines/>
        <w:ind w:left="5040"/>
        <w:rPr>
          <w:rFonts w:ascii="Times New Roman" w:hAnsi="Times New Roman"/>
        </w:rPr>
      </w:pPr>
      <w:r w:rsidRPr="00F81B71">
        <w:rPr>
          <w:rFonts w:ascii="Times New Roman" w:hAnsi="Times New Roman"/>
        </w:rPr>
        <w:t>Facsimile:  (614) 224-3960</w:t>
      </w:r>
    </w:p>
    <w:p w14:paraId="1AD92437" w14:textId="77777777" w:rsidR="00F81B71" w:rsidRPr="00F81B71" w:rsidRDefault="00F81B71" w:rsidP="00F81B71">
      <w:pPr>
        <w:keepLines/>
        <w:ind w:left="5040"/>
        <w:rPr>
          <w:rFonts w:ascii="Times New Roman" w:hAnsi="Times New Roman"/>
        </w:rPr>
      </w:pPr>
      <w:r w:rsidRPr="00F81B71">
        <w:rPr>
          <w:rFonts w:ascii="Times New Roman" w:hAnsi="Times New Roman"/>
        </w:rPr>
        <w:t>whitt@whitt-sturtevant.com</w:t>
      </w:r>
    </w:p>
    <w:p w14:paraId="174F09CE" w14:textId="77777777" w:rsidR="00F81B71" w:rsidRPr="00F81B71" w:rsidRDefault="00F81B71" w:rsidP="00F81B71">
      <w:pPr>
        <w:keepLines/>
        <w:ind w:left="5040"/>
        <w:rPr>
          <w:rFonts w:ascii="Times New Roman" w:hAnsi="Times New Roman"/>
        </w:rPr>
      </w:pPr>
      <w:r w:rsidRPr="00F81B71">
        <w:rPr>
          <w:rFonts w:ascii="Times New Roman" w:hAnsi="Times New Roman"/>
        </w:rPr>
        <w:t>campbell@whitt-sturtevant.com</w:t>
      </w:r>
    </w:p>
    <w:p w14:paraId="3938D48D" w14:textId="77777777" w:rsidR="00F81B71" w:rsidRDefault="00F81B71" w:rsidP="00F81B71">
      <w:pPr>
        <w:keepLines/>
        <w:ind w:left="5040"/>
        <w:rPr>
          <w:rFonts w:ascii="Times New Roman" w:hAnsi="Times New Roman"/>
        </w:rPr>
      </w:pPr>
      <w:r>
        <w:rPr>
          <w:rFonts w:ascii="Times New Roman" w:hAnsi="Times New Roman"/>
        </w:rPr>
        <w:t>glover@whitt-sturtevant.com</w:t>
      </w:r>
      <w:r w:rsidRPr="00F81B71">
        <w:rPr>
          <w:rFonts w:ascii="Times New Roman" w:hAnsi="Times New Roman"/>
        </w:rPr>
        <w:t xml:space="preserve"> </w:t>
      </w:r>
    </w:p>
    <w:p w14:paraId="3CDACE42" w14:textId="77777777" w:rsidR="00E85304" w:rsidRDefault="00E85304" w:rsidP="00F81B71">
      <w:pPr>
        <w:keepLines/>
        <w:ind w:left="5040"/>
        <w:rPr>
          <w:rFonts w:ascii="Times New Roman" w:hAnsi="Times New Roman"/>
        </w:rPr>
      </w:pPr>
    </w:p>
    <w:p w14:paraId="75521DB7" w14:textId="77777777" w:rsidR="00E85304" w:rsidRPr="00F81B71" w:rsidRDefault="00E85304" w:rsidP="00E85304">
      <w:pPr>
        <w:keepLines/>
        <w:ind w:left="5040"/>
        <w:rPr>
          <w:rFonts w:ascii="Times New Roman" w:hAnsi="Times New Roman"/>
        </w:rPr>
      </w:pPr>
      <w:r w:rsidRPr="00F81B71">
        <w:rPr>
          <w:rFonts w:ascii="Times New Roman" w:hAnsi="Times New Roman"/>
        </w:rPr>
        <w:t>(</w:t>
      </w:r>
      <w:r>
        <w:rPr>
          <w:rFonts w:ascii="Times New Roman" w:hAnsi="Times New Roman"/>
        </w:rPr>
        <w:t>C</w:t>
      </w:r>
      <w:r w:rsidRPr="00F81B71">
        <w:rPr>
          <w:rFonts w:ascii="Times New Roman" w:hAnsi="Times New Roman"/>
        </w:rPr>
        <w:t>ounsel willing to accept service by email)</w:t>
      </w:r>
    </w:p>
    <w:p w14:paraId="0DFE716D" w14:textId="77777777" w:rsidR="00E85304" w:rsidRDefault="00E85304" w:rsidP="00F81B71">
      <w:pPr>
        <w:keepLines/>
        <w:ind w:left="5040"/>
        <w:rPr>
          <w:rFonts w:ascii="Times New Roman" w:hAnsi="Times New Roman"/>
        </w:rPr>
      </w:pPr>
    </w:p>
    <w:p w14:paraId="573900C5" w14:textId="77777777" w:rsidR="00E85304" w:rsidRDefault="00E85304" w:rsidP="00E85304">
      <w:pPr>
        <w:ind w:left="5040"/>
        <w:rPr>
          <w:rFonts w:ascii="Times New Roman" w:hAnsi="Times New Roman" w:cs="Times New Roman"/>
        </w:rPr>
      </w:pPr>
      <w:r>
        <w:rPr>
          <w:rFonts w:ascii="Times New Roman" w:hAnsi="Times New Roman" w:cs="Times New Roman"/>
        </w:rPr>
        <w:t>ATTORNEYS FOR THE CLEVELAND ELECTRIC ILLUMINATING COMPANY AND THE EAST OHIO GAS COMPANY D/B/A DOMINION EAST OHIO</w:t>
      </w:r>
    </w:p>
    <w:p w14:paraId="31279983" w14:textId="77777777" w:rsidR="00E85304" w:rsidRDefault="00E85304" w:rsidP="00F81B71">
      <w:pPr>
        <w:keepLines/>
        <w:ind w:left="5040"/>
        <w:rPr>
          <w:rFonts w:ascii="Times New Roman" w:hAnsi="Times New Roman"/>
        </w:rPr>
      </w:pPr>
    </w:p>
    <w:p w14:paraId="7938B27E" w14:textId="77777777" w:rsidR="001B6B6B" w:rsidRDefault="001B6B6B" w:rsidP="001B6B6B">
      <w:pPr>
        <w:ind w:left="5040"/>
        <w:rPr>
          <w:rFonts w:ascii="Times New Roman" w:hAnsi="Times New Roman" w:cs="Times New Roman"/>
        </w:rPr>
      </w:pPr>
    </w:p>
    <w:p w14:paraId="0F2471F0" w14:textId="6ED35BE3" w:rsidR="001B6B6B" w:rsidRDefault="001B6B6B" w:rsidP="001B6B6B">
      <w:pPr>
        <w:ind w:left="5040"/>
        <w:rPr>
          <w:rFonts w:ascii="Times New Roman" w:hAnsi="Times New Roman" w:cs="Times New Roman"/>
        </w:rPr>
      </w:pPr>
      <w:r w:rsidRPr="00473D17">
        <w:rPr>
          <w:rFonts w:ascii="Times New Roman" w:hAnsi="Times New Roman" w:cs="Times New Roman"/>
        </w:rPr>
        <w:t>Carrie M. Dunn</w:t>
      </w:r>
      <w:r w:rsidR="00F81B71">
        <w:rPr>
          <w:rFonts w:ascii="Times New Roman" w:hAnsi="Times New Roman" w:cs="Times New Roman"/>
        </w:rPr>
        <w:t xml:space="preserve"> (</w:t>
      </w:r>
      <w:r w:rsidR="00F81B71" w:rsidRPr="00F81B71">
        <w:rPr>
          <w:rFonts w:ascii="Times New Roman" w:hAnsi="Times New Roman" w:cs="Times New Roman"/>
        </w:rPr>
        <w:t>0076952</w:t>
      </w:r>
      <w:r w:rsidR="00F81B71">
        <w:rPr>
          <w:rFonts w:ascii="Times New Roman" w:hAnsi="Times New Roman" w:cs="Times New Roman"/>
        </w:rPr>
        <w:t>)</w:t>
      </w:r>
      <w:r w:rsidRPr="00473D17">
        <w:rPr>
          <w:rFonts w:ascii="Times New Roman" w:hAnsi="Times New Roman" w:cs="Times New Roman"/>
        </w:rPr>
        <w:br/>
        <w:t xml:space="preserve">FirstEnergy Service Company </w:t>
      </w:r>
      <w:r w:rsidRPr="00473D17">
        <w:rPr>
          <w:rFonts w:ascii="Times New Roman" w:hAnsi="Times New Roman" w:cs="Times New Roman"/>
        </w:rPr>
        <w:br/>
        <w:t>76 South Main Street</w:t>
      </w:r>
      <w:r w:rsidRPr="00473D17">
        <w:rPr>
          <w:rFonts w:ascii="Times New Roman" w:hAnsi="Times New Roman" w:cs="Times New Roman"/>
        </w:rPr>
        <w:br/>
        <w:t>Akron, Ohio 44308</w:t>
      </w:r>
      <w:r w:rsidRPr="00473D17">
        <w:rPr>
          <w:rFonts w:ascii="Times New Roman" w:hAnsi="Times New Roman" w:cs="Times New Roman"/>
        </w:rPr>
        <w:br/>
        <w:t>Telephone: (330) 761-2352</w:t>
      </w:r>
      <w:r w:rsidRPr="00473D17">
        <w:rPr>
          <w:rFonts w:ascii="Times New Roman" w:hAnsi="Times New Roman" w:cs="Times New Roman"/>
        </w:rPr>
        <w:br/>
        <w:t xml:space="preserve">Facsimile: (330) 384-3875 cdunn@firstenergycorp.com </w:t>
      </w:r>
    </w:p>
    <w:p w14:paraId="6BA40BD9" w14:textId="77777777" w:rsidR="00F81B71" w:rsidRDefault="00F81B71" w:rsidP="001B6B6B">
      <w:pPr>
        <w:ind w:left="5040"/>
        <w:rPr>
          <w:rFonts w:ascii="Times New Roman" w:hAnsi="Times New Roman" w:cs="Times New Roman"/>
        </w:rPr>
      </w:pPr>
    </w:p>
    <w:p w14:paraId="0DAF0825" w14:textId="75199B79" w:rsidR="00F81B71" w:rsidRPr="00F81B71" w:rsidRDefault="00F81B71" w:rsidP="00F81B71">
      <w:pPr>
        <w:keepLines/>
        <w:ind w:left="5040"/>
        <w:rPr>
          <w:rFonts w:ascii="Times New Roman" w:hAnsi="Times New Roman"/>
        </w:rPr>
      </w:pPr>
      <w:r w:rsidRPr="00F81B71">
        <w:rPr>
          <w:rFonts w:ascii="Times New Roman" w:hAnsi="Times New Roman"/>
        </w:rPr>
        <w:t>(</w:t>
      </w:r>
      <w:r w:rsidR="00E85304">
        <w:rPr>
          <w:rFonts w:ascii="Times New Roman" w:hAnsi="Times New Roman"/>
        </w:rPr>
        <w:t>C</w:t>
      </w:r>
      <w:r w:rsidRPr="00F81B71">
        <w:rPr>
          <w:rFonts w:ascii="Times New Roman" w:hAnsi="Times New Roman"/>
        </w:rPr>
        <w:t>ounsel willing to accept service by email)</w:t>
      </w:r>
    </w:p>
    <w:p w14:paraId="0433B678" w14:textId="77777777" w:rsidR="001B6B6B" w:rsidRDefault="001B6B6B" w:rsidP="001B6B6B">
      <w:pPr>
        <w:ind w:left="5040"/>
        <w:rPr>
          <w:rFonts w:ascii="Times New Roman" w:hAnsi="Times New Roman" w:cs="Times New Roman"/>
        </w:rPr>
      </w:pPr>
    </w:p>
    <w:p w14:paraId="4677A51A" w14:textId="207D035F" w:rsidR="001B6B6B" w:rsidRDefault="00E85304" w:rsidP="001B6B6B">
      <w:pPr>
        <w:ind w:left="5040"/>
        <w:rPr>
          <w:rFonts w:ascii="Times New Roman" w:hAnsi="Times New Roman" w:cs="Times New Roman"/>
        </w:rPr>
      </w:pPr>
      <w:r>
        <w:rPr>
          <w:rFonts w:ascii="Times New Roman" w:hAnsi="Times New Roman" w:cs="Times New Roman"/>
        </w:rPr>
        <w:t xml:space="preserve">ATTORNEY </w:t>
      </w:r>
      <w:r w:rsidR="001B6B6B">
        <w:rPr>
          <w:rFonts w:ascii="Times New Roman" w:hAnsi="Times New Roman" w:cs="Times New Roman"/>
        </w:rPr>
        <w:t>FOR</w:t>
      </w:r>
      <w:r w:rsidR="00F81B71">
        <w:rPr>
          <w:rFonts w:ascii="Times New Roman" w:hAnsi="Times New Roman" w:cs="Times New Roman"/>
        </w:rPr>
        <w:t xml:space="preserve"> </w:t>
      </w:r>
      <w:r w:rsidR="001B6B6B">
        <w:rPr>
          <w:rFonts w:ascii="Times New Roman" w:hAnsi="Times New Roman" w:cs="Times New Roman"/>
        </w:rPr>
        <w:t>THE CLEVELAND ELECTRIC ILLUMINATING COMPANY</w:t>
      </w:r>
      <w:r w:rsidR="001406B9">
        <w:rPr>
          <w:rFonts w:ascii="Times New Roman" w:hAnsi="Times New Roman" w:cs="Times New Roman"/>
        </w:rPr>
        <w:t xml:space="preserve"> </w:t>
      </w:r>
    </w:p>
    <w:p w14:paraId="77059EAC" w14:textId="77777777" w:rsidR="001B6B6B" w:rsidRDefault="001B6B6B" w:rsidP="001B6B6B">
      <w:pPr>
        <w:ind w:left="5040"/>
        <w:rPr>
          <w:rFonts w:ascii="Times New Roman" w:hAnsi="Times New Roman" w:cs="Times New Roman"/>
        </w:rPr>
      </w:pPr>
    </w:p>
    <w:p w14:paraId="2DA53096" w14:textId="77777777" w:rsidR="001B6B6B" w:rsidRDefault="001B6B6B" w:rsidP="001B6B6B">
      <w:pPr>
        <w:ind w:left="5040"/>
        <w:rPr>
          <w:rFonts w:ascii="Times New Roman" w:hAnsi="Times New Roman" w:cs="Times New Roman"/>
        </w:rPr>
        <w:sectPr w:rsidR="001B6B6B" w:rsidSect="001B6B6B">
          <w:footerReference w:type="even" r:id="rId11"/>
          <w:pgSz w:w="12240" w:h="15840"/>
          <w:pgMar w:top="1440" w:right="1440" w:bottom="1440" w:left="1440" w:header="720" w:footer="720" w:gutter="0"/>
          <w:cols w:space="720"/>
          <w:titlePg/>
          <w:docGrid w:linePitch="360"/>
        </w:sectPr>
      </w:pPr>
    </w:p>
    <w:p w14:paraId="3545A6F6" w14:textId="77777777" w:rsidR="00D80854" w:rsidRPr="00D80854" w:rsidRDefault="00D80854" w:rsidP="00D31959">
      <w:pPr>
        <w:spacing w:line="480" w:lineRule="auto"/>
        <w:jc w:val="center"/>
        <w:rPr>
          <w:rFonts w:ascii="Times New Roman" w:hAnsi="Times New Roman" w:cs="Times New Roman"/>
          <w:b/>
          <w:u w:val="single"/>
        </w:rPr>
      </w:pPr>
      <w:r w:rsidRPr="00D80854">
        <w:rPr>
          <w:rFonts w:ascii="Times New Roman" w:hAnsi="Times New Roman" w:cs="Times New Roman"/>
          <w:b/>
          <w:u w:val="single"/>
        </w:rPr>
        <w:lastRenderedPageBreak/>
        <w:t>MEMORANDUM IN SUPPORT</w:t>
      </w:r>
    </w:p>
    <w:p w14:paraId="2A39FED9" w14:textId="0DF2946A" w:rsidR="001406B9" w:rsidRDefault="001406B9" w:rsidP="001406B9">
      <w:pPr>
        <w:pStyle w:val="MemoHeading1"/>
      </w:pPr>
      <w:r>
        <w:t>Introduction</w:t>
      </w:r>
    </w:p>
    <w:p w14:paraId="631812C4" w14:textId="22C504AA" w:rsidR="0097576E" w:rsidRDefault="0097576E" w:rsidP="00D31959">
      <w:pPr>
        <w:pStyle w:val="MemoBodyText"/>
      </w:pPr>
      <w:r>
        <w:t xml:space="preserve">Over the past three years, Gwendolyn Tandy has repeatedly burdened </w:t>
      </w:r>
      <w:r w:rsidR="006912AE">
        <w:t>the Commission and her utility providers</w:t>
      </w:r>
      <w:r>
        <w:t xml:space="preserve"> with repetitive, lengthy, ill-developed, and meritless complaints. </w:t>
      </w:r>
      <w:r w:rsidR="006912AE">
        <w:t xml:space="preserve">The past month </w:t>
      </w:r>
      <w:r w:rsidR="001406B9">
        <w:t xml:space="preserve">marked the filing of her sixth and seventh complaints against </w:t>
      </w:r>
      <w:r w:rsidR="000E4758" w:rsidRPr="009542AC">
        <w:t xml:space="preserve">The </w:t>
      </w:r>
      <w:r w:rsidR="000E4758">
        <w:t>Cleveland Electric Illuminating Company</w:t>
      </w:r>
      <w:r w:rsidR="000E4758" w:rsidRPr="009542AC">
        <w:t xml:space="preserve"> (</w:t>
      </w:r>
      <w:r w:rsidR="000E4758">
        <w:t>CEI) and The East Ohio Gas Company d/b/a Dominion East Ohio (DEO) (collectively, the Companies). This present round comprises</w:t>
      </w:r>
      <w:r w:rsidR="006912AE">
        <w:t xml:space="preserve"> </w:t>
      </w:r>
      <w:r w:rsidR="001406B9">
        <w:t xml:space="preserve">204 total pages of fragmentary </w:t>
      </w:r>
      <w:r w:rsidR="00207D1B">
        <w:t>notations</w:t>
      </w:r>
      <w:r w:rsidR="001406B9">
        <w:t xml:space="preserve"> and barely developed grievances. Upon closer inspection (to the extent the complaints are susceptible of being understood), it is clear that the complaints do not raise a single allegation that has not already been directly or indirectly resolved by the Commission’s prior orders. </w:t>
      </w:r>
    </w:p>
    <w:p w14:paraId="44A90038" w14:textId="64C4A7CD" w:rsidR="00F56E5C" w:rsidRDefault="00F56E5C" w:rsidP="00D31959">
      <w:pPr>
        <w:pStyle w:val="MemoBodyText"/>
      </w:pPr>
      <w:r>
        <w:t xml:space="preserve">Ms. Tandy’s complaints may not have gained any traction with the Commission, but they have succeeded in one regard: repeatedly inflicting direct losses upon the Companies in the form of attorneys’ fees and lost time by company employees. </w:t>
      </w:r>
      <w:r w:rsidR="001406B9">
        <w:t xml:space="preserve">Ohio law makes clear that the repetitive, habitual submission of the same meritless arguments constitutes abuse of the judicial process and </w:t>
      </w:r>
      <w:r w:rsidR="006912AE">
        <w:t xml:space="preserve">is </w:t>
      </w:r>
      <w:r w:rsidR="001406B9">
        <w:t xml:space="preserve">patently unfair to the defending parties. </w:t>
      </w:r>
      <w:r>
        <w:t>And t</w:t>
      </w:r>
      <w:r w:rsidR="001406B9">
        <w:t xml:space="preserve">he Commission undoubtedly has power to govern and protect the integrity of its own proceedings. The Companies plead with the Commission </w:t>
      </w:r>
      <w:r w:rsidR="00207D1B">
        <w:t xml:space="preserve">to </w:t>
      </w:r>
      <w:r>
        <w:t xml:space="preserve">exercise this power and </w:t>
      </w:r>
      <w:r w:rsidR="001406B9">
        <w:t xml:space="preserve">rein in </w:t>
      </w:r>
      <w:r>
        <w:t xml:space="preserve">Ms. Tandy’s </w:t>
      </w:r>
      <w:r w:rsidR="001406B9">
        <w:t xml:space="preserve">unjustified filings. </w:t>
      </w:r>
    </w:p>
    <w:p w14:paraId="621FEE8F" w14:textId="5F650A9B" w:rsidR="001406B9" w:rsidRDefault="001406B9" w:rsidP="00D31959">
      <w:pPr>
        <w:pStyle w:val="MemoBodyText"/>
      </w:pPr>
      <w:r>
        <w:t xml:space="preserve">For </w:t>
      </w:r>
      <w:r w:rsidR="00F56E5C">
        <w:t xml:space="preserve">these </w:t>
      </w:r>
      <w:r>
        <w:t>reasons</w:t>
      </w:r>
      <w:r w:rsidR="00F56E5C">
        <w:t xml:space="preserve">, as explained more fully </w:t>
      </w:r>
      <w:r>
        <w:t xml:space="preserve">below, the Companies respectfully request that the Commission act either to restrict Ms. Tandy’s ability to </w:t>
      </w:r>
      <w:r w:rsidR="00207D1B">
        <w:t>initiate complaint proceedings</w:t>
      </w:r>
      <w:r>
        <w:t xml:space="preserve">, or </w:t>
      </w:r>
      <w:r w:rsidR="00F56E5C">
        <w:t xml:space="preserve">relieve </w:t>
      </w:r>
      <w:r>
        <w:t xml:space="preserve">the Companies’ duty to respond, unless </w:t>
      </w:r>
      <w:r w:rsidR="00F56E5C">
        <w:t xml:space="preserve">it is first determined that </w:t>
      </w:r>
      <w:r w:rsidR="007C0575">
        <w:t xml:space="preserve">the </w:t>
      </w:r>
      <w:r w:rsidR="00F56E5C">
        <w:t xml:space="preserve">complaint has some shred of possible merit. </w:t>
      </w:r>
    </w:p>
    <w:p w14:paraId="7AE626A4" w14:textId="4D6532FD" w:rsidR="00800312" w:rsidRDefault="00800312" w:rsidP="001406B9">
      <w:pPr>
        <w:pStyle w:val="MemoHeading1"/>
      </w:pPr>
      <w:r>
        <w:lastRenderedPageBreak/>
        <w:t>Background</w:t>
      </w:r>
    </w:p>
    <w:p w14:paraId="3E61EA61" w14:textId="4D69563E" w:rsidR="00800312" w:rsidRPr="00F56E5C" w:rsidRDefault="00800312" w:rsidP="00E85304">
      <w:pPr>
        <w:pStyle w:val="MemoHeading2"/>
        <w:ind w:left="720"/>
        <w:rPr>
          <w:i/>
        </w:rPr>
      </w:pPr>
      <w:r w:rsidRPr="00F56E5C">
        <w:rPr>
          <w:i/>
        </w:rPr>
        <w:t>Tandy I</w:t>
      </w:r>
    </w:p>
    <w:p w14:paraId="5FDB2795" w14:textId="02885366" w:rsidR="004E0B95" w:rsidRDefault="00F56E5C" w:rsidP="00D31959">
      <w:pPr>
        <w:pStyle w:val="MemoBodyText"/>
      </w:pPr>
      <w:r>
        <w:t xml:space="preserve">This </w:t>
      </w:r>
      <w:r w:rsidR="0097576E">
        <w:t xml:space="preserve">marathon began on July 17, 2012. That day, </w:t>
      </w:r>
      <w:r w:rsidR="00E85304">
        <w:t>Ms. Tandy</w:t>
      </w:r>
      <w:r w:rsidR="0097576E">
        <w:t xml:space="preserve"> separately filed </w:t>
      </w:r>
      <w:r w:rsidR="00D31959">
        <w:t xml:space="preserve">a pair of </w:t>
      </w:r>
      <w:r w:rsidR="0097576E">
        <w:t xml:space="preserve">complaints </w:t>
      </w:r>
      <w:proofErr w:type="gramStart"/>
      <w:r w:rsidR="0097576E">
        <w:t>against both</w:t>
      </w:r>
      <w:proofErr w:type="gramEnd"/>
      <w:r w:rsidR="0097576E">
        <w:t xml:space="preserve"> CEI and DEO, totaling </w:t>
      </w:r>
      <w:r w:rsidR="004E0B95">
        <w:t xml:space="preserve">49 and 21 </w:t>
      </w:r>
      <w:r w:rsidR="0097576E">
        <w:t>pages</w:t>
      </w:r>
      <w:r w:rsidR="004E0B95">
        <w:t xml:space="preserve"> respectively</w:t>
      </w:r>
      <w:r w:rsidR="0097576E">
        <w:t xml:space="preserve">. </w:t>
      </w:r>
      <w:r w:rsidR="0097576E">
        <w:rPr>
          <w:i/>
        </w:rPr>
        <w:t xml:space="preserve">See </w:t>
      </w:r>
      <w:r w:rsidR="0097576E">
        <w:t xml:space="preserve">Case Nos. 12-2102-EL-CSS &amp; 12-2103-GA-CSS. </w:t>
      </w:r>
      <w:r w:rsidR="004E0B95">
        <w:t>Additional packets of information—all covered with handwritten notes, exclamations, and other commentary—followed in both cases. For CEI, Ms. Tandy submitted 6 pages on October 29, 2012; another 6 pages on November 8; and then 50 more pages, again on November 8. For DEO, she followed up her original complaint with 4 more pages on August 22; another 4 pages on August 24; 47 pages on August 27; and 3 pages on October 29.</w:t>
      </w:r>
    </w:p>
    <w:p w14:paraId="1CCE3D1D" w14:textId="0307AC8D" w:rsidR="00D31959" w:rsidRDefault="0097576E" w:rsidP="00D31959">
      <w:pPr>
        <w:pStyle w:val="MemoBodyText"/>
      </w:pPr>
      <w:r>
        <w:t xml:space="preserve">The complaints were both set for hearing on January 15, 2013, but due to Ms. Tandy’s tardiness and lack of preparation, only the hearing against CEI went forward. </w:t>
      </w:r>
      <w:r w:rsidR="00080155">
        <w:t xml:space="preserve">12-2103 </w:t>
      </w:r>
      <w:proofErr w:type="gramStart"/>
      <w:r w:rsidR="00080155">
        <w:t>Order</w:t>
      </w:r>
      <w:proofErr w:type="gramEnd"/>
      <w:r w:rsidR="00080155">
        <w:t xml:space="preserve"> at 6. </w:t>
      </w:r>
      <w:r w:rsidR="004E0B95">
        <w:t xml:space="preserve"> </w:t>
      </w:r>
      <w:r>
        <w:t xml:space="preserve">The DEO complaint was </w:t>
      </w:r>
      <w:r w:rsidR="004E0B95">
        <w:t xml:space="preserve">then </w:t>
      </w:r>
      <w:r>
        <w:t xml:space="preserve">rescheduled two more times, for February 6 and 28. </w:t>
      </w:r>
      <w:r w:rsidR="00FA7849">
        <w:rPr>
          <w:i/>
        </w:rPr>
        <w:t>Id</w:t>
      </w:r>
      <w:r w:rsidR="00FA7849">
        <w:t xml:space="preserve">. at 6–7. </w:t>
      </w:r>
      <w:r>
        <w:t xml:space="preserve">Counsel for DEO attended both; Ms. Tandy attended neither. </w:t>
      </w:r>
      <w:r w:rsidR="00FA7849">
        <w:rPr>
          <w:i/>
        </w:rPr>
        <w:t>Id</w:t>
      </w:r>
      <w:r w:rsidR="00FA7849">
        <w:t>.</w:t>
      </w:r>
      <w:r w:rsidR="00F56E5C">
        <w:t xml:space="preserve"> </w:t>
      </w:r>
      <w:r>
        <w:t xml:space="preserve">The Commission ultimately dismissed both complaints </w:t>
      </w:r>
      <w:r w:rsidR="00207D1B">
        <w:t>with prejudice</w:t>
      </w:r>
      <w:r>
        <w:t>—in CEI’s case, for “fail[ing]</w:t>
      </w:r>
      <w:r w:rsidRPr="0097576E">
        <w:t xml:space="preserve"> to sustain her burden of proof to establish that CEI violated its tariff, any Commission rule, or any provision of Title 49</w:t>
      </w:r>
      <w:r>
        <w:t xml:space="preserve">,” 12-2103 Opin. </w:t>
      </w:r>
      <w:proofErr w:type="gramStart"/>
      <w:r>
        <w:t>at</w:t>
      </w:r>
      <w:proofErr w:type="gramEnd"/>
      <w:r>
        <w:t xml:space="preserve"> 9 (</w:t>
      </w:r>
      <w:r w:rsidR="00D31959">
        <w:t>Mar. 6, 2013</w:t>
      </w:r>
      <w:r>
        <w:t>)</w:t>
      </w:r>
      <w:r w:rsidR="00D31959">
        <w:t>,</w:t>
      </w:r>
      <w:r>
        <w:t xml:space="preserve"> and in DEO</w:t>
      </w:r>
      <w:r w:rsidR="00D31959">
        <w:t xml:space="preserve">’s case, for failure to prosecute, 12-2102 Opin. </w:t>
      </w:r>
      <w:proofErr w:type="gramStart"/>
      <w:r w:rsidR="00D31959">
        <w:t>at</w:t>
      </w:r>
      <w:proofErr w:type="gramEnd"/>
      <w:r w:rsidR="00D31959">
        <w:t xml:space="preserve"> 9 (Mar. 27, 2013). </w:t>
      </w:r>
    </w:p>
    <w:p w14:paraId="0454E88F" w14:textId="29E35C25" w:rsidR="00D31959" w:rsidRDefault="00D31959" w:rsidP="00D31959">
      <w:pPr>
        <w:pStyle w:val="MemoBodyText"/>
      </w:pPr>
      <w:r>
        <w:t xml:space="preserve">The Commission upheld these orders despite Ms. Tandy’s repeated and indiscriminate filing of challenges, “evidence,” and other “information” after the close of the hearing, after issuance of the order, and even after the closing of the case. In DEO’s case, Ms. Tandy submitted a </w:t>
      </w:r>
      <w:r w:rsidR="004E0B95">
        <w:t xml:space="preserve">39-page </w:t>
      </w:r>
      <w:r>
        <w:t xml:space="preserve">post-hearing filing on March 11, 2013, a </w:t>
      </w:r>
      <w:r w:rsidR="004E0B95">
        <w:t xml:space="preserve">3-page </w:t>
      </w:r>
      <w:r>
        <w:t xml:space="preserve">filing on April 5, and two post-order filings </w:t>
      </w:r>
      <w:r w:rsidR="004E0B95">
        <w:t xml:space="preserve">totaling 40 pages </w:t>
      </w:r>
      <w:r>
        <w:t xml:space="preserve">on April 9. In CEI’s case, Ms. Tandy submitted </w:t>
      </w:r>
      <w:r w:rsidR="00F56E5C">
        <w:t xml:space="preserve">four </w:t>
      </w:r>
      <w:r>
        <w:t>post-order filings</w:t>
      </w:r>
      <w:r w:rsidR="00F56E5C">
        <w:t>,</w:t>
      </w:r>
      <w:r>
        <w:t xml:space="preserve"> </w:t>
      </w:r>
      <w:r w:rsidR="00F56E5C">
        <w:lastRenderedPageBreak/>
        <w:t xml:space="preserve">totaling </w:t>
      </w:r>
      <w:r w:rsidR="00FA7849">
        <w:t xml:space="preserve">41 </w:t>
      </w:r>
      <w:r w:rsidR="00F56E5C">
        <w:t xml:space="preserve">pages, </w:t>
      </w:r>
      <w:r>
        <w:t xml:space="preserve">on April 5, 2013, April 9, 2013, January </w:t>
      </w:r>
      <w:r w:rsidR="00F56E5C">
        <w:t>13, 2014, and February 11, 2014 (</w:t>
      </w:r>
      <w:r>
        <w:t>the latter two after the docket was officially closed)</w:t>
      </w:r>
      <w:r w:rsidR="00F56E5C">
        <w:t>.</w:t>
      </w:r>
    </w:p>
    <w:p w14:paraId="37E6DD28" w14:textId="2EBF0858" w:rsidR="00800312" w:rsidRPr="00F56E5C" w:rsidRDefault="00800312" w:rsidP="00F56E5C">
      <w:pPr>
        <w:pStyle w:val="MemoHeading2"/>
        <w:rPr>
          <w:i/>
        </w:rPr>
      </w:pPr>
      <w:r w:rsidRPr="00F56E5C">
        <w:rPr>
          <w:i/>
        </w:rPr>
        <w:t>Tandy II</w:t>
      </w:r>
    </w:p>
    <w:p w14:paraId="7D1B06B3" w14:textId="19711463" w:rsidR="00320396" w:rsidRDefault="00CD547F" w:rsidP="00D31959">
      <w:pPr>
        <w:pStyle w:val="MemoBodyText"/>
      </w:pPr>
      <w:r>
        <w:t xml:space="preserve">Unfortunately, the effort and cost </w:t>
      </w:r>
      <w:r w:rsidR="00F56E5C">
        <w:t xml:space="preserve">required </w:t>
      </w:r>
      <w:r>
        <w:t xml:space="preserve">to endure and resolve </w:t>
      </w:r>
      <w:r>
        <w:rPr>
          <w:i/>
        </w:rPr>
        <w:t>Tandy I</w:t>
      </w:r>
      <w:r>
        <w:t xml:space="preserve"> did not </w:t>
      </w:r>
      <w:r w:rsidR="00F56E5C">
        <w:t xml:space="preserve">achieve </w:t>
      </w:r>
      <w:r>
        <w:t xml:space="preserve">a lasting solution. About one year later, in April 2014, Ms. Tandy filed “new” complaints against DEO and CEI. </w:t>
      </w:r>
      <w:r w:rsidR="00E33E44">
        <w:rPr>
          <w:i/>
        </w:rPr>
        <w:t xml:space="preserve">See </w:t>
      </w:r>
      <w:r w:rsidR="00E33E44">
        <w:t xml:space="preserve">Case Nos. 14-0686-EL-CSS &amp; 14-0795-GA-CSS. </w:t>
      </w:r>
      <w:r>
        <w:rPr>
          <w:i/>
        </w:rPr>
        <w:t>Tandy II</w:t>
      </w:r>
      <w:r>
        <w:t xml:space="preserve"> measured 43 pages for DEO and 132 pages for CEI—comprising, once again, reams of disorganized exclamations and uncorroborated accusations. </w:t>
      </w:r>
      <w:r w:rsidR="00F56E5C">
        <w:t>But again, a</w:t>
      </w:r>
      <w:r>
        <w:t xml:space="preserve">s required by Commission rule, CEI and DEO responded by reviewing the filings, submitting answers to the extent possible, and preparing and filing motions to dismiss. </w:t>
      </w:r>
    </w:p>
    <w:p w14:paraId="5FD71545" w14:textId="65DAF4DD" w:rsidR="00CD547F" w:rsidRDefault="00CD547F" w:rsidP="00D31959">
      <w:pPr>
        <w:pStyle w:val="MemoBodyText"/>
      </w:pPr>
      <w:r>
        <w:t xml:space="preserve">As it turned out, both complaints, despite their prodigious length, did nothing more than reiterate the same issues that had been litigated </w:t>
      </w:r>
      <w:r>
        <w:rPr>
          <w:i/>
        </w:rPr>
        <w:t xml:space="preserve">ad </w:t>
      </w:r>
      <w:proofErr w:type="spellStart"/>
      <w:r>
        <w:rPr>
          <w:i/>
        </w:rPr>
        <w:t>nauseum</w:t>
      </w:r>
      <w:proofErr w:type="spellEnd"/>
      <w:r>
        <w:rPr>
          <w:i/>
        </w:rPr>
        <w:t xml:space="preserve"> </w:t>
      </w:r>
      <w:r>
        <w:t xml:space="preserve">in </w:t>
      </w:r>
      <w:r>
        <w:rPr>
          <w:i/>
        </w:rPr>
        <w:t xml:space="preserve">Tandy </w:t>
      </w:r>
      <w:proofErr w:type="gramStart"/>
      <w:r>
        <w:rPr>
          <w:i/>
        </w:rPr>
        <w:t>I</w:t>
      </w:r>
      <w:r w:rsidRPr="00CD547F">
        <w:t>.</w:t>
      </w:r>
      <w:proofErr w:type="gramEnd"/>
      <w:r>
        <w:t xml:space="preserve"> </w:t>
      </w:r>
      <w:r w:rsidR="00FA7849">
        <w:t>On</w:t>
      </w:r>
      <w:r>
        <w:t xml:space="preserve"> July </w:t>
      </w:r>
      <w:r w:rsidR="00FA7849">
        <w:t xml:space="preserve">30, </w:t>
      </w:r>
      <w:r>
        <w:t>2014, the Commission dismissed both cases on the grounds of res judicata.</w:t>
      </w:r>
      <w:r w:rsidR="00F56E5C">
        <w:t xml:space="preserve"> </w:t>
      </w:r>
    </w:p>
    <w:p w14:paraId="4E5E685B" w14:textId="16D6577C" w:rsidR="00800312" w:rsidRPr="00F56E5C" w:rsidRDefault="00800312" w:rsidP="00F56E5C">
      <w:pPr>
        <w:pStyle w:val="MemoHeading2"/>
        <w:rPr>
          <w:i/>
        </w:rPr>
      </w:pPr>
      <w:r w:rsidRPr="00F56E5C">
        <w:rPr>
          <w:i/>
        </w:rPr>
        <w:t>Tandy v. FES</w:t>
      </w:r>
    </w:p>
    <w:p w14:paraId="52A0FEAF" w14:textId="2C754371" w:rsidR="00F56E5C" w:rsidRDefault="00E33E44" w:rsidP="00D31959">
      <w:pPr>
        <w:pStyle w:val="MemoBodyText"/>
      </w:pPr>
      <w:r>
        <w:t xml:space="preserve">The orders in </w:t>
      </w:r>
      <w:r w:rsidR="00CD547F">
        <w:rPr>
          <w:i/>
        </w:rPr>
        <w:t xml:space="preserve">Tandy II </w:t>
      </w:r>
      <w:r w:rsidR="00CD547F">
        <w:t>did not conclude matter</w:t>
      </w:r>
      <w:r w:rsidR="00F56E5C">
        <w:t>s</w:t>
      </w:r>
      <w:r w:rsidR="00CD547F">
        <w:t xml:space="preserve">. </w:t>
      </w:r>
      <w:r>
        <w:t xml:space="preserve">Indeed, </w:t>
      </w:r>
      <w:r w:rsidRPr="00E33E44">
        <w:rPr>
          <w:i/>
        </w:rPr>
        <w:t>bef</w:t>
      </w:r>
      <w:r>
        <w:rPr>
          <w:i/>
        </w:rPr>
        <w:t>o</w:t>
      </w:r>
      <w:r w:rsidRPr="00E33E44">
        <w:rPr>
          <w:i/>
        </w:rPr>
        <w:t>re</w:t>
      </w:r>
      <w:r>
        <w:t xml:space="preserve"> </w:t>
      </w:r>
      <w:r w:rsidR="00F56E5C">
        <w:t xml:space="preserve">the </w:t>
      </w:r>
      <w:r>
        <w:t xml:space="preserve">orders </w:t>
      </w:r>
      <w:r w:rsidR="00F56E5C">
        <w:t xml:space="preserve">in </w:t>
      </w:r>
      <w:r w:rsidR="00F56E5C">
        <w:rPr>
          <w:i/>
        </w:rPr>
        <w:t xml:space="preserve">Tandy II </w:t>
      </w:r>
      <w:r>
        <w:t xml:space="preserve">were issued, </w:t>
      </w:r>
      <w:r w:rsidR="00CD547F">
        <w:t xml:space="preserve">Ms. Tandy filed </w:t>
      </w:r>
      <w:r w:rsidR="00F56E5C">
        <w:t>a fifth</w:t>
      </w:r>
      <w:r w:rsidR="00CD547F">
        <w:t xml:space="preserve"> complaint, this time against CEI and</w:t>
      </w:r>
      <w:r>
        <w:t xml:space="preserve"> </w:t>
      </w:r>
      <w:r w:rsidR="00F56E5C">
        <w:t xml:space="preserve">(as ordered by the Commission) </w:t>
      </w:r>
      <w:r>
        <w:t xml:space="preserve">FirstEnergy Solutions (FES). </w:t>
      </w:r>
      <w:r>
        <w:rPr>
          <w:i/>
        </w:rPr>
        <w:t>See Tandy v. FES</w:t>
      </w:r>
      <w:r>
        <w:t xml:space="preserve">, Case No. 14-1241-EL-CSS (July 11, 2014). </w:t>
      </w:r>
      <w:r w:rsidR="00F56E5C">
        <w:t>After filing the complaint, s</w:t>
      </w:r>
      <w:r>
        <w:t xml:space="preserve">he submitted an additional 31 pages of material </w:t>
      </w:r>
      <w:r w:rsidR="00F56E5C">
        <w:t xml:space="preserve">in two filings on </w:t>
      </w:r>
      <w:r>
        <w:t xml:space="preserve">September 17 and October 27, 2014. </w:t>
      </w:r>
      <w:r w:rsidR="00F56E5C">
        <w:t>Yet again, CEI and FES responded by reviewing the allegations, drafting answers, and filing motions to dismiss.</w:t>
      </w:r>
    </w:p>
    <w:p w14:paraId="5A450D90" w14:textId="19CEC107" w:rsidR="00CD547F" w:rsidRDefault="00E33E44" w:rsidP="00D31959">
      <w:pPr>
        <w:pStyle w:val="MemoBodyText"/>
      </w:pPr>
      <w:r w:rsidRPr="00E33E44">
        <w:t xml:space="preserve">Although </w:t>
      </w:r>
      <w:r>
        <w:rPr>
          <w:i/>
        </w:rPr>
        <w:t>Tandy v. FES</w:t>
      </w:r>
      <w:r>
        <w:t xml:space="preserve"> pertained to different issues than </w:t>
      </w:r>
      <w:r w:rsidRPr="00E33E44">
        <w:rPr>
          <w:i/>
        </w:rPr>
        <w:t xml:space="preserve">Tandy I </w:t>
      </w:r>
      <w:r>
        <w:t xml:space="preserve">and </w:t>
      </w:r>
      <w:r w:rsidRPr="00E33E44">
        <w:rPr>
          <w:i/>
        </w:rPr>
        <w:t>Tandy</w:t>
      </w:r>
      <w:r>
        <w:rPr>
          <w:i/>
        </w:rPr>
        <w:t xml:space="preserve"> </w:t>
      </w:r>
      <w:r w:rsidRPr="00E33E44">
        <w:rPr>
          <w:i/>
        </w:rPr>
        <w:t>II</w:t>
      </w:r>
      <w:r>
        <w:t>,</w:t>
      </w:r>
      <w:r w:rsidR="00F56E5C">
        <w:t xml:space="preserve"> it proved equally wasteful of c</w:t>
      </w:r>
      <w:r>
        <w:t xml:space="preserve">ompany and Commission resources. Despite multiple notices, Ms. Tandy failed to attend </w:t>
      </w:r>
      <w:r w:rsidR="001E7185">
        <w:t xml:space="preserve">the </w:t>
      </w:r>
      <w:r>
        <w:t xml:space="preserve">Commission-ordered settlement conference </w:t>
      </w:r>
      <w:r w:rsidR="001E7185">
        <w:t xml:space="preserve">on October 27, 2014 </w:t>
      </w:r>
      <w:r>
        <w:t xml:space="preserve">(which Commission personnel and counsel for both CEI and FES attended), </w:t>
      </w:r>
      <w:r w:rsidR="001E7185">
        <w:t xml:space="preserve">and also failed to provide </w:t>
      </w:r>
      <w:r w:rsidR="001E7185">
        <w:lastRenderedPageBreak/>
        <w:t xml:space="preserve">any response to the Commission’s request that she provide notice of her intentions by December 1, 2014. </w:t>
      </w:r>
      <w:r w:rsidR="00FA7849">
        <w:t xml:space="preserve">14-1241 </w:t>
      </w:r>
      <w:proofErr w:type="gramStart"/>
      <w:r w:rsidR="00FA7849">
        <w:t>Entry</w:t>
      </w:r>
      <w:proofErr w:type="gramEnd"/>
      <w:r w:rsidR="00FA7849">
        <w:t xml:space="preserve"> at 3 (Nov. 6, 2014).</w:t>
      </w:r>
      <w:r w:rsidR="00F56E5C">
        <w:t xml:space="preserve"> </w:t>
      </w:r>
      <w:r w:rsidR="001E7185">
        <w:t xml:space="preserve">Accordingly, the Commission dismissed </w:t>
      </w:r>
      <w:r w:rsidR="001E7185">
        <w:rPr>
          <w:i/>
        </w:rPr>
        <w:t xml:space="preserve">Tandy v. FES </w:t>
      </w:r>
      <w:r w:rsidR="001E7185">
        <w:t>on December 10, 2014.</w:t>
      </w:r>
      <w:r w:rsidR="00F56E5C">
        <w:t xml:space="preserve"> </w:t>
      </w:r>
      <w:r w:rsidR="00FA7849">
        <w:t xml:space="preserve">14-1241 </w:t>
      </w:r>
      <w:proofErr w:type="gramStart"/>
      <w:r w:rsidR="00FA7849">
        <w:t>Entry</w:t>
      </w:r>
      <w:proofErr w:type="gramEnd"/>
      <w:r w:rsidR="00FA7849">
        <w:t xml:space="preserve"> at 4 (Dec. 10, 2014).</w:t>
      </w:r>
    </w:p>
    <w:p w14:paraId="7CFC62EF" w14:textId="796C64A8" w:rsidR="00800312" w:rsidRPr="00F56E5C" w:rsidRDefault="00800312" w:rsidP="00F56E5C">
      <w:pPr>
        <w:pStyle w:val="MemoHeading2"/>
        <w:rPr>
          <w:i/>
        </w:rPr>
      </w:pPr>
      <w:r w:rsidRPr="00F56E5C">
        <w:rPr>
          <w:i/>
        </w:rPr>
        <w:t>Tandy III</w:t>
      </w:r>
    </w:p>
    <w:p w14:paraId="32B8551E" w14:textId="15ED376A" w:rsidR="00800312" w:rsidRDefault="001E7185" w:rsidP="00D31959">
      <w:pPr>
        <w:pStyle w:val="MemoBodyText"/>
      </w:pPr>
      <w:r>
        <w:t xml:space="preserve">Perhaps not surprisingly, the fifth dismissal was </w:t>
      </w:r>
      <w:r w:rsidRPr="001E7185">
        <w:rPr>
          <w:i/>
        </w:rPr>
        <w:t xml:space="preserve">not </w:t>
      </w:r>
      <w:r>
        <w:t xml:space="preserve">the </w:t>
      </w:r>
      <w:r w:rsidR="00320396">
        <w:t>last</w:t>
      </w:r>
      <w:r>
        <w:t xml:space="preserve">. </w:t>
      </w:r>
      <w:r w:rsidR="00BF0768">
        <w:t xml:space="preserve">On February 23, 2015, </w:t>
      </w:r>
      <w:r w:rsidR="00F56E5C">
        <w:t>complaint</w:t>
      </w:r>
      <w:r w:rsidR="00207D1B">
        <w:t>s number</w:t>
      </w:r>
      <w:r w:rsidR="00F56E5C">
        <w:t xml:space="preserve"> six and seven (</w:t>
      </w:r>
      <w:r w:rsidR="00BF0768">
        <w:rPr>
          <w:i/>
        </w:rPr>
        <w:t>Tandy III</w:t>
      </w:r>
      <w:r w:rsidR="00F56E5C">
        <w:t>)</w:t>
      </w:r>
      <w:r w:rsidR="00BF0768">
        <w:rPr>
          <w:i/>
        </w:rPr>
        <w:t xml:space="preserve"> </w:t>
      </w:r>
      <w:r w:rsidR="00F56E5C">
        <w:t xml:space="preserve">were </w:t>
      </w:r>
      <w:r w:rsidR="00BF0768">
        <w:t xml:space="preserve">filed against </w:t>
      </w:r>
      <w:r w:rsidR="00F56E5C">
        <w:t xml:space="preserve">the </w:t>
      </w:r>
      <w:r w:rsidR="00BF0768">
        <w:t>Companies</w:t>
      </w:r>
      <w:r w:rsidR="00A73428">
        <w:t xml:space="preserve"> in this case</w:t>
      </w:r>
      <w:r w:rsidR="00BF0768">
        <w:t xml:space="preserve">, weighing in at 49 pages against CEI, and 155 pages against DEO. Once again, the pleadings comprise hundreds of pages marked with over a thousand dense handwritten notations, random exclamations, and fragmentary accusations. But as discussed in the motions to dismiss filed today on behalf of </w:t>
      </w:r>
      <w:r w:rsidR="00F56E5C">
        <w:t xml:space="preserve">both </w:t>
      </w:r>
      <w:r w:rsidR="00BF0768">
        <w:t>Companies, further pain-staking review</w:t>
      </w:r>
      <w:r w:rsidR="00BF0768">
        <w:rPr>
          <w:i/>
        </w:rPr>
        <w:t xml:space="preserve"> </w:t>
      </w:r>
      <w:r w:rsidR="00BF0768" w:rsidRPr="00BF0768">
        <w:t xml:space="preserve">makes clear </w:t>
      </w:r>
      <w:r w:rsidR="00BF0768">
        <w:t xml:space="preserve">that </w:t>
      </w:r>
      <w:r w:rsidR="00BF0768">
        <w:rPr>
          <w:i/>
        </w:rPr>
        <w:t>Tandy III</w:t>
      </w:r>
      <w:r w:rsidR="00BF0768">
        <w:t xml:space="preserve"> does nothing more than dredge up the same meritless claims that have been rejected now multiple </w:t>
      </w:r>
      <w:r w:rsidR="00F56E5C">
        <w:t xml:space="preserve">times by the </w:t>
      </w:r>
      <w:r w:rsidR="00BF0768">
        <w:t xml:space="preserve">Commission. </w:t>
      </w:r>
    </w:p>
    <w:p w14:paraId="27244D1E" w14:textId="6D211A28" w:rsidR="00800312" w:rsidRDefault="00800312" w:rsidP="00800312">
      <w:pPr>
        <w:pStyle w:val="MemoBodyText"/>
      </w:pPr>
      <w:r>
        <w:t xml:space="preserve">What </w:t>
      </w:r>
      <w:r>
        <w:rPr>
          <w:i/>
        </w:rPr>
        <w:t>Tandy III</w:t>
      </w:r>
      <w:r>
        <w:t xml:space="preserve"> will entail, and how many more sequels will follow, the Companies can only guess. But every single one of these filings—by the Companies’ count, </w:t>
      </w:r>
      <w:r w:rsidR="00F56E5C">
        <w:t xml:space="preserve">seven </w:t>
      </w:r>
      <w:r w:rsidR="00320396">
        <w:t>separate cases numbers,</w:t>
      </w:r>
      <w:r w:rsidR="00F56E5C">
        <w:rPr>
          <w:rStyle w:val="FootnoteReference"/>
        </w:rPr>
        <w:footnoteReference w:id="1"/>
      </w:r>
      <w:r w:rsidR="00320396">
        <w:t xml:space="preserve"> </w:t>
      </w:r>
      <w:r w:rsidR="00080C91">
        <w:t>30 separate</w:t>
      </w:r>
      <w:r>
        <w:t xml:space="preserve"> filings</w:t>
      </w:r>
      <w:r w:rsidR="00320396">
        <w:t>,</w:t>
      </w:r>
      <w:r>
        <w:t xml:space="preserve"> and </w:t>
      </w:r>
      <w:r w:rsidR="00080C91">
        <w:t>817</w:t>
      </w:r>
      <w:r>
        <w:t xml:space="preserve"> pages—has required and will continue to require both the Companies and the Commission to review and determine an appropriate course of action. Many have required and will require responsive filings, motions to strike, or further Commission entries and orders. </w:t>
      </w:r>
    </w:p>
    <w:p w14:paraId="70D9AAF5" w14:textId="63AE5B91" w:rsidR="00800312" w:rsidRDefault="00A73428" w:rsidP="00A73428">
      <w:pPr>
        <w:pStyle w:val="MemoHeading1"/>
      </w:pPr>
      <w:r>
        <w:t>ARGUMENT</w:t>
      </w:r>
    </w:p>
    <w:p w14:paraId="0F8B9C2B" w14:textId="379AEC17" w:rsidR="00A73428" w:rsidRDefault="00B62336" w:rsidP="00D31959">
      <w:pPr>
        <w:pStyle w:val="MemoBodyText"/>
      </w:pPr>
      <w:r>
        <w:t xml:space="preserve">The Companies respect the right of customers to file complaints, and they recognize that the availability of the complaint process is an important component of Commission oversight. </w:t>
      </w:r>
      <w:r w:rsidR="007C0575">
        <w:lastRenderedPageBreak/>
        <w:t xml:space="preserve">Together, they respond to dozens of complaints every year, and the Commission handles many more. It is an important </w:t>
      </w:r>
      <w:r w:rsidR="00800312">
        <w:t>process</w:t>
      </w:r>
      <w:r w:rsidR="007C0575">
        <w:t>, and it</w:t>
      </w:r>
      <w:r w:rsidR="00800312">
        <w:t xml:space="preserve"> </w:t>
      </w:r>
      <w:r w:rsidR="00A73428">
        <w:t xml:space="preserve">should not </w:t>
      </w:r>
      <w:r w:rsidR="00800312">
        <w:t xml:space="preserve">be abused. </w:t>
      </w:r>
    </w:p>
    <w:p w14:paraId="129E1095" w14:textId="3AB6D0A1" w:rsidR="00B62336" w:rsidRDefault="00A73428" w:rsidP="00D31959">
      <w:pPr>
        <w:pStyle w:val="MemoBodyText"/>
      </w:pPr>
      <w:r>
        <w:t>A</w:t>
      </w:r>
      <w:r w:rsidR="00B62336">
        <w:t>buse of process</w:t>
      </w:r>
      <w:r>
        <w:t xml:space="preserve">, however, </w:t>
      </w:r>
      <w:r w:rsidR="00B62336">
        <w:t xml:space="preserve">describes </w:t>
      </w:r>
      <w:r>
        <w:t xml:space="preserve">precisely </w:t>
      </w:r>
      <w:r w:rsidR="00B62336">
        <w:t xml:space="preserve">what Ms. Tandy has repeatedly </w:t>
      </w:r>
      <w:r w:rsidR="00800312">
        <w:t xml:space="preserve">worked upon the Commission and the Companies. Literally tens of thousands of dollars and dozens if not hundreds of hours have been spent responding to Ms. Tandy’s ill-formed filings and no-show proceedings. </w:t>
      </w:r>
    </w:p>
    <w:p w14:paraId="397640E8" w14:textId="48739781" w:rsidR="00320396" w:rsidRDefault="00320396" w:rsidP="00D31959">
      <w:pPr>
        <w:pStyle w:val="MemoBodyText"/>
      </w:pPr>
      <w:r>
        <w:t>Ohio law recognize</w:t>
      </w:r>
      <w:r w:rsidR="00A73428">
        <w:t>s</w:t>
      </w:r>
      <w:r>
        <w:t xml:space="preserve"> that the judicial power is not lightly to be invoked and never to be abused. </w:t>
      </w:r>
      <w:r w:rsidR="00A73428">
        <w:t>And it is long-settled that t</w:t>
      </w:r>
      <w:r>
        <w:t>he Commission</w:t>
      </w:r>
      <w:r w:rsidR="00A73428">
        <w:t xml:space="preserve"> </w:t>
      </w:r>
      <w:r>
        <w:t xml:space="preserve">is vested with power to govern </w:t>
      </w:r>
      <w:r w:rsidR="00A73428">
        <w:t xml:space="preserve">and control </w:t>
      </w:r>
      <w:r>
        <w:t xml:space="preserve">its proceedings. It should exercise that power here and </w:t>
      </w:r>
      <w:r w:rsidR="00A73428">
        <w:t xml:space="preserve">either </w:t>
      </w:r>
      <w:r>
        <w:t xml:space="preserve">prohibit further filings by Ms. Tandy unless she first receives the leave of the Commission </w:t>
      </w:r>
      <w:r w:rsidR="00A73428">
        <w:t>or relieve the Companies from filing responsive pleadings until any future complaint has been determined to have some minimal indicia of plausible merit</w:t>
      </w:r>
      <w:r>
        <w:t>.</w:t>
      </w:r>
    </w:p>
    <w:p w14:paraId="73B8A942" w14:textId="068AFB6B" w:rsidR="00320396" w:rsidRDefault="00320396" w:rsidP="00A73428">
      <w:pPr>
        <w:pStyle w:val="MemoHeading2"/>
        <w:numPr>
          <w:ilvl w:val="0"/>
          <w:numId w:val="12"/>
        </w:numPr>
        <w:ind w:left="720"/>
      </w:pPr>
      <w:r>
        <w:t>Ohio law and Ohio courts do not permit abuse of the judicial process.</w:t>
      </w:r>
    </w:p>
    <w:p w14:paraId="1503BA4B" w14:textId="77777777" w:rsidR="00320396" w:rsidRDefault="00665258" w:rsidP="00A018AC">
      <w:pPr>
        <w:pStyle w:val="MemoBodyText"/>
      </w:pPr>
      <w:r>
        <w:t>Ohio courts will not tolerate tactics of attrition like Ms. Tandy’s.</w:t>
      </w:r>
      <w:r w:rsidR="000376DC">
        <w:t xml:space="preserve"> </w:t>
      </w:r>
    </w:p>
    <w:p w14:paraId="2E819786" w14:textId="4B7BC2BE" w:rsidR="00A73428" w:rsidRDefault="00A73428" w:rsidP="00A73428">
      <w:pPr>
        <w:pStyle w:val="MemoHeading3"/>
      </w:pPr>
      <w:r>
        <w:t>The Ohio Supreme Court will sanction parties who repeatedly file ungrounded or meritless actions.</w:t>
      </w:r>
    </w:p>
    <w:p w14:paraId="3C2CCC96" w14:textId="184FEC2A" w:rsidR="00320396" w:rsidRDefault="00A018AC" w:rsidP="00A018AC">
      <w:pPr>
        <w:pStyle w:val="MemoBodyText"/>
      </w:pPr>
      <w:r>
        <w:t>The Supreme Court</w:t>
      </w:r>
      <w:r w:rsidR="00320396">
        <w:t>—the only court with power of review over the Commission—</w:t>
      </w:r>
      <w:r>
        <w:t>prohibit</w:t>
      </w:r>
      <w:r w:rsidR="00320396">
        <w:t>s</w:t>
      </w:r>
      <w:r>
        <w:t xml:space="preserve"> vexatious litigation</w:t>
      </w:r>
      <w:r w:rsidR="00320396">
        <w:t xml:space="preserve"> by rule. Supreme Court Rule of Practice 4.03(A) provides that the Court may “impose appropriate sanctions” on the signer of an action if the action “</w:t>
      </w:r>
      <w:r w:rsidR="00320396" w:rsidRPr="00320396">
        <w:t>is frivolous or is prosecuted for delay, harassment, or any other improper purpose</w:t>
      </w:r>
      <w:r w:rsidR="00320396">
        <w:t xml:space="preserve">.” Frivolous means “not reasonably well-grounded in fact or warranted by existing law or a good-faith argument for the extension, modification, or reversal of existing law.” </w:t>
      </w:r>
      <w:r w:rsidR="00320396" w:rsidRPr="00320396">
        <w:rPr>
          <w:i/>
        </w:rPr>
        <w:t>Id</w:t>
      </w:r>
      <w:r w:rsidR="00320396">
        <w:t xml:space="preserve">. </w:t>
      </w:r>
      <w:r w:rsidR="00320396" w:rsidRPr="00320396">
        <w:t>And</w:t>
      </w:r>
      <w:r w:rsidR="00320396">
        <w:t xml:space="preserve"> a person who “</w:t>
      </w:r>
      <w:r w:rsidR="00320396" w:rsidRPr="00320396">
        <w:t>habitually, persistently, and without reasonable cause engages in frivol</w:t>
      </w:r>
      <w:r w:rsidR="00320396">
        <w:t xml:space="preserve">ous conduct” may be declared “a vexatious litigator.” </w:t>
      </w:r>
      <w:r w:rsidR="00320396">
        <w:rPr>
          <w:i/>
        </w:rPr>
        <w:t>Id</w:t>
      </w:r>
      <w:r w:rsidR="00320396">
        <w:t>. 4.03(B). Such parties are subject to filing r</w:t>
      </w:r>
      <w:r w:rsidR="004E588A">
        <w:t xml:space="preserve">estrictions, including </w:t>
      </w:r>
      <w:r w:rsidR="004E588A">
        <w:lastRenderedPageBreak/>
        <w:t>requirements that</w:t>
      </w:r>
      <w:r w:rsidR="00320396">
        <w:t xml:space="preserve"> the party </w:t>
      </w:r>
      <w:r w:rsidR="004E588A">
        <w:t xml:space="preserve">must </w:t>
      </w:r>
      <w:r w:rsidR="00320396">
        <w:t xml:space="preserve">obtain leave to file or continue ongoing proceedings, </w:t>
      </w:r>
      <w:r w:rsidR="004E588A">
        <w:t xml:space="preserve">and </w:t>
      </w:r>
      <w:r w:rsidR="00320396">
        <w:t>“any other restriction the Supreme Court considers just.”</w:t>
      </w:r>
      <w:r w:rsidR="00320396">
        <w:rPr>
          <w:i/>
        </w:rPr>
        <w:t xml:space="preserve"> </w:t>
      </w:r>
      <w:r w:rsidR="00320396" w:rsidRPr="00320396">
        <w:rPr>
          <w:i/>
        </w:rPr>
        <w:t>Id</w:t>
      </w:r>
      <w:r w:rsidR="00320396">
        <w:t>.</w:t>
      </w:r>
    </w:p>
    <w:p w14:paraId="65EAC7C4" w14:textId="1587F9F8" w:rsidR="00A73428" w:rsidRPr="00320396" w:rsidRDefault="00A73428" w:rsidP="00A73428">
      <w:pPr>
        <w:pStyle w:val="MemoHeading3"/>
      </w:pPr>
      <w:r>
        <w:t xml:space="preserve">Lower courts have recognized that sanctions are appropriate </w:t>
      </w:r>
      <w:r w:rsidR="00207D1B">
        <w:t xml:space="preserve">against </w:t>
      </w:r>
      <w:r>
        <w:t>parties who repeatedly file a complaint already deemed meritless.</w:t>
      </w:r>
    </w:p>
    <w:p w14:paraId="34E5FBD8" w14:textId="68003276" w:rsidR="00A018AC" w:rsidRPr="00170762" w:rsidRDefault="00320396" w:rsidP="00A018AC">
      <w:pPr>
        <w:pStyle w:val="MemoBodyText"/>
      </w:pPr>
      <w:r>
        <w:t>L</w:t>
      </w:r>
      <w:r w:rsidR="00170762">
        <w:t xml:space="preserve">ower </w:t>
      </w:r>
      <w:r w:rsidR="00A018AC">
        <w:t>court</w:t>
      </w:r>
      <w:r w:rsidR="00170762">
        <w:t xml:space="preserve">s </w:t>
      </w:r>
      <w:r>
        <w:t>similarly protect their process</w:t>
      </w:r>
      <w:r w:rsidR="00A73428">
        <w:t>,</w:t>
      </w:r>
      <w:r>
        <w:t xml:space="preserve"> </w:t>
      </w:r>
      <w:r w:rsidR="00A73428">
        <w:t xml:space="preserve">as provided under </w:t>
      </w:r>
      <w:r w:rsidR="00170762">
        <w:t xml:space="preserve">R.C. 2323.52. As the Ohio Supreme Court explained, this statute </w:t>
      </w:r>
      <w:r w:rsidR="00A018AC">
        <w:t xml:space="preserve">“seeks to prevent </w:t>
      </w:r>
      <w:r w:rsidR="00A018AC" w:rsidRPr="00A018AC">
        <w:t>abuse of the system by those persons who persistently and habitually file lawsuits without reasonable grounds and/or otherwise engage in frivolous conduct in the trial courts of this state.</w:t>
      </w:r>
      <w:r w:rsidR="00A018AC">
        <w:t xml:space="preserve">” </w:t>
      </w:r>
      <w:proofErr w:type="gramStart"/>
      <w:r w:rsidR="00170762" w:rsidRPr="00170762">
        <w:rPr>
          <w:i/>
        </w:rPr>
        <w:t>Mayer v. Bristow</w:t>
      </w:r>
      <w:r w:rsidR="00170762" w:rsidRPr="00170762">
        <w:t>, 91 Ohio St. 3d 3, 13 (2000)</w:t>
      </w:r>
      <w:r w:rsidR="00170762">
        <w:t xml:space="preserve"> (internal quotations omitted).</w:t>
      </w:r>
      <w:proofErr w:type="gramEnd"/>
      <w:r w:rsidR="00170762">
        <w:t xml:space="preserve"> “</w:t>
      </w:r>
      <w:r w:rsidR="00A018AC" w:rsidRPr="00A018AC">
        <w:t>Such conduct clogs the court dockets, results in increased costs, and oftentimes i</w:t>
      </w:r>
      <w:r w:rsidR="00170762">
        <w:t>s a waste of judicial resources—</w:t>
      </w:r>
      <w:r w:rsidR="00A018AC" w:rsidRPr="00A018AC">
        <w:t>resources that are supported by the taxpayers of this state. The unreasonable burden placed upon courts by such baseless litigation prevents the speedy consideration of proper litigation.</w:t>
      </w:r>
      <w:r w:rsidR="00170762">
        <w:t xml:space="preserve">” </w:t>
      </w:r>
      <w:r w:rsidR="00170762">
        <w:rPr>
          <w:i/>
        </w:rPr>
        <w:t>Id</w:t>
      </w:r>
      <w:r w:rsidR="00170762">
        <w:t>.</w:t>
      </w:r>
    </w:p>
    <w:p w14:paraId="49854D54" w14:textId="3504DBBD" w:rsidR="00665258" w:rsidRDefault="00320396" w:rsidP="000376DC">
      <w:pPr>
        <w:pStyle w:val="MemoBodyText"/>
      </w:pPr>
      <w:r>
        <w:t xml:space="preserve">Ohio </w:t>
      </w:r>
      <w:r w:rsidR="00170762">
        <w:t xml:space="preserve">courts have recognized that repeatedly presenting the same meritless argument or claim represents vexatious litigation and demands relief for the afflicted parties. </w:t>
      </w:r>
      <w:r w:rsidR="000376DC">
        <w:t xml:space="preserve">In </w:t>
      </w:r>
      <w:r w:rsidR="000376DC" w:rsidRPr="003F2AC8">
        <w:rPr>
          <w:i/>
        </w:rPr>
        <w:t xml:space="preserve">Hull v. </w:t>
      </w:r>
      <w:proofErr w:type="spellStart"/>
      <w:r w:rsidR="000376DC" w:rsidRPr="003F2AC8">
        <w:rPr>
          <w:i/>
        </w:rPr>
        <w:t>Sawchyn</w:t>
      </w:r>
      <w:proofErr w:type="spellEnd"/>
      <w:r w:rsidR="000376DC" w:rsidRPr="003F2AC8">
        <w:t xml:space="preserve">, </w:t>
      </w:r>
      <w:r w:rsidR="000376DC">
        <w:t xml:space="preserve">the </w:t>
      </w:r>
      <w:r w:rsidR="00170762">
        <w:t>appellate c</w:t>
      </w:r>
      <w:r w:rsidR="000376DC">
        <w:t xml:space="preserve">ourt considered the conduct of a plaintiff who lost his first action, </w:t>
      </w:r>
      <w:r w:rsidR="00170762">
        <w:t xml:space="preserve">and </w:t>
      </w:r>
      <w:r w:rsidR="000376DC">
        <w:t xml:space="preserve">then followed up with three additional lawsuits “asserting the same complaint.” </w:t>
      </w:r>
      <w:proofErr w:type="gramStart"/>
      <w:r w:rsidR="000376DC" w:rsidRPr="003F2AC8">
        <w:t>145 Ohio App. 3d 193</w:t>
      </w:r>
      <w:r w:rsidR="000376DC">
        <w:t>, 195 (8th Dist. 2001).</w:t>
      </w:r>
      <w:proofErr w:type="gramEnd"/>
      <w:r w:rsidR="000376DC">
        <w:t xml:space="preserve"> The defendant eventually </w:t>
      </w:r>
      <w:r w:rsidR="00170762">
        <w:t xml:space="preserve">filed </w:t>
      </w:r>
      <w:r w:rsidR="000376DC">
        <w:t xml:space="preserve">suit seeking to have the plaintiff declared a “vexatious litigator.” </w:t>
      </w:r>
      <w:r w:rsidR="000376DC">
        <w:rPr>
          <w:i/>
        </w:rPr>
        <w:t>Id</w:t>
      </w:r>
      <w:r w:rsidR="000376DC">
        <w:t>. The trial court did not grant relief, and the appellate court reversed. “</w:t>
      </w:r>
      <w:r w:rsidR="000376DC" w:rsidRPr="00665258">
        <w:t xml:space="preserve">It is patently unfair and unreasonable that any person should be continually forced to defend against, and the court system should be forced to handle, </w:t>
      </w:r>
      <w:r w:rsidR="000376DC" w:rsidRPr="00665258">
        <w:rPr>
          <w:i/>
        </w:rPr>
        <w:t xml:space="preserve">the same unwarranted complaint </w:t>
      </w:r>
      <w:r w:rsidR="000376DC" w:rsidRPr="00665258">
        <w:t>that cannot be supported by any recognizable good-faith argument.”</w:t>
      </w:r>
      <w:r w:rsidR="000376DC">
        <w:t xml:space="preserve"> </w:t>
      </w:r>
      <w:proofErr w:type="gramStart"/>
      <w:r w:rsidR="000376DC">
        <w:rPr>
          <w:i/>
        </w:rPr>
        <w:t>Id</w:t>
      </w:r>
      <w:r w:rsidR="000376DC">
        <w:t>. at 197</w:t>
      </w:r>
      <w:r w:rsidR="00170762">
        <w:t xml:space="preserve"> (emphasis added)</w:t>
      </w:r>
      <w:r w:rsidR="000376DC">
        <w:t>.</w:t>
      </w:r>
      <w:proofErr w:type="gramEnd"/>
      <w:r w:rsidR="000376DC">
        <w:t xml:space="preserve"> Thus, the appellate court declared “as a matter of law that [plaintiff] is a vexatious litigator.” </w:t>
      </w:r>
      <w:proofErr w:type="gramStart"/>
      <w:r w:rsidR="000376DC" w:rsidRPr="000376DC">
        <w:rPr>
          <w:i/>
        </w:rPr>
        <w:t>Id</w:t>
      </w:r>
      <w:r w:rsidR="000376DC">
        <w:t>. at 198.</w:t>
      </w:r>
      <w:proofErr w:type="gramEnd"/>
      <w:r w:rsidR="000376DC">
        <w:t xml:space="preserve"> </w:t>
      </w:r>
    </w:p>
    <w:p w14:paraId="31C2A7AC" w14:textId="1BE7FE09" w:rsidR="00320396" w:rsidRDefault="000376DC" w:rsidP="00A018AC">
      <w:pPr>
        <w:pStyle w:val="MemoBodyText"/>
      </w:pPr>
      <w:r>
        <w:lastRenderedPageBreak/>
        <w:t>S</w:t>
      </w:r>
      <w:r w:rsidR="00665258">
        <w:t>imilar</w:t>
      </w:r>
      <w:r>
        <w:t>ly,</w:t>
      </w:r>
      <w:r w:rsidR="00665258">
        <w:t xml:space="preserve"> in </w:t>
      </w:r>
      <w:proofErr w:type="spellStart"/>
      <w:r>
        <w:rPr>
          <w:i/>
        </w:rPr>
        <w:t>Easterling</w:t>
      </w:r>
      <w:proofErr w:type="spellEnd"/>
      <w:r>
        <w:rPr>
          <w:i/>
        </w:rPr>
        <w:t xml:space="preserve"> v. Union Savings</w:t>
      </w:r>
      <w:r w:rsidR="00665258" w:rsidRPr="00CD3104">
        <w:rPr>
          <w:i/>
        </w:rPr>
        <w:t xml:space="preserve"> Bank</w:t>
      </w:r>
      <w:r w:rsidR="00665258" w:rsidRPr="00CD3104">
        <w:t>, 2013-Ohio-1068</w:t>
      </w:r>
      <w:r>
        <w:t xml:space="preserve"> (</w:t>
      </w:r>
      <w:r w:rsidR="00A018AC">
        <w:t>2d Dist.</w:t>
      </w:r>
      <w:r>
        <w:t>)</w:t>
      </w:r>
      <w:r w:rsidR="00665258">
        <w:t xml:space="preserve">, the </w:t>
      </w:r>
      <w:r>
        <w:t xml:space="preserve">appellate </w:t>
      </w:r>
      <w:r w:rsidR="00665258">
        <w:t xml:space="preserve">court </w:t>
      </w:r>
      <w:r>
        <w:t xml:space="preserve">affirmed a declaration that a </w:t>
      </w:r>
      <w:r w:rsidR="00207D1B">
        <w:rPr>
          <w:i/>
        </w:rPr>
        <w:t>pro se</w:t>
      </w:r>
      <w:r w:rsidR="00170762">
        <w:rPr>
          <w:i/>
        </w:rPr>
        <w:t xml:space="preserve"> </w:t>
      </w:r>
      <w:r>
        <w:t xml:space="preserve">plaintiff </w:t>
      </w:r>
      <w:r w:rsidR="00170762">
        <w:t>engaged in vexatious litigation by filing</w:t>
      </w:r>
      <w:r w:rsidR="00A018AC">
        <w:t xml:space="preserve"> </w:t>
      </w:r>
      <w:r w:rsidR="00170762">
        <w:t>the same meritless action four times</w:t>
      </w:r>
      <w:r w:rsidR="00A018AC">
        <w:t xml:space="preserve">. </w:t>
      </w:r>
      <w:proofErr w:type="gramStart"/>
      <w:r w:rsidR="00A018AC">
        <w:rPr>
          <w:i/>
        </w:rPr>
        <w:t>Id</w:t>
      </w:r>
      <w:r w:rsidR="00A018AC">
        <w:t>. ¶ 2.</w:t>
      </w:r>
      <w:proofErr w:type="gramEnd"/>
      <w:r w:rsidR="00A018AC">
        <w:t xml:space="preserve"> The court </w:t>
      </w:r>
      <w:proofErr w:type="gramStart"/>
      <w:r w:rsidR="00A018AC">
        <w:t>observed that</w:t>
      </w:r>
      <w:proofErr w:type="gramEnd"/>
      <w:r w:rsidR="00A018AC">
        <w:t xml:space="preserve"> </w:t>
      </w:r>
      <w:r w:rsidR="00A018AC">
        <w:rPr>
          <w:bCs/>
        </w:rPr>
        <w:t>“</w:t>
      </w:r>
      <w:r w:rsidRPr="000376DC">
        <w:t>the consistent repetition of arguments and legal theories that have been rejected by the trial court numerous times can c</w:t>
      </w:r>
      <w:r w:rsidR="00170762">
        <w:t>onstitute vexatious litigation.”</w:t>
      </w:r>
      <w:r w:rsidRPr="000376DC">
        <w:t xml:space="preserve"> </w:t>
      </w:r>
      <w:proofErr w:type="gramStart"/>
      <w:r w:rsidR="00FD7DE5">
        <w:rPr>
          <w:i/>
        </w:rPr>
        <w:t>Id</w:t>
      </w:r>
      <w:r w:rsidR="00FD7DE5">
        <w:t>. ¶ 16.</w:t>
      </w:r>
      <w:proofErr w:type="gramEnd"/>
      <w:r w:rsidR="00FD7DE5">
        <w:t xml:space="preserve"> Plaintiff’s “</w:t>
      </w:r>
      <w:r w:rsidRPr="000376DC">
        <w:t>multiple actions constitute vexatious litigation</w:t>
      </w:r>
      <w:r w:rsidR="00FD7DE5">
        <w:t>” and although the fact “</w:t>
      </w:r>
      <w:r w:rsidRPr="000376DC">
        <w:t xml:space="preserve">his conduct serves merely to harass </w:t>
      </w:r>
      <w:proofErr w:type="gramStart"/>
      <w:r w:rsidRPr="000376DC">
        <w:t>may</w:t>
      </w:r>
      <w:proofErr w:type="gramEnd"/>
      <w:r w:rsidRPr="000376DC">
        <w:t xml:space="preserve"> not be obvious to </w:t>
      </w:r>
      <w:r w:rsidR="00FD7DE5">
        <w:t>[plaintiff]</w:t>
      </w:r>
      <w:r w:rsidR="00207D1B">
        <w:t xml:space="preserve">, . . . </w:t>
      </w:r>
      <w:r w:rsidRPr="000376DC">
        <w:t>it is obvious to others</w:t>
      </w:r>
      <w:r w:rsidR="00FD7DE5">
        <w:t>—</w:t>
      </w:r>
      <w:r w:rsidRPr="000376DC">
        <w:t>objectively so.</w:t>
      </w:r>
      <w:r w:rsidR="00FD7DE5">
        <w:t xml:space="preserve">” </w:t>
      </w:r>
      <w:r w:rsidR="00FD7DE5" w:rsidRPr="00FD7DE5">
        <w:rPr>
          <w:i/>
        </w:rPr>
        <w:t>Id</w:t>
      </w:r>
      <w:r w:rsidR="00FD7DE5">
        <w:t>. His “</w:t>
      </w:r>
      <w:r w:rsidRPr="000376DC">
        <w:t xml:space="preserve">history as a </w:t>
      </w:r>
      <w:r w:rsidRPr="00FD7DE5">
        <w:rPr>
          <w:i/>
        </w:rPr>
        <w:t xml:space="preserve">pro se </w:t>
      </w:r>
      <w:r w:rsidRPr="000376DC">
        <w:t>litigator dem</w:t>
      </w:r>
      <w:r w:rsidR="00FD7DE5">
        <w:t xml:space="preserve">onstrates the conduct to which </w:t>
      </w:r>
      <w:r w:rsidRPr="000376DC">
        <w:t>the vexatious-litigator statute should apply.</w:t>
      </w:r>
      <w:r w:rsidR="00FD7DE5">
        <w:t xml:space="preserve">” </w:t>
      </w:r>
      <w:r w:rsidR="00FD7DE5">
        <w:rPr>
          <w:i/>
        </w:rPr>
        <w:t>Id</w:t>
      </w:r>
      <w:r w:rsidR="00320396">
        <w:t xml:space="preserve">. </w:t>
      </w:r>
    </w:p>
    <w:p w14:paraId="597C8C68" w14:textId="6D54F6B4" w:rsidR="00A018AC" w:rsidRDefault="00320396" w:rsidP="00A018AC">
      <w:pPr>
        <w:pStyle w:val="MemoBodyText"/>
      </w:pPr>
      <w:r w:rsidRPr="00320396">
        <w:t xml:space="preserve">These </w:t>
      </w:r>
      <w:proofErr w:type="gramStart"/>
      <w:r w:rsidRPr="00320396">
        <w:t>case</w:t>
      </w:r>
      <w:proofErr w:type="gramEnd"/>
      <w:r w:rsidRPr="00320396">
        <w:t xml:space="preserve"> </w:t>
      </w:r>
      <w:r>
        <w:t xml:space="preserve">are not exceptional but illustrative. </w:t>
      </w:r>
      <w:proofErr w:type="gramStart"/>
      <w:r>
        <w:rPr>
          <w:i/>
        </w:rPr>
        <w:t>S</w:t>
      </w:r>
      <w:r w:rsidR="00FD7DE5">
        <w:rPr>
          <w:i/>
        </w:rPr>
        <w:t>ee also, e.g.</w:t>
      </w:r>
      <w:r w:rsidR="00FD7DE5">
        <w:t xml:space="preserve">, </w:t>
      </w:r>
      <w:r w:rsidR="00A018AC" w:rsidRPr="00A018AC">
        <w:rPr>
          <w:i/>
        </w:rPr>
        <w:t>Gains v. Harman</w:t>
      </w:r>
      <w:r w:rsidR="00A018AC">
        <w:t xml:space="preserve">, 148 Ohio App. 3d 357, 361 (7th Dist. 2002) (filing seven meritless cases against same party constituted vexatious litigation); </w:t>
      </w:r>
      <w:r w:rsidR="00A018AC" w:rsidRPr="00A018AC">
        <w:rPr>
          <w:i/>
        </w:rPr>
        <w:t xml:space="preserve">Mid-Ohio Mech., Inc. v. </w:t>
      </w:r>
      <w:proofErr w:type="spellStart"/>
      <w:r w:rsidR="00A018AC" w:rsidRPr="00A018AC">
        <w:rPr>
          <w:i/>
        </w:rPr>
        <w:t>Eisenmann</w:t>
      </w:r>
      <w:proofErr w:type="spellEnd"/>
      <w:r w:rsidR="00A018AC" w:rsidRPr="00A018AC">
        <w:rPr>
          <w:i/>
        </w:rPr>
        <w:t xml:space="preserve"> Corp.</w:t>
      </w:r>
      <w:r w:rsidR="00A018AC">
        <w:t xml:space="preserve">, 2009-Ohio-5804 (5th Dist.), ¶¶ 133, 142 (presenting same meritless argument </w:t>
      </w:r>
      <w:r w:rsidR="00207D1B">
        <w:t xml:space="preserve">in </w:t>
      </w:r>
      <w:r w:rsidR="004E588A">
        <w:t xml:space="preserve">five </w:t>
      </w:r>
      <w:r w:rsidR="00A018AC">
        <w:t xml:space="preserve">separate </w:t>
      </w:r>
      <w:r w:rsidR="004E588A">
        <w:t xml:space="preserve">pleadings and once at hearing </w:t>
      </w:r>
      <w:r w:rsidR="00A018AC" w:rsidRPr="00207D1B">
        <w:t>constituted</w:t>
      </w:r>
      <w:r w:rsidR="00A018AC">
        <w:t xml:space="preserve"> vexatious litigation).</w:t>
      </w:r>
      <w:proofErr w:type="gramEnd"/>
      <w:r w:rsidR="00A018AC">
        <w:t xml:space="preserve"> </w:t>
      </w:r>
    </w:p>
    <w:p w14:paraId="5A34EA4F" w14:textId="17137486" w:rsidR="00320396" w:rsidRDefault="00320396" w:rsidP="00320396">
      <w:pPr>
        <w:pStyle w:val="MemoHeading3"/>
      </w:pPr>
      <w:r>
        <w:t>The Commission has “inherent power” to govern (and protect) its own proceedings.</w:t>
      </w:r>
    </w:p>
    <w:p w14:paraId="6069F7EB" w14:textId="76F92F5A" w:rsidR="00320396" w:rsidRDefault="008C1639" w:rsidP="000D345E">
      <w:pPr>
        <w:pStyle w:val="MemoBodyText"/>
      </w:pPr>
      <w:r>
        <w:t xml:space="preserve">Although the vexatious-litigator statute </w:t>
      </w:r>
      <w:r w:rsidR="00A73428">
        <w:t>does not by its terms apply</w:t>
      </w:r>
      <w:r>
        <w:t xml:space="preserve"> to Commission proceedings, the Commission </w:t>
      </w:r>
      <w:r w:rsidR="00320396">
        <w:t xml:space="preserve">nevertheless </w:t>
      </w:r>
      <w:r w:rsidR="000D345E">
        <w:t xml:space="preserve">has ample </w:t>
      </w:r>
      <w:r>
        <w:t>power to protect the integrity of its proceedings</w:t>
      </w:r>
      <w:r w:rsidR="000D345E">
        <w:t>, and it should exercise that power here</w:t>
      </w:r>
      <w:r>
        <w:t xml:space="preserve">. </w:t>
      </w:r>
    </w:p>
    <w:p w14:paraId="304F781C" w14:textId="06F7A665" w:rsidR="00B6148D" w:rsidRDefault="00A73428" w:rsidP="000D345E">
      <w:pPr>
        <w:pStyle w:val="MemoBodyText"/>
      </w:pPr>
      <w:r>
        <w:t xml:space="preserve">Ohio law vests </w:t>
      </w:r>
      <w:r w:rsidR="000D345E">
        <w:t>t</w:t>
      </w:r>
      <w:r w:rsidR="00131AC8">
        <w:t xml:space="preserve">he </w:t>
      </w:r>
      <w:r w:rsidR="000D345E">
        <w:t>Commission with power “</w:t>
      </w:r>
      <w:r w:rsidR="000D345E" w:rsidRPr="000D345E">
        <w:t>to govern its proceedings and to regulate the mode and manner of all valuations, tests, audits, inspections, investigations, and hearings relating to parties before it</w:t>
      </w:r>
      <w:r w:rsidR="000D345E">
        <w:t xml:space="preserve">.” R.C. 4901.13. While this power expressly includes rulemaking, </w:t>
      </w:r>
      <w:r>
        <w:t xml:space="preserve">it also provides </w:t>
      </w:r>
      <w:r w:rsidR="000D345E" w:rsidRPr="000D345E">
        <w:t xml:space="preserve">the </w:t>
      </w:r>
      <w:r>
        <w:t>Commission with “</w:t>
      </w:r>
      <w:r w:rsidR="000D345E" w:rsidRPr="000D345E">
        <w:t>discretion to decide how</w:t>
      </w:r>
      <w:r w:rsidR="000D345E">
        <w:t xml:space="preserve"> . . . </w:t>
      </w:r>
      <w:r w:rsidR="000D345E" w:rsidRPr="000D345E">
        <w:t>it may best proceed to manage and expedite the orderly flow of its business, avoid undue delay and eliminate unn</w:t>
      </w:r>
      <w:r w:rsidR="000D345E">
        <w:t xml:space="preserve">ecessary duplication of effort.” </w:t>
      </w:r>
      <w:proofErr w:type="gramStart"/>
      <w:r w:rsidR="000D345E" w:rsidRPr="000D345E">
        <w:rPr>
          <w:i/>
        </w:rPr>
        <w:t xml:space="preserve">Toledo Coalition for Safe Energy v. </w:t>
      </w:r>
      <w:r w:rsidR="000D345E">
        <w:rPr>
          <w:i/>
        </w:rPr>
        <w:t>Pub.</w:t>
      </w:r>
      <w:proofErr w:type="gramEnd"/>
      <w:r w:rsidR="000D345E">
        <w:rPr>
          <w:i/>
        </w:rPr>
        <w:t xml:space="preserve"> </w:t>
      </w:r>
      <w:proofErr w:type="gramStart"/>
      <w:r w:rsidR="000D345E">
        <w:rPr>
          <w:i/>
        </w:rPr>
        <w:t xml:space="preserve">Util. </w:t>
      </w:r>
      <w:r w:rsidR="000D345E" w:rsidRPr="000D345E">
        <w:rPr>
          <w:i/>
        </w:rPr>
        <w:t>Com</w:t>
      </w:r>
      <w:r w:rsidR="000D345E">
        <w:rPr>
          <w:i/>
        </w:rPr>
        <w:t>m.</w:t>
      </w:r>
      <w:r w:rsidR="000D345E" w:rsidRPr="000D345E">
        <w:t xml:space="preserve">, 69 Ohio St. 2d 559, </w:t>
      </w:r>
      <w:r w:rsidR="000D345E" w:rsidRPr="000D345E">
        <w:lastRenderedPageBreak/>
        <w:t>560 (1982)</w:t>
      </w:r>
      <w:r w:rsidR="000D345E">
        <w:t>.</w:t>
      </w:r>
      <w:proofErr w:type="gramEnd"/>
      <w:r w:rsidR="000D345E">
        <w:t xml:space="preserve"> </w:t>
      </w:r>
      <w:r w:rsidR="00320396">
        <w:t xml:space="preserve">This </w:t>
      </w:r>
      <w:r>
        <w:t>power has been long recognized</w:t>
      </w:r>
      <w:r w:rsidR="00320396">
        <w:t xml:space="preserve">. </w:t>
      </w:r>
      <w:proofErr w:type="gramStart"/>
      <w:r w:rsidR="00320396" w:rsidRPr="00B6148D">
        <w:rPr>
          <w:i/>
        </w:rPr>
        <w:t>State ex rel. C</w:t>
      </w:r>
      <w:r w:rsidR="00320396">
        <w:rPr>
          <w:i/>
        </w:rPr>
        <w:t>olumbus Gas &amp; Fuel Co. v. Pub.</w:t>
      </w:r>
      <w:proofErr w:type="gramEnd"/>
      <w:r w:rsidR="00320396">
        <w:rPr>
          <w:i/>
        </w:rPr>
        <w:t xml:space="preserve"> Util.</w:t>
      </w:r>
      <w:r w:rsidR="00320396" w:rsidRPr="00B6148D">
        <w:rPr>
          <w:i/>
        </w:rPr>
        <w:t xml:space="preserve"> Com</w:t>
      </w:r>
      <w:r w:rsidR="00320396">
        <w:rPr>
          <w:i/>
        </w:rPr>
        <w:t>m</w:t>
      </w:r>
      <w:r w:rsidR="00320396" w:rsidRPr="00B6148D">
        <w:rPr>
          <w:i/>
        </w:rPr>
        <w:t>.</w:t>
      </w:r>
      <w:r w:rsidR="00320396" w:rsidRPr="00B6148D">
        <w:t>, 122 Ohio St. 473, 475 (1930)</w:t>
      </w:r>
      <w:r w:rsidR="00320396">
        <w:t xml:space="preserve"> (“</w:t>
      </w:r>
      <w:r w:rsidR="00320396" w:rsidRPr="00B6148D">
        <w:t>The public utilities commission is invested with a discretion as to its order of business, and there is such a wide latitude of that discretion that this court may not lawfully interfere with it, except in extreme cases.</w:t>
      </w:r>
      <w:r w:rsidR="00320396">
        <w:t xml:space="preserve">”). </w:t>
      </w:r>
      <w:r w:rsidR="00B6148D">
        <w:t xml:space="preserve">Indeed, the Court </w:t>
      </w:r>
      <w:r>
        <w:t xml:space="preserve">has </w:t>
      </w:r>
      <w:r w:rsidR="00B6148D">
        <w:t>described the Commission as possessing “</w:t>
      </w:r>
      <w:r w:rsidR="00B6148D" w:rsidRPr="000D345E">
        <w:t>inherent power to manage the orderly flow of its business</w:t>
      </w:r>
      <w:r w:rsidR="00B6148D">
        <w:t xml:space="preserve">.” </w:t>
      </w:r>
      <w:proofErr w:type="gramStart"/>
      <w:r w:rsidR="00B6148D" w:rsidRPr="000D345E">
        <w:rPr>
          <w:i/>
        </w:rPr>
        <w:t>Sen</w:t>
      </w:r>
      <w:r w:rsidR="00B6148D">
        <w:rPr>
          <w:i/>
        </w:rPr>
        <w:t>ior Citizens Coalition v. Pub.</w:t>
      </w:r>
      <w:proofErr w:type="gramEnd"/>
      <w:r w:rsidR="00B6148D" w:rsidRPr="000D345E">
        <w:rPr>
          <w:i/>
        </w:rPr>
        <w:t xml:space="preserve"> </w:t>
      </w:r>
      <w:proofErr w:type="gramStart"/>
      <w:r w:rsidR="00B6148D" w:rsidRPr="000D345E">
        <w:rPr>
          <w:i/>
        </w:rPr>
        <w:t>Util</w:t>
      </w:r>
      <w:r w:rsidR="00B6148D">
        <w:rPr>
          <w:i/>
        </w:rPr>
        <w:t>.</w:t>
      </w:r>
      <w:r w:rsidR="00B6148D" w:rsidRPr="000D345E">
        <w:rPr>
          <w:i/>
        </w:rPr>
        <w:t xml:space="preserve"> Com</w:t>
      </w:r>
      <w:r w:rsidR="00B6148D">
        <w:rPr>
          <w:i/>
        </w:rPr>
        <w:t>m</w:t>
      </w:r>
      <w:r w:rsidR="00B6148D">
        <w:t>., 69 Ohio St.</w:t>
      </w:r>
      <w:r w:rsidR="00B6148D" w:rsidRPr="000D345E">
        <w:t>2d 625, 627 (1982)</w:t>
      </w:r>
      <w:r w:rsidR="00B6148D">
        <w:t>.</w:t>
      </w:r>
      <w:proofErr w:type="gramEnd"/>
    </w:p>
    <w:p w14:paraId="042C8DFF" w14:textId="623812E3" w:rsidR="00BA151B" w:rsidRDefault="00A73428" w:rsidP="00BA151B">
      <w:pPr>
        <w:pStyle w:val="MemoBodyText"/>
      </w:pPr>
      <w:r>
        <w:t>T</w:t>
      </w:r>
      <w:r w:rsidR="00320396">
        <w:t xml:space="preserve">he Court </w:t>
      </w:r>
      <w:r w:rsidR="00B6148D">
        <w:t xml:space="preserve">has </w:t>
      </w:r>
      <w:r w:rsidR="00320396">
        <w:t xml:space="preserve">repeatedly </w:t>
      </w:r>
      <w:r w:rsidR="00B6148D">
        <w:t xml:space="preserve">recognized </w:t>
      </w:r>
      <w:r>
        <w:t xml:space="preserve">that the Commission’s power includes </w:t>
      </w:r>
      <w:r w:rsidR="00B6148D">
        <w:t>the power to limit</w:t>
      </w:r>
      <w:r w:rsidR="00320396">
        <w:t>—and even prohibit—</w:t>
      </w:r>
      <w:r w:rsidR="00B6148D">
        <w:t xml:space="preserve">participation in its proceedings. </w:t>
      </w:r>
      <w:r w:rsidR="00320396">
        <w:t xml:space="preserve">It </w:t>
      </w:r>
      <w:r w:rsidR="00B6148D">
        <w:t xml:space="preserve">has recognized that </w:t>
      </w:r>
      <w:r w:rsidR="00055E44">
        <w:t>a “concomitant”</w:t>
      </w:r>
      <w:r w:rsidR="00320396">
        <w:t xml:space="preserve"> of the Commission’s </w:t>
      </w:r>
      <w:r w:rsidR="00B6148D">
        <w:t>statutory “</w:t>
      </w:r>
      <w:r w:rsidR="00B6148D" w:rsidRPr="000D345E">
        <w:t>authority to regulate the manner and mode of its hearings</w:t>
      </w:r>
      <w:r w:rsidR="00B6148D">
        <w:t xml:space="preserve">” </w:t>
      </w:r>
      <w:r w:rsidR="00320396">
        <w:t>includes</w:t>
      </w:r>
      <w:r w:rsidR="00B6148D">
        <w:t xml:space="preserve"> “</w:t>
      </w:r>
      <w:r w:rsidR="00B6148D" w:rsidRPr="000D345E">
        <w:t>discretionary power to permit or deny intervention in its proceedings.</w:t>
      </w:r>
      <w:r w:rsidR="00B6148D">
        <w:t xml:space="preserve">” </w:t>
      </w:r>
      <w:proofErr w:type="gramStart"/>
      <w:r w:rsidR="00B6148D" w:rsidRPr="000D345E">
        <w:rPr>
          <w:i/>
        </w:rPr>
        <w:t>Toledo Coalition</w:t>
      </w:r>
      <w:r w:rsidR="00B6148D" w:rsidRPr="000D345E">
        <w:t xml:space="preserve">, 69 Ohio St. 2d </w:t>
      </w:r>
      <w:r w:rsidR="00CF288A">
        <w:t xml:space="preserve">at </w:t>
      </w:r>
      <w:r w:rsidR="00B6148D" w:rsidRPr="000D345E">
        <w:t>560</w:t>
      </w:r>
      <w:r w:rsidR="00B6148D">
        <w:t>.</w:t>
      </w:r>
      <w:proofErr w:type="gramEnd"/>
      <w:r w:rsidR="00320396">
        <w:t xml:space="preserve"> </w:t>
      </w:r>
      <w:r w:rsidR="00CF288A">
        <w:t xml:space="preserve">Similarly, the </w:t>
      </w:r>
      <w:r w:rsidR="00BA151B">
        <w:t>“discretionary authority of the commis</w:t>
      </w:r>
      <w:r w:rsidR="00CF288A">
        <w:t>sion to control its proceedings</w:t>
      </w:r>
      <w:r w:rsidR="00BA151B">
        <w:t xml:space="preserve">” includes </w:t>
      </w:r>
      <w:r w:rsidR="00CF288A">
        <w:t>the power to determine</w:t>
      </w:r>
      <w:r w:rsidR="00BA151B">
        <w:t xml:space="preserve"> whether a party has a </w:t>
      </w:r>
      <w:r w:rsidR="00B6148D">
        <w:t>“right of participation in the hearing</w:t>
      </w:r>
      <w:r w:rsidR="00BA151B">
        <w:t xml:space="preserve">.” </w:t>
      </w:r>
      <w:proofErr w:type="gramStart"/>
      <w:r w:rsidR="00B6148D">
        <w:rPr>
          <w:i/>
        </w:rPr>
        <w:t>Office of Consumers’</w:t>
      </w:r>
      <w:r w:rsidR="00B6148D" w:rsidRPr="00B6148D">
        <w:rPr>
          <w:i/>
        </w:rPr>
        <w:t xml:space="preserve"> Counsel v. Pub</w:t>
      </w:r>
      <w:r w:rsidR="00B6148D">
        <w:rPr>
          <w:i/>
        </w:rPr>
        <w:t>.</w:t>
      </w:r>
      <w:proofErr w:type="gramEnd"/>
      <w:r w:rsidR="00B6148D">
        <w:rPr>
          <w:i/>
        </w:rPr>
        <w:t xml:space="preserve"> Util.</w:t>
      </w:r>
      <w:r w:rsidR="00B6148D" w:rsidRPr="00B6148D">
        <w:rPr>
          <w:i/>
        </w:rPr>
        <w:t xml:space="preserve"> Com</w:t>
      </w:r>
      <w:r w:rsidR="00B6148D">
        <w:rPr>
          <w:i/>
        </w:rPr>
        <w:t>m</w:t>
      </w:r>
      <w:r w:rsidR="00B6148D" w:rsidRPr="00B6148D">
        <w:rPr>
          <w:i/>
        </w:rPr>
        <w:t>.</w:t>
      </w:r>
      <w:r w:rsidR="00B6148D">
        <w:t>, 56 Ohio St.2d 220, 229 (1978).</w:t>
      </w:r>
      <w:r w:rsidR="00BA151B">
        <w:t xml:space="preserve"> And the Commission is also permitted to dismiss complaints without granting a hearing. </w:t>
      </w:r>
      <w:proofErr w:type="gramStart"/>
      <w:r w:rsidR="00BA151B" w:rsidRPr="00BA151B">
        <w:rPr>
          <w:i/>
        </w:rPr>
        <w:t>Cleveland v. Pub</w:t>
      </w:r>
      <w:r w:rsidR="00BA151B">
        <w:rPr>
          <w:i/>
        </w:rPr>
        <w:t>.</w:t>
      </w:r>
      <w:proofErr w:type="gramEnd"/>
      <w:r w:rsidR="00BA151B" w:rsidRPr="00BA151B">
        <w:rPr>
          <w:i/>
        </w:rPr>
        <w:t xml:space="preserve"> </w:t>
      </w:r>
      <w:proofErr w:type="gramStart"/>
      <w:r w:rsidR="00BA151B" w:rsidRPr="00BA151B">
        <w:rPr>
          <w:i/>
        </w:rPr>
        <w:t>Util</w:t>
      </w:r>
      <w:r w:rsidR="00BA151B">
        <w:rPr>
          <w:i/>
        </w:rPr>
        <w:t>.</w:t>
      </w:r>
      <w:r w:rsidR="00BA151B" w:rsidRPr="00BA151B">
        <w:rPr>
          <w:i/>
        </w:rPr>
        <w:t xml:space="preserve"> Com</w:t>
      </w:r>
      <w:r w:rsidR="00BA151B">
        <w:rPr>
          <w:i/>
        </w:rPr>
        <w:t>m</w:t>
      </w:r>
      <w:r w:rsidR="00BA151B" w:rsidRPr="00BA151B">
        <w:rPr>
          <w:i/>
        </w:rPr>
        <w:t>.</w:t>
      </w:r>
      <w:r w:rsidR="00BA151B">
        <w:t>, 64 Ohio St.2d 209, 217 (1980) (affirming that “the commi</w:t>
      </w:r>
      <w:r w:rsidR="00CF288A">
        <w:t>ssion properly denied appellant’</w:t>
      </w:r>
      <w:r w:rsidR="00BA151B">
        <w:t>s request for a hearing” for failing to state reasonable grounds under R.C. 4905.26).</w:t>
      </w:r>
      <w:proofErr w:type="gramEnd"/>
    </w:p>
    <w:p w14:paraId="7D7D867D" w14:textId="7DF705E3" w:rsidR="00854379" w:rsidRDefault="00854379" w:rsidP="00BA151B">
      <w:pPr>
        <w:pStyle w:val="MemoBodyText"/>
      </w:pPr>
      <w:r>
        <w:t xml:space="preserve">The Commission </w:t>
      </w:r>
      <w:r w:rsidR="00CF288A">
        <w:t xml:space="preserve">itself </w:t>
      </w:r>
      <w:r>
        <w:t xml:space="preserve">has recognized that there are limits to a complainant’s right to burden the system with repeat filings. In dismissing a case for lack of jurisdiction, the Commission </w:t>
      </w:r>
      <w:proofErr w:type="gramStart"/>
      <w:r>
        <w:t>emphasized that</w:t>
      </w:r>
      <w:proofErr w:type="gramEnd"/>
      <w:r>
        <w:t xml:space="preserve"> </w:t>
      </w:r>
      <w:r w:rsidRPr="003C002F">
        <w:t xml:space="preserve">“the repeated filings and initiation of proceedings by </w:t>
      </w:r>
      <w:r>
        <w:t xml:space="preserve">[complainant] </w:t>
      </w:r>
      <w:r w:rsidRPr="003C002F">
        <w:t xml:space="preserve">have produced voluminous efforts by the Commission staff, by respondents, and by interested parties. While the Commission is always ready to address any legitimate consumer concern, and to determine which concerns may or may not be legitimate, it cannot repeatedly address </w:t>
      </w:r>
      <w:r w:rsidRPr="003C002F">
        <w:lastRenderedPageBreak/>
        <w:t>irrelevant discourses on the personal history between a complainant and a comp</w:t>
      </w:r>
      <w:r>
        <w:t xml:space="preserve">any.” </w:t>
      </w:r>
      <w:r>
        <w:rPr>
          <w:i/>
        </w:rPr>
        <w:t>Carpenter v. Ohio Power</w:t>
      </w:r>
      <w:r>
        <w:t xml:space="preserve">, Case No. 89-1763-EL-CSS, </w:t>
      </w:r>
      <w:r w:rsidR="00B40287" w:rsidRPr="00B40287">
        <w:t>1990 Ohio PUC LEXIS 51</w:t>
      </w:r>
      <w:r w:rsidR="00B40287">
        <w:t>,</w:t>
      </w:r>
      <w:r w:rsidR="00B40287" w:rsidRPr="00B40287">
        <w:t xml:space="preserve"> </w:t>
      </w:r>
      <w:r>
        <w:t xml:space="preserve">Entry </w:t>
      </w:r>
      <w:r w:rsidR="00B40287">
        <w:t>at *4–5</w:t>
      </w:r>
      <w:r>
        <w:t xml:space="preserve"> (Jan. 17, 1990).</w:t>
      </w:r>
    </w:p>
    <w:p w14:paraId="1FBCAB69" w14:textId="6F755957" w:rsidR="00CF288A" w:rsidRDefault="00CF288A" w:rsidP="00CF288A">
      <w:pPr>
        <w:pStyle w:val="MemoHeading2"/>
      </w:pPr>
      <w:r>
        <w:t>Good cause exists to limit Ms. Tandy’s right to file complaints or the Companies’ duty to respond.</w:t>
      </w:r>
    </w:p>
    <w:p w14:paraId="450528FD" w14:textId="08A9DAEA" w:rsidR="00BA151B" w:rsidRPr="00055E44" w:rsidRDefault="00BA151B" w:rsidP="00B6148D">
      <w:pPr>
        <w:pStyle w:val="MemoBodyText"/>
      </w:pPr>
      <w:r>
        <w:t xml:space="preserve">In short, </w:t>
      </w:r>
      <w:r w:rsidR="00CF288A">
        <w:t xml:space="preserve">Ohio law makes clear that </w:t>
      </w:r>
      <w:r w:rsidR="00B6148D">
        <w:t xml:space="preserve">the Commission </w:t>
      </w:r>
      <w:r w:rsidR="00CF288A">
        <w:t xml:space="preserve">has power to govern and control its proceedings, and it has discretion to </w:t>
      </w:r>
      <w:r>
        <w:t xml:space="preserve">deny intervention, deny participation in a hearing, and dismiss </w:t>
      </w:r>
      <w:r w:rsidR="00CF288A">
        <w:t xml:space="preserve">a </w:t>
      </w:r>
      <w:r>
        <w:t xml:space="preserve">complaint without hearing. </w:t>
      </w:r>
      <w:r w:rsidR="007C0575">
        <w:t xml:space="preserve">And the Commission has already recognized the burdens imposed on itself and on respondents by vexatious litigation. </w:t>
      </w:r>
      <w:r>
        <w:t xml:space="preserve">There is no reason </w:t>
      </w:r>
      <w:r w:rsidR="007C0575">
        <w:t>the Commission</w:t>
      </w:r>
      <w:r>
        <w:t xml:space="preserve"> could not </w:t>
      </w:r>
      <w:r w:rsidR="007C0575">
        <w:t>exercise its governing power</w:t>
      </w:r>
      <w:r>
        <w:t xml:space="preserve">, in an appropriate circumstance, </w:t>
      </w:r>
      <w:r w:rsidR="007C0575">
        <w:t xml:space="preserve">to </w:t>
      </w:r>
      <w:r w:rsidR="008D014C">
        <w:t xml:space="preserve">require </w:t>
      </w:r>
      <w:r w:rsidR="00B604C5">
        <w:t xml:space="preserve">a complainant to make a preliminary showing of “reasonable grounds” </w:t>
      </w:r>
      <w:r w:rsidR="00B604C5" w:rsidRPr="007C0575">
        <w:rPr>
          <w:i/>
        </w:rPr>
        <w:t xml:space="preserve">before </w:t>
      </w:r>
      <w:r w:rsidR="00B604C5">
        <w:t>requiring respondents to incur the costs of responding</w:t>
      </w:r>
      <w:r w:rsidR="008D014C">
        <w:t xml:space="preserve">. </w:t>
      </w:r>
      <w:r w:rsidR="007C0575">
        <w:t>(</w:t>
      </w:r>
      <w:r w:rsidR="00B604C5">
        <w:t>S</w:t>
      </w:r>
      <w:r w:rsidR="008D014C">
        <w:t xml:space="preserve">uch </w:t>
      </w:r>
      <w:r w:rsidR="00B604C5">
        <w:t xml:space="preserve">relief would be essentially identical to </w:t>
      </w:r>
      <w:r w:rsidR="007C0575">
        <w:t>a waiver of</w:t>
      </w:r>
      <w:r w:rsidR="00B604C5">
        <w:t xml:space="preserve"> the rule-based requirement that companies file answers under Ohio Adm. Code 4901-9-01(B).</w:t>
      </w:r>
      <w:r w:rsidR="007C0575">
        <w:t>)</w:t>
      </w:r>
      <w:r w:rsidR="00055E44">
        <w:t xml:space="preserve"> </w:t>
      </w:r>
    </w:p>
    <w:p w14:paraId="2885A7D4" w14:textId="77777777" w:rsidR="00CF288A" w:rsidRDefault="00B604C5" w:rsidP="00CF288A">
      <w:pPr>
        <w:pStyle w:val="MemoBodyText"/>
      </w:pPr>
      <w:r>
        <w:t>The Commission should exercise its power here and prevent further abuse of the complaint process by Ms. Tandy.</w:t>
      </w:r>
      <w:r w:rsidR="00FA49BF">
        <w:t xml:space="preserve"> </w:t>
      </w:r>
      <w:r w:rsidR="00CF288A">
        <w:t>Accordingly, t</w:t>
      </w:r>
      <w:r w:rsidR="00FA49BF">
        <w:t xml:space="preserve">he Companies respectfully request that the Commission </w:t>
      </w:r>
      <w:r w:rsidR="00CF288A">
        <w:t xml:space="preserve">issue an entry establishing one of two things: </w:t>
      </w:r>
    </w:p>
    <w:p w14:paraId="61F7B9B0" w14:textId="0685CDB7" w:rsidR="00CF288A" w:rsidRDefault="00CF288A" w:rsidP="00CF288A">
      <w:pPr>
        <w:pStyle w:val="MemoBodyText"/>
        <w:numPr>
          <w:ilvl w:val="0"/>
          <w:numId w:val="13"/>
        </w:numPr>
        <w:spacing w:after="240" w:line="240" w:lineRule="auto"/>
        <w:ind w:left="1440" w:hanging="720"/>
      </w:pPr>
      <w:proofErr w:type="gramStart"/>
      <w:r>
        <w:t>that</w:t>
      </w:r>
      <w:proofErr w:type="gramEnd"/>
      <w:r>
        <w:t xml:space="preserve"> Ms. Tandy will not be permitted to file future complaints unless she first receives leave from the Commission or its designee (such </w:t>
      </w:r>
      <w:r w:rsidR="00055E44">
        <w:t xml:space="preserve">as </w:t>
      </w:r>
      <w:r>
        <w:t>an attorney examiner or member of the Commission’s Service Monitoring and Enforcement Division)</w:t>
      </w:r>
      <w:r w:rsidR="00055E44">
        <w:t xml:space="preserve">; </w:t>
      </w:r>
      <w:r w:rsidR="00B40287">
        <w:br/>
      </w:r>
      <w:r w:rsidR="00B40287">
        <w:br/>
      </w:r>
      <w:r w:rsidR="00055E44" w:rsidRPr="00B40287">
        <w:rPr>
          <w:i/>
        </w:rPr>
        <w:t>or</w:t>
      </w:r>
    </w:p>
    <w:p w14:paraId="6F52267A" w14:textId="63A54D1A" w:rsidR="00CF288A" w:rsidRDefault="00CF288A" w:rsidP="00CF288A">
      <w:pPr>
        <w:pStyle w:val="MemoBodyText"/>
        <w:numPr>
          <w:ilvl w:val="0"/>
          <w:numId w:val="13"/>
        </w:numPr>
        <w:spacing w:after="240" w:line="240" w:lineRule="auto"/>
        <w:ind w:left="1440" w:hanging="720"/>
      </w:pPr>
      <w:proofErr w:type="gramStart"/>
      <w:r>
        <w:t>that</w:t>
      </w:r>
      <w:proofErr w:type="gramEnd"/>
      <w:r>
        <w:t xml:space="preserve"> the Companies will have no duty to file a responsive pleading to a complaint filed by Ms. Tandy unless affirmatively ordered by the Commission. </w:t>
      </w:r>
    </w:p>
    <w:p w14:paraId="5D046D20" w14:textId="378B40A9" w:rsidR="007C0575" w:rsidRDefault="007C0575" w:rsidP="00CF288A">
      <w:pPr>
        <w:pStyle w:val="MemoBodyText"/>
        <w:ind w:firstLine="0"/>
      </w:pPr>
      <w:r>
        <w:t xml:space="preserve">The Companies recommend that proceedings only be permitted to continue if Ms. Tandy clears the </w:t>
      </w:r>
      <w:r w:rsidRPr="00FA49BF">
        <w:t xml:space="preserve">minimal </w:t>
      </w:r>
      <w:r>
        <w:t>hurdle of understandably articulating an issue that both (</w:t>
      </w:r>
      <w:r w:rsidRPr="00FA49BF">
        <w:rPr>
          <w:i/>
        </w:rPr>
        <w:t>1</w:t>
      </w:r>
      <w:r>
        <w:t>) has not been raised before and (</w:t>
      </w:r>
      <w:r w:rsidRPr="00FA49BF">
        <w:rPr>
          <w:i/>
        </w:rPr>
        <w:t>2</w:t>
      </w:r>
      <w:r>
        <w:t>) would demonstrate, if the facts were proven true, potentially unreasonable or unlawful conduct on the part of the Companies.</w:t>
      </w:r>
    </w:p>
    <w:p w14:paraId="1A506D28" w14:textId="56319535" w:rsidR="00FA49BF" w:rsidRDefault="00FA49BF" w:rsidP="007C0575">
      <w:pPr>
        <w:pStyle w:val="MemoBodyText"/>
      </w:pPr>
      <w:r>
        <w:lastRenderedPageBreak/>
        <w:t xml:space="preserve">The Companies </w:t>
      </w:r>
      <w:r w:rsidR="00CF288A">
        <w:t xml:space="preserve">do not lightly ask this of the Commission. But they </w:t>
      </w:r>
      <w:r>
        <w:t xml:space="preserve">have demonstrated in detail above that </w:t>
      </w:r>
      <w:r w:rsidR="00854379">
        <w:t xml:space="preserve">Ms. Tandy has burdened the Commission and the Companies with </w:t>
      </w:r>
      <w:r>
        <w:t>repetitive, voluminous, and utterly meritless filings—again</w:t>
      </w:r>
      <w:r w:rsidR="00B40287">
        <w:t>,</w:t>
      </w:r>
      <w:r>
        <w:t xml:space="preserve"> </w:t>
      </w:r>
      <w:r w:rsidR="00055E44">
        <w:t>seven separate dockets, approaching a thousand pages of filings</w:t>
      </w:r>
      <w:r w:rsidR="00854379">
        <w:t xml:space="preserve">. There is no sign that these repetitive, meritless filings will let up. Indeed, there is no sign that the dismissals of </w:t>
      </w:r>
      <w:r w:rsidR="00854379">
        <w:rPr>
          <w:i/>
        </w:rPr>
        <w:t>Tandy I</w:t>
      </w:r>
      <w:r w:rsidR="00CF288A">
        <w:t>,</w:t>
      </w:r>
      <w:r w:rsidR="00854379">
        <w:t xml:space="preserve"> </w:t>
      </w:r>
      <w:r w:rsidR="00854379">
        <w:rPr>
          <w:i/>
        </w:rPr>
        <w:t>Tandy II</w:t>
      </w:r>
      <w:r w:rsidR="00CF288A">
        <w:t xml:space="preserve">, or </w:t>
      </w:r>
      <w:r>
        <w:rPr>
          <w:i/>
        </w:rPr>
        <w:t xml:space="preserve">Tandy v. FES </w:t>
      </w:r>
      <w:r w:rsidR="00854379">
        <w:t>have</w:t>
      </w:r>
      <w:r w:rsidR="00854379">
        <w:rPr>
          <w:i/>
        </w:rPr>
        <w:t xml:space="preserve"> </w:t>
      </w:r>
      <w:r w:rsidR="00854379">
        <w:t xml:space="preserve">left any impression on Ms. Tandy or that those </w:t>
      </w:r>
      <w:r>
        <w:t xml:space="preserve">dismissals will help stem the tide. The cases and rules cited above show that the repetitive submission of the same meritless claim constitutes vexatious </w:t>
      </w:r>
      <w:r w:rsidR="00055E44">
        <w:t>litigation</w:t>
      </w:r>
      <w:r>
        <w:t xml:space="preserve"> and that such conduct should be sanctioned. </w:t>
      </w:r>
    </w:p>
    <w:p w14:paraId="3AF47D6C" w14:textId="743C6AAF" w:rsidR="00854379" w:rsidRDefault="00FA49BF" w:rsidP="00B604C5">
      <w:pPr>
        <w:pStyle w:val="MemoBodyText"/>
      </w:pPr>
      <w:r>
        <w:t xml:space="preserve">The Companies </w:t>
      </w:r>
      <w:r w:rsidR="00CF288A">
        <w:t>do not seek</w:t>
      </w:r>
      <w:r>
        <w:t xml:space="preserve"> a harsh sanction against Ms. Tandy—such as costs and fee</w:t>
      </w:r>
      <w:r w:rsidR="00CF288A">
        <w:t>s</w:t>
      </w:r>
      <w:r>
        <w:t xml:space="preserve">. They are not even asking that she be generally prohibited from filing complaints—although such relief </w:t>
      </w:r>
      <w:r w:rsidR="00CF288A">
        <w:t xml:space="preserve">could </w:t>
      </w:r>
      <w:r>
        <w:t>be safely granted</w:t>
      </w:r>
      <w:r w:rsidR="00CF288A">
        <w:t xml:space="preserve"> here</w:t>
      </w:r>
      <w:r>
        <w:t xml:space="preserve">. They merely ask that </w:t>
      </w:r>
      <w:r w:rsidRPr="00FA49BF">
        <w:rPr>
          <w:i/>
        </w:rPr>
        <w:t xml:space="preserve">before </w:t>
      </w:r>
      <w:r>
        <w:t xml:space="preserve">they are required to incur the substantial expenses of reviewing Ms. Tandy’s voluminous filings, drafting responsive pleadings and dispositive motions, and attending (likely alone) settlement conferences and hearings, Ms. Tandy </w:t>
      </w:r>
      <w:r w:rsidRPr="00FA49BF">
        <w:rPr>
          <w:i/>
        </w:rPr>
        <w:t xml:space="preserve">first </w:t>
      </w:r>
      <w:r>
        <w:t xml:space="preserve">be required to </w:t>
      </w:r>
      <w:r w:rsidR="00CF288A">
        <w:t xml:space="preserve">make a very minimal showing. </w:t>
      </w:r>
    </w:p>
    <w:p w14:paraId="390396E1" w14:textId="4849FB10" w:rsidR="007C0575" w:rsidRDefault="007C0575" w:rsidP="00B604C5">
      <w:pPr>
        <w:pStyle w:val="MemoBodyText"/>
      </w:pPr>
      <w:r>
        <w:t>Seven complaints have made it clear that the normal remedy of dismissal with prejudice will not suffice. The record shows that an extraordinary remedy is needed here.</w:t>
      </w:r>
    </w:p>
    <w:p w14:paraId="4CD5ACDE" w14:textId="3C558CB4" w:rsidR="007C0575" w:rsidRPr="00854379" w:rsidRDefault="007C0575" w:rsidP="007C0575">
      <w:pPr>
        <w:pStyle w:val="MemoHeading1"/>
      </w:pPr>
      <w:r>
        <w:t>CONCLUSION</w:t>
      </w:r>
    </w:p>
    <w:p w14:paraId="554A27C5" w14:textId="6C402C12" w:rsidR="00EF7556" w:rsidRDefault="007C0575" w:rsidP="00B40287">
      <w:pPr>
        <w:pStyle w:val="MemoBodyText"/>
      </w:pPr>
      <w:r>
        <w:t>For the reasons stated above</w:t>
      </w:r>
      <w:r w:rsidR="00EF7556">
        <w:t xml:space="preserve">, </w:t>
      </w:r>
      <w:r>
        <w:t>the Companies respectfully request</w:t>
      </w:r>
      <w:r w:rsidR="00EF7556">
        <w:t xml:space="preserve"> that the Commission grant </w:t>
      </w:r>
      <w:r>
        <w:t xml:space="preserve">their </w:t>
      </w:r>
      <w:r w:rsidR="006912AE">
        <w:t xml:space="preserve">Joint </w:t>
      </w:r>
      <w:r>
        <w:t>M</w:t>
      </w:r>
      <w:r w:rsidR="00EF7556">
        <w:t xml:space="preserve">otion </w:t>
      </w:r>
      <w:r w:rsidR="0097576E">
        <w:t xml:space="preserve">for </w:t>
      </w:r>
      <w:r>
        <w:t>Relief from Vexatious Litigation</w:t>
      </w:r>
      <w:r w:rsidR="00EF7556">
        <w:t xml:space="preserve">. </w:t>
      </w:r>
      <w:r w:rsidR="00B40287">
        <w:br/>
      </w:r>
      <w:r w:rsidR="00B40287">
        <w:br/>
      </w:r>
      <w:r w:rsidR="00B40287">
        <w:br/>
      </w:r>
      <w:r w:rsidR="00B40287">
        <w:br/>
      </w:r>
    </w:p>
    <w:p w14:paraId="5DA26E9A" w14:textId="77777777" w:rsidR="000E4758" w:rsidRPr="0032154A" w:rsidRDefault="000E4758" w:rsidP="000E4758">
      <w:pPr>
        <w:tabs>
          <w:tab w:val="left" w:pos="5040"/>
        </w:tabs>
        <w:spacing w:before="240"/>
        <w:rPr>
          <w:rFonts w:ascii="Times New Roman" w:hAnsi="Times New Roman" w:cs="Times New Roman"/>
        </w:rPr>
      </w:pPr>
      <w:r>
        <w:rPr>
          <w:rFonts w:ascii="Times New Roman" w:hAnsi="Times New Roman" w:cs="Times New Roman"/>
        </w:rPr>
        <w:lastRenderedPageBreak/>
        <w:t>Dated: March 16, 2015</w:t>
      </w:r>
      <w:r>
        <w:rPr>
          <w:rFonts w:ascii="Times New Roman" w:hAnsi="Times New Roman" w:cs="Times New Roman"/>
        </w:rPr>
        <w:tab/>
      </w:r>
      <w:proofErr w:type="gramStart"/>
      <w:r>
        <w:rPr>
          <w:rFonts w:ascii="Times New Roman" w:hAnsi="Times New Roman" w:cs="Times New Roman"/>
        </w:rPr>
        <w:t>Respectfully</w:t>
      </w:r>
      <w:proofErr w:type="gramEnd"/>
      <w:r>
        <w:rPr>
          <w:rFonts w:ascii="Times New Roman" w:hAnsi="Times New Roman" w:cs="Times New Roman"/>
        </w:rPr>
        <w:t xml:space="preserve"> submitted,</w:t>
      </w:r>
    </w:p>
    <w:p w14:paraId="3B79E7D5" w14:textId="77777777" w:rsidR="000E4758" w:rsidRPr="0032154A" w:rsidRDefault="000E4758" w:rsidP="000E4758">
      <w:pPr>
        <w:ind w:left="5040"/>
        <w:rPr>
          <w:rFonts w:ascii="Times New Roman" w:hAnsi="Times New Roman" w:cs="Times New Roman"/>
        </w:rPr>
      </w:pPr>
    </w:p>
    <w:p w14:paraId="4EBFA0B5" w14:textId="77777777" w:rsidR="000E4758" w:rsidRPr="0032154A" w:rsidRDefault="000E4758" w:rsidP="000E4758">
      <w:pPr>
        <w:ind w:left="5040"/>
        <w:rPr>
          <w:rFonts w:ascii="Times New Roman" w:hAnsi="Times New Roman" w:cs="Times New Roman"/>
        </w:rPr>
      </w:pPr>
      <w:r>
        <w:rPr>
          <w:rFonts w:ascii="Times New Roman" w:hAnsi="Times New Roman" w:cs="Times New Roman"/>
          <w:u w:val="single"/>
        </w:rPr>
        <w:t>/s/ Andrew J. Campbell</w:t>
      </w:r>
      <w:r>
        <w:rPr>
          <w:rFonts w:ascii="Times New Roman" w:hAnsi="Times New Roman" w:cs="Times New Roman"/>
          <w:u w:val="single"/>
        </w:rPr>
        <w:tab/>
      </w:r>
      <w:r>
        <w:rPr>
          <w:rFonts w:ascii="Times New Roman" w:hAnsi="Times New Roman" w:cs="Times New Roman"/>
          <w:u w:val="single"/>
        </w:rPr>
        <w:tab/>
      </w:r>
      <w:r w:rsidRPr="0032154A">
        <w:rPr>
          <w:rFonts w:ascii="Times New Roman" w:hAnsi="Times New Roman" w:cs="Times New Roman"/>
          <w:u w:val="single"/>
        </w:rPr>
        <w:tab/>
      </w:r>
    </w:p>
    <w:p w14:paraId="288520CA" w14:textId="77777777" w:rsidR="000E4758" w:rsidRPr="00F81B71" w:rsidRDefault="000E4758" w:rsidP="000E4758">
      <w:pPr>
        <w:keepLines/>
        <w:ind w:left="5040"/>
        <w:rPr>
          <w:rFonts w:ascii="Times New Roman" w:hAnsi="Times New Roman"/>
        </w:rPr>
      </w:pPr>
      <w:r w:rsidRPr="00F81B71">
        <w:rPr>
          <w:rFonts w:ascii="Times New Roman" w:hAnsi="Times New Roman"/>
        </w:rPr>
        <w:t>Mark A. Whitt (0067996)</w:t>
      </w:r>
    </w:p>
    <w:p w14:paraId="1647A17A" w14:textId="77777777" w:rsidR="000E4758" w:rsidRDefault="000E4758" w:rsidP="000E4758">
      <w:pPr>
        <w:keepLines/>
        <w:ind w:left="5040"/>
        <w:rPr>
          <w:rFonts w:ascii="Times New Roman" w:hAnsi="Times New Roman"/>
        </w:rPr>
      </w:pPr>
      <w:r w:rsidRPr="00F81B71">
        <w:rPr>
          <w:rFonts w:ascii="Times New Roman" w:hAnsi="Times New Roman"/>
        </w:rPr>
        <w:t>Andrew J. Campbell (0081485)</w:t>
      </w:r>
    </w:p>
    <w:p w14:paraId="550A92B8" w14:textId="77777777" w:rsidR="000E4758" w:rsidRPr="00F81B71" w:rsidRDefault="000E4758" w:rsidP="000E4758">
      <w:pPr>
        <w:keepLines/>
        <w:ind w:left="5040"/>
        <w:rPr>
          <w:rFonts w:ascii="Times New Roman" w:hAnsi="Times New Roman"/>
        </w:rPr>
      </w:pPr>
      <w:r>
        <w:rPr>
          <w:rFonts w:ascii="Times New Roman" w:hAnsi="Times New Roman"/>
        </w:rPr>
        <w:t>Rebekah J. Glover (</w:t>
      </w:r>
      <w:r w:rsidRPr="00F81B71">
        <w:rPr>
          <w:rFonts w:ascii="Times New Roman" w:hAnsi="Times New Roman"/>
        </w:rPr>
        <w:t>0088798</w:t>
      </w:r>
      <w:r>
        <w:rPr>
          <w:rFonts w:ascii="Times New Roman" w:hAnsi="Times New Roman"/>
        </w:rPr>
        <w:t>)</w:t>
      </w:r>
    </w:p>
    <w:p w14:paraId="11AB8F0A" w14:textId="77777777" w:rsidR="000E4758" w:rsidRPr="00F81B71" w:rsidRDefault="000E4758" w:rsidP="000E4758">
      <w:pPr>
        <w:keepLines/>
        <w:ind w:left="5040"/>
        <w:rPr>
          <w:rFonts w:ascii="Times New Roman" w:hAnsi="Times New Roman"/>
        </w:rPr>
      </w:pPr>
      <w:r w:rsidRPr="00F81B71">
        <w:rPr>
          <w:rFonts w:ascii="Times New Roman" w:hAnsi="Times New Roman"/>
        </w:rPr>
        <w:t>WHITT STURTEVANT LLP</w:t>
      </w:r>
    </w:p>
    <w:p w14:paraId="7D9B1F36" w14:textId="77777777" w:rsidR="000E4758" w:rsidRPr="00F81B71" w:rsidRDefault="000E4758" w:rsidP="000E4758">
      <w:pPr>
        <w:keepLines/>
        <w:ind w:left="5040"/>
        <w:rPr>
          <w:rFonts w:ascii="Times New Roman" w:hAnsi="Times New Roman"/>
        </w:rPr>
      </w:pPr>
      <w:r w:rsidRPr="00F81B71">
        <w:rPr>
          <w:rFonts w:ascii="Times New Roman" w:hAnsi="Times New Roman"/>
        </w:rPr>
        <w:t>The KeyBank Building, Suite 1590</w:t>
      </w:r>
    </w:p>
    <w:p w14:paraId="43095DBE" w14:textId="77777777" w:rsidR="000E4758" w:rsidRPr="00F81B71" w:rsidRDefault="000E4758" w:rsidP="000E4758">
      <w:pPr>
        <w:keepLines/>
        <w:ind w:left="5040"/>
        <w:rPr>
          <w:rFonts w:ascii="Times New Roman" w:hAnsi="Times New Roman"/>
        </w:rPr>
      </w:pPr>
      <w:r w:rsidRPr="00F81B71">
        <w:rPr>
          <w:rFonts w:ascii="Times New Roman" w:hAnsi="Times New Roman"/>
        </w:rPr>
        <w:t>88 East Broad Street</w:t>
      </w:r>
    </w:p>
    <w:p w14:paraId="595E1711" w14:textId="77777777" w:rsidR="000E4758" w:rsidRPr="00F81B71" w:rsidRDefault="000E4758" w:rsidP="000E4758">
      <w:pPr>
        <w:keepLines/>
        <w:ind w:left="5040"/>
        <w:rPr>
          <w:rFonts w:ascii="Times New Roman" w:hAnsi="Times New Roman"/>
        </w:rPr>
      </w:pPr>
      <w:r w:rsidRPr="00F81B71">
        <w:rPr>
          <w:rFonts w:ascii="Times New Roman" w:hAnsi="Times New Roman"/>
        </w:rPr>
        <w:t>Columbus, Ohio 43215</w:t>
      </w:r>
    </w:p>
    <w:p w14:paraId="09A7C73D" w14:textId="77777777" w:rsidR="000E4758" w:rsidRPr="00F81B71" w:rsidRDefault="000E4758" w:rsidP="000E4758">
      <w:pPr>
        <w:keepLines/>
        <w:ind w:left="5040"/>
        <w:rPr>
          <w:rFonts w:ascii="Times New Roman" w:hAnsi="Times New Roman"/>
        </w:rPr>
      </w:pPr>
      <w:r w:rsidRPr="00F81B71">
        <w:rPr>
          <w:rFonts w:ascii="Times New Roman" w:hAnsi="Times New Roman"/>
        </w:rPr>
        <w:t>Telephone: (614) 224-3911</w:t>
      </w:r>
    </w:p>
    <w:p w14:paraId="04931D65" w14:textId="77777777" w:rsidR="000E4758" w:rsidRPr="00F81B71" w:rsidRDefault="000E4758" w:rsidP="000E4758">
      <w:pPr>
        <w:keepLines/>
        <w:ind w:left="5040"/>
        <w:rPr>
          <w:rFonts w:ascii="Times New Roman" w:hAnsi="Times New Roman"/>
        </w:rPr>
      </w:pPr>
      <w:r w:rsidRPr="00F81B71">
        <w:rPr>
          <w:rFonts w:ascii="Times New Roman" w:hAnsi="Times New Roman"/>
        </w:rPr>
        <w:t>Facsimile:  (614) 224-3960</w:t>
      </w:r>
    </w:p>
    <w:p w14:paraId="1ADB61F1" w14:textId="77777777" w:rsidR="000E4758" w:rsidRPr="00F81B71" w:rsidRDefault="000E4758" w:rsidP="000E4758">
      <w:pPr>
        <w:keepLines/>
        <w:ind w:left="5040"/>
        <w:rPr>
          <w:rFonts w:ascii="Times New Roman" w:hAnsi="Times New Roman"/>
        </w:rPr>
      </w:pPr>
      <w:r w:rsidRPr="00F81B71">
        <w:rPr>
          <w:rFonts w:ascii="Times New Roman" w:hAnsi="Times New Roman"/>
        </w:rPr>
        <w:t>whitt@whitt-sturtevant.com</w:t>
      </w:r>
    </w:p>
    <w:p w14:paraId="6D492181" w14:textId="77777777" w:rsidR="000E4758" w:rsidRPr="00F81B71" w:rsidRDefault="000E4758" w:rsidP="000E4758">
      <w:pPr>
        <w:keepLines/>
        <w:ind w:left="5040"/>
        <w:rPr>
          <w:rFonts w:ascii="Times New Roman" w:hAnsi="Times New Roman"/>
        </w:rPr>
      </w:pPr>
      <w:r w:rsidRPr="00F81B71">
        <w:rPr>
          <w:rFonts w:ascii="Times New Roman" w:hAnsi="Times New Roman"/>
        </w:rPr>
        <w:t>campbell@whitt-sturtevant.com</w:t>
      </w:r>
    </w:p>
    <w:p w14:paraId="29975297" w14:textId="77777777" w:rsidR="000E4758" w:rsidRDefault="000E4758" w:rsidP="000E4758">
      <w:pPr>
        <w:keepLines/>
        <w:ind w:left="5040"/>
        <w:rPr>
          <w:rFonts w:ascii="Times New Roman" w:hAnsi="Times New Roman"/>
        </w:rPr>
      </w:pPr>
      <w:r>
        <w:rPr>
          <w:rFonts w:ascii="Times New Roman" w:hAnsi="Times New Roman"/>
        </w:rPr>
        <w:t>glover@whitt-sturtevant.com</w:t>
      </w:r>
      <w:r w:rsidRPr="00F81B71">
        <w:rPr>
          <w:rFonts w:ascii="Times New Roman" w:hAnsi="Times New Roman"/>
        </w:rPr>
        <w:t xml:space="preserve"> </w:t>
      </w:r>
    </w:p>
    <w:p w14:paraId="2D484718" w14:textId="77777777" w:rsidR="000E4758" w:rsidRDefault="000E4758" w:rsidP="000E4758">
      <w:pPr>
        <w:keepLines/>
        <w:ind w:left="5040"/>
        <w:rPr>
          <w:rFonts w:ascii="Times New Roman" w:hAnsi="Times New Roman"/>
        </w:rPr>
      </w:pPr>
    </w:p>
    <w:p w14:paraId="48DC2E32" w14:textId="77777777" w:rsidR="000E4758" w:rsidRPr="00F81B71" w:rsidRDefault="000E4758" w:rsidP="000E4758">
      <w:pPr>
        <w:keepLines/>
        <w:ind w:left="5040"/>
        <w:rPr>
          <w:rFonts w:ascii="Times New Roman" w:hAnsi="Times New Roman"/>
        </w:rPr>
      </w:pPr>
      <w:r w:rsidRPr="00F81B71">
        <w:rPr>
          <w:rFonts w:ascii="Times New Roman" w:hAnsi="Times New Roman"/>
        </w:rPr>
        <w:t>(</w:t>
      </w:r>
      <w:r>
        <w:rPr>
          <w:rFonts w:ascii="Times New Roman" w:hAnsi="Times New Roman"/>
        </w:rPr>
        <w:t>C</w:t>
      </w:r>
      <w:r w:rsidRPr="00F81B71">
        <w:rPr>
          <w:rFonts w:ascii="Times New Roman" w:hAnsi="Times New Roman"/>
        </w:rPr>
        <w:t>ounsel willing to accept service by email)</w:t>
      </w:r>
    </w:p>
    <w:p w14:paraId="41E52322" w14:textId="77777777" w:rsidR="000E4758" w:rsidRDefault="000E4758" w:rsidP="000E4758">
      <w:pPr>
        <w:keepLines/>
        <w:ind w:left="5040"/>
        <w:rPr>
          <w:rFonts w:ascii="Times New Roman" w:hAnsi="Times New Roman"/>
        </w:rPr>
      </w:pPr>
    </w:p>
    <w:p w14:paraId="0E81A992" w14:textId="77777777" w:rsidR="000E4758" w:rsidRDefault="000E4758" w:rsidP="000E4758">
      <w:pPr>
        <w:ind w:left="5040"/>
        <w:rPr>
          <w:rFonts w:ascii="Times New Roman" w:hAnsi="Times New Roman" w:cs="Times New Roman"/>
        </w:rPr>
      </w:pPr>
      <w:r>
        <w:rPr>
          <w:rFonts w:ascii="Times New Roman" w:hAnsi="Times New Roman" w:cs="Times New Roman"/>
        </w:rPr>
        <w:t>ATTORNEYS FOR THE CLEVELAND ELECTRIC ILLUMINATING COMPANY AND THE EAST OHIO GAS COMPANY D/B/A DOMINION EAST OHIO</w:t>
      </w:r>
    </w:p>
    <w:p w14:paraId="1F52EDD4" w14:textId="77777777" w:rsidR="000E4758" w:rsidRDefault="000E4758" w:rsidP="000E4758">
      <w:pPr>
        <w:keepLines/>
        <w:ind w:left="5040"/>
        <w:rPr>
          <w:rFonts w:ascii="Times New Roman" w:hAnsi="Times New Roman"/>
        </w:rPr>
      </w:pPr>
    </w:p>
    <w:p w14:paraId="4B7AA2CD" w14:textId="77777777" w:rsidR="000E4758" w:rsidRDefault="000E4758" w:rsidP="000E4758">
      <w:pPr>
        <w:ind w:left="5040"/>
        <w:rPr>
          <w:rFonts w:ascii="Times New Roman" w:hAnsi="Times New Roman" w:cs="Times New Roman"/>
        </w:rPr>
      </w:pPr>
    </w:p>
    <w:p w14:paraId="3AC46292" w14:textId="77777777" w:rsidR="000E4758" w:rsidRDefault="000E4758" w:rsidP="000E4758">
      <w:pPr>
        <w:ind w:left="5040"/>
        <w:rPr>
          <w:rFonts w:ascii="Times New Roman" w:hAnsi="Times New Roman" w:cs="Times New Roman"/>
        </w:rPr>
      </w:pPr>
      <w:r w:rsidRPr="00473D17">
        <w:rPr>
          <w:rFonts w:ascii="Times New Roman" w:hAnsi="Times New Roman" w:cs="Times New Roman"/>
        </w:rPr>
        <w:t>Carrie M. Dunn</w:t>
      </w:r>
      <w:r>
        <w:rPr>
          <w:rFonts w:ascii="Times New Roman" w:hAnsi="Times New Roman" w:cs="Times New Roman"/>
        </w:rPr>
        <w:t xml:space="preserve"> (</w:t>
      </w:r>
      <w:r w:rsidRPr="00F81B71">
        <w:rPr>
          <w:rFonts w:ascii="Times New Roman" w:hAnsi="Times New Roman" w:cs="Times New Roman"/>
        </w:rPr>
        <w:t>0076952</w:t>
      </w:r>
      <w:r>
        <w:rPr>
          <w:rFonts w:ascii="Times New Roman" w:hAnsi="Times New Roman" w:cs="Times New Roman"/>
        </w:rPr>
        <w:t>)</w:t>
      </w:r>
      <w:r w:rsidRPr="00473D17">
        <w:rPr>
          <w:rFonts w:ascii="Times New Roman" w:hAnsi="Times New Roman" w:cs="Times New Roman"/>
        </w:rPr>
        <w:br/>
        <w:t xml:space="preserve">FirstEnergy Service Company </w:t>
      </w:r>
      <w:r w:rsidRPr="00473D17">
        <w:rPr>
          <w:rFonts w:ascii="Times New Roman" w:hAnsi="Times New Roman" w:cs="Times New Roman"/>
        </w:rPr>
        <w:br/>
        <w:t>76 South Main Street</w:t>
      </w:r>
      <w:r w:rsidRPr="00473D17">
        <w:rPr>
          <w:rFonts w:ascii="Times New Roman" w:hAnsi="Times New Roman" w:cs="Times New Roman"/>
        </w:rPr>
        <w:br/>
        <w:t>Akron, Ohio 44308</w:t>
      </w:r>
      <w:r w:rsidRPr="00473D17">
        <w:rPr>
          <w:rFonts w:ascii="Times New Roman" w:hAnsi="Times New Roman" w:cs="Times New Roman"/>
        </w:rPr>
        <w:br/>
        <w:t>Telephone: (330) 761-2352</w:t>
      </w:r>
      <w:r w:rsidRPr="00473D17">
        <w:rPr>
          <w:rFonts w:ascii="Times New Roman" w:hAnsi="Times New Roman" w:cs="Times New Roman"/>
        </w:rPr>
        <w:br/>
        <w:t xml:space="preserve">Facsimile: (330) 384-3875 cdunn@firstenergycorp.com </w:t>
      </w:r>
    </w:p>
    <w:p w14:paraId="1B065B8D" w14:textId="77777777" w:rsidR="000E4758" w:rsidRDefault="000E4758" w:rsidP="000E4758">
      <w:pPr>
        <w:ind w:left="5040"/>
        <w:rPr>
          <w:rFonts w:ascii="Times New Roman" w:hAnsi="Times New Roman" w:cs="Times New Roman"/>
        </w:rPr>
      </w:pPr>
    </w:p>
    <w:p w14:paraId="5DF2E1E6" w14:textId="77777777" w:rsidR="000E4758" w:rsidRPr="00F81B71" w:rsidRDefault="000E4758" w:rsidP="000E4758">
      <w:pPr>
        <w:keepLines/>
        <w:ind w:left="5040"/>
        <w:rPr>
          <w:rFonts w:ascii="Times New Roman" w:hAnsi="Times New Roman"/>
        </w:rPr>
      </w:pPr>
      <w:r w:rsidRPr="00F81B71">
        <w:rPr>
          <w:rFonts w:ascii="Times New Roman" w:hAnsi="Times New Roman"/>
        </w:rPr>
        <w:t>(</w:t>
      </w:r>
      <w:r>
        <w:rPr>
          <w:rFonts w:ascii="Times New Roman" w:hAnsi="Times New Roman"/>
        </w:rPr>
        <w:t>C</w:t>
      </w:r>
      <w:r w:rsidRPr="00F81B71">
        <w:rPr>
          <w:rFonts w:ascii="Times New Roman" w:hAnsi="Times New Roman"/>
        </w:rPr>
        <w:t>ounsel willing to accept service by email)</w:t>
      </w:r>
    </w:p>
    <w:p w14:paraId="49D11ECD" w14:textId="77777777" w:rsidR="000E4758" w:rsidRDefault="000E4758" w:rsidP="000E4758">
      <w:pPr>
        <w:ind w:left="5040"/>
        <w:rPr>
          <w:rFonts w:ascii="Times New Roman" w:hAnsi="Times New Roman" w:cs="Times New Roman"/>
        </w:rPr>
      </w:pPr>
    </w:p>
    <w:p w14:paraId="76978E0A" w14:textId="77777777" w:rsidR="000E4758" w:rsidRDefault="000E4758" w:rsidP="000E4758">
      <w:pPr>
        <w:ind w:left="5040"/>
        <w:rPr>
          <w:rFonts w:ascii="Times New Roman" w:hAnsi="Times New Roman" w:cs="Times New Roman"/>
        </w:rPr>
      </w:pPr>
      <w:r>
        <w:rPr>
          <w:rFonts w:ascii="Times New Roman" w:hAnsi="Times New Roman" w:cs="Times New Roman"/>
        </w:rPr>
        <w:t xml:space="preserve">ATTORNEY FOR THE CLEVELAND ELECTRIC ILLUMINATING COMPANY </w:t>
      </w:r>
    </w:p>
    <w:p w14:paraId="6BC967C1" w14:textId="453FEC99" w:rsidR="00EF7556" w:rsidRDefault="00EF7556" w:rsidP="001D496E">
      <w:pPr>
        <w:ind w:left="5040"/>
        <w:rPr>
          <w:rFonts w:ascii="Times New Roman" w:hAnsi="Times New Roman" w:cs="Times New Roman"/>
        </w:rPr>
        <w:sectPr w:rsidR="00EF7556" w:rsidSect="003C7383">
          <w:footerReference w:type="default" r:id="rId12"/>
          <w:footerReference w:type="first" r:id="rId13"/>
          <w:pgSz w:w="12240" w:h="15840"/>
          <w:pgMar w:top="1440" w:right="1440" w:bottom="1440" w:left="1440" w:header="720" w:footer="720" w:gutter="0"/>
          <w:pgNumType w:start="1"/>
          <w:cols w:space="720"/>
          <w:docGrid w:linePitch="360"/>
        </w:sectPr>
      </w:pPr>
    </w:p>
    <w:p w14:paraId="289E5345" w14:textId="77777777" w:rsidR="00EF7556" w:rsidRDefault="00EF7556" w:rsidP="00EF7556">
      <w:pPr>
        <w:jc w:val="center"/>
        <w:rPr>
          <w:rFonts w:ascii="Times New Roman" w:hAnsi="Times New Roman" w:cs="Times New Roman"/>
        </w:rPr>
      </w:pPr>
      <w:r>
        <w:rPr>
          <w:rFonts w:ascii="Times New Roman" w:hAnsi="Times New Roman" w:cs="Times New Roman"/>
          <w:b/>
          <w:u w:val="single"/>
        </w:rPr>
        <w:lastRenderedPageBreak/>
        <w:t>CERTIFICATE OF SERVICE</w:t>
      </w:r>
    </w:p>
    <w:p w14:paraId="5CED5728" w14:textId="77777777" w:rsidR="00EF7556" w:rsidRDefault="00EF7556" w:rsidP="00EF7556">
      <w:pPr>
        <w:jc w:val="center"/>
        <w:rPr>
          <w:rFonts w:ascii="Times New Roman" w:hAnsi="Times New Roman" w:cs="Times New Roman"/>
        </w:rPr>
      </w:pPr>
    </w:p>
    <w:p w14:paraId="18357240" w14:textId="6396935A" w:rsidR="00EF7556" w:rsidRDefault="00EF7556" w:rsidP="00EF7556">
      <w:pPr>
        <w:spacing w:line="480" w:lineRule="auto"/>
        <w:rPr>
          <w:rFonts w:ascii="Times New Roman" w:hAnsi="Times New Roman" w:cs="Times New Roman"/>
        </w:rPr>
      </w:pPr>
      <w:r>
        <w:rPr>
          <w:rFonts w:ascii="Times New Roman" w:hAnsi="Times New Roman" w:cs="Times New Roman"/>
        </w:rPr>
        <w:tab/>
        <w:t xml:space="preserve">I hereby certify that a copy of the foregoing Motion </w:t>
      </w:r>
      <w:r w:rsidR="007C0575">
        <w:rPr>
          <w:rFonts w:ascii="Times New Roman" w:hAnsi="Times New Roman" w:cs="Times New Roman"/>
        </w:rPr>
        <w:t>for Relief from Vexatious Litigation</w:t>
      </w:r>
      <w:r>
        <w:rPr>
          <w:rFonts w:ascii="Times New Roman" w:hAnsi="Times New Roman" w:cs="Times New Roman"/>
        </w:rPr>
        <w:t xml:space="preserve"> was served by U.S. mail this 1</w:t>
      </w:r>
      <w:r w:rsidR="007C0575">
        <w:rPr>
          <w:rFonts w:ascii="Times New Roman" w:hAnsi="Times New Roman" w:cs="Times New Roman"/>
        </w:rPr>
        <w:t>6th</w:t>
      </w:r>
      <w:r>
        <w:rPr>
          <w:rFonts w:ascii="Times New Roman" w:hAnsi="Times New Roman" w:cs="Times New Roman"/>
        </w:rPr>
        <w:t xml:space="preserve"> day of </w:t>
      </w:r>
      <w:proofErr w:type="gramStart"/>
      <w:r>
        <w:rPr>
          <w:rFonts w:ascii="Times New Roman" w:hAnsi="Times New Roman" w:cs="Times New Roman"/>
        </w:rPr>
        <w:t>March,</w:t>
      </w:r>
      <w:proofErr w:type="gramEnd"/>
      <w:r>
        <w:rPr>
          <w:rFonts w:ascii="Times New Roman" w:hAnsi="Times New Roman" w:cs="Times New Roman"/>
        </w:rPr>
        <w:t xml:space="preserve"> 2015, </w:t>
      </w:r>
      <w:r w:rsidRPr="00C56BDD">
        <w:rPr>
          <w:rFonts w:ascii="Times New Roman" w:hAnsi="Times New Roman" w:cs="Times New Roman"/>
        </w:rPr>
        <w:t>to</w:t>
      </w:r>
      <w:r>
        <w:rPr>
          <w:rFonts w:ascii="Times New Roman" w:hAnsi="Times New Roman" w:cs="Times New Roman"/>
        </w:rPr>
        <w:t xml:space="preserve"> the following:</w:t>
      </w:r>
    </w:p>
    <w:tbl>
      <w:tblPr>
        <w:tblStyle w:val="TableGrid"/>
        <w:tblW w:w="19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gridCol w:w="4788"/>
        <w:gridCol w:w="4788"/>
      </w:tblGrid>
      <w:tr w:rsidR="00EF7556" w14:paraId="5581D35A" w14:textId="77777777" w:rsidTr="003C7383">
        <w:tc>
          <w:tcPr>
            <w:tcW w:w="4788" w:type="dxa"/>
          </w:tcPr>
          <w:p w14:paraId="556CB71F" w14:textId="77777777" w:rsidR="00EF7556" w:rsidRDefault="00EF7556" w:rsidP="003C7383">
            <w:pPr>
              <w:rPr>
                <w:rFonts w:ascii="Times New Roman" w:hAnsi="Times New Roman" w:cs="Times New Roman"/>
              </w:rPr>
            </w:pPr>
            <w:r>
              <w:rPr>
                <w:rFonts w:ascii="Times New Roman" w:hAnsi="Times New Roman" w:cs="Times New Roman"/>
              </w:rPr>
              <w:t>Gwendolyn Tandy</w:t>
            </w:r>
          </w:p>
          <w:p w14:paraId="46BA111B" w14:textId="77777777" w:rsidR="00EF7556" w:rsidRDefault="00EF7556" w:rsidP="003C7383">
            <w:pPr>
              <w:rPr>
                <w:rFonts w:ascii="Times New Roman" w:hAnsi="Times New Roman" w:cs="Times New Roman"/>
              </w:rPr>
            </w:pPr>
            <w:r>
              <w:rPr>
                <w:rFonts w:ascii="Times New Roman" w:hAnsi="Times New Roman" w:cs="Times New Roman"/>
              </w:rPr>
              <w:t>1439 Sulzer Ave.</w:t>
            </w:r>
          </w:p>
          <w:p w14:paraId="6B2F0169" w14:textId="77777777" w:rsidR="00EF7556" w:rsidRPr="005E6121" w:rsidRDefault="00EF7556" w:rsidP="003C7383">
            <w:pPr>
              <w:rPr>
                <w:rFonts w:ascii="Times New Roman" w:hAnsi="Times New Roman" w:cs="Times New Roman"/>
              </w:rPr>
            </w:pPr>
            <w:r>
              <w:rPr>
                <w:rFonts w:ascii="Times New Roman" w:hAnsi="Times New Roman" w:cs="Times New Roman"/>
              </w:rPr>
              <w:t>Euclid, Ohio 44132</w:t>
            </w:r>
          </w:p>
        </w:tc>
        <w:tc>
          <w:tcPr>
            <w:tcW w:w="4788" w:type="dxa"/>
          </w:tcPr>
          <w:p w14:paraId="055619BA" w14:textId="77777777" w:rsidR="00EF7556" w:rsidRPr="00AE4328" w:rsidRDefault="00EF7556" w:rsidP="003C7383">
            <w:pPr>
              <w:rPr>
                <w:rFonts w:ascii="Times New Roman" w:hAnsi="Times New Roman" w:cs="Times New Roman"/>
              </w:rPr>
            </w:pPr>
          </w:p>
        </w:tc>
        <w:tc>
          <w:tcPr>
            <w:tcW w:w="4788" w:type="dxa"/>
          </w:tcPr>
          <w:p w14:paraId="53259C5B" w14:textId="77777777" w:rsidR="00EF7556" w:rsidRDefault="00EF7556" w:rsidP="003C7383">
            <w:pPr>
              <w:rPr>
                <w:rFonts w:ascii="Times New Roman" w:hAnsi="Times New Roman" w:cs="Times New Roman"/>
              </w:rPr>
            </w:pPr>
          </w:p>
        </w:tc>
        <w:tc>
          <w:tcPr>
            <w:tcW w:w="4788" w:type="dxa"/>
          </w:tcPr>
          <w:p w14:paraId="64EC3A34" w14:textId="77777777" w:rsidR="00EF7556" w:rsidRDefault="00EF7556" w:rsidP="003C7383">
            <w:pPr>
              <w:rPr>
                <w:rFonts w:ascii="Times New Roman" w:hAnsi="Times New Roman" w:cs="Times New Roman"/>
              </w:rPr>
            </w:pPr>
          </w:p>
        </w:tc>
      </w:tr>
    </w:tbl>
    <w:p w14:paraId="70960433" w14:textId="77777777" w:rsidR="00EF7556" w:rsidRDefault="00EF7556" w:rsidP="00EF7556">
      <w:pPr>
        <w:ind w:left="4770"/>
        <w:rPr>
          <w:rFonts w:ascii="Times New Roman" w:hAnsi="Times New Roman" w:cs="Times New Roman"/>
          <w:u w:val="single"/>
        </w:rPr>
      </w:pPr>
    </w:p>
    <w:p w14:paraId="462C16EE" w14:textId="77777777" w:rsidR="00EF7556" w:rsidRDefault="00EF7556" w:rsidP="00EF7556">
      <w:pPr>
        <w:ind w:left="4770"/>
        <w:rPr>
          <w:rFonts w:ascii="Times New Roman" w:hAnsi="Times New Roman" w:cs="Times New Roman"/>
          <w:u w:val="single"/>
        </w:rPr>
      </w:pPr>
      <w:r>
        <w:rPr>
          <w:rFonts w:ascii="Times New Roman" w:hAnsi="Times New Roman" w:cs="Times New Roman"/>
          <w:u w:val="single"/>
        </w:rPr>
        <w:t>/s/ Rebekah J. Glover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0A3F931" w14:textId="46614EBD" w:rsidR="00EF7556" w:rsidRPr="00A8215C" w:rsidRDefault="00EF7556" w:rsidP="00EF7556">
      <w:pPr>
        <w:ind w:left="4770"/>
        <w:rPr>
          <w:rFonts w:ascii="Times New Roman" w:hAnsi="Times New Roman" w:cs="Times New Roman"/>
        </w:rPr>
      </w:pPr>
      <w:r>
        <w:rPr>
          <w:rFonts w:ascii="Times New Roman" w:hAnsi="Times New Roman" w:cs="Times New Roman"/>
        </w:rPr>
        <w:t>One of the Attorneys for</w:t>
      </w:r>
      <w:r w:rsidR="007C0575">
        <w:rPr>
          <w:rFonts w:ascii="Times New Roman" w:hAnsi="Times New Roman" w:cs="Times New Roman"/>
        </w:rPr>
        <w:t xml:space="preserve"> </w:t>
      </w:r>
      <w:r>
        <w:rPr>
          <w:rFonts w:ascii="Times New Roman" w:hAnsi="Times New Roman" w:cs="Times New Roman"/>
        </w:rPr>
        <w:t>The Cleveland Electric Illuminating Company</w:t>
      </w:r>
      <w:r w:rsidR="007C0575">
        <w:rPr>
          <w:rFonts w:ascii="Times New Roman" w:hAnsi="Times New Roman" w:cs="Times New Roman"/>
        </w:rPr>
        <w:t xml:space="preserve"> and The East Ohio Gas Company d/b/a Dominion East Ohio</w:t>
      </w:r>
    </w:p>
    <w:p w14:paraId="6D9BB446" w14:textId="77777777" w:rsidR="00EF7556" w:rsidRPr="00B40947" w:rsidRDefault="00EF7556" w:rsidP="00B40947">
      <w:pPr>
        <w:spacing w:after="240"/>
        <w:rPr>
          <w:rFonts w:ascii="Times New Roman" w:hAnsi="Times New Roman" w:cs="Times New Roman"/>
        </w:rPr>
      </w:pPr>
    </w:p>
    <w:sectPr w:rsidR="00EF7556" w:rsidRPr="00B40947" w:rsidSect="00CB17AF">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1933C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13BE2" w14:textId="77777777" w:rsidR="007D3F2E" w:rsidRDefault="007D3F2E" w:rsidP="00B40947">
      <w:r>
        <w:separator/>
      </w:r>
    </w:p>
  </w:endnote>
  <w:endnote w:type="continuationSeparator" w:id="0">
    <w:p w14:paraId="418FAEA0" w14:textId="77777777" w:rsidR="007D3F2E" w:rsidRDefault="007D3F2E" w:rsidP="00B4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98DA" w14:textId="77777777" w:rsidR="007D3F2E" w:rsidRDefault="007D3F2E" w:rsidP="001B6B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90B17E" w14:textId="77777777" w:rsidR="007D3F2E" w:rsidRDefault="007D3F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3EAC8" w14:textId="77777777" w:rsidR="007D3F2E" w:rsidRPr="000823D1" w:rsidRDefault="007D3F2E" w:rsidP="003C7383">
    <w:pPr>
      <w:pStyle w:val="Footer"/>
      <w:framePr w:wrap="around" w:vAnchor="text" w:hAnchor="margin" w:xAlign="center" w:y="1"/>
      <w:rPr>
        <w:rStyle w:val="PageNumber"/>
        <w:rFonts w:ascii="Times New Roman" w:hAnsi="Times New Roman"/>
      </w:rPr>
    </w:pPr>
    <w:r w:rsidRPr="000823D1">
      <w:rPr>
        <w:rStyle w:val="PageNumber"/>
        <w:rFonts w:ascii="Times New Roman" w:hAnsi="Times New Roman"/>
      </w:rPr>
      <w:fldChar w:fldCharType="begin"/>
    </w:r>
    <w:r w:rsidRPr="000823D1">
      <w:rPr>
        <w:rStyle w:val="PageNumber"/>
        <w:rFonts w:ascii="Times New Roman" w:hAnsi="Times New Roman"/>
      </w:rPr>
      <w:instrText xml:space="preserve">PAGE  </w:instrText>
    </w:r>
    <w:r w:rsidRPr="000823D1">
      <w:rPr>
        <w:rStyle w:val="PageNumber"/>
        <w:rFonts w:ascii="Times New Roman" w:hAnsi="Times New Roman"/>
      </w:rPr>
      <w:fldChar w:fldCharType="separate"/>
    </w:r>
    <w:r w:rsidR="00FF7EF5">
      <w:rPr>
        <w:rStyle w:val="PageNumber"/>
        <w:rFonts w:ascii="Times New Roman" w:hAnsi="Times New Roman"/>
        <w:noProof/>
      </w:rPr>
      <w:t>11</w:t>
    </w:r>
    <w:r w:rsidRPr="000823D1">
      <w:rPr>
        <w:rStyle w:val="PageNumber"/>
        <w:rFonts w:ascii="Times New Roman" w:hAnsi="Times New Roman"/>
      </w:rPr>
      <w:fldChar w:fldCharType="end"/>
    </w:r>
  </w:p>
  <w:p w14:paraId="4232B58D" w14:textId="77777777" w:rsidR="007D3F2E" w:rsidRPr="000823D1" w:rsidRDefault="007D3F2E" w:rsidP="003C738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752BE" w14:textId="77777777" w:rsidR="007D3F2E" w:rsidRDefault="007D3F2E" w:rsidP="003C7383">
    <w:pPr>
      <w:pStyle w:val="Footer"/>
      <w:tabs>
        <w:tab w:val="clear" w:pos="4320"/>
        <w:tab w:val="clear" w:pos="8640"/>
        <w:tab w:val="left" w:pos="4040"/>
      </w:tabs>
    </w:pPr>
    <w: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9B086" w14:textId="77777777" w:rsidR="00FF7EF5" w:rsidRPr="000823D1" w:rsidRDefault="00FF7EF5" w:rsidP="003C73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FDBB7" w14:textId="77777777" w:rsidR="007D3F2E" w:rsidRDefault="007D3F2E" w:rsidP="00B40947">
      <w:r>
        <w:separator/>
      </w:r>
    </w:p>
  </w:footnote>
  <w:footnote w:type="continuationSeparator" w:id="0">
    <w:p w14:paraId="75D4A1B4" w14:textId="77777777" w:rsidR="007D3F2E" w:rsidRDefault="007D3F2E" w:rsidP="00B40947">
      <w:r>
        <w:continuationSeparator/>
      </w:r>
    </w:p>
  </w:footnote>
  <w:footnote w:id="1">
    <w:p w14:paraId="3BF3A10A" w14:textId="53DCD11F" w:rsidR="007D3F2E" w:rsidRPr="00A73428" w:rsidRDefault="007D3F2E">
      <w:pPr>
        <w:pStyle w:val="FootnoteText"/>
        <w:rPr>
          <w:rFonts w:ascii="Times New Roman" w:hAnsi="Times New Roman"/>
        </w:rPr>
      </w:pPr>
      <w:r w:rsidRPr="00A73428">
        <w:rPr>
          <w:rStyle w:val="FootnoteReference"/>
          <w:rFonts w:ascii="Times New Roman" w:hAnsi="Times New Roman"/>
        </w:rPr>
        <w:footnoteRef/>
      </w:r>
      <w:r w:rsidRPr="00A73428">
        <w:rPr>
          <w:rFonts w:ascii="Times New Roman" w:hAnsi="Times New Roman"/>
        </w:rPr>
        <w:t xml:space="preserve"> </w:t>
      </w:r>
      <w:r>
        <w:rPr>
          <w:rFonts w:ascii="Times New Roman" w:hAnsi="Times New Roman"/>
        </w:rPr>
        <w:t xml:space="preserve">Seven </w:t>
      </w:r>
      <w:r w:rsidRPr="00A73428">
        <w:rPr>
          <w:rFonts w:ascii="Times New Roman" w:hAnsi="Times New Roman"/>
        </w:rPr>
        <w:t xml:space="preserve">is </w:t>
      </w:r>
      <w:r w:rsidRPr="00FA7849">
        <w:rPr>
          <w:rFonts w:ascii="Times New Roman" w:hAnsi="Times New Roman"/>
          <w:i/>
        </w:rPr>
        <w:t>not</w:t>
      </w:r>
      <w:r w:rsidRPr="00A73428">
        <w:rPr>
          <w:rFonts w:ascii="Times New Roman" w:hAnsi="Times New Roman"/>
        </w:rPr>
        <w:t xml:space="preserve"> counting Case No. 12-2326-GA-CSS, which Ms. Tandy filed against DEO and which was merged with </w:t>
      </w:r>
      <w:r w:rsidRPr="00A73428">
        <w:rPr>
          <w:rFonts w:ascii="Times New Roman" w:hAnsi="Times New Roman"/>
          <w:i/>
        </w:rPr>
        <w:t>Tandy I</w:t>
      </w:r>
      <w:r w:rsidRPr="00A73428">
        <w:rPr>
          <w:rFonts w:ascii="Times New Roman" w:hAnsi="Times New Roman"/>
        </w:rPr>
        <w:t>.</w:t>
      </w:r>
      <w:r>
        <w:rPr>
          <w:rFonts w:ascii="Times New Roman" w:hAnsi="Times New Roman"/>
        </w:rPr>
        <w:t xml:space="preserve"> </w:t>
      </w:r>
      <w:r>
        <w:rPr>
          <w:rFonts w:ascii="Times New Roman" w:hAnsi="Times New Roman"/>
          <w:i/>
        </w:rPr>
        <w:t>See</w:t>
      </w:r>
      <w:r>
        <w:rPr>
          <w:rFonts w:ascii="Times New Roman" w:hAnsi="Times New Roman"/>
        </w:rPr>
        <w:t xml:space="preserve"> 12-2326 Entry (Aug. 28, 2012).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9CB"/>
    <w:multiLevelType w:val="hybridMultilevel"/>
    <w:tmpl w:val="229C0D86"/>
    <w:lvl w:ilvl="0" w:tplc="330E1A34">
      <w:start w:val="1"/>
      <w:numFmt w:val="lowerLetter"/>
      <w:pStyle w:val="MemoHeading4"/>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B3366B"/>
    <w:multiLevelType w:val="hybridMultilevel"/>
    <w:tmpl w:val="DF9C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D279F"/>
    <w:multiLevelType w:val="hybridMultilevel"/>
    <w:tmpl w:val="1DDE3CF8"/>
    <w:lvl w:ilvl="0" w:tplc="7D243BF8">
      <w:start w:val="1"/>
      <w:numFmt w:val="decimal"/>
      <w:pStyle w:val="MemoHeading3"/>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2E03564"/>
    <w:multiLevelType w:val="hybridMultilevel"/>
    <w:tmpl w:val="71B463A2"/>
    <w:lvl w:ilvl="0" w:tplc="5C2C5D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C87F09"/>
    <w:multiLevelType w:val="hybridMultilevel"/>
    <w:tmpl w:val="BBDE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A646B6"/>
    <w:multiLevelType w:val="hybridMultilevel"/>
    <w:tmpl w:val="EC34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AA2E8B"/>
    <w:multiLevelType w:val="hybridMultilevel"/>
    <w:tmpl w:val="39FA9E2E"/>
    <w:lvl w:ilvl="0" w:tplc="37483EF2">
      <w:start w:val="1"/>
      <w:numFmt w:val="decimal"/>
      <w:lvlText w:val="(%1)"/>
      <w:lvlJc w:val="left"/>
      <w:pPr>
        <w:ind w:left="1780" w:hanging="10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1B04AB"/>
    <w:multiLevelType w:val="hybridMultilevel"/>
    <w:tmpl w:val="0B94A4F8"/>
    <w:lvl w:ilvl="0" w:tplc="9FAE4A9A">
      <w:start w:val="1"/>
      <w:numFmt w:val="upperRoman"/>
      <w:pStyle w:val="MemoHeading1"/>
      <w:lvlText w:val="%1."/>
      <w:lvlJc w:val="right"/>
      <w:pPr>
        <w:ind w:left="720" w:hanging="180"/>
      </w:pPr>
    </w:lvl>
    <w:lvl w:ilvl="1" w:tplc="71B48100">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4F1AB6"/>
    <w:multiLevelType w:val="hybridMultilevel"/>
    <w:tmpl w:val="56BA8CBC"/>
    <w:lvl w:ilvl="0" w:tplc="8A1A98FE">
      <w:start w:val="1"/>
      <w:numFmt w:val="upperLetter"/>
      <w:pStyle w:val="MemoHeading2"/>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8"/>
  </w:num>
  <w:num w:numId="6">
    <w:abstractNumId w:val="7"/>
  </w:num>
  <w:num w:numId="7">
    <w:abstractNumId w:val="2"/>
  </w:num>
  <w:num w:numId="8">
    <w:abstractNumId w:val="0"/>
  </w:num>
  <w:num w:numId="9">
    <w:abstractNumId w:val="2"/>
    <w:lvlOverride w:ilvl="0">
      <w:startOverride w:val="1"/>
    </w:lvlOverride>
  </w:num>
  <w:num w:numId="10">
    <w:abstractNumId w:val="8"/>
    <w:lvlOverride w:ilvl="0">
      <w:startOverride w:val="1"/>
    </w:lvlOverride>
  </w:num>
  <w:num w:numId="11">
    <w:abstractNumId w:val="2"/>
    <w:lvlOverride w:ilvl="0">
      <w:startOverride w:val="1"/>
    </w:lvlOverride>
  </w:num>
  <w:num w:numId="12">
    <w:abstractNumId w:val="8"/>
    <w:lvlOverride w:ilvl="0">
      <w:startOverride w:val="1"/>
    </w:lvlOverride>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nn, Carrie">
    <w15:presenceInfo w15:providerId="AD" w15:userId="S-1-5-21-602162358-790525478-682003330-137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56"/>
    <w:rsid w:val="00034DF6"/>
    <w:rsid w:val="000376DC"/>
    <w:rsid w:val="0005200C"/>
    <w:rsid w:val="00055E44"/>
    <w:rsid w:val="00080155"/>
    <w:rsid w:val="00080C91"/>
    <w:rsid w:val="000D345E"/>
    <w:rsid w:val="000E4758"/>
    <w:rsid w:val="001174D5"/>
    <w:rsid w:val="00131AC8"/>
    <w:rsid w:val="00131DC2"/>
    <w:rsid w:val="001406B9"/>
    <w:rsid w:val="00170762"/>
    <w:rsid w:val="001A3797"/>
    <w:rsid w:val="001B2A17"/>
    <w:rsid w:val="001B6B6B"/>
    <w:rsid w:val="001C40C3"/>
    <w:rsid w:val="001D0B9C"/>
    <w:rsid w:val="001D1503"/>
    <w:rsid w:val="001D496E"/>
    <w:rsid w:val="001E7185"/>
    <w:rsid w:val="00201E2F"/>
    <w:rsid w:val="00207D1B"/>
    <w:rsid w:val="00276E84"/>
    <w:rsid w:val="00320396"/>
    <w:rsid w:val="00345402"/>
    <w:rsid w:val="003C002F"/>
    <w:rsid w:val="003C7383"/>
    <w:rsid w:val="003E042F"/>
    <w:rsid w:val="0042146B"/>
    <w:rsid w:val="00445E20"/>
    <w:rsid w:val="004B5247"/>
    <w:rsid w:val="004B5A57"/>
    <w:rsid w:val="004E0B95"/>
    <w:rsid w:val="004E588A"/>
    <w:rsid w:val="00522974"/>
    <w:rsid w:val="00522BD3"/>
    <w:rsid w:val="00543D12"/>
    <w:rsid w:val="00647D1F"/>
    <w:rsid w:val="00665258"/>
    <w:rsid w:val="006912AE"/>
    <w:rsid w:val="006A13DA"/>
    <w:rsid w:val="006F1B81"/>
    <w:rsid w:val="00707F6B"/>
    <w:rsid w:val="007715B6"/>
    <w:rsid w:val="007835C2"/>
    <w:rsid w:val="007C0575"/>
    <w:rsid w:val="007D3F2E"/>
    <w:rsid w:val="007F648F"/>
    <w:rsid w:val="00800312"/>
    <w:rsid w:val="0081605A"/>
    <w:rsid w:val="00821B75"/>
    <w:rsid w:val="00854379"/>
    <w:rsid w:val="008802B8"/>
    <w:rsid w:val="008C1639"/>
    <w:rsid w:val="008D014C"/>
    <w:rsid w:val="00902DED"/>
    <w:rsid w:val="0097576E"/>
    <w:rsid w:val="009D5440"/>
    <w:rsid w:val="009F35AE"/>
    <w:rsid w:val="00A018AC"/>
    <w:rsid w:val="00A30270"/>
    <w:rsid w:val="00A35EFC"/>
    <w:rsid w:val="00A73428"/>
    <w:rsid w:val="00AE13E9"/>
    <w:rsid w:val="00B40287"/>
    <w:rsid w:val="00B40947"/>
    <w:rsid w:val="00B604C5"/>
    <w:rsid w:val="00B6148D"/>
    <w:rsid w:val="00B62336"/>
    <w:rsid w:val="00B74E55"/>
    <w:rsid w:val="00BA151B"/>
    <w:rsid w:val="00BA3C0C"/>
    <w:rsid w:val="00BF0768"/>
    <w:rsid w:val="00C579C4"/>
    <w:rsid w:val="00C72A47"/>
    <w:rsid w:val="00CB17AF"/>
    <w:rsid w:val="00CD547F"/>
    <w:rsid w:val="00CF288A"/>
    <w:rsid w:val="00CF4538"/>
    <w:rsid w:val="00D033DF"/>
    <w:rsid w:val="00D26D5E"/>
    <w:rsid w:val="00D31959"/>
    <w:rsid w:val="00D42049"/>
    <w:rsid w:val="00D80854"/>
    <w:rsid w:val="00D96B83"/>
    <w:rsid w:val="00E1149A"/>
    <w:rsid w:val="00E33E44"/>
    <w:rsid w:val="00E36956"/>
    <w:rsid w:val="00E7508C"/>
    <w:rsid w:val="00E85304"/>
    <w:rsid w:val="00E87785"/>
    <w:rsid w:val="00EB7071"/>
    <w:rsid w:val="00ED37A7"/>
    <w:rsid w:val="00EF7556"/>
    <w:rsid w:val="00F56E5C"/>
    <w:rsid w:val="00F81B71"/>
    <w:rsid w:val="00FA49BF"/>
    <w:rsid w:val="00FA7849"/>
    <w:rsid w:val="00FC6791"/>
    <w:rsid w:val="00FD7DE5"/>
    <w:rsid w:val="00FF7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3123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854"/>
    <w:pPr>
      <w:ind w:left="720"/>
      <w:contextualSpacing/>
    </w:pPr>
  </w:style>
  <w:style w:type="paragraph" w:styleId="Footer">
    <w:name w:val="footer"/>
    <w:basedOn w:val="Normal"/>
    <w:link w:val="FooterChar"/>
    <w:uiPriority w:val="99"/>
    <w:unhideWhenUsed/>
    <w:rsid w:val="001B6B6B"/>
    <w:pPr>
      <w:tabs>
        <w:tab w:val="center" w:pos="4320"/>
        <w:tab w:val="right" w:pos="8640"/>
      </w:tabs>
    </w:pPr>
  </w:style>
  <w:style w:type="character" w:customStyle="1" w:styleId="FooterChar">
    <w:name w:val="Footer Char"/>
    <w:basedOn w:val="DefaultParagraphFont"/>
    <w:link w:val="Footer"/>
    <w:uiPriority w:val="99"/>
    <w:rsid w:val="001B6B6B"/>
  </w:style>
  <w:style w:type="character" w:styleId="PageNumber">
    <w:name w:val="page number"/>
    <w:basedOn w:val="DefaultParagraphFont"/>
    <w:uiPriority w:val="99"/>
    <w:semiHidden/>
    <w:unhideWhenUsed/>
    <w:rsid w:val="001B6B6B"/>
  </w:style>
  <w:style w:type="paragraph" w:customStyle="1" w:styleId="MemoBodyText">
    <w:name w:val="Memo Body Text"/>
    <w:basedOn w:val="Normal"/>
    <w:qFormat/>
    <w:rsid w:val="001B6B6B"/>
    <w:pPr>
      <w:spacing w:line="480" w:lineRule="auto"/>
      <w:ind w:firstLine="720"/>
    </w:pPr>
    <w:rPr>
      <w:rFonts w:ascii="Times New Roman" w:hAnsi="Times New Roman" w:cs="Times New Roman"/>
    </w:rPr>
  </w:style>
  <w:style w:type="paragraph" w:styleId="FootnoteText">
    <w:name w:val="footnote text"/>
    <w:basedOn w:val="Normal"/>
    <w:link w:val="FootnoteTextChar"/>
    <w:uiPriority w:val="99"/>
    <w:unhideWhenUsed/>
    <w:rsid w:val="00B40947"/>
  </w:style>
  <w:style w:type="character" w:customStyle="1" w:styleId="FootnoteTextChar">
    <w:name w:val="Footnote Text Char"/>
    <w:basedOn w:val="DefaultParagraphFont"/>
    <w:link w:val="FootnoteText"/>
    <w:uiPriority w:val="99"/>
    <w:rsid w:val="00B40947"/>
  </w:style>
  <w:style w:type="character" w:styleId="FootnoteReference">
    <w:name w:val="footnote reference"/>
    <w:basedOn w:val="DefaultParagraphFont"/>
    <w:uiPriority w:val="99"/>
    <w:unhideWhenUsed/>
    <w:rsid w:val="00B40947"/>
    <w:rPr>
      <w:vertAlign w:val="superscript"/>
    </w:rPr>
  </w:style>
  <w:style w:type="table" w:styleId="TableGrid">
    <w:name w:val="Table Grid"/>
    <w:basedOn w:val="TableNormal"/>
    <w:uiPriority w:val="59"/>
    <w:rsid w:val="00EF7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moHeading2">
    <w:name w:val="Memo Heading 2"/>
    <w:basedOn w:val="ListParagraph"/>
    <w:next w:val="MemoBodyText"/>
    <w:qFormat/>
    <w:rsid w:val="00EF7556"/>
    <w:pPr>
      <w:keepNext/>
      <w:keepLines/>
      <w:numPr>
        <w:numId w:val="5"/>
      </w:numPr>
      <w:spacing w:after="240"/>
      <w:ind w:right="720"/>
      <w:contextualSpacing w:val="0"/>
    </w:pPr>
    <w:rPr>
      <w:rFonts w:ascii="Times New Roman" w:hAnsi="Times New Roman" w:cs="Times New Roman"/>
      <w:b/>
    </w:rPr>
  </w:style>
  <w:style w:type="paragraph" w:customStyle="1" w:styleId="MemoHeading1">
    <w:name w:val="Memo Heading 1"/>
    <w:basedOn w:val="Normal"/>
    <w:next w:val="MemoBodyText"/>
    <w:qFormat/>
    <w:rsid w:val="00EF7556"/>
    <w:pPr>
      <w:keepNext/>
      <w:keepLines/>
      <w:numPr>
        <w:numId w:val="6"/>
      </w:numPr>
      <w:spacing w:line="480" w:lineRule="auto"/>
      <w:ind w:left="0" w:hanging="187"/>
      <w:jc w:val="center"/>
    </w:pPr>
    <w:rPr>
      <w:rFonts w:ascii="Times New Roman" w:hAnsi="Times New Roman" w:cs="Times New Roman"/>
      <w:b/>
      <w:bCs/>
      <w:caps/>
    </w:rPr>
  </w:style>
  <w:style w:type="paragraph" w:customStyle="1" w:styleId="MemoHeading3">
    <w:name w:val="Memo Heading 3"/>
    <w:basedOn w:val="MemoBodyText"/>
    <w:next w:val="MemoBodyText"/>
    <w:qFormat/>
    <w:rsid w:val="00EF7556"/>
    <w:pPr>
      <w:keepNext/>
      <w:keepLines/>
      <w:numPr>
        <w:numId w:val="7"/>
      </w:numPr>
      <w:spacing w:after="240" w:line="240" w:lineRule="auto"/>
      <w:ind w:hanging="720"/>
    </w:pPr>
    <w:rPr>
      <w:b/>
    </w:rPr>
  </w:style>
  <w:style w:type="paragraph" w:customStyle="1" w:styleId="MemoHeading4">
    <w:name w:val="Memo Heading 4"/>
    <w:basedOn w:val="MemoBodyText"/>
    <w:next w:val="MemoBodyText"/>
    <w:qFormat/>
    <w:rsid w:val="00EF7556"/>
    <w:pPr>
      <w:keepNext/>
      <w:keepLines/>
      <w:numPr>
        <w:numId w:val="8"/>
      </w:numPr>
      <w:spacing w:after="240" w:line="240" w:lineRule="auto"/>
      <w:ind w:left="2160" w:hanging="720"/>
    </w:pPr>
    <w:rPr>
      <w:b/>
    </w:rPr>
  </w:style>
  <w:style w:type="character" w:styleId="CommentReference">
    <w:name w:val="annotation reference"/>
    <w:basedOn w:val="DefaultParagraphFont"/>
    <w:uiPriority w:val="99"/>
    <w:semiHidden/>
    <w:unhideWhenUsed/>
    <w:rsid w:val="00A35EFC"/>
    <w:rPr>
      <w:sz w:val="18"/>
      <w:szCs w:val="18"/>
    </w:rPr>
  </w:style>
  <w:style w:type="paragraph" w:styleId="CommentText">
    <w:name w:val="annotation text"/>
    <w:basedOn w:val="Normal"/>
    <w:link w:val="CommentTextChar"/>
    <w:uiPriority w:val="99"/>
    <w:semiHidden/>
    <w:unhideWhenUsed/>
    <w:rsid w:val="00A35EFC"/>
  </w:style>
  <w:style w:type="character" w:customStyle="1" w:styleId="CommentTextChar">
    <w:name w:val="Comment Text Char"/>
    <w:basedOn w:val="DefaultParagraphFont"/>
    <w:link w:val="CommentText"/>
    <w:uiPriority w:val="99"/>
    <w:semiHidden/>
    <w:rsid w:val="00A35EFC"/>
  </w:style>
  <w:style w:type="paragraph" w:styleId="CommentSubject">
    <w:name w:val="annotation subject"/>
    <w:basedOn w:val="CommentText"/>
    <w:next w:val="CommentText"/>
    <w:link w:val="CommentSubjectChar"/>
    <w:uiPriority w:val="99"/>
    <w:semiHidden/>
    <w:unhideWhenUsed/>
    <w:rsid w:val="00A35EFC"/>
    <w:rPr>
      <w:b/>
      <w:bCs/>
      <w:sz w:val="20"/>
      <w:szCs w:val="20"/>
    </w:rPr>
  </w:style>
  <w:style w:type="character" w:customStyle="1" w:styleId="CommentSubjectChar">
    <w:name w:val="Comment Subject Char"/>
    <w:basedOn w:val="CommentTextChar"/>
    <w:link w:val="CommentSubject"/>
    <w:uiPriority w:val="99"/>
    <w:semiHidden/>
    <w:rsid w:val="00A35EFC"/>
    <w:rPr>
      <w:b/>
      <w:bCs/>
      <w:sz w:val="20"/>
      <w:szCs w:val="20"/>
    </w:rPr>
  </w:style>
  <w:style w:type="paragraph" w:styleId="BalloonText">
    <w:name w:val="Balloon Text"/>
    <w:basedOn w:val="Normal"/>
    <w:link w:val="BalloonTextChar"/>
    <w:uiPriority w:val="99"/>
    <w:semiHidden/>
    <w:unhideWhenUsed/>
    <w:rsid w:val="00A35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EFC"/>
    <w:rPr>
      <w:rFonts w:ascii="Lucida Grande" w:hAnsi="Lucida Grande" w:cs="Lucida Grande"/>
      <w:sz w:val="18"/>
      <w:szCs w:val="18"/>
    </w:rPr>
  </w:style>
  <w:style w:type="character" w:styleId="Hyperlink">
    <w:name w:val="Hyperlink"/>
    <w:basedOn w:val="DefaultParagraphFont"/>
    <w:uiPriority w:val="99"/>
    <w:unhideWhenUsed/>
    <w:rsid w:val="000376DC"/>
    <w:rPr>
      <w:color w:val="0000FF" w:themeColor="hyperlink"/>
      <w:u w:val="single"/>
    </w:rPr>
  </w:style>
  <w:style w:type="character" w:styleId="FollowedHyperlink">
    <w:name w:val="FollowedHyperlink"/>
    <w:basedOn w:val="DefaultParagraphFont"/>
    <w:uiPriority w:val="99"/>
    <w:semiHidden/>
    <w:unhideWhenUsed/>
    <w:rsid w:val="00170762"/>
    <w:rPr>
      <w:color w:val="800080" w:themeColor="followedHyperlink"/>
      <w:u w:val="single"/>
    </w:rPr>
  </w:style>
  <w:style w:type="character" w:styleId="Strong">
    <w:name w:val="Strong"/>
    <w:basedOn w:val="DefaultParagraphFont"/>
    <w:uiPriority w:val="22"/>
    <w:qFormat/>
    <w:rsid w:val="00B40287"/>
    <w:rPr>
      <w:b/>
      <w:bCs/>
    </w:rPr>
  </w:style>
  <w:style w:type="paragraph" w:styleId="Header">
    <w:name w:val="header"/>
    <w:basedOn w:val="Normal"/>
    <w:link w:val="HeaderChar"/>
    <w:uiPriority w:val="99"/>
    <w:unhideWhenUsed/>
    <w:rsid w:val="00FF7EF5"/>
    <w:pPr>
      <w:tabs>
        <w:tab w:val="center" w:pos="4320"/>
        <w:tab w:val="right" w:pos="8640"/>
      </w:tabs>
    </w:pPr>
  </w:style>
  <w:style w:type="character" w:customStyle="1" w:styleId="HeaderChar">
    <w:name w:val="Header Char"/>
    <w:basedOn w:val="DefaultParagraphFont"/>
    <w:link w:val="Header"/>
    <w:uiPriority w:val="99"/>
    <w:rsid w:val="00FF7E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854"/>
    <w:pPr>
      <w:ind w:left="720"/>
      <w:contextualSpacing/>
    </w:pPr>
  </w:style>
  <w:style w:type="paragraph" w:styleId="Footer">
    <w:name w:val="footer"/>
    <w:basedOn w:val="Normal"/>
    <w:link w:val="FooterChar"/>
    <w:uiPriority w:val="99"/>
    <w:unhideWhenUsed/>
    <w:rsid w:val="001B6B6B"/>
    <w:pPr>
      <w:tabs>
        <w:tab w:val="center" w:pos="4320"/>
        <w:tab w:val="right" w:pos="8640"/>
      </w:tabs>
    </w:pPr>
  </w:style>
  <w:style w:type="character" w:customStyle="1" w:styleId="FooterChar">
    <w:name w:val="Footer Char"/>
    <w:basedOn w:val="DefaultParagraphFont"/>
    <w:link w:val="Footer"/>
    <w:uiPriority w:val="99"/>
    <w:rsid w:val="001B6B6B"/>
  </w:style>
  <w:style w:type="character" w:styleId="PageNumber">
    <w:name w:val="page number"/>
    <w:basedOn w:val="DefaultParagraphFont"/>
    <w:uiPriority w:val="99"/>
    <w:semiHidden/>
    <w:unhideWhenUsed/>
    <w:rsid w:val="001B6B6B"/>
  </w:style>
  <w:style w:type="paragraph" w:customStyle="1" w:styleId="MemoBodyText">
    <w:name w:val="Memo Body Text"/>
    <w:basedOn w:val="Normal"/>
    <w:qFormat/>
    <w:rsid w:val="001B6B6B"/>
    <w:pPr>
      <w:spacing w:line="480" w:lineRule="auto"/>
      <w:ind w:firstLine="720"/>
    </w:pPr>
    <w:rPr>
      <w:rFonts w:ascii="Times New Roman" w:hAnsi="Times New Roman" w:cs="Times New Roman"/>
    </w:rPr>
  </w:style>
  <w:style w:type="paragraph" w:styleId="FootnoteText">
    <w:name w:val="footnote text"/>
    <w:basedOn w:val="Normal"/>
    <w:link w:val="FootnoteTextChar"/>
    <w:uiPriority w:val="99"/>
    <w:unhideWhenUsed/>
    <w:rsid w:val="00B40947"/>
  </w:style>
  <w:style w:type="character" w:customStyle="1" w:styleId="FootnoteTextChar">
    <w:name w:val="Footnote Text Char"/>
    <w:basedOn w:val="DefaultParagraphFont"/>
    <w:link w:val="FootnoteText"/>
    <w:uiPriority w:val="99"/>
    <w:rsid w:val="00B40947"/>
  </w:style>
  <w:style w:type="character" w:styleId="FootnoteReference">
    <w:name w:val="footnote reference"/>
    <w:basedOn w:val="DefaultParagraphFont"/>
    <w:uiPriority w:val="99"/>
    <w:unhideWhenUsed/>
    <w:rsid w:val="00B40947"/>
    <w:rPr>
      <w:vertAlign w:val="superscript"/>
    </w:rPr>
  </w:style>
  <w:style w:type="table" w:styleId="TableGrid">
    <w:name w:val="Table Grid"/>
    <w:basedOn w:val="TableNormal"/>
    <w:uiPriority w:val="59"/>
    <w:rsid w:val="00EF7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moHeading2">
    <w:name w:val="Memo Heading 2"/>
    <w:basedOn w:val="ListParagraph"/>
    <w:next w:val="MemoBodyText"/>
    <w:qFormat/>
    <w:rsid w:val="00EF7556"/>
    <w:pPr>
      <w:keepNext/>
      <w:keepLines/>
      <w:numPr>
        <w:numId w:val="5"/>
      </w:numPr>
      <w:spacing w:after="240"/>
      <w:ind w:right="720"/>
      <w:contextualSpacing w:val="0"/>
    </w:pPr>
    <w:rPr>
      <w:rFonts w:ascii="Times New Roman" w:hAnsi="Times New Roman" w:cs="Times New Roman"/>
      <w:b/>
    </w:rPr>
  </w:style>
  <w:style w:type="paragraph" w:customStyle="1" w:styleId="MemoHeading1">
    <w:name w:val="Memo Heading 1"/>
    <w:basedOn w:val="Normal"/>
    <w:next w:val="MemoBodyText"/>
    <w:qFormat/>
    <w:rsid w:val="00EF7556"/>
    <w:pPr>
      <w:keepNext/>
      <w:keepLines/>
      <w:numPr>
        <w:numId w:val="6"/>
      </w:numPr>
      <w:spacing w:line="480" w:lineRule="auto"/>
      <w:ind w:left="0" w:hanging="187"/>
      <w:jc w:val="center"/>
    </w:pPr>
    <w:rPr>
      <w:rFonts w:ascii="Times New Roman" w:hAnsi="Times New Roman" w:cs="Times New Roman"/>
      <w:b/>
      <w:bCs/>
      <w:caps/>
    </w:rPr>
  </w:style>
  <w:style w:type="paragraph" w:customStyle="1" w:styleId="MemoHeading3">
    <w:name w:val="Memo Heading 3"/>
    <w:basedOn w:val="MemoBodyText"/>
    <w:next w:val="MemoBodyText"/>
    <w:qFormat/>
    <w:rsid w:val="00EF7556"/>
    <w:pPr>
      <w:keepNext/>
      <w:keepLines/>
      <w:numPr>
        <w:numId w:val="7"/>
      </w:numPr>
      <w:spacing w:after="240" w:line="240" w:lineRule="auto"/>
      <w:ind w:hanging="720"/>
    </w:pPr>
    <w:rPr>
      <w:b/>
    </w:rPr>
  </w:style>
  <w:style w:type="paragraph" w:customStyle="1" w:styleId="MemoHeading4">
    <w:name w:val="Memo Heading 4"/>
    <w:basedOn w:val="MemoBodyText"/>
    <w:next w:val="MemoBodyText"/>
    <w:qFormat/>
    <w:rsid w:val="00EF7556"/>
    <w:pPr>
      <w:keepNext/>
      <w:keepLines/>
      <w:numPr>
        <w:numId w:val="8"/>
      </w:numPr>
      <w:spacing w:after="240" w:line="240" w:lineRule="auto"/>
      <w:ind w:left="2160" w:hanging="720"/>
    </w:pPr>
    <w:rPr>
      <w:b/>
    </w:rPr>
  </w:style>
  <w:style w:type="character" w:styleId="CommentReference">
    <w:name w:val="annotation reference"/>
    <w:basedOn w:val="DefaultParagraphFont"/>
    <w:uiPriority w:val="99"/>
    <w:semiHidden/>
    <w:unhideWhenUsed/>
    <w:rsid w:val="00A35EFC"/>
    <w:rPr>
      <w:sz w:val="18"/>
      <w:szCs w:val="18"/>
    </w:rPr>
  </w:style>
  <w:style w:type="paragraph" w:styleId="CommentText">
    <w:name w:val="annotation text"/>
    <w:basedOn w:val="Normal"/>
    <w:link w:val="CommentTextChar"/>
    <w:uiPriority w:val="99"/>
    <w:semiHidden/>
    <w:unhideWhenUsed/>
    <w:rsid w:val="00A35EFC"/>
  </w:style>
  <w:style w:type="character" w:customStyle="1" w:styleId="CommentTextChar">
    <w:name w:val="Comment Text Char"/>
    <w:basedOn w:val="DefaultParagraphFont"/>
    <w:link w:val="CommentText"/>
    <w:uiPriority w:val="99"/>
    <w:semiHidden/>
    <w:rsid w:val="00A35EFC"/>
  </w:style>
  <w:style w:type="paragraph" w:styleId="CommentSubject">
    <w:name w:val="annotation subject"/>
    <w:basedOn w:val="CommentText"/>
    <w:next w:val="CommentText"/>
    <w:link w:val="CommentSubjectChar"/>
    <w:uiPriority w:val="99"/>
    <w:semiHidden/>
    <w:unhideWhenUsed/>
    <w:rsid w:val="00A35EFC"/>
    <w:rPr>
      <w:b/>
      <w:bCs/>
      <w:sz w:val="20"/>
      <w:szCs w:val="20"/>
    </w:rPr>
  </w:style>
  <w:style w:type="character" w:customStyle="1" w:styleId="CommentSubjectChar">
    <w:name w:val="Comment Subject Char"/>
    <w:basedOn w:val="CommentTextChar"/>
    <w:link w:val="CommentSubject"/>
    <w:uiPriority w:val="99"/>
    <w:semiHidden/>
    <w:rsid w:val="00A35EFC"/>
    <w:rPr>
      <w:b/>
      <w:bCs/>
      <w:sz w:val="20"/>
      <w:szCs w:val="20"/>
    </w:rPr>
  </w:style>
  <w:style w:type="paragraph" w:styleId="BalloonText">
    <w:name w:val="Balloon Text"/>
    <w:basedOn w:val="Normal"/>
    <w:link w:val="BalloonTextChar"/>
    <w:uiPriority w:val="99"/>
    <w:semiHidden/>
    <w:unhideWhenUsed/>
    <w:rsid w:val="00A35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EFC"/>
    <w:rPr>
      <w:rFonts w:ascii="Lucida Grande" w:hAnsi="Lucida Grande" w:cs="Lucida Grande"/>
      <w:sz w:val="18"/>
      <w:szCs w:val="18"/>
    </w:rPr>
  </w:style>
  <w:style w:type="character" w:styleId="Hyperlink">
    <w:name w:val="Hyperlink"/>
    <w:basedOn w:val="DefaultParagraphFont"/>
    <w:uiPriority w:val="99"/>
    <w:unhideWhenUsed/>
    <w:rsid w:val="000376DC"/>
    <w:rPr>
      <w:color w:val="0000FF" w:themeColor="hyperlink"/>
      <w:u w:val="single"/>
    </w:rPr>
  </w:style>
  <w:style w:type="character" w:styleId="FollowedHyperlink">
    <w:name w:val="FollowedHyperlink"/>
    <w:basedOn w:val="DefaultParagraphFont"/>
    <w:uiPriority w:val="99"/>
    <w:semiHidden/>
    <w:unhideWhenUsed/>
    <w:rsid w:val="00170762"/>
    <w:rPr>
      <w:color w:val="800080" w:themeColor="followedHyperlink"/>
      <w:u w:val="single"/>
    </w:rPr>
  </w:style>
  <w:style w:type="character" w:styleId="Strong">
    <w:name w:val="Strong"/>
    <w:basedOn w:val="DefaultParagraphFont"/>
    <w:uiPriority w:val="22"/>
    <w:qFormat/>
    <w:rsid w:val="00B40287"/>
    <w:rPr>
      <w:b/>
      <w:bCs/>
    </w:rPr>
  </w:style>
  <w:style w:type="paragraph" w:styleId="Header">
    <w:name w:val="header"/>
    <w:basedOn w:val="Normal"/>
    <w:link w:val="HeaderChar"/>
    <w:uiPriority w:val="99"/>
    <w:unhideWhenUsed/>
    <w:rsid w:val="00FF7EF5"/>
    <w:pPr>
      <w:tabs>
        <w:tab w:val="center" w:pos="4320"/>
        <w:tab w:val="right" w:pos="8640"/>
      </w:tabs>
    </w:pPr>
  </w:style>
  <w:style w:type="character" w:customStyle="1" w:styleId="HeaderChar">
    <w:name w:val="Header Char"/>
    <w:basedOn w:val="DefaultParagraphFont"/>
    <w:link w:val="Header"/>
    <w:uiPriority w:val="99"/>
    <w:rsid w:val="00FF7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85197">
      <w:bodyDiv w:val="1"/>
      <w:marLeft w:val="0"/>
      <w:marRight w:val="0"/>
      <w:marTop w:val="0"/>
      <w:marBottom w:val="0"/>
      <w:divBdr>
        <w:top w:val="none" w:sz="0" w:space="0" w:color="auto"/>
        <w:left w:val="none" w:sz="0" w:space="0" w:color="auto"/>
        <w:bottom w:val="none" w:sz="0" w:space="0" w:color="auto"/>
        <w:right w:val="none" w:sz="0" w:space="0" w:color="auto"/>
      </w:divBdr>
    </w:div>
    <w:div w:id="2099867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4EA343E38DD49A416F142B2F1D446" ma:contentTypeVersion="1" ma:contentTypeDescription="Create a new document." ma:contentTypeScope="" ma:versionID="241b0e698bbb267cfed4de8c1246c0e1">
  <xsd:schema xmlns:xsd="http://www.w3.org/2001/XMLSchema" xmlns:xs="http://www.w3.org/2001/XMLSchema" xmlns:p="http://schemas.microsoft.com/office/2006/metadata/properties" xmlns:ns3="90815a12-b987-497d-9ddb-8ae1f5140da6" targetNamespace="http://schemas.microsoft.com/office/2006/metadata/properties" ma:root="true" ma:fieldsID="af32242aa97cbb7be000bef8d2e754dc" ns3:_="">
    <xsd:import namespace="90815a12-b987-497d-9ddb-8ae1f5140da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15a12-b987-497d-9ddb-8ae1f5140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391C7-4072-47A6-9EEB-692225BD6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15a12-b987-497d-9ddb-8ae1f5140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0C0E0-77C5-462F-A5C9-98C071023711}">
  <ds:schemaRefs>
    <ds:schemaRef ds:uri="http://schemas.microsoft.com/sharepoint/v3/contenttype/forms"/>
  </ds:schemaRefs>
</ds:datastoreItem>
</file>

<file path=customXml/itemProps3.xml><?xml version="1.0" encoding="utf-8"?>
<ds:datastoreItem xmlns:ds="http://schemas.openxmlformats.org/officeDocument/2006/customXml" ds:itemID="{61564EE4-7A7D-408E-8A1F-386F80714CCC}">
  <ds:schemaRefs>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90815a12-b987-497d-9ddb-8ae1f5140da6"/>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3329</Words>
  <Characters>18114</Characters>
  <Application>Microsoft Macintosh Word</Application>
  <DocSecurity>0</DocSecurity>
  <Lines>603</Lines>
  <Paragraphs>363</Paragraphs>
  <ScaleCrop>false</ScaleCrop>
  <HeadingPairs>
    <vt:vector size="2" baseType="variant">
      <vt:variant>
        <vt:lpstr>Title</vt:lpstr>
      </vt:variant>
      <vt:variant>
        <vt:i4>1</vt:i4>
      </vt:variant>
    </vt:vector>
  </HeadingPairs>
  <TitlesOfParts>
    <vt:vector size="1" baseType="lpstr">
      <vt:lpstr/>
    </vt:vector>
  </TitlesOfParts>
  <Company>Whitt Sturtevant</Company>
  <LinksUpToDate>false</LinksUpToDate>
  <CharactersWithSpaces>21080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Glover</dc:creator>
  <cp:keywords/>
  <dc:description/>
  <cp:lastModifiedBy>Rebekah Glover</cp:lastModifiedBy>
  <cp:revision>4</cp:revision>
  <cp:lastPrinted>2015-03-13T12:56:00Z</cp:lastPrinted>
  <dcterms:created xsi:type="dcterms:W3CDTF">2015-03-16T19:07:00Z</dcterms:created>
  <dcterms:modified xsi:type="dcterms:W3CDTF">2015-03-16T19:57:00Z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0x01010094A4EA343E38DD49A416F142B2F1D446</vt:lpwstr>
  </property>
</Properties>
</file>