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D302D" w:rsidRPr="00E61247" w:rsidP="004D302D" w14:paraId="4E8062B9" w14:textId="77777777">
      <w:pPr>
        <w:pStyle w:val="HTMLPreformatted"/>
        <w:jc w:val="center"/>
        <w:rPr>
          <w:rFonts w:ascii="Times New Roman" w:hAnsi="Times New Roman" w:cs="Times New Roman"/>
          <w:b/>
          <w:bCs/>
          <w:sz w:val="24"/>
          <w:szCs w:val="24"/>
        </w:rPr>
      </w:pPr>
      <w:r w:rsidRPr="00E61247">
        <w:rPr>
          <w:rFonts w:ascii="Times New Roman" w:hAnsi="Times New Roman" w:cs="Times New Roman"/>
          <w:b/>
          <w:bCs/>
          <w:sz w:val="24"/>
          <w:szCs w:val="24"/>
        </w:rPr>
        <w:t>BEFORE</w:t>
      </w:r>
    </w:p>
    <w:p w:rsidR="004D302D" w:rsidRPr="00E61247" w:rsidP="004D302D" w14:paraId="2E582242"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4D302D" w:rsidRPr="00E61247" w:rsidP="004D302D" w14:paraId="062709A8"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57A77629" w14:textId="77777777" w:rsidTr="00D968C9">
        <w:tblPrEx>
          <w:tblW w:w="9452" w:type="dxa"/>
          <w:tblLook w:val="01E0"/>
        </w:tblPrEx>
        <w:trPr>
          <w:trHeight w:val="807"/>
        </w:trPr>
        <w:tc>
          <w:tcPr>
            <w:tcW w:w="4692" w:type="dxa"/>
            <w:shd w:val="clear" w:color="auto" w:fill="auto"/>
          </w:tcPr>
          <w:p w:rsidR="004D302D" w:rsidRPr="00E61247" w:rsidP="00D968C9" w14:paraId="22AA370B" w14:textId="77777777">
            <w:pPr>
              <w:autoSpaceDE w:val="0"/>
              <w:autoSpaceDN w:val="0"/>
              <w:adjustRightInd w:val="0"/>
              <w:rPr>
                <w:szCs w:val="24"/>
              </w:rPr>
            </w:pPr>
          </w:p>
          <w:p w:rsidR="004D302D" w:rsidRPr="00E61247" w:rsidP="00D968C9" w14:paraId="7D77C45B" w14:textId="77777777">
            <w:pPr>
              <w:autoSpaceDE w:val="0"/>
              <w:autoSpaceDN w:val="0"/>
              <w:adjustRightInd w:val="0"/>
              <w:rPr>
                <w:szCs w:val="24"/>
              </w:rPr>
            </w:pPr>
            <w:r w:rsidRPr="00E61247">
              <w:rPr>
                <w:szCs w:val="24"/>
              </w:rPr>
              <w:t>In the Matters of the Applications of Duke Energy Ohio, Inc., for Adjustments to Rider MGP Rates.</w:t>
            </w:r>
          </w:p>
          <w:p w:rsidR="004D302D" w:rsidRPr="00E61247" w:rsidP="00D968C9" w14:paraId="76B4D6A9" w14:textId="77777777">
            <w:pPr>
              <w:autoSpaceDE w:val="0"/>
              <w:autoSpaceDN w:val="0"/>
              <w:adjustRightInd w:val="0"/>
              <w:rPr>
                <w:szCs w:val="24"/>
              </w:rPr>
            </w:pPr>
          </w:p>
          <w:p w:rsidR="004D302D" w:rsidRPr="00E61247" w:rsidP="00D968C9" w14:paraId="129BF820" w14:textId="77777777">
            <w:pPr>
              <w:autoSpaceDE w:val="0"/>
              <w:autoSpaceDN w:val="0"/>
              <w:adjustRightInd w:val="0"/>
              <w:rPr>
                <w:szCs w:val="24"/>
              </w:rPr>
            </w:pPr>
          </w:p>
          <w:p w:rsidR="004D302D" w:rsidRPr="00E61247" w:rsidP="00D968C9" w14:paraId="048A984E" w14:textId="77777777">
            <w:pPr>
              <w:autoSpaceDE w:val="0"/>
              <w:autoSpaceDN w:val="0"/>
              <w:adjustRightInd w:val="0"/>
              <w:rPr>
                <w:szCs w:val="24"/>
              </w:rPr>
            </w:pPr>
          </w:p>
          <w:p w:rsidR="004D302D" w:rsidP="00D968C9" w14:paraId="5401900C" w14:textId="27B957A0">
            <w:pPr>
              <w:autoSpaceDE w:val="0"/>
              <w:autoSpaceDN w:val="0"/>
              <w:adjustRightInd w:val="0"/>
              <w:rPr>
                <w:szCs w:val="24"/>
              </w:rPr>
            </w:pPr>
          </w:p>
          <w:p w:rsidR="00B10EF6" w:rsidRPr="00E61247" w:rsidP="00D968C9" w14:paraId="0C6354D1" w14:textId="77777777">
            <w:pPr>
              <w:autoSpaceDE w:val="0"/>
              <w:autoSpaceDN w:val="0"/>
              <w:adjustRightInd w:val="0"/>
              <w:rPr>
                <w:szCs w:val="24"/>
              </w:rPr>
            </w:pPr>
          </w:p>
          <w:p w:rsidR="004D302D" w:rsidP="00D968C9" w14:paraId="0DD95382" w14:textId="0B7CBC72">
            <w:pPr>
              <w:autoSpaceDE w:val="0"/>
              <w:autoSpaceDN w:val="0"/>
              <w:adjustRightInd w:val="0"/>
              <w:rPr>
                <w:szCs w:val="24"/>
              </w:rPr>
            </w:pPr>
            <w:r w:rsidRPr="00E61247">
              <w:rPr>
                <w:szCs w:val="24"/>
              </w:rPr>
              <w:t>In the Matters of the Applications of Duke Energy Ohio, Inc. for Tariff Approval.</w:t>
            </w:r>
          </w:p>
          <w:p w:rsidR="00FF1B8A" w:rsidP="00D968C9" w14:paraId="73355EC4" w14:textId="77777777">
            <w:pPr>
              <w:autoSpaceDE w:val="0"/>
              <w:autoSpaceDN w:val="0"/>
              <w:adjustRightInd w:val="0"/>
              <w:rPr>
                <w:szCs w:val="24"/>
              </w:rPr>
            </w:pPr>
          </w:p>
          <w:p w:rsidR="00FF1B8A" w:rsidP="00D968C9" w14:paraId="4185D17E" w14:textId="6BE5F64D">
            <w:pPr>
              <w:autoSpaceDE w:val="0"/>
              <w:autoSpaceDN w:val="0"/>
              <w:adjustRightInd w:val="0"/>
              <w:rPr>
                <w:szCs w:val="24"/>
              </w:rPr>
            </w:pPr>
          </w:p>
          <w:p w:rsidR="00FF1B8A" w:rsidP="00D968C9" w14:paraId="0D04B81A" w14:textId="51E42A6E">
            <w:pPr>
              <w:autoSpaceDE w:val="0"/>
              <w:autoSpaceDN w:val="0"/>
              <w:adjustRightInd w:val="0"/>
              <w:rPr>
                <w:szCs w:val="24"/>
              </w:rPr>
            </w:pPr>
          </w:p>
          <w:p w:rsidR="00B10EF6" w:rsidP="00D968C9" w14:paraId="393CABF5" w14:textId="679DA25B">
            <w:pPr>
              <w:autoSpaceDE w:val="0"/>
              <w:autoSpaceDN w:val="0"/>
              <w:adjustRightInd w:val="0"/>
              <w:rPr>
                <w:szCs w:val="24"/>
              </w:rPr>
            </w:pPr>
          </w:p>
          <w:p w:rsidR="00B10EF6" w:rsidP="00D968C9" w14:paraId="256A5A6C" w14:textId="7C1BA125">
            <w:pPr>
              <w:autoSpaceDE w:val="0"/>
              <w:autoSpaceDN w:val="0"/>
              <w:adjustRightInd w:val="0"/>
              <w:rPr>
                <w:szCs w:val="24"/>
              </w:rPr>
            </w:pPr>
          </w:p>
          <w:p w:rsidR="00B10EF6" w:rsidP="00D968C9" w14:paraId="4B020652" w14:textId="77777777">
            <w:pPr>
              <w:autoSpaceDE w:val="0"/>
              <w:autoSpaceDN w:val="0"/>
              <w:adjustRightInd w:val="0"/>
              <w:rPr>
                <w:szCs w:val="24"/>
              </w:rPr>
            </w:pPr>
          </w:p>
          <w:p w:rsidR="00FF1B8A" w:rsidP="00D968C9" w14:paraId="7026E4E0" w14:textId="0F29903F">
            <w:pPr>
              <w:autoSpaceDE w:val="0"/>
              <w:autoSpaceDN w:val="0"/>
              <w:adjustRightInd w:val="0"/>
              <w:rPr>
                <w:szCs w:val="24"/>
              </w:rPr>
            </w:pPr>
            <w:r>
              <w:rPr>
                <w:szCs w:val="24"/>
              </w:rPr>
              <w:t>In the Matter of the Application of Duke Energy Ohio, Inc., for Implementation of the Tax Cuts and Jobs Act of 2017.</w:t>
            </w:r>
          </w:p>
          <w:p w:rsidR="00FF1B8A" w:rsidP="00D968C9" w14:paraId="54982590" w14:textId="77777777">
            <w:pPr>
              <w:autoSpaceDE w:val="0"/>
              <w:autoSpaceDN w:val="0"/>
              <w:adjustRightInd w:val="0"/>
              <w:rPr>
                <w:szCs w:val="24"/>
              </w:rPr>
            </w:pPr>
          </w:p>
          <w:p w:rsidR="00FF1B8A" w:rsidP="00D968C9" w14:paraId="391CC9BF" w14:textId="77777777">
            <w:pPr>
              <w:autoSpaceDE w:val="0"/>
              <w:autoSpaceDN w:val="0"/>
              <w:adjustRightInd w:val="0"/>
              <w:rPr>
                <w:szCs w:val="24"/>
              </w:rPr>
            </w:pPr>
            <w:r>
              <w:rPr>
                <w:szCs w:val="24"/>
              </w:rPr>
              <w:t>In the Matter of the Application of Duke Energy Ohio, Inc., for Approval of Tariff Amendments.</w:t>
            </w:r>
          </w:p>
          <w:p w:rsidR="00FF1B8A" w:rsidP="00D968C9" w14:paraId="2DF64172" w14:textId="77777777">
            <w:pPr>
              <w:autoSpaceDE w:val="0"/>
              <w:autoSpaceDN w:val="0"/>
              <w:adjustRightInd w:val="0"/>
              <w:rPr>
                <w:szCs w:val="24"/>
              </w:rPr>
            </w:pPr>
          </w:p>
          <w:p w:rsidR="00FF1B8A" w:rsidRPr="00FF1B8A" w:rsidP="00D968C9" w14:paraId="5B00008A" w14:textId="0C65588F">
            <w:pPr>
              <w:autoSpaceDE w:val="0"/>
              <w:autoSpaceDN w:val="0"/>
              <w:adjustRightInd w:val="0"/>
            </w:pPr>
            <w:r>
              <w:rPr>
                <w:szCs w:val="24"/>
              </w:rPr>
              <w:t xml:space="preserve">In the Matter of the Application </w:t>
            </w:r>
            <w:r w:rsidRPr="007A2091">
              <w:t>of Duke Energy Ohio, Inc., for Authority to Defer Environmental Investigation and Remediation Costs</w:t>
            </w:r>
            <w:r>
              <w:t>.</w:t>
            </w:r>
          </w:p>
        </w:tc>
        <w:tc>
          <w:tcPr>
            <w:tcW w:w="360" w:type="dxa"/>
            <w:shd w:val="clear" w:color="auto" w:fill="auto"/>
          </w:tcPr>
          <w:p w:rsidR="004D302D" w:rsidRPr="00E61247" w:rsidP="00D968C9" w14:paraId="2A21825B"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29296D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CB11E9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1EEEC4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5EA674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P="00D968C9" w14:paraId="6C8A188A" w14:textId="77A87858">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FF1B8A" w:rsidRPr="00E61247" w:rsidP="00D968C9" w14:paraId="151DC5ED" w14:textId="323ED59D">
            <w:pPr>
              <w:pStyle w:val="HTMLPreformatted"/>
              <w:rPr>
                <w:rFonts w:ascii="Times New Roman" w:hAnsi="Times New Roman" w:cs="Times New Roman"/>
                <w:sz w:val="24"/>
                <w:szCs w:val="24"/>
              </w:rPr>
            </w:pPr>
            <w:r>
              <w:rPr>
                <w:rFonts w:ascii="Times New Roman" w:hAnsi="Times New Roman" w:cs="Times New Roman"/>
                <w:sz w:val="24"/>
                <w:szCs w:val="24"/>
              </w:rPr>
              <w:t>)</w:t>
            </w:r>
          </w:p>
          <w:p w:rsidR="004D302D" w:rsidRPr="00E61247" w:rsidP="00D968C9" w14:paraId="08DC53FB" w14:textId="77777777">
            <w:pPr>
              <w:pStyle w:val="HTMLPreformatted"/>
              <w:rPr>
                <w:rFonts w:ascii="Times New Roman" w:hAnsi="Times New Roman" w:cs="Times New Roman"/>
                <w:sz w:val="24"/>
                <w:szCs w:val="24"/>
              </w:rPr>
            </w:pPr>
          </w:p>
          <w:p w:rsidR="004D302D" w:rsidRPr="00E61247" w:rsidP="00D968C9" w14:paraId="078E82C1"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13ACCE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47D47D6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3DDAF7E9"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14658CC0"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P="00D968C9" w14:paraId="54DE4BDA" w14:textId="2F95AA93">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FF1B8A" w:rsidP="00D968C9" w14:paraId="1BBD8845" w14:textId="569DDB43">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00F17462" w14:textId="4A0A7B50">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3512703" w14:textId="77777777">
            <w:pPr>
              <w:pStyle w:val="HTMLPreformatted"/>
              <w:rPr>
                <w:rFonts w:ascii="Times New Roman" w:hAnsi="Times New Roman" w:cs="Times New Roman"/>
                <w:sz w:val="24"/>
                <w:szCs w:val="24"/>
              </w:rPr>
            </w:pPr>
          </w:p>
          <w:p w:rsidR="00FF1B8A" w:rsidP="00D968C9" w14:paraId="2208E61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567F23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0AE539B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2979927D" w14:textId="77777777">
            <w:pPr>
              <w:pStyle w:val="HTMLPreformatted"/>
              <w:rPr>
                <w:rFonts w:ascii="Times New Roman" w:hAnsi="Times New Roman" w:cs="Times New Roman"/>
                <w:sz w:val="24"/>
                <w:szCs w:val="24"/>
              </w:rPr>
            </w:pPr>
          </w:p>
          <w:p w:rsidR="00FF1B8A" w:rsidP="00D968C9" w14:paraId="09ACC70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3908EC2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C455E68" w14:textId="55EB7F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468DF261" w14:textId="4E98479B">
            <w:pPr>
              <w:pStyle w:val="HTMLPreformatted"/>
              <w:rPr>
                <w:rFonts w:ascii="Times New Roman" w:hAnsi="Times New Roman" w:cs="Times New Roman"/>
                <w:sz w:val="24"/>
                <w:szCs w:val="24"/>
              </w:rPr>
            </w:pPr>
          </w:p>
          <w:p w:rsidR="00FF1B8A" w:rsidP="00D968C9" w14:paraId="42FFF361" w14:textId="7028A38E">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1EE874C7" w14:textId="3A50DE2A">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4B67CC38" w14:textId="06915C95">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RPr="00E61247" w:rsidP="00FF1B8A" w14:paraId="16D552D5" w14:textId="41C530FB">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4D302D" w:rsidRPr="00E61247" w:rsidP="00D968C9" w14:paraId="10D767E2" w14:textId="77777777">
            <w:pPr>
              <w:rPr>
                <w:szCs w:val="24"/>
              </w:rPr>
            </w:pPr>
            <w:r w:rsidRPr="00E61247">
              <w:rPr>
                <w:szCs w:val="24"/>
              </w:rPr>
              <w:t>Case No. 14-375-GA-RDR</w:t>
            </w:r>
          </w:p>
          <w:p w:rsidR="004D302D" w:rsidRPr="00E61247" w:rsidP="00D968C9" w14:paraId="32B90CEA" w14:textId="77777777">
            <w:pPr>
              <w:rPr>
                <w:szCs w:val="24"/>
              </w:rPr>
            </w:pPr>
            <w:r w:rsidRPr="00E61247">
              <w:rPr>
                <w:szCs w:val="24"/>
              </w:rPr>
              <w:t>Case No. 15-452-GA-RDR</w:t>
            </w:r>
          </w:p>
          <w:p w:rsidR="004D302D" w:rsidRPr="00E61247" w:rsidP="00D968C9" w14:paraId="00312F40" w14:textId="77777777">
            <w:pPr>
              <w:rPr>
                <w:szCs w:val="24"/>
              </w:rPr>
            </w:pPr>
            <w:r w:rsidRPr="00E61247">
              <w:rPr>
                <w:szCs w:val="24"/>
              </w:rPr>
              <w:t>Case No. 16-542-GA-RDR</w:t>
            </w:r>
          </w:p>
          <w:p w:rsidR="004D302D" w:rsidRPr="00E61247" w:rsidP="00D968C9" w14:paraId="79EE4D3D" w14:textId="77777777">
            <w:pPr>
              <w:rPr>
                <w:szCs w:val="24"/>
              </w:rPr>
            </w:pPr>
            <w:r w:rsidRPr="00E61247">
              <w:rPr>
                <w:szCs w:val="24"/>
              </w:rPr>
              <w:t>Case No. 17-596-GA-RDR</w:t>
            </w:r>
          </w:p>
          <w:p w:rsidR="004D302D" w:rsidRPr="00E61247" w:rsidP="00D968C9" w14:paraId="461616B2" w14:textId="77777777">
            <w:pPr>
              <w:rPr>
                <w:szCs w:val="24"/>
              </w:rPr>
            </w:pPr>
            <w:r w:rsidRPr="00E61247">
              <w:rPr>
                <w:szCs w:val="24"/>
              </w:rPr>
              <w:t>Case No. 18-283-GA-RDR</w:t>
            </w:r>
          </w:p>
          <w:p w:rsidR="004D302D" w:rsidP="00D968C9" w14:paraId="5871845A" w14:textId="61E9CA02">
            <w:pPr>
              <w:rPr>
                <w:szCs w:val="24"/>
              </w:rPr>
            </w:pPr>
            <w:r w:rsidRPr="00E61247">
              <w:rPr>
                <w:szCs w:val="24"/>
              </w:rPr>
              <w:t>Case No. 19-174-GA-RDR</w:t>
            </w:r>
          </w:p>
          <w:p w:rsidR="00FF1B8A" w:rsidRPr="00E61247" w:rsidP="00D968C9" w14:paraId="60F7957D" w14:textId="07D7F6CD">
            <w:pPr>
              <w:rPr>
                <w:szCs w:val="24"/>
              </w:rPr>
            </w:pPr>
            <w:r>
              <w:rPr>
                <w:szCs w:val="24"/>
              </w:rPr>
              <w:t>Case No. 20-53-GA-RDR</w:t>
            </w:r>
          </w:p>
          <w:p w:rsidR="004D302D" w:rsidRPr="00E61247" w:rsidP="00D968C9" w14:paraId="15EF5ACC" w14:textId="77777777">
            <w:pPr>
              <w:rPr>
                <w:szCs w:val="24"/>
              </w:rPr>
            </w:pPr>
          </w:p>
          <w:p w:rsidR="004D302D" w:rsidRPr="00E61247" w:rsidP="00D968C9" w14:paraId="1A7AFF61" w14:textId="77777777">
            <w:pPr>
              <w:rPr>
                <w:szCs w:val="24"/>
              </w:rPr>
            </w:pPr>
            <w:r w:rsidRPr="00E61247">
              <w:rPr>
                <w:szCs w:val="24"/>
              </w:rPr>
              <w:t>Case No. 14-376-GA-ATA</w:t>
            </w:r>
          </w:p>
          <w:p w:rsidR="004D302D" w:rsidRPr="00E61247" w:rsidP="00D968C9" w14:paraId="7BA3F9B6" w14:textId="77777777">
            <w:pPr>
              <w:rPr>
                <w:szCs w:val="24"/>
              </w:rPr>
            </w:pPr>
            <w:r w:rsidRPr="00E61247">
              <w:rPr>
                <w:szCs w:val="24"/>
              </w:rPr>
              <w:t>Case No. 15-453-GA-ATA</w:t>
            </w:r>
          </w:p>
          <w:p w:rsidR="004D302D" w:rsidRPr="00E61247" w:rsidP="00D968C9" w14:paraId="5CAFB446" w14:textId="77777777">
            <w:pPr>
              <w:rPr>
                <w:szCs w:val="24"/>
              </w:rPr>
            </w:pPr>
            <w:r w:rsidRPr="00E61247">
              <w:rPr>
                <w:szCs w:val="24"/>
              </w:rPr>
              <w:t>Case No. 16-543-GA-ATA</w:t>
            </w:r>
          </w:p>
          <w:p w:rsidR="004D302D" w:rsidRPr="00E61247" w:rsidP="00D968C9" w14:paraId="5BA3D6B1" w14:textId="77777777">
            <w:pPr>
              <w:rPr>
                <w:szCs w:val="24"/>
              </w:rPr>
            </w:pPr>
            <w:r w:rsidRPr="00E61247">
              <w:rPr>
                <w:szCs w:val="24"/>
              </w:rPr>
              <w:t>Case No. 17-597-GA-ATA</w:t>
            </w:r>
          </w:p>
          <w:p w:rsidR="00FF1B8A" w:rsidRPr="00E61247" w:rsidP="00D968C9" w14:paraId="525FBFD6" w14:textId="288A6FA5">
            <w:pPr>
              <w:rPr>
                <w:szCs w:val="24"/>
              </w:rPr>
            </w:pPr>
            <w:r w:rsidRPr="00E61247">
              <w:rPr>
                <w:szCs w:val="24"/>
              </w:rPr>
              <w:t>Case No. 18-284-GA-ATA</w:t>
            </w:r>
          </w:p>
          <w:p w:rsidR="004D302D" w:rsidP="00D968C9" w14:paraId="258E31E6" w14:textId="10F0E089">
            <w:pPr>
              <w:rPr>
                <w:szCs w:val="24"/>
              </w:rPr>
            </w:pPr>
            <w:r w:rsidRPr="00E61247">
              <w:rPr>
                <w:szCs w:val="24"/>
              </w:rPr>
              <w:t>Case No. 19-175-GA-ATA</w:t>
            </w:r>
          </w:p>
          <w:p w:rsidR="00FF1B8A" w:rsidP="00D968C9" w14:paraId="03E2AAAF" w14:textId="7C3D4C1C">
            <w:pPr>
              <w:rPr>
                <w:szCs w:val="24"/>
              </w:rPr>
            </w:pPr>
            <w:r>
              <w:rPr>
                <w:szCs w:val="24"/>
              </w:rPr>
              <w:t>Case No. 19-1086-GA-ATA</w:t>
            </w:r>
          </w:p>
          <w:p w:rsidR="00FF1B8A" w:rsidP="00D968C9" w14:paraId="46EF2C01" w14:textId="0FD76D78">
            <w:pPr>
              <w:rPr>
                <w:szCs w:val="24"/>
              </w:rPr>
            </w:pPr>
            <w:r>
              <w:rPr>
                <w:szCs w:val="24"/>
              </w:rPr>
              <w:t>Case No. 20-54-GA-ATA</w:t>
            </w:r>
          </w:p>
          <w:p w:rsidR="00FF1B8A" w:rsidP="00D968C9" w14:paraId="05C80A04" w14:textId="77777777">
            <w:pPr>
              <w:rPr>
                <w:szCs w:val="24"/>
              </w:rPr>
            </w:pPr>
          </w:p>
          <w:p w:rsidR="00FF1B8A" w:rsidP="00D968C9" w14:paraId="17AAD30A" w14:textId="77777777">
            <w:pPr>
              <w:rPr>
                <w:szCs w:val="24"/>
              </w:rPr>
            </w:pPr>
          </w:p>
          <w:p w:rsidR="00FF1B8A" w:rsidP="00D968C9" w14:paraId="7BBCB8ED" w14:textId="77777777">
            <w:pPr>
              <w:rPr>
                <w:szCs w:val="24"/>
              </w:rPr>
            </w:pPr>
            <w:r>
              <w:rPr>
                <w:szCs w:val="24"/>
              </w:rPr>
              <w:t>Case No. 18-1830-GA-UNC</w:t>
            </w:r>
          </w:p>
          <w:p w:rsidR="00FF1B8A" w:rsidP="00D968C9" w14:paraId="71F30C1D" w14:textId="77777777">
            <w:pPr>
              <w:rPr>
                <w:szCs w:val="24"/>
              </w:rPr>
            </w:pPr>
          </w:p>
          <w:p w:rsidR="00FF1B8A" w:rsidP="00D968C9" w14:paraId="5E30F419" w14:textId="77777777">
            <w:pPr>
              <w:rPr>
                <w:szCs w:val="24"/>
              </w:rPr>
            </w:pPr>
          </w:p>
          <w:p w:rsidR="00FF1B8A" w:rsidP="00D968C9" w14:paraId="0FBEE8D8" w14:textId="77777777">
            <w:pPr>
              <w:rPr>
                <w:szCs w:val="24"/>
              </w:rPr>
            </w:pPr>
          </w:p>
          <w:p w:rsidR="00FF1B8A" w:rsidP="00D968C9" w14:paraId="28F36E22" w14:textId="07631387">
            <w:pPr>
              <w:rPr>
                <w:szCs w:val="24"/>
              </w:rPr>
            </w:pPr>
            <w:r>
              <w:rPr>
                <w:szCs w:val="24"/>
              </w:rPr>
              <w:t>Case No. 18-1831-GA-ATA</w:t>
            </w:r>
          </w:p>
          <w:p w:rsidR="00FF1B8A" w:rsidP="00D968C9" w14:paraId="079542C0" w14:textId="77777777">
            <w:pPr>
              <w:rPr>
                <w:szCs w:val="24"/>
              </w:rPr>
            </w:pPr>
          </w:p>
          <w:p w:rsidR="00FF1B8A" w:rsidP="00D968C9" w14:paraId="048BAF4F" w14:textId="77777777">
            <w:pPr>
              <w:rPr>
                <w:szCs w:val="24"/>
              </w:rPr>
            </w:pPr>
          </w:p>
          <w:p w:rsidR="00FF1B8A" w:rsidP="00D968C9" w14:paraId="58175303" w14:textId="77777777">
            <w:pPr>
              <w:rPr>
                <w:szCs w:val="24"/>
              </w:rPr>
            </w:pPr>
          </w:p>
          <w:p w:rsidR="00FF1B8A" w:rsidRPr="00E61247" w:rsidP="00D968C9" w14:paraId="64CAEB08" w14:textId="2CB067F8">
            <w:pPr>
              <w:rPr>
                <w:szCs w:val="24"/>
              </w:rPr>
            </w:pPr>
            <w:r>
              <w:rPr>
                <w:szCs w:val="24"/>
              </w:rPr>
              <w:t>Case No. 19-1085-GA-AAM</w:t>
            </w:r>
          </w:p>
        </w:tc>
      </w:tr>
    </w:tbl>
    <w:p w:rsidR="004D302D" w:rsidRPr="00E61247" w:rsidP="004D302D" w14:paraId="4E6CDE15" w14:textId="77777777">
      <w:pPr>
        <w:pBdr>
          <w:bottom w:val="single" w:sz="12" w:space="1" w:color="auto"/>
        </w:pBdr>
        <w:spacing w:before="4"/>
        <w:rPr>
          <w:szCs w:val="24"/>
        </w:rPr>
      </w:pPr>
    </w:p>
    <w:p w:rsidR="004D302D" w:rsidRPr="00E61247" w:rsidP="004D302D" w14:paraId="4190A7A4" w14:textId="77777777">
      <w:pPr>
        <w:tabs>
          <w:tab w:val="left" w:pos="-720"/>
        </w:tabs>
        <w:suppressAutoHyphens/>
        <w:jc w:val="center"/>
        <w:rPr>
          <w:b/>
          <w:spacing w:val="-3"/>
          <w:szCs w:val="24"/>
        </w:rPr>
      </w:pPr>
    </w:p>
    <w:p w:rsidR="004D302D" w:rsidP="004D302D" w14:paraId="657C1A83" w14:textId="55251EBB">
      <w:pPr>
        <w:tabs>
          <w:tab w:val="left" w:pos="-720"/>
        </w:tabs>
        <w:suppressAutoHyphens/>
        <w:jc w:val="center"/>
        <w:rPr>
          <w:b/>
          <w:spacing w:val="-3"/>
          <w:szCs w:val="24"/>
        </w:rPr>
      </w:pPr>
      <w:r>
        <w:rPr>
          <w:b/>
          <w:spacing w:val="-3"/>
          <w:szCs w:val="24"/>
        </w:rPr>
        <w:t>MEMORANDUM CONTRA IGS’S MOTION TO INTERVENE AND MOTION FOR PROCEDURAL SCHEDULE</w:t>
      </w:r>
      <w:r w:rsidR="00520392">
        <w:rPr>
          <w:b/>
          <w:spacing w:val="-3"/>
          <w:szCs w:val="24"/>
        </w:rPr>
        <w:t xml:space="preserve"> </w:t>
      </w:r>
    </w:p>
    <w:p w:rsidR="004D302D" w:rsidRPr="00E61247" w:rsidP="004D302D" w14:paraId="65120EEB" w14:textId="77777777">
      <w:pPr>
        <w:tabs>
          <w:tab w:val="left" w:pos="-720"/>
        </w:tabs>
        <w:suppressAutoHyphens/>
        <w:jc w:val="center"/>
        <w:rPr>
          <w:b/>
          <w:spacing w:val="-3"/>
          <w:szCs w:val="24"/>
        </w:rPr>
      </w:pPr>
      <w:r w:rsidRPr="00E61247">
        <w:rPr>
          <w:b/>
          <w:spacing w:val="-3"/>
          <w:szCs w:val="24"/>
        </w:rPr>
        <w:t>BY</w:t>
      </w:r>
    </w:p>
    <w:p w:rsidR="004D302D" w:rsidRPr="00E61247" w:rsidP="004D302D" w14:paraId="00D34CD4" w14:textId="0ACCE9D1">
      <w:pPr>
        <w:tabs>
          <w:tab w:val="left" w:pos="-720"/>
        </w:tabs>
        <w:suppressAutoHyphens/>
        <w:jc w:val="center"/>
        <w:rPr>
          <w:b/>
          <w:spacing w:val="-3"/>
          <w:szCs w:val="24"/>
        </w:rPr>
      </w:pPr>
      <w:r w:rsidRPr="00E61247">
        <w:rPr>
          <w:b/>
          <w:spacing w:val="-3"/>
          <w:szCs w:val="24"/>
        </w:rPr>
        <w:t>OFFICE OF THE OHIO CONSUMERS’ COUNSEL</w:t>
      </w:r>
    </w:p>
    <w:p w:rsidR="004D302D" w:rsidRPr="00E61247" w:rsidP="004D302D" w14:paraId="4537135E" w14:textId="77777777">
      <w:pPr>
        <w:pBdr>
          <w:bottom w:val="single" w:sz="12" w:space="1" w:color="auto"/>
        </w:pBdr>
        <w:tabs>
          <w:tab w:val="left" w:pos="-720"/>
        </w:tabs>
        <w:suppressAutoHyphens/>
        <w:jc w:val="center"/>
        <w:rPr>
          <w:b/>
          <w:spacing w:val="-3"/>
          <w:szCs w:val="24"/>
        </w:rPr>
      </w:pPr>
    </w:p>
    <w:p w:rsidR="004312EF" w:rsidP="004312EF" w14:paraId="1F294979" w14:textId="77777777">
      <w:pPr>
        <w:ind w:firstLine="720"/>
        <w:rPr>
          <w:szCs w:val="24"/>
        </w:rPr>
      </w:pPr>
    </w:p>
    <w:p w:rsidR="00B10EF6" w:rsidP="00AC4DAA" w14:paraId="039FFD5F" w14:textId="77777777">
      <w:pPr>
        <w:spacing w:line="480" w:lineRule="auto"/>
        <w:ind w:firstLine="720"/>
        <w:rPr>
          <w:szCs w:val="24"/>
        </w:rPr>
        <w:sectPr w:rsidSect="00D1611D">
          <w:footerReference w:type="default" r:id="rId6"/>
          <w:pgSz w:w="12240" w:h="15840"/>
          <w:pgMar w:top="1440" w:right="1440" w:bottom="1440" w:left="1440" w:header="720" w:footer="720" w:gutter="0"/>
          <w:pgNumType w:start="2"/>
          <w:cols w:space="720"/>
          <w:docGrid w:linePitch="360"/>
        </w:sectPr>
      </w:pPr>
      <w:r>
        <w:rPr>
          <w:szCs w:val="24"/>
        </w:rPr>
        <w:t>Interstate Gas Supply, Inc. (“IGS”) want</w:t>
      </w:r>
      <w:r w:rsidR="004C3701">
        <w:rPr>
          <w:szCs w:val="24"/>
        </w:rPr>
        <w:t>s</w:t>
      </w:r>
      <w:r>
        <w:rPr>
          <w:szCs w:val="24"/>
        </w:rPr>
        <w:t xml:space="preserve"> to intervene in these cases</w:t>
      </w:r>
      <w:r w:rsidR="00013D63">
        <w:rPr>
          <w:szCs w:val="24"/>
        </w:rPr>
        <w:t>. S</w:t>
      </w:r>
      <w:r>
        <w:rPr>
          <w:szCs w:val="24"/>
        </w:rPr>
        <w:t xml:space="preserve">ome of </w:t>
      </w:r>
      <w:r w:rsidR="009A162A">
        <w:rPr>
          <w:szCs w:val="24"/>
        </w:rPr>
        <w:t>the cases</w:t>
      </w:r>
      <w:r>
        <w:rPr>
          <w:szCs w:val="24"/>
        </w:rPr>
        <w:t xml:space="preserve"> have</w:t>
      </w:r>
      <w:r w:rsidR="00AC4DAA">
        <w:rPr>
          <w:szCs w:val="24"/>
        </w:rPr>
        <w:t xml:space="preserve"> </w:t>
      </w:r>
      <w:r>
        <w:rPr>
          <w:szCs w:val="24"/>
        </w:rPr>
        <w:t>been pending for more than seven years</w:t>
      </w:r>
      <w:r w:rsidR="00F223D2">
        <w:rPr>
          <w:szCs w:val="24"/>
        </w:rPr>
        <w:t xml:space="preserve"> without </w:t>
      </w:r>
      <w:r w:rsidR="00347C24">
        <w:rPr>
          <w:szCs w:val="24"/>
        </w:rPr>
        <w:t>its</w:t>
      </w:r>
      <w:r w:rsidR="00F223D2">
        <w:rPr>
          <w:szCs w:val="24"/>
        </w:rPr>
        <w:t xml:space="preserve"> intervention</w:t>
      </w:r>
      <w:r w:rsidR="00347C24">
        <w:rPr>
          <w:szCs w:val="24"/>
        </w:rPr>
        <w:t>,</w:t>
      </w:r>
      <w:r w:rsidR="00F223D2">
        <w:rPr>
          <w:szCs w:val="24"/>
        </w:rPr>
        <w:t xml:space="preserve"> </w:t>
      </w:r>
      <w:r>
        <w:rPr>
          <w:szCs w:val="24"/>
        </w:rPr>
        <w:t xml:space="preserve">and </w:t>
      </w:r>
      <w:r w:rsidR="00347C24">
        <w:rPr>
          <w:szCs w:val="24"/>
        </w:rPr>
        <w:t>its</w:t>
      </w:r>
      <w:r w:rsidR="00F223D2">
        <w:rPr>
          <w:szCs w:val="24"/>
        </w:rPr>
        <w:t xml:space="preserve"> intervention now </w:t>
      </w:r>
    </w:p>
    <w:p w:rsidR="009275F1" w:rsidP="00B10EF6" w14:paraId="0485646E" w14:textId="214588DB">
      <w:pPr>
        <w:spacing w:line="480" w:lineRule="auto"/>
        <w:rPr>
          <w:szCs w:val="24"/>
        </w:rPr>
      </w:pPr>
      <w:r>
        <w:rPr>
          <w:szCs w:val="24"/>
        </w:rPr>
        <w:t>would</w:t>
      </w:r>
      <w:r w:rsidR="004312EF">
        <w:rPr>
          <w:szCs w:val="24"/>
        </w:rPr>
        <w:t xml:space="preserve"> unnecessarily delay approval of the</w:t>
      </w:r>
      <w:r w:rsidR="00520392">
        <w:rPr>
          <w:szCs w:val="24"/>
        </w:rPr>
        <w:t xml:space="preserve"> S</w:t>
      </w:r>
      <w:r w:rsidR="004312EF">
        <w:rPr>
          <w:szCs w:val="24"/>
        </w:rPr>
        <w:t>tipulation and Recommendation</w:t>
      </w:r>
      <w:r>
        <w:rPr>
          <w:rStyle w:val="FootnoteReference"/>
          <w:szCs w:val="24"/>
        </w:rPr>
        <w:footnoteReference w:id="2"/>
      </w:r>
      <w:r w:rsidR="004312EF">
        <w:rPr>
          <w:szCs w:val="24"/>
        </w:rPr>
        <w:t xml:space="preserve"> (the “Settlement”) and the benefits to consumers under that Settlement.</w:t>
      </w:r>
      <w:r>
        <w:rPr>
          <w:rStyle w:val="FootnoteReference"/>
          <w:szCs w:val="24"/>
        </w:rPr>
        <w:footnoteReference w:id="3"/>
      </w:r>
      <w:r w:rsidR="004312EF">
        <w:rPr>
          <w:szCs w:val="24"/>
        </w:rPr>
        <w:t xml:space="preserve"> </w:t>
      </w:r>
    </w:p>
    <w:p w:rsidR="004312EF" w:rsidP="00520392" w14:paraId="50D57E54" w14:textId="2DBDB4C7">
      <w:pPr>
        <w:spacing w:line="480" w:lineRule="auto"/>
        <w:ind w:firstLine="720"/>
        <w:rPr>
          <w:szCs w:val="24"/>
        </w:rPr>
      </w:pPr>
      <w:r>
        <w:rPr>
          <w:szCs w:val="24"/>
        </w:rPr>
        <w:t xml:space="preserve">The PUCO should deny the </w:t>
      </w:r>
      <w:r w:rsidR="004C3701">
        <w:rPr>
          <w:szCs w:val="24"/>
        </w:rPr>
        <w:t xml:space="preserve">IGS’s </w:t>
      </w:r>
      <w:r>
        <w:rPr>
          <w:szCs w:val="24"/>
        </w:rPr>
        <w:t xml:space="preserve">motion to intervene because </w:t>
      </w:r>
      <w:r w:rsidR="004C3701">
        <w:rPr>
          <w:szCs w:val="24"/>
        </w:rPr>
        <w:t xml:space="preserve">it </w:t>
      </w:r>
      <w:r>
        <w:rPr>
          <w:szCs w:val="24"/>
        </w:rPr>
        <w:t>do</w:t>
      </w:r>
      <w:r w:rsidR="004C3701">
        <w:rPr>
          <w:szCs w:val="24"/>
        </w:rPr>
        <w:t>es</w:t>
      </w:r>
      <w:r>
        <w:rPr>
          <w:szCs w:val="24"/>
        </w:rPr>
        <w:t xml:space="preserve"> not meet the standards for intervention under R.C. 4903.221. </w:t>
      </w:r>
      <w:r w:rsidR="00A8760A">
        <w:rPr>
          <w:szCs w:val="24"/>
        </w:rPr>
        <w:t>T</w:t>
      </w:r>
      <w:r>
        <w:rPr>
          <w:szCs w:val="24"/>
        </w:rPr>
        <w:t xml:space="preserve">o the extent the PUCO </w:t>
      </w:r>
      <w:r w:rsidR="00A8760A">
        <w:rPr>
          <w:szCs w:val="24"/>
        </w:rPr>
        <w:t xml:space="preserve">does </w:t>
      </w:r>
      <w:r>
        <w:rPr>
          <w:szCs w:val="24"/>
        </w:rPr>
        <w:t xml:space="preserve">grant </w:t>
      </w:r>
      <w:r w:rsidR="004C3701">
        <w:rPr>
          <w:szCs w:val="24"/>
        </w:rPr>
        <w:t xml:space="preserve">IGS’s </w:t>
      </w:r>
      <w:r>
        <w:rPr>
          <w:szCs w:val="24"/>
        </w:rPr>
        <w:t>motion</w:t>
      </w:r>
      <w:r w:rsidR="00520392">
        <w:rPr>
          <w:szCs w:val="24"/>
        </w:rPr>
        <w:t>s</w:t>
      </w:r>
      <w:r>
        <w:rPr>
          <w:szCs w:val="24"/>
        </w:rPr>
        <w:t xml:space="preserve"> to intervene</w:t>
      </w:r>
      <w:r w:rsidR="00A8760A">
        <w:rPr>
          <w:szCs w:val="24"/>
        </w:rPr>
        <w:t>—which it shouldn’t—</w:t>
      </w:r>
      <w:r>
        <w:rPr>
          <w:szCs w:val="24"/>
        </w:rPr>
        <w:t>it should exercise its authority under O.A.C. 4901-1-</w:t>
      </w:r>
      <w:r w:rsidR="00D378A0">
        <w:rPr>
          <w:szCs w:val="24"/>
        </w:rPr>
        <w:t>27(B)(7)</w:t>
      </w:r>
      <w:r>
        <w:rPr>
          <w:szCs w:val="24"/>
        </w:rPr>
        <w:t xml:space="preserve"> and </w:t>
      </w:r>
      <w:r w:rsidR="00A8760A">
        <w:rPr>
          <w:szCs w:val="24"/>
        </w:rPr>
        <w:t>limit</w:t>
      </w:r>
      <w:r w:rsidR="00D378A0">
        <w:rPr>
          <w:szCs w:val="24"/>
        </w:rPr>
        <w:t xml:space="preserve"> </w:t>
      </w:r>
      <w:r w:rsidR="004C3701">
        <w:rPr>
          <w:szCs w:val="24"/>
        </w:rPr>
        <w:t>its</w:t>
      </w:r>
      <w:r w:rsidR="00D378A0">
        <w:rPr>
          <w:szCs w:val="24"/>
        </w:rPr>
        <w:t xml:space="preserve"> participation in these cases</w:t>
      </w:r>
      <w:r>
        <w:rPr>
          <w:szCs w:val="24"/>
        </w:rPr>
        <w:t xml:space="preserve">. </w:t>
      </w:r>
      <w:r w:rsidR="00A8760A">
        <w:rPr>
          <w:szCs w:val="24"/>
        </w:rPr>
        <w:t xml:space="preserve">Further, the PUCO should reject IGS’s proposed procedural schedule and instead establish a more reasonable procedural schedule that allows </w:t>
      </w:r>
      <w:r w:rsidR="00A22A5D">
        <w:rPr>
          <w:szCs w:val="24"/>
        </w:rPr>
        <w:t xml:space="preserve">consumers to receive the benefits of </w:t>
      </w:r>
      <w:r w:rsidR="00A8760A">
        <w:rPr>
          <w:szCs w:val="24"/>
        </w:rPr>
        <w:t>the Settlement without delay.</w:t>
      </w:r>
    </w:p>
    <w:p w:rsidR="00D1611D" w:rsidP="00D1611D" w14:paraId="511BFD7A" w14:textId="77777777">
      <w:pPr>
        <w:rPr>
          <w:szCs w:val="24"/>
        </w:rPr>
      </w:pPr>
    </w:p>
    <w:p w:rsidR="00566AA9" w:rsidP="00566AA9" w14:paraId="71451343" w14:textId="2F09ED87">
      <w:pPr>
        <w:keepNext/>
        <w:keepLines/>
        <w:spacing w:after="240"/>
        <w:rPr>
          <w:szCs w:val="24"/>
        </w:rPr>
      </w:pPr>
      <w:r>
        <w:rPr>
          <w:b/>
          <w:bCs/>
          <w:szCs w:val="24"/>
        </w:rPr>
        <w:t>I.</w:t>
      </w:r>
      <w:r>
        <w:rPr>
          <w:b/>
          <w:bCs/>
          <w:szCs w:val="24"/>
        </w:rPr>
        <w:tab/>
        <w:t>RECOMMENDATIONS</w:t>
      </w:r>
    </w:p>
    <w:p w:rsidR="00566AA9" w:rsidRPr="00A8760A" w:rsidP="00566AA9" w14:paraId="2AEA3022" w14:textId="3F5E0B20">
      <w:pPr>
        <w:keepNext/>
        <w:keepLines/>
        <w:spacing w:after="240"/>
        <w:ind w:left="1440" w:hanging="720"/>
        <w:rPr>
          <w:b/>
          <w:bCs/>
          <w:szCs w:val="24"/>
        </w:rPr>
      </w:pPr>
      <w:r>
        <w:rPr>
          <w:b/>
          <w:bCs/>
          <w:szCs w:val="24"/>
        </w:rPr>
        <w:t>A.</w:t>
      </w:r>
      <w:r>
        <w:rPr>
          <w:b/>
          <w:bCs/>
          <w:szCs w:val="24"/>
        </w:rPr>
        <w:tab/>
      </w:r>
      <w:r w:rsidR="004C3701">
        <w:rPr>
          <w:b/>
          <w:bCs/>
          <w:szCs w:val="24"/>
        </w:rPr>
        <w:t xml:space="preserve">IGS </w:t>
      </w:r>
      <w:r>
        <w:rPr>
          <w:b/>
          <w:bCs/>
          <w:szCs w:val="24"/>
        </w:rPr>
        <w:t>do</w:t>
      </w:r>
      <w:r w:rsidR="004C3701">
        <w:rPr>
          <w:b/>
          <w:bCs/>
          <w:szCs w:val="24"/>
        </w:rPr>
        <w:t>es</w:t>
      </w:r>
      <w:r>
        <w:rPr>
          <w:b/>
          <w:bCs/>
          <w:szCs w:val="24"/>
        </w:rPr>
        <w:t xml:space="preserve"> not meet the standards for intervention under R.C. 4903.221</w:t>
      </w:r>
      <w:r w:rsidR="00D378A0">
        <w:rPr>
          <w:b/>
          <w:bCs/>
          <w:szCs w:val="24"/>
        </w:rPr>
        <w:t xml:space="preserve"> because </w:t>
      </w:r>
      <w:r w:rsidR="004C3701">
        <w:rPr>
          <w:b/>
          <w:bCs/>
          <w:szCs w:val="24"/>
        </w:rPr>
        <w:t>it</w:t>
      </w:r>
      <w:r w:rsidR="00D378A0">
        <w:rPr>
          <w:b/>
          <w:bCs/>
          <w:szCs w:val="24"/>
        </w:rPr>
        <w:t xml:space="preserve"> will not be adversely affected</w:t>
      </w:r>
      <w:r>
        <w:rPr>
          <w:b/>
          <w:bCs/>
          <w:szCs w:val="24"/>
        </w:rPr>
        <w:t>.</w:t>
      </w:r>
    </w:p>
    <w:p w:rsidR="00AB3C40" w:rsidP="004312EF" w14:paraId="6567270D" w14:textId="74121801">
      <w:pPr>
        <w:spacing w:line="480" w:lineRule="auto"/>
        <w:ind w:firstLine="720"/>
        <w:rPr>
          <w:szCs w:val="24"/>
        </w:rPr>
      </w:pPr>
      <w:r>
        <w:rPr>
          <w:szCs w:val="24"/>
        </w:rPr>
        <w:t>By law, a party may intervene if it “may be adversely affected by a public utilities commission proceeding.”</w:t>
      </w:r>
      <w:r>
        <w:rPr>
          <w:rStyle w:val="FootnoteReference"/>
          <w:szCs w:val="24"/>
        </w:rPr>
        <w:footnoteReference w:id="4"/>
      </w:r>
      <w:r>
        <w:rPr>
          <w:szCs w:val="24"/>
        </w:rPr>
        <w:t xml:space="preserve"> It is true, as IGS points out, that the Ohio Supreme Court has ruled that intervention “ought to be liberally allowed.”</w:t>
      </w:r>
      <w:r>
        <w:rPr>
          <w:rStyle w:val="FootnoteReference"/>
          <w:szCs w:val="24"/>
        </w:rPr>
        <w:footnoteReference w:id="5"/>
      </w:r>
      <w:r>
        <w:rPr>
          <w:szCs w:val="24"/>
        </w:rPr>
        <w:t xml:space="preserve"> </w:t>
      </w:r>
      <w:r w:rsidR="004C3701">
        <w:rPr>
          <w:szCs w:val="24"/>
        </w:rPr>
        <w:t>The</w:t>
      </w:r>
      <w:r>
        <w:rPr>
          <w:szCs w:val="24"/>
        </w:rPr>
        <w:t xml:space="preserve"> Court </w:t>
      </w:r>
      <w:r w:rsidR="004C3701">
        <w:rPr>
          <w:szCs w:val="24"/>
        </w:rPr>
        <w:t xml:space="preserve">also </w:t>
      </w:r>
      <w:r>
        <w:rPr>
          <w:szCs w:val="24"/>
        </w:rPr>
        <w:t>clarified</w:t>
      </w:r>
      <w:r w:rsidR="004C3701">
        <w:rPr>
          <w:szCs w:val="24"/>
        </w:rPr>
        <w:t>, however,</w:t>
      </w:r>
      <w:r>
        <w:rPr>
          <w:szCs w:val="24"/>
        </w:rPr>
        <w:t xml:space="preserve"> that intervention “ought to be liberally allowed so that the positions of all persons with a </w:t>
      </w:r>
      <w:r>
        <w:rPr>
          <w:i/>
          <w:iCs/>
          <w:szCs w:val="24"/>
        </w:rPr>
        <w:t>real and substantial</w:t>
      </w:r>
      <w:r>
        <w:rPr>
          <w:szCs w:val="24"/>
        </w:rPr>
        <w:t xml:space="preserve"> interest in the proceedings can be considered by the PUCO.”</w:t>
      </w:r>
      <w:r>
        <w:rPr>
          <w:rStyle w:val="FootnoteReference"/>
          <w:szCs w:val="24"/>
        </w:rPr>
        <w:footnoteReference w:id="6"/>
      </w:r>
      <w:r>
        <w:rPr>
          <w:szCs w:val="24"/>
        </w:rPr>
        <w:t xml:space="preserve"> Where a party’s interest is </w:t>
      </w:r>
      <w:r w:rsidRPr="009D05DD">
        <w:rPr>
          <w:i/>
          <w:iCs/>
          <w:szCs w:val="24"/>
        </w:rPr>
        <w:t>insubstantial</w:t>
      </w:r>
      <w:r>
        <w:rPr>
          <w:szCs w:val="24"/>
        </w:rPr>
        <w:t>, therefore, the precedent for liberal application of the intervention law does not apply.</w:t>
      </w:r>
    </w:p>
    <w:p w:rsidR="00AB3C40" w:rsidP="004312EF" w14:paraId="3F6095C0" w14:textId="01AD381E">
      <w:pPr>
        <w:spacing w:line="480" w:lineRule="auto"/>
        <w:ind w:firstLine="720"/>
        <w:rPr>
          <w:szCs w:val="24"/>
        </w:rPr>
      </w:pPr>
      <w:r>
        <w:rPr>
          <w:szCs w:val="24"/>
        </w:rPr>
        <w:t xml:space="preserve">IGS fails </w:t>
      </w:r>
      <w:r w:rsidR="00D378A0">
        <w:rPr>
          <w:szCs w:val="24"/>
        </w:rPr>
        <w:t>this statutory requirement</w:t>
      </w:r>
      <w:r>
        <w:rPr>
          <w:szCs w:val="24"/>
        </w:rPr>
        <w:t>.</w:t>
      </w:r>
      <w:r>
        <w:rPr>
          <w:rStyle w:val="FootnoteReference"/>
          <w:szCs w:val="24"/>
        </w:rPr>
        <w:footnoteReference w:id="7"/>
      </w:r>
      <w:r>
        <w:rPr>
          <w:szCs w:val="24"/>
        </w:rPr>
        <w:t xml:space="preserve"> The primary issues in these proceedings</w:t>
      </w:r>
      <w:r w:rsidR="003A1850">
        <w:rPr>
          <w:szCs w:val="24"/>
        </w:rPr>
        <w:t xml:space="preserve"> are </w:t>
      </w:r>
      <w:r>
        <w:rPr>
          <w:szCs w:val="24"/>
        </w:rPr>
        <w:t>(i) resolution of Duke’s manufactured gas plant (“MGP”) cases and the charges to consumers for Duke’s remediation costs, and (ii) the impacts of the 2017 Tax Cuts and Jobs Act (“TCJA”) on consumers’ bills.</w:t>
      </w:r>
      <w:r w:rsidR="003A1850">
        <w:rPr>
          <w:szCs w:val="24"/>
        </w:rPr>
        <w:t xml:space="preserve"> </w:t>
      </w:r>
      <w:r>
        <w:rPr>
          <w:szCs w:val="24"/>
        </w:rPr>
        <w:t>IGS</w:t>
      </w:r>
      <w:r w:rsidR="003A1850">
        <w:rPr>
          <w:szCs w:val="24"/>
        </w:rPr>
        <w:t xml:space="preserve"> did not seek to intervene in these proceedings, some of which have been pending for more than seven years, thus </w:t>
      </w:r>
      <w:r w:rsidR="00FB5730">
        <w:rPr>
          <w:szCs w:val="24"/>
        </w:rPr>
        <w:t>demonstrating</w:t>
      </w:r>
      <w:r w:rsidR="003A1850">
        <w:rPr>
          <w:szCs w:val="24"/>
        </w:rPr>
        <w:t xml:space="preserve"> that </w:t>
      </w:r>
      <w:r w:rsidR="00FB5730">
        <w:rPr>
          <w:szCs w:val="24"/>
        </w:rPr>
        <w:t xml:space="preserve">the </w:t>
      </w:r>
      <w:r w:rsidR="003A1850">
        <w:rPr>
          <w:szCs w:val="24"/>
        </w:rPr>
        <w:t xml:space="preserve">MGP and TCJA issues do not adversely affect </w:t>
      </w:r>
      <w:r w:rsidR="00347C24">
        <w:rPr>
          <w:szCs w:val="24"/>
        </w:rPr>
        <w:t>it</w:t>
      </w:r>
      <w:r w:rsidR="003A1850">
        <w:rPr>
          <w:szCs w:val="24"/>
        </w:rPr>
        <w:t xml:space="preserve">. </w:t>
      </w:r>
      <w:r>
        <w:rPr>
          <w:szCs w:val="24"/>
        </w:rPr>
        <w:t xml:space="preserve">In a separate motion to intervene, the </w:t>
      </w:r>
      <w:r w:rsidR="003A1850">
        <w:rPr>
          <w:szCs w:val="24"/>
        </w:rPr>
        <w:t>R</w:t>
      </w:r>
      <w:r>
        <w:rPr>
          <w:szCs w:val="24"/>
        </w:rPr>
        <w:t>etail Energy Supply Association (of which IGS is a member)</w:t>
      </w:r>
      <w:r w:rsidR="003A1850">
        <w:rPr>
          <w:szCs w:val="24"/>
        </w:rPr>
        <w:t xml:space="preserve"> explicitly admits, in fact, that these issues do not impact </w:t>
      </w:r>
      <w:r>
        <w:rPr>
          <w:szCs w:val="24"/>
        </w:rPr>
        <w:t>m</w:t>
      </w:r>
      <w:r w:rsidR="003A1850">
        <w:rPr>
          <w:szCs w:val="24"/>
        </w:rPr>
        <w:t>arketers.</w:t>
      </w:r>
      <w:r>
        <w:rPr>
          <w:rStyle w:val="FootnoteReference"/>
          <w:szCs w:val="24"/>
        </w:rPr>
        <w:footnoteReference w:id="8"/>
      </w:r>
    </w:p>
    <w:p w:rsidR="003A1850" w:rsidP="004312EF" w14:paraId="7AE23654" w14:textId="734E2429">
      <w:pPr>
        <w:spacing w:line="480" w:lineRule="auto"/>
        <w:ind w:firstLine="720"/>
        <w:rPr>
          <w:szCs w:val="24"/>
        </w:rPr>
      </w:pPr>
      <w:r>
        <w:rPr>
          <w:szCs w:val="24"/>
        </w:rPr>
        <w:t xml:space="preserve">Instead, </w:t>
      </w:r>
      <w:r w:rsidR="008D456B">
        <w:rPr>
          <w:szCs w:val="24"/>
        </w:rPr>
        <w:t>IGS</w:t>
      </w:r>
      <w:r>
        <w:rPr>
          <w:szCs w:val="24"/>
        </w:rPr>
        <w:t xml:space="preserve"> seek</w:t>
      </w:r>
      <w:r w:rsidR="008D456B">
        <w:rPr>
          <w:szCs w:val="24"/>
        </w:rPr>
        <w:t>s</w:t>
      </w:r>
      <w:r>
        <w:rPr>
          <w:szCs w:val="24"/>
        </w:rPr>
        <w:t xml:space="preserve"> intervention because of three</w:t>
      </w:r>
      <w:r w:rsidR="00A40934">
        <w:rPr>
          <w:szCs w:val="24"/>
        </w:rPr>
        <w:t xml:space="preserve"> consumer</w:t>
      </w:r>
      <w:r>
        <w:rPr>
          <w:szCs w:val="24"/>
        </w:rPr>
        <w:t xml:space="preserve"> issues </w:t>
      </w:r>
      <w:r w:rsidR="00A40934">
        <w:rPr>
          <w:szCs w:val="24"/>
        </w:rPr>
        <w:t xml:space="preserve">addressed in </w:t>
      </w:r>
      <w:r>
        <w:rPr>
          <w:szCs w:val="24"/>
        </w:rPr>
        <w:t>the Settlement: (i) Duke’s agreement to file an application to transition from its current gas cost recovery (“GCR”) process to a standard service offer (“SSO”) (the “SSO Issue”),</w:t>
      </w:r>
      <w:r>
        <w:rPr>
          <w:rStyle w:val="FootnoteReference"/>
          <w:szCs w:val="24"/>
        </w:rPr>
        <w:footnoteReference w:id="9"/>
      </w:r>
      <w:r>
        <w:rPr>
          <w:szCs w:val="24"/>
        </w:rPr>
        <w:t xml:space="preserve"> </w:t>
      </w:r>
      <w:r w:rsidR="009D05DD">
        <w:rPr>
          <w:szCs w:val="24"/>
        </w:rPr>
        <w:t>(ii) Duke’s agreement to provide OCC with shadow billing information comparing, in the aggregate, what consumers paid to marketers with what they would have paid under Duke’s standard offer or GCR, as applicable</w:t>
      </w:r>
      <w:r w:rsidR="009C5D23">
        <w:rPr>
          <w:szCs w:val="24"/>
        </w:rPr>
        <w:t xml:space="preserve"> (the “Shadow Billing Issue”)</w:t>
      </w:r>
      <w:r w:rsidR="009D05DD">
        <w:rPr>
          <w:szCs w:val="24"/>
        </w:rPr>
        <w:t>,</w:t>
      </w:r>
      <w:r>
        <w:rPr>
          <w:rStyle w:val="FootnoteReference"/>
          <w:szCs w:val="24"/>
        </w:rPr>
        <w:footnoteReference w:id="10"/>
      </w:r>
      <w:r w:rsidR="009D05DD">
        <w:rPr>
          <w:szCs w:val="24"/>
        </w:rPr>
        <w:t xml:space="preserve"> and (iii) </w:t>
      </w:r>
      <w:r>
        <w:rPr>
          <w:szCs w:val="24"/>
        </w:rPr>
        <w:t>Duke’s agreement to provide a “price-to-compare” message on shopping customers’ bills comparing what they actually paid to their marketer with what they would have paid under Duke’s standard offer</w:t>
      </w:r>
      <w:r w:rsidR="00347C24">
        <w:rPr>
          <w:szCs w:val="24"/>
        </w:rPr>
        <w:t xml:space="preserve"> or GCR</w:t>
      </w:r>
      <w:r>
        <w:rPr>
          <w:szCs w:val="24"/>
        </w:rPr>
        <w:t xml:space="preserve"> (the “Price-to-Compare Issue”)</w:t>
      </w:r>
      <w:r w:rsidR="009D05DD">
        <w:rPr>
          <w:szCs w:val="24"/>
        </w:rPr>
        <w:t>.</w:t>
      </w:r>
      <w:r>
        <w:rPr>
          <w:rStyle w:val="FootnoteReference"/>
          <w:szCs w:val="24"/>
        </w:rPr>
        <w:footnoteReference w:id="11"/>
      </w:r>
      <w:r w:rsidR="009D05DD">
        <w:rPr>
          <w:szCs w:val="24"/>
        </w:rPr>
        <w:t xml:space="preserve"> </w:t>
      </w:r>
      <w:r w:rsidR="008D456B">
        <w:rPr>
          <w:szCs w:val="24"/>
        </w:rPr>
        <w:t>IGS</w:t>
      </w:r>
      <w:r w:rsidR="009D05DD">
        <w:rPr>
          <w:szCs w:val="24"/>
        </w:rPr>
        <w:t xml:space="preserve"> will not be adversely impacted by these issues.</w:t>
      </w:r>
    </w:p>
    <w:p w:rsidR="00EF17BD" w:rsidP="004312EF" w14:paraId="1C942330" w14:textId="2E5CA30A">
      <w:pPr>
        <w:spacing w:line="480" w:lineRule="auto"/>
        <w:ind w:firstLine="720"/>
        <w:rPr>
          <w:szCs w:val="24"/>
        </w:rPr>
      </w:pPr>
      <w:r>
        <w:rPr>
          <w:szCs w:val="24"/>
        </w:rPr>
        <w:t xml:space="preserve">First, </w:t>
      </w:r>
      <w:r w:rsidR="008D456B">
        <w:rPr>
          <w:szCs w:val="24"/>
        </w:rPr>
        <w:t xml:space="preserve">IGS </w:t>
      </w:r>
      <w:r w:rsidR="009D05DD">
        <w:rPr>
          <w:szCs w:val="24"/>
        </w:rPr>
        <w:t xml:space="preserve">already </w:t>
      </w:r>
      <w:r>
        <w:rPr>
          <w:szCs w:val="24"/>
        </w:rPr>
        <w:t>ha</w:t>
      </w:r>
      <w:r w:rsidR="008D456B">
        <w:rPr>
          <w:szCs w:val="24"/>
        </w:rPr>
        <w:t>s</w:t>
      </w:r>
      <w:r>
        <w:rPr>
          <w:szCs w:val="24"/>
        </w:rPr>
        <w:t xml:space="preserve"> an opportunity to be heard regarding the SSO </w:t>
      </w:r>
      <w:r w:rsidR="00F42B38">
        <w:rPr>
          <w:szCs w:val="24"/>
        </w:rPr>
        <w:t>i</w:t>
      </w:r>
      <w:r>
        <w:rPr>
          <w:szCs w:val="24"/>
        </w:rPr>
        <w:t>ssue. Under the Settlement, Duke was required to file a notice of intent to file an application for the transition to an SSO and to hold stakeholder meetings.</w:t>
      </w:r>
      <w:r>
        <w:rPr>
          <w:rStyle w:val="FootnoteReference"/>
          <w:szCs w:val="24"/>
        </w:rPr>
        <w:footnoteReference w:id="12"/>
      </w:r>
      <w:r>
        <w:rPr>
          <w:szCs w:val="24"/>
        </w:rPr>
        <w:t xml:space="preserve"> Duke has filed such a notice of intent, and </w:t>
      </w:r>
      <w:r w:rsidR="008D456B">
        <w:rPr>
          <w:szCs w:val="24"/>
        </w:rPr>
        <w:t>IGS</w:t>
      </w:r>
      <w:r>
        <w:rPr>
          <w:szCs w:val="24"/>
        </w:rPr>
        <w:t xml:space="preserve"> </w:t>
      </w:r>
      <w:r w:rsidR="00FB5730">
        <w:rPr>
          <w:szCs w:val="24"/>
        </w:rPr>
        <w:t>can</w:t>
      </w:r>
      <w:r>
        <w:rPr>
          <w:szCs w:val="24"/>
        </w:rPr>
        <w:t xml:space="preserve"> file a motion to intervene in that proceeding.</w:t>
      </w:r>
      <w:r>
        <w:rPr>
          <w:rStyle w:val="FootnoteReference"/>
          <w:szCs w:val="24"/>
        </w:rPr>
        <w:footnoteReference w:id="13"/>
      </w:r>
      <w:r>
        <w:rPr>
          <w:szCs w:val="24"/>
        </w:rPr>
        <w:t xml:space="preserve"> Further, Duke has begun to hold the SSO stakeholder meetings, and IGS w</w:t>
      </w:r>
      <w:r w:rsidR="008D456B">
        <w:rPr>
          <w:szCs w:val="24"/>
        </w:rPr>
        <w:t>as</w:t>
      </w:r>
      <w:r>
        <w:rPr>
          <w:szCs w:val="24"/>
        </w:rPr>
        <w:t xml:space="preserve"> invited to participate.</w:t>
      </w:r>
      <w:r w:rsidR="009D05DD">
        <w:rPr>
          <w:szCs w:val="24"/>
        </w:rPr>
        <w:t xml:space="preserve"> Thus, approval of the SSO </w:t>
      </w:r>
      <w:r w:rsidR="00F42B38">
        <w:rPr>
          <w:szCs w:val="24"/>
        </w:rPr>
        <w:t>i</w:t>
      </w:r>
      <w:r w:rsidR="009D05DD">
        <w:rPr>
          <w:szCs w:val="24"/>
        </w:rPr>
        <w:t xml:space="preserve">ssue as part of the Settlement will have no adverse impact on </w:t>
      </w:r>
      <w:r w:rsidR="008D456B">
        <w:rPr>
          <w:szCs w:val="24"/>
        </w:rPr>
        <w:t>IGS</w:t>
      </w:r>
      <w:r w:rsidR="009D05DD">
        <w:rPr>
          <w:szCs w:val="24"/>
        </w:rPr>
        <w:t>.</w:t>
      </w:r>
    </w:p>
    <w:p w:rsidR="009D05DD" w:rsidP="004312EF" w14:paraId="5C147B9E" w14:textId="7DC36CBF">
      <w:pPr>
        <w:spacing w:line="480" w:lineRule="auto"/>
        <w:ind w:firstLine="720"/>
        <w:rPr>
          <w:szCs w:val="24"/>
        </w:rPr>
      </w:pPr>
      <w:r>
        <w:rPr>
          <w:szCs w:val="24"/>
        </w:rPr>
        <w:t xml:space="preserve">Second, Duke’s </w:t>
      </w:r>
      <w:r w:rsidR="008D456B">
        <w:rPr>
          <w:szCs w:val="24"/>
        </w:rPr>
        <w:t xml:space="preserve">agreement is </w:t>
      </w:r>
      <w:r>
        <w:rPr>
          <w:szCs w:val="24"/>
        </w:rPr>
        <w:t xml:space="preserve">to provide </w:t>
      </w:r>
      <w:r w:rsidR="00D378A0">
        <w:rPr>
          <w:szCs w:val="24"/>
        </w:rPr>
        <w:t xml:space="preserve">shadow billing </w:t>
      </w:r>
      <w:r>
        <w:rPr>
          <w:szCs w:val="24"/>
        </w:rPr>
        <w:t xml:space="preserve">data to OCC—nothing more. Perhaps, in the future, if OCC were to use that information in its advocacy, </w:t>
      </w:r>
      <w:r w:rsidR="008D456B">
        <w:rPr>
          <w:szCs w:val="24"/>
        </w:rPr>
        <w:t xml:space="preserve">IGS </w:t>
      </w:r>
      <w:r>
        <w:rPr>
          <w:szCs w:val="24"/>
        </w:rPr>
        <w:t xml:space="preserve">might have an interest in responding to OCC’s use of the information. But OCC’s mere </w:t>
      </w:r>
      <w:r w:rsidR="00FB5730">
        <w:rPr>
          <w:szCs w:val="24"/>
        </w:rPr>
        <w:t>possession of data</w:t>
      </w:r>
      <w:r>
        <w:rPr>
          <w:szCs w:val="24"/>
        </w:rPr>
        <w:t xml:space="preserve"> cannot possibly adversely impact </w:t>
      </w:r>
      <w:r w:rsidR="008D456B">
        <w:rPr>
          <w:szCs w:val="24"/>
        </w:rPr>
        <w:t>IGS</w:t>
      </w:r>
      <w:r>
        <w:rPr>
          <w:szCs w:val="24"/>
        </w:rPr>
        <w:t>.</w:t>
      </w:r>
    </w:p>
    <w:p w:rsidR="00AB3C40" w:rsidP="00347C24" w14:paraId="3706DC2E" w14:textId="1AF85671">
      <w:pPr>
        <w:spacing w:line="480" w:lineRule="auto"/>
        <w:ind w:firstLine="720"/>
        <w:rPr>
          <w:szCs w:val="24"/>
        </w:rPr>
      </w:pPr>
      <w:r>
        <w:rPr>
          <w:szCs w:val="24"/>
        </w:rPr>
        <w:t xml:space="preserve">Third, </w:t>
      </w:r>
      <w:r w:rsidR="008D456B">
        <w:rPr>
          <w:szCs w:val="24"/>
        </w:rPr>
        <w:t xml:space="preserve">IGS is </w:t>
      </w:r>
      <w:r w:rsidR="00EA49CF">
        <w:rPr>
          <w:szCs w:val="24"/>
        </w:rPr>
        <w:t>not adversely impact</w:t>
      </w:r>
      <w:r w:rsidR="00F42B38">
        <w:rPr>
          <w:szCs w:val="24"/>
        </w:rPr>
        <w:t>ed</w:t>
      </w:r>
      <w:r w:rsidR="00EA49CF">
        <w:rPr>
          <w:szCs w:val="24"/>
        </w:rPr>
        <w:t xml:space="preserve"> by Duke adding a price-to-compare message on consumers’ bills. The sole purpose of this Settlement term is to </w:t>
      </w:r>
      <w:r w:rsidR="00FB5730">
        <w:rPr>
          <w:szCs w:val="24"/>
        </w:rPr>
        <w:t>educate</w:t>
      </w:r>
      <w:r w:rsidR="00EA49CF">
        <w:rPr>
          <w:szCs w:val="24"/>
        </w:rPr>
        <w:t xml:space="preserve"> consumers</w:t>
      </w:r>
      <w:r w:rsidR="00FB5730">
        <w:rPr>
          <w:szCs w:val="24"/>
        </w:rPr>
        <w:t xml:space="preserve">. It provides them with </w:t>
      </w:r>
      <w:r w:rsidR="00EA49CF">
        <w:rPr>
          <w:szCs w:val="24"/>
        </w:rPr>
        <w:t>two data points: what they actually paid to a marketer and what they would have paid under Duke’s standard offer or GCR.</w:t>
      </w:r>
      <w:r w:rsidR="00D66DEB">
        <w:rPr>
          <w:szCs w:val="24"/>
        </w:rPr>
        <w:t xml:space="preserve"> Th</w:t>
      </w:r>
      <w:r w:rsidR="0088263C">
        <w:rPr>
          <w:szCs w:val="24"/>
        </w:rPr>
        <w:t xml:space="preserve">is information is important because it provides transparency to consumers. </w:t>
      </w:r>
      <w:r w:rsidR="00A22A5D">
        <w:rPr>
          <w:szCs w:val="24"/>
        </w:rPr>
        <w:t>And the PUCO has already found that this type of information is appropriate for electric utility consumers’ bills.</w:t>
      </w:r>
      <w:r>
        <w:rPr>
          <w:rStyle w:val="FootnoteReference"/>
          <w:szCs w:val="24"/>
        </w:rPr>
        <w:footnoteReference w:id="14"/>
      </w:r>
    </w:p>
    <w:p w:rsidR="001B5114" w:rsidP="001B5114" w14:paraId="28B28061" w14:textId="04F36AA9">
      <w:pPr>
        <w:keepNext/>
        <w:keepLines/>
        <w:spacing w:after="240"/>
        <w:ind w:left="1440" w:hanging="720"/>
        <w:rPr>
          <w:szCs w:val="24"/>
        </w:rPr>
      </w:pPr>
      <w:r>
        <w:rPr>
          <w:b/>
          <w:bCs/>
          <w:szCs w:val="24"/>
        </w:rPr>
        <w:t>B.</w:t>
      </w:r>
      <w:r>
        <w:rPr>
          <w:b/>
          <w:bCs/>
          <w:szCs w:val="24"/>
        </w:rPr>
        <w:tab/>
      </w:r>
      <w:r w:rsidR="008D456B">
        <w:rPr>
          <w:b/>
          <w:bCs/>
          <w:szCs w:val="24"/>
        </w:rPr>
        <w:t>IGS’s</w:t>
      </w:r>
      <w:r>
        <w:rPr>
          <w:b/>
          <w:bCs/>
          <w:szCs w:val="24"/>
        </w:rPr>
        <w:t xml:space="preserve"> intervention request, if granted at all, should be limited to those narrow issues in the Settlement related to competitive markets.</w:t>
      </w:r>
    </w:p>
    <w:p w:rsidR="00F06F00" w:rsidP="004312EF" w14:paraId="3B13168E" w14:textId="24964515">
      <w:pPr>
        <w:spacing w:line="480" w:lineRule="auto"/>
        <w:ind w:firstLine="720"/>
        <w:rPr>
          <w:szCs w:val="24"/>
        </w:rPr>
      </w:pPr>
      <w:r>
        <w:rPr>
          <w:szCs w:val="24"/>
        </w:rPr>
        <w:t>Under O.AC. 4901-</w:t>
      </w:r>
      <w:r w:rsidR="00D378A0">
        <w:rPr>
          <w:szCs w:val="24"/>
        </w:rPr>
        <w:t xml:space="preserve">27(B)(7), the PUCO has discretion to </w:t>
      </w:r>
      <w:r w:rsidR="00467D07">
        <w:rPr>
          <w:szCs w:val="24"/>
        </w:rPr>
        <w:t>take action that it deems necessary to “[a]</w:t>
      </w:r>
      <w:r w:rsidR="00D378A0">
        <w:rPr>
          <w:szCs w:val="24"/>
        </w:rPr>
        <w:t>void unnecessary delay</w:t>
      </w:r>
      <w:r w:rsidR="00467D07">
        <w:rPr>
          <w:szCs w:val="24"/>
        </w:rPr>
        <w:t>”</w:t>
      </w:r>
      <w:r w:rsidR="00D378A0">
        <w:rPr>
          <w:szCs w:val="24"/>
        </w:rPr>
        <w:t xml:space="preserve"> </w:t>
      </w:r>
      <w:r w:rsidR="00467D07">
        <w:rPr>
          <w:szCs w:val="24"/>
        </w:rPr>
        <w:t>and “[p]revent the presentation of irrelevant or cumulative evidence.”</w:t>
      </w:r>
    </w:p>
    <w:p w:rsidR="00F06F00" w:rsidP="004312EF" w14:paraId="221CD2F4" w14:textId="24C9C1D6">
      <w:pPr>
        <w:spacing w:line="480" w:lineRule="auto"/>
        <w:ind w:firstLine="720"/>
        <w:rPr>
          <w:szCs w:val="24"/>
        </w:rPr>
      </w:pPr>
      <w:r>
        <w:rPr>
          <w:szCs w:val="24"/>
        </w:rPr>
        <w:t>The Settlement</w:t>
      </w:r>
      <w:r w:rsidR="004312EF">
        <w:rPr>
          <w:szCs w:val="24"/>
        </w:rPr>
        <w:t xml:space="preserve"> resolves a decade of litigation of Duke’s proposed charges to consumers for the cleanup of environmental waste from former manufactured gas plants.</w:t>
      </w:r>
      <w:r>
        <w:rPr>
          <w:rStyle w:val="FootnoteReference"/>
          <w:szCs w:val="24"/>
        </w:rPr>
        <w:footnoteReference w:id="15"/>
      </w:r>
      <w:r w:rsidR="004312EF">
        <w:rPr>
          <w:szCs w:val="24"/>
        </w:rPr>
        <w:t xml:space="preserve"> </w:t>
      </w:r>
      <w:r w:rsidR="005073A5">
        <w:rPr>
          <w:szCs w:val="24"/>
        </w:rPr>
        <w:t>It requires Duke to credit consumers with insurance proceeds that should have been credited to consumers years ago.</w:t>
      </w:r>
      <w:r>
        <w:rPr>
          <w:rStyle w:val="FootnoteReference"/>
          <w:szCs w:val="24"/>
        </w:rPr>
        <w:footnoteReference w:id="16"/>
      </w:r>
      <w:r w:rsidR="005073A5">
        <w:rPr>
          <w:szCs w:val="24"/>
        </w:rPr>
        <w:t xml:space="preserve"> It places various restrictions on Duke’s future ability to charge </w:t>
      </w:r>
      <w:r w:rsidR="00566AA9">
        <w:rPr>
          <w:szCs w:val="24"/>
        </w:rPr>
        <w:t xml:space="preserve">distribution customers </w:t>
      </w:r>
      <w:r w:rsidR="005073A5">
        <w:rPr>
          <w:szCs w:val="24"/>
        </w:rPr>
        <w:t>for MGP-related expenses.</w:t>
      </w:r>
      <w:r>
        <w:rPr>
          <w:rStyle w:val="FootnoteReference"/>
          <w:szCs w:val="24"/>
        </w:rPr>
        <w:footnoteReference w:id="17"/>
      </w:r>
      <w:r w:rsidR="005073A5">
        <w:rPr>
          <w:szCs w:val="24"/>
        </w:rPr>
        <w:t xml:space="preserve"> </w:t>
      </w:r>
      <w:r w:rsidR="004312EF">
        <w:rPr>
          <w:szCs w:val="24"/>
        </w:rPr>
        <w:t xml:space="preserve">It </w:t>
      </w:r>
      <w:r w:rsidR="005073A5">
        <w:rPr>
          <w:szCs w:val="24"/>
        </w:rPr>
        <w:t xml:space="preserve">requires Duke to pass on to consumers the benefits of lower taxes under the </w:t>
      </w:r>
      <w:r w:rsidR="00357613">
        <w:rPr>
          <w:szCs w:val="24"/>
        </w:rPr>
        <w:t>TCJA</w:t>
      </w:r>
      <w:r>
        <w:rPr>
          <w:szCs w:val="24"/>
        </w:rPr>
        <w:t xml:space="preserve"> (including an adjustment to Duke’s base rates)</w:t>
      </w:r>
      <w:r w:rsidR="004312EF">
        <w:rPr>
          <w:szCs w:val="24"/>
        </w:rPr>
        <w:t>.</w:t>
      </w:r>
      <w:r>
        <w:rPr>
          <w:rStyle w:val="FootnoteReference"/>
          <w:szCs w:val="24"/>
        </w:rPr>
        <w:footnoteReference w:id="18"/>
      </w:r>
      <w:r w:rsidR="004312EF">
        <w:rPr>
          <w:szCs w:val="24"/>
        </w:rPr>
        <w:t xml:space="preserve"> It requires Duke to provide bill</w:t>
      </w:r>
      <w:r w:rsidR="005073A5">
        <w:rPr>
          <w:szCs w:val="24"/>
        </w:rPr>
        <w:t xml:space="preserve"> payment assistance to low-income consumers and seniors.</w:t>
      </w:r>
      <w:r>
        <w:rPr>
          <w:rStyle w:val="FootnoteReference"/>
          <w:szCs w:val="24"/>
        </w:rPr>
        <w:footnoteReference w:id="19"/>
      </w:r>
      <w:r>
        <w:rPr>
          <w:szCs w:val="24"/>
        </w:rPr>
        <w:t xml:space="preserve"> None of these issues </w:t>
      </w:r>
      <w:r w:rsidR="005652AC">
        <w:rPr>
          <w:szCs w:val="24"/>
        </w:rPr>
        <w:t>has</w:t>
      </w:r>
      <w:r>
        <w:rPr>
          <w:szCs w:val="24"/>
        </w:rPr>
        <w:t xml:space="preserve"> anything to do with competitive markets in Ohio or </w:t>
      </w:r>
      <w:r w:rsidR="008D456B">
        <w:rPr>
          <w:szCs w:val="24"/>
        </w:rPr>
        <w:t xml:space="preserve">IGS’s </w:t>
      </w:r>
      <w:r>
        <w:rPr>
          <w:szCs w:val="24"/>
        </w:rPr>
        <w:t>business in Ohio.</w:t>
      </w:r>
      <w:r w:rsidR="00520392">
        <w:rPr>
          <w:szCs w:val="24"/>
        </w:rPr>
        <w:t xml:space="preserve"> </w:t>
      </w:r>
      <w:r w:rsidR="00467D07">
        <w:rPr>
          <w:szCs w:val="24"/>
        </w:rPr>
        <w:t xml:space="preserve">Thus, any evidence that </w:t>
      </w:r>
      <w:r w:rsidR="008D456B">
        <w:rPr>
          <w:szCs w:val="24"/>
        </w:rPr>
        <w:t>IGS</w:t>
      </w:r>
      <w:r w:rsidR="00467D07">
        <w:rPr>
          <w:szCs w:val="24"/>
        </w:rPr>
        <w:t xml:space="preserve"> might offer in this case would be irrelevant as to these issues under O.A.C. 4901-1-27(B)(7)(b). It would also unnecessarily delay approval of the Settlement, which delay would be to the detriment of consumers.</w:t>
      </w:r>
    </w:p>
    <w:p w:rsidR="001B5114" w:rsidP="004312EF" w14:paraId="621F791F" w14:textId="32E77221">
      <w:pPr>
        <w:spacing w:line="480" w:lineRule="auto"/>
        <w:ind w:firstLine="720"/>
        <w:rPr>
          <w:szCs w:val="24"/>
        </w:rPr>
      </w:pPr>
      <w:r>
        <w:rPr>
          <w:szCs w:val="24"/>
        </w:rPr>
        <w:t xml:space="preserve">If </w:t>
      </w:r>
      <w:r w:rsidR="008D456B">
        <w:rPr>
          <w:szCs w:val="24"/>
        </w:rPr>
        <w:t xml:space="preserve">IGS is </w:t>
      </w:r>
      <w:r>
        <w:rPr>
          <w:szCs w:val="24"/>
        </w:rPr>
        <w:t>granted intervention in these cases</w:t>
      </w:r>
      <w:r w:rsidR="006B7CBD">
        <w:rPr>
          <w:szCs w:val="24"/>
        </w:rPr>
        <w:t xml:space="preserve">—which </w:t>
      </w:r>
      <w:r w:rsidR="008D456B">
        <w:rPr>
          <w:szCs w:val="24"/>
        </w:rPr>
        <w:t xml:space="preserve">it </w:t>
      </w:r>
      <w:r w:rsidR="006B7CBD">
        <w:rPr>
          <w:szCs w:val="24"/>
        </w:rPr>
        <w:t>should not be, for the reasons explained above—</w:t>
      </w:r>
      <w:r>
        <w:rPr>
          <w:szCs w:val="24"/>
        </w:rPr>
        <w:t xml:space="preserve">the PUCO should exercise its authority under O.A.C. </w:t>
      </w:r>
      <w:r w:rsidR="00467D07">
        <w:rPr>
          <w:szCs w:val="24"/>
        </w:rPr>
        <w:t>4901-1-27(B)(7)</w:t>
      </w:r>
      <w:r>
        <w:rPr>
          <w:szCs w:val="24"/>
        </w:rPr>
        <w:t xml:space="preserve"> and </w:t>
      </w:r>
      <w:r w:rsidR="00467D07">
        <w:rPr>
          <w:szCs w:val="24"/>
        </w:rPr>
        <w:t xml:space="preserve">limit </w:t>
      </w:r>
      <w:r w:rsidR="008D456B">
        <w:rPr>
          <w:szCs w:val="24"/>
        </w:rPr>
        <w:t>its</w:t>
      </w:r>
      <w:r w:rsidR="00467D07">
        <w:rPr>
          <w:szCs w:val="24"/>
        </w:rPr>
        <w:t xml:space="preserve"> participation in the proceedings </w:t>
      </w:r>
      <w:r>
        <w:rPr>
          <w:szCs w:val="24"/>
        </w:rPr>
        <w:t xml:space="preserve">to the </w:t>
      </w:r>
      <w:r w:rsidR="006B7CBD">
        <w:rPr>
          <w:szCs w:val="24"/>
        </w:rPr>
        <w:t>SSO Issue, Price-to-Compare Issue, and Shadow Billing Issue.</w:t>
      </w:r>
      <w:r w:rsidR="009C5D23">
        <w:rPr>
          <w:szCs w:val="24"/>
        </w:rPr>
        <w:t xml:space="preserve"> While OCC firmly believes that even these issues do not adversely affect </w:t>
      </w:r>
      <w:r w:rsidR="008D456B">
        <w:rPr>
          <w:szCs w:val="24"/>
        </w:rPr>
        <w:t>IGS</w:t>
      </w:r>
      <w:r w:rsidR="00347C24">
        <w:rPr>
          <w:szCs w:val="24"/>
        </w:rPr>
        <w:t xml:space="preserve"> </w:t>
      </w:r>
      <w:r w:rsidR="009C5D23">
        <w:rPr>
          <w:szCs w:val="24"/>
        </w:rPr>
        <w:t xml:space="preserve">(as described above), at a minimum, </w:t>
      </w:r>
      <w:r w:rsidR="008D456B">
        <w:rPr>
          <w:szCs w:val="24"/>
        </w:rPr>
        <w:t>IGS</w:t>
      </w:r>
      <w:r w:rsidR="00347C24">
        <w:rPr>
          <w:szCs w:val="24"/>
        </w:rPr>
        <w:t xml:space="preserve"> </w:t>
      </w:r>
      <w:r w:rsidR="009C5D23">
        <w:rPr>
          <w:szCs w:val="24"/>
        </w:rPr>
        <w:t>should not be allowed to challenge the Settlement as it pertains to MGP-related issues or the TCJA.</w:t>
      </w:r>
    </w:p>
    <w:p w:rsidR="00566AA9" w:rsidRPr="00566AA9" w:rsidP="00566AA9" w14:paraId="1B648417" w14:textId="5A6782F7">
      <w:pPr>
        <w:keepNext/>
        <w:keepLines/>
        <w:spacing w:after="240"/>
        <w:ind w:left="1440" w:hanging="720"/>
        <w:rPr>
          <w:b/>
          <w:bCs/>
          <w:szCs w:val="24"/>
        </w:rPr>
      </w:pPr>
      <w:r>
        <w:rPr>
          <w:b/>
          <w:bCs/>
          <w:szCs w:val="24"/>
        </w:rPr>
        <w:t>C.</w:t>
      </w:r>
      <w:r>
        <w:rPr>
          <w:b/>
          <w:bCs/>
          <w:szCs w:val="24"/>
        </w:rPr>
        <w:tab/>
        <w:t>The PUCO should reject IGS’s proposal to delay this case with a lengthy procedural schedule.</w:t>
      </w:r>
    </w:p>
    <w:p w:rsidR="005652AC" w:rsidRPr="005652AC" w:rsidP="004312EF" w14:paraId="4733DA3F" w14:textId="12AD3F5D">
      <w:pPr>
        <w:spacing w:line="480" w:lineRule="auto"/>
        <w:ind w:firstLine="720"/>
        <w:rPr>
          <w:szCs w:val="24"/>
        </w:rPr>
      </w:pPr>
      <w:r>
        <w:rPr>
          <w:szCs w:val="24"/>
        </w:rPr>
        <w:t>According to IGS, before the PUCO can proceed to rule on the Settlement, it must formally consolidate the various dockets identified above.</w:t>
      </w:r>
      <w:r>
        <w:rPr>
          <w:rStyle w:val="FootnoteReference"/>
          <w:szCs w:val="24"/>
        </w:rPr>
        <w:footnoteReference w:id="20"/>
      </w:r>
      <w:r>
        <w:rPr>
          <w:szCs w:val="24"/>
        </w:rPr>
        <w:t xml:space="preserve"> IGS cites no authority for this claim, and there is none. While it is true that at times the PUCO has </w:t>
      </w:r>
      <w:r>
        <w:rPr>
          <w:i/>
          <w:iCs/>
          <w:szCs w:val="24"/>
        </w:rPr>
        <w:t>elected</w:t>
      </w:r>
      <w:r>
        <w:rPr>
          <w:szCs w:val="24"/>
        </w:rPr>
        <w:t xml:space="preserve"> to consolidate cases for administrative convenience, there is no requirement under any rule, law, or precedent that says that the PUCO must issue an Entry or Order consolidating cases whenever there is a settlement resolving more than one case. To the contrary, the PUCO has in the past ruled on settlements resolving multiple cases without formally consolidating the dockets.</w:t>
      </w:r>
      <w:r>
        <w:rPr>
          <w:rStyle w:val="FootnoteReference"/>
          <w:szCs w:val="24"/>
        </w:rPr>
        <w:footnoteReference w:id="21"/>
      </w:r>
      <w:r w:rsidR="00180094">
        <w:rPr>
          <w:szCs w:val="24"/>
        </w:rPr>
        <w:t xml:space="preserve"> Thus, IGS’s claim that there must be a formal “consolidation” of the cases before proceeding further is meritless.</w:t>
      </w:r>
    </w:p>
    <w:p w:rsidR="00180094" w:rsidP="00180094" w14:paraId="4A3DDD41" w14:textId="67C54E92">
      <w:pPr>
        <w:spacing w:line="480" w:lineRule="auto"/>
        <w:ind w:firstLine="720"/>
        <w:rPr>
          <w:szCs w:val="24"/>
        </w:rPr>
      </w:pPr>
      <w:r>
        <w:rPr>
          <w:szCs w:val="24"/>
        </w:rPr>
        <w:t>IGS then proposes that it be given 60 days to file testimony after its proposed consolidation and another 30 days after that before a hearing is held.</w:t>
      </w:r>
      <w:r>
        <w:rPr>
          <w:rStyle w:val="FootnoteReference"/>
          <w:szCs w:val="24"/>
        </w:rPr>
        <w:footnoteReference w:id="22"/>
      </w:r>
      <w:r>
        <w:rPr>
          <w:szCs w:val="24"/>
        </w:rPr>
        <w:t xml:space="preserve"> There is no basis for such a substantial delay. The issues that </w:t>
      </w:r>
      <w:r w:rsidR="008D456B">
        <w:rPr>
          <w:szCs w:val="24"/>
        </w:rPr>
        <w:t>IGS</w:t>
      </w:r>
      <w:r w:rsidR="00347C24">
        <w:rPr>
          <w:szCs w:val="24"/>
        </w:rPr>
        <w:t xml:space="preserve"> </w:t>
      </w:r>
      <w:r>
        <w:rPr>
          <w:szCs w:val="24"/>
        </w:rPr>
        <w:t xml:space="preserve">might address in this case are narrow and do not impact many of the substantial consumer issues in the </w:t>
      </w:r>
      <w:r w:rsidR="00347C24">
        <w:rPr>
          <w:szCs w:val="24"/>
        </w:rPr>
        <w:t>S</w:t>
      </w:r>
      <w:r>
        <w:rPr>
          <w:szCs w:val="24"/>
        </w:rPr>
        <w:t xml:space="preserve">ettlement related to charges to consumers for MGP remediation and benefits to consumers under the </w:t>
      </w:r>
      <w:r w:rsidR="00357613">
        <w:rPr>
          <w:szCs w:val="24"/>
        </w:rPr>
        <w:t>TCJA</w:t>
      </w:r>
      <w:r>
        <w:rPr>
          <w:szCs w:val="24"/>
        </w:rPr>
        <w:t>.</w:t>
      </w:r>
    </w:p>
    <w:p w:rsidR="00180094" w:rsidP="00180094" w14:paraId="2C68000E" w14:textId="635C9FE0">
      <w:pPr>
        <w:spacing w:line="480" w:lineRule="auto"/>
        <w:ind w:firstLine="720"/>
        <w:rPr>
          <w:szCs w:val="24"/>
        </w:rPr>
      </w:pPr>
      <w:r>
        <w:rPr>
          <w:szCs w:val="24"/>
        </w:rPr>
        <w:t>The PUCO should reject IGS’s attempts to delay approval of the Settlement</w:t>
      </w:r>
      <w:r w:rsidR="00021F0A">
        <w:rPr>
          <w:szCs w:val="24"/>
        </w:rPr>
        <w:t xml:space="preserve"> which will delay </w:t>
      </w:r>
      <w:r w:rsidR="009832E0">
        <w:rPr>
          <w:szCs w:val="24"/>
        </w:rPr>
        <w:t xml:space="preserve">delivering significant </w:t>
      </w:r>
      <w:r w:rsidR="00021F0A">
        <w:rPr>
          <w:szCs w:val="24"/>
        </w:rPr>
        <w:t xml:space="preserve">benefits to consumers, including the consumers that IGS and </w:t>
      </w:r>
      <w:r w:rsidR="00A22A5D">
        <w:rPr>
          <w:szCs w:val="24"/>
        </w:rPr>
        <w:t xml:space="preserve">other </w:t>
      </w:r>
      <w:r w:rsidR="00021F0A">
        <w:rPr>
          <w:szCs w:val="24"/>
        </w:rPr>
        <w:t xml:space="preserve">RESA </w:t>
      </w:r>
      <w:r w:rsidR="00A22A5D">
        <w:rPr>
          <w:szCs w:val="24"/>
        </w:rPr>
        <w:t xml:space="preserve">members </w:t>
      </w:r>
      <w:r w:rsidR="00021F0A">
        <w:rPr>
          <w:szCs w:val="24"/>
        </w:rPr>
        <w:t>serve</w:t>
      </w:r>
      <w:r>
        <w:rPr>
          <w:szCs w:val="24"/>
        </w:rPr>
        <w:t xml:space="preserve">. </w:t>
      </w:r>
      <w:r w:rsidR="005652AC">
        <w:rPr>
          <w:szCs w:val="24"/>
        </w:rPr>
        <w:t xml:space="preserve">Instead, </w:t>
      </w:r>
      <w:r>
        <w:rPr>
          <w:szCs w:val="24"/>
        </w:rPr>
        <w:t>the PUCO should set these cases for hearing as soon as possible—no later than October 2021. OCC would agree to IGS’s proposal for expedited discovery response time of 10 calendars days</w:t>
      </w:r>
      <w:r w:rsidR="00357613">
        <w:rPr>
          <w:szCs w:val="24"/>
        </w:rPr>
        <w:t xml:space="preserve"> (or even shorter)</w:t>
      </w:r>
      <w:r>
        <w:rPr>
          <w:szCs w:val="24"/>
        </w:rPr>
        <w:t xml:space="preserve"> to facilitate prompt resolution of these cases.</w:t>
      </w:r>
    </w:p>
    <w:p w:rsidR="00E47042" w:rsidP="00E47042" w14:paraId="146D4975" w14:textId="77777777">
      <w:pPr>
        <w:ind w:firstLine="720"/>
        <w:rPr>
          <w:szCs w:val="24"/>
        </w:rPr>
      </w:pPr>
    </w:p>
    <w:p w:rsidR="00566AA9" w:rsidRPr="00566AA9" w:rsidP="00566AA9" w14:paraId="4393ABB9" w14:textId="611E333F">
      <w:pPr>
        <w:keepNext/>
        <w:keepLines/>
        <w:spacing w:after="240"/>
        <w:rPr>
          <w:b/>
          <w:bCs/>
          <w:szCs w:val="24"/>
        </w:rPr>
      </w:pPr>
      <w:r>
        <w:rPr>
          <w:b/>
          <w:bCs/>
          <w:szCs w:val="24"/>
        </w:rPr>
        <w:t>II.</w:t>
      </w:r>
      <w:r>
        <w:rPr>
          <w:b/>
          <w:bCs/>
          <w:szCs w:val="24"/>
        </w:rPr>
        <w:tab/>
        <w:t>CONCLUSION</w:t>
      </w:r>
    </w:p>
    <w:p w:rsidR="00180094" w:rsidRPr="00180094" w:rsidP="00180094" w14:paraId="4D786E55" w14:textId="155CB531">
      <w:pPr>
        <w:spacing w:line="480" w:lineRule="auto"/>
        <w:ind w:firstLine="720"/>
        <w:rPr>
          <w:szCs w:val="24"/>
        </w:rPr>
      </w:pPr>
      <w:r>
        <w:rPr>
          <w:szCs w:val="24"/>
        </w:rPr>
        <w:t xml:space="preserve">For the reasons stated above, the PUCO should deny </w:t>
      </w:r>
      <w:r w:rsidR="008D456B">
        <w:rPr>
          <w:szCs w:val="24"/>
        </w:rPr>
        <w:t xml:space="preserve">IGS’s </w:t>
      </w:r>
      <w:r w:rsidR="00357613">
        <w:rPr>
          <w:szCs w:val="24"/>
        </w:rPr>
        <w:t xml:space="preserve">motion to intervene. If it does grant </w:t>
      </w:r>
      <w:r w:rsidR="008D456B">
        <w:rPr>
          <w:szCs w:val="24"/>
        </w:rPr>
        <w:t>it</w:t>
      </w:r>
      <w:r w:rsidR="00357613">
        <w:rPr>
          <w:szCs w:val="24"/>
        </w:rPr>
        <w:t xml:space="preserve">, </w:t>
      </w:r>
      <w:r w:rsidR="008D456B">
        <w:rPr>
          <w:szCs w:val="24"/>
        </w:rPr>
        <w:t xml:space="preserve">IGS’s </w:t>
      </w:r>
      <w:r w:rsidR="00357613">
        <w:rPr>
          <w:szCs w:val="24"/>
        </w:rPr>
        <w:t xml:space="preserve">intervention should be strictly limited to the three issues in the Settlement related to competitive </w:t>
      </w:r>
      <w:r w:rsidR="00944073">
        <w:rPr>
          <w:szCs w:val="24"/>
        </w:rPr>
        <w:t>markets</w:t>
      </w:r>
      <w:r w:rsidR="00357613">
        <w:rPr>
          <w:szCs w:val="24"/>
        </w:rPr>
        <w:t xml:space="preserve">. And the PUCO should deny IGS’s motion </w:t>
      </w:r>
      <w:r>
        <w:rPr>
          <w:szCs w:val="24"/>
        </w:rPr>
        <w:t xml:space="preserve">for a protracted procedural schedule. Instead, the PUCO should move this case forward quickly so that consumers can </w:t>
      </w:r>
      <w:r w:rsidR="009832E0">
        <w:rPr>
          <w:szCs w:val="24"/>
        </w:rPr>
        <w:t xml:space="preserve">receive the significant </w:t>
      </w:r>
      <w:r>
        <w:rPr>
          <w:szCs w:val="24"/>
        </w:rPr>
        <w:t>benefit</w:t>
      </w:r>
      <w:r w:rsidR="009832E0">
        <w:rPr>
          <w:szCs w:val="24"/>
        </w:rPr>
        <w:t>s</w:t>
      </w:r>
      <w:r>
        <w:rPr>
          <w:szCs w:val="24"/>
        </w:rPr>
        <w:t xml:space="preserve"> from the Settlement as soon as possible.</w:t>
      </w:r>
    </w:p>
    <w:p w:rsidR="00DD428E" w:rsidP="007750BB" w14:paraId="00D2EC26" w14:textId="4CE84079">
      <w:pPr>
        <w:spacing w:line="480" w:lineRule="auto"/>
        <w:ind w:firstLine="720"/>
        <w:rPr>
          <w:szCs w:val="24"/>
        </w:rPr>
      </w:pPr>
    </w:p>
    <w:p w:rsidR="00153E9F" w14:paraId="36BA0EC6" w14:textId="29FBF15D">
      <w:pPr>
        <w:spacing w:after="200" w:line="276" w:lineRule="auto"/>
        <w:rPr>
          <w:szCs w:val="24"/>
        </w:rPr>
      </w:pPr>
      <w:r>
        <w:rPr>
          <w:szCs w:val="24"/>
        </w:rPr>
        <w:br w:type="page"/>
      </w:r>
    </w:p>
    <w:p w:rsidR="00115AF7" w:rsidRPr="00E61247" w:rsidP="00357613" w14:paraId="0F52B6E1" w14:textId="77777777">
      <w:pPr>
        <w:pStyle w:val="BodyTextIndent3"/>
        <w:widowControl w:val="0"/>
        <w:spacing w:line="480" w:lineRule="auto"/>
        <w:ind w:left="4320" w:hanging="360"/>
        <w:rPr>
          <w:sz w:val="24"/>
          <w:szCs w:val="24"/>
        </w:rPr>
      </w:pPr>
      <w:r w:rsidRPr="00E61247">
        <w:rPr>
          <w:sz w:val="24"/>
          <w:szCs w:val="24"/>
        </w:rPr>
        <w:t>Respectfully submitted,</w:t>
      </w:r>
    </w:p>
    <w:p w:rsidR="00115AF7" w:rsidRPr="00E61247" w:rsidP="00357613" w14:paraId="733E8C22" w14:textId="77777777">
      <w:pPr>
        <w:ind w:left="4320" w:hanging="360"/>
        <w:rPr>
          <w:szCs w:val="24"/>
        </w:rPr>
      </w:pPr>
      <w:r w:rsidRPr="00E61247">
        <w:rPr>
          <w:szCs w:val="24"/>
        </w:rPr>
        <w:t>Bruce Weston (0016973)</w:t>
      </w:r>
    </w:p>
    <w:p w:rsidR="00115AF7" w:rsidRPr="00E61247" w:rsidP="00357613" w14:paraId="4192EF9C" w14:textId="77777777">
      <w:pPr>
        <w:tabs>
          <w:tab w:val="left" w:pos="4320"/>
        </w:tabs>
        <w:ind w:left="4320" w:hanging="360"/>
        <w:rPr>
          <w:szCs w:val="24"/>
        </w:rPr>
      </w:pPr>
      <w:r w:rsidRPr="00E61247">
        <w:rPr>
          <w:szCs w:val="24"/>
        </w:rPr>
        <w:t>Ohio Consumers’ Counsel</w:t>
      </w:r>
    </w:p>
    <w:p w:rsidR="00115AF7" w:rsidRPr="00E61247" w:rsidP="00357613" w14:paraId="3CFF05DE" w14:textId="77777777">
      <w:pPr>
        <w:tabs>
          <w:tab w:val="left" w:pos="4320"/>
        </w:tabs>
        <w:ind w:left="4320" w:hanging="360"/>
        <w:rPr>
          <w:szCs w:val="24"/>
        </w:rPr>
      </w:pPr>
    </w:p>
    <w:p w:rsidR="00115AF7" w:rsidRPr="00E61247" w:rsidP="00357613" w14:paraId="1E90F975" w14:textId="77777777">
      <w:pPr>
        <w:autoSpaceDE w:val="0"/>
        <w:autoSpaceDN w:val="0"/>
        <w:adjustRightInd w:val="0"/>
        <w:ind w:left="4320" w:hanging="360"/>
        <w:rPr>
          <w:i/>
          <w:szCs w:val="24"/>
        </w:rPr>
      </w:pPr>
      <w:r w:rsidRPr="00E61247">
        <w:rPr>
          <w:i/>
          <w:szCs w:val="24"/>
          <w:u w:val="single"/>
        </w:rPr>
        <w:t>/s/ Christopher Healey</w:t>
      </w:r>
      <w:r w:rsidRPr="00E61247">
        <w:rPr>
          <w:i/>
          <w:szCs w:val="24"/>
          <w:u w:val="single"/>
        </w:rPr>
        <w:tab/>
      </w:r>
      <w:r w:rsidRPr="00E61247">
        <w:rPr>
          <w:i/>
          <w:szCs w:val="24"/>
          <w:u w:val="single"/>
        </w:rPr>
        <w:tab/>
      </w:r>
      <w:r w:rsidRPr="00E61247">
        <w:rPr>
          <w:i/>
          <w:szCs w:val="24"/>
          <w:u w:val="single"/>
        </w:rPr>
        <w:tab/>
      </w:r>
    </w:p>
    <w:p w:rsidR="00115AF7" w:rsidRPr="00E61247" w:rsidP="00357613" w14:paraId="3ABEAEE2" w14:textId="77777777">
      <w:pPr>
        <w:tabs>
          <w:tab w:val="left" w:pos="4320"/>
        </w:tabs>
        <w:ind w:left="4320" w:hanging="360"/>
        <w:rPr>
          <w:szCs w:val="24"/>
        </w:rPr>
      </w:pPr>
      <w:r w:rsidRPr="00E61247">
        <w:rPr>
          <w:szCs w:val="24"/>
        </w:rPr>
        <w:t>Christopher Healey (0086027)</w:t>
      </w:r>
    </w:p>
    <w:p w:rsidR="00115AF7" w:rsidRPr="00E61247" w:rsidP="00357613" w14:paraId="4047E27A" w14:textId="68BA971B">
      <w:pPr>
        <w:tabs>
          <w:tab w:val="left" w:pos="4320"/>
        </w:tabs>
        <w:ind w:left="4320" w:hanging="360"/>
        <w:rPr>
          <w:szCs w:val="24"/>
        </w:rPr>
      </w:pPr>
      <w:r w:rsidRPr="00E61247">
        <w:rPr>
          <w:szCs w:val="24"/>
        </w:rPr>
        <w:t>Counsel of Record</w:t>
      </w:r>
      <w:r w:rsidR="003E4F5B">
        <w:rPr>
          <w:szCs w:val="24"/>
        </w:rPr>
        <w:t xml:space="preserve"> (Case No. 14-375-GA-RDR, et al.)</w:t>
      </w:r>
    </w:p>
    <w:p w:rsidR="00115AF7" w:rsidRPr="00E61247" w:rsidP="00357613" w14:paraId="20C83C03" w14:textId="77777777">
      <w:pPr>
        <w:tabs>
          <w:tab w:val="left" w:pos="4320"/>
        </w:tabs>
        <w:ind w:left="4320" w:hanging="360"/>
        <w:rPr>
          <w:szCs w:val="24"/>
        </w:rPr>
      </w:pPr>
      <w:r w:rsidRPr="00E61247">
        <w:rPr>
          <w:szCs w:val="24"/>
        </w:rPr>
        <w:t>Amy Botschner</w:t>
      </w:r>
      <w:r w:rsidRPr="00E61247" w:rsidR="0060669B">
        <w:rPr>
          <w:szCs w:val="24"/>
        </w:rPr>
        <w:t xml:space="preserve"> </w:t>
      </w:r>
      <w:r w:rsidRPr="00E61247">
        <w:rPr>
          <w:szCs w:val="24"/>
        </w:rPr>
        <w:t>O’Brien (0074423)</w:t>
      </w:r>
    </w:p>
    <w:p w:rsidR="00115AF7" w:rsidRPr="00E61247" w:rsidP="00357613" w14:paraId="3CB302D3" w14:textId="77777777">
      <w:pPr>
        <w:tabs>
          <w:tab w:val="left" w:pos="4320"/>
        </w:tabs>
        <w:ind w:left="4320" w:hanging="360"/>
        <w:rPr>
          <w:szCs w:val="24"/>
        </w:rPr>
      </w:pPr>
      <w:r w:rsidRPr="00E61247">
        <w:rPr>
          <w:szCs w:val="24"/>
        </w:rPr>
        <w:t>Assistant Consumers’ Counsel</w:t>
      </w:r>
    </w:p>
    <w:p w:rsidR="00115AF7" w:rsidRPr="00E61247" w:rsidP="00357613" w14:paraId="3A803A49" w14:textId="77777777">
      <w:pPr>
        <w:tabs>
          <w:tab w:val="left" w:pos="4320"/>
        </w:tabs>
        <w:ind w:left="4320" w:hanging="360"/>
        <w:rPr>
          <w:szCs w:val="24"/>
        </w:rPr>
      </w:pPr>
    </w:p>
    <w:p w:rsidR="00115AF7" w:rsidRPr="00E61247" w:rsidP="00357613" w14:paraId="6448CFFE" w14:textId="77777777">
      <w:pPr>
        <w:ind w:left="3600" w:firstLine="360"/>
        <w:rPr>
          <w:b/>
          <w:bCs/>
          <w:szCs w:val="24"/>
        </w:rPr>
      </w:pPr>
      <w:r w:rsidRPr="00E61247">
        <w:rPr>
          <w:b/>
          <w:bCs/>
          <w:szCs w:val="24"/>
        </w:rPr>
        <w:t>Office of the Ohio Consumers’ Counsel</w:t>
      </w:r>
    </w:p>
    <w:p w:rsidR="00115AF7" w:rsidRPr="00E61247" w:rsidP="00357613" w14:paraId="58603C6E" w14:textId="77777777">
      <w:pPr>
        <w:ind w:left="3600" w:firstLine="360"/>
        <w:rPr>
          <w:b/>
          <w:szCs w:val="24"/>
        </w:rPr>
      </w:pPr>
      <w:r w:rsidRPr="00E61247">
        <w:rPr>
          <w:szCs w:val="24"/>
        </w:rPr>
        <w:t>65 East State Street, 7th Floor</w:t>
      </w:r>
    </w:p>
    <w:p w:rsidR="00115AF7" w:rsidRPr="00E61247" w:rsidP="00357613" w14:paraId="7EFB3D25" w14:textId="77777777">
      <w:pPr>
        <w:ind w:left="3600" w:firstLine="360"/>
        <w:rPr>
          <w:b/>
          <w:szCs w:val="24"/>
        </w:rPr>
      </w:pPr>
      <w:r w:rsidRPr="00E61247">
        <w:rPr>
          <w:szCs w:val="24"/>
        </w:rPr>
        <w:t>Columbus, Ohio 43215-4213</w:t>
      </w:r>
    </w:p>
    <w:p w:rsidR="00115AF7" w:rsidRPr="00E61247" w:rsidP="00357613" w14:paraId="0765B7F2" w14:textId="77777777">
      <w:pPr>
        <w:autoSpaceDE w:val="0"/>
        <w:autoSpaceDN w:val="0"/>
        <w:adjustRightInd w:val="0"/>
        <w:ind w:left="3600" w:firstLine="360"/>
        <w:rPr>
          <w:szCs w:val="24"/>
        </w:rPr>
      </w:pPr>
      <w:r w:rsidRPr="00E61247">
        <w:rPr>
          <w:szCs w:val="24"/>
        </w:rPr>
        <w:t>Telephone [Healey]: (614) 466-9571</w:t>
      </w:r>
    </w:p>
    <w:p w:rsidR="00115AF7" w:rsidRPr="00E61247" w:rsidP="00357613" w14:paraId="644E69FF" w14:textId="77777777">
      <w:pPr>
        <w:autoSpaceDE w:val="0"/>
        <w:autoSpaceDN w:val="0"/>
        <w:adjustRightInd w:val="0"/>
        <w:ind w:left="3600" w:firstLine="360"/>
        <w:rPr>
          <w:szCs w:val="24"/>
        </w:rPr>
      </w:pPr>
      <w:r w:rsidRPr="00E61247">
        <w:rPr>
          <w:szCs w:val="24"/>
        </w:rPr>
        <w:t>Telephone [Botschner]: (614) 466-9575</w:t>
      </w:r>
    </w:p>
    <w:p w:rsidR="00115AF7" w:rsidRPr="00E61247" w:rsidP="00357613" w14:paraId="2F45467C" w14:textId="77777777">
      <w:pPr>
        <w:ind w:left="4320" w:hanging="360"/>
        <w:rPr>
          <w:rStyle w:val="Hyperlink"/>
          <w:szCs w:val="24"/>
        </w:rPr>
      </w:pPr>
      <w:r w:rsidRPr="00E61247">
        <w:rPr>
          <w:rStyle w:val="Hyperlink"/>
          <w:szCs w:val="24"/>
        </w:rPr>
        <w:t>christopher.healey@occ.ohio.gov</w:t>
      </w:r>
    </w:p>
    <w:p w:rsidR="00115AF7" w:rsidRPr="00E61247" w:rsidP="00357613" w14:paraId="0FADDDA3" w14:textId="77777777">
      <w:pPr>
        <w:ind w:left="4320" w:hanging="360"/>
        <w:rPr>
          <w:rStyle w:val="Hyperlink"/>
          <w:szCs w:val="24"/>
        </w:rPr>
      </w:pPr>
      <w:r w:rsidRPr="00E61247">
        <w:rPr>
          <w:rStyle w:val="Hyperlink"/>
          <w:szCs w:val="24"/>
        </w:rPr>
        <w:t>amy.botschner.obrien@occ.ohio.gov</w:t>
      </w:r>
    </w:p>
    <w:p w:rsidR="00115AF7" w:rsidP="00357613" w14:paraId="1C1C80D9" w14:textId="0F38967A">
      <w:pPr>
        <w:ind w:left="4320" w:hanging="360"/>
        <w:rPr>
          <w:szCs w:val="24"/>
        </w:rPr>
      </w:pPr>
      <w:r w:rsidRPr="00E61247">
        <w:rPr>
          <w:szCs w:val="24"/>
        </w:rPr>
        <w:t>(willing to accept service by e-mail)</w:t>
      </w:r>
    </w:p>
    <w:p w:rsidR="003E4F5B" w:rsidP="00115AF7" w14:paraId="08F1778D" w14:textId="5943DA0C">
      <w:pPr>
        <w:ind w:left="4320"/>
        <w:rPr>
          <w:szCs w:val="24"/>
        </w:rPr>
      </w:pPr>
    </w:p>
    <w:p w:rsidR="003E4F5B" w:rsidP="00115AF7" w14:paraId="71E1E394" w14:textId="77777777">
      <w:pPr>
        <w:ind w:left="4320"/>
        <w:rPr>
          <w:szCs w:val="24"/>
        </w:rPr>
      </w:pPr>
    </w:p>
    <w:p w:rsidR="003E4F5B" w:rsidRPr="00C743FA" w:rsidP="00357613" w14:paraId="0E20952E" w14:textId="77777777">
      <w:pPr>
        <w:tabs>
          <w:tab w:val="left" w:pos="4320"/>
        </w:tabs>
        <w:ind w:left="4320" w:hanging="360"/>
      </w:pPr>
      <w:r w:rsidRPr="00C743FA">
        <w:t>William J. Michael (0070921)</w:t>
      </w:r>
    </w:p>
    <w:p w:rsidR="003E4F5B" w:rsidRPr="00C743FA" w:rsidP="00357613" w14:paraId="1307AFAD" w14:textId="51ACDD30">
      <w:pPr>
        <w:tabs>
          <w:tab w:val="left" w:pos="4320"/>
        </w:tabs>
        <w:ind w:left="4320" w:hanging="360"/>
      </w:pPr>
      <w:r w:rsidRPr="00C743FA">
        <w:t>Counsel of Record</w:t>
      </w:r>
      <w:r>
        <w:t xml:space="preserve"> (Case No. 18-1830-GA-UNC)</w:t>
      </w:r>
    </w:p>
    <w:p w:rsidR="003E4F5B" w:rsidRPr="00C743FA" w:rsidP="00357613" w14:paraId="28EB2889" w14:textId="0AA41233">
      <w:pPr>
        <w:tabs>
          <w:tab w:val="left" w:pos="4320"/>
        </w:tabs>
        <w:ind w:left="4320" w:hanging="360"/>
      </w:pPr>
      <w:r w:rsidRPr="00C743FA">
        <w:t>Angel</w:t>
      </w:r>
      <w:r>
        <w:t>a</w:t>
      </w:r>
      <w:r w:rsidRPr="00C743FA">
        <w:t xml:space="preserve"> </w:t>
      </w:r>
      <w:r>
        <w:t xml:space="preserve">D. </w:t>
      </w:r>
      <w:r w:rsidRPr="00C743FA">
        <w:t>O</w:t>
      </w:r>
      <w:r>
        <w:t>’</w:t>
      </w:r>
      <w:r w:rsidRPr="00C743FA">
        <w:t>Brien (0097579)</w:t>
      </w:r>
    </w:p>
    <w:p w:rsidR="003E4F5B" w:rsidRPr="00C743FA" w:rsidP="00357613" w14:paraId="607EDB72" w14:textId="5AAF6128">
      <w:pPr>
        <w:tabs>
          <w:tab w:val="left" w:pos="4320"/>
        </w:tabs>
        <w:ind w:left="4320" w:hanging="360"/>
      </w:pPr>
      <w:r w:rsidRPr="00C743FA">
        <w:t xml:space="preserve">Ambrosia </w:t>
      </w:r>
      <w:r>
        <w:t>E. Wilson</w:t>
      </w:r>
      <w:r w:rsidRPr="00C743FA">
        <w:t xml:space="preserve"> (0096598)</w:t>
      </w:r>
    </w:p>
    <w:p w:rsidR="003E4F5B" w:rsidP="00357613" w14:paraId="7DB58FC8" w14:textId="77777777">
      <w:pPr>
        <w:tabs>
          <w:tab w:val="left" w:pos="4320"/>
        </w:tabs>
        <w:ind w:left="4320" w:hanging="360"/>
      </w:pPr>
      <w:r w:rsidRPr="00C743FA">
        <w:t>Assistant Consumers</w:t>
      </w:r>
      <w:r>
        <w:t>’</w:t>
      </w:r>
      <w:r w:rsidRPr="00C743FA">
        <w:t xml:space="preserve"> Counsel </w:t>
      </w:r>
    </w:p>
    <w:p w:rsidR="00357613" w:rsidP="00357613" w14:paraId="2F7F8262" w14:textId="77777777">
      <w:pPr>
        <w:ind w:left="4320" w:hanging="360"/>
      </w:pPr>
    </w:p>
    <w:p w:rsidR="003E4F5B" w:rsidRPr="00C743FA" w:rsidP="00357613" w14:paraId="3959F706" w14:textId="4E97C579">
      <w:pPr>
        <w:ind w:left="4320" w:hanging="360"/>
        <w:rPr>
          <w:b/>
        </w:rPr>
      </w:pPr>
      <w:r w:rsidRPr="00C743FA">
        <w:rPr>
          <w:b/>
        </w:rPr>
        <w:t>Office of the Ohio Consumers</w:t>
      </w:r>
      <w:r>
        <w:rPr>
          <w:b/>
        </w:rPr>
        <w:t>’</w:t>
      </w:r>
      <w:r w:rsidRPr="00C743FA">
        <w:rPr>
          <w:b/>
        </w:rPr>
        <w:t xml:space="preserve"> Counsel</w:t>
      </w:r>
    </w:p>
    <w:p w:rsidR="003E4F5B" w:rsidRPr="00C743FA" w:rsidP="00357613" w14:paraId="4B667553" w14:textId="77777777">
      <w:pPr>
        <w:tabs>
          <w:tab w:val="left" w:pos="4320"/>
        </w:tabs>
        <w:ind w:left="4320" w:hanging="360"/>
      </w:pPr>
      <w:r w:rsidRPr="00C743FA">
        <w:t>65 East State Street, 7</w:t>
      </w:r>
      <w:r w:rsidRPr="00554787">
        <w:t>th</w:t>
      </w:r>
      <w:r w:rsidRPr="00C743FA">
        <w:t xml:space="preserve"> Floor</w:t>
      </w:r>
    </w:p>
    <w:p w:rsidR="003E4F5B" w:rsidRPr="00C743FA" w:rsidP="00357613" w14:paraId="34AFCA51" w14:textId="77777777">
      <w:pPr>
        <w:tabs>
          <w:tab w:val="left" w:pos="4320"/>
        </w:tabs>
        <w:ind w:left="4320" w:hanging="360"/>
      </w:pPr>
      <w:r w:rsidRPr="00C743FA">
        <w:t>Columbus, Ohio 43215-4213</w:t>
      </w:r>
    </w:p>
    <w:p w:rsidR="003E4F5B" w:rsidRPr="00C743FA" w:rsidP="00357613" w14:paraId="56F1651C" w14:textId="77777777">
      <w:pPr>
        <w:tabs>
          <w:tab w:val="left" w:pos="4320"/>
        </w:tabs>
        <w:ind w:left="4320" w:hanging="360"/>
      </w:pPr>
      <w:r w:rsidRPr="00C743FA">
        <w:t>Telephone: (614) 466-1291 (Michael)</w:t>
      </w:r>
    </w:p>
    <w:p w:rsidR="003E4F5B" w:rsidRPr="00C743FA" w:rsidP="00357613" w14:paraId="05C0BB4B" w14:textId="77777777">
      <w:pPr>
        <w:tabs>
          <w:tab w:val="left" w:pos="4320"/>
        </w:tabs>
        <w:ind w:left="4320" w:hanging="360"/>
      </w:pPr>
      <w:r w:rsidRPr="00C743FA">
        <w:t>Telephone: (614) 466-</w:t>
      </w:r>
      <w:r>
        <w:t>9531</w:t>
      </w:r>
      <w:r w:rsidRPr="00C743FA">
        <w:t xml:space="preserve"> (O</w:t>
      </w:r>
      <w:r>
        <w:t>’</w:t>
      </w:r>
      <w:r w:rsidRPr="00C743FA">
        <w:t xml:space="preserve">Brien) </w:t>
      </w:r>
    </w:p>
    <w:p w:rsidR="003E4F5B" w:rsidRPr="00C743FA" w:rsidP="00357613" w14:paraId="4DDDD0BC" w14:textId="44B662FC">
      <w:pPr>
        <w:tabs>
          <w:tab w:val="left" w:pos="4320"/>
        </w:tabs>
        <w:ind w:left="4320" w:hanging="360"/>
      </w:pPr>
      <w:r w:rsidRPr="00C743FA">
        <w:t>Telephone: (614) 466-1292 (</w:t>
      </w:r>
      <w:r>
        <w:t>Wilson</w:t>
      </w:r>
      <w:r w:rsidRPr="00C743FA">
        <w:t xml:space="preserve">) </w:t>
      </w:r>
    </w:p>
    <w:p w:rsidR="003E4F5B" w:rsidRPr="00627C88" w:rsidP="00357613" w14:paraId="519DA7BE" w14:textId="77777777">
      <w:pPr>
        <w:ind w:left="4320" w:hanging="360"/>
        <w:rPr>
          <w:rStyle w:val="Hyperlink"/>
          <w:rFonts w:eastAsiaTheme="majorEastAsia"/>
          <w:szCs w:val="24"/>
        </w:rPr>
      </w:pPr>
      <w:hyperlink r:id="rId7" w:history="1">
        <w:r w:rsidRPr="00627C88" w:rsidR="00AF1D8E">
          <w:rPr>
            <w:rStyle w:val="Hyperlink"/>
            <w:rFonts w:eastAsiaTheme="majorEastAsia"/>
            <w:szCs w:val="24"/>
          </w:rPr>
          <w:t>william.michael@occ.ohio.gov</w:t>
        </w:r>
      </w:hyperlink>
    </w:p>
    <w:p w:rsidR="003E4F5B" w:rsidRPr="00627C88" w:rsidP="00357613" w14:paraId="28390FFF" w14:textId="77777777">
      <w:pPr>
        <w:ind w:left="4320" w:hanging="360"/>
        <w:rPr>
          <w:rStyle w:val="Hyperlink"/>
          <w:rFonts w:eastAsiaTheme="majorEastAsia"/>
          <w:szCs w:val="24"/>
        </w:rPr>
      </w:pPr>
      <w:hyperlink r:id="rId8" w:history="1">
        <w:r w:rsidRPr="00627C88" w:rsidR="00AF1D8E">
          <w:rPr>
            <w:rStyle w:val="Hyperlink"/>
            <w:rFonts w:eastAsiaTheme="majorEastAsia"/>
            <w:szCs w:val="24"/>
          </w:rPr>
          <w:t>angela.obrien@occ.ohio.gov</w:t>
        </w:r>
      </w:hyperlink>
    </w:p>
    <w:p w:rsidR="003E4F5B" w:rsidRPr="00627C88" w:rsidP="00357613" w14:paraId="302779A9" w14:textId="783C3472">
      <w:pPr>
        <w:ind w:left="4320" w:hanging="360"/>
        <w:rPr>
          <w:rStyle w:val="Hyperlink"/>
          <w:rFonts w:eastAsiaTheme="majorEastAsia"/>
          <w:szCs w:val="24"/>
        </w:rPr>
      </w:pPr>
      <w:hyperlink r:id="rId9" w:history="1">
        <w:r w:rsidRPr="002A4414" w:rsidR="00AF1D8E">
          <w:rPr>
            <w:rStyle w:val="Hyperlink"/>
            <w:rFonts w:eastAsiaTheme="majorEastAsia"/>
            <w:szCs w:val="24"/>
          </w:rPr>
          <w:t>ambrosia.wilson@occ.ohio.gov</w:t>
        </w:r>
      </w:hyperlink>
    </w:p>
    <w:p w:rsidR="003E4F5B" w:rsidP="00357613" w14:paraId="757321EE" w14:textId="77777777">
      <w:pPr>
        <w:ind w:firstLine="3960"/>
      </w:pPr>
      <w:r w:rsidRPr="00C743FA">
        <w:t>(will</w:t>
      </w:r>
      <w:r>
        <w:t xml:space="preserve">ing to </w:t>
      </w:r>
      <w:r w:rsidRPr="00C743FA">
        <w:t xml:space="preserve">accept service </w:t>
      </w:r>
      <w:r>
        <w:t>by e-</w:t>
      </w:r>
      <w:r w:rsidRPr="00C743FA">
        <w:t>mail)</w:t>
      </w:r>
    </w:p>
    <w:p w:rsidR="003E4F5B" w:rsidRPr="00E61247" w:rsidP="00115AF7" w14:paraId="114C6154" w14:textId="77777777">
      <w:pPr>
        <w:ind w:left="4320"/>
        <w:rPr>
          <w:szCs w:val="24"/>
        </w:rPr>
      </w:pPr>
    </w:p>
    <w:p w:rsidR="00565ACF" w:rsidRPr="00E61247" w:rsidP="00565ACF" w14:paraId="0C87B504" w14:textId="77777777">
      <w:pPr>
        <w:ind w:left="4320"/>
        <w:rPr>
          <w:szCs w:val="24"/>
        </w:rPr>
      </w:pPr>
    </w:p>
    <w:p w:rsidR="00E1100F" w:rsidRPr="00E61247" w:rsidP="00D805DF" w14:paraId="4D380610" w14:textId="77777777">
      <w:pPr>
        <w:ind w:left="2160" w:firstLine="720"/>
        <w:rPr>
          <w:b/>
          <w:bCs/>
          <w:szCs w:val="24"/>
          <w:u w:val="single"/>
        </w:rPr>
        <w:sectPr w:rsidSect="00D1611D">
          <w:footerReference w:type="default" r:id="rId10"/>
          <w:pgSz w:w="12240" w:h="15840"/>
          <w:pgMar w:top="1440" w:right="1440" w:bottom="1440" w:left="1440" w:header="720" w:footer="720" w:gutter="0"/>
          <w:pgNumType w:start="2"/>
          <w:cols w:space="720"/>
          <w:docGrid w:linePitch="360"/>
        </w:sectPr>
      </w:pPr>
    </w:p>
    <w:p w:rsidR="00BA6EC5" w:rsidRPr="00E61247" w:rsidP="00D805DF" w14:paraId="794D62B5" w14:textId="77777777">
      <w:pPr>
        <w:ind w:left="2160" w:firstLine="720"/>
        <w:rPr>
          <w:b/>
          <w:bCs/>
          <w:szCs w:val="24"/>
          <w:u w:val="single"/>
        </w:rPr>
      </w:pPr>
      <w:r w:rsidRPr="00E61247">
        <w:rPr>
          <w:b/>
          <w:bCs/>
          <w:szCs w:val="24"/>
          <w:u w:val="single"/>
        </w:rPr>
        <w:t>CERTIFICATE OF SERVICE</w:t>
      </w:r>
    </w:p>
    <w:p w:rsidR="00BA6EC5" w:rsidRPr="00E61247" w14:paraId="28D0C439" w14:textId="77777777">
      <w:pPr>
        <w:pStyle w:val="EndnoteText"/>
        <w:widowControl/>
        <w:tabs>
          <w:tab w:val="left" w:pos="-720"/>
        </w:tabs>
        <w:suppressAutoHyphens/>
        <w:rPr>
          <w:rFonts w:ascii="Times New Roman" w:hAnsi="Times New Roman"/>
          <w:spacing w:val="-3"/>
          <w:szCs w:val="24"/>
        </w:rPr>
      </w:pPr>
    </w:p>
    <w:p w:rsidR="00BA6EC5" w:rsidRPr="00E61247" w:rsidP="00A81C49" w14:paraId="6C048BF5" w14:textId="2A742800">
      <w:pPr>
        <w:tabs>
          <w:tab w:val="left" w:pos="-720"/>
        </w:tabs>
        <w:suppressAutoHyphens/>
        <w:spacing w:line="480" w:lineRule="auto"/>
        <w:ind w:firstLine="720"/>
        <w:rPr>
          <w:szCs w:val="24"/>
        </w:rPr>
      </w:pPr>
      <w:r w:rsidRPr="00E61247">
        <w:rPr>
          <w:szCs w:val="24"/>
        </w:rPr>
        <w:t xml:space="preserve">It is hereby certified that a true copy of the foregoing </w:t>
      </w:r>
      <w:r w:rsidR="00180094">
        <w:rPr>
          <w:szCs w:val="24"/>
        </w:rPr>
        <w:t>Memorandum Contra</w:t>
      </w:r>
      <w:r w:rsidRPr="00E61247">
        <w:rPr>
          <w:szCs w:val="24"/>
        </w:rPr>
        <w:t xml:space="preserve"> was served by electronic transmission upon the parties below this </w:t>
      </w:r>
      <w:r w:rsidR="00470945">
        <w:rPr>
          <w:szCs w:val="24"/>
        </w:rPr>
        <w:t>4</w:t>
      </w:r>
      <w:r w:rsidRPr="00E61247" w:rsidR="00C3373A">
        <w:rPr>
          <w:szCs w:val="24"/>
        </w:rPr>
        <w:t>th</w:t>
      </w:r>
      <w:r w:rsidRPr="00E61247">
        <w:rPr>
          <w:szCs w:val="24"/>
        </w:rPr>
        <w:t xml:space="preserve"> day of </w:t>
      </w:r>
      <w:r w:rsidR="00180094">
        <w:rPr>
          <w:szCs w:val="24"/>
        </w:rPr>
        <w:t>October 2021</w:t>
      </w:r>
      <w:r w:rsidRPr="00E61247">
        <w:rPr>
          <w:szCs w:val="24"/>
        </w:rPr>
        <w:t>.</w:t>
      </w:r>
    </w:p>
    <w:p w:rsidR="00BA6EC5" w:rsidRPr="00E61247" w14:paraId="057A1A43" w14:textId="77777777">
      <w:pPr>
        <w:pStyle w:val="EndnoteText"/>
        <w:widowControl/>
        <w:rPr>
          <w:rFonts w:ascii="Times New Roman" w:hAnsi="Times New Roman"/>
          <w:snapToGrid/>
          <w:szCs w:val="24"/>
        </w:rPr>
      </w:pPr>
    </w:p>
    <w:p w:rsidR="00BA6EC5" w:rsidRPr="00E61247" w14:paraId="384E3151"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i/>
          <w:snapToGrid/>
          <w:szCs w:val="24"/>
          <w:u w:val="single"/>
        </w:rPr>
        <w:t>/s/ Christopher Healey</w:t>
      </w:r>
      <w:r w:rsidRPr="00E61247">
        <w:rPr>
          <w:rFonts w:ascii="Times New Roman" w:hAnsi="Times New Roman"/>
          <w:i/>
          <w:snapToGrid/>
          <w:szCs w:val="24"/>
          <w:u w:val="single"/>
        </w:rPr>
        <w:tab/>
      </w:r>
    </w:p>
    <w:p w:rsidR="00BA6EC5" w:rsidRPr="00E61247" w14:paraId="2AC6B403"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Christopher Healey</w:t>
      </w:r>
    </w:p>
    <w:p w:rsidR="00BA6EC5" w:rsidRPr="00E61247" w14:paraId="23F4AAC9"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Assistant Consumers’ Counsel</w:t>
      </w:r>
    </w:p>
    <w:p w:rsidR="00BA6EC5" w:rsidRPr="00E61247" w14:paraId="7C48B6BC" w14:textId="77777777">
      <w:pPr>
        <w:pStyle w:val="EndnoteText"/>
        <w:widowControl/>
        <w:rPr>
          <w:rFonts w:ascii="Times New Roman" w:hAnsi="Times New Roman"/>
          <w:snapToGrid/>
          <w:szCs w:val="24"/>
        </w:rPr>
      </w:pPr>
    </w:p>
    <w:p w:rsidR="00BA6EC5" w:rsidRPr="00E61247" w14:paraId="0C9742B6" w14:textId="77777777">
      <w:pPr>
        <w:pStyle w:val="EndnoteText"/>
        <w:widowControl/>
        <w:jc w:val="center"/>
        <w:rPr>
          <w:rFonts w:ascii="Times New Roman" w:hAnsi="Times New Roman"/>
          <w:b/>
          <w:bCs/>
          <w:snapToGrid/>
          <w:szCs w:val="24"/>
        </w:rPr>
      </w:pPr>
    </w:p>
    <w:p w:rsidR="00B438EA" w:rsidRPr="00E61247" w:rsidP="00B438EA" w14:paraId="21E6EFB3" w14:textId="77777777">
      <w:pPr>
        <w:pStyle w:val="CommentText"/>
        <w:rPr>
          <w:sz w:val="24"/>
          <w:szCs w:val="24"/>
        </w:rPr>
      </w:pPr>
      <w:bookmarkStart w:id="0" w:name="_Hlk22544303"/>
      <w:r w:rsidRPr="00E61247">
        <w:rPr>
          <w:sz w:val="24"/>
          <w:szCs w:val="24"/>
        </w:rPr>
        <w:t>The PUCO’s e-filing system will electronically serve notice of the filing of this document on the following parties:</w:t>
      </w:r>
    </w:p>
    <w:p w:rsidR="00B438EA" w:rsidRPr="00E61247" w:rsidP="00B438EA" w14:paraId="3386669E" w14:textId="77777777">
      <w:pPr>
        <w:pStyle w:val="EndnoteText"/>
        <w:widowControl/>
        <w:rPr>
          <w:rFonts w:ascii="Times New Roman" w:hAnsi="Times New Roman"/>
          <w:snapToGrid/>
          <w:szCs w:val="24"/>
        </w:rPr>
      </w:pPr>
    </w:p>
    <w:p w:rsidR="00B438EA" w:rsidRPr="00E61247" w:rsidP="00B438EA" w14:paraId="6037969A" w14:textId="77777777">
      <w:pPr>
        <w:pStyle w:val="CommentText"/>
        <w:jc w:val="center"/>
        <w:rPr>
          <w:b/>
          <w:bCs/>
          <w:sz w:val="24"/>
          <w:szCs w:val="24"/>
          <w:u w:val="single"/>
        </w:rPr>
      </w:pPr>
      <w:r w:rsidRPr="00E61247">
        <w:rPr>
          <w:b/>
          <w:bCs/>
          <w:sz w:val="24"/>
          <w:szCs w:val="24"/>
          <w:u w:val="single"/>
        </w:rPr>
        <w:t>SERVICE LIST</w:t>
      </w:r>
    </w:p>
    <w:p w:rsidR="00B438EA" w:rsidRPr="00E61247" w:rsidP="00B438EA" w14:paraId="4F998196" w14:textId="77777777">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438EA533" w14:textId="77777777" w:rsidTr="00DE40A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B438EA" w:rsidP="00DE40A6" w14:paraId="4F0D4A0F" w14:textId="4FC274C9">
            <w:pPr>
              <w:rPr>
                <w:rStyle w:val="Hyperlink"/>
                <w:szCs w:val="24"/>
              </w:rPr>
            </w:pPr>
            <w:hyperlink r:id="rId11" w:history="1">
              <w:r w:rsidRPr="002A4414" w:rsidR="00D4701C">
                <w:rPr>
                  <w:rStyle w:val="Hyperlink"/>
                  <w:szCs w:val="24"/>
                </w:rPr>
                <w:t>werner.margard@ohioAGO.gov</w:t>
              </w:r>
            </w:hyperlink>
          </w:p>
          <w:p w:rsidR="00B438EA" w:rsidP="00DE40A6" w14:paraId="4BDEF0DF" w14:textId="42FC89B3">
            <w:pPr>
              <w:rPr>
                <w:szCs w:val="24"/>
              </w:rPr>
            </w:pPr>
            <w:hyperlink r:id="rId12" w:history="1">
              <w:r w:rsidRPr="002A4414" w:rsidR="00D4701C">
                <w:rPr>
                  <w:rStyle w:val="Hyperlink"/>
                  <w:szCs w:val="24"/>
                </w:rPr>
                <w:t>Robert.eubanks@ohioAGO.gov</w:t>
              </w:r>
            </w:hyperlink>
          </w:p>
          <w:p w:rsidR="00D4701C" w:rsidP="00DE40A6" w14:paraId="6D3B5D8F" w14:textId="288FF62E">
            <w:hyperlink r:id="rId13" w:history="1">
              <w:r w:rsidRPr="002A4414" w:rsidR="00AF1D8E">
                <w:rPr>
                  <w:rStyle w:val="Hyperlink"/>
                </w:rPr>
                <w:t>Jodi.bair@ohioAGO.gov</w:t>
              </w:r>
            </w:hyperlink>
          </w:p>
          <w:p w:rsidR="00D4701C" w:rsidP="00DE40A6" w14:paraId="35E413DC" w14:textId="1FAFA00B">
            <w:hyperlink r:id="rId14" w:history="1">
              <w:r w:rsidRPr="002A4414" w:rsidR="00AF1D8E">
                <w:rPr>
                  <w:rStyle w:val="Hyperlink"/>
                </w:rPr>
                <w:t>Kyle.kern@ohioAGO.gov</w:t>
              </w:r>
            </w:hyperlink>
          </w:p>
          <w:p w:rsidR="00B438EA" w:rsidRPr="00E61247" w:rsidP="00DE40A6" w14:paraId="42CB8988" w14:textId="4542A3BA">
            <w:pPr>
              <w:rPr>
                <w:rStyle w:val="Hyperlink"/>
                <w:szCs w:val="24"/>
              </w:rPr>
            </w:pPr>
            <w:hyperlink r:id="rId15" w:history="1">
              <w:r w:rsidRPr="002A4414" w:rsidR="00D4701C">
                <w:rPr>
                  <w:rStyle w:val="Hyperlink"/>
                  <w:szCs w:val="24"/>
                </w:rPr>
                <w:t>John.jones@ohioA</w:t>
              </w:r>
              <w:r w:rsidRPr="002A4414" w:rsidR="00D4701C">
                <w:rPr>
                  <w:rStyle w:val="Hyperlink"/>
                </w:rPr>
                <w:t>GO</w:t>
              </w:r>
              <w:r w:rsidRPr="002A4414" w:rsidR="00D4701C">
                <w:rPr>
                  <w:rStyle w:val="Hyperlink"/>
                  <w:szCs w:val="24"/>
                </w:rPr>
                <w:t>.gov</w:t>
              </w:r>
            </w:hyperlink>
          </w:p>
          <w:p w:rsidR="00510E24" w:rsidRPr="00E61247" w:rsidP="00DE40A6" w14:paraId="1567FD2D" w14:textId="77777777">
            <w:pPr>
              <w:rPr>
                <w:rStyle w:val="Hyperlink"/>
                <w:szCs w:val="24"/>
              </w:rPr>
            </w:pPr>
            <w:r w:rsidRPr="00E61247">
              <w:rPr>
                <w:rStyle w:val="Hyperlink"/>
                <w:szCs w:val="24"/>
              </w:rPr>
              <w:t>rdove@keglerbrown.com</w:t>
            </w:r>
          </w:p>
          <w:p w:rsidR="00B438EA" w:rsidRPr="00E61247" w:rsidP="00DE40A6" w14:paraId="516867DC" w14:textId="77777777">
            <w:pPr>
              <w:rPr>
                <w:szCs w:val="24"/>
              </w:rPr>
            </w:pPr>
            <w:hyperlink r:id="rId16" w:history="1">
              <w:r w:rsidRPr="00E61247" w:rsidR="00DC1207">
                <w:rPr>
                  <w:rStyle w:val="Hyperlink"/>
                  <w:szCs w:val="24"/>
                </w:rPr>
                <w:t>dboehm@BKLlawfirm.com</w:t>
              </w:r>
            </w:hyperlink>
          </w:p>
          <w:p w:rsidR="00B438EA" w:rsidRPr="00E61247" w:rsidP="00DE40A6" w14:paraId="2D654BD3" w14:textId="77777777">
            <w:pPr>
              <w:rPr>
                <w:szCs w:val="24"/>
              </w:rPr>
            </w:pPr>
            <w:hyperlink r:id="rId17" w:history="1">
              <w:r w:rsidRPr="00E61247" w:rsidR="00DC1207">
                <w:rPr>
                  <w:rStyle w:val="Hyperlink"/>
                  <w:szCs w:val="24"/>
                </w:rPr>
                <w:t>mkurtz@BKLlawfirm.com</w:t>
              </w:r>
            </w:hyperlink>
          </w:p>
          <w:p w:rsidR="00B438EA" w:rsidRPr="00E61247" w:rsidP="00DE40A6" w14:paraId="221A9C85" w14:textId="77777777">
            <w:pPr>
              <w:rPr>
                <w:szCs w:val="24"/>
              </w:rPr>
            </w:pPr>
            <w:hyperlink r:id="rId18" w:history="1">
              <w:r w:rsidRPr="00E61247" w:rsidR="00DC1207">
                <w:rPr>
                  <w:rStyle w:val="Hyperlink"/>
                  <w:szCs w:val="24"/>
                </w:rPr>
                <w:t>jkylercohn@BKLlawfirm.com</w:t>
              </w:r>
            </w:hyperlink>
          </w:p>
          <w:p w:rsidR="00B438EA" w:rsidRPr="00E61247" w:rsidP="00DE40A6" w14:paraId="71F35D00" w14:textId="77777777">
            <w:pPr>
              <w:rPr>
                <w:szCs w:val="24"/>
              </w:rPr>
            </w:pPr>
          </w:p>
          <w:p w:rsidR="00B438EA" w:rsidRPr="00E61247" w:rsidP="00DE40A6" w14:paraId="2043BC2B" w14:textId="77777777">
            <w:pPr>
              <w:rPr>
                <w:szCs w:val="24"/>
              </w:rPr>
            </w:pPr>
            <w:r w:rsidRPr="00E61247">
              <w:rPr>
                <w:szCs w:val="24"/>
              </w:rPr>
              <w:t>Attorney Examiner:</w:t>
            </w:r>
          </w:p>
          <w:p w:rsidR="00B438EA" w:rsidRPr="00E61247" w:rsidP="00DE40A6" w14:paraId="61967823" w14:textId="77777777">
            <w:pPr>
              <w:rPr>
                <w:szCs w:val="24"/>
              </w:rPr>
            </w:pPr>
          </w:p>
          <w:p w:rsidR="00B438EA" w:rsidRPr="00E61247" w:rsidP="00DE40A6" w14:paraId="648BD198" w14:textId="77777777">
            <w:pPr>
              <w:rPr>
                <w:szCs w:val="24"/>
              </w:rPr>
            </w:pPr>
            <w:hyperlink r:id="rId19" w:history="1">
              <w:r w:rsidRPr="00E61247" w:rsidR="00DC1207">
                <w:rPr>
                  <w:rStyle w:val="Hyperlink"/>
                  <w:szCs w:val="24"/>
                </w:rPr>
                <w:t>Megan.addison@puco.ohio.gov</w:t>
              </w:r>
            </w:hyperlink>
          </w:p>
          <w:p w:rsidR="00B438EA" w:rsidP="00DE40A6" w14:paraId="62F4B039" w14:textId="4E495779">
            <w:pPr>
              <w:rPr>
                <w:szCs w:val="24"/>
              </w:rPr>
            </w:pPr>
            <w:hyperlink r:id="rId20" w:history="1">
              <w:r w:rsidRPr="002A4414" w:rsidR="00D4701C">
                <w:rPr>
                  <w:rStyle w:val="Hyperlink"/>
                  <w:szCs w:val="24"/>
                </w:rPr>
                <w:t>Matthew.sandor@puco.ohio.gov</w:t>
              </w:r>
            </w:hyperlink>
          </w:p>
          <w:p w:rsidR="00D4701C" w:rsidP="00DE40A6" w14:paraId="70CB223C" w14:textId="0F13BC74">
            <w:pPr>
              <w:rPr>
                <w:rStyle w:val="Hyperlink"/>
                <w:szCs w:val="24"/>
              </w:rPr>
            </w:pPr>
            <w:hyperlink r:id="rId21" w:history="1">
              <w:r w:rsidRPr="002A4414" w:rsidR="00AF1D8E">
                <w:rPr>
                  <w:rStyle w:val="Hyperlink"/>
                  <w:szCs w:val="24"/>
                </w:rPr>
                <w:t>Nicholas.walstra@puco.ohio.gov</w:t>
              </w:r>
            </w:hyperlink>
          </w:p>
          <w:p w:rsidR="00E47042" w:rsidRPr="00CD117A" w:rsidP="00E47042" w14:paraId="1B2F7CE8" w14:textId="20208B6B">
            <w:pPr>
              <w:pStyle w:val="CommentText"/>
              <w:jc w:val="both"/>
              <w:rPr>
                <w:rStyle w:val="Hyperlink"/>
                <w:rFonts w:eastAsiaTheme="majorEastAsia"/>
                <w:sz w:val="24"/>
                <w:szCs w:val="24"/>
              </w:rPr>
            </w:pPr>
            <w:r w:rsidRPr="00CD117A">
              <w:rPr>
                <w:rStyle w:val="Hyperlink"/>
                <w:rFonts w:eastAsiaTheme="majorEastAsia"/>
                <w:sz w:val="24"/>
                <w:szCs w:val="24"/>
              </w:rPr>
              <w:t>Lauren.augostini@puc</w:t>
            </w:r>
            <w:r>
              <w:rPr>
                <w:rStyle w:val="Hyperlink"/>
                <w:rFonts w:eastAsiaTheme="majorEastAsia"/>
                <w:sz w:val="24"/>
                <w:szCs w:val="24"/>
              </w:rPr>
              <w:t>o</w:t>
            </w:r>
            <w:r w:rsidRPr="00CD117A">
              <w:rPr>
                <w:rStyle w:val="Hyperlink"/>
                <w:rFonts w:eastAsiaTheme="majorEastAsia"/>
                <w:sz w:val="24"/>
                <w:szCs w:val="24"/>
              </w:rPr>
              <w:t>.</w:t>
            </w:r>
            <w:r>
              <w:rPr>
                <w:rStyle w:val="Hyperlink"/>
                <w:rFonts w:eastAsiaTheme="majorEastAsia"/>
                <w:sz w:val="24"/>
                <w:szCs w:val="24"/>
              </w:rPr>
              <w:t>ohio</w:t>
            </w:r>
            <w:r w:rsidRPr="00CD117A">
              <w:rPr>
                <w:rStyle w:val="Hyperlink"/>
                <w:rFonts w:eastAsiaTheme="majorEastAsia"/>
                <w:sz w:val="24"/>
                <w:szCs w:val="24"/>
              </w:rPr>
              <w:t>.</w:t>
            </w:r>
            <w:r>
              <w:rPr>
                <w:rStyle w:val="Hyperlink"/>
                <w:rFonts w:eastAsiaTheme="majorEastAsia"/>
                <w:sz w:val="24"/>
                <w:szCs w:val="24"/>
              </w:rPr>
              <w:t>gov</w:t>
            </w:r>
          </w:p>
          <w:p w:rsidR="00E47042" w:rsidP="00DE40A6" w14:paraId="033173AE" w14:textId="77777777">
            <w:pPr>
              <w:rPr>
                <w:szCs w:val="24"/>
              </w:rPr>
            </w:pPr>
          </w:p>
          <w:p w:rsidR="00D4701C" w:rsidRPr="00E61247" w:rsidP="00DE40A6" w14:paraId="00773555" w14:textId="77777777">
            <w:pPr>
              <w:rPr>
                <w:szCs w:val="24"/>
              </w:rPr>
            </w:pPr>
          </w:p>
          <w:p w:rsidR="00B438EA" w:rsidRPr="00E61247" w:rsidP="00DE40A6" w14:paraId="60196C26" w14:textId="77777777">
            <w:pPr>
              <w:rPr>
                <w:szCs w:val="24"/>
              </w:rPr>
            </w:pPr>
          </w:p>
        </w:tc>
        <w:tc>
          <w:tcPr>
            <w:tcW w:w="4111" w:type="dxa"/>
          </w:tcPr>
          <w:p w:rsidR="00B438EA" w:rsidRPr="00E61247" w:rsidP="00DE40A6" w14:paraId="4A56C7CB" w14:textId="77777777">
            <w:pPr>
              <w:ind w:left="400"/>
              <w:rPr>
                <w:rStyle w:val="Hyperlink"/>
                <w:szCs w:val="24"/>
              </w:rPr>
            </w:pPr>
            <w:hyperlink r:id="rId22" w:history="1">
              <w:r w:rsidRPr="00E61247" w:rsidR="00510E24">
                <w:rPr>
                  <w:rStyle w:val="Hyperlink"/>
                  <w:szCs w:val="24"/>
                </w:rPr>
                <w:t>Rocco.dascenzo@duke-energy.com</w:t>
              </w:r>
            </w:hyperlink>
          </w:p>
          <w:p w:rsidR="00B438EA" w:rsidRPr="00E61247" w:rsidP="00DE40A6" w14:paraId="7E3B965A" w14:textId="77777777">
            <w:pPr>
              <w:ind w:left="400"/>
              <w:rPr>
                <w:rStyle w:val="Hyperlink"/>
                <w:szCs w:val="24"/>
              </w:rPr>
            </w:pPr>
            <w:hyperlink r:id="rId23" w:history="1">
              <w:r w:rsidRPr="00E61247" w:rsidR="00DC1207">
                <w:rPr>
                  <w:rStyle w:val="Hyperlink"/>
                  <w:szCs w:val="24"/>
                </w:rPr>
                <w:t>Jeanne.kingery@duke-energy.com</w:t>
              </w:r>
            </w:hyperlink>
          </w:p>
          <w:p w:rsidR="00B438EA" w:rsidRPr="00E61247" w:rsidP="00DE40A6" w14:paraId="4F03F235" w14:textId="77777777">
            <w:pPr>
              <w:ind w:left="400"/>
              <w:rPr>
                <w:rStyle w:val="Hyperlink"/>
                <w:szCs w:val="24"/>
              </w:rPr>
            </w:pPr>
            <w:hyperlink r:id="rId24" w:history="1">
              <w:r w:rsidRPr="00E61247" w:rsidR="00DC1207">
                <w:rPr>
                  <w:rStyle w:val="Hyperlink"/>
                  <w:szCs w:val="24"/>
                </w:rPr>
                <w:t>Larisa.vaysman@duke-energy.com</w:t>
              </w:r>
            </w:hyperlink>
          </w:p>
          <w:p w:rsidR="00B438EA" w:rsidRPr="00E61247" w:rsidP="00DE40A6" w14:paraId="656FAA4D" w14:textId="77777777">
            <w:pPr>
              <w:ind w:left="400"/>
              <w:rPr>
                <w:rStyle w:val="Hyperlink"/>
                <w:szCs w:val="24"/>
              </w:rPr>
            </w:pPr>
            <w:hyperlink r:id="rId25" w:history="1">
              <w:r w:rsidRPr="00E61247" w:rsidR="00DC1207">
                <w:rPr>
                  <w:rStyle w:val="Hyperlink"/>
                  <w:szCs w:val="24"/>
                </w:rPr>
                <w:t>kmcmurray@fbtlaw.com</w:t>
              </w:r>
            </w:hyperlink>
          </w:p>
          <w:p w:rsidR="00B438EA" w:rsidRPr="00E61247" w:rsidP="00DE40A6" w14:paraId="07E53E04" w14:textId="77777777">
            <w:pPr>
              <w:ind w:left="400"/>
              <w:rPr>
                <w:rStyle w:val="Hyperlink"/>
                <w:szCs w:val="24"/>
              </w:rPr>
            </w:pPr>
            <w:hyperlink r:id="rId26" w:history="1">
              <w:r w:rsidRPr="00E61247" w:rsidR="00DC1207">
                <w:rPr>
                  <w:rStyle w:val="Hyperlink"/>
                  <w:szCs w:val="24"/>
                </w:rPr>
                <w:t>Paul@carpenterlipps.com</w:t>
              </w:r>
            </w:hyperlink>
          </w:p>
          <w:p w:rsidR="00B438EA" w:rsidP="00DE40A6" w14:paraId="0088E477" w14:textId="12E704C7">
            <w:pPr>
              <w:ind w:left="400"/>
              <w:rPr>
                <w:rStyle w:val="Hyperlink"/>
                <w:szCs w:val="24"/>
              </w:rPr>
            </w:pPr>
            <w:hyperlink r:id="rId27" w:history="1">
              <w:r w:rsidRPr="00E61247" w:rsidR="00DC1207">
                <w:rPr>
                  <w:rStyle w:val="Hyperlink"/>
                  <w:szCs w:val="24"/>
                </w:rPr>
                <w:t>bojko@carpenterlipps.com</w:t>
              </w:r>
            </w:hyperlink>
          </w:p>
          <w:p w:rsidR="00D1611D" w:rsidP="00DE40A6" w14:paraId="43AF1425" w14:textId="2FED936E">
            <w:pPr>
              <w:ind w:left="400"/>
              <w:rPr>
                <w:rStyle w:val="Hyperlink"/>
                <w:szCs w:val="24"/>
              </w:rPr>
            </w:pPr>
            <w:hyperlink r:id="rId28" w:history="1">
              <w:r w:rsidRPr="002A4414" w:rsidR="00AF1D8E">
                <w:rPr>
                  <w:rStyle w:val="Hyperlink"/>
                  <w:szCs w:val="24"/>
                </w:rPr>
                <w:t>michael.nugent@igs.com</w:t>
              </w:r>
            </w:hyperlink>
          </w:p>
          <w:p w:rsidR="00D1611D" w:rsidP="00DE40A6" w14:paraId="59DFF0F3" w14:textId="6CEA60BF">
            <w:pPr>
              <w:ind w:left="400"/>
              <w:rPr>
                <w:rStyle w:val="Hyperlink"/>
                <w:szCs w:val="24"/>
              </w:rPr>
            </w:pPr>
            <w:hyperlink r:id="rId29" w:history="1">
              <w:r w:rsidRPr="002A4414" w:rsidR="00AF1D8E">
                <w:rPr>
                  <w:rStyle w:val="Hyperlink"/>
                  <w:szCs w:val="24"/>
                </w:rPr>
                <w:t>bethany.allen@igs.com</w:t>
              </w:r>
            </w:hyperlink>
          </w:p>
          <w:p w:rsidR="00D1611D" w:rsidP="00DE40A6" w14:paraId="239D33DF" w14:textId="6E3A3509">
            <w:pPr>
              <w:ind w:left="400"/>
              <w:rPr>
                <w:rStyle w:val="Hyperlink"/>
                <w:szCs w:val="24"/>
              </w:rPr>
            </w:pPr>
            <w:hyperlink r:id="rId30" w:history="1">
              <w:r w:rsidRPr="002A4414" w:rsidR="00AF1D8E">
                <w:rPr>
                  <w:rStyle w:val="Hyperlink"/>
                  <w:szCs w:val="24"/>
                </w:rPr>
                <w:t>evan.betterton@igs.com</w:t>
              </w:r>
            </w:hyperlink>
          </w:p>
          <w:p w:rsidR="00D1611D" w:rsidRPr="00E61247" w:rsidP="00DE40A6" w14:paraId="7CDC4BA8" w14:textId="77777777">
            <w:pPr>
              <w:ind w:left="400"/>
              <w:rPr>
                <w:rStyle w:val="Hyperlink"/>
                <w:szCs w:val="24"/>
              </w:rPr>
            </w:pPr>
          </w:p>
          <w:p w:rsidR="00B438EA" w:rsidRPr="00E61247" w:rsidP="00DE40A6" w14:paraId="1EB167DF" w14:textId="77777777">
            <w:pPr>
              <w:rPr>
                <w:rStyle w:val="Hyperlink"/>
                <w:szCs w:val="24"/>
              </w:rPr>
            </w:pPr>
          </w:p>
          <w:p w:rsidR="00B438EA" w:rsidRPr="00E61247" w:rsidP="00DE40A6" w14:paraId="16EAAA29" w14:textId="77777777">
            <w:pPr>
              <w:rPr>
                <w:rStyle w:val="Hyperlink"/>
                <w:szCs w:val="24"/>
              </w:rPr>
            </w:pPr>
          </w:p>
        </w:tc>
      </w:tr>
      <w:tr w14:paraId="73475724" w14:textId="77777777" w:rsidTr="00DE40A6">
        <w:tblPrEx>
          <w:tblW w:w="0" w:type="auto"/>
          <w:tblLook w:val="04A0"/>
        </w:tblPrEx>
        <w:tc>
          <w:tcPr>
            <w:tcW w:w="4529" w:type="dxa"/>
          </w:tcPr>
          <w:p w:rsidR="00D1611D" w:rsidP="00DE40A6" w14:paraId="675704E9" w14:textId="77777777"/>
        </w:tc>
        <w:tc>
          <w:tcPr>
            <w:tcW w:w="4111" w:type="dxa"/>
          </w:tcPr>
          <w:p w:rsidR="00D1611D" w:rsidP="00DE40A6" w14:paraId="10644F6A" w14:textId="77777777">
            <w:pPr>
              <w:ind w:left="400"/>
            </w:pPr>
          </w:p>
        </w:tc>
      </w:tr>
      <w:bookmarkEnd w:id="0"/>
    </w:tbl>
    <w:p w:rsidR="00F658D3" w:rsidRPr="00E61247" w:rsidP="00B438EA" w14:paraId="52645D7F" w14:textId="77777777">
      <w:pPr>
        <w:pStyle w:val="CommentText"/>
        <w:jc w:val="center"/>
        <w:rPr>
          <w:b/>
          <w:bCs/>
          <w:sz w:val="24"/>
          <w:szCs w:val="24"/>
          <w:u w:val="single"/>
        </w:rPr>
      </w:pPr>
    </w:p>
    <w:sectPr w:rsidSect="003546B3">
      <w:footerReference w:type="default" r:id="rI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5532370"/>
      <w:docPartObj>
        <w:docPartGallery w:val="Page Numbers (Bottom of Page)"/>
        <w:docPartUnique/>
      </w:docPartObj>
    </w:sdtPr>
    <w:sdtEndPr>
      <w:rPr>
        <w:rFonts w:ascii="Times New Roman" w:hAnsi="Times New Roman" w:cs="Times New Roman"/>
        <w:noProof/>
      </w:rPr>
    </w:sdtEndPr>
    <w:sdtContent>
      <w:p w:rsidR="00E47042" w:rsidRPr="00E47042" w14:paraId="74165494" w14:textId="5B63AFF8">
        <w:pPr>
          <w:pStyle w:val="Footer"/>
          <w:jc w:val="center"/>
          <w:rPr>
            <w:rFonts w:ascii="Times New Roman" w:hAnsi="Times New Roman" w:cs="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2247794"/>
      <w:docPartObj>
        <w:docPartGallery w:val="Page Numbers (Bottom of Page)"/>
        <w:docPartUnique/>
      </w:docPartObj>
    </w:sdtPr>
    <w:sdtEndPr>
      <w:rPr>
        <w:rFonts w:ascii="Times New Roman" w:hAnsi="Times New Roman" w:cs="Times New Roman"/>
        <w:noProof/>
      </w:rPr>
    </w:sdtEndPr>
    <w:sdtContent>
      <w:p w:rsidR="00B10EF6" w:rsidRPr="00B10EF6" w14:paraId="1DC6BA90" w14:textId="6FA4BC76">
        <w:pPr>
          <w:pStyle w:val="Footer"/>
          <w:jc w:val="center"/>
          <w:rPr>
            <w:rFonts w:ascii="Times New Roman" w:hAnsi="Times New Roman" w:cs="Times New Roman"/>
          </w:rPr>
        </w:pPr>
        <w:r w:rsidRPr="00B10EF6">
          <w:rPr>
            <w:rFonts w:ascii="Times New Roman" w:hAnsi="Times New Roman" w:cs="Times New Roman"/>
          </w:rPr>
          <w:fldChar w:fldCharType="begin"/>
        </w:r>
        <w:r w:rsidRPr="00B10EF6">
          <w:rPr>
            <w:rFonts w:ascii="Times New Roman" w:hAnsi="Times New Roman" w:cs="Times New Roman"/>
          </w:rPr>
          <w:instrText xml:space="preserve"> PAGE   \* MERGEFORMAT </w:instrText>
        </w:r>
        <w:r w:rsidRPr="00B10EF6">
          <w:rPr>
            <w:rFonts w:ascii="Times New Roman" w:hAnsi="Times New Roman" w:cs="Times New Roman"/>
          </w:rPr>
          <w:fldChar w:fldCharType="separate"/>
        </w:r>
        <w:r w:rsidRPr="00B10EF6">
          <w:rPr>
            <w:rFonts w:ascii="Times New Roman" w:hAnsi="Times New Roman" w:cs="Times New Roman"/>
            <w:noProof/>
          </w:rPr>
          <w:t>2</w:t>
        </w:r>
        <w:r w:rsidRPr="00B10EF6">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3546B3" w:rsidRPr="001A5EC2" w14:paraId="51059E7A"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Pr>
            <w:rFonts w:ascii="Times New Roman" w:hAnsi="Times New Roman" w:cs="Times New Roman"/>
            <w:noProof/>
          </w:rPr>
          <w:t>25</w:t>
        </w:r>
        <w:r w:rsidRPr="001A5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3034" w14:paraId="7CCD0C78" w14:textId="77777777">
      <w:r>
        <w:separator/>
      </w:r>
    </w:p>
  </w:footnote>
  <w:footnote w:type="continuationSeparator" w:id="1">
    <w:p w:rsidR="00493034" w14:paraId="60F0A5C9" w14:textId="77777777">
      <w:r>
        <w:continuationSeparator/>
      </w:r>
    </w:p>
  </w:footnote>
  <w:footnote w:id="2">
    <w:p w:rsidR="004312EF" w:rsidP="00E47042" w14:paraId="03770A33" w14:textId="29FAFCD4">
      <w:pPr>
        <w:pStyle w:val="FootnoteText"/>
        <w:spacing w:after="120"/>
      </w:pPr>
      <w:r>
        <w:rPr>
          <w:rStyle w:val="FootnoteReference"/>
        </w:rPr>
        <w:footnoteRef/>
      </w:r>
      <w:r>
        <w:t xml:space="preserve"> Stipulation and Recommendation (Aug. 31, 2021).</w:t>
      </w:r>
    </w:p>
  </w:footnote>
  <w:footnote w:id="3">
    <w:p w:rsidR="005652AC" w:rsidP="00E47042" w14:paraId="275C7137" w14:textId="6767C4DE">
      <w:pPr>
        <w:pStyle w:val="FootnoteText"/>
        <w:spacing w:after="120"/>
      </w:pPr>
      <w:r>
        <w:rPr>
          <w:rStyle w:val="FootnoteReference"/>
        </w:rPr>
        <w:footnoteRef/>
      </w:r>
      <w:r>
        <w:t xml:space="preserve"> Motion for Leave to Intervene, Motion for Procedural Schedule, and Memorandum in Support of Interstate Gas Supply, Inc. (the “IGS Motion”)</w:t>
      </w:r>
      <w:r w:rsidR="003A2682">
        <w:t xml:space="preserve"> (</w:t>
      </w:r>
      <w:r w:rsidR="00520392">
        <w:t>Sept. 17, 2021</w:t>
      </w:r>
      <w:r w:rsidR="003A2682">
        <w:t>)</w:t>
      </w:r>
      <w:r w:rsidR="00520392">
        <w:t>.</w:t>
      </w:r>
    </w:p>
  </w:footnote>
  <w:footnote w:id="4">
    <w:p w:rsidR="00A8760A" w:rsidP="00E47042" w14:paraId="172A3A88" w14:textId="5F1BFBD7">
      <w:pPr>
        <w:pStyle w:val="FootnoteText"/>
        <w:spacing w:after="120"/>
      </w:pPr>
      <w:r>
        <w:rPr>
          <w:rStyle w:val="FootnoteReference"/>
        </w:rPr>
        <w:footnoteRef/>
      </w:r>
      <w:r>
        <w:t xml:space="preserve"> R.C. 4903.221.</w:t>
      </w:r>
    </w:p>
  </w:footnote>
  <w:footnote w:id="5">
    <w:p w:rsidR="00AB3C40" w:rsidP="00E47042" w14:paraId="0C7E95AF" w14:textId="3F43E410">
      <w:pPr>
        <w:pStyle w:val="FootnoteText"/>
        <w:spacing w:after="120"/>
      </w:pPr>
      <w:r>
        <w:rPr>
          <w:rStyle w:val="FootnoteReference"/>
        </w:rPr>
        <w:footnoteRef/>
      </w:r>
      <w:r>
        <w:t xml:space="preserve"> </w:t>
      </w:r>
      <w:r>
        <w:rPr>
          <w:i/>
          <w:iCs/>
        </w:rPr>
        <w:t>OCC v. PUCO</w:t>
      </w:r>
      <w:r>
        <w:t>, 111 Ohio St.3d 384, 388 (2006).</w:t>
      </w:r>
    </w:p>
  </w:footnote>
  <w:footnote w:id="6">
    <w:p w:rsidR="00AB3C40" w:rsidRPr="00AB3C40" w:rsidP="00E47042" w14:paraId="27C99122" w14:textId="73BD32F9">
      <w:pPr>
        <w:pStyle w:val="FootnoteText"/>
        <w:spacing w:after="120"/>
      </w:pPr>
      <w:r>
        <w:rPr>
          <w:rStyle w:val="FootnoteReference"/>
        </w:rPr>
        <w:footnoteRef/>
      </w:r>
      <w:r>
        <w:t xml:space="preserve"> </w:t>
      </w:r>
      <w:r>
        <w:rPr>
          <w:i/>
          <w:iCs/>
        </w:rPr>
        <w:t xml:space="preserve">Id. </w:t>
      </w:r>
      <w:r>
        <w:t>(emphasis added).</w:t>
      </w:r>
    </w:p>
  </w:footnote>
  <w:footnote w:id="7">
    <w:p w:rsidR="00AB3C40" w:rsidP="00E47042" w14:paraId="7789B2A0" w14:textId="45F68891">
      <w:pPr>
        <w:pStyle w:val="FootnoteText"/>
        <w:spacing w:after="120"/>
      </w:pPr>
      <w:r>
        <w:rPr>
          <w:rStyle w:val="FootnoteReference"/>
        </w:rPr>
        <w:footnoteRef/>
      </w:r>
      <w:r>
        <w:t xml:space="preserve"> R.C. 4903.221.</w:t>
      </w:r>
    </w:p>
  </w:footnote>
  <w:footnote w:id="8">
    <w:p w:rsidR="003A1850" w:rsidRPr="00520392" w:rsidP="00E47042" w14:paraId="12241342" w14:textId="3A2112D9">
      <w:pPr>
        <w:pStyle w:val="FootnoteText"/>
        <w:spacing w:after="120"/>
      </w:pPr>
      <w:r>
        <w:rPr>
          <w:rStyle w:val="FootnoteReference"/>
        </w:rPr>
        <w:footnoteRef/>
      </w:r>
      <w:r>
        <w:t xml:space="preserve"> </w:t>
      </w:r>
      <w:r>
        <w:rPr>
          <w:i/>
          <w:iCs/>
        </w:rPr>
        <w:t>See</w:t>
      </w:r>
      <w:r>
        <w:t xml:space="preserve"> </w:t>
      </w:r>
      <w:r w:rsidR="006560DB">
        <w:t xml:space="preserve">Motion for Leave to Intervene of the Retail Energy Supply Association at 7 (Sept. 29, 2021) (the “RESA Motion”) </w:t>
      </w:r>
      <w:r>
        <w:t xml:space="preserve">(“RESA had no prior reason to intervene in these proceedings because the applications for these cases and prior filings only involved issues of Duke’s MGP rider, environmental remediation costs, and the TCJA.”); RESA Motion at 5 (“Prior to August 31, 2021, the applications and filings in these 18 proceedings did not involve any supplier-related issues.”). </w:t>
      </w:r>
    </w:p>
  </w:footnote>
  <w:footnote w:id="9">
    <w:p w:rsidR="003A1850" w:rsidP="00E47042" w14:paraId="4D73732B" w14:textId="4C05A4EE">
      <w:pPr>
        <w:pStyle w:val="FootnoteText"/>
        <w:spacing w:after="120"/>
      </w:pPr>
      <w:r>
        <w:rPr>
          <w:rStyle w:val="FootnoteReference"/>
        </w:rPr>
        <w:footnoteRef/>
      </w:r>
      <w:r>
        <w:t xml:space="preserve"> Settlement at 16-18.</w:t>
      </w:r>
    </w:p>
  </w:footnote>
  <w:footnote w:id="10">
    <w:p w:rsidR="009D05DD" w:rsidP="00E47042" w14:paraId="59780998" w14:textId="77777777">
      <w:pPr>
        <w:pStyle w:val="FootnoteText"/>
        <w:spacing w:after="120"/>
      </w:pPr>
      <w:r>
        <w:rPr>
          <w:rStyle w:val="FootnoteReference"/>
        </w:rPr>
        <w:footnoteRef/>
      </w:r>
      <w:r>
        <w:t xml:space="preserve"> Settlement at 19.</w:t>
      </w:r>
    </w:p>
  </w:footnote>
  <w:footnote w:id="11">
    <w:p w:rsidR="003A1850" w:rsidP="00E47042" w14:paraId="6630EF60" w14:textId="64085E6A">
      <w:pPr>
        <w:pStyle w:val="FootnoteText"/>
        <w:spacing w:after="120"/>
      </w:pPr>
      <w:r>
        <w:rPr>
          <w:rStyle w:val="FootnoteReference"/>
        </w:rPr>
        <w:footnoteRef/>
      </w:r>
      <w:r>
        <w:t xml:space="preserve"> Settlement at 18.</w:t>
      </w:r>
    </w:p>
  </w:footnote>
  <w:footnote w:id="12">
    <w:p w:rsidR="00EF17BD" w:rsidP="00E47042" w14:paraId="40AA813A" w14:textId="1BBEA288">
      <w:pPr>
        <w:pStyle w:val="FootnoteText"/>
        <w:spacing w:after="120"/>
      </w:pPr>
      <w:r>
        <w:rPr>
          <w:rStyle w:val="FootnoteReference"/>
        </w:rPr>
        <w:footnoteRef/>
      </w:r>
      <w:r>
        <w:t xml:space="preserve"> Settlement at 16.</w:t>
      </w:r>
    </w:p>
  </w:footnote>
  <w:footnote w:id="13">
    <w:p w:rsidR="00EF17BD" w:rsidRPr="009D05DD" w:rsidP="00E47042" w14:paraId="2907CB16" w14:textId="69A16760">
      <w:pPr>
        <w:pStyle w:val="FootnoteText"/>
        <w:spacing w:after="120"/>
      </w:pPr>
      <w:r>
        <w:rPr>
          <w:rStyle w:val="FootnoteReference"/>
        </w:rPr>
        <w:footnoteRef/>
      </w:r>
      <w:r>
        <w:t xml:space="preserve"> </w:t>
      </w:r>
      <w:r>
        <w:rPr>
          <w:i/>
          <w:iCs/>
        </w:rPr>
        <w:t>In re Application of Duke Energy Ohio, Inc., for Approval of a General Exemption of Certain Natural Gas Commodity Sales Services</w:t>
      </w:r>
      <w:r>
        <w:t>, Case No. 21-903-GA-EXM.</w:t>
      </w:r>
    </w:p>
  </w:footnote>
  <w:footnote w:id="14">
    <w:p w:rsidR="00A22A5D" w:rsidP="00E47042" w14:paraId="6FB1EA62" w14:textId="3B628525">
      <w:pPr>
        <w:pStyle w:val="FootnoteText"/>
        <w:spacing w:after="120"/>
      </w:pPr>
      <w:r>
        <w:rPr>
          <w:rStyle w:val="FootnoteReference"/>
        </w:rPr>
        <w:footnoteRef/>
      </w:r>
      <w:r>
        <w:t xml:space="preserve"> O.A.C. 4901:1-10-33(C)(18).</w:t>
      </w:r>
    </w:p>
  </w:footnote>
  <w:footnote w:id="15">
    <w:p w:rsidR="004312EF" w:rsidP="00E47042" w14:paraId="1E0F5821" w14:textId="606A7814">
      <w:pPr>
        <w:pStyle w:val="FootnoteText"/>
        <w:spacing w:after="120"/>
      </w:pPr>
      <w:r>
        <w:rPr>
          <w:rStyle w:val="FootnoteReference"/>
        </w:rPr>
        <w:footnoteRef/>
      </w:r>
      <w:r>
        <w:t xml:space="preserve"> Settlement at </w:t>
      </w:r>
      <w:r w:rsidR="005073A5">
        <w:t>8-16.</w:t>
      </w:r>
    </w:p>
  </w:footnote>
  <w:footnote w:id="16">
    <w:p w:rsidR="005073A5" w:rsidRPr="005073A5" w:rsidP="00E47042" w14:paraId="1227372E" w14:textId="7ED62CEA">
      <w:pPr>
        <w:pStyle w:val="FootnoteText"/>
        <w:spacing w:after="120"/>
      </w:pPr>
      <w:r>
        <w:rPr>
          <w:rStyle w:val="FootnoteReference"/>
        </w:rPr>
        <w:footnoteRef/>
      </w:r>
      <w:r>
        <w:t xml:space="preserve"> </w:t>
      </w:r>
      <w:r>
        <w:rPr>
          <w:i/>
          <w:iCs/>
        </w:rPr>
        <w:t>Id.</w:t>
      </w:r>
      <w:r>
        <w:t xml:space="preserve"> at 10.</w:t>
      </w:r>
    </w:p>
  </w:footnote>
  <w:footnote w:id="17">
    <w:p w:rsidR="005073A5" w:rsidRPr="005073A5" w:rsidP="00E47042" w14:paraId="13941DF4" w14:textId="6A622A5F">
      <w:pPr>
        <w:pStyle w:val="FootnoteText"/>
        <w:spacing w:after="120"/>
      </w:pPr>
      <w:r>
        <w:rPr>
          <w:rStyle w:val="FootnoteReference"/>
        </w:rPr>
        <w:footnoteRef/>
      </w:r>
      <w:r>
        <w:t xml:space="preserve"> </w:t>
      </w:r>
      <w:r>
        <w:rPr>
          <w:i/>
          <w:iCs/>
        </w:rPr>
        <w:t>Id.</w:t>
      </w:r>
      <w:r>
        <w:t xml:space="preserve"> at </w:t>
      </w:r>
      <w:r w:rsidR="00F06F00">
        <w:t>13.</w:t>
      </w:r>
    </w:p>
  </w:footnote>
  <w:footnote w:id="18">
    <w:p w:rsidR="005073A5" w:rsidRPr="005073A5" w:rsidP="00E47042" w14:paraId="21249FE1" w14:textId="6CB7CFA1">
      <w:pPr>
        <w:pStyle w:val="FootnoteText"/>
        <w:spacing w:after="120"/>
      </w:pPr>
      <w:r>
        <w:rPr>
          <w:rStyle w:val="FootnoteReference"/>
        </w:rPr>
        <w:footnoteRef/>
      </w:r>
      <w:r>
        <w:t xml:space="preserve"> </w:t>
      </w:r>
      <w:r>
        <w:rPr>
          <w:i/>
          <w:iCs/>
        </w:rPr>
        <w:t>Id.</w:t>
      </w:r>
      <w:r>
        <w:t xml:space="preserve"> at 10-13.</w:t>
      </w:r>
    </w:p>
  </w:footnote>
  <w:footnote w:id="19">
    <w:p w:rsidR="005073A5" w:rsidRPr="005073A5" w:rsidP="00E47042" w14:paraId="5184EF75" w14:textId="7852E2DC">
      <w:pPr>
        <w:pStyle w:val="FootnoteText"/>
        <w:spacing w:after="120"/>
      </w:pPr>
      <w:r>
        <w:rPr>
          <w:rStyle w:val="FootnoteReference"/>
        </w:rPr>
        <w:footnoteRef/>
      </w:r>
      <w:r>
        <w:t xml:space="preserve"> </w:t>
      </w:r>
      <w:r>
        <w:rPr>
          <w:i/>
          <w:iCs/>
        </w:rPr>
        <w:t>Id.</w:t>
      </w:r>
      <w:r>
        <w:t xml:space="preserve"> at 14-16.</w:t>
      </w:r>
    </w:p>
  </w:footnote>
  <w:footnote w:id="20">
    <w:p w:rsidR="005652AC" w:rsidP="00E47042" w14:paraId="25C851F4" w14:textId="48FCCBC6">
      <w:pPr>
        <w:pStyle w:val="FootnoteText"/>
        <w:spacing w:after="120"/>
      </w:pPr>
      <w:r>
        <w:rPr>
          <w:rStyle w:val="FootnoteReference"/>
        </w:rPr>
        <w:footnoteRef/>
      </w:r>
      <w:r>
        <w:t xml:space="preserve"> IGS Motion at 7.</w:t>
      </w:r>
    </w:p>
  </w:footnote>
  <w:footnote w:id="21">
    <w:p w:rsidR="005652AC" w:rsidRPr="00180094" w:rsidP="00E47042" w14:paraId="5D91DD42" w14:textId="3D3C7931">
      <w:pPr>
        <w:pStyle w:val="FootnoteText"/>
        <w:spacing w:after="120"/>
      </w:pPr>
      <w:r>
        <w:rPr>
          <w:rStyle w:val="FootnoteReference"/>
        </w:rPr>
        <w:footnoteRef/>
      </w:r>
      <w:r>
        <w:t xml:space="preserve"> </w:t>
      </w:r>
      <w:r>
        <w:rPr>
          <w:i/>
          <w:iCs/>
        </w:rPr>
        <w:t xml:space="preserve">See, e.g., </w:t>
      </w:r>
      <w:r w:rsidR="00180094">
        <w:rPr>
          <w:i/>
          <w:iCs/>
        </w:rPr>
        <w:t>In re Fuel Adjustment Clauses for Columbus S. Power Co. &amp; Ohio Power Co.</w:t>
      </w:r>
      <w:r w:rsidR="00180094">
        <w:t>, Case No. 09-872-EL-FAC, Order on Global Settlement Stipulation (Feb. 23, 2017) (approving global settlement of 17 cases without formally consolidating all of them).</w:t>
      </w:r>
    </w:p>
  </w:footnote>
  <w:footnote w:id="22">
    <w:p w:rsidR="005652AC" w:rsidRPr="005652AC" w:rsidP="00E47042" w14:paraId="64A31B48" w14:textId="391607D7">
      <w:pPr>
        <w:pStyle w:val="FootnoteText"/>
        <w:spacing w:after="120"/>
      </w:pPr>
      <w:r>
        <w:rPr>
          <w:rStyle w:val="FootnoteReference"/>
        </w:rPr>
        <w:footnoteRef/>
      </w:r>
      <w:r>
        <w:t xml:space="preserve"> IGS Motion at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0E4453E"/>
    <w:lvl w:ilvl="0">
      <w:start w:val="1"/>
      <w:numFmt w:val="decimal"/>
      <w:lvlText w:val="%1."/>
      <w:lvlJc w:val="left"/>
      <w:pPr>
        <w:tabs>
          <w:tab w:val="num" w:pos="1800"/>
        </w:tabs>
        <w:ind w:left="1800" w:hanging="360"/>
      </w:pPr>
    </w:lvl>
  </w:abstractNum>
  <w:abstractNum w:abstractNumId="1">
    <w:nsid w:val="FFFFFF7D"/>
    <w:multiLevelType w:val="singleLevel"/>
    <w:tmpl w:val="567E7D5E"/>
    <w:lvl w:ilvl="0">
      <w:start w:val="1"/>
      <w:numFmt w:val="decimal"/>
      <w:lvlText w:val="%1."/>
      <w:lvlJc w:val="left"/>
      <w:pPr>
        <w:tabs>
          <w:tab w:val="num" w:pos="1440"/>
        </w:tabs>
        <w:ind w:left="1440" w:hanging="360"/>
      </w:pPr>
    </w:lvl>
  </w:abstractNum>
  <w:abstractNum w:abstractNumId="2">
    <w:nsid w:val="FFFFFF7E"/>
    <w:multiLevelType w:val="singleLevel"/>
    <w:tmpl w:val="76E4AB5C"/>
    <w:lvl w:ilvl="0">
      <w:start w:val="1"/>
      <w:numFmt w:val="decimal"/>
      <w:lvlText w:val="%1."/>
      <w:lvlJc w:val="left"/>
      <w:pPr>
        <w:tabs>
          <w:tab w:val="num" w:pos="1080"/>
        </w:tabs>
        <w:ind w:left="1080" w:hanging="360"/>
      </w:pPr>
    </w:lvl>
  </w:abstractNum>
  <w:abstractNum w:abstractNumId="3">
    <w:nsid w:val="FFFFFF7F"/>
    <w:multiLevelType w:val="singleLevel"/>
    <w:tmpl w:val="99F84012"/>
    <w:lvl w:ilvl="0">
      <w:start w:val="1"/>
      <w:numFmt w:val="decimal"/>
      <w:lvlText w:val="%1."/>
      <w:lvlJc w:val="left"/>
      <w:pPr>
        <w:tabs>
          <w:tab w:val="num" w:pos="720"/>
        </w:tabs>
        <w:ind w:left="720" w:hanging="360"/>
      </w:pPr>
    </w:lvl>
  </w:abstractNum>
  <w:abstractNum w:abstractNumId="4">
    <w:nsid w:val="FFFFFF80"/>
    <w:multiLevelType w:val="singleLevel"/>
    <w:tmpl w:val="6C1A91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AEA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36C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300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92FE5C"/>
    <w:lvl w:ilvl="0">
      <w:start w:val="1"/>
      <w:numFmt w:val="decimal"/>
      <w:lvlText w:val="%1."/>
      <w:lvlJc w:val="left"/>
      <w:pPr>
        <w:tabs>
          <w:tab w:val="num" w:pos="360"/>
        </w:tabs>
        <w:ind w:left="360" w:hanging="360"/>
      </w:pPr>
    </w:lvl>
  </w:abstractNum>
  <w:abstractNum w:abstractNumId="9">
    <w:nsid w:val="FFFFFF89"/>
    <w:multiLevelType w:val="singleLevel"/>
    <w:tmpl w:val="DD3CE0A8"/>
    <w:lvl w:ilvl="0">
      <w:start w:val="1"/>
      <w:numFmt w:val="bullet"/>
      <w:lvlText w:val=""/>
      <w:lvlJc w:val="left"/>
      <w:pPr>
        <w:tabs>
          <w:tab w:val="num" w:pos="360"/>
        </w:tabs>
        <w:ind w:left="360" w:hanging="360"/>
      </w:pPr>
      <w:rPr>
        <w:rFonts w:ascii="Symbol" w:hAnsi="Symbol" w:hint="default"/>
      </w:rPr>
    </w:lvl>
  </w:abstractNum>
  <w:abstractNum w:abstractNumId="10">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14401AC7"/>
    <w:multiLevelType w:val="hybridMultilevel"/>
    <w:tmpl w:val="778CA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AB8291E"/>
    <w:multiLevelType w:val="hybridMultilevel"/>
    <w:tmpl w:val="3084A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13F17E9"/>
    <w:multiLevelType w:val="hybridMultilevel"/>
    <w:tmpl w:val="828EF1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2460828"/>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6F3551"/>
    <w:multiLevelType w:val="hybridMultilevel"/>
    <w:tmpl w:val="5DA03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2F12130"/>
    <w:multiLevelType w:val="hybridMultilevel"/>
    <w:tmpl w:val="B7362CE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4CE3B51"/>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8081968"/>
    <w:multiLevelType w:val="hybridMultilevel"/>
    <w:tmpl w:val="B456D6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2">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7D0430"/>
    <w:multiLevelType w:val="hybridMultilevel"/>
    <w:tmpl w:val="B5D2C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8A01561"/>
    <w:multiLevelType w:val="hybridMultilevel"/>
    <w:tmpl w:val="ACA25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C135FC2"/>
    <w:multiLevelType w:val="hybridMultilevel"/>
    <w:tmpl w:val="BE1A5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38">
    <w:nsid w:val="72394CCA"/>
    <w:multiLevelType w:val="hybridMultilevel"/>
    <w:tmpl w:val="51B87C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D393FAB"/>
    <w:multiLevelType w:val="hybridMultilevel"/>
    <w:tmpl w:val="9B2A2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7"/>
  </w:num>
  <w:num w:numId="4">
    <w:abstractNumId w:val="14"/>
  </w:num>
  <w:num w:numId="5">
    <w:abstractNumId w:val="19"/>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28"/>
  </w:num>
  <w:num w:numId="16">
    <w:abstractNumId w:val="27"/>
  </w:num>
  <w:num w:numId="17">
    <w:abstractNumId w:val="29"/>
  </w:num>
  <w:num w:numId="18">
    <w:abstractNumId w:val="31"/>
  </w:num>
  <w:num w:numId="19">
    <w:abstractNumId w:val="13"/>
  </w:num>
  <w:num w:numId="20">
    <w:abstractNumId w:val="35"/>
  </w:num>
  <w:num w:numId="21">
    <w:abstractNumId w:val="18"/>
  </w:num>
  <w:num w:numId="22">
    <w:abstractNumId w:val="39"/>
  </w:num>
  <w:num w:numId="23">
    <w:abstractNumId w:val="10"/>
  </w:num>
  <w:num w:numId="24">
    <w:abstractNumId w:val="15"/>
  </w:num>
  <w:num w:numId="25">
    <w:abstractNumId w:val="12"/>
  </w:num>
  <w:num w:numId="26">
    <w:abstractNumId w:val="26"/>
  </w:num>
  <w:num w:numId="27">
    <w:abstractNumId w:val="23"/>
  </w:num>
  <w:num w:numId="28">
    <w:abstractNumId w:val="22"/>
  </w:num>
  <w:num w:numId="29">
    <w:abstractNumId w:val="21"/>
  </w:num>
  <w:num w:numId="30">
    <w:abstractNumId w:val="20"/>
  </w:num>
  <w:num w:numId="31">
    <w:abstractNumId w:val="25"/>
  </w:num>
  <w:num w:numId="32">
    <w:abstractNumId w:val="38"/>
  </w:num>
  <w:num w:numId="33">
    <w:abstractNumId w:val="34"/>
  </w:num>
  <w:num w:numId="34">
    <w:abstractNumId w:val="16"/>
  </w:num>
  <w:num w:numId="35">
    <w:abstractNumId w:val="40"/>
  </w:num>
  <w:num w:numId="36">
    <w:abstractNumId w:val="17"/>
  </w:num>
  <w:num w:numId="37">
    <w:abstractNumId w:val="36"/>
  </w:num>
  <w:num w:numId="38">
    <w:abstractNumId w:val="1"/>
  </w:num>
  <w:num w:numId="39">
    <w:abstractNumId w:val="0"/>
  </w:num>
  <w:num w:numId="40">
    <w:abstractNumId w:val="3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6C2"/>
    <w:rsid w:val="00001945"/>
    <w:rsid w:val="0000257C"/>
    <w:rsid w:val="00012C98"/>
    <w:rsid w:val="00012F0C"/>
    <w:rsid w:val="00013D63"/>
    <w:rsid w:val="00020881"/>
    <w:rsid w:val="00021F0A"/>
    <w:rsid w:val="000306FC"/>
    <w:rsid w:val="000324F4"/>
    <w:rsid w:val="00036EC1"/>
    <w:rsid w:val="000373C7"/>
    <w:rsid w:val="0004187B"/>
    <w:rsid w:val="00047DF8"/>
    <w:rsid w:val="000607D2"/>
    <w:rsid w:val="00061EE9"/>
    <w:rsid w:val="00062AEE"/>
    <w:rsid w:val="00064A2D"/>
    <w:rsid w:val="0006654F"/>
    <w:rsid w:val="0007317E"/>
    <w:rsid w:val="00080317"/>
    <w:rsid w:val="000827C9"/>
    <w:rsid w:val="00084393"/>
    <w:rsid w:val="00084BBC"/>
    <w:rsid w:val="00093350"/>
    <w:rsid w:val="00095025"/>
    <w:rsid w:val="000A0F91"/>
    <w:rsid w:val="000A1544"/>
    <w:rsid w:val="000A188E"/>
    <w:rsid w:val="000A31BC"/>
    <w:rsid w:val="000A6239"/>
    <w:rsid w:val="000A7841"/>
    <w:rsid w:val="000B3258"/>
    <w:rsid w:val="000B3882"/>
    <w:rsid w:val="000B4987"/>
    <w:rsid w:val="000C4B77"/>
    <w:rsid w:val="000D1239"/>
    <w:rsid w:val="000D446B"/>
    <w:rsid w:val="000F1B7E"/>
    <w:rsid w:val="000F3A9F"/>
    <w:rsid w:val="000F4357"/>
    <w:rsid w:val="000F4D00"/>
    <w:rsid w:val="00115AF7"/>
    <w:rsid w:val="001175FF"/>
    <w:rsid w:val="00120E9A"/>
    <w:rsid w:val="00122C3D"/>
    <w:rsid w:val="001249E8"/>
    <w:rsid w:val="00130BDA"/>
    <w:rsid w:val="00144E06"/>
    <w:rsid w:val="00153E9F"/>
    <w:rsid w:val="0016093B"/>
    <w:rsid w:val="00166BDA"/>
    <w:rsid w:val="00167574"/>
    <w:rsid w:val="00167C22"/>
    <w:rsid w:val="0017390A"/>
    <w:rsid w:val="00177862"/>
    <w:rsid w:val="00180094"/>
    <w:rsid w:val="00182262"/>
    <w:rsid w:val="001842A9"/>
    <w:rsid w:val="001A1C03"/>
    <w:rsid w:val="001A2C9D"/>
    <w:rsid w:val="001A5EC2"/>
    <w:rsid w:val="001B0826"/>
    <w:rsid w:val="001B1500"/>
    <w:rsid w:val="001B157D"/>
    <w:rsid w:val="001B5114"/>
    <w:rsid w:val="001B6D86"/>
    <w:rsid w:val="001C2054"/>
    <w:rsid w:val="001D4EBF"/>
    <w:rsid w:val="001E376C"/>
    <w:rsid w:val="001E7061"/>
    <w:rsid w:val="001F19BF"/>
    <w:rsid w:val="001F547B"/>
    <w:rsid w:val="00203337"/>
    <w:rsid w:val="00207745"/>
    <w:rsid w:val="00213411"/>
    <w:rsid w:val="00222C6F"/>
    <w:rsid w:val="00224C28"/>
    <w:rsid w:val="00230E11"/>
    <w:rsid w:val="002434AC"/>
    <w:rsid w:val="00245811"/>
    <w:rsid w:val="00246C3B"/>
    <w:rsid w:val="00251124"/>
    <w:rsid w:val="00252427"/>
    <w:rsid w:val="0025648E"/>
    <w:rsid w:val="002712B7"/>
    <w:rsid w:val="00274996"/>
    <w:rsid w:val="002804A2"/>
    <w:rsid w:val="00282DE7"/>
    <w:rsid w:val="00283A42"/>
    <w:rsid w:val="00285C3D"/>
    <w:rsid w:val="00286159"/>
    <w:rsid w:val="0029478F"/>
    <w:rsid w:val="00295460"/>
    <w:rsid w:val="00295BCE"/>
    <w:rsid w:val="002A4414"/>
    <w:rsid w:val="002A4671"/>
    <w:rsid w:val="002A75D0"/>
    <w:rsid w:val="002B395A"/>
    <w:rsid w:val="002B460B"/>
    <w:rsid w:val="002B63C4"/>
    <w:rsid w:val="002C0A59"/>
    <w:rsid w:val="002C4CAB"/>
    <w:rsid w:val="002D2B35"/>
    <w:rsid w:val="002D318F"/>
    <w:rsid w:val="002D3207"/>
    <w:rsid w:val="002D33C0"/>
    <w:rsid w:val="002D45DE"/>
    <w:rsid w:val="002D4A61"/>
    <w:rsid w:val="002D4DD2"/>
    <w:rsid w:val="002D4E47"/>
    <w:rsid w:val="002D6AC1"/>
    <w:rsid w:val="002D756F"/>
    <w:rsid w:val="002E269B"/>
    <w:rsid w:val="002E6338"/>
    <w:rsid w:val="002F1BB2"/>
    <w:rsid w:val="002F24E6"/>
    <w:rsid w:val="002F7485"/>
    <w:rsid w:val="00300B65"/>
    <w:rsid w:val="00301169"/>
    <w:rsid w:val="0030283E"/>
    <w:rsid w:val="00303291"/>
    <w:rsid w:val="00306181"/>
    <w:rsid w:val="003131A4"/>
    <w:rsid w:val="003136C4"/>
    <w:rsid w:val="0031558D"/>
    <w:rsid w:val="0031575C"/>
    <w:rsid w:val="00316F14"/>
    <w:rsid w:val="0032098F"/>
    <w:rsid w:val="003237BA"/>
    <w:rsid w:val="00324BD3"/>
    <w:rsid w:val="00332743"/>
    <w:rsid w:val="0033620E"/>
    <w:rsid w:val="00347C24"/>
    <w:rsid w:val="00353E1B"/>
    <w:rsid w:val="00353FB7"/>
    <w:rsid w:val="003546B3"/>
    <w:rsid w:val="00355577"/>
    <w:rsid w:val="00357613"/>
    <w:rsid w:val="0036196F"/>
    <w:rsid w:val="00363F20"/>
    <w:rsid w:val="00365A81"/>
    <w:rsid w:val="0037114A"/>
    <w:rsid w:val="00371421"/>
    <w:rsid w:val="00371ABA"/>
    <w:rsid w:val="00382620"/>
    <w:rsid w:val="0039135F"/>
    <w:rsid w:val="0039519A"/>
    <w:rsid w:val="00397187"/>
    <w:rsid w:val="003A067C"/>
    <w:rsid w:val="003A1850"/>
    <w:rsid w:val="003A2682"/>
    <w:rsid w:val="003B0748"/>
    <w:rsid w:val="003B182E"/>
    <w:rsid w:val="003B2206"/>
    <w:rsid w:val="003C0369"/>
    <w:rsid w:val="003C263B"/>
    <w:rsid w:val="003D3CFE"/>
    <w:rsid w:val="003D7430"/>
    <w:rsid w:val="003D7F18"/>
    <w:rsid w:val="003E1739"/>
    <w:rsid w:val="003E4F5B"/>
    <w:rsid w:val="003E66C0"/>
    <w:rsid w:val="003E7620"/>
    <w:rsid w:val="003F3477"/>
    <w:rsid w:val="003F5FD4"/>
    <w:rsid w:val="003F653A"/>
    <w:rsid w:val="003F7FDE"/>
    <w:rsid w:val="00405B2F"/>
    <w:rsid w:val="00412682"/>
    <w:rsid w:val="00414C96"/>
    <w:rsid w:val="004217B2"/>
    <w:rsid w:val="004312EF"/>
    <w:rsid w:val="00431597"/>
    <w:rsid w:val="00434A54"/>
    <w:rsid w:val="00436A72"/>
    <w:rsid w:val="00436D80"/>
    <w:rsid w:val="00437C97"/>
    <w:rsid w:val="00444BD1"/>
    <w:rsid w:val="004451BD"/>
    <w:rsid w:val="004517BB"/>
    <w:rsid w:val="0045505C"/>
    <w:rsid w:val="00457DA1"/>
    <w:rsid w:val="004608D8"/>
    <w:rsid w:val="004610D3"/>
    <w:rsid w:val="00463EDD"/>
    <w:rsid w:val="00464766"/>
    <w:rsid w:val="00467D07"/>
    <w:rsid w:val="0047000B"/>
    <w:rsid w:val="00470945"/>
    <w:rsid w:val="00477293"/>
    <w:rsid w:val="004776F7"/>
    <w:rsid w:val="0048051E"/>
    <w:rsid w:val="00486434"/>
    <w:rsid w:val="00486ED3"/>
    <w:rsid w:val="004901EC"/>
    <w:rsid w:val="00493034"/>
    <w:rsid w:val="0049449A"/>
    <w:rsid w:val="00495EE0"/>
    <w:rsid w:val="0049633E"/>
    <w:rsid w:val="00496D6A"/>
    <w:rsid w:val="004977A8"/>
    <w:rsid w:val="004A54B8"/>
    <w:rsid w:val="004A70F8"/>
    <w:rsid w:val="004A71CC"/>
    <w:rsid w:val="004B2413"/>
    <w:rsid w:val="004B68FA"/>
    <w:rsid w:val="004C1953"/>
    <w:rsid w:val="004C3701"/>
    <w:rsid w:val="004D0398"/>
    <w:rsid w:val="004D283E"/>
    <w:rsid w:val="004D302D"/>
    <w:rsid w:val="004D3225"/>
    <w:rsid w:val="004D32F6"/>
    <w:rsid w:val="004D3C13"/>
    <w:rsid w:val="004E0DF9"/>
    <w:rsid w:val="004E4181"/>
    <w:rsid w:val="004E5D43"/>
    <w:rsid w:val="004E61CF"/>
    <w:rsid w:val="004E7851"/>
    <w:rsid w:val="004F3A9B"/>
    <w:rsid w:val="005027FB"/>
    <w:rsid w:val="005028AA"/>
    <w:rsid w:val="00504987"/>
    <w:rsid w:val="00505418"/>
    <w:rsid w:val="005056E8"/>
    <w:rsid w:val="00506AE7"/>
    <w:rsid w:val="005073A5"/>
    <w:rsid w:val="00510499"/>
    <w:rsid w:val="00510E24"/>
    <w:rsid w:val="00514BC8"/>
    <w:rsid w:val="005161E1"/>
    <w:rsid w:val="00517314"/>
    <w:rsid w:val="00520392"/>
    <w:rsid w:val="005216DF"/>
    <w:rsid w:val="0052274B"/>
    <w:rsid w:val="00524F71"/>
    <w:rsid w:val="00525931"/>
    <w:rsid w:val="0052620E"/>
    <w:rsid w:val="00534F9D"/>
    <w:rsid w:val="00536B61"/>
    <w:rsid w:val="00544AEA"/>
    <w:rsid w:val="00550FC5"/>
    <w:rsid w:val="00554787"/>
    <w:rsid w:val="005645D0"/>
    <w:rsid w:val="005646B0"/>
    <w:rsid w:val="00564914"/>
    <w:rsid w:val="005652AC"/>
    <w:rsid w:val="00565398"/>
    <w:rsid w:val="00565ACF"/>
    <w:rsid w:val="005660CE"/>
    <w:rsid w:val="00566AA9"/>
    <w:rsid w:val="00567800"/>
    <w:rsid w:val="0057242C"/>
    <w:rsid w:val="00575E61"/>
    <w:rsid w:val="005801BC"/>
    <w:rsid w:val="00580713"/>
    <w:rsid w:val="0058129A"/>
    <w:rsid w:val="00582F6F"/>
    <w:rsid w:val="00590F01"/>
    <w:rsid w:val="00592506"/>
    <w:rsid w:val="0059331C"/>
    <w:rsid w:val="00595F10"/>
    <w:rsid w:val="005A1347"/>
    <w:rsid w:val="005A4754"/>
    <w:rsid w:val="005A4C5A"/>
    <w:rsid w:val="005B0E27"/>
    <w:rsid w:val="005B14C6"/>
    <w:rsid w:val="005B2903"/>
    <w:rsid w:val="005B4E31"/>
    <w:rsid w:val="005B6A16"/>
    <w:rsid w:val="005C1F33"/>
    <w:rsid w:val="005C3632"/>
    <w:rsid w:val="005C5FD2"/>
    <w:rsid w:val="005C6566"/>
    <w:rsid w:val="005D226A"/>
    <w:rsid w:val="005D357C"/>
    <w:rsid w:val="005D373E"/>
    <w:rsid w:val="005D45BD"/>
    <w:rsid w:val="005E0828"/>
    <w:rsid w:val="005E1C2D"/>
    <w:rsid w:val="005E4B02"/>
    <w:rsid w:val="005F0417"/>
    <w:rsid w:val="005F04FF"/>
    <w:rsid w:val="005F166A"/>
    <w:rsid w:val="005F27FE"/>
    <w:rsid w:val="005F3473"/>
    <w:rsid w:val="005F4C34"/>
    <w:rsid w:val="005F7A3C"/>
    <w:rsid w:val="00603E89"/>
    <w:rsid w:val="006041A0"/>
    <w:rsid w:val="0060669B"/>
    <w:rsid w:val="00606FB6"/>
    <w:rsid w:val="006153A7"/>
    <w:rsid w:val="00620787"/>
    <w:rsid w:val="00620B47"/>
    <w:rsid w:val="00624073"/>
    <w:rsid w:val="006240C9"/>
    <w:rsid w:val="0062413D"/>
    <w:rsid w:val="00626254"/>
    <w:rsid w:val="00627C88"/>
    <w:rsid w:val="00630C66"/>
    <w:rsid w:val="00634D75"/>
    <w:rsid w:val="00641252"/>
    <w:rsid w:val="00641E6B"/>
    <w:rsid w:val="00645E24"/>
    <w:rsid w:val="00647DC1"/>
    <w:rsid w:val="00655EB2"/>
    <w:rsid w:val="006560DB"/>
    <w:rsid w:val="0066707F"/>
    <w:rsid w:val="00675B1D"/>
    <w:rsid w:val="006801F6"/>
    <w:rsid w:val="00691128"/>
    <w:rsid w:val="0069276D"/>
    <w:rsid w:val="00693A0E"/>
    <w:rsid w:val="00695B12"/>
    <w:rsid w:val="00696C58"/>
    <w:rsid w:val="00696C93"/>
    <w:rsid w:val="006A29C2"/>
    <w:rsid w:val="006A7A1C"/>
    <w:rsid w:val="006B1333"/>
    <w:rsid w:val="006B2321"/>
    <w:rsid w:val="006B4573"/>
    <w:rsid w:val="006B5130"/>
    <w:rsid w:val="006B7CBD"/>
    <w:rsid w:val="006C2011"/>
    <w:rsid w:val="006C714F"/>
    <w:rsid w:val="006D1513"/>
    <w:rsid w:val="006E0657"/>
    <w:rsid w:val="006E6BD2"/>
    <w:rsid w:val="006F1B32"/>
    <w:rsid w:val="006F1F4F"/>
    <w:rsid w:val="00701C59"/>
    <w:rsid w:val="007049AE"/>
    <w:rsid w:val="00710E80"/>
    <w:rsid w:val="00711832"/>
    <w:rsid w:val="00712AC1"/>
    <w:rsid w:val="0071455E"/>
    <w:rsid w:val="0072030A"/>
    <w:rsid w:val="007207E3"/>
    <w:rsid w:val="0072462D"/>
    <w:rsid w:val="007358FF"/>
    <w:rsid w:val="00740795"/>
    <w:rsid w:val="00742263"/>
    <w:rsid w:val="007423B0"/>
    <w:rsid w:val="00746BEB"/>
    <w:rsid w:val="00747411"/>
    <w:rsid w:val="00754539"/>
    <w:rsid w:val="00757C3D"/>
    <w:rsid w:val="007612FB"/>
    <w:rsid w:val="00761A50"/>
    <w:rsid w:val="0077409F"/>
    <w:rsid w:val="007750BB"/>
    <w:rsid w:val="00775C67"/>
    <w:rsid w:val="0077698F"/>
    <w:rsid w:val="00787021"/>
    <w:rsid w:val="00796AD7"/>
    <w:rsid w:val="007A2091"/>
    <w:rsid w:val="007A324B"/>
    <w:rsid w:val="007B4CAB"/>
    <w:rsid w:val="007C1628"/>
    <w:rsid w:val="007C1CB6"/>
    <w:rsid w:val="007C2E95"/>
    <w:rsid w:val="007C4EFC"/>
    <w:rsid w:val="007D3013"/>
    <w:rsid w:val="007D3031"/>
    <w:rsid w:val="007D48E0"/>
    <w:rsid w:val="007E2B94"/>
    <w:rsid w:val="007F7B8B"/>
    <w:rsid w:val="0080436F"/>
    <w:rsid w:val="00806F14"/>
    <w:rsid w:val="00806F3D"/>
    <w:rsid w:val="00812885"/>
    <w:rsid w:val="0081464E"/>
    <w:rsid w:val="00814E2F"/>
    <w:rsid w:val="00820C38"/>
    <w:rsid w:val="008259E7"/>
    <w:rsid w:val="00833986"/>
    <w:rsid w:val="008408C2"/>
    <w:rsid w:val="008431F5"/>
    <w:rsid w:val="00853CF4"/>
    <w:rsid w:val="0085640D"/>
    <w:rsid w:val="00860401"/>
    <w:rsid w:val="00866D6C"/>
    <w:rsid w:val="0087395F"/>
    <w:rsid w:val="0088263C"/>
    <w:rsid w:val="008A51A9"/>
    <w:rsid w:val="008C046D"/>
    <w:rsid w:val="008C3B94"/>
    <w:rsid w:val="008C58D7"/>
    <w:rsid w:val="008D30B3"/>
    <w:rsid w:val="008D456B"/>
    <w:rsid w:val="008D480F"/>
    <w:rsid w:val="008D4F51"/>
    <w:rsid w:val="008D6C9C"/>
    <w:rsid w:val="008E6DC2"/>
    <w:rsid w:val="008F4D5A"/>
    <w:rsid w:val="009038BE"/>
    <w:rsid w:val="00903C28"/>
    <w:rsid w:val="009040D9"/>
    <w:rsid w:val="009048CA"/>
    <w:rsid w:val="00904F86"/>
    <w:rsid w:val="00912DB0"/>
    <w:rsid w:val="0091574D"/>
    <w:rsid w:val="00925AC1"/>
    <w:rsid w:val="009275F1"/>
    <w:rsid w:val="00936074"/>
    <w:rsid w:val="00937191"/>
    <w:rsid w:val="00944073"/>
    <w:rsid w:val="00956472"/>
    <w:rsid w:val="00977719"/>
    <w:rsid w:val="009832E0"/>
    <w:rsid w:val="00984C58"/>
    <w:rsid w:val="00984ED5"/>
    <w:rsid w:val="00991A47"/>
    <w:rsid w:val="00991FD0"/>
    <w:rsid w:val="00993B71"/>
    <w:rsid w:val="009A162A"/>
    <w:rsid w:val="009B1A46"/>
    <w:rsid w:val="009B29EC"/>
    <w:rsid w:val="009C2737"/>
    <w:rsid w:val="009C5D23"/>
    <w:rsid w:val="009D05DD"/>
    <w:rsid w:val="009D1A05"/>
    <w:rsid w:val="009D5456"/>
    <w:rsid w:val="009D7F71"/>
    <w:rsid w:val="009F00FA"/>
    <w:rsid w:val="009F07DA"/>
    <w:rsid w:val="009F2853"/>
    <w:rsid w:val="009F2964"/>
    <w:rsid w:val="009F35FD"/>
    <w:rsid w:val="00A13B99"/>
    <w:rsid w:val="00A15DAF"/>
    <w:rsid w:val="00A15E60"/>
    <w:rsid w:val="00A22A5D"/>
    <w:rsid w:val="00A31D8E"/>
    <w:rsid w:val="00A36764"/>
    <w:rsid w:val="00A40934"/>
    <w:rsid w:val="00A44D32"/>
    <w:rsid w:val="00A55A7B"/>
    <w:rsid w:val="00A55C29"/>
    <w:rsid w:val="00A60F32"/>
    <w:rsid w:val="00A64295"/>
    <w:rsid w:val="00A64AD2"/>
    <w:rsid w:val="00A6769E"/>
    <w:rsid w:val="00A77C36"/>
    <w:rsid w:val="00A81C49"/>
    <w:rsid w:val="00A81C84"/>
    <w:rsid w:val="00A8760A"/>
    <w:rsid w:val="00A9019D"/>
    <w:rsid w:val="00A9216D"/>
    <w:rsid w:val="00A95549"/>
    <w:rsid w:val="00A96DB1"/>
    <w:rsid w:val="00AA040E"/>
    <w:rsid w:val="00AA399B"/>
    <w:rsid w:val="00AA5DCF"/>
    <w:rsid w:val="00AB0649"/>
    <w:rsid w:val="00AB0E59"/>
    <w:rsid w:val="00AB2921"/>
    <w:rsid w:val="00AB3C40"/>
    <w:rsid w:val="00AC19A6"/>
    <w:rsid w:val="00AC4DAA"/>
    <w:rsid w:val="00AC5380"/>
    <w:rsid w:val="00AC5B92"/>
    <w:rsid w:val="00AD3F61"/>
    <w:rsid w:val="00AD56A2"/>
    <w:rsid w:val="00AE086F"/>
    <w:rsid w:val="00AE27E6"/>
    <w:rsid w:val="00AF0F08"/>
    <w:rsid w:val="00AF1D8E"/>
    <w:rsid w:val="00AF4A2F"/>
    <w:rsid w:val="00AF6C26"/>
    <w:rsid w:val="00AF6EF8"/>
    <w:rsid w:val="00B0229D"/>
    <w:rsid w:val="00B052DA"/>
    <w:rsid w:val="00B10EF6"/>
    <w:rsid w:val="00B2471F"/>
    <w:rsid w:val="00B3028B"/>
    <w:rsid w:val="00B30D7F"/>
    <w:rsid w:val="00B3451A"/>
    <w:rsid w:val="00B362AD"/>
    <w:rsid w:val="00B37488"/>
    <w:rsid w:val="00B438EA"/>
    <w:rsid w:val="00B44DF0"/>
    <w:rsid w:val="00B533CA"/>
    <w:rsid w:val="00B5599C"/>
    <w:rsid w:val="00B619C1"/>
    <w:rsid w:val="00B64556"/>
    <w:rsid w:val="00B667DE"/>
    <w:rsid w:val="00B70844"/>
    <w:rsid w:val="00B7214D"/>
    <w:rsid w:val="00B74499"/>
    <w:rsid w:val="00B7714B"/>
    <w:rsid w:val="00B83BDD"/>
    <w:rsid w:val="00B852D2"/>
    <w:rsid w:val="00B861D5"/>
    <w:rsid w:val="00B86F58"/>
    <w:rsid w:val="00B92308"/>
    <w:rsid w:val="00BA466A"/>
    <w:rsid w:val="00BA6EC5"/>
    <w:rsid w:val="00BB212E"/>
    <w:rsid w:val="00BB7A61"/>
    <w:rsid w:val="00BC1404"/>
    <w:rsid w:val="00BD28AF"/>
    <w:rsid w:val="00BD5B63"/>
    <w:rsid w:val="00BD7660"/>
    <w:rsid w:val="00BD7BD5"/>
    <w:rsid w:val="00BE7914"/>
    <w:rsid w:val="00C02C16"/>
    <w:rsid w:val="00C04FFB"/>
    <w:rsid w:val="00C06907"/>
    <w:rsid w:val="00C13719"/>
    <w:rsid w:val="00C14528"/>
    <w:rsid w:val="00C2371A"/>
    <w:rsid w:val="00C23EAA"/>
    <w:rsid w:val="00C257C4"/>
    <w:rsid w:val="00C27A19"/>
    <w:rsid w:val="00C3373A"/>
    <w:rsid w:val="00C33F4E"/>
    <w:rsid w:val="00C362CF"/>
    <w:rsid w:val="00C36FC8"/>
    <w:rsid w:val="00C43952"/>
    <w:rsid w:val="00C6431A"/>
    <w:rsid w:val="00C66999"/>
    <w:rsid w:val="00C743FA"/>
    <w:rsid w:val="00C83EEC"/>
    <w:rsid w:val="00C84CD8"/>
    <w:rsid w:val="00C87143"/>
    <w:rsid w:val="00C95901"/>
    <w:rsid w:val="00C971FE"/>
    <w:rsid w:val="00CA04AA"/>
    <w:rsid w:val="00CB29DA"/>
    <w:rsid w:val="00CC22AB"/>
    <w:rsid w:val="00CC4AC6"/>
    <w:rsid w:val="00CC7647"/>
    <w:rsid w:val="00CD117A"/>
    <w:rsid w:val="00CF22D1"/>
    <w:rsid w:val="00D009EF"/>
    <w:rsid w:val="00D058D1"/>
    <w:rsid w:val="00D13958"/>
    <w:rsid w:val="00D1611D"/>
    <w:rsid w:val="00D16AC3"/>
    <w:rsid w:val="00D23463"/>
    <w:rsid w:val="00D23ABF"/>
    <w:rsid w:val="00D27F55"/>
    <w:rsid w:val="00D32FD4"/>
    <w:rsid w:val="00D378A0"/>
    <w:rsid w:val="00D4346D"/>
    <w:rsid w:val="00D46087"/>
    <w:rsid w:val="00D4701C"/>
    <w:rsid w:val="00D50271"/>
    <w:rsid w:val="00D557FA"/>
    <w:rsid w:val="00D63C5B"/>
    <w:rsid w:val="00D66DEB"/>
    <w:rsid w:val="00D805DF"/>
    <w:rsid w:val="00D81A64"/>
    <w:rsid w:val="00D82629"/>
    <w:rsid w:val="00D96181"/>
    <w:rsid w:val="00D965B6"/>
    <w:rsid w:val="00D968C9"/>
    <w:rsid w:val="00DA0650"/>
    <w:rsid w:val="00DA41C8"/>
    <w:rsid w:val="00DA7EBC"/>
    <w:rsid w:val="00DC09DE"/>
    <w:rsid w:val="00DC1207"/>
    <w:rsid w:val="00DC3179"/>
    <w:rsid w:val="00DD3C0D"/>
    <w:rsid w:val="00DD3C2C"/>
    <w:rsid w:val="00DD428E"/>
    <w:rsid w:val="00DD7657"/>
    <w:rsid w:val="00DE40A6"/>
    <w:rsid w:val="00DE583F"/>
    <w:rsid w:val="00DF0D70"/>
    <w:rsid w:val="00DF4B1F"/>
    <w:rsid w:val="00DF763C"/>
    <w:rsid w:val="00DF7EF9"/>
    <w:rsid w:val="00E0470E"/>
    <w:rsid w:val="00E05B2C"/>
    <w:rsid w:val="00E1100F"/>
    <w:rsid w:val="00E11521"/>
    <w:rsid w:val="00E13468"/>
    <w:rsid w:val="00E14B6F"/>
    <w:rsid w:val="00E22760"/>
    <w:rsid w:val="00E24F07"/>
    <w:rsid w:val="00E26781"/>
    <w:rsid w:val="00E31CBD"/>
    <w:rsid w:val="00E3791C"/>
    <w:rsid w:val="00E402CC"/>
    <w:rsid w:val="00E457FE"/>
    <w:rsid w:val="00E47042"/>
    <w:rsid w:val="00E514DA"/>
    <w:rsid w:val="00E61247"/>
    <w:rsid w:val="00E61B01"/>
    <w:rsid w:val="00E6552B"/>
    <w:rsid w:val="00E6586D"/>
    <w:rsid w:val="00E66A04"/>
    <w:rsid w:val="00E74594"/>
    <w:rsid w:val="00E77777"/>
    <w:rsid w:val="00E85B4A"/>
    <w:rsid w:val="00E90472"/>
    <w:rsid w:val="00E93741"/>
    <w:rsid w:val="00E97250"/>
    <w:rsid w:val="00EA01E4"/>
    <w:rsid w:val="00EA0844"/>
    <w:rsid w:val="00EA0DEF"/>
    <w:rsid w:val="00EA37EF"/>
    <w:rsid w:val="00EA49CF"/>
    <w:rsid w:val="00EB2B6A"/>
    <w:rsid w:val="00EB3F40"/>
    <w:rsid w:val="00EB7CA4"/>
    <w:rsid w:val="00EC7A57"/>
    <w:rsid w:val="00ED090C"/>
    <w:rsid w:val="00ED13D2"/>
    <w:rsid w:val="00ED454E"/>
    <w:rsid w:val="00ED52C7"/>
    <w:rsid w:val="00ED5384"/>
    <w:rsid w:val="00ED5A32"/>
    <w:rsid w:val="00EE59B0"/>
    <w:rsid w:val="00EF17BD"/>
    <w:rsid w:val="00EF553A"/>
    <w:rsid w:val="00F00C10"/>
    <w:rsid w:val="00F01BB1"/>
    <w:rsid w:val="00F05092"/>
    <w:rsid w:val="00F0538B"/>
    <w:rsid w:val="00F06F00"/>
    <w:rsid w:val="00F17357"/>
    <w:rsid w:val="00F20BE0"/>
    <w:rsid w:val="00F218F4"/>
    <w:rsid w:val="00F223D2"/>
    <w:rsid w:val="00F30ECE"/>
    <w:rsid w:val="00F337A8"/>
    <w:rsid w:val="00F37775"/>
    <w:rsid w:val="00F37EAD"/>
    <w:rsid w:val="00F4013C"/>
    <w:rsid w:val="00F42A92"/>
    <w:rsid w:val="00F42B38"/>
    <w:rsid w:val="00F43FF8"/>
    <w:rsid w:val="00F441C6"/>
    <w:rsid w:val="00F44CCC"/>
    <w:rsid w:val="00F45260"/>
    <w:rsid w:val="00F45D00"/>
    <w:rsid w:val="00F521D0"/>
    <w:rsid w:val="00F52CDF"/>
    <w:rsid w:val="00F54477"/>
    <w:rsid w:val="00F63CBA"/>
    <w:rsid w:val="00F63ECC"/>
    <w:rsid w:val="00F658D3"/>
    <w:rsid w:val="00F66B10"/>
    <w:rsid w:val="00F66BEB"/>
    <w:rsid w:val="00F73A04"/>
    <w:rsid w:val="00F8332E"/>
    <w:rsid w:val="00F83FF5"/>
    <w:rsid w:val="00F92551"/>
    <w:rsid w:val="00F92B07"/>
    <w:rsid w:val="00F9516D"/>
    <w:rsid w:val="00FA34A0"/>
    <w:rsid w:val="00FB4A0C"/>
    <w:rsid w:val="00FB5730"/>
    <w:rsid w:val="00FB7C6B"/>
    <w:rsid w:val="00FC1A18"/>
    <w:rsid w:val="00FC1BD1"/>
    <w:rsid w:val="00FC3D9B"/>
    <w:rsid w:val="00FD2D15"/>
    <w:rsid w:val="00FD506F"/>
    <w:rsid w:val="00FD7928"/>
    <w:rsid w:val="00FE0CFD"/>
    <w:rsid w:val="00FE4031"/>
    <w:rsid w:val="00FF1B8A"/>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0669B"/>
    <w:pPr>
      <w:keepNext/>
      <w:spacing w:after="24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E61CF"/>
    <w:pPr>
      <w:keepNext/>
      <w:keepLines/>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B83BDD"/>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69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4E61CF"/>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nhideWhenUsed/>
    <w:rsid w:val="004776F7"/>
    <w:rPr>
      <w:sz w:val="20"/>
    </w:rPr>
  </w:style>
  <w:style w:type="character" w:customStyle="1" w:styleId="CommentTextChar">
    <w:name w:val="Comment Text Char"/>
    <w:basedOn w:val="DefaultParagraphFont"/>
    <w:link w:val="CommentText"/>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B83BDD"/>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6801F6"/>
    <w:pPr>
      <w:tabs>
        <w:tab w:val="left" w:pos="720"/>
        <w:tab w:val="decimal" w:leader="dot" w:pos="9360"/>
      </w:tabs>
      <w:spacing w:after="120"/>
      <w:ind w:left="720" w:hanging="720"/>
      <w:jc w:val="center"/>
    </w:pPr>
    <w:rPr>
      <w:caps/>
      <w:noProof/>
    </w:rPr>
  </w:style>
  <w:style w:type="paragraph" w:styleId="TOC2">
    <w:name w:val="toc 2"/>
    <w:basedOn w:val="Normal"/>
    <w:next w:val="Normal"/>
    <w:autoRedefine/>
    <w:uiPriority w:val="39"/>
    <w:unhideWhenUsed/>
    <w:qFormat/>
    <w:rsid w:val="006801F6"/>
    <w:pPr>
      <w:tabs>
        <w:tab w:val="left" w:pos="720"/>
        <w:tab w:val="left" w:pos="1440"/>
        <w:tab w:val="decimal" w:leader="dot" w:pos="9360"/>
      </w:tabs>
      <w:spacing w:after="12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6801F6"/>
    <w:pPr>
      <w:tabs>
        <w:tab w:val="left" w:pos="720"/>
        <w:tab w:val="left" w:pos="2160"/>
        <w:tab w:val="decimal" w:leader="dot" w:pos="9360"/>
      </w:tabs>
      <w:spacing w:after="12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 w:type="character" w:customStyle="1" w:styleId="UnresolvedMention3">
    <w:name w:val="Unresolved Mention3"/>
    <w:basedOn w:val="DefaultParagraphFont"/>
    <w:uiPriority w:val="99"/>
    <w:rsid w:val="00D16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erner.margard@ohioAGO.gov" TargetMode="External" /><Relationship Id="rId12" Type="http://schemas.openxmlformats.org/officeDocument/2006/relationships/hyperlink" Target="mailto:Robert.eubanks@ohioAGO.gov" TargetMode="External" /><Relationship Id="rId13" Type="http://schemas.openxmlformats.org/officeDocument/2006/relationships/hyperlink" Target="mailto:Jodi.bair@ohioAGO.gov" TargetMode="External" /><Relationship Id="rId14" Type="http://schemas.openxmlformats.org/officeDocument/2006/relationships/hyperlink" Target="mailto:Kyle.kern@ohioAGO.gov" TargetMode="External" /><Relationship Id="rId15" Type="http://schemas.openxmlformats.org/officeDocument/2006/relationships/hyperlink" Target="mailto:John.jones@ohioAGO.gov" TargetMode="External" /><Relationship Id="rId16" Type="http://schemas.openxmlformats.org/officeDocument/2006/relationships/hyperlink" Target="mailto:dboehm@BKLlawfirm.com" TargetMode="External" /><Relationship Id="rId17" Type="http://schemas.openxmlformats.org/officeDocument/2006/relationships/hyperlink" Target="mailto:mkurtz@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Megan.addison@puco.ohio.gov" TargetMode="External" /><Relationship Id="rId2" Type="http://schemas.openxmlformats.org/officeDocument/2006/relationships/settings" Target="settings.xml" /><Relationship Id="rId20" Type="http://schemas.openxmlformats.org/officeDocument/2006/relationships/hyperlink" Target="mailto:Matthew.sandor@puco.ohio.gov" TargetMode="External" /><Relationship Id="rId21" Type="http://schemas.openxmlformats.org/officeDocument/2006/relationships/hyperlink" Target="mailto:Nicholas.walstra@puco.ohio.gov" TargetMode="External" /><Relationship Id="rId22" Type="http://schemas.openxmlformats.org/officeDocument/2006/relationships/hyperlink" Target="mailto:Rocco.dascenzo@duke-energy.com" TargetMode="External" /><Relationship Id="rId23" Type="http://schemas.openxmlformats.org/officeDocument/2006/relationships/hyperlink" Target="mailto:Jeanne.kingery@duke-energy.com" TargetMode="External" /><Relationship Id="rId24" Type="http://schemas.openxmlformats.org/officeDocument/2006/relationships/hyperlink" Target="mailto:Larisa.vaysman@duke-energy.com" TargetMode="External" /><Relationship Id="rId25" Type="http://schemas.openxmlformats.org/officeDocument/2006/relationships/hyperlink" Target="mailto:kmcmurray@fbtlaw.com" TargetMode="External" /><Relationship Id="rId26" Type="http://schemas.openxmlformats.org/officeDocument/2006/relationships/hyperlink" Target="mailto:Paul@carpenterlipps.com" TargetMode="External" /><Relationship Id="rId27" Type="http://schemas.openxmlformats.org/officeDocument/2006/relationships/hyperlink" Target="mailto:bojko@carpenterlipps.com" TargetMode="External" /><Relationship Id="rId28" Type="http://schemas.openxmlformats.org/officeDocument/2006/relationships/hyperlink" Target="mailto:michael.nugent@igs.com" TargetMode="External" /><Relationship Id="rId29" Type="http://schemas.openxmlformats.org/officeDocument/2006/relationships/hyperlink" Target="mailto:bethany.allen@igs.com" TargetMode="External" /><Relationship Id="rId3" Type="http://schemas.openxmlformats.org/officeDocument/2006/relationships/webSettings" Target="webSettings.xml" /><Relationship Id="rId30" Type="http://schemas.openxmlformats.org/officeDocument/2006/relationships/hyperlink" Target="mailto:evan.betterton@igs.com" TargetMode="External" /><Relationship Id="rId31" Type="http://schemas.openxmlformats.org/officeDocument/2006/relationships/footer" Target="footer3.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ngela.obrien@occ.ohio.gov" TargetMode="Externa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6F9B-71F6-422A-876C-784C7A3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2021-10-04T19:51:53Z</dcterms:created>
  <dcterms:modified xsi:type="dcterms:W3CDTF">2021-10-04T19:51:53Z</dcterms:modified>
</cp:coreProperties>
</file>