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AB" w:rsidRPr="00D82183" w:rsidRDefault="00F945AB" w:rsidP="00F945AB">
      <w:pPr>
        <w:kinsoku w:val="0"/>
        <w:overflowPunct w:val="0"/>
        <w:autoSpaceDE/>
        <w:autoSpaceDN/>
        <w:adjustRightInd/>
        <w:spacing w:after="232" w:line="20" w:lineRule="exact"/>
        <w:textAlignment w:val="baseline"/>
        <w:rPr>
          <w:sz w:val="24"/>
          <w:szCs w:val="24"/>
        </w:rPr>
      </w:pPr>
      <w:bookmarkStart w:id="0" w:name="_GoBack"/>
      <w:bookmarkEnd w:id="0"/>
    </w:p>
    <w:p w:rsidR="00F945AB" w:rsidRPr="00D36406" w:rsidRDefault="00F945AB" w:rsidP="00F945AB">
      <w:pPr>
        <w:jc w:val="center"/>
        <w:rPr>
          <w:b/>
          <w:sz w:val="23"/>
          <w:szCs w:val="23"/>
        </w:rPr>
      </w:pPr>
      <w:r w:rsidRPr="00D36406">
        <w:rPr>
          <w:b/>
          <w:sz w:val="23"/>
          <w:szCs w:val="23"/>
        </w:rPr>
        <w:t>BEFORE</w:t>
      </w:r>
    </w:p>
    <w:p w:rsidR="00F945AB" w:rsidRPr="00D36406" w:rsidRDefault="00F945AB" w:rsidP="00F945AB">
      <w:pPr>
        <w:jc w:val="center"/>
        <w:rPr>
          <w:b/>
          <w:sz w:val="23"/>
          <w:szCs w:val="23"/>
        </w:rPr>
      </w:pPr>
      <w:r w:rsidRPr="00D36406">
        <w:rPr>
          <w:b/>
          <w:sz w:val="23"/>
          <w:szCs w:val="23"/>
        </w:rPr>
        <w:t>THE PUBLIC UTILITIES COMMISSION OF OHIO</w:t>
      </w:r>
    </w:p>
    <w:p w:rsidR="00F945AB" w:rsidRPr="00D36406" w:rsidRDefault="00F945AB" w:rsidP="00F945AB">
      <w:pPr>
        <w:jc w:val="center"/>
        <w:rPr>
          <w:b/>
          <w:sz w:val="23"/>
          <w:szCs w:val="23"/>
        </w:rPr>
      </w:pPr>
    </w:p>
    <w:p w:rsidR="00F945AB" w:rsidRPr="00D36406" w:rsidRDefault="00F945AB" w:rsidP="00F945AB">
      <w:pPr>
        <w:jc w:val="both"/>
        <w:rPr>
          <w:b/>
          <w:sz w:val="23"/>
          <w:szCs w:val="23"/>
        </w:rPr>
      </w:pPr>
      <w:r w:rsidRPr="00D36406">
        <w:rPr>
          <w:b/>
          <w:sz w:val="23"/>
          <w:szCs w:val="23"/>
        </w:rPr>
        <w:t xml:space="preserve">In the Matter of the Application of Ohio </w:t>
      </w:r>
      <w:r w:rsidRPr="00D36406">
        <w:rPr>
          <w:b/>
          <w:sz w:val="23"/>
          <w:szCs w:val="23"/>
        </w:rPr>
        <w:tab/>
      </w:r>
      <w:r w:rsidRPr="00D36406">
        <w:rPr>
          <w:b/>
          <w:sz w:val="23"/>
          <w:szCs w:val="23"/>
        </w:rPr>
        <w:tab/>
        <w:t>)</w:t>
      </w:r>
    </w:p>
    <w:p w:rsidR="00F945AB" w:rsidRPr="00D36406" w:rsidRDefault="00F945AB" w:rsidP="00F945AB">
      <w:pPr>
        <w:jc w:val="both"/>
        <w:rPr>
          <w:b/>
          <w:sz w:val="23"/>
          <w:szCs w:val="23"/>
        </w:rPr>
      </w:pPr>
      <w:r w:rsidRPr="00D36406">
        <w:rPr>
          <w:b/>
          <w:sz w:val="23"/>
          <w:szCs w:val="23"/>
        </w:rPr>
        <w:t>Power Company for Authority to</w:t>
      </w:r>
      <w:r w:rsidRPr="00D36406">
        <w:rPr>
          <w:b/>
          <w:sz w:val="23"/>
          <w:szCs w:val="23"/>
        </w:rPr>
        <w:tab/>
      </w:r>
      <w:r w:rsidRPr="00D36406">
        <w:rPr>
          <w:b/>
          <w:sz w:val="23"/>
          <w:szCs w:val="23"/>
        </w:rPr>
        <w:tab/>
      </w:r>
      <w:r w:rsidRPr="00D36406">
        <w:rPr>
          <w:b/>
          <w:sz w:val="23"/>
          <w:szCs w:val="23"/>
        </w:rPr>
        <w:tab/>
        <w:t>)</w:t>
      </w:r>
    </w:p>
    <w:p w:rsidR="00F945AB" w:rsidRPr="00D36406" w:rsidRDefault="00F945AB" w:rsidP="00F945AB">
      <w:pPr>
        <w:jc w:val="both"/>
        <w:rPr>
          <w:b/>
          <w:sz w:val="23"/>
          <w:szCs w:val="23"/>
        </w:rPr>
      </w:pPr>
      <w:r w:rsidRPr="00D36406">
        <w:rPr>
          <w:b/>
          <w:sz w:val="23"/>
          <w:szCs w:val="23"/>
        </w:rPr>
        <w:t>Esta</w:t>
      </w:r>
      <w:r>
        <w:rPr>
          <w:b/>
          <w:sz w:val="23"/>
          <w:szCs w:val="23"/>
        </w:rPr>
        <w:t>blish a Standard Service Offer</w:t>
      </w:r>
      <w:r w:rsidRPr="00D36406">
        <w:rPr>
          <w:b/>
          <w:sz w:val="23"/>
          <w:szCs w:val="23"/>
        </w:rPr>
        <w:tab/>
      </w:r>
      <w:r w:rsidRPr="00D36406">
        <w:rPr>
          <w:b/>
          <w:sz w:val="23"/>
          <w:szCs w:val="23"/>
        </w:rPr>
        <w:tab/>
      </w:r>
      <w:r>
        <w:rPr>
          <w:b/>
          <w:sz w:val="23"/>
          <w:szCs w:val="23"/>
        </w:rPr>
        <w:tab/>
        <w:t>)</w:t>
      </w:r>
      <w:r>
        <w:rPr>
          <w:b/>
          <w:sz w:val="23"/>
          <w:szCs w:val="23"/>
        </w:rPr>
        <w:tab/>
        <w:t xml:space="preserve">Case </w:t>
      </w:r>
      <w:r w:rsidRPr="00D36406">
        <w:rPr>
          <w:b/>
          <w:sz w:val="23"/>
          <w:szCs w:val="23"/>
        </w:rPr>
        <w:t>No. 13-2385-EL-</w:t>
      </w:r>
      <w:proofErr w:type="spellStart"/>
      <w:r w:rsidRPr="00D36406">
        <w:rPr>
          <w:b/>
          <w:sz w:val="23"/>
          <w:szCs w:val="23"/>
        </w:rPr>
        <w:t>SSO</w:t>
      </w:r>
      <w:proofErr w:type="spellEnd"/>
      <w:r>
        <w:rPr>
          <w:b/>
          <w:sz w:val="23"/>
          <w:szCs w:val="23"/>
        </w:rPr>
        <w:tab/>
        <w:t xml:space="preserve"> </w:t>
      </w:r>
      <w:r w:rsidRPr="00D36406">
        <w:rPr>
          <w:b/>
          <w:sz w:val="23"/>
          <w:szCs w:val="23"/>
        </w:rPr>
        <w:t>Pursuant to § 4928.143, Ohio Rev. Code,</w:t>
      </w:r>
      <w:r w:rsidRPr="00D36406">
        <w:rPr>
          <w:b/>
          <w:sz w:val="23"/>
          <w:szCs w:val="23"/>
        </w:rPr>
        <w:tab/>
      </w:r>
      <w:r>
        <w:rPr>
          <w:b/>
          <w:sz w:val="23"/>
          <w:szCs w:val="23"/>
        </w:rPr>
        <w:tab/>
      </w:r>
      <w:r w:rsidRPr="00D36406">
        <w:rPr>
          <w:b/>
          <w:sz w:val="23"/>
          <w:szCs w:val="23"/>
        </w:rPr>
        <w:t>)</w:t>
      </w:r>
    </w:p>
    <w:p w:rsidR="00F945AB" w:rsidRPr="00D36406" w:rsidRDefault="00F945AB" w:rsidP="00F945AB">
      <w:pPr>
        <w:jc w:val="both"/>
        <w:rPr>
          <w:b/>
          <w:sz w:val="23"/>
          <w:szCs w:val="23"/>
        </w:rPr>
      </w:pPr>
      <w:proofErr w:type="gramStart"/>
      <w:r w:rsidRPr="00D36406">
        <w:rPr>
          <w:b/>
          <w:sz w:val="23"/>
          <w:szCs w:val="23"/>
        </w:rPr>
        <w:t>in</w:t>
      </w:r>
      <w:proofErr w:type="gramEnd"/>
      <w:r w:rsidRPr="00D36406">
        <w:rPr>
          <w:b/>
          <w:sz w:val="23"/>
          <w:szCs w:val="23"/>
        </w:rPr>
        <w:t xml:space="preserve"> the Form of an Electric Security Plan. </w:t>
      </w:r>
      <w:r w:rsidRPr="00D36406">
        <w:rPr>
          <w:b/>
          <w:sz w:val="23"/>
          <w:szCs w:val="23"/>
        </w:rPr>
        <w:tab/>
      </w:r>
      <w:r w:rsidRPr="00D36406">
        <w:rPr>
          <w:b/>
          <w:sz w:val="23"/>
          <w:szCs w:val="23"/>
        </w:rPr>
        <w:tab/>
        <w:t>)</w:t>
      </w:r>
    </w:p>
    <w:p w:rsidR="00F945AB" w:rsidRPr="00D36406" w:rsidRDefault="00F945AB" w:rsidP="00F945AB">
      <w:pPr>
        <w:jc w:val="both"/>
        <w:rPr>
          <w:b/>
          <w:sz w:val="23"/>
          <w:szCs w:val="23"/>
        </w:rPr>
      </w:pP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r>
      <w:r>
        <w:rPr>
          <w:b/>
          <w:sz w:val="23"/>
          <w:szCs w:val="23"/>
        </w:rPr>
        <w:tab/>
        <w:t>)</w:t>
      </w:r>
    </w:p>
    <w:p w:rsidR="00F945AB" w:rsidRPr="00D36406" w:rsidRDefault="00F945AB" w:rsidP="00F945AB">
      <w:pPr>
        <w:jc w:val="both"/>
        <w:rPr>
          <w:b/>
          <w:sz w:val="23"/>
          <w:szCs w:val="23"/>
        </w:rPr>
      </w:pPr>
      <w:r w:rsidRPr="00D36406">
        <w:rPr>
          <w:b/>
          <w:sz w:val="23"/>
          <w:szCs w:val="23"/>
        </w:rPr>
        <w:t xml:space="preserve">In the Matter of the Application of Ohio </w:t>
      </w:r>
      <w:r w:rsidRPr="00D36406">
        <w:rPr>
          <w:b/>
          <w:sz w:val="23"/>
          <w:szCs w:val="23"/>
        </w:rPr>
        <w:tab/>
      </w:r>
      <w:r w:rsidRPr="00D36406">
        <w:rPr>
          <w:b/>
          <w:sz w:val="23"/>
          <w:szCs w:val="23"/>
        </w:rPr>
        <w:tab/>
        <w:t>)</w:t>
      </w:r>
    </w:p>
    <w:p w:rsidR="00F945AB" w:rsidRPr="00D36406" w:rsidRDefault="00F945AB" w:rsidP="00F945AB">
      <w:pPr>
        <w:jc w:val="both"/>
        <w:rPr>
          <w:b/>
          <w:sz w:val="23"/>
          <w:szCs w:val="23"/>
        </w:rPr>
      </w:pPr>
      <w:r w:rsidRPr="00D36406">
        <w:rPr>
          <w:b/>
          <w:sz w:val="23"/>
          <w:szCs w:val="23"/>
        </w:rPr>
        <w:t xml:space="preserve">Power Company for Approval of Certain </w:t>
      </w:r>
      <w:r>
        <w:rPr>
          <w:b/>
          <w:sz w:val="23"/>
          <w:szCs w:val="23"/>
        </w:rPr>
        <w:tab/>
      </w:r>
      <w:r>
        <w:rPr>
          <w:b/>
          <w:sz w:val="23"/>
          <w:szCs w:val="23"/>
        </w:rPr>
        <w:tab/>
        <w:t>)</w:t>
      </w:r>
      <w:r>
        <w:rPr>
          <w:b/>
          <w:sz w:val="23"/>
          <w:szCs w:val="23"/>
        </w:rPr>
        <w:tab/>
      </w:r>
      <w:r w:rsidRPr="00D36406">
        <w:rPr>
          <w:b/>
          <w:sz w:val="23"/>
          <w:szCs w:val="23"/>
        </w:rPr>
        <w:t>Case No. 13-2386-EL-</w:t>
      </w:r>
      <w:proofErr w:type="spellStart"/>
      <w:r w:rsidRPr="00D36406">
        <w:rPr>
          <w:b/>
          <w:sz w:val="23"/>
          <w:szCs w:val="23"/>
        </w:rPr>
        <w:t>AAM</w:t>
      </w:r>
      <w:proofErr w:type="spellEnd"/>
      <w:r>
        <w:rPr>
          <w:b/>
          <w:sz w:val="23"/>
          <w:szCs w:val="23"/>
        </w:rPr>
        <w:tab/>
        <w:t xml:space="preserve"> </w:t>
      </w:r>
      <w:r w:rsidRPr="00D36406">
        <w:rPr>
          <w:b/>
          <w:sz w:val="23"/>
          <w:szCs w:val="23"/>
        </w:rPr>
        <w:t>Accounting Authority.</w:t>
      </w:r>
      <w:r w:rsidRPr="00D36406">
        <w:rPr>
          <w:b/>
          <w:sz w:val="23"/>
          <w:szCs w:val="23"/>
        </w:rPr>
        <w:tab/>
      </w:r>
      <w:r w:rsidRPr="00D36406">
        <w:rPr>
          <w:b/>
          <w:sz w:val="23"/>
          <w:szCs w:val="23"/>
        </w:rPr>
        <w:tab/>
      </w:r>
      <w:r w:rsidRPr="00D36406">
        <w:rPr>
          <w:b/>
          <w:sz w:val="23"/>
          <w:szCs w:val="23"/>
        </w:rPr>
        <w:tab/>
      </w:r>
      <w:r w:rsidRPr="00D36406">
        <w:rPr>
          <w:b/>
          <w:sz w:val="23"/>
          <w:szCs w:val="23"/>
        </w:rPr>
        <w:tab/>
        <w:t>)</w:t>
      </w:r>
    </w:p>
    <w:p w:rsidR="00F945AB" w:rsidRDefault="00F945AB" w:rsidP="00F945AB">
      <w:pPr>
        <w:kinsoku w:val="0"/>
        <w:overflowPunct w:val="0"/>
        <w:autoSpaceDE/>
        <w:autoSpaceDN/>
        <w:adjustRightInd/>
        <w:spacing w:line="279" w:lineRule="exact"/>
        <w:jc w:val="center"/>
        <w:textAlignment w:val="baseline"/>
        <w:rPr>
          <w:b/>
          <w:bCs/>
          <w:sz w:val="24"/>
          <w:szCs w:val="24"/>
        </w:rPr>
      </w:pPr>
    </w:p>
    <w:p w:rsidR="00F945AB" w:rsidRPr="00D82183" w:rsidRDefault="00F945AB" w:rsidP="00F945AB">
      <w:pPr>
        <w:kinsoku w:val="0"/>
        <w:overflowPunct w:val="0"/>
        <w:autoSpaceDE/>
        <w:autoSpaceDN/>
        <w:adjustRightInd/>
        <w:spacing w:line="279" w:lineRule="exact"/>
        <w:jc w:val="center"/>
        <w:textAlignment w:val="baseline"/>
        <w:rPr>
          <w:b/>
          <w:bCs/>
          <w:sz w:val="24"/>
          <w:szCs w:val="24"/>
        </w:rPr>
      </w:pPr>
      <w:proofErr w:type="gramStart"/>
      <w:r w:rsidRPr="00D82183">
        <w:rPr>
          <w:b/>
          <w:bCs/>
          <w:sz w:val="24"/>
          <w:szCs w:val="24"/>
        </w:rPr>
        <w:t>INITIAL BRIEF OF WAL-MART STORES EAST, LP</w:t>
      </w:r>
      <w:r w:rsidRPr="00D82183">
        <w:rPr>
          <w:b/>
          <w:bCs/>
          <w:sz w:val="24"/>
          <w:szCs w:val="24"/>
        </w:rPr>
        <w:br/>
        <w:t>AND SAM</w:t>
      </w:r>
      <w:r>
        <w:rPr>
          <w:b/>
          <w:bCs/>
          <w:sz w:val="24"/>
          <w:szCs w:val="24"/>
        </w:rPr>
        <w:t>'</w:t>
      </w:r>
      <w:r w:rsidRPr="00D82183">
        <w:rPr>
          <w:b/>
          <w:bCs/>
          <w:sz w:val="24"/>
          <w:szCs w:val="24"/>
        </w:rPr>
        <w:t>S EAST, INC.</w:t>
      </w:r>
      <w:proofErr w:type="gramEnd"/>
    </w:p>
    <w:p w:rsidR="00F945AB" w:rsidRDefault="00F945AB" w:rsidP="00F945AB">
      <w:pPr>
        <w:kinsoku w:val="0"/>
        <w:overflowPunct w:val="0"/>
        <w:autoSpaceDE/>
        <w:autoSpaceDN/>
        <w:adjustRightInd/>
        <w:spacing w:before="6" w:line="552" w:lineRule="exact"/>
        <w:ind w:firstLine="720"/>
        <w:jc w:val="both"/>
        <w:textAlignment w:val="baseline"/>
        <w:rPr>
          <w:spacing w:val="1"/>
          <w:sz w:val="24"/>
          <w:szCs w:val="24"/>
        </w:rPr>
      </w:pPr>
      <w:r w:rsidRPr="00D82183">
        <w:rPr>
          <w:spacing w:val="1"/>
          <w:sz w:val="24"/>
          <w:szCs w:val="24"/>
        </w:rPr>
        <w:t>Wal-Mart Stores East, LP</w:t>
      </w:r>
      <w:r w:rsidR="00017271">
        <w:rPr>
          <w:spacing w:val="1"/>
          <w:sz w:val="24"/>
          <w:szCs w:val="24"/>
        </w:rPr>
        <w:t>,</w:t>
      </w:r>
      <w:r w:rsidRPr="00D82183">
        <w:rPr>
          <w:spacing w:val="1"/>
          <w:sz w:val="24"/>
          <w:szCs w:val="24"/>
        </w:rPr>
        <w:t xml:space="preserve"> and Sam</w:t>
      </w:r>
      <w:r>
        <w:rPr>
          <w:spacing w:val="1"/>
          <w:sz w:val="24"/>
          <w:szCs w:val="24"/>
        </w:rPr>
        <w:t>'</w:t>
      </w:r>
      <w:r w:rsidRPr="00D82183">
        <w:rPr>
          <w:spacing w:val="1"/>
          <w:sz w:val="24"/>
          <w:szCs w:val="24"/>
        </w:rPr>
        <w:t xml:space="preserve">s East, Inc. (collectively, </w:t>
      </w:r>
      <w:r>
        <w:rPr>
          <w:spacing w:val="1"/>
          <w:sz w:val="24"/>
          <w:szCs w:val="24"/>
        </w:rPr>
        <w:t>"</w:t>
      </w:r>
      <w:r w:rsidRPr="00D82183">
        <w:rPr>
          <w:spacing w:val="1"/>
          <w:sz w:val="24"/>
          <w:szCs w:val="24"/>
        </w:rPr>
        <w:t>Walmart</w:t>
      </w:r>
      <w:r>
        <w:rPr>
          <w:spacing w:val="1"/>
          <w:sz w:val="24"/>
          <w:szCs w:val="24"/>
        </w:rPr>
        <w:t>"</w:t>
      </w:r>
      <w:r w:rsidRPr="00D82183">
        <w:rPr>
          <w:spacing w:val="1"/>
          <w:sz w:val="24"/>
          <w:szCs w:val="24"/>
        </w:rPr>
        <w:t xml:space="preserve">), by its attorneys, respectfully submits its post-hearing brief in the above-referenced proceeding concerning the Application of Ohio Power Company (collectively, </w:t>
      </w:r>
      <w:r>
        <w:rPr>
          <w:spacing w:val="1"/>
          <w:sz w:val="24"/>
          <w:szCs w:val="24"/>
        </w:rPr>
        <w:t>"</w:t>
      </w:r>
      <w:proofErr w:type="spellStart"/>
      <w:r w:rsidRPr="00D82183">
        <w:rPr>
          <w:spacing w:val="1"/>
          <w:sz w:val="24"/>
          <w:szCs w:val="24"/>
        </w:rPr>
        <w:t>AEP</w:t>
      </w:r>
      <w:proofErr w:type="spellEnd"/>
      <w:r w:rsidRPr="00D82183">
        <w:rPr>
          <w:spacing w:val="1"/>
          <w:sz w:val="24"/>
          <w:szCs w:val="24"/>
        </w:rPr>
        <w:t>-Ohio</w:t>
      </w:r>
      <w:r>
        <w:rPr>
          <w:spacing w:val="1"/>
          <w:sz w:val="24"/>
          <w:szCs w:val="24"/>
        </w:rPr>
        <w:t>," "</w:t>
      </w:r>
      <w:proofErr w:type="spellStart"/>
      <w:r>
        <w:rPr>
          <w:spacing w:val="1"/>
          <w:sz w:val="24"/>
          <w:szCs w:val="24"/>
        </w:rPr>
        <w:t>OPC</w:t>
      </w:r>
      <w:proofErr w:type="spellEnd"/>
      <w:r>
        <w:rPr>
          <w:spacing w:val="1"/>
          <w:sz w:val="24"/>
          <w:szCs w:val="24"/>
        </w:rPr>
        <w:t>,"</w:t>
      </w:r>
      <w:r w:rsidRPr="00D82183">
        <w:rPr>
          <w:spacing w:val="1"/>
          <w:sz w:val="24"/>
          <w:szCs w:val="24"/>
        </w:rPr>
        <w:t xml:space="preserve"> or </w:t>
      </w:r>
      <w:r>
        <w:rPr>
          <w:spacing w:val="1"/>
          <w:sz w:val="24"/>
          <w:szCs w:val="24"/>
        </w:rPr>
        <w:t>"</w:t>
      </w:r>
      <w:r w:rsidRPr="00D82183">
        <w:rPr>
          <w:spacing w:val="1"/>
          <w:sz w:val="24"/>
          <w:szCs w:val="24"/>
        </w:rPr>
        <w:t>Company</w:t>
      </w:r>
      <w:r>
        <w:rPr>
          <w:spacing w:val="1"/>
          <w:sz w:val="24"/>
          <w:szCs w:val="24"/>
        </w:rPr>
        <w:t>"</w:t>
      </w:r>
      <w:r w:rsidRPr="00D82183">
        <w:rPr>
          <w:spacing w:val="1"/>
          <w:sz w:val="24"/>
          <w:szCs w:val="24"/>
        </w:rPr>
        <w:t xml:space="preserve">) for approval </w:t>
      </w:r>
      <w:r w:rsidR="00017271">
        <w:rPr>
          <w:spacing w:val="1"/>
          <w:sz w:val="24"/>
          <w:szCs w:val="24"/>
        </w:rPr>
        <w:t>of</w:t>
      </w:r>
      <w:r w:rsidRPr="00B514B4">
        <w:rPr>
          <w:sz w:val="24"/>
          <w:szCs w:val="24"/>
        </w:rPr>
        <w:t xml:space="preserve"> a </w:t>
      </w:r>
      <w:r>
        <w:rPr>
          <w:sz w:val="24"/>
          <w:szCs w:val="24"/>
        </w:rPr>
        <w:t>S</w:t>
      </w:r>
      <w:r w:rsidRPr="00B514B4">
        <w:rPr>
          <w:sz w:val="24"/>
          <w:szCs w:val="24"/>
        </w:rPr>
        <w:t xml:space="preserve">tandard </w:t>
      </w:r>
      <w:r>
        <w:rPr>
          <w:sz w:val="24"/>
          <w:szCs w:val="24"/>
        </w:rPr>
        <w:t>S</w:t>
      </w:r>
      <w:r w:rsidRPr="00B514B4">
        <w:rPr>
          <w:sz w:val="24"/>
          <w:szCs w:val="24"/>
        </w:rPr>
        <w:t xml:space="preserve">ervice </w:t>
      </w:r>
      <w:r>
        <w:rPr>
          <w:sz w:val="24"/>
          <w:szCs w:val="24"/>
        </w:rPr>
        <w:t>O</w:t>
      </w:r>
      <w:r w:rsidRPr="00B514B4">
        <w:rPr>
          <w:sz w:val="24"/>
          <w:szCs w:val="24"/>
        </w:rPr>
        <w:t>ffer ("</w:t>
      </w:r>
      <w:proofErr w:type="spellStart"/>
      <w:r w:rsidRPr="00B514B4">
        <w:rPr>
          <w:sz w:val="24"/>
          <w:szCs w:val="24"/>
        </w:rPr>
        <w:t>SSO</w:t>
      </w:r>
      <w:proofErr w:type="spellEnd"/>
      <w:r w:rsidRPr="00B514B4">
        <w:rPr>
          <w:sz w:val="24"/>
          <w:szCs w:val="24"/>
        </w:rPr>
        <w:t>")</w:t>
      </w:r>
      <w:r>
        <w:rPr>
          <w:sz w:val="24"/>
          <w:szCs w:val="24"/>
        </w:rPr>
        <w:t xml:space="preserve"> and Electric Security Plan ("ESP")</w:t>
      </w:r>
      <w:r w:rsidRPr="00B514B4">
        <w:rPr>
          <w:spacing w:val="1"/>
          <w:sz w:val="24"/>
          <w:szCs w:val="24"/>
        </w:rPr>
        <w:t>.</w:t>
      </w:r>
      <w:r w:rsidRPr="00D82183">
        <w:rPr>
          <w:spacing w:val="1"/>
          <w:sz w:val="24"/>
          <w:szCs w:val="24"/>
        </w:rPr>
        <w:t xml:space="preserve"> Walmart </w:t>
      </w:r>
      <w:r>
        <w:rPr>
          <w:spacing w:val="1"/>
          <w:sz w:val="24"/>
          <w:szCs w:val="24"/>
        </w:rPr>
        <w:t xml:space="preserve">actively </w:t>
      </w:r>
      <w:r w:rsidRPr="00D82183">
        <w:rPr>
          <w:spacing w:val="1"/>
          <w:sz w:val="24"/>
          <w:szCs w:val="24"/>
        </w:rPr>
        <w:t>participated in this proceeding</w:t>
      </w:r>
      <w:r>
        <w:rPr>
          <w:spacing w:val="1"/>
          <w:sz w:val="24"/>
          <w:szCs w:val="24"/>
        </w:rPr>
        <w:t xml:space="preserve"> and caused to be admitted into the evidentiary record </w:t>
      </w:r>
      <w:r w:rsidRPr="00D82183">
        <w:rPr>
          <w:spacing w:val="1"/>
          <w:sz w:val="24"/>
          <w:szCs w:val="24"/>
        </w:rPr>
        <w:t xml:space="preserve">the Direct Testimony </w:t>
      </w:r>
      <w:r>
        <w:rPr>
          <w:spacing w:val="1"/>
          <w:sz w:val="24"/>
          <w:szCs w:val="24"/>
        </w:rPr>
        <w:t xml:space="preserve">and Exhibits </w:t>
      </w:r>
      <w:r w:rsidRPr="00D82183">
        <w:rPr>
          <w:spacing w:val="1"/>
          <w:sz w:val="24"/>
          <w:szCs w:val="24"/>
        </w:rPr>
        <w:t>of Steve W. Chriss, Walmart</w:t>
      </w:r>
      <w:r>
        <w:rPr>
          <w:spacing w:val="1"/>
          <w:sz w:val="24"/>
          <w:szCs w:val="24"/>
        </w:rPr>
        <w:t>'</w:t>
      </w:r>
      <w:r w:rsidRPr="00D82183">
        <w:rPr>
          <w:spacing w:val="1"/>
          <w:sz w:val="24"/>
          <w:szCs w:val="24"/>
        </w:rPr>
        <w:t xml:space="preserve">s Senior Manager, Energy Regulatory Analysis, </w:t>
      </w:r>
      <w:r>
        <w:rPr>
          <w:spacing w:val="1"/>
          <w:sz w:val="24"/>
          <w:szCs w:val="24"/>
        </w:rPr>
        <w:t>as Walmart Exhibit 1</w:t>
      </w:r>
      <w:r w:rsidRPr="00D82183">
        <w:rPr>
          <w:spacing w:val="1"/>
          <w:sz w:val="24"/>
          <w:szCs w:val="24"/>
        </w:rPr>
        <w:t>.</w:t>
      </w:r>
      <w:r>
        <w:rPr>
          <w:rStyle w:val="FootnoteReference"/>
          <w:spacing w:val="1"/>
          <w:sz w:val="24"/>
          <w:szCs w:val="24"/>
        </w:rPr>
        <w:footnoteReference w:id="1"/>
      </w:r>
      <w:r w:rsidRPr="00D82183">
        <w:rPr>
          <w:spacing w:val="1"/>
          <w:sz w:val="24"/>
          <w:szCs w:val="24"/>
        </w:rPr>
        <w:t xml:space="preserve"> </w:t>
      </w:r>
      <w:r>
        <w:rPr>
          <w:spacing w:val="1"/>
          <w:sz w:val="24"/>
          <w:szCs w:val="24"/>
        </w:rPr>
        <w:t xml:space="preserve"> </w:t>
      </w:r>
    </w:p>
    <w:p w:rsidR="00F945AB" w:rsidRPr="00D82183" w:rsidRDefault="00F945AB" w:rsidP="00F945AB">
      <w:pPr>
        <w:kinsoku w:val="0"/>
        <w:overflowPunct w:val="0"/>
        <w:autoSpaceDE/>
        <w:autoSpaceDN/>
        <w:adjustRightInd/>
        <w:spacing w:before="6" w:line="552" w:lineRule="exact"/>
        <w:ind w:firstLine="720"/>
        <w:jc w:val="both"/>
        <w:textAlignment w:val="baseline"/>
        <w:rPr>
          <w:spacing w:val="1"/>
          <w:sz w:val="24"/>
          <w:szCs w:val="24"/>
        </w:rPr>
      </w:pPr>
      <w:r>
        <w:rPr>
          <w:spacing w:val="1"/>
          <w:sz w:val="24"/>
          <w:szCs w:val="24"/>
        </w:rPr>
        <w:t xml:space="preserve">Through the testimony of Mr. Chriss, Walmart has addressed discrete issues regarding the multiple rate riders employed (and sought) by </w:t>
      </w:r>
      <w:proofErr w:type="spellStart"/>
      <w:r>
        <w:rPr>
          <w:spacing w:val="1"/>
          <w:sz w:val="24"/>
          <w:szCs w:val="24"/>
        </w:rPr>
        <w:t>AEP</w:t>
      </w:r>
      <w:proofErr w:type="spellEnd"/>
      <w:r>
        <w:rPr>
          <w:spacing w:val="1"/>
          <w:sz w:val="24"/>
          <w:szCs w:val="24"/>
        </w:rPr>
        <w:t>-Ohio and the Company's proposed Return on Equity ("ROE").  Consistent with that testimony</w:t>
      </w:r>
      <w:proofErr w:type="gramStart"/>
      <w:r>
        <w:rPr>
          <w:spacing w:val="1"/>
          <w:sz w:val="24"/>
          <w:szCs w:val="24"/>
        </w:rPr>
        <w:t xml:space="preserve">,  </w:t>
      </w:r>
      <w:r w:rsidRPr="00D82183">
        <w:rPr>
          <w:spacing w:val="1"/>
          <w:sz w:val="24"/>
          <w:szCs w:val="24"/>
        </w:rPr>
        <w:t>Walmart</w:t>
      </w:r>
      <w:proofErr w:type="gramEnd"/>
      <w:r w:rsidRPr="00D82183">
        <w:rPr>
          <w:spacing w:val="1"/>
          <w:sz w:val="24"/>
          <w:szCs w:val="24"/>
        </w:rPr>
        <w:t xml:space="preserve"> respectfully requests</w:t>
      </w:r>
      <w:r>
        <w:rPr>
          <w:spacing w:val="1"/>
          <w:sz w:val="24"/>
          <w:szCs w:val="24"/>
        </w:rPr>
        <w:t xml:space="preserve"> that</w:t>
      </w:r>
      <w:r w:rsidRPr="00D82183">
        <w:rPr>
          <w:spacing w:val="1"/>
          <w:sz w:val="24"/>
          <w:szCs w:val="24"/>
        </w:rPr>
        <w:t>:</w:t>
      </w:r>
    </w:p>
    <w:p w:rsidR="00F945AB" w:rsidRPr="00D82183" w:rsidRDefault="00F945AB" w:rsidP="00F945AB">
      <w:pPr>
        <w:numPr>
          <w:ilvl w:val="0"/>
          <w:numId w:val="1"/>
        </w:numPr>
        <w:kinsoku w:val="0"/>
        <w:overflowPunct w:val="0"/>
        <w:autoSpaceDE/>
        <w:autoSpaceDN/>
        <w:adjustRightInd/>
        <w:spacing w:before="276" w:after="120" w:line="276" w:lineRule="exact"/>
        <w:jc w:val="both"/>
        <w:textAlignment w:val="baseline"/>
        <w:rPr>
          <w:sz w:val="24"/>
          <w:szCs w:val="24"/>
        </w:rPr>
      </w:pPr>
      <w:r>
        <w:rPr>
          <w:sz w:val="24"/>
          <w:szCs w:val="24"/>
        </w:rPr>
        <w:t>T</w:t>
      </w:r>
      <w:r w:rsidRPr="00D82183">
        <w:rPr>
          <w:sz w:val="24"/>
          <w:szCs w:val="24"/>
        </w:rPr>
        <w:t xml:space="preserve">he Commission </w:t>
      </w:r>
      <w:r>
        <w:rPr>
          <w:sz w:val="24"/>
          <w:szCs w:val="24"/>
        </w:rPr>
        <w:t xml:space="preserve">require in this proceeding that </w:t>
      </w:r>
      <w:proofErr w:type="spellStart"/>
      <w:r>
        <w:rPr>
          <w:sz w:val="24"/>
          <w:szCs w:val="24"/>
        </w:rPr>
        <w:t>AEP</w:t>
      </w:r>
      <w:proofErr w:type="spellEnd"/>
      <w:r>
        <w:rPr>
          <w:sz w:val="24"/>
          <w:szCs w:val="24"/>
        </w:rPr>
        <w:t>-Ohio file a base rate case such that any resulting base rate changes would be effective on or before May 31, 2018</w:t>
      </w:r>
      <w:r w:rsidRPr="00D82183">
        <w:rPr>
          <w:sz w:val="24"/>
          <w:szCs w:val="24"/>
        </w:rPr>
        <w:t>;</w:t>
      </w:r>
      <w:r>
        <w:rPr>
          <w:sz w:val="24"/>
          <w:szCs w:val="24"/>
        </w:rPr>
        <w:t xml:space="preserve"> and,</w:t>
      </w:r>
    </w:p>
    <w:p w:rsidR="00F945AB" w:rsidRDefault="00F945AB" w:rsidP="00F945AB">
      <w:pPr>
        <w:widowControl/>
        <w:numPr>
          <w:ilvl w:val="0"/>
          <w:numId w:val="1"/>
        </w:numPr>
        <w:kinsoku w:val="0"/>
        <w:overflowPunct w:val="0"/>
        <w:autoSpaceDE/>
        <w:autoSpaceDN/>
        <w:adjustRightInd/>
        <w:spacing w:before="27" w:line="275" w:lineRule="exact"/>
        <w:jc w:val="both"/>
        <w:textAlignment w:val="baseline"/>
        <w:rPr>
          <w:sz w:val="24"/>
          <w:szCs w:val="24"/>
        </w:rPr>
        <w:sectPr w:rsidR="00F945AB" w:rsidSect="00D82183">
          <w:footerReference w:type="default" r:id="rId8"/>
          <w:pgSz w:w="12240" w:h="15840"/>
          <w:pgMar w:top="1440" w:right="1778" w:bottom="598" w:left="1784" w:header="720" w:footer="720" w:gutter="0"/>
          <w:cols w:space="720"/>
          <w:noEndnote/>
        </w:sectPr>
      </w:pPr>
      <w:r w:rsidRPr="00D25FFD">
        <w:rPr>
          <w:sz w:val="24"/>
          <w:szCs w:val="24"/>
        </w:rPr>
        <w:t xml:space="preserve">The Commission </w:t>
      </w:r>
      <w:proofErr w:type="gramStart"/>
      <w:r w:rsidRPr="00D25FFD">
        <w:rPr>
          <w:sz w:val="24"/>
          <w:szCs w:val="24"/>
        </w:rPr>
        <w:t>approve</w:t>
      </w:r>
      <w:proofErr w:type="gramEnd"/>
      <w:r w:rsidRPr="00D25FFD">
        <w:rPr>
          <w:sz w:val="24"/>
          <w:szCs w:val="24"/>
        </w:rPr>
        <w:t xml:space="preserve"> an ROE of no higher than 9.57 percent to calculate the Company's relevant revenue requirement</w:t>
      </w:r>
      <w:r>
        <w:rPr>
          <w:sz w:val="24"/>
          <w:szCs w:val="24"/>
        </w:rPr>
        <w:t xml:space="preserve"> in this case.</w:t>
      </w:r>
      <w:r w:rsidRPr="00D25FFD">
        <w:rPr>
          <w:sz w:val="24"/>
          <w:szCs w:val="24"/>
        </w:rPr>
        <w:t xml:space="preserve"> </w:t>
      </w:r>
    </w:p>
    <w:p w:rsidR="00F945AB" w:rsidRPr="00D82183" w:rsidRDefault="00F945AB" w:rsidP="00F945AB">
      <w:pPr>
        <w:widowControl/>
        <w:kinsoku w:val="0"/>
        <w:overflowPunct w:val="0"/>
        <w:autoSpaceDE/>
        <w:autoSpaceDN/>
        <w:adjustRightInd/>
        <w:spacing w:before="27" w:line="275" w:lineRule="exact"/>
        <w:textAlignment w:val="baseline"/>
        <w:rPr>
          <w:b/>
          <w:bCs/>
          <w:sz w:val="24"/>
          <w:szCs w:val="24"/>
        </w:rPr>
      </w:pPr>
      <w:r>
        <w:rPr>
          <w:b/>
          <w:bCs/>
          <w:sz w:val="24"/>
          <w:szCs w:val="24"/>
        </w:rPr>
        <w:lastRenderedPageBreak/>
        <w:t>I.</w:t>
      </w:r>
      <w:r>
        <w:rPr>
          <w:b/>
          <w:bCs/>
          <w:sz w:val="24"/>
          <w:szCs w:val="24"/>
        </w:rPr>
        <w:tab/>
      </w:r>
      <w:r w:rsidRPr="00146214">
        <w:rPr>
          <w:b/>
          <w:bCs/>
          <w:sz w:val="24"/>
          <w:szCs w:val="24"/>
          <w:u w:val="single"/>
        </w:rPr>
        <w:t>ARGUMENT</w:t>
      </w:r>
    </w:p>
    <w:p w:rsidR="00F945AB" w:rsidRDefault="00F945AB" w:rsidP="00F945AB">
      <w:pPr>
        <w:kinsoku w:val="0"/>
        <w:overflowPunct w:val="0"/>
        <w:autoSpaceDE/>
        <w:autoSpaceDN/>
        <w:adjustRightInd/>
        <w:spacing w:before="276" w:line="269" w:lineRule="exact"/>
        <w:ind w:left="720" w:hanging="720"/>
        <w:jc w:val="both"/>
        <w:textAlignment w:val="baseline"/>
        <w:rPr>
          <w:b/>
          <w:bCs/>
          <w:sz w:val="24"/>
          <w:szCs w:val="24"/>
        </w:rPr>
      </w:pPr>
      <w:r w:rsidRPr="00D82183">
        <w:rPr>
          <w:b/>
          <w:bCs/>
          <w:sz w:val="24"/>
          <w:szCs w:val="24"/>
        </w:rPr>
        <w:t xml:space="preserve">A. </w:t>
      </w:r>
      <w:r>
        <w:rPr>
          <w:b/>
          <w:bCs/>
          <w:sz w:val="24"/>
          <w:szCs w:val="24"/>
        </w:rPr>
        <w:tab/>
        <w:t xml:space="preserve">The Commission Should </w:t>
      </w:r>
      <w:proofErr w:type="gramStart"/>
      <w:r>
        <w:rPr>
          <w:b/>
          <w:bCs/>
          <w:sz w:val="24"/>
          <w:szCs w:val="24"/>
        </w:rPr>
        <w:t>Direct</w:t>
      </w:r>
      <w:proofErr w:type="gramEnd"/>
      <w:r>
        <w:rPr>
          <w:b/>
          <w:bCs/>
          <w:sz w:val="24"/>
          <w:szCs w:val="24"/>
        </w:rPr>
        <w:t xml:space="preserve"> that the Company File a Full Base Rate Case for New Base Rates to be Effective on or before May 31, 2018.</w:t>
      </w:r>
    </w:p>
    <w:p w:rsidR="00F945AB" w:rsidRDefault="00F945AB" w:rsidP="00F945AB">
      <w:pPr>
        <w:kinsoku w:val="0"/>
        <w:overflowPunct w:val="0"/>
        <w:autoSpaceDE/>
        <w:autoSpaceDN/>
        <w:adjustRightInd/>
        <w:spacing w:before="276" w:line="480" w:lineRule="auto"/>
        <w:ind w:firstLine="720"/>
        <w:jc w:val="both"/>
        <w:textAlignment w:val="baseline"/>
        <w:rPr>
          <w:bCs/>
          <w:sz w:val="24"/>
          <w:szCs w:val="24"/>
        </w:rPr>
      </w:pPr>
      <w:proofErr w:type="spellStart"/>
      <w:r>
        <w:rPr>
          <w:bCs/>
          <w:sz w:val="24"/>
          <w:szCs w:val="24"/>
        </w:rPr>
        <w:t>AEP</w:t>
      </w:r>
      <w:proofErr w:type="spellEnd"/>
      <w:r>
        <w:rPr>
          <w:bCs/>
          <w:sz w:val="24"/>
          <w:szCs w:val="24"/>
        </w:rPr>
        <w:t xml:space="preserve">-Ohio's rates (current and as proposed) are inordinately complex.  In fact, the Company's proposal in this case is comprised of </w:t>
      </w:r>
      <w:r>
        <w:rPr>
          <w:bCs/>
          <w:sz w:val="24"/>
          <w:szCs w:val="24"/>
          <w:u w:val="single"/>
        </w:rPr>
        <w:t>no less than 23 rate riders</w:t>
      </w:r>
      <w:r>
        <w:rPr>
          <w:bCs/>
          <w:sz w:val="24"/>
          <w:szCs w:val="24"/>
        </w:rPr>
        <w:t>.</w:t>
      </w:r>
      <w:r>
        <w:rPr>
          <w:rStyle w:val="FootnoteReference"/>
          <w:bCs/>
          <w:sz w:val="24"/>
          <w:szCs w:val="24"/>
        </w:rPr>
        <w:footnoteReference w:id="2"/>
      </w:r>
      <w:r>
        <w:rPr>
          <w:bCs/>
          <w:sz w:val="24"/>
          <w:szCs w:val="24"/>
        </w:rPr>
        <w:t xml:space="preserve">  Thus, to the extent that a commercial "shopping" customer wishes to engage in a bill analysis, an examination of as many as 18 riders (some adjusted quarterly) is required, in addition to an evaluation of applicable base rates.</w:t>
      </w:r>
      <w:r>
        <w:rPr>
          <w:rStyle w:val="FootnoteReference"/>
          <w:bCs/>
          <w:sz w:val="24"/>
          <w:szCs w:val="24"/>
        </w:rPr>
        <w:footnoteReference w:id="3"/>
      </w:r>
      <w:r>
        <w:rPr>
          <w:bCs/>
          <w:sz w:val="24"/>
          <w:szCs w:val="24"/>
        </w:rPr>
        <w:t xml:space="preserve">  For a Standard Service Office commercial customer, at least 22 riders would require examination for the customer to determine complete billing impact.</w:t>
      </w:r>
      <w:r>
        <w:rPr>
          <w:rStyle w:val="FootnoteReference"/>
          <w:bCs/>
          <w:sz w:val="24"/>
          <w:szCs w:val="24"/>
        </w:rPr>
        <w:footnoteReference w:id="4"/>
      </w:r>
      <w:r>
        <w:rPr>
          <w:bCs/>
          <w:sz w:val="24"/>
          <w:szCs w:val="24"/>
        </w:rPr>
        <w:t xml:space="preserve">  It is, simply put, untenable for customers to be able to evaluate their rates given the array of multiple riders that apply under the Company's rate and rider framework.</w:t>
      </w:r>
    </w:p>
    <w:p w:rsidR="00F945AB" w:rsidRPr="00D666F6" w:rsidRDefault="00F945AB" w:rsidP="00F945AB">
      <w:pPr>
        <w:kinsoku w:val="0"/>
        <w:overflowPunct w:val="0"/>
        <w:autoSpaceDE/>
        <w:autoSpaceDN/>
        <w:adjustRightInd/>
        <w:spacing w:line="480" w:lineRule="auto"/>
        <w:ind w:firstLine="720"/>
        <w:jc w:val="both"/>
        <w:textAlignment w:val="baseline"/>
        <w:rPr>
          <w:sz w:val="24"/>
          <w:szCs w:val="24"/>
        </w:rPr>
      </w:pPr>
      <w:r>
        <w:rPr>
          <w:bCs/>
          <w:sz w:val="24"/>
          <w:szCs w:val="24"/>
        </w:rPr>
        <w:t xml:space="preserve">Accordingly, the Commission should utilize this case to evaluate ways to simplify </w:t>
      </w:r>
      <w:proofErr w:type="spellStart"/>
      <w:r>
        <w:rPr>
          <w:bCs/>
          <w:sz w:val="24"/>
          <w:szCs w:val="24"/>
        </w:rPr>
        <w:t>AEP</w:t>
      </w:r>
      <w:proofErr w:type="spellEnd"/>
      <w:r>
        <w:rPr>
          <w:bCs/>
          <w:sz w:val="24"/>
          <w:szCs w:val="24"/>
        </w:rPr>
        <w:t>-Ohio's rate structure.</w:t>
      </w:r>
      <w:r>
        <w:rPr>
          <w:rStyle w:val="FootnoteReference"/>
          <w:bCs/>
          <w:sz w:val="24"/>
          <w:szCs w:val="24"/>
        </w:rPr>
        <w:footnoteReference w:id="5"/>
      </w:r>
      <w:r>
        <w:rPr>
          <w:bCs/>
          <w:sz w:val="24"/>
          <w:szCs w:val="24"/>
        </w:rPr>
        <w:t xml:space="preserve">  In pertinent part, the Commission should require the Company to file a base rate case wherein multiple cost elements that are reflected in the numerous current (and proposed) riders are rolled into base rates.</w:t>
      </w:r>
      <w:r>
        <w:rPr>
          <w:rStyle w:val="FootnoteReference"/>
          <w:bCs/>
          <w:sz w:val="24"/>
          <w:szCs w:val="24"/>
        </w:rPr>
        <w:footnoteReference w:id="6"/>
      </w:r>
      <w:r>
        <w:rPr>
          <w:bCs/>
          <w:sz w:val="24"/>
          <w:szCs w:val="24"/>
        </w:rPr>
        <w:t xml:space="preserve">  Even the Company acknowledges that a base rate case "has its place" and that "at some point in time" rider investments should go back into base rates.</w:t>
      </w:r>
      <w:r>
        <w:rPr>
          <w:rStyle w:val="FootnoteReference"/>
          <w:bCs/>
          <w:sz w:val="24"/>
          <w:szCs w:val="24"/>
        </w:rPr>
        <w:footnoteReference w:id="7"/>
      </w:r>
      <w:r>
        <w:rPr>
          <w:bCs/>
          <w:sz w:val="24"/>
          <w:szCs w:val="24"/>
        </w:rPr>
        <w:t xml:space="preserve">  Walmart believes the Commission should insure that such a "point in time" is clearly defined for the Company in this case.  Otherwise, customers will be plagued indefinitely with a multi-part rate structure that is virtually impossible for the individual customer to fairly analyze in evaluating current and proposed bill impacts.</w:t>
      </w:r>
    </w:p>
    <w:p w:rsidR="00F945AB" w:rsidRDefault="00F945AB" w:rsidP="00F945AB">
      <w:pPr>
        <w:kinsoku w:val="0"/>
        <w:overflowPunct w:val="0"/>
        <w:autoSpaceDE/>
        <w:autoSpaceDN/>
        <w:adjustRightInd/>
        <w:spacing w:line="269" w:lineRule="exact"/>
        <w:ind w:left="720" w:hanging="720"/>
        <w:jc w:val="both"/>
        <w:textAlignment w:val="baseline"/>
        <w:rPr>
          <w:b/>
          <w:bCs/>
          <w:sz w:val="24"/>
          <w:szCs w:val="24"/>
        </w:rPr>
      </w:pPr>
      <w:r>
        <w:rPr>
          <w:b/>
          <w:bCs/>
          <w:sz w:val="24"/>
          <w:szCs w:val="24"/>
        </w:rPr>
        <w:br w:type="page"/>
      </w:r>
      <w:r>
        <w:rPr>
          <w:b/>
          <w:bCs/>
          <w:sz w:val="24"/>
          <w:szCs w:val="24"/>
        </w:rPr>
        <w:lastRenderedPageBreak/>
        <w:t>B</w:t>
      </w:r>
      <w:r w:rsidRPr="00D82183">
        <w:rPr>
          <w:b/>
          <w:bCs/>
          <w:sz w:val="24"/>
          <w:szCs w:val="24"/>
        </w:rPr>
        <w:t xml:space="preserve">. </w:t>
      </w:r>
      <w:r>
        <w:rPr>
          <w:b/>
          <w:bCs/>
          <w:sz w:val="24"/>
          <w:szCs w:val="24"/>
        </w:rPr>
        <w:tab/>
        <w:t xml:space="preserve">The Commission Should Approve an ROE of No Higher </w:t>
      </w:r>
      <w:r w:rsidR="00E025A0">
        <w:rPr>
          <w:b/>
          <w:bCs/>
          <w:sz w:val="24"/>
          <w:szCs w:val="24"/>
        </w:rPr>
        <w:t>t</w:t>
      </w:r>
      <w:r>
        <w:rPr>
          <w:b/>
          <w:bCs/>
          <w:sz w:val="24"/>
          <w:szCs w:val="24"/>
        </w:rPr>
        <w:t>han 9.57 Percent in Calculating Relevant Revenues in this Case.</w:t>
      </w:r>
    </w:p>
    <w:p w:rsidR="00F945AB" w:rsidRDefault="00F945AB" w:rsidP="00F945AB">
      <w:pPr>
        <w:kinsoku w:val="0"/>
        <w:overflowPunct w:val="0"/>
        <w:autoSpaceDE/>
        <w:autoSpaceDN/>
        <w:adjustRightInd/>
        <w:spacing w:line="269" w:lineRule="exact"/>
        <w:ind w:left="432" w:hanging="432"/>
        <w:jc w:val="both"/>
        <w:textAlignment w:val="baseline"/>
        <w:rPr>
          <w:b/>
          <w:bCs/>
          <w:sz w:val="24"/>
          <w:szCs w:val="24"/>
        </w:rPr>
      </w:pPr>
    </w:p>
    <w:p w:rsidR="00F945AB" w:rsidRDefault="00F945AB" w:rsidP="00F945AB">
      <w:pPr>
        <w:kinsoku w:val="0"/>
        <w:overflowPunct w:val="0"/>
        <w:autoSpaceDE/>
        <w:autoSpaceDN/>
        <w:adjustRightInd/>
        <w:spacing w:line="480" w:lineRule="auto"/>
        <w:ind w:firstLine="720"/>
        <w:jc w:val="both"/>
        <w:textAlignment w:val="baseline"/>
        <w:rPr>
          <w:bCs/>
          <w:sz w:val="24"/>
          <w:szCs w:val="24"/>
        </w:rPr>
      </w:pPr>
      <w:r>
        <w:rPr>
          <w:bCs/>
          <w:sz w:val="24"/>
          <w:szCs w:val="24"/>
        </w:rPr>
        <w:t xml:space="preserve">In this proceeding, </w:t>
      </w:r>
      <w:proofErr w:type="spellStart"/>
      <w:r>
        <w:rPr>
          <w:bCs/>
          <w:sz w:val="24"/>
          <w:szCs w:val="24"/>
        </w:rPr>
        <w:t>AEP</w:t>
      </w:r>
      <w:proofErr w:type="spellEnd"/>
      <w:r>
        <w:rPr>
          <w:bCs/>
          <w:sz w:val="24"/>
          <w:szCs w:val="24"/>
        </w:rPr>
        <w:t>-Ohio proposes to continue and expand its array of riders, including expansion of its Distribution Investment Rider ("</w:t>
      </w:r>
      <w:proofErr w:type="spellStart"/>
      <w:r>
        <w:rPr>
          <w:bCs/>
          <w:sz w:val="24"/>
          <w:szCs w:val="24"/>
        </w:rPr>
        <w:t>DIR</w:t>
      </w:r>
      <w:proofErr w:type="spellEnd"/>
      <w:r>
        <w:rPr>
          <w:bCs/>
          <w:sz w:val="24"/>
          <w:szCs w:val="24"/>
        </w:rPr>
        <w:t>")</w:t>
      </w:r>
      <w:r w:rsidR="00E025A0">
        <w:rPr>
          <w:bCs/>
          <w:sz w:val="24"/>
          <w:szCs w:val="24"/>
        </w:rPr>
        <w:t>,</w:t>
      </w:r>
      <w:r>
        <w:rPr>
          <w:rStyle w:val="FootnoteReference"/>
          <w:bCs/>
          <w:sz w:val="24"/>
          <w:szCs w:val="24"/>
        </w:rPr>
        <w:footnoteReference w:id="8"/>
      </w:r>
      <w:r>
        <w:rPr>
          <w:bCs/>
          <w:sz w:val="24"/>
          <w:szCs w:val="24"/>
        </w:rPr>
        <w:t xml:space="preserve"> including increases to the </w:t>
      </w:r>
      <w:proofErr w:type="spellStart"/>
      <w:r>
        <w:rPr>
          <w:bCs/>
          <w:sz w:val="24"/>
          <w:szCs w:val="24"/>
        </w:rPr>
        <w:t>DIR</w:t>
      </w:r>
      <w:proofErr w:type="spellEnd"/>
      <w:r>
        <w:rPr>
          <w:bCs/>
          <w:sz w:val="24"/>
          <w:szCs w:val="24"/>
        </w:rPr>
        <w:t xml:space="preserve"> rate cap over the term of the ESP.  The amount of revenues the Company will collect through the </w:t>
      </w:r>
      <w:proofErr w:type="spellStart"/>
      <w:r>
        <w:rPr>
          <w:bCs/>
          <w:sz w:val="24"/>
          <w:szCs w:val="24"/>
        </w:rPr>
        <w:t>DIR</w:t>
      </w:r>
      <w:proofErr w:type="spellEnd"/>
      <w:r>
        <w:rPr>
          <w:bCs/>
          <w:sz w:val="24"/>
          <w:szCs w:val="24"/>
        </w:rPr>
        <w:t xml:space="preserve"> (and other riders) is dependent upon the ROE factored into the calculation of its weighted average cost of capital.  The Company proposes to use an ROE of 10.65 percent.</w:t>
      </w:r>
      <w:r>
        <w:rPr>
          <w:rStyle w:val="FootnoteReference"/>
          <w:bCs/>
          <w:sz w:val="24"/>
          <w:szCs w:val="24"/>
        </w:rPr>
        <w:footnoteReference w:id="9"/>
      </w:r>
      <w:r>
        <w:rPr>
          <w:bCs/>
          <w:sz w:val="24"/>
          <w:szCs w:val="24"/>
        </w:rPr>
        <w:t xml:space="preserve">  The Commission should reject the Company's proposed ROE proposal as it is unreasonable for at least two key reasons.</w:t>
      </w:r>
    </w:p>
    <w:p w:rsidR="00F945AB" w:rsidRDefault="00F945AB" w:rsidP="00F945AB">
      <w:pPr>
        <w:kinsoku w:val="0"/>
        <w:overflowPunct w:val="0"/>
        <w:autoSpaceDE/>
        <w:autoSpaceDN/>
        <w:adjustRightInd/>
        <w:spacing w:line="480" w:lineRule="auto"/>
        <w:ind w:firstLine="720"/>
        <w:jc w:val="both"/>
        <w:textAlignment w:val="baseline"/>
        <w:rPr>
          <w:bCs/>
          <w:sz w:val="24"/>
          <w:szCs w:val="24"/>
        </w:rPr>
      </w:pPr>
      <w:r>
        <w:rPr>
          <w:bCs/>
          <w:sz w:val="24"/>
          <w:szCs w:val="24"/>
        </w:rPr>
        <w:t>First, the Company's proposed ROE of 10.65 percent fails to reflect a reduction in regulatory lag.</w:t>
      </w:r>
      <w:r>
        <w:rPr>
          <w:rStyle w:val="FootnoteReference"/>
          <w:bCs/>
          <w:sz w:val="24"/>
          <w:szCs w:val="24"/>
        </w:rPr>
        <w:footnoteReference w:id="10"/>
      </w:r>
      <w:r>
        <w:rPr>
          <w:bCs/>
          <w:sz w:val="24"/>
          <w:szCs w:val="24"/>
        </w:rPr>
        <w:t xml:space="preserve"> In fact, by 2018, the </w:t>
      </w:r>
      <w:proofErr w:type="spellStart"/>
      <w:r>
        <w:rPr>
          <w:bCs/>
          <w:sz w:val="24"/>
          <w:szCs w:val="24"/>
        </w:rPr>
        <w:t>DIR</w:t>
      </w:r>
      <w:proofErr w:type="spellEnd"/>
      <w:r>
        <w:rPr>
          <w:bCs/>
          <w:sz w:val="24"/>
          <w:szCs w:val="24"/>
        </w:rPr>
        <w:t xml:space="preserve"> alone, as proposed, could account for approximately 27 percent of </w:t>
      </w:r>
      <w:proofErr w:type="spellStart"/>
      <w:r>
        <w:rPr>
          <w:bCs/>
          <w:sz w:val="24"/>
          <w:szCs w:val="24"/>
        </w:rPr>
        <w:t>AEP</w:t>
      </w:r>
      <w:proofErr w:type="spellEnd"/>
      <w:r>
        <w:rPr>
          <w:bCs/>
          <w:sz w:val="24"/>
          <w:szCs w:val="24"/>
        </w:rPr>
        <w:t>-Ohio's revenues that otherwise would be recovered through base rates.</w:t>
      </w:r>
      <w:r>
        <w:rPr>
          <w:rStyle w:val="FootnoteReference"/>
          <w:bCs/>
          <w:sz w:val="24"/>
          <w:szCs w:val="24"/>
        </w:rPr>
        <w:footnoteReference w:id="11"/>
      </w:r>
      <w:r>
        <w:rPr>
          <w:bCs/>
          <w:sz w:val="24"/>
          <w:szCs w:val="24"/>
        </w:rPr>
        <w:t xml:space="preserve">  As explained by Walmart witness Chriss, the </w:t>
      </w:r>
      <w:proofErr w:type="spellStart"/>
      <w:r>
        <w:rPr>
          <w:bCs/>
          <w:sz w:val="24"/>
          <w:szCs w:val="24"/>
        </w:rPr>
        <w:t>DIR</w:t>
      </w:r>
      <w:proofErr w:type="spellEnd"/>
      <w:r>
        <w:rPr>
          <w:bCs/>
          <w:sz w:val="24"/>
          <w:szCs w:val="24"/>
        </w:rPr>
        <w:t xml:space="preserve">, as expanded, would reduce </w:t>
      </w:r>
      <w:proofErr w:type="spellStart"/>
      <w:r>
        <w:rPr>
          <w:bCs/>
          <w:sz w:val="24"/>
          <w:szCs w:val="24"/>
        </w:rPr>
        <w:t>AEP</w:t>
      </w:r>
      <w:proofErr w:type="spellEnd"/>
      <w:r>
        <w:rPr>
          <w:bCs/>
          <w:sz w:val="24"/>
          <w:szCs w:val="24"/>
        </w:rPr>
        <w:t xml:space="preserve">-Ohio's regulatory lag, and provide for </w:t>
      </w:r>
      <w:proofErr w:type="spellStart"/>
      <w:r>
        <w:rPr>
          <w:bCs/>
          <w:sz w:val="24"/>
          <w:szCs w:val="24"/>
        </w:rPr>
        <w:t>DIR</w:t>
      </w:r>
      <w:proofErr w:type="spellEnd"/>
      <w:r>
        <w:rPr>
          <w:bCs/>
          <w:sz w:val="24"/>
          <w:szCs w:val="24"/>
        </w:rPr>
        <w:t xml:space="preserve"> rate increases and quarterly adjustments, further reducing regulatory lag over the term of the ESP.</w:t>
      </w:r>
      <w:r>
        <w:rPr>
          <w:rStyle w:val="FootnoteReference"/>
          <w:bCs/>
          <w:sz w:val="24"/>
          <w:szCs w:val="24"/>
        </w:rPr>
        <w:footnoteReference w:id="12"/>
      </w:r>
      <w:r>
        <w:rPr>
          <w:bCs/>
          <w:sz w:val="24"/>
          <w:szCs w:val="24"/>
        </w:rPr>
        <w:t xml:space="preserve"> </w:t>
      </w:r>
    </w:p>
    <w:p w:rsidR="00F945AB" w:rsidRDefault="00F945AB" w:rsidP="00F945AB">
      <w:pPr>
        <w:kinsoku w:val="0"/>
        <w:overflowPunct w:val="0"/>
        <w:autoSpaceDE/>
        <w:autoSpaceDN/>
        <w:adjustRightInd/>
        <w:spacing w:line="480" w:lineRule="auto"/>
        <w:ind w:firstLine="720"/>
        <w:jc w:val="both"/>
        <w:textAlignment w:val="baseline"/>
        <w:rPr>
          <w:bCs/>
          <w:sz w:val="24"/>
          <w:szCs w:val="24"/>
        </w:rPr>
      </w:pPr>
      <w:r>
        <w:rPr>
          <w:bCs/>
          <w:sz w:val="24"/>
          <w:szCs w:val="24"/>
        </w:rPr>
        <w:t>Yet, the Company's chief ROE witness gave no direct consideration or adjustment to reflect regulatory lag in recommending an ROE for the Company.</w:t>
      </w:r>
      <w:r>
        <w:rPr>
          <w:rStyle w:val="FootnoteReference"/>
          <w:bCs/>
          <w:sz w:val="24"/>
          <w:szCs w:val="24"/>
        </w:rPr>
        <w:footnoteReference w:id="13"/>
      </w:r>
      <w:r>
        <w:rPr>
          <w:bCs/>
          <w:sz w:val="24"/>
          <w:szCs w:val="24"/>
        </w:rPr>
        <w:t xml:space="preserve">  This is so even though the Company has acknowledged that, through the use of riders and expansion of the </w:t>
      </w:r>
      <w:proofErr w:type="spellStart"/>
      <w:r>
        <w:rPr>
          <w:bCs/>
          <w:sz w:val="24"/>
          <w:szCs w:val="24"/>
        </w:rPr>
        <w:t>DIR</w:t>
      </w:r>
      <w:proofErr w:type="spellEnd"/>
      <w:r>
        <w:rPr>
          <w:bCs/>
          <w:sz w:val="24"/>
          <w:szCs w:val="24"/>
        </w:rPr>
        <w:t xml:space="preserve">, cost recovery is </w:t>
      </w:r>
      <w:proofErr w:type="gramStart"/>
      <w:r>
        <w:rPr>
          <w:bCs/>
          <w:sz w:val="24"/>
          <w:szCs w:val="24"/>
        </w:rPr>
        <w:t>more timely</w:t>
      </w:r>
      <w:proofErr w:type="gramEnd"/>
      <w:r>
        <w:rPr>
          <w:bCs/>
          <w:sz w:val="24"/>
          <w:szCs w:val="24"/>
        </w:rPr>
        <w:t xml:space="preserve"> and the risk of under-recovering costs is reduced.</w:t>
      </w:r>
      <w:r>
        <w:rPr>
          <w:rStyle w:val="FootnoteReference"/>
          <w:bCs/>
          <w:sz w:val="24"/>
          <w:szCs w:val="24"/>
        </w:rPr>
        <w:footnoteReference w:id="14"/>
      </w:r>
      <w:r>
        <w:rPr>
          <w:bCs/>
          <w:sz w:val="24"/>
          <w:szCs w:val="24"/>
        </w:rPr>
        <w:t xml:space="preserve">    The Company's </w:t>
      </w:r>
      <w:r>
        <w:rPr>
          <w:bCs/>
          <w:sz w:val="24"/>
          <w:szCs w:val="24"/>
        </w:rPr>
        <w:br w:type="page"/>
        <w:t>proposed ROE of 10.65 percent is therefore excessive and unreasonable and should be rejected in that it ignores the reduction in regulatory lag.</w:t>
      </w:r>
      <w:r>
        <w:rPr>
          <w:rStyle w:val="FootnoteReference"/>
          <w:bCs/>
          <w:sz w:val="24"/>
          <w:szCs w:val="24"/>
        </w:rPr>
        <w:footnoteReference w:id="15"/>
      </w:r>
      <w:r>
        <w:rPr>
          <w:bCs/>
          <w:sz w:val="24"/>
          <w:szCs w:val="24"/>
        </w:rPr>
        <w:t xml:space="preserve">  </w:t>
      </w:r>
    </w:p>
    <w:p w:rsidR="00F945AB" w:rsidRDefault="00F945AB" w:rsidP="00F945AB">
      <w:pPr>
        <w:kinsoku w:val="0"/>
        <w:overflowPunct w:val="0"/>
        <w:autoSpaceDE/>
        <w:autoSpaceDN/>
        <w:adjustRightInd/>
        <w:spacing w:line="480" w:lineRule="auto"/>
        <w:ind w:firstLine="720"/>
        <w:jc w:val="both"/>
        <w:textAlignment w:val="baseline"/>
        <w:rPr>
          <w:bCs/>
          <w:sz w:val="24"/>
          <w:szCs w:val="24"/>
        </w:rPr>
      </w:pPr>
      <w:r>
        <w:rPr>
          <w:bCs/>
          <w:sz w:val="24"/>
          <w:szCs w:val="24"/>
        </w:rPr>
        <w:t xml:space="preserve">Second, the Company's proposed ROE is unreasonable on its face in comparison to </w:t>
      </w:r>
      <w:proofErr w:type="spellStart"/>
      <w:r>
        <w:rPr>
          <w:bCs/>
          <w:sz w:val="24"/>
          <w:szCs w:val="24"/>
        </w:rPr>
        <w:t>ROEs</w:t>
      </w:r>
      <w:proofErr w:type="spellEnd"/>
      <w:r>
        <w:rPr>
          <w:bCs/>
          <w:sz w:val="24"/>
          <w:szCs w:val="24"/>
        </w:rPr>
        <w:t xml:space="preserve"> approved by other utility commissions, particularly in comparison to "delivery-only" utilities.</w:t>
      </w:r>
      <w:r>
        <w:rPr>
          <w:rStyle w:val="FootnoteReference"/>
          <w:bCs/>
          <w:sz w:val="24"/>
          <w:szCs w:val="24"/>
        </w:rPr>
        <w:footnoteReference w:id="16"/>
      </w:r>
      <w:r>
        <w:rPr>
          <w:bCs/>
          <w:sz w:val="24"/>
          <w:szCs w:val="24"/>
        </w:rPr>
        <w:t xml:space="preserve">  In fact, as established by Walmart witness Chriss, the median</w:t>
      </w:r>
      <w:r w:rsidR="00017271">
        <w:rPr>
          <w:bCs/>
          <w:sz w:val="24"/>
          <w:szCs w:val="24"/>
        </w:rPr>
        <w:t xml:space="preserve"> authorized ROE reported for 96 </w:t>
      </w:r>
      <w:r>
        <w:rPr>
          <w:bCs/>
          <w:sz w:val="24"/>
          <w:szCs w:val="24"/>
        </w:rPr>
        <w:t>electric utilities since 2012 has been 9.95 percent.</w:t>
      </w:r>
      <w:r>
        <w:rPr>
          <w:rStyle w:val="FootnoteReference"/>
          <w:bCs/>
          <w:sz w:val="24"/>
          <w:szCs w:val="24"/>
        </w:rPr>
        <w:footnoteReference w:id="17"/>
      </w:r>
      <w:r>
        <w:rPr>
          <w:bCs/>
          <w:sz w:val="24"/>
          <w:szCs w:val="24"/>
        </w:rPr>
        <w:t xml:space="preserve">  For distribution-only utilities, the average for that same time-frame has been 9.57 percent.</w:t>
      </w:r>
      <w:r>
        <w:rPr>
          <w:rStyle w:val="FootnoteReference"/>
          <w:bCs/>
          <w:sz w:val="24"/>
          <w:szCs w:val="24"/>
        </w:rPr>
        <w:footnoteReference w:id="18"/>
      </w:r>
      <w:r>
        <w:rPr>
          <w:bCs/>
          <w:sz w:val="24"/>
          <w:szCs w:val="24"/>
        </w:rPr>
        <w:t xml:space="preserve">  Furthermore, these average authorized </w:t>
      </w:r>
      <w:proofErr w:type="spellStart"/>
      <w:r>
        <w:rPr>
          <w:bCs/>
          <w:sz w:val="24"/>
          <w:szCs w:val="24"/>
        </w:rPr>
        <w:t>ROEs</w:t>
      </w:r>
      <w:proofErr w:type="spellEnd"/>
      <w:r>
        <w:rPr>
          <w:bCs/>
          <w:sz w:val="24"/>
          <w:szCs w:val="24"/>
        </w:rPr>
        <w:t xml:space="preserve"> have been </w:t>
      </w:r>
      <w:r w:rsidRPr="00146214">
        <w:rPr>
          <w:bCs/>
          <w:sz w:val="24"/>
          <w:szCs w:val="24"/>
          <w:u w:val="single"/>
        </w:rPr>
        <w:t>declining</w:t>
      </w:r>
      <w:r>
        <w:rPr>
          <w:bCs/>
          <w:sz w:val="24"/>
          <w:szCs w:val="24"/>
        </w:rPr>
        <w:t xml:space="preserve"> since 2012.</w:t>
      </w:r>
      <w:r>
        <w:rPr>
          <w:rStyle w:val="FootnoteReference"/>
          <w:bCs/>
          <w:sz w:val="24"/>
          <w:szCs w:val="24"/>
        </w:rPr>
        <w:footnoteReference w:id="19"/>
      </w:r>
      <w:r>
        <w:rPr>
          <w:bCs/>
          <w:sz w:val="24"/>
          <w:szCs w:val="24"/>
        </w:rPr>
        <w:t xml:space="preserve">   Clearly, the Company's proposed 10.65 percent ROE (which includes a so-called flotation cost adjustment) is out of step with the norm and is inflated in that it is 108 basis points higher than the distribution-only utility average of 9.57 percent.</w:t>
      </w:r>
      <w:r>
        <w:rPr>
          <w:rStyle w:val="FootnoteReference"/>
          <w:bCs/>
          <w:sz w:val="24"/>
          <w:szCs w:val="24"/>
        </w:rPr>
        <w:footnoteReference w:id="20"/>
      </w:r>
      <w:r>
        <w:rPr>
          <w:bCs/>
          <w:sz w:val="24"/>
          <w:szCs w:val="24"/>
        </w:rPr>
        <w:t xml:space="preserve">  To adopt such an inflated ROE would harm </w:t>
      </w:r>
      <w:proofErr w:type="spellStart"/>
      <w:r>
        <w:rPr>
          <w:bCs/>
          <w:sz w:val="24"/>
          <w:szCs w:val="24"/>
        </w:rPr>
        <w:t>AEP</w:t>
      </w:r>
      <w:proofErr w:type="spellEnd"/>
      <w:r>
        <w:rPr>
          <w:bCs/>
          <w:sz w:val="24"/>
          <w:szCs w:val="24"/>
        </w:rPr>
        <w:t>-Ohio customers.</w:t>
      </w:r>
    </w:p>
    <w:p w:rsidR="00F945AB" w:rsidRDefault="00F945AB" w:rsidP="00017271">
      <w:pPr>
        <w:kinsoku w:val="0"/>
        <w:overflowPunct w:val="0"/>
        <w:autoSpaceDE/>
        <w:autoSpaceDN/>
        <w:adjustRightInd/>
        <w:spacing w:line="480" w:lineRule="auto"/>
        <w:ind w:firstLine="720"/>
        <w:jc w:val="both"/>
        <w:textAlignment w:val="baseline"/>
        <w:rPr>
          <w:bCs/>
          <w:sz w:val="24"/>
          <w:szCs w:val="24"/>
        </w:rPr>
      </w:pPr>
      <w:r>
        <w:rPr>
          <w:bCs/>
          <w:sz w:val="24"/>
          <w:szCs w:val="24"/>
        </w:rPr>
        <w:t>The Office of Consumer Counsel ("OCC"), on the other hand, has proposed an ROE of 9.0 percent for the Company.</w:t>
      </w:r>
      <w:r>
        <w:rPr>
          <w:rStyle w:val="FootnoteReference"/>
          <w:bCs/>
          <w:sz w:val="24"/>
          <w:szCs w:val="24"/>
        </w:rPr>
        <w:footnoteReference w:id="21"/>
      </w:r>
      <w:r>
        <w:rPr>
          <w:bCs/>
          <w:sz w:val="24"/>
          <w:szCs w:val="24"/>
        </w:rPr>
        <w:t xml:space="preserve">  Walmart believes the OCC recommendation fairly reflects the Company's reduced regulatory lag.  Further, Walmart believes that the OCC recommendation is more in line with distribution-only utility </w:t>
      </w:r>
      <w:proofErr w:type="spellStart"/>
      <w:r>
        <w:rPr>
          <w:bCs/>
          <w:sz w:val="24"/>
          <w:szCs w:val="24"/>
        </w:rPr>
        <w:t>ROEs</w:t>
      </w:r>
      <w:proofErr w:type="spellEnd"/>
      <w:r>
        <w:rPr>
          <w:bCs/>
          <w:sz w:val="24"/>
          <w:szCs w:val="24"/>
        </w:rPr>
        <w:t xml:space="preserve"> approved in 2014 (within 50 basis points).</w:t>
      </w:r>
      <w:r>
        <w:rPr>
          <w:rStyle w:val="FootnoteReference"/>
          <w:bCs/>
          <w:sz w:val="24"/>
          <w:szCs w:val="24"/>
        </w:rPr>
        <w:footnoteReference w:id="22"/>
      </w:r>
      <w:r>
        <w:rPr>
          <w:bCs/>
          <w:sz w:val="24"/>
          <w:szCs w:val="24"/>
        </w:rPr>
        <w:tab/>
      </w:r>
    </w:p>
    <w:p w:rsidR="00E52E4A" w:rsidRDefault="00F945AB" w:rsidP="00017271">
      <w:pPr>
        <w:kinsoku w:val="0"/>
        <w:overflowPunct w:val="0"/>
        <w:autoSpaceDE/>
        <w:autoSpaceDN/>
        <w:adjustRightInd/>
        <w:spacing w:after="120" w:line="480" w:lineRule="auto"/>
        <w:ind w:firstLine="720"/>
        <w:jc w:val="both"/>
        <w:textAlignment w:val="baseline"/>
        <w:rPr>
          <w:bCs/>
          <w:sz w:val="24"/>
          <w:szCs w:val="24"/>
        </w:rPr>
      </w:pPr>
      <w:r>
        <w:rPr>
          <w:bCs/>
          <w:sz w:val="24"/>
          <w:szCs w:val="24"/>
        </w:rPr>
        <w:t xml:space="preserve">In short, the Commission should consider the reduction in regulatory lag and </w:t>
      </w:r>
      <w:r w:rsidR="00017271">
        <w:rPr>
          <w:bCs/>
          <w:sz w:val="24"/>
          <w:szCs w:val="24"/>
        </w:rPr>
        <w:t xml:space="preserve">lower </w:t>
      </w:r>
      <w:r>
        <w:rPr>
          <w:bCs/>
          <w:sz w:val="24"/>
          <w:szCs w:val="24"/>
        </w:rPr>
        <w:t xml:space="preserve">cost recovery risk that occurs due to the Company's use of multiple riders and the </w:t>
      </w:r>
      <w:proofErr w:type="spellStart"/>
      <w:r>
        <w:rPr>
          <w:bCs/>
          <w:sz w:val="24"/>
          <w:szCs w:val="24"/>
        </w:rPr>
        <w:t>DIR</w:t>
      </w:r>
      <w:proofErr w:type="spellEnd"/>
      <w:r>
        <w:rPr>
          <w:bCs/>
          <w:sz w:val="24"/>
          <w:szCs w:val="24"/>
        </w:rPr>
        <w:t xml:space="preserve">, the returns authorized for other utilities as it relates to the investor market, and the ultimate impact of ROE on ratepayers.  Walmart supports the Commission's adoption of OCC's recommendation of 9.0 </w:t>
      </w:r>
    </w:p>
    <w:p w:rsidR="00E52E4A" w:rsidRDefault="00E52E4A">
      <w:pPr>
        <w:widowControl/>
        <w:autoSpaceDE/>
        <w:autoSpaceDN/>
        <w:adjustRightInd/>
        <w:rPr>
          <w:bCs/>
          <w:sz w:val="24"/>
          <w:szCs w:val="24"/>
        </w:rPr>
      </w:pPr>
      <w:r>
        <w:rPr>
          <w:bCs/>
          <w:sz w:val="24"/>
          <w:szCs w:val="24"/>
        </w:rPr>
        <w:br w:type="page"/>
      </w:r>
    </w:p>
    <w:p w:rsidR="00F945AB" w:rsidRDefault="00F945AB" w:rsidP="00E52E4A">
      <w:pPr>
        <w:kinsoku w:val="0"/>
        <w:overflowPunct w:val="0"/>
        <w:autoSpaceDE/>
        <w:autoSpaceDN/>
        <w:adjustRightInd/>
        <w:spacing w:after="120" w:line="480" w:lineRule="auto"/>
        <w:jc w:val="both"/>
        <w:textAlignment w:val="baseline"/>
        <w:rPr>
          <w:bCs/>
          <w:sz w:val="24"/>
          <w:szCs w:val="24"/>
        </w:rPr>
      </w:pPr>
      <w:proofErr w:type="gramStart"/>
      <w:r>
        <w:rPr>
          <w:bCs/>
          <w:sz w:val="24"/>
          <w:szCs w:val="24"/>
        </w:rPr>
        <w:t>percent</w:t>
      </w:r>
      <w:proofErr w:type="gramEnd"/>
      <w:r>
        <w:rPr>
          <w:bCs/>
          <w:sz w:val="24"/>
          <w:szCs w:val="24"/>
        </w:rPr>
        <w:t xml:space="preserve">.  At a minimum, however, the Commission should limit the Company's authorized ROE in this case to no more than 9.57 percent.  </w:t>
      </w:r>
    </w:p>
    <w:p w:rsidR="00F945AB" w:rsidRDefault="00F945AB" w:rsidP="00F945AB">
      <w:pPr>
        <w:kinsoku w:val="0"/>
        <w:overflowPunct w:val="0"/>
        <w:autoSpaceDE/>
        <w:autoSpaceDN/>
        <w:adjustRightInd/>
        <w:spacing w:line="480" w:lineRule="auto"/>
        <w:textAlignment w:val="baseline"/>
        <w:rPr>
          <w:b/>
          <w:bCs/>
          <w:sz w:val="24"/>
          <w:szCs w:val="24"/>
        </w:rPr>
      </w:pPr>
      <w:r>
        <w:rPr>
          <w:b/>
          <w:bCs/>
          <w:sz w:val="24"/>
          <w:szCs w:val="24"/>
        </w:rPr>
        <w:t>II.</w:t>
      </w:r>
      <w:r>
        <w:rPr>
          <w:b/>
          <w:bCs/>
          <w:sz w:val="24"/>
          <w:szCs w:val="24"/>
        </w:rPr>
        <w:tab/>
      </w:r>
      <w:r w:rsidRPr="00146214">
        <w:rPr>
          <w:b/>
          <w:bCs/>
          <w:sz w:val="24"/>
          <w:szCs w:val="24"/>
          <w:u w:val="single"/>
        </w:rPr>
        <w:t>CONCLUSION</w:t>
      </w:r>
    </w:p>
    <w:p w:rsidR="00F945AB" w:rsidRDefault="00F945AB" w:rsidP="00F945AB">
      <w:pPr>
        <w:kinsoku w:val="0"/>
        <w:overflowPunct w:val="0"/>
        <w:autoSpaceDE/>
        <w:autoSpaceDN/>
        <w:adjustRightInd/>
        <w:spacing w:line="480" w:lineRule="auto"/>
        <w:ind w:firstLine="720"/>
        <w:textAlignment w:val="baseline"/>
        <w:rPr>
          <w:sz w:val="24"/>
          <w:szCs w:val="24"/>
        </w:rPr>
      </w:pPr>
      <w:r>
        <w:rPr>
          <w:sz w:val="24"/>
          <w:szCs w:val="24"/>
        </w:rPr>
        <w:t>W</w:t>
      </w:r>
      <w:r w:rsidRPr="00D82183">
        <w:rPr>
          <w:sz w:val="24"/>
          <w:szCs w:val="24"/>
        </w:rPr>
        <w:t>HEREFORE, Walmart respectfully requests</w:t>
      </w:r>
      <w:r>
        <w:rPr>
          <w:sz w:val="24"/>
          <w:szCs w:val="24"/>
        </w:rPr>
        <w:t xml:space="preserve"> that</w:t>
      </w:r>
      <w:r w:rsidRPr="00D82183">
        <w:rPr>
          <w:sz w:val="24"/>
          <w:szCs w:val="24"/>
        </w:rPr>
        <w:t>:</w:t>
      </w:r>
    </w:p>
    <w:p w:rsidR="00F945AB" w:rsidRDefault="00F945AB" w:rsidP="00F945AB">
      <w:pPr>
        <w:numPr>
          <w:ilvl w:val="0"/>
          <w:numId w:val="2"/>
        </w:numPr>
        <w:kinsoku w:val="0"/>
        <w:overflowPunct w:val="0"/>
        <w:autoSpaceDE/>
        <w:autoSpaceDN/>
        <w:adjustRightInd/>
        <w:spacing w:line="276" w:lineRule="exact"/>
        <w:jc w:val="both"/>
        <w:textAlignment w:val="baseline"/>
        <w:rPr>
          <w:sz w:val="24"/>
          <w:szCs w:val="24"/>
        </w:rPr>
      </w:pPr>
      <w:r>
        <w:rPr>
          <w:sz w:val="24"/>
          <w:szCs w:val="24"/>
        </w:rPr>
        <w:t>T</w:t>
      </w:r>
      <w:r w:rsidRPr="00D82183">
        <w:rPr>
          <w:sz w:val="24"/>
          <w:szCs w:val="24"/>
        </w:rPr>
        <w:t xml:space="preserve">he Commission </w:t>
      </w:r>
      <w:r>
        <w:rPr>
          <w:sz w:val="24"/>
          <w:szCs w:val="24"/>
        </w:rPr>
        <w:t xml:space="preserve">require that </w:t>
      </w:r>
      <w:proofErr w:type="spellStart"/>
      <w:r>
        <w:rPr>
          <w:sz w:val="24"/>
          <w:szCs w:val="24"/>
        </w:rPr>
        <w:t>AEP</w:t>
      </w:r>
      <w:proofErr w:type="spellEnd"/>
      <w:r>
        <w:rPr>
          <w:sz w:val="24"/>
          <w:szCs w:val="24"/>
        </w:rPr>
        <w:t>-Ohio file a base rate case such that any resulting base rate changes would be effective on or before May 31, 2018</w:t>
      </w:r>
      <w:r w:rsidRPr="00D82183">
        <w:rPr>
          <w:sz w:val="24"/>
          <w:szCs w:val="24"/>
        </w:rPr>
        <w:t>;</w:t>
      </w:r>
      <w:r>
        <w:rPr>
          <w:sz w:val="24"/>
          <w:szCs w:val="24"/>
        </w:rPr>
        <w:t xml:space="preserve"> and,</w:t>
      </w:r>
    </w:p>
    <w:p w:rsidR="00F945AB" w:rsidRPr="00D82183" w:rsidRDefault="00F945AB" w:rsidP="00F945AB">
      <w:pPr>
        <w:kinsoku w:val="0"/>
        <w:overflowPunct w:val="0"/>
        <w:autoSpaceDE/>
        <w:autoSpaceDN/>
        <w:adjustRightInd/>
        <w:spacing w:line="276" w:lineRule="exact"/>
        <w:ind w:left="1800"/>
        <w:jc w:val="both"/>
        <w:textAlignment w:val="baseline"/>
        <w:rPr>
          <w:sz w:val="24"/>
          <w:szCs w:val="24"/>
        </w:rPr>
      </w:pPr>
    </w:p>
    <w:p w:rsidR="00F945AB" w:rsidRPr="00D25FFD" w:rsidRDefault="00F945AB" w:rsidP="00F945AB">
      <w:pPr>
        <w:widowControl/>
        <w:numPr>
          <w:ilvl w:val="0"/>
          <w:numId w:val="2"/>
        </w:numPr>
        <w:kinsoku w:val="0"/>
        <w:overflowPunct w:val="0"/>
        <w:autoSpaceDE/>
        <w:autoSpaceDN/>
        <w:adjustRightInd/>
        <w:spacing w:before="27" w:line="275" w:lineRule="exact"/>
        <w:jc w:val="both"/>
        <w:textAlignment w:val="baseline"/>
        <w:rPr>
          <w:spacing w:val="2"/>
          <w:sz w:val="24"/>
          <w:szCs w:val="24"/>
        </w:rPr>
      </w:pPr>
      <w:r w:rsidRPr="00D25FFD">
        <w:rPr>
          <w:sz w:val="24"/>
          <w:szCs w:val="24"/>
        </w:rPr>
        <w:t xml:space="preserve">The Commission </w:t>
      </w:r>
      <w:proofErr w:type="gramStart"/>
      <w:r w:rsidRPr="00D25FFD">
        <w:rPr>
          <w:sz w:val="24"/>
          <w:szCs w:val="24"/>
        </w:rPr>
        <w:t>approve</w:t>
      </w:r>
      <w:proofErr w:type="gramEnd"/>
      <w:r w:rsidRPr="00D25FFD">
        <w:rPr>
          <w:sz w:val="24"/>
          <w:szCs w:val="24"/>
        </w:rPr>
        <w:t xml:space="preserve"> an ROE of no higher than 9.57 percent to calculate the Company's relevant revenue requirement </w:t>
      </w:r>
      <w:r>
        <w:rPr>
          <w:sz w:val="24"/>
          <w:szCs w:val="24"/>
        </w:rPr>
        <w:t>in this case</w:t>
      </w:r>
      <w:r w:rsidRPr="00D25FFD">
        <w:rPr>
          <w:sz w:val="24"/>
          <w:szCs w:val="24"/>
        </w:rPr>
        <w:t>.</w:t>
      </w:r>
    </w:p>
    <w:p w:rsidR="00F945AB" w:rsidRPr="00D82183" w:rsidRDefault="00F945AB" w:rsidP="00F945AB">
      <w:pPr>
        <w:kinsoku w:val="0"/>
        <w:overflowPunct w:val="0"/>
        <w:autoSpaceDE/>
        <w:autoSpaceDN/>
        <w:adjustRightInd/>
        <w:spacing w:line="480" w:lineRule="auto"/>
        <w:ind w:firstLine="720"/>
        <w:textAlignment w:val="baseline"/>
        <w:rPr>
          <w:sz w:val="24"/>
          <w:szCs w:val="24"/>
        </w:rPr>
      </w:pPr>
    </w:p>
    <w:p w:rsidR="00F945AB" w:rsidRDefault="00F945AB" w:rsidP="00F945AB">
      <w:pPr>
        <w:kinsoku w:val="0"/>
        <w:overflowPunct w:val="0"/>
        <w:autoSpaceDE/>
        <w:autoSpaceDN/>
        <w:adjustRightInd/>
        <w:spacing w:before="2" w:line="276" w:lineRule="exact"/>
        <w:ind w:left="1800" w:hanging="360"/>
        <w:jc w:val="both"/>
        <w:textAlignment w:val="baseline"/>
        <w:rPr>
          <w:sz w:val="24"/>
          <w:szCs w:val="24"/>
        </w:rPr>
      </w:pPr>
    </w:p>
    <w:p w:rsidR="00F945AB" w:rsidRDefault="00F945AB" w:rsidP="00F945AB">
      <w:pPr>
        <w:tabs>
          <w:tab w:val="left" w:pos="4320"/>
        </w:tabs>
        <w:jc w:val="both"/>
        <w:rPr>
          <w:sz w:val="23"/>
          <w:szCs w:val="23"/>
        </w:rPr>
      </w:pPr>
      <w:r>
        <w:rPr>
          <w:sz w:val="23"/>
          <w:szCs w:val="23"/>
        </w:rPr>
        <w:tab/>
      </w:r>
      <w:r w:rsidRPr="00D36406">
        <w:rPr>
          <w:sz w:val="23"/>
          <w:szCs w:val="23"/>
        </w:rPr>
        <w:t>Respectfully submitted,</w:t>
      </w:r>
    </w:p>
    <w:p w:rsidR="00F945AB" w:rsidRDefault="00F945AB" w:rsidP="00F945AB">
      <w:pPr>
        <w:tabs>
          <w:tab w:val="left" w:pos="4320"/>
        </w:tabs>
        <w:jc w:val="both"/>
        <w:rPr>
          <w:sz w:val="23"/>
          <w:szCs w:val="23"/>
        </w:rPr>
      </w:pPr>
      <w:r>
        <w:rPr>
          <w:sz w:val="23"/>
          <w:szCs w:val="23"/>
        </w:rPr>
        <w:tab/>
      </w:r>
    </w:p>
    <w:p w:rsidR="00F945AB" w:rsidRPr="00694170" w:rsidRDefault="00F945AB" w:rsidP="00F945AB">
      <w:pPr>
        <w:tabs>
          <w:tab w:val="left" w:pos="4320"/>
          <w:tab w:val="left" w:pos="4680"/>
        </w:tabs>
        <w:jc w:val="both"/>
        <w:rPr>
          <w:sz w:val="23"/>
          <w:szCs w:val="23"/>
        </w:rPr>
      </w:pPr>
      <w:r>
        <w:rPr>
          <w:sz w:val="23"/>
          <w:szCs w:val="23"/>
        </w:rPr>
        <w:tab/>
      </w:r>
      <w:r w:rsidRPr="00694170">
        <w:rPr>
          <w:sz w:val="23"/>
          <w:szCs w:val="23"/>
        </w:rPr>
        <w:tab/>
      </w:r>
      <w:r w:rsidR="00694170" w:rsidRPr="00694170">
        <w:rPr>
          <w:b/>
          <w:sz w:val="24"/>
          <w:szCs w:val="24"/>
        </w:rPr>
        <w:t xml:space="preserve">        /s/ Lisa Hawrot</w:t>
      </w:r>
      <w:r w:rsidRPr="00694170">
        <w:rPr>
          <w:sz w:val="23"/>
          <w:szCs w:val="23"/>
        </w:rPr>
        <w:tab/>
      </w:r>
    </w:p>
    <w:p w:rsidR="00F945AB" w:rsidRPr="00D36406" w:rsidRDefault="00F945AB" w:rsidP="00F945AB">
      <w:pPr>
        <w:ind w:left="3600" w:firstLine="720"/>
        <w:jc w:val="both"/>
        <w:rPr>
          <w:sz w:val="23"/>
          <w:szCs w:val="23"/>
        </w:rPr>
      </w:pPr>
      <w:r w:rsidRPr="00D36406">
        <w:rPr>
          <w:sz w:val="23"/>
          <w:szCs w:val="23"/>
        </w:rPr>
        <w:t>_______</w:t>
      </w:r>
      <w:r>
        <w:rPr>
          <w:sz w:val="23"/>
          <w:szCs w:val="23"/>
        </w:rPr>
        <w:t>______________________________</w:t>
      </w:r>
    </w:p>
    <w:p w:rsidR="00F945AB" w:rsidRPr="00D36406" w:rsidRDefault="00F945AB" w:rsidP="00F945AB">
      <w:pPr>
        <w:ind w:left="4320"/>
        <w:jc w:val="both"/>
        <w:rPr>
          <w:sz w:val="23"/>
          <w:szCs w:val="23"/>
        </w:rPr>
      </w:pPr>
      <w:r w:rsidRPr="00D36406">
        <w:rPr>
          <w:sz w:val="23"/>
          <w:szCs w:val="23"/>
        </w:rPr>
        <w:t xml:space="preserve">Lisa M. Hawrot (Ohio </w:t>
      </w:r>
      <w:proofErr w:type="gramStart"/>
      <w:r w:rsidRPr="00D36406">
        <w:rPr>
          <w:sz w:val="23"/>
          <w:szCs w:val="23"/>
        </w:rPr>
        <w:t>Bar</w:t>
      </w:r>
      <w:proofErr w:type="gramEnd"/>
      <w:r w:rsidRPr="00D36406">
        <w:rPr>
          <w:sz w:val="23"/>
          <w:szCs w:val="23"/>
        </w:rPr>
        <w:t xml:space="preserve"> ID 0080098)</w:t>
      </w:r>
    </w:p>
    <w:p w:rsidR="00F945AB" w:rsidRPr="00D36406" w:rsidRDefault="00F945AB" w:rsidP="00F945AB">
      <w:pPr>
        <w:ind w:left="4320"/>
        <w:jc w:val="both"/>
        <w:rPr>
          <w:sz w:val="23"/>
          <w:szCs w:val="23"/>
        </w:rPr>
      </w:pPr>
      <w:proofErr w:type="spellStart"/>
      <w:r w:rsidRPr="00D36406">
        <w:rPr>
          <w:sz w:val="23"/>
          <w:szCs w:val="23"/>
        </w:rPr>
        <w:t>Spilman</w:t>
      </w:r>
      <w:proofErr w:type="spellEnd"/>
      <w:r w:rsidRPr="00D36406">
        <w:rPr>
          <w:sz w:val="23"/>
          <w:szCs w:val="23"/>
        </w:rPr>
        <w:t xml:space="preserve"> Thomas &amp; Battle, </w:t>
      </w:r>
      <w:proofErr w:type="spellStart"/>
      <w:r w:rsidRPr="00D36406">
        <w:rPr>
          <w:sz w:val="23"/>
          <w:szCs w:val="23"/>
        </w:rPr>
        <w:t>PLLC</w:t>
      </w:r>
      <w:proofErr w:type="spellEnd"/>
    </w:p>
    <w:p w:rsidR="00F945AB" w:rsidRPr="00D36406" w:rsidRDefault="00F945AB" w:rsidP="00F945AB">
      <w:pPr>
        <w:ind w:left="4320"/>
        <w:jc w:val="both"/>
        <w:rPr>
          <w:sz w:val="23"/>
          <w:szCs w:val="23"/>
        </w:rPr>
      </w:pPr>
      <w:r w:rsidRPr="00D36406">
        <w:rPr>
          <w:sz w:val="23"/>
          <w:szCs w:val="23"/>
        </w:rPr>
        <w:t>Century Centre Building</w:t>
      </w:r>
    </w:p>
    <w:p w:rsidR="00F945AB" w:rsidRPr="00D36406" w:rsidRDefault="00F945AB" w:rsidP="00F945AB">
      <w:pPr>
        <w:ind w:left="4320"/>
        <w:jc w:val="both"/>
        <w:rPr>
          <w:sz w:val="23"/>
          <w:szCs w:val="23"/>
        </w:rPr>
      </w:pPr>
      <w:r w:rsidRPr="00D36406">
        <w:rPr>
          <w:sz w:val="23"/>
          <w:szCs w:val="23"/>
        </w:rPr>
        <w:t>1233 Main Street, Suite 4000</w:t>
      </w:r>
    </w:p>
    <w:p w:rsidR="00F945AB" w:rsidRPr="00D36406" w:rsidRDefault="00F945AB" w:rsidP="00F945AB">
      <w:pPr>
        <w:ind w:left="4320"/>
        <w:jc w:val="both"/>
        <w:rPr>
          <w:sz w:val="23"/>
          <w:szCs w:val="23"/>
        </w:rPr>
      </w:pPr>
      <w:r w:rsidRPr="00D36406">
        <w:rPr>
          <w:sz w:val="23"/>
          <w:szCs w:val="23"/>
        </w:rPr>
        <w:t>P.O. Box 831</w:t>
      </w:r>
    </w:p>
    <w:p w:rsidR="00F945AB" w:rsidRPr="00D36406" w:rsidRDefault="00F945AB" w:rsidP="00F945AB">
      <w:pPr>
        <w:ind w:left="4320"/>
        <w:jc w:val="both"/>
        <w:rPr>
          <w:sz w:val="23"/>
          <w:szCs w:val="23"/>
        </w:rPr>
      </w:pPr>
      <w:r w:rsidRPr="00D36406">
        <w:rPr>
          <w:sz w:val="23"/>
          <w:szCs w:val="23"/>
        </w:rPr>
        <w:t>Wheeling, WV 26003-8731</w:t>
      </w:r>
    </w:p>
    <w:p w:rsidR="00F945AB" w:rsidRPr="00D36406" w:rsidRDefault="00F945AB" w:rsidP="00F945AB">
      <w:pPr>
        <w:ind w:left="4320"/>
        <w:jc w:val="both"/>
        <w:rPr>
          <w:sz w:val="23"/>
          <w:szCs w:val="23"/>
        </w:rPr>
      </w:pPr>
      <w:r w:rsidRPr="00D36406">
        <w:rPr>
          <w:sz w:val="23"/>
          <w:szCs w:val="23"/>
        </w:rPr>
        <w:t>Phone: (304) 230-6973</w:t>
      </w:r>
    </w:p>
    <w:p w:rsidR="00F945AB" w:rsidRPr="00D36406" w:rsidRDefault="00F945AB" w:rsidP="00F945AB">
      <w:pPr>
        <w:ind w:left="4320"/>
        <w:jc w:val="both"/>
        <w:rPr>
          <w:sz w:val="23"/>
          <w:szCs w:val="23"/>
        </w:rPr>
      </w:pPr>
      <w:r w:rsidRPr="00D36406">
        <w:rPr>
          <w:sz w:val="23"/>
          <w:szCs w:val="23"/>
        </w:rPr>
        <w:t>Fax: (304) 230-6951</w:t>
      </w:r>
    </w:p>
    <w:p w:rsidR="00F945AB" w:rsidRPr="00D36406" w:rsidRDefault="00F945AB" w:rsidP="00F945AB">
      <w:pPr>
        <w:ind w:left="4320"/>
        <w:jc w:val="both"/>
        <w:rPr>
          <w:sz w:val="23"/>
          <w:szCs w:val="23"/>
        </w:rPr>
      </w:pPr>
      <w:r w:rsidRPr="00D36406">
        <w:rPr>
          <w:sz w:val="23"/>
          <w:szCs w:val="23"/>
        </w:rPr>
        <w:t>E-mail: lhawrot@spilmanlaw.com</w:t>
      </w:r>
    </w:p>
    <w:p w:rsidR="00F945AB" w:rsidRPr="00D36406" w:rsidRDefault="00F945AB" w:rsidP="00F945AB">
      <w:pPr>
        <w:jc w:val="both"/>
        <w:rPr>
          <w:sz w:val="23"/>
          <w:szCs w:val="23"/>
        </w:rPr>
      </w:pPr>
    </w:p>
    <w:p w:rsidR="00F945AB" w:rsidRPr="00D36406" w:rsidRDefault="00F945AB" w:rsidP="00F945AB">
      <w:pPr>
        <w:ind w:left="4320"/>
        <w:jc w:val="both"/>
        <w:rPr>
          <w:sz w:val="23"/>
          <w:szCs w:val="23"/>
        </w:rPr>
      </w:pPr>
      <w:r w:rsidRPr="00D36406">
        <w:rPr>
          <w:sz w:val="23"/>
          <w:szCs w:val="23"/>
        </w:rPr>
        <w:t>Derrick Price Williamson</w:t>
      </w:r>
    </w:p>
    <w:p w:rsidR="00F945AB" w:rsidRPr="00D36406" w:rsidRDefault="00F945AB" w:rsidP="00F945AB">
      <w:pPr>
        <w:ind w:left="4320"/>
        <w:jc w:val="both"/>
        <w:rPr>
          <w:sz w:val="23"/>
          <w:szCs w:val="23"/>
        </w:rPr>
      </w:pPr>
      <w:proofErr w:type="spellStart"/>
      <w:r w:rsidRPr="00D36406">
        <w:rPr>
          <w:sz w:val="23"/>
          <w:szCs w:val="23"/>
        </w:rPr>
        <w:t>Spilman</w:t>
      </w:r>
      <w:proofErr w:type="spellEnd"/>
      <w:r w:rsidRPr="00D36406">
        <w:rPr>
          <w:sz w:val="23"/>
          <w:szCs w:val="23"/>
        </w:rPr>
        <w:t xml:space="preserve"> Thomas &amp; Battle, </w:t>
      </w:r>
      <w:proofErr w:type="spellStart"/>
      <w:r w:rsidRPr="00D36406">
        <w:rPr>
          <w:sz w:val="23"/>
          <w:szCs w:val="23"/>
        </w:rPr>
        <w:t>PLLC</w:t>
      </w:r>
      <w:proofErr w:type="spellEnd"/>
    </w:p>
    <w:p w:rsidR="00F945AB" w:rsidRPr="00D36406" w:rsidRDefault="00F945AB" w:rsidP="00F945AB">
      <w:pPr>
        <w:ind w:left="4320"/>
        <w:jc w:val="both"/>
        <w:rPr>
          <w:sz w:val="23"/>
          <w:szCs w:val="23"/>
        </w:rPr>
      </w:pPr>
      <w:r w:rsidRPr="00D36406">
        <w:rPr>
          <w:sz w:val="23"/>
          <w:szCs w:val="23"/>
        </w:rPr>
        <w:t>1100 Bent Creek Blvd., Suite 101</w:t>
      </w:r>
    </w:p>
    <w:p w:rsidR="00F945AB" w:rsidRPr="00D36406" w:rsidRDefault="00F945AB" w:rsidP="00F945AB">
      <w:pPr>
        <w:ind w:left="4320"/>
        <w:jc w:val="both"/>
        <w:rPr>
          <w:sz w:val="23"/>
          <w:szCs w:val="23"/>
        </w:rPr>
      </w:pPr>
      <w:r w:rsidRPr="00D36406">
        <w:rPr>
          <w:sz w:val="23"/>
          <w:szCs w:val="23"/>
        </w:rPr>
        <w:t>Mechanicsburg, PA 17050</w:t>
      </w:r>
    </w:p>
    <w:p w:rsidR="00F945AB" w:rsidRPr="00D36406" w:rsidRDefault="00F945AB" w:rsidP="00F945AB">
      <w:pPr>
        <w:ind w:left="4320"/>
        <w:jc w:val="both"/>
        <w:rPr>
          <w:sz w:val="23"/>
          <w:szCs w:val="23"/>
        </w:rPr>
      </w:pPr>
      <w:r w:rsidRPr="00D36406">
        <w:rPr>
          <w:sz w:val="23"/>
          <w:szCs w:val="23"/>
        </w:rPr>
        <w:t>Phone: (717) 795-2740</w:t>
      </w:r>
    </w:p>
    <w:p w:rsidR="00F945AB" w:rsidRPr="00D36406" w:rsidRDefault="00F945AB" w:rsidP="00F945AB">
      <w:pPr>
        <w:ind w:left="4320"/>
        <w:jc w:val="both"/>
        <w:rPr>
          <w:sz w:val="23"/>
          <w:szCs w:val="23"/>
        </w:rPr>
      </w:pPr>
      <w:r w:rsidRPr="00D36406">
        <w:rPr>
          <w:sz w:val="23"/>
          <w:szCs w:val="23"/>
        </w:rPr>
        <w:t>Fax: (717) 795-2743</w:t>
      </w:r>
    </w:p>
    <w:p w:rsidR="00F945AB" w:rsidRPr="00D36406" w:rsidRDefault="00F945AB" w:rsidP="00F945AB">
      <w:pPr>
        <w:ind w:left="4320"/>
        <w:jc w:val="both"/>
        <w:rPr>
          <w:sz w:val="23"/>
          <w:szCs w:val="23"/>
        </w:rPr>
      </w:pPr>
      <w:r w:rsidRPr="00D36406">
        <w:rPr>
          <w:sz w:val="23"/>
          <w:szCs w:val="23"/>
        </w:rPr>
        <w:t>E-mail: dwilliamson@spilmanlaw.com</w:t>
      </w:r>
    </w:p>
    <w:p w:rsidR="00F945AB" w:rsidRPr="00D36406" w:rsidRDefault="00F945AB" w:rsidP="00F945AB">
      <w:pPr>
        <w:ind w:left="4320"/>
        <w:jc w:val="both"/>
        <w:rPr>
          <w:sz w:val="23"/>
          <w:szCs w:val="23"/>
        </w:rPr>
      </w:pPr>
    </w:p>
    <w:p w:rsidR="00F945AB" w:rsidRPr="00D36406" w:rsidRDefault="00F945AB" w:rsidP="00F945AB">
      <w:pPr>
        <w:ind w:left="4320"/>
        <w:jc w:val="both"/>
        <w:rPr>
          <w:i/>
          <w:sz w:val="23"/>
          <w:szCs w:val="23"/>
        </w:rPr>
      </w:pPr>
      <w:proofErr w:type="gramStart"/>
      <w:r w:rsidRPr="00D36406">
        <w:rPr>
          <w:i/>
          <w:sz w:val="23"/>
          <w:szCs w:val="23"/>
        </w:rPr>
        <w:t>Counsel to Wal-Mart Stores East, LP</w:t>
      </w:r>
      <w:r>
        <w:rPr>
          <w:i/>
          <w:sz w:val="23"/>
          <w:szCs w:val="23"/>
        </w:rPr>
        <w:t>,</w:t>
      </w:r>
      <w:r w:rsidRPr="00D36406">
        <w:rPr>
          <w:i/>
          <w:sz w:val="23"/>
          <w:szCs w:val="23"/>
        </w:rPr>
        <w:t xml:space="preserve"> and Sam’s East, Inc.</w:t>
      </w:r>
      <w:proofErr w:type="gramEnd"/>
      <w:r w:rsidRPr="00D36406">
        <w:rPr>
          <w:i/>
          <w:sz w:val="23"/>
          <w:szCs w:val="23"/>
        </w:rPr>
        <w:t xml:space="preserve"> </w:t>
      </w:r>
    </w:p>
    <w:p w:rsidR="00F945AB" w:rsidRPr="00D36406" w:rsidRDefault="00F945AB" w:rsidP="00F945AB">
      <w:pPr>
        <w:spacing w:line="480" w:lineRule="auto"/>
        <w:jc w:val="both"/>
        <w:rPr>
          <w:sz w:val="23"/>
          <w:szCs w:val="23"/>
        </w:rPr>
      </w:pPr>
      <w:r w:rsidRPr="00D36406">
        <w:rPr>
          <w:sz w:val="23"/>
          <w:szCs w:val="23"/>
        </w:rPr>
        <w:tab/>
      </w:r>
      <w:r w:rsidRPr="00D36406">
        <w:rPr>
          <w:sz w:val="23"/>
          <w:szCs w:val="23"/>
        </w:rPr>
        <w:tab/>
      </w:r>
      <w:r w:rsidRPr="00D36406">
        <w:rPr>
          <w:sz w:val="23"/>
          <w:szCs w:val="23"/>
        </w:rPr>
        <w:tab/>
      </w:r>
      <w:r w:rsidRPr="00D36406">
        <w:rPr>
          <w:sz w:val="23"/>
          <w:szCs w:val="23"/>
        </w:rPr>
        <w:tab/>
      </w:r>
      <w:r w:rsidRPr="00D36406">
        <w:rPr>
          <w:sz w:val="23"/>
          <w:szCs w:val="23"/>
        </w:rPr>
        <w:tab/>
      </w:r>
      <w:r w:rsidRPr="00D36406">
        <w:rPr>
          <w:sz w:val="23"/>
          <w:szCs w:val="23"/>
        </w:rPr>
        <w:tab/>
      </w:r>
    </w:p>
    <w:p w:rsidR="00694170" w:rsidRDefault="00F945AB" w:rsidP="00F945AB">
      <w:pPr>
        <w:spacing w:line="480" w:lineRule="auto"/>
        <w:jc w:val="both"/>
        <w:rPr>
          <w:sz w:val="23"/>
          <w:szCs w:val="23"/>
        </w:rPr>
        <w:sectPr w:rsidR="00694170" w:rsidSect="00640106">
          <w:type w:val="continuous"/>
          <w:pgSz w:w="12240" w:h="15840"/>
          <w:pgMar w:top="1440" w:right="1440" w:bottom="1440" w:left="1440" w:header="720" w:footer="720" w:gutter="0"/>
          <w:cols w:space="720"/>
          <w:docGrid w:linePitch="360"/>
        </w:sectPr>
      </w:pPr>
      <w:r w:rsidRPr="00D36406">
        <w:rPr>
          <w:sz w:val="23"/>
          <w:szCs w:val="23"/>
        </w:rPr>
        <w:t xml:space="preserve">Dated: </w:t>
      </w:r>
      <w:r>
        <w:rPr>
          <w:sz w:val="23"/>
          <w:szCs w:val="23"/>
        </w:rPr>
        <w:t xml:space="preserve">July </w:t>
      </w:r>
      <w:r w:rsidR="00A5063A">
        <w:rPr>
          <w:sz w:val="23"/>
          <w:szCs w:val="23"/>
        </w:rPr>
        <w:t>23</w:t>
      </w:r>
      <w:r w:rsidRPr="00D36406">
        <w:rPr>
          <w:sz w:val="23"/>
          <w:szCs w:val="23"/>
        </w:rPr>
        <w:t>, 2014</w:t>
      </w:r>
      <w:r w:rsidR="00694170">
        <w:rPr>
          <w:sz w:val="23"/>
          <w:szCs w:val="23"/>
        </w:rPr>
        <w:tab/>
      </w:r>
    </w:p>
    <w:p w:rsidR="00F945AB" w:rsidRPr="00D82183" w:rsidRDefault="00F945AB" w:rsidP="00F945AB">
      <w:pPr>
        <w:spacing w:line="480" w:lineRule="auto"/>
        <w:jc w:val="both"/>
        <w:rPr>
          <w:sz w:val="24"/>
          <w:szCs w:val="24"/>
        </w:rPr>
      </w:pPr>
      <w:r w:rsidRPr="00D36406">
        <w:rPr>
          <w:sz w:val="23"/>
          <w:szCs w:val="23"/>
        </w:rPr>
        <w:tab/>
      </w:r>
      <w:r w:rsidRPr="00D36406">
        <w:rPr>
          <w:sz w:val="23"/>
          <w:szCs w:val="23"/>
        </w:rPr>
        <w:tab/>
      </w:r>
    </w:p>
    <w:p w:rsidR="00694170" w:rsidRPr="00694170" w:rsidRDefault="00694170" w:rsidP="00694170">
      <w:pPr>
        <w:widowControl/>
        <w:autoSpaceDE/>
        <w:autoSpaceDN/>
        <w:adjustRightInd/>
        <w:jc w:val="center"/>
        <w:rPr>
          <w:b/>
          <w:sz w:val="24"/>
          <w:szCs w:val="24"/>
        </w:rPr>
      </w:pPr>
      <w:r>
        <w:br w:type="page"/>
      </w:r>
      <w:r w:rsidRPr="00694170">
        <w:rPr>
          <w:b/>
          <w:sz w:val="24"/>
          <w:szCs w:val="24"/>
        </w:rPr>
        <w:t>CERTIFICATE OF SERVICE</w:t>
      </w:r>
    </w:p>
    <w:p w:rsidR="00694170" w:rsidRPr="00694170" w:rsidRDefault="00694170" w:rsidP="00694170">
      <w:pPr>
        <w:jc w:val="center"/>
        <w:rPr>
          <w:b/>
          <w:sz w:val="24"/>
          <w:szCs w:val="24"/>
        </w:rPr>
      </w:pPr>
    </w:p>
    <w:p w:rsidR="00694170" w:rsidRPr="00694170" w:rsidRDefault="00694170" w:rsidP="00694170">
      <w:pPr>
        <w:rPr>
          <w:sz w:val="24"/>
          <w:szCs w:val="24"/>
        </w:rPr>
      </w:pPr>
      <w:r w:rsidRPr="00694170">
        <w:rPr>
          <w:sz w:val="24"/>
          <w:szCs w:val="24"/>
        </w:rPr>
        <w:tab/>
        <w:t xml:space="preserve">I hereby certify that a true copy of the foregoing </w:t>
      </w:r>
      <w:r w:rsidRPr="00694170">
        <w:rPr>
          <w:i/>
          <w:sz w:val="24"/>
          <w:szCs w:val="24"/>
        </w:rPr>
        <w:t>Initial Brief</w:t>
      </w:r>
      <w:r w:rsidRPr="00694170">
        <w:rPr>
          <w:sz w:val="24"/>
          <w:szCs w:val="24"/>
        </w:rPr>
        <w:t>, submitted on behalf of Wal-Mart Stores East, LP, and Sam's East, Inc., was served by electronic mail, upon the following Parties of Record on this 23</w:t>
      </w:r>
      <w:r w:rsidRPr="00694170">
        <w:rPr>
          <w:sz w:val="24"/>
          <w:szCs w:val="24"/>
          <w:vertAlign w:val="superscript"/>
        </w:rPr>
        <w:t>rd</w:t>
      </w:r>
      <w:r w:rsidRPr="00694170">
        <w:rPr>
          <w:sz w:val="24"/>
          <w:szCs w:val="24"/>
        </w:rPr>
        <w:t xml:space="preserve"> day of July, 2014.</w:t>
      </w:r>
    </w:p>
    <w:p w:rsidR="00694170" w:rsidRPr="00694170" w:rsidRDefault="00694170" w:rsidP="00694170">
      <w:pPr>
        <w:rPr>
          <w:sz w:val="24"/>
          <w:szCs w:val="24"/>
        </w:rPr>
      </w:pPr>
    </w:p>
    <w:p w:rsidR="00694170" w:rsidRPr="00694170" w:rsidRDefault="00694170" w:rsidP="00694170">
      <w:pPr>
        <w:ind w:left="2250" w:firstLine="2700"/>
        <w:jc w:val="both"/>
        <w:rPr>
          <w:b/>
          <w:sz w:val="24"/>
          <w:szCs w:val="24"/>
          <w:u w:val="single"/>
        </w:rPr>
      </w:pPr>
      <w:r>
        <w:rPr>
          <w:sz w:val="24"/>
          <w:szCs w:val="24"/>
          <w:u w:val="single"/>
        </w:rPr>
        <w:tab/>
      </w:r>
      <w:r w:rsidRPr="00694170">
        <w:rPr>
          <w:b/>
          <w:sz w:val="24"/>
          <w:szCs w:val="24"/>
          <w:u w:val="single"/>
        </w:rPr>
        <w:t xml:space="preserve">        /s/ Lisa Hawrot</w:t>
      </w:r>
      <w:r w:rsidRPr="00694170">
        <w:rPr>
          <w:b/>
          <w:sz w:val="24"/>
          <w:szCs w:val="24"/>
          <w:u w:val="single"/>
        </w:rPr>
        <w:tab/>
      </w:r>
      <w:r w:rsidRPr="00694170">
        <w:rPr>
          <w:b/>
          <w:sz w:val="24"/>
          <w:szCs w:val="24"/>
          <w:u w:val="single"/>
        </w:rPr>
        <w:tab/>
      </w:r>
      <w:r w:rsidRPr="00694170">
        <w:rPr>
          <w:b/>
          <w:sz w:val="24"/>
          <w:szCs w:val="24"/>
          <w:u w:val="single"/>
        </w:rPr>
        <w:tab/>
      </w:r>
      <w:r w:rsidRPr="00694170">
        <w:rPr>
          <w:b/>
          <w:sz w:val="24"/>
          <w:szCs w:val="24"/>
          <w:u w:val="single"/>
        </w:rPr>
        <w:tab/>
      </w:r>
    </w:p>
    <w:p w:rsidR="00694170" w:rsidRPr="00694170" w:rsidRDefault="00694170" w:rsidP="00694170">
      <w:pPr>
        <w:ind w:left="1440" w:firstLine="3510"/>
        <w:jc w:val="both"/>
        <w:rPr>
          <w:sz w:val="24"/>
          <w:szCs w:val="24"/>
        </w:rPr>
      </w:pPr>
      <w:r w:rsidRPr="00694170">
        <w:rPr>
          <w:sz w:val="24"/>
          <w:szCs w:val="24"/>
        </w:rPr>
        <w:t xml:space="preserve">Lisa M. Hawrot (Ohio </w:t>
      </w:r>
      <w:proofErr w:type="gramStart"/>
      <w:r w:rsidRPr="00694170">
        <w:rPr>
          <w:sz w:val="24"/>
          <w:szCs w:val="24"/>
        </w:rPr>
        <w:t>Bar</w:t>
      </w:r>
      <w:proofErr w:type="gramEnd"/>
      <w:r w:rsidRPr="00694170">
        <w:rPr>
          <w:sz w:val="24"/>
          <w:szCs w:val="24"/>
        </w:rPr>
        <w:t xml:space="preserve"> ID 0080098)</w:t>
      </w:r>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sectPr w:rsidR="00694170" w:rsidRPr="00694170" w:rsidSect="00640106">
          <w:headerReference w:type="default" r:id="rId9"/>
          <w:footerReference w:type="default" r:id="rId10"/>
          <w:type w:val="continuous"/>
          <w:pgSz w:w="12240" w:h="15840"/>
          <w:pgMar w:top="1440" w:right="1440" w:bottom="1440" w:left="1440" w:header="720" w:footer="720" w:gutter="0"/>
          <w:cols w:space="720"/>
          <w:docGrid w:linePitch="360"/>
        </w:sectPr>
      </w:pPr>
    </w:p>
    <w:p w:rsidR="00694170" w:rsidRPr="00694170" w:rsidRDefault="00694170" w:rsidP="00694170">
      <w:pPr>
        <w:rPr>
          <w:sz w:val="24"/>
          <w:szCs w:val="24"/>
        </w:rPr>
      </w:pPr>
      <w:r w:rsidRPr="00694170">
        <w:rPr>
          <w:sz w:val="24"/>
          <w:szCs w:val="24"/>
        </w:rPr>
        <w:t>Sarah Parrot</w:t>
      </w:r>
    </w:p>
    <w:p w:rsidR="00694170" w:rsidRPr="00694170" w:rsidRDefault="00694170" w:rsidP="00694170">
      <w:pPr>
        <w:rPr>
          <w:sz w:val="24"/>
          <w:szCs w:val="24"/>
        </w:rPr>
      </w:pPr>
      <w:r w:rsidRPr="00694170">
        <w:rPr>
          <w:sz w:val="24"/>
          <w:szCs w:val="24"/>
        </w:rPr>
        <w:t>Greta See</w:t>
      </w:r>
    </w:p>
    <w:p w:rsidR="00694170" w:rsidRPr="00694170" w:rsidRDefault="00694170" w:rsidP="00694170">
      <w:pPr>
        <w:rPr>
          <w:sz w:val="24"/>
          <w:szCs w:val="24"/>
        </w:rPr>
      </w:pPr>
      <w:r w:rsidRPr="00694170">
        <w:rPr>
          <w:sz w:val="24"/>
          <w:szCs w:val="24"/>
        </w:rPr>
        <w:t>Public Utilities Commission of Ohio</w:t>
      </w:r>
    </w:p>
    <w:p w:rsidR="00694170" w:rsidRPr="00694170" w:rsidRDefault="00694170" w:rsidP="00694170">
      <w:pPr>
        <w:rPr>
          <w:sz w:val="24"/>
          <w:szCs w:val="24"/>
        </w:rPr>
      </w:pPr>
      <w:r w:rsidRPr="00694170">
        <w:rPr>
          <w:sz w:val="24"/>
          <w:szCs w:val="24"/>
        </w:rPr>
        <w:t>180 E. Broad Street</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11" w:history="1">
        <w:r w:rsidR="00694170" w:rsidRPr="00694170">
          <w:rPr>
            <w:rStyle w:val="Hyperlink"/>
            <w:sz w:val="24"/>
            <w:szCs w:val="24"/>
          </w:rPr>
          <w:t>sarah.parrot@puc.state.oh.us</w:t>
        </w:r>
      </w:hyperlink>
    </w:p>
    <w:p w:rsidR="00694170" w:rsidRPr="00694170" w:rsidRDefault="00C82C93" w:rsidP="00694170">
      <w:pPr>
        <w:rPr>
          <w:sz w:val="24"/>
          <w:szCs w:val="24"/>
        </w:rPr>
      </w:pPr>
      <w:hyperlink r:id="rId12" w:history="1">
        <w:r w:rsidR="00694170" w:rsidRPr="00694170">
          <w:rPr>
            <w:rStyle w:val="Hyperlink"/>
            <w:sz w:val="24"/>
            <w:szCs w:val="24"/>
          </w:rPr>
          <w:t>greta.see@puc.state.oh.us</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Deb J. Bingham</w:t>
      </w:r>
    </w:p>
    <w:p w:rsidR="00694170" w:rsidRPr="00694170" w:rsidRDefault="00694170" w:rsidP="00694170">
      <w:pPr>
        <w:rPr>
          <w:sz w:val="24"/>
          <w:szCs w:val="24"/>
        </w:rPr>
      </w:pPr>
      <w:r w:rsidRPr="00694170">
        <w:rPr>
          <w:sz w:val="24"/>
          <w:szCs w:val="24"/>
        </w:rPr>
        <w:t>Maureen R. Grady</w:t>
      </w:r>
    </w:p>
    <w:p w:rsidR="00694170" w:rsidRPr="00694170" w:rsidRDefault="00694170" w:rsidP="00694170">
      <w:pPr>
        <w:rPr>
          <w:sz w:val="24"/>
          <w:szCs w:val="24"/>
        </w:rPr>
      </w:pPr>
      <w:r w:rsidRPr="00694170">
        <w:rPr>
          <w:sz w:val="24"/>
          <w:szCs w:val="24"/>
        </w:rPr>
        <w:t>Office of the Ohio Consumers' Counsel</w:t>
      </w:r>
    </w:p>
    <w:p w:rsidR="00694170" w:rsidRPr="00694170" w:rsidRDefault="00694170" w:rsidP="00694170">
      <w:pPr>
        <w:rPr>
          <w:sz w:val="24"/>
          <w:szCs w:val="24"/>
        </w:rPr>
      </w:pPr>
      <w:r w:rsidRPr="00694170">
        <w:rPr>
          <w:sz w:val="24"/>
          <w:szCs w:val="24"/>
        </w:rPr>
        <w:t>10 W. Broad St., 18</w:t>
      </w:r>
      <w:r w:rsidRPr="00694170">
        <w:rPr>
          <w:sz w:val="24"/>
          <w:szCs w:val="24"/>
          <w:vertAlign w:val="superscript"/>
        </w:rPr>
        <w:t>th</w:t>
      </w:r>
      <w:r w:rsidRPr="00694170">
        <w:rPr>
          <w:sz w:val="24"/>
          <w:szCs w:val="24"/>
        </w:rPr>
        <w:t xml:space="preserve"> Floor</w:t>
      </w:r>
    </w:p>
    <w:p w:rsidR="00694170" w:rsidRPr="00694170" w:rsidRDefault="00694170" w:rsidP="00694170">
      <w:pPr>
        <w:rPr>
          <w:sz w:val="24"/>
          <w:szCs w:val="24"/>
        </w:rPr>
      </w:pPr>
      <w:r w:rsidRPr="00694170">
        <w:rPr>
          <w:sz w:val="24"/>
          <w:szCs w:val="24"/>
        </w:rPr>
        <w:t>Columbus, OH 43215-3485</w:t>
      </w:r>
    </w:p>
    <w:p w:rsidR="00694170" w:rsidRPr="00694170" w:rsidRDefault="00C82C93" w:rsidP="00694170">
      <w:pPr>
        <w:rPr>
          <w:sz w:val="24"/>
          <w:szCs w:val="24"/>
        </w:rPr>
      </w:pPr>
      <w:hyperlink r:id="rId13" w:history="1">
        <w:r w:rsidR="00694170" w:rsidRPr="00694170">
          <w:rPr>
            <w:rStyle w:val="Hyperlink"/>
            <w:sz w:val="24"/>
            <w:szCs w:val="24"/>
          </w:rPr>
          <w:t>bingham@occ.state.oh.us</w:t>
        </w:r>
      </w:hyperlink>
    </w:p>
    <w:p w:rsidR="00694170" w:rsidRPr="00694170" w:rsidRDefault="00C82C93" w:rsidP="00694170">
      <w:pPr>
        <w:rPr>
          <w:sz w:val="24"/>
          <w:szCs w:val="24"/>
        </w:rPr>
      </w:pPr>
      <w:hyperlink r:id="rId14" w:history="1">
        <w:r w:rsidR="00694170" w:rsidRPr="00694170">
          <w:rPr>
            <w:rStyle w:val="Hyperlink"/>
            <w:sz w:val="24"/>
            <w:szCs w:val="24"/>
          </w:rPr>
          <w:t>grady@occ.state.oh.us</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Steven T. </w:t>
      </w:r>
      <w:proofErr w:type="spellStart"/>
      <w:r w:rsidRPr="00694170">
        <w:rPr>
          <w:sz w:val="24"/>
          <w:szCs w:val="24"/>
        </w:rPr>
        <w:t>Nourse</w:t>
      </w:r>
      <w:proofErr w:type="spellEnd"/>
    </w:p>
    <w:p w:rsidR="00694170" w:rsidRPr="00694170" w:rsidRDefault="00694170" w:rsidP="00694170">
      <w:pPr>
        <w:rPr>
          <w:sz w:val="24"/>
          <w:szCs w:val="24"/>
        </w:rPr>
      </w:pPr>
      <w:r w:rsidRPr="00694170">
        <w:rPr>
          <w:sz w:val="24"/>
          <w:szCs w:val="24"/>
        </w:rPr>
        <w:t xml:space="preserve">Matthew J. </w:t>
      </w:r>
      <w:proofErr w:type="spellStart"/>
      <w:r w:rsidRPr="00694170">
        <w:rPr>
          <w:sz w:val="24"/>
          <w:szCs w:val="24"/>
        </w:rPr>
        <w:t>Satterwhite</w:t>
      </w:r>
      <w:proofErr w:type="spellEnd"/>
    </w:p>
    <w:p w:rsidR="00694170" w:rsidRPr="00694170" w:rsidRDefault="00694170" w:rsidP="00694170">
      <w:pPr>
        <w:rPr>
          <w:sz w:val="24"/>
          <w:szCs w:val="24"/>
        </w:rPr>
      </w:pPr>
      <w:r w:rsidRPr="00694170">
        <w:rPr>
          <w:sz w:val="24"/>
          <w:szCs w:val="24"/>
        </w:rPr>
        <w:t>American Electric Power Corporation</w:t>
      </w:r>
    </w:p>
    <w:p w:rsidR="00694170" w:rsidRPr="00694170" w:rsidRDefault="00694170" w:rsidP="00694170">
      <w:pPr>
        <w:rPr>
          <w:sz w:val="24"/>
          <w:szCs w:val="24"/>
        </w:rPr>
      </w:pPr>
      <w:r w:rsidRPr="00694170">
        <w:rPr>
          <w:sz w:val="24"/>
          <w:szCs w:val="24"/>
        </w:rPr>
        <w:t>1 Riverside Plaza, 29</w:t>
      </w:r>
      <w:r w:rsidRPr="00694170">
        <w:rPr>
          <w:sz w:val="24"/>
          <w:szCs w:val="24"/>
          <w:vertAlign w:val="superscript"/>
        </w:rPr>
        <w:t>th</w:t>
      </w:r>
      <w:r w:rsidRPr="00694170">
        <w:rPr>
          <w:sz w:val="24"/>
          <w:szCs w:val="24"/>
        </w:rPr>
        <w:t xml:space="preserve"> Floor</w:t>
      </w:r>
    </w:p>
    <w:p w:rsidR="00694170" w:rsidRPr="00694170" w:rsidRDefault="00694170" w:rsidP="00694170">
      <w:pPr>
        <w:rPr>
          <w:sz w:val="24"/>
          <w:szCs w:val="24"/>
        </w:rPr>
      </w:pPr>
      <w:r w:rsidRPr="00694170">
        <w:rPr>
          <w:sz w:val="24"/>
          <w:szCs w:val="24"/>
        </w:rPr>
        <w:t>Columbus, OH 43215-2373</w:t>
      </w:r>
    </w:p>
    <w:p w:rsidR="00694170" w:rsidRPr="00694170" w:rsidRDefault="00C82C93" w:rsidP="00694170">
      <w:pPr>
        <w:rPr>
          <w:sz w:val="24"/>
          <w:szCs w:val="24"/>
        </w:rPr>
      </w:pPr>
      <w:hyperlink r:id="rId15" w:history="1">
        <w:r w:rsidR="00694170" w:rsidRPr="00694170">
          <w:rPr>
            <w:rStyle w:val="Hyperlink"/>
            <w:sz w:val="24"/>
            <w:szCs w:val="24"/>
          </w:rPr>
          <w:t>stnourse@aep.com</w:t>
        </w:r>
      </w:hyperlink>
    </w:p>
    <w:p w:rsidR="00694170" w:rsidRPr="00694170" w:rsidRDefault="00C82C93" w:rsidP="00694170">
      <w:pPr>
        <w:rPr>
          <w:rStyle w:val="Hyperlink"/>
          <w:sz w:val="24"/>
          <w:szCs w:val="24"/>
        </w:rPr>
      </w:pPr>
      <w:hyperlink r:id="rId16" w:history="1">
        <w:r w:rsidR="00694170" w:rsidRPr="00694170">
          <w:rPr>
            <w:rStyle w:val="Hyperlink"/>
            <w:sz w:val="24"/>
            <w:szCs w:val="24"/>
          </w:rPr>
          <w:t>mjsatterwhite@aep.com</w:t>
        </w:r>
      </w:hyperlink>
    </w:p>
    <w:p w:rsidR="00694170" w:rsidRPr="00694170" w:rsidRDefault="00694170" w:rsidP="00694170">
      <w:pPr>
        <w:rPr>
          <w:rStyle w:val="Hyperlink"/>
          <w:sz w:val="24"/>
          <w:szCs w:val="24"/>
        </w:rPr>
      </w:pPr>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M. Howard </w:t>
      </w:r>
      <w:proofErr w:type="spellStart"/>
      <w:r w:rsidRPr="00694170">
        <w:rPr>
          <w:sz w:val="24"/>
          <w:szCs w:val="24"/>
        </w:rPr>
        <w:t>Petricoff</w:t>
      </w:r>
      <w:proofErr w:type="spellEnd"/>
    </w:p>
    <w:p w:rsidR="00694170" w:rsidRPr="00694170" w:rsidRDefault="00694170" w:rsidP="00694170">
      <w:pPr>
        <w:rPr>
          <w:sz w:val="24"/>
          <w:szCs w:val="24"/>
        </w:rPr>
      </w:pPr>
      <w:r w:rsidRPr="00694170">
        <w:rPr>
          <w:sz w:val="24"/>
          <w:szCs w:val="24"/>
        </w:rPr>
        <w:t xml:space="preserve">Gretchen L. </w:t>
      </w:r>
      <w:proofErr w:type="spellStart"/>
      <w:r w:rsidRPr="00694170">
        <w:rPr>
          <w:sz w:val="24"/>
          <w:szCs w:val="24"/>
        </w:rPr>
        <w:t>Petrucci</w:t>
      </w:r>
      <w:proofErr w:type="spellEnd"/>
    </w:p>
    <w:p w:rsidR="00694170" w:rsidRPr="00694170" w:rsidRDefault="00694170" w:rsidP="00694170">
      <w:pPr>
        <w:rPr>
          <w:sz w:val="24"/>
          <w:szCs w:val="24"/>
        </w:rPr>
      </w:pPr>
      <w:proofErr w:type="spellStart"/>
      <w:r w:rsidRPr="00694170">
        <w:rPr>
          <w:sz w:val="24"/>
          <w:szCs w:val="24"/>
        </w:rPr>
        <w:t>Vorys</w:t>
      </w:r>
      <w:proofErr w:type="spellEnd"/>
      <w:r w:rsidRPr="00694170">
        <w:rPr>
          <w:sz w:val="24"/>
          <w:szCs w:val="24"/>
        </w:rPr>
        <w:t xml:space="preserve">, </w:t>
      </w:r>
      <w:proofErr w:type="spellStart"/>
      <w:r w:rsidRPr="00694170">
        <w:rPr>
          <w:sz w:val="24"/>
          <w:szCs w:val="24"/>
        </w:rPr>
        <w:t>Sater</w:t>
      </w:r>
      <w:proofErr w:type="spellEnd"/>
      <w:r w:rsidRPr="00694170">
        <w:rPr>
          <w:sz w:val="24"/>
          <w:szCs w:val="24"/>
        </w:rPr>
        <w:t>, Seymour and Pease LLP</w:t>
      </w:r>
    </w:p>
    <w:p w:rsidR="00694170" w:rsidRPr="00694170" w:rsidRDefault="00694170" w:rsidP="00694170">
      <w:pPr>
        <w:rPr>
          <w:sz w:val="24"/>
          <w:szCs w:val="24"/>
        </w:rPr>
      </w:pPr>
      <w:r w:rsidRPr="00694170">
        <w:rPr>
          <w:sz w:val="24"/>
          <w:szCs w:val="24"/>
        </w:rPr>
        <w:t>52 East Gay Street</w:t>
      </w:r>
    </w:p>
    <w:p w:rsidR="00694170" w:rsidRPr="00694170" w:rsidRDefault="00694170" w:rsidP="00694170">
      <w:pPr>
        <w:rPr>
          <w:sz w:val="24"/>
          <w:szCs w:val="24"/>
        </w:rPr>
      </w:pPr>
      <w:r w:rsidRPr="00694170">
        <w:rPr>
          <w:sz w:val="24"/>
          <w:szCs w:val="24"/>
        </w:rPr>
        <w:t>P.O. Box 1008</w:t>
      </w:r>
    </w:p>
    <w:p w:rsidR="00694170" w:rsidRPr="00694170" w:rsidRDefault="00694170" w:rsidP="00694170">
      <w:pPr>
        <w:rPr>
          <w:sz w:val="24"/>
          <w:szCs w:val="24"/>
        </w:rPr>
      </w:pPr>
      <w:r w:rsidRPr="00694170">
        <w:rPr>
          <w:sz w:val="24"/>
          <w:szCs w:val="24"/>
        </w:rPr>
        <w:t>Columbus, OH 43216-1008</w:t>
      </w:r>
    </w:p>
    <w:p w:rsidR="00694170" w:rsidRPr="00694170" w:rsidRDefault="00C82C93" w:rsidP="00694170">
      <w:pPr>
        <w:rPr>
          <w:sz w:val="24"/>
          <w:szCs w:val="24"/>
        </w:rPr>
      </w:pPr>
      <w:hyperlink r:id="rId17" w:history="1">
        <w:r w:rsidR="00694170" w:rsidRPr="00694170">
          <w:rPr>
            <w:rStyle w:val="Hyperlink"/>
            <w:sz w:val="24"/>
            <w:szCs w:val="24"/>
          </w:rPr>
          <w:t>mhpetricoff@vorys.com</w:t>
        </w:r>
      </w:hyperlink>
    </w:p>
    <w:p w:rsidR="00694170" w:rsidRPr="00694170" w:rsidRDefault="00C82C93" w:rsidP="00694170">
      <w:pPr>
        <w:rPr>
          <w:sz w:val="24"/>
          <w:szCs w:val="24"/>
        </w:rPr>
      </w:pPr>
      <w:hyperlink r:id="rId18" w:history="1">
        <w:r w:rsidR="00694170" w:rsidRPr="00694170">
          <w:rPr>
            <w:rStyle w:val="Hyperlink"/>
            <w:sz w:val="24"/>
            <w:szCs w:val="24"/>
          </w:rPr>
          <w:t>glpetrucci@vorys.com</w:t>
        </w:r>
      </w:hyperlink>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Cynthia </w:t>
      </w:r>
      <w:proofErr w:type="spellStart"/>
      <w:r w:rsidRPr="00694170">
        <w:rPr>
          <w:sz w:val="24"/>
          <w:szCs w:val="24"/>
        </w:rPr>
        <w:t>Fonner</w:t>
      </w:r>
      <w:proofErr w:type="spellEnd"/>
      <w:r w:rsidRPr="00694170">
        <w:rPr>
          <w:sz w:val="24"/>
          <w:szCs w:val="24"/>
        </w:rPr>
        <w:t xml:space="preserve"> Brady</w:t>
      </w:r>
    </w:p>
    <w:p w:rsidR="00694170" w:rsidRPr="00694170" w:rsidRDefault="00694170" w:rsidP="00694170">
      <w:pPr>
        <w:rPr>
          <w:sz w:val="24"/>
          <w:szCs w:val="24"/>
        </w:rPr>
      </w:pPr>
      <w:r w:rsidRPr="00694170">
        <w:rPr>
          <w:sz w:val="24"/>
          <w:szCs w:val="24"/>
        </w:rPr>
        <w:t>Assistant General Counsel</w:t>
      </w:r>
    </w:p>
    <w:p w:rsidR="00694170" w:rsidRPr="00694170" w:rsidRDefault="00694170" w:rsidP="00694170">
      <w:pPr>
        <w:rPr>
          <w:sz w:val="24"/>
          <w:szCs w:val="24"/>
        </w:rPr>
      </w:pPr>
      <w:r w:rsidRPr="00694170">
        <w:rPr>
          <w:sz w:val="24"/>
          <w:szCs w:val="24"/>
        </w:rPr>
        <w:t>Exelon Business Services Company</w:t>
      </w:r>
    </w:p>
    <w:p w:rsidR="00694170" w:rsidRPr="00694170" w:rsidRDefault="00694170" w:rsidP="00694170">
      <w:pPr>
        <w:rPr>
          <w:sz w:val="24"/>
          <w:szCs w:val="24"/>
        </w:rPr>
      </w:pPr>
      <w:r w:rsidRPr="00694170">
        <w:rPr>
          <w:sz w:val="24"/>
          <w:szCs w:val="24"/>
        </w:rPr>
        <w:t>4300 Winfield Road</w:t>
      </w:r>
    </w:p>
    <w:p w:rsidR="00694170" w:rsidRPr="00694170" w:rsidRDefault="00694170" w:rsidP="00694170">
      <w:pPr>
        <w:rPr>
          <w:sz w:val="24"/>
          <w:szCs w:val="24"/>
        </w:rPr>
      </w:pPr>
      <w:r w:rsidRPr="00694170">
        <w:rPr>
          <w:sz w:val="24"/>
          <w:szCs w:val="24"/>
        </w:rPr>
        <w:t>Warrenville, IL 60555</w:t>
      </w:r>
    </w:p>
    <w:p w:rsidR="00694170" w:rsidRPr="00694170" w:rsidRDefault="00C82C93" w:rsidP="00694170">
      <w:pPr>
        <w:rPr>
          <w:sz w:val="24"/>
          <w:szCs w:val="24"/>
        </w:rPr>
      </w:pPr>
      <w:hyperlink r:id="rId19" w:history="1">
        <w:r w:rsidR="00694170" w:rsidRPr="00694170">
          <w:rPr>
            <w:rStyle w:val="Hyperlink"/>
            <w:sz w:val="24"/>
            <w:szCs w:val="24"/>
          </w:rPr>
          <w:t>cynthia.brady@constellation.com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Samantha Williams</w:t>
      </w:r>
    </w:p>
    <w:p w:rsidR="00694170" w:rsidRPr="00694170" w:rsidRDefault="00694170" w:rsidP="00694170">
      <w:pPr>
        <w:rPr>
          <w:sz w:val="24"/>
          <w:szCs w:val="24"/>
        </w:rPr>
      </w:pPr>
      <w:r w:rsidRPr="00694170">
        <w:rPr>
          <w:sz w:val="24"/>
          <w:szCs w:val="24"/>
        </w:rPr>
        <w:t>Natural Resources Defense Council</w:t>
      </w:r>
    </w:p>
    <w:p w:rsidR="00694170" w:rsidRPr="00694170" w:rsidRDefault="00694170" w:rsidP="00694170">
      <w:pPr>
        <w:rPr>
          <w:sz w:val="24"/>
          <w:szCs w:val="24"/>
        </w:rPr>
      </w:pPr>
      <w:r w:rsidRPr="00694170">
        <w:rPr>
          <w:sz w:val="24"/>
          <w:szCs w:val="24"/>
        </w:rPr>
        <w:t>20 N. Wacker Drive, Ste. 1600</w:t>
      </w:r>
    </w:p>
    <w:p w:rsidR="00694170" w:rsidRPr="00694170" w:rsidRDefault="00694170" w:rsidP="00694170">
      <w:pPr>
        <w:rPr>
          <w:sz w:val="24"/>
          <w:szCs w:val="24"/>
        </w:rPr>
      </w:pPr>
      <w:r w:rsidRPr="00694170">
        <w:rPr>
          <w:sz w:val="24"/>
          <w:szCs w:val="24"/>
        </w:rPr>
        <w:t>Chicago, IL 60606</w:t>
      </w:r>
    </w:p>
    <w:p w:rsidR="00694170" w:rsidRPr="00694170" w:rsidRDefault="00C82C93" w:rsidP="00694170">
      <w:pPr>
        <w:rPr>
          <w:sz w:val="24"/>
          <w:szCs w:val="24"/>
        </w:rPr>
      </w:pPr>
      <w:hyperlink r:id="rId20" w:history="1">
        <w:r w:rsidR="00694170" w:rsidRPr="00694170">
          <w:rPr>
            <w:rStyle w:val="Hyperlink"/>
            <w:sz w:val="24"/>
            <w:szCs w:val="24"/>
          </w:rPr>
          <w:t>swilliams@nrdc.org</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Mark A. Hayden</w:t>
      </w:r>
    </w:p>
    <w:p w:rsidR="00694170" w:rsidRPr="00694170" w:rsidRDefault="00694170" w:rsidP="00694170">
      <w:pPr>
        <w:rPr>
          <w:sz w:val="24"/>
          <w:szCs w:val="24"/>
        </w:rPr>
      </w:pPr>
      <w:r w:rsidRPr="00694170">
        <w:rPr>
          <w:sz w:val="24"/>
          <w:szCs w:val="24"/>
        </w:rPr>
        <w:t>Jacob A. McDermott</w:t>
      </w:r>
    </w:p>
    <w:p w:rsidR="00694170" w:rsidRPr="00694170" w:rsidRDefault="00694170" w:rsidP="00694170">
      <w:pPr>
        <w:rPr>
          <w:sz w:val="24"/>
          <w:szCs w:val="24"/>
        </w:rPr>
      </w:pPr>
      <w:r w:rsidRPr="00694170">
        <w:rPr>
          <w:sz w:val="24"/>
          <w:szCs w:val="24"/>
        </w:rPr>
        <w:t xml:space="preserve">Scott J. </w:t>
      </w:r>
      <w:proofErr w:type="spellStart"/>
      <w:r w:rsidRPr="00694170">
        <w:rPr>
          <w:sz w:val="24"/>
          <w:szCs w:val="24"/>
        </w:rPr>
        <w:t>Casto</w:t>
      </w:r>
      <w:proofErr w:type="spellEnd"/>
    </w:p>
    <w:p w:rsidR="00694170" w:rsidRPr="00694170" w:rsidRDefault="00694170" w:rsidP="00694170">
      <w:pPr>
        <w:rPr>
          <w:sz w:val="24"/>
          <w:szCs w:val="24"/>
        </w:rPr>
      </w:pPr>
      <w:r w:rsidRPr="00694170">
        <w:rPr>
          <w:sz w:val="24"/>
          <w:szCs w:val="24"/>
        </w:rPr>
        <w:t>FirstEnergy Service Company</w:t>
      </w:r>
    </w:p>
    <w:p w:rsidR="00694170" w:rsidRPr="00694170" w:rsidRDefault="00694170" w:rsidP="00694170">
      <w:pPr>
        <w:rPr>
          <w:sz w:val="24"/>
          <w:szCs w:val="24"/>
        </w:rPr>
      </w:pPr>
      <w:r w:rsidRPr="00694170">
        <w:rPr>
          <w:sz w:val="24"/>
          <w:szCs w:val="24"/>
        </w:rPr>
        <w:t>76 S. Main Street</w:t>
      </w:r>
    </w:p>
    <w:p w:rsidR="00694170" w:rsidRPr="00694170" w:rsidRDefault="00694170" w:rsidP="00694170">
      <w:pPr>
        <w:rPr>
          <w:sz w:val="24"/>
          <w:szCs w:val="24"/>
        </w:rPr>
      </w:pPr>
      <w:r w:rsidRPr="00694170">
        <w:rPr>
          <w:sz w:val="24"/>
          <w:szCs w:val="24"/>
        </w:rPr>
        <w:t>Akron, OH 44313</w:t>
      </w:r>
    </w:p>
    <w:p w:rsidR="00694170" w:rsidRPr="00694170" w:rsidRDefault="00C82C93" w:rsidP="00694170">
      <w:pPr>
        <w:rPr>
          <w:sz w:val="24"/>
          <w:szCs w:val="24"/>
        </w:rPr>
      </w:pPr>
      <w:hyperlink r:id="rId21" w:history="1">
        <w:r w:rsidR="00694170" w:rsidRPr="00694170">
          <w:rPr>
            <w:rStyle w:val="Hyperlink"/>
            <w:sz w:val="24"/>
            <w:szCs w:val="24"/>
          </w:rPr>
          <w:t>haydenm@firstenergycorp.com</w:t>
        </w:r>
      </w:hyperlink>
    </w:p>
    <w:p w:rsidR="00694170" w:rsidRPr="00694170" w:rsidRDefault="00C82C93" w:rsidP="00694170">
      <w:pPr>
        <w:rPr>
          <w:sz w:val="24"/>
          <w:szCs w:val="24"/>
        </w:rPr>
      </w:pPr>
      <w:hyperlink r:id="rId22" w:history="1">
        <w:r w:rsidR="00694170" w:rsidRPr="00694170">
          <w:rPr>
            <w:rStyle w:val="Hyperlink"/>
            <w:sz w:val="24"/>
            <w:szCs w:val="24"/>
          </w:rPr>
          <w:t>jmcdermott@firstenergycorp.com</w:t>
        </w:r>
      </w:hyperlink>
    </w:p>
    <w:p w:rsidR="00694170" w:rsidRPr="00694170" w:rsidRDefault="00C82C93" w:rsidP="00694170">
      <w:pPr>
        <w:rPr>
          <w:sz w:val="24"/>
          <w:szCs w:val="24"/>
        </w:rPr>
      </w:pPr>
      <w:hyperlink r:id="rId23" w:history="1">
        <w:r w:rsidR="00694170" w:rsidRPr="00694170">
          <w:rPr>
            <w:rStyle w:val="Hyperlink"/>
            <w:sz w:val="24"/>
            <w:szCs w:val="24"/>
          </w:rPr>
          <w:t>scasto@firstenergycorp.com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Trent A. Dougherty</w:t>
      </w:r>
    </w:p>
    <w:p w:rsidR="00694170" w:rsidRPr="00694170" w:rsidRDefault="00694170" w:rsidP="00694170">
      <w:pPr>
        <w:rPr>
          <w:sz w:val="24"/>
          <w:szCs w:val="24"/>
        </w:rPr>
      </w:pPr>
      <w:r w:rsidRPr="00694170">
        <w:rPr>
          <w:sz w:val="24"/>
          <w:szCs w:val="24"/>
        </w:rPr>
        <w:t>Ohio Environmental Council</w:t>
      </w:r>
    </w:p>
    <w:p w:rsidR="00694170" w:rsidRPr="00694170" w:rsidRDefault="00694170" w:rsidP="00694170">
      <w:pPr>
        <w:rPr>
          <w:sz w:val="24"/>
          <w:szCs w:val="24"/>
        </w:rPr>
      </w:pPr>
      <w:r w:rsidRPr="00694170">
        <w:rPr>
          <w:sz w:val="24"/>
          <w:szCs w:val="24"/>
        </w:rPr>
        <w:t>1207 Grandview Ave., Suite 201</w:t>
      </w:r>
    </w:p>
    <w:p w:rsidR="00694170" w:rsidRPr="00694170" w:rsidRDefault="00694170" w:rsidP="00694170">
      <w:pPr>
        <w:rPr>
          <w:sz w:val="24"/>
          <w:szCs w:val="24"/>
        </w:rPr>
      </w:pPr>
      <w:r w:rsidRPr="00694170">
        <w:rPr>
          <w:sz w:val="24"/>
          <w:szCs w:val="24"/>
        </w:rPr>
        <w:t>Columbus, OH 43212</w:t>
      </w:r>
    </w:p>
    <w:p w:rsidR="00694170" w:rsidRPr="00694170" w:rsidRDefault="00C82C93" w:rsidP="00694170">
      <w:pPr>
        <w:rPr>
          <w:sz w:val="24"/>
          <w:szCs w:val="24"/>
        </w:rPr>
      </w:pPr>
      <w:hyperlink r:id="rId24" w:history="1">
        <w:r w:rsidR="00694170" w:rsidRPr="00694170">
          <w:rPr>
            <w:rStyle w:val="Hyperlink"/>
            <w:sz w:val="24"/>
            <w:szCs w:val="24"/>
          </w:rPr>
          <w:t>Tdougherty@theOEC.org</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Mark S. </w:t>
      </w:r>
      <w:proofErr w:type="spellStart"/>
      <w:r w:rsidRPr="00694170">
        <w:rPr>
          <w:sz w:val="24"/>
          <w:szCs w:val="24"/>
        </w:rPr>
        <w:t>Yurick</w:t>
      </w:r>
      <w:proofErr w:type="spellEnd"/>
    </w:p>
    <w:p w:rsidR="00694170" w:rsidRPr="00694170" w:rsidRDefault="00694170" w:rsidP="00694170">
      <w:pPr>
        <w:rPr>
          <w:sz w:val="24"/>
          <w:szCs w:val="24"/>
        </w:rPr>
      </w:pPr>
      <w:r w:rsidRPr="00694170">
        <w:rPr>
          <w:sz w:val="24"/>
          <w:szCs w:val="24"/>
        </w:rPr>
        <w:t xml:space="preserve">Zachary D. </w:t>
      </w:r>
      <w:proofErr w:type="spellStart"/>
      <w:r w:rsidRPr="00694170">
        <w:rPr>
          <w:sz w:val="24"/>
          <w:szCs w:val="24"/>
        </w:rPr>
        <w:t>Kravitz</w:t>
      </w:r>
      <w:proofErr w:type="spellEnd"/>
    </w:p>
    <w:p w:rsidR="00694170" w:rsidRPr="00694170" w:rsidRDefault="00694170" w:rsidP="00694170">
      <w:pPr>
        <w:rPr>
          <w:sz w:val="24"/>
          <w:szCs w:val="24"/>
        </w:rPr>
      </w:pPr>
      <w:r w:rsidRPr="00694170">
        <w:rPr>
          <w:sz w:val="24"/>
          <w:szCs w:val="24"/>
        </w:rPr>
        <w:t>Taft Stettinius &amp; Hollister LLP</w:t>
      </w:r>
    </w:p>
    <w:p w:rsidR="00694170" w:rsidRPr="00694170" w:rsidRDefault="00694170" w:rsidP="00694170">
      <w:pPr>
        <w:rPr>
          <w:sz w:val="24"/>
          <w:szCs w:val="24"/>
        </w:rPr>
      </w:pPr>
      <w:r w:rsidRPr="00694170">
        <w:rPr>
          <w:sz w:val="24"/>
          <w:szCs w:val="24"/>
        </w:rPr>
        <w:t>65 E. State Street, Suite 1000</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25" w:history="1">
        <w:r w:rsidR="00694170" w:rsidRPr="00694170">
          <w:rPr>
            <w:rStyle w:val="Hyperlink"/>
            <w:sz w:val="24"/>
            <w:szCs w:val="24"/>
          </w:rPr>
          <w:t>myurick@taftlaw.com</w:t>
        </w:r>
      </w:hyperlink>
    </w:p>
    <w:p w:rsidR="00694170" w:rsidRPr="00694170" w:rsidRDefault="00C82C93" w:rsidP="00694170">
      <w:pPr>
        <w:rPr>
          <w:sz w:val="24"/>
          <w:szCs w:val="24"/>
        </w:rPr>
      </w:pPr>
      <w:hyperlink r:id="rId26" w:history="1">
        <w:r w:rsidR="00694170" w:rsidRPr="00694170">
          <w:rPr>
            <w:rStyle w:val="Hyperlink"/>
            <w:sz w:val="24"/>
            <w:szCs w:val="24"/>
          </w:rPr>
          <w:t>zkravitz@taftlaw.com</w:t>
        </w:r>
      </w:hyperlink>
    </w:p>
    <w:p w:rsidR="00694170" w:rsidRPr="00694170" w:rsidRDefault="00694170" w:rsidP="00694170">
      <w:pPr>
        <w:rPr>
          <w:sz w:val="24"/>
          <w:szCs w:val="24"/>
        </w:rPr>
      </w:pPr>
      <w:r w:rsidRPr="00694170">
        <w:rPr>
          <w:sz w:val="24"/>
          <w:szCs w:val="24"/>
        </w:rPr>
        <w:t>Colleen L. Mooney</w:t>
      </w:r>
    </w:p>
    <w:p w:rsidR="00694170" w:rsidRPr="00694170" w:rsidRDefault="00694170" w:rsidP="00694170">
      <w:pPr>
        <w:rPr>
          <w:sz w:val="24"/>
          <w:szCs w:val="24"/>
        </w:rPr>
      </w:pPr>
      <w:proofErr w:type="spellStart"/>
      <w:r w:rsidRPr="00694170">
        <w:rPr>
          <w:sz w:val="24"/>
          <w:szCs w:val="24"/>
        </w:rPr>
        <w:t>Cathryn</w:t>
      </w:r>
      <w:proofErr w:type="spellEnd"/>
      <w:r w:rsidRPr="00694170">
        <w:rPr>
          <w:sz w:val="24"/>
          <w:szCs w:val="24"/>
        </w:rPr>
        <w:t xml:space="preserve"> N. </w:t>
      </w:r>
      <w:proofErr w:type="spellStart"/>
      <w:r w:rsidRPr="00694170">
        <w:rPr>
          <w:sz w:val="24"/>
          <w:szCs w:val="24"/>
        </w:rPr>
        <w:t>Loucas</w:t>
      </w:r>
      <w:proofErr w:type="spellEnd"/>
    </w:p>
    <w:p w:rsidR="00694170" w:rsidRPr="00694170" w:rsidRDefault="00694170" w:rsidP="00694170">
      <w:pPr>
        <w:rPr>
          <w:sz w:val="24"/>
          <w:szCs w:val="24"/>
        </w:rPr>
      </w:pPr>
      <w:r w:rsidRPr="00694170">
        <w:rPr>
          <w:sz w:val="24"/>
          <w:szCs w:val="24"/>
        </w:rPr>
        <w:t>Ohio Partners for Affordable Energy</w:t>
      </w:r>
    </w:p>
    <w:p w:rsidR="00694170" w:rsidRPr="00694170" w:rsidRDefault="00694170" w:rsidP="00694170">
      <w:pPr>
        <w:rPr>
          <w:sz w:val="24"/>
          <w:szCs w:val="24"/>
        </w:rPr>
      </w:pPr>
      <w:r w:rsidRPr="00694170">
        <w:rPr>
          <w:sz w:val="24"/>
          <w:szCs w:val="24"/>
        </w:rPr>
        <w:t>231 West Lima Street</w:t>
      </w:r>
    </w:p>
    <w:p w:rsidR="00694170" w:rsidRPr="00694170" w:rsidRDefault="00694170" w:rsidP="00694170">
      <w:pPr>
        <w:rPr>
          <w:sz w:val="24"/>
          <w:szCs w:val="24"/>
        </w:rPr>
      </w:pPr>
      <w:r w:rsidRPr="00694170">
        <w:rPr>
          <w:sz w:val="24"/>
          <w:szCs w:val="24"/>
        </w:rPr>
        <w:t>Findlay, OH 45839</w:t>
      </w:r>
    </w:p>
    <w:p w:rsidR="00694170" w:rsidRPr="00694170" w:rsidRDefault="00C82C93" w:rsidP="00694170">
      <w:pPr>
        <w:rPr>
          <w:sz w:val="24"/>
          <w:szCs w:val="24"/>
        </w:rPr>
      </w:pPr>
      <w:hyperlink r:id="rId27" w:history="1">
        <w:r w:rsidR="00694170" w:rsidRPr="00694170">
          <w:rPr>
            <w:rStyle w:val="Hyperlink"/>
            <w:sz w:val="24"/>
            <w:szCs w:val="24"/>
          </w:rPr>
          <w:t>cmooney@ohiopartners.org</w:t>
        </w:r>
      </w:hyperlink>
    </w:p>
    <w:p w:rsidR="00694170" w:rsidRPr="00694170" w:rsidRDefault="00C82C93" w:rsidP="00694170">
      <w:pPr>
        <w:rPr>
          <w:sz w:val="24"/>
          <w:szCs w:val="24"/>
        </w:rPr>
      </w:pPr>
      <w:hyperlink r:id="rId28" w:history="1">
        <w:r w:rsidR="00694170" w:rsidRPr="00694170">
          <w:rPr>
            <w:rStyle w:val="Hyperlink"/>
            <w:sz w:val="24"/>
            <w:szCs w:val="24"/>
          </w:rPr>
          <w:t>cloucas@ohiopartners.org</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Richard L. Sites</w:t>
      </w:r>
    </w:p>
    <w:p w:rsidR="00694170" w:rsidRPr="00694170" w:rsidRDefault="00694170" w:rsidP="00694170">
      <w:pPr>
        <w:rPr>
          <w:sz w:val="24"/>
          <w:szCs w:val="24"/>
        </w:rPr>
      </w:pPr>
      <w:r w:rsidRPr="00694170">
        <w:rPr>
          <w:sz w:val="24"/>
          <w:szCs w:val="24"/>
        </w:rPr>
        <w:t>General Counsel &amp; Senior Director of</w:t>
      </w:r>
    </w:p>
    <w:p w:rsidR="00694170" w:rsidRPr="00694170" w:rsidRDefault="00694170" w:rsidP="00694170">
      <w:pPr>
        <w:rPr>
          <w:sz w:val="24"/>
          <w:szCs w:val="24"/>
        </w:rPr>
      </w:pPr>
      <w:r w:rsidRPr="00694170">
        <w:rPr>
          <w:sz w:val="24"/>
          <w:szCs w:val="24"/>
        </w:rPr>
        <w:t>Health Policy</w:t>
      </w:r>
    </w:p>
    <w:p w:rsidR="00694170" w:rsidRPr="00694170" w:rsidRDefault="00694170" w:rsidP="00694170">
      <w:pPr>
        <w:rPr>
          <w:sz w:val="24"/>
          <w:szCs w:val="24"/>
        </w:rPr>
      </w:pPr>
      <w:r w:rsidRPr="00694170">
        <w:rPr>
          <w:sz w:val="24"/>
          <w:szCs w:val="24"/>
        </w:rPr>
        <w:t>Ohio Hospital Association</w:t>
      </w:r>
    </w:p>
    <w:p w:rsidR="00694170" w:rsidRPr="00694170" w:rsidRDefault="00694170" w:rsidP="00694170">
      <w:pPr>
        <w:rPr>
          <w:sz w:val="24"/>
          <w:szCs w:val="24"/>
        </w:rPr>
      </w:pPr>
      <w:r w:rsidRPr="00694170">
        <w:rPr>
          <w:sz w:val="24"/>
          <w:szCs w:val="24"/>
        </w:rPr>
        <w:t>155 East Broad Street, 15</w:t>
      </w:r>
      <w:r w:rsidRPr="00694170">
        <w:rPr>
          <w:sz w:val="24"/>
          <w:szCs w:val="24"/>
          <w:vertAlign w:val="superscript"/>
        </w:rPr>
        <w:t>th</w:t>
      </w:r>
      <w:r w:rsidRPr="00694170">
        <w:rPr>
          <w:sz w:val="24"/>
          <w:szCs w:val="24"/>
        </w:rPr>
        <w:t xml:space="preserve"> Floor</w:t>
      </w:r>
    </w:p>
    <w:p w:rsidR="00694170" w:rsidRPr="00694170" w:rsidRDefault="00694170" w:rsidP="00694170">
      <w:pPr>
        <w:rPr>
          <w:sz w:val="24"/>
          <w:szCs w:val="24"/>
        </w:rPr>
      </w:pPr>
      <w:r w:rsidRPr="00694170">
        <w:rPr>
          <w:sz w:val="24"/>
          <w:szCs w:val="24"/>
        </w:rPr>
        <w:t>Columbus, OH 43215-3620</w:t>
      </w:r>
    </w:p>
    <w:p w:rsidR="00694170" w:rsidRPr="00694170" w:rsidRDefault="00C82C93" w:rsidP="00694170">
      <w:pPr>
        <w:rPr>
          <w:rStyle w:val="Hyperlink"/>
          <w:sz w:val="24"/>
          <w:szCs w:val="24"/>
        </w:rPr>
      </w:pPr>
      <w:hyperlink r:id="rId29" w:history="1">
        <w:r w:rsidR="00694170" w:rsidRPr="00694170">
          <w:rPr>
            <w:rStyle w:val="Hyperlink"/>
            <w:sz w:val="24"/>
            <w:szCs w:val="24"/>
          </w:rPr>
          <w:t>ricks@ohanet.org</w:t>
        </w:r>
      </w:hyperlink>
    </w:p>
    <w:p w:rsidR="00694170" w:rsidRPr="00694170" w:rsidRDefault="00694170" w:rsidP="00694170">
      <w:pPr>
        <w:rPr>
          <w:rStyle w:val="Hyperlink"/>
          <w:sz w:val="24"/>
          <w:szCs w:val="24"/>
        </w:rPr>
      </w:pPr>
    </w:p>
    <w:p w:rsidR="00694170" w:rsidRPr="00694170" w:rsidRDefault="00694170" w:rsidP="00694170">
      <w:pPr>
        <w:rPr>
          <w:sz w:val="24"/>
          <w:szCs w:val="24"/>
        </w:rPr>
      </w:pPr>
      <w:r w:rsidRPr="00694170">
        <w:rPr>
          <w:sz w:val="24"/>
          <w:szCs w:val="24"/>
        </w:rPr>
        <w:t>Thomas J. O'Brien</w:t>
      </w:r>
    </w:p>
    <w:p w:rsidR="00694170" w:rsidRPr="00694170" w:rsidRDefault="00694170" w:rsidP="00694170">
      <w:pPr>
        <w:rPr>
          <w:sz w:val="24"/>
          <w:szCs w:val="24"/>
        </w:rPr>
      </w:pPr>
      <w:r w:rsidRPr="00694170">
        <w:rPr>
          <w:sz w:val="24"/>
          <w:szCs w:val="24"/>
        </w:rPr>
        <w:t xml:space="preserve">Dylan </w:t>
      </w:r>
      <w:proofErr w:type="spellStart"/>
      <w:r w:rsidRPr="00694170">
        <w:rPr>
          <w:sz w:val="24"/>
          <w:szCs w:val="24"/>
        </w:rPr>
        <w:t>Borchers</w:t>
      </w:r>
      <w:proofErr w:type="spellEnd"/>
    </w:p>
    <w:p w:rsidR="00694170" w:rsidRPr="00694170" w:rsidRDefault="00694170" w:rsidP="00694170">
      <w:pPr>
        <w:rPr>
          <w:sz w:val="24"/>
          <w:szCs w:val="24"/>
        </w:rPr>
      </w:pPr>
      <w:r w:rsidRPr="00694170">
        <w:rPr>
          <w:sz w:val="24"/>
          <w:szCs w:val="24"/>
        </w:rPr>
        <w:t xml:space="preserve">Bricker &amp; </w:t>
      </w:r>
      <w:proofErr w:type="spellStart"/>
      <w:r w:rsidRPr="00694170">
        <w:rPr>
          <w:sz w:val="24"/>
          <w:szCs w:val="24"/>
        </w:rPr>
        <w:t>Eckler</w:t>
      </w:r>
      <w:proofErr w:type="spellEnd"/>
      <w:r w:rsidRPr="00694170">
        <w:rPr>
          <w:sz w:val="24"/>
          <w:szCs w:val="24"/>
        </w:rPr>
        <w:t xml:space="preserve"> LLP</w:t>
      </w:r>
    </w:p>
    <w:p w:rsidR="00694170" w:rsidRPr="00694170" w:rsidRDefault="00694170" w:rsidP="00694170">
      <w:pPr>
        <w:rPr>
          <w:sz w:val="24"/>
          <w:szCs w:val="24"/>
        </w:rPr>
      </w:pPr>
      <w:r w:rsidRPr="00694170">
        <w:rPr>
          <w:sz w:val="24"/>
          <w:szCs w:val="24"/>
        </w:rPr>
        <w:t>100 South Third Street</w:t>
      </w:r>
    </w:p>
    <w:p w:rsidR="00694170" w:rsidRPr="00694170" w:rsidRDefault="00694170" w:rsidP="00694170">
      <w:pPr>
        <w:rPr>
          <w:sz w:val="24"/>
          <w:szCs w:val="24"/>
        </w:rPr>
      </w:pPr>
      <w:r w:rsidRPr="00694170">
        <w:rPr>
          <w:sz w:val="24"/>
          <w:szCs w:val="24"/>
        </w:rPr>
        <w:t>Columbus, OH 43215-4291</w:t>
      </w:r>
    </w:p>
    <w:p w:rsidR="00694170" w:rsidRPr="00694170" w:rsidRDefault="00C82C93" w:rsidP="00694170">
      <w:pPr>
        <w:rPr>
          <w:sz w:val="24"/>
          <w:szCs w:val="24"/>
        </w:rPr>
      </w:pPr>
      <w:hyperlink r:id="rId30" w:history="1">
        <w:r w:rsidR="00694170" w:rsidRPr="00694170">
          <w:rPr>
            <w:rStyle w:val="Hyperlink"/>
            <w:sz w:val="24"/>
            <w:szCs w:val="24"/>
          </w:rPr>
          <w:t>tobrien@bricker.com</w:t>
        </w:r>
      </w:hyperlink>
    </w:p>
    <w:p w:rsidR="00694170" w:rsidRPr="00694170" w:rsidRDefault="00C82C93" w:rsidP="00694170">
      <w:pPr>
        <w:rPr>
          <w:sz w:val="24"/>
          <w:szCs w:val="24"/>
        </w:rPr>
      </w:pPr>
      <w:hyperlink r:id="rId31" w:history="1">
        <w:r w:rsidR="00694170" w:rsidRPr="00694170">
          <w:rPr>
            <w:rStyle w:val="Hyperlink"/>
            <w:sz w:val="24"/>
            <w:szCs w:val="24"/>
          </w:rPr>
          <w:t>dborchers@bricker.com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Philip B. </w:t>
      </w:r>
      <w:proofErr w:type="spellStart"/>
      <w:r w:rsidRPr="00694170">
        <w:rPr>
          <w:sz w:val="24"/>
          <w:szCs w:val="24"/>
        </w:rPr>
        <w:t>Sineneng</w:t>
      </w:r>
      <w:proofErr w:type="spellEnd"/>
    </w:p>
    <w:p w:rsidR="00694170" w:rsidRPr="00694170" w:rsidRDefault="00694170" w:rsidP="00694170">
      <w:pPr>
        <w:rPr>
          <w:sz w:val="24"/>
          <w:szCs w:val="24"/>
        </w:rPr>
      </w:pPr>
      <w:r w:rsidRPr="00694170">
        <w:rPr>
          <w:sz w:val="24"/>
          <w:szCs w:val="24"/>
        </w:rPr>
        <w:t xml:space="preserve">Stephanie M. </w:t>
      </w:r>
      <w:proofErr w:type="spellStart"/>
      <w:r w:rsidRPr="00694170">
        <w:rPr>
          <w:sz w:val="24"/>
          <w:szCs w:val="24"/>
        </w:rPr>
        <w:t>Chmiel</w:t>
      </w:r>
      <w:proofErr w:type="spellEnd"/>
    </w:p>
    <w:p w:rsidR="00694170" w:rsidRPr="00694170" w:rsidRDefault="00694170" w:rsidP="00694170">
      <w:pPr>
        <w:rPr>
          <w:sz w:val="24"/>
          <w:szCs w:val="24"/>
        </w:rPr>
      </w:pPr>
      <w:r w:rsidRPr="00694170">
        <w:rPr>
          <w:sz w:val="24"/>
          <w:szCs w:val="24"/>
        </w:rPr>
        <w:t>Thompson Hine LLP</w:t>
      </w:r>
    </w:p>
    <w:p w:rsidR="00694170" w:rsidRPr="00694170" w:rsidRDefault="00694170" w:rsidP="00694170">
      <w:pPr>
        <w:rPr>
          <w:sz w:val="24"/>
          <w:szCs w:val="24"/>
        </w:rPr>
      </w:pPr>
      <w:r w:rsidRPr="00694170">
        <w:rPr>
          <w:sz w:val="24"/>
          <w:szCs w:val="24"/>
        </w:rPr>
        <w:t>41 S. High Street, Suite 1700</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rStyle w:val="Hyperlink"/>
          <w:sz w:val="24"/>
          <w:szCs w:val="24"/>
        </w:rPr>
      </w:pPr>
      <w:hyperlink r:id="rId32" w:history="1">
        <w:r w:rsidR="00694170" w:rsidRPr="00694170">
          <w:rPr>
            <w:rStyle w:val="Hyperlink"/>
            <w:sz w:val="24"/>
            <w:szCs w:val="24"/>
          </w:rPr>
          <w:t>Philip.Sineneng@ThompsonHine.com</w:t>
        </w:r>
      </w:hyperlink>
    </w:p>
    <w:p w:rsidR="00694170" w:rsidRPr="00694170" w:rsidRDefault="00C82C93" w:rsidP="00694170">
      <w:pPr>
        <w:rPr>
          <w:rStyle w:val="Hyperlink"/>
          <w:sz w:val="24"/>
          <w:szCs w:val="24"/>
        </w:rPr>
      </w:pPr>
      <w:hyperlink r:id="rId33" w:history="1">
        <w:r w:rsidR="00694170" w:rsidRPr="00694170">
          <w:rPr>
            <w:rStyle w:val="Hyperlink"/>
            <w:sz w:val="24"/>
            <w:szCs w:val="24"/>
          </w:rPr>
          <w:t>Stephanie.Chmiel@ThompsonHine.com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Kimberly W. </w:t>
      </w:r>
      <w:proofErr w:type="spellStart"/>
      <w:r w:rsidRPr="00694170">
        <w:rPr>
          <w:sz w:val="24"/>
          <w:szCs w:val="24"/>
        </w:rPr>
        <w:t>Bojko</w:t>
      </w:r>
      <w:proofErr w:type="spellEnd"/>
    </w:p>
    <w:p w:rsidR="00694170" w:rsidRPr="00694170" w:rsidRDefault="00694170" w:rsidP="00694170">
      <w:pPr>
        <w:rPr>
          <w:sz w:val="24"/>
          <w:szCs w:val="24"/>
        </w:rPr>
      </w:pPr>
      <w:r w:rsidRPr="00694170">
        <w:rPr>
          <w:sz w:val="24"/>
          <w:szCs w:val="24"/>
        </w:rPr>
        <w:t xml:space="preserve">Mallory M. </w:t>
      </w:r>
      <w:proofErr w:type="spellStart"/>
      <w:r w:rsidRPr="00694170">
        <w:rPr>
          <w:sz w:val="24"/>
          <w:szCs w:val="24"/>
        </w:rPr>
        <w:t>Mohler</w:t>
      </w:r>
      <w:proofErr w:type="spellEnd"/>
    </w:p>
    <w:p w:rsidR="00694170" w:rsidRPr="00694170" w:rsidRDefault="00694170" w:rsidP="00694170">
      <w:pPr>
        <w:rPr>
          <w:sz w:val="24"/>
          <w:szCs w:val="24"/>
        </w:rPr>
      </w:pPr>
      <w:r w:rsidRPr="00694170">
        <w:rPr>
          <w:sz w:val="24"/>
          <w:szCs w:val="24"/>
        </w:rPr>
        <w:t xml:space="preserve">Carpenter </w:t>
      </w:r>
      <w:proofErr w:type="spellStart"/>
      <w:r w:rsidRPr="00694170">
        <w:rPr>
          <w:sz w:val="24"/>
          <w:szCs w:val="24"/>
        </w:rPr>
        <w:t>Lipps</w:t>
      </w:r>
      <w:proofErr w:type="spellEnd"/>
      <w:r w:rsidRPr="00694170">
        <w:rPr>
          <w:sz w:val="24"/>
          <w:szCs w:val="24"/>
        </w:rPr>
        <w:t xml:space="preserve"> &amp; Leland LLP</w:t>
      </w:r>
    </w:p>
    <w:p w:rsidR="00694170" w:rsidRPr="00694170" w:rsidRDefault="00694170" w:rsidP="00694170">
      <w:pPr>
        <w:rPr>
          <w:sz w:val="24"/>
          <w:szCs w:val="24"/>
        </w:rPr>
      </w:pPr>
      <w:r w:rsidRPr="00694170">
        <w:rPr>
          <w:sz w:val="24"/>
          <w:szCs w:val="24"/>
        </w:rPr>
        <w:t>280 North High Street</w:t>
      </w:r>
    </w:p>
    <w:p w:rsidR="00694170" w:rsidRPr="00694170" w:rsidRDefault="00694170" w:rsidP="00694170">
      <w:pPr>
        <w:rPr>
          <w:sz w:val="24"/>
          <w:szCs w:val="24"/>
        </w:rPr>
      </w:pPr>
      <w:r w:rsidRPr="00694170">
        <w:rPr>
          <w:sz w:val="24"/>
          <w:szCs w:val="24"/>
        </w:rPr>
        <w:t xml:space="preserve">280 </w:t>
      </w:r>
      <w:proofErr w:type="gramStart"/>
      <w:r w:rsidRPr="00694170">
        <w:rPr>
          <w:sz w:val="24"/>
          <w:szCs w:val="24"/>
        </w:rPr>
        <w:t>Plaza</w:t>
      </w:r>
      <w:proofErr w:type="gramEnd"/>
      <w:r w:rsidRPr="00694170">
        <w:rPr>
          <w:sz w:val="24"/>
          <w:szCs w:val="24"/>
        </w:rPr>
        <w:t>, Suite 1300</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34" w:history="1">
        <w:r w:rsidR="00694170" w:rsidRPr="00694170">
          <w:rPr>
            <w:rStyle w:val="Hyperlink"/>
            <w:sz w:val="24"/>
            <w:szCs w:val="24"/>
          </w:rPr>
          <w:t>bojko@carpenterlipps.com</w:t>
        </w:r>
      </w:hyperlink>
    </w:p>
    <w:p w:rsidR="00694170" w:rsidRPr="00694170" w:rsidRDefault="00C82C93" w:rsidP="00694170">
      <w:pPr>
        <w:rPr>
          <w:sz w:val="24"/>
          <w:szCs w:val="24"/>
        </w:rPr>
      </w:pPr>
      <w:hyperlink r:id="rId35" w:history="1">
        <w:r w:rsidR="00694170" w:rsidRPr="00694170">
          <w:rPr>
            <w:rStyle w:val="Hyperlink"/>
            <w:sz w:val="24"/>
            <w:szCs w:val="24"/>
          </w:rPr>
          <w:t>mohler@carpenterlipps.com</w:t>
        </w:r>
      </w:hyperlink>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fldChar w:fldCharType="begin"/>
      </w:r>
      <w:r w:rsidRPr="00694170">
        <w:rPr>
          <w:sz w:val="24"/>
          <w:szCs w:val="24"/>
        </w:rPr>
        <w:instrText xml:space="preserve"> HYPERLINK "mailto:ricks@ohanet.org</w:instrText>
      </w:r>
    </w:p>
    <w:p w:rsidR="00694170" w:rsidRPr="00694170" w:rsidRDefault="00694170" w:rsidP="00694170">
      <w:pPr>
        <w:rPr>
          <w:rStyle w:val="Hyperlink"/>
          <w:sz w:val="24"/>
          <w:szCs w:val="24"/>
        </w:rPr>
      </w:pPr>
      <w:r w:rsidRPr="00694170">
        <w:rPr>
          <w:sz w:val="24"/>
          <w:szCs w:val="24"/>
        </w:rPr>
        <w:br w:type="column"/>
        <w:instrText xml:space="preserve">J" </w:instrText>
      </w:r>
      <w:r w:rsidRPr="00694170">
        <w:rPr>
          <w:sz w:val="24"/>
          <w:szCs w:val="24"/>
        </w:rPr>
        <w:fldChar w:fldCharType="separate"/>
      </w:r>
    </w:p>
    <w:p w:rsidR="00694170" w:rsidRPr="00694170" w:rsidRDefault="00694170" w:rsidP="00694170">
      <w:pPr>
        <w:rPr>
          <w:sz w:val="24"/>
          <w:szCs w:val="24"/>
        </w:rPr>
      </w:pPr>
      <w:r w:rsidRPr="00694170">
        <w:rPr>
          <w:rStyle w:val="Hyperlink"/>
          <w:sz w:val="24"/>
          <w:szCs w:val="24"/>
        </w:rPr>
        <w:br w:type="column"/>
      </w:r>
      <w:r w:rsidRPr="00694170">
        <w:rPr>
          <w:sz w:val="24"/>
          <w:szCs w:val="24"/>
        </w:rPr>
        <w:fldChar w:fldCharType="end"/>
      </w:r>
      <w:r w:rsidRPr="00694170">
        <w:rPr>
          <w:sz w:val="24"/>
          <w:szCs w:val="24"/>
        </w:rPr>
        <w:t xml:space="preserve">Dianne </w:t>
      </w:r>
      <w:proofErr w:type="spellStart"/>
      <w:r w:rsidRPr="00694170">
        <w:rPr>
          <w:sz w:val="24"/>
          <w:szCs w:val="24"/>
        </w:rPr>
        <w:t>Kuhnell</w:t>
      </w:r>
      <w:proofErr w:type="spellEnd"/>
    </w:p>
    <w:p w:rsidR="00694170" w:rsidRPr="00694170" w:rsidRDefault="00694170" w:rsidP="00694170">
      <w:pPr>
        <w:rPr>
          <w:sz w:val="24"/>
          <w:szCs w:val="24"/>
        </w:rPr>
      </w:pPr>
      <w:r w:rsidRPr="00694170">
        <w:rPr>
          <w:sz w:val="24"/>
          <w:szCs w:val="24"/>
        </w:rPr>
        <w:t>Duke Energy Business Services</w:t>
      </w:r>
    </w:p>
    <w:p w:rsidR="00694170" w:rsidRPr="00694170" w:rsidRDefault="00694170" w:rsidP="00694170">
      <w:pPr>
        <w:rPr>
          <w:sz w:val="24"/>
          <w:szCs w:val="24"/>
        </w:rPr>
      </w:pPr>
      <w:r w:rsidRPr="00694170">
        <w:rPr>
          <w:sz w:val="24"/>
          <w:szCs w:val="24"/>
        </w:rPr>
        <w:t xml:space="preserve">139 E. Fourth Street </w:t>
      </w:r>
      <w:proofErr w:type="spellStart"/>
      <w:r w:rsidRPr="00694170">
        <w:rPr>
          <w:sz w:val="24"/>
          <w:szCs w:val="24"/>
        </w:rPr>
        <w:t>EA025</w:t>
      </w:r>
      <w:proofErr w:type="spellEnd"/>
    </w:p>
    <w:p w:rsidR="00694170" w:rsidRPr="00694170" w:rsidRDefault="00694170" w:rsidP="00694170">
      <w:pPr>
        <w:rPr>
          <w:sz w:val="24"/>
          <w:szCs w:val="24"/>
        </w:rPr>
      </w:pPr>
      <w:r w:rsidRPr="00694170">
        <w:rPr>
          <w:sz w:val="24"/>
          <w:szCs w:val="24"/>
        </w:rPr>
        <w:t>P.O. Box 960</w:t>
      </w:r>
    </w:p>
    <w:p w:rsidR="00694170" w:rsidRPr="00694170" w:rsidRDefault="00694170" w:rsidP="00694170">
      <w:pPr>
        <w:rPr>
          <w:sz w:val="24"/>
          <w:szCs w:val="24"/>
        </w:rPr>
      </w:pPr>
      <w:r w:rsidRPr="00694170">
        <w:rPr>
          <w:sz w:val="24"/>
          <w:szCs w:val="24"/>
        </w:rPr>
        <w:t>Cincinnati, OH 45201</w:t>
      </w:r>
    </w:p>
    <w:p w:rsidR="00694170" w:rsidRPr="00694170" w:rsidRDefault="00C82C93" w:rsidP="00694170">
      <w:pPr>
        <w:rPr>
          <w:sz w:val="24"/>
          <w:szCs w:val="24"/>
        </w:rPr>
      </w:pPr>
      <w:hyperlink r:id="rId36" w:history="1">
        <w:r w:rsidR="00694170" w:rsidRPr="00694170">
          <w:rPr>
            <w:rStyle w:val="Hyperlink"/>
            <w:sz w:val="24"/>
            <w:szCs w:val="24"/>
          </w:rPr>
          <w:t>Dianne.kuhnell@duke-energy.com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Samuel C. </w:t>
      </w:r>
      <w:proofErr w:type="spellStart"/>
      <w:r w:rsidRPr="00694170">
        <w:rPr>
          <w:sz w:val="24"/>
          <w:szCs w:val="24"/>
        </w:rPr>
        <w:t>Randazzo</w:t>
      </w:r>
      <w:proofErr w:type="spellEnd"/>
    </w:p>
    <w:p w:rsidR="00694170" w:rsidRPr="00694170" w:rsidRDefault="00694170" w:rsidP="00694170">
      <w:pPr>
        <w:rPr>
          <w:sz w:val="24"/>
          <w:szCs w:val="24"/>
        </w:rPr>
      </w:pPr>
      <w:r w:rsidRPr="00694170">
        <w:rPr>
          <w:sz w:val="24"/>
          <w:szCs w:val="24"/>
        </w:rPr>
        <w:t xml:space="preserve">Frank P. </w:t>
      </w:r>
      <w:proofErr w:type="spellStart"/>
      <w:r w:rsidRPr="00694170">
        <w:rPr>
          <w:sz w:val="24"/>
          <w:szCs w:val="24"/>
        </w:rPr>
        <w:t>Darr</w:t>
      </w:r>
      <w:proofErr w:type="spellEnd"/>
    </w:p>
    <w:p w:rsidR="00694170" w:rsidRPr="00694170" w:rsidRDefault="00694170" w:rsidP="00694170">
      <w:pPr>
        <w:rPr>
          <w:sz w:val="24"/>
          <w:szCs w:val="24"/>
        </w:rPr>
      </w:pPr>
      <w:r w:rsidRPr="00694170">
        <w:rPr>
          <w:sz w:val="24"/>
          <w:szCs w:val="24"/>
        </w:rPr>
        <w:t>Matthew R. Pritchard</w:t>
      </w:r>
    </w:p>
    <w:p w:rsidR="00694170" w:rsidRPr="00694170" w:rsidRDefault="00694170" w:rsidP="00694170">
      <w:pPr>
        <w:rPr>
          <w:sz w:val="24"/>
          <w:szCs w:val="24"/>
        </w:rPr>
      </w:pPr>
      <w:proofErr w:type="spellStart"/>
      <w:r w:rsidRPr="00694170">
        <w:rPr>
          <w:sz w:val="24"/>
          <w:szCs w:val="24"/>
        </w:rPr>
        <w:t>McNees</w:t>
      </w:r>
      <w:proofErr w:type="spellEnd"/>
      <w:r w:rsidRPr="00694170">
        <w:rPr>
          <w:sz w:val="24"/>
          <w:szCs w:val="24"/>
        </w:rPr>
        <w:t xml:space="preserve"> Wallace &amp; </w:t>
      </w:r>
      <w:proofErr w:type="spellStart"/>
      <w:r w:rsidRPr="00694170">
        <w:rPr>
          <w:sz w:val="24"/>
          <w:szCs w:val="24"/>
        </w:rPr>
        <w:t>Nurick</w:t>
      </w:r>
      <w:proofErr w:type="spellEnd"/>
      <w:r w:rsidRPr="00694170">
        <w:rPr>
          <w:sz w:val="24"/>
          <w:szCs w:val="24"/>
        </w:rPr>
        <w:t xml:space="preserve"> LLC</w:t>
      </w:r>
    </w:p>
    <w:p w:rsidR="00694170" w:rsidRPr="00694170" w:rsidRDefault="00694170" w:rsidP="00694170">
      <w:pPr>
        <w:rPr>
          <w:sz w:val="24"/>
          <w:szCs w:val="24"/>
        </w:rPr>
      </w:pPr>
      <w:r w:rsidRPr="00694170">
        <w:rPr>
          <w:sz w:val="24"/>
          <w:szCs w:val="24"/>
        </w:rPr>
        <w:t>21 East State Street, 17</w:t>
      </w:r>
      <w:r w:rsidRPr="00694170">
        <w:rPr>
          <w:sz w:val="24"/>
          <w:szCs w:val="24"/>
          <w:vertAlign w:val="superscript"/>
        </w:rPr>
        <w:t>th</w:t>
      </w:r>
      <w:r w:rsidRPr="00694170">
        <w:rPr>
          <w:sz w:val="24"/>
          <w:szCs w:val="24"/>
        </w:rPr>
        <w:t xml:space="preserve"> Floor</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37" w:history="1">
        <w:r w:rsidR="00694170" w:rsidRPr="00694170">
          <w:rPr>
            <w:rStyle w:val="Hyperlink"/>
            <w:sz w:val="24"/>
            <w:szCs w:val="24"/>
          </w:rPr>
          <w:t>sam@mwncmh.com</w:t>
        </w:r>
      </w:hyperlink>
    </w:p>
    <w:p w:rsidR="00694170" w:rsidRPr="00694170" w:rsidRDefault="00C82C93" w:rsidP="00694170">
      <w:pPr>
        <w:rPr>
          <w:sz w:val="24"/>
          <w:szCs w:val="24"/>
        </w:rPr>
      </w:pPr>
      <w:hyperlink r:id="rId38" w:history="1">
        <w:r w:rsidR="00694170" w:rsidRPr="00694170">
          <w:rPr>
            <w:rStyle w:val="Hyperlink"/>
            <w:sz w:val="24"/>
            <w:szCs w:val="24"/>
          </w:rPr>
          <w:t>fdarr@mwncmh.com</w:t>
        </w:r>
      </w:hyperlink>
    </w:p>
    <w:p w:rsidR="00694170" w:rsidRPr="00694170" w:rsidRDefault="00C82C93" w:rsidP="00694170">
      <w:pPr>
        <w:rPr>
          <w:sz w:val="24"/>
          <w:szCs w:val="24"/>
        </w:rPr>
      </w:pPr>
      <w:hyperlink r:id="rId39" w:history="1">
        <w:r w:rsidR="00694170" w:rsidRPr="00694170">
          <w:rPr>
            <w:rStyle w:val="Hyperlink"/>
            <w:sz w:val="24"/>
            <w:szCs w:val="24"/>
          </w:rPr>
          <w:t>mpritchard@mwncmh.com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David F. Boehm</w:t>
      </w:r>
    </w:p>
    <w:p w:rsidR="00694170" w:rsidRPr="00694170" w:rsidRDefault="00694170" w:rsidP="00694170">
      <w:pPr>
        <w:rPr>
          <w:sz w:val="24"/>
          <w:szCs w:val="24"/>
        </w:rPr>
      </w:pPr>
      <w:r w:rsidRPr="00694170">
        <w:rPr>
          <w:sz w:val="24"/>
          <w:szCs w:val="24"/>
        </w:rPr>
        <w:t>Michael L. Kurtz</w:t>
      </w:r>
    </w:p>
    <w:p w:rsidR="00694170" w:rsidRPr="00694170" w:rsidRDefault="00694170" w:rsidP="00694170">
      <w:pPr>
        <w:rPr>
          <w:sz w:val="24"/>
          <w:szCs w:val="24"/>
        </w:rPr>
      </w:pPr>
      <w:r w:rsidRPr="00694170">
        <w:rPr>
          <w:sz w:val="24"/>
          <w:szCs w:val="24"/>
        </w:rPr>
        <w:t>Jody Kyler Cohn</w:t>
      </w:r>
    </w:p>
    <w:p w:rsidR="00694170" w:rsidRPr="00694170" w:rsidRDefault="00694170" w:rsidP="00694170">
      <w:pPr>
        <w:rPr>
          <w:sz w:val="24"/>
          <w:szCs w:val="24"/>
        </w:rPr>
      </w:pPr>
      <w:r w:rsidRPr="00694170">
        <w:rPr>
          <w:sz w:val="24"/>
          <w:szCs w:val="24"/>
        </w:rPr>
        <w:t>Boehm, Kurtz &amp; Lowry</w:t>
      </w:r>
    </w:p>
    <w:p w:rsidR="00694170" w:rsidRPr="00694170" w:rsidRDefault="00694170" w:rsidP="00694170">
      <w:pPr>
        <w:rPr>
          <w:sz w:val="24"/>
          <w:szCs w:val="24"/>
        </w:rPr>
      </w:pPr>
      <w:r w:rsidRPr="00694170">
        <w:rPr>
          <w:sz w:val="24"/>
          <w:szCs w:val="24"/>
        </w:rPr>
        <w:t>36 E. Seventh St., Suite 1510</w:t>
      </w:r>
    </w:p>
    <w:p w:rsidR="00694170" w:rsidRPr="00694170" w:rsidRDefault="00694170" w:rsidP="00694170">
      <w:pPr>
        <w:rPr>
          <w:sz w:val="24"/>
          <w:szCs w:val="24"/>
        </w:rPr>
      </w:pPr>
      <w:r w:rsidRPr="00694170">
        <w:rPr>
          <w:sz w:val="24"/>
          <w:szCs w:val="24"/>
        </w:rPr>
        <w:t>Cincinnati, OH 45202</w:t>
      </w:r>
    </w:p>
    <w:p w:rsidR="00694170" w:rsidRPr="00694170" w:rsidRDefault="00C82C93" w:rsidP="00694170">
      <w:pPr>
        <w:rPr>
          <w:sz w:val="24"/>
          <w:szCs w:val="24"/>
        </w:rPr>
      </w:pPr>
      <w:hyperlink r:id="rId40" w:history="1">
        <w:r w:rsidR="00694170" w:rsidRPr="00694170">
          <w:rPr>
            <w:rStyle w:val="Hyperlink"/>
            <w:sz w:val="24"/>
            <w:szCs w:val="24"/>
          </w:rPr>
          <w:t>dboehm@bkllawfirm.com</w:t>
        </w:r>
      </w:hyperlink>
    </w:p>
    <w:p w:rsidR="00694170" w:rsidRPr="00694170" w:rsidRDefault="00C82C93" w:rsidP="00694170">
      <w:pPr>
        <w:rPr>
          <w:sz w:val="24"/>
          <w:szCs w:val="24"/>
        </w:rPr>
      </w:pPr>
      <w:hyperlink r:id="rId41" w:history="1">
        <w:r w:rsidR="00694170" w:rsidRPr="00694170">
          <w:rPr>
            <w:rStyle w:val="Hyperlink"/>
            <w:sz w:val="24"/>
            <w:szCs w:val="24"/>
          </w:rPr>
          <w:t>mkurtz@bkllawfirm.com</w:t>
        </w:r>
      </w:hyperlink>
    </w:p>
    <w:p w:rsidR="00694170" w:rsidRPr="00694170" w:rsidRDefault="00C82C93" w:rsidP="00694170">
      <w:pPr>
        <w:rPr>
          <w:sz w:val="24"/>
          <w:szCs w:val="24"/>
        </w:rPr>
      </w:pPr>
      <w:hyperlink r:id="rId42" w:history="1">
        <w:r w:rsidR="00694170" w:rsidRPr="00694170">
          <w:rPr>
            <w:rStyle w:val="Hyperlink"/>
            <w:sz w:val="24"/>
            <w:szCs w:val="24"/>
          </w:rPr>
          <w:t>jkylercohn@bkllawfirm.com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Joseph M. Clark</w:t>
      </w:r>
    </w:p>
    <w:p w:rsidR="00694170" w:rsidRPr="00694170" w:rsidRDefault="00694170" w:rsidP="00694170">
      <w:pPr>
        <w:rPr>
          <w:sz w:val="24"/>
          <w:szCs w:val="24"/>
        </w:rPr>
      </w:pPr>
      <w:r w:rsidRPr="00694170">
        <w:rPr>
          <w:sz w:val="24"/>
          <w:szCs w:val="24"/>
        </w:rPr>
        <w:t>Direct Energy</w:t>
      </w:r>
    </w:p>
    <w:p w:rsidR="00694170" w:rsidRPr="00694170" w:rsidRDefault="00694170" w:rsidP="00694170">
      <w:pPr>
        <w:rPr>
          <w:sz w:val="24"/>
          <w:szCs w:val="24"/>
        </w:rPr>
      </w:pPr>
      <w:r w:rsidRPr="00694170">
        <w:rPr>
          <w:sz w:val="24"/>
          <w:szCs w:val="24"/>
        </w:rPr>
        <w:t>21 East State Street, 19</w:t>
      </w:r>
      <w:r w:rsidRPr="00694170">
        <w:rPr>
          <w:sz w:val="24"/>
          <w:szCs w:val="24"/>
          <w:vertAlign w:val="superscript"/>
        </w:rPr>
        <w:t>th</w:t>
      </w:r>
      <w:r w:rsidRPr="00694170">
        <w:rPr>
          <w:sz w:val="24"/>
          <w:szCs w:val="24"/>
        </w:rPr>
        <w:t xml:space="preserve"> Floor</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43" w:history="1">
        <w:r w:rsidR="00694170" w:rsidRPr="00694170">
          <w:rPr>
            <w:rStyle w:val="Hyperlink"/>
            <w:sz w:val="24"/>
            <w:szCs w:val="24"/>
          </w:rPr>
          <w:t>joseph.clark@directenergy.com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Tyler A. </w:t>
      </w:r>
      <w:proofErr w:type="spellStart"/>
      <w:r w:rsidRPr="00694170">
        <w:rPr>
          <w:sz w:val="24"/>
          <w:szCs w:val="24"/>
        </w:rPr>
        <w:t>Teuscher</w:t>
      </w:r>
      <w:proofErr w:type="spellEnd"/>
    </w:p>
    <w:p w:rsidR="00694170" w:rsidRPr="00694170" w:rsidRDefault="00694170" w:rsidP="00694170">
      <w:pPr>
        <w:rPr>
          <w:sz w:val="24"/>
          <w:szCs w:val="24"/>
        </w:rPr>
      </w:pPr>
      <w:r w:rsidRPr="00694170">
        <w:rPr>
          <w:sz w:val="24"/>
          <w:szCs w:val="24"/>
        </w:rPr>
        <w:t xml:space="preserve">Judi L. </w:t>
      </w:r>
      <w:proofErr w:type="spellStart"/>
      <w:r w:rsidRPr="00694170">
        <w:rPr>
          <w:sz w:val="24"/>
          <w:szCs w:val="24"/>
        </w:rPr>
        <w:t>Sobecki</w:t>
      </w:r>
      <w:proofErr w:type="spellEnd"/>
    </w:p>
    <w:p w:rsidR="00694170" w:rsidRPr="00694170" w:rsidRDefault="00694170" w:rsidP="00694170">
      <w:pPr>
        <w:rPr>
          <w:sz w:val="24"/>
          <w:szCs w:val="24"/>
        </w:rPr>
      </w:pPr>
      <w:r w:rsidRPr="00694170">
        <w:rPr>
          <w:sz w:val="24"/>
          <w:szCs w:val="24"/>
        </w:rPr>
        <w:t>The Dayton Power and Light Company</w:t>
      </w:r>
    </w:p>
    <w:p w:rsidR="00694170" w:rsidRPr="00694170" w:rsidRDefault="00694170" w:rsidP="00694170">
      <w:pPr>
        <w:rPr>
          <w:sz w:val="24"/>
          <w:szCs w:val="24"/>
        </w:rPr>
      </w:pPr>
      <w:r w:rsidRPr="00694170">
        <w:rPr>
          <w:sz w:val="24"/>
          <w:szCs w:val="24"/>
        </w:rPr>
        <w:t>1065 Woodman Drive</w:t>
      </w:r>
    </w:p>
    <w:p w:rsidR="00694170" w:rsidRPr="00694170" w:rsidRDefault="00694170" w:rsidP="00694170">
      <w:pPr>
        <w:rPr>
          <w:sz w:val="24"/>
          <w:szCs w:val="24"/>
        </w:rPr>
      </w:pPr>
      <w:r w:rsidRPr="00694170">
        <w:rPr>
          <w:sz w:val="24"/>
          <w:szCs w:val="24"/>
        </w:rPr>
        <w:t>Dayton, OH 45432</w:t>
      </w:r>
    </w:p>
    <w:p w:rsidR="00694170" w:rsidRPr="00694170" w:rsidRDefault="00C82C93" w:rsidP="00694170">
      <w:pPr>
        <w:rPr>
          <w:sz w:val="24"/>
          <w:szCs w:val="24"/>
        </w:rPr>
      </w:pPr>
      <w:hyperlink r:id="rId44" w:history="1">
        <w:r w:rsidR="00694170" w:rsidRPr="00694170">
          <w:rPr>
            <w:rStyle w:val="Hyperlink"/>
            <w:sz w:val="24"/>
            <w:szCs w:val="24"/>
          </w:rPr>
          <w:t>Tyler.teuscher@dplinc.com</w:t>
        </w:r>
      </w:hyperlink>
    </w:p>
    <w:p w:rsidR="00694170" w:rsidRPr="00694170" w:rsidRDefault="00C82C93" w:rsidP="00694170">
      <w:pPr>
        <w:rPr>
          <w:sz w:val="24"/>
          <w:szCs w:val="24"/>
        </w:rPr>
      </w:pPr>
      <w:hyperlink r:id="rId45" w:history="1">
        <w:r w:rsidR="00694170" w:rsidRPr="00694170">
          <w:rPr>
            <w:rStyle w:val="Hyperlink"/>
            <w:sz w:val="24"/>
            <w:szCs w:val="24"/>
          </w:rPr>
          <w:t>Judi.sobecki@aes.com</w:t>
        </w:r>
      </w:hyperlink>
    </w:p>
    <w:p w:rsidR="00694170" w:rsidRDefault="00694170" w:rsidP="00694170">
      <w:pPr>
        <w:rPr>
          <w:sz w:val="24"/>
          <w:szCs w:val="24"/>
        </w:rPr>
        <w:sectPr w:rsidR="00694170" w:rsidSect="00876B4A">
          <w:headerReference w:type="default" r:id="rId46"/>
          <w:footerReference w:type="default" r:id="rId47"/>
          <w:type w:val="continuous"/>
          <w:pgSz w:w="12240" w:h="15840"/>
          <w:pgMar w:top="1440" w:right="1440" w:bottom="1440" w:left="1440" w:header="720" w:footer="720" w:gutter="0"/>
          <w:cols w:num="2" w:space="720"/>
          <w:docGrid w:linePitch="360"/>
        </w:sectPr>
      </w:pPr>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p>
    <w:p w:rsidR="00694170" w:rsidRDefault="00694170" w:rsidP="00694170">
      <w:pPr>
        <w:rPr>
          <w:sz w:val="24"/>
          <w:szCs w:val="24"/>
        </w:rPr>
      </w:pPr>
    </w:p>
    <w:p w:rsidR="00694170" w:rsidRPr="00694170" w:rsidRDefault="00694170" w:rsidP="00694170">
      <w:pPr>
        <w:rPr>
          <w:sz w:val="24"/>
          <w:szCs w:val="24"/>
        </w:rPr>
      </w:pPr>
      <w:r w:rsidRPr="00694170">
        <w:rPr>
          <w:sz w:val="24"/>
          <w:szCs w:val="24"/>
        </w:rPr>
        <w:t>Daniel R. Conway</w:t>
      </w:r>
    </w:p>
    <w:p w:rsidR="00694170" w:rsidRPr="00694170" w:rsidRDefault="00694170" w:rsidP="00694170">
      <w:pPr>
        <w:rPr>
          <w:sz w:val="24"/>
          <w:szCs w:val="24"/>
        </w:rPr>
      </w:pPr>
      <w:r w:rsidRPr="00694170">
        <w:rPr>
          <w:sz w:val="24"/>
          <w:szCs w:val="24"/>
        </w:rPr>
        <w:t>Porter Wright Morris &amp; Arthur</w:t>
      </w:r>
    </w:p>
    <w:p w:rsidR="00694170" w:rsidRPr="00694170" w:rsidRDefault="00694170" w:rsidP="00694170">
      <w:pPr>
        <w:rPr>
          <w:sz w:val="24"/>
          <w:szCs w:val="24"/>
        </w:rPr>
      </w:pPr>
      <w:r w:rsidRPr="00694170">
        <w:rPr>
          <w:sz w:val="24"/>
          <w:szCs w:val="24"/>
        </w:rPr>
        <w:t>Huntington Center</w:t>
      </w:r>
    </w:p>
    <w:p w:rsidR="00694170" w:rsidRPr="00694170" w:rsidRDefault="00694170" w:rsidP="00694170">
      <w:pPr>
        <w:rPr>
          <w:sz w:val="24"/>
          <w:szCs w:val="24"/>
        </w:rPr>
      </w:pPr>
      <w:r w:rsidRPr="00694170">
        <w:rPr>
          <w:sz w:val="24"/>
          <w:szCs w:val="24"/>
        </w:rPr>
        <w:t>41 South High Street</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48" w:history="1">
        <w:r w:rsidR="00694170" w:rsidRPr="00694170">
          <w:rPr>
            <w:rStyle w:val="Hyperlink"/>
            <w:sz w:val="24"/>
            <w:szCs w:val="24"/>
          </w:rPr>
          <w:t>dconway@porterwright.com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Nicholas McDaniel</w:t>
      </w:r>
    </w:p>
    <w:p w:rsidR="00694170" w:rsidRPr="00694170" w:rsidRDefault="00694170" w:rsidP="00694170">
      <w:pPr>
        <w:rPr>
          <w:sz w:val="24"/>
          <w:szCs w:val="24"/>
        </w:rPr>
      </w:pPr>
      <w:r w:rsidRPr="00694170">
        <w:rPr>
          <w:sz w:val="24"/>
          <w:szCs w:val="24"/>
        </w:rPr>
        <w:t>Environmental Law &amp; Policy Center</w:t>
      </w:r>
    </w:p>
    <w:p w:rsidR="00694170" w:rsidRPr="00694170" w:rsidRDefault="00694170" w:rsidP="00694170">
      <w:pPr>
        <w:rPr>
          <w:sz w:val="24"/>
          <w:szCs w:val="24"/>
        </w:rPr>
      </w:pPr>
      <w:r w:rsidRPr="00694170">
        <w:rPr>
          <w:sz w:val="24"/>
          <w:szCs w:val="24"/>
        </w:rPr>
        <w:t>1207 Grandview Avenue, Suite 201</w:t>
      </w:r>
    </w:p>
    <w:p w:rsidR="00694170" w:rsidRPr="00694170" w:rsidRDefault="00694170" w:rsidP="00694170">
      <w:pPr>
        <w:rPr>
          <w:sz w:val="24"/>
          <w:szCs w:val="24"/>
        </w:rPr>
      </w:pPr>
      <w:r w:rsidRPr="00694170">
        <w:rPr>
          <w:sz w:val="24"/>
          <w:szCs w:val="24"/>
        </w:rPr>
        <w:t>Columbus, OH 43212</w:t>
      </w:r>
    </w:p>
    <w:p w:rsidR="00694170" w:rsidRPr="00694170" w:rsidRDefault="00C82C93" w:rsidP="00694170">
      <w:pPr>
        <w:rPr>
          <w:sz w:val="24"/>
          <w:szCs w:val="24"/>
        </w:rPr>
      </w:pPr>
      <w:hyperlink r:id="rId49" w:history="1">
        <w:r w:rsidR="00694170" w:rsidRPr="00694170">
          <w:rPr>
            <w:rStyle w:val="Hyperlink"/>
            <w:sz w:val="24"/>
            <w:szCs w:val="24"/>
          </w:rPr>
          <w:t>NMcDaniel@elpc.org</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Marissa J. Bach</w:t>
      </w:r>
    </w:p>
    <w:p w:rsidR="00694170" w:rsidRPr="00694170" w:rsidRDefault="00694170" w:rsidP="00694170">
      <w:pPr>
        <w:rPr>
          <w:sz w:val="24"/>
          <w:szCs w:val="24"/>
        </w:rPr>
      </w:pPr>
      <w:r w:rsidRPr="00694170">
        <w:rPr>
          <w:sz w:val="24"/>
          <w:szCs w:val="24"/>
        </w:rPr>
        <w:t>Hess Energy Marketing, LLC</w:t>
      </w:r>
    </w:p>
    <w:p w:rsidR="00694170" w:rsidRPr="00694170" w:rsidRDefault="00694170" w:rsidP="00694170">
      <w:pPr>
        <w:rPr>
          <w:sz w:val="24"/>
          <w:szCs w:val="24"/>
        </w:rPr>
      </w:pPr>
      <w:r w:rsidRPr="00694170">
        <w:rPr>
          <w:sz w:val="24"/>
          <w:szCs w:val="24"/>
        </w:rPr>
        <w:t>One Hess Plaza</w:t>
      </w:r>
    </w:p>
    <w:p w:rsidR="00694170" w:rsidRPr="00694170" w:rsidRDefault="00694170" w:rsidP="00694170">
      <w:pPr>
        <w:rPr>
          <w:sz w:val="24"/>
          <w:szCs w:val="24"/>
        </w:rPr>
      </w:pPr>
      <w:r w:rsidRPr="00694170">
        <w:rPr>
          <w:sz w:val="24"/>
          <w:szCs w:val="24"/>
        </w:rPr>
        <w:t>Woodbridge, NJ 07030</w:t>
      </w:r>
    </w:p>
    <w:p w:rsidR="00694170" w:rsidRPr="00694170" w:rsidRDefault="00C82C93" w:rsidP="00694170">
      <w:pPr>
        <w:rPr>
          <w:sz w:val="24"/>
          <w:szCs w:val="24"/>
        </w:rPr>
      </w:pPr>
      <w:hyperlink r:id="rId50" w:history="1">
        <w:r w:rsidR="00694170" w:rsidRPr="00694170">
          <w:rPr>
            <w:rStyle w:val="Hyperlink"/>
            <w:sz w:val="24"/>
            <w:szCs w:val="24"/>
          </w:rPr>
          <w:t>mbach@hess.com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Mark A. Whitt</w:t>
      </w:r>
    </w:p>
    <w:p w:rsidR="00694170" w:rsidRPr="00694170" w:rsidRDefault="00694170" w:rsidP="00694170">
      <w:pPr>
        <w:rPr>
          <w:sz w:val="24"/>
          <w:szCs w:val="24"/>
        </w:rPr>
      </w:pPr>
      <w:r w:rsidRPr="00694170">
        <w:rPr>
          <w:sz w:val="24"/>
          <w:szCs w:val="24"/>
        </w:rPr>
        <w:t>Andrew J. Campbell</w:t>
      </w:r>
    </w:p>
    <w:p w:rsidR="00694170" w:rsidRPr="00694170" w:rsidRDefault="00694170" w:rsidP="00694170">
      <w:pPr>
        <w:rPr>
          <w:sz w:val="24"/>
          <w:szCs w:val="24"/>
        </w:rPr>
      </w:pPr>
      <w:r w:rsidRPr="00694170">
        <w:rPr>
          <w:sz w:val="24"/>
          <w:szCs w:val="24"/>
        </w:rPr>
        <w:t>Gregory L. Williams</w:t>
      </w:r>
    </w:p>
    <w:p w:rsidR="00694170" w:rsidRPr="00694170" w:rsidRDefault="00694170" w:rsidP="00694170">
      <w:pPr>
        <w:rPr>
          <w:sz w:val="24"/>
          <w:szCs w:val="24"/>
        </w:rPr>
      </w:pPr>
      <w:r w:rsidRPr="00694170">
        <w:rPr>
          <w:sz w:val="24"/>
          <w:szCs w:val="24"/>
        </w:rPr>
        <w:t>Whitt Sturtevant LLP</w:t>
      </w:r>
    </w:p>
    <w:p w:rsidR="00694170" w:rsidRPr="00694170" w:rsidRDefault="00694170" w:rsidP="00694170">
      <w:pPr>
        <w:rPr>
          <w:sz w:val="24"/>
          <w:szCs w:val="24"/>
        </w:rPr>
      </w:pPr>
      <w:r w:rsidRPr="00694170">
        <w:rPr>
          <w:sz w:val="24"/>
          <w:szCs w:val="24"/>
        </w:rPr>
        <w:t xml:space="preserve">The KeyBank Building </w:t>
      </w:r>
    </w:p>
    <w:p w:rsidR="00694170" w:rsidRPr="00694170" w:rsidRDefault="00694170" w:rsidP="00694170">
      <w:pPr>
        <w:rPr>
          <w:sz w:val="24"/>
          <w:szCs w:val="24"/>
        </w:rPr>
      </w:pPr>
      <w:r w:rsidRPr="00694170">
        <w:rPr>
          <w:sz w:val="24"/>
          <w:szCs w:val="24"/>
        </w:rPr>
        <w:t>88 East Broad Street, Suite 1590</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51" w:history="1">
        <w:r w:rsidR="00694170" w:rsidRPr="00694170">
          <w:rPr>
            <w:rStyle w:val="Hyperlink"/>
            <w:sz w:val="24"/>
            <w:szCs w:val="24"/>
          </w:rPr>
          <w:t>whitt@whitt-sturtevant.com</w:t>
        </w:r>
      </w:hyperlink>
    </w:p>
    <w:p w:rsidR="00694170" w:rsidRPr="00694170" w:rsidRDefault="00C82C93" w:rsidP="00694170">
      <w:pPr>
        <w:rPr>
          <w:sz w:val="24"/>
          <w:szCs w:val="24"/>
        </w:rPr>
      </w:pPr>
      <w:hyperlink r:id="rId52" w:history="1">
        <w:r w:rsidR="00694170" w:rsidRPr="00694170">
          <w:rPr>
            <w:rStyle w:val="Hyperlink"/>
            <w:sz w:val="24"/>
            <w:szCs w:val="24"/>
          </w:rPr>
          <w:t>campbell@whitt-sturtevant.com</w:t>
        </w:r>
      </w:hyperlink>
    </w:p>
    <w:p w:rsidR="00694170" w:rsidRPr="00694170" w:rsidRDefault="00C82C93" w:rsidP="00694170">
      <w:pPr>
        <w:rPr>
          <w:sz w:val="24"/>
          <w:szCs w:val="24"/>
        </w:rPr>
      </w:pPr>
      <w:hyperlink r:id="rId53" w:history="1">
        <w:r w:rsidR="00694170" w:rsidRPr="00694170">
          <w:rPr>
            <w:rStyle w:val="Hyperlink"/>
            <w:sz w:val="24"/>
            <w:szCs w:val="24"/>
          </w:rPr>
          <w:t>williams@whitt-sturtevant.com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Michael R. </w:t>
      </w:r>
      <w:proofErr w:type="spellStart"/>
      <w:r w:rsidRPr="00694170">
        <w:rPr>
          <w:sz w:val="24"/>
          <w:szCs w:val="24"/>
        </w:rPr>
        <w:t>Smalz</w:t>
      </w:r>
      <w:proofErr w:type="spellEnd"/>
    </w:p>
    <w:p w:rsidR="00694170" w:rsidRPr="00694170" w:rsidRDefault="00694170" w:rsidP="00694170">
      <w:pPr>
        <w:rPr>
          <w:sz w:val="24"/>
          <w:szCs w:val="24"/>
        </w:rPr>
      </w:pPr>
      <w:r w:rsidRPr="00694170">
        <w:rPr>
          <w:sz w:val="24"/>
          <w:szCs w:val="24"/>
        </w:rPr>
        <w:t>Ohio Poverty Law Center</w:t>
      </w:r>
    </w:p>
    <w:p w:rsidR="00694170" w:rsidRPr="00694170" w:rsidRDefault="00694170" w:rsidP="00694170">
      <w:pPr>
        <w:rPr>
          <w:sz w:val="24"/>
          <w:szCs w:val="24"/>
        </w:rPr>
      </w:pPr>
      <w:r w:rsidRPr="00694170">
        <w:rPr>
          <w:sz w:val="24"/>
          <w:szCs w:val="24"/>
        </w:rPr>
        <w:t xml:space="preserve">555 </w:t>
      </w:r>
      <w:proofErr w:type="spellStart"/>
      <w:r w:rsidRPr="00694170">
        <w:rPr>
          <w:sz w:val="24"/>
          <w:szCs w:val="24"/>
        </w:rPr>
        <w:t>Buttles</w:t>
      </w:r>
      <w:proofErr w:type="spellEnd"/>
      <w:r w:rsidRPr="00694170">
        <w:rPr>
          <w:sz w:val="24"/>
          <w:szCs w:val="24"/>
        </w:rPr>
        <w:t xml:space="preserve"> Avenue</w:t>
      </w:r>
    </w:p>
    <w:p w:rsidR="00694170" w:rsidRPr="00694170" w:rsidRDefault="00694170" w:rsidP="00694170">
      <w:pPr>
        <w:rPr>
          <w:sz w:val="24"/>
          <w:szCs w:val="24"/>
        </w:rPr>
      </w:pPr>
      <w:r w:rsidRPr="00694170">
        <w:rPr>
          <w:sz w:val="24"/>
          <w:szCs w:val="24"/>
        </w:rPr>
        <w:t>Columbus, OH 43215</w:t>
      </w:r>
    </w:p>
    <w:p w:rsidR="00694170" w:rsidRPr="00694170" w:rsidRDefault="00C82C93" w:rsidP="00694170">
      <w:pPr>
        <w:rPr>
          <w:sz w:val="24"/>
          <w:szCs w:val="24"/>
        </w:rPr>
      </w:pPr>
      <w:hyperlink r:id="rId54" w:history="1">
        <w:r w:rsidR="00694170" w:rsidRPr="00694170">
          <w:rPr>
            <w:rStyle w:val="Hyperlink"/>
            <w:sz w:val="24"/>
            <w:szCs w:val="24"/>
          </w:rPr>
          <w:t>msmalz@ohiopovertylaw.org</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Barth E. Royer</w:t>
      </w:r>
    </w:p>
    <w:p w:rsidR="00694170" w:rsidRPr="00694170" w:rsidRDefault="00694170" w:rsidP="00694170">
      <w:pPr>
        <w:rPr>
          <w:sz w:val="24"/>
          <w:szCs w:val="24"/>
        </w:rPr>
      </w:pPr>
      <w:r w:rsidRPr="00694170">
        <w:rPr>
          <w:sz w:val="24"/>
          <w:szCs w:val="24"/>
        </w:rPr>
        <w:t>Bell &amp; Royer Co., LPA</w:t>
      </w:r>
    </w:p>
    <w:p w:rsidR="00694170" w:rsidRPr="00694170" w:rsidRDefault="00694170" w:rsidP="00694170">
      <w:pPr>
        <w:rPr>
          <w:sz w:val="24"/>
          <w:szCs w:val="24"/>
        </w:rPr>
      </w:pPr>
      <w:r w:rsidRPr="00694170">
        <w:rPr>
          <w:sz w:val="24"/>
          <w:szCs w:val="24"/>
        </w:rPr>
        <w:t>33 South Grant Avenue</w:t>
      </w:r>
    </w:p>
    <w:p w:rsidR="00694170" w:rsidRPr="00694170" w:rsidRDefault="00694170" w:rsidP="00694170">
      <w:pPr>
        <w:rPr>
          <w:sz w:val="24"/>
          <w:szCs w:val="24"/>
        </w:rPr>
      </w:pPr>
      <w:r w:rsidRPr="00694170">
        <w:rPr>
          <w:sz w:val="24"/>
          <w:szCs w:val="24"/>
        </w:rPr>
        <w:t>Columbus, OH 43215-3927</w:t>
      </w:r>
    </w:p>
    <w:p w:rsidR="00694170" w:rsidRPr="00694170" w:rsidRDefault="00C82C93" w:rsidP="00694170">
      <w:pPr>
        <w:rPr>
          <w:sz w:val="24"/>
          <w:szCs w:val="24"/>
        </w:rPr>
      </w:pPr>
      <w:hyperlink r:id="rId55" w:history="1">
        <w:r w:rsidR="00694170" w:rsidRPr="00694170">
          <w:rPr>
            <w:rStyle w:val="Hyperlink"/>
            <w:sz w:val="24"/>
            <w:szCs w:val="24"/>
          </w:rPr>
          <w:t>barthroyer@aol.com</w:t>
        </w:r>
      </w:hyperlink>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Gary A. Jeffries</w:t>
      </w:r>
    </w:p>
    <w:p w:rsidR="00694170" w:rsidRPr="00694170" w:rsidRDefault="00694170" w:rsidP="00694170">
      <w:pPr>
        <w:rPr>
          <w:sz w:val="24"/>
          <w:szCs w:val="24"/>
        </w:rPr>
      </w:pPr>
      <w:r w:rsidRPr="00694170">
        <w:rPr>
          <w:sz w:val="24"/>
          <w:szCs w:val="24"/>
        </w:rPr>
        <w:t>Assistant General Counsel</w:t>
      </w:r>
    </w:p>
    <w:p w:rsidR="00694170" w:rsidRPr="00694170" w:rsidRDefault="00694170" w:rsidP="00694170">
      <w:pPr>
        <w:rPr>
          <w:sz w:val="24"/>
          <w:szCs w:val="24"/>
        </w:rPr>
      </w:pPr>
      <w:r w:rsidRPr="00694170">
        <w:rPr>
          <w:sz w:val="24"/>
          <w:szCs w:val="24"/>
        </w:rPr>
        <w:t>Dominion Resources Services, Inc.</w:t>
      </w:r>
    </w:p>
    <w:p w:rsidR="00694170" w:rsidRPr="00694170" w:rsidRDefault="00694170" w:rsidP="00694170">
      <w:pPr>
        <w:rPr>
          <w:sz w:val="24"/>
          <w:szCs w:val="24"/>
        </w:rPr>
      </w:pPr>
      <w:r w:rsidRPr="00694170">
        <w:rPr>
          <w:sz w:val="24"/>
          <w:szCs w:val="24"/>
        </w:rPr>
        <w:t>501 Martindale Street, Suite 400</w:t>
      </w:r>
    </w:p>
    <w:p w:rsidR="00694170" w:rsidRPr="00694170" w:rsidRDefault="00694170" w:rsidP="00694170">
      <w:pPr>
        <w:rPr>
          <w:sz w:val="24"/>
          <w:szCs w:val="24"/>
        </w:rPr>
      </w:pPr>
      <w:r w:rsidRPr="00694170">
        <w:rPr>
          <w:sz w:val="24"/>
          <w:szCs w:val="24"/>
        </w:rPr>
        <w:t>Pittsburgh, PA 15212-5817</w:t>
      </w:r>
    </w:p>
    <w:p w:rsidR="00694170" w:rsidRPr="00694170" w:rsidRDefault="00C82C93" w:rsidP="00694170">
      <w:pPr>
        <w:rPr>
          <w:sz w:val="24"/>
          <w:szCs w:val="24"/>
        </w:rPr>
      </w:pPr>
      <w:hyperlink r:id="rId56" w:history="1">
        <w:r w:rsidR="00694170" w:rsidRPr="00694170">
          <w:rPr>
            <w:rStyle w:val="Hyperlink"/>
            <w:sz w:val="24"/>
            <w:szCs w:val="24"/>
          </w:rPr>
          <w:t>Gary.A.Jeffries@dom.com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Vincent </w:t>
      </w:r>
      <w:proofErr w:type="spellStart"/>
      <w:r w:rsidRPr="00694170">
        <w:rPr>
          <w:sz w:val="24"/>
          <w:szCs w:val="24"/>
        </w:rPr>
        <w:t>Parisi</w:t>
      </w:r>
      <w:proofErr w:type="spellEnd"/>
    </w:p>
    <w:p w:rsidR="00694170" w:rsidRPr="00694170" w:rsidRDefault="00694170" w:rsidP="00694170">
      <w:pPr>
        <w:rPr>
          <w:sz w:val="24"/>
          <w:szCs w:val="24"/>
        </w:rPr>
      </w:pPr>
      <w:r w:rsidRPr="00694170">
        <w:rPr>
          <w:sz w:val="24"/>
          <w:szCs w:val="24"/>
        </w:rPr>
        <w:t xml:space="preserve">Lawrence </w:t>
      </w:r>
      <w:proofErr w:type="spellStart"/>
      <w:r w:rsidRPr="00694170">
        <w:rPr>
          <w:sz w:val="24"/>
          <w:szCs w:val="24"/>
        </w:rPr>
        <w:t>Friedeman</w:t>
      </w:r>
      <w:proofErr w:type="spellEnd"/>
    </w:p>
    <w:p w:rsidR="00694170" w:rsidRPr="00694170" w:rsidRDefault="00694170" w:rsidP="00694170">
      <w:pPr>
        <w:rPr>
          <w:sz w:val="24"/>
          <w:szCs w:val="24"/>
        </w:rPr>
      </w:pPr>
      <w:r w:rsidRPr="00694170">
        <w:rPr>
          <w:sz w:val="24"/>
          <w:szCs w:val="24"/>
        </w:rPr>
        <w:t>Matthew White</w:t>
      </w:r>
    </w:p>
    <w:p w:rsidR="00694170" w:rsidRPr="00694170" w:rsidRDefault="00694170" w:rsidP="00694170">
      <w:pPr>
        <w:rPr>
          <w:sz w:val="24"/>
          <w:szCs w:val="24"/>
        </w:rPr>
      </w:pPr>
      <w:r w:rsidRPr="00694170">
        <w:rPr>
          <w:sz w:val="24"/>
          <w:szCs w:val="24"/>
        </w:rPr>
        <w:t>Interstate Gas Supply, Inc.</w:t>
      </w:r>
    </w:p>
    <w:p w:rsidR="00694170" w:rsidRPr="00694170" w:rsidRDefault="00694170" w:rsidP="00694170">
      <w:pPr>
        <w:rPr>
          <w:sz w:val="24"/>
          <w:szCs w:val="24"/>
        </w:rPr>
      </w:pPr>
      <w:r w:rsidRPr="00694170">
        <w:rPr>
          <w:sz w:val="24"/>
          <w:szCs w:val="24"/>
        </w:rPr>
        <w:t>6100 Emerald Parkway</w:t>
      </w:r>
    </w:p>
    <w:p w:rsidR="00694170" w:rsidRPr="00694170" w:rsidRDefault="00694170" w:rsidP="00694170">
      <w:pPr>
        <w:rPr>
          <w:sz w:val="24"/>
          <w:szCs w:val="24"/>
        </w:rPr>
      </w:pPr>
      <w:r w:rsidRPr="00694170">
        <w:rPr>
          <w:sz w:val="24"/>
          <w:szCs w:val="24"/>
        </w:rPr>
        <w:t>Dublin, OH 43016</w:t>
      </w:r>
    </w:p>
    <w:p w:rsidR="00694170" w:rsidRPr="00694170" w:rsidRDefault="00C82C93" w:rsidP="00694170">
      <w:pPr>
        <w:rPr>
          <w:sz w:val="24"/>
          <w:szCs w:val="24"/>
        </w:rPr>
      </w:pPr>
      <w:hyperlink r:id="rId57" w:history="1">
        <w:r w:rsidR="00694170" w:rsidRPr="00694170">
          <w:rPr>
            <w:rStyle w:val="Hyperlink"/>
            <w:sz w:val="24"/>
            <w:szCs w:val="24"/>
          </w:rPr>
          <w:t>vparisi@igsenergy.com</w:t>
        </w:r>
      </w:hyperlink>
    </w:p>
    <w:p w:rsidR="00694170" w:rsidRPr="00694170" w:rsidRDefault="00C82C93" w:rsidP="00694170">
      <w:pPr>
        <w:rPr>
          <w:sz w:val="24"/>
          <w:szCs w:val="24"/>
        </w:rPr>
      </w:pPr>
      <w:hyperlink r:id="rId58" w:history="1">
        <w:r w:rsidR="00694170" w:rsidRPr="00694170">
          <w:rPr>
            <w:rStyle w:val="Hyperlink"/>
            <w:sz w:val="24"/>
            <w:szCs w:val="24"/>
          </w:rPr>
          <w:t>lfriedeman@igsenergy.com</w:t>
        </w:r>
      </w:hyperlink>
    </w:p>
    <w:p w:rsidR="00694170" w:rsidRPr="00694170" w:rsidRDefault="00C82C93" w:rsidP="00694170">
      <w:pPr>
        <w:rPr>
          <w:sz w:val="24"/>
          <w:szCs w:val="24"/>
        </w:rPr>
      </w:pPr>
      <w:hyperlink r:id="rId59" w:history="1">
        <w:r w:rsidR="00694170" w:rsidRPr="00694170">
          <w:rPr>
            <w:rStyle w:val="Hyperlink"/>
            <w:sz w:val="24"/>
            <w:szCs w:val="24"/>
          </w:rPr>
          <w:t>mswhite@igsenergy.com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John </w:t>
      </w:r>
      <w:proofErr w:type="spellStart"/>
      <w:r w:rsidRPr="00694170">
        <w:rPr>
          <w:sz w:val="24"/>
          <w:szCs w:val="24"/>
        </w:rPr>
        <w:t>Finnigan</w:t>
      </w:r>
      <w:proofErr w:type="spellEnd"/>
    </w:p>
    <w:p w:rsidR="00694170" w:rsidRPr="00694170" w:rsidRDefault="00694170" w:rsidP="00694170">
      <w:pPr>
        <w:rPr>
          <w:sz w:val="24"/>
          <w:szCs w:val="24"/>
        </w:rPr>
      </w:pPr>
      <w:r w:rsidRPr="00694170">
        <w:rPr>
          <w:sz w:val="24"/>
          <w:szCs w:val="24"/>
        </w:rPr>
        <w:t>Senior Regulatory Attorney</w:t>
      </w:r>
    </w:p>
    <w:p w:rsidR="00694170" w:rsidRPr="00694170" w:rsidRDefault="00694170" w:rsidP="00694170">
      <w:pPr>
        <w:rPr>
          <w:sz w:val="24"/>
          <w:szCs w:val="24"/>
        </w:rPr>
      </w:pPr>
      <w:r w:rsidRPr="00694170">
        <w:rPr>
          <w:sz w:val="24"/>
          <w:szCs w:val="24"/>
        </w:rPr>
        <w:t>Environmental Defense Fund</w:t>
      </w:r>
    </w:p>
    <w:p w:rsidR="00694170" w:rsidRPr="00694170" w:rsidRDefault="00694170" w:rsidP="00694170">
      <w:pPr>
        <w:rPr>
          <w:sz w:val="24"/>
          <w:szCs w:val="24"/>
        </w:rPr>
      </w:pPr>
      <w:r w:rsidRPr="00694170">
        <w:rPr>
          <w:sz w:val="24"/>
          <w:szCs w:val="24"/>
        </w:rPr>
        <w:t>128 Winding Brook Lane</w:t>
      </w:r>
    </w:p>
    <w:p w:rsidR="00694170" w:rsidRPr="00694170" w:rsidRDefault="00694170" w:rsidP="00694170">
      <w:pPr>
        <w:rPr>
          <w:sz w:val="24"/>
          <w:szCs w:val="24"/>
        </w:rPr>
      </w:pPr>
      <w:r w:rsidRPr="00694170">
        <w:rPr>
          <w:sz w:val="24"/>
          <w:szCs w:val="24"/>
        </w:rPr>
        <w:t>Terrace Park, OH 45174</w:t>
      </w:r>
    </w:p>
    <w:p w:rsidR="00694170" w:rsidRPr="00694170" w:rsidRDefault="00C82C93" w:rsidP="00694170">
      <w:pPr>
        <w:rPr>
          <w:sz w:val="24"/>
          <w:szCs w:val="24"/>
        </w:rPr>
      </w:pPr>
      <w:hyperlink r:id="rId60" w:history="1">
        <w:r w:rsidR="00694170" w:rsidRPr="00694170">
          <w:rPr>
            <w:rStyle w:val="Hyperlink"/>
            <w:sz w:val="24"/>
            <w:szCs w:val="24"/>
          </w:rPr>
          <w:t>jfinnigan@edf.org</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 xml:space="preserve">Rocco </w:t>
      </w:r>
      <w:proofErr w:type="spellStart"/>
      <w:r w:rsidRPr="00694170">
        <w:rPr>
          <w:sz w:val="24"/>
          <w:szCs w:val="24"/>
        </w:rPr>
        <w:t>D'Ascenzo</w:t>
      </w:r>
      <w:proofErr w:type="spellEnd"/>
    </w:p>
    <w:p w:rsidR="00694170" w:rsidRPr="00694170" w:rsidRDefault="00694170" w:rsidP="00694170">
      <w:pPr>
        <w:rPr>
          <w:sz w:val="24"/>
          <w:szCs w:val="24"/>
        </w:rPr>
      </w:pPr>
      <w:r w:rsidRPr="00694170">
        <w:rPr>
          <w:sz w:val="24"/>
          <w:szCs w:val="24"/>
        </w:rPr>
        <w:t>Duke Energy Ohio, Inc.</w:t>
      </w:r>
    </w:p>
    <w:p w:rsidR="00694170" w:rsidRPr="00694170" w:rsidRDefault="00694170" w:rsidP="00694170">
      <w:pPr>
        <w:rPr>
          <w:sz w:val="24"/>
          <w:szCs w:val="24"/>
        </w:rPr>
      </w:pPr>
      <w:r w:rsidRPr="00694170">
        <w:rPr>
          <w:sz w:val="24"/>
          <w:szCs w:val="24"/>
        </w:rPr>
        <w:t>139 E. Fourth Street, 1303-Main</w:t>
      </w:r>
    </w:p>
    <w:p w:rsidR="00694170" w:rsidRPr="00694170" w:rsidRDefault="00694170" w:rsidP="00694170">
      <w:pPr>
        <w:rPr>
          <w:sz w:val="24"/>
          <w:szCs w:val="24"/>
        </w:rPr>
      </w:pPr>
      <w:r w:rsidRPr="00694170">
        <w:rPr>
          <w:sz w:val="24"/>
          <w:szCs w:val="24"/>
        </w:rPr>
        <w:t>Cincinnati, OH 45202</w:t>
      </w:r>
    </w:p>
    <w:p w:rsidR="00694170" w:rsidRPr="00694170" w:rsidRDefault="00C82C93" w:rsidP="00694170">
      <w:pPr>
        <w:rPr>
          <w:rStyle w:val="Hyperlink"/>
          <w:sz w:val="24"/>
          <w:szCs w:val="24"/>
        </w:rPr>
      </w:pPr>
      <w:hyperlink r:id="rId61" w:history="1">
        <w:r w:rsidR="00694170" w:rsidRPr="00694170">
          <w:rPr>
            <w:rStyle w:val="Hyperlink"/>
            <w:sz w:val="24"/>
            <w:szCs w:val="24"/>
          </w:rPr>
          <w:t>Rocco.D'Ascenzo@duke-energy.com</w:t>
        </w:r>
      </w:hyperlink>
    </w:p>
    <w:p w:rsidR="00694170" w:rsidRPr="00694170" w:rsidRDefault="00694170" w:rsidP="00694170">
      <w:pPr>
        <w:rPr>
          <w:sz w:val="24"/>
          <w:szCs w:val="24"/>
        </w:rPr>
      </w:pPr>
    </w:p>
    <w:p w:rsidR="00694170" w:rsidRPr="00694170" w:rsidRDefault="00694170" w:rsidP="00694170">
      <w:pPr>
        <w:rPr>
          <w:sz w:val="24"/>
          <w:szCs w:val="24"/>
        </w:rPr>
      </w:pPr>
      <w:r w:rsidRPr="00694170">
        <w:rPr>
          <w:sz w:val="24"/>
          <w:szCs w:val="24"/>
        </w:rPr>
        <w:t>Peggy P. Lee</w:t>
      </w:r>
    </w:p>
    <w:p w:rsidR="00694170" w:rsidRPr="00694170" w:rsidRDefault="00694170" w:rsidP="00694170">
      <w:pPr>
        <w:rPr>
          <w:sz w:val="24"/>
          <w:szCs w:val="24"/>
        </w:rPr>
      </w:pPr>
      <w:r w:rsidRPr="00694170">
        <w:rPr>
          <w:sz w:val="24"/>
          <w:szCs w:val="24"/>
        </w:rPr>
        <w:t>Southeastern Ohio Legal Services</w:t>
      </w:r>
    </w:p>
    <w:p w:rsidR="00694170" w:rsidRPr="00694170" w:rsidRDefault="00694170" w:rsidP="00694170">
      <w:pPr>
        <w:rPr>
          <w:sz w:val="24"/>
          <w:szCs w:val="24"/>
        </w:rPr>
      </w:pPr>
      <w:r w:rsidRPr="00694170">
        <w:rPr>
          <w:sz w:val="24"/>
          <w:szCs w:val="24"/>
        </w:rPr>
        <w:t>964 E. State Street</w:t>
      </w:r>
    </w:p>
    <w:p w:rsidR="00694170" w:rsidRPr="00694170" w:rsidRDefault="00694170" w:rsidP="00694170">
      <w:pPr>
        <w:rPr>
          <w:sz w:val="24"/>
          <w:szCs w:val="24"/>
        </w:rPr>
      </w:pPr>
      <w:r w:rsidRPr="00694170">
        <w:rPr>
          <w:sz w:val="24"/>
          <w:szCs w:val="24"/>
        </w:rPr>
        <w:t>Athens, OH 45701</w:t>
      </w:r>
    </w:p>
    <w:p w:rsidR="00694170" w:rsidRPr="00694170" w:rsidRDefault="00C82C93" w:rsidP="00694170">
      <w:pPr>
        <w:rPr>
          <w:rStyle w:val="Hyperlink"/>
          <w:sz w:val="24"/>
          <w:szCs w:val="24"/>
        </w:rPr>
      </w:pPr>
      <w:hyperlink r:id="rId62" w:history="1">
        <w:r w:rsidR="00694170" w:rsidRPr="00694170">
          <w:rPr>
            <w:rStyle w:val="Hyperlink"/>
            <w:sz w:val="24"/>
            <w:szCs w:val="24"/>
          </w:rPr>
          <w:t>plee@oslsa.org</w:t>
        </w:r>
      </w:hyperlink>
    </w:p>
    <w:p w:rsidR="00694170" w:rsidRPr="00694170" w:rsidRDefault="00694170" w:rsidP="00694170">
      <w:pPr>
        <w:rPr>
          <w:rStyle w:val="Hyperlink"/>
          <w:sz w:val="24"/>
          <w:szCs w:val="24"/>
        </w:rPr>
      </w:pPr>
    </w:p>
    <w:p w:rsidR="00694170" w:rsidRPr="00694170" w:rsidRDefault="00694170" w:rsidP="00694170">
      <w:pPr>
        <w:rPr>
          <w:rStyle w:val="Hyperlink"/>
          <w:sz w:val="24"/>
          <w:szCs w:val="24"/>
        </w:rPr>
      </w:pPr>
      <w:r w:rsidRPr="00694170">
        <w:rPr>
          <w:rStyle w:val="Hyperlink"/>
          <w:sz w:val="24"/>
          <w:szCs w:val="24"/>
        </w:rPr>
        <w:t xml:space="preserve">Gregory J. </w:t>
      </w:r>
      <w:proofErr w:type="spellStart"/>
      <w:r w:rsidRPr="00694170">
        <w:rPr>
          <w:rStyle w:val="Hyperlink"/>
          <w:sz w:val="24"/>
          <w:szCs w:val="24"/>
        </w:rPr>
        <w:t>Poulos</w:t>
      </w:r>
      <w:proofErr w:type="spellEnd"/>
    </w:p>
    <w:p w:rsidR="00694170" w:rsidRPr="00694170" w:rsidRDefault="00694170" w:rsidP="00694170">
      <w:pPr>
        <w:rPr>
          <w:rStyle w:val="Hyperlink"/>
          <w:sz w:val="24"/>
          <w:szCs w:val="24"/>
        </w:rPr>
      </w:pPr>
      <w:proofErr w:type="spellStart"/>
      <w:r w:rsidRPr="00694170">
        <w:rPr>
          <w:rStyle w:val="Hyperlink"/>
          <w:sz w:val="24"/>
          <w:szCs w:val="24"/>
        </w:rPr>
        <w:t>EnerNOC</w:t>
      </w:r>
      <w:proofErr w:type="spellEnd"/>
      <w:r w:rsidRPr="00694170">
        <w:rPr>
          <w:rStyle w:val="Hyperlink"/>
          <w:sz w:val="24"/>
          <w:szCs w:val="24"/>
        </w:rPr>
        <w:t>, Inc.</w:t>
      </w:r>
    </w:p>
    <w:p w:rsidR="00694170" w:rsidRPr="00694170" w:rsidRDefault="00694170" w:rsidP="00694170">
      <w:pPr>
        <w:rPr>
          <w:rStyle w:val="Hyperlink"/>
          <w:sz w:val="24"/>
          <w:szCs w:val="24"/>
        </w:rPr>
      </w:pPr>
      <w:r w:rsidRPr="00694170">
        <w:rPr>
          <w:rStyle w:val="Hyperlink"/>
          <w:sz w:val="24"/>
          <w:szCs w:val="24"/>
        </w:rPr>
        <w:t>471 East Broad Street, Suite 1520</w:t>
      </w:r>
    </w:p>
    <w:p w:rsidR="00694170" w:rsidRPr="00694170" w:rsidRDefault="00694170" w:rsidP="00694170">
      <w:pPr>
        <w:rPr>
          <w:rStyle w:val="Hyperlink"/>
          <w:sz w:val="24"/>
          <w:szCs w:val="24"/>
        </w:rPr>
      </w:pPr>
      <w:r w:rsidRPr="00694170">
        <w:rPr>
          <w:rStyle w:val="Hyperlink"/>
          <w:sz w:val="24"/>
          <w:szCs w:val="24"/>
        </w:rPr>
        <w:t>New Albany, OH 43215</w:t>
      </w:r>
    </w:p>
    <w:p w:rsidR="00694170" w:rsidRPr="00694170" w:rsidRDefault="00C82C93" w:rsidP="00694170">
      <w:pPr>
        <w:rPr>
          <w:rStyle w:val="Hyperlink"/>
          <w:sz w:val="24"/>
          <w:szCs w:val="24"/>
        </w:rPr>
      </w:pPr>
      <w:hyperlink r:id="rId63" w:history="1">
        <w:r w:rsidR="00694170" w:rsidRPr="00694170">
          <w:rPr>
            <w:rStyle w:val="Hyperlink"/>
            <w:sz w:val="24"/>
            <w:szCs w:val="24"/>
          </w:rPr>
          <w:t>gpoulos@enernoc.com</w:t>
        </w:r>
      </w:hyperlink>
    </w:p>
    <w:p w:rsidR="00694170" w:rsidRPr="00694170" w:rsidRDefault="00694170" w:rsidP="00694170">
      <w:pPr>
        <w:rPr>
          <w:rStyle w:val="Hyperlink"/>
          <w:sz w:val="24"/>
          <w:szCs w:val="24"/>
        </w:rPr>
      </w:pPr>
    </w:p>
    <w:p w:rsidR="00694170" w:rsidRPr="00694170" w:rsidRDefault="00694170" w:rsidP="00694170">
      <w:pPr>
        <w:rPr>
          <w:rStyle w:val="Hyperlink"/>
          <w:sz w:val="24"/>
          <w:szCs w:val="24"/>
        </w:rPr>
        <w:sectPr w:rsidR="00694170" w:rsidRPr="00694170" w:rsidSect="00876B4A">
          <w:headerReference w:type="default" r:id="rId64"/>
          <w:type w:val="continuous"/>
          <w:pgSz w:w="12240" w:h="15840"/>
          <w:pgMar w:top="1440" w:right="1440" w:bottom="1440" w:left="1440" w:header="720" w:footer="720" w:gutter="0"/>
          <w:cols w:num="2" w:space="720"/>
          <w:docGrid w:linePitch="360"/>
        </w:sectPr>
      </w:pPr>
    </w:p>
    <w:p w:rsidR="0031650F" w:rsidRPr="00694170" w:rsidRDefault="0031650F" w:rsidP="001419D5">
      <w:pPr>
        <w:rPr>
          <w:sz w:val="24"/>
          <w:szCs w:val="24"/>
        </w:rPr>
      </w:pPr>
    </w:p>
    <w:sectPr w:rsidR="0031650F" w:rsidRPr="00694170" w:rsidSect="008E2AAD">
      <w:footerReference w:type="default" r:id="rId6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5AB" w:rsidRDefault="00F945AB" w:rsidP="00F945AB">
      <w:r>
        <w:separator/>
      </w:r>
    </w:p>
  </w:endnote>
  <w:endnote w:type="continuationSeparator" w:id="0">
    <w:p w:rsidR="00F945AB" w:rsidRDefault="00F945AB" w:rsidP="00F9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AB" w:rsidRDefault="00F945AB">
    <w:pPr>
      <w:pStyle w:val="Footer"/>
      <w:jc w:val="center"/>
    </w:pPr>
  </w:p>
  <w:p w:rsidR="00F945AB" w:rsidRDefault="00F94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70" w:rsidRDefault="00694170">
    <w:pPr>
      <w:pStyle w:val="Footer"/>
      <w:jc w:val="center"/>
    </w:pPr>
  </w:p>
  <w:p w:rsidR="00694170" w:rsidRDefault="006941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70" w:rsidRDefault="00694170">
    <w:pPr>
      <w:pStyle w:val="Footer"/>
      <w:jc w:val="center"/>
    </w:pPr>
  </w:p>
  <w:p w:rsidR="00694170" w:rsidRDefault="006941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73" w:rsidRDefault="00F945AB">
    <w:pPr>
      <w:pStyle w:val="Footer"/>
      <w:jc w:val="center"/>
    </w:pPr>
    <w:r>
      <w:fldChar w:fldCharType="begin"/>
    </w:r>
    <w:r>
      <w:instrText xml:space="preserve"> PAGE   \* MERGEFORMAT </w:instrText>
    </w:r>
    <w:r>
      <w:fldChar w:fldCharType="separate"/>
    </w:r>
    <w:r w:rsidR="00694170">
      <w:rPr>
        <w:noProof/>
      </w:rPr>
      <w:t>9</w:t>
    </w:r>
    <w:r>
      <w:rPr>
        <w:noProof/>
      </w:rPr>
      <w:fldChar w:fldCharType="end"/>
    </w:r>
  </w:p>
  <w:p w:rsidR="00085F73" w:rsidRDefault="00C82C93" w:rsidP="00085F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5AB" w:rsidRDefault="00F945AB" w:rsidP="00F945AB">
      <w:r>
        <w:separator/>
      </w:r>
    </w:p>
  </w:footnote>
  <w:footnote w:type="continuationSeparator" w:id="0">
    <w:p w:rsidR="00F945AB" w:rsidRDefault="00F945AB" w:rsidP="00F945AB">
      <w:r>
        <w:continuationSeparator/>
      </w:r>
    </w:p>
  </w:footnote>
  <w:footnote w:id="1">
    <w:p w:rsidR="00F945AB" w:rsidRDefault="00F945AB" w:rsidP="00F945AB">
      <w:pPr>
        <w:pStyle w:val="FootnoteText"/>
      </w:pPr>
      <w:r>
        <w:rPr>
          <w:rStyle w:val="FootnoteReference"/>
        </w:rPr>
        <w:footnoteRef/>
      </w:r>
      <w:r>
        <w:t xml:space="preserve"> Transcript Volume VI, p. 1386.</w:t>
      </w:r>
    </w:p>
  </w:footnote>
  <w:footnote w:id="2">
    <w:p w:rsidR="00F945AB" w:rsidRPr="00AD7103" w:rsidRDefault="00F945AB" w:rsidP="00F945AB">
      <w:pPr>
        <w:pStyle w:val="FootnoteText"/>
      </w:pPr>
      <w:r>
        <w:rPr>
          <w:rStyle w:val="FootnoteReference"/>
        </w:rPr>
        <w:footnoteRef/>
      </w:r>
      <w:r>
        <w:t xml:space="preserve"> </w:t>
      </w:r>
      <w:r>
        <w:rPr>
          <w:u w:val="single"/>
        </w:rPr>
        <w:t>See</w:t>
      </w:r>
      <w:r>
        <w:t xml:space="preserve"> Walmart Exhibit 1 (Direct Testimony of Steve W. Chriss</w:t>
      </w:r>
      <w:proofErr w:type="gramStart"/>
      <w:r>
        <w:t>,  pp</w:t>
      </w:r>
      <w:proofErr w:type="gramEnd"/>
      <w:r>
        <w:t>. 4-6).</w:t>
      </w:r>
    </w:p>
  </w:footnote>
  <w:footnote w:id="3">
    <w:p w:rsidR="00F945AB" w:rsidRPr="00AD7103" w:rsidRDefault="00F945AB" w:rsidP="00F945AB">
      <w:pPr>
        <w:pStyle w:val="FootnoteText"/>
      </w:pPr>
      <w:r>
        <w:rPr>
          <w:rStyle w:val="FootnoteReference"/>
        </w:rPr>
        <w:footnoteRef/>
      </w:r>
      <w:r>
        <w:t xml:space="preserve"> </w:t>
      </w:r>
      <w:proofErr w:type="gramStart"/>
      <w:r>
        <w:rPr>
          <w:u w:val="single"/>
        </w:rPr>
        <w:t>Id</w:t>
      </w:r>
      <w:r>
        <w:t>. at 6.</w:t>
      </w:r>
      <w:proofErr w:type="gramEnd"/>
    </w:p>
  </w:footnote>
  <w:footnote w:id="4">
    <w:p w:rsidR="00F945AB" w:rsidRPr="00AD7103" w:rsidRDefault="00F945AB" w:rsidP="00F945AB">
      <w:pPr>
        <w:pStyle w:val="FootnoteText"/>
      </w:pPr>
      <w:r>
        <w:rPr>
          <w:rStyle w:val="FootnoteReference"/>
        </w:rPr>
        <w:footnoteRef/>
      </w:r>
      <w:r>
        <w:t xml:space="preserve"> </w:t>
      </w:r>
      <w:r>
        <w:rPr>
          <w:u w:val="single"/>
        </w:rPr>
        <w:t>Id</w:t>
      </w:r>
      <w:r>
        <w:t>.</w:t>
      </w:r>
    </w:p>
  </w:footnote>
  <w:footnote w:id="5">
    <w:p w:rsidR="00F945AB" w:rsidRPr="00D666F6" w:rsidRDefault="00F945AB" w:rsidP="00F945AB">
      <w:pPr>
        <w:pStyle w:val="FootnoteText"/>
      </w:pPr>
      <w:r>
        <w:rPr>
          <w:rStyle w:val="FootnoteReference"/>
        </w:rPr>
        <w:footnoteRef/>
      </w:r>
      <w:r>
        <w:t xml:space="preserve"> </w:t>
      </w:r>
      <w:r>
        <w:rPr>
          <w:u w:val="single"/>
        </w:rPr>
        <w:t>Id</w:t>
      </w:r>
      <w:r>
        <w:t>.</w:t>
      </w:r>
    </w:p>
  </w:footnote>
  <w:footnote w:id="6">
    <w:p w:rsidR="00F945AB" w:rsidRPr="00D666F6" w:rsidRDefault="00F945AB" w:rsidP="00F945AB">
      <w:pPr>
        <w:pStyle w:val="FootnoteText"/>
        <w:tabs>
          <w:tab w:val="left" w:pos="2712"/>
        </w:tabs>
      </w:pPr>
      <w:r>
        <w:rPr>
          <w:rStyle w:val="FootnoteReference"/>
        </w:rPr>
        <w:footnoteRef/>
      </w:r>
      <w:r>
        <w:t xml:space="preserve"> </w:t>
      </w:r>
      <w:r>
        <w:rPr>
          <w:u w:val="single"/>
        </w:rPr>
        <w:t>See</w:t>
      </w:r>
      <w:r>
        <w:t xml:space="preserve"> </w:t>
      </w:r>
      <w:r>
        <w:rPr>
          <w:u w:val="single"/>
        </w:rPr>
        <w:t>id</w:t>
      </w:r>
      <w:r>
        <w:t>.</w:t>
      </w:r>
      <w:r>
        <w:tab/>
      </w:r>
    </w:p>
  </w:footnote>
  <w:footnote w:id="7">
    <w:p w:rsidR="00F945AB" w:rsidRDefault="00F945AB" w:rsidP="00F945AB">
      <w:pPr>
        <w:pStyle w:val="FootnoteText"/>
      </w:pPr>
      <w:r>
        <w:rPr>
          <w:rStyle w:val="FootnoteReference"/>
        </w:rPr>
        <w:footnoteRef/>
      </w:r>
      <w:r>
        <w:t xml:space="preserve"> </w:t>
      </w:r>
      <w:r w:rsidRPr="0027793A">
        <w:rPr>
          <w:bCs/>
          <w:u w:val="single"/>
        </w:rPr>
        <w:t>See</w:t>
      </w:r>
      <w:r w:rsidRPr="0027793A">
        <w:rPr>
          <w:bCs/>
        </w:rPr>
        <w:t xml:space="preserve"> Transcript Volume II, p. 424, line 17; p. 425, lines 3-5 (Testimony of </w:t>
      </w:r>
      <w:proofErr w:type="spellStart"/>
      <w:r>
        <w:rPr>
          <w:bCs/>
        </w:rPr>
        <w:t>AEP</w:t>
      </w:r>
      <w:proofErr w:type="spellEnd"/>
      <w:r>
        <w:rPr>
          <w:bCs/>
        </w:rPr>
        <w:t xml:space="preserve">-Ohio </w:t>
      </w:r>
      <w:r w:rsidRPr="0027793A">
        <w:rPr>
          <w:bCs/>
        </w:rPr>
        <w:t>witness Selwyn J. Dias)</w:t>
      </w:r>
      <w:r>
        <w:rPr>
          <w:bCs/>
        </w:rPr>
        <w:t>.</w:t>
      </w:r>
    </w:p>
  </w:footnote>
  <w:footnote w:id="8">
    <w:p w:rsidR="00F945AB" w:rsidRDefault="00F945AB" w:rsidP="00F945AB">
      <w:pPr>
        <w:pStyle w:val="FootnoteText"/>
      </w:pPr>
      <w:r w:rsidRPr="00B47A85">
        <w:rPr>
          <w:rStyle w:val="FootnoteReference"/>
        </w:rPr>
        <w:footnoteRef/>
      </w:r>
      <w:r w:rsidRPr="00B47A85">
        <w:t xml:space="preserve"> </w:t>
      </w:r>
      <w:r>
        <w:t>Company Exhibit 4, Direct Testimony of Selwyn J. Dias, p. 16; Company Exhibit 13, Direct Testimony of Andrea E. Moore, p. 6.</w:t>
      </w:r>
    </w:p>
  </w:footnote>
  <w:footnote w:id="9">
    <w:p w:rsidR="00F945AB" w:rsidRPr="00097373" w:rsidRDefault="00F945AB" w:rsidP="00F945AB">
      <w:pPr>
        <w:pStyle w:val="FootnoteText"/>
        <w:rPr>
          <w:highlight w:val="yellow"/>
        </w:rPr>
      </w:pPr>
      <w:r w:rsidRPr="00B47A85">
        <w:rPr>
          <w:rStyle w:val="FootnoteReference"/>
        </w:rPr>
        <w:footnoteRef/>
      </w:r>
      <w:r>
        <w:t xml:space="preserve"> </w:t>
      </w:r>
      <w:proofErr w:type="gramStart"/>
      <w:r>
        <w:t xml:space="preserve">Company Exhibit 17, Direct Testimony of Renee V. Hawkins, </w:t>
      </w:r>
      <w:proofErr w:type="spellStart"/>
      <w:r>
        <w:t>Exh</w:t>
      </w:r>
      <w:proofErr w:type="spellEnd"/>
      <w:r>
        <w:t>.</w:t>
      </w:r>
      <w:proofErr w:type="gramEnd"/>
      <w:r>
        <w:t xml:space="preserve"> </w:t>
      </w:r>
      <w:proofErr w:type="spellStart"/>
      <w:proofErr w:type="gramStart"/>
      <w:r>
        <w:t>RVH</w:t>
      </w:r>
      <w:proofErr w:type="spellEnd"/>
      <w:r>
        <w:t>-1.</w:t>
      </w:r>
      <w:proofErr w:type="gramEnd"/>
    </w:p>
  </w:footnote>
  <w:footnote w:id="10">
    <w:p w:rsidR="00F945AB" w:rsidRPr="00097373" w:rsidRDefault="00F945AB" w:rsidP="00F945AB">
      <w:pPr>
        <w:pStyle w:val="FootnoteText"/>
      </w:pPr>
      <w:r w:rsidRPr="00B47A85">
        <w:rPr>
          <w:rStyle w:val="FootnoteReference"/>
        </w:rPr>
        <w:footnoteRef/>
      </w:r>
      <w:r w:rsidRPr="00B47A85">
        <w:t xml:space="preserve"> </w:t>
      </w:r>
      <w:r>
        <w:rPr>
          <w:bCs/>
        </w:rPr>
        <w:t>Walmart Exhibit 1, p. 7.</w:t>
      </w:r>
      <w:r w:rsidRPr="00097373">
        <w:rPr>
          <w:bCs/>
        </w:rPr>
        <w:t xml:space="preserve">  </w:t>
      </w:r>
    </w:p>
  </w:footnote>
  <w:footnote w:id="11">
    <w:p w:rsidR="00F945AB" w:rsidRDefault="00F945AB" w:rsidP="00F945AB">
      <w:pPr>
        <w:pStyle w:val="FootnoteText"/>
      </w:pPr>
      <w:r>
        <w:rPr>
          <w:rStyle w:val="FootnoteReference"/>
        </w:rPr>
        <w:footnoteRef/>
      </w:r>
      <w:r>
        <w:t xml:space="preserve"> </w:t>
      </w:r>
      <w:proofErr w:type="gramStart"/>
      <w:r>
        <w:rPr>
          <w:bCs/>
          <w:u w:val="single"/>
        </w:rPr>
        <w:t>Id</w:t>
      </w:r>
      <w:r>
        <w:rPr>
          <w:bCs/>
        </w:rPr>
        <w:t xml:space="preserve">. at 7, </w:t>
      </w:r>
      <w:r w:rsidRPr="00097373">
        <w:rPr>
          <w:bCs/>
          <w:u w:val="single"/>
        </w:rPr>
        <w:t>citing</w:t>
      </w:r>
      <w:r w:rsidRPr="00097373">
        <w:rPr>
          <w:bCs/>
        </w:rPr>
        <w:t xml:space="preserve"> </w:t>
      </w:r>
      <w:r>
        <w:rPr>
          <w:bCs/>
        </w:rPr>
        <w:t xml:space="preserve">Company </w:t>
      </w:r>
      <w:r w:rsidRPr="00097373">
        <w:rPr>
          <w:bCs/>
        </w:rPr>
        <w:t xml:space="preserve">Exhibit </w:t>
      </w:r>
      <w:proofErr w:type="spellStart"/>
      <w:r w:rsidRPr="00097373">
        <w:rPr>
          <w:bCs/>
        </w:rPr>
        <w:t>AEM</w:t>
      </w:r>
      <w:proofErr w:type="spellEnd"/>
      <w:r w:rsidRPr="00097373">
        <w:rPr>
          <w:bCs/>
        </w:rPr>
        <w:t>-2.</w:t>
      </w:r>
      <w:proofErr w:type="gramEnd"/>
    </w:p>
  </w:footnote>
  <w:footnote w:id="12">
    <w:p w:rsidR="00F945AB" w:rsidRPr="008E2AAD" w:rsidRDefault="00F945AB" w:rsidP="00F945AB">
      <w:pPr>
        <w:pStyle w:val="FootnoteText"/>
      </w:pPr>
      <w:r>
        <w:rPr>
          <w:rStyle w:val="FootnoteReference"/>
        </w:rPr>
        <w:footnoteRef/>
      </w:r>
      <w:r>
        <w:t xml:space="preserve"> </w:t>
      </w:r>
      <w:r>
        <w:rPr>
          <w:u w:val="single"/>
        </w:rPr>
        <w:t>Id</w:t>
      </w:r>
      <w:r>
        <w:t>.</w:t>
      </w:r>
    </w:p>
  </w:footnote>
  <w:footnote w:id="13">
    <w:p w:rsidR="00F945AB" w:rsidRDefault="00F945AB" w:rsidP="00F945AB">
      <w:pPr>
        <w:pStyle w:val="FootnoteText"/>
      </w:pPr>
      <w:r>
        <w:rPr>
          <w:rStyle w:val="FootnoteReference"/>
        </w:rPr>
        <w:footnoteRef/>
      </w:r>
      <w:r>
        <w:t xml:space="preserve"> </w:t>
      </w:r>
      <w:proofErr w:type="gramStart"/>
      <w:r w:rsidRPr="008E2AAD">
        <w:rPr>
          <w:bCs/>
        </w:rPr>
        <w:t xml:space="preserve">Transcript Volume V, p. 1299, line 2, line 17 (Testimony of </w:t>
      </w:r>
      <w:proofErr w:type="spellStart"/>
      <w:r>
        <w:rPr>
          <w:bCs/>
        </w:rPr>
        <w:t>AEP</w:t>
      </w:r>
      <w:proofErr w:type="spellEnd"/>
      <w:r>
        <w:rPr>
          <w:bCs/>
        </w:rPr>
        <w:t xml:space="preserve">-Ohio witness </w:t>
      </w:r>
      <w:r w:rsidRPr="008E2AAD">
        <w:rPr>
          <w:bCs/>
        </w:rPr>
        <w:t xml:space="preserve">William E. </w:t>
      </w:r>
      <w:proofErr w:type="spellStart"/>
      <w:r w:rsidRPr="008E2AAD">
        <w:rPr>
          <w:bCs/>
        </w:rPr>
        <w:t>Avera</w:t>
      </w:r>
      <w:proofErr w:type="spellEnd"/>
      <w:r w:rsidRPr="008E2AAD">
        <w:rPr>
          <w:bCs/>
        </w:rPr>
        <w:t>).</w:t>
      </w:r>
      <w:proofErr w:type="gramEnd"/>
    </w:p>
  </w:footnote>
  <w:footnote w:id="14">
    <w:p w:rsidR="00F945AB" w:rsidRDefault="00F945AB" w:rsidP="00F945AB">
      <w:pPr>
        <w:pStyle w:val="FootnoteText"/>
      </w:pPr>
      <w:r>
        <w:rPr>
          <w:rStyle w:val="FootnoteReference"/>
        </w:rPr>
        <w:footnoteRef/>
      </w:r>
      <w:r>
        <w:t xml:space="preserve"> </w:t>
      </w:r>
      <w:r w:rsidRPr="008E2AAD">
        <w:rPr>
          <w:bCs/>
          <w:u w:val="single"/>
        </w:rPr>
        <w:t>See</w:t>
      </w:r>
      <w:r w:rsidRPr="008E2AAD">
        <w:rPr>
          <w:bCs/>
        </w:rPr>
        <w:t xml:space="preserve"> Transcript Volume II, p. 31</w:t>
      </w:r>
      <w:r w:rsidR="00AE01A3">
        <w:rPr>
          <w:bCs/>
        </w:rPr>
        <w:t>3</w:t>
      </w:r>
      <w:r w:rsidRPr="008E2AAD">
        <w:rPr>
          <w:bCs/>
        </w:rPr>
        <w:t>, lines 9-13; p</w:t>
      </w:r>
      <w:r w:rsidR="00E025A0">
        <w:rPr>
          <w:bCs/>
        </w:rPr>
        <w:t>.</w:t>
      </w:r>
      <w:r w:rsidRPr="008E2AAD">
        <w:rPr>
          <w:bCs/>
        </w:rPr>
        <w:t xml:space="preserve"> 31</w:t>
      </w:r>
      <w:r w:rsidR="00AE01A3">
        <w:rPr>
          <w:bCs/>
        </w:rPr>
        <w:t>4</w:t>
      </w:r>
      <w:r w:rsidRPr="008E2AAD">
        <w:rPr>
          <w:bCs/>
        </w:rPr>
        <w:t>, lines 12-17</w:t>
      </w:r>
      <w:r w:rsidR="00AE01A3">
        <w:rPr>
          <w:bCs/>
        </w:rPr>
        <w:t xml:space="preserve"> (Testimony of </w:t>
      </w:r>
      <w:proofErr w:type="spellStart"/>
      <w:r w:rsidR="00AE01A3">
        <w:rPr>
          <w:bCs/>
        </w:rPr>
        <w:t>AEP</w:t>
      </w:r>
      <w:proofErr w:type="spellEnd"/>
      <w:r w:rsidR="00AE01A3">
        <w:rPr>
          <w:bCs/>
        </w:rPr>
        <w:t>-Ohio witness Selwyn J. Dias)</w:t>
      </w:r>
      <w:r w:rsidRPr="008E2AAD">
        <w:rPr>
          <w:bCs/>
        </w:rPr>
        <w:t>.</w:t>
      </w:r>
    </w:p>
  </w:footnote>
  <w:footnote w:id="15">
    <w:p w:rsidR="00F945AB" w:rsidRDefault="00F945AB" w:rsidP="00F945AB">
      <w:pPr>
        <w:pStyle w:val="FootnoteText"/>
      </w:pPr>
      <w:r>
        <w:rPr>
          <w:rStyle w:val="FootnoteReference"/>
        </w:rPr>
        <w:footnoteRef/>
      </w:r>
      <w:r>
        <w:t xml:space="preserve"> </w:t>
      </w:r>
      <w:r w:rsidRPr="008E2AAD">
        <w:rPr>
          <w:bCs/>
        </w:rPr>
        <w:t>Walmart Exhibit 1, p. 8.</w:t>
      </w:r>
    </w:p>
  </w:footnote>
  <w:footnote w:id="16">
    <w:p w:rsidR="00F945AB" w:rsidRDefault="00F945AB" w:rsidP="00F945AB">
      <w:pPr>
        <w:pStyle w:val="FootnoteText"/>
      </w:pPr>
      <w:r>
        <w:rPr>
          <w:rStyle w:val="FootnoteReference"/>
        </w:rPr>
        <w:footnoteRef/>
      </w:r>
      <w:r>
        <w:t xml:space="preserve"> </w:t>
      </w:r>
      <w:r w:rsidRPr="008E2AAD">
        <w:rPr>
          <w:bCs/>
          <w:u w:val="single"/>
        </w:rPr>
        <w:t>Id</w:t>
      </w:r>
      <w:r w:rsidRPr="008E2AAD">
        <w:rPr>
          <w:bCs/>
          <w:i/>
        </w:rPr>
        <w:t>.</w:t>
      </w:r>
    </w:p>
  </w:footnote>
  <w:footnote w:id="17">
    <w:p w:rsidR="00F945AB" w:rsidRDefault="00F945AB" w:rsidP="00F945AB">
      <w:pPr>
        <w:pStyle w:val="FootnoteText"/>
      </w:pPr>
      <w:r>
        <w:rPr>
          <w:rStyle w:val="FootnoteReference"/>
        </w:rPr>
        <w:footnoteRef/>
      </w:r>
      <w:r>
        <w:t xml:space="preserve"> </w:t>
      </w:r>
      <w:r w:rsidRPr="008E2AAD">
        <w:rPr>
          <w:bCs/>
          <w:u w:val="single"/>
        </w:rPr>
        <w:t>Id</w:t>
      </w:r>
      <w:r w:rsidRPr="008E2AAD">
        <w:rPr>
          <w:bCs/>
        </w:rPr>
        <w:t xml:space="preserve">. at 9; Exhibit </w:t>
      </w:r>
      <w:proofErr w:type="spellStart"/>
      <w:r w:rsidRPr="008E2AAD">
        <w:rPr>
          <w:bCs/>
        </w:rPr>
        <w:t>SWC</w:t>
      </w:r>
      <w:proofErr w:type="spellEnd"/>
      <w:r w:rsidRPr="008E2AAD">
        <w:rPr>
          <w:bCs/>
        </w:rPr>
        <w:t xml:space="preserve"> 2, p. 2.</w:t>
      </w:r>
    </w:p>
  </w:footnote>
  <w:footnote w:id="18">
    <w:p w:rsidR="00F945AB" w:rsidRDefault="00F945AB" w:rsidP="00F945AB">
      <w:pPr>
        <w:pStyle w:val="FootnoteText"/>
      </w:pPr>
      <w:r>
        <w:rPr>
          <w:rStyle w:val="FootnoteReference"/>
        </w:rPr>
        <w:footnoteRef/>
      </w:r>
      <w:r>
        <w:t xml:space="preserve"> </w:t>
      </w:r>
      <w:r w:rsidRPr="008E2AAD">
        <w:rPr>
          <w:bCs/>
          <w:u w:val="single"/>
        </w:rPr>
        <w:t>Id</w:t>
      </w:r>
      <w:r w:rsidRPr="008E2AAD">
        <w:rPr>
          <w:bCs/>
        </w:rPr>
        <w:t>.</w:t>
      </w:r>
    </w:p>
  </w:footnote>
  <w:footnote w:id="19">
    <w:p w:rsidR="00F945AB" w:rsidRDefault="00F945AB" w:rsidP="00F945AB">
      <w:pPr>
        <w:pStyle w:val="FootnoteText"/>
      </w:pPr>
      <w:r>
        <w:rPr>
          <w:rStyle w:val="FootnoteReference"/>
        </w:rPr>
        <w:footnoteRef/>
      </w:r>
      <w:r>
        <w:t xml:space="preserve"> </w:t>
      </w:r>
      <w:r w:rsidRPr="00146214">
        <w:rPr>
          <w:bCs/>
          <w:u w:val="single"/>
        </w:rPr>
        <w:t>Id</w:t>
      </w:r>
      <w:r w:rsidRPr="00146214">
        <w:rPr>
          <w:bCs/>
        </w:rPr>
        <w:t>. at 9-10.</w:t>
      </w:r>
    </w:p>
  </w:footnote>
  <w:footnote w:id="20">
    <w:p w:rsidR="00F945AB" w:rsidRPr="00146214" w:rsidRDefault="00F945AB" w:rsidP="00F945AB">
      <w:pPr>
        <w:pStyle w:val="FootnoteText"/>
      </w:pPr>
      <w:r>
        <w:rPr>
          <w:rStyle w:val="FootnoteReference"/>
        </w:rPr>
        <w:footnoteRef/>
      </w:r>
      <w:r>
        <w:t xml:space="preserve"> </w:t>
      </w:r>
      <w:r>
        <w:rPr>
          <w:u w:val="single"/>
        </w:rPr>
        <w:t>See</w:t>
      </w:r>
      <w:r>
        <w:t xml:space="preserve"> </w:t>
      </w:r>
      <w:r>
        <w:rPr>
          <w:u w:val="single"/>
        </w:rPr>
        <w:t>id</w:t>
      </w:r>
      <w:r>
        <w:t xml:space="preserve">. </w:t>
      </w:r>
      <w:proofErr w:type="gramStart"/>
      <w:r>
        <w:t>at</w:t>
      </w:r>
      <w:proofErr w:type="gramEnd"/>
      <w:r>
        <w:t xml:space="preserve"> 9.</w:t>
      </w:r>
    </w:p>
  </w:footnote>
  <w:footnote w:id="21">
    <w:p w:rsidR="00F945AB" w:rsidRDefault="00F945AB" w:rsidP="00F945AB">
      <w:pPr>
        <w:pStyle w:val="FootnoteText"/>
      </w:pPr>
      <w:r>
        <w:rPr>
          <w:rStyle w:val="FootnoteReference"/>
        </w:rPr>
        <w:footnoteRef/>
      </w:r>
      <w:r>
        <w:t xml:space="preserve"> Transcript Volume VIII, p. 1863 (Revised Testimony of OCC witness J. Randall Woolridge).  </w:t>
      </w:r>
    </w:p>
  </w:footnote>
  <w:footnote w:id="22">
    <w:p w:rsidR="00F945AB" w:rsidRPr="009B571F" w:rsidRDefault="00F945AB" w:rsidP="00F945AB">
      <w:pPr>
        <w:pStyle w:val="FootnoteText"/>
      </w:pPr>
      <w:r>
        <w:rPr>
          <w:rStyle w:val="FootnoteReference"/>
        </w:rPr>
        <w:footnoteRef/>
      </w:r>
      <w:r>
        <w:t xml:space="preserve"> </w:t>
      </w:r>
      <w:r>
        <w:rPr>
          <w:u w:val="single"/>
        </w:rPr>
        <w:t>See</w:t>
      </w:r>
      <w:r>
        <w:t xml:space="preserve"> Walmart</w:t>
      </w:r>
      <w:r w:rsidR="00E025A0">
        <w:t xml:space="preserve"> Exhibit 1, Exhibit </w:t>
      </w:r>
      <w:proofErr w:type="spellStart"/>
      <w:r w:rsidR="00E025A0">
        <w:t>SWC</w:t>
      </w:r>
      <w:proofErr w:type="spellEnd"/>
      <w:r w:rsidR="00E025A0">
        <w:t>-2, p. 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170" w:rsidRDefault="00694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787228"/>
      <w:docPartObj>
        <w:docPartGallery w:val="Page Numbers (Top of Page)"/>
        <w:docPartUnique/>
      </w:docPartObj>
    </w:sdtPr>
    <w:sdtEndPr/>
    <w:sdtContent>
      <w:p w:rsidR="00694170" w:rsidRDefault="00694170">
        <w:pPr>
          <w:pStyle w:val="Header"/>
        </w:pPr>
        <w:r>
          <w:t>Certificate of Service</w:t>
        </w:r>
      </w:p>
      <w:p w:rsidR="00694170" w:rsidRDefault="00694170">
        <w:pPr>
          <w:pStyle w:val="Header"/>
        </w:pPr>
        <w:r>
          <w:t>July 23, 2014</w:t>
        </w:r>
      </w:p>
      <w:p w:rsidR="00694170" w:rsidRDefault="00694170">
        <w:pPr>
          <w:pStyle w:val="Header"/>
        </w:pPr>
        <w:r>
          <w:t>Page 2 of 3</w:t>
        </w:r>
      </w:p>
    </w:sdtContent>
  </w:sdt>
  <w:p w:rsidR="00694170" w:rsidRDefault="00694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24716"/>
      <w:docPartObj>
        <w:docPartGallery w:val="Page Numbers (Top of Page)"/>
        <w:docPartUnique/>
      </w:docPartObj>
    </w:sdtPr>
    <w:sdtEndPr/>
    <w:sdtContent>
      <w:p w:rsidR="00694170" w:rsidRDefault="00694170">
        <w:pPr>
          <w:pStyle w:val="Header"/>
        </w:pPr>
        <w:r>
          <w:t>Certificate of Service</w:t>
        </w:r>
      </w:p>
      <w:p w:rsidR="00694170" w:rsidRDefault="00694170">
        <w:pPr>
          <w:pStyle w:val="Header"/>
        </w:pPr>
        <w:r>
          <w:t>July 23, 2014</w:t>
        </w:r>
      </w:p>
      <w:p w:rsidR="00694170" w:rsidRDefault="00694170">
        <w:pPr>
          <w:pStyle w:val="Header"/>
        </w:pPr>
        <w:r>
          <w:t>Page 3 of 3</w:t>
        </w:r>
      </w:p>
    </w:sdtContent>
  </w:sdt>
  <w:p w:rsidR="00694170" w:rsidRDefault="00694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6936"/>
    <w:multiLevelType w:val="singleLevel"/>
    <w:tmpl w:val="0090E4CC"/>
    <w:lvl w:ilvl="0">
      <w:start w:val="1"/>
      <w:numFmt w:val="decimal"/>
      <w:lvlText w:val="%1."/>
      <w:lvlJc w:val="left"/>
      <w:pPr>
        <w:tabs>
          <w:tab w:val="num" w:pos="1800"/>
        </w:tabs>
        <w:ind w:left="1800" w:hanging="360"/>
      </w:pPr>
      <w:rPr>
        <w:rFonts w:cs="Times New Roman"/>
        <w:snapToGrid/>
        <w:sz w:val="24"/>
        <w:szCs w:val="24"/>
      </w:rPr>
    </w:lvl>
  </w:abstractNum>
  <w:abstractNum w:abstractNumId="1">
    <w:nsid w:val="54D52613"/>
    <w:multiLevelType w:val="singleLevel"/>
    <w:tmpl w:val="0090E4CC"/>
    <w:lvl w:ilvl="0">
      <w:start w:val="1"/>
      <w:numFmt w:val="decimal"/>
      <w:lvlText w:val="%1."/>
      <w:lvlJc w:val="left"/>
      <w:pPr>
        <w:tabs>
          <w:tab w:val="num" w:pos="1800"/>
        </w:tabs>
        <w:ind w:left="1800" w:hanging="360"/>
      </w:pPr>
      <w:rPr>
        <w:rFonts w:cs="Times New Roman"/>
        <w:snapToGrid/>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AB"/>
    <w:rsid w:val="00017271"/>
    <w:rsid w:val="00080C36"/>
    <w:rsid w:val="0013478E"/>
    <w:rsid w:val="001419D5"/>
    <w:rsid w:val="001E1652"/>
    <w:rsid w:val="0031650F"/>
    <w:rsid w:val="005058F2"/>
    <w:rsid w:val="005A6F9C"/>
    <w:rsid w:val="005F7FC1"/>
    <w:rsid w:val="00694170"/>
    <w:rsid w:val="0074769A"/>
    <w:rsid w:val="00840EFB"/>
    <w:rsid w:val="008C7AB7"/>
    <w:rsid w:val="00900A1F"/>
    <w:rsid w:val="00902712"/>
    <w:rsid w:val="00A5063A"/>
    <w:rsid w:val="00AD3221"/>
    <w:rsid w:val="00AE01A3"/>
    <w:rsid w:val="00B209BB"/>
    <w:rsid w:val="00C717B0"/>
    <w:rsid w:val="00C82C93"/>
    <w:rsid w:val="00C9594B"/>
    <w:rsid w:val="00CF2F94"/>
    <w:rsid w:val="00D3779A"/>
    <w:rsid w:val="00E025A0"/>
    <w:rsid w:val="00E52E4A"/>
    <w:rsid w:val="00F9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qFormat="1"/>
    <w:lsdException w:name="Default Paragraph Font" w:uiPriority="1"/>
    <w:lsdException w:name="Body Text" w:uiPriority="0" w:qFormat="1"/>
    <w:lsdException w:name="Body Text Indent" w:semiHidden="0" w:uiPriority="19" w:unhideWhenUsed="0"/>
    <w:lsdException w:name="Subtitle" w:semiHidden="0" w:uiPriority="11" w:unhideWhenUsed="0"/>
    <w:lsdException w:name="Body Text First Indent" w:uiPriority="0" w:qFormat="1"/>
    <w:lsdException w:name="Body Text First Indent 2" w:semiHidden="0" w:uiPriority="0" w:unhideWhenUsed="0" w:qFormat="1"/>
    <w:lsdException w:name="Body Text 2" w:uiPriority="0" w:qFormat="1"/>
    <w:lsdException w:name="Body Text Indent 2" w:uiPriority="19"/>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5AB"/>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basedOn w:val="DefaultParagraphFont"/>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rPr>
      <w:rFonts w:eastAsiaTheme="minorHAnsi"/>
    </w:r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b/>
      <w:caps/>
    </w:rPr>
  </w:style>
  <w:style w:type="paragraph" w:customStyle="1" w:styleId="BoldCenteredUndHeading">
    <w:name w:val="Bold Centered Und Heading"/>
    <w:basedOn w:val="Normal"/>
    <w:next w:val="BodyTextFirstIndent"/>
    <w:qFormat/>
    <w:rsid w:val="001E1652"/>
    <w:pPr>
      <w:spacing w:after="240"/>
      <w:contextualSpacing/>
      <w:jc w:val="center"/>
    </w:pPr>
    <w:rPr>
      <w:b/>
      <w:caps/>
      <w:u w:val="single"/>
    </w:rPr>
  </w:style>
  <w:style w:type="paragraph" w:styleId="Signature">
    <w:name w:val="Signature"/>
    <w:basedOn w:val="Normal"/>
    <w:link w:val="SignatureChar"/>
    <w:qFormat/>
    <w:rsid w:val="001E1652"/>
    <w:pPr>
      <w:spacing w:after="240"/>
      <w:ind w:left="4320"/>
      <w:contextualSpacing/>
    </w:pPr>
    <w:rPr>
      <w:rFonts w:eastAsiaTheme="minorHAnsi"/>
    </w:rPr>
  </w:style>
  <w:style w:type="character" w:customStyle="1" w:styleId="SignatureChar">
    <w:name w:val="Signature Char"/>
    <w:basedOn w:val="DefaultParagraphFont"/>
    <w:link w:val="Signature"/>
    <w:rsid w:val="001E1652"/>
    <w:rPr>
      <w:sz w:val="24"/>
      <w:szCs w:val="24"/>
    </w:rPr>
  </w:style>
  <w:style w:type="paragraph" w:styleId="Footer">
    <w:name w:val="footer"/>
    <w:basedOn w:val="Normal"/>
    <w:link w:val="FooterChar"/>
    <w:uiPriority w:val="99"/>
    <w:unhideWhenUsed/>
    <w:rsid w:val="00F945AB"/>
    <w:pPr>
      <w:tabs>
        <w:tab w:val="center" w:pos="4680"/>
        <w:tab w:val="right" w:pos="9360"/>
      </w:tabs>
    </w:pPr>
  </w:style>
  <w:style w:type="character" w:customStyle="1" w:styleId="FooterChar">
    <w:name w:val="Footer Char"/>
    <w:basedOn w:val="DefaultParagraphFont"/>
    <w:link w:val="Footer"/>
    <w:uiPriority w:val="99"/>
    <w:rsid w:val="00F945AB"/>
    <w:rPr>
      <w:rFonts w:eastAsia="Times New Roman"/>
    </w:rPr>
  </w:style>
  <w:style w:type="paragraph" w:styleId="FootnoteText">
    <w:name w:val="footnote text"/>
    <w:basedOn w:val="Normal"/>
    <w:link w:val="FootnoteTextChar"/>
    <w:uiPriority w:val="99"/>
    <w:semiHidden/>
    <w:unhideWhenUsed/>
    <w:rsid w:val="00F945AB"/>
  </w:style>
  <w:style w:type="character" w:customStyle="1" w:styleId="FootnoteTextChar">
    <w:name w:val="Footnote Text Char"/>
    <w:basedOn w:val="DefaultParagraphFont"/>
    <w:link w:val="FootnoteText"/>
    <w:uiPriority w:val="99"/>
    <w:semiHidden/>
    <w:rsid w:val="00F945AB"/>
    <w:rPr>
      <w:rFonts w:eastAsia="Times New Roman"/>
    </w:rPr>
  </w:style>
  <w:style w:type="character" w:styleId="FootnoteReference">
    <w:name w:val="footnote reference"/>
    <w:uiPriority w:val="99"/>
    <w:semiHidden/>
    <w:unhideWhenUsed/>
    <w:rsid w:val="00F945AB"/>
    <w:rPr>
      <w:vertAlign w:val="superscript"/>
    </w:rPr>
  </w:style>
  <w:style w:type="character" w:styleId="Hyperlink">
    <w:name w:val="Hyperlink"/>
    <w:basedOn w:val="DefaultParagraphFont"/>
    <w:uiPriority w:val="99"/>
    <w:unhideWhenUsed/>
    <w:rsid w:val="00694170"/>
    <w:rPr>
      <w:color w:val="0000FF" w:themeColor="hyperlink"/>
      <w:u w:val="single"/>
    </w:rPr>
  </w:style>
  <w:style w:type="paragraph" w:styleId="Header">
    <w:name w:val="header"/>
    <w:basedOn w:val="Normal"/>
    <w:link w:val="HeaderChar"/>
    <w:uiPriority w:val="99"/>
    <w:unhideWhenUsed/>
    <w:rsid w:val="00694170"/>
    <w:pPr>
      <w:widowControl/>
      <w:tabs>
        <w:tab w:val="center" w:pos="4680"/>
        <w:tab w:val="right" w:pos="9360"/>
      </w:tabs>
      <w:autoSpaceDE/>
      <w:autoSpaceDN/>
      <w:adjustRightInd/>
    </w:pPr>
    <w:rPr>
      <w:rFonts w:eastAsia="Calibri"/>
      <w:sz w:val="24"/>
      <w:szCs w:val="24"/>
    </w:rPr>
  </w:style>
  <w:style w:type="character" w:customStyle="1" w:styleId="HeaderChar">
    <w:name w:val="Header Char"/>
    <w:basedOn w:val="DefaultParagraphFont"/>
    <w:link w:val="Header"/>
    <w:uiPriority w:val="99"/>
    <w:rsid w:val="00694170"/>
    <w:rPr>
      <w:sz w:val="24"/>
      <w:szCs w:val="24"/>
    </w:rPr>
  </w:style>
  <w:style w:type="paragraph" w:styleId="Revision">
    <w:name w:val="Revision"/>
    <w:hidden/>
    <w:uiPriority w:val="99"/>
    <w:semiHidden/>
    <w:rsid w:val="00902712"/>
    <w:rPr>
      <w:rFonts w:eastAsia="Times New Roman"/>
    </w:rPr>
  </w:style>
  <w:style w:type="paragraph" w:styleId="BalloonText">
    <w:name w:val="Balloon Text"/>
    <w:basedOn w:val="Normal"/>
    <w:link w:val="BalloonTextChar"/>
    <w:uiPriority w:val="99"/>
    <w:semiHidden/>
    <w:unhideWhenUsed/>
    <w:rsid w:val="00902712"/>
    <w:rPr>
      <w:rFonts w:ascii="Tahoma" w:hAnsi="Tahoma" w:cs="Tahoma"/>
      <w:sz w:val="16"/>
      <w:szCs w:val="16"/>
    </w:rPr>
  </w:style>
  <w:style w:type="character" w:customStyle="1" w:styleId="BalloonTextChar">
    <w:name w:val="Balloon Text Char"/>
    <w:basedOn w:val="DefaultParagraphFont"/>
    <w:link w:val="BalloonText"/>
    <w:uiPriority w:val="99"/>
    <w:semiHidden/>
    <w:rsid w:val="009027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Signature" w:uiPriority="0" w:qFormat="1"/>
    <w:lsdException w:name="Default Paragraph Font" w:uiPriority="1"/>
    <w:lsdException w:name="Body Text" w:uiPriority="0" w:qFormat="1"/>
    <w:lsdException w:name="Body Text Indent" w:semiHidden="0" w:uiPriority="19" w:unhideWhenUsed="0"/>
    <w:lsdException w:name="Subtitle" w:semiHidden="0" w:uiPriority="11" w:unhideWhenUsed="0"/>
    <w:lsdException w:name="Body Text First Indent" w:uiPriority="0" w:qFormat="1"/>
    <w:lsdException w:name="Body Text First Indent 2" w:semiHidden="0" w:uiPriority="0" w:unhideWhenUsed="0" w:qFormat="1"/>
    <w:lsdException w:name="Body Text 2" w:uiPriority="0" w:qFormat="1"/>
    <w:lsdException w:name="Body Text Indent 2" w:uiPriority="19"/>
    <w:lsdException w:name="Block Text"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5AB"/>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E1652"/>
    <w:pPr>
      <w:spacing w:after="240"/>
    </w:pPr>
  </w:style>
  <w:style w:type="character" w:customStyle="1" w:styleId="BodyTextChar">
    <w:name w:val="Body Text Char"/>
    <w:link w:val="BodyText"/>
    <w:rsid w:val="001E1652"/>
    <w:rPr>
      <w:rFonts w:eastAsia="Calibri"/>
      <w:sz w:val="24"/>
      <w:szCs w:val="24"/>
    </w:rPr>
  </w:style>
  <w:style w:type="paragraph" w:styleId="BodyTextFirstIndent">
    <w:name w:val="Body Text First Indent"/>
    <w:basedOn w:val="Normal"/>
    <w:link w:val="BodyTextFirstIndentChar"/>
    <w:qFormat/>
    <w:rsid w:val="001E1652"/>
    <w:pPr>
      <w:spacing w:after="240"/>
      <w:ind w:firstLine="720"/>
    </w:pPr>
  </w:style>
  <w:style w:type="character" w:customStyle="1" w:styleId="BodyTextFirstIndentChar">
    <w:name w:val="Body Text First Indent Char"/>
    <w:link w:val="BodyTextFirstIndent"/>
    <w:rsid w:val="001E1652"/>
    <w:rPr>
      <w:rFonts w:eastAsia="Calibri"/>
      <w:sz w:val="24"/>
      <w:szCs w:val="24"/>
    </w:rPr>
  </w:style>
  <w:style w:type="paragraph" w:styleId="BodyText2">
    <w:name w:val="Body Text 2"/>
    <w:basedOn w:val="Normal"/>
    <w:link w:val="BodyText2Char"/>
    <w:qFormat/>
    <w:rsid w:val="001E1652"/>
    <w:pPr>
      <w:spacing w:line="480" w:lineRule="auto"/>
    </w:pPr>
  </w:style>
  <w:style w:type="character" w:customStyle="1" w:styleId="BodyText2Char">
    <w:name w:val="Body Text 2 Char"/>
    <w:link w:val="BodyText2"/>
    <w:rsid w:val="001E1652"/>
    <w:rPr>
      <w:rFonts w:eastAsia="Calibri"/>
      <w:sz w:val="24"/>
      <w:szCs w:val="24"/>
    </w:rPr>
  </w:style>
  <w:style w:type="paragraph" w:styleId="BlockText">
    <w:name w:val="Block Text"/>
    <w:basedOn w:val="Normal"/>
    <w:next w:val="BodyTextFirstIndent"/>
    <w:qFormat/>
    <w:rsid w:val="001E1652"/>
    <w:pPr>
      <w:spacing w:after="240"/>
      <w:ind w:left="1440" w:right="1440"/>
    </w:pPr>
  </w:style>
  <w:style w:type="paragraph" w:styleId="BodyTextIndent">
    <w:name w:val="Body Text Indent"/>
    <w:basedOn w:val="Normal"/>
    <w:link w:val="BodyTextIndentChar"/>
    <w:uiPriority w:val="19"/>
    <w:rsid w:val="001E1652"/>
    <w:pPr>
      <w:spacing w:after="120"/>
      <w:ind w:left="360"/>
    </w:pPr>
  </w:style>
  <w:style w:type="character" w:customStyle="1" w:styleId="BodyTextIndentChar">
    <w:name w:val="Body Text Indent Char"/>
    <w:basedOn w:val="DefaultParagraphFont"/>
    <w:link w:val="BodyTextIndent"/>
    <w:uiPriority w:val="19"/>
    <w:rsid w:val="001E1652"/>
    <w:rPr>
      <w:rFonts w:eastAsia="Calibri"/>
      <w:sz w:val="24"/>
      <w:szCs w:val="24"/>
    </w:rPr>
  </w:style>
  <w:style w:type="paragraph" w:styleId="BodyTextFirstIndent2">
    <w:name w:val="Body Text First Indent 2"/>
    <w:basedOn w:val="Normal"/>
    <w:link w:val="BodyTextFirstIndent2Char"/>
    <w:qFormat/>
    <w:rsid w:val="001E1652"/>
    <w:pPr>
      <w:spacing w:line="480" w:lineRule="auto"/>
      <w:ind w:firstLine="720"/>
    </w:pPr>
    <w:rPr>
      <w:rFonts w:eastAsiaTheme="minorHAnsi"/>
    </w:rPr>
  </w:style>
  <w:style w:type="character" w:customStyle="1" w:styleId="BodyTextFirstIndent2Char">
    <w:name w:val="Body Text First Indent 2 Char"/>
    <w:basedOn w:val="BodyTextIndentChar"/>
    <w:link w:val="BodyTextFirstIndent2"/>
    <w:rsid w:val="001E1652"/>
    <w:rPr>
      <w:rFonts w:eastAsia="Calibri"/>
      <w:sz w:val="24"/>
      <w:szCs w:val="24"/>
    </w:rPr>
  </w:style>
  <w:style w:type="paragraph" w:customStyle="1" w:styleId="BoldCenteredHeading">
    <w:name w:val="Bold Centered Heading"/>
    <w:basedOn w:val="Normal"/>
    <w:next w:val="BodyTextFirstIndent"/>
    <w:qFormat/>
    <w:rsid w:val="001E1652"/>
    <w:pPr>
      <w:spacing w:after="240"/>
      <w:contextualSpacing/>
      <w:jc w:val="center"/>
    </w:pPr>
    <w:rPr>
      <w:b/>
      <w:caps/>
    </w:rPr>
  </w:style>
  <w:style w:type="paragraph" w:customStyle="1" w:styleId="BoldCenteredUndHeading">
    <w:name w:val="Bold Centered Und Heading"/>
    <w:basedOn w:val="Normal"/>
    <w:next w:val="BodyTextFirstIndent"/>
    <w:qFormat/>
    <w:rsid w:val="001E1652"/>
    <w:pPr>
      <w:spacing w:after="240"/>
      <w:contextualSpacing/>
      <w:jc w:val="center"/>
    </w:pPr>
    <w:rPr>
      <w:b/>
      <w:caps/>
      <w:u w:val="single"/>
    </w:rPr>
  </w:style>
  <w:style w:type="paragraph" w:styleId="Signature">
    <w:name w:val="Signature"/>
    <w:basedOn w:val="Normal"/>
    <w:link w:val="SignatureChar"/>
    <w:qFormat/>
    <w:rsid w:val="001E1652"/>
    <w:pPr>
      <w:spacing w:after="240"/>
      <w:ind w:left="4320"/>
      <w:contextualSpacing/>
    </w:pPr>
    <w:rPr>
      <w:rFonts w:eastAsiaTheme="minorHAnsi"/>
    </w:rPr>
  </w:style>
  <w:style w:type="character" w:customStyle="1" w:styleId="SignatureChar">
    <w:name w:val="Signature Char"/>
    <w:basedOn w:val="DefaultParagraphFont"/>
    <w:link w:val="Signature"/>
    <w:rsid w:val="001E1652"/>
    <w:rPr>
      <w:sz w:val="24"/>
      <w:szCs w:val="24"/>
    </w:rPr>
  </w:style>
  <w:style w:type="paragraph" w:styleId="Footer">
    <w:name w:val="footer"/>
    <w:basedOn w:val="Normal"/>
    <w:link w:val="FooterChar"/>
    <w:uiPriority w:val="99"/>
    <w:unhideWhenUsed/>
    <w:rsid w:val="00F945AB"/>
    <w:pPr>
      <w:tabs>
        <w:tab w:val="center" w:pos="4680"/>
        <w:tab w:val="right" w:pos="9360"/>
      </w:tabs>
    </w:pPr>
  </w:style>
  <w:style w:type="character" w:customStyle="1" w:styleId="FooterChar">
    <w:name w:val="Footer Char"/>
    <w:basedOn w:val="DefaultParagraphFont"/>
    <w:link w:val="Footer"/>
    <w:uiPriority w:val="99"/>
    <w:rsid w:val="00F945AB"/>
    <w:rPr>
      <w:rFonts w:eastAsia="Times New Roman"/>
    </w:rPr>
  </w:style>
  <w:style w:type="paragraph" w:styleId="FootnoteText">
    <w:name w:val="footnote text"/>
    <w:basedOn w:val="Normal"/>
    <w:link w:val="FootnoteTextChar"/>
    <w:uiPriority w:val="99"/>
    <w:semiHidden/>
    <w:unhideWhenUsed/>
    <w:rsid w:val="00F945AB"/>
  </w:style>
  <w:style w:type="character" w:customStyle="1" w:styleId="FootnoteTextChar">
    <w:name w:val="Footnote Text Char"/>
    <w:basedOn w:val="DefaultParagraphFont"/>
    <w:link w:val="FootnoteText"/>
    <w:uiPriority w:val="99"/>
    <w:semiHidden/>
    <w:rsid w:val="00F945AB"/>
    <w:rPr>
      <w:rFonts w:eastAsia="Times New Roman"/>
    </w:rPr>
  </w:style>
  <w:style w:type="character" w:styleId="FootnoteReference">
    <w:name w:val="footnote reference"/>
    <w:uiPriority w:val="99"/>
    <w:semiHidden/>
    <w:unhideWhenUsed/>
    <w:rsid w:val="00F945AB"/>
    <w:rPr>
      <w:vertAlign w:val="superscript"/>
    </w:rPr>
  </w:style>
  <w:style w:type="character" w:styleId="Hyperlink">
    <w:name w:val="Hyperlink"/>
    <w:basedOn w:val="DefaultParagraphFont"/>
    <w:uiPriority w:val="99"/>
    <w:unhideWhenUsed/>
    <w:rsid w:val="00694170"/>
    <w:rPr>
      <w:color w:val="0000FF" w:themeColor="hyperlink"/>
      <w:u w:val="single"/>
    </w:rPr>
  </w:style>
  <w:style w:type="paragraph" w:styleId="Header">
    <w:name w:val="header"/>
    <w:basedOn w:val="Normal"/>
    <w:link w:val="HeaderChar"/>
    <w:uiPriority w:val="99"/>
    <w:unhideWhenUsed/>
    <w:rsid w:val="00694170"/>
    <w:pPr>
      <w:widowControl/>
      <w:tabs>
        <w:tab w:val="center" w:pos="4680"/>
        <w:tab w:val="right" w:pos="9360"/>
      </w:tabs>
      <w:autoSpaceDE/>
      <w:autoSpaceDN/>
      <w:adjustRightInd/>
    </w:pPr>
    <w:rPr>
      <w:rFonts w:eastAsia="Calibri"/>
      <w:sz w:val="24"/>
      <w:szCs w:val="24"/>
    </w:rPr>
  </w:style>
  <w:style w:type="character" w:customStyle="1" w:styleId="HeaderChar">
    <w:name w:val="Header Char"/>
    <w:basedOn w:val="DefaultParagraphFont"/>
    <w:link w:val="Header"/>
    <w:uiPriority w:val="99"/>
    <w:rsid w:val="00694170"/>
    <w:rPr>
      <w:sz w:val="24"/>
      <w:szCs w:val="24"/>
    </w:rPr>
  </w:style>
  <w:style w:type="paragraph" w:styleId="Revision">
    <w:name w:val="Revision"/>
    <w:hidden/>
    <w:uiPriority w:val="99"/>
    <w:semiHidden/>
    <w:rsid w:val="00902712"/>
    <w:rPr>
      <w:rFonts w:eastAsia="Times New Roman"/>
    </w:rPr>
  </w:style>
  <w:style w:type="paragraph" w:styleId="BalloonText">
    <w:name w:val="Balloon Text"/>
    <w:basedOn w:val="Normal"/>
    <w:link w:val="BalloonTextChar"/>
    <w:uiPriority w:val="99"/>
    <w:semiHidden/>
    <w:unhideWhenUsed/>
    <w:rsid w:val="00902712"/>
    <w:rPr>
      <w:rFonts w:ascii="Tahoma" w:hAnsi="Tahoma" w:cs="Tahoma"/>
      <w:sz w:val="16"/>
      <w:szCs w:val="16"/>
    </w:rPr>
  </w:style>
  <w:style w:type="character" w:customStyle="1" w:styleId="BalloonTextChar">
    <w:name w:val="Balloon Text Char"/>
    <w:basedOn w:val="DefaultParagraphFont"/>
    <w:link w:val="BalloonText"/>
    <w:uiPriority w:val="99"/>
    <w:semiHidden/>
    <w:rsid w:val="0090271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ngham@occ.state.oh.us" TargetMode="External"/><Relationship Id="rId18" Type="http://schemas.openxmlformats.org/officeDocument/2006/relationships/hyperlink" Target="mailto:glpetrucci@vorys.com" TargetMode="External"/><Relationship Id="rId26" Type="http://schemas.openxmlformats.org/officeDocument/2006/relationships/hyperlink" Target="mailto:zkravitz@taftlaw.com" TargetMode="External"/><Relationship Id="rId39" Type="http://schemas.openxmlformats.org/officeDocument/2006/relationships/hyperlink" Target="mailto:mpritchard@mwncmh.com" TargetMode="External"/><Relationship Id="rId21" Type="http://schemas.openxmlformats.org/officeDocument/2006/relationships/hyperlink" Target="mailto:haydenm@firstenergycorp.com" TargetMode="External"/><Relationship Id="rId34" Type="http://schemas.openxmlformats.org/officeDocument/2006/relationships/hyperlink" Target="mailto:bojko@carpenterlipps.com" TargetMode="External"/><Relationship Id="rId42" Type="http://schemas.openxmlformats.org/officeDocument/2006/relationships/hyperlink" Target="mailto:jkylercohn@bkllawfirm.com" TargetMode="External"/><Relationship Id="rId47" Type="http://schemas.openxmlformats.org/officeDocument/2006/relationships/footer" Target="footer3.xml"/><Relationship Id="rId50" Type="http://schemas.openxmlformats.org/officeDocument/2006/relationships/hyperlink" Target="mailto:mbach@hess.com" TargetMode="External"/><Relationship Id="rId55" Type="http://schemas.openxmlformats.org/officeDocument/2006/relationships/hyperlink" Target="mailto:barthroyer@aol.com" TargetMode="External"/><Relationship Id="rId63" Type="http://schemas.openxmlformats.org/officeDocument/2006/relationships/hyperlink" Target="mailto:gpoulos@enernoc.co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mjsatterwhite@aep.com" TargetMode="External"/><Relationship Id="rId29" Type="http://schemas.openxmlformats.org/officeDocument/2006/relationships/hyperlink" Target="mailto:ricks@ohane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parrot@puc.state.oh.us" TargetMode="External"/><Relationship Id="rId24" Type="http://schemas.openxmlformats.org/officeDocument/2006/relationships/hyperlink" Target="mailto:Tdougherty@theOEC.org" TargetMode="External"/><Relationship Id="rId32" Type="http://schemas.openxmlformats.org/officeDocument/2006/relationships/hyperlink" Target="mailto:Philip.Sineneng@ThompsonHine.com" TargetMode="External"/><Relationship Id="rId37" Type="http://schemas.openxmlformats.org/officeDocument/2006/relationships/hyperlink" Target="mailto:sam@mwncmh.com" TargetMode="External"/><Relationship Id="rId40" Type="http://schemas.openxmlformats.org/officeDocument/2006/relationships/hyperlink" Target="mailto:dboehm@bkllawfirm.com" TargetMode="External"/><Relationship Id="rId45" Type="http://schemas.openxmlformats.org/officeDocument/2006/relationships/hyperlink" Target="mailto:Judi.sobecki@aes.com" TargetMode="External"/><Relationship Id="rId53" Type="http://schemas.openxmlformats.org/officeDocument/2006/relationships/hyperlink" Target="mailto:williams@whitt-sturtevant.com" TargetMode="External"/><Relationship Id="rId58" Type="http://schemas.openxmlformats.org/officeDocument/2006/relationships/hyperlink" Target="mailto:lfriedeman@igsenergy.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tnourse@aep.com" TargetMode="External"/><Relationship Id="rId23" Type="http://schemas.openxmlformats.org/officeDocument/2006/relationships/hyperlink" Target="mailto:scasto@firstenergycorp.com" TargetMode="External"/><Relationship Id="rId28" Type="http://schemas.openxmlformats.org/officeDocument/2006/relationships/hyperlink" Target="mailto:cloucas@ohiopartners.org" TargetMode="External"/><Relationship Id="rId36" Type="http://schemas.openxmlformats.org/officeDocument/2006/relationships/hyperlink" Target="mailto:Dianne.kuhnell@duke-energy.com" TargetMode="External"/><Relationship Id="rId49" Type="http://schemas.openxmlformats.org/officeDocument/2006/relationships/hyperlink" Target="mailto:NMcDaniel@elpc.org" TargetMode="External"/><Relationship Id="rId57" Type="http://schemas.openxmlformats.org/officeDocument/2006/relationships/hyperlink" Target="mailto:vparisi@igsenergy.com" TargetMode="External"/><Relationship Id="rId61" Type="http://schemas.openxmlformats.org/officeDocument/2006/relationships/hyperlink" Target="mailto:rocco.dascenzo@duke-energy.com" TargetMode="External"/><Relationship Id="rId10" Type="http://schemas.openxmlformats.org/officeDocument/2006/relationships/footer" Target="footer2.xml"/><Relationship Id="rId19" Type="http://schemas.openxmlformats.org/officeDocument/2006/relationships/hyperlink" Target="mailto:cynthia.brady@constellation.com" TargetMode="External"/><Relationship Id="rId31" Type="http://schemas.openxmlformats.org/officeDocument/2006/relationships/hyperlink" Target="mailto:dborchers@bricker.com" TargetMode="External"/><Relationship Id="rId44" Type="http://schemas.openxmlformats.org/officeDocument/2006/relationships/hyperlink" Target="mailto:Tyler.teuscher@dplinc.com" TargetMode="External"/><Relationship Id="rId52" Type="http://schemas.openxmlformats.org/officeDocument/2006/relationships/hyperlink" Target="mailto:campbell@whitt-sturtevant.com" TargetMode="External"/><Relationship Id="rId60" Type="http://schemas.openxmlformats.org/officeDocument/2006/relationships/hyperlink" Target="mailto:jfinnigan@edf.org"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rady@occ.state.oh.us" TargetMode="External"/><Relationship Id="rId22" Type="http://schemas.openxmlformats.org/officeDocument/2006/relationships/hyperlink" Target="mailto:jmcdermott@firstenergycorp.com" TargetMode="External"/><Relationship Id="rId27" Type="http://schemas.openxmlformats.org/officeDocument/2006/relationships/hyperlink" Target="mailto:cmooney@ohiopartners.org" TargetMode="External"/><Relationship Id="rId30" Type="http://schemas.openxmlformats.org/officeDocument/2006/relationships/hyperlink" Target="mailto:tobrien@bricker.com" TargetMode="External"/><Relationship Id="rId35" Type="http://schemas.openxmlformats.org/officeDocument/2006/relationships/hyperlink" Target="mailto:mohler@carpenterlipps.com" TargetMode="External"/><Relationship Id="rId43" Type="http://schemas.openxmlformats.org/officeDocument/2006/relationships/hyperlink" Target="mailto:joseph.clark@directenergy.com" TargetMode="External"/><Relationship Id="rId48" Type="http://schemas.openxmlformats.org/officeDocument/2006/relationships/hyperlink" Target="mailto:dconway@porterwright.com" TargetMode="External"/><Relationship Id="rId56" Type="http://schemas.openxmlformats.org/officeDocument/2006/relationships/hyperlink" Target="mailto:Gary.A.Jeffries@dom.com" TargetMode="External"/><Relationship Id="rId64" Type="http://schemas.openxmlformats.org/officeDocument/2006/relationships/header" Target="header3.xml"/><Relationship Id="rId8" Type="http://schemas.openxmlformats.org/officeDocument/2006/relationships/footer" Target="footer1.xml"/><Relationship Id="rId51" Type="http://schemas.openxmlformats.org/officeDocument/2006/relationships/hyperlink" Target="mailto:whitt@whitt-sturtevant.com" TargetMode="External"/><Relationship Id="rId3" Type="http://schemas.microsoft.com/office/2007/relationships/stylesWithEffects" Target="stylesWithEffects.xml"/><Relationship Id="rId12" Type="http://schemas.openxmlformats.org/officeDocument/2006/relationships/hyperlink" Target="mailto:greta.see@puc.state.oh.us" TargetMode="External"/><Relationship Id="rId17" Type="http://schemas.openxmlformats.org/officeDocument/2006/relationships/hyperlink" Target="mailto:mhpetricoff@vorys.com" TargetMode="External"/><Relationship Id="rId25" Type="http://schemas.openxmlformats.org/officeDocument/2006/relationships/hyperlink" Target="mailto:myurick@taftlaw.com" TargetMode="External"/><Relationship Id="rId33" Type="http://schemas.openxmlformats.org/officeDocument/2006/relationships/hyperlink" Target="mailto:Stephanie.Chmiel@ThompsonHine.com" TargetMode="External"/><Relationship Id="rId38" Type="http://schemas.openxmlformats.org/officeDocument/2006/relationships/hyperlink" Target="mailto:fdarr@mwncmh.com" TargetMode="External"/><Relationship Id="rId46" Type="http://schemas.openxmlformats.org/officeDocument/2006/relationships/header" Target="header2.xml"/><Relationship Id="rId59" Type="http://schemas.openxmlformats.org/officeDocument/2006/relationships/hyperlink" Target="mailto:mswhite@igsenergy.com" TargetMode="External"/><Relationship Id="rId67" Type="http://schemas.openxmlformats.org/officeDocument/2006/relationships/theme" Target="theme/theme1.xml"/><Relationship Id="rId20" Type="http://schemas.openxmlformats.org/officeDocument/2006/relationships/hyperlink" Target="mailto:swilliams@nrdc.org" TargetMode="External"/><Relationship Id="rId41" Type="http://schemas.openxmlformats.org/officeDocument/2006/relationships/hyperlink" Target="mailto:mkurtz@bkllawfirm.com" TargetMode="External"/><Relationship Id="rId54" Type="http://schemas.openxmlformats.org/officeDocument/2006/relationships/hyperlink" Target="mailto:msmalz@ohiopovertylaw.org" TargetMode="External"/><Relationship Id="rId62" Type="http://schemas.openxmlformats.org/officeDocument/2006/relationships/hyperlink" Target="mailto:plee@osl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Spilman Thomas &amp; Battle, PLLC</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 Isom</dc:creator>
  <cp:lastModifiedBy>Lisa H. Isom</cp:lastModifiedBy>
  <cp:revision>2</cp:revision>
  <cp:lastPrinted>2014-07-23T15:08:00Z</cp:lastPrinted>
  <dcterms:created xsi:type="dcterms:W3CDTF">2014-07-23T16:57:00Z</dcterms:created>
  <dcterms:modified xsi:type="dcterms:W3CDTF">2014-07-23T16:57:00Z</dcterms:modified>
</cp:coreProperties>
</file>