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E399A" w:rsidP="005E399A">
      <w:pPr>
        <w:jc w:val="center"/>
        <w:rPr>
          <w:b/>
          <w:szCs w:val="20"/>
        </w:rPr>
      </w:pPr>
      <w:bookmarkStart w:id="0" w:name="_Toc94421894"/>
      <w:bookmarkStart w:id="1" w:name="_GoBack"/>
      <w:bookmarkEnd w:id="1"/>
      <w:r>
        <w:rPr>
          <w:b/>
          <w:szCs w:val="20"/>
        </w:rPr>
        <w:t>BEFORE</w:t>
      </w:r>
    </w:p>
    <w:p w:rsidR="005E399A" w:rsidP="005E399A">
      <w:pPr>
        <w:jc w:val="center"/>
        <w:rPr>
          <w:b/>
          <w:szCs w:val="20"/>
        </w:rPr>
      </w:pPr>
      <w:r>
        <w:rPr>
          <w:b/>
          <w:szCs w:val="20"/>
        </w:rPr>
        <w:t>THE PUBLIC UTILITIES COMMISSION OF OHIO</w:t>
      </w:r>
    </w:p>
    <w:p w:rsidR="00266B1C" w:rsidP="005E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8766" w:type="dxa"/>
        <w:tblInd w:w="0" w:type="dxa"/>
        <w:tblCellMar>
          <w:top w:w="0" w:type="dxa"/>
          <w:left w:w="108" w:type="dxa"/>
          <w:bottom w:w="0" w:type="dxa"/>
          <w:right w:w="108" w:type="dxa"/>
        </w:tblCellMar>
        <w:tblLook w:val="00A0"/>
      </w:tblPr>
      <w:tblGrid>
        <w:gridCol w:w="3888"/>
        <w:gridCol w:w="1170"/>
        <w:gridCol w:w="3708"/>
      </w:tblGrid>
      <w:tr w:rsidTr="005E399A">
        <w:tblPrEx>
          <w:tblW w:w="8766" w:type="dxa"/>
          <w:tblInd w:w="0" w:type="dxa"/>
          <w:tblCellMar>
            <w:top w:w="0" w:type="dxa"/>
            <w:left w:w="108" w:type="dxa"/>
            <w:bottom w:w="0" w:type="dxa"/>
            <w:right w:w="108" w:type="dxa"/>
          </w:tblCellMar>
          <w:tblLook w:val="00A0"/>
        </w:tblPrEx>
        <w:trPr>
          <w:trHeight w:val="1512"/>
        </w:trPr>
        <w:tc>
          <w:tcPr>
            <w:tcW w:w="3888" w:type="dxa"/>
            <w:shd w:val="clear" w:color="auto" w:fill="auto"/>
          </w:tcPr>
          <w:p w:rsidR="005E399A" w:rsidRPr="00A5772F" w:rsidP="005E399A">
            <w:pPr>
              <w:rPr>
                <w:rStyle w:val="DefaultParagraphFont"/>
                <w:rFonts w:eastAsia="Calibri"/>
                <w:sz w:val="24"/>
                <w:szCs w:val="24"/>
                <w:lang w:val="en-US" w:eastAsia="en-US" w:bidi="ar-SA"/>
              </w:rPr>
            </w:pPr>
            <w:r w:rsidRPr="00A5772F">
              <w:rPr>
                <w:rFonts w:eastAsia="Calibri"/>
                <w:sz w:val="24"/>
                <w:szCs w:val="24"/>
                <w:lang w:val="en-US" w:eastAsia="en-US" w:bidi="ar-SA"/>
              </w:rPr>
              <w:t>In the Matter of the Commission’s Investigation into PALMco Power OH, LLC dba Indra Energy and PALMco Energy OH, LLC dba Indra Energy’s Compliance with the Ohio Administrative Code and Potential Remedial Actions for Non-Compliance.</w:t>
            </w:r>
          </w:p>
          <w:p w:rsidR="005E399A" w:rsidRPr="00A044B5" w:rsidP="005E399A">
            <w:pPr>
              <w:rPr>
                <w:rStyle w:val="DefaultParagraphFont"/>
                <w:rFonts w:eastAsia="Calibri"/>
                <w:sz w:val="24"/>
                <w:szCs w:val="24"/>
                <w:lang w:val="en-US" w:eastAsia="en-US" w:bidi="ar-SA"/>
              </w:rPr>
            </w:pPr>
          </w:p>
        </w:tc>
        <w:tc>
          <w:tcPr>
            <w:tcW w:w="1170" w:type="dxa"/>
            <w:shd w:val="clear" w:color="auto" w:fill="auto"/>
          </w:tcPr>
          <w:p w:rsidR="005E399A" w:rsidRPr="00A5772F"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5E399A" w:rsidRPr="00A5772F"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5E399A" w:rsidRPr="00A5772F"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5E399A" w:rsidRPr="00A5772F"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5E399A" w:rsidRPr="00A5772F"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5E399A" w:rsidRPr="00A5772F"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5E399A" w:rsidRPr="00A5772F"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5E399A" w:rsidP="005E399A">
            <w:pPr>
              <w:jc w:val="center"/>
              <w:rPr>
                <w:rStyle w:val="DefaultParagraphFont"/>
                <w:rFonts w:eastAsia="Calibri"/>
                <w:sz w:val="24"/>
                <w:szCs w:val="24"/>
                <w:lang w:val="en-US" w:eastAsia="en-US" w:bidi="ar-SA"/>
              </w:rPr>
            </w:pPr>
            <w:r w:rsidRPr="00A5772F">
              <w:rPr>
                <w:rFonts w:eastAsia="Calibri"/>
                <w:sz w:val="24"/>
                <w:szCs w:val="24"/>
                <w:lang w:val="en-US" w:eastAsia="en-US" w:bidi="ar-SA"/>
              </w:rPr>
              <w:t>)</w:t>
            </w:r>
          </w:p>
          <w:p w:rsidR="00266B1C" w:rsidP="005E399A">
            <w:pPr>
              <w:jc w:val="center"/>
              <w:rPr>
                <w:rStyle w:val="DefaultParagraphFont"/>
                <w:rFonts w:eastAsia="Calibri"/>
                <w:sz w:val="24"/>
                <w:szCs w:val="24"/>
                <w:lang w:val="en-US" w:eastAsia="en-US" w:bidi="ar-SA"/>
              </w:rPr>
            </w:pPr>
          </w:p>
          <w:p w:rsidR="00266B1C" w:rsidRPr="00A5772F" w:rsidP="005E399A">
            <w:pPr>
              <w:jc w:val="center"/>
              <w:rPr>
                <w:rStyle w:val="DefaultParagraphFont"/>
                <w:rFonts w:eastAsia="Calibri"/>
                <w:sz w:val="24"/>
                <w:szCs w:val="24"/>
                <w:lang w:val="en-US" w:eastAsia="en-US" w:bidi="ar-SA"/>
              </w:rPr>
            </w:pPr>
          </w:p>
        </w:tc>
        <w:tc>
          <w:tcPr>
            <w:tcW w:w="3708" w:type="dxa"/>
            <w:shd w:val="clear" w:color="auto" w:fill="auto"/>
          </w:tcPr>
          <w:p w:rsidR="005E399A" w:rsidRPr="00A5772F" w:rsidP="005E399A">
            <w:pPr>
              <w:rPr>
                <w:rStyle w:val="DefaultParagraphFont"/>
                <w:rFonts w:eastAsia="Calibri"/>
                <w:sz w:val="24"/>
                <w:szCs w:val="24"/>
                <w:lang w:val="en-US" w:eastAsia="en-US" w:bidi="ar-SA"/>
              </w:rPr>
            </w:pPr>
          </w:p>
          <w:p w:rsidR="005E399A" w:rsidRPr="00A5772F" w:rsidP="005E399A">
            <w:pPr>
              <w:rPr>
                <w:rStyle w:val="DefaultParagraphFont"/>
                <w:rFonts w:eastAsia="Calibri"/>
                <w:sz w:val="24"/>
                <w:szCs w:val="24"/>
                <w:lang w:val="en-US" w:eastAsia="en-US" w:bidi="ar-SA"/>
              </w:rPr>
            </w:pPr>
            <w:r w:rsidRPr="00A5772F">
              <w:rPr>
                <w:rFonts w:eastAsia="Calibri"/>
                <w:sz w:val="24"/>
                <w:szCs w:val="24"/>
                <w:lang w:val="en-US" w:eastAsia="en-US" w:bidi="ar-SA"/>
              </w:rPr>
              <w:t>Case No. 19-</w:t>
            </w:r>
            <w:r w:rsidR="003D230B">
              <w:rPr>
                <w:rFonts w:eastAsia="Calibri"/>
                <w:sz w:val="24"/>
                <w:szCs w:val="24"/>
                <w:lang w:val="en-US" w:eastAsia="en-US" w:bidi="ar-SA"/>
              </w:rPr>
              <w:t>0</w:t>
            </w:r>
            <w:r w:rsidRPr="00A5772F">
              <w:rPr>
                <w:rFonts w:eastAsia="Calibri"/>
                <w:sz w:val="24"/>
                <w:szCs w:val="24"/>
                <w:lang w:val="en-US" w:eastAsia="en-US" w:bidi="ar-SA"/>
              </w:rPr>
              <w:t>957-GE-COI</w:t>
            </w:r>
          </w:p>
          <w:p w:rsidR="005E399A" w:rsidRPr="00A5772F" w:rsidP="005E399A">
            <w:pPr>
              <w:rPr>
                <w:rStyle w:val="DefaultParagraphFont"/>
                <w:rFonts w:eastAsia="Calibri"/>
                <w:sz w:val="24"/>
                <w:szCs w:val="24"/>
                <w:lang w:val="en-US" w:eastAsia="en-US" w:bidi="ar-SA"/>
              </w:rPr>
            </w:pPr>
          </w:p>
          <w:p w:rsidR="005E399A" w:rsidRPr="00A5772F" w:rsidP="005E399A">
            <w:pPr>
              <w:rPr>
                <w:rStyle w:val="DefaultParagraphFont"/>
                <w:rFonts w:eastAsia="Calibri"/>
                <w:sz w:val="24"/>
                <w:szCs w:val="24"/>
                <w:lang w:val="en-US" w:eastAsia="en-US" w:bidi="ar-SA"/>
              </w:rPr>
            </w:pPr>
          </w:p>
        </w:tc>
      </w:tr>
    </w:tbl>
    <w:p w:rsidR="005E399A" w:rsidP="005E399A">
      <w:pPr>
        <w:pBdr>
          <w:top w:val="single" w:sz="12" w:space="1" w:color="auto"/>
        </w:pBdr>
        <w:rPr>
          <w:szCs w:val="20"/>
        </w:rPr>
      </w:pPr>
    </w:p>
    <w:p w:rsidR="002857C6" w:rsidP="002857C6">
      <w:pPr>
        <w:jc w:val="center"/>
        <w:rPr>
          <w:b/>
          <w:szCs w:val="20"/>
        </w:rPr>
      </w:pPr>
      <w:r>
        <w:rPr>
          <w:b/>
          <w:szCs w:val="20"/>
        </w:rPr>
        <w:t xml:space="preserve">MEMORANDUM CONTRA </w:t>
      </w:r>
      <w:r w:rsidR="00BF4107">
        <w:rPr>
          <w:b/>
          <w:szCs w:val="20"/>
        </w:rPr>
        <w:t>THE PUCO STAFF’S</w:t>
      </w:r>
      <w:r>
        <w:rPr>
          <w:b/>
          <w:szCs w:val="20"/>
        </w:rPr>
        <w:t xml:space="preserve"> MOTION TO QUASH SUBPOENAS</w:t>
      </w:r>
    </w:p>
    <w:p w:rsidR="005E399A" w:rsidP="005E399A">
      <w:pPr>
        <w:jc w:val="center"/>
        <w:rPr>
          <w:b/>
          <w:szCs w:val="20"/>
        </w:rPr>
      </w:pPr>
      <w:r>
        <w:rPr>
          <w:b/>
          <w:szCs w:val="20"/>
        </w:rPr>
        <w:t>BY</w:t>
      </w:r>
    </w:p>
    <w:p w:rsidR="005E399A" w:rsidP="005E399A">
      <w:pPr>
        <w:jc w:val="center"/>
        <w:rPr>
          <w:b/>
          <w:szCs w:val="20"/>
        </w:rPr>
      </w:pPr>
      <w:r>
        <w:rPr>
          <w:b/>
          <w:szCs w:val="20"/>
        </w:rPr>
        <w:t>THE OFFICE OF THE OHIO CONSUMERS’ COUNSEL</w:t>
      </w:r>
    </w:p>
    <w:p w:rsidR="005E399A" w:rsidP="005E399A">
      <w:pPr>
        <w:pBdr>
          <w:bottom w:val="single" w:sz="12" w:space="1" w:color="auto"/>
        </w:pBdr>
        <w:rPr>
          <w:szCs w:val="20"/>
        </w:rPr>
      </w:pPr>
    </w:p>
    <w:p w:rsidR="002857C6" w:rsidP="00266B1C">
      <w:pPr>
        <w:pStyle w:val="Heading1"/>
      </w:pPr>
      <w:bookmarkStart w:id="2" w:name="_Toc347157057"/>
      <w:bookmarkStart w:id="3" w:name="_Toc420664783"/>
      <w:bookmarkStart w:id="4" w:name="_Toc420665063"/>
      <w:bookmarkStart w:id="5" w:name="_Toc434844898"/>
      <w:bookmarkStart w:id="6" w:name="_Toc17209697"/>
      <w:r>
        <w:t>I.</w:t>
      </w:r>
      <w:r>
        <w:tab/>
        <w:t>INTRODUCTION</w:t>
      </w:r>
      <w:bookmarkEnd w:id="2"/>
      <w:bookmarkEnd w:id="3"/>
      <w:bookmarkEnd w:id="4"/>
      <w:bookmarkEnd w:id="5"/>
      <w:bookmarkEnd w:id="6"/>
    </w:p>
    <w:p w:rsidR="00E56181" w:rsidP="005E5314">
      <w:pPr>
        <w:spacing w:line="480" w:lineRule="auto"/>
        <w:ind w:firstLine="720"/>
        <w:rPr>
          <w:szCs w:val="20"/>
        </w:rPr>
      </w:pPr>
      <w:r w:rsidRPr="004B64D5">
        <w:rPr>
          <w:szCs w:val="20"/>
        </w:rPr>
        <w:t xml:space="preserve">Due to </w:t>
      </w:r>
      <w:r w:rsidRPr="00102647" w:rsidR="000F4472">
        <w:rPr>
          <w:szCs w:val="20"/>
        </w:rPr>
        <w:t>PALMco’s</w:t>
      </w:r>
      <w:r>
        <w:rPr>
          <w:rStyle w:val="FootnoteReference"/>
          <w:szCs w:val="20"/>
        </w:rPr>
        <w:footnoteReference w:id="2"/>
      </w:r>
      <w:r w:rsidRPr="004B64D5" w:rsidR="000F4472">
        <w:rPr>
          <w:szCs w:val="20"/>
        </w:rPr>
        <w:t xml:space="preserve"> </w:t>
      </w:r>
      <w:r w:rsidRPr="002655DE" w:rsidR="000F4472">
        <w:t xml:space="preserve">unfair, misleading, deceptive, and unconscionable acts and practices </w:t>
      </w:r>
      <w:r w:rsidR="000F4472">
        <w:t>in</w:t>
      </w:r>
      <w:r w:rsidRPr="002655DE" w:rsidR="000F4472">
        <w:t xml:space="preserve"> </w:t>
      </w:r>
      <w:r w:rsidR="000F4472">
        <w:t xml:space="preserve">its marketing of electric and natural gas to Ohioans, </w:t>
      </w:r>
      <w:r w:rsidRPr="004B64D5" w:rsidR="000F4472">
        <w:rPr>
          <w:szCs w:val="20"/>
        </w:rPr>
        <w:t>t</w:t>
      </w:r>
      <w:r w:rsidR="000F4472">
        <w:t xml:space="preserve">he Office of the Ohio Consumers’ Counsel (“OCC”) </w:t>
      </w:r>
      <w:r w:rsidRPr="004B64D5" w:rsidR="000F4472">
        <w:rPr>
          <w:szCs w:val="20"/>
        </w:rPr>
        <w:t>seeks to protect consumers</w:t>
      </w:r>
      <w:r w:rsidRPr="004B64D5">
        <w:rPr>
          <w:szCs w:val="20"/>
        </w:rPr>
        <w:t>.</w:t>
      </w:r>
      <w:r w:rsidRPr="004B64D5" w:rsidR="00033D65">
        <w:rPr>
          <w:szCs w:val="20"/>
        </w:rPr>
        <w:t xml:space="preserve"> </w:t>
      </w:r>
      <w:r w:rsidR="007E512C">
        <w:rPr>
          <w:szCs w:val="20"/>
        </w:rPr>
        <w:t xml:space="preserve">Under </w:t>
      </w:r>
      <w:r w:rsidR="009933B2">
        <w:rPr>
          <w:szCs w:val="20"/>
        </w:rPr>
        <w:t xml:space="preserve"> Ohio Adm. Code 4901-1-28(E)</w:t>
      </w:r>
      <w:r w:rsidR="002857C6">
        <w:rPr>
          <w:szCs w:val="20"/>
        </w:rPr>
        <w:t>,</w:t>
      </w:r>
      <w:r w:rsidR="001B6A11">
        <w:rPr>
          <w:szCs w:val="20"/>
        </w:rPr>
        <w:t xml:space="preserve"> </w:t>
      </w:r>
      <w:r w:rsidR="00A825BA">
        <w:rPr>
          <w:szCs w:val="20"/>
        </w:rPr>
        <w:t xml:space="preserve">OCC </w:t>
      </w:r>
      <w:r w:rsidR="009933B2">
        <w:rPr>
          <w:szCs w:val="20"/>
        </w:rPr>
        <w:t xml:space="preserve">properly </w:t>
      </w:r>
      <w:r w:rsidR="002857C6">
        <w:rPr>
          <w:szCs w:val="20"/>
        </w:rPr>
        <w:t xml:space="preserve">filed motions </w:t>
      </w:r>
      <w:r w:rsidR="009933B2">
        <w:rPr>
          <w:szCs w:val="20"/>
        </w:rPr>
        <w:t xml:space="preserve">on September 13, 2019, </w:t>
      </w:r>
      <w:r w:rsidR="002857C6">
        <w:rPr>
          <w:szCs w:val="20"/>
        </w:rPr>
        <w:t xml:space="preserve">asking the Public Utilities Commission of Ohio </w:t>
      </w:r>
      <w:r w:rsidR="00440FE7">
        <w:rPr>
          <w:szCs w:val="20"/>
        </w:rPr>
        <w:t xml:space="preserve">(“PUCO”) </w:t>
      </w:r>
      <w:r w:rsidR="002857C6">
        <w:rPr>
          <w:szCs w:val="20"/>
        </w:rPr>
        <w:t xml:space="preserve">to issue subpoenas for </w:t>
      </w:r>
      <w:r w:rsidR="009933B2">
        <w:rPr>
          <w:szCs w:val="20"/>
        </w:rPr>
        <w:t>two PUCO employees</w:t>
      </w:r>
      <w:r w:rsidR="002857C6">
        <w:rPr>
          <w:szCs w:val="20"/>
        </w:rPr>
        <w:t xml:space="preserve"> to testify at the upcoming hearing in this case</w:t>
      </w:r>
      <w:r w:rsidR="00E546F6">
        <w:rPr>
          <w:szCs w:val="20"/>
        </w:rPr>
        <w:t xml:space="preserve">.  </w:t>
      </w:r>
      <w:r w:rsidR="002857C6">
        <w:rPr>
          <w:szCs w:val="20"/>
        </w:rPr>
        <w:t xml:space="preserve">OCC sought subpoenas for </w:t>
      </w:r>
      <w:r w:rsidR="005E5314">
        <w:t xml:space="preserve">Barbara Bossart, </w:t>
      </w:r>
      <w:r w:rsidRPr="009C2433" w:rsidR="005E5314">
        <w:t>Chief, Reliability and Service Analysis Division</w:t>
      </w:r>
      <w:r w:rsidR="005E5314">
        <w:t>, Service Monitoring and Enforcement Department</w:t>
      </w:r>
      <w:r w:rsidR="00DB0A19">
        <w:rPr>
          <w:szCs w:val="20"/>
        </w:rPr>
        <w:t>;</w:t>
      </w:r>
      <w:r w:rsidRPr="00033D65">
        <w:rPr>
          <w:szCs w:val="20"/>
        </w:rPr>
        <w:t xml:space="preserve"> </w:t>
      </w:r>
      <w:r w:rsidR="005E5314">
        <w:rPr>
          <w:szCs w:val="20"/>
        </w:rPr>
        <w:t xml:space="preserve">and </w:t>
      </w:r>
      <w:r w:rsidR="005E5314">
        <w:t>Robert Fadley, Director, Service Monitoring and Enforcement Department.</w:t>
      </w:r>
      <w:r w:rsidR="00A95726">
        <w:t xml:space="preserve"> Based on information and belief, these </w:t>
      </w:r>
      <w:r w:rsidR="009933B2">
        <w:t xml:space="preserve">two </w:t>
      </w:r>
      <w:r w:rsidR="00A95726">
        <w:t xml:space="preserve">PUCO employees made or </w:t>
      </w:r>
      <w:r w:rsidR="00A95726">
        <w:t xml:space="preserve">contributed to the Staff Report of Investigation </w:t>
      </w:r>
      <w:r w:rsidR="00384F0E">
        <w:t xml:space="preserve">(“Staff Report”) </w:t>
      </w:r>
      <w:r w:rsidR="00A95726">
        <w:t>filed in this case</w:t>
      </w:r>
      <w:r w:rsidR="009933B2">
        <w:t xml:space="preserve"> </w:t>
      </w:r>
      <w:r w:rsidR="00E546F6">
        <w:t xml:space="preserve">and may be subpoenaed to testify at the hearing, </w:t>
      </w:r>
      <w:r w:rsidR="009933B2">
        <w:t xml:space="preserve">as </w:t>
      </w:r>
      <w:r w:rsidR="00E546F6">
        <w:t>permitted</w:t>
      </w:r>
      <w:r w:rsidR="009933B2">
        <w:t xml:space="preserve"> by Ohio Adm. Code 4901-1-28(E)</w:t>
      </w:r>
      <w:r w:rsidR="00A95726">
        <w:t xml:space="preserve">. </w:t>
      </w:r>
    </w:p>
    <w:p w:rsidR="00AC786D" w:rsidP="0093036F">
      <w:pPr>
        <w:spacing w:line="480" w:lineRule="auto"/>
        <w:ind w:firstLine="720"/>
        <w:rPr>
          <w:szCs w:val="20"/>
        </w:rPr>
      </w:pPr>
      <w:r>
        <w:rPr>
          <w:szCs w:val="20"/>
        </w:rPr>
        <w:t>The PUCO</w:t>
      </w:r>
      <w:r w:rsidR="00DB0A19">
        <w:rPr>
          <w:szCs w:val="20"/>
        </w:rPr>
        <w:t xml:space="preserve"> granted OCC’s motions and</w:t>
      </w:r>
      <w:r>
        <w:rPr>
          <w:szCs w:val="20"/>
        </w:rPr>
        <w:t xml:space="preserve"> issued the subpoenas on September 13, 2019</w:t>
      </w:r>
      <w:r w:rsidR="00DB0A19">
        <w:rPr>
          <w:szCs w:val="20"/>
        </w:rPr>
        <w:t xml:space="preserve">. </w:t>
      </w:r>
      <w:r w:rsidR="005E5314">
        <w:rPr>
          <w:szCs w:val="20"/>
        </w:rPr>
        <w:t xml:space="preserve"> </w:t>
      </w:r>
      <w:r w:rsidR="00A95726">
        <w:rPr>
          <w:szCs w:val="20"/>
        </w:rPr>
        <w:t xml:space="preserve">OCC served the subpoenas on these PUCO employees, and filed return of service forms with the PUCO, consistent with Ohio Adm. Code 4901-1-25(B).  </w:t>
      </w:r>
      <w:r w:rsidR="005E5314">
        <w:rPr>
          <w:szCs w:val="20"/>
        </w:rPr>
        <w:t>The PUCO Staff, through its counsel,</w:t>
      </w:r>
      <w:r>
        <w:rPr>
          <w:szCs w:val="20"/>
        </w:rPr>
        <w:t xml:space="preserve"> filed a motion to quash the subpoenas on</w:t>
      </w:r>
      <w:r>
        <w:rPr>
          <w:szCs w:val="20"/>
        </w:rPr>
        <w:t xml:space="preserve"> September 1</w:t>
      </w:r>
      <w:r w:rsidR="005E5314">
        <w:rPr>
          <w:szCs w:val="20"/>
        </w:rPr>
        <w:t>7</w:t>
      </w:r>
      <w:r>
        <w:rPr>
          <w:szCs w:val="20"/>
        </w:rPr>
        <w:t>, 2019</w:t>
      </w:r>
      <w:r w:rsidR="009933B2">
        <w:rPr>
          <w:szCs w:val="20"/>
        </w:rPr>
        <w:t>, at approximately 3:00 p.m. the day before the PUCO hearing is scheduled to commence</w:t>
      </w:r>
      <w:r>
        <w:rPr>
          <w:szCs w:val="20"/>
        </w:rPr>
        <w:t xml:space="preserve">.  </w:t>
      </w:r>
      <w:r w:rsidR="005E5314">
        <w:rPr>
          <w:szCs w:val="20"/>
        </w:rPr>
        <w:t>The PUCO Staff</w:t>
      </w:r>
      <w:r>
        <w:rPr>
          <w:szCs w:val="20"/>
        </w:rPr>
        <w:t xml:space="preserve"> has not shown good cause for quashing the subpoenas</w:t>
      </w:r>
      <w:r w:rsidR="00E546F6">
        <w:rPr>
          <w:szCs w:val="20"/>
        </w:rPr>
        <w:t xml:space="preserve">. The PUCO’s </w:t>
      </w:r>
      <w:r>
        <w:rPr>
          <w:szCs w:val="20"/>
        </w:rPr>
        <w:t xml:space="preserve"> motion should be denied. </w:t>
      </w:r>
    </w:p>
    <w:p w:rsidR="003A4466" w:rsidP="00266B1C">
      <w:pPr>
        <w:pStyle w:val="Heading1"/>
      </w:pPr>
      <w:bookmarkStart w:id="7" w:name="_Toc347157058"/>
      <w:bookmarkStart w:id="8" w:name="_Toc420664784"/>
      <w:bookmarkStart w:id="9" w:name="_Toc420665064"/>
      <w:bookmarkStart w:id="10" w:name="_Toc434844899"/>
      <w:bookmarkStart w:id="11" w:name="_Toc17209698"/>
      <w:r>
        <w:t xml:space="preserve">II. </w:t>
      </w:r>
      <w:r>
        <w:tab/>
      </w:r>
      <w:bookmarkEnd w:id="7"/>
      <w:bookmarkEnd w:id="8"/>
      <w:bookmarkEnd w:id="9"/>
      <w:bookmarkEnd w:id="10"/>
      <w:bookmarkEnd w:id="11"/>
      <w:r w:rsidR="00DB0A19">
        <w:t>ARguments</w:t>
      </w:r>
    </w:p>
    <w:p w:rsidR="003A4466" w:rsidP="00B76F21">
      <w:pPr>
        <w:pStyle w:val="Heading2"/>
      </w:pPr>
      <w:bookmarkStart w:id="12" w:name="_Toc420664786"/>
      <w:bookmarkStart w:id="13" w:name="_Toc420665066"/>
      <w:bookmarkStart w:id="14" w:name="_Toc434844901"/>
      <w:bookmarkStart w:id="15" w:name="_Toc17209700"/>
      <w:r>
        <w:t>A.</w:t>
      </w:r>
      <w:r>
        <w:tab/>
        <w:t xml:space="preserve">The </w:t>
      </w:r>
      <w:r w:rsidR="00AC786D">
        <w:t xml:space="preserve">PUCO </w:t>
      </w:r>
      <w:r w:rsidR="005E5314">
        <w:t>Staff’s motion is based on the false assumption that OCC is attempting to determine the basis, justification, or underlying support for signing the settlement</w:t>
      </w:r>
      <w:r>
        <w:t>.</w:t>
      </w:r>
      <w:bookmarkEnd w:id="12"/>
      <w:bookmarkEnd w:id="13"/>
      <w:bookmarkEnd w:id="14"/>
      <w:bookmarkEnd w:id="15"/>
    </w:p>
    <w:p w:rsidR="00F2456F" w:rsidP="00834A26">
      <w:pPr>
        <w:autoSpaceDE w:val="0"/>
        <w:autoSpaceDN w:val="0"/>
        <w:adjustRightInd w:val="0"/>
        <w:spacing w:line="480" w:lineRule="auto"/>
        <w:ind w:firstLine="720"/>
      </w:pPr>
      <w:r>
        <w:t>The PUCO Staff’s argument</w:t>
      </w:r>
      <w:r w:rsidR="005A4D66">
        <w:t>s</w:t>
      </w:r>
      <w:r>
        <w:t xml:space="preserve"> against the subpoenas </w:t>
      </w:r>
      <w:r w:rsidR="005A4D66">
        <w:t>are</w:t>
      </w:r>
      <w:r>
        <w:t xml:space="preserve"> based on mere conjecture</w:t>
      </w:r>
      <w:r w:rsidR="00834A26">
        <w:t>.</w:t>
      </w:r>
      <w:r>
        <w:t xml:space="preserve">  Staff claims that it does not know “</w:t>
      </w:r>
      <w:r w:rsidRPr="00995615">
        <w:t>OCC’s true motivations</w:t>
      </w:r>
      <w:r>
        <w:t>”</w:t>
      </w:r>
      <w:r w:rsidRPr="00995615">
        <w:t xml:space="preserve"> for issuing the subpoenas</w:t>
      </w:r>
      <w:r>
        <w:t>.</w:t>
      </w:r>
      <w:r>
        <w:rPr>
          <w:rStyle w:val="FootnoteReference"/>
        </w:rPr>
        <w:footnoteReference w:id="3"/>
      </w:r>
      <w:r w:rsidRPr="00995615">
        <w:t xml:space="preserve"> </w:t>
      </w:r>
      <w:r>
        <w:t xml:space="preserve"> Staff then assumes that “</w:t>
      </w:r>
      <w:r w:rsidRPr="00995615">
        <w:t>the only logical conclusion is that OCC seeks to determine the basis, justification, or underlying support for Staff’s decision to enter into the stipulation by questioning Staff on the witness stand about the propriety of its investigation</w:t>
      </w:r>
      <w:r>
        <w:t xml:space="preserve">.”  </w:t>
      </w:r>
      <w:r w:rsidR="005A4D66">
        <w:t>Th</w:t>
      </w:r>
      <w:r w:rsidR="00505EA1">
        <w:t>is</w:t>
      </w:r>
      <w:r w:rsidR="005A4D66">
        <w:t xml:space="preserve"> leads into Staff’s second </w:t>
      </w:r>
      <w:r w:rsidR="00505EA1">
        <w:t xml:space="preserve">and fifth </w:t>
      </w:r>
      <w:r w:rsidR="005A4D66">
        <w:t>argument</w:t>
      </w:r>
      <w:r w:rsidR="00505EA1">
        <w:t>s</w:t>
      </w:r>
      <w:r w:rsidR="005A4D66">
        <w:t xml:space="preserve"> that </w:t>
      </w:r>
      <w:r w:rsidR="00505EA1">
        <w:t xml:space="preserve">(1) </w:t>
      </w:r>
      <w:r w:rsidR="005A4D66">
        <w:t>OCC is attempting to have more witnesses testify in support of the settlement than required under the PUCO’s rules</w:t>
      </w:r>
      <w:r>
        <w:rPr>
          <w:rStyle w:val="FootnoteReference"/>
        </w:rPr>
        <w:footnoteReference w:id="4"/>
      </w:r>
      <w:r w:rsidR="00505EA1">
        <w:t xml:space="preserve"> and (2) the subpoenas rob the Staff of its ability to exercise independent legal strategy </w:t>
      </w:r>
      <w:r w:rsidR="00505EA1">
        <w:t>regarding this case.</w:t>
      </w:r>
      <w:r>
        <w:rPr>
          <w:rStyle w:val="FootnoteReference"/>
        </w:rPr>
        <w:footnoteReference w:id="5"/>
      </w:r>
      <w:r w:rsidR="005A4D66">
        <w:t xml:space="preserve">  </w:t>
      </w:r>
      <w:r w:rsidR="005E5314">
        <w:t xml:space="preserve">The PUCO Staff’s </w:t>
      </w:r>
      <w:r w:rsidR="005A4D66">
        <w:t>arguments are based</w:t>
      </w:r>
      <w:r w:rsidR="009933B2">
        <w:t xml:space="preserve"> on</w:t>
      </w:r>
      <w:r w:rsidR="005A4D66">
        <w:t xml:space="preserve"> the false </w:t>
      </w:r>
      <w:r w:rsidR="005E5314">
        <w:t>assumption</w:t>
      </w:r>
      <w:r w:rsidR="005A4D66">
        <w:t xml:space="preserve"> that OCC has subpoenaed the </w:t>
      </w:r>
      <w:r w:rsidR="00E546F6">
        <w:t xml:space="preserve">Staff </w:t>
      </w:r>
      <w:r w:rsidR="005A4D66">
        <w:t>witnesses to testify regarding the settlement</w:t>
      </w:r>
      <w:r w:rsidR="005E5314">
        <w:t xml:space="preserve">.  </w:t>
      </w:r>
    </w:p>
    <w:p w:rsidR="005E5314" w:rsidP="00834A26">
      <w:pPr>
        <w:autoSpaceDE w:val="0"/>
        <w:autoSpaceDN w:val="0"/>
        <w:adjustRightInd w:val="0"/>
        <w:spacing w:line="480" w:lineRule="auto"/>
        <w:ind w:firstLine="720"/>
      </w:pPr>
      <w:r>
        <w:t xml:space="preserve">As OCC noted in its motion for the subpoenas of Mr. Fadley and Ms. Bossart, OCC requested that they be called as witnesses because of their knowledge of the </w:t>
      </w:r>
      <w:r w:rsidR="00A95726">
        <w:t xml:space="preserve">underlying </w:t>
      </w:r>
      <w:r w:rsidR="00E546F6">
        <w:t xml:space="preserve">commission-ordered </w:t>
      </w:r>
      <w:r w:rsidR="00A95726">
        <w:t xml:space="preserve">investigation and </w:t>
      </w:r>
      <w:r>
        <w:t xml:space="preserve">Staff Report </w:t>
      </w:r>
      <w:r w:rsidR="00A95726">
        <w:t xml:space="preserve">filed </w:t>
      </w:r>
      <w:r>
        <w:t>in this case.</w:t>
      </w:r>
      <w:r>
        <w:rPr>
          <w:rStyle w:val="FootnoteReference"/>
        </w:rPr>
        <w:footnoteReference w:id="6"/>
      </w:r>
      <w:r>
        <w:t xml:space="preserve">  OCC explained that u</w:t>
      </w:r>
      <w:r w:rsidRPr="00DE4661">
        <w:t>nder Ohio Adm. Code 4901-1-28(E),</w:t>
      </w:r>
      <w:r w:rsidR="00A95726">
        <w:t xml:space="preserve"> in cases where the PUCO orders an investigation to be performed by the Staff, </w:t>
      </w:r>
      <w:r w:rsidRPr="00DE4661">
        <w:t xml:space="preserve"> </w:t>
      </w:r>
      <w:r w:rsidRPr="00497658">
        <w:t>the Staff Report shall be deemed admitted into evidence at the time of its filing at the PUCO.  Further under this rule, i</w:t>
      </w:r>
      <w:r w:rsidRPr="005E566D">
        <w:rPr>
          <w:color w:val="000000"/>
          <w:shd w:val="clear" w:color="auto" w:fill="FFFFFF"/>
        </w:rPr>
        <w:t xml:space="preserve">f a hearing is scheduled in the case in which the </w:t>
      </w:r>
      <w:r>
        <w:rPr>
          <w:color w:val="000000"/>
          <w:shd w:val="clear" w:color="auto" w:fill="FFFFFF"/>
        </w:rPr>
        <w:t>Staff R</w:t>
      </w:r>
      <w:r w:rsidRPr="005E566D">
        <w:rPr>
          <w:color w:val="000000"/>
          <w:shd w:val="clear" w:color="auto" w:fill="FFFFFF"/>
        </w:rPr>
        <w:t xml:space="preserve">eport is filed, </w:t>
      </w:r>
      <w:r w:rsidRPr="005E5314">
        <w:rPr>
          <w:i/>
          <w:iCs/>
        </w:rPr>
        <w:t xml:space="preserve">any person </w:t>
      </w:r>
      <w:r w:rsidRPr="007E512C">
        <w:rPr>
          <w:i/>
          <w:iCs/>
        </w:rPr>
        <w:t>making or contributing</w:t>
      </w:r>
      <w:r w:rsidRPr="00497658">
        <w:t xml:space="preserve"> to the </w:t>
      </w:r>
      <w:r>
        <w:t>Staff R</w:t>
      </w:r>
      <w:r w:rsidRPr="00497658">
        <w:t>eport may be subpoenaed to testify at the hearing in accordance with Ohio Adm. Code 4901-1-25(A).</w:t>
      </w:r>
      <w:r>
        <w:t xml:space="preserve"> </w:t>
      </w:r>
      <w:r w:rsidRPr="00497658">
        <w:t xml:space="preserve"> </w:t>
      </w:r>
      <w:r w:rsidR="00F2456F">
        <w:t xml:space="preserve">OCC’s motion for the subpoenas was based </w:t>
      </w:r>
      <w:r w:rsidR="009933B2">
        <w:t xml:space="preserve">on </w:t>
      </w:r>
      <w:r w:rsidR="00F2456F">
        <w:t xml:space="preserve">OCC’s </w:t>
      </w:r>
      <w:r w:rsidRPr="00497658">
        <w:t>information and belief</w:t>
      </w:r>
      <w:r w:rsidR="00F2456F">
        <w:t xml:space="preserve"> that </w:t>
      </w:r>
      <w:r w:rsidRPr="00497658">
        <w:t>Mr. Fadley and Ms.</w:t>
      </w:r>
      <w:r w:rsidRPr="00DE4661">
        <w:t xml:space="preserve"> Bossart made or contributed to the Staff Report. </w:t>
      </w:r>
      <w:r w:rsidR="009933B2">
        <w:t xml:space="preserve"> Given that this is the only limitation set forth in </w:t>
      </w:r>
      <w:r w:rsidRPr="00DE4661" w:rsidR="009933B2">
        <w:t>Ohio Adm. Code 4901-1-28(E)</w:t>
      </w:r>
      <w:r w:rsidR="009933B2">
        <w:t xml:space="preserve">, </w:t>
      </w:r>
      <w:r w:rsidRPr="00DE4661">
        <w:t xml:space="preserve">Mr. Fadley and Ms. Bossart are persons who may be </w:t>
      </w:r>
      <w:r w:rsidR="00E546F6">
        <w:t xml:space="preserve">properly </w:t>
      </w:r>
      <w:r w:rsidRPr="00DE4661">
        <w:t>subpoenaed under Ohio Adm. Code 4901-1-28(E).</w:t>
      </w:r>
      <w:r w:rsidR="009933B2">
        <w:t xml:space="preserve">  </w:t>
      </w:r>
    </w:p>
    <w:p w:rsidR="005A4D66" w:rsidP="00834A26">
      <w:pPr>
        <w:autoSpaceDE w:val="0"/>
        <w:autoSpaceDN w:val="0"/>
        <w:adjustRightInd w:val="0"/>
        <w:spacing w:line="480" w:lineRule="auto"/>
        <w:ind w:firstLine="720"/>
      </w:pPr>
      <w:r w:rsidRPr="00DE4661">
        <w:t xml:space="preserve">One of the key issues for the PUCO to decide is whether the settlement is </w:t>
      </w:r>
      <w:r w:rsidR="009933B2">
        <w:t xml:space="preserve">just and </w:t>
      </w:r>
      <w:r w:rsidRPr="00DE4661">
        <w:t xml:space="preserve">reasonable and meets the PUCO’s three-prong settlement standard. </w:t>
      </w:r>
      <w:r w:rsidR="009933B2">
        <w:t xml:space="preserve"> </w:t>
      </w:r>
      <w:r w:rsidR="00CB3C9C">
        <w:t>The Settlement states that “[the Settlement] is intended to resolve all the issues identified by the Staff in its Staff report of Investigation filed in this proceeding on May 10, 2019.”</w:t>
      </w:r>
      <w:r>
        <w:rPr>
          <w:rStyle w:val="FootnoteReference"/>
        </w:rPr>
        <w:footnoteReference w:id="7"/>
      </w:r>
      <w:r w:rsidR="00CB3C9C">
        <w:t xml:space="preserve">  </w:t>
      </w:r>
      <w:r w:rsidRPr="00DE4661">
        <w:t>In this regard</w:t>
      </w:r>
      <w:r>
        <w:t>,</w:t>
      </w:r>
      <w:r w:rsidRPr="00DE4661">
        <w:t xml:space="preserve"> the PUCO must determine, among other things, that the settlement package benefits customers, is in the public interest</w:t>
      </w:r>
      <w:r>
        <w:t>,</w:t>
      </w:r>
      <w:r w:rsidRPr="00DE4661">
        <w:t xml:space="preserve"> and does not violate important policies and principles. </w:t>
      </w:r>
      <w:r>
        <w:t xml:space="preserve">OCC contends that, based on the </w:t>
      </w:r>
      <w:r w:rsidR="00384F0E">
        <w:t xml:space="preserve">investigation that occurred and the </w:t>
      </w:r>
      <w:r>
        <w:t xml:space="preserve">findings </w:t>
      </w:r>
      <w:r w:rsidR="00384F0E">
        <w:t xml:space="preserve">incorporated </w:t>
      </w:r>
      <w:r>
        <w:t>in the Staff Report, the settlement does not meet these standards.</w:t>
      </w:r>
    </w:p>
    <w:p w:rsidR="005A4D66" w:rsidP="00834A26">
      <w:pPr>
        <w:autoSpaceDE w:val="0"/>
        <w:autoSpaceDN w:val="0"/>
        <w:adjustRightInd w:val="0"/>
        <w:spacing w:line="480" w:lineRule="auto"/>
        <w:ind w:firstLine="720"/>
      </w:pPr>
      <w:r>
        <w:t xml:space="preserve">In order to determine whether the settlement meets these standards, the </w:t>
      </w:r>
      <w:r w:rsidR="00DF3A48">
        <w:t xml:space="preserve">record developed should include </w:t>
      </w:r>
      <w:r w:rsidR="00E546F6">
        <w:t xml:space="preserve">the Staff’s </w:t>
      </w:r>
      <w:r w:rsidR="00384F0E">
        <w:t>investigation and</w:t>
      </w:r>
      <w:r>
        <w:t xml:space="preserve"> findings</w:t>
      </w:r>
      <w:r w:rsidR="00E546F6">
        <w:t xml:space="preserve"> related to PALMco’s abusive marketing of services to Ohioans</w:t>
      </w:r>
      <w:r w:rsidR="00DF3A48">
        <w:t xml:space="preserve">.  Persons contributing to the Staff Report are crucial witnesses that can answer questions parties have on the Staff’s investigation of PALMco. </w:t>
      </w:r>
      <w:r w:rsidR="00E546F6">
        <w:t>The settlement itself refers to its primary objective as providing “redress for the consumers that were harmed” by the marketing efforts of PALMco.</w:t>
      </w:r>
      <w:r>
        <w:rPr>
          <w:rStyle w:val="FootnoteReference"/>
        </w:rPr>
        <w:footnoteReference w:id="8"/>
      </w:r>
      <w:r w:rsidR="00E546F6">
        <w:t xml:space="preserve">  </w:t>
      </w:r>
      <w:r w:rsidR="00DF3A48">
        <w:t>But t</w:t>
      </w:r>
      <w:r w:rsidRPr="00DE4661">
        <w:t>he settlement provide</w:t>
      </w:r>
      <w:r>
        <w:t>s</w:t>
      </w:r>
      <w:r w:rsidRPr="00DE4661">
        <w:t xml:space="preserve"> for, among other things, </w:t>
      </w:r>
      <w:r w:rsidR="00DF3A48">
        <w:t xml:space="preserve">only </w:t>
      </w:r>
      <w:r w:rsidRPr="00DE4661">
        <w:t xml:space="preserve">limited refunds to </w:t>
      </w:r>
      <w:r w:rsidR="00384F0E">
        <w:t xml:space="preserve">select </w:t>
      </w:r>
      <w:r w:rsidRPr="00DE4661">
        <w:t xml:space="preserve">customers for overcharges.  </w:t>
      </w:r>
      <w:r w:rsidR="00DF3A48">
        <w:t>And s</w:t>
      </w:r>
      <w:r w:rsidRPr="00DE4661">
        <w:t>ome of the customer refunds and a proposed forfeiture that PALMco would pay to the state of Ohio were made contingent on PALMco selling its customer contracts to another marketer.</w:t>
      </w:r>
      <w:r>
        <w:rPr>
          <w:rStyle w:val="FootnoteReference"/>
        </w:rPr>
        <w:footnoteReference w:id="9"/>
      </w:r>
      <w:r w:rsidRPr="00DE4661">
        <w:t xml:space="preserve">  The testimony adduced from these </w:t>
      </w:r>
      <w:r w:rsidR="00DF3A48">
        <w:t xml:space="preserve">Staff </w:t>
      </w:r>
      <w:r w:rsidRPr="00DE4661">
        <w:t xml:space="preserve">witnesses will be focused on </w:t>
      </w:r>
      <w:r>
        <w:t>the</w:t>
      </w:r>
      <w:r w:rsidR="00384F0E">
        <w:t xml:space="preserve"> investigation,</w:t>
      </w:r>
      <w:r>
        <w:t xml:space="preserve"> </w:t>
      </w:r>
      <w:r w:rsidR="00384F0E">
        <w:t xml:space="preserve">Staff </w:t>
      </w:r>
      <w:r>
        <w:t>findings</w:t>
      </w:r>
      <w:r w:rsidR="00384F0E">
        <w:t>,</w:t>
      </w:r>
      <w:r>
        <w:t xml:space="preserve"> and</w:t>
      </w:r>
      <w:r w:rsidR="00384F0E">
        <w:t xml:space="preserve"> strong</w:t>
      </w:r>
      <w:r>
        <w:t xml:space="preserve"> </w:t>
      </w:r>
      <w:r w:rsidR="00384F0E">
        <w:t xml:space="preserve">Staff </w:t>
      </w:r>
      <w:r>
        <w:t xml:space="preserve">recommendations </w:t>
      </w:r>
      <w:r w:rsidR="00384F0E">
        <w:t xml:space="preserve">set forth </w:t>
      </w:r>
      <w:r>
        <w:t>in the Staff Report</w:t>
      </w:r>
      <w:r w:rsidRPr="00DE4661">
        <w:t>.</w:t>
      </w:r>
      <w:r w:rsidR="00DF3A48">
        <w:t xml:space="preserve"> </w:t>
      </w:r>
    </w:p>
    <w:p w:rsidR="003A4466" w:rsidP="00B76F21">
      <w:pPr>
        <w:pStyle w:val="Heading2"/>
      </w:pPr>
      <w:bookmarkStart w:id="16" w:name="_Toc420664787"/>
      <w:bookmarkStart w:id="17" w:name="_Toc420665067"/>
      <w:bookmarkStart w:id="18" w:name="_Toc434844902"/>
      <w:bookmarkStart w:id="19" w:name="_Toc17209701"/>
      <w:r>
        <w:t>B.</w:t>
      </w:r>
      <w:r>
        <w:tab/>
      </w:r>
      <w:r w:rsidR="00441C35">
        <w:t>The PUCO Staff’s argument</w:t>
      </w:r>
      <w:r w:rsidR="004D56E2">
        <w:t>s</w:t>
      </w:r>
      <w:r w:rsidR="00441C35">
        <w:t xml:space="preserve"> regarding the reasonableness of OCC’s subpoenas </w:t>
      </w:r>
      <w:r w:rsidR="004D56E2">
        <w:t>are without merit</w:t>
      </w:r>
      <w:r>
        <w:t>.</w:t>
      </w:r>
      <w:bookmarkEnd w:id="16"/>
      <w:bookmarkEnd w:id="17"/>
      <w:bookmarkEnd w:id="18"/>
      <w:bookmarkEnd w:id="19"/>
    </w:p>
    <w:p w:rsidR="003A4466" w:rsidP="00BE6DCF">
      <w:pPr>
        <w:autoSpaceDE w:val="0"/>
        <w:autoSpaceDN w:val="0"/>
        <w:adjustRightInd w:val="0"/>
        <w:spacing w:line="480" w:lineRule="auto"/>
        <w:ind w:firstLine="720"/>
      </w:pPr>
      <w:r>
        <w:t xml:space="preserve">The PUCO Staff also claims that the subpoenas for Mr. Fadley and Ms. Bossart are unreasonable.  The Staff asserts that they </w:t>
      </w:r>
      <w:r w:rsidRPr="005A4D66">
        <w:t>can offer little evidence of probative value that Staff</w:t>
      </w:r>
      <w:r>
        <w:t>’s</w:t>
      </w:r>
      <w:r w:rsidRPr="005A4D66">
        <w:t xml:space="preserve"> </w:t>
      </w:r>
      <w:r>
        <w:t xml:space="preserve">sole </w:t>
      </w:r>
      <w:r w:rsidRPr="005A4D66">
        <w:t xml:space="preserve">witness </w:t>
      </w:r>
      <w:r>
        <w:t xml:space="preserve">in support of the settlement, Melissa </w:t>
      </w:r>
      <w:r w:rsidRPr="005A4D66">
        <w:t>Scarberry</w:t>
      </w:r>
      <w:r>
        <w:t>,</w:t>
      </w:r>
      <w:r w:rsidRPr="005A4D66">
        <w:t xml:space="preserve"> cannot already offer.</w:t>
      </w:r>
      <w:r>
        <w:rPr>
          <w:rStyle w:val="FootnoteReference"/>
        </w:rPr>
        <w:footnoteReference w:id="10"/>
      </w:r>
      <w:r w:rsidRPr="005A4D66">
        <w:t xml:space="preserve"> </w:t>
      </w:r>
      <w:r>
        <w:t xml:space="preserve"> The PUCO Staff claims that </w:t>
      </w:r>
      <w:r w:rsidRPr="005A4D66">
        <w:t xml:space="preserve">Ms. Scarberry </w:t>
      </w:r>
      <w:r>
        <w:t>“</w:t>
      </w:r>
      <w:r w:rsidRPr="005A4D66">
        <w:t>has been an integral part of this entire proceeding as she was part of Staff’s investigation into the company, helped draft the Staff Report, helped negotiate the settlement, and has now offered testimony in support of the settlement.</w:t>
      </w:r>
      <w:r>
        <w:t>”</w:t>
      </w:r>
      <w:r>
        <w:rPr>
          <w:rStyle w:val="FootnoteReference"/>
        </w:rPr>
        <w:footnoteReference w:id="11"/>
      </w:r>
      <w:r w:rsidRPr="005A4D66">
        <w:t xml:space="preserve"> </w:t>
      </w:r>
      <w:r>
        <w:t>The Staff claims that “t</w:t>
      </w:r>
      <w:r w:rsidRPr="005A4D66">
        <w:t>here are few, if any, relevant areas of inquiry that Ms. Scarberry could not testify to.</w:t>
      </w:r>
      <w:r>
        <w:t>”</w:t>
      </w:r>
      <w:r>
        <w:rPr>
          <w:rStyle w:val="FootnoteReference"/>
        </w:rPr>
        <w:footnoteReference w:id="12"/>
      </w:r>
      <w:r w:rsidRPr="005A4D66">
        <w:t xml:space="preserve"> </w:t>
      </w:r>
      <w:r>
        <w:t xml:space="preserve"> But this information is not conveyed in Ms. Scarberry’s testimony</w:t>
      </w:r>
      <w:r w:rsidR="00384F0E">
        <w:t xml:space="preserve"> and is not apparent from the documents produced by Staff on September 18, 2019 </w:t>
      </w:r>
      <w:r w:rsidR="007E512C">
        <w:t>under</w:t>
      </w:r>
      <w:r w:rsidR="00384F0E">
        <w:t xml:space="preserve"> a public record’s request</w:t>
      </w:r>
      <w:r>
        <w:t>.</w:t>
      </w:r>
      <w:r w:rsidR="00DF3A48">
        <w:t xml:space="preserve">  And because Staff is generally immune from discovery, there was no way of knowing this information, even based on the testimony that was filed.  </w:t>
      </w:r>
    </w:p>
    <w:p w:rsidR="005A4D66" w:rsidP="00BE6DCF">
      <w:pPr>
        <w:autoSpaceDE w:val="0"/>
        <w:autoSpaceDN w:val="0"/>
        <w:adjustRightInd w:val="0"/>
        <w:spacing w:line="480" w:lineRule="auto"/>
        <w:ind w:firstLine="720"/>
      </w:pPr>
      <w:r>
        <w:t xml:space="preserve">The Staff Report is not mentioned once in Ms. Scarberry’s testimony.  She also does not explain her involvement in the investigation that </w:t>
      </w:r>
      <w:r w:rsidR="00384F0E">
        <w:t>led to</w:t>
      </w:r>
      <w:r>
        <w:t xml:space="preserve"> the Staff Report</w:t>
      </w:r>
      <w:r w:rsidR="00384F0E">
        <w:t xml:space="preserve"> or her involvement in the drafting of the Staff Report</w:t>
      </w:r>
      <w:r>
        <w:t xml:space="preserve">.  In fact, her testimony does not even mention that there was an investigation prior to the settlement.  </w:t>
      </w:r>
      <w:r w:rsidR="00CB3C9C">
        <w:t xml:space="preserve">Her testimony also fails to mention that the Settlement is intended to resolve all the issues identified by the Staff in its Staff report of Investigation, or how the Settlement accomplishes that for the protection of customers harmed by PALMco’s bad acts.  </w:t>
      </w:r>
      <w:r>
        <w:t>Her testimony does not lead to the conclusion that she was</w:t>
      </w:r>
      <w:r w:rsidR="00441C35">
        <w:t xml:space="preserve"> “</w:t>
      </w:r>
      <w:r>
        <w:t xml:space="preserve">an integral </w:t>
      </w:r>
      <w:r w:rsidR="00441C35">
        <w:t>part” of this entire proceeding.</w:t>
      </w:r>
      <w:r w:rsidR="00DF3A48">
        <w:t xml:space="preserve"> </w:t>
      </w:r>
    </w:p>
    <w:p w:rsidR="003C4ADC" w:rsidP="00441C35">
      <w:pPr>
        <w:autoSpaceDE w:val="0"/>
        <w:autoSpaceDN w:val="0"/>
        <w:adjustRightInd w:val="0"/>
        <w:spacing w:line="480" w:lineRule="auto"/>
        <w:ind w:firstLine="720"/>
      </w:pPr>
      <w:r>
        <w:t>Under the PUCO’s rules, Staff members cannot be deposed in PUCO proceedings.</w:t>
      </w:r>
      <w:r>
        <w:rPr>
          <w:rStyle w:val="FootnoteReference"/>
        </w:rPr>
        <w:footnoteReference w:id="13"/>
      </w:r>
      <w:r>
        <w:t xml:space="preserve">  But any Staff member can be subpoenaed to testify regarding a </w:t>
      </w:r>
      <w:r w:rsidR="00384F0E">
        <w:t>S</w:t>
      </w:r>
      <w:r>
        <w:t xml:space="preserve">taff </w:t>
      </w:r>
      <w:r w:rsidR="00384F0E">
        <w:t>R</w:t>
      </w:r>
      <w:r>
        <w:t>eport</w:t>
      </w:r>
      <w:r w:rsidR="00A95726">
        <w:t xml:space="preserve"> in cases where the PUCO orders an investigation to be performed by the Staff</w:t>
      </w:r>
      <w:r>
        <w:t xml:space="preserve">.  </w:t>
      </w:r>
      <w:r>
        <w:t xml:space="preserve">And the PUCO rules do not require OCC to accept a witness chosen by the PUCO attorneys for purposes of cross examination.  The rule is wide open, allowing OCC to subpoena </w:t>
      </w:r>
      <w:r w:rsidRPr="003C4ADC">
        <w:rPr>
          <w:u w:val="single"/>
        </w:rPr>
        <w:t>any person</w:t>
      </w:r>
      <w:r>
        <w:t xml:space="preserve"> making or contributing to the Staff Report.  Staff’s attempt to restrict OCC to a witness of its own choosing is plainly inconsistent with the rules.  </w:t>
      </w:r>
      <w:r w:rsidR="00DF3A48">
        <w:t xml:space="preserve">OCC is following the PUCO rules and has reasonably limited its request for the appearance of two Staff members </w:t>
      </w:r>
      <w:r>
        <w:t xml:space="preserve">that made or contributed to the Staff Report. (The rules allow OCC to subpoena “any” person making or contributing to the Staff Report).  </w:t>
      </w:r>
    </w:p>
    <w:p w:rsidR="00505EA1" w:rsidP="00441C35">
      <w:pPr>
        <w:autoSpaceDE w:val="0"/>
        <w:autoSpaceDN w:val="0"/>
        <w:adjustRightInd w:val="0"/>
        <w:spacing w:line="480" w:lineRule="auto"/>
        <w:ind w:firstLine="720"/>
      </w:pPr>
      <w:r>
        <w:t>OCC subpoenaed Mr. Fadley because he signed both the letter</w:t>
      </w:r>
      <w:r w:rsidR="00DB54EB">
        <w:t xml:space="preserve"> filed on April 16, 2019</w:t>
      </w:r>
      <w:r>
        <w:t xml:space="preserve"> asking that this proceeding be initiated and </w:t>
      </w:r>
      <w:r w:rsidR="00A95726">
        <w:t xml:space="preserve">he signed </w:t>
      </w:r>
      <w:r>
        <w:t>the Staff Report</w:t>
      </w:r>
      <w:r w:rsidR="00DB54EB">
        <w:t xml:space="preserve"> as the Director of the Service Monitoring and Enforcement Department</w:t>
      </w:r>
      <w:r>
        <w:t>.  Ms. Bossart was subpoenaed because her name was included in several footnotes in the Staff Report regarding correspondence with PALMco</w:t>
      </w:r>
      <w:r w:rsidR="00A95726">
        <w:t xml:space="preserve"> with respect to violations of </w:t>
      </w:r>
      <w:r w:rsidR="00DC39F2">
        <w:t xml:space="preserve">Ohio law and rules for the marketing of electric and gas service in Ohio.  Additionally, Ms. Bossart holds a position of  </w:t>
      </w:r>
      <w:r w:rsidR="00DB54EB">
        <w:t>Chief, Reliability and Service Analysis Division, Service Monitoring and Enforcement Department</w:t>
      </w:r>
      <w:r w:rsidR="00DC39F2">
        <w:t>, which would appear to be a key position in terms of investigating customer complaints</w:t>
      </w:r>
      <w:r w:rsidR="00DB54EB">
        <w:t xml:space="preserve"> with regard to competitive services</w:t>
      </w:r>
      <w:r w:rsidR="00DC39F2">
        <w:t xml:space="preserve">.  </w:t>
      </w:r>
      <w:r>
        <w:t>Ms. Scarberry</w:t>
      </w:r>
      <w:r w:rsidR="00DB54EB">
        <w:t>, Utility Specialist 2 in the Reliability and Service Analysis Division of the Service Monitoring and Enforcement Department</w:t>
      </w:r>
      <w:r w:rsidR="00DC39F2">
        <w:t xml:space="preserve">, on the other hand, </w:t>
      </w:r>
      <w:r>
        <w:t>is not mentioned in the Staff Report.</w:t>
      </w:r>
      <w:r>
        <w:t xml:space="preserve">  </w:t>
      </w:r>
    </w:p>
    <w:p w:rsidR="007E512C" w:rsidP="00441C35">
      <w:pPr>
        <w:autoSpaceDE w:val="0"/>
        <w:autoSpaceDN w:val="0"/>
        <w:adjustRightInd w:val="0"/>
        <w:spacing w:line="480" w:lineRule="auto"/>
        <w:ind w:firstLine="720"/>
      </w:pPr>
      <w:r>
        <w:t xml:space="preserve">The PUCO Staff also argues that the subpoenas are unreasonable because the hearing is to determine whether the settlement, not the Staff Report, is just and reasonable.  But as discussed above, the PUCO </w:t>
      </w:r>
      <w:r w:rsidR="00DC39F2">
        <w:t xml:space="preserve">should not </w:t>
      </w:r>
      <w:r>
        <w:t xml:space="preserve"> make that determination without </w:t>
      </w:r>
      <w:r w:rsidR="00DC39F2">
        <w:t xml:space="preserve">allowing the development of a full and complete record that includes details of the </w:t>
      </w:r>
      <w:r w:rsidR="00DB54EB">
        <w:t xml:space="preserve">investigation into the </w:t>
      </w:r>
      <w:r w:rsidR="00DC39F2">
        <w:t xml:space="preserve">wide-spread and continuing violations of Ohio law and rules </w:t>
      </w:r>
      <w:r w:rsidR="007F27C8">
        <w:t>regarding</w:t>
      </w:r>
      <w:r w:rsidR="00DC39F2">
        <w:t xml:space="preserve"> </w:t>
      </w:r>
      <w:r w:rsidR="00DB54EB">
        <w:t>unfair, misleading, deceptive and unconscionable activities engaged in by PALMco</w:t>
      </w:r>
      <w:r>
        <w:t xml:space="preserve">.  According to the Staff Report PALMco orchestrated </w:t>
      </w:r>
      <w:r w:rsidR="00DB54EB">
        <w:t xml:space="preserve"> </w:t>
      </w:r>
      <w:r>
        <w:t>“</w:t>
      </w:r>
      <w:r w:rsidR="00DB54EB">
        <w:t xml:space="preserve">a </w:t>
      </w:r>
      <w:r w:rsidR="00DC39F2">
        <w:t>marketing</w:t>
      </w:r>
      <w:r w:rsidR="00DB54EB">
        <w:t xml:space="preserve"> program reliant upon misleading and deceiving customers” </w:t>
      </w:r>
      <w:r w:rsidR="007F27C8">
        <w:t xml:space="preserve">which </w:t>
      </w:r>
      <w:r>
        <w:t>“</w:t>
      </w:r>
      <w:r w:rsidR="007F27C8">
        <w:t>caused</w:t>
      </w:r>
      <w:r w:rsidR="00DB54EB">
        <w:t xml:space="preserve"> </w:t>
      </w:r>
      <w:r w:rsidR="007F27C8">
        <w:t>extreme</w:t>
      </w:r>
      <w:r w:rsidR="00DB54EB">
        <w:t xml:space="preserve"> harm to consumers in Ohio</w:t>
      </w:r>
      <w:r>
        <w:t>.</w:t>
      </w:r>
      <w:r w:rsidR="00DB54EB">
        <w:t xml:space="preserve">” </w:t>
      </w:r>
      <w:r>
        <w:t xml:space="preserve">The Staff Report also concluded that </w:t>
      </w:r>
      <w:r w:rsidR="007F27C8">
        <w:t xml:space="preserve">PALMco </w:t>
      </w:r>
      <w:r>
        <w:t xml:space="preserve">is </w:t>
      </w:r>
      <w:r w:rsidR="007F27C8">
        <w:t>“managerially unfit to provide competitive services in Ohio.”</w:t>
      </w:r>
      <w:r>
        <w:rPr>
          <w:rStyle w:val="FootnoteReference"/>
        </w:rPr>
        <w:footnoteReference w:id="14"/>
      </w:r>
      <w:r w:rsidR="00DC39F2">
        <w:t xml:space="preserve">  The Staff Report contains </w:t>
      </w:r>
      <w:r w:rsidR="007F27C8">
        <w:t>the investigation, results from the investigation,</w:t>
      </w:r>
      <w:r w:rsidR="00DC39F2">
        <w:t xml:space="preserve"> and reasonable recommendations as to how the violations should be addressed.  </w:t>
      </w:r>
      <w:r w:rsidR="003C4ADC">
        <w:t>Surely OCC is entitled to explore the findings of the Staff Report and put on a case to show that “the redress for consumers that were harmed” by PALMco’s actions is insufficient, given the multitude of customer complaints, and the continuous violations, all detailed in the Staff Report</w:t>
      </w:r>
      <w:r>
        <w:t xml:space="preserve">.  </w:t>
      </w:r>
    </w:p>
    <w:p w:rsidR="00441C35" w:rsidRPr="00BE6DCF" w:rsidP="00441C35">
      <w:pPr>
        <w:autoSpaceDE w:val="0"/>
        <w:autoSpaceDN w:val="0"/>
        <w:adjustRightInd w:val="0"/>
        <w:spacing w:line="480" w:lineRule="auto"/>
        <w:ind w:firstLine="720"/>
      </w:pPr>
      <w:r>
        <w:t xml:space="preserve">The PUCO should not gauge the settlement in a vacuum, as the Staff suggests.  </w:t>
      </w:r>
      <w:r w:rsidR="00CB3C9C">
        <w:t xml:space="preserve">Especially since the Settlement is intended to resolve all the issues identified by the Staff in its Staff report of Investigation. </w:t>
      </w:r>
      <w:r>
        <w:t xml:space="preserve">The PUCO needs to hear testimony regarding </w:t>
      </w:r>
      <w:r w:rsidR="007F27C8">
        <w:t>customer complaints, the investigation into those complaints and PALMco’s practices, and violations of Ohio law and rules</w:t>
      </w:r>
      <w:r>
        <w:t xml:space="preserve">.  </w:t>
      </w:r>
      <w:r w:rsidR="00CB3C9C">
        <w:t xml:space="preserve">Otherwise, the record will reflect the resolution of those issues in the Staff Report that PALMco and the Staff agreed to resolve, but not necessarily all the issues that were identified by the Staff.  </w:t>
      </w:r>
      <w:r w:rsidR="007F27C8">
        <w:t>OCC’s request to subpoena two witnesses out of the many PUCO Staff members that likely contributed to the Staff Report is reasonable and permissible under Ohio Adm. Code 4901-1-28(E).  Accordingly, t</w:t>
      </w:r>
      <w:r>
        <w:t>he PUCO should deny the Staff’s motion.</w:t>
      </w:r>
    </w:p>
    <w:p w:rsidR="003A4466" w:rsidRPr="00EE776B" w:rsidP="00266B1C">
      <w:pPr>
        <w:pStyle w:val="Heading1"/>
      </w:pPr>
      <w:bookmarkStart w:id="20" w:name="_Toc17209705"/>
      <w:r>
        <w:t>I</w:t>
      </w:r>
      <w:r w:rsidR="00266B1C">
        <w:t>II</w:t>
      </w:r>
      <w:r>
        <w:t>.</w:t>
      </w:r>
      <w:r>
        <w:tab/>
      </w:r>
      <w:bookmarkStart w:id="21" w:name="_Toc347157066"/>
      <w:bookmarkStart w:id="22" w:name="_Toc420664793"/>
      <w:bookmarkStart w:id="23" w:name="_Toc420665073"/>
      <w:bookmarkStart w:id="24" w:name="_Toc434844908"/>
      <w:bookmarkEnd w:id="20"/>
      <w:r w:rsidRPr="00EE776B">
        <w:t>CONCLUSION</w:t>
      </w:r>
      <w:bookmarkEnd w:id="21"/>
      <w:bookmarkEnd w:id="22"/>
      <w:bookmarkEnd w:id="23"/>
      <w:bookmarkEnd w:id="24"/>
    </w:p>
    <w:p w:rsidR="008F4012" w:rsidP="008F4012">
      <w:pPr>
        <w:spacing w:line="480" w:lineRule="auto"/>
        <w:ind w:firstLine="720"/>
        <w:rPr>
          <w:color w:val="000000"/>
        </w:rPr>
      </w:pPr>
      <w:bookmarkEnd w:id="0"/>
      <w:r>
        <w:rPr>
          <w:color w:val="000000"/>
        </w:rPr>
        <w:t xml:space="preserve">OCC’s subpoenas for </w:t>
      </w:r>
      <w:r w:rsidR="00505EA1">
        <w:rPr>
          <w:color w:val="000000"/>
        </w:rPr>
        <w:t xml:space="preserve">Mr. Fadley and </w:t>
      </w:r>
      <w:r>
        <w:rPr>
          <w:color w:val="000000"/>
        </w:rPr>
        <w:t>Ms.</w:t>
      </w:r>
      <w:r w:rsidR="00505EA1">
        <w:rPr>
          <w:color w:val="000000"/>
        </w:rPr>
        <w:t xml:space="preserve"> Bossart</w:t>
      </w:r>
      <w:r>
        <w:rPr>
          <w:color w:val="000000"/>
        </w:rPr>
        <w:t xml:space="preserve"> were properly sought</w:t>
      </w:r>
      <w:r w:rsidR="0004456B">
        <w:rPr>
          <w:color w:val="000000"/>
        </w:rPr>
        <w:t>,</w:t>
      </w:r>
      <w:r>
        <w:rPr>
          <w:color w:val="000000"/>
        </w:rPr>
        <w:t xml:space="preserve"> </w:t>
      </w:r>
      <w:r w:rsidR="0004456B">
        <w:rPr>
          <w:color w:val="000000"/>
        </w:rPr>
        <w:t xml:space="preserve">properly signed, and properly served.  </w:t>
      </w:r>
      <w:r w:rsidR="00505EA1">
        <w:rPr>
          <w:color w:val="000000"/>
        </w:rPr>
        <w:t>The PUCO Staff</w:t>
      </w:r>
      <w:r w:rsidR="0004456B">
        <w:rPr>
          <w:color w:val="000000"/>
        </w:rPr>
        <w:t xml:space="preserve"> has not shown good cause to quash the subpoenas.  The PUCO should deny </w:t>
      </w:r>
      <w:r w:rsidR="00505EA1">
        <w:rPr>
          <w:color w:val="000000"/>
        </w:rPr>
        <w:t>the Staff’s</w:t>
      </w:r>
      <w:r w:rsidR="0004456B">
        <w:rPr>
          <w:color w:val="000000"/>
        </w:rPr>
        <w:t xml:space="preserve"> motion </w:t>
      </w:r>
      <w:r w:rsidR="00505EA1">
        <w:rPr>
          <w:color w:val="000000"/>
        </w:rPr>
        <w:t>to quash</w:t>
      </w:r>
      <w:r w:rsidR="003C4ADC">
        <w:rPr>
          <w:color w:val="000000"/>
        </w:rPr>
        <w:t xml:space="preserve">.  Instead the PUCO should </w:t>
      </w:r>
      <w:r w:rsidR="002E7184">
        <w:rPr>
          <w:color w:val="000000"/>
        </w:rPr>
        <w:t>require</w:t>
      </w:r>
      <w:r w:rsidR="0004456B">
        <w:rPr>
          <w:color w:val="000000"/>
        </w:rPr>
        <w:t xml:space="preserve"> the </w:t>
      </w:r>
      <w:r w:rsidR="003C4ADC">
        <w:rPr>
          <w:color w:val="000000"/>
        </w:rPr>
        <w:t xml:space="preserve">two PUCO Staff employees, who made or contributed to the Staff Report, </w:t>
      </w:r>
      <w:r w:rsidR="0004456B">
        <w:rPr>
          <w:color w:val="000000"/>
        </w:rPr>
        <w:t xml:space="preserve"> </w:t>
      </w:r>
      <w:r w:rsidR="003C4ADC">
        <w:rPr>
          <w:color w:val="000000"/>
        </w:rPr>
        <w:t xml:space="preserve">to </w:t>
      </w:r>
      <w:r w:rsidR="0004456B">
        <w:rPr>
          <w:color w:val="000000"/>
        </w:rPr>
        <w:t xml:space="preserve">appear </w:t>
      </w:r>
      <w:r w:rsidR="00B907AD">
        <w:rPr>
          <w:color w:val="000000"/>
        </w:rPr>
        <w:t xml:space="preserve">at the evidentiary hearing </w:t>
      </w:r>
      <w:r w:rsidR="0004456B">
        <w:rPr>
          <w:color w:val="000000"/>
        </w:rPr>
        <w:t xml:space="preserve">and be cross-examined regarding the </w:t>
      </w:r>
      <w:r w:rsidR="007F27C8">
        <w:rPr>
          <w:color w:val="000000"/>
        </w:rPr>
        <w:t xml:space="preserve">investigation ordered by the Commission and </w:t>
      </w:r>
      <w:r w:rsidR="004452F3">
        <w:rPr>
          <w:color w:val="000000"/>
        </w:rPr>
        <w:t xml:space="preserve">the </w:t>
      </w:r>
      <w:r w:rsidR="007F27C8">
        <w:rPr>
          <w:color w:val="000000"/>
        </w:rPr>
        <w:t xml:space="preserve">filing of its </w:t>
      </w:r>
      <w:r w:rsidR="004452F3">
        <w:rPr>
          <w:color w:val="000000"/>
        </w:rPr>
        <w:t>Staff Report</w:t>
      </w:r>
      <w:r w:rsidR="007F27C8">
        <w:rPr>
          <w:color w:val="000000"/>
        </w:rPr>
        <w:t>, documenting</w:t>
      </w:r>
      <w:r w:rsidR="007E512C">
        <w:rPr>
          <w:color w:val="000000"/>
        </w:rPr>
        <w:t xml:space="preserve"> the</w:t>
      </w:r>
      <w:r w:rsidR="007F27C8">
        <w:rPr>
          <w:color w:val="000000"/>
        </w:rPr>
        <w:t xml:space="preserve"> investigation and findings</w:t>
      </w:r>
      <w:r w:rsidR="0004456B">
        <w:rPr>
          <w:color w:val="000000"/>
        </w:rPr>
        <w:t>.</w:t>
      </w:r>
    </w:p>
    <w:p w:rsidR="003F5DF8" w:rsidP="008F4012">
      <w:pPr>
        <w:spacing w:line="480" w:lineRule="auto"/>
        <w:ind w:left="3960"/>
      </w:pPr>
      <w:r>
        <w:t>Respectfully submitted,</w:t>
      </w:r>
    </w:p>
    <w:p w:rsidR="00A70259" w:rsidP="00A70259">
      <w:pPr>
        <w:ind w:left="3960"/>
      </w:pPr>
      <w:r>
        <w:t xml:space="preserve">Bruce Weston </w:t>
      </w:r>
      <w:r w:rsidRPr="00104013">
        <w:t>(0016973)</w:t>
      </w:r>
    </w:p>
    <w:p w:rsidR="00A70259" w:rsidP="00A70259">
      <w:pPr>
        <w:ind w:left="3960"/>
      </w:pPr>
      <w:r>
        <w:t>Consumers’ Counsel</w:t>
      </w:r>
    </w:p>
    <w:p w:rsidR="00A70259" w:rsidP="00A70259">
      <w:pPr>
        <w:ind w:left="4320"/>
      </w:pPr>
    </w:p>
    <w:p w:rsidR="00A70259" w:rsidRPr="00A70259" w:rsidP="00A70259">
      <w:pPr>
        <w:ind w:left="3960"/>
        <w:rPr>
          <w:szCs w:val="20"/>
        </w:rPr>
      </w:pPr>
      <w:r>
        <w:rPr>
          <w:i/>
          <w:szCs w:val="20"/>
          <w:u w:val="single"/>
        </w:rPr>
        <w:t>/s/ Terry L. Etter</w:t>
      </w:r>
      <w:r>
        <w:rPr>
          <w:i/>
          <w:szCs w:val="20"/>
          <w:u w:val="single"/>
        </w:rPr>
        <w:tab/>
      </w:r>
      <w:r>
        <w:rPr>
          <w:i/>
          <w:szCs w:val="20"/>
          <w:u w:val="single"/>
        </w:rPr>
        <w:tab/>
      </w:r>
    </w:p>
    <w:p w:rsidR="00A70259" w:rsidRPr="00025A4A" w:rsidP="00A70259">
      <w:pPr>
        <w:tabs>
          <w:tab w:val="left" w:pos="4320"/>
        </w:tabs>
        <w:ind w:left="3960"/>
        <w:rPr>
          <w:rFonts w:eastAsiaTheme="minorHAnsi"/>
        </w:rPr>
      </w:pPr>
      <w:r w:rsidRPr="00025A4A">
        <w:rPr>
          <w:rFonts w:eastAsiaTheme="minorHAnsi"/>
        </w:rPr>
        <w:t xml:space="preserve">Terry L. Etter (0067445), Counsel of Record </w:t>
      </w:r>
    </w:p>
    <w:p w:rsidR="00A70259" w:rsidRPr="003D4A9D" w:rsidP="00A70259">
      <w:pPr>
        <w:tabs>
          <w:tab w:val="left" w:pos="4320"/>
        </w:tabs>
        <w:ind w:left="3960"/>
      </w:pPr>
      <w:r w:rsidRPr="003D4A9D">
        <w:t>Amy Botschner O’Brien (0074423)</w:t>
      </w:r>
    </w:p>
    <w:p w:rsidR="00A70259" w:rsidRPr="00025A4A" w:rsidP="00A70259">
      <w:pPr>
        <w:tabs>
          <w:tab w:val="left" w:pos="4320"/>
        </w:tabs>
        <w:ind w:left="3960"/>
        <w:rPr>
          <w:rFonts w:eastAsiaTheme="minorHAnsi"/>
        </w:rPr>
      </w:pPr>
      <w:r w:rsidRPr="00025A4A">
        <w:rPr>
          <w:rFonts w:eastAsiaTheme="minorHAnsi"/>
        </w:rPr>
        <w:t>Assistant Consumers’ Counsel</w:t>
      </w:r>
    </w:p>
    <w:p w:rsidR="00A70259" w:rsidRPr="00B42CEA" w:rsidP="00E51BAE">
      <w:pPr>
        <w:spacing w:before="120"/>
        <w:ind w:left="3960"/>
        <w:rPr>
          <w:b/>
        </w:rPr>
      </w:pPr>
      <w:r w:rsidRPr="00B42CEA">
        <w:rPr>
          <w:b/>
        </w:rPr>
        <w:t>Office of the Ohio Consumers’ Counsel</w:t>
      </w:r>
    </w:p>
    <w:p w:rsidR="00A70259" w:rsidRPr="00025A4A" w:rsidP="00A70259">
      <w:pPr>
        <w:ind w:left="3960"/>
      </w:pPr>
      <w:r>
        <w:t>65 East State</w:t>
      </w:r>
      <w:r w:rsidRPr="00025A4A">
        <w:t xml:space="preserve"> Street, </w:t>
      </w:r>
      <w:r>
        <w:t>7</w:t>
      </w:r>
      <w:r w:rsidRPr="000301A5">
        <w:rPr>
          <w:vertAlign w:val="superscript"/>
        </w:rPr>
        <w:t>th</w:t>
      </w:r>
      <w:r>
        <w:t xml:space="preserve"> Floor</w:t>
      </w:r>
    </w:p>
    <w:p w:rsidR="00A70259" w:rsidRPr="00025A4A" w:rsidP="00A70259">
      <w:pPr>
        <w:ind w:left="3960"/>
      </w:pPr>
      <w:r w:rsidRPr="00025A4A">
        <w:t>Columbus, Ohio 43215-3485</w:t>
      </w:r>
    </w:p>
    <w:p w:rsidR="00A70259" w:rsidRPr="00025A4A" w:rsidP="00A70259">
      <w:pPr>
        <w:autoSpaceDE w:val="0"/>
        <w:autoSpaceDN w:val="0"/>
        <w:adjustRightInd w:val="0"/>
        <w:ind w:left="3960"/>
        <w:rPr>
          <w:rFonts w:eastAsiaTheme="minorHAnsi"/>
        </w:rPr>
      </w:pPr>
      <w:r w:rsidRPr="00025A4A">
        <w:rPr>
          <w:rFonts w:eastAsiaTheme="minorHAnsi"/>
        </w:rPr>
        <w:t>Telephone: (614) 466-7964 (Etter direct)</w:t>
      </w:r>
    </w:p>
    <w:p w:rsidR="00A70259" w:rsidRPr="003D4A9D" w:rsidP="00A70259">
      <w:pPr>
        <w:autoSpaceDE w:val="0"/>
        <w:autoSpaceDN w:val="0"/>
        <w:adjustRightInd w:val="0"/>
        <w:ind w:left="3960"/>
      </w:pPr>
      <w:r w:rsidRPr="003D4A9D">
        <w:t>Telephone [Botschner O’Brien]: (614) 466-9575</w:t>
      </w:r>
    </w:p>
    <w:p w:rsidR="00A70259" w:rsidRPr="00025A4A" w:rsidP="00A70259">
      <w:pPr>
        <w:tabs>
          <w:tab w:val="center" w:pos="4680"/>
          <w:tab w:val="right" w:pos="9360"/>
        </w:tabs>
        <w:ind w:left="3960"/>
        <w:rPr>
          <w:rFonts w:eastAsiaTheme="minorHAnsi"/>
        </w:rPr>
      </w:pPr>
      <w:r w:rsidRPr="00025A4A">
        <w:rPr>
          <w:rFonts w:eastAsiaTheme="minorHAnsi"/>
          <w:color w:val="0000FF" w:themeColor="hyperlink"/>
          <w:u w:val="single"/>
        </w:rPr>
        <w:t>Terry.etter@occ.ohio.gov</w:t>
      </w:r>
    </w:p>
    <w:p w:rsidR="00A70259" w:rsidRPr="003D4A9D" w:rsidP="00A70259">
      <w:pPr>
        <w:ind w:left="3960"/>
      </w:pPr>
      <w:r>
        <w:fldChar w:fldCharType="begin"/>
      </w:r>
      <w:r>
        <w:instrText xml:space="preserve"> HYPERLINK "mailto:amy.botschner.obrien@occ.ohio.gov" </w:instrText>
      </w:r>
      <w:r>
        <w:fldChar w:fldCharType="separate"/>
      </w:r>
      <w:r w:rsidRPr="003D4A9D" w:rsidR="000F4472">
        <w:rPr>
          <w:rStyle w:val="Hyperlink"/>
        </w:rPr>
        <w:t>amy.botschner.obrien@occ.ohio.gov</w:t>
      </w:r>
      <w:r>
        <w:fldChar w:fldCharType="end"/>
      </w:r>
      <w:r w:rsidRPr="003D4A9D" w:rsidR="000F4472">
        <w:t xml:space="preserve"> </w:t>
      </w:r>
    </w:p>
    <w:p w:rsidR="00A70259" w:rsidRPr="00025A4A" w:rsidP="00A70259">
      <w:pPr>
        <w:tabs>
          <w:tab w:val="center" w:pos="4680"/>
          <w:tab w:val="right" w:pos="9360"/>
        </w:tabs>
        <w:ind w:left="3960"/>
        <w:rPr>
          <w:rFonts w:eastAsiaTheme="minorHAnsi"/>
        </w:rPr>
      </w:pPr>
      <w:r w:rsidRPr="00025A4A">
        <w:rPr>
          <w:rFonts w:eastAsiaTheme="minorHAnsi"/>
        </w:rPr>
        <w:t>(willing to accept service by e-mail)</w:t>
      </w:r>
    </w:p>
    <w:p w:rsidR="00A70259" w:rsidP="00A70259">
      <w:pPr>
        <w:ind w:left="4320"/>
      </w:pPr>
    </w:p>
    <w:p w:rsidR="00A70259" w:rsidRPr="00025A4A" w:rsidP="00A70259">
      <w:pPr>
        <w:widowControl w:val="0"/>
        <w:tabs>
          <w:tab w:val="center" w:pos="4680"/>
          <w:tab w:val="right" w:pos="9360"/>
        </w:tabs>
        <w:ind w:left="3960"/>
        <w:rPr>
          <w:rFonts w:eastAsiaTheme="minorHAnsi"/>
        </w:rPr>
      </w:pPr>
      <w:r w:rsidRPr="00025A4A">
        <w:rPr>
          <w:rFonts w:eastAsiaTheme="minorHAnsi"/>
        </w:rPr>
        <w:t>Kimberly W. Bojko (0069402)</w:t>
      </w:r>
    </w:p>
    <w:p w:rsidR="00A70259" w:rsidRPr="00025A4A" w:rsidP="00A70259">
      <w:pPr>
        <w:widowControl w:val="0"/>
        <w:tabs>
          <w:tab w:val="center" w:pos="4680"/>
          <w:tab w:val="right" w:pos="9360"/>
        </w:tabs>
        <w:ind w:left="3960"/>
        <w:rPr>
          <w:rFonts w:eastAsiaTheme="minorHAnsi"/>
        </w:rPr>
      </w:pPr>
      <w:r w:rsidRPr="00025A4A">
        <w:rPr>
          <w:rFonts w:eastAsiaTheme="minorHAnsi"/>
        </w:rPr>
        <w:t>Carpenter Lipps &amp; Leland LLP</w:t>
      </w:r>
    </w:p>
    <w:p w:rsidR="00A70259" w:rsidRPr="00025A4A" w:rsidP="00A70259">
      <w:pPr>
        <w:widowControl w:val="0"/>
        <w:tabs>
          <w:tab w:val="center" w:pos="4680"/>
          <w:tab w:val="right" w:pos="9360"/>
        </w:tabs>
        <w:ind w:left="3960"/>
        <w:rPr>
          <w:rFonts w:eastAsiaTheme="minorHAnsi"/>
        </w:rPr>
      </w:pPr>
      <w:r w:rsidRPr="00025A4A">
        <w:rPr>
          <w:rFonts w:eastAsiaTheme="minorHAnsi"/>
        </w:rPr>
        <w:t>280 North High Street, Suite 1300</w:t>
      </w:r>
    </w:p>
    <w:p w:rsidR="00A70259" w:rsidRPr="00025A4A" w:rsidP="00A70259">
      <w:pPr>
        <w:widowControl w:val="0"/>
        <w:tabs>
          <w:tab w:val="center" w:pos="4680"/>
          <w:tab w:val="right" w:pos="9360"/>
        </w:tabs>
        <w:ind w:left="3960"/>
        <w:rPr>
          <w:rFonts w:eastAsiaTheme="minorHAnsi"/>
        </w:rPr>
      </w:pPr>
      <w:r w:rsidRPr="00025A4A">
        <w:rPr>
          <w:rFonts w:eastAsiaTheme="minorHAnsi"/>
        </w:rPr>
        <w:t>Columbus, Ohio 43215</w:t>
      </w:r>
    </w:p>
    <w:p w:rsidR="00A70259" w:rsidRPr="00025A4A" w:rsidP="00A70259">
      <w:pPr>
        <w:widowControl w:val="0"/>
        <w:tabs>
          <w:tab w:val="center" w:pos="4680"/>
          <w:tab w:val="right" w:pos="9360"/>
        </w:tabs>
        <w:ind w:left="3960"/>
        <w:rPr>
          <w:rFonts w:eastAsiaTheme="minorHAnsi"/>
        </w:rPr>
      </w:pPr>
      <w:r w:rsidRPr="00025A4A">
        <w:rPr>
          <w:rFonts w:eastAsiaTheme="minorHAnsi"/>
        </w:rPr>
        <w:t>Telephone: (614) 365-4100</w:t>
      </w:r>
    </w:p>
    <w:p w:rsidR="00A70259" w:rsidRPr="00025A4A" w:rsidP="00A70259">
      <w:pPr>
        <w:widowControl w:val="0"/>
        <w:tabs>
          <w:tab w:val="center" w:pos="4680"/>
          <w:tab w:val="right" w:pos="9360"/>
        </w:tabs>
        <w:ind w:left="3960"/>
        <w:rPr>
          <w:rFonts w:eastAsiaTheme="minorHAnsi"/>
        </w:rPr>
      </w:pPr>
      <w:r>
        <w:fldChar w:fldCharType="begin"/>
      </w:r>
      <w:r>
        <w:instrText xml:space="preserve"> HYPERLINK "mailto:bojko@carpenterlipps.com" </w:instrText>
      </w:r>
      <w:r>
        <w:fldChar w:fldCharType="separate"/>
      </w:r>
      <w:r w:rsidRPr="00025A4A" w:rsidR="000F4472">
        <w:rPr>
          <w:rFonts w:eastAsiaTheme="minorHAnsi"/>
          <w:color w:val="0000FF" w:themeColor="hyperlink"/>
          <w:u w:val="single"/>
        </w:rPr>
        <w:t>bojko@carpenterlipps.com</w:t>
      </w:r>
      <w:r>
        <w:fldChar w:fldCharType="end"/>
      </w:r>
    </w:p>
    <w:p w:rsidR="00A70259" w:rsidRPr="00025A4A" w:rsidP="00A70259">
      <w:pPr>
        <w:widowControl w:val="0"/>
        <w:tabs>
          <w:tab w:val="center" w:pos="4680"/>
          <w:tab w:val="right" w:pos="9360"/>
        </w:tabs>
        <w:ind w:left="3960"/>
        <w:rPr>
          <w:rFonts w:eastAsiaTheme="minorHAnsi"/>
        </w:rPr>
      </w:pPr>
      <w:r w:rsidRPr="00025A4A">
        <w:rPr>
          <w:rFonts w:eastAsiaTheme="minorHAnsi"/>
        </w:rPr>
        <w:t>(willing to accept service by e-mail)</w:t>
      </w:r>
    </w:p>
    <w:p w:rsidR="00A70259" w:rsidRPr="00025A4A" w:rsidP="00A70259">
      <w:pPr>
        <w:widowControl w:val="0"/>
        <w:tabs>
          <w:tab w:val="center" w:pos="4680"/>
          <w:tab w:val="right" w:pos="9360"/>
        </w:tabs>
        <w:ind w:firstLine="4320"/>
        <w:rPr>
          <w:rFonts w:eastAsiaTheme="minorHAnsi"/>
        </w:rPr>
      </w:pPr>
    </w:p>
    <w:p w:rsidR="00A70259" w:rsidRPr="00025A4A" w:rsidP="00A70259">
      <w:pPr>
        <w:widowControl w:val="0"/>
        <w:tabs>
          <w:tab w:val="center" w:pos="4680"/>
          <w:tab w:val="right" w:pos="9360"/>
        </w:tabs>
        <w:ind w:left="3960"/>
        <w:rPr>
          <w:rFonts w:eastAsiaTheme="minorHAnsi"/>
          <w:i/>
        </w:rPr>
      </w:pPr>
      <w:r>
        <w:rPr>
          <w:rFonts w:eastAsiaTheme="minorHAnsi"/>
          <w:i/>
        </w:rPr>
        <w:t>Special</w:t>
      </w:r>
      <w:r w:rsidRPr="00025A4A" w:rsidR="000F4472">
        <w:rPr>
          <w:rFonts w:eastAsiaTheme="minorHAnsi"/>
          <w:i/>
        </w:rPr>
        <w:t xml:space="preserve"> Counsel for the</w:t>
      </w:r>
    </w:p>
    <w:p w:rsidR="003A4466" w:rsidP="00A70259">
      <w:pPr>
        <w:ind w:left="3960"/>
        <w:rPr>
          <w:rFonts w:eastAsiaTheme="minorHAnsi"/>
          <w:iCs/>
        </w:rPr>
      </w:pPr>
      <w:r w:rsidRPr="00025A4A">
        <w:rPr>
          <w:rFonts w:eastAsiaTheme="minorHAnsi"/>
          <w:i/>
        </w:rPr>
        <w:t>Office of the Ohio Consumers’ Counsel</w:t>
      </w:r>
    </w:p>
    <w:p w:rsidR="00FC6B50">
      <w:pPr>
        <w:rPr>
          <w:rFonts w:eastAsiaTheme="minorHAnsi"/>
          <w:iCs/>
        </w:rPr>
      </w:pPr>
      <w:r>
        <w:rPr>
          <w:rFonts w:eastAsiaTheme="minorHAnsi"/>
          <w:iCs/>
        </w:rPr>
        <w:br w:type="page"/>
      </w:r>
    </w:p>
    <w:p w:rsidR="003A4466">
      <w:pPr>
        <w:ind w:left="24"/>
        <w:jc w:val="center"/>
        <w:rPr>
          <w:b/>
          <w:szCs w:val="20"/>
          <w:u w:val="single"/>
        </w:rPr>
      </w:pPr>
      <w:r>
        <w:rPr>
          <w:b/>
          <w:szCs w:val="20"/>
          <w:u w:val="single"/>
        </w:rPr>
        <w:t>CERTIFICATE OF SERVICE</w:t>
      </w:r>
    </w:p>
    <w:p w:rsidR="003A4466">
      <w:pPr>
        <w:rPr>
          <w:szCs w:val="20"/>
          <w:u w:val="single"/>
        </w:rPr>
      </w:pPr>
    </w:p>
    <w:p w:rsidR="003A4466">
      <w:pPr>
        <w:spacing w:line="480" w:lineRule="auto"/>
        <w:rPr>
          <w:szCs w:val="20"/>
        </w:rPr>
      </w:pPr>
      <w:r>
        <w:rPr>
          <w:szCs w:val="20"/>
        </w:rPr>
        <w:tab/>
        <w:t>I hereby certify that a copy of the M</w:t>
      </w:r>
      <w:r w:rsidR="003D230B">
        <w:rPr>
          <w:szCs w:val="20"/>
        </w:rPr>
        <w:t>emorandum Contra</w:t>
      </w:r>
      <w:r>
        <w:rPr>
          <w:szCs w:val="20"/>
        </w:rPr>
        <w:t xml:space="preserve"> was provided to the persons listed below electronically this </w:t>
      </w:r>
      <w:r w:rsidR="00630A86">
        <w:rPr>
          <w:szCs w:val="20"/>
        </w:rPr>
        <w:t>1</w:t>
      </w:r>
      <w:r w:rsidR="004452F3">
        <w:rPr>
          <w:szCs w:val="20"/>
        </w:rPr>
        <w:t>9</w:t>
      </w:r>
      <w:r w:rsidRPr="007066D2">
        <w:rPr>
          <w:szCs w:val="20"/>
          <w:vertAlign w:val="superscript"/>
        </w:rPr>
        <w:t>th</w:t>
      </w:r>
      <w:r>
        <w:rPr>
          <w:szCs w:val="20"/>
        </w:rPr>
        <w:t xml:space="preserve"> day of </w:t>
      </w:r>
      <w:r w:rsidR="00630A86">
        <w:rPr>
          <w:szCs w:val="20"/>
        </w:rPr>
        <w:t xml:space="preserve">September </w:t>
      </w:r>
      <w:r>
        <w:rPr>
          <w:szCs w:val="20"/>
        </w:rPr>
        <w:t>2019.</w:t>
      </w:r>
    </w:p>
    <w:p w:rsidR="003A4466">
      <w:pPr>
        <w:rPr>
          <w:szCs w:val="20"/>
        </w:rPr>
      </w:pPr>
    </w:p>
    <w:p w:rsidR="003A4466">
      <w:pPr>
        <w:ind w:left="4320"/>
        <w:rPr>
          <w:szCs w:val="20"/>
        </w:rPr>
      </w:pPr>
      <w:r>
        <w:rPr>
          <w:i/>
          <w:szCs w:val="20"/>
          <w:u w:val="single"/>
        </w:rPr>
        <w:t>/s/ Terry L. Etter</w:t>
      </w:r>
      <w:r>
        <w:rPr>
          <w:i/>
          <w:szCs w:val="20"/>
          <w:u w:val="single"/>
        </w:rPr>
        <w:tab/>
      </w:r>
      <w:r>
        <w:rPr>
          <w:i/>
          <w:szCs w:val="20"/>
          <w:u w:val="single"/>
        </w:rPr>
        <w:tab/>
      </w:r>
    </w:p>
    <w:p w:rsidR="003A4466">
      <w:pPr>
        <w:ind w:left="4320"/>
        <w:rPr>
          <w:szCs w:val="20"/>
        </w:rPr>
      </w:pPr>
      <w:r>
        <w:rPr>
          <w:szCs w:val="20"/>
        </w:rPr>
        <w:t xml:space="preserve">Terry L. Etter </w:t>
      </w:r>
    </w:p>
    <w:p w:rsidR="003A4466">
      <w:pPr>
        <w:ind w:left="4320"/>
        <w:rPr>
          <w:szCs w:val="20"/>
        </w:rPr>
      </w:pPr>
      <w:r>
        <w:rPr>
          <w:szCs w:val="20"/>
        </w:rPr>
        <w:t>Assistant Consumers’ Counsel</w:t>
      </w:r>
    </w:p>
    <w:p w:rsidR="003A4466">
      <w:pPr>
        <w:ind w:left="4320"/>
        <w:rPr>
          <w:szCs w:val="20"/>
        </w:rPr>
      </w:pPr>
    </w:p>
    <w:p w:rsidR="003D230B" w:rsidRPr="00DC09DE" w:rsidP="003D230B">
      <w:pPr>
        <w:pStyle w:val="CommentText"/>
        <w:rPr>
          <w:szCs w:val="24"/>
        </w:rPr>
      </w:pPr>
      <w:r w:rsidRPr="00DC09DE">
        <w:rPr>
          <w:szCs w:val="24"/>
        </w:rPr>
        <w:t>The PUCO’s e-filing system will electronically serve notice of the filing of this document on the following parties:</w:t>
      </w:r>
    </w:p>
    <w:p w:rsidR="003D230B" w:rsidP="00481CFB">
      <w:pPr>
        <w:pStyle w:val="CommentText"/>
        <w:jc w:val="center"/>
        <w:rPr>
          <w:b/>
          <w:u w:val="single"/>
        </w:rPr>
      </w:pPr>
    </w:p>
    <w:p w:rsidR="003D230B" w:rsidP="00481CFB">
      <w:pPr>
        <w:pStyle w:val="CommentText"/>
        <w:jc w:val="center"/>
        <w:rPr>
          <w:b/>
          <w:u w:val="single"/>
        </w:rPr>
      </w:pPr>
    </w:p>
    <w:p w:rsidR="00481CFB" w:rsidRPr="00C00E9C" w:rsidP="00481CFB">
      <w:pPr>
        <w:pStyle w:val="CommentText"/>
        <w:jc w:val="center"/>
        <w:rPr>
          <w:b/>
          <w:u w:val="single"/>
        </w:rPr>
      </w:pPr>
      <w:r w:rsidRPr="00C00E9C">
        <w:rPr>
          <w:b/>
          <w:u w:val="single"/>
        </w:rPr>
        <w:t>SERVICE LIST</w:t>
      </w:r>
    </w:p>
    <w:p w:rsidR="00481CFB" w:rsidRPr="00C00E9C" w:rsidP="00481CFB">
      <w:pPr>
        <w:pStyle w:val="BodyText"/>
        <w:rPr>
          <w:b/>
          <w:bCs/>
          <w:szCs w:val="24"/>
        </w:rPr>
      </w:pPr>
    </w:p>
    <w:tbl>
      <w:tblPr>
        <w:tblW w:w="0" w:type="auto"/>
        <w:tblInd w:w="0" w:type="dxa"/>
        <w:tblCellMar>
          <w:top w:w="0" w:type="dxa"/>
          <w:left w:w="108" w:type="dxa"/>
          <w:bottom w:w="0" w:type="dxa"/>
          <w:right w:w="108" w:type="dxa"/>
        </w:tblCellMar>
        <w:tblLook w:val="01E0"/>
      </w:tblPr>
      <w:tblGrid>
        <w:gridCol w:w="3618"/>
        <w:gridCol w:w="5022"/>
      </w:tblGrid>
      <w:tr w:rsidTr="0029610D">
        <w:tblPrEx>
          <w:tblW w:w="0" w:type="auto"/>
          <w:tblInd w:w="0" w:type="dxa"/>
          <w:tblCellMar>
            <w:top w:w="0" w:type="dxa"/>
            <w:left w:w="108" w:type="dxa"/>
            <w:bottom w:w="0" w:type="dxa"/>
            <w:right w:w="108" w:type="dxa"/>
          </w:tblCellMar>
          <w:tblLook w:val="01E0"/>
        </w:tblPrEx>
        <w:tc>
          <w:tcPr>
            <w:tcW w:w="3618" w:type="dxa"/>
            <w:shd w:val="clear" w:color="auto" w:fill="auto"/>
          </w:tcPr>
          <w:p w:rsidR="00481CFB" w:rsidRPr="00C00E9C" w:rsidP="0029610D">
            <w:pPr>
              <w:suppressAutoHyphens/>
              <w:autoSpaceDE w:val="0"/>
              <w:autoSpaceDN w:val="0"/>
              <w:adjustRightInd w:val="0"/>
              <w:rPr>
                <w:rStyle w:val="DefaultParagraphFont"/>
                <w:rFonts w:eastAsia="Calibri"/>
                <w:bCs/>
                <w:sz w:val="24"/>
                <w:szCs w:val="24"/>
                <w:lang w:val="en-US" w:eastAsia="ar-SA" w:bidi="ar-SA"/>
              </w:rPr>
            </w:pPr>
            <w:r>
              <w:fldChar w:fldCharType="begin"/>
            </w:r>
            <w:r>
              <w:rPr>
                <w:rFonts w:eastAsia="Calibri"/>
                <w:sz w:val="24"/>
                <w:szCs w:val="24"/>
                <w:lang w:val="en-US" w:eastAsia="en-US" w:bidi="ar-SA"/>
              </w:rPr>
              <w:instrText xml:space="preserve"> HYPERLINK "mailto:Jodi.bair@ohioattorneygeneral.gov" </w:instrText>
            </w:r>
            <w:r>
              <w:fldChar w:fldCharType="separate"/>
            </w:r>
            <w:r w:rsidRPr="00C00E9C" w:rsidR="000F4472">
              <w:rPr>
                <w:rStyle w:val="Hyperlink"/>
                <w:rFonts w:eastAsia="Calibri" w:cs="Times New Roman"/>
                <w:bCs/>
                <w:color w:val="0000FF"/>
                <w:sz w:val="24"/>
                <w:szCs w:val="24"/>
                <w:u w:val="single"/>
                <w:lang w:val="en-US" w:eastAsia="en-US" w:bidi="ar-SA"/>
              </w:rPr>
              <w:t>Jodi.bair@ohioattorneygeneral.gov</w:t>
            </w:r>
            <w:r>
              <w:fldChar w:fldCharType="end"/>
            </w:r>
          </w:p>
          <w:p w:rsidR="00481CFB" w:rsidRPr="00C00E9C" w:rsidP="0029610D">
            <w:pPr>
              <w:suppressAutoHyphens/>
              <w:autoSpaceDE w:val="0"/>
              <w:autoSpaceDN w:val="0"/>
              <w:adjustRightInd w:val="0"/>
              <w:rPr>
                <w:rStyle w:val="DefaultParagraphFont"/>
                <w:rFonts w:eastAsia="Calibri"/>
                <w:bCs/>
                <w:sz w:val="24"/>
                <w:szCs w:val="24"/>
                <w:lang w:val="en-US" w:eastAsia="ar-SA" w:bidi="ar-SA"/>
              </w:rPr>
            </w:pPr>
            <w:r>
              <w:fldChar w:fldCharType="begin"/>
            </w:r>
            <w:r>
              <w:rPr>
                <w:rFonts w:eastAsia="Calibri"/>
                <w:sz w:val="24"/>
                <w:szCs w:val="24"/>
                <w:lang w:val="en-US" w:eastAsia="en-US" w:bidi="ar-SA"/>
              </w:rPr>
              <w:instrText xml:space="preserve"> HYPERLINK "mailto:whitt@whitt-sturtevant.com" </w:instrText>
            </w:r>
            <w:r>
              <w:fldChar w:fldCharType="separate"/>
            </w:r>
            <w:r w:rsidRPr="00C00E9C" w:rsidR="000F4472">
              <w:rPr>
                <w:rStyle w:val="Hyperlink"/>
                <w:rFonts w:eastAsia="Calibri" w:cs="Times New Roman"/>
                <w:color w:val="0000FF"/>
                <w:sz w:val="24"/>
                <w:szCs w:val="24"/>
                <w:u w:val="single"/>
                <w:lang w:val="en-US" w:eastAsia="en-US" w:bidi="ar-SA"/>
              </w:rPr>
              <w:t>whitt@whitt-sturtevant.com</w:t>
            </w:r>
            <w:r>
              <w:fldChar w:fldCharType="end"/>
            </w:r>
            <w:r w:rsidRPr="00C00E9C" w:rsidR="000F4472">
              <w:rPr>
                <w:rFonts w:eastAsia="Calibri"/>
                <w:sz w:val="24"/>
                <w:szCs w:val="24"/>
                <w:lang w:val="en-US" w:eastAsia="en-US" w:bidi="ar-SA"/>
              </w:rPr>
              <w:t xml:space="preserve"> </w:t>
            </w:r>
            <w:r w:rsidRPr="00C00E9C" w:rsidR="000F4472">
              <w:rPr>
                <w:rFonts w:eastAsia="Calibri"/>
                <w:bCs/>
                <w:sz w:val="24"/>
                <w:szCs w:val="24"/>
                <w:lang w:val="en-US" w:eastAsia="en-US" w:bidi="ar-SA"/>
              </w:rPr>
              <w:t xml:space="preserve"> </w:t>
            </w:r>
          </w:p>
          <w:p w:rsidR="00481CFB" w:rsidRPr="00C00E9C" w:rsidP="0029610D">
            <w:pPr>
              <w:suppressAutoHyphens/>
              <w:autoSpaceDE w:val="0"/>
              <w:autoSpaceDN w:val="0"/>
              <w:adjustRightInd w:val="0"/>
              <w:rPr>
                <w:rStyle w:val="DefaultParagraphFont"/>
                <w:rFonts w:eastAsia="Calibri"/>
                <w:bCs/>
                <w:sz w:val="24"/>
                <w:szCs w:val="24"/>
                <w:lang w:val="en-US" w:eastAsia="ar-SA" w:bidi="ar-SA"/>
              </w:rPr>
            </w:pPr>
            <w:r>
              <w:fldChar w:fldCharType="begin"/>
            </w:r>
            <w:r>
              <w:rPr>
                <w:rFonts w:eastAsia="Calibri"/>
                <w:sz w:val="24"/>
                <w:szCs w:val="24"/>
                <w:lang w:val="en-US" w:eastAsia="en-US" w:bidi="ar-SA"/>
              </w:rPr>
              <w:instrText xml:space="preserve"> HYPERLINK "mailto:Glover@whitt-sturtevant.com" </w:instrText>
            </w:r>
            <w:r>
              <w:fldChar w:fldCharType="separate"/>
            </w:r>
            <w:r w:rsidRPr="00C00E9C" w:rsidR="000F4472">
              <w:rPr>
                <w:rStyle w:val="Hyperlink"/>
                <w:rFonts w:eastAsia="Calibri" w:cs="Times New Roman"/>
                <w:bCs/>
                <w:color w:val="0000FF"/>
                <w:sz w:val="24"/>
                <w:szCs w:val="24"/>
                <w:u w:val="single"/>
                <w:lang w:val="en-US" w:eastAsia="en-US" w:bidi="ar-SA"/>
              </w:rPr>
              <w:t>Glover@whitt-sturtevant.com</w:t>
            </w:r>
            <w:r>
              <w:fldChar w:fldCharType="end"/>
            </w:r>
            <w:r w:rsidRPr="00C00E9C" w:rsidR="000F4472">
              <w:rPr>
                <w:rFonts w:eastAsia="Calibri"/>
                <w:bCs/>
                <w:sz w:val="24"/>
                <w:szCs w:val="24"/>
                <w:lang w:val="en-US" w:eastAsia="en-US" w:bidi="ar-SA"/>
              </w:rPr>
              <w:t xml:space="preserve"> </w:t>
            </w:r>
          </w:p>
          <w:p w:rsidR="00481CFB" w:rsidRPr="00C00E9C" w:rsidP="0029610D">
            <w:pPr>
              <w:suppressAutoHyphens/>
              <w:autoSpaceDE w:val="0"/>
              <w:autoSpaceDN w:val="0"/>
              <w:adjustRightInd w:val="0"/>
              <w:rPr>
                <w:rStyle w:val="DefaultParagraphFont"/>
                <w:rFonts w:eastAsia="Calibri"/>
                <w:bCs/>
                <w:sz w:val="24"/>
                <w:szCs w:val="24"/>
                <w:lang w:val="en-US" w:eastAsia="ar-SA" w:bidi="ar-SA"/>
              </w:rPr>
            </w:pPr>
          </w:p>
        </w:tc>
        <w:tc>
          <w:tcPr>
            <w:tcW w:w="5040" w:type="dxa"/>
            <w:shd w:val="clear" w:color="auto" w:fill="auto"/>
          </w:tcPr>
          <w:p w:rsidR="00481CFB" w:rsidRPr="00C00E9C" w:rsidP="0029610D">
            <w:pPr>
              <w:suppressAutoHyphens/>
              <w:autoSpaceDE w:val="0"/>
              <w:autoSpaceDN w:val="0"/>
              <w:adjustRightInd w:val="0"/>
              <w:ind w:left="1416"/>
              <w:rPr>
                <w:rStyle w:val="DefaultParagraphFont"/>
                <w:rFonts w:eastAsia="Calibri"/>
                <w:sz w:val="24"/>
                <w:szCs w:val="24"/>
                <w:lang w:val="en-US" w:eastAsia="ar-SA" w:bidi="ar-SA"/>
              </w:rPr>
            </w:pPr>
            <w:r>
              <w:rPr>
                <w:rFonts w:eastAsia="Calibri"/>
                <w:sz w:val="24"/>
                <w:szCs w:val="24"/>
                <w:lang w:val="en-US" w:eastAsia="en-US" w:bidi="ar-SA"/>
              </w:rPr>
              <w:t>Keenia Joseph</w:t>
            </w:r>
          </w:p>
          <w:p w:rsidR="00481CFB" w:rsidRPr="00C00E9C" w:rsidP="0029610D">
            <w:pPr>
              <w:suppressAutoHyphens/>
              <w:autoSpaceDE w:val="0"/>
              <w:autoSpaceDN w:val="0"/>
              <w:adjustRightInd w:val="0"/>
              <w:ind w:left="1416"/>
              <w:rPr>
                <w:rStyle w:val="DefaultParagraphFont"/>
                <w:rFonts w:eastAsia="Calibri"/>
                <w:sz w:val="24"/>
                <w:szCs w:val="24"/>
                <w:lang w:val="en-US" w:eastAsia="ar-SA" w:bidi="ar-SA"/>
              </w:rPr>
            </w:pPr>
            <w:r w:rsidRPr="00C00E9C">
              <w:rPr>
                <w:rFonts w:eastAsia="Calibri"/>
                <w:sz w:val="24"/>
                <w:szCs w:val="24"/>
                <w:lang w:val="en-US" w:eastAsia="en-US" w:bidi="ar-SA"/>
              </w:rPr>
              <w:t xml:space="preserve">PALMco Energy OH, LLC, </w:t>
            </w:r>
          </w:p>
          <w:p w:rsidR="00481CFB" w:rsidRPr="00C00E9C" w:rsidP="0029610D">
            <w:pPr>
              <w:suppressAutoHyphens/>
              <w:autoSpaceDE w:val="0"/>
              <w:autoSpaceDN w:val="0"/>
              <w:adjustRightInd w:val="0"/>
              <w:ind w:left="1416"/>
              <w:rPr>
                <w:rStyle w:val="DefaultParagraphFont"/>
                <w:rFonts w:eastAsia="Calibri"/>
                <w:sz w:val="24"/>
                <w:szCs w:val="24"/>
                <w:lang w:val="en-US" w:eastAsia="ar-SA" w:bidi="ar-SA"/>
              </w:rPr>
            </w:pPr>
            <w:r w:rsidRPr="00C00E9C">
              <w:rPr>
                <w:rFonts w:eastAsia="Calibri"/>
                <w:sz w:val="24"/>
                <w:szCs w:val="24"/>
                <w:lang w:val="en-US" w:eastAsia="en-US" w:bidi="ar-SA"/>
              </w:rPr>
              <w:t>dba Indra Energy</w:t>
            </w:r>
          </w:p>
          <w:p w:rsidR="00481CFB" w:rsidRPr="00C00E9C" w:rsidP="0029610D">
            <w:pPr>
              <w:suppressAutoHyphens/>
              <w:autoSpaceDE w:val="0"/>
              <w:autoSpaceDN w:val="0"/>
              <w:adjustRightInd w:val="0"/>
              <w:ind w:left="1416"/>
              <w:rPr>
                <w:rStyle w:val="DefaultParagraphFont"/>
                <w:rFonts w:eastAsia="Calibri"/>
                <w:sz w:val="24"/>
                <w:szCs w:val="24"/>
                <w:lang w:val="en-US" w:eastAsia="ar-SA" w:bidi="ar-SA"/>
              </w:rPr>
            </w:pPr>
            <w:r w:rsidRPr="00C00E9C">
              <w:rPr>
                <w:rFonts w:eastAsia="Calibri"/>
                <w:sz w:val="24"/>
                <w:szCs w:val="24"/>
                <w:lang w:val="en-US" w:eastAsia="en-US" w:bidi="ar-SA"/>
              </w:rPr>
              <w:t>8751 18th Avenue</w:t>
            </w:r>
          </w:p>
          <w:p w:rsidR="00481CFB" w:rsidRPr="00C00E9C" w:rsidP="0029610D">
            <w:pPr>
              <w:suppressAutoHyphens/>
              <w:autoSpaceDE w:val="0"/>
              <w:autoSpaceDN w:val="0"/>
              <w:adjustRightInd w:val="0"/>
              <w:ind w:left="1416"/>
              <w:rPr>
                <w:rStyle w:val="DefaultParagraphFont"/>
                <w:rFonts w:eastAsia="Calibri"/>
                <w:sz w:val="24"/>
                <w:szCs w:val="24"/>
                <w:lang w:val="en-US" w:eastAsia="ar-SA" w:bidi="ar-SA"/>
              </w:rPr>
            </w:pPr>
            <w:r w:rsidRPr="00C00E9C">
              <w:rPr>
                <w:rFonts w:eastAsia="Calibri"/>
                <w:sz w:val="24"/>
                <w:szCs w:val="24"/>
                <w:lang w:val="en-US" w:eastAsia="en-US" w:bidi="ar-SA"/>
              </w:rPr>
              <w:t>Brooklyn, NY 11214</w:t>
            </w:r>
          </w:p>
          <w:p w:rsidR="00481CFB" w:rsidRPr="00C00E9C" w:rsidP="0029610D">
            <w:pPr>
              <w:suppressAutoHyphens/>
              <w:ind w:left="1416"/>
              <w:rPr>
                <w:rStyle w:val="DefaultParagraphFont"/>
                <w:rFonts w:eastAsia="Calibri"/>
                <w:sz w:val="24"/>
                <w:szCs w:val="24"/>
                <w:lang w:val="en-US" w:eastAsia="ar-SA" w:bidi="ar-SA"/>
              </w:rPr>
            </w:pPr>
            <w:r>
              <w:fldChar w:fldCharType="begin"/>
            </w:r>
            <w:r>
              <w:rPr>
                <w:rFonts w:eastAsia="Calibri"/>
                <w:sz w:val="24"/>
                <w:szCs w:val="24"/>
                <w:lang w:val="en-US" w:eastAsia="en-US" w:bidi="ar-SA"/>
              </w:rPr>
              <w:instrText xml:space="preserve"> HYPERLINK "mailto:regulatory@indraenergy.com" </w:instrText>
            </w:r>
            <w:r>
              <w:fldChar w:fldCharType="separate"/>
            </w:r>
            <w:r w:rsidRPr="00C00E9C" w:rsidR="000F4472">
              <w:rPr>
                <w:rStyle w:val="Hyperlink"/>
                <w:rFonts w:eastAsia="Calibri" w:cs="Times New Roman"/>
                <w:color w:val="0000FF"/>
                <w:sz w:val="24"/>
                <w:szCs w:val="24"/>
                <w:u w:val="single"/>
                <w:lang w:val="en-US" w:eastAsia="en-US" w:bidi="ar-SA"/>
              </w:rPr>
              <w:t>regulatory@indraenergy.com</w:t>
            </w:r>
            <w:r>
              <w:fldChar w:fldCharType="end"/>
            </w:r>
            <w:r w:rsidRPr="00C00E9C" w:rsidR="000F4472">
              <w:rPr>
                <w:rFonts w:eastAsia="Calibri"/>
                <w:sz w:val="24"/>
                <w:szCs w:val="24"/>
                <w:lang w:val="en-US" w:eastAsia="en-US" w:bidi="ar-SA"/>
              </w:rPr>
              <w:t xml:space="preserve"> </w:t>
            </w:r>
          </w:p>
          <w:p w:rsidR="00481CFB" w:rsidRPr="00C00E9C" w:rsidP="0029610D">
            <w:pPr>
              <w:pStyle w:val="BodyText"/>
              <w:tabs>
                <w:tab w:val="left" w:pos="0"/>
                <w:tab w:val="left" w:pos="720"/>
              </w:tabs>
              <w:suppressAutoHyphens/>
              <w:spacing w:line="480" w:lineRule="auto"/>
              <w:ind w:firstLine="720"/>
              <w:jc w:val="both"/>
              <w:rPr>
                <w:rStyle w:val="DefaultParagraphFont"/>
                <w:rFonts w:eastAsia="Times New Roman"/>
                <w:bCs/>
                <w:sz w:val="24"/>
                <w:szCs w:val="24"/>
                <w:lang w:val="en-US" w:eastAsia="ar-SA" w:bidi="ar-SA"/>
              </w:rPr>
            </w:pPr>
          </w:p>
        </w:tc>
      </w:tr>
      <w:tr w:rsidTr="0029610D">
        <w:tblPrEx>
          <w:tblW w:w="0" w:type="auto"/>
          <w:tblInd w:w="0" w:type="dxa"/>
          <w:tblCellMar>
            <w:top w:w="0" w:type="dxa"/>
            <w:left w:w="108" w:type="dxa"/>
            <w:bottom w:w="0" w:type="dxa"/>
            <w:right w:w="108" w:type="dxa"/>
          </w:tblCellMar>
          <w:tblLook w:val="01E0"/>
        </w:tblPrEx>
        <w:tc>
          <w:tcPr>
            <w:tcW w:w="3618" w:type="dxa"/>
            <w:shd w:val="clear" w:color="auto" w:fill="auto"/>
          </w:tcPr>
          <w:p w:rsidR="00481CFB" w:rsidRPr="00C00E9C" w:rsidP="0029610D">
            <w:pPr>
              <w:suppressAutoHyphens/>
              <w:rPr>
                <w:rStyle w:val="DefaultParagraphFont"/>
                <w:rFonts w:eastAsia="Calibri"/>
                <w:sz w:val="24"/>
                <w:szCs w:val="24"/>
                <w:lang w:val="en-US" w:eastAsia="ar-SA" w:bidi="ar-SA"/>
              </w:rPr>
            </w:pPr>
            <w:r w:rsidRPr="00C00E9C">
              <w:rPr>
                <w:rFonts w:eastAsia="Calibri"/>
                <w:sz w:val="24"/>
                <w:szCs w:val="24"/>
                <w:lang w:val="en-US" w:eastAsia="en-US" w:bidi="ar-SA"/>
              </w:rPr>
              <w:t>Attorney Examiners:</w:t>
            </w:r>
          </w:p>
          <w:p w:rsidR="00481CFB" w:rsidRPr="00C00E9C" w:rsidP="0029610D">
            <w:pPr>
              <w:suppressAutoHyphens/>
              <w:rPr>
                <w:rStyle w:val="DefaultParagraphFont"/>
                <w:rFonts w:eastAsia="Calibri"/>
                <w:sz w:val="24"/>
                <w:szCs w:val="24"/>
                <w:lang w:val="en-US" w:eastAsia="ar-SA" w:bidi="ar-SA"/>
              </w:rPr>
            </w:pPr>
          </w:p>
          <w:p w:rsidR="003D230B" w:rsidP="0029610D">
            <w:pPr>
              <w:suppressAutoHyphens/>
              <w:rPr>
                <w:rStyle w:val="DefaultParagraphFont"/>
                <w:rFonts w:eastAsia="Calibri"/>
                <w:sz w:val="24"/>
                <w:szCs w:val="24"/>
                <w:lang w:val="en-US" w:eastAsia="en-US" w:bidi="ar-SA"/>
              </w:rPr>
            </w:pPr>
            <w:r>
              <w:fldChar w:fldCharType="begin"/>
            </w:r>
            <w:r>
              <w:rPr>
                <w:rFonts w:eastAsia="Calibri"/>
                <w:sz w:val="24"/>
                <w:szCs w:val="24"/>
                <w:lang w:val="en-US" w:eastAsia="en-US" w:bidi="ar-SA"/>
              </w:rPr>
              <w:instrText xml:space="preserve"> HYPERLINK "mailto:Gregory.price@puco.ohio.gov" </w:instrText>
            </w:r>
            <w:r>
              <w:fldChar w:fldCharType="separate"/>
            </w:r>
            <w:r w:rsidRPr="00CE3519">
              <w:rPr>
                <w:rStyle w:val="Hyperlink"/>
                <w:rFonts w:eastAsia="Calibri" w:cs="Times New Roman"/>
                <w:color w:val="0000FF"/>
                <w:sz w:val="24"/>
                <w:szCs w:val="24"/>
                <w:u w:val="single"/>
                <w:lang w:val="en-US" w:eastAsia="en-US" w:bidi="ar-SA"/>
              </w:rPr>
              <w:t>Gregory.price@puco.ohio.gov</w:t>
            </w:r>
            <w:r>
              <w:fldChar w:fldCharType="end"/>
            </w:r>
          </w:p>
          <w:p w:rsidR="00481CFB" w:rsidRPr="00C00E9C" w:rsidP="0029610D">
            <w:pPr>
              <w:suppressAutoHyphens/>
              <w:rPr>
                <w:rStyle w:val="DefaultParagraphFont"/>
                <w:rFonts w:eastAsia="Calibri"/>
                <w:sz w:val="24"/>
                <w:szCs w:val="24"/>
                <w:lang w:val="en-US" w:eastAsia="ar-SA" w:bidi="ar-SA"/>
              </w:rPr>
            </w:pPr>
            <w:r>
              <w:fldChar w:fldCharType="begin"/>
            </w:r>
            <w:r>
              <w:rPr>
                <w:rFonts w:eastAsia="Calibri"/>
                <w:sz w:val="24"/>
                <w:szCs w:val="24"/>
                <w:lang w:val="en-US" w:eastAsia="en-US" w:bidi="ar-SA"/>
              </w:rPr>
              <w:instrText xml:space="preserve"> HYPERLINK "mailto:Stacie.Cathcart@puco.ohio.gov" </w:instrText>
            </w:r>
            <w:r>
              <w:fldChar w:fldCharType="separate"/>
            </w:r>
            <w:r w:rsidRPr="00CE3519" w:rsidR="003D230B">
              <w:rPr>
                <w:rStyle w:val="Hyperlink"/>
                <w:rFonts w:eastAsia="Calibri" w:cs="Times New Roman"/>
                <w:color w:val="0000FF"/>
                <w:sz w:val="24"/>
                <w:szCs w:val="24"/>
                <w:u w:val="single"/>
                <w:lang w:val="en-US" w:eastAsia="en-US" w:bidi="ar-SA"/>
              </w:rPr>
              <w:t>Stacie.Cathcart@puco.ohio.gov</w:t>
            </w:r>
            <w:r>
              <w:fldChar w:fldCharType="end"/>
            </w:r>
            <w:r w:rsidRPr="00C00E9C" w:rsidR="000F4472">
              <w:rPr>
                <w:rFonts w:eastAsia="Calibri"/>
                <w:sz w:val="24"/>
                <w:szCs w:val="24"/>
                <w:lang w:val="en-US" w:eastAsia="en-US" w:bidi="ar-SA"/>
              </w:rPr>
              <w:t xml:space="preserve"> </w:t>
            </w:r>
          </w:p>
          <w:p w:rsidR="00481CFB" w:rsidRPr="00C00E9C" w:rsidP="0029610D">
            <w:pPr>
              <w:suppressAutoHyphens/>
              <w:rPr>
                <w:rStyle w:val="DefaultParagraphFont"/>
                <w:rFonts w:eastAsia="Calibri"/>
                <w:sz w:val="24"/>
                <w:szCs w:val="24"/>
                <w:lang w:val="en-US" w:eastAsia="ar-SA" w:bidi="ar-SA"/>
              </w:rPr>
            </w:pPr>
            <w:r>
              <w:fldChar w:fldCharType="begin"/>
            </w:r>
            <w:r>
              <w:rPr>
                <w:rFonts w:eastAsia="Calibri"/>
                <w:sz w:val="24"/>
                <w:szCs w:val="24"/>
                <w:lang w:val="en-US" w:eastAsia="en-US" w:bidi="ar-SA"/>
              </w:rPr>
              <w:instrText xml:space="preserve"> HYPERLINK "mailto:Anna.Sanyal@puco.ohio.gov" </w:instrText>
            </w:r>
            <w:r>
              <w:fldChar w:fldCharType="separate"/>
            </w:r>
            <w:r w:rsidRPr="00C00E9C" w:rsidR="000F4472">
              <w:rPr>
                <w:rStyle w:val="Hyperlink"/>
                <w:rFonts w:eastAsia="Calibri" w:cs="Times New Roman"/>
                <w:color w:val="0000FF"/>
                <w:sz w:val="24"/>
                <w:szCs w:val="24"/>
                <w:u w:val="single"/>
                <w:lang w:val="en-US" w:eastAsia="en-US" w:bidi="ar-SA"/>
              </w:rPr>
              <w:t>Anna.Sanyal@puco.ohio.gov</w:t>
            </w:r>
            <w:r>
              <w:fldChar w:fldCharType="end"/>
            </w:r>
            <w:r w:rsidRPr="00C00E9C" w:rsidR="000F4472">
              <w:rPr>
                <w:rFonts w:eastAsia="Calibri"/>
                <w:sz w:val="24"/>
                <w:szCs w:val="24"/>
                <w:lang w:val="en-US" w:eastAsia="en-US" w:bidi="ar-SA"/>
              </w:rPr>
              <w:t xml:space="preserve"> </w:t>
            </w:r>
          </w:p>
        </w:tc>
        <w:tc>
          <w:tcPr>
            <w:tcW w:w="5040" w:type="dxa"/>
            <w:shd w:val="clear" w:color="auto" w:fill="auto"/>
          </w:tcPr>
          <w:p w:rsidR="00481CFB" w:rsidRPr="00C00E9C" w:rsidP="0029610D">
            <w:pPr>
              <w:suppressAutoHyphens/>
              <w:rPr>
                <w:rStyle w:val="DefaultParagraphFont"/>
                <w:rFonts w:eastAsia="Calibri"/>
                <w:bCs/>
                <w:sz w:val="24"/>
                <w:szCs w:val="24"/>
                <w:lang w:val="en-US" w:eastAsia="ar-SA" w:bidi="ar-SA"/>
              </w:rPr>
            </w:pPr>
          </w:p>
        </w:tc>
      </w:tr>
    </w:tbl>
    <w:p w:rsidR="003F5DF8" w:rsidP="003F5DF8">
      <w:pPr>
        <w:pStyle w:val="CommentText"/>
        <w:jc w:val="center"/>
        <w:rPr>
          <w:b/>
          <w:u w:val="single"/>
        </w:rPr>
      </w:pPr>
    </w:p>
    <w:p w:rsidR="003A4466">
      <w:pPr>
        <w:tabs>
          <w:tab w:val="left" w:pos="4320"/>
        </w:tabs>
        <w:rPr>
          <w:b/>
          <w:szCs w:val="20"/>
          <w:u w:val="single"/>
        </w:rPr>
      </w:pPr>
    </w:p>
    <w:sectPr w:rsidSect="00EC7D8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1035282"/>
      <w:docPartObj>
        <w:docPartGallery w:val="Page Numbers (Bottom of Page)"/>
        <w:docPartUnique/>
      </w:docPartObj>
    </w:sdtPr>
    <w:sdtEndPr>
      <w:rPr>
        <w:noProof/>
      </w:rPr>
    </w:sdtEndPr>
    <w:sdtContent>
      <w:p w:rsidR="00EC7D80">
        <w:pPr>
          <w:pStyle w:val="Footer"/>
          <w:jc w:val="center"/>
        </w:pPr>
        <w:r>
          <w:fldChar w:fldCharType="begin"/>
        </w:r>
        <w:r>
          <w:instrText xml:space="preserve"> PAGE   \* MERGEFORMAT </w:instrText>
        </w:r>
        <w:r>
          <w:fldChar w:fldCharType="separate"/>
        </w:r>
        <w:r w:rsidR="005A5A26">
          <w:rPr>
            <w:noProof/>
          </w:rPr>
          <w:t>8</w:t>
        </w:r>
        <w:r>
          <w:rPr>
            <w:noProof/>
          </w:rPr>
          <w:fldChar w:fldCharType="end"/>
        </w:r>
      </w:p>
    </w:sdtContent>
  </w:sdt>
  <w:p w:rsidR="00EC7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D80">
    <w:pPr>
      <w:pStyle w:val="Footer"/>
      <w:jc w:val="center"/>
    </w:pPr>
  </w:p>
  <w:p w:rsidR="00EC7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55C3">
      <w:r>
        <w:separator/>
      </w:r>
    </w:p>
  </w:footnote>
  <w:footnote w:type="continuationSeparator" w:id="1">
    <w:p w:rsidR="007A55C3">
      <w:r>
        <w:continuationSeparator/>
      </w:r>
    </w:p>
  </w:footnote>
  <w:footnote w:id="2">
    <w:p w:rsidR="005E399A">
      <w:pPr>
        <w:pStyle w:val="FootnoteText"/>
      </w:pPr>
      <w:r>
        <w:rPr>
          <w:rStyle w:val="FootnoteReference"/>
        </w:rPr>
        <w:footnoteRef/>
      </w:r>
      <w:r>
        <w:t xml:space="preserve"> “PALMco” refers to </w:t>
      </w:r>
      <w:r w:rsidRPr="00A5772F">
        <w:t>PALMco Power OH, LLC dba Indra Energy and PALMco Energy OH, LLC dba Indra Energy</w:t>
      </w:r>
      <w:r>
        <w:t>.</w:t>
      </w:r>
    </w:p>
  </w:footnote>
  <w:footnote w:id="3">
    <w:p w:rsidR="00F2456F">
      <w:pPr>
        <w:pStyle w:val="FootnoteText"/>
      </w:pPr>
      <w:r>
        <w:rPr>
          <w:rStyle w:val="FootnoteReference"/>
        </w:rPr>
        <w:footnoteRef/>
      </w:r>
      <w:r>
        <w:t xml:space="preserve"> Staff’s </w:t>
      </w:r>
      <w:r w:rsidR="00505EA1">
        <w:t>M</w:t>
      </w:r>
      <w:r>
        <w:t>otion at 3.</w:t>
      </w:r>
    </w:p>
  </w:footnote>
  <w:footnote w:id="4">
    <w:p w:rsidR="005A4D66" w:rsidRPr="005A4D66">
      <w:pPr>
        <w:pStyle w:val="FootnoteText"/>
      </w:pPr>
      <w:r>
        <w:rPr>
          <w:rStyle w:val="FootnoteReference"/>
        </w:rPr>
        <w:footnoteRef/>
      </w:r>
      <w:r>
        <w:t xml:space="preserve"> </w:t>
      </w:r>
      <w:r>
        <w:rPr>
          <w:i/>
          <w:iCs/>
        </w:rPr>
        <w:t>Id.</w:t>
      </w:r>
      <w:r>
        <w:t xml:space="preserve"> at 4.</w:t>
      </w:r>
    </w:p>
  </w:footnote>
  <w:footnote w:id="5">
    <w:p w:rsidR="00505EA1" w:rsidRPr="00505EA1">
      <w:pPr>
        <w:pStyle w:val="FootnoteText"/>
      </w:pPr>
      <w:r>
        <w:rPr>
          <w:rStyle w:val="FootnoteReference"/>
        </w:rPr>
        <w:footnoteRef/>
      </w:r>
      <w:r>
        <w:t xml:space="preserve"> </w:t>
      </w:r>
      <w:r>
        <w:rPr>
          <w:i/>
          <w:iCs/>
        </w:rPr>
        <w:t>Id.</w:t>
      </w:r>
      <w:r>
        <w:t xml:space="preserve"> at 5.</w:t>
      </w:r>
    </w:p>
  </w:footnote>
  <w:footnote w:id="6">
    <w:p w:rsidR="005E5314">
      <w:pPr>
        <w:pStyle w:val="FootnoteText"/>
      </w:pPr>
      <w:r>
        <w:rPr>
          <w:rStyle w:val="FootnoteReference"/>
        </w:rPr>
        <w:footnoteRef/>
      </w:r>
      <w:r>
        <w:t xml:space="preserve"> </w:t>
      </w:r>
      <w:r w:rsidR="00F2456F">
        <w:t xml:space="preserve">OCC’s </w:t>
      </w:r>
      <w:r>
        <w:t>Motion for Subpoenas at 1-2.</w:t>
      </w:r>
    </w:p>
  </w:footnote>
  <w:footnote w:id="7">
    <w:p w:rsidR="00CB3C9C" w:rsidP="00CB3C9C">
      <w:pPr>
        <w:pStyle w:val="FootnoteText"/>
      </w:pPr>
      <w:r>
        <w:rPr>
          <w:rStyle w:val="FootnoteReference"/>
        </w:rPr>
        <w:footnoteRef/>
      </w:r>
      <w:r>
        <w:t xml:space="preserve"> Stipulation and Recommendation at 2 (May 10, 2019).</w:t>
      </w:r>
    </w:p>
  </w:footnote>
  <w:footnote w:id="8">
    <w:p w:rsidR="00E546F6">
      <w:pPr>
        <w:pStyle w:val="FootnoteText"/>
      </w:pPr>
      <w:r>
        <w:rPr>
          <w:rStyle w:val="FootnoteReference"/>
        </w:rPr>
        <w:footnoteRef/>
      </w:r>
      <w:r>
        <w:t xml:space="preserve"> Stipulation at 2.  </w:t>
      </w:r>
    </w:p>
  </w:footnote>
  <w:footnote w:id="9">
    <w:p w:rsidR="005A4D66" w:rsidRPr="00DE2808" w:rsidP="005A4D66">
      <w:pPr>
        <w:pStyle w:val="FootnoteText"/>
      </w:pPr>
      <w:r>
        <w:rPr>
          <w:rStyle w:val="FootnoteReference"/>
        </w:rPr>
        <w:footnoteRef/>
      </w:r>
      <w:r>
        <w:t xml:space="preserve"> </w:t>
      </w:r>
      <w:r w:rsidRPr="00DE2808">
        <w:t>Stipulation at 5-6.</w:t>
      </w:r>
    </w:p>
  </w:footnote>
  <w:footnote w:id="10">
    <w:p w:rsidR="005A4D66">
      <w:pPr>
        <w:pStyle w:val="FootnoteText"/>
      </w:pPr>
      <w:r>
        <w:rPr>
          <w:rStyle w:val="FootnoteReference"/>
        </w:rPr>
        <w:footnoteRef/>
      </w:r>
      <w:r>
        <w:t xml:space="preserve"> Staff’s Motion at 4.</w:t>
      </w:r>
    </w:p>
  </w:footnote>
  <w:footnote w:id="11">
    <w:p w:rsidR="005A4D66" w:rsidRPr="005A4D66">
      <w:pPr>
        <w:pStyle w:val="FootnoteText"/>
        <w:rPr>
          <w:i/>
          <w:iCs/>
        </w:rPr>
      </w:pPr>
      <w:r>
        <w:rPr>
          <w:rStyle w:val="FootnoteReference"/>
        </w:rPr>
        <w:footnoteRef/>
      </w:r>
      <w:r>
        <w:t xml:space="preserve"> </w:t>
      </w:r>
      <w:r>
        <w:rPr>
          <w:i/>
          <w:iCs/>
        </w:rPr>
        <w:t>Id.</w:t>
      </w:r>
    </w:p>
  </w:footnote>
  <w:footnote w:id="12">
    <w:p w:rsidR="005A4D66" w:rsidRPr="005A4D66">
      <w:pPr>
        <w:pStyle w:val="FootnoteText"/>
        <w:rPr>
          <w:i/>
          <w:iCs/>
        </w:rPr>
      </w:pPr>
      <w:r>
        <w:rPr>
          <w:rStyle w:val="FootnoteReference"/>
        </w:rPr>
        <w:footnoteRef/>
      </w:r>
      <w:r>
        <w:t xml:space="preserve"> </w:t>
      </w:r>
      <w:r>
        <w:rPr>
          <w:i/>
          <w:iCs/>
        </w:rPr>
        <w:t>Id.</w:t>
      </w:r>
    </w:p>
  </w:footnote>
  <w:footnote w:id="13">
    <w:p w:rsidR="00441C35">
      <w:pPr>
        <w:pStyle w:val="FootnoteText"/>
      </w:pPr>
      <w:r>
        <w:rPr>
          <w:rStyle w:val="FootnoteReference"/>
        </w:rPr>
        <w:footnoteRef/>
      </w:r>
      <w:r>
        <w:t xml:space="preserve"> </w:t>
      </w:r>
      <w:r w:rsidR="00C55A5F">
        <w:t>Ohio Adm. Code 4901-1-21(A).</w:t>
      </w:r>
    </w:p>
  </w:footnote>
  <w:footnote w:id="14">
    <w:p w:rsidR="007F27C8">
      <w:pPr>
        <w:pStyle w:val="FootnoteText"/>
      </w:pPr>
      <w:r>
        <w:rPr>
          <w:rStyle w:val="FootnoteReference"/>
        </w:rPr>
        <w:footnoteRef/>
      </w:r>
      <w:r>
        <w:t xml:space="preserve"> Staff Report at 3, 17, and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12EC2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90097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5BE3D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0F238D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99482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5C7A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B408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474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F2A5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C047B2"/>
    <w:lvl w:ilvl="0">
      <w:start w:val="1"/>
      <w:numFmt w:val="bullet"/>
      <w:lvlText w:val=""/>
      <w:lvlJc w:val="left"/>
      <w:pPr>
        <w:tabs>
          <w:tab w:val="num" w:pos="360"/>
        </w:tabs>
        <w:ind w:left="360" w:hanging="360"/>
      </w:pPr>
      <w:rPr>
        <w:rFonts w:ascii="Symbol" w:hAnsi="Symbol" w:hint="default"/>
      </w:rPr>
    </w:lvl>
  </w:abstractNum>
  <w:abstractNum w:abstractNumId="10">
    <w:nsid w:val="00877632"/>
    <w:multiLevelType w:val="hybridMultilevel"/>
    <w:tmpl w:val="CCF8D6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36B4E11"/>
    <w:multiLevelType w:val="multilevel"/>
    <w:tmpl w:val="9A5C3306"/>
    <w:lvl w:ilvl="0">
      <w:start w:val="1"/>
      <w:numFmt w:val="decimal"/>
      <w:lvlText w:val="%1."/>
      <w:lvlJc w:val="left"/>
      <w:pPr>
        <w:tabs>
          <w:tab w:val="num" w:pos="1080"/>
        </w:tabs>
        <w:ind w:left="108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15365FFC"/>
    <w:multiLevelType w:val="multilevel"/>
    <w:tmpl w:val="46A6DE36"/>
    <w:lvl w:ilvl="0">
      <w:start w:val="1"/>
      <w:numFmt w:val="decimal"/>
      <w:lvlText w:val="%1."/>
      <w:lvlJc w:val="left"/>
      <w:pPr>
        <w:tabs>
          <w:tab w:val="num" w:pos="720"/>
        </w:tabs>
        <w:ind w:left="720" w:firstLine="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1A5F6AC9"/>
    <w:multiLevelType w:val="hybridMultilevel"/>
    <w:tmpl w:val="048242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A0C215E"/>
    <w:multiLevelType w:val="multilevel"/>
    <w:tmpl w:val="E90C082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3252"/>
        </w:tabs>
        <w:ind w:left="3252" w:hanging="102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5">
    <w:nsid w:val="415B1479"/>
    <w:multiLevelType w:val="hybridMultilevel"/>
    <w:tmpl w:val="E90C0822"/>
    <w:lvl w:ilvl="0">
      <w:start w:val="1"/>
      <w:numFmt w:val="decimal"/>
      <w:lvlText w:val="%1)"/>
      <w:lvlJc w:val="left"/>
      <w:pPr>
        <w:tabs>
          <w:tab w:val="num" w:pos="2544"/>
        </w:tabs>
        <w:ind w:left="2544" w:hanging="360"/>
      </w:pPr>
      <w:rPr>
        <w:rFonts w:cs="Times New Roman" w:hint="default"/>
      </w:rPr>
    </w:lvl>
    <w:lvl w:ilvl="1">
      <w:start w:val="1"/>
      <w:numFmt w:val="decimal"/>
      <w:lvlText w:val="%2."/>
      <w:lvlJc w:val="left"/>
      <w:pPr>
        <w:tabs>
          <w:tab w:val="num" w:pos="1764"/>
        </w:tabs>
        <w:ind w:left="1764" w:hanging="1020"/>
      </w:pPr>
      <w:rPr>
        <w:rFonts w:ascii="Times New Roman" w:eastAsia="Times New Roman" w:hAnsi="Times New Roman" w:cs="Times New Roman"/>
      </w:rPr>
    </w:lvl>
    <w:lvl w:ilvl="2" w:tentative="1">
      <w:start w:val="1"/>
      <w:numFmt w:val="lowerRoman"/>
      <w:lvlText w:val="%3."/>
      <w:lvlJc w:val="right"/>
      <w:pPr>
        <w:tabs>
          <w:tab w:val="num" w:pos="3984"/>
        </w:tabs>
        <w:ind w:left="3984" w:hanging="180"/>
      </w:pPr>
      <w:rPr>
        <w:rFonts w:cs="Times New Roman"/>
      </w:rPr>
    </w:lvl>
    <w:lvl w:ilvl="3" w:tentative="1">
      <w:start w:val="1"/>
      <w:numFmt w:val="decimal"/>
      <w:lvlText w:val="%4."/>
      <w:lvlJc w:val="left"/>
      <w:pPr>
        <w:tabs>
          <w:tab w:val="num" w:pos="4704"/>
        </w:tabs>
        <w:ind w:left="4704" w:hanging="360"/>
      </w:pPr>
      <w:rPr>
        <w:rFonts w:cs="Times New Roman"/>
      </w:rPr>
    </w:lvl>
    <w:lvl w:ilvl="4" w:tentative="1">
      <w:start w:val="1"/>
      <w:numFmt w:val="lowerLetter"/>
      <w:lvlText w:val="%5."/>
      <w:lvlJc w:val="left"/>
      <w:pPr>
        <w:tabs>
          <w:tab w:val="num" w:pos="5424"/>
        </w:tabs>
        <w:ind w:left="5424" w:hanging="360"/>
      </w:pPr>
      <w:rPr>
        <w:rFonts w:cs="Times New Roman"/>
      </w:rPr>
    </w:lvl>
    <w:lvl w:ilvl="5" w:tentative="1">
      <w:start w:val="1"/>
      <w:numFmt w:val="lowerRoman"/>
      <w:lvlText w:val="%6."/>
      <w:lvlJc w:val="right"/>
      <w:pPr>
        <w:tabs>
          <w:tab w:val="num" w:pos="6144"/>
        </w:tabs>
        <w:ind w:left="6144" w:hanging="180"/>
      </w:pPr>
      <w:rPr>
        <w:rFonts w:cs="Times New Roman"/>
      </w:rPr>
    </w:lvl>
    <w:lvl w:ilvl="6" w:tentative="1">
      <w:start w:val="1"/>
      <w:numFmt w:val="decimal"/>
      <w:lvlText w:val="%7."/>
      <w:lvlJc w:val="left"/>
      <w:pPr>
        <w:tabs>
          <w:tab w:val="num" w:pos="6864"/>
        </w:tabs>
        <w:ind w:left="6864" w:hanging="360"/>
      </w:pPr>
      <w:rPr>
        <w:rFonts w:cs="Times New Roman"/>
      </w:rPr>
    </w:lvl>
    <w:lvl w:ilvl="7" w:tentative="1">
      <w:start w:val="1"/>
      <w:numFmt w:val="lowerLetter"/>
      <w:lvlText w:val="%8."/>
      <w:lvlJc w:val="left"/>
      <w:pPr>
        <w:tabs>
          <w:tab w:val="num" w:pos="7584"/>
        </w:tabs>
        <w:ind w:left="7584" w:hanging="360"/>
      </w:pPr>
      <w:rPr>
        <w:rFonts w:cs="Times New Roman"/>
      </w:rPr>
    </w:lvl>
    <w:lvl w:ilvl="8" w:tentative="1">
      <w:start w:val="1"/>
      <w:numFmt w:val="lowerRoman"/>
      <w:lvlText w:val="%9."/>
      <w:lvlJc w:val="right"/>
      <w:pPr>
        <w:tabs>
          <w:tab w:val="num" w:pos="8304"/>
        </w:tabs>
        <w:ind w:left="8304" w:hanging="180"/>
      </w:pPr>
      <w:rPr>
        <w:rFonts w:cs="Times New Roman"/>
      </w:rPr>
    </w:lvl>
  </w:abstractNum>
  <w:abstractNum w:abstractNumId="16">
    <w:nsid w:val="42EF0743"/>
    <w:multiLevelType w:val="hybridMultilevel"/>
    <w:tmpl w:val="C5DAE918"/>
    <w:lvl w:ilvl="0">
      <w:start w:val="1"/>
      <w:numFmt w:val="decimal"/>
      <w:lvlText w:val="%1."/>
      <w:lvlJc w:val="left"/>
      <w:pPr>
        <w:tabs>
          <w:tab w:val="num" w:pos="2700"/>
        </w:tabs>
        <w:ind w:left="2700" w:hanging="1020"/>
      </w:pPr>
      <w:rPr>
        <w:rFonts w:cs="Times New Roman" w:hint="default"/>
      </w:rPr>
    </w:lvl>
    <w:lvl w:ilvl="1" w:tentative="1">
      <w:start w:val="1"/>
      <w:numFmt w:val="lowerLetter"/>
      <w:lvlText w:val="%2."/>
      <w:lvlJc w:val="left"/>
      <w:pPr>
        <w:tabs>
          <w:tab w:val="num" w:pos="2760"/>
        </w:tabs>
        <w:ind w:left="2760" w:hanging="360"/>
      </w:pPr>
      <w:rPr>
        <w:rFonts w:cs="Times New Roman"/>
      </w:rPr>
    </w:lvl>
    <w:lvl w:ilvl="2" w:tentative="1">
      <w:start w:val="1"/>
      <w:numFmt w:val="lowerRoman"/>
      <w:lvlText w:val="%3."/>
      <w:lvlJc w:val="right"/>
      <w:pPr>
        <w:tabs>
          <w:tab w:val="num" w:pos="3480"/>
        </w:tabs>
        <w:ind w:left="3480" w:hanging="180"/>
      </w:pPr>
      <w:rPr>
        <w:rFonts w:cs="Times New Roman"/>
      </w:rPr>
    </w:lvl>
    <w:lvl w:ilvl="3" w:tentative="1">
      <w:start w:val="1"/>
      <w:numFmt w:val="decimal"/>
      <w:lvlText w:val="%4."/>
      <w:lvlJc w:val="left"/>
      <w:pPr>
        <w:tabs>
          <w:tab w:val="num" w:pos="4200"/>
        </w:tabs>
        <w:ind w:left="4200" w:hanging="360"/>
      </w:pPr>
      <w:rPr>
        <w:rFonts w:cs="Times New Roman"/>
      </w:rPr>
    </w:lvl>
    <w:lvl w:ilvl="4" w:tentative="1">
      <w:start w:val="1"/>
      <w:numFmt w:val="lowerLetter"/>
      <w:lvlText w:val="%5."/>
      <w:lvlJc w:val="left"/>
      <w:pPr>
        <w:tabs>
          <w:tab w:val="num" w:pos="4920"/>
        </w:tabs>
        <w:ind w:left="4920" w:hanging="360"/>
      </w:pPr>
      <w:rPr>
        <w:rFonts w:cs="Times New Roman"/>
      </w:rPr>
    </w:lvl>
    <w:lvl w:ilvl="5" w:tentative="1">
      <w:start w:val="1"/>
      <w:numFmt w:val="lowerRoman"/>
      <w:lvlText w:val="%6."/>
      <w:lvlJc w:val="right"/>
      <w:pPr>
        <w:tabs>
          <w:tab w:val="num" w:pos="5640"/>
        </w:tabs>
        <w:ind w:left="5640" w:hanging="180"/>
      </w:pPr>
      <w:rPr>
        <w:rFonts w:cs="Times New Roman"/>
      </w:rPr>
    </w:lvl>
    <w:lvl w:ilvl="6" w:tentative="1">
      <w:start w:val="1"/>
      <w:numFmt w:val="decimal"/>
      <w:lvlText w:val="%7."/>
      <w:lvlJc w:val="left"/>
      <w:pPr>
        <w:tabs>
          <w:tab w:val="num" w:pos="6360"/>
        </w:tabs>
        <w:ind w:left="6360" w:hanging="360"/>
      </w:pPr>
      <w:rPr>
        <w:rFonts w:cs="Times New Roman"/>
      </w:rPr>
    </w:lvl>
    <w:lvl w:ilvl="7" w:tentative="1">
      <w:start w:val="1"/>
      <w:numFmt w:val="lowerLetter"/>
      <w:lvlText w:val="%8."/>
      <w:lvlJc w:val="left"/>
      <w:pPr>
        <w:tabs>
          <w:tab w:val="num" w:pos="7080"/>
        </w:tabs>
        <w:ind w:left="7080" w:hanging="360"/>
      </w:pPr>
      <w:rPr>
        <w:rFonts w:cs="Times New Roman"/>
      </w:rPr>
    </w:lvl>
    <w:lvl w:ilvl="8" w:tentative="1">
      <w:start w:val="1"/>
      <w:numFmt w:val="lowerRoman"/>
      <w:lvlText w:val="%9."/>
      <w:lvlJc w:val="right"/>
      <w:pPr>
        <w:tabs>
          <w:tab w:val="num" w:pos="7800"/>
        </w:tabs>
        <w:ind w:left="7800" w:hanging="180"/>
      </w:pPr>
      <w:rPr>
        <w:rFonts w:cs="Times New Roman"/>
      </w:rPr>
    </w:lvl>
  </w:abstractNum>
  <w:abstractNum w:abstractNumId="17">
    <w:nsid w:val="44CF07F4"/>
    <w:multiLevelType w:val="hybridMultilevel"/>
    <w:tmpl w:val="7F70645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8F117FC"/>
    <w:multiLevelType w:val="hybridMultilevel"/>
    <w:tmpl w:val="9334B97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BA134D3"/>
    <w:multiLevelType w:val="hybridMultilevel"/>
    <w:tmpl w:val="BCF8F7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162E0F"/>
    <w:multiLevelType w:val="hybridMultilevel"/>
    <w:tmpl w:val="75DAA026"/>
    <w:lvl w:ilvl="0">
      <w:start w:val="2"/>
      <w:numFmt w:val="decimal"/>
      <w:lvlText w:val="%1."/>
      <w:lvlJc w:val="left"/>
      <w:pPr>
        <w:tabs>
          <w:tab w:val="num" w:pos="3696"/>
        </w:tabs>
        <w:ind w:left="3696" w:hanging="144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21">
    <w:nsid w:val="56555301"/>
    <w:multiLevelType w:val="hybridMultilevel"/>
    <w:tmpl w:val="0D283196"/>
    <w:lvl w:ilvl="0">
      <w:start w:val="1"/>
      <w:numFmt w:val="decimal"/>
      <w:lvlText w:val="%1."/>
      <w:lvlJc w:val="left"/>
      <w:pPr>
        <w:tabs>
          <w:tab w:val="num" w:pos="1272"/>
        </w:tabs>
        <w:ind w:left="1272"/>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nsid w:val="58F27E92"/>
    <w:multiLevelType w:val="hybridMultilevel"/>
    <w:tmpl w:val="942CFC0E"/>
    <w:lvl w:ilvl="0">
      <w:start w:val="1"/>
      <w:numFmt w:val="upperLetter"/>
      <w:lvlText w:val="%1."/>
      <w:lvlJc w:val="left"/>
      <w:pPr>
        <w:tabs>
          <w:tab w:val="num" w:pos="1785"/>
        </w:tabs>
        <w:ind w:left="1785" w:hanging="1065"/>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5A164567"/>
    <w:multiLevelType w:val="hybridMultilevel"/>
    <w:tmpl w:val="924AB38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4">
    <w:nsid w:val="66523536"/>
    <w:multiLevelType w:val="hybridMultilevel"/>
    <w:tmpl w:val="F1B09F8C"/>
    <w:lvl w:ilvl="0">
      <w:start w:val="1"/>
      <w:numFmt w:val="upperLetter"/>
      <w:lvlText w:val="%1."/>
      <w:lvlJc w:val="left"/>
      <w:pPr>
        <w:tabs>
          <w:tab w:val="num" w:pos="1065"/>
        </w:tabs>
        <w:ind w:left="1065" w:hanging="1065"/>
      </w:pPr>
      <w:rPr>
        <w:rFonts w:cs="Times New Roman" w:hint="default"/>
      </w:rPr>
    </w:lvl>
    <w:lvl w:ilvl="1" w:tentative="1">
      <w:start w:val="1"/>
      <w:numFmt w:val="lowerLetter"/>
      <w:lvlText w:val="%2."/>
      <w:lvlJc w:val="left"/>
      <w:pPr>
        <w:tabs>
          <w:tab w:val="num" w:pos="1704"/>
        </w:tabs>
        <w:ind w:left="1704" w:hanging="360"/>
      </w:pPr>
      <w:rPr>
        <w:rFonts w:cs="Times New Roman"/>
      </w:rPr>
    </w:lvl>
    <w:lvl w:ilvl="2" w:tentative="1">
      <w:start w:val="1"/>
      <w:numFmt w:val="lowerRoman"/>
      <w:lvlText w:val="%3."/>
      <w:lvlJc w:val="right"/>
      <w:pPr>
        <w:tabs>
          <w:tab w:val="num" w:pos="2424"/>
        </w:tabs>
        <w:ind w:left="2424" w:hanging="180"/>
      </w:pPr>
      <w:rPr>
        <w:rFonts w:cs="Times New Roman"/>
      </w:rPr>
    </w:lvl>
    <w:lvl w:ilvl="3" w:tentative="1">
      <w:start w:val="1"/>
      <w:numFmt w:val="decimal"/>
      <w:lvlText w:val="%4."/>
      <w:lvlJc w:val="left"/>
      <w:pPr>
        <w:tabs>
          <w:tab w:val="num" w:pos="3144"/>
        </w:tabs>
        <w:ind w:left="3144" w:hanging="360"/>
      </w:pPr>
      <w:rPr>
        <w:rFonts w:cs="Times New Roman"/>
      </w:rPr>
    </w:lvl>
    <w:lvl w:ilvl="4" w:tentative="1">
      <w:start w:val="1"/>
      <w:numFmt w:val="lowerLetter"/>
      <w:lvlText w:val="%5."/>
      <w:lvlJc w:val="left"/>
      <w:pPr>
        <w:tabs>
          <w:tab w:val="num" w:pos="3864"/>
        </w:tabs>
        <w:ind w:left="3864" w:hanging="360"/>
      </w:pPr>
      <w:rPr>
        <w:rFonts w:cs="Times New Roman"/>
      </w:rPr>
    </w:lvl>
    <w:lvl w:ilvl="5" w:tentative="1">
      <w:start w:val="1"/>
      <w:numFmt w:val="lowerRoman"/>
      <w:lvlText w:val="%6."/>
      <w:lvlJc w:val="right"/>
      <w:pPr>
        <w:tabs>
          <w:tab w:val="num" w:pos="4584"/>
        </w:tabs>
        <w:ind w:left="4584" w:hanging="180"/>
      </w:pPr>
      <w:rPr>
        <w:rFonts w:cs="Times New Roman"/>
      </w:rPr>
    </w:lvl>
    <w:lvl w:ilvl="6" w:tentative="1">
      <w:start w:val="1"/>
      <w:numFmt w:val="decimal"/>
      <w:lvlText w:val="%7."/>
      <w:lvlJc w:val="left"/>
      <w:pPr>
        <w:tabs>
          <w:tab w:val="num" w:pos="5304"/>
        </w:tabs>
        <w:ind w:left="5304" w:hanging="360"/>
      </w:pPr>
      <w:rPr>
        <w:rFonts w:cs="Times New Roman"/>
      </w:rPr>
    </w:lvl>
    <w:lvl w:ilvl="7" w:tentative="1">
      <w:start w:val="1"/>
      <w:numFmt w:val="lowerLetter"/>
      <w:lvlText w:val="%8."/>
      <w:lvlJc w:val="left"/>
      <w:pPr>
        <w:tabs>
          <w:tab w:val="num" w:pos="6024"/>
        </w:tabs>
        <w:ind w:left="6024" w:hanging="360"/>
      </w:pPr>
      <w:rPr>
        <w:rFonts w:cs="Times New Roman"/>
      </w:rPr>
    </w:lvl>
    <w:lvl w:ilvl="8" w:tentative="1">
      <w:start w:val="1"/>
      <w:numFmt w:val="lowerRoman"/>
      <w:lvlText w:val="%9."/>
      <w:lvlJc w:val="right"/>
      <w:pPr>
        <w:tabs>
          <w:tab w:val="num" w:pos="6744"/>
        </w:tabs>
        <w:ind w:left="6744" w:hanging="180"/>
      </w:pPr>
      <w:rPr>
        <w:rFonts w:cs="Times New Roman"/>
      </w:rPr>
    </w:lvl>
  </w:abstractNum>
  <w:abstractNum w:abstractNumId="25">
    <w:nsid w:val="6AB029AD"/>
    <w:multiLevelType w:val="hybridMultilevel"/>
    <w:tmpl w:val="1AA0C510"/>
    <w:lvl w:ilvl="0">
      <w:start w:val="2"/>
      <w:numFmt w:val="upperRoman"/>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722B35A1"/>
    <w:multiLevelType w:val="hybridMultilevel"/>
    <w:tmpl w:val="2716D08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F28799D"/>
    <w:multiLevelType w:val="multilevel"/>
    <w:tmpl w:val="475ADE7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23"/>
  </w:num>
  <w:num w:numId="2">
    <w:abstractNumId w:val="21"/>
  </w:num>
  <w:num w:numId="3">
    <w:abstractNumId w:val="27"/>
  </w:num>
  <w:num w:numId="4">
    <w:abstractNumId w:val="11"/>
  </w:num>
  <w:num w:numId="5">
    <w:abstractNumId w:val="12"/>
  </w:num>
  <w:num w:numId="6">
    <w:abstractNumId w:val="26"/>
  </w:num>
  <w:num w:numId="7">
    <w:abstractNumId w:val="15"/>
  </w:num>
  <w:num w:numId="8">
    <w:abstractNumId w:val="24"/>
  </w:num>
  <w:num w:numId="9">
    <w:abstractNumId w:val="14"/>
  </w:num>
  <w:num w:numId="10">
    <w:abstractNumId w:val="25"/>
  </w:num>
  <w:num w:numId="11">
    <w:abstractNumId w:val="22"/>
  </w:num>
  <w:num w:numId="12">
    <w:abstractNumId w:val="16"/>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 w:numId="26">
    <w:abstractNumId w:val="19"/>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80"/>
    <w:rPr>
      <w:sz w:val="24"/>
      <w:szCs w:val="24"/>
    </w:rPr>
  </w:style>
  <w:style w:type="paragraph" w:styleId="Heading1">
    <w:name w:val="heading 1"/>
    <w:basedOn w:val="Normal"/>
    <w:next w:val="Normal"/>
    <w:link w:val="Heading1Char"/>
    <w:autoRedefine/>
    <w:uiPriority w:val="99"/>
    <w:qFormat/>
    <w:rsid w:val="00266B1C"/>
    <w:pPr>
      <w:keepNext/>
      <w:spacing w:before="240"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rsid w:val="00B76F21"/>
    <w:pPr>
      <w:keepNext/>
      <w:spacing w:after="240"/>
      <w:ind w:left="1440" w:hanging="720"/>
      <w:outlineLvl w:val="1"/>
    </w:pPr>
    <w:rPr>
      <w:rFonts w:ascii="Times New Roman Bold" w:eastAsia="Times New Roman" w:hAnsi="Times New Roman Bold"/>
      <w:bCs/>
      <w:szCs w:val="20"/>
    </w:rPr>
  </w:style>
  <w:style w:type="paragraph" w:styleId="Heading3">
    <w:name w:val="heading 3"/>
    <w:basedOn w:val="Normal"/>
    <w:next w:val="Normal"/>
    <w:link w:val="Heading3Char"/>
    <w:autoRedefine/>
    <w:uiPriority w:val="99"/>
    <w:qFormat/>
    <w:rsid w:val="0098162F"/>
    <w:pPr>
      <w:keepNext/>
      <w:tabs>
        <w:tab w:val="left" w:pos="0"/>
      </w:tabs>
      <w:spacing w:after="240"/>
      <w:ind w:left="2160" w:right="72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right="720" w:hanging="720"/>
      <w:outlineLvl w:val="3"/>
    </w:pPr>
    <w:rPr>
      <w:rFonts w:ascii="Times New Roman Bold" w:eastAsia="Times New Roman" w:hAnsi="Times New Roman Bold"/>
      <w:b/>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6B1C"/>
    <w:rPr>
      <w:rFonts w:ascii="Times New Roman Bold" w:hAnsi="Times New Roman Bold"/>
      <w:b/>
      <w:caps/>
      <w:kern w:val="32"/>
      <w:sz w:val="24"/>
    </w:rPr>
  </w:style>
  <w:style w:type="character" w:customStyle="1" w:styleId="Heading2Char">
    <w:name w:val="Heading 2 Char"/>
    <w:link w:val="Heading2"/>
    <w:uiPriority w:val="99"/>
    <w:locked/>
    <w:rsid w:val="00B76F21"/>
    <w:rPr>
      <w:rFonts w:ascii="Times New Roman Bold" w:eastAsia="Times New Roman" w:hAnsi="Times New Roman Bold"/>
      <w:bCs/>
      <w:sz w:val="24"/>
    </w:rPr>
  </w:style>
  <w:style w:type="character" w:customStyle="1" w:styleId="Heading3Char">
    <w:name w:val="Heading 3 Char"/>
    <w:link w:val="Heading3"/>
    <w:uiPriority w:val="99"/>
    <w:locked/>
    <w:rsid w:val="0098162F"/>
    <w:rPr>
      <w:rFonts w:ascii="Times New Roman Bold" w:hAnsi="Times New Roman Bold"/>
      <w:b/>
      <w:sz w:val="24"/>
    </w:rPr>
  </w:style>
  <w:style w:type="character" w:customStyle="1" w:styleId="Heading4Char">
    <w:name w:val="Heading 4 Char"/>
    <w:link w:val="Heading4"/>
    <w:uiPriority w:val="99"/>
    <w:locked/>
    <w:rPr>
      <w:rFonts w:ascii="Times New Roman Bold" w:hAnsi="Times New Roman Bold" w:cs="Times New Roman"/>
      <w:b/>
      <w:sz w:val="20"/>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qFormat/>
    <w:rsid w:val="0098162F"/>
    <w:pPr>
      <w:tabs>
        <w:tab w:val="decimal" w:leader="dot" w:pos="8640"/>
      </w:tabs>
      <w:spacing w:after="240"/>
      <w:ind w:left="1440" w:hanging="720"/>
    </w:pPr>
    <w:rPr>
      <w:rFonts w:eastAsia="Times New Roman"/>
    </w:rPr>
  </w:style>
  <w:style w:type="paragraph" w:styleId="TOC1">
    <w:name w:val="toc 1"/>
    <w:basedOn w:val="Normal"/>
    <w:next w:val="Normal"/>
    <w:autoRedefine/>
    <w:uiPriority w:val="39"/>
    <w:qFormat/>
    <w:rsid w:val="0098162F"/>
    <w:pPr>
      <w:tabs>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bCs/>
    </w:rPr>
  </w:style>
  <w:style w:type="paragraph" w:customStyle="1" w:styleId="WW-BodyTextIndent3">
    <w:name w:val="WW-Body Text Indent 3"/>
    <w:basedOn w:val="Normal"/>
    <w:uiPriority w:val="99"/>
    <w:pPr>
      <w:suppressAutoHyphens/>
      <w:spacing w:line="480" w:lineRule="atLeast"/>
      <w:ind w:firstLine="720"/>
    </w:pPr>
    <w:rPr>
      <w:rFonts w:eastAsia="Times New Roman"/>
      <w:szCs w:val="20"/>
      <w:lang w:eastAsia="ar-SA"/>
    </w:rPr>
  </w:style>
  <w:style w:type="character" w:customStyle="1" w:styleId="caps">
    <w:name w:val="caps"/>
    <w:uiPriority w:val="99"/>
  </w:style>
  <w:style w:type="paragraph" w:customStyle="1" w:styleId="ShortReturnAddress">
    <w:name w:val="Short Return Address"/>
    <w:basedOn w:val="Normal"/>
    <w:rPr>
      <w:rFonts w:eastAsia="Times New Roman"/>
      <w:szCs w:val="20"/>
    </w:rPr>
  </w:style>
  <w:style w:type="character" w:customStyle="1" w:styleId="FootnoteTextChar">
    <w:name w:val="Footnote Text Char"/>
    <w:aliases w:val="ALTS FOOTNOTE Char,FOOTNOTE Char,Footnote Text Char Char4 Char Char,Footnote Text Char1 Char Char Char Char Char,Footnote Text Char4 Char Char,Footnote Text Char4 Char1 Char Char Char,Footnote text Char,fn Char"/>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 Char4 Char1 Char Char Char1,Footnote Text Char2 Char1,Footnote Text Char4 Char1 Char Char Char1,Footnote Text Char5 Char1 Char Char Char Char Char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uiPriority w:val="99"/>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3"/>
    <w:autoRedefine/>
    <w:rsid w:val="00EC7D80"/>
    <w:pPr>
      <w:spacing w:after="120"/>
    </w:pPr>
    <w:rPr>
      <w:rFonts w:eastAsia="Times New Roman"/>
      <w:color w:val="000000"/>
      <w:sz w:val="20"/>
      <w:szCs w:val="19"/>
      <w:shd w:val="clear" w:color="auto" w:fill="FFFFFF"/>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semiHidden/>
    <w:locked/>
    <w:rPr>
      <w:rFonts w:cs="Times New Roman"/>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ink w:val="FootnoteText"/>
    <w:locked/>
    <w:rsid w:val="00EC7D80"/>
    <w:rPr>
      <w:rFonts w:eastAsia="Times New Roman"/>
      <w:color w:val="000000"/>
      <w:szCs w:val="19"/>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link w:val="CommentText"/>
    <w:uiPriority w:val="99"/>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NECG) Footnote Reference,Appel note de bas de p,Style 12,Style 124,Style 13,Style 3,fr,o"/>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pPr>
      <w:ind w:left="1440" w:right="720"/>
    </w:pPr>
    <w:rPr>
      <w:rFonts w:eastAsia="Times New Roman"/>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link w:val="EndnoteText"/>
    <w:uiPriority w:val="99"/>
    <w:locked/>
    <w:rPr>
      <w:rFonts w:eastAsia="Times New Roman" w:cs="Times New Roman"/>
    </w:rPr>
  </w:style>
  <w:style w:type="character" w:styleId="EndnoteReference">
    <w:name w:val="endnote reference"/>
    <w:uiPriority w:val="99"/>
    <w:rPr>
      <w:rFonts w:cs="Times New Roman"/>
      <w:vertAlign w:val="superscript"/>
    </w:rPr>
  </w:style>
  <w:style w:type="character" w:styleId="FollowedHyperlink">
    <w:name w:val="FollowedHyperlink"/>
    <w:uiPriority w:val="99"/>
    <w:rPr>
      <w:rFonts w:cs="Times New Roman"/>
      <w:color w:val="800080"/>
      <w:u w:val="single"/>
    </w:rPr>
  </w:style>
  <w:style w:type="paragraph" w:customStyle="1" w:styleId="indexheadin">
    <w:name w:val="index headin"/>
    <w:uiPriority w:val="99"/>
    <w:pPr>
      <w:widowControl w:val="0"/>
      <w:tabs>
        <w:tab w:val="left" w:pos="-720"/>
      </w:tabs>
      <w:suppressAutoHyphens/>
    </w:pPr>
    <w:rPr>
      <w:rFonts w:ascii="Courier New" w:eastAsia="Times New Roman" w:hAnsi="Courier New"/>
      <w:b/>
      <w:sz w:val="24"/>
    </w:rPr>
  </w:style>
  <w:style w:type="paragraph" w:customStyle="1" w:styleId="rulea">
    <w:name w:val="rulea"/>
    <w:basedOn w:val="Normal"/>
    <w:uiPriority w:val="99"/>
    <w:pPr>
      <w:spacing w:before="100" w:beforeAutospacing="1" w:after="100" w:afterAutospacing="1"/>
    </w:pPr>
    <w:rPr>
      <w:rFonts w:eastAsia="Times New Roman"/>
    </w:rPr>
  </w:style>
  <w:style w:type="paragraph" w:customStyle="1" w:styleId="rule1">
    <w:name w:val="rule1"/>
    <w:basedOn w:val="Normal"/>
    <w:uiPriority w:val="99"/>
    <w:pPr>
      <w:spacing w:before="100" w:beforeAutospacing="1" w:after="100" w:afterAutospacing="1"/>
    </w:pPr>
    <w:rPr>
      <w:rFonts w:eastAsia="Times New Roman"/>
    </w:rPr>
  </w:style>
  <w:style w:type="paragraph" w:customStyle="1" w:styleId="ruleheading">
    <w:name w:val="ruleheading"/>
    <w:basedOn w:val="Normal"/>
    <w:uiPriority w:val="99"/>
    <w:pPr>
      <w:spacing w:before="100" w:beforeAutospacing="1" w:after="100" w:afterAutospacing="1"/>
    </w:pPr>
    <w:rPr>
      <w:rFonts w:eastAsia="Times New Roman"/>
    </w:rPr>
  </w:style>
  <w:style w:type="paragraph" w:customStyle="1" w:styleId="rulesma">
    <w:name w:val="rulesma"/>
    <w:basedOn w:val="Normal"/>
    <w:uiPriority w:val="99"/>
    <w:pPr>
      <w:spacing w:before="100" w:beforeAutospacing="1" w:after="100" w:afterAutospacing="1"/>
    </w:pPr>
    <w:rPr>
      <w:rFonts w:eastAsia="Times New Roman"/>
    </w:rPr>
  </w:style>
  <w:style w:type="paragraph" w:styleId="TOC3">
    <w:name w:val="toc 3"/>
    <w:basedOn w:val="Normal"/>
    <w:next w:val="Normal"/>
    <w:autoRedefine/>
    <w:uiPriority w:val="39"/>
    <w:qFormat/>
    <w:rsid w:val="0098162F"/>
    <w:pPr>
      <w:tabs>
        <w:tab w:val="decimal" w:leader="dot" w:pos="8640"/>
      </w:tabs>
      <w:spacing w:after="240"/>
      <w:ind w:left="2160" w:hanging="720"/>
    </w:pPr>
    <w:rPr>
      <w:rFonts w:eastAsia="Times New Roman"/>
    </w:rPr>
  </w:style>
  <w:style w:type="character" w:customStyle="1" w:styleId="pnotesssh">
    <w:name w:val="pnote ss_sh"/>
    <w:uiPriority w:val="99"/>
  </w:style>
  <w:style w:type="character" w:customStyle="1" w:styleId="sh1937232082pnotesssh">
    <w:name w:val="sh_1937232082 pnote ss_sh"/>
    <w:uiPriority w:val="99"/>
  </w:style>
  <w:style w:type="character" w:customStyle="1" w:styleId="apple-converted-space">
    <w:name w:val="apple-converted-space"/>
    <w:uiPriority w:val="99"/>
  </w:style>
  <w:style w:type="paragraph" w:styleId="TOC4">
    <w:name w:val="toc 4"/>
    <w:basedOn w:val="Normal"/>
    <w:next w:val="Normal"/>
    <w:autoRedefine/>
    <w:uiPriority w:val="99"/>
    <w:locked/>
    <w:pPr>
      <w:tabs>
        <w:tab w:val="left" w:pos="720"/>
        <w:tab w:val="decimal" w:leader="dot" w:pos="8640"/>
      </w:tabs>
      <w:spacing w:after="240"/>
      <w:ind w:left="2880" w:hanging="720"/>
    </w:pPr>
  </w:style>
  <w:style w:type="paragraph" w:styleId="Date">
    <w:name w:val="Date"/>
    <w:basedOn w:val="Normal"/>
    <w:next w:val="Normal"/>
    <w:link w:val="DateChar"/>
    <w:locked/>
    <w:rsid w:val="003F5DF8"/>
    <w:rPr>
      <w:rFonts w:eastAsia="Times New Roman"/>
      <w:szCs w:val="20"/>
    </w:rPr>
  </w:style>
  <w:style w:type="character" w:customStyle="1" w:styleId="DateChar">
    <w:name w:val="Date Char"/>
    <w:basedOn w:val="DefaultParagraphFont"/>
    <w:link w:val="Date"/>
    <w:rsid w:val="003F5DF8"/>
    <w:rPr>
      <w:rFonts w:eastAsia="Times New Roman"/>
      <w:sz w:val="24"/>
    </w:rPr>
  </w:style>
  <w:style w:type="paragraph" w:styleId="ListParagraph">
    <w:name w:val="List Paragraph"/>
    <w:basedOn w:val="Normal"/>
    <w:uiPriority w:val="34"/>
    <w:qFormat/>
    <w:rsid w:val="009173DC"/>
    <w:pPr>
      <w:ind w:left="720"/>
      <w:contextualSpacing/>
    </w:pPr>
  </w:style>
  <w:style w:type="character" w:customStyle="1" w:styleId="sssh">
    <w:name w:val="ss_sh"/>
    <w:basedOn w:val="DefaultParagraphFont"/>
    <w:rsid w:val="0051756A"/>
  </w:style>
  <w:style w:type="character" w:customStyle="1" w:styleId="ssit1">
    <w:name w:val="ss_it1"/>
    <w:basedOn w:val="DefaultParagraphFont"/>
    <w:rsid w:val="0051756A"/>
    <w:rPr>
      <w:i/>
      <w:iCs/>
    </w:rPr>
  </w:style>
  <w:style w:type="paragraph" w:customStyle="1" w:styleId="Default">
    <w:name w:val="Default"/>
    <w:rsid w:val="002D1740"/>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3D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MC Staff's Motion to Quash (19-957) (kwb rev) (775834).DOCX</vt:lpstr>
    </vt:vector>
  </TitlesOfParts>
  <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2019-09-19T15:35:38Z</dcterms:created>
  <dcterms:modified xsi:type="dcterms:W3CDTF">2019-09-19T15:35:38Z</dcterms:modified>
</cp:coreProperties>
</file>