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8BF8" w14:textId="77777777" w:rsidR="00DD6CFF" w:rsidRPr="00A35DB3" w:rsidRDefault="00DD6CFF" w:rsidP="00DD6CFF">
      <w:pPr>
        <w:jc w:val="center"/>
      </w:pPr>
      <w:r w:rsidRPr="00A35DB3">
        <w:t>BEFO</w:t>
      </w:r>
      <w:r w:rsidR="00740660">
        <w:t>R</w:t>
      </w:r>
      <w:r w:rsidRPr="00A35DB3">
        <w:t xml:space="preserve">E </w:t>
      </w:r>
    </w:p>
    <w:p w14:paraId="6A68B4FC" w14:textId="77777777" w:rsidR="00DD6CFF" w:rsidRPr="00A35DB3" w:rsidRDefault="00DD6CFF" w:rsidP="00542942">
      <w:pPr>
        <w:jc w:val="center"/>
      </w:pPr>
      <w:r w:rsidRPr="00A35DB3">
        <w:t>THE PUBLIC UTILITIES COMMISSION OF OHIO</w:t>
      </w:r>
    </w:p>
    <w:p w14:paraId="4DF4062E" w14:textId="77777777" w:rsidR="00DD6CFF" w:rsidRPr="00A35DB3" w:rsidRDefault="00DD6CFF" w:rsidP="00DD6CFF"/>
    <w:p w14:paraId="259DFC5D" w14:textId="77777777" w:rsidR="00DE2798" w:rsidRDefault="00DE2798" w:rsidP="00DD6CFF">
      <w:r>
        <w:t xml:space="preserve">In the Matter of the Complaint of </w:t>
      </w:r>
      <w:r>
        <w:tab/>
      </w:r>
      <w:r>
        <w:tab/>
        <w:t>)</w:t>
      </w:r>
    </w:p>
    <w:p w14:paraId="38E7339C" w14:textId="77777777" w:rsidR="00462E6D" w:rsidRDefault="00DE2798" w:rsidP="00DD6CFF">
      <w:r>
        <w:t>Jeffrey Pitzer</w:t>
      </w:r>
      <w:r>
        <w:tab/>
      </w:r>
      <w:r>
        <w:tab/>
      </w:r>
      <w:r w:rsidR="00462E6D">
        <w:tab/>
      </w:r>
      <w:r w:rsidR="00462E6D">
        <w:tab/>
      </w:r>
      <w:r w:rsidR="00462E6D">
        <w:tab/>
        <w:t>)</w:t>
      </w:r>
    </w:p>
    <w:p w14:paraId="18B3A783" w14:textId="77777777" w:rsidR="00DD6CFF" w:rsidRPr="00A35DB3" w:rsidRDefault="00E40C13" w:rsidP="00DD6CFF">
      <w:r>
        <w:tab/>
      </w:r>
      <w:r w:rsidR="00DD6CFF" w:rsidRPr="00A35DB3">
        <w:tab/>
      </w:r>
      <w:r w:rsidR="00DD6CFF" w:rsidRPr="00A35DB3">
        <w:tab/>
      </w:r>
      <w:r w:rsidR="00462E6D">
        <w:tab/>
      </w:r>
      <w:r w:rsidR="00462E6D">
        <w:tab/>
      </w:r>
      <w:r w:rsidR="00462E6D">
        <w:tab/>
      </w:r>
      <w:r w:rsidR="00DD6CFF" w:rsidRPr="00A35DB3">
        <w:t>)</w:t>
      </w:r>
    </w:p>
    <w:p w14:paraId="3F2E1D23" w14:textId="77777777" w:rsidR="00DD6CFF" w:rsidRPr="00A35DB3" w:rsidRDefault="00DD6CFF" w:rsidP="00DD6CFF">
      <w:r w:rsidRPr="00A35DB3">
        <w:t xml:space="preserve">           Complainant,</w:t>
      </w:r>
      <w:r w:rsidRPr="00A35DB3">
        <w:tab/>
      </w:r>
      <w:r w:rsidRPr="00A35DB3">
        <w:tab/>
      </w:r>
      <w:r w:rsidRPr="00A35DB3">
        <w:tab/>
      </w:r>
      <w:r w:rsidRPr="00A35DB3">
        <w:tab/>
        <w:t>)</w:t>
      </w:r>
      <w:r w:rsidRPr="00A35DB3">
        <w:tab/>
        <w:t xml:space="preserve">Case No. </w:t>
      </w:r>
      <w:r w:rsidR="00951619">
        <w:t>15-298-GE-C</w:t>
      </w:r>
      <w:r w:rsidR="00620FBF">
        <w:t>SS</w:t>
      </w:r>
    </w:p>
    <w:p w14:paraId="6720ABAB" w14:textId="77777777" w:rsidR="00DD6CFF" w:rsidRPr="00A35DB3" w:rsidRDefault="00DD6CFF" w:rsidP="00DD6CFF">
      <w:r w:rsidRPr="00A35DB3">
        <w:tab/>
      </w:r>
      <w:r w:rsidRPr="00A35DB3">
        <w:tab/>
      </w:r>
      <w:r w:rsidRPr="00A35DB3">
        <w:tab/>
      </w:r>
      <w:r w:rsidRPr="00A35DB3">
        <w:tab/>
      </w:r>
      <w:r w:rsidRPr="00A35DB3">
        <w:tab/>
      </w:r>
      <w:r w:rsidRPr="00A35DB3">
        <w:tab/>
        <w:t>)</w:t>
      </w:r>
    </w:p>
    <w:p w14:paraId="6B66A4CC" w14:textId="77777777" w:rsidR="00DD6CFF" w:rsidRPr="00A35DB3" w:rsidRDefault="00DD6CFF" w:rsidP="00DD6CFF">
      <w:r w:rsidRPr="00A35DB3">
        <w:tab/>
        <w:t>v.</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14:paraId="5BCD129B" w14:textId="77777777" w:rsidR="00DD6CFF" w:rsidRPr="00A35DB3" w:rsidRDefault="00DD6CFF" w:rsidP="00DD6CFF">
      <w:r w:rsidRPr="00A35DB3">
        <w:t>Duke Energy Ohio</w:t>
      </w:r>
      <w:r w:rsidR="00A61F49">
        <w:t>, Inc.</w:t>
      </w:r>
      <w:r w:rsidRPr="00A35DB3">
        <w:tab/>
      </w:r>
      <w:r w:rsidRPr="00A35DB3">
        <w:tab/>
      </w:r>
      <w:r w:rsidRPr="00A35DB3">
        <w:tab/>
        <w:t>)</w:t>
      </w:r>
    </w:p>
    <w:p w14:paraId="654F9EBF" w14:textId="77777777" w:rsidR="00DD6CFF" w:rsidRPr="00A35DB3" w:rsidRDefault="00DD6CFF" w:rsidP="00DD6CFF">
      <w:r w:rsidRPr="00A35DB3">
        <w:tab/>
      </w:r>
      <w:r w:rsidRPr="00A35DB3">
        <w:tab/>
      </w:r>
      <w:r w:rsidRPr="00A35DB3">
        <w:tab/>
      </w:r>
      <w:r w:rsidRPr="00A35DB3">
        <w:tab/>
      </w:r>
      <w:r w:rsidRPr="00A35DB3">
        <w:tab/>
      </w:r>
      <w:r w:rsidRPr="00A35DB3">
        <w:tab/>
        <w:t>)</w:t>
      </w:r>
    </w:p>
    <w:p w14:paraId="3A89E871" w14:textId="77777777" w:rsidR="00DD6CFF" w:rsidRPr="00A35DB3" w:rsidRDefault="00DD6CFF" w:rsidP="00DD6CFF">
      <w:r w:rsidRPr="00A35DB3">
        <w:tab/>
        <w:t>Respondent</w:t>
      </w:r>
      <w:r w:rsidR="00A61F49">
        <w:t>.</w:t>
      </w:r>
      <w:r w:rsidRPr="00A35DB3">
        <w:tab/>
      </w:r>
      <w:r w:rsidRPr="00A35DB3">
        <w:tab/>
      </w:r>
      <w:r w:rsidRPr="00A35DB3">
        <w:tab/>
      </w:r>
      <w:r w:rsidRPr="00A35DB3">
        <w:tab/>
        <w:t>)</w:t>
      </w:r>
    </w:p>
    <w:p w14:paraId="57A715D5" w14:textId="77777777" w:rsidR="00DD6CFF" w:rsidRPr="00A35DB3" w:rsidRDefault="00DD6CFF" w:rsidP="00DD6CFF">
      <w:pPr>
        <w:pBdr>
          <w:bottom w:val="single" w:sz="12" w:space="1" w:color="auto"/>
        </w:pBdr>
      </w:pPr>
    </w:p>
    <w:p w14:paraId="3FFD83F7" w14:textId="77777777" w:rsidR="00D804CB" w:rsidRDefault="00D804CB" w:rsidP="00D804CB"/>
    <w:p w14:paraId="7BBC70AB" w14:textId="77777777" w:rsidR="00D804CB" w:rsidRDefault="00D804CB" w:rsidP="00D804CB">
      <w:pPr>
        <w:pBdr>
          <w:bottom w:val="single" w:sz="12" w:space="1" w:color="auto"/>
        </w:pBdr>
        <w:jc w:val="center"/>
        <w:rPr>
          <w:b/>
        </w:rPr>
      </w:pPr>
      <w:r w:rsidRPr="003E6FFE">
        <w:rPr>
          <w:b/>
        </w:rPr>
        <w:t>DUKE ENERGY OHIO</w:t>
      </w:r>
      <w:r w:rsidR="00E40C13">
        <w:rPr>
          <w:b/>
        </w:rPr>
        <w:t>, INC.</w:t>
      </w:r>
      <w:r w:rsidR="00951619">
        <w:rPr>
          <w:b/>
        </w:rPr>
        <w:t>’</w:t>
      </w:r>
      <w:r w:rsidR="00C24152">
        <w:rPr>
          <w:b/>
        </w:rPr>
        <w:t>S</w:t>
      </w:r>
      <w:r w:rsidR="00951619">
        <w:rPr>
          <w:b/>
        </w:rPr>
        <w:t xml:space="preserve"> MEMORANDUM IN OPPOSITION TO</w:t>
      </w:r>
    </w:p>
    <w:p w14:paraId="073B5D71" w14:textId="77777777" w:rsidR="00951619" w:rsidRPr="003E6FFE" w:rsidRDefault="00C24152" w:rsidP="00C24152">
      <w:pPr>
        <w:pBdr>
          <w:bottom w:val="single" w:sz="12" w:space="1" w:color="auto"/>
        </w:pBdr>
        <w:jc w:val="center"/>
        <w:rPr>
          <w:b/>
        </w:rPr>
      </w:pPr>
      <w:r>
        <w:rPr>
          <w:b/>
        </w:rPr>
        <w:t>COMPLAINANT</w:t>
      </w:r>
      <w:r w:rsidR="000F10B0">
        <w:rPr>
          <w:b/>
        </w:rPr>
        <w:t xml:space="preserve"> JEFFREY PITZER</w:t>
      </w:r>
      <w:r>
        <w:rPr>
          <w:b/>
        </w:rPr>
        <w:t xml:space="preserve">’S MOTION TO </w:t>
      </w:r>
      <w:r w:rsidR="002164BE">
        <w:rPr>
          <w:b/>
        </w:rPr>
        <w:t>AMEND COMPLAINT</w:t>
      </w:r>
    </w:p>
    <w:p w14:paraId="0B7C5B58" w14:textId="77777777" w:rsidR="00D804CB" w:rsidRDefault="00D804CB" w:rsidP="00D804CB">
      <w:pPr>
        <w:pBdr>
          <w:bottom w:val="single" w:sz="12" w:space="1" w:color="auto"/>
        </w:pBdr>
        <w:jc w:val="center"/>
      </w:pPr>
    </w:p>
    <w:p w14:paraId="3CC907A6" w14:textId="77777777" w:rsidR="00D804CB" w:rsidRDefault="00D804CB" w:rsidP="00D804CB"/>
    <w:p w14:paraId="07374C7E" w14:textId="77777777" w:rsidR="00421817" w:rsidRPr="00421817" w:rsidRDefault="00421817" w:rsidP="00B537A0">
      <w:pPr>
        <w:pStyle w:val="ListParagraph"/>
        <w:numPr>
          <w:ilvl w:val="0"/>
          <w:numId w:val="11"/>
        </w:numPr>
        <w:spacing w:line="480" w:lineRule="auto"/>
        <w:ind w:left="720"/>
        <w:jc w:val="both"/>
        <w:rPr>
          <w:b/>
        </w:rPr>
      </w:pPr>
      <w:r w:rsidRPr="00421817">
        <w:rPr>
          <w:b/>
        </w:rPr>
        <w:t>Introduction</w:t>
      </w:r>
    </w:p>
    <w:p w14:paraId="6F7E2170" w14:textId="77777777" w:rsidR="00421817" w:rsidRDefault="002164BE" w:rsidP="00542942">
      <w:pPr>
        <w:spacing w:line="480" w:lineRule="auto"/>
        <w:ind w:firstLine="720"/>
        <w:jc w:val="both"/>
      </w:pPr>
      <w:r>
        <w:t>T</w:t>
      </w:r>
      <w:r w:rsidR="00BC396F">
        <w:t>he Public Utilities Co</w:t>
      </w:r>
      <w:r>
        <w:t xml:space="preserve">mmission of Ohio (“Commission”) should deny Complainant’s Motion to Amend Complaint </w:t>
      </w:r>
      <w:r w:rsidR="001F285C">
        <w:t xml:space="preserve">under OAC 4901-1-06 </w:t>
      </w:r>
      <w:r>
        <w:t xml:space="preserve">because (a) Complainant </w:t>
      </w:r>
      <w:r w:rsidR="00774A36">
        <w:t xml:space="preserve">does not attempt to </w:t>
      </w:r>
      <w:r>
        <w:t xml:space="preserve">explain why an amendment is necessary </w:t>
      </w:r>
      <w:r w:rsidR="00774A36">
        <w:t xml:space="preserve">or appropriate </w:t>
      </w:r>
      <w:r>
        <w:t xml:space="preserve">at this late date; (b) Complainant and his attorney did not discover any “new” facts as a result of discovery in the case and could have included the supposed “additional administrative causes of action” in the original Complaint filed on February 11, 2015; and (c) Complainant did not file the present motion until more than five weeks </w:t>
      </w:r>
      <w:r w:rsidR="00774A36">
        <w:t xml:space="preserve">after </w:t>
      </w:r>
      <w:r w:rsidR="00C24152">
        <w:t xml:space="preserve">Duke Energy Ohio, Inc. (“Duke Energy Ohio” or “Company”) </w:t>
      </w:r>
      <w:r>
        <w:t xml:space="preserve">deposed the current and former Complainant and their brother, and less than six weeks before the hearing is scheduled to start on December 2, 2015.  </w:t>
      </w:r>
    </w:p>
    <w:p w14:paraId="54D5B135" w14:textId="77777777" w:rsidR="00421817" w:rsidRPr="00774A36" w:rsidRDefault="00774A36" w:rsidP="00B537A0">
      <w:pPr>
        <w:pStyle w:val="ListParagraph"/>
        <w:numPr>
          <w:ilvl w:val="0"/>
          <w:numId w:val="11"/>
        </w:numPr>
        <w:spacing w:line="480" w:lineRule="auto"/>
        <w:ind w:left="720"/>
        <w:jc w:val="both"/>
        <w:rPr>
          <w:b/>
        </w:rPr>
      </w:pPr>
      <w:r w:rsidRPr="00774A36">
        <w:rPr>
          <w:b/>
        </w:rPr>
        <w:t>The Commission should deny Complainant’s motion.</w:t>
      </w:r>
    </w:p>
    <w:p w14:paraId="24FC3145" w14:textId="77777777" w:rsidR="00B86CBF" w:rsidRPr="00B537A0" w:rsidRDefault="00B86CBF" w:rsidP="00B537A0">
      <w:pPr>
        <w:pStyle w:val="ListParagraph"/>
        <w:numPr>
          <w:ilvl w:val="0"/>
          <w:numId w:val="12"/>
        </w:numPr>
        <w:spacing w:line="480" w:lineRule="auto"/>
        <w:ind w:left="1440" w:hanging="720"/>
        <w:jc w:val="both"/>
        <w:rPr>
          <w:u w:val="single"/>
        </w:rPr>
      </w:pPr>
      <w:r w:rsidRPr="00B537A0">
        <w:rPr>
          <w:u w:val="single"/>
        </w:rPr>
        <w:t>Procedural History</w:t>
      </w:r>
    </w:p>
    <w:p w14:paraId="79FAF6EF" w14:textId="77777777" w:rsidR="00774A36" w:rsidRDefault="00774A36" w:rsidP="00EB5CEC">
      <w:pPr>
        <w:spacing w:line="480" w:lineRule="auto"/>
        <w:ind w:firstLine="720"/>
        <w:jc w:val="both"/>
      </w:pPr>
      <w:r>
        <w:t>The original Complaint was filed on February 10, 2015.  In that Complaint, counsel for the original Complainant Gail Lykins—who still represents the current Complainant Jeffrey Pitzer—</w:t>
      </w:r>
      <w:r w:rsidR="00C3497A">
        <w:lastRenderedPageBreak/>
        <w:t xml:space="preserve">explained, </w:t>
      </w:r>
      <w:r>
        <w:t>over the course of three pages</w:t>
      </w:r>
      <w:r w:rsidR="00C3497A">
        <w:t>,</w:t>
      </w:r>
      <w:r>
        <w:t xml:space="preserve"> the facts and legal grounds for the administrative causes of action, including allegations that Duke Energy Ohio violated OAC 4901:1-18-05 and 4901:1-18-06.  Duke Energy Ohio filed its Answer on February 27, 2015, and started conducting discovery in defense of the administrative claims set forth in the Complaint</w:t>
      </w:r>
      <w:r w:rsidR="00B86CBF">
        <w:t xml:space="preserve"> and preparing for the hearing then scheduled for August 25, 2015.  </w:t>
      </w:r>
      <w:r>
        <w:t xml:space="preserve">That </w:t>
      </w:r>
      <w:r w:rsidR="001F285C">
        <w:t xml:space="preserve">process </w:t>
      </w:r>
      <w:r>
        <w:t xml:space="preserve">necessarily included propounding </w:t>
      </w:r>
      <w:r w:rsidR="001F285C">
        <w:t xml:space="preserve">detailed </w:t>
      </w:r>
      <w:r>
        <w:t xml:space="preserve">requests for admission, interrogatories and requests for production of documents on both Complainant and the Office of the Ohio Consumers’ Counsel (“OCC”), and </w:t>
      </w:r>
      <w:r w:rsidR="00374D72">
        <w:t xml:space="preserve">later </w:t>
      </w:r>
      <w:r>
        <w:t xml:space="preserve">deposing Gail Lykins (the original Complainant), Jeffrey Pitzer (the current Complainant) and their brother Jack Easterling.  </w:t>
      </w:r>
    </w:p>
    <w:p w14:paraId="2BE02AFB" w14:textId="77777777" w:rsidR="00B86CBF" w:rsidRDefault="00B86CBF" w:rsidP="00B86CBF">
      <w:pPr>
        <w:spacing w:line="480" w:lineRule="auto"/>
        <w:ind w:firstLine="720"/>
        <w:jc w:val="both"/>
      </w:pPr>
      <w:r>
        <w:t>When the OCC sought to intervene in this case</w:t>
      </w:r>
      <w:r w:rsidR="0013379F">
        <w:t xml:space="preserve"> in May 2015</w:t>
      </w:r>
      <w:r>
        <w:t>, Duke Energy Ohio highlighted the fact that the Complaint was limited to causes of action based on alleged violations of OAC 4901:1-18-05 and 4901:1-18-06 and that the OCC wanted “to expand the focus of the case beyond the narrow, relevant facts and legal issues” set forth in the Complaint.</w:t>
      </w:r>
      <w:r>
        <w:rPr>
          <w:rStyle w:val="FootnoteReference"/>
        </w:rPr>
        <w:footnoteReference w:id="1"/>
      </w:r>
      <w:r>
        <w:t xml:space="preserve">  In particular, Duke Energy Ohio</w:t>
      </w:r>
      <w:r w:rsidR="00374D72">
        <w:t xml:space="preserve"> expressly</w:t>
      </w:r>
      <w:r>
        <w:t xml:space="preserve"> noted </w:t>
      </w:r>
      <w:r w:rsidR="00374D72">
        <w:t xml:space="preserve">in its opposing memorandum </w:t>
      </w:r>
      <w:r>
        <w:t>that the OCC repeated</w:t>
      </w:r>
      <w:r w:rsidR="0013379F">
        <w:t>ly</w:t>
      </w:r>
      <w:r>
        <w:t xml:space="preserve"> referred to the “Winter </w:t>
      </w:r>
      <w:r w:rsidR="00C3497A">
        <w:t>Order</w:t>
      </w:r>
      <w:r>
        <w:t>” in</w:t>
      </w:r>
      <w:r w:rsidR="00157A1F">
        <w:t xml:space="preserve"> its motion even though the “Winter </w:t>
      </w:r>
      <w:r w:rsidR="00C3497A">
        <w:t>Order</w:t>
      </w:r>
      <w:r w:rsidR="00157A1F">
        <w:t xml:space="preserve">” </w:t>
      </w:r>
      <w:r w:rsidR="0013379F">
        <w:t xml:space="preserve">in </w:t>
      </w:r>
      <w:r>
        <w:t>effect during the 2011-2012 season</w:t>
      </w:r>
      <w:r w:rsidR="00157A1F">
        <w:t xml:space="preserve"> had </w:t>
      </w:r>
      <w:r w:rsidR="00157A1F" w:rsidRPr="00B537A0">
        <w:t>nothing whatsoever</w:t>
      </w:r>
      <w:r w:rsidR="00157A1F">
        <w:t xml:space="preserve"> to do with the subject account or the </w:t>
      </w:r>
      <w:r w:rsidR="00374D72">
        <w:t xml:space="preserve">allegations of the </w:t>
      </w:r>
      <w:r w:rsidR="00157A1F">
        <w:t>Complaint pending in this case</w:t>
      </w:r>
      <w:r>
        <w:t>.</w:t>
      </w:r>
      <w:r>
        <w:rPr>
          <w:rStyle w:val="FootnoteReference"/>
        </w:rPr>
        <w:footnoteReference w:id="2"/>
      </w:r>
      <w:r>
        <w:t xml:space="preserve">  </w:t>
      </w:r>
      <w:r w:rsidR="001F285C">
        <w:t xml:space="preserve">Complainant and his </w:t>
      </w:r>
      <w:r w:rsidR="00374D72">
        <w:t xml:space="preserve">attorney </w:t>
      </w:r>
      <w:r w:rsidR="001F285C">
        <w:t xml:space="preserve">certainly knew of the “Winter </w:t>
      </w:r>
      <w:r w:rsidR="00C3497A">
        <w:t>Order</w:t>
      </w:r>
      <w:r w:rsidR="001F285C">
        <w:t xml:space="preserve">” by late May, if not far sooner, </w:t>
      </w:r>
      <w:r w:rsidR="00374D72">
        <w:t>but never sought leave to amend the Complaint.</w:t>
      </w:r>
    </w:p>
    <w:p w14:paraId="51DDB846" w14:textId="77777777" w:rsidR="00B86CBF" w:rsidRDefault="00B86CBF" w:rsidP="00EB5CEC">
      <w:pPr>
        <w:spacing w:line="480" w:lineRule="auto"/>
        <w:ind w:firstLine="720"/>
        <w:jc w:val="both"/>
      </w:pPr>
      <w:r>
        <w:t xml:space="preserve">On June 16, 2015, Complainant moved to continue the August 25 hearing, to which Duke Energy Ohio consented.   </w:t>
      </w:r>
      <w:r w:rsidR="0013379F">
        <w:t xml:space="preserve">By Entry dated July 10, 2015, the Commission continued the hearing </w:t>
      </w:r>
      <w:r w:rsidR="0013379F">
        <w:lastRenderedPageBreak/>
        <w:t xml:space="preserve">until October 7.  On September 14, Complainant again moved to continue the hearing.  By Entry dated September 17, the Commission granted that motion and continued the hearing to December 2-3, 2015.  </w:t>
      </w:r>
      <w:r w:rsidR="00374D72">
        <w:t xml:space="preserve">Notably that continuance came one day after Duke Energy Ohio deposed the current and former Complainant and </w:t>
      </w:r>
      <w:r w:rsidR="00B537A0">
        <w:t xml:space="preserve">her </w:t>
      </w:r>
      <w:r w:rsidR="00374D72">
        <w:t xml:space="preserve">brother.  Again, Complainant still did not seek to amend the Complaint.  </w:t>
      </w:r>
    </w:p>
    <w:p w14:paraId="41F32E25" w14:textId="77777777" w:rsidR="00774A36" w:rsidRDefault="00374D72" w:rsidP="00EB5CEC">
      <w:pPr>
        <w:spacing w:line="480" w:lineRule="auto"/>
        <w:ind w:firstLine="720"/>
        <w:jc w:val="both"/>
      </w:pPr>
      <w:r>
        <w:t xml:space="preserve">Instead, Complainant waited another five weeks before seeking leave to file an Amended Complaint.  </w:t>
      </w:r>
      <w:r w:rsidR="00CF1734">
        <w:t xml:space="preserve">In his motion, </w:t>
      </w:r>
      <w:r>
        <w:t>Complainant claims to have “additional administrative causes of action which should be included in the PUCO’s determination of this matter.”</w:t>
      </w:r>
      <w:r>
        <w:rPr>
          <w:rStyle w:val="FootnoteReference"/>
        </w:rPr>
        <w:footnoteReference w:id="3"/>
      </w:r>
      <w:r>
        <w:t xml:space="preserve">  </w:t>
      </w:r>
      <w:r w:rsidR="00CF1734">
        <w:t xml:space="preserve">Upon review of the proposed Amended Complaint, the only additional cause of action included therein is one based on an alleged violation of the “Winter </w:t>
      </w:r>
      <w:r w:rsidR="00C3497A">
        <w:t>Order</w:t>
      </w:r>
      <w:r w:rsidR="00CF1734">
        <w:t>.”</w:t>
      </w:r>
      <w:r w:rsidR="00CF1734">
        <w:rPr>
          <w:rStyle w:val="FootnoteReference"/>
        </w:rPr>
        <w:footnoteReference w:id="4"/>
      </w:r>
      <w:r w:rsidR="00CF1734">
        <w:t xml:space="preserve">  As previously noted, the original Complaint already sets forth claims based on OAC 4901:1-18-05 and 4901:1-18-06.</w:t>
      </w:r>
    </w:p>
    <w:p w14:paraId="293E1DAE" w14:textId="77777777" w:rsidR="00CF1734" w:rsidRPr="00B537A0" w:rsidRDefault="00014B7D" w:rsidP="00B537A0">
      <w:pPr>
        <w:pStyle w:val="ListParagraph"/>
        <w:numPr>
          <w:ilvl w:val="0"/>
          <w:numId w:val="12"/>
        </w:numPr>
        <w:spacing w:line="480" w:lineRule="auto"/>
        <w:ind w:left="1440" w:hanging="720"/>
        <w:jc w:val="both"/>
        <w:rPr>
          <w:u w:val="single"/>
        </w:rPr>
      </w:pPr>
      <w:r w:rsidRPr="00B537A0">
        <w:rPr>
          <w:u w:val="single"/>
        </w:rPr>
        <w:t xml:space="preserve">No </w:t>
      </w:r>
      <w:r w:rsidR="00EA3336">
        <w:rPr>
          <w:u w:val="single"/>
        </w:rPr>
        <w:t>E</w:t>
      </w:r>
      <w:r w:rsidRPr="00B537A0">
        <w:rPr>
          <w:u w:val="single"/>
        </w:rPr>
        <w:t xml:space="preserve">vidence </w:t>
      </w:r>
      <w:r w:rsidR="00EA3336">
        <w:rPr>
          <w:u w:val="single"/>
        </w:rPr>
        <w:t>S</w:t>
      </w:r>
      <w:r w:rsidRPr="00B537A0">
        <w:rPr>
          <w:u w:val="single"/>
        </w:rPr>
        <w:t xml:space="preserve">upports the </w:t>
      </w:r>
      <w:r w:rsidR="00EA3336">
        <w:rPr>
          <w:u w:val="single"/>
        </w:rPr>
        <w:t>S</w:t>
      </w:r>
      <w:r w:rsidRPr="00B537A0">
        <w:rPr>
          <w:u w:val="single"/>
        </w:rPr>
        <w:t>o-</w:t>
      </w:r>
      <w:r w:rsidR="00EA3336">
        <w:rPr>
          <w:u w:val="single"/>
        </w:rPr>
        <w:t>C</w:t>
      </w:r>
      <w:r w:rsidRPr="00B537A0">
        <w:rPr>
          <w:u w:val="single"/>
        </w:rPr>
        <w:t xml:space="preserve">alled </w:t>
      </w:r>
      <w:r w:rsidR="00EA3336">
        <w:rPr>
          <w:u w:val="single"/>
        </w:rPr>
        <w:t>N</w:t>
      </w:r>
      <w:r w:rsidRPr="00B537A0">
        <w:rPr>
          <w:u w:val="single"/>
        </w:rPr>
        <w:t xml:space="preserve">ew </w:t>
      </w:r>
      <w:r w:rsidR="00EA3336">
        <w:rPr>
          <w:u w:val="single"/>
        </w:rPr>
        <w:t>A</w:t>
      </w:r>
      <w:r w:rsidRPr="00B537A0">
        <w:rPr>
          <w:u w:val="single"/>
        </w:rPr>
        <w:t xml:space="preserve">dministrative </w:t>
      </w:r>
      <w:r w:rsidR="00EA3336">
        <w:rPr>
          <w:u w:val="single"/>
        </w:rPr>
        <w:t>C</w:t>
      </w:r>
      <w:r w:rsidRPr="00B537A0">
        <w:rPr>
          <w:u w:val="single"/>
        </w:rPr>
        <w:t>laims</w:t>
      </w:r>
      <w:r w:rsidR="00EA3336">
        <w:rPr>
          <w:u w:val="single"/>
        </w:rPr>
        <w:t>.</w:t>
      </w:r>
    </w:p>
    <w:p w14:paraId="4F0566B0" w14:textId="77777777" w:rsidR="00014B7D" w:rsidRDefault="00C3497A" w:rsidP="00EB5CEC">
      <w:pPr>
        <w:spacing w:line="480" w:lineRule="auto"/>
        <w:ind w:firstLine="720"/>
        <w:jc w:val="both"/>
      </w:pPr>
      <w:r>
        <w:t xml:space="preserve">The </w:t>
      </w:r>
      <w:r w:rsidR="00014B7D">
        <w:t>Complaint</w:t>
      </w:r>
      <w:r>
        <w:t>ant</w:t>
      </w:r>
      <w:r w:rsidR="00014B7D">
        <w:t xml:space="preserve"> </w:t>
      </w:r>
      <w:r>
        <w:t xml:space="preserve">now </w:t>
      </w:r>
      <w:r w:rsidR="00014B7D">
        <w:t xml:space="preserve">wants to prejudice Duke Energy Ohio by filing an Amended Complaint at this late stage when </w:t>
      </w:r>
      <w:r w:rsidR="001F285C">
        <w:t>he and his counsel have known of the “Winter</w:t>
      </w:r>
      <w:r>
        <w:t xml:space="preserve"> Order</w:t>
      </w:r>
      <w:r w:rsidR="001F285C">
        <w:t xml:space="preserve">” for months and the proposed </w:t>
      </w:r>
      <w:r w:rsidR="00014B7D">
        <w:t>pleading is not supported by a</w:t>
      </w:r>
      <w:r>
        <w:t>ny</w:t>
      </w:r>
      <w:r w:rsidR="00B537A0">
        <w:t xml:space="preserve"> evidence,</w:t>
      </w:r>
      <w:r>
        <w:t xml:space="preserve"> as confirmed in the</w:t>
      </w:r>
      <w:r w:rsidR="00B537A0">
        <w:t xml:space="preserve"> </w:t>
      </w:r>
      <w:r w:rsidR="00014B7D">
        <w:t>deposition testimony of Complainant,</w:t>
      </w:r>
      <w:r>
        <w:t xml:space="preserve"> his wife, and her</w:t>
      </w:r>
      <w:r w:rsidR="00B537A0">
        <w:t xml:space="preserve"> </w:t>
      </w:r>
      <w:r w:rsidR="00014B7D">
        <w:t>brother.</w:t>
      </w:r>
      <w:r w:rsidR="001F285C">
        <w:rPr>
          <w:rStyle w:val="FootnoteReference"/>
        </w:rPr>
        <w:footnoteReference w:id="5"/>
      </w:r>
      <w:r w:rsidR="00014B7D">
        <w:t xml:space="preserve">  </w:t>
      </w:r>
      <w:r w:rsidR="001F285C">
        <w:t xml:space="preserve">Their </w:t>
      </w:r>
      <w:r w:rsidR="00014B7D">
        <w:t xml:space="preserve">collective testimony </w:t>
      </w:r>
      <w:r w:rsidR="001F285C">
        <w:t xml:space="preserve">can accurately be described </w:t>
      </w:r>
      <w:r w:rsidR="00014B7D">
        <w:t>as follows:  neither Complainant nor his</w:t>
      </w:r>
      <w:r>
        <w:t xml:space="preserve"> wife or brother-in-law</w:t>
      </w:r>
      <w:r w:rsidR="00B537A0">
        <w:t xml:space="preserve"> </w:t>
      </w:r>
      <w:r w:rsidR="00014B7D">
        <w:t xml:space="preserve">have personal knowledge of </w:t>
      </w:r>
      <w:r w:rsidR="00014B7D" w:rsidRPr="00B537A0">
        <w:t>anything</w:t>
      </w:r>
      <w:r w:rsidR="00014B7D" w:rsidRPr="00C3497A">
        <w:t xml:space="preserve"> </w:t>
      </w:r>
      <w:r w:rsidR="00014B7D">
        <w:t xml:space="preserve">regarding the subject gas and electric account (Account #0120-0420-20-6, hereinafter the “Account”) in the name of Estill Easterling at 11312 Orchard Street, Cincinnati, Ohio 45241 (the “Property”).  </w:t>
      </w:r>
      <w:r>
        <w:t>Fu</w:t>
      </w:r>
      <w:r w:rsidR="00B537A0">
        <w:t>rth</w:t>
      </w:r>
      <w:r>
        <w:t xml:space="preserve">er, they cannot identify anyone possessing such knowledge. </w:t>
      </w:r>
      <w:r w:rsidR="00014B7D">
        <w:t xml:space="preserve">They do not know anything about, and cannot dispute, the fact that Duke Energy Ohio mailed </w:t>
      </w:r>
      <w:r w:rsidR="00014B7D">
        <w:lastRenderedPageBreak/>
        <w:t xml:space="preserve">monthly bills to the Property, including bills containing disconnection notices for non-payment; they do not know anything about, and cannot dispute, the fact that the Company mailed a disconnect notice to the Property on October 19, 2011; they have no knowledge of any attempts by their mother, brother or anyone else to contact Duke Energy Ohio regarding their past due account or any requested payment plans; </w:t>
      </w:r>
      <w:r w:rsidR="00B80586">
        <w:t xml:space="preserve">they have no evidence of any payment of $175 to the Company, which is a required condition precedent to a customer’s rights under the Winter </w:t>
      </w:r>
      <w:r>
        <w:t>Order</w:t>
      </w:r>
      <w:r w:rsidR="00B80586">
        <w:t xml:space="preserve">; </w:t>
      </w:r>
      <w:r w:rsidR="00014B7D">
        <w:t>they do not know anything about, and cannot dispute, the fact that the Company’s service technician personally visited the Property on November 4, 2011</w:t>
      </w:r>
      <w:r w:rsidR="00B80586">
        <w:t xml:space="preserve">, tried to reach one of the residents by knocking on the door, and delivered the required final, </w:t>
      </w:r>
      <w:r w:rsidR="00014B7D">
        <w:t>day</w:t>
      </w:r>
      <w:r w:rsidR="00B80586">
        <w:t xml:space="preserve">-of disconnection notice to the Property before disconnecting the electric service; and they do not even know when the electric service was disconnected or what their mother and brother did thereafter.  This uncontested evidence is of record in this case.  </w:t>
      </w:r>
    </w:p>
    <w:p w14:paraId="1D415CE9" w14:textId="77777777" w:rsidR="00B80586" w:rsidRDefault="00B80586" w:rsidP="00EB5CEC">
      <w:pPr>
        <w:spacing w:line="480" w:lineRule="auto"/>
        <w:ind w:firstLine="720"/>
        <w:jc w:val="both"/>
      </w:pPr>
      <w:r>
        <w:t xml:space="preserve">The complete lack of evidence supporting Complainant’s claims is overwhelming.  </w:t>
      </w:r>
      <w:r w:rsidR="00EA3336">
        <w:t xml:space="preserve">Clearly, </w:t>
      </w:r>
      <w:r>
        <w:t xml:space="preserve">Complainant has no legal or factual grounds whatsoever to accuse Duke Energy Ohio of failing to comply with the “Winter </w:t>
      </w:r>
      <w:r w:rsidR="00C3497A">
        <w:t>Order</w:t>
      </w:r>
      <w:r>
        <w:t xml:space="preserve">” with respect to the Account at issue in this case.  </w:t>
      </w:r>
      <w:r w:rsidR="000353D2">
        <w:t xml:space="preserve">Notably absent from the proposed Amended Complaint is an allegation that the customer of record or anyone acting on his behalf made a </w:t>
      </w:r>
      <w:r>
        <w:t xml:space="preserve">payment of $175 </w:t>
      </w:r>
      <w:r w:rsidR="000353D2">
        <w:t xml:space="preserve">on the subject Account and agreed to a payment plan for the balance, both of which are expressly mandated by the Winter </w:t>
      </w:r>
      <w:r w:rsidR="00C3497A">
        <w:t>Order</w:t>
      </w:r>
      <w:r w:rsidR="00302C18">
        <w:t>. The deposition testimony filed of record fully demonstrates the futility of the “additional administrative causes of action” that Complainant wants to file in an Amended Complaint.  Considering that bo</w:t>
      </w:r>
      <w:r>
        <w:t xml:space="preserve">th Complainant and his attorney </w:t>
      </w:r>
      <w:r w:rsidR="00302C18">
        <w:t xml:space="preserve">know there are no legitimate grounds to pursue that claim, it would be a waste of time and valuable legal and administrative resources to burden the Commission and </w:t>
      </w:r>
      <w:r w:rsidR="00302C18">
        <w:lastRenderedPageBreak/>
        <w:t>Duke Energy Ohio with what amounts to a</w:t>
      </w:r>
      <w:r w:rsidR="00C3497A">
        <w:t xml:space="preserve">n unfounded </w:t>
      </w:r>
      <w:r w:rsidR="00302C18">
        <w:t xml:space="preserve"> and untimely </w:t>
      </w:r>
      <w:r>
        <w:t xml:space="preserve">administrative </w:t>
      </w:r>
      <w:r w:rsidR="000353D2">
        <w:t>cause of action</w:t>
      </w:r>
      <w:r w:rsidR="00302C18">
        <w:t xml:space="preserve">.  </w:t>
      </w:r>
    </w:p>
    <w:p w14:paraId="6F960A7E" w14:textId="77777777" w:rsidR="00014B7D" w:rsidRPr="00B537A0" w:rsidRDefault="00EA3336" w:rsidP="00B537A0">
      <w:pPr>
        <w:pStyle w:val="ListParagraph"/>
        <w:numPr>
          <w:ilvl w:val="0"/>
          <w:numId w:val="12"/>
        </w:numPr>
        <w:ind w:left="1440" w:hanging="720"/>
        <w:jc w:val="both"/>
        <w:rPr>
          <w:u w:val="single"/>
        </w:rPr>
      </w:pPr>
      <w:r>
        <w:rPr>
          <w:u w:val="single"/>
        </w:rPr>
        <w:t xml:space="preserve">Amending the Complaint at this Late Stage Would </w:t>
      </w:r>
      <w:r w:rsidR="00014B7D" w:rsidRPr="00B537A0">
        <w:rPr>
          <w:u w:val="single"/>
        </w:rPr>
        <w:t>Prejudice Duke Energy Ohio</w:t>
      </w:r>
      <w:r>
        <w:rPr>
          <w:u w:val="single"/>
        </w:rPr>
        <w:t>.</w:t>
      </w:r>
      <w:r w:rsidR="00014B7D" w:rsidRPr="00B537A0">
        <w:rPr>
          <w:u w:val="single"/>
        </w:rPr>
        <w:t xml:space="preserve"> </w:t>
      </w:r>
    </w:p>
    <w:p w14:paraId="6A1D7849" w14:textId="77777777" w:rsidR="00EA3336" w:rsidRDefault="00EA3336" w:rsidP="00B537A0">
      <w:pPr>
        <w:ind w:firstLine="720"/>
        <w:jc w:val="both"/>
      </w:pPr>
    </w:p>
    <w:p w14:paraId="079C73BF" w14:textId="77777777" w:rsidR="00730328" w:rsidRDefault="00EA3336" w:rsidP="00EA3336">
      <w:pPr>
        <w:spacing w:line="480" w:lineRule="auto"/>
        <w:ind w:firstLine="720"/>
        <w:jc w:val="both"/>
      </w:pPr>
      <w:r>
        <w:t xml:space="preserve">Complainant argues that the inclusion of new claims will not “change the tenor of this matter.” This statement is wrong.  </w:t>
      </w:r>
      <w:r w:rsidR="00730328">
        <w:t xml:space="preserve">For more than eight months, </w:t>
      </w:r>
      <w:r w:rsidR="000353D2">
        <w:t>Duke Energy Ohio has based its defense on the allegations of the Complaint</w:t>
      </w:r>
      <w:r w:rsidR="006D62E5">
        <w:t xml:space="preserve"> filed in February 2015</w:t>
      </w:r>
      <w:r w:rsidR="000353D2">
        <w:t xml:space="preserve">.  </w:t>
      </w:r>
      <w:r w:rsidR="00730328">
        <w:t xml:space="preserve">The facts and legal claims set forth in the Complaint necessarily affected the </w:t>
      </w:r>
      <w:r w:rsidR="00302C18">
        <w:t xml:space="preserve">Company’s defense strategy and the </w:t>
      </w:r>
      <w:r w:rsidR="00730328">
        <w:t xml:space="preserve">contents of the detailed requests for admission, interrogatories and requests for production of documents propounded by the Company on </w:t>
      </w:r>
      <w:r w:rsidR="000353D2">
        <w:t>Complainant and the OCC</w:t>
      </w:r>
      <w:r w:rsidR="00730328">
        <w:t xml:space="preserve">, as well as Duke Energy Ohio’s </w:t>
      </w:r>
      <w:r w:rsidR="00302C18">
        <w:t>objections and r</w:t>
      </w:r>
      <w:r w:rsidR="00730328">
        <w:t xml:space="preserve">esponses to their discovery requests.  </w:t>
      </w:r>
      <w:r w:rsidR="006D62E5">
        <w:t xml:space="preserve">Those facts and legal claims also dictated the depositions of </w:t>
      </w:r>
      <w:r w:rsidR="00730328">
        <w:t>Compl</w:t>
      </w:r>
      <w:r w:rsidR="006D62E5">
        <w:t xml:space="preserve">ainant, </w:t>
      </w:r>
      <w:r>
        <w:t>his wife and her</w:t>
      </w:r>
      <w:r w:rsidR="00B537A0">
        <w:t xml:space="preserve"> </w:t>
      </w:r>
      <w:r w:rsidR="006D62E5">
        <w:t>brother</w:t>
      </w:r>
      <w:r w:rsidR="00302C18">
        <w:t>, all of which were completed more than five weeks ago</w:t>
      </w:r>
      <w:r w:rsidR="006D62E5">
        <w:t xml:space="preserve">.  Moreover, the Company has </w:t>
      </w:r>
      <w:r w:rsidR="00730328">
        <w:t xml:space="preserve">started preparing written testimony </w:t>
      </w:r>
      <w:r w:rsidR="006D62E5">
        <w:t xml:space="preserve">for </w:t>
      </w:r>
      <w:r w:rsidR="00730328">
        <w:t xml:space="preserve">its witnesses, </w:t>
      </w:r>
      <w:r w:rsidR="006D62E5">
        <w:t xml:space="preserve">all of which is based on the existing facts and legal claims in the case, not some contrived claim based on the “Winter </w:t>
      </w:r>
      <w:r>
        <w:t>Order</w:t>
      </w:r>
      <w:r w:rsidR="006D62E5">
        <w:t xml:space="preserve">.”  </w:t>
      </w:r>
      <w:r w:rsidR="00730328">
        <w:t xml:space="preserve">Duke Energy Ohio should not be prejudiced by a last-minute change by Complainant to add what is falsely characterized as a “new” administrative cause of action based on the “Winter </w:t>
      </w:r>
      <w:r>
        <w:t>Order</w:t>
      </w:r>
      <w:r w:rsidR="00730328">
        <w:t>.”</w:t>
      </w:r>
    </w:p>
    <w:p w14:paraId="18111718" w14:textId="77777777" w:rsidR="00774A36" w:rsidRDefault="00A74196" w:rsidP="00EB5CEC">
      <w:pPr>
        <w:spacing w:line="480" w:lineRule="auto"/>
        <w:ind w:firstLine="720"/>
        <w:jc w:val="both"/>
      </w:pPr>
      <w:r>
        <w:t>In fact, t</w:t>
      </w:r>
      <w:r w:rsidR="00730328">
        <w:t xml:space="preserve">here is nothing </w:t>
      </w:r>
      <w:r>
        <w:t xml:space="preserve">“new” about the “Winter </w:t>
      </w:r>
      <w:r w:rsidR="00EA3336">
        <w:t>Order</w:t>
      </w:r>
      <w:r>
        <w:t xml:space="preserve">,” nor has Complainant identified a single fact which he supposedly learned </w:t>
      </w:r>
      <w:r w:rsidR="00302C18">
        <w:t xml:space="preserve">for the first time </w:t>
      </w:r>
      <w:r>
        <w:t>during disc</w:t>
      </w:r>
      <w:r w:rsidR="00302C18">
        <w:t xml:space="preserve">overy.  Complainant also has not explained </w:t>
      </w:r>
      <w:r w:rsidR="00EA3336">
        <w:t>that</w:t>
      </w:r>
      <w:r w:rsidR="00B537A0">
        <w:t xml:space="preserve"> </w:t>
      </w:r>
      <w:r w:rsidR="00302C18">
        <w:t xml:space="preserve">he was </w:t>
      </w:r>
      <w:r>
        <w:t xml:space="preserve">prevented from including that cause of action in the original Complaint.  The reason is clear:  nothing new has been learned.  The “Winter </w:t>
      </w:r>
      <w:r w:rsidR="00EA3336">
        <w:t>Order</w:t>
      </w:r>
      <w:r>
        <w:t xml:space="preserve">” was referenced in filings by the OCC and Duke Energy Ohio more than five  months ago when the OCC first tried to intervene in this case.  Moreover, Complainant and his attorney have worked closely with the OCC </w:t>
      </w:r>
      <w:r>
        <w:lastRenderedPageBreak/>
        <w:t xml:space="preserve">and its attorneys for months, </w:t>
      </w:r>
      <w:r w:rsidR="00BF3991">
        <w:t xml:space="preserve">sharing information and strategy and discussing the case, </w:t>
      </w:r>
      <w:r>
        <w:t xml:space="preserve">to the point that </w:t>
      </w:r>
      <w:r w:rsidR="00BF3991">
        <w:t xml:space="preserve">Complainant and the OCC </w:t>
      </w:r>
      <w:r>
        <w:t xml:space="preserve">recently signed a Joint Defense Agreement.  </w:t>
      </w:r>
    </w:p>
    <w:p w14:paraId="62AFA9BE" w14:textId="77777777" w:rsidR="00F034FB" w:rsidRDefault="00BF3991" w:rsidP="00BA66DB">
      <w:pPr>
        <w:autoSpaceDE w:val="0"/>
        <w:autoSpaceDN w:val="0"/>
        <w:spacing w:line="480" w:lineRule="auto"/>
        <w:ind w:firstLine="720"/>
        <w:jc w:val="both"/>
        <w:rPr>
          <w:rFonts w:ascii="BookAntiqua" w:hAnsi="BookAntiqua"/>
        </w:rPr>
      </w:pPr>
      <w:r>
        <w:rPr>
          <w:rFonts w:ascii="BookAntiqua" w:hAnsi="BookAntiqua"/>
        </w:rPr>
        <w:t xml:space="preserve">Contrary to Complainant’s unsubstantiated assertion, “justice” </w:t>
      </w:r>
      <w:r w:rsidR="00EA3336">
        <w:rPr>
          <w:rFonts w:ascii="BookAntiqua" w:hAnsi="BookAntiqua"/>
        </w:rPr>
        <w:t xml:space="preserve">does not </w:t>
      </w:r>
      <w:r>
        <w:rPr>
          <w:rFonts w:ascii="BookAntiqua" w:hAnsi="BookAntiqua"/>
        </w:rPr>
        <w:t xml:space="preserve">require that Complainant be permitted to amend his complaint at this late date.  Complainant has not learned any new facts during discovery that would remotely justify amending the complaint now.  If anything, discovery has demonstrated conclusively how dubious Complainant’s case was </w:t>
      </w:r>
      <w:r w:rsidR="00302C18">
        <w:rPr>
          <w:rFonts w:ascii="BookAntiqua" w:hAnsi="BookAntiqua"/>
        </w:rPr>
        <w:t xml:space="preserve">in February 2015 </w:t>
      </w:r>
      <w:r>
        <w:rPr>
          <w:rFonts w:ascii="BookAntiqua" w:hAnsi="BookAntiqua"/>
        </w:rPr>
        <w:t>and remains</w:t>
      </w:r>
      <w:r w:rsidR="00302C18">
        <w:rPr>
          <w:rFonts w:ascii="BookAntiqua" w:hAnsi="BookAntiqua"/>
        </w:rPr>
        <w:t xml:space="preserve"> to this day</w:t>
      </w:r>
      <w:r>
        <w:rPr>
          <w:rFonts w:ascii="BookAntiqua" w:hAnsi="BookAntiqua"/>
        </w:rPr>
        <w:t>.  There is nothing “new” about a potential claim under the “Winter</w:t>
      </w:r>
      <w:r w:rsidR="00EA3336">
        <w:rPr>
          <w:rFonts w:ascii="BookAntiqua" w:hAnsi="BookAntiqua"/>
        </w:rPr>
        <w:t xml:space="preserve"> Order</w:t>
      </w:r>
      <w:r>
        <w:rPr>
          <w:rFonts w:ascii="BookAntiqua" w:hAnsi="BookAntiqua"/>
        </w:rPr>
        <w:t xml:space="preserve">”—the OCC has mentioned it repeatedly and Duke Energy Ohio has reminded the OCC, Complainant and the Commission that the “Winter </w:t>
      </w:r>
      <w:r w:rsidR="00EA3336">
        <w:rPr>
          <w:rFonts w:ascii="BookAntiqua" w:hAnsi="BookAntiqua"/>
        </w:rPr>
        <w:t>Order</w:t>
      </w:r>
      <w:r>
        <w:rPr>
          <w:rFonts w:ascii="BookAntiqua" w:hAnsi="BookAntiqua"/>
        </w:rPr>
        <w:t>” is not applicable to the subject Account given the undeniable fact that Complainant’s mother</w:t>
      </w:r>
      <w:r w:rsidR="00B537A0">
        <w:rPr>
          <w:rFonts w:ascii="BookAntiqua" w:hAnsi="BookAntiqua"/>
        </w:rPr>
        <w:t xml:space="preserve">-in-law </w:t>
      </w:r>
      <w:r>
        <w:rPr>
          <w:rFonts w:ascii="BookAntiqua" w:hAnsi="BookAntiqua"/>
        </w:rPr>
        <w:t>and brother</w:t>
      </w:r>
      <w:r w:rsidR="00B537A0">
        <w:rPr>
          <w:rFonts w:ascii="BookAntiqua" w:hAnsi="BookAntiqua"/>
        </w:rPr>
        <w:t xml:space="preserve">-in-law </w:t>
      </w:r>
      <w:r>
        <w:rPr>
          <w:rFonts w:ascii="BookAntiqua" w:hAnsi="BookAntiqua"/>
        </w:rPr>
        <w:t xml:space="preserve">never made the required $175 payment or agreed to a payment plan.  As such, there </w:t>
      </w:r>
      <w:r w:rsidR="001F285C">
        <w:rPr>
          <w:rFonts w:ascii="BookAntiqua" w:hAnsi="BookAntiqua"/>
        </w:rPr>
        <w:t xml:space="preserve">are </w:t>
      </w:r>
      <w:r>
        <w:rPr>
          <w:rFonts w:ascii="BookAntiqua" w:hAnsi="BookAntiqua"/>
        </w:rPr>
        <w:t>no reasonable ground</w:t>
      </w:r>
      <w:r w:rsidR="001F285C">
        <w:rPr>
          <w:rFonts w:ascii="BookAntiqua" w:hAnsi="BookAntiqua"/>
        </w:rPr>
        <w:t>s to allow Complainant to add a</w:t>
      </w:r>
      <w:r w:rsidR="00B537A0">
        <w:rPr>
          <w:rFonts w:ascii="BookAntiqua" w:hAnsi="BookAntiqua"/>
        </w:rPr>
        <w:t xml:space="preserve">nother </w:t>
      </w:r>
      <w:r w:rsidR="001F285C">
        <w:rPr>
          <w:rFonts w:ascii="BookAntiqua" w:hAnsi="BookAntiqua"/>
        </w:rPr>
        <w:t xml:space="preserve">baseless legal claim at this point when Duke Energy Ohio has spent </w:t>
      </w:r>
      <w:r w:rsidR="00EA3336">
        <w:rPr>
          <w:rFonts w:ascii="BookAntiqua" w:hAnsi="BookAntiqua"/>
        </w:rPr>
        <w:t>significant resources</w:t>
      </w:r>
      <w:r w:rsidR="00B537A0">
        <w:rPr>
          <w:rFonts w:ascii="BookAntiqua" w:hAnsi="BookAntiqua"/>
        </w:rPr>
        <w:t xml:space="preserve"> </w:t>
      </w:r>
      <w:r w:rsidR="001F285C">
        <w:rPr>
          <w:rFonts w:ascii="BookAntiqua" w:hAnsi="BookAntiqua"/>
        </w:rPr>
        <w:t xml:space="preserve">already defending what amounts to a </w:t>
      </w:r>
      <w:r w:rsidR="00EA3336">
        <w:rPr>
          <w:rFonts w:ascii="BookAntiqua" w:hAnsi="BookAntiqua"/>
        </w:rPr>
        <w:t>baseless</w:t>
      </w:r>
      <w:r w:rsidR="00B537A0">
        <w:rPr>
          <w:rFonts w:ascii="BookAntiqua" w:hAnsi="BookAntiqua"/>
        </w:rPr>
        <w:t xml:space="preserve"> </w:t>
      </w:r>
      <w:r w:rsidR="001F285C">
        <w:rPr>
          <w:rFonts w:ascii="BookAntiqua" w:hAnsi="BookAntiqua"/>
        </w:rPr>
        <w:t>claim to begin with.</w:t>
      </w:r>
      <w:r w:rsidR="001F285C">
        <w:rPr>
          <w:rStyle w:val="FootnoteReference"/>
          <w:rFonts w:ascii="BookAntiqua" w:hAnsi="BookAntiqua"/>
        </w:rPr>
        <w:footnoteReference w:id="6"/>
      </w:r>
      <w:r w:rsidR="001F285C">
        <w:rPr>
          <w:rFonts w:ascii="BookAntiqua" w:hAnsi="BookAntiqua"/>
        </w:rPr>
        <w:t xml:space="preserve">  </w:t>
      </w:r>
    </w:p>
    <w:p w14:paraId="080FB671" w14:textId="7B5AC4B7" w:rsidR="000A06DA" w:rsidRDefault="00BF0D86" w:rsidP="000A06DA">
      <w:pPr>
        <w:autoSpaceDE w:val="0"/>
        <w:autoSpaceDN w:val="0"/>
        <w:spacing w:line="480" w:lineRule="auto"/>
        <w:ind w:firstLine="720"/>
        <w:jc w:val="both"/>
        <w:rPr>
          <w:rFonts w:ascii="BookAntiqua" w:hAnsi="BookAntiqua"/>
        </w:rPr>
      </w:pPr>
      <w:r>
        <w:t xml:space="preserve">WHEREFORE, Respondent Duke Energy Ohio, Inc. requests that the Commission deny the </w:t>
      </w:r>
      <w:r w:rsidR="00302C18">
        <w:t>M</w:t>
      </w:r>
      <w:r>
        <w:t xml:space="preserve">otion to </w:t>
      </w:r>
      <w:r w:rsidR="00302C18">
        <w:t xml:space="preserve">Amend Complaint </w:t>
      </w:r>
      <w:r>
        <w:t xml:space="preserve">filed by </w:t>
      </w:r>
      <w:r w:rsidR="00F13235">
        <w:t>Complainant Jeffrey Pitzer</w:t>
      </w:r>
      <w:r w:rsidR="0037324A">
        <w:t xml:space="preserve"> in its entirety</w:t>
      </w:r>
      <w:r w:rsidR="00302C18">
        <w:t>.</w:t>
      </w:r>
    </w:p>
    <w:p w14:paraId="70B5FA61" w14:textId="77777777" w:rsidR="003E30D1" w:rsidRDefault="003E30D1">
      <w:r>
        <w:br w:type="page"/>
      </w:r>
    </w:p>
    <w:p w14:paraId="5DD6CD6A" w14:textId="080631ED" w:rsidR="00D804CB" w:rsidRDefault="00D804CB" w:rsidP="00BA66DB">
      <w:pPr>
        <w:spacing w:line="480" w:lineRule="auto"/>
        <w:ind w:left="4320" w:firstLine="720"/>
        <w:jc w:val="both"/>
      </w:pPr>
      <w:r>
        <w:lastRenderedPageBreak/>
        <w:t xml:space="preserve">Respectfully </w:t>
      </w:r>
      <w:r w:rsidR="00AE44AB">
        <w:t>s</w:t>
      </w:r>
      <w:r>
        <w:t>ubmitted,</w:t>
      </w:r>
    </w:p>
    <w:p w14:paraId="14933679" w14:textId="77777777" w:rsidR="00DE3B39" w:rsidRDefault="00DE3B39" w:rsidP="00D804CB">
      <w:pPr>
        <w:ind w:left="720"/>
      </w:pPr>
    </w:p>
    <w:p w14:paraId="6E9D8710" w14:textId="77777777" w:rsidR="00E40C13" w:rsidRPr="00754A74" w:rsidRDefault="00E40C13" w:rsidP="00D804CB">
      <w:pPr>
        <w:ind w:left="720"/>
        <w:rPr>
          <w:u w:val="single"/>
        </w:rPr>
      </w:pPr>
      <w:r>
        <w:tab/>
      </w:r>
      <w:r>
        <w:tab/>
      </w:r>
      <w:r>
        <w:tab/>
      </w:r>
      <w:r>
        <w:tab/>
      </w:r>
      <w:r>
        <w:tab/>
      </w:r>
      <w:r>
        <w:tab/>
      </w:r>
      <w:r w:rsidR="00754A74" w:rsidRPr="00754A74">
        <w:rPr>
          <w:u w:val="single"/>
        </w:rPr>
        <w:t>/s/ Robert A. McMahon</w:t>
      </w:r>
      <w:r w:rsidR="00754A74">
        <w:rPr>
          <w:u w:val="single"/>
        </w:rPr>
        <w:tab/>
      </w:r>
      <w:r w:rsidR="00754A74">
        <w:rPr>
          <w:u w:val="single"/>
        </w:rPr>
        <w:tab/>
      </w:r>
    </w:p>
    <w:p w14:paraId="2C53591D" w14:textId="77777777" w:rsidR="007224AE" w:rsidRDefault="00E40C13" w:rsidP="00D804CB">
      <w:pPr>
        <w:ind w:left="720"/>
      </w:pPr>
      <w:r>
        <w:tab/>
      </w:r>
      <w:r>
        <w:tab/>
      </w:r>
      <w:r>
        <w:tab/>
      </w:r>
      <w:r>
        <w:tab/>
      </w:r>
      <w:r>
        <w:tab/>
      </w:r>
      <w:r>
        <w:tab/>
        <w:t xml:space="preserve">Robert </w:t>
      </w:r>
      <w:r w:rsidR="007224AE">
        <w:t>A. McMahon (0064319)</w:t>
      </w:r>
    </w:p>
    <w:p w14:paraId="148E8162" w14:textId="77777777" w:rsidR="00E40C13" w:rsidRDefault="007224AE" w:rsidP="007224AE">
      <w:pPr>
        <w:ind w:left="5040" w:firstLine="720"/>
      </w:pPr>
      <w:r>
        <w:t>Counsel of Record</w:t>
      </w:r>
    </w:p>
    <w:p w14:paraId="3A0649E5" w14:textId="77777777" w:rsidR="00E40C13" w:rsidRDefault="00E40C13" w:rsidP="00D804CB">
      <w:pPr>
        <w:ind w:left="720"/>
      </w:pPr>
      <w:r>
        <w:tab/>
      </w:r>
      <w:r>
        <w:tab/>
      </w:r>
      <w:r>
        <w:tab/>
      </w:r>
      <w:r>
        <w:tab/>
      </w:r>
      <w:r>
        <w:tab/>
      </w:r>
      <w:r>
        <w:tab/>
        <w:t xml:space="preserve">Eberly McMahon </w:t>
      </w:r>
      <w:r w:rsidR="002A38AD">
        <w:t xml:space="preserve">Copetas </w:t>
      </w:r>
      <w:r>
        <w:t>LLC</w:t>
      </w:r>
    </w:p>
    <w:p w14:paraId="1E4DA000" w14:textId="77777777" w:rsidR="00E40C13" w:rsidRDefault="00E40C13" w:rsidP="00D804CB">
      <w:pPr>
        <w:ind w:left="720"/>
      </w:pPr>
      <w:r>
        <w:tab/>
      </w:r>
      <w:r>
        <w:tab/>
      </w:r>
      <w:r>
        <w:tab/>
      </w:r>
      <w:r>
        <w:tab/>
      </w:r>
      <w:r>
        <w:tab/>
      </w:r>
      <w:r>
        <w:tab/>
        <w:t>2321 Kemper Lane, Suite 100</w:t>
      </w:r>
    </w:p>
    <w:p w14:paraId="22FFD042" w14:textId="77777777" w:rsidR="00E40C13" w:rsidRDefault="00E40C13" w:rsidP="00D804CB">
      <w:pPr>
        <w:ind w:left="720"/>
      </w:pPr>
      <w:r>
        <w:tab/>
      </w:r>
      <w:r>
        <w:tab/>
      </w:r>
      <w:r>
        <w:tab/>
      </w:r>
      <w:r>
        <w:tab/>
      </w:r>
      <w:r>
        <w:tab/>
      </w:r>
      <w:r>
        <w:tab/>
        <w:t>Cincinnati, OH 45206</w:t>
      </w:r>
    </w:p>
    <w:p w14:paraId="4AE5268E" w14:textId="77777777" w:rsidR="00E40C13" w:rsidRDefault="00E40C13" w:rsidP="00D804CB">
      <w:pPr>
        <w:ind w:left="720"/>
      </w:pPr>
      <w:r>
        <w:tab/>
      </w:r>
      <w:r>
        <w:tab/>
      </w:r>
      <w:r>
        <w:tab/>
      </w:r>
      <w:r>
        <w:tab/>
      </w:r>
      <w:r>
        <w:tab/>
      </w:r>
      <w:r>
        <w:tab/>
      </w:r>
      <w:r w:rsidR="007A0CA1">
        <w:t>t</w:t>
      </w:r>
      <w:r>
        <w:t>el:</w:t>
      </w:r>
      <w:r>
        <w:tab/>
        <w:t>(513) 533-3441</w:t>
      </w:r>
    </w:p>
    <w:p w14:paraId="5404E05D" w14:textId="77777777" w:rsidR="00E40C13" w:rsidRDefault="00E40C13" w:rsidP="00D804CB">
      <w:pPr>
        <w:ind w:left="720"/>
      </w:pPr>
      <w:r>
        <w:tab/>
      </w:r>
      <w:r>
        <w:tab/>
      </w:r>
      <w:r>
        <w:tab/>
      </w:r>
      <w:r>
        <w:tab/>
      </w:r>
      <w:r>
        <w:tab/>
      </w:r>
      <w:r>
        <w:tab/>
      </w:r>
      <w:r w:rsidR="007A0CA1">
        <w:t>f</w:t>
      </w:r>
      <w:r>
        <w:t>ax:</w:t>
      </w:r>
      <w:r>
        <w:tab/>
        <w:t>(513) 533-3554</w:t>
      </w:r>
    </w:p>
    <w:p w14:paraId="5A203443" w14:textId="77777777" w:rsidR="00E40C13" w:rsidRDefault="00E40C13" w:rsidP="00D804CB">
      <w:pPr>
        <w:ind w:left="720"/>
      </w:pPr>
      <w:r>
        <w:tab/>
      </w:r>
      <w:r>
        <w:tab/>
      </w:r>
      <w:r>
        <w:tab/>
      </w:r>
      <w:r>
        <w:tab/>
      </w:r>
      <w:r>
        <w:tab/>
      </w:r>
      <w:r>
        <w:tab/>
      </w:r>
      <w:r w:rsidR="007A0CA1">
        <w:t>e</w:t>
      </w:r>
      <w:r>
        <w:t xml:space="preserve">mail: </w:t>
      </w:r>
      <w:r>
        <w:tab/>
      </w:r>
      <w:hyperlink r:id="rId7" w:history="1">
        <w:r w:rsidR="002A38AD" w:rsidRPr="00FF4983">
          <w:rPr>
            <w:rStyle w:val="Hyperlink"/>
          </w:rPr>
          <w:t>bmcmahon@emclawyers.com</w:t>
        </w:r>
      </w:hyperlink>
    </w:p>
    <w:p w14:paraId="2081DE6F" w14:textId="77777777" w:rsidR="00F0518E" w:rsidRDefault="00CA611F" w:rsidP="00D804CB">
      <w:pPr>
        <w:ind w:left="720"/>
      </w:pPr>
      <w:r>
        <w:tab/>
      </w:r>
    </w:p>
    <w:p w14:paraId="313F17F9" w14:textId="77777777" w:rsidR="00E40C13" w:rsidRDefault="00CA611F" w:rsidP="00F0518E">
      <w:r>
        <w:tab/>
      </w:r>
      <w:r>
        <w:tab/>
      </w:r>
      <w:r>
        <w:tab/>
      </w:r>
    </w:p>
    <w:p w14:paraId="5C878884" w14:textId="77777777" w:rsidR="00B717BC" w:rsidRPr="00B717BC" w:rsidRDefault="00B717BC" w:rsidP="00B717BC">
      <w:pPr>
        <w:keepNext/>
        <w:keepLines/>
        <w:autoSpaceDE w:val="0"/>
        <w:autoSpaceDN w:val="0"/>
        <w:adjustRightInd w:val="0"/>
        <w:ind w:firstLine="5040"/>
        <w:jc w:val="both"/>
        <w:rPr>
          <w:rFonts w:eastAsia="Calibri"/>
          <w:color w:val="000000"/>
          <w:u w:val="single"/>
        </w:rPr>
      </w:pPr>
      <w:r w:rsidRPr="00B717BC">
        <w:rPr>
          <w:rFonts w:eastAsia="Calibri"/>
          <w:color w:val="000000"/>
          <w:u w:val="single"/>
        </w:rPr>
        <w:t>/s/ Amy B. Spiller</w:t>
      </w:r>
      <w:r>
        <w:rPr>
          <w:rFonts w:eastAsia="Calibri"/>
          <w:color w:val="000000"/>
          <w:u w:val="single"/>
        </w:rPr>
        <w:tab/>
      </w:r>
      <w:r>
        <w:rPr>
          <w:rFonts w:eastAsia="Calibri"/>
          <w:color w:val="000000"/>
          <w:u w:val="single"/>
        </w:rPr>
        <w:tab/>
      </w:r>
      <w:r>
        <w:rPr>
          <w:rFonts w:eastAsia="Calibri"/>
          <w:color w:val="000000"/>
          <w:u w:val="single"/>
        </w:rPr>
        <w:tab/>
      </w:r>
    </w:p>
    <w:p w14:paraId="568D20B8" w14:textId="77777777"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Amy B. Spiller (0047277)</w:t>
      </w:r>
    </w:p>
    <w:p w14:paraId="7F2D1AD7"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 xml:space="preserve">Deputy General Counsel </w:t>
      </w:r>
    </w:p>
    <w:p w14:paraId="006BAECF"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Elizabeth H. Watts (0031092)</w:t>
      </w:r>
    </w:p>
    <w:p w14:paraId="3E1DE2B0" w14:textId="77777777" w:rsidR="00B717BC" w:rsidRPr="00A73BB6" w:rsidRDefault="00B717BC" w:rsidP="00B717BC">
      <w:pPr>
        <w:keepNext/>
        <w:keepLines/>
        <w:autoSpaceDE w:val="0"/>
        <w:autoSpaceDN w:val="0"/>
        <w:adjustRightInd w:val="0"/>
        <w:ind w:right="-180" w:firstLine="5040"/>
        <w:jc w:val="both"/>
        <w:rPr>
          <w:rFonts w:eastAsia="Calibri"/>
          <w:color w:val="000000"/>
        </w:rPr>
      </w:pPr>
      <w:r w:rsidRPr="00A73BB6">
        <w:rPr>
          <w:rFonts w:eastAsia="Calibri"/>
          <w:color w:val="000000"/>
        </w:rPr>
        <w:t xml:space="preserve">Associate General Counsel </w:t>
      </w:r>
    </w:p>
    <w:p w14:paraId="1B8E4937"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139 E. Fourth Street, 1303-Main</w:t>
      </w:r>
    </w:p>
    <w:p w14:paraId="3C9B88AA"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P.O. Box 961</w:t>
      </w:r>
    </w:p>
    <w:p w14:paraId="35D6B8C0" w14:textId="77777777"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Cincinnati, Ohio  45201-0960</w:t>
      </w:r>
      <w:r w:rsidRPr="00A73BB6">
        <w:rPr>
          <w:rFonts w:eastAsia="Calibri"/>
          <w:color w:val="000000"/>
        </w:rPr>
        <w:tab/>
      </w:r>
    </w:p>
    <w:p w14:paraId="097A732C"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287-4359 (telephone)</w:t>
      </w:r>
    </w:p>
    <w:p w14:paraId="39A11529"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287-4385 (facsimile)</w:t>
      </w:r>
    </w:p>
    <w:p w14:paraId="73B585E1" w14:textId="77777777" w:rsidR="00B717BC" w:rsidRDefault="005D1E0F" w:rsidP="00B717BC">
      <w:pPr>
        <w:ind w:firstLine="5040"/>
      </w:pPr>
      <w:hyperlink r:id="rId8" w:history="1">
        <w:r w:rsidR="00B717BC" w:rsidRPr="00A73BB6">
          <w:rPr>
            <w:rFonts w:eastAsia="Calibri"/>
            <w:color w:val="0000FF"/>
            <w:u w:val="single"/>
          </w:rPr>
          <w:t>Amy.Spiller@duke-energy.com</w:t>
        </w:r>
      </w:hyperlink>
      <w:r w:rsidR="00B717BC" w:rsidRPr="00A73BB6">
        <w:rPr>
          <w:rFonts w:eastAsia="Calibri"/>
        </w:rPr>
        <w:t xml:space="preserve"> </w:t>
      </w:r>
      <w:r w:rsidR="00B717BC" w:rsidRPr="00A73BB6">
        <w:rPr>
          <w:rFonts w:eastAsia="Calibri"/>
          <w:color w:val="000000"/>
        </w:rPr>
        <w:t>(e-mail)</w:t>
      </w:r>
    </w:p>
    <w:p w14:paraId="15DE0D97" w14:textId="77777777" w:rsidR="00D804CB" w:rsidRDefault="00D804CB" w:rsidP="00E40C13">
      <w:pPr>
        <w:ind w:left="720"/>
      </w:pPr>
    </w:p>
    <w:p w14:paraId="02BC0F49" w14:textId="77777777" w:rsidR="007224AE" w:rsidRDefault="00D804CB" w:rsidP="007224AE">
      <w:pPr>
        <w:ind w:left="720"/>
      </w:pPr>
      <w:r>
        <w:tab/>
      </w:r>
      <w:r>
        <w:tab/>
      </w:r>
      <w:r>
        <w:tab/>
      </w:r>
      <w:r>
        <w:tab/>
      </w:r>
      <w:r w:rsidR="005B0639">
        <w:tab/>
      </w:r>
      <w:r w:rsidR="005B0639">
        <w:tab/>
      </w:r>
      <w:r w:rsidR="007224AE">
        <w:t>Attorneys for Duke Energy Ohio, Inc.</w:t>
      </w:r>
    </w:p>
    <w:p w14:paraId="03A30431" w14:textId="77777777" w:rsidR="00D804CB" w:rsidRDefault="00D804CB" w:rsidP="00CA611F">
      <w:pPr>
        <w:ind w:left="720"/>
      </w:pPr>
      <w:bookmarkStart w:id="0" w:name="_GoBack"/>
      <w:bookmarkEnd w:id="0"/>
    </w:p>
    <w:p w14:paraId="1D132287" w14:textId="77777777" w:rsidR="00D804CB" w:rsidRDefault="00D804CB" w:rsidP="008A0322">
      <w:pPr>
        <w:jc w:val="center"/>
        <w:rPr>
          <w:b/>
          <w:u w:val="single"/>
        </w:rPr>
      </w:pPr>
      <w:r w:rsidRPr="008435C3">
        <w:rPr>
          <w:b/>
          <w:u w:val="single"/>
        </w:rPr>
        <w:t>CERTIFICATE OF SERVICE</w:t>
      </w:r>
    </w:p>
    <w:p w14:paraId="02206003" w14:textId="77777777" w:rsidR="008A0322" w:rsidRPr="008435C3" w:rsidRDefault="008A0322" w:rsidP="008A0322">
      <w:pPr>
        <w:jc w:val="center"/>
        <w:rPr>
          <w:b/>
          <w:u w:val="single"/>
        </w:rPr>
      </w:pPr>
    </w:p>
    <w:p w14:paraId="2F100F72" w14:textId="77777777" w:rsidR="00D804CB" w:rsidRDefault="00D804CB" w:rsidP="00462E6D">
      <w:pPr>
        <w:ind w:firstLine="720"/>
        <w:jc w:val="both"/>
      </w:pPr>
      <w:r>
        <w:t xml:space="preserve">I hereby certify that a copy </w:t>
      </w:r>
      <w:r w:rsidR="00E5346C">
        <w:t xml:space="preserve">of the foregoing </w:t>
      </w:r>
      <w:r w:rsidR="00462E6D">
        <w:t>was served via</w:t>
      </w:r>
      <w:r w:rsidR="00181AEF">
        <w:t xml:space="preserve"> email </w:t>
      </w:r>
      <w:r w:rsidR="00F0518E">
        <w:t xml:space="preserve">on </w:t>
      </w:r>
      <w:r>
        <w:t xml:space="preserve">this </w:t>
      </w:r>
      <w:r w:rsidR="00302C18">
        <w:t>23</w:t>
      </w:r>
      <w:r w:rsidR="00302C18" w:rsidRPr="00302C18">
        <w:rPr>
          <w:vertAlign w:val="superscript"/>
        </w:rPr>
        <w:t>rd</w:t>
      </w:r>
      <w:r w:rsidR="00302C18">
        <w:t xml:space="preserve"> </w:t>
      </w:r>
      <w:r>
        <w:t xml:space="preserve">day of </w:t>
      </w:r>
      <w:r w:rsidR="00302C18">
        <w:t>October</w:t>
      </w:r>
      <w:r w:rsidR="006B4780">
        <w:t xml:space="preserve">, </w:t>
      </w:r>
      <w:r w:rsidR="00E5346C">
        <w:t>2015</w:t>
      </w:r>
      <w:r>
        <w:t>, upon the following</w:t>
      </w:r>
      <w:r w:rsidR="00E52964">
        <w:t xml:space="preserve"> counsel of record</w:t>
      </w:r>
      <w:r>
        <w:t>:</w:t>
      </w:r>
    </w:p>
    <w:p w14:paraId="162D5B07" w14:textId="77777777" w:rsidR="00462E6D" w:rsidRDefault="00462E6D" w:rsidP="00462E6D">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0322" w14:paraId="3C67E394" w14:textId="77777777" w:rsidTr="008A0322">
        <w:tc>
          <w:tcPr>
            <w:tcW w:w="4675" w:type="dxa"/>
          </w:tcPr>
          <w:p w14:paraId="6509DCC4" w14:textId="77777777" w:rsidR="008A0322" w:rsidRDefault="008A0322" w:rsidP="008A0322">
            <w:pPr>
              <w:jc w:val="both"/>
            </w:pPr>
            <w:r>
              <w:t>Donald A. Lane, Esq.</w:t>
            </w:r>
          </w:p>
          <w:p w14:paraId="46673CC2" w14:textId="77777777" w:rsidR="008A0322" w:rsidRDefault="008A0322" w:rsidP="008A0322">
            <w:pPr>
              <w:jc w:val="both"/>
            </w:pPr>
            <w:r>
              <w:t>Droder &amp; Miller Co., L.P.A.</w:t>
            </w:r>
          </w:p>
          <w:p w14:paraId="0192AFB4" w14:textId="77777777" w:rsidR="008A0322" w:rsidRDefault="008A0322" w:rsidP="008A0322">
            <w:pPr>
              <w:jc w:val="both"/>
            </w:pPr>
            <w:r>
              <w:t>125 W. Central Parkway</w:t>
            </w:r>
          </w:p>
          <w:p w14:paraId="736B3BF8" w14:textId="77777777" w:rsidR="008A0322" w:rsidRDefault="008A0322" w:rsidP="008A0322">
            <w:pPr>
              <w:jc w:val="both"/>
            </w:pPr>
            <w:r>
              <w:t>Cincinnati, OH 45202</w:t>
            </w:r>
          </w:p>
        </w:tc>
        <w:tc>
          <w:tcPr>
            <w:tcW w:w="4675" w:type="dxa"/>
          </w:tcPr>
          <w:p w14:paraId="73E8800B" w14:textId="77777777" w:rsidR="008A0322" w:rsidRDefault="008A0322" w:rsidP="00710CE2">
            <w:pPr>
              <w:jc w:val="both"/>
            </w:pPr>
            <w:r>
              <w:t>Kimberly W. Bojko, Esq.</w:t>
            </w:r>
          </w:p>
          <w:p w14:paraId="39852167" w14:textId="77777777" w:rsidR="008A0322" w:rsidRDefault="008A0322" w:rsidP="00710CE2">
            <w:pPr>
              <w:jc w:val="both"/>
            </w:pPr>
            <w:r>
              <w:t>Carpenter Lipps &amp; Leland LLP</w:t>
            </w:r>
          </w:p>
          <w:p w14:paraId="435F4C8D" w14:textId="77777777" w:rsidR="008A0322" w:rsidRDefault="008A0322" w:rsidP="00710CE2">
            <w:pPr>
              <w:jc w:val="both"/>
            </w:pPr>
            <w:r>
              <w:t>280 Plaza, Suite 1300</w:t>
            </w:r>
          </w:p>
          <w:p w14:paraId="3A0898C9" w14:textId="77777777" w:rsidR="008A0322" w:rsidRDefault="008A0322" w:rsidP="00710CE2">
            <w:pPr>
              <w:jc w:val="both"/>
            </w:pPr>
            <w:r>
              <w:t>280 N. High Street</w:t>
            </w:r>
          </w:p>
          <w:p w14:paraId="76DA2F82" w14:textId="77777777" w:rsidR="008A0322" w:rsidRDefault="008A0322" w:rsidP="00710CE2">
            <w:pPr>
              <w:jc w:val="both"/>
            </w:pPr>
            <w:r>
              <w:t>Columbus, OH 43215</w:t>
            </w:r>
          </w:p>
          <w:p w14:paraId="2B5D7BEC" w14:textId="77777777" w:rsidR="008A0322" w:rsidRDefault="008A0322" w:rsidP="00710CE2">
            <w:pPr>
              <w:jc w:val="both"/>
            </w:pPr>
          </w:p>
        </w:tc>
      </w:tr>
      <w:tr w:rsidR="008A0322" w14:paraId="33BD46A0" w14:textId="77777777" w:rsidTr="008A0322">
        <w:tc>
          <w:tcPr>
            <w:tcW w:w="4675" w:type="dxa"/>
          </w:tcPr>
          <w:p w14:paraId="78926C3E" w14:textId="77777777" w:rsidR="008A0322" w:rsidRDefault="008A0322" w:rsidP="008A0322">
            <w:pPr>
              <w:jc w:val="both"/>
            </w:pPr>
            <w:r>
              <w:t>Terry L. Etter, Esq.</w:t>
            </w:r>
          </w:p>
          <w:p w14:paraId="244F91AB" w14:textId="77777777" w:rsidR="008A0322" w:rsidRDefault="008A0322" w:rsidP="008A0322">
            <w:pPr>
              <w:jc w:val="both"/>
            </w:pPr>
            <w:r>
              <w:t>Office of the Ohio Consumers’ Counsel</w:t>
            </w:r>
          </w:p>
          <w:p w14:paraId="1B940C70" w14:textId="77777777" w:rsidR="008A0322" w:rsidRDefault="008A0322" w:rsidP="008A0322">
            <w:pPr>
              <w:jc w:val="both"/>
            </w:pPr>
            <w:r>
              <w:t>10 West Broad Street, Suite 1800</w:t>
            </w:r>
          </w:p>
          <w:p w14:paraId="19ADEAD3" w14:textId="77777777" w:rsidR="008A0322" w:rsidRDefault="008A0322" w:rsidP="008A0322">
            <w:pPr>
              <w:jc w:val="both"/>
            </w:pPr>
            <w:r>
              <w:t>Columbus, OH 43215-3485</w:t>
            </w:r>
          </w:p>
        </w:tc>
        <w:tc>
          <w:tcPr>
            <w:tcW w:w="4675" w:type="dxa"/>
          </w:tcPr>
          <w:p w14:paraId="401654BA" w14:textId="77777777" w:rsidR="008A0322" w:rsidRDefault="008A0322" w:rsidP="00710CE2">
            <w:pPr>
              <w:jc w:val="both"/>
            </w:pPr>
          </w:p>
        </w:tc>
      </w:tr>
    </w:tbl>
    <w:p w14:paraId="500EFF97" w14:textId="77777777" w:rsidR="008E5B9A" w:rsidRDefault="008E5B9A" w:rsidP="00710CE2">
      <w:pPr>
        <w:jc w:val="both"/>
      </w:pPr>
    </w:p>
    <w:p w14:paraId="6A702ACE" w14:textId="77777777" w:rsidR="00532976" w:rsidRPr="00754A74" w:rsidRDefault="008F3411" w:rsidP="00532976">
      <w:pPr>
        <w:ind w:left="720"/>
        <w:rPr>
          <w:u w:val="single"/>
        </w:rPr>
      </w:pPr>
      <w:r>
        <w:tab/>
      </w:r>
      <w:r>
        <w:tab/>
      </w:r>
      <w:r>
        <w:tab/>
      </w:r>
      <w:r>
        <w:tab/>
      </w:r>
      <w:r>
        <w:tab/>
      </w:r>
      <w:r>
        <w:tab/>
      </w:r>
      <w:r w:rsidR="00532976" w:rsidRPr="00754A74">
        <w:rPr>
          <w:u w:val="single"/>
        </w:rPr>
        <w:t>/s/ Robert A. McMahon</w:t>
      </w:r>
      <w:r w:rsidR="00532976">
        <w:rPr>
          <w:u w:val="single"/>
        </w:rPr>
        <w:tab/>
      </w:r>
      <w:r w:rsidR="00532976">
        <w:rPr>
          <w:u w:val="single"/>
        </w:rPr>
        <w:tab/>
      </w:r>
    </w:p>
    <w:p w14:paraId="6C2710B4" w14:textId="77777777" w:rsidR="00D804CB" w:rsidRPr="00B85050" w:rsidRDefault="00D804CB" w:rsidP="00532976">
      <w:pPr>
        <w:jc w:val="both"/>
      </w:pPr>
    </w:p>
    <w:sectPr w:rsidR="00D804CB" w:rsidRPr="00B85050" w:rsidSect="00A253F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2EF5" w14:textId="77777777" w:rsidR="00D477E6" w:rsidRDefault="00D477E6">
      <w:r>
        <w:separator/>
      </w:r>
    </w:p>
  </w:endnote>
  <w:endnote w:type="continuationSeparator" w:id="0">
    <w:p w14:paraId="573A60EE" w14:textId="77777777" w:rsidR="00D477E6" w:rsidRDefault="00D4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33B8" w14:textId="77777777" w:rsidR="005E5359" w:rsidRDefault="005E5359"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5DACF" w14:textId="77777777" w:rsidR="005E5359" w:rsidRDefault="005E5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C094" w14:textId="77777777" w:rsidR="005E5359" w:rsidRDefault="005E5359"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E0F">
      <w:rPr>
        <w:rStyle w:val="PageNumber"/>
        <w:noProof/>
      </w:rPr>
      <w:t>1</w:t>
    </w:r>
    <w:r>
      <w:rPr>
        <w:rStyle w:val="PageNumber"/>
      </w:rPr>
      <w:fldChar w:fldCharType="end"/>
    </w:r>
  </w:p>
  <w:p w14:paraId="61B0B2B3" w14:textId="77777777" w:rsidR="005E5359" w:rsidRPr="006D6061" w:rsidRDefault="005E5359" w:rsidP="00E40C1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E94B" w14:textId="77777777" w:rsidR="00E949C9" w:rsidRDefault="00E94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5434F" w14:textId="77777777" w:rsidR="00D477E6" w:rsidRDefault="00D477E6">
      <w:r>
        <w:separator/>
      </w:r>
    </w:p>
  </w:footnote>
  <w:footnote w:type="continuationSeparator" w:id="0">
    <w:p w14:paraId="26BEF946" w14:textId="77777777" w:rsidR="00D477E6" w:rsidRDefault="00D477E6">
      <w:r>
        <w:continuationSeparator/>
      </w:r>
    </w:p>
  </w:footnote>
  <w:footnote w:id="1">
    <w:p w14:paraId="3D73EC93" w14:textId="77777777" w:rsidR="00B86CBF" w:rsidRDefault="00B86CBF">
      <w:pPr>
        <w:pStyle w:val="FootnoteText"/>
      </w:pPr>
      <w:r>
        <w:rPr>
          <w:rStyle w:val="FootnoteReference"/>
        </w:rPr>
        <w:footnoteRef/>
      </w:r>
      <w:r>
        <w:t xml:space="preserve"> See, Duke Energy Ohio, Inc.’s Memorandum in Opposition to Motion to Intervene by the Office of the Ohio Consumers’ Counsel, filed 5/22/15, at 1.</w:t>
      </w:r>
    </w:p>
  </w:footnote>
  <w:footnote w:id="2">
    <w:p w14:paraId="2347A363" w14:textId="77777777" w:rsidR="00B86CBF" w:rsidRDefault="00B86CBF" w:rsidP="00B86CBF">
      <w:pPr>
        <w:pStyle w:val="FootnoteText"/>
      </w:pPr>
      <w:r>
        <w:rPr>
          <w:rStyle w:val="FootnoteReference"/>
        </w:rPr>
        <w:footnoteRef/>
      </w:r>
      <w:r>
        <w:t xml:space="preserve"> See, </w:t>
      </w:r>
      <w:r w:rsidRPr="00542942">
        <w:rPr>
          <w:i/>
        </w:rPr>
        <w:t>In the Matter of the Commission’s Consideration of Solutions Concerning the Disconnection of Gas and Electric Service in Winter Emergencies for 2011-2012 Winter Heating Season</w:t>
      </w:r>
      <w:r>
        <w:t xml:space="preserve">, Case No. 11-4913-GE-UNC, Finding and Order.  </w:t>
      </w:r>
    </w:p>
  </w:footnote>
  <w:footnote w:id="3">
    <w:p w14:paraId="0E53DA98" w14:textId="77777777" w:rsidR="00374D72" w:rsidRDefault="00374D72">
      <w:pPr>
        <w:pStyle w:val="FootnoteText"/>
      </w:pPr>
      <w:r>
        <w:rPr>
          <w:rStyle w:val="FootnoteReference"/>
        </w:rPr>
        <w:footnoteRef/>
      </w:r>
      <w:r>
        <w:t xml:space="preserve"> Complainant’s motion at 1.</w:t>
      </w:r>
    </w:p>
  </w:footnote>
  <w:footnote w:id="4">
    <w:p w14:paraId="41F5B397" w14:textId="77777777" w:rsidR="00CF1734" w:rsidRDefault="00CF1734">
      <w:pPr>
        <w:pStyle w:val="FootnoteText"/>
      </w:pPr>
      <w:r>
        <w:rPr>
          <w:rStyle w:val="FootnoteReference"/>
        </w:rPr>
        <w:footnoteRef/>
      </w:r>
      <w:r>
        <w:t xml:space="preserve"> See, proposed Amended Complaint, at ¶7.</w:t>
      </w:r>
    </w:p>
  </w:footnote>
  <w:footnote w:id="5">
    <w:p w14:paraId="09F76E71" w14:textId="77777777" w:rsidR="001F285C" w:rsidRDefault="001F285C">
      <w:pPr>
        <w:pStyle w:val="FootnoteText"/>
      </w:pPr>
      <w:r>
        <w:rPr>
          <w:rStyle w:val="FootnoteReference"/>
        </w:rPr>
        <w:footnoteRef/>
      </w:r>
      <w:r>
        <w:t xml:space="preserve"> Duke Energy Ohio filed those deposition transcripts with the Commission on October 6, 2015.</w:t>
      </w:r>
    </w:p>
  </w:footnote>
  <w:footnote w:id="6">
    <w:p w14:paraId="74549C92" w14:textId="77777777" w:rsidR="001F285C" w:rsidRDefault="001F285C" w:rsidP="001F285C">
      <w:pPr>
        <w:pStyle w:val="FootnoteText"/>
        <w:jc w:val="both"/>
      </w:pPr>
      <w:r>
        <w:rPr>
          <w:rStyle w:val="FootnoteReference"/>
        </w:rPr>
        <w:footnoteRef/>
      </w:r>
      <w:r>
        <w:t xml:space="preserve"> </w:t>
      </w:r>
      <w:r>
        <w:rPr>
          <w:i/>
        </w:rPr>
        <w:t>In the Matter of the Complaint of the Ohio Consumers’ Counsel et al. v. Interstate Gas Supply, Inc.</w:t>
      </w:r>
      <w:r>
        <w:t>, Case No. 10-2395-GA-CSS, Entry, at p.5 (Nov. 2, 2011) (denying motion for leave to amend complaint).</w:t>
      </w:r>
    </w:p>
    <w:p w14:paraId="6D077DBB" w14:textId="77777777" w:rsidR="001F285C" w:rsidRDefault="001F28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F725" w14:textId="77777777" w:rsidR="00E949C9" w:rsidRDefault="00E94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2D58" w14:textId="77777777" w:rsidR="00E949C9" w:rsidRDefault="00E94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4D14" w14:textId="77777777" w:rsidR="00E949C9" w:rsidRDefault="00E94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748"/>
    <w:multiLevelType w:val="hybridMultilevel"/>
    <w:tmpl w:val="254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10A7"/>
    <w:multiLevelType w:val="hybridMultilevel"/>
    <w:tmpl w:val="C574AC0A"/>
    <w:lvl w:ilvl="0" w:tplc="420C51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41E0C"/>
    <w:multiLevelType w:val="hybridMultilevel"/>
    <w:tmpl w:val="38D81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CF4837"/>
    <w:multiLevelType w:val="hybridMultilevel"/>
    <w:tmpl w:val="8BA0F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4F0EEF"/>
    <w:multiLevelType w:val="hybridMultilevel"/>
    <w:tmpl w:val="3C0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26395B"/>
    <w:multiLevelType w:val="hybridMultilevel"/>
    <w:tmpl w:val="F0E62D56"/>
    <w:lvl w:ilvl="0" w:tplc="B330A6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F5E9D"/>
    <w:multiLevelType w:val="hybridMultilevel"/>
    <w:tmpl w:val="93EEABB8"/>
    <w:lvl w:ilvl="0" w:tplc="0980C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7E617DA"/>
    <w:multiLevelType w:val="hybridMultilevel"/>
    <w:tmpl w:val="D72C4A80"/>
    <w:lvl w:ilvl="0" w:tplc="40FA4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5"/>
  </w:num>
  <w:num w:numId="5">
    <w:abstractNumId w:val="3"/>
  </w:num>
  <w:num w:numId="6">
    <w:abstractNumId w:val="2"/>
  </w:num>
  <w:num w:numId="7">
    <w:abstractNumId w:val="11"/>
  </w:num>
  <w:num w:numId="8">
    <w:abstractNumId w:val="8"/>
  </w:num>
  <w:num w:numId="9">
    <w:abstractNumId w:val="6"/>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3"/>
    <w:rsid w:val="0000294A"/>
    <w:rsid w:val="00004413"/>
    <w:rsid w:val="000068B9"/>
    <w:rsid w:val="00011FB4"/>
    <w:rsid w:val="00013D8A"/>
    <w:rsid w:val="00014B7D"/>
    <w:rsid w:val="0001600A"/>
    <w:rsid w:val="0001616D"/>
    <w:rsid w:val="00026F7D"/>
    <w:rsid w:val="00027C89"/>
    <w:rsid w:val="000353D2"/>
    <w:rsid w:val="00035DCC"/>
    <w:rsid w:val="000446A5"/>
    <w:rsid w:val="00046852"/>
    <w:rsid w:val="00051A8B"/>
    <w:rsid w:val="000548F3"/>
    <w:rsid w:val="00054A17"/>
    <w:rsid w:val="00060132"/>
    <w:rsid w:val="00062529"/>
    <w:rsid w:val="00064E2A"/>
    <w:rsid w:val="000748B1"/>
    <w:rsid w:val="00084E85"/>
    <w:rsid w:val="00085CEB"/>
    <w:rsid w:val="00087214"/>
    <w:rsid w:val="00087A24"/>
    <w:rsid w:val="00090415"/>
    <w:rsid w:val="000958DD"/>
    <w:rsid w:val="0009602D"/>
    <w:rsid w:val="0009775B"/>
    <w:rsid w:val="00097F58"/>
    <w:rsid w:val="000A06DA"/>
    <w:rsid w:val="000A66AB"/>
    <w:rsid w:val="000B377F"/>
    <w:rsid w:val="000B472B"/>
    <w:rsid w:val="000B4FC9"/>
    <w:rsid w:val="000B56CD"/>
    <w:rsid w:val="000B57E0"/>
    <w:rsid w:val="000B5C05"/>
    <w:rsid w:val="000B796E"/>
    <w:rsid w:val="000C0440"/>
    <w:rsid w:val="000C0CE5"/>
    <w:rsid w:val="000C4966"/>
    <w:rsid w:val="000D7C0A"/>
    <w:rsid w:val="000E4F2C"/>
    <w:rsid w:val="000F10B0"/>
    <w:rsid w:val="000F13DE"/>
    <w:rsid w:val="000F3D6F"/>
    <w:rsid w:val="000F504F"/>
    <w:rsid w:val="000F77E9"/>
    <w:rsid w:val="00100921"/>
    <w:rsid w:val="00104CFA"/>
    <w:rsid w:val="00107E15"/>
    <w:rsid w:val="001106A7"/>
    <w:rsid w:val="00111677"/>
    <w:rsid w:val="00111C00"/>
    <w:rsid w:val="00114F6C"/>
    <w:rsid w:val="001164B8"/>
    <w:rsid w:val="00116735"/>
    <w:rsid w:val="00121FE9"/>
    <w:rsid w:val="0012384A"/>
    <w:rsid w:val="0012561A"/>
    <w:rsid w:val="001268BC"/>
    <w:rsid w:val="001271FE"/>
    <w:rsid w:val="001329D4"/>
    <w:rsid w:val="0013379F"/>
    <w:rsid w:val="00133860"/>
    <w:rsid w:val="001339BB"/>
    <w:rsid w:val="00135D09"/>
    <w:rsid w:val="00155124"/>
    <w:rsid w:val="00155145"/>
    <w:rsid w:val="00157A1F"/>
    <w:rsid w:val="00163F00"/>
    <w:rsid w:val="001651EA"/>
    <w:rsid w:val="0016545A"/>
    <w:rsid w:val="001668B3"/>
    <w:rsid w:val="0017537B"/>
    <w:rsid w:val="00181AEF"/>
    <w:rsid w:val="00183ED3"/>
    <w:rsid w:val="0018580D"/>
    <w:rsid w:val="001945A4"/>
    <w:rsid w:val="001950B5"/>
    <w:rsid w:val="0019651D"/>
    <w:rsid w:val="00197CD2"/>
    <w:rsid w:val="001A1135"/>
    <w:rsid w:val="001A6364"/>
    <w:rsid w:val="001B162D"/>
    <w:rsid w:val="001B277F"/>
    <w:rsid w:val="001B54F9"/>
    <w:rsid w:val="001B7760"/>
    <w:rsid w:val="001D1006"/>
    <w:rsid w:val="001D336D"/>
    <w:rsid w:val="001E69AF"/>
    <w:rsid w:val="001F106D"/>
    <w:rsid w:val="001F285C"/>
    <w:rsid w:val="001F65E9"/>
    <w:rsid w:val="001F6730"/>
    <w:rsid w:val="001F74E5"/>
    <w:rsid w:val="00200AAC"/>
    <w:rsid w:val="00205B57"/>
    <w:rsid w:val="00212918"/>
    <w:rsid w:val="002130A5"/>
    <w:rsid w:val="00214EC8"/>
    <w:rsid w:val="0021609E"/>
    <w:rsid w:val="002164BE"/>
    <w:rsid w:val="00226C6C"/>
    <w:rsid w:val="002323A5"/>
    <w:rsid w:val="002323B6"/>
    <w:rsid w:val="0023535A"/>
    <w:rsid w:val="00243230"/>
    <w:rsid w:val="00244F03"/>
    <w:rsid w:val="00260998"/>
    <w:rsid w:val="0026321A"/>
    <w:rsid w:val="0026548E"/>
    <w:rsid w:val="00266A78"/>
    <w:rsid w:val="002718AB"/>
    <w:rsid w:val="00272999"/>
    <w:rsid w:val="00274C74"/>
    <w:rsid w:val="00280E0B"/>
    <w:rsid w:val="00282753"/>
    <w:rsid w:val="002831A9"/>
    <w:rsid w:val="00291DA0"/>
    <w:rsid w:val="0029718E"/>
    <w:rsid w:val="00297256"/>
    <w:rsid w:val="002A38AD"/>
    <w:rsid w:val="002A50DA"/>
    <w:rsid w:val="002B0375"/>
    <w:rsid w:val="002B0526"/>
    <w:rsid w:val="002B3FD0"/>
    <w:rsid w:val="002D049E"/>
    <w:rsid w:val="002D2C1F"/>
    <w:rsid w:val="002D3062"/>
    <w:rsid w:val="002E03D0"/>
    <w:rsid w:val="002E5C4B"/>
    <w:rsid w:val="002E68DA"/>
    <w:rsid w:val="002E7024"/>
    <w:rsid w:val="002F0246"/>
    <w:rsid w:val="002F532F"/>
    <w:rsid w:val="00302C18"/>
    <w:rsid w:val="003039B3"/>
    <w:rsid w:val="0030553C"/>
    <w:rsid w:val="003068C5"/>
    <w:rsid w:val="00311DD6"/>
    <w:rsid w:val="003212B9"/>
    <w:rsid w:val="00324AC2"/>
    <w:rsid w:val="00330294"/>
    <w:rsid w:val="0033087A"/>
    <w:rsid w:val="00341DE0"/>
    <w:rsid w:val="00346767"/>
    <w:rsid w:val="003467DB"/>
    <w:rsid w:val="00362668"/>
    <w:rsid w:val="00367FDA"/>
    <w:rsid w:val="0037324A"/>
    <w:rsid w:val="00374D72"/>
    <w:rsid w:val="003807BD"/>
    <w:rsid w:val="00380D11"/>
    <w:rsid w:val="003859C3"/>
    <w:rsid w:val="003875A7"/>
    <w:rsid w:val="00391A01"/>
    <w:rsid w:val="003A63BE"/>
    <w:rsid w:val="003B45EF"/>
    <w:rsid w:val="003C433C"/>
    <w:rsid w:val="003D0A79"/>
    <w:rsid w:val="003D215B"/>
    <w:rsid w:val="003D46A4"/>
    <w:rsid w:val="003E0324"/>
    <w:rsid w:val="003E2035"/>
    <w:rsid w:val="003E26D1"/>
    <w:rsid w:val="003E2B58"/>
    <w:rsid w:val="003E30D1"/>
    <w:rsid w:val="003E6FFE"/>
    <w:rsid w:val="003E72C7"/>
    <w:rsid w:val="003F276B"/>
    <w:rsid w:val="003F7C46"/>
    <w:rsid w:val="004026CE"/>
    <w:rsid w:val="00403124"/>
    <w:rsid w:val="0040394E"/>
    <w:rsid w:val="0040648A"/>
    <w:rsid w:val="004065B1"/>
    <w:rsid w:val="00411CCE"/>
    <w:rsid w:val="00415ACC"/>
    <w:rsid w:val="00415B81"/>
    <w:rsid w:val="00421817"/>
    <w:rsid w:val="00422AC2"/>
    <w:rsid w:val="004309EB"/>
    <w:rsid w:val="00431514"/>
    <w:rsid w:val="0043249D"/>
    <w:rsid w:val="0043712C"/>
    <w:rsid w:val="00440181"/>
    <w:rsid w:val="00444F73"/>
    <w:rsid w:val="00450924"/>
    <w:rsid w:val="00450BBF"/>
    <w:rsid w:val="0046220F"/>
    <w:rsid w:val="00462E6D"/>
    <w:rsid w:val="0046353C"/>
    <w:rsid w:val="00467925"/>
    <w:rsid w:val="00477617"/>
    <w:rsid w:val="00480222"/>
    <w:rsid w:val="004823BC"/>
    <w:rsid w:val="00491947"/>
    <w:rsid w:val="0049330B"/>
    <w:rsid w:val="004A040F"/>
    <w:rsid w:val="004A171D"/>
    <w:rsid w:val="004A4422"/>
    <w:rsid w:val="004B07FE"/>
    <w:rsid w:val="004B09DA"/>
    <w:rsid w:val="004B6B76"/>
    <w:rsid w:val="004D0926"/>
    <w:rsid w:val="004D47AC"/>
    <w:rsid w:val="004D4E32"/>
    <w:rsid w:val="004E66AA"/>
    <w:rsid w:val="004E7F5D"/>
    <w:rsid w:val="004F0058"/>
    <w:rsid w:val="004F1F95"/>
    <w:rsid w:val="004F2AEB"/>
    <w:rsid w:val="004F4B30"/>
    <w:rsid w:val="004F619E"/>
    <w:rsid w:val="00504A8B"/>
    <w:rsid w:val="00506019"/>
    <w:rsid w:val="00506C9E"/>
    <w:rsid w:val="00514EB1"/>
    <w:rsid w:val="00515C26"/>
    <w:rsid w:val="00523BAB"/>
    <w:rsid w:val="005244C4"/>
    <w:rsid w:val="00524A3C"/>
    <w:rsid w:val="005268D3"/>
    <w:rsid w:val="00532976"/>
    <w:rsid w:val="00536A51"/>
    <w:rsid w:val="0054068A"/>
    <w:rsid w:val="0054171A"/>
    <w:rsid w:val="00542942"/>
    <w:rsid w:val="005477B0"/>
    <w:rsid w:val="0055091D"/>
    <w:rsid w:val="00552D1D"/>
    <w:rsid w:val="00563473"/>
    <w:rsid w:val="005670C1"/>
    <w:rsid w:val="0057216F"/>
    <w:rsid w:val="00572C34"/>
    <w:rsid w:val="00574903"/>
    <w:rsid w:val="00586A89"/>
    <w:rsid w:val="005870C1"/>
    <w:rsid w:val="00590B6E"/>
    <w:rsid w:val="00590D7F"/>
    <w:rsid w:val="005951C9"/>
    <w:rsid w:val="0059751A"/>
    <w:rsid w:val="005A456B"/>
    <w:rsid w:val="005A47F0"/>
    <w:rsid w:val="005A5456"/>
    <w:rsid w:val="005B0529"/>
    <w:rsid w:val="005B0639"/>
    <w:rsid w:val="005B17BD"/>
    <w:rsid w:val="005B3BA7"/>
    <w:rsid w:val="005B659D"/>
    <w:rsid w:val="005C3E62"/>
    <w:rsid w:val="005C3EE5"/>
    <w:rsid w:val="005C5F99"/>
    <w:rsid w:val="005C7ED0"/>
    <w:rsid w:val="005D13E2"/>
    <w:rsid w:val="005D18AC"/>
    <w:rsid w:val="005D1E0F"/>
    <w:rsid w:val="005D5467"/>
    <w:rsid w:val="005D6E57"/>
    <w:rsid w:val="005E5359"/>
    <w:rsid w:val="005E5770"/>
    <w:rsid w:val="005F2D45"/>
    <w:rsid w:val="005F3743"/>
    <w:rsid w:val="00600608"/>
    <w:rsid w:val="00602159"/>
    <w:rsid w:val="00613D0C"/>
    <w:rsid w:val="006152C0"/>
    <w:rsid w:val="00620334"/>
    <w:rsid w:val="00620338"/>
    <w:rsid w:val="00620FBF"/>
    <w:rsid w:val="00621F18"/>
    <w:rsid w:val="00622367"/>
    <w:rsid w:val="006229D4"/>
    <w:rsid w:val="00624FB2"/>
    <w:rsid w:val="006319E6"/>
    <w:rsid w:val="006345EA"/>
    <w:rsid w:val="00641B14"/>
    <w:rsid w:val="0064418F"/>
    <w:rsid w:val="00647E60"/>
    <w:rsid w:val="00654B31"/>
    <w:rsid w:val="00657386"/>
    <w:rsid w:val="00660395"/>
    <w:rsid w:val="006605A2"/>
    <w:rsid w:val="00660AB5"/>
    <w:rsid w:val="0066245B"/>
    <w:rsid w:val="00665B32"/>
    <w:rsid w:val="00666243"/>
    <w:rsid w:val="00670ED7"/>
    <w:rsid w:val="0068529F"/>
    <w:rsid w:val="00691C7B"/>
    <w:rsid w:val="006A0DF2"/>
    <w:rsid w:val="006A16D0"/>
    <w:rsid w:val="006B4780"/>
    <w:rsid w:val="006B5590"/>
    <w:rsid w:val="006B6B3F"/>
    <w:rsid w:val="006C007B"/>
    <w:rsid w:val="006C018C"/>
    <w:rsid w:val="006C528A"/>
    <w:rsid w:val="006C61F8"/>
    <w:rsid w:val="006D06EB"/>
    <w:rsid w:val="006D4957"/>
    <w:rsid w:val="006D6061"/>
    <w:rsid w:val="006D62E5"/>
    <w:rsid w:val="006D7CAA"/>
    <w:rsid w:val="006E1B91"/>
    <w:rsid w:val="006E63CD"/>
    <w:rsid w:val="006E7A53"/>
    <w:rsid w:val="006F5BB0"/>
    <w:rsid w:val="00704FBB"/>
    <w:rsid w:val="0070520F"/>
    <w:rsid w:val="00707674"/>
    <w:rsid w:val="00707B1A"/>
    <w:rsid w:val="00710CE2"/>
    <w:rsid w:val="00716758"/>
    <w:rsid w:val="00717F13"/>
    <w:rsid w:val="007202EA"/>
    <w:rsid w:val="007224AE"/>
    <w:rsid w:val="00723B12"/>
    <w:rsid w:val="00727173"/>
    <w:rsid w:val="00730328"/>
    <w:rsid w:val="007343B3"/>
    <w:rsid w:val="00740660"/>
    <w:rsid w:val="007420D0"/>
    <w:rsid w:val="00743768"/>
    <w:rsid w:val="0074665F"/>
    <w:rsid w:val="00754A74"/>
    <w:rsid w:val="00761952"/>
    <w:rsid w:val="007621F6"/>
    <w:rsid w:val="00764E5E"/>
    <w:rsid w:val="007674A1"/>
    <w:rsid w:val="00770257"/>
    <w:rsid w:val="00771105"/>
    <w:rsid w:val="007725C5"/>
    <w:rsid w:val="00774A36"/>
    <w:rsid w:val="007776EF"/>
    <w:rsid w:val="007805A6"/>
    <w:rsid w:val="0078295B"/>
    <w:rsid w:val="00790DAB"/>
    <w:rsid w:val="007A0CA1"/>
    <w:rsid w:val="007A18A4"/>
    <w:rsid w:val="007A1F28"/>
    <w:rsid w:val="007A434A"/>
    <w:rsid w:val="007B28FC"/>
    <w:rsid w:val="007B575C"/>
    <w:rsid w:val="007C0E77"/>
    <w:rsid w:val="007C3065"/>
    <w:rsid w:val="007C6D6B"/>
    <w:rsid w:val="007D2423"/>
    <w:rsid w:val="007D31D1"/>
    <w:rsid w:val="007D389F"/>
    <w:rsid w:val="007D708D"/>
    <w:rsid w:val="007D7F76"/>
    <w:rsid w:val="007E040D"/>
    <w:rsid w:val="007E1E21"/>
    <w:rsid w:val="007E31FD"/>
    <w:rsid w:val="007F2AF4"/>
    <w:rsid w:val="007F69E5"/>
    <w:rsid w:val="007F701F"/>
    <w:rsid w:val="0080092D"/>
    <w:rsid w:val="008016D0"/>
    <w:rsid w:val="008045D3"/>
    <w:rsid w:val="00821AD5"/>
    <w:rsid w:val="008348C0"/>
    <w:rsid w:val="008362AE"/>
    <w:rsid w:val="00837387"/>
    <w:rsid w:val="00843403"/>
    <w:rsid w:val="00846851"/>
    <w:rsid w:val="00846D8D"/>
    <w:rsid w:val="00863EF3"/>
    <w:rsid w:val="00881C10"/>
    <w:rsid w:val="0088739F"/>
    <w:rsid w:val="00892993"/>
    <w:rsid w:val="00893000"/>
    <w:rsid w:val="00897E96"/>
    <w:rsid w:val="008A0322"/>
    <w:rsid w:val="008B2520"/>
    <w:rsid w:val="008C03CA"/>
    <w:rsid w:val="008C1D68"/>
    <w:rsid w:val="008C392A"/>
    <w:rsid w:val="008C53AB"/>
    <w:rsid w:val="008C61CF"/>
    <w:rsid w:val="008D239B"/>
    <w:rsid w:val="008E2C3E"/>
    <w:rsid w:val="008E5563"/>
    <w:rsid w:val="008E5B9A"/>
    <w:rsid w:val="008F0D42"/>
    <w:rsid w:val="008F26D4"/>
    <w:rsid w:val="008F29F1"/>
    <w:rsid w:val="008F32A4"/>
    <w:rsid w:val="008F3411"/>
    <w:rsid w:val="008F3DBC"/>
    <w:rsid w:val="008F6059"/>
    <w:rsid w:val="008F66F5"/>
    <w:rsid w:val="009035D0"/>
    <w:rsid w:val="009058F8"/>
    <w:rsid w:val="00911379"/>
    <w:rsid w:val="0091299A"/>
    <w:rsid w:val="00917200"/>
    <w:rsid w:val="00917891"/>
    <w:rsid w:val="00920832"/>
    <w:rsid w:val="009224E4"/>
    <w:rsid w:val="009255D9"/>
    <w:rsid w:val="0093096F"/>
    <w:rsid w:val="0093145C"/>
    <w:rsid w:val="00931A3C"/>
    <w:rsid w:val="00934D77"/>
    <w:rsid w:val="009377A6"/>
    <w:rsid w:val="00937C78"/>
    <w:rsid w:val="009411AD"/>
    <w:rsid w:val="00942FBD"/>
    <w:rsid w:val="00943569"/>
    <w:rsid w:val="00951619"/>
    <w:rsid w:val="00962786"/>
    <w:rsid w:val="0096644C"/>
    <w:rsid w:val="009722BE"/>
    <w:rsid w:val="00975F7E"/>
    <w:rsid w:val="00976EE8"/>
    <w:rsid w:val="009801D7"/>
    <w:rsid w:val="009802D1"/>
    <w:rsid w:val="00984714"/>
    <w:rsid w:val="00992EE7"/>
    <w:rsid w:val="009949DD"/>
    <w:rsid w:val="00995A1D"/>
    <w:rsid w:val="009966CF"/>
    <w:rsid w:val="009A56BB"/>
    <w:rsid w:val="009A57C9"/>
    <w:rsid w:val="009A6556"/>
    <w:rsid w:val="009A69EA"/>
    <w:rsid w:val="009B0F1E"/>
    <w:rsid w:val="009B1EDC"/>
    <w:rsid w:val="009B57D5"/>
    <w:rsid w:val="009B6129"/>
    <w:rsid w:val="009C14E3"/>
    <w:rsid w:val="009C309A"/>
    <w:rsid w:val="009C4F41"/>
    <w:rsid w:val="009D0575"/>
    <w:rsid w:val="009D2D3E"/>
    <w:rsid w:val="009D74DA"/>
    <w:rsid w:val="009E0299"/>
    <w:rsid w:val="009E10C0"/>
    <w:rsid w:val="009F2B1D"/>
    <w:rsid w:val="009F6522"/>
    <w:rsid w:val="009F6B4B"/>
    <w:rsid w:val="009F6CA3"/>
    <w:rsid w:val="00A07B54"/>
    <w:rsid w:val="00A10AFB"/>
    <w:rsid w:val="00A13503"/>
    <w:rsid w:val="00A230BE"/>
    <w:rsid w:val="00A233F2"/>
    <w:rsid w:val="00A253F3"/>
    <w:rsid w:val="00A26E02"/>
    <w:rsid w:val="00A349DF"/>
    <w:rsid w:val="00A36315"/>
    <w:rsid w:val="00A37326"/>
    <w:rsid w:val="00A423D2"/>
    <w:rsid w:val="00A51CD0"/>
    <w:rsid w:val="00A54B92"/>
    <w:rsid w:val="00A57810"/>
    <w:rsid w:val="00A578A5"/>
    <w:rsid w:val="00A61F49"/>
    <w:rsid w:val="00A65143"/>
    <w:rsid w:val="00A74196"/>
    <w:rsid w:val="00A75D68"/>
    <w:rsid w:val="00A75E53"/>
    <w:rsid w:val="00A80512"/>
    <w:rsid w:val="00A8356F"/>
    <w:rsid w:val="00A910B1"/>
    <w:rsid w:val="00A91350"/>
    <w:rsid w:val="00A9156D"/>
    <w:rsid w:val="00A91858"/>
    <w:rsid w:val="00A944A9"/>
    <w:rsid w:val="00A97C69"/>
    <w:rsid w:val="00AA10EE"/>
    <w:rsid w:val="00AA4AC1"/>
    <w:rsid w:val="00AA6006"/>
    <w:rsid w:val="00AA731A"/>
    <w:rsid w:val="00AB0547"/>
    <w:rsid w:val="00AB766F"/>
    <w:rsid w:val="00AC4D30"/>
    <w:rsid w:val="00AC4EEE"/>
    <w:rsid w:val="00AD05AE"/>
    <w:rsid w:val="00AD1A91"/>
    <w:rsid w:val="00AD3596"/>
    <w:rsid w:val="00AD435E"/>
    <w:rsid w:val="00AD684C"/>
    <w:rsid w:val="00AD6BA4"/>
    <w:rsid w:val="00AE4167"/>
    <w:rsid w:val="00AE44AB"/>
    <w:rsid w:val="00AE5E73"/>
    <w:rsid w:val="00AF4BD8"/>
    <w:rsid w:val="00B0026F"/>
    <w:rsid w:val="00B01A7A"/>
    <w:rsid w:val="00B10E2E"/>
    <w:rsid w:val="00B14DAF"/>
    <w:rsid w:val="00B22C29"/>
    <w:rsid w:val="00B233B0"/>
    <w:rsid w:val="00B27AD5"/>
    <w:rsid w:val="00B32CC8"/>
    <w:rsid w:val="00B42740"/>
    <w:rsid w:val="00B460E1"/>
    <w:rsid w:val="00B479DD"/>
    <w:rsid w:val="00B52767"/>
    <w:rsid w:val="00B52B1C"/>
    <w:rsid w:val="00B533F6"/>
    <w:rsid w:val="00B537A0"/>
    <w:rsid w:val="00B549D2"/>
    <w:rsid w:val="00B62FC4"/>
    <w:rsid w:val="00B717BC"/>
    <w:rsid w:val="00B7726E"/>
    <w:rsid w:val="00B80586"/>
    <w:rsid w:val="00B83BB0"/>
    <w:rsid w:val="00B83F77"/>
    <w:rsid w:val="00B85050"/>
    <w:rsid w:val="00B86CBF"/>
    <w:rsid w:val="00B91BFE"/>
    <w:rsid w:val="00B92CF9"/>
    <w:rsid w:val="00B95EF3"/>
    <w:rsid w:val="00B96E97"/>
    <w:rsid w:val="00BA580D"/>
    <w:rsid w:val="00BA66DB"/>
    <w:rsid w:val="00BB0D33"/>
    <w:rsid w:val="00BB3E2F"/>
    <w:rsid w:val="00BB7B06"/>
    <w:rsid w:val="00BC396F"/>
    <w:rsid w:val="00BC3BA3"/>
    <w:rsid w:val="00BD2D4A"/>
    <w:rsid w:val="00BD77A8"/>
    <w:rsid w:val="00BD7CCD"/>
    <w:rsid w:val="00BE3CE5"/>
    <w:rsid w:val="00BE4153"/>
    <w:rsid w:val="00BE65AB"/>
    <w:rsid w:val="00BE7147"/>
    <w:rsid w:val="00BF0D86"/>
    <w:rsid w:val="00BF30FD"/>
    <w:rsid w:val="00BF36B1"/>
    <w:rsid w:val="00BF3991"/>
    <w:rsid w:val="00BF6CA0"/>
    <w:rsid w:val="00C07C22"/>
    <w:rsid w:val="00C13823"/>
    <w:rsid w:val="00C23C75"/>
    <w:rsid w:val="00C24152"/>
    <w:rsid w:val="00C2513E"/>
    <w:rsid w:val="00C3002B"/>
    <w:rsid w:val="00C34146"/>
    <w:rsid w:val="00C3497A"/>
    <w:rsid w:val="00C36A74"/>
    <w:rsid w:val="00C52D50"/>
    <w:rsid w:val="00C54986"/>
    <w:rsid w:val="00C6042F"/>
    <w:rsid w:val="00C605AC"/>
    <w:rsid w:val="00C607D1"/>
    <w:rsid w:val="00C6293B"/>
    <w:rsid w:val="00C64667"/>
    <w:rsid w:val="00C668CF"/>
    <w:rsid w:val="00C75098"/>
    <w:rsid w:val="00C9154E"/>
    <w:rsid w:val="00CA3C06"/>
    <w:rsid w:val="00CA611F"/>
    <w:rsid w:val="00CB0837"/>
    <w:rsid w:val="00CB2E26"/>
    <w:rsid w:val="00CB5BF3"/>
    <w:rsid w:val="00CC455D"/>
    <w:rsid w:val="00CC5B69"/>
    <w:rsid w:val="00CD2689"/>
    <w:rsid w:val="00CD5E77"/>
    <w:rsid w:val="00CD7E52"/>
    <w:rsid w:val="00CE1B02"/>
    <w:rsid w:val="00CE6EC6"/>
    <w:rsid w:val="00CF019D"/>
    <w:rsid w:val="00CF1734"/>
    <w:rsid w:val="00CF7A79"/>
    <w:rsid w:val="00D027B5"/>
    <w:rsid w:val="00D15A39"/>
    <w:rsid w:val="00D15CEB"/>
    <w:rsid w:val="00D15EC4"/>
    <w:rsid w:val="00D20418"/>
    <w:rsid w:val="00D21DB0"/>
    <w:rsid w:val="00D227B7"/>
    <w:rsid w:val="00D36488"/>
    <w:rsid w:val="00D41094"/>
    <w:rsid w:val="00D43C6A"/>
    <w:rsid w:val="00D477E6"/>
    <w:rsid w:val="00D56645"/>
    <w:rsid w:val="00D57C98"/>
    <w:rsid w:val="00D66C53"/>
    <w:rsid w:val="00D70609"/>
    <w:rsid w:val="00D74DD8"/>
    <w:rsid w:val="00D804CB"/>
    <w:rsid w:val="00D806E2"/>
    <w:rsid w:val="00DA12B1"/>
    <w:rsid w:val="00DA288F"/>
    <w:rsid w:val="00DA2B4F"/>
    <w:rsid w:val="00DA47B0"/>
    <w:rsid w:val="00DA74A6"/>
    <w:rsid w:val="00DB2CC6"/>
    <w:rsid w:val="00DB36A6"/>
    <w:rsid w:val="00DC16A2"/>
    <w:rsid w:val="00DC3869"/>
    <w:rsid w:val="00DC46FE"/>
    <w:rsid w:val="00DD0E00"/>
    <w:rsid w:val="00DD3A14"/>
    <w:rsid w:val="00DD6CFF"/>
    <w:rsid w:val="00DE1CA0"/>
    <w:rsid w:val="00DE2798"/>
    <w:rsid w:val="00DE3B39"/>
    <w:rsid w:val="00DE4D3C"/>
    <w:rsid w:val="00DF4096"/>
    <w:rsid w:val="00DF42F0"/>
    <w:rsid w:val="00DF59D9"/>
    <w:rsid w:val="00E0156C"/>
    <w:rsid w:val="00E01B05"/>
    <w:rsid w:val="00E042C5"/>
    <w:rsid w:val="00E04DDF"/>
    <w:rsid w:val="00E130CF"/>
    <w:rsid w:val="00E179D0"/>
    <w:rsid w:val="00E20207"/>
    <w:rsid w:val="00E2725C"/>
    <w:rsid w:val="00E302A3"/>
    <w:rsid w:val="00E30800"/>
    <w:rsid w:val="00E30CF3"/>
    <w:rsid w:val="00E347C5"/>
    <w:rsid w:val="00E405AB"/>
    <w:rsid w:val="00E40C13"/>
    <w:rsid w:val="00E440EA"/>
    <w:rsid w:val="00E4419B"/>
    <w:rsid w:val="00E47BBD"/>
    <w:rsid w:val="00E47F04"/>
    <w:rsid w:val="00E52964"/>
    <w:rsid w:val="00E529AD"/>
    <w:rsid w:val="00E5346C"/>
    <w:rsid w:val="00E57454"/>
    <w:rsid w:val="00E6326F"/>
    <w:rsid w:val="00E6754A"/>
    <w:rsid w:val="00E813EC"/>
    <w:rsid w:val="00E82B7B"/>
    <w:rsid w:val="00E84A2E"/>
    <w:rsid w:val="00E85B76"/>
    <w:rsid w:val="00E85D0B"/>
    <w:rsid w:val="00E90E60"/>
    <w:rsid w:val="00E90F5C"/>
    <w:rsid w:val="00E91BE6"/>
    <w:rsid w:val="00E949C9"/>
    <w:rsid w:val="00E9696C"/>
    <w:rsid w:val="00E97804"/>
    <w:rsid w:val="00EA0144"/>
    <w:rsid w:val="00EA10D7"/>
    <w:rsid w:val="00EA3336"/>
    <w:rsid w:val="00EB2366"/>
    <w:rsid w:val="00EB4940"/>
    <w:rsid w:val="00EB5CEC"/>
    <w:rsid w:val="00EC3BD8"/>
    <w:rsid w:val="00EC3F42"/>
    <w:rsid w:val="00ED7072"/>
    <w:rsid w:val="00EE05AE"/>
    <w:rsid w:val="00EF248C"/>
    <w:rsid w:val="00EF44C4"/>
    <w:rsid w:val="00EF53E2"/>
    <w:rsid w:val="00EF7B78"/>
    <w:rsid w:val="00F00BD3"/>
    <w:rsid w:val="00F034FB"/>
    <w:rsid w:val="00F050FB"/>
    <w:rsid w:val="00F05186"/>
    <w:rsid w:val="00F0518E"/>
    <w:rsid w:val="00F13235"/>
    <w:rsid w:val="00F15AD8"/>
    <w:rsid w:val="00F16C5E"/>
    <w:rsid w:val="00F24330"/>
    <w:rsid w:val="00F259D8"/>
    <w:rsid w:val="00F26BF9"/>
    <w:rsid w:val="00F3076A"/>
    <w:rsid w:val="00F31BFC"/>
    <w:rsid w:val="00F33DDF"/>
    <w:rsid w:val="00F44A51"/>
    <w:rsid w:val="00F4770F"/>
    <w:rsid w:val="00F47807"/>
    <w:rsid w:val="00F52420"/>
    <w:rsid w:val="00F552F2"/>
    <w:rsid w:val="00F653EF"/>
    <w:rsid w:val="00F65F18"/>
    <w:rsid w:val="00F660A4"/>
    <w:rsid w:val="00F6682E"/>
    <w:rsid w:val="00F736A0"/>
    <w:rsid w:val="00F86299"/>
    <w:rsid w:val="00F93B71"/>
    <w:rsid w:val="00F97484"/>
    <w:rsid w:val="00F974D3"/>
    <w:rsid w:val="00FA0064"/>
    <w:rsid w:val="00FA03D3"/>
    <w:rsid w:val="00FA18DD"/>
    <w:rsid w:val="00FA28DF"/>
    <w:rsid w:val="00FA6816"/>
    <w:rsid w:val="00FB172E"/>
    <w:rsid w:val="00FB3211"/>
    <w:rsid w:val="00FB590A"/>
    <w:rsid w:val="00FB5BC4"/>
    <w:rsid w:val="00FC2BDD"/>
    <w:rsid w:val="00FC4966"/>
    <w:rsid w:val="00FD25CB"/>
    <w:rsid w:val="00FD71B7"/>
    <w:rsid w:val="00FD739A"/>
    <w:rsid w:val="00FE44E9"/>
    <w:rsid w:val="00FE4ED9"/>
    <w:rsid w:val="00FF3426"/>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A7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paragraph" w:styleId="ListParagraph">
    <w:name w:val="List Paragraph"/>
    <w:basedOn w:val="Normal"/>
    <w:uiPriority w:val="34"/>
    <w:qFormat/>
    <w:rsid w:val="00951619"/>
    <w:pPr>
      <w:ind w:left="720"/>
      <w:contextualSpacing/>
    </w:pPr>
  </w:style>
  <w:style w:type="table" w:styleId="TableGrid">
    <w:name w:val="Table Grid"/>
    <w:basedOn w:val="TableNormal"/>
    <w:rsid w:val="008A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1580">
      <w:bodyDiv w:val="1"/>
      <w:marLeft w:val="0"/>
      <w:marRight w:val="0"/>
      <w:marTop w:val="0"/>
      <w:marBottom w:val="0"/>
      <w:divBdr>
        <w:top w:val="none" w:sz="0" w:space="0" w:color="auto"/>
        <w:left w:val="none" w:sz="0" w:space="0" w:color="auto"/>
        <w:bottom w:val="none" w:sz="0" w:space="0" w:color="auto"/>
        <w:right w:val="none" w:sz="0" w:space="0" w:color="auto"/>
      </w:divBdr>
    </w:div>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1600064445">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 w:id="21405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Spiller@duke-energ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mcmahon@emclawyer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9813</Characters>
  <Application>Microsoft Office Word</Application>
  <DocSecurity>0</DocSecurity>
  <PresentationFormat/>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2015-10-23T19:59:00Z</dcterms:created>
  <dcterms:modified xsi:type="dcterms:W3CDTF">2015-10-23T20:04:00Z</dcterms:modified>
</cp:coreProperties>
</file>