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A1" w:rsidRDefault="00F014A1">
      <w:pPr>
        <w:rPr>
          <w:b/>
          <w:sz w:val="24"/>
          <w:u w:val="single"/>
        </w:rPr>
      </w:pPr>
    </w:p>
    <w:p w:rsidR="00B54B55" w:rsidRPr="00B54B55" w:rsidRDefault="00B54B55" w:rsidP="00B54B55">
      <w:pPr>
        <w:widowControl w:val="0"/>
        <w:jc w:val="center"/>
        <w:rPr>
          <w:rFonts w:eastAsia="Times New Roman"/>
          <w:b/>
          <w:sz w:val="24"/>
        </w:rPr>
      </w:pPr>
      <w:r w:rsidRPr="00B54B55">
        <w:rPr>
          <w:rFonts w:eastAsia="Times New Roman"/>
          <w:b/>
          <w:sz w:val="24"/>
        </w:rPr>
        <w:t>BEFORE</w:t>
      </w:r>
    </w:p>
    <w:p w:rsidR="00B54B55" w:rsidRPr="00B54B55" w:rsidRDefault="00B54B55" w:rsidP="00B54B55">
      <w:pPr>
        <w:widowControl w:val="0"/>
        <w:spacing w:after="200" w:line="276" w:lineRule="auto"/>
        <w:jc w:val="center"/>
        <w:rPr>
          <w:rFonts w:eastAsia="Calibri"/>
          <w:b/>
          <w:sz w:val="24"/>
        </w:rPr>
      </w:pPr>
      <w:r w:rsidRPr="00B54B55">
        <w:rPr>
          <w:rFonts w:eastAsia="Calibri"/>
          <w:b/>
          <w:sz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B54B55" w:rsidRPr="00B54B55" w:rsidTr="003558B0">
        <w:trPr>
          <w:trHeight w:val="873"/>
          <w:jc w:val="center"/>
        </w:trPr>
        <w:tc>
          <w:tcPr>
            <w:tcW w:w="4739" w:type="dxa"/>
          </w:tcPr>
          <w:p w:rsidR="00B54B55" w:rsidRPr="00B54B55" w:rsidRDefault="00B54B55" w:rsidP="00FF2284">
            <w:pPr>
              <w:autoSpaceDE w:val="0"/>
              <w:autoSpaceDN w:val="0"/>
              <w:adjustRightInd w:val="0"/>
              <w:rPr>
                <w:rFonts w:eastAsia="Calibri"/>
                <w:sz w:val="24"/>
              </w:rPr>
            </w:pPr>
            <w:r w:rsidRPr="00B54B55">
              <w:rPr>
                <w:rFonts w:eastAsia="Calibri"/>
                <w:sz w:val="24"/>
              </w:rPr>
              <w:t>In the Matter of the Application of Ohio</w:t>
            </w:r>
          </w:p>
          <w:p w:rsidR="00B54B55" w:rsidRPr="00B54B55" w:rsidRDefault="00B54B55" w:rsidP="00FF2284">
            <w:pPr>
              <w:autoSpaceDE w:val="0"/>
              <w:autoSpaceDN w:val="0"/>
              <w:adjustRightInd w:val="0"/>
              <w:rPr>
                <w:rFonts w:eastAsia="Calibri"/>
                <w:sz w:val="24"/>
              </w:rPr>
            </w:pPr>
            <w:r w:rsidRPr="00B54B55">
              <w:rPr>
                <w:rFonts w:eastAsia="Calibri"/>
                <w:sz w:val="24"/>
              </w:rPr>
              <w:t>Edison Company, The Cleveland Electric</w:t>
            </w:r>
          </w:p>
          <w:p w:rsidR="00B54B55" w:rsidRPr="00B54B55" w:rsidRDefault="00B54B55" w:rsidP="00FF2284">
            <w:pPr>
              <w:autoSpaceDE w:val="0"/>
              <w:autoSpaceDN w:val="0"/>
              <w:adjustRightInd w:val="0"/>
              <w:rPr>
                <w:rFonts w:eastAsia="Calibri"/>
                <w:sz w:val="24"/>
              </w:rPr>
            </w:pPr>
            <w:r w:rsidRPr="00B54B55">
              <w:rPr>
                <w:rFonts w:eastAsia="Calibri"/>
                <w:sz w:val="24"/>
              </w:rPr>
              <w:t>Illuminating Company and The Toledo</w:t>
            </w:r>
          </w:p>
          <w:p w:rsidR="00B54B55" w:rsidRPr="00B54B55" w:rsidRDefault="00B54B55" w:rsidP="00FF2284">
            <w:pPr>
              <w:autoSpaceDE w:val="0"/>
              <w:autoSpaceDN w:val="0"/>
              <w:adjustRightInd w:val="0"/>
              <w:rPr>
                <w:rFonts w:eastAsia="Calibri"/>
                <w:sz w:val="24"/>
              </w:rPr>
            </w:pPr>
            <w:r w:rsidRPr="00B54B55">
              <w:rPr>
                <w:rFonts w:eastAsia="Calibri"/>
                <w:sz w:val="24"/>
              </w:rPr>
              <w:t>Edison Company for Authority to Provide</w:t>
            </w:r>
          </w:p>
          <w:p w:rsidR="00B54B55" w:rsidRPr="00B54B55" w:rsidRDefault="00B54B55" w:rsidP="00FF2284">
            <w:pPr>
              <w:autoSpaceDE w:val="0"/>
              <w:autoSpaceDN w:val="0"/>
              <w:adjustRightInd w:val="0"/>
              <w:rPr>
                <w:rFonts w:eastAsia="Calibri"/>
                <w:sz w:val="24"/>
              </w:rPr>
            </w:pPr>
            <w:r w:rsidRPr="00B54B55">
              <w:rPr>
                <w:rFonts w:eastAsia="Calibri"/>
                <w:sz w:val="24"/>
              </w:rPr>
              <w:t>for a Standard Service Offer Pursuant to R.C. 4928.143 in the Form of an Electric Security Plan</w:t>
            </w:r>
          </w:p>
        </w:tc>
        <w:tc>
          <w:tcPr>
            <w:tcW w:w="630" w:type="dxa"/>
          </w:tcPr>
          <w:p w:rsidR="00B54B55" w:rsidRPr="00B54B55" w:rsidRDefault="00B54B55" w:rsidP="00B54B55">
            <w:pPr>
              <w:widowControl w:val="0"/>
              <w:jc w:val="center"/>
              <w:rPr>
                <w:rFonts w:eastAsia="Calibri"/>
                <w:sz w:val="24"/>
              </w:rPr>
            </w:pPr>
            <w:r w:rsidRPr="00B54B55">
              <w:rPr>
                <w:rFonts w:eastAsia="Calibri"/>
                <w:sz w:val="24"/>
              </w:rPr>
              <w:t>)</w:t>
            </w:r>
          </w:p>
          <w:p w:rsidR="00B54B55" w:rsidRPr="00B54B55" w:rsidRDefault="00B54B55" w:rsidP="00B54B55">
            <w:pPr>
              <w:widowControl w:val="0"/>
              <w:jc w:val="center"/>
              <w:rPr>
                <w:rFonts w:eastAsia="Calibri"/>
                <w:sz w:val="24"/>
              </w:rPr>
            </w:pPr>
            <w:r w:rsidRPr="00B54B55">
              <w:rPr>
                <w:rFonts w:eastAsia="Calibri"/>
                <w:sz w:val="24"/>
              </w:rPr>
              <w:t>)</w:t>
            </w:r>
          </w:p>
          <w:p w:rsidR="00B54B55" w:rsidRPr="00B54B55" w:rsidRDefault="00B54B55" w:rsidP="00B54B55">
            <w:pPr>
              <w:widowControl w:val="0"/>
              <w:jc w:val="center"/>
              <w:rPr>
                <w:rFonts w:eastAsia="Calibri"/>
                <w:sz w:val="24"/>
              </w:rPr>
            </w:pPr>
            <w:r w:rsidRPr="00B54B55">
              <w:rPr>
                <w:rFonts w:eastAsia="Calibri"/>
                <w:sz w:val="24"/>
              </w:rPr>
              <w:t>)</w:t>
            </w:r>
          </w:p>
          <w:p w:rsidR="00B54B55" w:rsidRPr="00B54B55" w:rsidRDefault="00B54B55" w:rsidP="00B54B55">
            <w:pPr>
              <w:widowControl w:val="0"/>
              <w:jc w:val="center"/>
              <w:rPr>
                <w:rFonts w:eastAsia="Calibri"/>
                <w:sz w:val="24"/>
              </w:rPr>
            </w:pPr>
            <w:r w:rsidRPr="00B54B55">
              <w:rPr>
                <w:rFonts w:eastAsia="Calibri"/>
                <w:sz w:val="24"/>
              </w:rPr>
              <w:t>)</w:t>
            </w:r>
          </w:p>
          <w:p w:rsidR="00B54B55" w:rsidRPr="00B54B55" w:rsidRDefault="00B54B55" w:rsidP="00B54B55">
            <w:pPr>
              <w:widowControl w:val="0"/>
              <w:jc w:val="center"/>
              <w:rPr>
                <w:rFonts w:eastAsia="Calibri"/>
                <w:sz w:val="24"/>
              </w:rPr>
            </w:pPr>
            <w:r w:rsidRPr="00B54B55">
              <w:rPr>
                <w:rFonts w:eastAsia="Calibri"/>
                <w:sz w:val="24"/>
              </w:rPr>
              <w:t>)</w:t>
            </w:r>
          </w:p>
          <w:p w:rsidR="00B54B55" w:rsidRPr="00B54B55" w:rsidRDefault="00B54B55" w:rsidP="00B54B55">
            <w:pPr>
              <w:widowControl w:val="0"/>
              <w:jc w:val="center"/>
              <w:rPr>
                <w:rFonts w:eastAsia="Calibri"/>
                <w:sz w:val="24"/>
              </w:rPr>
            </w:pPr>
            <w:r w:rsidRPr="00B54B55">
              <w:rPr>
                <w:rFonts w:eastAsia="Calibri"/>
                <w:sz w:val="24"/>
              </w:rPr>
              <w:t>)</w:t>
            </w:r>
          </w:p>
          <w:p w:rsidR="00B54B55" w:rsidRPr="00B54B55" w:rsidRDefault="00B54B55" w:rsidP="00B54B55">
            <w:pPr>
              <w:widowControl w:val="0"/>
              <w:jc w:val="center"/>
              <w:rPr>
                <w:rFonts w:eastAsia="Calibri"/>
                <w:sz w:val="24"/>
              </w:rPr>
            </w:pPr>
            <w:r w:rsidRPr="00B54B55">
              <w:rPr>
                <w:rFonts w:eastAsia="Calibri"/>
                <w:sz w:val="24"/>
              </w:rPr>
              <w:t>)</w:t>
            </w:r>
          </w:p>
          <w:p w:rsidR="00B54B55" w:rsidRPr="00B54B55" w:rsidRDefault="00B54B55" w:rsidP="00B54B55">
            <w:pPr>
              <w:widowControl w:val="0"/>
              <w:jc w:val="left"/>
              <w:rPr>
                <w:rFonts w:eastAsia="Calibri"/>
                <w:sz w:val="24"/>
              </w:rPr>
            </w:pPr>
          </w:p>
        </w:tc>
        <w:tc>
          <w:tcPr>
            <w:tcW w:w="3928" w:type="dxa"/>
          </w:tcPr>
          <w:p w:rsidR="00B54B55" w:rsidRPr="00B54B55" w:rsidRDefault="00B54B55" w:rsidP="00B54B55">
            <w:pPr>
              <w:widowControl w:val="0"/>
              <w:jc w:val="left"/>
              <w:rPr>
                <w:rFonts w:eastAsia="Calibri"/>
                <w:sz w:val="24"/>
              </w:rPr>
            </w:pPr>
          </w:p>
          <w:p w:rsidR="00B54B55" w:rsidRPr="00B54B55" w:rsidRDefault="00B54B55" w:rsidP="00B54B55">
            <w:pPr>
              <w:widowControl w:val="0"/>
              <w:jc w:val="left"/>
              <w:rPr>
                <w:rFonts w:eastAsia="Calibri"/>
                <w:sz w:val="24"/>
              </w:rPr>
            </w:pPr>
          </w:p>
          <w:p w:rsidR="00B54B55" w:rsidRPr="00B54B55" w:rsidRDefault="00B54B55" w:rsidP="00B54B55">
            <w:pPr>
              <w:widowControl w:val="0"/>
              <w:jc w:val="left"/>
              <w:rPr>
                <w:rFonts w:eastAsia="Calibri"/>
                <w:sz w:val="24"/>
              </w:rPr>
            </w:pPr>
            <w:r w:rsidRPr="00B54B55">
              <w:rPr>
                <w:rFonts w:eastAsia="Calibri"/>
                <w:sz w:val="24"/>
              </w:rPr>
              <w:t>Case No. 14-1297-EL-SSO</w:t>
            </w:r>
          </w:p>
          <w:p w:rsidR="00B54B55" w:rsidRPr="00B54B55" w:rsidRDefault="00B54B55" w:rsidP="00B54B55">
            <w:pPr>
              <w:widowControl w:val="0"/>
              <w:jc w:val="left"/>
              <w:rPr>
                <w:rFonts w:eastAsia="Calibri"/>
                <w:sz w:val="24"/>
              </w:rPr>
            </w:pPr>
          </w:p>
          <w:p w:rsidR="00B54B55" w:rsidRPr="00B54B55" w:rsidRDefault="00B54B55" w:rsidP="00B54B55">
            <w:pPr>
              <w:widowControl w:val="0"/>
              <w:jc w:val="left"/>
              <w:rPr>
                <w:rFonts w:eastAsia="Calibri"/>
                <w:sz w:val="24"/>
              </w:rPr>
            </w:pPr>
          </w:p>
          <w:p w:rsidR="00B54B55" w:rsidRPr="00B54B55" w:rsidRDefault="00B54B55" w:rsidP="00B54B55">
            <w:pPr>
              <w:widowControl w:val="0"/>
              <w:jc w:val="left"/>
              <w:rPr>
                <w:rFonts w:eastAsia="Calibri"/>
                <w:sz w:val="24"/>
              </w:rPr>
            </w:pPr>
          </w:p>
          <w:p w:rsidR="00B54B55" w:rsidRPr="00B54B55" w:rsidRDefault="00B54B55" w:rsidP="00B54B55">
            <w:pPr>
              <w:widowControl w:val="0"/>
              <w:jc w:val="left"/>
              <w:rPr>
                <w:rFonts w:eastAsia="Calibri"/>
                <w:sz w:val="24"/>
              </w:rPr>
            </w:pPr>
          </w:p>
          <w:p w:rsidR="00B54B55" w:rsidRPr="00B54B55" w:rsidRDefault="00B54B55" w:rsidP="00B54B55">
            <w:pPr>
              <w:widowControl w:val="0"/>
              <w:jc w:val="left"/>
              <w:rPr>
                <w:rFonts w:eastAsia="Calibri"/>
                <w:sz w:val="24"/>
              </w:rPr>
            </w:pPr>
          </w:p>
        </w:tc>
      </w:tr>
    </w:tbl>
    <w:p w:rsidR="00B54B55" w:rsidRPr="00B54B55" w:rsidRDefault="00B54B55" w:rsidP="00963246">
      <w:pPr>
        <w:spacing w:after="200" w:line="276" w:lineRule="auto"/>
        <w:jc w:val="center"/>
        <w:rPr>
          <w:rFonts w:eastAsia="Calibri"/>
          <w:b/>
          <w:bCs/>
          <w:sz w:val="24"/>
        </w:rPr>
      </w:pPr>
      <w:r w:rsidRPr="00B54B55">
        <w:rPr>
          <w:rFonts w:eastAsia="Calibri"/>
          <w:b/>
          <w:bCs/>
          <w:sz w:val="24"/>
        </w:rPr>
        <w:t>______________________________________</w:t>
      </w:r>
    </w:p>
    <w:p w:rsidR="00B54B55" w:rsidRPr="00B54B55" w:rsidRDefault="00FD07A6" w:rsidP="00B54B55">
      <w:pPr>
        <w:spacing w:after="200" w:line="276" w:lineRule="auto"/>
        <w:jc w:val="center"/>
        <w:rPr>
          <w:rFonts w:eastAsia="Calibri"/>
          <w:b/>
          <w:bCs/>
          <w:sz w:val="24"/>
        </w:rPr>
      </w:pPr>
      <w:proofErr w:type="gramStart"/>
      <w:r>
        <w:rPr>
          <w:rFonts w:eastAsia="Calibri"/>
          <w:b/>
          <w:bCs/>
          <w:sz w:val="24"/>
        </w:rPr>
        <w:t>MEMORANDUM CONTRA</w:t>
      </w:r>
      <w:r w:rsidR="00B54B55">
        <w:rPr>
          <w:rFonts w:eastAsia="Calibri"/>
          <w:b/>
          <w:bCs/>
          <w:sz w:val="24"/>
        </w:rPr>
        <w:t xml:space="preserve"> OF INTERSTATE GAS SUPPLY, INC.</w:t>
      </w:r>
      <w:proofErr w:type="gramEnd"/>
    </w:p>
    <w:p w:rsidR="00B54B55" w:rsidRPr="00B54B55" w:rsidRDefault="00B54B55" w:rsidP="00B54B55">
      <w:pPr>
        <w:spacing w:after="200" w:line="276" w:lineRule="auto"/>
        <w:jc w:val="center"/>
        <w:rPr>
          <w:rFonts w:eastAsia="Calibri"/>
          <w:b/>
          <w:bCs/>
          <w:sz w:val="24"/>
        </w:rPr>
      </w:pPr>
      <w:r w:rsidRPr="00B54B55">
        <w:rPr>
          <w:rFonts w:eastAsia="Calibri"/>
          <w:b/>
          <w:bCs/>
          <w:sz w:val="24"/>
        </w:rPr>
        <w:t>______________________________________</w:t>
      </w:r>
    </w:p>
    <w:p w:rsidR="00B54B55" w:rsidRPr="00B54B55" w:rsidRDefault="00B54B55" w:rsidP="00B54B55">
      <w:pPr>
        <w:spacing w:after="200" w:line="276" w:lineRule="auto"/>
        <w:rPr>
          <w:rFonts w:eastAsia="Calibri"/>
          <w:b/>
          <w:bCs/>
          <w:sz w:val="24"/>
        </w:rPr>
      </w:pPr>
    </w:p>
    <w:p w:rsidR="00B54B55" w:rsidRDefault="00B54B55">
      <w:pPr>
        <w:rPr>
          <w:b/>
          <w:sz w:val="24"/>
          <w:u w:val="single"/>
        </w:rPr>
      </w:pPr>
    </w:p>
    <w:p w:rsidR="00B54B55" w:rsidRDefault="00B54B55">
      <w:pPr>
        <w:rPr>
          <w:b/>
          <w:sz w:val="24"/>
          <w:u w:val="single"/>
        </w:rPr>
      </w:pPr>
    </w:p>
    <w:p w:rsidR="00B54B55" w:rsidRDefault="00B54B55">
      <w:pPr>
        <w:rPr>
          <w:b/>
          <w:sz w:val="24"/>
          <w:u w:val="single"/>
        </w:rPr>
      </w:pPr>
    </w:p>
    <w:p w:rsidR="00B54B55" w:rsidRDefault="00B54B55">
      <w:pPr>
        <w:rPr>
          <w:b/>
          <w:sz w:val="24"/>
          <w:u w:val="single"/>
        </w:rPr>
      </w:pPr>
    </w:p>
    <w:p w:rsidR="00B54B55" w:rsidRDefault="00B54B55">
      <w:pPr>
        <w:rPr>
          <w:b/>
          <w:sz w:val="24"/>
          <w:u w:val="single"/>
        </w:rPr>
      </w:pPr>
    </w:p>
    <w:p w:rsidR="00B54B55" w:rsidRDefault="00B54B55">
      <w:pPr>
        <w:rPr>
          <w:b/>
          <w:sz w:val="24"/>
          <w:u w:val="single"/>
        </w:rPr>
      </w:pPr>
    </w:p>
    <w:p w:rsidR="00B54B55" w:rsidRDefault="00B54B55">
      <w:pPr>
        <w:rPr>
          <w:b/>
          <w:sz w:val="24"/>
          <w:u w:val="single"/>
        </w:rPr>
      </w:pPr>
    </w:p>
    <w:p w:rsidR="00FA18B2" w:rsidRDefault="00FA18B2">
      <w:pPr>
        <w:rPr>
          <w:b/>
          <w:sz w:val="24"/>
          <w:u w:val="single"/>
        </w:rPr>
      </w:pPr>
    </w:p>
    <w:p w:rsidR="00FA18B2" w:rsidRDefault="00FA18B2">
      <w:pPr>
        <w:rPr>
          <w:b/>
          <w:sz w:val="24"/>
          <w:u w:val="single"/>
        </w:rPr>
      </w:pPr>
    </w:p>
    <w:p w:rsidR="00FA18B2" w:rsidRDefault="00FA18B2">
      <w:pPr>
        <w:rPr>
          <w:b/>
          <w:sz w:val="24"/>
          <w:u w:val="single"/>
        </w:rPr>
      </w:pPr>
    </w:p>
    <w:p w:rsidR="00FA18B2" w:rsidRDefault="00FA18B2">
      <w:pPr>
        <w:rPr>
          <w:b/>
          <w:sz w:val="24"/>
          <w:u w:val="single"/>
        </w:rPr>
      </w:pPr>
    </w:p>
    <w:p w:rsidR="00FA18B2" w:rsidRDefault="00FA18B2">
      <w:pPr>
        <w:rPr>
          <w:b/>
          <w:sz w:val="24"/>
          <w:u w:val="single"/>
        </w:rPr>
      </w:pPr>
    </w:p>
    <w:p w:rsidR="00B54B55" w:rsidRDefault="00B54B55">
      <w:pPr>
        <w:rPr>
          <w:b/>
          <w:sz w:val="24"/>
          <w:u w:val="single"/>
        </w:rPr>
      </w:pPr>
    </w:p>
    <w:p w:rsidR="00FA18B2" w:rsidRPr="007B3399" w:rsidRDefault="00FA18B2" w:rsidP="00FA18B2">
      <w:pPr>
        <w:ind w:left="5040"/>
        <w:rPr>
          <w:sz w:val="24"/>
        </w:rPr>
      </w:pPr>
      <w:r>
        <w:rPr>
          <w:rFonts w:eastAsia="Arial"/>
          <w:sz w:val="24"/>
        </w:rPr>
        <w:t xml:space="preserve">Joseph Oliker </w:t>
      </w:r>
      <w:r>
        <w:rPr>
          <w:sz w:val="24"/>
        </w:rPr>
        <w:t>(0086088)</w:t>
      </w:r>
    </w:p>
    <w:p w:rsidR="00FA18B2" w:rsidRDefault="00FA18B2" w:rsidP="00FA18B2">
      <w:pPr>
        <w:ind w:left="5040"/>
        <w:rPr>
          <w:rFonts w:eastAsia="Calibri"/>
          <w:sz w:val="24"/>
          <w:u w:val="single"/>
        </w:rPr>
      </w:pPr>
      <w:r>
        <w:rPr>
          <w:rFonts w:eastAsia="Arial"/>
          <w:sz w:val="24"/>
        </w:rPr>
        <w:t xml:space="preserve">Counsel of Record </w:t>
      </w:r>
    </w:p>
    <w:p w:rsidR="00FA18B2" w:rsidRDefault="00FA18B2" w:rsidP="00FA18B2">
      <w:pPr>
        <w:ind w:left="5040"/>
        <w:rPr>
          <w:sz w:val="24"/>
        </w:rPr>
      </w:pPr>
      <w:r>
        <w:rPr>
          <w:sz w:val="24"/>
        </w:rPr>
        <w:t>Email:  joliker@igsenergy.com</w:t>
      </w:r>
    </w:p>
    <w:p w:rsidR="00FA18B2" w:rsidRDefault="00FA18B2" w:rsidP="00FA18B2">
      <w:pPr>
        <w:ind w:left="5040"/>
        <w:rPr>
          <w:sz w:val="24"/>
        </w:rPr>
      </w:pPr>
      <w:r>
        <w:rPr>
          <w:sz w:val="24"/>
        </w:rPr>
        <w:t>IGS Energy</w:t>
      </w:r>
    </w:p>
    <w:p w:rsidR="00FA18B2" w:rsidRDefault="00FA18B2" w:rsidP="00FA18B2">
      <w:pPr>
        <w:ind w:left="5040"/>
        <w:rPr>
          <w:sz w:val="24"/>
        </w:rPr>
      </w:pPr>
      <w:r>
        <w:rPr>
          <w:sz w:val="24"/>
        </w:rPr>
        <w:t>6100 Emerald Parkway</w:t>
      </w:r>
    </w:p>
    <w:p w:rsidR="00FA18B2" w:rsidRDefault="00FA18B2" w:rsidP="00FA18B2">
      <w:pPr>
        <w:ind w:left="5040"/>
        <w:rPr>
          <w:sz w:val="24"/>
        </w:rPr>
      </w:pPr>
      <w:r>
        <w:rPr>
          <w:sz w:val="24"/>
        </w:rPr>
        <w:t>Dublin, Ohio 43016</w:t>
      </w:r>
    </w:p>
    <w:p w:rsidR="00FA18B2" w:rsidRDefault="00FA18B2" w:rsidP="00FA18B2">
      <w:pPr>
        <w:ind w:left="5040"/>
        <w:rPr>
          <w:sz w:val="24"/>
        </w:rPr>
      </w:pPr>
      <w:r>
        <w:rPr>
          <w:sz w:val="24"/>
        </w:rPr>
        <w:t>Telephone:</w:t>
      </w:r>
      <w:r>
        <w:rPr>
          <w:sz w:val="24"/>
        </w:rPr>
        <w:tab/>
        <w:t>(614) 659-5000</w:t>
      </w:r>
    </w:p>
    <w:p w:rsidR="00FA18B2" w:rsidRDefault="00FA18B2" w:rsidP="00FA18B2">
      <w:pPr>
        <w:ind w:left="5040"/>
        <w:rPr>
          <w:sz w:val="24"/>
        </w:rPr>
      </w:pPr>
      <w:r>
        <w:rPr>
          <w:sz w:val="24"/>
        </w:rPr>
        <w:t>Facsimile:</w:t>
      </w:r>
      <w:r>
        <w:rPr>
          <w:sz w:val="24"/>
        </w:rPr>
        <w:tab/>
        <w:t>(614) 659-5073</w:t>
      </w:r>
    </w:p>
    <w:p w:rsidR="00FA18B2" w:rsidRDefault="00FA18B2" w:rsidP="00FA18B2">
      <w:pPr>
        <w:ind w:left="5040"/>
        <w:rPr>
          <w:sz w:val="24"/>
        </w:rPr>
      </w:pPr>
    </w:p>
    <w:p w:rsidR="00B54B55" w:rsidRPr="00FA18B2" w:rsidRDefault="00FA18B2" w:rsidP="00FA18B2">
      <w:pPr>
        <w:spacing w:line="480" w:lineRule="auto"/>
        <w:ind w:left="5040"/>
        <w:rPr>
          <w:b/>
          <w:i/>
          <w:sz w:val="22"/>
          <w:szCs w:val="22"/>
        </w:rPr>
      </w:pPr>
      <w:proofErr w:type="gramStart"/>
      <w:r w:rsidRPr="00B54B55">
        <w:rPr>
          <w:b/>
          <w:i/>
          <w:sz w:val="22"/>
          <w:szCs w:val="22"/>
        </w:rPr>
        <w:t>Attorney</w:t>
      </w:r>
      <w:r w:rsidR="005B0359">
        <w:rPr>
          <w:b/>
          <w:i/>
          <w:sz w:val="22"/>
          <w:szCs w:val="22"/>
        </w:rPr>
        <w:t xml:space="preserve"> for Interstate Gas Supply, Inc.</w:t>
      </w:r>
      <w:proofErr w:type="gramEnd"/>
    </w:p>
    <w:p w:rsidR="00F40E07" w:rsidRDefault="00F40E07">
      <w:pPr>
        <w:rPr>
          <w:b/>
          <w:sz w:val="24"/>
          <w:u w:val="single"/>
        </w:rPr>
      </w:pPr>
    </w:p>
    <w:p w:rsidR="00963246" w:rsidRDefault="00963246">
      <w:pPr>
        <w:rPr>
          <w:b/>
          <w:sz w:val="24"/>
          <w:u w:val="single"/>
        </w:rPr>
      </w:pPr>
    </w:p>
    <w:p w:rsidR="00963246" w:rsidRDefault="00963246">
      <w:pPr>
        <w:rPr>
          <w:b/>
          <w:sz w:val="24"/>
          <w:u w:val="single"/>
        </w:rPr>
      </w:pPr>
    </w:p>
    <w:p w:rsidR="00602FF8" w:rsidRPr="00B54B55" w:rsidRDefault="00602FF8" w:rsidP="00602FF8">
      <w:pPr>
        <w:widowControl w:val="0"/>
        <w:jc w:val="center"/>
        <w:rPr>
          <w:rFonts w:eastAsia="Times New Roman"/>
          <w:b/>
          <w:sz w:val="24"/>
        </w:rPr>
      </w:pPr>
      <w:r w:rsidRPr="00B54B55">
        <w:rPr>
          <w:rFonts w:eastAsia="Times New Roman"/>
          <w:b/>
          <w:sz w:val="24"/>
        </w:rPr>
        <w:lastRenderedPageBreak/>
        <w:t>BEFORE</w:t>
      </w:r>
    </w:p>
    <w:p w:rsidR="00602FF8" w:rsidRPr="00B54B55" w:rsidRDefault="00602FF8" w:rsidP="00602FF8">
      <w:pPr>
        <w:widowControl w:val="0"/>
        <w:spacing w:after="200" w:line="276" w:lineRule="auto"/>
        <w:jc w:val="center"/>
        <w:rPr>
          <w:rFonts w:eastAsia="Calibri"/>
          <w:b/>
          <w:sz w:val="24"/>
        </w:rPr>
      </w:pPr>
      <w:r w:rsidRPr="00B54B55">
        <w:rPr>
          <w:rFonts w:eastAsia="Calibri"/>
          <w:b/>
          <w:sz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602FF8" w:rsidRPr="00B54B55" w:rsidTr="009540D1">
        <w:trPr>
          <w:trHeight w:val="873"/>
          <w:jc w:val="center"/>
        </w:trPr>
        <w:tc>
          <w:tcPr>
            <w:tcW w:w="4739" w:type="dxa"/>
          </w:tcPr>
          <w:p w:rsidR="00602FF8" w:rsidRPr="00B54B55" w:rsidRDefault="00602FF8" w:rsidP="009540D1">
            <w:pPr>
              <w:autoSpaceDE w:val="0"/>
              <w:autoSpaceDN w:val="0"/>
              <w:adjustRightInd w:val="0"/>
              <w:jc w:val="left"/>
              <w:rPr>
                <w:rFonts w:eastAsia="Calibri"/>
                <w:sz w:val="24"/>
              </w:rPr>
            </w:pPr>
            <w:r w:rsidRPr="00B54B55">
              <w:rPr>
                <w:rFonts w:eastAsia="Calibri"/>
                <w:sz w:val="24"/>
              </w:rPr>
              <w:t>In the Matter of the Application of Ohio</w:t>
            </w:r>
          </w:p>
          <w:p w:rsidR="00602FF8" w:rsidRPr="00B54B55" w:rsidRDefault="00602FF8" w:rsidP="009540D1">
            <w:pPr>
              <w:autoSpaceDE w:val="0"/>
              <w:autoSpaceDN w:val="0"/>
              <w:adjustRightInd w:val="0"/>
              <w:jc w:val="left"/>
              <w:rPr>
                <w:rFonts w:eastAsia="Calibri"/>
                <w:sz w:val="24"/>
              </w:rPr>
            </w:pPr>
            <w:r w:rsidRPr="00B54B55">
              <w:rPr>
                <w:rFonts w:eastAsia="Calibri"/>
                <w:sz w:val="24"/>
              </w:rPr>
              <w:t>Edison Company, The Cleveland Electric</w:t>
            </w:r>
          </w:p>
          <w:p w:rsidR="00602FF8" w:rsidRPr="00B54B55" w:rsidRDefault="00602FF8" w:rsidP="009540D1">
            <w:pPr>
              <w:autoSpaceDE w:val="0"/>
              <w:autoSpaceDN w:val="0"/>
              <w:adjustRightInd w:val="0"/>
              <w:jc w:val="left"/>
              <w:rPr>
                <w:rFonts w:eastAsia="Calibri"/>
                <w:sz w:val="24"/>
              </w:rPr>
            </w:pPr>
            <w:r w:rsidRPr="00B54B55">
              <w:rPr>
                <w:rFonts w:eastAsia="Calibri"/>
                <w:sz w:val="24"/>
              </w:rPr>
              <w:t>Illuminating Company and The Toledo</w:t>
            </w:r>
          </w:p>
          <w:p w:rsidR="00602FF8" w:rsidRPr="00B54B55" w:rsidRDefault="00602FF8" w:rsidP="009540D1">
            <w:pPr>
              <w:autoSpaceDE w:val="0"/>
              <w:autoSpaceDN w:val="0"/>
              <w:adjustRightInd w:val="0"/>
              <w:jc w:val="left"/>
              <w:rPr>
                <w:rFonts w:eastAsia="Calibri"/>
                <w:sz w:val="24"/>
              </w:rPr>
            </w:pPr>
            <w:r w:rsidRPr="00B54B55">
              <w:rPr>
                <w:rFonts w:eastAsia="Calibri"/>
                <w:sz w:val="24"/>
              </w:rPr>
              <w:t>Edison Company for Authority to Provide</w:t>
            </w:r>
          </w:p>
          <w:p w:rsidR="00602FF8" w:rsidRPr="00B54B55" w:rsidRDefault="00602FF8" w:rsidP="009540D1">
            <w:pPr>
              <w:autoSpaceDE w:val="0"/>
              <w:autoSpaceDN w:val="0"/>
              <w:adjustRightInd w:val="0"/>
              <w:jc w:val="left"/>
              <w:rPr>
                <w:rFonts w:eastAsia="Calibri"/>
                <w:sz w:val="24"/>
              </w:rPr>
            </w:pPr>
            <w:r w:rsidRPr="00B54B55">
              <w:rPr>
                <w:rFonts w:eastAsia="Calibri"/>
                <w:sz w:val="24"/>
              </w:rPr>
              <w:t>for a Standard Service Offer Pursuant to R.C. 4928.143 in the Form of an Electric Security Plan</w:t>
            </w:r>
          </w:p>
        </w:tc>
        <w:tc>
          <w:tcPr>
            <w:tcW w:w="630" w:type="dxa"/>
          </w:tcPr>
          <w:p w:rsidR="00602FF8" w:rsidRPr="00B54B55" w:rsidRDefault="00602FF8" w:rsidP="009540D1">
            <w:pPr>
              <w:widowControl w:val="0"/>
              <w:jc w:val="center"/>
              <w:rPr>
                <w:rFonts w:eastAsia="Calibri"/>
                <w:sz w:val="24"/>
              </w:rPr>
            </w:pPr>
            <w:r w:rsidRPr="00B54B55">
              <w:rPr>
                <w:rFonts w:eastAsia="Calibri"/>
                <w:sz w:val="24"/>
              </w:rPr>
              <w:t>)</w:t>
            </w:r>
          </w:p>
          <w:p w:rsidR="00602FF8" w:rsidRPr="00B54B55" w:rsidRDefault="00602FF8" w:rsidP="009540D1">
            <w:pPr>
              <w:widowControl w:val="0"/>
              <w:jc w:val="center"/>
              <w:rPr>
                <w:rFonts w:eastAsia="Calibri"/>
                <w:sz w:val="24"/>
              </w:rPr>
            </w:pPr>
            <w:r w:rsidRPr="00B54B55">
              <w:rPr>
                <w:rFonts w:eastAsia="Calibri"/>
                <w:sz w:val="24"/>
              </w:rPr>
              <w:t>)</w:t>
            </w:r>
          </w:p>
          <w:p w:rsidR="00602FF8" w:rsidRPr="00B54B55" w:rsidRDefault="00602FF8" w:rsidP="009540D1">
            <w:pPr>
              <w:widowControl w:val="0"/>
              <w:jc w:val="center"/>
              <w:rPr>
                <w:rFonts w:eastAsia="Calibri"/>
                <w:sz w:val="24"/>
              </w:rPr>
            </w:pPr>
            <w:r w:rsidRPr="00B54B55">
              <w:rPr>
                <w:rFonts w:eastAsia="Calibri"/>
                <w:sz w:val="24"/>
              </w:rPr>
              <w:t>)</w:t>
            </w:r>
          </w:p>
          <w:p w:rsidR="00602FF8" w:rsidRPr="00B54B55" w:rsidRDefault="00602FF8" w:rsidP="009540D1">
            <w:pPr>
              <w:widowControl w:val="0"/>
              <w:jc w:val="center"/>
              <w:rPr>
                <w:rFonts w:eastAsia="Calibri"/>
                <w:sz w:val="24"/>
              </w:rPr>
            </w:pPr>
            <w:r w:rsidRPr="00B54B55">
              <w:rPr>
                <w:rFonts w:eastAsia="Calibri"/>
                <w:sz w:val="24"/>
              </w:rPr>
              <w:t>)</w:t>
            </w:r>
          </w:p>
          <w:p w:rsidR="00602FF8" w:rsidRPr="00B54B55" w:rsidRDefault="00602FF8" w:rsidP="009540D1">
            <w:pPr>
              <w:widowControl w:val="0"/>
              <w:jc w:val="center"/>
              <w:rPr>
                <w:rFonts w:eastAsia="Calibri"/>
                <w:sz w:val="24"/>
              </w:rPr>
            </w:pPr>
            <w:r w:rsidRPr="00B54B55">
              <w:rPr>
                <w:rFonts w:eastAsia="Calibri"/>
                <w:sz w:val="24"/>
              </w:rPr>
              <w:t>)</w:t>
            </w:r>
          </w:p>
          <w:p w:rsidR="00602FF8" w:rsidRPr="00B54B55" w:rsidRDefault="00602FF8" w:rsidP="009540D1">
            <w:pPr>
              <w:widowControl w:val="0"/>
              <w:jc w:val="center"/>
              <w:rPr>
                <w:rFonts w:eastAsia="Calibri"/>
                <w:sz w:val="24"/>
              </w:rPr>
            </w:pPr>
            <w:r w:rsidRPr="00B54B55">
              <w:rPr>
                <w:rFonts w:eastAsia="Calibri"/>
                <w:sz w:val="24"/>
              </w:rPr>
              <w:t>)</w:t>
            </w:r>
          </w:p>
          <w:p w:rsidR="00602FF8" w:rsidRPr="00B54B55" w:rsidRDefault="00602FF8" w:rsidP="009540D1">
            <w:pPr>
              <w:widowControl w:val="0"/>
              <w:jc w:val="center"/>
              <w:rPr>
                <w:rFonts w:eastAsia="Calibri"/>
                <w:sz w:val="24"/>
              </w:rPr>
            </w:pPr>
            <w:r w:rsidRPr="00B54B55">
              <w:rPr>
                <w:rFonts w:eastAsia="Calibri"/>
                <w:sz w:val="24"/>
              </w:rPr>
              <w:t>)</w:t>
            </w:r>
          </w:p>
          <w:p w:rsidR="00602FF8" w:rsidRPr="00B54B55" w:rsidRDefault="00602FF8" w:rsidP="009540D1">
            <w:pPr>
              <w:widowControl w:val="0"/>
              <w:jc w:val="left"/>
              <w:rPr>
                <w:rFonts w:eastAsia="Calibri"/>
                <w:sz w:val="24"/>
              </w:rPr>
            </w:pPr>
          </w:p>
        </w:tc>
        <w:tc>
          <w:tcPr>
            <w:tcW w:w="3928" w:type="dxa"/>
          </w:tcPr>
          <w:p w:rsidR="00602FF8" w:rsidRPr="00B54B55" w:rsidRDefault="00602FF8" w:rsidP="009540D1">
            <w:pPr>
              <w:widowControl w:val="0"/>
              <w:jc w:val="left"/>
              <w:rPr>
                <w:rFonts w:eastAsia="Calibri"/>
                <w:sz w:val="24"/>
              </w:rPr>
            </w:pPr>
          </w:p>
          <w:p w:rsidR="00602FF8" w:rsidRPr="00B54B55" w:rsidRDefault="00602FF8" w:rsidP="009540D1">
            <w:pPr>
              <w:widowControl w:val="0"/>
              <w:jc w:val="left"/>
              <w:rPr>
                <w:rFonts w:eastAsia="Calibri"/>
                <w:sz w:val="24"/>
              </w:rPr>
            </w:pPr>
          </w:p>
          <w:p w:rsidR="00602FF8" w:rsidRPr="00B54B55" w:rsidRDefault="00602FF8" w:rsidP="009540D1">
            <w:pPr>
              <w:widowControl w:val="0"/>
              <w:jc w:val="left"/>
              <w:rPr>
                <w:rFonts w:eastAsia="Calibri"/>
                <w:sz w:val="24"/>
              </w:rPr>
            </w:pPr>
            <w:r w:rsidRPr="00B54B55">
              <w:rPr>
                <w:rFonts w:eastAsia="Calibri"/>
                <w:sz w:val="24"/>
              </w:rPr>
              <w:t>Case No. 14-1297-EL-SSO</w:t>
            </w:r>
          </w:p>
          <w:p w:rsidR="00602FF8" w:rsidRPr="00B54B55" w:rsidRDefault="00602FF8" w:rsidP="009540D1">
            <w:pPr>
              <w:widowControl w:val="0"/>
              <w:jc w:val="left"/>
              <w:rPr>
                <w:rFonts w:eastAsia="Calibri"/>
                <w:sz w:val="24"/>
              </w:rPr>
            </w:pPr>
          </w:p>
          <w:p w:rsidR="00602FF8" w:rsidRPr="00B54B55" w:rsidRDefault="00602FF8" w:rsidP="009540D1">
            <w:pPr>
              <w:widowControl w:val="0"/>
              <w:jc w:val="left"/>
              <w:rPr>
                <w:rFonts w:eastAsia="Calibri"/>
                <w:sz w:val="24"/>
              </w:rPr>
            </w:pPr>
          </w:p>
          <w:p w:rsidR="00602FF8" w:rsidRPr="00B54B55" w:rsidRDefault="00602FF8" w:rsidP="009540D1">
            <w:pPr>
              <w:widowControl w:val="0"/>
              <w:jc w:val="left"/>
              <w:rPr>
                <w:rFonts w:eastAsia="Calibri"/>
                <w:sz w:val="24"/>
              </w:rPr>
            </w:pPr>
          </w:p>
          <w:p w:rsidR="00602FF8" w:rsidRPr="00B54B55" w:rsidRDefault="00602FF8" w:rsidP="009540D1">
            <w:pPr>
              <w:widowControl w:val="0"/>
              <w:jc w:val="left"/>
              <w:rPr>
                <w:rFonts w:eastAsia="Calibri"/>
                <w:sz w:val="24"/>
              </w:rPr>
            </w:pPr>
          </w:p>
          <w:p w:rsidR="00602FF8" w:rsidRPr="00B54B55" w:rsidRDefault="00602FF8" w:rsidP="009540D1">
            <w:pPr>
              <w:widowControl w:val="0"/>
              <w:jc w:val="left"/>
              <w:rPr>
                <w:rFonts w:eastAsia="Calibri"/>
                <w:sz w:val="24"/>
              </w:rPr>
            </w:pPr>
          </w:p>
        </w:tc>
      </w:tr>
    </w:tbl>
    <w:p w:rsidR="00602FF8" w:rsidRPr="00B54B55" w:rsidRDefault="00602FF8" w:rsidP="00963246">
      <w:pPr>
        <w:spacing w:after="200" w:line="276" w:lineRule="auto"/>
        <w:jc w:val="center"/>
        <w:rPr>
          <w:rFonts w:eastAsia="Calibri"/>
          <w:b/>
          <w:bCs/>
          <w:sz w:val="24"/>
        </w:rPr>
      </w:pPr>
      <w:r w:rsidRPr="00B54B55">
        <w:rPr>
          <w:rFonts w:eastAsia="Calibri"/>
          <w:b/>
          <w:bCs/>
          <w:sz w:val="24"/>
        </w:rPr>
        <w:t>______________________________________</w:t>
      </w:r>
    </w:p>
    <w:p w:rsidR="00602FF8" w:rsidRPr="00B54B55" w:rsidRDefault="003D5C9D" w:rsidP="00602FF8">
      <w:pPr>
        <w:spacing w:after="200" w:line="276" w:lineRule="auto"/>
        <w:jc w:val="center"/>
        <w:rPr>
          <w:rFonts w:eastAsia="Calibri"/>
          <w:b/>
          <w:bCs/>
          <w:sz w:val="24"/>
        </w:rPr>
      </w:pPr>
      <w:proofErr w:type="gramStart"/>
      <w:r>
        <w:rPr>
          <w:rFonts w:eastAsia="Calibri"/>
          <w:b/>
          <w:bCs/>
          <w:sz w:val="24"/>
        </w:rPr>
        <w:t xml:space="preserve">MEMORANDUM CONTRA </w:t>
      </w:r>
      <w:r w:rsidR="00602FF8">
        <w:rPr>
          <w:rFonts w:eastAsia="Calibri"/>
          <w:b/>
          <w:bCs/>
          <w:sz w:val="24"/>
        </w:rPr>
        <w:t>OF INTERSTATE GAS SUPPLY, INC.</w:t>
      </w:r>
      <w:proofErr w:type="gramEnd"/>
    </w:p>
    <w:p w:rsidR="00602FF8" w:rsidRPr="00B54B55" w:rsidRDefault="00602FF8" w:rsidP="00602FF8">
      <w:pPr>
        <w:spacing w:after="200" w:line="276" w:lineRule="auto"/>
        <w:jc w:val="center"/>
        <w:rPr>
          <w:rFonts w:eastAsia="Calibri"/>
          <w:b/>
          <w:bCs/>
          <w:sz w:val="24"/>
        </w:rPr>
      </w:pPr>
      <w:r w:rsidRPr="00B54B55">
        <w:rPr>
          <w:rFonts w:eastAsia="Calibri"/>
          <w:b/>
          <w:bCs/>
          <w:sz w:val="24"/>
        </w:rPr>
        <w:t>______________________________________</w:t>
      </w:r>
    </w:p>
    <w:p w:rsidR="00602FF8" w:rsidRDefault="00602FF8">
      <w:pPr>
        <w:rPr>
          <w:b/>
          <w:sz w:val="24"/>
        </w:rPr>
      </w:pPr>
    </w:p>
    <w:p w:rsidR="00EE1363" w:rsidRDefault="00536BA7" w:rsidP="00FA18B2">
      <w:pPr>
        <w:ind w:left="360"/>
        <w:rPr>
          <w:b/>
          <w:sz w:val="24"/>
          <w:u w:val="single"/>
        </w:rPr>
      </w:pPr>
      <w:r>
        <w:rPr>
          <w:b/>
          <w:sz w:val="24"/>
        </w:rPr>
        <w:t xml:space="preserve">I. </w:t>
      </w:r>
      <w:r w:rsidR="00975934" w:rsidRPr="00975934">
        <w:rPr>
          <w:b/>
          <w:sz w:val="24"/>
        </w:rPr>
        <w:t>BACKGROUND</w:t>
      </w:r>
    </w:p>
    <w:p w:rsidR="00EE1363" w:rsidRDefault="00EE1363">
      <w:pPr>
        <w:rPr>
          <w:b/>
          <w:sz w:val="24"/>
        </w:rPr>
      </w:pPr>
      <w:r>
        <w:rPr>
          <w:b/>
          <w:sz w:val="24"/>
        </w:rPr>
        <w:tab/>
      </w:r>
    </w:p>
    <w:p w:rsidR="00975934" w:rsidRDefault="00F135F3" w:rsidP="00F135F3">
      <w:pPr>
        <w:spacing w:line="480" w:lineRule="auto"/>
        <w:rPr>
          <w:sz w:val="24"/>
        </w:rPr>
      </w:pPr>
      <w:r>
        <w:rPr>
          <w:sz w:val="24"/>
        </w:rPr>
        <w:tab/>
        <w:t xml:space="preserve">On December 1, 2015, </w:t>
      </w:r>
      <w:r w:rsidR="00C92B9E">
        <w:rPr>
          <w:sz w:val="24"/>
        </w:rPr>
        <w:t>Ohio Edison Company, Toledo Edison Company</w:t>
      </w:r>
      <w:r w:rsidR="00C92B9E" w:rsidRPr="00594202">
        <w:rPr>
          <w:sz w:val="24"/>
        </w:rPr>
        <w:t>, and Cleveland Electric Illuminating Company</w:t>
      </w:r>
      <w:r w:rsidR="00C92B9E">
        <w:rPr>
          <w:sz w:val="24"/>
        </w:rPr>
        <w:t xml:space="preserve"> (collectively “FirstEnergy”) </w:t>
      </w:r>
      <w:r>
        <w:rPr>
          <w:sz w:val="24"/>
        </w:rPr>
        <w:t>and a diverse group of parties, submitted a Joint Stipulation and Recommendation (“Stipulation”) to resolve the outstanding issues presented in this proceeding.  On January 14, 2016</w:t>
      </w:r>
      <w:r w:rsidR="004C48C4">
        <w:rPr>
          <w:sz w:val="24"/>
        </w:rPr>
        <w:t xml:space="preserve">, </w:t>
      </w:r>
      <w:r>
        <w:rPr>
          <w:sz w:val="24"/>
        </w:rPr>
        <w:t>Interstate Gas Supply, Inc.</w:t>
      </w:r>
      <w:r w:rsidR="00C92B9E">
        <w:rPr>
          <w:sz w:val="24"/>
        </w:rPr>
        <w:t xml:space="preserve"> (“IGS”)</w:t>
      </w:r>
      <w:r w:rsidR="00975934">
        <w:rPr>
          <w:sz w:val="24"/>
        </w:rPr>
        <w:t xml:space="preserve"> entered into a </w:t>
      </w:r>
      <w:r w:rsidR="00975934" w:rsidRPr="00975934">
        <w:rPr>
          <w:sz w:val="24"/>
        </w:rPr>
        <w:t>Competitive Market Enhancement Agreement</w:t>
      </w:r>
      <w:r w:rsidR="00975934">
        <w:rPr>
          <w:sz w:val="24"/>
        </w:rPr>
        <w:t xml:space="preserve"> (“Enhancement Agreement”) with FirstEnergy and</w:t>
      </w:r>
      <w:r w:rsidR="00C92B9E">
        <w:rPr>
          <w:sz w:val="24"/>
        </w:rPr>
        <w:t xml:space="preserve"> joine</w:t>
      </w:r>
      <w:r w:rsidR="004C64A0">
        <w:rPr>
          <w:sz w:val="24"/>
        </w:rPr>
        <w:t>d the Stipulation as a signatory party</w:t>
      </w:r>
      <w:r w:rsidR="00A8408F">
        <w:rPr>
          <w:sz w:val="24"/>
        </w:rPr>
        <w:t>.</w:t>
      </w:r>
      <w:r w:rsidR="00975934">
        <w:rPr>
          <w:sz w:val="24"/>
        </w:rPr>
        <w:t xml:space="preserve">  Pursuant to the Enhancement Agreement, FirstEnergy agreed to file an application “to</w:t>
      </w:r>
      <w:r w:rsidR="00975934" w:rsidRPr="00975934">
        <w:rPr>
          <w:sz w:val="24"/>
        </w:rPr>
        <w:t xml:space="preserve"> establish a retail competition incentive mechanism</w:t>
      </w:r>
      <w:r w:rsidR="00975934">
        <w:rPr>
          <w:sz w:val="24"/>
        </w:rPr>
        <w:t xml:space="preserve"> [Incentive Rider]</w:t>
      </w:r>
      <w:r w:rsidR="00975934" w:rsidRPr="00975934">
        <w:rPr>
          <w:sz w:val="24"/>
        </w:rPr>
        <w:t xml:space="preserve"> in addition to the </w:t>
      </w:r>
      <w:proofErr w:type="spellStart"/>
      <w:r w:rsidR="00975934" w:rsidRPr="00975934">
        <w:rPr>
          <w:sz w:val="24"/>
        </w:rPr>
        <w:t>bypassable</w:t>
      </w:r>
      <w:proofErr w:type="spellEnd"/>
      <w:r w:rsidR="00975934" w:rsidRPr="00975934">
        <w:rPr>
          <w:sz w:val="24"/>
        </w:rPr>
        <w:t xml:space="preserve"> charges applied to non-shopping customers with the purpose of incenting shopping</w:t>
      </w:r>
      <w:r w:rsidR="00975934">
        <w:rPr>
          <w:sz w:val="24"/>
        </w:rPr>
        <w:t>.”</w:t>
      </w:r>
      <w:r w:rsidR="002049B8">
        <w:rPr>
          <w:rStyle w:val="FootnoteReference"/>
          <w:sz w:val="24"/>
        </w:rPr>
        <w:footnoteReference w:id="1"/>
      </w:r>
      <w:r w:rsidR="00975934">
        <w:rPr>
          <w:sz w:val="24"/>
        </w:rPr>
        <w:t xml:space="preserve"> </w:t>
      </w:r>
    </w:p>
    <w:p w:rsidR="00C92B9E" w:rsidRDefault="002049B8" w:rsidP="00975934">
      <w:pPr>
        <w:spacing w:line="480" w:lineRule="auto"/>
        <w:ind w:firstLine="720"/>
        <w:rPr>
          <w:sz w:val="24"/>
        </w:rPr>
      </w:pPr>
      <w:r>
        <w:rPr>
          <w:sz w:val="24"/>
        </w:rPr>
        <w:t xml:space="preserve">On March 31, 2016, </w:t>
      </w:r>
      <w:r w:rsidR="00FD07A6">
        <w:rPr>
          <w:sz w:val="24"/>
        </w:rPr>
        <w:t xml:space="preserve">the Public Utilities Commission of Ohio </w:t>
      </w:r>
      <w:r w:rsidR="008F258F">
        <w:rPr>
          <w:sz w:val="24"/>
        </w:rPr>
        <w:t xml:space="preserve">(“Commission”) issued an </w:t>
      </w:r>
      <w:r>
        <w:rPr>
          <w:sz w:val="24"/>
        </w:rPr>
        <w:t>Opinion and O</w:t>
      </w:r>
      <w:r w:rsidR="008F258F">
        <w:rPr>
          <w:sz w:val="24"/>
        </w:rPr>
        <w:t>rder</w:t>
      </w:r>
      <w:r>
        <w:rPr>
          <w:sz w:val="24"/>
        </w:rPr>
        <w:t xml:space="preserve"> (“Order”) modifying and approving the S</w:t>
      </w:r>
      <w:r w:rsidR="008F258F">
        <w:rPr>
          <w:sz w:val="24"/>
        </w:rPr>
        <w:t>tipulation.  Among other things, the Commission authorized FirstEnergy to establish</w:t>
      </w:r>
      <w:r w:rsidR="001E7147">
        <w:rPr>
          <w:sz w:val="24"/>
        </w:rPr>
        <w:t xml:space="preserve"> a pl</w:t>
      </w:r>
      <w:r w:rsidR="00975934">
        <w:rPr>
          <w:sz w:val="24"/>
        </w:rPr>
        <w:t xml:space="preserve">aceholder </w:t>
      </w:r>
      <w:r w:rsidR="00975934">
        <w:rPr>
          <w:sz w:val="24"/>
        </w:rPr>
        <w:lastRenderedPageBreak/>
        <w:t>Incentive Rider</w:t>
      </w:r>
      <w:r w:rsidR="001E7147">
        <w:rPr>
          <w:sz w:val="24"/>
        </w:rPr>
        <w:t xml:space="preserve"> set at zero, which shall be the</w:t>
      </w:r>
      <w:r>
        <w:rPr>
          <w:sz w:val="24"/>
        </w:rPr>
        <w:t xml:space="preserve"> subject of a future</w:t>
      </w:r>
      <w:r w:rsidR="001E7147">
        <w:rPr>
          <w:sz w:val="24"/>
        </w:rPr>
        <w:t xml:space="preserve"> application.</w:t>
      </w:r>
      <w:r w:rsidR="00975934">
        <w:rPr>
          <w:sz w:val="24"/>
        </w:rPr>
        <w:t xml:space="preserve">  Although the Enhancement Agreement did not specifically require FirstEnergy to unbundle additional generation-related costs embedded in distribution rates, the Order directed FirstEnergy to fi</w:t>
      </w:r>
      <w:r>
        <w:rPr>
          <w:sz w:val="24"/>
        </w:rPr>
        <w:t>le an application to achieve that</w:t>
      </w:r>
      <w:r w:rsidR="00BA6E63">
        <w:rPr>
          <w:sz w:val="24"/>
        </w:rPr>
        <w:t xml:space="preserve"> end.  FirstEnergy filed </w:t>
      </w:r>
      <w:r w:rsidR="00975934">
        <w:rPr>
          <w:sz w:val="24"/>
        </w:rPr>
        <w:t>an application for rehearing</w:t>
      </w:r>
      <w:r w:rsidR="00BA6E63">
        <w:rPr>
          <w:sz w:val="24"/>
        </w:rPr>
        <w:t xml:space="preserve"> requesting that the Commission clarify</w:t>
      </w:r>
      <w:r w:rsidR="00975934">
        <w:rPr>
          <w:sz w:val="24"/>
        </w:rPr>
        <w:t xml:space="preserve"> that it need not unbundle distribution rate</w:t>
      </w:r>
      <w:r>
        <w:rPr>
          <w:sz w:val="24"/>
        </w:rPr>
        <w:t>s</w:t>
      </w:r>
      <w:r w:rsidR="00975934">
        <w:rPr>
          <w:sz w:val="24"/>
        </w:rPr>
        <w:t xml:space="preserve"> in order to satisfy the objective of the Enhancement Agreement.</w:t>
      </w:r>
      <w:r w:rsidR="00BA6E63">
        <w:rPr>
          <w:sz w:val="24"/>
        </w:rPr>
        <w:t xml:space="preserve">  IGS represented in a letter submitted on May 2, 2016 that while</w:t>
      </w:r>
      <w:r w:rsidR="00BA6E63" w:rsidRPr="00BA6E63">
        <w:rPr>
          <w:sz w:val="24"/>
        </w:rPr>
        <w:t xml:space="preserve"> IGS continues to su</w:t>
      </w:r>
      <w:r w:rsidR="00BA6E63">
        <w:rPr>
          <w:sz w:val="24"/>
        </w:rPr>
        <w:t>pport the concept of unbundling,</w:t>
      </w:r>
      <w:r w:rsidR="00BA6E63" w:rsidRPr="00BA6E63">
        <w:rPr>
          <w:sz w:val="24"/>
        </w:rPr>
        <w:t xml:space="preserve"> </w:t>
      </w:r>
      <w:r w:rsidR="00BA6E63">
        <w:rPr>
          <w:sz w:val="24"/>
        </w:rPr>
        <w:t>“</w:t>
      </w:r>
      <w:r w:rsidR="00BA6E63" w:rsidRPr="00BA6E63">
        <w:rPr>
          <w:sz w:val="24"/>
        </w:rPr>
        <w:t>to the extent that FirstEnergy’s application for rehearing is consistent with the intent of the Enhancement Agreement, IGS is supportive of FirstEnergy’s requested modification to the Order</w:t>
      </w:r>
      <w:r w:rsidR="00BA6E63">
        <w:rPr>
          <w:sz w:val="24"/>
        </w:rPr>
        <w:t>.”</w:t>
      </w:r>
    </w:p>
    <w:p w:rsidR="008F258F" w:rsidRDefault="005E5979" w:rsidP="00A00FA8">
      <w:pPr>
        <w:spacing w:line="480" w:lineRule="auto"/>
        <w:rPr>
          <w:sz w:val="24"/>
        </w:rPr>
      </w:pPr>
      <w:r>
        <w:rPr>
          <w:sz w:val="24"/>
        </w:rPr>
        <w:tab/>
        <w:t xml:space="preserve">The Office of the </w:t>
      </w:r>
      <w:r w:rsidR="008F258F">
        <w:rPr>
          <w:sz w:val="24"/>
        </w:rPr>
        <w:t>Ohio Consumers’ Counsel (“OCC”), Northwest Ohio Aggregation Coalition (“NOAC”), and the Northeast Ohio Public Energy Council (“NOPEC”) challenge the lawfulness of the Incentive Rider.</w:t>
      </w:r>
      <w:r w:rsidR="00975934">
        <w:rPr>
          <w:sz w:val="24"/>
        </w:rPr>
        <w:t xml:space="preserve">  </w:t>
      </w:r>
      <w:r w:rsidR="002049B8">
        <w:rPr>
          <w:sz w:val="24"/>
        </w:rPr>
        <w:t xml:space="preserve">Because these </w:t>
      </w:r>
      <w:r w:rsidR="008F258F">
        <w:rPr>
          <w:sz w:val="24"/>
        </w:rPr>
        <w:t xml:space="preserve">arguments lack merit, the Commission should deny rehearing on this issue.  </w:t>
      </w:r>
    </w:p>
    <w:p w:rsidR="00975934" w:rsidRDefault="00975934" w:rsidP="00A00FA8">
      <w:pPr>
        <w:spacing w:line="480" w:lineRule="auto"/>
        <w:rPr>
          <w:b/>
          <w:sz w:val="24"/>
        </w:rPr>
      </w:pPr>
      <w:r>
        <w:rPr>
          <w:sz w:val="24"/>
        </w:rPr>
        <w:tab/>
      </w:r>
      <w:r>
        <w:rPr>
          <w:b/>
          <w:sz w:val="24"/>
        </w:rPr>
        <w:t>II. ARGUMENT</w:t>
      </w:r>
    </w:p>
    <w:p w:rsidR="00A928B9" w:rsidRDefault="001D41F2" w:rsidP="00A928B9">
      <w:pPr>
        <w:spacing w:line="480" w:lineRule="auto"/>
        <w:rPr>
          <w:sz w:val="24"/>
        </w:rPr>
      </w:pPr>
      <w:r>
        <w:rPr>
          <w:sz w:val="24"/>
        </w:rPr>
        <w:tab/>
      </w:r>
      <w:r w:rsidR="00A928B9">
        <w:rPr>
          <w:sz w:val="24"/>
        </w:rPr>
        <w:t>OCC and NOAC argue that the Order’s authorization of the Incentive Rider is not based upon record evidence, arguing that the Order therefore violated R.C. 4903.09.</w:t>
      </w:r>
      <w:r w:rsidR="00F30B46">
        <w:rPr>
          <w:rStyle w:val="FootnoteReference"/>
          <w:sz w:val="24"/>
        </w:rPr>
        <w:footnoteReference w:id="2"/>
      </w:r>
      <w:r w:rsidR="00A928B9">
        <w:rPr>
          <w:sz w:val="24"/>
        </w:rPr>
        <w:t xml:space="preserve">  This argument lacks merit.  In its Order, the Commission specifically relied upon the </w:t>
      </w:r>
      <w:proofErr w:type="spellStart"/>
      <w:r w:rsidR="00A928B9">
        <w:rPr>
          <w:sz w:val="24"/>
        </w:rPr>
        <w:t>prefiled</w:t>
      </w:r>
      <w:proofErr w:type="spellEnd"/>
      <w:r w:rsidR="00A928B9">
        <w:rPr>
          <w:sz w:val="24"/>
        </w:rPr>
        <w:t xml:space="preserve"> testimony of Matthew White and oral testimony of Eileen Mikkelsen to approve the Incentive Rider.  For example, the Order is properly supported by Mr. White’s assertion that “</w:t>
      </w:r>
      <w:r w:rsidR="00487F6D">
        <w:rPr>
          <w:sz w:val="24"/>
        </w:rPr>
        <w:t>[i]</w:t>
      </w:r>
      <w:r w:rsidR="00A928B9" w:rsidRPr="00A928B9">
        <w:rPr>
          <w:sz w:val="24"/>
        </w:rPr>
        <w:t>t can be concluded that the Ohio competitive el</w:t>
      </w:r>
      <w:r w:rsidR="00A928B9">
        <w:rPr>
          <w:sz w:val="24"/>
        </w:rPr>
        <w:t xml:space="preserve">ectric markets have done a good </w:t>
      </w:r>
      <w:r w:rsidR="00A928B9" w:rsidRPr="00A928B9">
        <w:rPr>
          <w:sz w:val="24"/>
        </w:rPr>
        <w:t>job encouraging opt-out aggregation in the FirstEne</w:t>
      </w:r>
      <w:r w:rsidR="00A928B9">
        <w:rPr>
          <w:sz w:val="24"/>
        </w:rPr>
        <w:t xml:space="preserve">rgy service territory, </w:t>
      </w:r>
      <w:r w:rsidR="00A928B9">
        <w:rPr>
          <w:sz w:val="24"/>
        </w:rPr>
        <w:lastRenderedPageBreak/>
        <w:t xml:space="preserve">but have </w:t>
      </w:r>
      <w:r w:rsidR="00A928B9" w:rsidRPr="00A928B9">
        <w:rPr>
          <w:sz w:val="24"/>
        </w:rPr>
        <w:t>done a poor job at encouraging customers to affirm</w:t>
      </w:r>
      <w:r w:rsidR="00487F6D">
        <w:rPr>
          <w:sz w:val="24"/>
        </w:rPr>
        <w:t xml:space="preserve">atively enroll in a competitive </w:t>
      </w:r>
      <w:r w:rsidR="00A928B9" w:rsidRPr="00A928B9">
        <w:rPr>
          <w:sz w:val="24"/>
        </w:rPr>
        <w:t>product or otherwise engage in the competitive market.</w:t>
      </w:r>
      <w:r w:rsidR="00A928B9">
        <w:rPr>
          <w:sz w:val="24"/>
        </w:rPr>
        <w:t>”</w:t>
      </w:r>
      <w:r w:rsidR="00F7413B">
        <w:rPr>
          <w:rStyle w:val="FootnoteReference"/>
          <w:sz w:val="24"/>
        </w:rPr>
        <w:footnoteReference w:id="3"/>
      </w:r>
      <w:r w:rsidR="00487F6D">
        <w:rPr>
          <w:sz w:val="24"/>
        </w:rPr>
        <w:t xml:space="preserve">  And, as a solution to this shortcoming in the</w:t>
      </w:r>
      <w:r w:rsidR="002049B8">
        <w:rPr>
          <w:sz w:val="24"/>
        </w:rPr>
        <w:t xml:space="preserve"> development of the</w:t>
      </w:r>
      <w:r w:rsidR="00487F6D">
        <w:rPr>
          <w:sz w:val="24"/>
        </w:rPr>
        <w:t xml:space="preserve"> competitive market, the Order properly relied upon Ms</w:t>
      </w:r>
      <w:r w:rsidR="002049B8">
        <w:rPr>
          <w:sz w:val="24"/>
        </w:rPr>
        <w:t xml:space="preserve">. </w:t>
      </w:r>
      <w:proofErr w:type="spellStart"/>
      <w:r w:rsidR="002049B8">
        <w:rPr>
          <w:sz w:val="24"/>
        </w:rPr>
        <w:t>Mikkelsen’s</w:t>
      </w:r>
      <w:proofErr w:type="spellEnd"/>
      <w:r w:rsidR="002049B8">
        <w:rPr>
          <w:sz w:val="24"/>
        </w:rPr>
        <w:t xml:space="preserve"> testimony that an</w:t>
      </w:r>
      <w:r w:rsidR="00487F6D">
        <w:rPr>
          <w:sz w:val="24"/>
        </w:rPr>
        <w:t xml:space="preserve"> Incentive Rider may encourage additional customer engagement and switching:  the Incentive Rider “would </w:t>
      </w:r>
      <w:r w:rsidR="00487F6D" w:rsidRPr="009065BA">
        <w:rPr>
          <w:sz w:val="24"/>
        </w:rPr>
        <w:t>potentially create greater supplier interest in</w:t>
      </w:r>
      <w:r w:rsidR="00487F6D">
        <w:rPr>
          <w:sz w:val="24"/>
        </w:rPr>
        <w:t xml:space="preserve"> </w:t>
      </w:r>
      <w:r w:rsidR="00487F6D" w:rsidRPr="009065BA">
        <w:rPr>
          <w:sz w:val="24"/>
        </w:rPr>
        <w:t>participating in</w:t>
      </w:r>
      <w:r w:rsidR="00487F6D">
        <w:rPr>
          <w:sz w:val="24"/>
        </w:rPr>
        <w:t xml:space="preserve"> the competitive market for the </w:t>
      </w:r>
      <w:r w:rsidR="00487F6D" w:rsidRPr="009065BA">
        <w:rPr>
          <w:sz w:val="24"/>
        </w:rPr>
        <w:t>c</w:t>
      </w:r>
      <w:r w:rsidR="00487F6D">
        <w:rPr>
          <w:sz w:val="24"/>
        </w:rPr>
        <w:t xml:space="preserve">ompanies and, in turn, provide . . . </w:t>
      </w:r>
      <w:r w:rsidR="00487F6D" w:rsidRPr="009065BA">
        <w:rPr>
          <w:sz w:val="24"/>
        </w:rPr>
        <w:t>a more</w:t>
      </w:r>
      <w:r w:rsidR="00487F6D">
        <w:rPr>
          <w:sz w:val="24"/>
        </w:rPr>
        <w:t xml:space="preserve"> </w:t>
      </w:r>
      <w:r w:rsidR="00487F6D" w:rsidRPr="009065BA">
        <w:rPr>
          <w:sz w:val="24"/>
        </w:rPr>
        <w:t>robust competitive e</w:t>
      </w:r>
      <w:r w:rsidR="00487F6D">
        <w:rPr>
          <w:sz w:val="24"/>
        </w:rPr>
        <w:t xml:space="preserve">nvironment for the customers of </w:t>
      </w:r>
      <w:r w:rsidR="00487F6D" w:rsidRPr="009065BA">
        <w:rPr>
          <w:sz w:val="24"/>
        </w:rPr>
        <w:t>the companies.</w:t>
      </w:r>
      <w:r w:rsidR="00487F6D">
        <w:rPr>
          <w:sz w:val="24"/>
        </w:rPr>
        <w:t>”</w:t>
      </w:r>
      <w:r w:rsidR="00487F6D">
        <w:rPr>
          <w:rStyle w:val="FootnoteReference"/>
          <w:sz w:val="24"/>
        </w:rPr>
        <w:footnoteReference w:id="4"/>
      </w:r>
      <w:r w:rsidR="00487F6D">
        <w:rPr>
          <w:sz w:val="24"/>
        </w:rPr>
        <w:t xml:space="preserve">  Thus, the Order is properly supported by the ev</w:t>
      </w:r>
      <w:r w:rsidR="00DA4899">
        <w:rPr>
          <w:sz w:val="24"/>
        </w:rPr>
        <w:t>idence in the record.  Specific details relating to</w:t>
      </w:r>
      <w:r w:rsidR="00487F6D">
        <w:rPr>
          <w:sz w:val="24"/>
        </w:rPr>
        <w:t xml:space="preserve"> the Incentive Rider will be add</w:t>
      </w:r>
      <w:r w:rsidR="00E9678A">
        <w:rPr>
          <w:sz w:val="24"/>
        </w:rPr>
        <w:t>ressed in a separate proceeding</w:t>
      </w:r>
      <w:r w:rsidR="00487F6D">
        <w:rPr>
          <w:sz w:val="24"/>
        </w:rPr>
        <w:t xml:space="preserve"> b</w:t>
      </w:r>
      <w:r w:rsidR="00E9678A">
        <w:rPr>
          <w:sz w:val="24"/>
        </w:rPr>
        <w:t>ased upon additional</w:t>
      </w:r>
      <w:r w:rsidR="00487F6D">
        <w:rPr>
          <w:sz w:val="24"/>
        </w:rPr>
        <w:t xml:space="preserve"> record </w:t>
      </w:r>
      <w:r w:rsidR="00E9678A">
        <w:rPr>
          <w:sz w:val="24"/>
        </w:rPr>
        <w:t xml:space="preserve">evidence </w:t>
      </w:r>
      <w:r w:rsidR="00487F6D">
        <w:rPr>
          <w:sz w:val="24"/>
        </w:rPr>
        <w:t xml:space="preserve">to support the just and reasonableness of the Incentive Rider.  </w:t>
      </w:r>
    </w:p>
    <w:p w:rsidR="00487F6D" w:rsidRDefault="00487F6D" w:rsidP="00A928B9">
      <w:pPr>
        <w:spacing w:line="480" w:lineRule="auto"/>
        <w:rPr>
          <w:sz w:val="24"/>
        </w:rPr>
      </w:pPr>
      <w:r>
        <w:rPr>
          <w:sz w:val="24"/>
        </w:rPr>
        <w:tab/>
        <w:t>OCC and NOAC also argue that the Order is inconsistent with past Commission findings.  Because OCC and NOAC fail to identify the past findings the Order conflicts with, IGS is una</w:t>
      </w:r>
      <w:r w:rsidR="0034609E">
        <w:rPr>
          <w:sz w:val="24"/>
        </w:rPr>
        <w:t>ble to respond to this meritless argument.</w:t>
      </w:r>
    </w:p>
    <w:p w:rsidR="00F30B46" w:rsidRDefault="00F30B46" w:rsidP="00A928B9">
      <w:pPr>
        <w:spacing w:line="480" w:lineRule="auto"/>
        <w:rPr>
          <w:sz w:val="24"/>
        </w:rPr>
      </w:pPr>
      <w:r>
        <w:rPr>
          <w:sz w:val="24"/>
        </w:rPr>
        <w:tab/>
        <w:t>NOPEC argues that the Incentive</w:t>
      </w:r>
      <w:r w:rsidR="003E1A14">
        <w:rPr>
          <w:sz w:val="24"/>
        </w:rPr>
        <w:t xml:space="preserve"> Rider</w:t>
      </w:r>
      <w:r>
        <w:rPr>
          <w:sz w:val="24"/>
        </w:rPr>
        <w:t xml:space="preserve"> is unlawful because the Commission lacks authority to authorize a placeholder rider. </w:t>
      </w:r>
      <w:r w:rsidR="003E1A14">
        <w:rPr>
          <w:sz w:val="24"/>
        </w:rPr>
        <w:t>Contrary to NOPEC’s claim, the Commission is permitted to authorize a placeholder rider and has done so in several prior cases.</w:t>
      </w:r>
      <w:r w:rsidR="003E1A14">
        <w:rPr>
          <w:rStyle w:val="FootnoteReference"/>
          <w:sz w:val="24"/>
        </w:rPr>
        <w:footnoteReference w:id="5"/>
      </w:r>
      <w:r w:rsidR="003E1A14">
        <w:rPr>
          <w:sz w:val="24"/>
        </w:rPr>
        <w:t xml:space="preserve">   </w:t>
      </w:r>
    </w:p>
    <w:p w:rsidR="00A3095A" w:rsidRDefault="001D41F2" w:rsidP="0009538C">
      <w:pPr>
        <w:spacing w:line="480" w:lineRule="auto"/>
        <w:ind w:firstLine="720"/>
        <w:rPr>
          <w:sz w:val="24"/>
        </w:rPr>
      </w:pPr>
      <w:r>
        <w:rPr>
          <w:sz w:val="24"/>
        </w:rPr>
        <w:lastRenderedPageBreak/>
        <w:t>NOPEC argues that the Incentive Rider cannot be lawfully approved in an ESP case, alleging that it is not authorized under any of the categories of R.C. 4928.143(B</w:t>
      </w:r>
      <w:proofErr w:type="gramStart"/>
      <w:r>
        <w:rPr>
          <w:sz w:val="24"/>
        </w:rPr>
        <w:t>)(</w:t>
      </w:r>
      <w:proofErr w:type="gramEnd"/>
      <w:r>
        <w:rPr>
          <w:sz w:val="24"/>
        </w:rPr>
        <w:t>2).</w:t>
      </w:r>
      <w:r w:rsidR="003A2668">
        <w:rPr>
          <w:rStyle w:val="FootnoteReference"/>
          <w:sz w:val="24"/>
        </w:rPr>
        <w:footnoteReference w:id="6"/>
      </w:r>
      <w:r>
        <w:rPr>
          <w:sz w:val="24"/>
        </w:rPr>
        <w:t xml:space="preserve">  NOPEC’</w:t>
      </w:r>
      <w:r w:rsidR="00F7413B">
        <w:rPr>
          <w:sz w:val="24"/>
        </w:rPr>
        <w:t xml:space="preserve">s argument </w:t>
      </w:r>
      <w:r w:rsidR="009850C3">
        <w:rPr>
          <w:sz w:val="24"/>
        </w:rPr>
        <w:t>is conclusory on its face</w:t>
      </w:r>
      <w:r w:rsidR="00DA4899">
        <w:rPr>
          <w:sz w:val="24"/>
        </w:rPr>
        <w:t>.  The Supreme Court of Ohio has held that such</w:t>
      </w:r>
      <w:r w:rsidR="0009538C">
        <w:rPr>
          <w:sz w:val="24"/>
        </w:rPr>
        <w:t xml:space="preserve"> “[u]</w:t>
      </w:r>
      <w:proofErr w:type="spellStart"/>
      <w:r w:rsidR="0009538C" w:rsidRPr="0009538C">
        <w:rPr>
          <w:sz w:val="24"/>
        </w:rPr>
        <w:t>nsupported</w:t>
      </w:r>
      <w:proofErr w:type="spellEnd"/>
      <w:r w:rsidR="0009538C" w:rsidRPr="0009538C">
        <w:rPr>
          <w:sz w:val="24"/>
        </w:rPr>
        <w:t xml:space="preserve"> legal conclusions do not demonstrate</w:t>
      </w:r>
      <w:r w:rsidR="0009538C">
        <w:rPr>
          <w:sz w:val="24"/>
        </w:rPr>
        <w:t xml:space="preserve"> </w:t>
      </w:r>
      <w:r w:rsidR="0009538C" w:rsidRPr="0009538C">
        <w:rPr>
          <w:sz w:val="24"/>
        </w:rPr>
        <w:t>error.</w:t>
      </w:r>
      <w:r w:rsidR="0009538C">
        <w:rPr>
          <w:sz w:val="24"/>
        </w:rPr>
        <w:t>”</w:t>
      </w:r>
      <w:r w:rsidR="0009538C">
        <w:rPr>
          <w:rStyle w:val="FootnoteReference"/>
          <w:sz w:val="24"/>
        </w:rPr>
        <w:footnoteReference w:id="7"/>
      </w:r>
      <w:r w:rsidR="009850C3">
        <w:rPr>
          <w:sz w:val="24"/>
        </w:rPr>
        <w:t xml:space="preserve">  In any event,</w:t>
      </w:r>
      <w:r w:rsidR="0009538C">
        <w:rPr>
          <w:sz w:val="24"/>
        </w:rPr>
        <w:t xml:space="preserve"> NOPEC</w:t>
      </w:r>
      <w:r w:rsidR="009850C3">
        <w:rPr>
          <w:sz w:val="24"/>
        </w:rPr>
        <w:t xml:space="preserve"> </w:t>
      </w:r>
      <w:r w:rsidR="00F7413B">
        <w:rPr>
          <w:sz w:val="24"/>
        </w:rPr>
        <w:t>takes an overly restrictive view of the ESP sta</w:t>
      </w:r>
      <w:r w:rsidR="002049B8">
        <w:rPr>
          <w:sz w:val="24"/>
        </w:rPr>
        <w:t xml:space="preserve">tute that does not comport with Ohio law and </w:t>
      </w:r>
      <w:r w:rsidR="00F7413B">
        <w:rPr>
          <w:sz w:val="24"/>
        </w:rPr>
        <w:t>the Commission’s past precedent</w:t>
      </w:r>
      <w:r w:rsidR="00E9678A">
        <w:rPr>
          <w:sz w:val="24"/>
        </w:rPr>
        <w:t>.</w:t>
      </w:r>
      <w:r w:rsidR="00F7413B">
        <w:rPr>
          <w:sz w:val="24"/>
        </w:rPr>
        <w:t xml:space="preserve"> </w:t>
      </w:r>
      <w:r w:rsidR="00A3095A">
        <w:rPr>
          <w:sz w:val="24"/>
        </w:rPr>
        <w:t xml:space="preserve"> </w:t>
      </w:r>
    </w:p>
    <w:p w:rsidR="003A2668" w:rsidRDefault="00F7413B" w:rsidP="003D5C9D">
      <w:pPr>
        <w:spacing w:line="480" w:lineRule="auto"/>
        <w:ind w:firstLine="720"/>
        <w:rPr>
          <w:sz w:val="24"/>
        </w:rPr>
      </w:pPr>
      <w:r>
        <w:rPr>
          <w:sz w:val="24"/>
        </w:rPr>
        <w:t xml:space="preserve">Several provisions within R.C. 4928.143 permit the Commission to authorize </w:t>
      </w:r>
      <w:proofErr w:type="spellStart"/>
      <w:r>
        <w:rPr>
          <w:sz w:val="24"/>
        </w:rPr>
        <w:t>bypassable</w:t>
      </w:r>
      <w:proofErr w:type="spellEnd"/>
      <w:r>
        <w:rPr>
          <w:sz w:val="24"/>
        </w:rPr>
        <w:t xml:space="preserve"> charges applicable to default service</w:t>
      </w:r>
      <w:r w:rsidR="003A2668">
        <w:rPr>
          <w:sz w:val="24"/>
        </w:rPr>
        <w:t>, and they are not all contained within R.C. 4928.143(B</w:t>
      </w:r>
      <w:proofErr w:type="gramStart"/>
      <w:r w:rsidR="003A2668">
        <w:rPr>
          <w:sz w:val="24"/>
        </w:rPr>
        <w:t>)(</w:t>
      </w:r>
      <w:proofErr w:type="gramEnd"/>
      <w:r w:rsidR="003A2668">
        <w:rPr>
          <w:sz w:val="24"/>
        </w:rPr>
        <w:t>2)</w:t>
      </w:r>
      <w:r>
        <w:rPr>
          <w:sz w:val="24"/>
        </w:rPr>
        <w:t>.</w:t>
      </w:r>
      <w:r w:rsidR="003A2668">
        <w:rPr>
          <w:sz w:val="24"/>
        </w:rPr>
        <w:t xml:space="preserve">  For example,</w:t>
      </w:r>
      <w:r w:rsidR="004C2DE1">
        <w:rPr>
          <w:sz w:val="24"/>
        </w:rPr>
        <w:t xml:space="preserve"> R.C. 4928.143(B</w:t>
      </w:r>
      <w:proofErr w:type="gramStart"/>
      <w:r w:rsidR="004C2DE1">
        <w:rPr>
          <w:sz w:val="24"/>
        </w:rPr>
        <w:t>)(</w:t>
      </w:r>
      <w:proofErr w:type="gramEnd"/>
      <w:r w:rsidR="004C2DE1">
        <w:rPr>
          <w:sz w:val="24"/>
        </w:rPr>
        <w:t xml:space="preserve">1) permits </w:t>
      </w:r>
      <w:r w:rsidR="00A3095A">
        <w:rPr>
          <w:sz w:val="24"/>
        </w:rPr>
        <w:t>“provisions relating to the supply and pricing of electric generation service.”</w:t>
      </w:r>
      <w:r w:rsidR="003A2668">
        <w:rPr>
          <w:sz w:val="24"/>
        </w:rPr>
        <w:t xml:space="preserve"> </w:t>
      </w:r>
      <w:r w:rsidR="003D5C9D">
        <w:rPr>
          <w:sz w:val="24"/>
        </w:rPr>
        <w:t>Further, R.C. 4928.143(B</w:t>
      </w:r>
      <w:proofErr w:type="gramStart"/>
      <w:r w:rsidR="003D5C9D">
        <w:rPr>
          <w:sz w:val="24"/>
        </w:rPr>
        <w:t>)(</w:t>
      </w:r>
      <w:proofErr w:type="gramEnd"/>
      <w:r w:rsidR="003D5C9D">
        <w:rPr>
          <w:sz w:val="24"/>
        </w:rPr>
        <w:t>2)(e) permits “[a]</w:t>
      </w:r>
      <w:proofErr w:type="spellStart"/>
      <w:r w:rsidR="003D5C9D" w:rsidRPr="003A2668">
        <w:rPr>
          <w:sz w:val="24"/>
        </w:rPr>
        <w:t>utomatic</w:t>
      </w:r>
      <w:proofErr w:type="spellEnd"/>
      <w:r w:rsidR="003D5C9D" w:rsidRPr="003A2668">
        <w:rPr>
          <w:sz w:val="24"/>
        </w:rPr>
        <w:t xml:space="preserve"> increases or decreases in any component of the standard service </w:t>
      </w:r>
      <w:r w:rsidR="003D5C9D" w:rsidRPr="003A2668">
        <w:rPr>
          <w:sz w:val="24"/>
        </w:rPr>
        <w:lastRenderedPageBreak/>
        <w:t>offer price</w:t>
      </w:r>
      <w:r w:rsidR="003D5C9D">
        <w:rPr>
          <w:sz w:val="24"/>
        </w:rPr>
        <w:t xml:space="preserve">.” </w:t>
      </w:r>
      <w:r w:rsidR="003D5C9D" w:rsidRPr="003A2668">
        <w:rPr>
          <w:sz w:val="24"/>
        </w:rPr>
        <w:t xml:space="preserve"> </w:t>
      </w:r>
      <w:r w:rsidR="003A2668">
        <w:rPr>
          <w:sz w:val="24"/>
        </w:rPr>
        <w:t xml:space="preserve"> The </w:t>
      </w:r>
      <w:proofErr w:type="spellStart"/>
      <w:r w:rsidR="003A2668">
        <w:rPr>
          <w:sz w:val="24"/>
        </w:rPr>
        <w:t>bypassable</w:t>
      </w:r>
      <w:proofErr w:type="spellEnd"/>
      <w:r w:rsidR="003A2668">
        <w:rPr>
          <w:sz w:val="24"/>
        </w:rPr>
        <w:t xml:space="preserve"> Incentive Rider coul</w:t>
      </w:r>
      <w:r w:rsidR="003D5C9D">
        <w:rPr>
          <w:sz w:val="24"/>
        </w:rPr>
        <w:t>d easily be justified under either of these</w:t>
      </w:r>
      <w:r w:rsidR="003A2668">
        <w:rPr>
          <w:sz w:val="24"/>
        </w:rPr>
        <w:t xml:space="preserve"> provision</w:t>
      </w:r>
      <w:r w:rsidR="00E9678A">
        <w:rPr>
          <w:sz w:val="24"/>
        </w:rPr>
        <w:t>s</w:t>
      </w:r>
      <w:r w:rsidR="003A2668">
        <w:rPr>
          <w:sz w:val="24"/>
        </w:rPr>
        <w:t xml:space="preserve"> of Ohio law.</w:t>
      </w:r>
      <w:r w:rsidR="00A3095A">
        <w:rPr>
          <w:sz w:val="24"/>
        </w:rPr>
        <w:t xml:space="preserve"> </w:t>
      </w:r>
    </w:p>
    <w:p w:rsidR="006A7326" w:rsidRDefault="003A2668" w:rsidP="003D5C9D">
      <w:pPr>
        <w:spacing w:line="480" w:lineRule="auto"/>
        <w:ind w:firstLine="720"/>
        <w:rPr>
          <w:sz w:val="24"/>
        </w:rPr>
      </w:pPr>
      <w:r>
        <w:rPr>
          <w:sz w:val="24"/>
        </w:rPr>
        <w:t>Likewise, R.C. 4928.143(B</w:t>
      </w:r>
      <w:proofErr w:type="gramStart"/>
      <w:r>
        <w:rPr>
          <w:sz w:val="24"/>
        </w:rPr>
        <w:t>)(</w:t>
      </w:r>
      <w:proofErr w:type="gramEnd"/>
      <w:r>
        <w:rPr>
          <w:sz w:val="24"/>
        </w:rPr>
        <w:t xml:space="preserve">2)(d) permits the Commission to authorize charges that relate to </w:t>
      </w:r>
      <w:proofErr w:type="spellStart"/>
      <w:r>
        <w:rPr>
          <w:sz w:val="24"/>
        </w:rPr>
        <w:t>bypassability</w:t>
      </w:r>
      <w:proofErr w:type="spellEnd"/>
      <w:r>
        <w:rPr>
          <w:sz w:val="24"/>
        </w:rPr>
        <w:t xml:space="preserve"> that may have the tendency to effectuate stability or certainty with respect to retail electric service.</w:t>
      </w:r>
      <w:r w:rsidR="006A7326">
        <w:rPr>
          <w:sz w:val="24"/>
        </w:rPr>
        <w:t xml:space="preserve">  The Commission has previously invoked this provision </w:t>
      </w:r>
      <w:r w:rsidR="00E9678A">
        <w:rPr>
          <w:sz w:val="24"/>
        </w:rPr>
        <w:t xml:space="preserve">of Ohio law in an </w:t>
      </w:r>
      <w:r w:rsidR="006A7326">
        <w:rPr>
          <w:sz w:val="24"/>
        </w:rPr>
        <w:t>ESP case</w:t>
      </w:r>
      <w:r w:rsidR="003D5C9D">
        <w:rPr>
          <w:sz w:val="24"/>
        </w:rPr>
        <w:t xml:space="preserve"> to authorize </w:t>
      </w:r>
      <w:r w:rsidR="00E9678A">
        <w:rPr>
          <w:sz w:val="24"/>
        </w:rPr>
        <w:t xml:space="preserve">a </w:t>
      </w:r>
      <w:r w:rsidR="003D5C9D">
        <w:rPr>
          <w:sz w:val="24"/>
        </w:rPr>
        <w:t xml:space="preserve">$10 per </w:t>
      </w:r>
      <w:r w:rsidR="00450971">
        <w:rPr>
          <w:sz w:val="24"/>
        </w:rPr>
        <w:t xml:space="preserve">megawatt hour </w:t>
      </w:r>
      <w:r w:rsidR="00E9678A">
        <w:rPr>
          <w:sz w:val="24"/>
        </w:rPr>
        <w:t>shopping</w:t>
      </w:r>
      <w:r w:rsidR="003D5C9D">
        <w:rPr>
          <w:sz w:val="24"/>
        </w:rPr>
        <w:t xml:space="preserve"> </w:t>
      </w:r>
      <w:r w:rsidR="00E9678A">
        <w:rPr>
          <w:sz w:val="24"/>
        </w:rPr>
        <w:t>credit</w:t>
      </w:r>
      <w:r w:rsidR="003D5C9D">
        <w:rPr>
          <w:sz w:val="24"/>
        </w:rPr>
        <w:t>.</w:t>
      </w:r>
      <w:r w:rsidR="00610FB9">
        <w:rPr>
          <w:rStyle w:val="FootnoteReference"/>
          <w:sz w:val="24"/>
        </w:rPr>
        <w:footnoteReference w:id="8"/>
      </w:r>
      <w:r w:rsidR="003D5C9D">
        <w:rPr>
          <w:sz w:val="24"/>
        </w:rPr>
        <w:t xml:space="preserve"> </w:t>
      </w:r>
      <w:r w:rsidR="00E9678A">
        <w:rPr>
          <w:sz w:val="24"/>
        </w:rPr>
        <w:t>Moreover, t</w:t>
      </w:r>
      <w:r w:rsidR="003D5C9D">
        <w:rPr>
          <w:sz w:val="24"/>
        </w:rPr>
        <w:t>he Commission relied upon the same provis</w:t>
      </w:r>
      <w:r w:rsidR="00E9678A">
        <w:rPr>
          <w:sz w:val="24"/>
        </w:rPr>
        <w:t>ion</w:t>
      </w:r>
      <w:r w:rsidR="003D5C9D">
        <w:rPr>
          <w:sz w:val="24"/>
        </w:rPr>
        <w:t xml:space="preserve"> to authorize two different non-</w:t>
      </w:r>
      <w:proofErr w:type="spellStart"/>
      <w:r w:rsidR="003D5C9D">
        <w:rPr>
          <w:sz w:val="24"/>
        </w:rPr>
        <w:t>bypssable</w:t>
      </w:r>
      <w:proofErr w:type="spellEnd"/>
      <w:r w:rsidR="003D5C9D">
        <w:rPr>
          <w:sz w:val="24"/>
        </w:rPr>
        <w:t xml:space="preserve"> demand charges coupled with non-</w:t>
      </w:r>
      <w:proofErr w:type="spellStart"/>
      <w:r w:rsidR="003D5C9D">
        <w:rPr>
          <w:sz w:val="24"/>
        </w:rPr>
        <w:t>bypassable</w:t>
      </w:r>
      <w:proofErr w:type="spellEnd"/>
      <w:r w:rsidR="003D5C9D">
        <w:rPr>
          <w:sz w:val="24"/>
        </w:rPr>
        <w:t xml:space="preserve"> credits (The Market Transition Rider and the Load Factor Provision) in order to stabilize retail electric service in the transition to market-based rates.</w:t>
      </w:r>
      <w:r w:rsidR="00610FB9">
        <w:rPr>
          <w:rStyle w:val="FootnoteReference"/>
          <w:sz w:val="24"/>
        </w:rPr>
        <w:footnoteReference w:id="9"/>
      </w:r>
      <w:r w:rsidR="003D5C9D">
        <w:rPr>
          <w:sz w:val="24"/>
        </w:rPr>
        <w:t xml:space="preserve">  The Incentive </w:t>
      </w:r>
      <w:r w:rsidR="00DA4899">
        <w:rPr>
          <w:sz w:val="24"/>
        </w:rPr>
        <w:t xml:space="preserve">Rider will </w:t>
      </w:r>
      <w:r w:rsidR="003D5C9D">
        <w:rPr>
          <w:sz w:val="24"/>
        </w:rPr>
        <w:t>stabilize retail electric service for customers that elect service from a competitive retail electric service provider by ensuring that these customer</w:t>
      </w:r>
      <w:r w:rsidR="00450971">
        <w:rPr>
          <w:sz w:val="24"/>
        </w:rPr>
        <w:t>s</w:t>
      </w:r>
      <w:r w:rsidR="003D5C9D">
        <w:rPr>
          <w:sz w:val="24"/>
        </w:rPr>
        <w:t xml:space="preserve"> receive a credit on their bill, as the revenue neutral charge is returned to all customers.</w:t>
      </w:r>
    </w:p>
    <w:p w:rsidR="002049B8" w:rsidRDefault="002049B8" w:rsidP="003D5C9D">
      <w:pPr>
        <w:spacing w:line="480" w:lineRule="auto"/>
        <w:ind w:firstLine="720"/>
        <w:rPr>
          <w:sz w:val="24"/>
        </w:rPr>
      </w:pPr>
      <w:r>
        <w:rPr>
          <w:sz w:val="24"/>
        </w:rPr>
        <w:t>Finally, R.C. 4928.143(B</w:t>
      </w:r>
      <w:proofErr w:type="gramStart"/>
      <w:r>
        <w:rPr>
          <w:sz w:val="24"/>
        </w:rPr>
        <w:t>)(</w:t>
      </w:r>
      <w:proofErr w:type="gramEnd"/>
      <w:r>
        <w:rPr>
          <w:sz w:val="24"/>
        </w:rPr>
        <w:t xml:space="preserve">2)(i) permits the Commission to authorize provisions that promote economic development.  Because the Incentive Rider will provide economic incentives </w:t>
      </w:r>
      <w:r w:rsidR="00E57A67">
        <w:rPr>
          <w:sz w:val="24"/>
        </w:rPr>
        <w:t xml:space="preserve">to promote shopping </w:t>
      </w:r>
      <w:r>
        <w:rPr>
          <w:sz w:val="24"/>
        </w:rPr>
        <w:t xml:space="preserve">and encourage competitive retail electric service providers to invest resources in the </w:t>
      </w:r>
      <w:r w:rsidR="009850C3">
        <w:rPr>
          <w:sz w:val="24"/>
        </w:rPr>
        <w:t>FirstEnergy service territory, the Incentive Rider may be authorized under this provision of Ohio law.</w:t>
      </w:r>
    </w:p>
    <w:p w:rsidR="009850C3" w:rsidRDefault="009850C3" w:rsidP="003D5C9D">
      <w:pPr>
        <w:spacing w:line="480" w:lineRule="auto"/>
        <w:ind w:firstLine="720"/>
        <w:rPr>
          <w:sz w:val="24"/>
        </w:rPr>
      </w:pPr>
      <w:r>
        <w:rPr>
          <w:sz w:val="24"/>
        </w:rPr>
        <w:t>In summary, there are several provisions within R.C. 4928.143 that permit the Commission to approve the Incentive Rider.</w:t>
      </w:r>
    </w:p>
    <w:p w:rsidR="00073C1A" w:rsidRDefault="0011253C" w:rsidP="003D5C9D">
      <w:pPr>
        <w:spacing w:line="480" w:lineRule="auto"/>
        <w:rPr>
          <w:b/>
          <w:sz w:val="24"/>
        </w:rPr>
      </w:pPr>
      <w:r>
        <w:rPr>
          <w:sz w:val="24"/>
        </w:rPr>
        <w:tab/>
      </w:r>
      <w:r w:rsidR="00827F13">
        <w:rPr>
          <w:sz w:val="24"/>
        </w:rPr>
        <w:t xml:space="preserve"> </w:t>
      </w:r>
      <w:r w:rsidR="003D5C9D">
        <w:rPr>
          <w:b/>
          <w:sz w:val="24"/>
        </w:rPr>
        <w:t>III. CONCLUSION</w:t>
      </w:r>
    </w:p>
    <w:p w:rsidR="003D5C9D" w:rsidRDefault="003D5C9D" w:rsidP="003D5C9D">
      <w:pPr>
        <w:spacing w:line="480" w:lineRule="auto"/>
        <w:ind w:firstLine="720"/>
        <w:rPr>
          <w:sz w:val="24"/>
        </w:rPr>
      </w:pPr>
      <w:r>
        <w:rPr>
          <w:sz w:val="24"/>
        </w:rPr>
        <w:lastRenderedPageBreak/>
        <w:t xml:space="preserve">For the reasons stated herein, IGS urges the Commission to reject the applications for rehearing submitted by OCC, NOAC, and NOPEC.  </w:t>
      </w:r>
    </w:p>
    <w:p w:rsidR="00E57A67" w:rsidRPr="003D5C9D" w:rsidRDefault="00E57A67" w:rsidP="003D5C9D">
      <w:pPr>
        <w:spacing w:line="480" w:lineRule="auto"/>
        <w:ind w:firstLine="720"/>
        <w:rPr>
          <w:sz w:val="24"/>
        </w:rPr>
      </w:pPr>
    </w:p>
    <w:p w:rsidR="00F135F3" w:rsidRDefault="00F135F3" w:rsidP="00073C1A">
      <w:pPr>
        <w:rPr>
          <w:sz w:val="24"/>
        </w:rPr>
      </w:pPr>
    </w:p>
    <w:p w:rsidR="00B54B55" w:rsidRDefault="00B54B55" w:rsidP="00B54B55">
      <w:pPr>
        <w:ind w:left="5040"/>
        <w:rPr>
          <w:rFonts w:eastAsia="Calibri"/>
          <w:sz w:val="24"/>
        </w:rPr>
      </w:pPr>
      <w:r>
        <w:rPr>
          <w:rFonts w:eastAsia="Calibri"/>
          <w:sz w:val="24"/>
        </w:rPr>
        <w:t>Respectfully submitted,</w:t>
      </w:r>
    </w:p>
    <w:p w:rsidR="00B54B55" w:rsidRDefault="00B54B55" w:rsidP="00B54B55">
      <w:pPr>
        <w:rPr>
          <w:rFonts w:eastAsia="Calibri"/>
          <w:sz w:val="24"/>
        </w:rPr>
      </w:pPr>
    </w:p>
    <w:p w:rsidR="00B54B55" w:rsidRDefault="00B54B55" w:rsidP="00B54B55">
      <w:pPr>
        <w:ind w:left="5040"/>
        <w:rPr>
          <w:rFonts w:eastAsia="Calibri"/>
          <w:sz w:val="24"/>
        </w:rPr>
      </w:pPr>
      <w:r>
        <w:rPr>
          <w:rFonts w:eastAsia="Calibri"/>
          <w:sz w:val="24"/>
        </w:rPr>
        <w:tab/>
      </w:r>
      <w:r>
        <w:rPr>
          <w:rFonts w:eastAsia="Calibri"/>
          <w:sz w:val="24"/>
        </w:rPr>
        <w:tab/>
      </w:r>
      <w:r>
        <w:rPr>
          <w:rFonts w:eastAsia="Calibri"/>
          <w:sz w:val="24"/>
        </w:rPr>
        <w:tab/>
      </w:r>
      <w:r>
        <w:rPr>
          <w:rFonts w:eastAsia="Calibri"/>
          <w:sz w:val="24"/>
        </w:rPr>
        <w:tab/>
      </w:r>
      <w:r>
        <w:rPr>
          <w:rFonts w:eastAsia="Calibri"/>
          <w:sz w:val="24"/>
        </w:rPr>
        <w:tab/>
      </w:r>
    </w:p>
    <w:p w:rsidR="00B54B55" w:rsidRDefault="00B54B55" w:rsidP="00B54B55">
      <w:pPr>
        <w:ind w:left="5040"/>
        <w:rPr>
          <w:rFonts w:eastAsia="Arial"/>
          <w:i/>
          <w:sz w:val="24"/>
          <w:u w:val="single"/>
        </w:rPr>
      </w:pPr>
      <w:r>
        <w:rPr>
          <w:rFonts w:eastAsia="Arial"/>
          <w:i/>
          <w:sz w:val="24"/>
          <w:u w:val="single"/>
        </w:rPr>
        <w:t>/s/ Joseph Oliker</w:t>
      </w:r>
    </w:p>
    <w:p w:rsidR="00B54B55" w:rsidRPr="007B3399" w:rsidRDefault="00B54B55" w:rsidP="00B54B55">
      <w:pPr>
        <w:ind w:left="5040"/>
        <w:rPr>
          <w:sz w:val="24"/>
        </w:rPr>
      </w:pPr>
      <w:r>
        <w:rPr>
          <w:rFonts w:eastAsia="Arial"/>
          <w:sz w:val="24"/>
        </w:rPr>
        <w:t xml:space="preserve">Joseph Oliker </w:t>
      </w:r>
      <w:r>
        <w:rPr>
          <w:sz w:val="24"/>
        </w:rPr>
        <w:t>(0086088)</w:t>
      </w:r>
    </w:p>
    <w:p w:rsidR="00B54B55" w:rsidRDefault="00B54B55" w:rsidP="00B54B55">
      <w:pPr>
        <w:ind w:left="5040"/>
        <w:rPr>
          <w:rFonts w:eastAsia="Calibri"/>
          <w:sz w:val="24"/>
          <w:u w:val="single"/>
        </w:rPr>
      </w:pPr>
      <w:r>
        <w:rPr>
          <w:rFonts w:eastAsia="Arial"/>
          <w:sz w:val="24"/>
        </w:rPr>
        <w:t xml:space="preserve">Counsel of Record </w:t>
      </w:r>
    </w:p>
    <w:p w:rsidR="00B54B55" w:rsidRDefault="00B54B55" w:rsidP="00B54B55">
      <w:pPr>
        <w:ind w:left="5040"/>
        <w:rPr>
          <w:sz w:val="24"/>
        </w:rPr>
      </w:pPr>
      <w:r>
        <w:rPr>
          <w:sz w:val="24"/>
        </w:rPr>
        <w:t>Email:  joliker@igsenergy.com</w:t>
      </w:r>
    </w:p>
    <w:p w:rsidR="00B54B55" w:rsidRDefault="00B54B55" w:rsidP="00B54B55">
      <w:pPr>
        <w:ind w:left="5040"/>
        <w:rPr>
          <w:sz w:val="24"/>
        </w:rPr>
      </w:pPr>
      <w:r>
        <w:rPr>
          <w:sz w:val="24"/>
        </w:rPr>
        <w:t>IGS Energy</w:t>
      </w:r>
    </w:p>
    <w:p w:rsidR="00B54B55" w:rsidRDefault="00B54B55" w:rsidP="00B54B55">
      <w:pPr>
        <w:ind w:left="5040"/>
        <w:rPr>
          <w:sz w:val="24"/>
        </w:rPr>
      </w:pPr>
      <w:r>
        <w:rPr>
          <w:sz w:val="24"/>
        </w:rPr>
        <w:t>6100 Emerald Parkway</w:t>
      </w:r>
    </w:p>
    <w:p w:rsidR="00B54B55" w:rsidRDefault="00B54B55" w:rsidP="00B54B55">
      <w:pPr>
        <w:ind w:left="5040"/>
        <w:rPr>
          <w:sz w:val="24"/>
        </w:rPr>
      </w:pPr>
      <w:r>
        <w:rPr>
          <w:sz w:val="24"/>
        </w:rPr>
        <w:t>Dublin, Ohio 43016</w:t>
      </w:r>
    </w:p>
    <w:p w:rsidR="00B54B55" w:rsidRDefault="00B54B55" w:rsidP="00B54B55">
      <w:pPr>
        <w:ind w:left="5040"/>
        <w:rPr>
          <w:sz w:val="24"/>
        </w:rPr>
      </w:pPr>
      <w:r>
        <w:rPr>
          <w:sz w:val="24"/>
        </w:rPr>
        <w:t>Telephone:</w:t>
      </w:r>
      <w:r>
        <w:rPr>
          <w:sz w:val="24"/>
        </w:rPr>
        <w:tab/>
        <w:t>(614) 659-5000</w:t>
      </w:r>
    </w:p>
    <w:p w:rsidR="00B54B55" w:rsidRDefault="00B54B55" w:rsidP="00B54B55">
      <w:pPr>
        <w:ind w:left="5040"/>
        <w:rPr>
          <w:sz w:val="24"/>
        </w:rPr>
      </w:pPr>
      <w:r>
        <w:rPr>
          <w:sz w:val="24"/>
        </w:rPr>
        <w:t>Facsimile:</w:t>
      </w:r>
      <w:r>
        <w:rPr>
          <w:sz w:val="24"/>
        </w:rPr>
        <w:tab/>
        <w:t>(614) 659-5073</w:t>
      </w:r>
    </w:p>
    <w:p w:rsidR="00B54B55" w:rsidRDefault="00B54B55" w:rsidP="00B54B55">
      <w:pPr>
        <w:ind w:left="5040"/>
        <w:rPr>
          <w:sz w:val="24"/>
        </w:rPr>
      </w:pPr>
    </w:p>
    <w:p w:rsidR="00F40E07" w:rsidRDefault="00B54B55" w:rsidP="00BA64F2">
      <w:pPr>
        <w:spacing w:line="480" w:lineRule="auto"/>
        <w:ind w:left="5040"/>
        <w:rPr>
          <w:b/>
          <w:i/>
          <w:sz w:val="22"/>
          <w:szCs w:val="22"/>
        </w:rPr>
      </w:pPr>
      <w:proofErr w:type="gramStart"/>
      <w:r w:rsidRPr="00B54B55">
        <w:rPr>
          <w:b/>
          <w:i/>
          <w:sz w:val="22"/>
          <w:szCs w:val="22"/>
        </w:rPr>
        <w:t>Attorney</w:t>
      </w:r>
      <w:r w:rsidR="00BA64F2">
        <w:rPr>
          <w:b/>
          <w:i/>
          <w:sz w:val="22"/>
          <w:szCs w:val="22"/>
        </w:rPr>
        <w:t xml:space="preserve"> for Interstate Gas Supply, Inc.</w:t>
      </w:r>
      <w:proofErr w:type="gramEnd"/>
    </w:p>
    <w:p w:rsidR="00536055" w:rsidRDefault="00536055" w:rsidP="00BA64F2">
      <w:pPr>
        <w:spacing w:line="480" w:lineRule="auto"/>
        <w:ind w:left="5040"/>
        <w:rPr>
          <w:b/>
          <w:i/>
          <w:sz w:val="22"/>
          <w:szCs w:val="22"/>
        </w:rPr>
      </w:pPr>
    </w:p>
    <w:p w:rsidR="0092305F" w:rsidRDefault="0092305F" w:rsidP="00F72C93">
      <w:pPr>
        <w:spacing w:line="480" w:lineRule="auto"/>
        <w:rPr>
          <w:b/>
          <w:i/>
          <w:sz w:val="22"/>
          <w:szCs w:val="22"/>
        </w:rPr>
      </w:pPr>
    </w:p>
    <w:p w:rsidR="007D1E2D" w:rsidRDefault="007D1E2D" w:rsidP="00F72C93">
      <w:pPr>
        <w:spacing w:line="480" w:lineRule="auto"/>
        <w:rPr>
          <w:b/>
          <w:i/>
          <w:sz w:val="22"/>
          <w:szCs w:val="22"/>
        </w:rPr>
      </w:pPr>
    </w:p>
    <w:p w:rsidR="007D1E2D" w:rsidRDefault="007D1E2D" w:rsidP="00F72C93">
      <w:pPr>
        <w:spacing w:line="480" w:lineRule="auto"/>
        <w:rPr>
          <w:b/>
          <w:i/>
          <w:sz w:val="22"/>
          <w:szCs w:val="22"/>
        </w:rPr>
      </w:pPr>
    </w:p>
    <w:p w:rsidR="007D1E2D" w:rsidRDefault="007D1E2D" w:rsidP="00F72C93">
      <w:pPr>
        <w:spacing w:line="480" w:lineRule="auto"/>
        <w:rPr>
          <w:b/>
          <w:i/>
          <w:sz w:val="22"/>
          <w:szCs w:val="22"/>
        </w:rPr>
      </w:pPr>
    </w:p>
    <w:p w:rsidR="007D1E2D" w:rsidRDefault="007D1E2D" w:rsidP="00F72C93">
      <w:pPr>
        <w:spacing w:line="480" w:lineRule="auto"/>
        <w:rPr>
          <w:b/>
          <w:i/>
          <w:sz w:val="22"/>
          <w:szCs w:val="22"/>
        </w:rPr>
      </w:pPr>
    </w:p>
    <w:p w:rsidR="007D1E2D" w:rsidRDefault="007D1E2D" w:rsidP="00F72C93">
      <w:pPr>
        <w:spacing w:line="480" w:lineRule="auto"/>
        <w:rPr>
          <w:b/>
          <w:i/>
          <w:sz w:val="22"/>
          <w:szCs w:val="22"/>
        </w:rPr>
      </w:pPr>
    </w:p>
    <w:p w:rsidR="00FC280B" w:rsidRDefault="00FC280B" w:rsidP="00F72C93">
      <w:pPr>
        <w:spacing w:line="480" w:lineRule="auto"/>
        <w:rPr>
          <w:b/>
          <w:i/>
          <w:sz w:val="22"/>
          <w:szCs w:val="22"/>
        </w:rPr>
      </w:pPr>
    </w:p>
    <w:p w:rsidR="003E1A14" w:rsidRDefault="003E1A14" w:rsidP="00F72C93">
      <w:pPr>
        <w:spacing w:line="480" w:lineRule="auto"/>
        <w:rPr>
          <w:b/>
          <w:i/>
          <w:sz w:val="22"/>
          <w:szCs w:val="22"/>
        </w:rPr>
      </w:pPr>
    </w:p>
    <w:p w:rsidR="003E1A14" w:rsidRDefault="003E1A14" w:rsidP="00F72C93">
      <w:pPr>
        <w:spacing w:line="480" w:lineRule="auto"/>
        <w:rPr>
          <w:b/>
          <w:i/>
          <w:sz w:val="22"/>
          <w:szCs w:val="22"/>
        </w:rPr>
      </w:pPr>
    </w:p>
    <w:p w:rsidR="003E1A14" w:rsidRDefault="003E1A14" w:rsidP="00F72C93">
      <w:pPr>
        <w:spacing w:line="480" w:lineRule="auto"/>
        <w:rPr>
          <w:b/>
          <w:i/>
          <w:sz w:val="22"/>
          <w:szCs w:val="22"/>
        </w:rPr>
      </w:pPr>
    </w:p>
    <w:p w:rsidR="003E1A14" w:rsidRDefault="003E1A14" w:rsidP="00F72C93">
      <w:pPr>
        <w:spacing w:line="480" w:lineRule="auto"/>
        <w:rPr>
          <w:b/>
          <w:i/>
          <w:sz w:val="22"/>
          <w:szCs w:val="22"/>
        </w:rPr>
      </w:pPr>
    </w:p>
    <w:p w:rsidR="003E1A14" w:rsidRDefault="003E1A14" w:rsidP="00F72C93">
      <w:pPr>
        <w:spacing w:line="480" w:lineRule="auto"/>
        <w:rPr>
          <w:b/>
          <w:i/>
          <w:sz w:val="22"/>
          <w:szCs w:val="22"/>
        </w:rPr>
      </w:pPr>
    </w:p>
    <w:p w:rsidR="00BA6E63" w:rsidRDefault="00BA6E63" w:rsidP="00F72C93">
      <w:pPr>
        <w:spacing w:line="480" w:lineRule="auto"/>
        <w:rPr>
          <w:b/>
          <w:i/>
          <w:sz w:val="22"/>
          <w:szCs w:val="22"/>
        </w:rPr>
      </w:pPr>
    </w:p>
    <w:p w:rsidR="00B54B55" w:rsidRPr="009D71F6" w:rsidRDefault="00B54B55" w:rsidP="00B54B55">
      <w:pPr>
        <w:suppressLineNumbers/>
        <w:jc w:val="center"/>
        <w:rPr>
          <w:rFonts w:eastAsia="Arial"/>
          <w:b/>
          <w:sz w:val="24"/>
          <w:u w:val="single"/>
        </w:rPr>
      </w:pPr>
      <w:r w:rsidRPr="009D71F6">
        <w:rPr>
          <w:rFonts w:eastAsia="Arial"/>
          <w:b/>
          <w:sz w:val="24"/>
          <w:u w:val="single"/>
        </w:rPr>
        <w:lastRenderedPageBreak/>
        <w:t>CERTIFICATE OF SERVICE</w:t>
      </w:r>
    </w:p>
    <w:p w:rsidR="00B54B55" w:rsidRPr="009D71F6" w:rsidRDefault="00B54B55" w:rsidP="00B54B55">
      <w:pPr>
        <w:suppressLineNumbers/>
        <w:jc w:val="center"/>
        <w:rPr>
          <w:rFonts w:eastAsia="Arial"/>
          <w:b/>
          <w:sz w:val="24"/>
          <w:u w:val="single"/>
        </w:rPr>
      </w:pPr>
    </w:p>
    <w:p w:rsidR="00B54B55" w:rsidRPr="009D71F6" w:rsidRDefault="00B54B55" w:rsidP="00B54B55">
      <w:pPr>
        <w:suppressLineNumbers/>
        <w:rPr>
          <w:rFonts w:eastAsia="Calibri"/>
          <w:sz w:val="24"/>
        </w:rPr>
      </w:pPr>
      <w:r w:rsidRPr="009D71F6">
        <w:rPr>
          <w:rFonts w:eastAsia="Arial"/>
          <w:sz w:val="24"/>
        </w:rPr>
        <w:tab/>
      </w:r>
      <w:r>
        <w:rPr>
          <w:rFonts w:eastAsia="Calibri"/>
          <w:sz w:val="24"/>
        </w:rPr>
        <w:t>The unders</w:t>
      </w:r>
      <w:r w:rsidRPr="009D71F6">
        <w:rPr>
          <w:rFonts w:eastAsia="Calibri"/>
          <w:sz w:val="24"/>
        </w:rPr>
        <w:t>igned hereby certifies that a copy of the foregoing</w:t>
      </w:r>
      <w:r>
        <w:rPr>
          <w:rFonts w:eastAsia="Calibri"/>
          <w:sz w:val="24"/>
        </w:rPr>
        <w:t xml:space="preserve"> </w:t>
      </w:r>
      <w:r w:rsidR="00E57A67">
        <w:rPr>
          <w:rFonts w:eastAsia="Calibri"/>
          <w:i/>
          <w:sz w:val="24"/>
        </w:rPr>
        <w:t>Memorandum C</w:t>
      </w:r>
      <w:r w:rsidR="00B60829">
        <w:rPr>
          <w:rFonts w:eastAsia="Calibri"/>
          <w:i/>
          <w:sz w:val="24"/>
        </w:rPr>
        <w:t>ontra</w:t>
      </w:r>
      <w:r>
        <w:rPr>
          <w:rFonts w:eastAsia="Calibri"/>
          <w:i/>
          <w:sz w:val="24"/>
        </w:rPr>
        <w:t xml:space="preserve"> of Interstate Gas Supply, Inc. </w:t>
      </w:r>
      <w:r w:rsidRPr="009D71F6">
        <w:rPr>
          <w:rFonts w:eastAsia="Calibri"/>
          <w:sz w:val="24"/>
        </w:rPr>
        <w:t xml:space="preserve">was served this </w:t>
      </w:r>
      <w:r w:rsidR="00FC280B">
        <w:rPr>
          <w:rFonts w:eastAsia="Calibri"/>
          <w:sz w:val="24"/>
        </w:rPr>
        <w:t>the 12</w:t>
      </w:r>
      <w:r w:rsidR="00B60829">
        <w:rPr>
          <w:rFonts w:eastAsia="Calibri"/>
          <w:sz w:val="24"/>
        </w:rPr>
        <w:t>th day of May</w:t>
      </w:r>
      <w:r w:rsidR="00BA64F2">
        <w:rPr>
          <w:rFonts w:eastAsia="Calibri"/>
          <w:sz w:val="24"/>
        </w:rPr>
        <w:t xml:space="preserve"> 2016</w:t>
      </w:r>
      <w:r w:rsidRPr="009D71F6">
        <w:rPr>
          <w:rFonts w:eastAsia="Calibri"/>
          <w:sz w:val="24"/>
        </w:rPr>
        <w:t xml:space="preserve"> via electronic mail upon the following:</w:t>
      </w:r>
    </w:p>
    <w:p w:rsidR="006E13EC" w:rsidRDefault="006E13EC" w:rsidP="006E13EC">
      <w:pPr>
        <w:suppressLineNumbers/>
        <w:rPr>
          <w:rFonts w:eastAsia="Calibri"/>
          <w:sz w:val="24"/>
        </w:rPr>
      </w:pPr>
    </w:p>
    <w:p w:rsidR="006E13EC" w:rsidRPr="00F46354" w:rsidRDefault="006E13EC" w:rsidP="006E13EC">
      <w:pPr>
        <w:suppressLineNumbers/>
        <w:rPr>
          <w:sz w:val="16"/>
          <w:szCs w:val="16"/>
        </w:rPr>
      </w:pPr>
    </w:p>
    <w:tbl>
      <w:tblPr>
        <w:tblStyle w:val="TableGrid"/>
        <w:tblW w:w="0" w:type="auto"/>
        <w:tblLook w:val="04A0" w:firstRow="1" w:lastRow="0" w:firstColumn="1" w:lastColumn="0" w:noHBand="0" w:noVBand="1"/>
      </w:tblPr>
      <w:tblGrid>
        <w:gridCol w:w="4788"/>
        <w:gridCol w:w="4788"/>
      </w:tblGrid>
      <w:tr w:rsidR="006E13EC" w:rsidRPr="0004430E" w:rsidTr="005C00AF">
        <w:tc>
          <w:tcPr>
            <w:tcW w:w="4788" w:type="dxa"/>
          </w:tcPr>
          <w:p w:rsidR="006E13EC" w:rsidRPr="006E13EC" w:rsidRDefault="006E13EC" w:rsidP="005C00AF">
            <w:pPr>
              <w:jc w:val="both"/>
              <w:rPr>
                <w:rFonts w:ascii="Arial" w:hAnsi="Arial" w:cs="Arial"/>
              </w:rPr>
            </w:pPr>
            <w:r w:rsidRPr="006E13EC">
              <w:rPr>
                <w:rFonts w:ascii="Arial" w:hAnsi="Arial" w:cs="Arial"/>
              </w:rPr>
              <w:t xml:space="preserve">Thomas.mcnamee@puc.state.oh.us Thomas.lindgren@puc.state.oh.us Ryan.orourke@puc.state.oh.us </w:t>
            </w:r>
          </w:p>
          <w:p w:rsidR="006E13EC" w:rsidRPr="006E13EC" w:rsidRDefault="006E13EC" w:rsidP="005C00AF">
            <w:pPr>
              <w:jc w:val="both"/>
              <w:rPr>
                <w:rFonts w:ascii="Arial" w:hAnsi="Arial" w:cs="Arial"/>
              </w:rPr>
            </w:pPr>
            <w:r w:rsidRPr="006E13EC">
              <w:rPr>
                <w:rFonts w:ascii="Arial" w:hAnsi="Arial" w:cs="Arial"/>
              </w:rPr>
              <w:t xml:space="preserve">mkurtz@BKLlawfirm.com kboehm@BKLlawfirm.com jkylercohn@BKLlawfirm.com stnourse@aep.com </w:t>
            </w:r>
          </w:p>
          <w:p w:rsidR="006E13EC" w:rsidRPr="006E13EC" w:rsidRDefault="004D0BFC" w:rsidP="005C00AF">
            <w:pPr>
              <w:jc w:val="both"/>
              <w:rPr>
                <w:rFonts w:ascii="Arial" w:hAnsi="Arial" w:cs="Arial"/>
              </w:rPr>
            </w:pPr>
            <w:hyperlink r:id="rId9" w:history="1">
              <w:r w:rsidR="006E13EC" w:rsidRPr="006E13EC">
                <w:rPr>
                  <w:rStyle w:val="Hyperlink"/>
                  <w:rFonts w:ascii="Arial" w:hAnsi="Arial" w:cs="Arial"/>
                  <w:color w:val="auto"/>
                  <w:u w:val="none"/>
                </w:rPr>
                <w:t>mjsatterwhite@aep.com</w:t>
              </w:r>
            </w:hyperlink>
            <w:r w:rsidR="006E13EC" w:rsidRPr="006E13EC">
              <w:rPr>
                <w:rFonts w:ascii="Arial" w:hAnsi="Arial" w:cs="Arial"/>
              </w:rPr>
              <w:t xml:space="preserve"> </w:t>
            </w:r>
          </w:p>
          <w:p w:rsidR="006E13EC" w:rsidRPr="006E13EC" w:rsidRDefault="006E13EC" w:rsidP="005C00AF">
            <w:pPr>
              <w:jc w:val="both"/>
              <w:rPr>
                <w:rFonts w:ascii="Arial" w:hAnsi="Arial" w:cs="Arial"/>
              </w:rPr>
            </w:pPr>
            <w:r w:rsidRPr="006E13EC">
              <w:rPr>
                <w:rFonts w:ascii="Arial" w:hAnsi="Arial" w:cs="Arial"/>
              </w:rPr>
              <w:t xml:space="preserve">yalami@aep.com joseph.clark@directenergy.com ghull@eckertseamans.com </w:t>
            </w:r>
          </w:p>
          <w:p w:rsidR="006E13EC" w:rsidRPr="006E13EC" w:rsidRDefault="006E13EC" w:rsidP="005C00AF">
            <w:pPr>
              <w:jc w:val="both"/>
              <w:rPr>
                <w:rFonts w:ascii="Arial" w:hAnsi="Arial" w:cs="Arial"/>
              </w:rPr>
            </w:pPr>
            <w:r w:rsidRPr="006E13EC">
              <w:rPr>
                <w:rFonts w:ascii="Arial" w:hAnsi="Arial" w:cs="Arial"/>
              </w:rPr>
              <w:t xml:space="preserve">myurick@taftlaw.com zkravitz@taftlaw.com </w:t>
            </w:r>
            <w:hyperlink r:id="rId10" w:history="1">
              <w:r w:rsidRPr="006E13EC">
                <w:rPr>
                  <w:rStyle w:val="Hyperlink"/>
                  <w:rFonts w:ascii="Arial" w:hAnsi="Arial" w:cs="Arial"/>
                  <w:color w:val="auto"/>
                  <w:u w:val="none"/>
                </w:rPr>
                <w:t>Schmidt@sppgrp.com</w:t>
              </w:r>
            </w:hyperlink>
            <w:r w:rsidRPr="006E13EC">
              <w:rPr>
                <w:rFonts w:ascii="Arial" w:hAnsi="Arial" w:cs="Arial"/>
              </w:rPr>
              <w:t xml:space="preserve"> </w:t>
            </w:r>
          </w:p>
          <w:p w:rsidR="006E13EC" w:rsidRPr="006E13EC" w:rsidRDefault="004D0BFC" w:rsidP="005C00AF">
            <w:pPr>
              <w:jc w:val="both"/>
              <w:rPr>
                <w:rFonts w:ascii="Arial" w:hAnsi="Arial" w:cs="Arial"/>
              </w:rPr>
            </w:pPr>
            <w:hyperlink r:id="rId11" w:history="1">
              <w:r w:rsidR="006E13EC" w:rsidRPr="006E13EC">
                <w:rPr>
                  <w:rStyle w:val="Hyperlink"/>
                  <w:rFonts w:ascii="Arial" w:hAnsi="Arial" w:cs="Arial"/>
                  <w:color w:val="auto"/>
                  <w:u w:val="none"/>
                </w:rPr>
                <w:t>ricks@ohanet.org</w:t>
              </w:r>
            </w:hyperlink>
            <w:r w:rsidR="006E13EC" w:rsidRPr="006E13EC">
              <w:rPr>
                <w:rFonts w:ascii="Arial" w:hAnsi="Arial" w:cs="Arial"/>
              </w:rPr>
              <w:t xml:space="preserve"> </w:t>
            </w:r>
          </w:p>
          <w:bookmarkStart w:id="0" w:name="_GoBack"/>
          <w:bookmarkEnd w:id="0"/>
          <w:p w:rsidR="006E13EC" w:rsidRPr="006E13EC" w:rsidRDefault="004D0BFC" w:rsidP="005C00AF">
            <w:pPr>
              <w:jc w:val="both"/>
              <w:rPr>
                <w:rFonts w:ascii="Arial" w:hAnsi="Arial" w:cs="Arial"/>
              </w:rPr>
            </w:pPr>
            <w:r>
              <w:fldChar w:fldCharType="begin"/>
            </w:r>
            <w:r>
              <w:instrText xml:space="preserve"> HYPERLINK "mailto:mkl@bbrslaw.com" </w:instrText>
            </w:r>
            <w:r>
              <w:fldChar w:fldCharType="separate"/>
            </w:r>
            <w:r w:rsidR="006E13EC" w:rsidRPr="006E13EC">
              <w:rPr>
                <w:rStyle w:val="Hyperlink"/>
                <w:rFonts w:ascii="Arial" w:hAnsi="Arial" w:cs="Arial"/>
                <w:color w:val="auto"/>
                <w:u w:val="none"/>
              </w:rPr>
              <w:t>mkl@bbrslaw.com</w:t>
            </w:r>
            <w:r>
              <w:rPr>
                <w:rStyle w:val="Hyperlink"/>
                <w:color w:val="auto"/>
                <w:u w:val="none"/>
              </w:rPr>
              <w:fldChar w:fldCharType="end"/>
            </w:r>
            <w:r w:rsidR="006E13EC" w:rsidRPr="006E13EC">
              <w:rPr>
                <w:rFonts w:ascii="Arial" w:hAnsi="Arial" w:cs="Arial"/>
              </w:rPr>
              <w:t xml:space="preserve"> </w:t>
            </w:r>
          </w:p>
          <w:p w:rsidR="006E13EC" w:rsidRPr="006E13EC" w:rsidRDefault="006E13EC" w:rsidP="005C00AF">
            <w:pPr>
              <w:jc w:val="both"/>
              <w:rPr>
                <w:rFonts w:ascii="Arial" w:hAnsi="Arial" w:cs="Arial"/>
              </w:rPr>
            </w:pPr>
            <w:r w:rsidRPr="006E13EC">
              <w:rPr>
                <w:rFonts w:ascii="Arial" w:hAnsi="Arial" w:cs="Arial"/>
              </w:rPr>
              <w:t xml:space="preserve">gas@bbrslaw.com </w:t>
            </w:r>
          </w:p>
          <w:p w:rsidR="006E13EC" w:rsidRPr="006E13EC" w:rsidRDefault="004D0BFC" w:rsidP="005C00AF">
            <w:pPr>
              <w:jc w:val="both"/>
              <w:rPr>
                <w:rFonts w:ascii="Arial" w:hAnsi="Arial" w:cs="Arial"/>
              </w:rPr>
            </w:pPr>
            <w:hyperlink r:id="rId12" w:history="1">
              <w:r w:rsidR="006E13EC" w:rsidRPr="006E13EC">
                <w:rPr>
                  <w:rStyle w:val="Hyperlink"/>
                  <w:rFonts w:ascii="Arial" w:hAnsi="Arial" w:cs="Arial"/>
                  <w:color w:val="auto"/>
                  <w:u w:val="none"/>
                </w:rPr>
                <w:t>ojk@bbrslaw.com</w:t>
              </w:r>
            </w:hyperlink>
            <w:r w:rsidR="006E13EC" w:rsidRPr="006E13EC">
              <w:rPr>
                <w:rFonts w:ascii="Arial" w:hAnsi="Arial" w:cs="Arial"/>
              </w:rPr>
              <w:t xml:space="preserve"> </w:t>
            </w:r>
          </w:p>
          <w:p w:rsidR="006E13EC" w:rsidRPr="006E13EC" w:rsidRDefault="006E13EC" w:rsidP="005C00AF">
            <w:pPr>
              <w:jc w:val="both"/>
              <w:rPr>
                <w:rFonts w:ascii="Arial" w:hAnsi="Arial" w:cs="Arial"/>
              </w:rPr>
            </w:pPr>
            <w:r w:rsidRPr="006E13EC">
              <w:rPr>
                <w:rFonts w:ascii="Arial" w:hAnsi="Arial" w:cs="Arial"/>
              </w:rPr>
              <w:t xml:space="preserve">wttpmlc@aol.com lhawrot@spilmanlaw.com </w:t>
            </w:r>
          </w:p>
          <w:p w:rsidR="006E13EC" w:rsidRPr="006E13EC" w:rsidRDefault="006E13EC" w:rsidP="005C00AF">
            <w:pPr>
              <w:jc w:val="both"/>
              <w:rPr>
                <w:rFonts w:ascii="Arial" w:hAnsi="Arial" w:cs="Arial"/>
              </w:rPr>
            </w:pPr>
            <w:r w:rsidRPr="006E13EC">
              <w:rPr>
                <w:rFonts w:ascii="Arial" w:hAnsi="Arial" w:cs="Arial"/>
              </w:rPr>
              <w:t xml:space="preserve">dwilliamson@spilmanlaw.com blanghenry@city.cleveland.oh.us hmadorsky@city.cleveland.oh.us </w:t>
            </w:r>
          </w:p>
          <w:p w:rsidR="006E13EC" w:rsidRPr="006E13EC" w:rsidRDefault="006E13EC" w:rsidP="005C00AF">
            <w:pPr>
              <w:jc w:val="both"/>
              <w:rPr>
                <w:rFonts w:ascii="Arial" w:hAnsi="Arial" w:cs="Arial"/>
              </w:rPr>
            </w:pPr>
            <w:r w:rsidRPr="006E13EC">
              <w:rPr>
                <w:rFonts w:ascii="Arial" w:hAnsi="Arial" w:cs="Arial"/>
              </w:rPr>
              <w:t xml:space="preserve">kryan@city.cleveland.oh.us jscheaf@mcdonaldhopkins.com gkrassen@bricker.com dstinson@bricker.com </w:t>
            </w:r>
          </w:p>
          <w:p w:rsidR="006E13EC" w:rsidRPr="006E13EC" w:rsidRDefault="006E13EC" w:rsidP="005C00AF">
            <w:pPr>
              <w:jc w:val="both"/>
              <w:rPr>
                <w:rFonts w:ascii="Arial" w:hAnsi="Arial" w:cs="Arial"/>
              </w:rPr>
            </w:pPr>
            <w:r w:rsidRPr="006E13EC">
              <w:rPr>
                <w:rFonts w:ascii="Arial" w:hAnsi="Arial" w:cs="Arial"/>
              </w:rPr>
              <w:t>dborchers@bricker.com</w:t>
            </w:r>
          </w:p>
          <w:p w:rsidR="006E13EC" w:rsidRPr="006E13EC" w:rsidRDefault="006E13EC" w:rsidP="005C00AF">
            <w:pPr>
              <w:jc w:val="both"/>
              <w:rPr>
                <w:rFonts w:ascii="Arial" w:hAnsi="Arial" w:cs="Arial"/>
              </w:rPr>
            </w:pPr>
            <w:r w:rsidRPr="006E13EC">
              <w:rPr>
                <w:rFonts w:ascii="Arial" w:hAnsi="Arial" w:cs="Arial"/>
              </w:rPr>
              <w:t xml:space="preserve">drinebolt@ohiopartners.org meissnerjoseph@yahoo.com LeslieKovacik@toledo.oh.gov trhayslaw@gmail.com </w:t>
            </w:r>
          </w:p>
          <w:p w:rsidR="006E13EC" w:rsidRPr="006E13EC" w:rsidRDefault="006E13EC" w:rsidP="005C00AF">
            <w:pPr>
              <w:jc w:val="both"/>
              <w:rPr>
                <w:rFonts w:ascii="Arial" w:hAnsi="Arial" w:cs="Arial"/>
              </w:rPr>
            </w:pPr>
            <w:r w:rsidRPr="006E13EC">
              <w:rPr>
                <w:rFonts w:ascii="Arial" w:hAnsi="Arial" w:cs="Arial"/>
              </w:rPr>
              <w:t xml:space="preserve">Jeffrey.mayes@monitoringanalytics.com mhpetricoff@vorys.com mjsettineri@vorys.com </w:t>
            </w:r>
          </w:p>
          <w:p w:rsidR="006E13EC" w:rsidRPr="006E13EC" w:rsidRDefault="006E13EC" w:rsidP="005C00AF">
            <w:pPr>
              <w:jc w:val="both"/>
              <w:rPr>
                <w:rFonts w:ascii="Arial" w:hAnsi="Arial" w:cs="Arial"/>
              </w:rPr>
            </w:pPr>
            <w:r w:rsidRPr="006E13EC">
              <w:rPr>
                <w:rFonts w:ascii="Arial" w:hAnsi="Arial" w:cs="Arial"/>
              </w:rPr>
              <w:t xml:space="preserve">glpetrucci@vorys.com msoules@earthjustice.org </w:t>
            </w:r>
            <w:hyperlink r:id="rId13" w:history="1">
              <w:r w:rsidRPr="006E13EC">
                <w:rPr>
                  <w:rStyle w:val="Hyperlink"/>
                  <w:rFonts w:ascii="Arial" w:hAnsi="Arial" w:cs="Arial"/>
                  <w:color w:val="auto"/>
                  <w:u w:val="none"/>
                </w:rPr>
                <w:t>sfisk@earthjustice.org</w:t>
              </w:r>
            </w:hyperlink>
          </w:p>
          <w:p w:rsidR="006E13EC" w:rsidRPr="006E13EC" w:rsidRDefault="006E13EC" w:rsidP="005C00AF">
            <w:pPr>
              <w:jc w:val="both"/>
              <w:rPr>
                <w:rFonts w:ascii="Arial" w:hAnsi="Arial" w:cs="Arial"/>
              </w:rPr>
            </w:pPr>
            <w:r w:rsidRPr="006E13EC">
              <w:rPr>
                <w:rFonts w:ascii="Arial" w:hAnsi="Arial" w:cs="Arial"/>
              </w:rPr>
              <w:t>Larry.sauer@occ.ohio.gov</w:t>
            </w:r>
          </w:p>
          <w:p w:rsidR="006E13EC" w:rsidRPr="006E13EC" w:rsidRDefault="006E13EC" w:rsidP="005C00AF">
            <w:pPr>
              <w:jc w:val="both"/>
              <w:rPr>
                <w:rFonts w:ascii="Arial" w:hAnsi="Arial" w:cs="Arial"/>
              </w:rPr>
            </w:pPr>
            <w:r w:rsidRPr="006E13EC">
              <w:rPr>
                <w:rFonts w:ascii="Arial" w:hAnsi="Arial" w:cs="Arial"/>
              </w:rPr>
              <w:t>Michael.schuler@occ.ohio.gov</w:t>
            </w:r>
          </w:p>
          <w:p w:rsidR="006E13EC" w:rsidRPr="006E13EC" w:rsidRDefault="006E13EC" w:rsidP="005C00AF">
            <w:pPr>
              <w:jc w:val="both"/>
              <w:rPr>
                <w:rFonts w:ascii="Arial" w:hAnsi="Arial" w:cs="Arial"/>
              </w:rPr>
            </w:pPr>
          </w:p>
        </w:tc>
        <w:tc>
          <w:tcPr>
            <w:tcW w:w="4788" w:type="dxa"/>
          </w:tcPr>
          <w:p w:rsidR="006E13EC" w:rsidRPr="006E13EC" w:rsidRDefault="006E13EC" w:rsidP="005C00AF">
            <w:pPr>
              <w:jc w:val="both"/>
              <w:rPr>
                <w:rFonts w:ascii="Arial" w:hAnsi="Arial" w:cs="Arial"/>
              </w:rPr>
            </w:pPr>
            <w:r w:rsidRPr="006E13EC">
              <w:rPr>
                <w:rFonts w:ascii="Arial" w:hAnsi="Arial" w:cs="Arial"/>
              </w:rPr>
              <w:lastRenderedPageBreak/>
              <w:t xml:space="preserve">burkj@firstenergycorp.com cdunn@firstenergycorp.com </w:t>
            </w:r>
            <w:hyperlink r:id="rId14" w:history="1">
              <w:r w:rsidRPr="006E13EC">
                <w:rPr>
                  <w:rStyle w:val="Hyperlink"/>
                  <w:rFonts w:ascii="Arial" w:hAnsi="Arial" w:cs="Arial"/>
                  <w:color w:val="auto"/>
                  <w:u w:val="none"/>
                </w:rPr>
                <w:t>jlang@calfee.com</w:t>
              </w:r>
            </w:hyperlink>
            <w:r w:rsidRPr="006E13EC">
              <w:rPr>
                <w:rFonts w:ascii="Arial" w:hAnsi="Arial" w:cs="Arial"/>
              </w:rPr>
              <w:t xml:space="preserve"> </w:t>
            </w:r>
          </w:p>
          <w:p w:rsidR="006E13EC" w:rsidRPr="006E13EC" w:rsidRDefault="006E13EC" w:rsidP="005C00AF">
            <w:pPr>
              <w:jc w:val="both"/>
              <w:rPr>
                <w:rFonts w:ascii="Arial" w:hAnsi="Arial" w:cs="Arial"/>
              </w:rPr>
            </w:pPr>
            <w:r w:rsidRPr="006E13EC">
              <w:rPr>
                <w:rFonts w:ascii="Arial" w:hAnsi="Arial" w:cs="Arial"/>
              </w:rPr>
              <w:t xml:space="preserve">talexander@calfee.com </w:t>
            </w:r>
          </w:p>
          <w:p w:rsidR="006E13EC" w:rsidRPr="006E13EC" w:rsidRDefault="006E13EC" w:rsidP="005C00AF">
            <w:pPr>
              <w:jc w:val="both"/>
              <w:rPr>
                <w:rFonts w:ascii="Arial" w:hAnsi="Arial" w:cs="Arial"/>
              </w:rPr>
            </w:pPr>
            <w:r w:rsidRPr="006E13EC">
              <w:rPr>
                <w:rFonts w:ascii="Arial" w:hAnsi="Arial" w:cs="Arial"/>
              </w:rPr>
              <w:t xml:space="preserve">dakutik@jonesday.com sam@mwncmh.com </w:t>
            </w:r>
          </w:p>
          <w:p w:rsidR="006E13EC" w:rsidRPr="006E13EC" w:rsidRDefault="006E13EC" w:rsidP="005C00AF">
            <w:pPr>
              <w:jc w:val="both"/>
              <w:rPr>
                <w:rFonts w:ascii="Arial" w:hAnsi="Arial" w:cs="Arial"/>
              </w:rPr>
            </w:pPr>
            <w:r w:rsidRPr="006E13EC">
              <w:rPr>
                <w:rFonts w:ascii="Arial" w:hAnsi="Arial" w:cs="Arial"/>
              </w:rPr>
              <w:t xml:space="preserve">fdarr@mwncmh.com mpritchard@mwncmh.com cmooney@ohiopartners.org </w:t>
            </w:r>
          </w:p>
          <w:p w:rsidR="006E13EC" w:rsidRPr="006E13EC" w:rsidRDefault="006E13EC" w:rsidP="005C00AF">
            <w:pPr>
              <w:jc w:val="both"/>
              <w:rPr>
                <w:rFonts w:ascii="Arial" w:hAnsi="Arial" w:cs="Arial"/>
              </w:rPr>
            </w:pPr>
            <w:r w:rsidRPr="006E13EC">
              <w:rPr>
                <w:rFonts w:ascii="Arial" w:hAnsi="Arial" w:cs="Arial"/>
              </w:rPr>
              <w:t xml:space="preserve">callwein@wamenergylaw.com mswhite@igsenergy.com Bojko@carpenterlipps.com </w:t>
            </w:r>
          </w:p>
          <w:p w:rsidR="006E13EC" w:rsidRPr="006E13EC" w:rsidRDefault="006E13EC" w:rsidP="005C00AF">
            <w:pPr>
              <w:jc w:val="both"/>
              <w:rPr>
                <w:rFonts w:ascii="Arial" w:hAnsi="Arial" w:cs="Arial"/>
              </w:rPr>
            </w:pPr>
            <w:r w:rsidRPr="006E13EC">
              <w:rPr>
                <w:rFonts w:ascii="Arial" w:hAnsi="Arial" w:cs="Arial"/>
              </w:rPr>
              <w:t xml:space="preserve">Allison@carpenterlipps.com hussey@carpenterlipps.com barthroyer@aol.com athompson@taftlaw.com </w:t>
            </w:r>
          </w:p>
          <w:p w:rsidR="006E13EC" w:rsidRPr="006E13EC" w:rsidRDefault="006E13EC" w:rsidP="005C00AF">
            <w:pPr>
              <w:jc w:val="both"/>
              <w:rPr>
                <w:rFonts w:ascii="Arial" w:hAnsi="Arial" w:cs="Arial"/>
              </w:rPr>
            </w:pPr>
            <w:r w:rsidRPr="006E13EC">
              <w:rPr>
                <w:rFonts w:ascii="Arial" w:hAnsi="Arial" w:cs="Arial"/>
              </w:rPr>
              <w:t xml:space="preserve">Christopher.miller@icemiller.com Gregory.dunn@icemiller.com Jeremy.grayem@icemiller.com </w:t>
            </w:r>
          </w:p>
          <w:p w:rsidR="006E13EC" w:rsidRPr="006E13EC" w:rsidRDefault="006E13EC" w:rsidP="005C00AF">
            <w:pPr>
              <w:jc w:val="both"/>
              <w:rPr>
                <w:rFonts w:ascii="Arial" w:hAnsi="Arial" w:cs="Arial"/>
              </w:rPr>
            </w:pPr>
            <w:r w:rsidRPr="006E13EC">
              <w:rPr>
                <w:rFonts w:ascii="Arial" w:hAnsi="Arial" w:cs="Arial"/>
              </w:rPr>
              <w:t xml:space="preserve">blanghenry@city.cleveland.oh.us hmadorsky@city.cleveland.oh.us kryan@city.cleveland.oh.us </w:t>
            </w:r>
          </w:p>
          <w:p w:rsidR="006E13EC" w:rsidRPr="006E13EC" w:rsidRDefault="004D0BFC" w:rsidP="005C00AF">
            <w:pPr>
              <w:jc w:val="both"/>
              <w:rPr>
                <w:rFonts w:ascii="Arial" w:hAnsi="Arial" w:cs="Arial"/>
              </w:rPr>
            </w:pPr>
            <w:hyperlink r:id="rId15" w:history="1">
              <w:r w:rsidR="006E13EC" w:rsidRPr="006E13EC">
                <w:rPr>
                  <w:rStyle w:val="Hyperlink"/>
                  <w:rFonts w:ascii="Arial" w:hAnsi="Arial" w:cs="Arial"/>
                  <w:color w:val="auto"/>
                  <w:u w:val="none"/>
                </w:rPr>
                <w:t>tdougherty@theOEC.org</w:t>
              </w:r>
            </w:hyperlink>
          </w:p>
          <w:p w:rsidR="006E13EC" w:rsidRPr="006E13EC" w:rsidRDefault="004D0BFC" w:rsidP="005C00AF">
            <w:pPr>
              <w:jc w:val="both"/>
              <w:rPr>
                <w:rFonts w:ascii="Arial" w:hAnsi="Arial" w:cs="Arial"/>
              </w:rPr>
            </w:pPr>
            <w:hyperlink r:id="rId16" w:history="1">
              <w:r w:rsidR="006E13EC" w:rsidRPr="006E13EC">
                <w:rPr>
                  <w:rStyle w:val="Hyperlink"/>
                  <w:rFonts w:ascii="Arial" w:hAnsi="Arial" w:cs="Arial"/>
                  <w:color w:val="auto"/>
                  <w:u w:val="none"/>
                </w:rPr>
                <w:t>finnigan@edf.org</w:t>
              </w:r>
            </w:hyperlink>
            <w:r w:rsidR="006E13EC" w:rsidRPr="006E13EC">
              <w:rPr>
                <w:rFonts w:ascii="Arial" w:hAnsi="Arial" w:cs="Arial"/>
              </w:rPr>
              <w:t xml:space="preserve"> </w:t>
            </w:r>
          </w:p>
          <w:p w:rsidR="006E13EC" w:rsidRPr="006E13EC" w:rsidRDefault="006E13EC" w:rsidP="005C00AF">
            <w:pPr>
              <w:jc w:val="both"/>
              <w:rPr>
                <w:rFonts w:ascii="Arial" w:hAnsi="Arial" w:cs="Arial"/>
              </w:rPr>
            </w:pPr>
            <w:r w:rsidRPr="006E13EC">
              <w:rPr>
                <w:rFonts w:ascii="Arial" w:hAnsi="Arial" w:cs="Arial"/>
              </w:rPr>
              <w:t xml:space="preserve">Marilyn@wflawfirm.com todonnell@dickinsonwright.com </w:t>
            </w:r>
          </w:p>
          <w:p w:rsidR="006E13EC" w:rsidRPr="006E13EC" w:rsidRDefault="006E13EC" w:rsidP="005C00AF">
            <w:pPr>
              <w:jc w:val="both"/>
              <w:rPr>
                <w:rFonts w:ascii="Arial" w:hAnsi="Arial" w:cs="Arial"/>
              </w:rPr>
            </w:pPr>
            <w:r w:rsidRPr="006E13EC">
              <w:rPr>
                <w:rFonts w:ascii="Arial" w:hAnsi="Arial" w:cs="Arial"/>
              </w:rPr>
              <w:t xml:space="preserve">matt@matthewcoxlaw.com </w:t>
            </w:r>
            <w:hyperlink r:id="rId17" w:history="1">
              <w:r w:rsidRPr="006E13EC">
                <w:rPr>
                  <w:rStyle w:val="Hyperlink"/>
                  <w:rFonts w:ascii="Arial" w:hAnsi="Arial" w:cs="Arial"/>
                  <w:color w:val="auto"/>
                  <w:u w:val="none"/>
                </w:rPr>
                <w:t>mfleisher@elpc.org</w:t>
              </w:r>
            </w:hyperlink>
          </w:p>
          <w:p w:rsidR="006E13EC" w:rsidRPr="006E13EC" w:rsidRDefault="006E13EC" w:rsidP="005C00AF">
            <w:pPr>
              <w:jc w:val="both"/>
              <w:rPr>
                <w:rFonts w:ascii="Arial" w:hAnsi="Arial" w:cs="Arial"/>
              </w:rPr>
            </w:pPr>
            <w:r w:rsidRPr="006E13EC">
              <w:rPr>
                <w:rFonts w:ascii="Arial" w:hAnsi="Arial" w:cs="Arial"/>
              </w:rPr>
              <w:t xml:space="preserve">mitch.dutton@fpl.com selisar@mwncmh.com ccunningham@akronohio.gov asonderman@keglerbrown.com </w:t>
            </w:r>
          </w:p>
          <w:p w:rsidR="006E13EC" w:rsidRPr="006E13EC" w:rsidRDefault="006E13EC" w:rsidP="005C00AF">
            <w:pPr>
              <w:jc w:val="both"/>
              <w:rPr>
                <w:rFonts w:ascii="Arial" w:hAnsi="Arial" w:cs="Arial"/>
              </w:rPr>
            </w:pPr>
            <w:r w:rsidRPr="006E13EC">
              <w:rPr>
                <w:rFonts w:ascii="Arial" w:hAnsi="Arial" w:cs="Arial"/>
              </w:rPr>
              <w:t xml:space="preserve">sechler@carpenterlipps.com gpoulos@enernoc.com toddm@wamenergylaw.com amy.spiller@duke-energy.com </w:t>
            </w:r>
          </w:p>
          <w:p w:rsidR="006E13EC" w:rsidRPr="006E13EC" w:rsidRDefault="006E13EC" w:rsidP="005C00AF">
            <w:pPr>
              <w:jc w:val="both"/>
              <w:rPr>
                <w:rFonts w:ascii="Arial" w:hAnsi="Arial" w:cs="Arial"/>
              </w:rPr>
            </w:pPr>
            <w:r w:rsidRPr="006E13EC">
              <w:rPr>
                <w:rFonts w:ascii="Arial" w:hAnsi="Arial" w:cs="Arial"/>
              </w:rPr>
              <w:t>Jeanne.kingery@duke-energy.com dwilliamson@spilmanlaw.com lhawrot@spilmanlaw.com</w:t>
            </w:r>
          </w:p>
          <w:p w:rsidR="006E13EC" w:rsidRPr="006E13EC" w:rsidRDefault="006E13EC" w:rsidP="005C00AF">
            <w:pPr>
              <w:jc w:val="both"/>
              <w:rPr>
                <w:rFonts w:ascii="Arial" w:hAnsi="Arial" w:cs="Arial"/>
              </w:rPr>
            </w:pPr>
            <w:r w:rsidRPr="006E13EC">
              <w:rPr>
                <w:rFonts w:ascii="Arial" w:hAnsi="Arial" w:cs="Arial"/>
              </w:rPr>
              <w:t>Kevin.moore@occ.ohio.gov</w:t>
            </w:r>
          </w:p>
          <w:p w:rsidR="006E13EC" w:rsidRPr="006E13EC" w:rsidRDefault="006E13EC" w:rsidP="005C00AF">
            <w:pPr>
              <w:jc w:val="both"/>
              <w:rPr>
                <w:rFonts w:ascii="Arial" w:hAnsi="Arial" w:cs="Arial"/>
              </w:rPr>
            </w:pPr>
          </w:p>
          <w:p w:rsidR="006E13EC" w:rsidRPr="006E13EC" w:rsidRDefault="006E13EC" w:rsidP="005C00AF">
            <w:pPr>
              <w:jc w:val="both"/>
              <w:rPr>
                <w:rFonts w:ascii="Arial" w:hAnsi="Arial" w:cs="Arial"/>
              </w:rPr>
            </w:pPr>
          </w:p>
        </w:tc>
      </w:tr>
    </w:tbl>
    <w:p w:rsidR="00B54B55" w:rsidRDefault="00B54B55" w:rsidP="00B54B55">
      <w:pPr>
        <w:suppressLineNumbers/>
        <w:rPr>
          <w:rFonts w:eastAsia="Calibri"/>
          <w:sz w:val="24"/>
        </w:rPr>
      </w:pPr>
    </w:p>
    <w:p w:rsidR="00B54B55" w:rsidRDefault="00B54B55" w:rsidP="00B54B55">
      <w:pPr>
        <w:suppressLineNumbers/>
        <w:rPr>
          <w:rFonts w:eastAsia="Calibri"/>
          <w:sz w:val="24"/>
        </w:rPr>
      </w:pPr>
    </w:p>
    <w:p w:rsidR="00B54B55" w:rsidRPr="006E13EC" w:rsidRDefault="00B54B55" w:rsidP="00B54B55">
      <w:pPr>
        <w:suppressLineNumbers/>
        <w:jc w:val="center"/>
        <w:rPr>
          <w:b/>
          <w:i/>
          <w:sz w:val="24"/>
          <w:u w:val="single"/>
        </w:rPr>
      </w:pPr>
      <w:r>
        <w:rPr>
          <w:rFonts w:ascii="Times New Roman" w:hAnsi="Times New Roman" w:cs="Times New Roman"/>
          <w:sz w:val="24"/>
        </w:rPr>
        <w:tab/>
      </w:r>
      <w:r>
        <w:rPr>
          <w:rFonts w:ascii="Times New Roman" w:hAnsi="Times New Roman" w:cs="Times New Roman"/>
          <w:sz w:val="24"/>
        </w:rPr>
        <w:tab/>
      </w:r>
      <w:r w:rsidRPr="00CF174E">
        <w:rPr>
          <w:sz w:val="24"/>
        </w:rPr>
        <w:tab/>
      </w:r>
      <w:r w:rsidRPr="006E13EC">
        <w:rPr>
          <w:b/>
          <w:i/>
          <w:sz w:val="24"/>
          <w:u w:val="single"/>
        </w:rPr>
        <w:t>/s/Joseph Oliker</w:t>
      </w:r>
    </w:p>
    <w:p w:rsidR="00B54B55" w:rsidRDefault="00B54B55" w:rsidP="00B54B55">
      <w:pPr>
        <w:ind w:left="4320"/>
      </w:pPr>
      <w:r>
        <w:rPr>
          <w:sz w:val="24"/>
        </w:rPr>
        <w:t xml:space="preserve">        </w:t>
      </w:r>
      <w:r w:rsidR="00E43CDE">
        <w:rPr>
          <w:sz w:val="24"/>
        </w:rPr>
        <w:t>Counsel for Interstate Gas Supply, Inc.</w:t>
      </w:r>
    </w:p>
    <w:p w:rsidR="00B54B55" w:rsidRDefault="00B54B55" w:rsidP="00D91257"/>
    <w:p w:rsidR="00B54B55" w:rsidRDefault="00B54B55" w:rsidP="00D91257"/>
    <w:p w:rsidR="00B54B55" w:rsidRDefault="00B54B55" w:rsidP="00D91257"/>
    <w:sectPr w:rsidR="00B54B55">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BFC" w:rsidRDefault="004D0BFC" w:rsidP="00567136">
      <w:r>
        <w:separator/>
      </w:r>
    </w:p>
  </w:endnote>
  <w:endnote w:type="continuationSeparator" w:id="0">
    <w:p w:rsidR="004D0BFC" w:rsidRDefault="004D0BFC" w:rsidP="0056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46" w:rsidRDefault="009632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285012"/>
      <w:docPartObj>
        <w:docPartGallery w:val="Page Numbers (Bottom of Page)"/>
        <w:docPartUnique/>
      </w:docPartObj>
    </w:sdtPr>
    <w:sdtEndPr>
      <w:rPr>
        <w:noProof/>
      </w:rPr>
    </w:sdtEndPr>
    <w:sdtContent>
      <w:p w:rsidR="009741B6" w:rsidRDefault="009741B6">
        <w:pPr>
          <w:pStyle w:val="Footer"/>
          <w:jc w:val="center"/>
        </w:pPr>
        <w:r>
          <w:fldChar w:fldCharType="begin"/>
        </w:r>
        <w:r>
          <w:instrText xml:space="preserve"> PAGE   \* MERGEFORMAT </w:instrText>
        </w:r>
        <w:r>
          <w:fldChar w:fldCharType="separate"/>
        </w:r>
        <w:r w:rsidR="00DA4899">
          <w:rPr>
            <w:noProof/>
          </w:rPr>
          <w:t>1</w:t>
        </w:r>
        <w:r>
          <w:rPr>
            <w:noProof/>
          </w:rPr>
          <w:fldChar w:fldCharType="end"/>
        </w:r>
      </w:p>
    </w:sdtContent>
  </w:sdt>
  <w:p w:rsidR="00025C03" w:rsidRDefault="00025C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46" w:rsidRDefault="00963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BFC" w:rsidRDefault="004D0BFC" w:rsidP="00567136">
      <w:r>
        <w:separator/>
      </w:r>
    </w:p>
  </w:footnote>
  <w:footnote w:type="continuationSeparator" w:id="0">
    <w:p w:rsidR="004D0BFC" w:rsidRDefault="004D0BFC" w:rsidP="00567136">
      <w:r>
        <w:continuationSeparator/>
      </w:r>
    </w:p>
  </w:footnote>
  <w:footnote w:id="1">
    <w:p w:rsidR="002049B8" w:rsidRDefault="002049B8">
      <w:pPr>
        <w:pStyle w:val="FootnoteText"/>
      </w:pPr>
      <w:r>
        <w:rPr>
          <w:rStyle w:val="FootnoteReference"/>
        </w:rPr>
        <w:footnoteRef/>
      </w:r>
      <w:r>
        <w:t xml:space="preserve"> Ohio Manufacturers’ Association Energy Group (“OMAEG”) Ex. 24.</w:t>
      </w:r>
    </w:p>
  </w:footnote>
  <w:footnote w:id="2">
    <w:p w:rsidR="00F30B46" w:rsidRDefault="00F30B46">
      <w:pPr>
        <w:pStyle w:val="FootnoteText"/>
      </w:pPr>
      <w:r>
        <w:rPr>
          <w:rStyle w:val="FootnoteReference"/>
        </w:rPr>
        <w:footnoteRef/>
      </w:r>
      <w:r>
        <w:t xml:space="preserve"> Application for Rehearing of the </w:t>
      </w:r>
      <w:r w:rsidRPr="00F30B46">
        <w:t>Office of the Ohio Consumers' Counsel and Northwest Ohio Aggregation Coalition</w:t>
      </w:r>
      <w:r>
        <w:t xml:space="preserve"> at 64-65.</w:t>
      </w:r>
    </w:p>
    <w:p w:rsidR="00F30B46" w:rsidRDefault="00F30B46">
      <w:pPr>
        <w:pStyle w:val="FootnoteText"/>
      </w:pPr>
    </w:p>
  </w:footnote>
  <w:footnote w:id="3">
    <w:p w:rsidR="00F7413B" w:rsidRDefault="00F7413B">
      <w:pPr>
        <w:pStyle w:val="FootnoteText"/>
      </w:pPr>
      <w:r>
        <w:rPr>
          <w:rStyle w:val="FootnoteReference"/>
        </w:rPr>
        <w:footnoteRef/>
      </w:r>
      <w:r>
        <w:t xml:space="preserve"> IGS Ex. 11 at 17-18.</w:t>
      </w:r>
    </w:p>
    <w:p w:rsidR="00DA4899" w:rsidRDefault="00DA4899">
      <w:pPr>
        <w:pStyle w:val="FootnoteText"/>
      </w:pPr>
    </w:p>
  </w:footnote>
  <w:footnote w:id="4">
    <w:p w:rsidR="00487F6D" w:rsidRDefault="00487F6D" w:rsidP="0035001F">
      <w:pPr>
        <w:pStyle w:val="FootnoteText"/>
      </w:pPr>
      <w:r w:rsidRPr="004C64A0">
        <w:rPr>
          <w:rStyle w:val="FootnoteReference"/>
        </w:rPr>
        <w:footnoteRef/>
      </w:r>
      <w:r w:rsidRPr="004C64A0">
        <w:t xml:space="preserve"> </w:t>
      </w:r>
      <w:proofErr w:type="gramStart"/>
      <w:r w:rsidRPr="004C64A0">
        <w:t>Tr. Vol. XXXVII at 7927-28.</w:t>
      </w:r>
      <w:proofErr w:type="gramEnd"/>
      <w:r w:rsidRPr="004C64A0">
        <w:t xml:space="preserve">  </w:t>
      </w:r>
    </w:p>
    <w:p w:rsidR="00487F6D" w:rsidRDefault="00487F6D" w:rsidP="0035001F">
      <w:pPr>
        <w:pStyle w:val="FootnoteText"/>
      </w:pPr>
    </w:p>
  </w:footnote>
  <w:footnote w:id="5">
    <w:p w:rsidR="003E1A14" w:rsidRDefault="003E1A14" w:rsidP="003E1A14">
      <w:pPr>
        <w:autoSpaceDE w:val="0"/>
        <w:autoSpaceDN w:val="0"/>
        <w:adjustRightInd w:val="0"/>
        <w:rPr>
          <w:szCs w:val="20"/>
        </w:rPr>
      </w:pPr>
      <w:r>
        <w:rPr>
          <w:rStyle w:val="FootnoteReference"/>
        </w:rPr>
        <w:footnoteRef/>
      </w:r>
      <w:r>
        <w:t xml:space="preserve"> </w:t>
      </w:r>
      <w:r w:rsidRPr="00F440CD">
        <w:rPr>
          <w:i/>
        </w:rPr>
        <w:t>I</w:t>
      </w:r>
      <w:r w:rsidRPr="009741B6">
        <w:rPr>
          <w:i/>
          <w:szCs w:val="20"/>
        </w:rPr>
        <w:t xml:space="preserve">n the Matter of the Application of Ohio Power Company for Authority to Establish a Standard Service Offer Pursuant to R.C. 4928.143, in the Form of an Electric Security Plan, </w:t>
      </w:r>
      <w:r w:rsidRPr="009741B6">
        <w:rPr>
          <w:szCs w:val="20"/>
        </w:rPr>
        <w:t>Case Nos. 13-2385-EL-SSO,</w:t>
      </w:r>
      <w:r w:rsidRPr="009741B6">
        <w:rPr>
          <w:i/>
          <w:szCs w:val="20"/>
        </w:rPr>
        <w:t xml:space="preserve"> et al.</w:t>
      </w:r>
      <w:r w:rsidRPr="009741B6">
        <w:rPr>
          <w:szCs w:val="20"/>
        </w:rPr>
        <w:t>, Opinion and Order at 25 (Feb. 25, 2015)</w:t>
      </w:r>
      <w:r>
        <w:rPr>
          <w:szCs w:val="20"/>
        </w:rPr>
        <w:t xml:space="preserve"> (hereinafter “</w:t>
      </w:r>
      <w:r>
        <w:rPr>
          <w:i/>
          <w:szCs w:val="20"/>
        </w:rPr>
        <w:t>AEP ESP III Case</w:t>
      </w:r>
      <w:r>
        <w:rPr>
          <w:szCs w:val="20"/>
        </w:rPr>
        <w:t>”)</w:t>
      </w:r>
      <w:r w:rsidRPr="009741B6">
        <w:rPr>
          <w:szCs w:val="20"/>
        </w:rPr>
        <w:t xml:space="preserve">; </w:t>
      </w:r>
      <w:r w:rsidRPr="009741B6">
        <w:rPr>
          <w:i/>
          <w:szCs w:val="20"/>
        </w:rPr>
        <w:t xml:space="preserve">id. </w:t>
      </w:r>
      <w:proofErr w:type="gramStart"/>
      <w:r w:rsidR="00BA6E63">
        <w:rPr>
          <w:szCs w:val="20"/>
        </w:rPr>
        <w:t>at</w:t>
      </w:r>
      <w:proofErr w:type="gramEnd"/>
      <w:r w:rsidR="00BA6E63">
        <w:rPr>
          <w:szCs w:val="20"/>
        </w:rPr>
        <w:t xml:space="preserve"> </w:t>
      </w:r>
      <w:r w:rsidRPr="009741B6">
        <w:rPr>
          <w:szCs w:val="20"/>
        </w:rPr>
        <w:t xml:space="preserve">25, 81. </w:t>
      </w:r>
      <w:proofErr w:type="gramStart"/>
      <w:r w:rsidRPr="009741B6">
        <w:rPr>
          <w:szCs w:val="20"/>
        </w:rPr>
        <w:t>87 (establishing three placeholder riders).</w:t>
      </w:r>
      <w:proofErr w:type="gramEnd"/>
      <w:r w:rsidRPr="009741B6">
        <w:rPr>
          <w:szCs w:val="20"/>
        </w:rPr>
        <w:t xml:space="preserve"> </w:t>
      </w:r>
      <w:r w:rsidRPr="009741B6">
        <w:rPr>
          <w:i/>
          <w:szCs w:val="20"/>
        </w:rPr>
        <w:t>In t</w:t>
      </w:r>
      <w:r>
        <w:rPr>
          <w:i/>
          <w:szCs w:val="20"/>
        </w:rPr>
        <w:t xml:space="preserve">he Matter of the Application of </w:t>
      </w:r>
      <w:r w:rsidRPr="009741B6">
        <w:rPr>
          <w:i/>
          <w:szCs w:val="20"/>
        </w:rPr>
        <w:t>Duke</w:t>
      </w:r>
      <w:r>
        <w:rPr>
          <w:i/>
          <w:szCs w:val="20"/>
        </w:rPr>
        <w:t xml:space="preserve"> Energy Ohio for Approval of an </w:t>
      </w:r>
      <w:r w:rsidRPr="009741B6">
        <w:rPr>
          <w:i/>
          <w:szCs w:val="20"/>
        </w:rPr>
        <w:t>Electric Security Plan</w:t>
      </w:r>
      <w:r w:rsidRPr="009741B6">
        <w:rPr>
          <w:szCs w:val="20"/>
        </w:rPr>
        <w:t>, Case No</w:t>
      </w:r>
      <w:r>
        <w:t>s.</w:t>
      </w:r>
      <w:r w:rsidRPr="009741B6">
        <w:rPr>
          <w:szCs w:val="20"/>
        </w:rPr>
        <w:t xml:space="preserve"> 08-920-EL-SSO, </w:t>
      </w:r>
      <w:r>
        <w:rPr>
          <w:i/>
          <w:szCs w:val="20"/>
        </w:rPr>
        <w:t>et al.</w:t>
      </w:r>
      <w:r>
        <w:rPr>
          <w:szCs w:val="20"/>
        </w:rPr>
        <w:t>,</w:t>
      </w:r>
      <w:r w:rsidRPr="009741B6">
        <w:rPr>
          <w:i/>
          <w:szCs w:val="20"/>
        </w:rPr>
        <w:t xml:space="preserve"> </w:t>
      </w:r>
      <w:r w:rsidRPr="009741B6">
        <w:rPr>
          <w:szCs w:val="20"/>
        </w:rPr>
        <w:t>Opinion and Order (De</w:t>
      </w:r>
      <w:r w:rsidRPr="00602FF8">
        <w:rPr>
          <w:szCs w:val="20"/>
        </w:rPr>
        <w:t>c. 17, 2008) at 17;</w:t>
      </w:r>
      <w:r w:rsidRPr="00602FF8">
        <w:rPr>
          <w:i/>
          <w:szCs w:val="20"/>
        </w:rPr>
        <w:t xml:space="preserve"> In the Matter of the Application of Ohio Edison Company, The Cleveland Electric Illuminating Company and The Toledo Edison Company for Authority to Establish a Standard Service Offer Pursuant to R.C. § 4928.143 in the Form of an Electric Security Plan</w:t>
      </w:r>
      <w:r w:rsidRPr="00602FF8">
        <w:rPr>
          <w:szCs w:val="20"/>
        </w:rPr>
        <w:t>,</w:t>
      </w:r>
      <w:r w:rsidRPr="009741B6">
        <w:rPr>
          <w:szCs w:val="20"/>
        </w:rPr>
        <w:t xml:space="preserve"> Case No. 08-935-EL-SSO, </w:t>
      </w:r>
      <w:r w:rsidRPr="009741B6">
        <w:rPr>
          <w:i/>
          <w:szCs w:val="20"/>
        </w:rPr>
        <w:t>et al.</w:t>
      </w:r>
      <w:r w:rsidRPr="009741B6">
        <w:rPr>
          <w:szCs w:val="20"/>
        </w:rPr>
        <w:t xml:space="preserve">, Second Opinion and Order (Mar. 25, 2009) at 15; </w:t>
      </w:r>
      <w:r w:rsidRPr="009741B6">
        <w:rPr>
          <w:i/>
          <w:szCs w:val="20"/>
        </w:rPr>
        <w:t>In the Matter of the Application of Columbus Southern Power Company and Ohio Power Company for Authority to Establish a Standard Service Offer Pursuant to Section 4928.143, Revised Code, in the Form of an Electric Security Plan</w:t>
      </w:r>
      <w:r w:rsidRPr="009741B6">
        <w:rPr>
          <w:szCs w:val="20"/>
        </w:rPr>
        <w:t xml:space="preserve">. Case Nos. 11-346-EL-SSO, </w:t>
      </w:r>
      <w:r w:rsidRPr="009741B6">
        <w:rPr>
          <w:i/>
          <w:szCs w:val="20"/>
        </w:rPr>
        <w:t>et al.</w:t>
      </w:r>
      <w:r w:rsidRPr="009741B6">
        <w:rPr>
          <w:szCs w:val="20"/>
        </w:rPr>
        <w:t>, Opinion and Order at 39-40, 50, 56 (Dec. 14, 2011) (approving three placeholder riders to be the subject of potential later applications) (hereinafter “</w:t>
      </w:r>
      <w:r w:rsidRPr="009741B6">
        <w:rPr>
          <w:i/>
          <w:szCs w:val="20"/>
        </w:rPr>
        <w:t>AEP ESP II</w:t>
      </w:r>
      <w:r w:rsidRPr="009741B6">
        <w:rPr>
          <w:szCs w:val="20"/>
        </w:rPr>
        <w:t xml:space="preserve"> </w:t>
      </w:r>
      <w:r w:rsidRPr="009741B6">
        <w:rPr>
          <w:i/>
          <w:szCs w:val="20"/>
        </w:rPr>
        <w:t>Case</w:t>
      </w:r>
      <w:r w:rsidRPr="009741B6">
        <w:rPr>
          <w:szCs w:val="20"/>
        </w:rPr>
        <w:t xml:space="preserve">”); </w:t>
      </w:r>
      <w:r w:rsidRPr="009741B6">
        <w:rPr>
          <w:i/>
          <w:szCs w:val="20"/>
        </w:rPr>
        <w:t>AEP ESP II Case</w:t>
      </w:r>
      <w:r w:rsidRPr="009741B6">
        <w:rPr>
          <w:szCs w:val="20"/>
        </w:rPr>
        <w:t xml:space="preserve">, Opinion and Order at 24-25,49 (Aug. 8, 2012) (approving two placeholder riders);  </w:t>
      </w:r>
      <w:r w:rsidRPr="009741B6">
        <w:rPr>
          <w:i/>
          <w:szCs w:val="20"/>
        </w:rPr>
        <w:t>See also In the Matter of the Application of Columbus Southern Power Company for Approval of an Electric Security Plan; an Amendment to its Corporate Separation Plan; and the Sale or Transfer of Certain Generating Assets</w:t>
      </w:r>
      <w:r w:rsidRPr="009741B6">
        <w:rPr>
          <w:szCs w:val="20"/>
        </w:rPr>
        <w:t xml:space="preserve">, Case Nos. 08-917-EL-SSO, </w:t>
      </w:r>
      <w:r w:rsidRPr="009741B6">
        <w:rPr>
          <w:i/>
          <w:szCs w:val="20"/>
        </w:rPr>
        <w:t>et al.</w:t>
      </w:r>
      <w:r w:rsidRPr="009741B6">
        <w:rPr>
          <w:szCs w:val="20"/>
        </w:rPr>
        <w:t>,</w:t>
      </w:r>
      <w:r w:rsidRPr="009741B6">
        <w:rPr>
          <w:i/>
          <w:szCs w:val="20"/>
        </w:rPr>
        <w:t xml:space="preserve"> </w:t>
      </w:r>
      <w:r w:rsidRPr="009741B6">
        <w:rPr>
          <w:szCs w:val="20"/>
        </w:rPr>
        <w:t>Opinion and Order at 52,64 (Mar. 23, 2009) (permitting Ohio Power Company to file additional applications based upon additional information not present in existing ESP application).</w:t>
      </w:r>
    </w:p>
    <w:p w:rsidR="003E1A14" w:rsidRDefault="003E1A14">
      <w:pPr>
        <w:pStyle w:val="FootnoteText"/>
      </w:pPr>
    </w:p>
  </w:footnote>
  <w:footnote w:id="6">
    <w:p w:rsidR="003A2668" w:rsidRDefault="003A2668" w:rsidP="00F30B46">
      <w:pPr>
        <w:autoSpaceDE w:val="0"/>
        <w:autoSpaceDN w:val="0"/>
        <w:adjustRightInd w:val="0"/>
        <w:rPr>
          <w:szCs w:val="20"/>
        </w:rPr>
      </w:pPr>
      <w:r w:rsidRPr="0035001F">
        <w:rPr>
          <w:rStyle w:val="FootnoteReference"/>
          <w:szCs w:val="20"/>
        </w:rPr>
        <w:footnoteRef/>
      </w:r>
      <w:r w:rsidRPr="0035001F">
        <w:rPr>
          <w:szCs w:val="20"/>
        </w:rPr>
        <w:t xml:space="preserve"> </w:t>
      </w:r>
      <w:r w:rsidR="00F30B46" w:rsidRPr="00F30B46">
        <w:rPr>
          <w:szCs w:val="20"/>
        </w:rPr>
        <w:t>Application for Rehearing of Northea</w:t>
      </w:r>
      <w:r w:rsidR="00F30B46">
        <w:rPr>
          <w:szCs w:val="20"/>
        </w:rPr>
        <w:t xml:space="preserve">st Ohio Public Energy Council at 23-24. </w:t>
      </w:r>
      <w:r w:rsidRPr="0035001F">
        <w:rPr>
          <w:szCs w:val="20"/>
        </w:rPr>
        <w:t>IGS recognizes that the Order initially authorized the Incentive Rider as a mechanism to enable FirstEnergy to unbundle generation-related costs in distribution rates.  As noted by IGS in its letter submitted on May 2, FirstEnergy has requested that the Commission modify the Incentive Rid</w:t>
      </w:r>
      <w:r w:rsidR="009850C3">
        <w:rPr>
          <w:szCs w:val="20"/>
        </w:rPr>
        <w:t>er to comport with the objective of</w:t>
      </w:r>
      <w:r w:rsidRPr="0035001F">
        <w:rPr>
          <w:szCs w:val="20"/>
        </w:rPr>
        <w:t xml:space="preserve"> the Enhancement Agreement</w:t>
      </w:r>
      <w:r w:rsidR="009850C3">
        <w:rPr>
          <w:szCs w:val="20"/>
        </w:rPr>
        <w:t>—to incentivize</w:t>
      </w:r>
      <w:r w:rsidR="00A513D6" w:rsidRPr="0035001F">
        <w:rPr>
          <w:szCs w:val="20"/>
        </w:rPr>
        <w:t xml:space="preserve"> shopping and customer engagement</w:t>
      </w:r>
      <w:r w:rsidRPr="0035001F">
        <w:rPr>
          <w:szCs w:val="20"/>
        </w:rPr>
        <w:t>.  While IGS is supportive of FirstEnergy’</w:t>
      </w:r>
      <w:r w:rsidR="00A513D6" w:rsidRPr="0035001F">
        <w:rPr>
          <w:szCs w:val="20"/>
        </w:rPr>
        <w:t>s request,</w:t>
      </w:r>
      <w:r w:rsidRPr="0035001F">
        <w:rPr>
          <w:szCs w:val="20"/>
        </w:rPr>
        <w:t xml:space="preserve"> unbundling is</w:t>
      </w:r>
      <w:r w:rsidR="00A513D6" w:rsidRPr="0035001F">
        <w:rPr>
          <w:szCs w:val="20"/>
        </w:rPr>
        <w:t xml:space="preserve"> in fact supported by</w:t>
      </w:r>
      <w:r w:rsidRPr="0035001F">
        <w:rPr>
          <w:szCs w:val="20"/>
        </w:rPr>
        <w:t xml:space="preserve"> Ohio law as a straightforward </w:t>
      </w:r>
      <w:r w:rsidR="00A513D6" w:rsidRPr="0035001F">
        <w:rPr>
          <w:szCs w:val="20"/>
        </w:rPr>
        <w:t>application of rate design</w:t>
      </w:r>
      <w:r w:rsidR="009850C3">
        <w:rPr>
          <w:szCs w:val="20"/>
        </w:rPr>
        <w:t xml:space="preserve"> and cost allocation</w:t>
      </w:r>
      <w:r w:rsidRPr="0035001F">
        <w:rPr>
          <w:szCs w:val="20"/>
        </w:rPr>
        <w:t>. As the Supreme Court of Ohio has noted, it will defer to the Commission on matters of rate desig</w:t>
      </w:r>
      <w:r w:rsidR="00DA4899">
        <w:rPr>
          <w:szCs w:val="20"/>
        </w:rPr>
        <w:t>n, stating “[w]</w:t>
      </w:r>
      <w:r w:rsidRPr="0035001F">
        <w:rPr>
          <w:szCs w:val="20"/>
        </w:rPr>
        <w:t>e have long given great deference to the commission on matters of rate design.”</w:t>
      </w:r>
      <w:r w:rsidR="00A513D6" w:rsidRPr="0035001F">
        <w:rPr>
          <w:szCs w:val="20"/>
        </w:rPr>
        <w:t xml:space="preserve"> </w:t>
      </w:r>
      <w:proofErr w:type="gramStart"/>
      <w:r w:rsidR="00A513D6" w:rsidRPr="0035001F">
        <w:rPr>
          <w:i/>
          <w:szCs w:val="20"/>
        </w:rPr>
        <w:t>In re Application of Columbus S. Power Co.</w:t>
      </w:r>
      <w:r w:rsidR="00A513D6" w:rsidRPr="0035001F">
        <w:rPr>
          <w:szCs w:val="20"/>
        </w:rPr>
        <w:t>, Slip Opinion No. 2016-Ohio-1608 at 21.</w:t>
      </w:r>
      <w:proofErr w:type="gramEnd"/>
      <w:r w:rsidR="0035001F" w:rsidRPr="0035001F">
        <w:rPr>
          <w:szCs w:val="20"/>
        </w:rPr>
        <w:t xml:space="preserve">  Evaluating the Commission’s determinations with respect to rate design issues would require the Court “to assume powers which this court is not suited to exercise</w:t>
      </w:r>
      <w:r w:rsidR="009850C3">
        <w:rPr>
          <w:szCs w:val="20"/>
        </w:rPr>
        <w:t>.</w:t>
      </w:r>
      <w:r w:rsidR="0035001F" w:rsidRPr="0035001F">
        <w:rPr>
          <w:szCs w:val="20"/>
        </w:rPr>
        <w:t xml:space="preserve">”  </w:t>
      </w:r>
      <w:r w:rsidR="0035001F">
        <w:rPr>
          <w:i/>
          <w:szCs w:val="20"/>
        </w:rPr>
        <w:t xml:space="preserve">Id. </w:t>
      </w:r>
      <w:r w:rsidR="0035001F">
        <w:rPr>
          <w:szCs w:val="20"/>
        </w:rPr>
        <w:t>at 21-22</w:t>
      </w:r>
      <w:r w:rsidR="0035001F">
        <w:rPr>
          <w:i/>
          <w:szCs w:val="20"/>
        </w:rPr>
        <w:t xml:space="preserve"> </w:t>
      </w:r>
      <w:r w:rsidR="0035001F">
        <w:rPr>
          <w:szCs w:val="20"/>
        </w:rPr>
        <w:t>quoting</w:t>
      </w:r>
      <w:r w:rsidR="0035001F" w:rsidRPr="0035001F">
        <w:rPr>
          <w:szCs w:val="20"/>
        </w:rPr>
        <w:t xml:space="preserve"> </w:t>
      </w:r>
      <w:r w:rsidR="0035001F" w:rsidRPr="0035001F">
        <w:rPr>
          <w:i/>
          <w:iCs/>
          <w:szCs w:val="20"/>
        </w:rPr>
        <w:t>Cleveland Elec</w:t>
      </w:r>
      <w:r w:rsidR="0035001F">
        <w:rPr>
          <w:i/>
          <w:iCs/>
          <w:szCs w:val="20"/>
        </w:rPr>
        <w:t xml:space="preserve">. </w:t>
      </w:r>
      <w:proofErr w:type="spellStart"/>
      <w:r w:rsidR="0035001F">
        <w:rPr>
          <w:i/>
          <w:iCs/>
          <w:szCs w:val="20"/>
        </w:rPr>
        <w:t>Illum</w:t>
      </w:r>
      <w:proofErr w:type="spellEnd"/>
      <w:r w:rsidR="0035001F">
        <w:rPr>
          <w:i/>
          <w:iCs/>
          <w:szCs w:val="20"/>
        </w:rPr>
        <w:t xml:space="preserve">. </w:t>
      </w:r>
      <w:proofErr w:type="gramStart"/>
      <w:r w:rsidR="0035001F">
        <w:rPr>
          <w:i/>
          <w:iCs/>
          <w:szCs w:val="20"/>
        </w:rPr>
        <w:t>Co. v. Pub.</w:t>
      </w:r>
      <w:proofErr w:type="gramEnd"/>
      <w:r w:rsidR="0035001F">
        <w:rPr>
          <w:i/>
          <w:iCs/>
          <w:szCs w:val="20"/>
        </w:rPr>
        <w:t xml:space="preserve"> Util. </w:t>
      </w:r>
      <w:proofErr w:type="spellStart"/>
      <w:r w:rsidR="0035001F">
        <w:rPr>
          <w:i/>
          <w:iCs/>
          <w:szCs w:val="20"/>
        </w:rPr>
        <w:t>Comm’n</w:t>
      </w:r>
      <w:proofErr w:type="spellEnd"/>
      <w:r w:rsidR="0035001F">
        <w:rPr>
          <w:szCs w:val="20"/>
        </w:rPr>
        <w:t xml:space="preserve">, </w:t>
      </w:r>
      <w:proofErr w:type="gramStart"/>
      <w:r w:rsidR="0035001F">
        <w:rPr>
          <w:szCs w:val="20"/>
        </w:rPr>
        <w:t xml:space="preserve">46 Ohio St.3d </w:t>
      </w:r>
      <w:r w:rsidR="0035001F" w:rsidRPr="0035001F">
        <w:rPr>
          <w:szCs w:val="20"/>
        </w:rPr>
        <w:t>105, 108</w:t>
      </w:r>
      <w:proofErr w:type="gramEnd"/>
      <w:r w:rsidR="0035001F">
        <w:rPr>
          <w:szCs w:val="20"/>
        </w:rPr>
        <w:t>.</w:t>
      </w:r>
      <w:r w:rsidR="009850C3">
        <w:rPr>
          <w:szCs w:val="20"/>
        </w:rPr>
        <w:t xml:space="preserve">  Moreover, as discussed throughout this memorandum contra, several sections in R.C. 4928.143 permit the Commission to approve </w:t>
      </w:r>
      <w:proofErr w:type="spellStart"/>
      <w:r w:rsidR="009850C3">
        <w:rPr>
          <w:szCs w:val="20"/>
        </w:rPr>
        <w:t>bypassable</w:t>
      </w:r>
      <w:proofErr w:type="spellEnd"/>
      <w:r w:rsidR="009850C3">
        <w:rPr>
          <w:szCs w:val="20"/>
        </w:rPr>
        <w:t xml:space="preserve"> charges applicable to default service. </w:t>
      </w:r>
      <w:r w:rsidR="00A513D6" w:rsidRPr="0035001F">
        <w:rPr>
          <w:szCs w:val="20"/>
        </w:rPr>
        <w:t xml:space="preserve"> IGS is not requesting that the Commission approve the Incentive Rider as an unbundling mechanism at this time, but such a result would otherwise be lawful.</w:t>
      </w:r>
    </w:p>
    <w:p w:rsidR="0009538C" w:rsidRPr="0035001F" w:rsidRDefault="0009538C" w:rsidP="0035001F">
      <w:pPr>
        <w:autoSpaceDE w:val="0"/>
        <w:autoSpaceDN w:val="0"/>
        <w:adjustRightInd w:val="0"/>
        <w:rPr>
          <w:szCs w:val="20"/>
        </w:rPr>
      </w:pPr>
    </w:p>
  </w:footnote>
  <w:footnote w:id="7">
    <w:p w:rsidR="0009538C" w:rsidRDefault="0009538C" w:rsidP="0009538C">
      <w:pPr>
        <w:pStyle w:val="FootnoteText"/>
      </w:pPr>
      <w:r>
        <w:rPr>
          <w:rStyle w:val="FootnoteReference"/>
        </w:rPr>
        <w:footnoteRef/>
      </w:r>
      <w:r>
        <w:t xml:space="preserve"> </w:t>
      </w:r>
      <w:r>
        <w:rPr>
          <w:i/>
        </w:rPr>
        <w:t>S</w:t>
      </w:r>
      <w:r w:rsidRPr="0009538C">
        <w:t>ee</w:t>
      </w:r>
      <w:r w:rsidRPr="00BA6E63">
        <w:rPr>
          <w:i/>
        </w:rPr>
        <w:t xml:space="preserve"> In re Comm. Rev. of Capacity Charges of Ohio Power Co.</w:t>
      </w:r>
      <w:r>
        <w:t>, ¶ 28. Slip Opinion No. 2016-Ohio-1607.</w:t>
      </w:r>
    </w:p>
  </w:footnote>
  <w:footnote w:id="8">
    <w:p w:rsidR="00610FB9" w:rsidRDefault="00610FB9" w:rsidP="00610FB9">
      <w:pPr>
        <w:pStyle w:val="FootnoteText"/>
      </w:pPr>
      <w:r>
        <w:rPr>
          <w:rStyle w:val="FootnoteReference"/>
        </w:rPr>
        <w:footnoteRef/>
      </w:r>
      <w:r>
        <w:t xml:space="preserve"> </w:t>
      </w:r>
      <w:r w:rsidRPr="00610FB9">
        <w:rPr>
          <w:i/>
        </w:rPr>
        <w:t>In the Matter of the Application of Columbus Southern Power Company and Ohio Power Company for Authority to Establish a Standard Service Offer Pursuant to Section 4928.143, Revised Code, in the Form of an Electric Security Plan</w:t>
      </w:r>
      <w:r>
        <w:t xml:space="preserve">, Case Nos. 11-346-EL-SSO, </w:t>
      </w:r>
      <w:r>
        <w:rPr>
          <w:i/>
        </w:rPr>
        <w:t>et al.</w:t>
      </w:r>
      <w:r>
        <w:t>, Opinion and Order at 20, 36-38 (Dec. 14, 2011) (reversed on rehearing based upon findings of fact).</w:t>
      </w:r>
    </w:p>
    <w:p w:rsidR="009850C3" w:rsidRPr="00610FB9" w:rsidRDefault="009850C3" w:rsidP="00610FB9">
      <w:pPr>
        <w:pStyle w:val="FootnoteText"/>
      </w:pPr>
    </w:p>
  </w:footnote>
  <w:footnote w:id="9">
    <w:p w:rsidR="00610FB9" w:rsidRPr="009850C3" w:rsidRDefault="00610FB9">
      <w:pPr>
        <w:pStyle w:val="FootnoteText"/>
      </w:pPr>
      <w:r>
        <w:rPr>
          <w:rStyle w:val="FootnoteReference"/>
        </w:rPr>
        <w:footnoteRef/>
      </w:r>
      <w:r>
        <w:t xml:space="preserve"> </w:t>
      </w:r>
      <w:proofErr w:type="gramStart"/>
      <w:r w:rsidR="009850C3">
        <w:rPr>
          <w:i/>
        </w:rPr>
        <w:t xml:space="preserve">Id. </w:t>
      </w:r>
      <w:r w:rsidR="009850C3">
        <w:t>at 19, 36-38, 64.</w:t>
      </w:r>
      <w:proofErr w:type="gramEnd"/>
      <w:r w:rsidR="009850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46" w:rsidRDefault="009632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46" w:rsidRDefault="009632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46" w:rsidRDefault="00963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23E09"/>
    <w:multiLevelType w:val="hybridMultilevel"/>
    <w:tmpl w:val="644E7B5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
    <w:nsid w:val="475B4072"/>
    <w:multiLevelType w:val="hybridMultilevel"/>
    <w:tmpl w:val="184EE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D126377"/>
    <w:multiLevelType w:val="hybridMultilevel"/>
    <w:tmpl w:val="A8461AB6"/>
    <w:lvl w:ilvl="0" w:tplc="8848C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573941"/>
    <w:multiLevelType w:val="hybridMultilevel"/>
    <w:tmpl w:val="33966788"/>
    <w:lvl w:ilvl="0" w:tplc="ABEC0E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E15556"/>
    <w:multiLevelType w:val="hybridMultilevel"/>
    <w:tmpl w:val="F8F2F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4757148"/>
    <w:multiLevelType w:val="hybridMultilevel"/>
    <w:tmpl w:val="FC70EB10"/>
    <w:lvl w:ilvl="0" w:tplc="038C6C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DC"/>
    <w:rsid w:val="00025C03"/>
    <w:rsid w:val="0004003B"/>
    <w:rsid w:val="000402F2"/>
    <w:rsid w:val="00073C1A"/>
    <w:rsid w:val="00076B77"/>
    <w:rsid w:val="00083FDD"/>
    <w:rsid w:val="0008567F"/>
    <w:rsid w:val="0009538C"/>
    <w:rsid w:val="00095576"/>
    <w:rsid w:val="000C128D"/>
    <w:rsid w:val="000C2072"/>
    <w:rsid w:val="000C3CC7"/>
    <w:rsid w:val="000C421F"/>
    <w:rsid w:val="000F3DDA"/>
    <w:rsid w:val="0011253C"/>
    <w:rsid w:val="001241E7"/>
    <w:rsid w:val="001301EA"/>
    <w:rsid w:val="00152A59"/>
    <w:rsid w:val="00166C76"/>
    <w:rsid w:val="001939A7"/>
    <w:rsid w:val="001C30FB"/>
    <w:rsid w:val="001D34D3"/>
    <w:rsid w:val="001D41F2"/>
    <w:rsid w:val="001D79D3"/>
    <w:rsid w:val="001E0936"/>
    <w:rsid w:val="001E7147"/>
    <w:rsid w:val="001F2CB8"/>
    <w:rsid w:val="002049B8"/>
    <w:rsid w:val="00231A2E"/>
    <w:rsid w:val="0023378D"/>
    <w:rsid w:val="00233D14"/>
    <w:rsid w:val="00237EF0"/>
    <w:rsid w:val="00242778"/>
    <w:rsid w:val="00257587"/>
    <w:rsid w:val="0027162A"/>
    <w:rsid w:val="002817E1"/>
    <w:rsid w:val="00284546"/>
    <w:rsid w:val="002C1059"/>
    <w:rsid w:val="002E0FEA"/>
    <w:rsid w:val="002E2A53"/>
    <w:rsid w:val="0031099A"/>
    <w:rsid w:val="0034609E"/>
    <w:rsid w:val="0035001F"/>
    <w:rsid w:val="00362FCF"/>
    <w:rsid w:val="00367CF2"/>
    <w:rsid w:val="00382605"/>
    <w:rsid w:val="003826F1"/>
    <w:rsid w:val="00384E83"/>
    <w:rsid w:val="00390EB8"/>
    <w:rsid w:val="00391C20"/>
    <w:rsid w:val="00395CFA"/>
    <w:rsid w:val="003A0A72"/>
    <w:rsid w:val="003A2668"/>
    <w:rsid w:val="003D5C9D"/>
    <w:rsid w:val="003E0C49"/>
    <w:rsid w:val="003E1A14"/>
    <w:rsid w:val="003E29EB"/>
    <w:rsid w:val="004038A8"/>
    <w:rsid w:val="004151D6"/>
    <w:rsid w:val="0043751B"/>
    <w:rsid w:val="00450971"/>
    <w:rsid w:val="00477A16"/>
    <w:rsid w:val="00487F6D"/>
    <w:rsid w:val="004A0CB7"/>
    <w:rsid w:val="004C2DE1"/>
    <w:rsid w:val="004C48C4"/>
    <w:rsid w:val="004C64A0"/>
    <w:rsid w:val="004D0BFC"/>
    <w:rsid w:val="004E0A4C"/>
    <w:rsid w:val="004F19F8"/>
    <w:rsid w:val="0052085B"/>
    <w:rsid w:val="0052155C"/>
    <w:rsid w:val="00531315"/>
    <w:rsid w:val="00531BA8"/>
    <w:rsid w:val="00536055"/>
    <w:rsid w:val="00536BA7"/>
    <w:rsid w:val="00567136"/>
    <w:rsid w:val="00574CA0"/>
    <w:rsid w:val="005A2FEC"/>
    <w:rsid w:val="005A7D8B"/>
    <w:rsid w:val="005B0359"/>
    <w:rsid w:val="005B2F6E"/>
    <w:rsid w:val="005B442B"/>
    <w:rsid w:val="005C4210"/>
    <w:rsid w:val="005C7733"/>
    <w:rsid w:val="005E495F"/>
    <w:rsid w:val="005E5979"/>
    <w:rsid w:val="005E7350"/>
    <w:rsid w:val="00602FF8"/>
    <w:rsid w:val="00610FB9"/>
    <w:rsid w:val="00620548"/>
    <w:rsid w:val="006A7326"/>
    <w:rsid w:val="006C48DA"/>
    <w:rsid w:val="006E13EC"/>
    <w:rsid w:val="006F2683"/>
    <w:rsid w:val="006F29BC"/>
    <w:rsid w:val="00717D85"/>
    <w:rsid w:val="00752B10"/>
    <w:rsid w:val="00773484"/>
    <w:rsid w:val="007A55F2"/>
    <w:rsid w:val="007B2E82"/>
    <w:rsid w:val="007C709A"/>
    <w:rsid w:val="007D1E2D"/>
    <w:rsid w:val="008072FB"/>
    <w:rsid w:val="00827F13"/>
    <w:rsid w:val="008532BE"/>
    <w:rsid w:val="00866AB1"/>
    <w:rsid w:val="00871648"/>
    <w:rsid w:val="008824A3"/>
    <w:rsid w:val="008E503E"/>
    <w:rsid w:val="008F258F"/>
    <w:rsid w:val="009065BA"/>
    <w:rsid w:val="0092305F"/>
    <w:rsid w:val="00923F8A"/>
    <w:rsid w:val="0093314B"/>
    <w:rsid w:val="00963246"/>
    <w:rsid w:val="009741B6"/>
    <w:rsid w:val="00975934"/>
    <w:rsid w:val="009850C3"/>
    <w:rsid w:val="00991A9F"/>
    <w:rsid w:val="00997BC6"/>
    <w:rsid w:val="009A5AB4"/>
    <w:rsid w:val="009C7BD1"/>
    <w:rsid w:val="009D0DEA"/>
    <w:rsid w:val="009D1E33"/>
    <w:rsid w:val="009D3E1D"/>
    <w:rsid w:val="009D4321"/>
    <w:rsid w:val="009F5B55"/>
    <w:rsid w:val="00A00FA8"/>
    <w:rsid w:val="00A123C0"/>
    <w:rsid w:val="00A3095A"/>
    <w:rsid w:val="00A360FA"/>
    <w:rsid w:val="00A513D6"/>
    <w:rsid w:val="00A550F4"/>
    <w:rsid w:val="00A6770D"/>
    <w:rsid w:val="00A8408F"/>
    <w:rsid w:val="00A928B9"/>
    <w:rsid w:val="00A9327C"/>
    <w:rsid w:val="00A944ED"/>
    <w:rsid w:val="00AB32F8"/>
    <w:rsid w:val="00AB4526"/>
    <w:rsid w:val="00AC41A6"/>
    <w:rsid w:val="00AC5858"/>
    <w:rsid w:val="00AD7DB7"/>
    <w:rsid w:val="00AE19F3"/>
    <w:rsid w:val="00AF23C1"/>
    <w:rsid w:val="00B12EF6"/>
    <w:rsid w:val="00B21E27"/>
    <w:rsid w:val="00B30ABA"/>
    <w:rsid w:val="00B34523"/>
    <w:rsid w:val="00B54B55"/>
    <w:rsid w:val="00B60829"/>
    <w:rsid w:val="00B91E9F"/>
    <w:rsid w:val="00B9236A"/>
    <w:rsid w:val="00BA64F2"/>
    <w:rsid w:val="00BA6E63"/>
    <w:rsid w:val="00BB6D3E"/>
    <w:rsid w:val="00BE6203"/>
    <w:rsid w:val="00BE7C1A"/>
    <w:rsid w:val="00BF7083"/>
    <w:rsid w:val="00C10EA8"/>
    <w:rsid w:val="00C16443"/>
    <w:rsid w:val="00C3511D"/>
    <w:rsid w:val="00C47514"/>
    <w:rsid w:val="00C52E40"/>
    <w:rsid w:val="00C92B9E"/>
    <w:rsid w:val="00D01446"/>
    <w:rsid w:val="00D15A2F"/>
    <w:rsid w:val="00D201FB"/>
    <w:rsid w:val="00D60A9C"/>
    <w:rsid w:val="00D73F09"/>
    <w:rsid w:val="00D774F0"/>
    <w:rsid w:val="00D808EE"/>
    <w:rsid w:val="00D91257"/>
    <w:rsid w:val="00DA4899"/>
    <w:rsid w:val="00DD1693"/>
    <w:rsid w:val="00DD3BE8"/>
    <w:rsid w:val="00DD5278"/>
    <w:rsid w:val="00DD770E"/>
    <w:rsid w:val="00DF1664"/>
    <w:rsid w:val="00E2642B"/>
    <w:rsid w:val="00E27ADC"/>
    <w:rsid w:val="00E3011D"/>
    <w:rsid w:val="00E43CDE"/>
    <w:rsid w:val="00E56C4F"/>
    <w:rsid w:val="00E57A67"/>
    <w:rsid w:val="00E82CFB"/>
    <w:rsid w:val="00E9678A"/>
    <w:rsid w:val="00EB0737"/>
    <w:rsid w:val="00EB33B1"/>
    <w:rsid w:val="00EE1363"/>
    <w:rsid w:val="00F014A1"/>
    <w:rsid w:val="00F135F3"/>
    <w:rsid w:val="00F220CE"/>
    <w:rsid w:val="00F30B46"/>
    <w:rsid w:val="00F32E1F"/>
    <w:rsid w:val="00F34CD2"/>
    <w:rsid w:val="00F40E07"/>
    <w:rsid w:val="00F440CD"/>
    <w:rsid w:val="00F51D57"/>
    <w:rsid w:val="00F64957"/>
    <w:rsid w:val="00F72C93"/>
    <w:rsid w:val="00F7413B"/>
    <w:rsid w:val="00F744F3"/>
    <w:rsid w:val="00F800EA"/>
    <w:rsid w:val="00F86C35"/>
    <w:rsid w:val="00F94405"/>
    <w:rsid w:val="00F96408"/>
    <w:rsid w:val="00FA18B2"/>
    <w:rsid w:val="00FC280B"/>
    <w:rsid w:val="00FD07A6"/>
    <w:rsid w:val="00FD3DC7"/>
    <w:rsid w:val="00FF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CF2"/>
    <w:pPr>
      <w:ind w:left="720"/>
      <w:contextualSpacing/>
    </w:pPr>
  </w:style>
  <w:style w:type="paragraph" w:styleId="FootnoteText">
    <w:name w:val="footnote text"/>
    <w:basedOn w:val="Normal"/>
    <w:link w:val="FootnoteTextChar"/>
    <w:uiPriority w:val="99"/>
    <w:semiHidden/>
    <w:unhideWhenUsed/>
    <w:rsid w:val="00567136"/>
    <w:rPr>
      <w:szCs w:val="20"/>
    </w:rPr>
  </w:style>
  <w:style w:type="character" w:customStyle="1" w:styleId="FootnoteTextChar">
    <w:name w:val="Footnote Text Char"/>
    <w:basedOn w:val="DefaultParagraphFont"/>
    <w:link w:val="FootnoteText"/>
    <w:uiPriority w:val="99"/>
    <w:semiHidden/>
    <w:rsid w:val="00567136"/>
    <w:rPr>
      <w:szCs w:val="20"/>
    </w:rPr>
  </w:style>
  <w:style w:type="character" w:styleId="FootnoteReference">
    <w:name w:val="footnote reference"/>
    <w:basedOn w:val="DefaultParagraphFont"/>
    <w:uiPriority w:val="99"/>
    <w:semiHidden/>
    <w:unhideWhenUsed/>
    <w:rsid w:val="00567136"/>
    <w:rPr>
      <w:vertAlign w:val="superscript"/>
    </w:rPr>
  </w:style>
  <w:style w:type="character" w:styleId="Hyperlink">
    <w:name w:val="Hyperlink"/>
    <w:basedOn w:val="DefaultParagraphFont"/>
    <w:uiPriority w:val="99"/>
    <w:unhideWhenUsed/>
    <w:rsid w:val="005E7350"/>
    <w:rPr>
      <w:color w:val="0000FF" w:themeColor="hyperlink"/>
      <w:u w:val="single"/>
    </w:rPr>
  </w:style>
  <w:style w:type="table" w:styleId="TableGrid">
    <w:name w:val="Table Grid"/>
    <w:basedOn w:val="TableNormal"/>
    <w:uiPriority w:val="59"/>
    <w:rsid w:val="00B54B55"/>
    <w:pPr>
      <w:jc w:val="left"/>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F8A"/>
    <w:rPr>
      <w:sz w:val="16"/>
      <w:szCs w:val="16"/>
    </w:rPr>
  </w:style>
  <w:style w:type="paragraph" w:styleId="CommentText">
    <w:name w:val="annotation text"/>
    <w:basedOn w:val="Normal"/>
    <w:link w:val="CommentTextChar"/>
    <w:uiPriority w:val="99"/>
    <w:semiHidden/>
    <w:unhideWhenUsed/>
    <w:rsid w:val="00923F8A"/>
    <w:rPr>
      <w:szCs w:val="20"/>
    </w:rPr>
  </w:style>
  <w:style w:type="character" w:customStyle="1" w:styleId="CommentTextChar">
    <w:name w:val="Comment Text Char"/>
    <w:basedOn w:val="DefaultParagraphFont"/>
    <w:link w:val="CommentText"/>
    <w:uiPriority w:val="99"/>
    <w:semiHidden/>
    <w:rsid w:val="00923F8A"/>
    <w:rPr>
      <w:szCs w:val="20"/>
    </w:rPr>
  </w:style>
  <w:style w:type="paragraph" w:styleId="CommentSubject">
    <w:name w:val="annotation subject"/>
    <w:basedOn w:val="CommentText"/>
    <w:next w:val="CommentText"/>
    <w:link w:val="CommentSubjectChar"/>
    <w:uiPriority w:val="99"/>
    <w:semiHidden/>
    <w:unhideWhenUsed/>
    <w:rsid w:val="00923F8A"/>
    <w:rPr>
      <w:b/>
      <w:bCs/>
    </w:rPr>
  </w:style>
  <w:style w:type="character" w:customStyle="1" w:styleId="CommentSubjectChar">
    <w:name w:val="Comment Subject Char"/>
    <w:basedOn w:val="CommentTextChar"/>
    <w:link w:val="CommentSubject"/>
    <w:uiPriority w:val="99"/>
    <w:semiHidden/>
    <w:rsid w:val="00923F8A"/>
    <w:rPr>
      <w:b/>
      <w:bCs/>
      <w:szCs w:val="20"/>
    </w:rPr>
  </w:style>
  <w:style w:type="paragraph" w:styleId="BalloonText">
    <w:name w:val="Balloon Text"/>
    <w:basedOn w:val="Normal"/>
    <w:link w:val="BalloonTextChar"/>
    <w:uiPriority w:val="99"/>
    <w:semiHidden/>
    <w:unhideWhenUsed/>
    <w:rsid w:val="00923F8A"/>
    <w:rPr>
      <w:rFonts w:ascii="Tahoma" w:hAnsi="Tahoma" w:cs="Tahoma"/>
      <w:sz w:val="16"/>
      <w:szCs w:val="16"/>
    </w:rPr>
  </w:style>
  <w:style w:type="character" w:customStyle="1" w:styleId="BalloonTextChar">
    <w:name w:val="Balloon Text Char"/>
    <w:basedOn w:val="DefaultParagraphFont"/>
    <w:link w:val="BalloonText"/>
    <w:uiPriority w:val="99"/>
    <w:semiHidden/>
    <w:rsid w:val="00923F8A"/>
    <w:rPr>
      <w:rFonts w:ascii="Tahoma" w:hAnsi="Tahoma" w:cs="Tahoma"/>
      <w:sz w:val="16"/>
      <w:szCs w:val="16"/>
    </w:rPr>
  </w:style>
  <w:style w:type="paragraph" w:styleId="Header">
    <w:name w:val="header"/>
    <w:basedOn w:val="Normal"/>
    <w:link w:val="HeaderChar"/>
    <w:uiPriority w:val="99"/>
    <w:unhideWhenUsed/>
    <w:rsid w:val="00025C03"/>
    <w:pPr>
      <w:tabs>
        <w:tab w:val="center" w:pos="4680"/>
        <w:tab w:val="right" w:pos="9360"/>
      </w:tabs>
    </w:pPr>
  </w:style>
  <w:style w:type="character" w:customStyle="1" w:styleId="HeaderChar">
    <w:name w:val="Header Char"/>
    <w:basedOn w:val="DefaultParagraphFont"/>
    <w:link w:val="Header"/>
    <w:uiPriority w:val="99"/>
    <w:rsid w:val="00025C03"/>
  </w:style>
  <w:style w:type="paragraph" w:styleId="Footer">
    <w:name w:val="footer"/>
    <w:basedOn w:val="Normal"/>
    <w:link w:val="FooterChar"/>
    <w:uiPriority w:val="99"/>
    <w:unhideWhenUsed/>
    <w:rsid w:val="00025C03"/>
    <w:pPr>
      <w:tabs>
        <w:tab w:val="center" w:pos="4680"/>
        <w:tab w:val="right" w:pos="9360"/>
      </w:tabs>
    </w:pPr>
  </w:style>
  <w:style w:type="character" w:customStyle="1" w:styleId="FooterChar">
    <w:name w:val="Footer Char"/>
    <w:basedOn w:val="DefaultParagraphFont"/>
    <w:link w:val="Footer"/>
    <w:uiPriority w:val="99"/>
    <w:rsid w:val="00025C03"/>
  </w:style>
  <w:style w:type="paragraph" w:styleId="PlainText">
    <w:name w:val="Plain Text"/>
    <w:basedOn w:val="Normal"/>
    <w:link w:val="PlainTextChar"/>
    <w:uiPriority w:val="99"/>
    <w:unhideWhenUsed/>
    <w:rsid w:val="00C3511D"/>
    <w:pPr>
      <w:jc w:val="left"/>
    </w:pPr>
    <w:rPr>
      <w:rFonts w:ascii="Calibri" w:eastAsia="Calibri" w:hAnsi="Calibri" w:cs="Calibri"/>
      <w:sz w:val="22"/>
      <w:szCs w:val="22"/>
    </w:rPr>
  </w:style>
  <w:style w:type="character" w:customStyle="1" w:styleId="PlainTextChar">
    <w:name w:val="Plain Text Char"/>
    <w:basedOn w:val="DefaultParagraphFont"/>
    <w:link w:val="PlainText"/>
    <w:uiPriority w:val="99"/>
    <w:rsid w:val="00C3511D"/>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CF2"/>
    <w:pPr>
      <w:ind w:left="720"/>
      <w:contextualSpacing/>
    </w:pPr>
  </w:style>
  <w:style w:type="paragraph" w:styleId="FootnoteText">
    <w:name w:val="footnote text"/>
    <w:basedOn w:val="Normal"/>
    <w:link w:val="FootnoteTextChar"/>
    <w:uiPriority w:val="99"/>
    <w:semiHidden/>
    <w:unhideWhenUsed/>
    <w:rsid w:val="00567136"/>
    <w:rPr>
      <w:szCs w:val="20"/>
    </w:rPr>
  </w:style>
  <w:style w:type="character" w:customStyle="1" w:styleId="FootnoteTextChar">
    <w:name w:val="Footnote Text Char"/>
    <w:basedOn w:val="DefaultParagraphFont"/>
    <w:link w:val="FootnoteText"/>
    <w:uiPriority w:val="99"/>
    <w:semiHidden/>
    <w:rsid w:val="00567136"/>
    <w:rPr>
      <w:szCs w:val="20"/>
    </w:rPr>
  </w:style>
  <w:style w:type="character" w:styleId="FootnoteReference">
    <w:name w:val="footnote reference"/>
    <w:basedOn w:val="DefaultParagraphFont"/>
    <w:uiPriority w:val="99"/>
    <w:semiHidden/>
    <w:unhideWhenUsed/>
    <w:rsid w:val="00567136"/>
    <w:rPr>
      <w:vertAlign w:val="superscript"/>
    </w:rPr>
  </w:style>
  <w:style w:type="character" w:styleId="Hyperlink">
    <w:name w:val="Hyperlink"/>
    <w:basedOn w:val="DefaultParagraphFont"/>
    <w:uiPriority w:val="99"/>
    <w:unhideWhenUsed/>
    <w:rsid w:val="005E7350"/>
    <w:rPr>
      <w:color w:val="0000FF" w:themeColor="hyperlink"/>
      <w:u w:val="single"/>
    </w:rPr>
  </w:style>
  <w:style w:type="table" w:styleId="TableGrid">
    <w:name w:val="Table Grid"/>
    <w:basedOn w:val="TableNormal"/>
    <w:uiPriority w:val="59"/>
    <w:rsid w:val="00B54B55"/>
    <w:pPr>
      <w:jc w:val="left"/>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F8A"/>
    <w:rPr>
      <w:sz w:val="16"/>
      <w:szCs w:val="16"/>
    </w:rPr>
  </w:style>
  <w:style w:type="paragraph" w:styleId="CommentText">
    <w:name w:val="annotation text"/>
    <w:basedOn w:val="Normal"/>
    <w:link w:val="CommentTextChar"/>
    <w:uiPriority w:val="99"/>
    <w:semiHidden/>
    <w:unhideWhenUsed/>
    <w:rsid w:val="00923F8A"/>
    <w:rPr>
      <w:szCs w:val="20"/>
    </w:rPr>
  </w:style>
  <w:style w:type="character" w:customStyle="1" w:styleId="CommentTextChar">
    <w:name w:val="Comment Text Char"/>
    <w:basedOn w:val="DefaultParagraphFont"/>
    <w:link w:val="CommentText"/>
    <w:uiPriority w:val="99"/>
    <w:semiHidden/>
    <w:rsid w:val="00923F8A"/>
    <w:rPr>
      <w:szCs w:val="20"/>
    </w:rPr>
  </w:style>
  <w:style w:type="paragraph" w:styleId="CommentSubject">
    <w:name w:val="annotation subject"/>
    <w:basedOn w:val="CommentText"/>
    <w:next w:val="CommentText"/>
    <w:link w:val="CommentSubjectChar"/>
    <w:uiPriority w:val="99"/>
    <w:semiHidden/>
    <w:unhideWhenUsed/>
    <w:rsid w:val="00923F8A"/>
    <w:rPr>
      <w:b/>
      <w:bCs/>
    </w:rPr>
  </w:style>
  <w:style w:type="character" w:customStyle="1" w:styleId="CommentSubjectChar">
    <w:name w:val="Comment Subject Char"/>
    <w:basedOn w:val="CommentTextChar"/>
    <w:link w:val="CommentSubject"/>
    <w:uiPriority w:val="99"/>
    <w:semiHidden/>
    <w:rsid w:val="00923F8A"/>
    <w:rPr>
      <w:b/>
      <w:bCs/>
      <w:szCs w:val="20"/>
    </w:rPr>
  </w:style>
  <w:style w:type="paragraph" w:styleId="BalloonText">
    <w:name w:val="Balloon Text"/>
    <w:basedOn w:val="Normal"/>
    <w:link w:val="BalloonTextChar"/>
    <w:uiPriority w:val="99"/>
    <w:semiHidden/>
    <w:unhideWhenUsed/>
    <w:rsid w:val="00923F8A"/>
    <w:rPr>
      <w:rFonts w:ascii="Tahoma" w:hAnsi="Tahoma" w:cs="Tahoma"/>
      <w:sz w:val="16"/>
      <w:szCs w:val="16"/>
    </w:rPr>
  </w:style>
  <w:style w:type="character" w:customStyle="1" w:styleId="BalloonTextChar">
    <w:name w:val="Balloon Text Char"/>
    <w:basedOn w:val="DefaultParagraphFont"/>
    <w:link w:val="BalloonText"/>
    <w:uiPriority w:val="99"/>
    <w:semiHidden/>
    <w:rsid w:val="00923F8A"/>
    <w:rPr>
      <w:rFonts w:ascii="Tahoma" w:hAnsi="Tahoma" w:cs="Tahoma"/>
      <w:sz w:val="16"/>
      <w:szCs w:val="16"/>
    </w:rPr>
  </w:style>
  <w:style w:type="paragraph" w:styleId="Header">
    <w:name w:val="header"/>
    <w:basedOn w:val="Normal"/>
    <w:link w:val="HeaderChar"/>
    <w:uiPriority w:val="99"/>
    <w:unhideWhenUsed/>
    <w:rsid w:val="00025C03"/>
    <w:pPr>
      <w:tabs>
        <w:tab w:val="center" w:pos="4680"/>
        <w:tab w:val="right" w:pos="9360"/>
      </w:tabs>
    </w:pPr>
  </w:style>
  <w:style w:type="character" w:customStyle="1" w:styleId="HeaderChar">
    <w:name w:val="Header Char"/>
    <w:basedOn w:val="DefaultParagraphFont"/>
    <w:link w:val="Header"/>
    <w:uiPriority w:val="99"/>
    <w:rsid w:val="00025C03"/>
  </w:style>
  <w:style w:type="paragraph" w:styleId="Footer">
    <w:name w:val="footer"/>
    <w:basedOn w:val="Normal"/>
    <w:link w:val="FooterChar"/>
    <w:uiPriority w:val="99"/>
    <w:unhideWhenUsed/>
    <w:rsid w:val="00025C03"/>
    <w:pPr>
      <w:tabs>
        <w:tab w:val="center" w:pos="4680"/>
        <w:tab w:val="right" w:pos="9360"/>
      </w:tabs>
    </w:pPr>
  </w:style>
  <w:style w:type="character" w:customStyle="1" w:styleId="FooterChar">
    <w:name w:val="Footer Char"/>
    <w:basedOn w:val="DefaultParagraphFont"/>
    <w:link w:val="Footer"/>
    <w:uiPriority w:val="99"/>
    <w:rsid w:val="00025C03"/>
  </w:style>
  <w:style w:type="paragraph" w:styleId="PlainText">
    <w:name w:val="Plain Text"/>
    <w:basedOn w:val="Normal"/>
    <w:link w:val="PlainTextChar"/>
    <w:uiPriority w:val="99"/>
    <w:unhideWhenUsed/>
    <w:rsid w:val="00C3511D"/>
    <w:pPr>
      <w:jc w:val="left"/>
    </w:pPr>
    <w:rPr>
      <w:rFonts w:ascii="Calibri" w:eastAsia="Calibri" w:hAnsi="Calibri" w:cs="Calibri"/>
      <w:sz w:val="22"/>
      <w:szCs w:val="22"/>
    </w:rPr>
  </w:style>
  <w:style w:type="character" w:customStyle="1" w:styleId="PlainTextChar">
    <w:name w:val="Plain Text Char"/>
    <w:basedOn w:val="DefaultParagraphFont"/>
    <w:link w:val="PlainText"/>
    <w:uiPriority w:val="99"/>
    <w:rsid w:val="00C3511D"/>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93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fisk@earthjustice.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ojk@bbrslaw.com" TargetMode="External"/><Relationship Id="rId17" Type="http://schemas.openxmlformats.org/officeDocument/2006/relationships/hyperlink" Target="mailto:mfleisher@elpc.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innigan@edf.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cks@ohanet.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tdougherty@theOEC.org" TargetMode="External"/><Relationship Id="rId23" Type="http://schemas.openxmlformats.org/officeDocument/2006/relationships/footer" Target="footer3.xml"/><Relationship Id="rId10" Type="http://schemas.openxmlformats.org/officeDocument/2006/relationships/hyperlink" Target="mailto:Schmidt@sppgrp.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mjsatterwhite@aep.com" TargetMode="External"/><Relationship Id="rId14" Type="http://schemas.openxmlformats.org/officeDocument/2006/relationships/hyperlink" Target="mailto:jlang@calfee.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5D316-CE83-4CBE-BEE2-61B9C133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2016-05-12T17:02:00Z</dcterms:created>
  <dcterms:modified xsi:type="dcterms:W3CDTF">2016-05-12T20:29:00Z</dcterms:modified>
</cp:coreProperties>
</file>