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23" w:rsidRDefault="00466623">
      <w:pPr>
        <w:widowControl w:val="0"/>
        <w:tabs>
          <w:tab w:val="center" w:pos="4680"/>
        </w:tabs>
        <w:jc w:val="center"/>
        <w:rPr>
          <w:rFonts w:ascii="Palatino Linotype" w:hAnsi="Palatino Linotype"/>
          <w:b/>
          <w:sz w:val="24"/>
        </w:rPr>
      </w:pPr>
      <w:r>
        <w:rPr>
          <w:rFonts w:ascii="Palatino Linotype" w:hAnsi="Palatino Linotype"/>
          <w:b/>
          <w:sz w:val="24"/>
        </w:rPr>
        <w:t>BEFORE</w:t>
      </w:r>
    </w:p>
    <w:p w:rsidR="00466623" w:rsidRDefault="00466623">
      <w:pPr>
        <w:widowControl w:val="0"/>
        <w:tabs>
          <w:tab w:val="center" w:pos="4680"/>
        </w:tabs>
        <w:jc w:val="center"/>
        <w:rPr>
          <w:rFonts w:ascii="Palatino Linotype" w:hAnsi="Palatino Linotype"/>
          <w:b/>
          <w:sz w:val="24"/>
        </w:rPr>
      </w:pPr>
      <w:r>
        <w:rPr>
          <w:rFonts w:ascii="Palatino Linotype" w:hAnsi="Palatino Linotype"/>
          <w:b/>
          <w:sz w:val="24"/>
        </w:rPr>
        <w:t>THE OHIO POWER SITING BOARD</w:t>
      </w:r>
    </w:p>
    <w:tbl>
      <w:tblPr>
        <w:tblW w:w="9360" w:type="dxa"/>
        <w:tblInd w:w="8" w:type="dxa"/>
        <w:tblLayout w:type="fixed"/>
        <w:tblCellMar>
          <w:left w:w="0" w:type="dxa"/>
          <w:right w:w="0" w:type="dxa"/>
        </w:tblCellMar>
        <w:tblLook w:val="0000"/>
      </w:tblPr>
      <w:tblGrid>
        <w:gridCol w:w="4680"/>
        <w:gridCol w:w="360"/>
        <w:gridCol w:w="360"/>
        <w:gridCol w:w="360"/>
        <w:gridCol w:w="3600"/>
      </w:tblGrid>
      <w:tr w:rsidR="00466623">
        <w:tblPrEx>
          <w:tblCellMar>
            <w:top w:w="0" w:type="dxa"/>
            <w:left w:w="0" w:type="dxa"/>
            <w:bottom w:w="0" w:type="dxa"/>
            <w:right w:w="0" w:type="dxa"/>
          </w:tblCellMar>
        </w:tblPrEx>
        <w:trPr>
          <w:trHeight w:val="1602"/>
        </w:trPr>
        <w:tc>
          <w:tcPr>
            <w:tcW w:w="4680" w:type="dxa"/>
          </w:tcPr>
          <w:p w:rsidR="00466623" w:rsidRDefault="00466623">
            <w:pPr>
              <w:rPr>
                <w:rFonts w:ascii="Palatino Linotype" w:hAnsi="Palatino Linotype"/>
                <w:sz w:val="24"/>
              </w:rPr>
            </w:pPr>
          </w:p>
          <w:p w:rsidR="00466623" w:rsidRDefault="00466623">
            <w:pPr>
              <w:rPr>
                <w:rFonts w:ascii="Palatino Linotype" w:hAnsi="Palatino Linotype"/>
                <w:sz w:val="24"/>
              </w:rPr>
            </w:pPr>
            <w:r>
              <w:rPr>
                <w:rFonts w:ascii="Palatino Linotype" w:hAnsi="Palatino Linotype"/>
                <w:sz w:val="24"/>
              </w:rPr>
              <w:t>In the Matter of the Ford Street HP Pipe Replacement Project</w:t>
            </w:r>
          </w:p>
          <w:p w:rsidR="00466623" w:rsidRDefault="00466623">
            <w:pPr>
              <w:rPr>
                <w:rFonts w:ascii="Palatino Linotype" w:hAnsi="Palatino Linotype"/>
                <w:sz w:val="24"/>
              </w:rPr>
            </w:pPr>
          </w:p>
        </w:tc>
        <w:tc>
          <w:tcPr>
            <w:tcW w:w="360" w:type="dxa"/>
          </w:tcPr>
          <w:p w:rsidR="00466623" w:rsidRDefault="00466623">
            <w:pPr>
              <w:keepNext/>
              <w:keepLines/>
              <w:widowControl w:val="0"/>
              <w:jc w:val="both"/>
              <w:rPr>
                <w:rFonts w:ascii="Palatino Linotype" w:hAnsi="Palatino Linotype"/>
                <w:sz w:val="24"/>
              </w:rPr>
            </w:pPr>
          </w:p>
        </w:tc>
        <w:tc>
          <w:tcPr>
            <w:tcW w:w="360" w:type="dxa"/>
          </w:tcPr>
          <w:p w:rsidR="00466623" w:rsidRDefault="00466623">
            <w:pPr>
              <w:keepNext/>
              <w:keepLines/>
              <w:widowControl w:val="0"/>
              <w:rPr>
                <w:rFonts w:ascii="Palatino Linotype" w:hAnsi="Palatino Linotype"/>
                <w:sz w:val="24"/>
              </w:rPr>
            </w:pPr>
          </w:p>
          <w:p w:rsidR="00466623" w:rsidRDefault="00466623">
            <w:pPr>
              <w:keepNext/>
              <w:keepLines/>
              <w:widowControl w:val="0"/>
              <w:rPr>
                <w:rFonts w:ascii="Palatino Linotype" w:hAnsi="Palatino Linotype"/>
                <w:sz w:val="24"/>
              </w:rPr>
            </w:pPr>
            <w:r>
              <w:rPr>
                <w:rFonts w:ascii="Palatino Linotype" w:hAnsi="Palatino Linotype"/>
                <w:sz w:val="24"/>
              </w:rPr>
              <w:t>)</w:t>
            </w:r>
          </w:p>
          <w:p w:rsidR="00466623" w:rsidRDefault="00466623">
            <w:pPr>
              <w:keepNext/>
              <w:keepLines/>
              <w:widowControl w:val="0"/>
              <w:rPr>
                <w:rFonts w:ascii="Palatino Linotype" w:hAnsi="Palatino Linotype"/>
                <w:sz w:val="24"/>
              </w:rPr>
            </w:pPr>
            <w:r>
              <w:rPr>
                <w:rFonts w:ascii="Palatino Linotype" w:hAnsi="Palatino Linotype"/>
                <w:sz w:val="24"/>
              </w:rPr>
              <w:t>)</w:t>
            </w:r>
          </w:p>
          <w:p w:rsidR="00466623" w:rsidRDefault="00466623">
            <w:pPr>
              <w:keepNext/>
              <w:keepLines/>
              <w:widowControl w:val="0"/>
              <w:rPr>
                <w:rFonts w:ascii="Palatino Linotype" w:hAnsi="Palatino Linotype"/>
                <w:sz w:val="24"/>
              </w:rPr>
            </w:pPr>
            <w:r>
              <w:rPr>
                <w:rFonts w:ascii="Palatino Linotype" w:hAnsi="Palatino Linotype"/>
                <w:sz w:val="24"/>
              </w:rPr>
              <w:t>)</w:t>
            </w:r>
          </w:p>
          <w:p w:rsidR="00466623" w:rsidRDefault="00466623">
            <w:pPr>
              <w:keepNext/>
              <w:keepLines/>
              <w:widowControl w:val="0"/>
              <w:rPr>
                <w:rFonts w:ascii="Palatino Linotype" w:hAnsi="Palatino Linotype"/>
                <w:sz w:val="24"/>
              </w:rPr>
            </w:pPr>
            <w:r>
              <w:rPr>
                <w:rFonts w:ascii="Palatino Linotype" w:hAnsi="Palatino Linotype"/>
                <w:sz w:val="24"/>
              </w:rPr>
              <w:t>)</w:t>
            </w:r>
          </w:p>
        </w:tc>
        <w:tc>
          <w:tcPr>
            <w:tcW w:w="360" w:type="dxa"/>
          </w:tcPr>
          <w:p w:rsidR="00466623" w:rsidRDefault="00466623">
            <w:pPr>
              <w:keepNext/>
              <w:keepLines/>
              <w:widowControl w:val="0"/>
              <w:jc w:val="both"/>
              <w:rPr>
                <w:rFonts w:ascii="Palatino Linotype" w:hAnsi="Palatino Linotype"/>
                <w:sz w:val="24"/>
              </w:rPr>
            </w:pPr>
          </w:p>
        </w:tc>
        <w:tc>
          <w:tcPr>
            <w:tcW w:w="3600" w:type="dxa"/>
          </w:tcPr>
          <w:p w:rsidR="00466623" w:rsidRDefault="00466623">
            <w:pPr>
              <w:keepNext/>
              <w:keepLines/>
              <w:widowControl w:val="0"/>
              <w:jc w:val="both"/>
              <w:rPr>
                <w:rFonts w:ascii="Palatino Linotype" w:hAnsi="Palatino Linotype"/>
                <w:sz w:val="24"/>
              </w:rPr>
            </w:pPr>
          </w:p>
          <w:p w:rsidR="00466623" w:rsidRDefault="00466623">
            <w:pPr>
              <w:keepNext/>
              <w:keepLines/>
              <w:widowControl w:val="0"/>
              <w:jc w:val="both"/>
              <w:rPr>
                <w:rFonts w:ascii="Palatino Linotype" w:hAnsi="Palatino Linotype"/>
                <w:sz w:val="24"/>
              </w:rPr>
            </w:pPr>
          </w:p>
          <w:p w:rsidR="00466623" w:rsidRDefault="00466623">
            <w:pPr>
              <w:keepNext/>
              <w:keepLines/>
              <w:widowControl w:val="0"/>
              <w:jc w:val="both"/>
              <w:rPr>
                <w:rFonts w:ascii="Palatino Linotype" w:hAnsi="Palatino Linotype"/>
                <w:sz w:val="24"/>
              </w:rPr>
            </w:pPr>
            <w:r>
              <w:rPr>
                <w:rFonts w:ascii="Palatino Linotype" w:hAnsi="Palatino Linotype"/>
                <w:sz w:val="24"/>
              </w:rPr>
              <w:t>Case No. 12-0471-GA-BNR</w:t>
            </w:r>
          </w:p>
        </w:tc>
      </w:tr>
    </w:tbl>
    <w:p w:rsidR="00466623" w:rsidRDefault="00466623">
      <w:pPr>
        <w:autoSpaceDE w:val="0"/>
        <w:autoSpaceDN w:val="0"/>
        <w:adjustRightInd w:val="0"/>
        <w:ind w:right="-720"/>
        <w:jc w:val="center"/>
        <w:rPr>
          <w:rFonts w:ascii="Palatino Linotype" w:hAnsi="Palatino Linotype"/>
          <w:bCs/>
          <w:sz w:val="24"/>
          <w:szCs w:val="24"/>
          <w:u w:val="double"/>
        </w:rPr>
      </w:pPr>
    </w:p>
    <w:p w:rsidR="00466623" w:rsidRDefault="00466623">
      <w:pPr>
        <w:pBdr>
          <w:top w:val="single" w:sz="4" w:space="1" w:color="auto"/>
        </w:pBdr>
        <w:autoSpaceDE w:val="0"/>
        <w:autoSpaceDN w:val="0"/>
        <w:adjustRightInd w:val="0"/>
        <w:jc w:val="center"/>
        <w:rPr>
          <w:rFonts w:ascii="Palatino Linotype" w:hAnsi="Palatino Linotype"/>
          <w:bCs/>
          <w:sz w:val="24"/>
          <w:szCs w:val="24"/>
          <w:u w:val="double"/>
        </w:rPr>
      </w:pPr>
    </w:p>
    <w:p w:rsidR="00466623" w:rsidRDefault="00466623">
      <w:pPr>
        <w:autoSpaceDE w:val="0"/>
        <w:autoSpaceDN w:val="0"/>
        <w:adjustRightInd w:val="0"/>
        <w:ind w:right="-720"/>
        <w:jc w:val="center"/>
        <w:rPr>
          <w:rFonts w:ascii="Palatino Linotype" w:hAnsi="Palatino Linotype"/>
          <w:b/>
          <w:bCs/>
          <w:sz w:val="24"/>
          <w:szCs w:val="24"/>
        </w:rPr>
      </w:pPr>
      <w:r>
        <w:rPr>
          <w:rFonts w:ascii="Palatino Linotype" w:hAnsi="Palatino Linotype"/>
          <w:b/>
          <w:bCs/>
          <w:sz w:val="24"/>
          <w:szCs w:val="24"/>
        </w:rPr>
        <w:t>MOTION BY COLUMBIA GAS OF OHIO, INC. FOR WAIVER</w:t>
      </w:r>
    </w:p>
    <w:p w:rsidR="00466623" w:rsidRDefault="00466623">
      <w:pPr>
        <w:autoSpaceDE w:val="0"/>
        <w:autoSpaceDN w:val="0"/>
        <w:adjustRightInd w:val="0"/>
        <w:ind w:right="-720"/>
        <w:jc w:val="center"/>
        <w:rPr>
          <w:rFonts w:ascii="Palatino Linotype" w:hAnsi="Palatino Linotype"/>
          <w:b/>
          <w:bCs/>
          <w:sz w:val="24"/>
          <w:szCs w:val="24"/>
        </w:rPr>
      </w:pPr>
      <w:r>
        <w:rPr>
          <w:rFonts w:ascii="Palatino Linotype" w:hAnsi="Palatino Linotype"/>
          <w:b/>
          <w:bCs/>
          <w:sz w:val="24"/>
          <w:szCs w:val="24"/>
        </w:rPr>
        <w:t>AND REQUEST FOR EXPEDITED TREATMENT</w:t>
      </w:r>
    </w:p>
    <w:p w:rsidR="00466623" w:rsidRDefault="00466623">
      <w:pPr>
        <w:pBdr>
          <w:bottom w:val="single" w:sz="4" w:space="1" w:color="auto"/>
        </w:pBdr>
        <w:rPr>
          <w:rFonts w:ascii="Palatino Linotype" w:hAnsi="Palatino Linotype"/>
          <w:b/>
          <w:sz w:val="24"/>
          <w:szCs w:val="24"/>
        </w:rPr>
      </w:pPr>
      <w:bookmarkStart w:id="0" w:name="_GoBack"/>
      <w:bookmarkEnd w:id="0"/>
    </w:p>
    <w:p w:rsidR="00466623" w:rsidRDefault="00466623">
      <w:pPr>
        <w:spacing w:line="360" w:lineRule="auto"/>
        <w:rPr>
          <w:rFonts w:ascii="Palatino Linotype" w:hAnsi="Palatino Linotype"/>
          <w:b/>
          <w:sz w:val="24"/>
          <w:szCs w:val="24"/>
        </w:rPr>
      </w:pPr>
    </w:p>
    <w:p w:rsidR="00466623" w:rsidRDefault="00466623">
      <w:pPr>
        <w:spacing w:line="360" w:lineRule="auto"/>
        <w:rPr>
          <w:rFonts w:ascii="Palatino Linotype" w:hAnsi="Palatino Linotype"/>
          <w:sz w:val="24"/>
          <w:szCs w:val="24"/>
        </w:rPr>
      </w:pPr>
      <w:r>
        <w:rPr>
          <w:rFonts w:ascii="Palatino Linotype" w:hAnsi="Palatino Linotype"/>
          <w:b/>
          <w:sz w:val="24"/>
          <w:szCs w:val="24"/>
        </w:rPr>
        <w:tab/>
      </w:r>
      <w:r>
        <w:rPr>
          <w:rFonts w:ascii="Palatino Linotype" w:hAnsi="Palatino Linotype"/>
          <w:sz w:val="24"/>
          <w:szCs w:val="24"/>
        </w:rPr>
        <w:t>Now comes Columbia Gas of Ohio, Inc. (“Columbia Gas”), pursuant to Ohio Administrative Code § 4906-1-03 and files this motion requesting a waiver of the 21-day requirement found in Ohio Administrative Code 4906-5-02(B)(1).  The reasons for this request are described more fully in the attached memorandum in support.</w:t>
      </w:r>
    </w:p>
    <w:p w:rsidR="00466623" w:rsidRDefault="00466623">
      <w:pPr>
        <w:rPr>
          <w:rFonts w:ascii="Palatino Linotype" w:hAnsi="Palatino Linotype"/>
          <w:sz w:val="24"/>
          <w:szCs w:val="24"/>
        </w:rPr>
      </w:pPr>
    </w:p>
    <w:p w:rsidR="00466623" w:rsidRDefault="00466623">
      <w:pPr>
        <w:ind w:left="3600" w:firstLine="720"/>
        <w:jc w:val="both"/>
        <w:rPr>
          <w:rFonts w:ascii="Palatino Linotype" w:hAnsi="Palatino Linotype"/>
          <w:sz w:val="24"/>
          <w:szCs w:val="24"/>
        </w:rPr>
      </w:pPr>
      <w:r>
        <w:rPr>
          <w:rFonts w:ascii="Palatino Linotype" w:hAnsi="Palatino Linotype"/>
          <w:sz w:val="24"/>
          <w:szCs w:val="24"/>
        </w:rPr>
        <w:t>Respectfully submitted,</w:t>
      </w:r>
    </w:p>
    <w:p w:rsidR="00466623" w:rsidRDefault="00466623">
      <w:pPr>
        <w:spacing w:after="200" w:line="276" w:lineRule="auto"/>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510" w:firstLine="720"/>
        <w:jc w:val="both"/>
        <w:rPr>
          <w:rFonts w:ascii="Palatino Linotype" w:hAnsi="Palatino Linotype"/>
          <w:sz w:val="24"/>
          <w:szCs w:val="24"/>
        </w:rPr>
      </w:pPr>
      <w:r>
        <w:rPr>
          <w:rFonts w:ascii="Palatino Linotype" w:hAnsi="Palatino Linotype"/>
          <w:sz w:val="24"/>
          <w:szCs w:val="24"/>
        </w:rPr>
        <w:t xml:space="preserve">By: </w:t>
      </w:r>
      <w:r>
        <w:rPr>
          <w:rFonts w:ascii="Palatino Linotype" w:hAnsi="Palatino Linotype"/>
          <w:sz w:val="24"/>
          <w:szCs w:val="24"/>
          <w:u w:val="single"/>
        </w:rPr>
        <w:t xml:space="preserve">   /s/ Brooke E. Leslie</w:t>
      </w:r>
      <w:r>
        <w:rPr>
          <w:rFonts w:ascii="Palatino Linotype" w:hAnsi="Palatino Linotype"/>
          <w:sz w:val="24"/>
          <w:szCs w:val="24"/>
          <w:u w:val="single"/>
        </w:rPr>
        <w:tab/>
      </w:r>
      <w:r>
        <w:rPr>
          <w:rFonts w:ascii="Palatino Linotype" w:hAnsi="Palatino Linotype"/>
          <w:sz w:val="24"/>
          <w:szCs w:val="24"/>
          <w:u w:val="single"/>
        </w:rPr>
        <w:tab/>
      </w:r>
    </w:p>
    <w:p w:rsidR="00466623" w:rsidRDefault="00466623">
      <w:pPr>
        <w:spacing w:line="240" w:lineRule="auto"/>
        <w:ind w:left="4320" w:firstLine="720"/>
        <w:jc w:val="both"/>
        <w:rPr>
          <w:rFonts w:ascii="Palatino Linotype" w:hAnsi="Palatino Linotype"/>
          <w:sz w:val="24"/>
          <w:szCs w:val="24"/>
        </w:rPr>
      </w:pPr>
      <w:r>
        <w:rPr>
          <w:rFonts w:ascii="Palatino Linotype" w:hAnsi="Palatino Linotype"/>
          <w:sz w:val="24"/>
          <w:szCs w:val="24"/>
        </w:rPr>
        <w:t>Brooke E. Leslie</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Stephen B. Seiple, Asst. General Counsel</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Brooke E. Leslie, Counsel</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200 Civic Center Drive</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Columbus, OH 43216-0117</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Telephone: (614) 460-5558</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Fax: (614) 460-6986</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Email: bleslie@nisource.com</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 xml:space="preserve">Attorneys for </w:t>
      </w:r>
    </w:p>
    <w:p w:rsidR="00466623" w:rsidRDefault="00466623">
      <w:pPr>
        <w:spacing w:line="240" w:lineRule="auto"/>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466623" w:rsidRDefault="00466623">
      <w:pPr>
        <w:spacing w:after="200" w:line="276" w:lineRule="auto"/>
        <w:ind w:firstLine="720"/>
        <w:jc w:val="both"/>
        <w:rPr>
          <w:rFonts w:ascii="Palatino Linotype" w:hAnsi="Palatino Linotype"/>
          <w:b/>
        </w:rPr>
      </w:pPr>
    </w:p>
    <w:p w:rsidR="00466623" w:rsidRDefault="00466623">
      <w:pPr>
        <w:spacing w:after="200" w:line="276" w:lineRule="auto"/>
        <w:ind w:firstLine="720"/>
        <w:jc w:val="both"/>
        <w:rPr>
          <w:rFonts w:ascii="Palatino Linotype" w:hAnsi="Palatino Linotype"/>
        </w:rPr>
      </w:pPr>
    </w:p>
    <w:p w:rsidR="00466623" w:rsidRDefault="00466623">
      <w:pPr>
        <w:jc w:val="center"/>
        <w:rPr>
          <w:rFonts w:ascii="Palatino Linotype" w:hAnsi="Palatino Linotype"/>
        </w:rPr>
      </w:pPr>
    </w:p>
    <w:p w:rsidR="00466623" w:rsidRDefault="00466623">
      <w:pPr>
        <w:jc w:val="center"/>
        <w:rPr>
          <w:rFonts w:ascii="Palatino Linotype" w:hAnsi="Palatino Linotype"/>
        </w:rPr>
      </w:pPr>
    </w:p>
    <w:p w:rsidR="00466623" w:rsidRDefault="00466623">
      <w:pPr>
        <w:jc w:val="center"/>
        <w:rPr>
          <w:rFonts w:ascii="Palatino Linotype" w:hAnsi="Palatino Linotype"/>
        </w:rPr>
      </w:pPr>
    </w:p>
    <w:p w:rsidR="00466623" w:rsidRDefault="00466623">
      <w:pPr>
        <w:jc w:val="center"/>
        <w:rPr>
          <w:rFonts w:ascii="Palatino Linotype" w:hAnsi="Palatino Linotype"/>
          <w:b/>
          <w:sz w:val="24"/>
          <w:szCs w:val="24"/>
        </w:rPr>
      </w:pPr>
      <w:r>
        <w:rPr>
          <w:rFonts w:ascii="Palatino Linotype" w:hAnsi="Palatino Linotype"/>
          <w:b/>
          <w:sz w:val="24"/>
          <w:szCs w:val="24"/>
        </w:rPr>
        <w:t>MEMORANDUM IN SUPPORT</w:t>
      </w:r>
    </w:p>
    <w:p w:rsidR="00466623" w:rsidRDefault="00466623">
      <w:pPr>
        <w:rPr>
          <w:rFonts w:ascii="Palatino Linotype" w:hAnsi="Palatino Linotype"/>
          <w:b/>
          <w:sz w:val="24"/>
          <w:szCs w:val="24"/>
        </w:rPr>
      </w:pPr>
    </w:p>
    <w:p w:rsidR="00466623" w:rsidRDefault="00466623">
      <w:pPr>
        <w:spacing w:line="360" w:lineRule="auto"/>
        <w:jc w:val="both"/>
        <w:rPr>
          <w:rFonts w:ascii="Palatino Linotype" w:hAnsi="Palatino Linotype"/>
          <w:sz w:val="24"/>
          <w:szCs w:val="24"/>
        </w:rPr>
      </w:pPr>
      <w:r>
        <w:rPr>
          <w:rFonts w:ascii="Palatino Linotype" w:hAnsi="Palatino Linotype"/>
          <w:b/>
          <w:sz w:val="24"/>
          <w:szCs w:val="24"/>
        </w:rPr>
        <w:tab/>
      </w:r>
      <w:r>
        <w:rPr>
          <w:rFonts w:ascii="Palatino Linotype" w:hAnsi="Palatino Linotype"/>
          <w:sz w:val="24"/>
          <w:szCs w:val="24"/>
        </w:rPr>
        <w:t xml:space="preserve">On January 27, 2012, Columbia filed a Construction Notice for the Ford Street High Pressure Pipeline Replacement Project. Pursuant to the Notice, Columbia plans to install approximately 140 feet of 24” and 60 feet of 6” high pressure gas main in order to repair a Grade 1 leak on Ford Street in Maumee, Ohio.  </w:t>
      </w:r>
    </w:p>
    <w:p w:rsidR="00466623" w:rsidRDefault="00466623">
      <w:pPr>
        <w:spacing w:line="360" w:lineRule="auto"/>
        <w:jc w:val="both"/>
        <w:rPr>
          <w:rFonts w:ascii="Palatino Linotype" w:hAnsi="Palatino Linotype"/>
          <w:sz w:val="24"/>
          <w:szCs w:val="24"/>
        </w:rPr>
      </w:pPr>
      <w:r>
        <w:rPr>
          <w:rFonts w:ascii="Palatino Linotype" w:hAnsi="Palatino Linotype"/>
          <w:sz w:val="24"/>
          <w:szCs w:val="24"/>
        </w:rPr>
        <w:tab/>
        <w:t>OAC § 4906-5-02(B)(1) requires that a construction notice requesting expedited processing shall be filed no less than twenty-one days before the planned commencement of construction.  Both §§ 4906-1-03 and 4906-5-02(B)(1) allow waiver of this requirement for good cause shown.  Extraordinary circumstances exist in this situation to justify the request for the waiver.</w:t>
      </w:r>
    </w:p>
    <w:p w:rsidR="00466623" w:rsidRDefault="00466623">
      <w:pPr>
        <w:spacing w:line="360" w:lineRule="auto"/>
        <w:jc w:val="both"/>
        <w:rPr>
          <w:rFonts w:ascii="Palatino Linotype" w:hAnsi="Palatino Linotype"/>
          <w:sz w:val="24"/>
          <w:szCs w:val="24"/>
        </w:rPr>
      </w:pPr>
      <w:r>
        <w:rPr>
          <w:rFonts w:ascii="Palatino Linotype" w:hAnsi="Palatino Linotype"/>
          <w:sz w:val="24"/>
          <w:szCs w:val="24"/>
        </w:rPr>
        <w:tab/>
        <w:t xml:space="preserve">As stated above, the purpose of the Ford Street Project is to replace a leaking section of 24” high pressure gas main.  There is currently a Grade 1 leak at this location which requires Columbia to monitor the site 24 hours a day, 7 days a week until a permanent repair is made.  Due to the threat of the leak getting worse, Columbia has determined that it is necessary to replace the pipe as quickly as possible.  The pipe at issue is located at the outlet side of a very large gate station and essentially provides gas to one half of Columbia’s customers in the Toledo market.  If the leak were to get worse, Columbia may have to shut the pipeline down, resulting in the loss of service for approximately 121,300 customers.  </w:t>
      </w:r>
    </w:p>
    <w:p w:rsidR="00466623" w:rsidRDefault="00466623">
      <w:pPr>
        <w:spacing w:line="360" w:lineRule="auto"/>
        <w:jc w:val="both"/>
        <w:rPr>
          <w:rFonts w:ascii="Palatino Linotype" w:hAnsi="Palatino Linotype"/>
          <w:sz w:val="24"/>
          <w:szCs w:val="24"/>
        </w:rPr>
      </w:pPr>
      <w:r>
        <w:rPr>
          <w:rFonts w:ascii="Palatino Linotype" w:hAnsi="Palatino Linotype"/>
          <w:sz w:val="24"/>
          <w:szCs w:val="24"/>
        </w:rPr>
        <w:tab/>
        <w:t>Given these extraordinary circumstances, Columbia respectfully requests that the notice requirements found in § 4906-5-02(B)(1) be waived to allow construction to begin on February 7, 2012.</w:t>
      </w:r>
    </w:p>
    <w:p w:rsidR="00466623" w:rsidRDefault="00466623">
      <w:pPr>
        <w:spacing w:line="360" w:lineRule="auto"/>
        <w:jc w:val="both"/>
        <w:rPr>
          <w:rFonts w:ascii="Palatino Linotype" w:hAnsi="Palatino Linotype"/>
          <w:sz w:val="24"/>
          <w:szCs w:val="24"/>
        </w:rPr>
      </w:pPr>
      <w:r>
        <w:rPr>
          <w:rFonts w:ascii="Palatino Linotype" w:hAnsi="Palatino Linotype"/>
          <w:sz w:val="24"/>
          <w:szCs w:val="24"/>
        </w:rPr>
        <w:br w:type="page"/>
      </w:r>
    </w:p>
    <w:p w:rsidR="00466623" w:rsidRDefault="00466623">
      <w:pPr>
        <w:ind w:left="3600" w:firstLine="720"/>
        <w:jc w:val="both"/>
        <w:rPr>
          <w:rFonts w:ascii="Palatino Linotype" w:hAnsi="Palatino Linotype"/>
          <w:sz w:val="24"/>
          <w:szCs w:val="24"/>
        </w:rPr>
      </w:pPr>
      <w:r>
        <w:rPr>
          <w:rFonts w:ascii="Palatino Linotype" w:hAnsi="Palatino Linotype"/>
          <w:sz w:val="24"/>
          <w:szCs w:val="24"/>
        </w:rPr>
        <w:t>Respectfully submitted,</w:t>
      </w:r>
    </w:p>
    <w:p w:rsidR="00466623" w:rsidRDefault="00466623">
      <w:pPr>
        <w:spacing w:after="200" w:line="276" w:lineRule="auto"/>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510" w:firstLine="720"/>
        <w:jc w:val="both"/>
        <w:rPr>
          <w:rFonts w:ascii="Palatino Linotype" w:hAnsi="Palatino Linotype"/>
          <w:sz w:val="24"/>
          <w:szCs w:val="24"/>
        </w:rPr>
      </w:pPr>
      <w:r>
        <w:rPr>
          <w:rFonts w:ascii="Palatino Linotype" w:hAnsi="Palatino Linotype"/>
          <w:sz w:val="24"/>
          <w:szCs w:val="24"/>
        </w:rPr>
        <w:t xml:space="preserve">By: </w:t>
      </w:r>
      <w:r>
        <w:rPr>
          <w:rFonts w:ascii="Palatino Linotype" w:hAnsi="Palatino Linotype"/>
          <w:sz w:val="24"/>
          <w:szCs w:val="24"/>
          <w:u w:val="single"/>
        </w:rPr>
        <w:t>__/s/ Brooke E. Leslie________</w:t>
      </w:r>
    </w:p>
    <w:p w:rsidR="00466623" w:rsidRDefault="00466623">
      <w:pPr>
        <w:spacing w:line="240" w:lineRule="auto"/>
        <w:ind w:left="4320" w:firstLine="720"/>
        <w:jc w:val="both"/>
        <w:rPr>
          <w:rFonts w:ascii="Palatino Linotype" w:hAnsi="Palatino Linotype"/>
          <w:sz w:val="24"/>
          <w:szCs w:val="24"/>
        </w:rPr>
      </w:pPr>
      <w:r>
        <w:rPr>
          <w:rFonts w:ascii="Palatino Linotype" w:hAnsi="Palatino Linotype"/>
          <w:sz w:val="24"/>
          <w:szCs w:val="24"/>
        </w:rPr>
        <w:t>Brooke E. Leslie</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Stephen B. Seiple, Asst. General Counsel</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Brooke E. Leslie, Counsel</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200 Civic Center Drive</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Columbus, OH 43216-0117</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Telephone: (614) 460-5558</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Fax: (614) 460-6986</w:t>
      </w: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Email: bleslie@nisource.com</w:t>
      </w:r>
    </w:p>
    <w:p w:rsidR="00466623" w:rsidRDefault="00466623">
      <w:pPr>
        <w:spacing w:line="240" w:lineRule="auto"/>
        <w:ind w:left="4320" w:firstLine="720"/>
        <w:jc w:val="both"/>
        <w:rPr>
          <w:rFonts w:ascii="Palatino Linotype" w:hAnsi="Palatino Linotype"/>
          <w:sz w:val="24"/>
          <w:szCs w:val="24"/>
        </w:rPr>
      </w:pPr>
    </w:p>
    <w:p w:rsidR="00466623" w:rsidRDefault="00466623">
      <w:pPr>
        <w:spacing w:line="240" w:lineRule="auto"/>
        <w:ind w:left="3600" w:firstLine="720"/>
        <w:jc w:val="both"/>
        <w:rPr>
          <w:rFonts w:ascii="Palatino Linotype" w:hAnsi="Palatino Linotype"/>
          <w:sz w:val="24"/>
          <w:szCs w:val="24"/>
        </w:rPr>
      </w:pPr>
      <w:r>
        <w:rPr>
          <w:rFonts w:ascii="Palatino Linotype" w:hAnsi="Palatino Linotype"/>
          <w:sz w:val="24"/>
          <w:szCs w:val="24"/>
        </w:rPr>
        <w:t xml:space="preserve">Attorneys for </w:t>
      </w:r>
    </w:p>
    <w:p w:rsidR="00466623" w:rsidRDefault="00466623">
      <w:pPr>
        <w:spacing w:line="240" w:lineRule="auto"/>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466623" w:rsidRDefault="00466623">
      <w:pPr>
        <w:spacing w:after="200" w:line="276" w:lineRule="auto"/>
        <w:ind w:firstLine="720"/>
        <w:jc w:val="both"/>
        <w:rPr>
          <w:rFonts w:ascii="Palatino Linotype" w:hAnsi="Palatino Linotype"/>
          <w:b/>
        </w:rPr>
      </w:pPr>
    </w:p>
    <w:p w:rsidR="00466623" w:rsidRDefault="00466623">
      <w:pPr>
        <w:spacing w:after="200" w:line="276" w:lineRule="auto"/>
        <w:ind w:firstLine="720"/>
        <w:jc w:val="both"/>
        <w:rPr>
          <w:rFonts w:ascii="Palatino Linotype" w:hAnsi="Palatino Linotype"/>
        </w:rPr>
      </w:pPr>
    </w:p>
    <w:p w:rsidR="00466623" w:rsidRDefault="00466623">
      <w:pPr>
        <w:spacing w:after="200" w:line="276" w:lineRule="auto"/>
        <w:ind w:firstLine="720"/>
        <w:jc w:val="both"/>
        <w:rPr>
          <w:rFonts w:ascii="Palatino Linotype" w:hAnsi="Palatino Linotype"/>
        </w:rPr>
      </w:pPr>
    </w:p>
    <w:p w:rsidR="00466623" w:rsidRDefault="00466623">
      <w:pPr>
        <w:rPr>
          <w:rFonts w:ascii="Palatino Linotype" w:hAnsi="Palatino Linotype"/>
          <w:sz w:val="24"/>
          <w:szCs w:val="24"/>
        </w:rPr>
      </w:pPr>
    </w:p>
    <w:sectPr w:rsidR="00466623" w:rsidSect="009E0E97">
      <w:footerReference w:type="default" r:id="rId6"/>
      <w:pgSz w:w="12240" w:h="15840"/>
      <w:pgMar w:top="1080" w:right="1440" w:bottom="108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23" w:rsidRDefault="00466623">
      <w:r>
        <w:separator/>
      </w:r>
    </w:p>
  </w:endnote>
  <w:endnote w:type="continuationSeparator" w:id="0">
    <w:p w:rsidR="00466623" w:rsidRDefault="00466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23" w:rsidRDefault="0046662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23" w:rsidRDefault="00466623">
      <w:r>
        <w:separator/>
      </w:r>
    </w:p>
  </w:footnote>
  <w:footnote w:type="continuationSeparator" w:id="0">
    <w:p w:rsidR="00466623" w:rsidRDefault="00466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623"/>
    <w:rsid w:val="00466623"/>
    <w:rsid w:val="009E0E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66623"/>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66623"/>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424</Words>
  <Characters>2422</Characters>
  <Application>Microsoft Office Outlook</Application>
  <DocSecurity>0</DocSecurity>
  <Lines>0</Lines>
  <Paragraphs>0</Paragraphs>
  <ScaleCrop>false</ScaleCrop>
  <Company>NiSource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Leslie \ Brooke \ E</dc:creator>
  <cp:keywords/>
  <dc:description/>
  <cp:lastModifiedBy>u124106</cp:lastModifiedBy>
  <cp:revision>5</cp:revision>
  <cp:lastPrinted>2012-01-31T18:40:00Z</cp:lastPrinted>
  <dcterms:created xsi:type="dcterms:W3CDTF">2012-01-31T18:22:00Z</dcterms:created>
  <dcterms:modified xsi:type="dcterms:W3CDTF">2012-01-31T18:41:00Z</dcterms:modified>
</cp:coreProperties>
</file>