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41" w:rsidRDefault="00672041" w:rsidP="009E7A50">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BEFORE </w:t>
      </w:r>
    </w:p>
    <w:p w:rsidR="00672041" w:rsidRDefault="00672041" w:rsidP="009E7A5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672041" w:rsidRDefault="00672041" w:rsidP="009E7A50">
      <w:pPr>
        <w:spacing w:after="0"/>
        <w:rPr>
          <w:rFonts w:ascii="Times New Roman" w:hAnsi="Times New Roman" w:cs="Times New Roman"/>
          <w:b/>
          <w:bCs/>
          <w:sz w:val="24"/>
          <w:szCs w:val="24"/>
        </w:rPr>
      </w:pPr>
    </w:p>
    <w:p w:rsidR="00672041" w:rsidRDefault="00672041" w:rsidP="009E7A50">
      <w:pPr>
        <w:spacing w:after="0"/>
        <w:jc w:val="both"/>
        <w:rPr>
          <w:rFonts w:ascii="Times New Roman" w:hAnsi="Times New Roman" w:cs="Times New Roman"/>
          <w:bCs/>
          <w:sz w:val="24"/>
          <w:szCs w:val="24"/>
        </w:rPr>
      </w:pPr>
      <w:r>
        <w:rPr>
          <w:rFonts w:ascii="Times New Roman" w:hAnsi="Times New Roman" w:cs="Times New Roman"/>
          <w:bCs/>
          <w:sz w:val="24"/>
          <w:szCs w:val="24"/>
        </w:rPr>
        <w:t>In the Matter of the Application of Duke</w:t>
      </w:r>
      <w:r>
        <w:rPr>
          <w:rFonts w:ascii="Times New Roman" w:hAnsi="Times New Roman" w:cs="Times New Roman"/>
          <w:bCs/>
          <w:sz w:val="24"/>
          <w:szCs w:val="24"/>
        </w:rPr>
        <w:tab/>
        <w:t xml:space="preserve">        )</w:t>
      </w:r>
    </w:p>
    <w:p w:rsidR="00672041" w:rsidRDefault="00672041" w:rsidP="009E7A5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Energy Ohio, Inc. for Recovery of Program </w:t>
      </w:r>
      <w:r>
        <w:rPr>
          <w:rFonts w:ascii="Times New Roman" w:hAnsi="Times New Roman" w:cs="Times New Roman"/>
          <w:bCs/>
          <w:sz w:val="24"/>
          <w:szCs w:val="24"/>
        </w:rPr>
        <w:tab/>
        <w:t xml:space="preserve">        )</w:t>
      </w:r>
    </w:p>
    <w:p w:rsidR="00672041" w:rsidRDefault="00672041" w:rsidP="009E7A50">
      <w:pPr>
        <w:spacing w:after="0"/>
        <w:jc w:val="both"/>
        <w:rPr>
          <w:rFonts w:ascii="Times New Roman" w:hAnsi="Times New Roman" w:cs="Times New Roman"/>
          <w:bCs/>
          <w:sz w:val="24"/>
          <w:szCs w:val="24"/>
        </w:rPr>
      </w:pPr>
      <w:r>
        <w:rPr>
          <w:rFonts w:ascii="Times New Roman" w:hAnsi="Times New Roman" w:cs="Times New Roman"/>
          <w:bCs/>
          <w:sz w:val="24"/>
          <w:szCs w:val="24"/>
        </w:rPr>
        <w:t>Costs, Lost Distribution Revenue, and</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t>Case No. 12-1857-EL-RDR</w:t>
      </w:r>
    </w:p>
    <w:p w:rsidR="00672041" w:rsidRDefault="00672041" w:rsidP="009E7A5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Performance Incentives Related to its </w:t>
      </w:r>
      <w:r>
        <w:rPr>
          <w:rFonts w:ascii="Times New Roman" w:hAnsi="Times New Roman" w:cs="Times New Roman"/>
          <w:bCs/>
          <w:sz w:val="24"/>
          <w:szCs w:val="24"/>
        </w:rPr>
        <w:tab/>
        <w:t xml:space="preserve">        )</w:t>
      </w:r>
    </w:p>
    <w:p w:rsidR="00672041" w:rsidRDefault="00672041" w:rsidP="009E7A5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Save-A-Watt Programs.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672041" w:rsidRDefault="00672041" w:rsidP="009E7A50">
      <w:pPr>
        <w:pBdr>
          <w:bottom w:val="single" w:sz="12" w:space="1" w:color="auto"/>
        </w:pBdr>
        <w:spacing w:after="0"/>
        <w:jc w:val="both"/>
        <w:rPr>
          <w:rFonts w:ascii="Times New Roman" w:hAnsi="Times New Roman" w:cs="Times New Roman"/>
          <w:bCs/>
          <w:sz w:val="24"/>
          <w:szCs w:val="24"/>
        </w:rPr>
      </w:pPr>
    </w:p>
    <w:p w:rsidR="00672041" w:rsidRDefault="00672041" w:rsidP="009E7A50">
      <w:pPr>
        <w:spacing w:after="0"/>
        <w:jc w:val="center"/>
        <w:rPr>
          <w:rFonts w:ascii="Times New Roman" w:hAnsi="Times New Roman" w:cs="Times New Roman"/>
          <w:b/>
          <w:bCs/>
          <w:sz w:val="24"/>
          <w:szCs w:val="24"/>
        </w:rPr>
      </w:pPr>
    </w:p>
    <w:p w:rsidR="00672041" w:rsidRDefault="00672041" w:rsidP="009E7A50">
      <w:pPr>
        <w:spacing w:after="0"/>
        <w:jc w:val="center"/>
        <w:rPr>
          <w:rFonts w:ascii="Times New Roman" w:hAnsi="Times New Roman" w:cs="Times New Roman"/>
          <w:b/>
          <w:bCs/>
          <w:sz w:val="24"/>
          <w:szCs w:val="24"/>
        </w:rPr>
      </w:pPr>
      <w:r>
        <w:rPr>
          <w:rFonts w:ascii="Times New Roman" w:hAnsi="Times New Roman" w:cs="Times New Roman"/>
          <w:b/>
          <w:bCs/>
          <w:sz w:val="24"/>
          <w:szCs w:val="24"/>
        </w:rPr>
        <w:t>COMMENTS</w:t>
      </w:r>
    </w:p>
    <w:p w:rsidR="00672041" w:rsidRDefault="00672041" w:rsidP="009E7A50">
      <w:pPr>
        <w:spacing w:after="0"/>
        <w:jc w:val="center"/>
        <w:rPr>
          <w:rFonts w:ascii="Times New Roman" w:hAnsi="Times New Roman" w:cs="Times New Roman"/>
          <w:b/>
          <w:bCs/>
          <w:sz w:val="24"/>
          <w:szCs w:val="24"/>
        </w:rPr>
      </w:pPr>
      <w:r>
        <w:rPr>
          <w:rFonts w:ascii="Times New Roman" w:hAnsi="Times New Roman" w:cs="Times New Roman"/>
          <w:b/>
          <w:bCs/>
          <w:sz w:val="24"/>
          <w:szCs w:val="24"/>
        </w:rPr>
        <w:t>BY</w:t>
      </w:r>
    </w:p>
    <w:p w:rsidR="00672041" w:rsidRDefault="00672041" w:rsidP="009E7A5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OFFICE OF THE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r>
        <w:rPr>
          <w:rFonts w:ascii="Times New Roman" w:hAnsi="Times New Roman" w:cs="Times New Roman"/>
          <w:b/>
          <w:bCs/>
          <w:sz w:val="24"/>
          <w:szCs w:val="24"/>
        </w:rPr>
        <w:t xml:space="preserve"> CONSUMERS’ COUNSEL</w:t>
      </w:r>
    </w:p>
    <w:p w:rsidR="00672041" w:rsidRDefault="00672041" w:rsidP="009E7A50">
      <w:pPr>
        <w:pBdr>
          <w:bottom w:val="single" w:sz="12" w:space="1" w:color="auto"/>
        </w:pBdr>
        <w:spacing w:after="0"/>
        <w:rPr>
          <w:rFonts w:ascii="Times New Roman" w:hAnsi="Times New Roman" w:cs="Times New Roman"/>
          <w:b/>
          <w:bCs/>
          <w:sz w:val="24"/>
          <w:szCs w:val="24"/>
        </w:rPr>
      </w:pPr>
    </w:p>
    <w:p w:rsidR="00672041" w:rsidRDefault="00672041" w:rsidP="009E7A50">
      <w:pPr>
        <w:spacing w:after="0"/>
        <w:rPr>
          <w:rFonts w:ascii="Times New Roman" w:hAnsi="Times New Roman" w:cs="Times New Roman"/>
          <w:b/>
          <w:bCs/>
          <w:sz w:val="24"/>
          <w:szCs w:val="24"/>
        </w:rPr>
      </w:pPr>
    </w:p>
    <w:p w:rsidR="00672041" w:rsidRDefault="00672041" w:rsidP="009E7A50">
      <w:pPr>
        <w:spacing w:after="0" w:line="240" w:lineRule="auto"/>
        <w:ind w:left="4320"/>
        <w:rPr>
          <w:rFonts w:ascii="Times New Roman" w:hAnsi="Times New Roman" w:cs="Times New Roman"/>
          <w:sz w:val="24"/>
          <w:szCs w:val="24"/>
        </w:rPr>
      </w:pPr>
    </w:p>
    <w:p w:rsidR="00672041" w:rsidRDefault="00672041" w:rsidP="009E7A50">
      <w:pPr>
        <w:spacing w:after="0" w:line="240" w:lineRule="auto"/>
        <w:ind w:left="4320"/>
        <w:rPr>
          <w:rFonts w:ascii="Times New Roman" w:hAnsi="Times New Roman" w:cs="Times New Roman"/>
          <w:sz w:val="24"/>
          <w:szCs w:val="24"/>
        </w:rPr>
      </w:pPr>
    </w:p>
    <w:p w:rsidR="00672041" w:rsidRDefault="00672041" w:rsidP="009E7A50">
      <w:pPr>
        <w:spacing w:after="0" w:line="240" w:lineRule="auto"/>
        <w:ind w:left="4320"/>
        <w:rPr>
          <w:rFonts w:ascii="Times New Roman" w:hAnsi="Times New Roman" w:cs="Times New Roman"/>
          <w:sz w:val="24"/>
          <w:szCs w:val="24"/>
        </w:rPr>
      </w:pPr>
    </w:p>
    <w:p w:rsidR="00672041" w:rsidRDefault="00672041" w:rsidP="009E7A5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BRUCE J. WESTON</w:t>
      </w:r>
    </w:p>
    <w:p w:rsidR="00672041" w:rsidRDefault="00672041" w:rsidP="009E7A50">
      <w:pPr>
        <w:spacing w:after="0" w:line="240" w:lineRule="auto"/>
        <w:ind w:left="4320"/>
        <w:rPr>
          <w:rFonts w:ascii="Times New Roman" w:hAnsi="Times New Roman" w:cs="Times New Roman"/>
          <w:sz w:val="24"/>
          <w:szCs w:val="24"/>
        </w:rPr>
      </w:pPr>
      <w:smartTag w:uri="urn:schemas-microsoft-com:office:smarttags" w:element="State">
        <w:smartTag w:uri="urn:schemas-microsoft-com:office:smarttags" w:element="place">
          <w:r>
            <w:rPr>
              <w:rFonts w:ascii="Times New Roman" w:hAnsi="Times New Roman" w:cs="Times New Roman"/>
              <w:sz w:val="24"/>
              <w:szCs w:val="24"/>
            </w:rPr>
            <w:t>OHIO</w:t>
          </w:r>
        </w:smartTag>
      </w:smartTag>
      <w:r>
        <w:rPr>
          <w:rFonts w:ascii="Times New Roman" w:hAnsi="Times New Roman" w:cs="Times New Roman"/>
          <w:sz w:val="24"/>
          <w:szCs w:val="24"/>
        </w:rPr>
        <w:t xml:space="preserve"> CONSUMERS’ COUNSEL</w:t>
      </w:r>
    </w:p>
    <w:p w:rsidR="00672041" w:rsidRPr="00E04AA2" w:rsidRDefault="00672041" w:rsidP="009E7A50">
      <w:pPr>
        <w:spacing w:after="0" w:line="240" w:lineRule="auto"/>
        <w:ind w:left="4320"/>
        <w:rPr>
          <w:rFonts w:ascii="Times New Roman" w:hAnsi="Times New Roman" w:cs="Times New Roman"/>
          <w:sz w:val="24"/>
          <w:szCs w:val="24"/>
        </w:rPr>
      </w:pPr>
      <w:r w:rsidRPr="00E04AA2">
        <w:rPr>
          <w:rFonts w:ascii="Times New Roman" w:hAnsi="Times New Roman" w:cs="Times New Roman"/>
          <w:sz w:val="24"/>
          <w:szCs w:val="24"/>
        </w:rPr>
        <w:tab/>
      </w:r>
    </w:p>
    <w:p w:rsidR="00672041" w:rsidRDefault="00672041" w:rsidP="009E7A5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Melissa R. Yost</w:t>
      </w:r>
    </w:p>
    <w:p w:rsidR="00672041" w:rsidRDefault="00672041" w:rsidP="009E7A5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672041" w:rsidRDefault="00672041" w:rsidP="009E7A5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672041" w:rsidRDefault="00672041" w:rsidP="009E7A50">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Office of the </w:t>
      </w:r>
      <w:smartTag w:uri="urn:schemas-microsoft-com:office:smarttags" w:element="State">
        <w:smartTag w:uri="urn:schemas-microsoft-com:office:smarttags" w:element="place">
          <w:r>
            <w:rPr>
              <w:rFonts w:ascii="Times New Roman" w:hAnsi="Times New Roman" w:cs="Times New Roman"/>
              <w:b/>
              <w:sz w:val="24"/>
              <w:szCs w:val="24"/>
            </w:rPr>
            <w:t>Ohio</w:t>
          </w:r>
        </w:smartTag>
      </w:smartTag>
      <w:r>
        <w:rPr>
          <w:rFonts w:ascii="Times New Roman" w:hAnsi="Times New Roman" w:cs="Times New Roman"/>
          <w:b/>
          <w:sz w:val="24"/>
          <w:szCs w:val="24"/>
        </w:rPr>
        <w:t xml:space="preserve"> Consumers’ Counsel</w:t>
      </w:r>
    </w:p>
    <w:p w:rsidR="00672041" w:rsidRDefault="00672041" w:rsidP="009E7A50">
      <w:pPr>
        <w:spacing w:after="0" w:line="240" w:lineRule="auto"/>
        <w:ind w:left="4320"/>
        <w:rPr>
          <w:rFonts w:ascii="Times New Roman" w:hAnsi="Times New Roman" w:cs="Times New Roman"/>
          <w:sz w:val="24"/>
          <w:szCs w:val="24"/>
        </w:rPr>
      </w:pPr>
      <w:smartTag w:uri="urn:schemas-microsoft-com:office:smarttags" w:element="address">
        <w:smartTag w:uri="urn:schemas-microsoft-com:office:smarttags" w:element="Street">
          <w:r>
            <w:rPr>
              <w:rFonts w:ascii="Times New Roman" w:hAnsi="Times New Roman" w:cs="Times New Roman"/>
              <w:sz w:val="24"/>
              <w:szCs w:val="24"/>
            </w:rPr>
            <w:t>10 West Broad Street, Suite 1800</w:t>
          </w:r>
        </w:smartTag>
      </w:smartTag>
    </w:p>
    <w:p w:rsidR="00672041" w:rsidRDefault="00672041" w:rsidP="009E7A50">
      <w:pPr>
        <w:spacing w:after="0" w:line="240" w:lineRule="auto"/>
        <w:ind w:left="4320"/>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Pr>
                <w:rFonts w:ascii="Times New Roman" w:hAnsi="Times New Roman" w:cs="Times New Roman"/>
                <w:sz w:val="24"/>
                <w:szCs w:val="24"/>
              </w:rPr>
              <w:t>Columbus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Ohio</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43215-3485</w:t>
            </w:r>
          </w:smartTag>
        </w:smartTag>
      </w:smartTag>
    </w:p>
    <w:p w:rsidR="00672041" w:rsidRDefault="00672041" w:rsidP="009E7A5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(614) 466-1291</w:t>
      </w:r>
    </w:p>
    <w:p w:rsidR="00672041" w:rsidRDefault="00055067" w:rsidP="009E7A50">
      <w:pPr>
        <w:spacing w:after="0" w:line="240" w:lineRule="auto"/>
        <w:ind w:left="4320"/>
        <w:rPr>
          <w:rStyle w:val="Hyperlink"/>
          <w:rFonts w:ascii="Times New Roman" w:hAnsi="Times New Roman"/>
          <w:sz w:val="24"/>
          <w:szCs w:val="24"/>
        </w:rPr>
      </w:pPr>
      <w:hyperlink r:id="rId8" w:history="1">
        <w:r w:rsidR="00672041">
          <w:rPr>
            <w:rStyle w:val="Hyperlink"/>
            <w:rFonts w:ascii="Times New Roman" w:hAnsi="Times New Roman"/>
            <w:sz w:val="24"/>
            <w:szCs w:val="24"/>
          </w:rPr>
          <w:t>yost@occ.state.oh.us</w:t>
        </w:r>
      </w:hyperlink>
    </w:p>
    <w:p w:rsidR="00672041" w:rsidRDefault="00672041" w:rsidP="009E7A50">
      <w:pPr>
        <w:spacing w:after="0" w:line="240" w:lineRule="auto"/>
        <w:jc w:val="both"/>
        <w:rPr>
          <w:rStyle w:val="Hyperlink"/>
          <w:rFonts w:ascii="Times New Roman" w:hAnsi="Times New Roman"/>
          <w:color w:val="auto"/>
          <w:sz w:val="24"/>
          <w:szCs w:val="24"/>
          <w:u w:val="none"/>
        </w:rPr>
      </w:pPr>
    </w:p>
    <w:p w:rsidR="00672041" w:rsidRPr="009E7A50" w:rsidRDefault="00672041" w:rsidP="009E7A50">
      <w:pPr>
        <w:spacing w:after="0" w:line="240" w:lineRule="auto"/>
        <w:jc w:val="both"/>
        <w:rPr>
          <w:rFonts w:ascii="Times New Roman" w:hAnsi="Times New Roman" w:cs="Times New Roman"/>
          <w:sz w:val="24"/>
          <w:szCs w:val="24"/>
        </w:rPr>
      </w:pPr>
      <w:r>
        <w:rPr>
          <w:rStyle w:val="Hyperlink"/>
          <w:rFonts w:ascii="Times New Roman" w:hAnsi="Times New Roman"/>
          <w:color w:val="auto"/>
          <w:sz w:val="24"/>
          <w:szCs w:val="24"/>
          <w:u w:val="none"/>
        </w:rPr>
        <w:t>October 11, 2012</w:t>
      </w:r>
    </w:p>
    <w:p w:rsidR="00672041" w:rsidRPr="00017C64" w:rsidRDefault="00672041" w:rsidP="009E7A50">
      <w:pPr>
        <w:pStyle w:val="OCC"/>
        <w:numPr>
          <w:ilvl w:val="0"/>
          <w:numId w:val="0"/>
        </w:numPr>
        <w:ind w:left="720" w:hanging="720"/>
      </w:pPr>
    </w:p>
    <w:p w:rsidR="00672041" w:rsidRDefault="00672041" w:rsidP="00497CCD">
      <w:pPr>
        <w:spacing w:after="0"/>
        <w:jc w:val="center"/>
        <w:rPr>
          <w:rFonts w:ascii="Times New Roman" w:hAnsi="Times New Roman" w:cs="Times New Roman"/>
          <w:b/>
          <w:bCs/>
          <w:sz w:val="24"/>
          <w:szCs w:val="24"/>
        </w:rPr>
        <w:sectPr w:rsidR="00672041" w:rsidSect="0050146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docGrid w:linePitch="360"/>
        </w:sectPr>
      </w:pPr>
    </w:p>
    <w:p w:rsidR="00672041" w:rsidRDefault="00672041" w:rsidP="00083DB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672041" w:rsidRDefault="00672041" w:rsidP="00083DB9">
      <w:pPr>
        <w:spacing w:after="0"/>
        <w:jc w:val="center"/>
        <w:rPr>
          <w:rFonts w:ascii="Times New Roman" w:hAnsi="Times New Roman" w:cs="Times New Roman"/>
          <w:b/>
          <w:bCs/>
          <w:sz w:val="24"/>
          <w:szCs w:val="24"/>
        </w:rPr>
      </w:pPr>
    </w:p>
    <w:p w:rsidR="00672041" w:rsidRDefault="00672041" w:rsidP="00083DB9">
      <w:pPr>
        <w:spacing w:after="0"/>
        <w:ind w:left="7200" w:firstLine="720"/>
        <w:jc w:val="center"/>
        <w:rPr>
          <w:rFonts w:ascii="Times New Roman" w:hAnsi="Times New Roman" w:cs="Times New Roman"/>
          <w:b/>
          <w:bCs/>
          <w:sz w:val="24"/>
          <w:szCs w:val="24"/>
        </w:rPr>
      </w:pPr>
      <w:r>
        <w:rPr>
          <w:rFonts w:ascii="Times New Roman" w:hAnsi="Times New Roman" w:cs="Times New Roman"/>
          <w:b/>
          <w:bCs/>
          <w:sz w:val="24"/>
          <w:szCs w:val="24"/>
        </w:rPr>
        <w:t>PAGE</w:t>
      </w:r>
    </w:p>
    <w:p w:rsidR="00672041" w:rsidRDefault="00672041" w:rsidP="00083DB9">
      <w:pPr>
        <w:spacing w:after="0"/>
        <w:ind w:left="7200" w:firstLine="720"/>
        <w:jc w:val="center"/>
        <w:rPr>
          <w:rFonts w:ascii="Times New Roman" w:hAnsi="Times New Roman" w:cs="Times New Roman"/>
          <w:b/>
          <w:bCs/>
          <w:sz w:val="24"/>
          <w:szCs w:val="24"/>
        </w:rPr>
      </w:pPr>
    </w:p>
    <w:p w:rsidR="009A20D0" w:rsidRPr="00C50DFF" w:rsidRDefault="00672041">
      <w:pPr>
        <w:pStyle w:val="TOC1"/>
        <w:rPr>
          <w:rFonts w:ascii="Calibri" w:eastAsia="Times New Roman" w:hAnsi="Calibri" w:cs="Times New Roman"/>
          <w:caps w:val="0"/>
          <w:noProof/>
          <w:sz w:val="22"/>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hyperlink w:anchor="_Toc337737698" w:history="1">
        <w:r w:rsidR="009A20D0" w:rsidRPr="008E4391">
          <w:rPr>
            <w:rStyle w:val="Hyperlink"/>
            <w:noProof/>
          </w:rPr>
          <w:t>I.</w:t>
        </w:r>
        <w:r w:rsidR="009A20D0" w:rsidRPr="00C50DFF">
          <w:rPr>
            <w:rFonts w:ascii="Calibri" w:eastAsia="Times New Roman" w:hAnsi="Calibri" w:cs="Times New Roman"/>
            <w:caps w:val="0"/>
            <w:noProof/>
            <w:sz w:val="22"/>
          </w:rPr>
          <w:tab/>
        </w:r>
        <w:r w:rsidR="009A20D0" w:rsidRPr="008E4391">
          <w:rPr>
            <w:rStyle w:val="Hyperlink"/>
            <w:noProof/>
          </w:rPr>
          <w:t>INTRODUCTION</w:t>
        </w:r>
        <w:r w:rsidR="009A20D0">
          <w:rPr>
            <w:noProof/>
            <w:webHidden/>
          </w:rPr>
          <w:tab/>
        </w:r>
        <w:r w:rsidR="009A20D0">
          <w:rPr>
            <w:noProof/>
            <w:webHidden/>
          </w:rPr>
          <w:fldChar w:fldCharType="begin"/>
        </w:r>
        <w:r w:rsidR="009A20D0">
          <w:rPr>
            <w:noProof/>
            <w:webHidden/>
          </w:rPr>
          <w:instrText xml:space="preserve"> PAGEREF _Toc337737698 \h </w:instrText>
        </w:r>
        <w:r w:rsidR="009A20D0">
          <w:rPr>
            <w:noProof/>
            <w:webHidden/>
          </w:rPr>
        </w:r>
        <w:r w:rsidR="009A20D0">
          <w:rPr>
            <w:noProof/>
            <w:webHidden/>
          </w:rPr>
          <w:fldChar w:fldCharType="separate"/>
        </w:r>
        <w:r w:rsidR="005F75FB">
          <w:rPr>
            <w:noProof/>
            <w:webHidden/>
          </w:rPr>
          <w:t>1</w:t>
        </w:r>
        <w:r w:rsidR="009A20D0">
          <w:rPr>
            <w:noProof/>
            <w:webHidden/>
          </w:rPr>
          <w:fldChar w:fldCharType="end"/>
        </w:r>
      </w:hyperlink>
    </w:p>
    <w:p w:rsidR="009A20D0" w:rsidRPr="00C50DFF" w:rsidRDefault="00055067">
      <w:pPr>
        <w:pStyle w:val="TOC1"/>
        <w:rPr>
          <w:rFonts w:ascii="Calibri" w:eastAsia="Times New Roman" w:hAnsi="Calibri" w:cs="Times New Roman"/>
          <w:caps w:val="0"/>
          <w:noProof/>
          <w:sz w:val="22"/>
        </w:rPr>
      </w:pPr>
      <w:hyperlink w:anchor="_Toc337737699" w:history="1">
        <w:r w:rsidR="009A20D0" w:rsidRPr="008E4391">
          <w:rPr>
            <w:rStyle w:val="Hyperlink"/>
            <w:noProof/>
            <w:lang w:eastAsia="ja-JP"/>
          </w:rPr>
          <w:t>II.</w:t>
        </w:r>
        <w:r w:rsidR="009A20D0" w:rsidRPr="00C50DFF">
          <w:rPr>
            <w:rFonts w:ascii="Calibri" w:eastAsia="Times New Roman" w:hAnsi="Calibri" w:cs="Times New Roman"/>
            <w:caps w:val="0"/>
            <w:noProof/>
            <w:sz w:val="22"/>
          </w:rPr>
          <w:tab/>
        </w:r>
        <w:r w:rsidR="009A20D0" w:rsidRPr="008E4391">
          <w:rPr>
            <w:rStyle w:val="Hyperlink"/>
            <w:noProof/>
            <w:lang w:eastAsia="ja-JP"/>
          </w:rPr>
          <w:t>COMMENTS</w:t>
        </w:r>
        <w:r w:rsidR="009A20D0">
          <w:rPr>
            <w:noProof/>
            <w:webHidden/>
          </w:rPr>
          <w:tab/>
        </w:r>
        <w:r w:rsidR="009A20D0">
          <w:rPr>
            <w:noProof/>
            <w:webHidden/>
          </w:rPr>
          <w:fldChar w:fldCharType="begin"/>
        </w:r>
        <w:r w:rsidR="009A20D0">
          <w:rPr>
            <w:noProof/>
            <w:webHidden/>
          </w:rPr>
          <w:instrText xml:space="preserve"> PAGEREF _Toc337737699 \h </w:instrText>
        </w:r>
        <w:r w:rsidR="009A20D0">
          <w:rPr>
            <w:noProof/>
            <w:webHidden/>
          </w:rPr>
        </w:r>
        <w:r w:rsidR="009A20D0">
          <w:rPr>
            <w:noProof/>
            <w:webHidden/>
          </w:rPr>
          <w:fldChar w:fldCharType="separate"/>
        </w:r>
        <w:r w:rsidR="005F75FB">
          <w:rPr>
            <w:noProof/>
            <w:webHidden/>
          </w:rPr>
          <w:t>2</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0" w:history="1">
        <w:r w:rsidR="009A20D0" w:rsidRPr="008E4391">
          <w:rPr>
            <w:rStyle w:val="Hyperlink"/>
            <w:noProof/>
          </w:rPr>
          <w:t>A.</w:t>
        </w:r>
        <w:r w:rsidR="009A20D0" w:rsidRPr="00C50DFF">
          <w:rPr>
            <w:rFonts w:ascii="Calibri" w:eastAsia="Times New Roman" w:hAnsi="Calibri" w:cs="Times New Roman"/>
            <w:noProof/>
            <w:sz w:val="22"/>
          </w:rPr>
          <w:tab/>
        </w:r>
        <w:r w:rsidR="009A20D0" w:rsidRPr="008E4391">
          <w:rPr>
            <w:rStyle w:val="Hyperlink"/>
            <w:noProof/>
          </w:rPr>
          <w:t>The Commission Should Reduce The Level Of Lost Revenues In Duke’s Calculation To Account For The Inappropriate Collection Of Generation Lost Revenues Attributed To Customers Who Shopped From January 1, 2009 Through December 9, 2009.</w:t>
        </w:r>
        <w:r w:rsidR="009A20D0">
          <w:rPr>
            <w:noProof/>
            <w:webHidden/>
          </w:rPr>
          <w:tab/>
        </w:r>
        <w:r w:rsidR="009A20D0">
          <w:rPr>
            <w:noProof/>
            <w:webHidden/>
          </w:rPr>
          <w:fldChar w:fldCharType="begin"/>
        </w:r>
        <w:r w:rsidR="009A20D0">
          <w:rPr>
            <w:noProof/>
            <w:webHidden/>
          </w:rPr>
          <w:instrText xml:space="preserve"> PAGEREF _Toc337737700 \h </w:instrText>
        </w:r>
        <w:r w:rsidR="009A20D0">
          <w:rPr>
            <w:noProof/>
            <w:webHidden/>
          </w:rPr>
        </w:r>
        <w:r w:rsidR="009A20D0">
          <w:rPr>
            <w:noProof/>
            <w:webHidden/>
          </w:rPr>
          <w:fldChar w:fldCharType="separate"/>
        </w:r>
        <w:r w:rsidR="005F75FB">
          <w:rPr>
            <w:noProof/>
            <w:webHidden/>
          </w:rPr>
          <w:t>2</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1" w:history="1">
        <w:r w:rsidR="009A20D0" w:rsidRPr="008E4391">
          <w:rPr>
            <w:rStyle w:val="Hyperlink"/>
            <w:noProof/>
          </w:rPr>
          <w:t>B.</w:t>
        </w:r>
        <w:r w:rsidR="009A20D0" w:rsidRPr="00C50DFF">
          <w:rPr>
            <w:rFonts w:ascii="Calibri" w:eastAsia="Times New Roman" w:hAnsi="Calibri" w:cs="Times New Roman"/>
            <w:noProof/>
            <w:sz w:val="22"/>
          </w:rPr>
          <w:tab/>
        </w:r>
        <w:r w:rsidR="009A20D0" w:rsidRPr="008E4391">
          <w:rPr>
            <w:rStyle w:val="Hyperlink"/>
            <w:noProof/>
          </w:rPr>
          <w:t xml:space="preserve">The Commission Should Reduce Duke’s Proposed Incentive Award Calculation (And Potentially Reduce What Customers Will Pay) To Account For The Lower Market-Based Avoided Capacity Costs In </w:t>
        </w:r>
        <w:r w:rsidR="009A20D0">
          <w:rPr>
            <w:rStyle w:val="Hyperlink"/>
            <w:noProof/>
          </w:rPr>
          <w:br/>
        </w:r>
        <w:r w:rsidR="009A20D0" w:rsidRPr="008E4391">
          <w:rPr>
            <w:rStyle w:val="Hyperlink"/>
            <w:noProof/>
          </w:rPr>
          <w:t>PJM.</w:t>
        </w:r>
        <w:r w:rsidR="009A20D0">
          <w:rPr>
            <w:noProof/>
            <w:webHidden/>
          </w:rPr>
          <w:tab/>
        </w:r>
        <w:r w:rsidR="009A20D0">
          <w:rPr>
            <w:noProof/>
            <w:webHidden/>
          </w:rPr>
          <w:fldChar w:fldCharType="begin"/>
        </w:r>
        <w:r w:rsidR="009A20D0">
          <w:rPr>
            <w:noProof/>
            <w:webHidden/>
          </w:rPr>
          <w:instrText xml:space="preserve"> PAGEREF _Toc337737701 \h </w:instrText>
        </w:r>
        <w:r w:rsidR="009A20D0">
          <w:rPr>
            <w:noProof/>
            <w:webHidden/>
          </w:rPr>
        </w:r>
        <w:r w:rsidR="009A20D0">
          <w:rPr>
            <w:noProof/>
            <w:webHidden/>
          </w:rPr>
          <w:fldChar w:fldCharType="separate"/>
        </w:r>
        <w:r w:rsidR="005F75FB">
          <w:rPr>
            <w:noProof/>
            <w:webHidden/>
          </w:rPr>
          <w:t>4</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2" w:history="1">
        <w:r w:rsidR="009A20D0" w:rsidRPr="008E4391">
          <w:rPr>
            <w:rStyle w:val="Hyperlink"/>
            <w:noProof/>
          </w:rPr>
          <w:t xml:space="preserve">C. </w:t>
        </w:r>
        <w:r w:rsidR="009A20D0" w:rsidRPr="00C50DFF">
          <w:rPr>
            <w:rFonts w:ascii="Calibri" w:eastAsia="Times New Roman" w:hAnsi="Calibri" w:cs="Times New Roman"/>
            <w:noProof/>
            <w:sz w:val="22"/>
          </w:rPr>
          <w:tab/>
        </w:r>
        <w:r w:rsidR="009A20D0" w:rsidRPr="008E4391">
          <w:rPr>
            <w:rStyle w:val="Hyperlink"/>
            <w:noProof/>
          </w:rPr>
          <w:t>The Commission Should Reduce Duke’s Proposed Incentive Award Calculation (And Potentially Reduce What Customers Will Pay) To Account For Duke’s Inappropriate Inclusion Of Transmission And Distribution Avoided Costs.</w:t>
        </w:r>
        <w:r w:rsidR="009A20D0">
          <w:rPr>
            <w:noProof/>
            <w:webHidden/>
          </w:rPr>
          <w:tab/>
        </w:r>
        <w:r w:rsidR="009A20D0">
          <w:rPr>
            <w:noProof/>
            <w:webHidden/>
          </w:rPr>
          <w:fldChar w:fldCharType="begin"/>
        </w:r>
        <w:r w:rsidR="009A20D0">
          <w:rPr>
            <w:noProof/>
            <w:webHidden/>
          </w:rPr>
          <w:instrText xml:space="preserve"> PAGEREF _Toc337737702 \h </w:instrText>
        </w:r>
        <w:r w:rsidR="009A20D0">
          <w:rPr>
            <w:noProof/>
            <w:webHidden/>
          </w:rPr>
        </w:r>
        <w:r w:rsidR="009A20D0">
          <w:rPr>
            <w:noProof/>
            <w:webHidden/>
          </w:rPr>
          <w:fldChar w:fldCharType="separate"/>
        </w:r>
        <w:r w:rsidR="005F75FB">
          <w:rPr>
            <w:noProof/>
            <w:webHidden/>
          </w:rPr>
          <w:t>5</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3" w:history="1">
        <w:r w:rsidR="009A20D0" w:rsidRPr="008E4391">
          <w:rPr>
            <w:rStyle w:val="Hyperlink"/>
            <w:noProof/>
          </w:rPr>
          <w:t>D.</w:t>
        </w:r>
        <w:r w:rsidR="009A20D0" w:rsidRPr="00C50DFF">
          <w:rPr>
            <w:rFonts w:ascii="Calibri" w:eastAsia="Times New Roman" w:hAnsi="Calibri" w:cs="Times New Roman"/>
            <w:noProof/>
            <w:sz w:val="22"/>
          </w:rPr>
          <w:tab/>
        </w:r>
        <w:r w:rsidR="009A20D0" w:rsidRPr="008E4391">
          <w:rPr>
            <w:rStyle w:val="Hyperlink"/>
            <w:noProof/>
          </w:rPr>
          <w:t xml:space="preserve">The Commission Should Reduce Duke’s Proposed Incentive Award Calculation (And Potentially Reduce What Customers Will Pay) To Account For The Lower Company Program Savings Emanating From </w:t>
        </w:r>
        <w:r w:rsidR="009A20D0">
          <w:rPr>
            <w:rStyle w:val="Hyperlink"/>
            <w:noProof/>
          </w:rPr>
          <w:br/>
        </w:r>
        <w:r w:rsidR="009A20D0" w:rsidRPr="008E4391">
          <w:rPr>
            <w:rStyle w:val="Hyperlink"/>
            <w:noProof/>
          </w:rPr>
          <w:t>The Recent Ohio Independent Evaluator Study.</w:t>
        </w:r>
        <w:r w:rsidR="009A20D0">
          <w:rPr>
            <w:noProof/>
            <w:webHidden/>
          </w:rPr>
          <w:tab/>
        </w:r>
        <w:r w:rsidR="009A20D0">
          <w:rPr>
            <w:noProof/>
            <w:webHidden/>
          </w:rPr>
          <w:fldChar w:fldCharType="begin"/>
        </w:r>
        <w:r w:rsidR="009A20D0">
          <w:rPr>
            <w:noProof/>
            <w:webHidden/>
          </w:rPr>
          <w:instrText xml:space="preserve"> PAGEREF _Toc337737703 \h </w:instrText>
        </w:r>
        <w:r w:rsidR="009A20D0">
          <w:rPr>
            <w:noProof/>
            <w:webHidden/>
          </w:rPr>
        </w:r>
        <w:r w:rsidR="009A20D0">
          <w:rPr>
            <w:noProof/>
            <w:webHidden/>
          </w:rPr>
          <w:fldChar w:fldCharType="separate"/>
        </w:r>
        <w:r w:rsidR="005F75FB">
          <w:rPr>
            <w:noProof/>
            <w:webHidden/>
          </w:rPr>
          <w:t>5</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4" w:history="1">
        <w:r w:rsidR="009A20D0" w:rsidRPr="008E4391">
          <w:rPr>
            <w:rStyle w:val="Hyperlink"/>
            <w:noProof/>
          </w:rPr>
          <w:t>E.</w:t>
        </w:r>
        <w:r w:rsidR="009A20D0" w:rsidRPr="00C50DFF">
          <w:rPr>
            <w:rFonts w:ascii="Calibri" w:eastAsia="Times New Roman" w:hAnsi="Calibri" w:cs="Times New Roman"/>
            <w:noProof/>
            <w:sz w:val="22"/>
          </w:rPr>
          <w:tab/>
        </w:r>
        <w:r w:rsidR="009A20D0" w:rsidRPr="008E4391">
          <w:rPr>
            <w:rStyle w:val="Hyperlink"/>
            <w:noProof/>
          </w:rPr>
          <w:t>The Commission Should Reduce The Level Of Energy Efficiency-Induced Lost Revenues In Duke’s Proposed Calculation (And Reduce What Customers Will Pay) To Account For Interest That Should Be Paid To Customers On Balances That Duke Held For Approximately Two Years, From December 10, 2010 Through December 31, 2011, Regarding Non-Fuel Lost Generation Revenues.</w:t>
        </w:r>
        <w:r w:rsidR="009A20D0">
          <w:rPr>
            <w:noProof/>
            <w:webHidden/>
          </w:rPr>
          <w:tab/>
        </w:r>
        <w:r w:rsidR="009A20D0">
          <w:rPr>
            <w:noProof/>
            <w:webHidden/>
          </w:rPr>
          <w:fldChar w:fldCharType="begin"/>
        </w:r>
        <w:r w:rsidR="009A20D0">
          <w:rPr>
            <w:noProof/>
            <w:webHidden/>
          </w:rPr>
          <w:instrText xml:space="preserve"> PAGEREF _Toc337737704 \h </w:instrText>
        </w:r>
        <w:r w:rsidR="009A20D0">
          <w:rPr>
            <w:noProof/>
            <w:webHidden/>
          </w:rPr>
        </w:r>
        <w:r w:rsidR="009A20D0">
          <w:rPr>
            <w:noProof/>
            <w:webHidden/>
          </w:rPr>
          <w:fldChar w:fldCharType="separate"/>
        </w:r>
        <w:r w:rsidR="005F75FB">
          <w:rPr>
            <w:noProof/>
            <w:webHidden/>
          </w:rPr>
          <w:t>8</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5" w:history="1">
        <w:r w:rsidR="009A20D0" w:rsidRPr="008E4391">
          <w:rPr>
            <w:rStyle w:val="Hyperlink"/>
            <w:noProof/>
          </w:rPr>
          <w:t>F.</w:t>
        </w:r>
        <w:r w:rsidR="009A20D0" w:rsidRPr="00C50DFF">
          <w:rPr>
            <w:rFonts w:ascii="Calibri" w:eastAsia="Times New Roman" w:hAnsi="Calibri" w:cs="Times New Roman"/>
            <w:noProof/>
            <w:sz w:val="22"/>
          </w:rPr>
          <w:tab/>
        </w:r>
        <w:r w:rsidR="009A20D0" w:rsidRPr="008E4391">
          <w:rPr>
            <w:rStyle w:val="Hyperlink"/>
            <w:noProof/>
          </w:rPr>
          <w:t xml:space="preserve">The Commission Should Require Duke To Rerun Its Model And File </w:t>
        </w:r>
        <w:r w:rsidR="009A20D0">
          <w:rPr>
            <w:rStyle w:val="Hyperlink"/>
            <w:noProof/>
          </w:rPr>
          <w:br/>
        </w:r>
        <w:r w:rsidR="009A20D0" w:rsidRPr="008E4391">
          <w:rPr>
            <w:rStyle w:val="Hyperlink"/>
            <w:noProof/>
          </w:rPr>
          <w:t>Its Revised Incentive Results In This Proceeding.</w:t>
        </w:r>
        <w:r w:rsidR="009A20D0">
          <w:rPr>
            <w:noProof/>
            <w:webHidden/>
          </w:rPr>
          <w:tab/>
        </w:r>
        <w:r w:rsidR="009A20D0">
          <w:rPr>
            <w:noProof/>
            <w:webHidden/>
          </w:rPr>
          <w:fldChar w:fldCharType="begin"/>
        </w:r>
        <w:r w:rsidR="009A20D0">
          <w:rPr>
            <w:noProof/>
            <w:webHidden/>
          </w:rPr>
          <w:instrText xml:space="preserve"> PAGEREF _Toc337737705 \h </w:instrText>
        </w:r>
        <w:r w:rsidR="009A20D0">
          <w:rPr>
            <w:noProof/>
            <w:webHidden/>
          </w:rPr>
        </w:r>
        <w:r w:rsidR="009A20D0">
          <w:rPr>
            <w:noProof/>
            <w:webHidden/>
          </w:rPr>
          <w:fldChar w:fldCharType="separate"/>
        </w:r>
        <w:r w:rsidR="005F75FB">
          <w:rPr>
            <w:noProof/>
            <w:webHidden/>
          </w:rPr>
          <w:t>10</w:t>
        </w:r>
        <w:r w:rsidR="009A20D0">
          <w:rPr>
            <w:noProof/>
            <w:webHidden/>
          </w:rPr>
          <w:fldChar w:fldCharType="end"/>
        </w:r>
      </w:hyperlink>
    </w:p>
    <w:p w:rsidR="009A20D0" w:rsidRPr="00C50DFF" w:rsidRDefault="00055067">
      <w:pPr>
        <w:pStyle w:val="TOC2"/>
        <w:rPr>
          <w:rFonts w:ascii="Calibri" w:eastAsia="Times New Roman" w:hAnsi="Calibri" w:cs="Times New Roman"/>
          <w:noProof/>
          <w:sz w:val="22"/>
        </w:rPr>
      </w:pPr>
      <w:hyperlink w:anchor="_Toc337737706" w:history="1">
        <w:r w:rsidR="009A20D0" w:rsidRPr="008E4391">
          <w:rPr>
            <w:rStyle w:val="Hyperlink"/>
            <w:noProof/>
          </w:rPr>
          <w:t>G.</w:t>
        </w:r>
        <w:r w:rsidR="009A20D0" w:rsidRPr="00C50DFF">
          <w:rPr>
            <w:rFonts w:ascii="Calibri" w:eastAsia="Times New Roman" w:hAnsi="Calibri" w:cs="Times New Roman"/>
            <w:noProof/>
            <w:sz w:val="22"/>
          </w:rPr>
          <w:tab/>
        </w:r>
        <w:r w:rsidR="009A20D0" w:rsidRPr="008E4391">
          <w:rPr>
            <w:rStyle w:val="Hyperlink"/>
            <w:noProof/>
          </w:rPr>
          <w:t>The Commission Should Amend The Procedural Schedule To Account For The Revised Incentive Calculations And Correlating Results.</w:t>
        </w:r>
        <w:r w:rsidR="009A20D0">
          <w:rPr>
            <w:noProof/>
            <w:webHidden/>
          </w:rPr>
          <w:tab/>
        </w:r>
        <w:r w:rsidR="009A20D0">
          <w:rPr>
            <w:noProof/>
            <w:webHidden/>
          </w:rPr>
          <w:fldChar w:fldCharType="begin"/>
        </w:r>
        <w:r w:rsidR="009A20D0">
          <w:rPr>
            <w:noProof/>
            <w:webHidden/>
          </w:rPr>
          <w:instrText xml:space="preserve"> PAGEREF _Toc337737706 \h </w:instrText>
        </w:r>
        <w:r w:rsidR="009A20D0">
          <w:rPr>
            <w:noProof/>
            <w:webHidden/>
          </w:rPr>
        </w:r>
        <w:r w:rsidR="009A20D0">
          <w:rPr>
            <w:noProof/>
            <w:webHidden/>
          </w:rPr>
          <w:fldChar w:fldCharType="separate"/>
        </w:r>
        <w:r w:rsidR="005F75FB">
          <w:rPr>
            <w:noProof/>
            <w:webHidden/>
          </w:rPr>
          <w:t>11</w:t>
        </w:r>
        <w:r w:rsidR="009A20D0">
          <w:rPr>
            <w:noProof/>
            <w:webHidden/>
          </w:rPr>
          <w:fldChar w:fldCharType="end"/>
        </w:r>
      </w:hyperlink>
    </w:p>
    <w:p w:rsidR="009A20D0" w:rsidRPr="00C50DFF" w:rsidRDefault="00055067">
      <w:pPr>
        <w:pStyle w:val="TOC1"/>
        <w:rPr>
          <w:rFonts w:ascii="Calibri" w:eastAsia="Times New Roman" w:hAnsi="Calibri" w:cs="Times New Roman"/>
          <w:caps w:val="0"/>
          <w:noProof/>
          <w:sz w:val="22"/>
        </w:rPr>
      </w:pPr>
      <w:hyperlink w:anchor="_Toc337737707" w:history="1">
        <w:r w:rsidR="009A20D0" w:rsidRPr="008E4391">
          <w:rPr>
            <w:rStyle w:val="Hyperlink"/>
            <w:noProof/>
          </w:rPr>
          <w:t>III.</w:t>
        </w:r>
        <w:r w:rsidR="009A20D0" w:rsidRPr="00C50DFF">
          <w:rPr>
            <w:rFonts w:ascii="Calibri" w:eastAsia="Times New Roman" w:hAnsi="Calibri" w:cs="Times New Roman"/>
            <w:caps w:val="0"/>
            <w:noProof/>
            <w:sz w:val="22"/>
          </w:rPr>
          <w:tab/>
        </w:r>
        <w:r w:rsidR="009A20D0" w:rsidRPr="008E4391">
          <w:rPr>
            <w:rStyle w:val="Hyperlink"/>
            <w:noProof/>
          </w:rPr>
          <w:t>CONCLUSION</w:t>
        </w:r>
        <w:r w:rsidR="009A20D0">
          <w:rPr>
            <w:noProof/>
            <w:webHidden/>
          </w:rPr>
          <w:tab/>
        </w:r>
        <w:r w:rsidR="009A20D0">
          <w:rPr>
            <w:noProof/>
            <w:webHidden/>
          </w:rPr>
          <w:fldChar w:fldCharType="begin"/>
        </w:r>
        <w:r w:rsidR="009A20D0">
          <w:rPr>
            <w:noProof/>
            <w:webHidden/>
          </w:rPr>
          <w:instrText xml:space="preserve"> PAGEREF _Toc337737707 \h </w:instrText>
        </w:r>
        <w:r w:rsidR="009A20D0">
          <w:rPr>
            <w:noProof/>
            <w:webHidden/>
          </w:rPr>
        </w:r>
        <w:r w:rsidR="009A20D0">
          <w:rPr>
            <w:noProof/>
            <w:webHidden/>
          </w:rPr>
          <w:fldChar w:fldCharType="separate"/>
        </w:r>
        <w:r w:rsidR="005F75FB">
          <w:rPr>
            <w:noProof/>
            <w:webHidden/>
          </w:rPr>
          <w:t>11</w:t>
        </w:r>
        <w:r w:rsidR="009A20D0">
          <w:rPr>
            <w:noProof/>
            <w:webHidden/>
          </w:rPr>
          <w:fldChar w:fldCharType="end"/>
        </w:r>
      </w:hyperlink>
    </w:p>
    <w:p w:rsidR="00672041" w:rsidRDefault="00672041" w:rsidP="00083DB9">
      <w:pPr>
        <w:spacing w:after="0"/>
        <w:jc w:val="center"/>
        <w:rPr>
          <w:rFonts w:ascii="Times New Roman" w:hAnsi="Times New Roman" w:cs="Times New Roman"/>
          <w:b/>
          <w:bCs/>
          <w:sz w:val="24"/>
          <w:szCs w:val="24"/>
        </w:rPr>
        <w:sectPr w:rsidR="00672041" w:rsidSect="0097115E">
          <w:headerReference w:type="default" r:id="rId15"/>
          <w:footerReference w:type="default" r:id="rId16"/>
          <w:pgSz w:w="12240" w:h="15840"/>
          <w:pgMar w:top="1440" w:right="1800" w:bottom="1440" w:left="1800" w:header="720" w:footer="720" w:gutter="0"/>
          <w:pgNumType w:fmt="lowerRoman" w:start="1"/>
          <w:cols w:space="720"/>
          <w:docGrid w:linePitch="360"/>
        </w:sectPr>
      </w:pPr>
      <w:r>
        <w:rPr>
          <w:rFonts w:cs="Times New Roman"/>
          <w:b/>
          <w:bCs/>
          <w:szCs w:val="24"/>
        </w:rPr>
        <w:fldChar w:fldCharType="end"/>
      </w:r>
    </w:p>
    <w:p w:rsidR="00672041" w:rsidRDefault="00672041" w:rsidP="00083DB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672041" w:rsidRDefault="00672041" w:rsidP="00497CC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672041" w:rsidRDefault="00672041" w:rsidP="00497CCD">
      <w:pPr>
        <w:spacing w:after="0"/>
        <w:rPr>
          <w:rFonts w:ascii="Times New Roman" w:hAnsi="Times New Roman" w:cs="Times New Roman"/>
          <w:b/>
          <w:bCs/>
          <w:sz w:val="24"/>
          <w:szCs w:val="24"/>
        </w:rPr>
      </w:pPr>
    </w:p>
    <w:p w:rsidR="00672041" w:rsidRDefault="00672041" w:rsidP="00497CCD">
      <w:pPr>
        <w:spacing w:after="0"/>
        <w:jc w:val="both"/>
        <w:rPr>
          <w:rFonts w:ascii="Times New Roman" w:hAnsi="Times New Roman" w:cs="Times New Roman"/>
          <w:bCs/>
          <w:sz w:val="24"/>
          <w:szCs w:val="24"/>
        </w:rPr>
      </w:pPr>
      <w:r>
        <w:rPr>
          <w:rFonts w:ascii="Times New Roman" w:hAnsi="Times New Roman" w:cs="Times New Roman"/>
          <w:bCs/>
          <w:sz w:val="24"/>
          <w:szCs w:val="24"/>
        </w:rPr>
        <w:t>In the Matter of the Application of Duke</w:t>
      </w:r>
      <w:r>
        <w:rPr>
          <w:rFonts w:ascii="Times New Roman" w:hAnsi="Times New Roman" w:cs="Times New Roman"/>
          <w:bCs/>
          <w:sz w:val="24"/>
          <w:szCs w:val="24"/>
        </w:rPr>
        <w:tab/>
        <w:t xml:space="preserve">        )</w:t>
      </w:r>
    </w:p>
    <w:p w:rsidR="00672041" w:rsidRDefault="00672041" w:rsidP="00497CC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Energy Ohio, Inc. for Recovery of Program </w:t>
      </w:r>
      <w:r>
        <w:rPr>
          <w:rFonts w:ascii="Times New Roman" w:hAnsi="Times New Roman" w:cs="Times New Roman"/>
          <w:bCs/>
          <w:sz w:val="24"/>
          <w:szCs w:val="24"/>
        </w:rPr>
        <w:tab/>
        <w:t xml:space="preserve">        )</w:t>
      </w:r>
    </w:p>
    <w:p w:rsidR="00672041" w:rsidRDefault="00672041" w:rsidP="00497CCD">
      <w:pPr>
        <w:spacing w:after="0"/>
        <w:jc w:val="both"/>
        <w:rPr>
          <w:rFonts w:ascii="Times New Roman" w:hAnsi="Times New Roman" w:cs="Times New Roman"/>
          <w:bCs/>
          <w:sz w:val="24"/>
          <w:szCs w:val="24"/>
        </w:rPr>
      </w:pPr>
      <w:r>
        <w:rPr>
          <w:rFonts w:ascii="Times New Roman" w:hAnsi="Times New Roman" w:cs="Times New Roman"/>
          <w:bCs/>
          <w:sz w:val="24"/>
          <w:szCs w:val="24"/>
        </w:rPr>
        <w:t>Costs, Lost Distribution Revenue, and</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t>Case No. 12-1857-EL-RDR</w:t>
      </w:r>
    </w:p>
    <w:p w:rsidR="00672041" w:rsidRDefault="00672041" w:rsidP="00497CC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Performance Incentives Related to its </w:t>
      </w:r>
      <w:r>
        <w:rPr>
          <w:rFonts w:ascii="Times New Roman" w:hAnsi="Times New Roman" w:cs="Times New Roman"/>
          <w:bCs/>
          <w:sz w:val="24"/>
          <w:szCs w:val="24"/>
        </w:rPr>
        <w:tab/>
        <w:t xml:space="preserve">        )</w:t>
      </w:r>
    </w:p>
    <w:p w:rsidR="00672041" w:rsidRDefault="00672041" w:rsidP="00497CC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Save-A-Watt Programs.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672041" w:rsidRDefault="00672041" w:rsidP="00497CCD">
      <w:pPr>
        <w:pBdr>
          <w:bottom w:val="single" w:sz="12" w:space="1" w:color="auto"/>
        </w:pBdr>
        <w:spacing w:after="0"/>
        <w:jc w:val="both"/>
        <w:rPr>
          <w:rFonts w:ascii="Times New Roman" w:hAnsi="Times New Roman" w:cs="Times New Roman"/>
          <w:bCs/>
          <w:sz w:val="24"/>
          <w:szCs w:val="24"/>
        </w:rPr>
      </w:pPr>
    </w:p>
    <w:p w:rsidR="00672041" w:rsidRDefault="00672041" w:rsidP="00497CCD">
      <w:pPr>
        <w:spacing w:after="0"/>
        <w:jc w:val="center"/>
        <w:rPr>
          <w:rFonts w:ascii="Times New Roman" w:hAnsi="Times New Roman" w:cs="Times New Roman"/>
          <w:b/>
          <w:bCs/>
          <w:sz w:val="24"/>
          <w:szCs w:val="24"/>
        </w:rPr>
      </w:pPr>
    </w:p>
    <w:p w:rsidR="00672041" w:rsidRDefault="00672041" w:rsidP="00497CCD">
      <w:pPr>
        <w:spacing w:after="0"/>
        <w:jc w:val="center"/>
        <w:rPr>
          <w:rFonts w:ascii="Times New Roman" w:hAnsi="Times New Roman" w:cs="Times New Roman"/>
          <w:b/>
          <w:bCs/>
          <w:sz w:val="24"/>
          <w:szCs w:val="24"/>
        </w:rPr>
      </w:pPr>
      <w:r>
        <w:rPr>
          <w:rFonts w:ascii="Times New Roman" w:hAnsi="Times New Roman" w:cs="Times New Roman"/>
          <w:b/>
          <w:bCs/>
          <w:sz w:val="24"/>
          <w:szCs w:val="24"/>
        </w:rPr>
        <w:t>COMMENTS</w:t>
      </w:r>
    </w:p>
    <w:p w:rsidR="00672041" w:rsidRDefault="00672041" w:rsidP="00497CCD">
      <w:pPr>
        <w:spacing w:after="0"/>
        <w:jc w:val="center"/>
        <w:rPr>
          <w:rFonts w:ascii="Times New Roman" w:hAnsi="Times New Roman" w:cs="Times New Roman"/>
          <w:b/>
          <w:bCs/>
          <w:sz w:val="24"/>
          <w:szCs w:val="24"/>
        </w:rPr>
      </w:pPr>
      <w:r>
        <w:rPr>
          <w:rFonts w:ascii="Times New Roman" w:hAnsi="Times New Roman" w:cs="Times New Roman"/>
          <w:b/>
          <w:bCs/>
          <w:sz w:val="24"/>
          <w:szCs w:val="24"/>
        </w:rPr>
        <w:t>BY</w:t>
      </w:r>
    </w:p>
    <w:p w:rsidR="00672041" w:rsidRDefault="00672041" w:rsidP="00497CC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OFFICE OF THE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r>
        <w:rPr>
          <w:rFonts w:ascii="Times New Roman" w:hAnsi="Times New Roman" w:cs="Times New Roman"/>
          <w:b/>
          <w:bCs/>
          <w:sz w:val="24"/>
          <w:szCs w:val="24"/>
        </w:rPr>
        <w:t xml:space="preserve"> CONSUMERS’ COUNSEL</w:t>
      </w:r>
    </w:p>
    <w:p w:rsidR="00672041" w:rsidRDefault="00672041" w:rsidP="00497CCD">
      <w:pPr>
        <w:pBdr>
          <w:bottom w:val="single" w:sz="12" w:space="1" w:color="auto"/>
        </w:pBdr>
        <w:spacing w:after="0"/>
        <w:rPr>
          <w:rFonts w:ascii="Times New Roman" w:hAnsi="Times New Roman" w:cs="Times New Roman"/>
          <w:b/>
          <w:bCs/>
          <w:sz w:val="24"/>
          <w:szCs w:val="24"/>
        </w:rPr>
      </w:pPr>
    </w:p>
    <w:p w:rsidR="00672041" w:rsidRDefault="00672041" w:rsidP="00497CCD">
      <w:pPr>
        <w:spacing w:after="0"/>
        <w:rPr>
          <w:rFonts w:ascii="Times New Roman" w:hAnsi="Times New Roman" w:cs="Times New Roman"/>
          <w:b/>
          <w:bCs/>
          <w:sz w:val="24"/>
          <w:szCs w:val="24"/>
        </w:rPr>
      </w:pPr>
    </w:p>
    <w:p w:rsidR="00672041" w:rsidRPr="00F00DBC" w:rsidRDefault="00672041" w:rsidP="00F00DBC">
      <w:pPr>
        <w:pStyle w:val="Heading1"/>
      </w:pPr>
      <w:bookmarkStart w:id="1" w:name="_Toc337737698"/>
      <w:r w:rsidRPr="00F00DBC">
        <w:t>I.</w:t>
      </w:r>
      <w:r w:rsidRPr="00F00DBC">
        <w:tab/>
        <w:t>INTRODUCTION</w:t>
      </w:r>
      <w:bookmarkEnd w:id="1"/>
    </w:p>
    <w:p w:rsidR="00672041" w:rsidRPr="0072741C" w:rsidRDefault="00672041" w:rsidP="00497CCD">
      <w:pPr>
        <w:spacing w:after="0" w:line="480" w:lineRule="auto"/>
        <w:ind w:firstLine="720"/>
        <w:rPr>
          <w:rFonts w:ascii="Times New Roman" w:hAnsi="Times New Roman" w:cs="Times New Roman"/>
          <w:sz w:val="24"/>
          <w:szCs w:val="24"/>
        </w:rPr>
      </w:pPr>
      <w:r w:rsidRPr="0072741C">
        <w:rPr>
          <w:rFonts w:ascii="Times New Roman" w:hAnsi="Times New Roman" w:cs="Times New Roman"/>
          <w:sz w:val="24"/>
          <w:szCs w:val="24"/>
        </w:rPr>
        <w:t xml:space="preserve">This proceeding is important to residential customers </w:t>
      </w:r>
      <w:r>
        <w:rPr>
          <w:rFonts w:ascii="Times New Roman" w:hAnsi="Times New Roman" w:cs="Times New Roman"/>
          <w:sz w:val="24"/>
          <w:szCs w:val="24"/>
        </w:rPr>
        <w:t xml:space="preserve">of </w:t>
      </w:r>
      <w:r w:rsidRPr="0072741C">
        <w:rPr>
          <w:rFonts w:ascii="Times New Roman" w:hAnsi="Times New Roman" w:cs="Times New Roman"/>
          <w:sz w:val="24"/>
          <w:szCs w:val="24"/>
          <w:lang w:eastAsia="ja-JP"/>
        </w:rPr>
        <w:t xml:space="preserve">Duke Energy </w:t>
      </w:r>
      <w:smartTag w:uri="urn:schemas-microsoft-com:office:smarttags" w:element="PostalCode">
        <w:r w:rsidRPr="0072741C">
          <w:rPr>
            <w:rFonts w:ascii="Times New Roman" w:hAnsi="Times New Roman" w:cs="Times New Roman"/>
            <w:sz w:val="24"/>
            <w:szCs w:val="24"/>
            <w:lang w:eastAsia="ja-JP"/>
          </w:rPr>
          <w:t>Ohio</w:t>
        </w:r>
      </w:smartTag>
      <w:r w:rsidRPr="0072741C">
        <w:rPr>
          <w:rFonts w:ascii="Times New Roman" w:hAnsi="Times New Roman" w:cs="Times New Roman"/>
          <w:sz w:val="24"/>
          <w:szCs w:val="24"/>
          <w:lang w:eastAsia="ja-JP"/>
        </w:rPr>
        <w:t xml:space="preserve"> (“Duke”</w:t>
      </w:r>
      <w:r>
        <w:rPr>
          <w:rFonts w:ascii="Times New Roman" w:hAnsi="Times New Roman" w:cs="Times New Roman"/>
          <w:sz w:val="24"/>
          <w:szCs w:val="24"/>
          <w:lang w:eastAsia="ja-JP"/>
        </w:rPr>
        <w:t xml:space="preserve"> or “Company”</w:t>
      </w:r>
      <w:r w:rsidRPr="0072741C">
        <w:rPr>
          <w:rFonts w:ascii="Times New Roman" w:hAnsi="Times New Roman" w:cs="Times New Roman"/>
          <w:sz w:val="24"/>
          <w:szCs w:val="24"/>
          <w:lang w:eastAsia="ja-JP"/>
        </w:rPr>
        <w:t>)</w:t>
      </w:r>
      <w:r w:rsidRPr="0072741C">
        <w:rPr>
          <w:rFonts w:ascii="Times New Roman" w:hAnsi="Times New Roman" w:cs="Times New Roman"/>
          <w:sz w:val="24"/>
          <w:szCs w:val="24"/>
        </w:rPr>
        <w:t xml:space="preserve"> because the </w:t>
      </w:r>
      <w:r w:rsidRPr="0072741C">
        <w:rPr>
          <w:rFonts w:ascii="Times New Roman" w:hAnsi="Times New Roman" w:cs="Times New Roman"/>
          <w:sz w:val="24"/>
          <w:szCs w:val="24"/>
          <w:lang w:eastAsia="ja-JP"/>
        </w:rPr>
        <w:t xml:space="preserve">Public Utilities Commission of Ohio (“PUCO” or “Commission”) </w:t>
      </w:r>
      <w:r w:rsidRPr="0072741C">
        <w:rPr>
          <w:rFonts w:ascii="Times New Roman" w:hAnsi="Times New Roman" w:cs="Times New Roman"/>
          <w:sz w:val="24"/>
          <w:szCs w:val="24"/>
        </w:rPr>
        <w:t xml:space="preserve">will determine the amount of money that </w:t>
      </w:r>
      <w:r>
        <w:rPr>
          <w:rFonts w:ascii="Times New Roman" w:hAnsi="Times New Roman" w:cs="Times New Roman"/>
          <w:sz w:val="24"/>
          <w:szCs w:val="24"/>
        </w:rPr>
        <w:t>they</w:t>
      </w:r>
      <w:r w:rsidRPr="0072741C">
        <w:rPr>
          <w:rFonts w:ascii="Times New Roman" w:hAnsi="Times New Roman" w:cs="Times New Roman"/>
          <w:sz w:val="24"/>
          <w:szCs w:val="24"/>
        </w:rPr>
        <w:t xml:space="preserve"> will pay for </w:t>
      </w:r>
      <w:r>
        <w:rPr>
          <w:rFonts w:ascii="Times New Roman" w:hAnsi="Times New Roman" w:cs="Times New Roman"/>
          <w:sz w:val="24"/>
          <w:szCs w:val="24"/>
        </w:rPr>
        <w:t>Duke’s</w:t>
      </w:r>
      <w:r w:rsidRPr="0072741C">
        <w:rPr>
          <w:rFonts w:ascii="Times New Roman" w:hAnsi="Times New Roman" w:cs="Times New Roman"/>
          <w:sz w:val="24"/>
          <w:szCs w:val="24"/>
        </w:rPr>
        <w:t xml:space="preserve"> energy efficiency and </w:t>
      </w:r>
      <w:r>
        <w:rPr>
          <w:rFonts w:ascii="Times New Roman" w:hAnsi="Times New Roman" w:cs="Times New Roman"/>
          <w:sz w:val="24"/>
          <w:szCs w:val="24"/>
        </w:rPr>
        <w:t xml:space="preserve">peak </w:t>
      </w:r>
      <w:r w:rsidRPr="0072741C">
        <w:rPr>
          <w:rFonts w:ascii="Times New Roman" w:hAnsi="Times New Roman" w:cs="Times New Roman"/>
          <w:sz w:val="24"/>
          <w:szCs w:val="24"/>
        </w:rPr>
        <w:t>demand re</w:t>
      </w:r>
      <w:r>
        <w:rPr>
          <w:rFonts w:ascii="Times New Roman" w:hAnsi="Times New Roman" w:cs="Times New Roman"/>
          <w:sz w:val="24"/>
          <w:szCs w:val="24"/>
        </w:rPr>
        <w:t>duction</w:t>
      </w:r>
      <w:r w:rsidRPr="0072741C">
        <w:rPr>
          <w:rFonts w:ascii="Times New Roman" w:hAnsi="Times New Roman" w:cs="Times New Roman"/>
          <w:sz w:val="24"/>
          <w:szCs w:val="24"/>
        </w:rPr>
        <w:t xml:space="preserve"> </w:t>
      </w:r>
      <w:r>
        <w:rPr>
          <w:rFonts w:ascii="Times New Roman" w:hAnsi="Times New Roman" w:cs="Times New Roman"/>
          <w:sz w:val="24"/>
          <w:szCs w:val="24"/>
        </w:rPr>
        <w:t xml:space="preserve">(“EE &amp; PDR”) </w:t>
      </w:r>
      <w:r w:rsidRPr="0072741C">
        <w:rPr>
          <w:rFonts w:ascii="Times New Roman" w:hAnsi="Times New Roman" w:cs="Times New Roman"/>
          <w:sz w:val="24"/>
          <w:szCs w:val="24"/>
        </w:rPr>
        <w:t xml:space="preserve">programs.  Specifically, Duke is requesting that </w:t>
      </w:r>
      <w:r>
        <w:rPr>
          <w:rFonts w:ascii="Times New Roman" w:hAnsi="Times New Roman" w:cs="Times New Roman"/>
          <w:sz w:val="24"/>
          <w:szCs w:val="24"/>
        </w:rPr>
        <w:t xml:space="preserve">its </w:t>
      </w:r>
      <w:r w:rsidRPr="0072741C">
        <w:rPr>
          <w:rFonts w:ascii="Times New Roman" w:hAnsi="Times New Roman" w:cs="Times New Roman"/>
          <w:sz w:val="24"/>
          <w:szCs w:val="24"/>
        </w:rPr>
        <w:t>customers pay for</w:t>
      </w:r>
      <w:r>
        <w:rPr>
          <w:rFonts w:ascii="Times New Roman" w:hAnsi="Times New Roman" w:cs="Times New Roman"/>
          <w:sz w:val="24"/>
          <w:szCs w:val="24"/>
        </w:rPr>
        <w:t xml:space="preserve"> what it claims to be its</w:t>
      </w:r>
      <w:r w:rsidRPr="0072741C">
        <w:rPr>
          <w:rFonts w:ascii="Times New Roman" w:hAnsi="Times New Roman" w:cs="Times New Roman"/>
          <w:sz w:val="24"/>
          <w:szCs w:val="24"/>
        </w:rPr>
        <w:t xml:space="preserve"> lost </w:t>
      </w:r>
      <w:r>
        <w:rPr>
          <w:rFonts w:ascii="Times New Roman" w:hAnsi="Times New Roman" w:cs="Times New Roman"/>
          <w:sz w:val="24"/>
          <w:szCs w:val="24"/>
        </w:rPr>
        <w:t>revenues</w:t>
      </w:r>
      <w:r w:rsidRPr="0072741C">
        <w:rPr>
          <w:rFonts w:ascii="Times New Roman" w:hAnsi="Times New Roman" w:cs="Times New Roman"/>
          <w:sz w:val="24"/>
          <w:szCs w:val="24"/>
        </w:rPr>
        <w:t xml:space="preserve"> associated with the energy efficiency impacts</w:t>
      </w:r>
      <w:r>
        <w:rPr>
          <w:rFonts w:ascii="Times New Roman" w:hAnsi="Times New Roman" w:cs="Times New Roman"/>
          <w:sz w:val="24"/>
          <w:szCs w:val="24"/>
        </w:rPr>
        <w:t>.  Duke also wants customers to pay for</w:t>
      </w:r>
      <w:r w:rsidRPr="0072741C">
        <w:rPr>
          <w:rFonts w:ascii="Times New Roman" w:hAnsi="Times New Roman" w:cs="Times New Roman"/>
          <w:sz w:val="24"/>
          <w:szCs w:val="24"/>
        </w:rPr>
        <w:t xml:space="preserve"> specific percentages of avoided costs achieved through its </w:t>
      </w:r>
      <w:r>
        <w:rPr>
          <w:rFonts w:ascii="Times New Roman" w:hAnsi="Times New Roman" w:cs="Times New Roman"/>
          <w:sz w:val="24"/>
          <w:szCs w:val="24"/>
        </w:rPr>
        <w:t>EE &amp; PDR</w:t>
      </w:r>
      <w:r w:rsidRPr="0072741C">
        <w:rPr>
          <w:rFonts w:ascii="Times New Roman" w:hAnsi="Times New Roman" w:cs="Times New Roman"/>
          <w:sz w:val="24"/>
          <w:szCs w:val="24"/>
        </w:rPr>
        <w:t xml:space="preserve"> programs </w:t>
      </w:r>
      <w:r>
        <w:rPr>
          <w:rFonts w:ascii="Times New Roman" w:hAnsi="Times New Roman" w:cs="Times New Roman"/>
          <w:sz w:val="24"/>
          <w:szCs w:val="24"/>
        </w:rPr>
        <w:t xml:space="preserve">and pay for an incentive </w:t>
      </w:r>
      <w:r w:rsidRPr="0072741C">
        <w:rPr>
          <w:rFonts w:ascii="Times New Roman" w:hAnsi="Times New Roman" w:cs="Times New Roman"/>
          <w:sz w:val="24"/>
          <w:szCs w:val="24"/>
        </w:rPr>
        <w:t xml:space="preserve">for </w:t>
      </w:r>
      <w:r>
        <w:rPr>
          <w:rFonts w:ascii="Times New Roman" w:hAnsi="Times New Roman" w:cs="Times New Roman"/>
          <w:sz w:val="24"/>
          <w:szCs w:val="24"/>
        </w:rPr>
        <w:t xml:space="preserve">Duke </w:t>
      </w:r>
      <w:r w:rsidRPr="0072741C">
        <w:rPr>
          <w:rFonts w:ascii="Times New Roman" w:hAnsi="Times New Roman" w:cs="Times New Roman"/>
          <w:sz w:val="24"/>
          <w:szCs w:val="24"/>
        </w:rPr>
        <w:t>exceeding</w:t>
      </w:r>
      <w:r>
        <w:rPr>
          <w:rFonts w:ascii="Times New Roman" w:hAnsi="Times New Roman" w:cs="Times New Roman"/>
          <w:sz w:val="24"/>
          <w:szCs w:val="24"/>
        </w:rPr>
        <w:t xml:space="preserve"> </w:t>
      </w:r>
      <w:r w:rsidRPr="0072741C">
        <w:rPr>
          <w:rFonts w:ascii="Times New Roman" w:hAnsi="Times New Roman" w:cs="Times New Roman"/>
          <w:sz w:val="24"/>
          <w:szCs w:val="24"/>
        </w:rPr>
        <w:t>the mandated benchmarks</w:t>
      </w:r>
      <w:r>
        <w:rPr>
          <w:rFonts w:ascii="Times New Roman" w:hAnsi="Times New Roman" w:cs="Times New Roman"/>
          <w:sz w:val="24"/>
          <w:szCs w:val="24"/>
        </w:rPr>
        <w:t xml:space="preserve"> in the law</w:t>
      </w:r>
      <w:r w:rsidRPr="0072741C">
        <w:rPr>
          <w:rFonts w:ascii="Times New Roman" w:hAnsi="Times New Roman" w:cs="Times New Roman"/>
          <w:sz w:val="24"/>
          <w:szCs w:val="24"/>
        </w:rPr>
        <w:t xml:space="preserve">. </w:t>
      </w:r>
    </w:p>
    <w:p w:rsidR="00672041" w:rsidRDefault="00672041" w:rsidP="0050146F">
      <w:pPr>
        <w:spacing w:after="0" w:line="480" w:lineRule="auto"/>
        <w:ind w:firstLine="720"/>
        <w:rPr>
          <w:rFonts w:ascii="Times New Roman" w:hAnsi="Times New Roman" w:cs="Times New Roman"/>
          <w:sz w:val="24"/>
          <w:szCs w:val="24"/>
          <w:lang w:eastAsia="ja-JP"/>
        </w:rPr>
      </w:pPr>
      <w:r>
        <w:rPr>
          <w:rFonts w:ascii="Times New Roman" w:hAnsi="Times New Roman" w:cs="Times New Roman"/>
          <w:bCs/>
          <w:sz w:val="24"/>
          <w:szCs w:val="24"/>
        </w:rPr>
        <w:t xml:space="preserve">In this proceeding, </w:t>
      </w:r>
      <w:r>
        <w:rPr>
          <w:rFonts w:ascii="Times New Roman" w:hAnsi="Times New Roman" w:cs="Times New Roman"/>
          <w:sz w:val="24"/>
          <w:szCs w:val="24"/>
          <w:lang w:eastAsia="ja-JP"/>
        </w:rPr>
        <w:t xml:space="preserve">the Commission will review the application to true-up the distribution reliability save-a-watt rider (“Rider DR-SAW”). By opinion and order issued December 17, 2008, in </w:t>
      </w:r>
      <w:r>
        <w:rPr>
          <w:rFonts w:ascii="Times New Roman" w:hAnsi="Times New Roman" w:cs="Times New Roman"/>
          <w:i/>
          <w:sz w:val="24"/>
          <w:szCs w:val="24"/>
          <w:lang w:eastAsia="ja-JP"/>
        </w:rPr>
        <w:t>In the Matter of the Application of Duke Energy Ohio, Inc., for Approval of an Electric Security Plan</w:t>
      </w:r>
      <w:r>
        <w:rPr>
          <w:rFonts w:ascii="Times New Roman" w:hAnsi="Times New Roman" w:cs="Times New Roman"/>
          <w:sz w:val="24"/>
          <w:szCs w:val="24"/>
          <w:lang w:eastAsia="ja-JP"/>
        </w:rPr>
        <w:t xml:space="preserve">, Case No. 08-920-EL-SSO, et al., the Commission approved a Stipulation and Recommendation (“Stipulation”) that provided for customers to pay for Duke’s energy efficiency and peak demand efforts through Rider DR-SAW. </w:t>
      </w:r>
    </w:p>
    <w:p w:rsidR="00672041" w:rsidRDefault="00672041" w:rsidP="0050146F">
      <w:pPr>
        <w:spacing w:after="0"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Rider DR-SAW was to expire on December 31, 2011. However, the Stipulation provides that </w:t>
      </w:r>
      <w:r>
        <w:rPr>
          <w:rFonts w:ascii="Times New Roman" w:hAnsi="Times New Roman" w:cs="Times New Roman"/>
          <w:sz w:val="26"/>
          <w:szCs w:val="26"/>
        </w:rPr>
        <w:t xml:space="preserve">Rider DR-SAW is </w:t>
      </w:r>
      <w:r>
        <w:rPr>
          <w:rFonts w:ascii="Times New Roman" w:hAnsi="Times New Roman" w:cs="Times New Roman"/>
          <w:sz w:val="24"/>
          <w:szCs w:val="24"/>
          <w:lang w:eastAsia="ja-JP"/>
        </w:rPr>
        <w:t xml:space="preserve">subject to a true-up, in the second quarter of 2012, to reconcile the amount that Duke collected compared to the amount that the Commission authorized Duke to collect. On June 29, 2012, Duke filed its application to true-up Rider DR-SAW. The Office of the Ohio Consumers’ Counsel (“OCC”) appreciates the opportunity to submit comments on behalf of the 455,000 residential electricity customers of Duke, to </w:t>
      </w:r>
      <w:r>
        <w:rPr>
          <w:rFonts w:ascii="Times New Roman" w:hAnsi="Times New Roman" w:cs="Times New Roman"/>
          <w:sz w:val="24"/>
          <w:szCs w:val="24"/>
        </w:rPr>
        <w:t>advocate that Duke’s customers should realize the benefits of cost-effective energy efficiency and peak demand programs while paying for no more than what is just and reasonable for those efforts</w:t>
      </w:r>
      <w:r>
        <w:rPr>
          <w:rFonts w:ascii="Times New Roman" w:hAnsi="Times New Roman" w:cs="Times New Roman"/>
          <w:sz w:val="24"/>
          <w:szCs w:val="24"/>
          <w:lang w:eastAsia="ja-JP"/>
        </w:rPr>
        <w:t>.</w:t>
      </w:r>
    </w:p>
    <w:p w:rsidR="00672041" w:rsidRDefault="00672041" w:rsidP="0050146F">
      <w:pPr>
        <w:spacing w:after="0" w:line="240" w:lineRule="auto"/>
        <w:ind w:firstLine="720"/>
        <w:rPr>
          <w:lang w:eastAsia="ja-JP"/>
        </w:rPr>
      </w:pPr>
    </w:p>
    <w:p w:rsidR="00672041" w:rsidRDefault="00672041" w:rsidP="00F00DBC">
      <w:pPr>
        <w:pStyle w:val="Heading1"/>
        <w:rPr>
          <w:lang w:eastAsia="ja-JP"/>
        </w:rPr>
      </w:pPr>
      <w:bookmarkStart w:id="2" w:name="_Toc337737699"/>
      <w:r>
        <w:rPr>
          <w:lang w:eastAsia="ja-JP"/>
        </w:rPr>
        <w:t>II.</w:t>
      </w:r>
      <w:r>
        <w:rPr>
          <w:lang w:eastAsia="ja-JP"/>
        </w:rPr>
        <w:tab/>
        <w:t>COMMENTS</w:t>
      </w:r>
      <w:bookmarkEnd w:id="2"/>
    </w:p>
    <w:p w:rsidR="00672041" w:rsidRPr="00F00DBC" w:rsidRDefault="00672041" w:rsidP="00F00DBC">
      <w:pPr>
        <w:pStyle w:val="Heading2"/>
      </w:pPr>
      <w:bookmarkStart w:id="3" w:name="_Toc337737700"/>
      <w:r w:rsidRPr="00F00DBC">
        <w:t>A.</w:t>
      </w:r>
      <w:r w:rsidRPr="00F00DBC">
        <w:tab/>
        <w:t>The Commission Should Reduce The Level Of Lost Revenues In Duke’s Calculation To Account For The Inappropriate Collection Of Generation Lost Revenues Attributed To Customers Who Shopped From January 1, 2009 Through December 9, 2009.</w:t>
      </w:r>
      <w:bookmarkEnd w:id="3"/>
    </w:p>
    <w:p w:rsidR="00672041" w:rsidRDefault="00672041" w:rsidP="0050146F">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Duke appears to have included the amount of lost </w:t>
      </w:r>
      <w:r w:rsidRPr="00761BCE">
        <w:rPr>
          <w:rFonts w:ascii="Times New Roman" w:hAnsi="Times New Roman"/>
          <w:sz w:val="24"/>
          <w:szCs w:val="24"/>
        </w:rPr>
        <w:t>generation revenues</w:t>
      </w:r>
      <w:r>
        <w:rPr>
          <w:rFonts w:ascii="Times New Roman" w:hAnsi="Times New Roman"/>
          <w:sz w:val="24"/>
          <w:szCs w:val="24"/>
        </w:rPr>
        <w:t xml:space="preserve"> attributed to shopping customers in the total amount of lost generation revenues</w:t>
      </w:r>
      <w:r w:rsidRPr="00761BCE">
        <w:rPr>
          <w:rFonts w:ascii="Times New Roman" w:hAnsi="Times New Roman"/>
          <w:sz w:val="24"/>
          <w:szCs w:val="24"/>
        </w:rPr>
        <w:t xml:space="preserve"> used in</w:t>
      </w:r>
      <w:r>
        <w:rPr>
          <w:rFonts w:ascii="Times New Roman" w:hAnsi="Times New Roman"/>
          <w:sz w:val="24"/>
          <w:szCs w:val="24"/>
        </w:rPr>
        <w:t xml:space="preserve"> its calculation of the Rider DR-SAW true-up</w:t>
      </w:r>
      <w:r w:rsidRPr="00761BCE">
        <w:rPr>
          <w:rFonts w:ascii="Times New Roman" w:hAnsi="Times New Roman"/>
          <w:sz w:val="24"/>
          <w:szCs w:val="24"/>
        </w:rPr>
        <w:t xml:space="preserve">. </w:t>
      </w:r>
      <w:r w:rsidRPr="00D66993">
        <w:rPr>
          <w:rFonts w:cs="Calibri"/>
          <w:sz w:val="22"/>
          <w:szCs w:val="22"/>
        </w:rPr>
        <w:t xml:space="preserve"> </w:t>
      </w:r>
      <w:r w:rsidRPr="00D66993">
        <w:rPr>
          <w:rFonts w:ascii="Times New Roman" w:hAnsi="Times New Roman"/>
          <w:sz w:val="24"/>
          <w:szCs w:val="24"/>
        </w:rPr>
        <w:t xml:space="preserve">That means Duke </w:t>
      </w:r>
      <w:r>
        <w:rPr>
          <w:rFonts w:ascii="Times New Roman" w:hAnsi="Times New Roman"/>
          <w:sz w:val="24"/>
          <w:szCs w:val="24"/>
        </w:rPr>
        <w:t>has</w:t>
      </w:r>
      <w:r w:rsidRPr="00D66993">
        <w:rPr>
          <w:rFonts w:ascii="Times New Roman" w:hAnsi="Times New Roman"/>
          <w:sz w:val="24"/>
          <w:szCs w:val="24"/>
        </w:rPr>
        <w:t xml:space="preserve"> collect</w:t>
      </w:r>
      <w:r>
        <w:rPr>
          <w:rFonts w:ascii="Times New Roman" w:hAnsi="Times New Roman"/>
          <w:sz w:val="24"/>
          <w:szCs w:val="24"/>
        </w:rPr>
        <w:t>ed</w:t>
      </w:r>
      <w:r w:rsidRPr="00D66993">
        <w:rPr>
          <w:rFonts w:ascii="Times New Roman" w:hAnsi="Times New Roman"/>
          <w:sz w:val="24"/>
          <w:szCs w:val="24"/>
        </w:rPr>
        <w:t xml:space="preserve"> from </w:t>
      </w:r>
      <w:r w:rsidRPr="00F00DBC">
        <w:rPr>
          <w:rFonts w:ascii="Times New Roman" w:hAnsi="Times New Roman"/>
          <w:sz w:val="24"/>
          <w:szCs w:val="24"/>
        </w:rPr>
        <w:t>shopping</w:t>
      </w:r>
      <w:r>
        <w:rPr>
          <w:rFonts w:ascii="Times New Roman" w:hAnsi="Times New Roman"/>
          <w:sz w:val="24"/>
          <w:szCs w:val="24"/>
        </w:rPr>
        <w:t xml:space="preserve"> </w:t>
      </w:r>
      <w:r w:rsidRPr="00D66993">
        <w:rPr>
          <w:rFonts w:ascii="Times New Roman" w:hAnsi="Times New Roman"/>
          <w:sz w:val="24"/>
          <w:szCs w:val="24"/>
        </w:rPr>
        <w:t xml:space="preserve">customers the </w:t>
      </w:r>
      <w:r>
        <w:rPr>
          <w:rFonts w:ascii="Times New Roman" w:hAnsi="Times New Roman"/>
          <w:sz w:val="24"/>
          <w:szCs w:val="24"/>
        </w:rPr>
        <w:t xml:space="preserve">lost generation </w:t>
      </w:r>
      <w:r w:rsidRPr="00D66993">
        <w:rPr>
          <w:rFonts w:ascii="Times New Roman" w:hAnsi="Times New Roman"/>
          <w:sz w:val="24"/>
          <w:szCs w:val="24"/>
        </w:rPr>
        <w:t>revenue</w:t>
      </w:r>
      <w:r>
        <w:rPr>
          <w:rFonts w:ascii="Times New Roman" w:hAnsi="Times New Roman"/>
          <w:sz w:val="24"/>
          <w:szCs w:val="24"/>
        </w:rPr>
        <w:t>s</w:t>
      </w:r>
      <w:r w:rsidRPr="00D66993">
        <w:rPr>
          <w:rFonts w:ascii="Times New Roman" w:hAnsi="Times New Roman"/>
          <w:sz w:val="24"/>
          <w:szCs w:val="24"/>
        </w:rPr>
        <w:t xml:space="preserve"> it lost due to competition.  That is wrong under the </w:t>
      </w:r>
      <w:r>
        <w:rPr>
          <w:rFonts w:ascii="Times New Roman" w:hAnsi="Times New Roman"/>
          <w:sz w:val="24"/>
          <w:szCs w:val="24"/>
        </w:rPr>
        <w:t xml:space="preserve">Rider DR-SAW mechanism established in the </w:t>
      </w:r>
      <w:r w:rsidRPr="00D66993">
        <w:rPr>
          <w:rFonts w:ascii="Times New Roman" w:hAnsi="Times New Roman"/>
          <w:sz w:val="24"/>
          <w:szCs w:val="24"/>
        </w:rPr>
        <w:t>Stipulation.</w:t>
      </w:r>
    </w:p>
    <w:p w:rsidR="00672041" w:rsidRPr="00761BCE" w:rsidRDefault="00672041" w:rsidP="0050146F">
      <w:pPr>
        <w:pStyle w:val="ListParagraph"/>
        <w:spacing w:line="480" w:lineRule="auto"/>
        <w:ind w:left="0" w:firstLine="720"/>
        <w:rPr>
          <w:rFonts w:ascii="Times New Roman" w:hAnsi="Times New Roman"/>
          <w:sz w:val="24"/>
          <w:szCs w:val="24"/>
        </w:rPr>
      </w:pPr>
      <w:r>
        <w:rPr>
          <w:rFonts w:ascii="Times New Roman" w:hAnsi="Times New Roman"/>
          <w:sz w:val="24"/>
          <w:szCs w:val="24"/>
        </w:rPr>
        <w:t>In Duke’s 1999 Portfolio case,</w:t>
      </w:r>
      <w:r>
        <w:rPr>
          <w:rStyle w:val="FootnoteReference"/>
          <w:rFonts w:ascii="Times New Roman" w:hAnsi="Times New Roman"/>
          <w:sz w:val="24"/>
          <w:szCs w:val="24"/>
        </w:rPr>
        <w:footnoteReference w:id="1"/>
      </w:r>
      <w:r>
        <w:rPr>
          <w:rFonts w:ascii="Times New Roman" w:hAnsi="Times New Roman"/>
          <w:sz w:val="24"/>
          <w:szCs w:val="24"/>
        </w:rPr>
        <w:t xml:space="preserve"> the Company indicated that it computes </w:t>
      </w:r>
      <w:r w:rsidRPr="00761BCE">
        <w:rPr>
          <w:rFonts w:ascii="Times New Roman" w:hAnsi="Times New Roman"/>
          <w:sz w:val="24"/>
          <w:szCs w:val="24"/>
        </w:rPr>
        <w:t xml:space="preserve">lost generation margins “On a monthly basis, </w:t>
      </w:r>
      <w:r>
        <w:rPr>
          <w:rFonts w:ascii="Times New Roman" w:hAnsi="Times New Roman"/>
          <w:sz w:val="24"/>
          <w:szCs w:val="24"/>
        </w:rPr>
        <w:t>***</w:t>
      </w:r>
      <w:r w:rsidRPr="00761BCE">
        <w:rPr>
          <w:rFonts w:ascii="Times New Roman" w:hAnsi="Times New Roman"/>
          <w:sz w:val="24"/>
          <w:szCs w:val="24"/>
        </w:rPr>
        <w:t xml:space="preserve"> by taking the tail-block rates (net of fuel, variable O&amp;M, and any riders that are subject to a true-up</w:t>
      </w:r>
      <w:r>
        <w:rPr>
          <w:rFonts w:ascii="Times New Roman" w:hAnsi="Times New Roman"/>
          <w:sz w:val="24"/>
          <w:szCs w:val="24"/>
        </w:rPr>
        <w:t xml:space="preserve">) times the kWh and kW saved. </w:t>
      </w:r>
      <w:r w:rsidRPr="00761BCE">
        <w:rPr>
          <w:rFonts w:ascii="Times New Roman" w:hAnsi="Times New Roman"/>
          <w:sz w:val="24"/>
          <w:szCs w:val="24"/>
        </w:rPr>
        <w:t>The Company then reduces the lost margins</w:t>
      </w:r>
      <w:r>
        <w:rPr>
          <w:rFonts w:ascii="Times New Roman" w:hAnsi="Times New Roman"/>
          <w:sz w:val="24"/>
          <w:szCs w:val="24"/>
        </w:rPr>
        <w:t xml:space="preserve"> ***</w:t>
      </w:r>
      <w:r w:rsidRPr="00761BCE">
        <w:rPr>
          <w:rFonts w:ascii="Times New Roman" w:hAnsi="Times New Roman"/>
          <w:sz w:val="24"/>
          <w:szCs w:val="24"/>
        </w:rPr>
        <w:t xml:space="preserve"> by the percentage of load (as measured by kWh) that has switched to alternate suppliers.”</w:t>
      </w:r>
      <w:r w:rsidRPr="00801D3D">
        <w:rPr>
          <w:rStyle w:val="FootnoteReference"/>
          <w:rFonts w:ascii="Times New Roman" w:hAnsi="Times New Roman"/>
          <w:sz w:val="24"/>
          <w:szCs w:val="24"/>
        </w:rPr>
        <w:footnoteReference w:id="2"/>
      </w:r>
    </w:p>
    <w:p w:rsidR="00672041" w:rsidRDefault="00672041" w:rsidP="0050146F">
      <w:pPr>
        <w:pStyle w:val="ListParagraph"/>
        <w:spacing w:line="480" w:lineRule="auto"/>
        <w:ind w:left="0" w:firstLine="720"/>
        <w:rPr>
          <w:rFonts w:ascii="Times New Roman" w:hAnsi="Times New Roman"/>
          <w:sz w:val="24"/>
          <w:szCs w:val="24"/>
        </w:rPr>
      </w:pPr>
      <w:r w:rsidRPr="00761BCE">
        <w:rPr>
          <w:rFonts w:ascii="Times New Roman" w:hAnsi="Times New Roman"/>
          <w:sz w:val="24"/>
          <w:szCs w:val="24"/>
        </w:rPr>
        <w:t xml:space="preserve">However, when asked in this case, “[w]hat were the annual shopping rates used in the calculation of those lost generation </w:t>
      </w:r>
      <w:r>
        <w:rPr>
          <w:rFonts w:ascii="Times New Roman" w:hAnsi="Times New Roman"/>
          <w:sz w:val="24"/>
          <w:szCs w:val="24"/>
        </w:rPr>
        <w:t>revenues,” Duke responded that</w:t>
      </w:r>
      <w:r w:rsidRPr="00761BCE">
        <w:rPr>
          <w:rFonts w:ascii="Times New Roman" w:hAnsi="Times New Roman"/>
          <w:sz w:val="24"/>
          <w:szCs w:val="24"/>
        </w:rPr>
        <w:t xml:space="preserve"> “[t]he Company</w:t>
      </w:r>
      <w:r w:rsidRPr="00801D3D">
        <w:rPr>
          <w:rFonts w:ascii="Times New Roman" w:hAnsi="Times New Roman"/>
          <w:sz w:val="24"/>
          <w:szCs w:val="24"/>
        </w:rPr>
        <w:t>’</w:t>
      </w:r>
      <w:r w:rsidRPr="00761BCE">
        <w:rPr>
          <w:rFonts w:ascii="Times New Roman" w:hAnsi="Times New Roman"/>
          <w:sz w:val="24"/>
          <w:szCs w:val="24"/>
        </w:rPr>
        <w:t>s lost revenue calculation assumed no shopping.”</w:t>
      </w:r>
      <w:r w:rsidRPr="00801D3D">
        <w:rPr>
          <w:rStyle w:val="FootnoteReference"/>
          <w:rFonts w:ascii="Times New Roman" w:hAnsi="Times New Roman"/>
          <w:sz w:val="24"/>
          <w:szCs w:val="24"/>
        </w:rPr>
        <w:footnoteReference w:id="3"/>
      </w:r>
      <w:r>
        <w:rPr>
          <w:rFonts w:ascii="Times New Roman" w:hAnsi="Times New Roman"/>
          <w:sz w:val="24"/>
          <w:szCs w:val="24"/>
        </w:rPr>
        <w:t xml:space="preserve"> But customers in Duke’s territory were shopping in 2009.</w:t>
      </w:r>
      <w:r>
        <w:rPr>
          <w:rStyle w:val="FootnoteReference"/>
          <w:rFonts w:ascii="Times New Roman" w:hAnsi="Times New Roman"/>
          <w:sz w:val="24"/>
          <w:szCs w:val="24"/>
        </w:rPr>
        <w:footnoteReference w:id="4"/>
      </w:r>
      <w:r>
        <w:rPr>
          <w:rFonts w:ascii="Times New Roman" w:hAnsi="Times New Roman"/>
          <w:sz w:val="24"/>
          <w:szCs w:val="24"/>
        </w:rPr>
        <w:t xml:space="preserve"> At the end of 2008, 2.55% of the total generation for Duke’s customers was being provided by competitive retail electric suppliers.</w:t>
      </w:r>
      <w:r>
        <w:rPr>
          <w:rStyle w:val="FootnoteReference"/>
          <w:rFonts w:ascii="Times New Roman" w:hAnsi="Times New Roman"/>
          <w:sz w:val="24"/>
          <w:szCs w:val="24"/>
        </w:rPr>
        <w:footnoteReference w:id="5"/>
      </w:r>
      <w:r>
        <w:rPr>
          <w:rFonts w:ascii="Times New Roman" w:hAnsi="Times New Roman"/>
          <w:sz w:val="24"/>
          <w:szCs w:val="24"/>
        </w:rPr>
        <w:t xml:space="preserve"> Yet, by the end of 2009, 41.54% of the total generation for Duke’s customers was being provided by competitive retail electric suppliers.</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672041" w:rsidRDefault="00672041" w:rsidP="0050146F">
      <w:pPr>
        <w:pStyle w:val="ListParagraph"/>
        <w:spacing w:line="480" w:lineRule="auto"/>
        <w:ind w:left="0" w:firstLine="720"/>
        <w:rPr>
          <w:rFonts w:ascii="Times New Roman" w:hAnsi="Times New Roman"/>
          <w:sz w:val="24"/>
          <w:szCs w:val="24"/>
        </w:rPr>
      </w:pPr>
      <w:r w:rsidRPr="00761BCE">
        <w:rPr>
          <w:rFonts w:ascii="Times New Roman" w:hAnsi="Times New Roman"/>
          <w:sz w:val="24"/>
          <w:szCs w:val="24"/>
        </w:rPr>
        <w:t xml:space="preserve">Therefore, the Company </w:t>
      </w:r>
      <w:r>
        <w:rPr>
          <w:rFonts w:ascii="Times New Roman" w:hAnsi="Times New Roman"/>
          <w:sz w:val="24"/>
          <w:szCs w:val="24"/>
        </w:rPr>
        <w:t xml:space="preserve">appears to have </w:t>
      </w:r>
      <w:r w:rsidRPr="00761BCE">
        <w:rPr>
          <w:rFonts w:ascii="Times New Roman" w:hAnsi="Times New Roman"/>
          <w:sz w:val="24"/>
          <w:szCs w:val="24"/>
        </w:rPr>
        <w:t>collected more generation lost revenue</w:t>
      </w:r>
      <w:r>
        <w:rPr>
          <w:rFonts w:ascii="Times New Roman" w:hAnsi="Times New Roman"/>
          <w:sz w:val="24"/>
          <w:szCs w:val="24"/>
        </w:rPr>
        <w:t>s</w:t>
      </w:r>
      <w:r w:rsidRPr="00761BCE">
        <w:rPr>
          <w:rFonts w:ascii="Times New Roman" w:hAnsi="Times New Roman"/>
          <w:sz w:val="24"/>
          <w:szCs w:val="24"/>
        </w:rPr>
        <w:t xml:space="preserve"> than </w:t>
      </w:r>
      <w:r>
        <w:rPr>
          <w:rFonts w:ascii="Times New Roman" w:hAnsi="Times New Roman"/>
          <w:sz w:val="24"/>
          <w:szCs w:val="24"/>
        </w:rPr>
        <w:t>it</w:t>
      </w:r>
      <w:r w:rsidRPr="00761BCE">
        <w:rPr>
          <w:rFonts w:ascii="Times New Roman" w:hAnsi="Times New Roman"/>
          <w:sz w:val="24"/>
          <w:szCs w:val="24"/>
        </w:rPr>
        <w:t xml:space="preserve"> w</w:t>
      </w:r>
      <w:r>
        <w:rPr>
          <w:rFonts w:ascii="Times New Roman" w:hAnsi="Times New Roman"/>
          <w:sz w:val="24"/>
          <w:szCs w:val="24"/>
        </w:rPr>
        <w:t>as</w:t>
      </w:r>
      <w:r w:rsidRPr="00761BCE">
        <w:rPr>
          <w:rFonts w:ascii="Times New Roman" w:hAnsi="Times New Roman"/>
          <w:sz w:val="24"/>
          <w:szCs w:val="24"/>
        </w:rPr>
        <w:t xml:space="preserve"> entitled to through the </w:t>
      </w:r>
      <w:r>
        <w:rPr>
          <w:rFonts w:ascii="Times New Roman" w:hAnsi="Times New Roman"/>
          <w:sz w:val="24"/>
          <w:szCs w:val="24"/>
        </w:rPr>
        <w:t xml:space="preserve">January 1, </w:t>
      </w:r>
      <w:r w:rsidRPr="00761BCE">
        <w:rPr>
          <w:rFonts w:ascii="Times New Roman" w:hAnsi="Times New Roman"/>
          <w:sz w:val="24"/>
          <w:szCs w:val="24"/>
        </w:rPr>
        <w:t>2009</w:t>
      </w:r>
      <w:r>
        <w:rPr>
          <w:rFonts w:ascii="Times New Roman" w:hAnsi="Times New Roman"/>
          <w:sz w:val="24"/>
          <w:szCs w:val="24"/>
        </w:rPr>
        <w:t xml:space="preserve"> through December 9, 2009</w:t>
      </w:r>
      <w:r w:rsidRPr="00761BCE">
        <w:rPr>
          <w:rFonts w:ascii="Times New Roman" w:hAnsi="Times New Roman"/>
          <w:sz w:val="24"/>
          <w:szCs w:val="24"/>
        </w:rPr>
        <w:t xml:space="preserve"> period</w:t>
      </w:r>
      <w:r>
        <w:rPr>
          <w:rFonts w:ascii="Times New Roman" w:hAnsi="Times New Roman"/>
          <w:sz w:val="24"/>
          <w:szCs w:val="24"/>
        </w:rPr>
        <w:t xml:space="preserve"> (the limited period when the Company was allowed to collect lost generation revenue) because it did not reduce the amount of lost revenues by the percentage of load that had switched to alternate suppliers. Accordingly, the Commission should require Duke to remove the amount of lost </w:t>
      </w:r>
      <w:r w:rsidRPr="00761BCE">
        <w:rPr>
          <w:rFonts w:ascii="Times New Roman" w:hAnsi="Times New Roman"/>
          <w:sz w:val="24"/>
          <w:szCs w:val="24"/>
        </w:rPr>
        <w:t>generation revenues</w:t>
      </w:r>
      <w:r>
        <w:rPr>
          <w:rFonts w:ascii="Times New Roman" w:hAnsi="Times New Roman"/>
          <w:sz w:val="24"/>
          <w:szCs w:val="24"/>
        </w:rPr>
        <w:t xml:space="preserve"> attributed to shopping customers from the total amount of lost </w:t>
      </w:r>
      <w:r w:rsidRPr="009E7A50">
        <w:rPr>
          <w:rFonts w:ascii="Times New Roman" w:hAnsi="Times New Roman"/>
          <w:sz w:val="24"/>
          <w:szCs w:val="24"/>
        </w:rPr>
        <w:t>generation</w:t>
      </w:r>
      <w:r>
        <w:rPr>
          <w:rFonts w:ascii="Times New Roman" w:hAnsi="Times New Roman"/>
          <w:sz w:val="24"/>
          <w:szCs w:val="24"/>
        </w:rPr>
        <w:t xml:space="preserve"> revenues used in the Rider DR-SAW </w:t>
      </w:r>
      <w:r w:rsidRPr="009E7A50">
        <w:rPr>
          <w:rFonts w:ascii="Times New Roman" w:hAnsi="Times New Roman"/>
          <w:sz w:val="24"/>
          <w:szCs w:val="24"/>
        </w:rPr>
        <w:t>calculation true-up.  Otherwise</w:t>
      </w:r>
      <w:r w:rsidRPr="00F00DBC">
        <w:rPr>
          <w:rFonts w:ascii="Times New Roman" w:hAnsi="Times New Roman"/>
          <w:sz w:val="24"/>
          <w:szCs w:val="24"/>
        </w:rPr>
        <w:t>, shopping</w:t>
      </w:r>
      <w:r w:rsidRPr="009E7A50">
        <w:rPr>
          <w:rFonts w:ascii="Times New Roman" w:hAnsi="Times New Roman"/>
          <w:sz w:val="24"/>
          <w:szCs w:val="24"/>
        </w:rPr>
        <w:t xml:space="preserve"> customers will end up paying more than their fair share.</w:t>
      </w:r>
    </w:p>
    <w:p w:rsidR="00672041" w:rsidRDefault="00672041" w:rsidP="00F00DBC">
      <w:pPr>
        <w:pStyle w:val="Heading2"/>
      </w:pPr>
      <w:r>
        <w:br w:type="page"/>
      </w:r>
      <w:bookmarkStart w:id="4" w:name="_Toc337737701"/>
      <w:r>
        <w:t>B.</w:t>
      </w:r>
      <w:r>
        <w:tab/>
      </w:r>
      <w:r w:rsidRPr="00761BCE">
        <w:t>The Commission Should Reduce Duke</w:t>
      </w:r>
      <w:r w:rsidRPr="00801D3D">
        <w:t>’</w:t>
      </w:r>
      <w:r w:rsidRPr="00761BCE">
        <w:t xml:space="preserve">s </w:t>
      </w:r>
      <w:r>
        <w:t>Proposed</w:t>
      </w:r>
      <w:r w:rsidRPr="00761BCE">
        <w:t xml:space="preserve"> Incentive Award</w:t>
      </w:r>
      <w:r>
        <w:t xml:space="preserve"> Calculation (And Potentially Reduce What Customers Will Pay)</w:t>
      </w:r>
      <w:r w:rsidRPr="00761BCE">
        <w:t xml:space="preserve"> To Account For The Lower Market</w:t>
      </w:r>
      <w:r>
        <w:t>-</w:t>
      </w:r>
      <w:r w:rsidRPr="00761BCE">
        <w:t>Based Avoided Capacity Costs In PJM.</w:t>
      </w:r>
      <w:bookmarkEnd w:id="4"/>
    </w:p>
    <w:p w:rsidR="00672041" w:rsidRDefault="00672041" w:rsidP="0050146F">
      <w:pPr>
        <w:pStyle w:val="ListParagraph"/>
        <w:spacing w:line="480" w:lineRule="auto"/>
        <w:ind w:left="0" w:firstLine="720"/>
        <w:rPr>
          <w:rFonts w:ascii="Times New Roman" w:hAnsi="Times New Roman"/>
          <w:sz w:val="24"/>
          <w:szCs w:val="24"/>
        </w:rPr>
      </w:pPr>
      <w:r w:rsidRPr="00761BCE">
        <w:rPr>
          <w:rFonts w:ascii="Times New Roman" w:hAnsi="Times New Roman"/>
          <w:sz w:val="24"/>
          <w:szCs w:val="24"/>
        </w:rPr>
        <w:t>A portion of the Duke SAW incentive is calculated based on the number of KW</w:t>
      </w:r>
      <w:r w:rsidRPr="00801D3D">
        <w:rPr>
          <w:rFonts w:ascii="Times New Roman" w:hAnsi="Times New Roman"/>
          <w:sz w:val="24"/>
          <w:szCs w:val="24"/>
        </w:rPr>
        <w:t>’</w:t>
      </w:r>
      <w:r w:rsidRPr="00761BCE">
        <w:rPr>
          <w:rFonts w:ascii="Times New Roman" w:hAnsi="Times New Roman"/>
          <w:sz w:val="24"/>
          <w:szCs w:val="24"/>
        </w:rPr>
        <w:t>s saved by the Company</w:t>
      </w:r>
      <w:r w:rsidRPr="00801D3D">
        <w:rPr>
          <w:rFonts w:ascii="Times New Roman" w:hAnsi="Times New Roman"/>
          <w:sz w:val="24"/>
          <w:szCs w:val="24"/>
        </w:rPr>
        <w:t>’</w:t>
      </w:r>
      <w:r w:rsidRPr="00761BCE">
        <w:rPr>
          <w:rFonts w:ascii="Times New Roman" w:hAnsi="Times New Roman"/>
          <w:sz w:val="24"/>
          <w:szCs w:val="24"/>
        </w:rPr>
        <w:t xml:space="preserve">s EE and PDR programs </w:t>
      </w:r>
      <w:r>
        <w:rPr>
          <w:rFonts w:ascii="Times New Roman" w:hAnsi="Times New Roman"/>
          <w:sz w:val="24"/>
          <w:szCs w:val="24"/>
        </w:rPr>
        <w:t xml:space="preserve">multiplied by </w:t>
      </w:r>
      <w:r w:rsidRPr="00761BCE">
        <w:rPr>
          <w:rFonts w:ascii="Times New Roman" w:hAnsi="Times New Roman"/>
          <w:sz w:val="24"/>
          <w:szCs w:val="24"/>
        </w:rPr>
        <w:t>the market</w:t>
      </w:r>
      <w:r>
        <w:rPr>
          <w:rFonts w:ascii="Times New Roman" w:hAnsi="Times New Roman"/>
          <w:sz w:val="24"/>
          <w:szCs w:val="24"/>
        </w:rPr>
        <w:t>-</w:t>
      </w:r>
      <w:r w:rsidRPr="00761BCE">
        <w:rPr>
          <w:rFonts w:ascii="Times New Roman" w:hAnsi="Times New Roman"/>
          <w:sz w:val="24"/>
          <w:szCs w:val="24"/>
        </w:rPr>
        <w:t>based rate, in $/year for each vintage as used in the Rider DR-SAW calculation each year.</w:t>
      </w:r>
      <w:r w:rsidRPr="00801D3D">
        <w:rPr>
          <w:rStyle w:val="FootnoteReference"/>
          <w:rFonts w:ascii="Times New Roman" w:hAnsi="Times New Roman"/>
          <w:sz w:val="24"/>
          <w:szCs w:val="24"/>
        </w:rPr>
        <w:footnoteReference w:id="7"/>
      </w:r>
      <w:r w:rsidRPr="00761BCE">
        <w:rPr>
          <w:rFonts w:ascii="Times New Roman" w:hAnsi="Times New Roman"/>
          <w:sz w:val="24"/>
          <w:szCs w:val="24"/>
        </w:rPr>
        <w:t xml:space="preserve"> The Company takes 75 percent of the avoided capacity savings towards its incentive.  </w:t>
      </w:r>
    </w:p>
    <w:p w:rsidR="00672041" w:rsidRPr="00761BCE" w:rsidRDefault="00672041" w:rsidP="0050146F">
      <w:pPr>
        <w:pStyle w:val="ListParagraph"/>
        <w:spacing w:line="480" w:lineRule="auto"/>
        <w:ind w:left="0" w:firstLine="720"/>
        <w:rPr>
          <w:rFonts w:ascii="Times New Roman" w:hAnsi="Times New Roman"/>
          <w:sz w:val="24"/>
          <w:szCs w:val="24"/>
        </w:rPr>
      </w:pPr>
      <w:r w:rsidRPr="00761BCE">
        <w:rPr>
          <w:rFonts w:ascii="Times New Roman" w:hAnsi="Times New Roman"/>
          <w:sz w:val="24"/>
          <w:szCs w:val="24"/>
        </w:rPr>
        <w:t xml:space="preserve">In developing </w:t>
      </w:r>
      <w:r>
        <w:rPr>
          <w:rFonts w:ascii="Times New Roman" w:hAnsi="Times New Roman"/>
          <w:sz w:val="24"/>
          <w:szCs w:val="24"/>
        </w:rPr>
        <w:t>its</w:t>
      </w:r>
      <w:r w:rsidRPr="00761BCE">
        <w:rPr>
          <w:rFonts w:ascii="Times New Roman" w:hAnsi="Times New Roman"/>
          <w:sz w:val="24"/>
          <w:szCs w:val="24"/>
        </w:rPr>
        <w:t xml:space="preserve"> avoided capacity savings, </w:t>
      </w:r>
      <w:r w:rsidRPr="009E7A50">
        <w:rPr>
          <w:rFonts w:ascii="Times New Roman" w:hAnsi="Times New Roman"/>
          <w:sz w:val="24"/>
          <w:szCs w:val="24"/>
        </w:rPr>
        <w:t>Duke appears to have used an annual dollar per KW rate ranging from $70.00 (or $191.78 $/MW-Day) in 2009 to $75.54 (or $206.96 $/MW-Day).</w:t>
      </w:r>
      <w:r w:rsidRPr="009E7A50">
        <w:rPr>
          <w:rStyle w:val="FootnoteReference"/>
          <w:rFonts w:ascii="Times New Roman" w:hAnsi="Times New Roman"/>
          <w:sz w:val="24"/>
          <w:szCs w:val="24"/>
        </w:rPr>
        <w:footnoteReference w:id="8"/>
      </w:r>
      <w:r>
        <w:rPr>
          <w:rFonts w:ascii="Times New Roman" w:hAnsi="Times New Roman"/>
          <w:sz w:val="24"/>
          <w:szCs w:val="24"/>
        </w:rPr>
        <w:t xml:space="preserve"> </w:t>
      </w:r>
      <w:r w:rsidRPr="009E7A50">
        <w:rPr>
          <w:rFonts w:ascii="Times New Roman" w:hAnsi="Times New Roman"/>
          <w:sz w:val="24"/>
          <w:szCs w:val="24"/>
        </w:rPr>
        <w:t>But Duke is a member of PJM. The Reliability Pricing Model</w:t>
      </w:r>
      <w:r>
        <w:rPr>
          <w:rFonts w:ascii="Times New Roman" w:hAnsi="Times New Roman"/>
          <w:sz w:val="24"/>
          <w:szCs w:val="24"/>
        </w:rPr>
        <w:t xml:space="preserve"> (“RPM”)</w:t>
      </w:r>
      <w:r w:rsidRPr="00761BCE">
        <w:rPr>
          <w:rFonts w:ascii="Times New Roman" w:hAnsi="Times New Roman"/>
          <w:sz w:val="24"/>
          <w:szCs w:val="24"/>
        </w:rPr>
        <w:t xml:space="preserve"> Base Residual Auction capacity clearing rates from 2009 to 2011 in PJM were</w:t>
      </w:r>
      <w:r>
        <w:rPr>
          <w:rFonts w:ascii="Times New Roman" w:hAnsi="Times New Roman"/>
          <w:sz w:val="24"/>
          <w:szCs w:val="24"/>
        </w:rPr>
        <w:t xml:space="preserve"> lower than Duke’s figures</w:t>
      </w:r>
      <w:r w:rsidRPr="00761BCE">
        <w:rPr>
          <w:rFonts w:ascii="Times New Roman" w:hAnsi="Times New Roman"/>
          <w:sz w:val="24"/>
          <w:szCs w:val="24"/>
        </w:rPr>
        <w:t>:</w:t>
      </w:r>
    </w:p>
    <w:p w:rsidR="00672041" w:rsidRPr="00761BCE" w:rsidRDefault="00672041" w:rsidP="0050146F">
      <w:pPr>
        <w:pStyle w:val="ListParagraph"/>
        <w:numPr>
          <w:ilvl w:val="0"/>
          <w:numId w:val="3"/>
        </w:numPr>
        <w:spacing w:line="480" w:lineRule="auto"/>
        <w:ind w:left="2160" w:hanging="720"/>
        <w:rPr>
          <w:rFonts w:ascii="Times New Roman" w:hAnsi="Times New Roman"/>
          <w:sz w:val="24"/>
          <w:szCs w:val="24"/>
        </w:rPr>
      </w:pPr>
      <w:r w:rsidRPr="00761BCE">
        <w:rPr>
          <w:rFonts w:ascii="Times New Roman" w:hAnsi="Times New Roman"/>
          <w:sz w:val="24"/>
          <w:szCs w:val="24"/>
        </w:rPr>
        <w:t>2008/2009 $111.92 $/MW-Day</w:t>
      </w:r>
    </w:p>
    <w:p w:rsidR="00672041" w:rsidRPr="00761BCE" w:rsidRDefault="00672041" w:rsidP="0050146F">
      <w:pPr>
        <w:pStyle w:val="ListParagraph"/>
        <w:numPr>
          <w:ilvl w:val="0"/>
          <w:numId w:val="3"/>
        </w:numPr>
        <w:spacing w:line="480" w:lineRule="auto"/>
        <w:ind w:left="2160" w:hanging="720"/>
        <w:rPr>
          <w:rFonts w:ascii="Times New Roman" w:hAnsi="Times New Roman"/>
          <w:sz w:val="24"/>
          <w:szCs w:val="24"/>
        </w:rPr>
      </w:pPr>
      <w:r w:rsidRPr="00761BCE">
        <w:rPr>
          <w:rFonts w:ascii="Times New Roman" w:hAnsi="Times New Roman"/>
          <w:sz w:val="24"/>
          <w:szCs w:val="24"/>
        </w:rPr>
        <w:t>2009/2010 $102.04 $/MW-Day</w:t>
      </w:r>
    </w:p>
    <w:p w:rsidR="00672041" w:rsidRPr="00761BCE" w:rsidRDefault="00672041" w:rsidP="0050146F">
      <w:pPr>
        <w:pStyle w:val="ListParagraph"/>
        <w:numPr>
          <w:ilvl w:val="0"/>
          <w:numId w:val="3"/>
        </w:numPr>
        <w:spacing w:line="480" w:lineRule="auto"/>
        <w:ind w:left="2160" w:hanging="720"/>
        <w:rPr>
          <w:rFonts w:ascii="Times New Roman" w:hAnsi="Times New Roman"/>
          <w:sz w:val="24"/>
          <w:szCs w:val="24"/>
        </w:rPr>
      </w:pPr>
      <w:r w:rsidRPr="00761BCE">
        <w:rPr>
          <w:rFonts w:ascii="Times New Roman" w:hAnsi="Times New Roman"/>
          <w:sz w:val="24"/>
          <w:szCs w:val="24"/>
        </w:rPr>
        <w:t>2010/2011 $174.29 $/MW-Day</w:t>
      </w:r>
    </w:p>
    <w:p w:rsidR="00672041" w:rsidRPr="00761BCE" w:rsidRDefault="00672041" w:rsidP="0050146F">
      <w:pPr>
        <w:pStyle w:val="ListParagraph"/>
        <w:numPr>
          <w:ilvl w:val="0"/>
          <w:numId w:val="3"/>
        </w:numPr>
        <w:spacing w:line="480" w:lineRule="auto"/>
        <w:ind w:left="2160" w:hanging="720"/>
        <w:rPr>
          <w:rFonts w:ascii="Times New Roman" w:hAnsi="Times New Roman"/>
          <w:sz w:val="24"/>
          <w:szCs w:val="24"/>
        </w:rPr>
      </w:pPr>
      <w:r w:rsidRPr="00761BCE">
        <w:rPr>
          <w:rFonts w:ascii="Times New Roman" w:hAnsi="Times New Roman"/>
          <w:sz w:val="24"/>
          <w:szCs w:val="24"/>
        </w:rPr>
        <w:t>2011/2012 $110.00 $/MW-Day</w:t>
      </w:r>
      <w:r w:rsidRPr="00801D3D">
        <w:rPr>
          <w:rStyle w:val="FootnoteReference"/>
          <w:rFonts w:ascii="Times New Roman" w:hAnsi="Times New Roman"/>
          <w:sz w:val="24"/>
          <w:szCs w:val="24"/>
        </w:rPr>
        <w:footnoteReference w:id="9"/>
      </w:r>
    </w:p>
    <w:p w:rsidR="00672041" w:rsidRPr="00761BCE" w:rsidRDefault="00672041" w:rsidP="0050146F">
      <w:pPr>
        <w:pStyle w:val="ListParagraph"/>
        <w:spacing w:line="480" w:lineRule="auto"/>
        <w:ind w:left="0" w:firstLine="720"/>
        <w:rPr>
          <w:rFonts w:ascii="Times New Roman" w:hAnsi="Times New Roman"/>
          <w:sz w:val="24"/>
          <w:szCs w:val="24"/>
        </w:rPr>
      </w:pPr>
      <w:r w:rsidRPr="00761BCE">
        <w:rPr>
          <w:rFonts w:ascii="Times New Roman" w:hAnsi="Times New Roman"/>
          <w:sz w:val="24"/>
          <w:szCs w:val="24"/>
        </w:rPr>
        <w:t>Using the PJM rates as a market rate proxy for capacity reveals that the avoided capacity costs used by Duke</w:t>
      </w:r>
      <w:r>
        <w:rPr>
          <w:rFonts w:ascii="Times New Roman" w:hAnsi="Times New Roman"/>
          <w:sz w:val="24"/>
          <w:szCs w:val="24"/>
        </w:rPr>
        <w:t xml:space="preserve"> in calculating its incentive are</w:t>
      </w:r>
      <w:r w:rsidRPr="00761BCE">
        <w:rPr>
          <w:rFonts w:ascii="Times New Roman" w:hAnsi="Times New Roman"/>
          <w:sz w:val="24"/>
          <w:szCs w:val="24"/>
        </w:rPr>
        <w:t xml:space="preserve"> almost double the market rate, except</w:t>
      </w:r>
      <w:r>
        <w:rPr>
          <w:rFonts w:ascii="Times New Roman" w:hAnsi="Times New Roman"/>
          <w:sz w:val="24"/>
          <w:szCs w:val="24"/>
        </w:rPr>
        <w:t xml:space="preserve"> for the 2010/2011 PJM year. </w:t>
      </w:r>
      <w:r w:rsidRPr="00761BCE">
        <w:rPr>
          <w:rFonts w:ascii="Times New Roman" w:hAnsi="Times New Roman"/>
          <w:sz w:val="24"/>
          <w:szCs w:val="24"/>
        </w:rPr>
        <w:t xml:space="preserve">The Company </w:t>
      </w:r>
      <w:r w:rsidRPr="00DF17C6">
        <w:rPr>
          <w:rFonts w:ascii="Times New Roman" w:hAnsi="Times New Roman"/>
          <w:sz w:val="24"/>
          <w:szCs w:val="24"/>
        </w:rPr>
        <w:t xml:space="preserve">should be required to recalculate its incentive using the applicable and lower PJM capacity rates which </w:t>
      </w:r>
      <w:r>
        <w:rPr>
          <w:rFonts w:ascii="Times New Roman" w:hAnsi="Times New Roman"/>
          <w:sz w:val="24"/>
          <w:szCs w:val="24"/>
        </w:rPr>
        <w:t>may</w:t>
      </w:r>
      <w:r w:rsidRPr="00DF17C6">
        <w:rPr>
          <w:rFonts w:ascii="Times New Roman" w:hAnsi="Times New Roman"/>
          <w:sz w:val="24"/>
          <w:szCs w:val="24"/>
        </w:rPr>
        <w:t xml:space="preserve"> result in customers paying less incentive to Duke. </w:t>
      </w:r>
    </w:p>
    <w:p w:rsidR="00672041" w:rsidRDefault="00672041" w:rsidP="00F00DBC">
      <w:pPr>
        <w:pStyle w:val="Heading2"/>
      </w:pPr>
      <w:bookmarkStart w:id="5" w:name="_Toc337737702"/>
      <w:r>
        <w:t xml:space="preserve">C. </w:t>
      </w:r>
      <w:r>
        <w:tab/>
      </w:r>
      <w:r w:rsidRPr="00761BCE">
        <w:t>The Commission Should Reduce Duke</w:t>
      </w:r>
      <w:r w:rsidRPr="00801D3D">
        <w:t>’</w:t>
      </w:r>
      <w:r w:rsidRPr="00761BCE">
        <w:t xml:space="preserve">s </w:t>
      </w:r>
      <w:r>
        <w:t>Proposed</w:t>
      </w:r>
      <w:r w:rsidRPr="00761BCE">
        <w:t xml:space="preserve"> Incentive Award</w:t>
      </w:r>
      <w:r>
        <w:t xml:space="preserve"> Calculation (And Potentially Reduce What Customers Will Pay)</w:t>
      </w:r>
      <w:r w:rsidRPr="00761BCE">
        <w:t xml:space="preserve"> To Account For </w:t>
      </w:r>
      <w:r>
        <w:t>Duke’s</w:t>
      </w:r>
      <w:r w:rsidRPr="00761BCE">
        <w:t xml:space="preserve"> Inappropriate Inclusion Of Transm</w:t>
      </w:r>
      <w:r>
        <w:t xml:space="preserve">ission And Distribution </w:t>
      </w:r>
      <w:r w:rsidRPr="00761BCE">
        <w:t>Avoided Costs.</w:t>
      </w:r>
      <w:bookmarkEnd w:id="5"/>
    </w:p>
    <w:p w:rsidR="00672041" w:rsidRDefault="00672041" w:rsidP="0050146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761BCE">
        <w:rPr>
          <w:rFonts w:ascii="Times New Roman" w:hAnsi="Times New Roman" w:cs="Times New Roman"/>
          <w:sz w:val="24"/>
          <w:szCs w:val="24"/>
        </w:rPr>
        <w:t xml:space="preserve">he </w:t>
      </w:r>
      <w:r>
        <w:rPr>
          <w:rFonts w:ascii="Times New Roman" w:hAnsi="Times New Roman" w:cs="Times New Roman"/>
          <w:sz w:val="24"/>
          <w:szCs w:val="24"/>
        </w:rPr>
        <w:t xml:space="preserve">Stipulation (approved by the Commission) that </w:t>
      </w:r>
      <w:r w:rsidRPr="00761BCE">
        <w:rPr>
          <w:rFonts w:ascii="Times New Roman" w:hAnsi="Times New Roman" w:cs="Times New Roman"/>
          <w:sz w:val="24"/>
          <w:szCs w:val="24"/>
        </w:rPr>
        <w:t>authorized the SAW cost-recovery mechanism</w:t>
      </w:r>
      <w:r>
        <w:rPr>
          <w:rFonts w:ascii="Times New Roman" w:hAnsi="Times New Roman" w:cs="Times New Roman"/>
          <w:sz w:val="24"/>
          <w:szCs w:val="24"/>
        </w:rPr>
        <w:t xml:space="preserve"> does not provide for the inclusion of</w:t>
      </w:r>
      <w:r w:rsidRPr="00761BCE">
        <w:rPr>
          <w:rFonts w:ascii="Times New Roman" w:hAnsi="Times New Roman" w:cs="Times New Roman"/>
          <w:sz w:val="24"/>
          <w:szCs w:val="24"/>
        </w:rPr>
        <w:t xml:space="preserve"> </w:t>
      </w:r>
      <w:r>
        <w:rPr>
          <w:rFonts w:ascii="Times New Roman" w:hAnsi="Times New Roman" w:cs="Times New Roman"/>
          <w:sz w:val="24"/>
          <w:szCs w:val="24"/>
        </w:rPr>
        <w:t>transmission and distribution (“</w:t>
      </w:r>
      <w:r w:rsidRPr="00761BCE">
        <w:rPr>
          <w:rFonts w:ascii="Times New Roman" w:hAnsi="Times New Roman" w:cs="Times New Roman"/>
          <w:sz w:val="24"/>
          <w:szCs w:val="24"/>
        </w:rPr>
        <w:t>T&amp;D</w:t>
      </w:r>
      <w:r>
        <w:rPr>
          <w:rFonts w:ascii="Times New Roman" w:hAnsi="Times New Roman" w:cs="Times New Roman"/>
          <w:sz w:val="24"/>
          <w:szCs w:val="24"/>
        </w:rPr>
        <w:t xml:space="preserve">”) </w:t>
      </w:r>
      <w:r w:rsidRPr="00761BCE">
        <w:rPr>
          <w:rFonts w:ascii="Times New Roman" w:hAnsi="Times New Roman" w:cs="Times New Roman"/>
          <w:sz w:val="24"/>
          <w:szCs w:val="24"/>
        </w:rPr>
        <w:t xml:space="preserve">avoided costs in </w:t>
      </w:r>
      <w:r>
        <w:rPr>
          <w:rFonts w:ascii="Times New Roman" w:hAnsi="Times New Roman" w:cs="Times New Roman"/>
          <w:sz w:val="24"/>
          <w:szCs w:val="24"/>
        </w:rPr>
        <w:t>the calculation of</w:t>
      </w:r>
      <w:r w:rsidRPr="00761BCE">
        <w:rPr>
          <w:rFonts w:ascii="Times New Roman" w:hAnsi="Times New Roman" w:cs="Times New Roman"/>
          <w:sz w:val="24"/>
          <w:szCs w:val="24"/>
        </w:rPr>
        <w:t xml:space="preserve"> the SAW incentive.</w:t>
      </w:r>
      <w:r w:rsidRPr="00801D3D">
        <w:rPr>
          <w:rStyle w:val="FootnoteReference"/>
          <w:rFonts w:ascii="Times New Roman" w:hAnsi="Times New Roman"/>
          <w:sz w:val="24"/>
          <w:szCs w:val="24"/>
        </w:rPr>
        <w:footnoteReference w:id="10"/>
      </w:r>
      <w:r w:rsidRPr="00761BC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61BCE">
        <w:rPr>
          <w:rFonts w:ascii="Times New Roman" w:hAnsi="Times New Roman" w:cs="Times New Roman"/>
          <w:sz w:val="24"/>
          <w:szCs w:val="24"/>
        </w:rPr>
        <w:t>Duke</w:t>
      </w:r>
      <w:r w:rsidRPr="00801D3D">
        <w:rPr>
          <w:rFonts w:ascii="Times New Roman" w:hAnsi="Times New Roman" w:cs="Times New Roman"/>
          <w:sz w:val="24"/>
          <w:szCs w:val="24"/>
        </w:rPr>
        <w:t>’</w:t>
      </w:r>
      <w:r w:rsidRPr="00761BCE">
        <w:rPr>
          <w:rFonts w:ascii="Times New Roman" w:hAnsi="Times New Roman" w:cs="Times New Roman"/>
          <w:sz w:val="24"/>
          <w:szCs w:val="24"/>
        </w:rPr>
        <w:t xml:space="preserve">s </w:t>
      </w:r>
      <w:r>
        <w:rPr>
          <w:rFonts w:ascii="Times New Roman" w:hAnsi="Times New Roman" w:cs="Times New Roman"/>
          <w:sz w:val="24"/>
          <w:szCs w:val="24"/>
        </w:rPr>
        <w:t>DR-</w:t>
      </w:r>
      <w:r w:rsidRPr="00761BCE">
        <w:rPr>
          <w:rFonts w:ascii="Times New Roman" w:hAnsi="Times New Roman" w:cs="Times New Roman"/>
          <w:sz w:val="24"/>
          <w:szCs w:val="24"/>
        </w:rPr>
        <w:t xml:space="preserve">SAW </w:t>
      </w:r>
      <w:r>
        <w:rPr>
          <w:rFonts w:ascii="Times New Roman" w:hAnsi="Times New Roman" w:cs="Times New Roman"/>
          <w:sz w:val="24"/>
          <w:szCs w:val="24"/>
        </w:rPr>
        <w:t xml:space="preserve">detailed five-page </w:t>
      </w:r>
      <w:r w:rsidRPr="00761BCE">
        <w:rPr>
          <w:rFonts w:ascii="Times New Roman" w:hAnsi="Times New Roman" w:cs="Times New Roman"/>
          <w:sz w:val="24"/>
          <w:szCs w:val="24"/>
        </w:rPr>
        <w:t xml:space="preserve">Tariff Sheet No. 107.1 </w:t>
      </w:r>
      <w:r>
        <w:rPr>
          <w:rFonts w:ascii="Times New Roman" w:hAnsi="Times New Roman" w:cs="Times New Roman"/>
          <w:sz w:val="24"/>
          <w:szCs w:val="24"/>
        </w:rPr>
        <w:t>(</w:t>
      </w:r>
      <w:r w:rsidRPr="00761BCE">
        <w:rPr>
          <w:rFonts w:ascii="Times New Roman" w:hAnsi="Times New Roman" w:cs="Times New Roman"/>
          <w:sz w:val="24"/>
          <w:szCs w:val="24"/>
        </w:rPr>
        <w:t>filed with the C</w:t>
      </w:r>
      <w:r>
        <w:rPr>
          <w:rFonts w:ascii="Times New Roman" w:hAnsi="Times New Roman" w:cs="Times New Roman"/>
          <w:sz w:val="24"/>
          <w:szCs w:val="24"/>
        </w:rPr>
        <w:t>ommission) does not include the use of T&amp;D avoided costs in the calculation of the SAW incentive. Furthermore</w:t>
      </w:r>
      <w:r w:rsidRPr="00761BCE">
        <w:rPr>
          <w:rFonts w:ascii="Times New Roman" w:hAnsi="Times New Roman" w:cs="Times New Roman"/>
          <w:sz w:val="24"/>
          <w:szCs w:val="24"/>
        </w:rPr>
        <w:t>, Company Witness Smith</w:t>
      </w:r>
      <w:r>
        <w:rPr>
          <w:rFonts w:ascii="Times New Roman" w:hAnsi="Times New Roman" w:cs="Times New Roman"/>
          <w:sz w:val="24"/>
          <w:szCs w:val="24"/>
        </w:rPr>
        <w:t>,</w:t>
      </w:r>
      <w:r w:rsidRPr="00761BCE">
        <w:rPr>
          <w:rFonts w:ascii="Times New Roman" w:hAnsi="Times New Roman" w:cs="Times New Roman"/>
          <w:sz w:val="24"/>
          <w:szCs w:val="24"/>
        </w:rPr>
        <w:t xml:space="preserve"> in his Supplemental Direct Testimony in Duke</w:t>
      </w:r>
      <w:r w:rsidRPr="00801D3D">
        <w:rPr>
          <w:rFonts w:ascii="Times New Roman" w:hAnsi="Times New Roman" w:cs="Times New Roman"/>
          <w:sz w:val="24"/>
          <w:szCs w:val="24"/>
        </w:rPr>
        <w:t>’</w:t>
      </w:r>
      <w:r w:rsidRPr="00761BCE">
        <w:rPr>
          <w:rFonts w:ascii="Times New Roman" w:hAnsi="Times New Roman" w:cs="Times New Roman"/>
          <w:sz w:val="24"/>
          <w:szCs w:val="24"/>
        </w:rPr>
        <w:t>s first ESP case</w:t>
      </w:r>
      <w:r>
        <w:rPr>
          <w:rFonts w:ascii="Times New Roman" w:hAnsi="Times New Roman" w:cs="Times New Roman"/>
          <w:sz w:val="24"/>
          <w:szCs w:val="24"/>
        </w:rPr>
        <w:t>,</w:t>
      </w:r>
      <w:r w:rsidRPr="00761BCE">
        <w:rPr>
          <w:rFonts w:ascii="Times New Roman" w:hAnsi="Times New Roman" w:cs="Times New Roman"/>
          <w:sz w:val="24"/>
          <w:szCs w:val="24"/>
        </w:rPr>
        <w:t xml:space="preserve"> indicates th</w:t>
      </w:r>
      <w:r>
        <w:rPr>
          <w:rFonts w:ascii="Times New Roman" w:hAnsi="Times New Roman" w:cs="Times New Roman"/>
          <w:sz w:val="24"/>
          <w:szCs w:val="24"/>
        </w:rPr>
        <w:t xml:space="preserve">at Company Witness Stevie “used </w:t>
      </w:r>
      <w:r w:rsidRPr="00761BCE">
        <w:rPr>
          <w:rFonts w:ascii="Times New Roman" w:hAnsi="Times New Roman" w:cs="Times New Roman"/>
          <w:sz w:val="24"/>
          <w:szCs w:val="24"/>
        </w:rPr>
        <w:t>an estimate of the green-field construction cost for new peaking plant capacity for purposes of valuing energy efficiency capacity,”</w:t>
      </w:r>
      <w:r w:rsidRPr="00801D3D">
        <w:rPr>
          <w:rStyle w:val="FootnoteReference"/>
          <w:rFonts w:ascii="Times New Roman" w:hAnsi="Times New Roman"/>
          <w:sz w:val="24"/>
          <w:szCs w:val="24"/>
        </w:rPr>
        <w:footnoteReference w:id="11"/>
      </w:r>
      <w:r w:rsidRPr="00761BCE">
        <w:rPr>
          <w:rFonts w:ascii="Times New Roman" w:hAnsi="Times New Roman" w:cs="Times New Roman"/>
          <w:sz w:val="24"/>
          <w:szCs w:val="24"/>
        </w:rPr>
        <w:t xml:space="preserve"> not T&amp;D. </w:t>
      </w:r>
      <w:r>
        <w:rPr>
          <w:rFonts w:ascii="Times New Roman" w:hAnsi="Times New Roman" w:cs="Times New Roman"/>
          <w:sz w:val="24"/>
          <w:szCs w:val="24"/>
        </w:rPr>
        <w:t xml:space="preserve">Yet it </w:t>
      </w:r>
      <w:r w:rsidRPr="00761BCE">
        <w:rPr>
          <w:rFonts w:ascii="Times New Roman" w:hAnsi="Times New Roman" w:cs="Times New Roman"/>
          <w:sz w:val="24"/>
          <w:szCs w:val="24"/>
        </w:rPr>
        <w:t xml:space="preserve">appears </w:t>
      </w:r>
      <w:r>
        <w:rPr>
          <w:rFonts w:ascii="Times New Roman" w:hAnsi="Times New Roman" w:cs="Times New Roman"/>
          <w:sz w:val="24"/>
          <w:szCs w:val="24"/>
        </w:rPr>
        <w:t xml:space="preserve">that Duke included </w:t>
      </w:r>
      <w:r w:rsidRPr="00761BCE">
        <w:rPr>
          <w:rFonts w:ascii="Times New Roman" w:hAnsi="Times New Roman" w:cs="Times New Roman"/>
          <w:sz w:val="24"/>
          <w:szCs w:val="24"/>
        </w:rPr>
        <w:t>T&amp;D</w:t>
      </w:r>
      <w:r>
        <w:rPr>
          <w:rFonts w:ascii="Times New Roman" w:hAnsi="Times New Roman" w:cs="Times New Roman"/>
          <w:sz w:val="24"/>
          <w:szCs w:val="24"/>
        </w:rPr>
        <w:t xml:space="preserve"> avoided costs i</w:t>
      </w:r>
      <w:r w:rsidRPr="00761BCE">
        <w:rPr>
          <w:rFonts w:ascii="Times New Roman" w:hAnsi="Times New Roman" w:cs="Times New Roman"/>
          <w:sz w:val="24"/>
          <w:szCs w:val="24"/>
        </w:rPr>
        <w:t>n i</w:t>
      </w:r>
      <w:r>
        <w:rPr>
          <w:rFonts w:ascii="Times New Roman" w:hAnsi="Times New Roman" w:cs="Times New Roman"/>
          <w:sz w:val="24"/>
          <w:szCs w:val="24"/>
        </w:rPr>
        <w:t xml:space="preserve">ts calculation of the incentive. </w:t>
      </w:r>
      <w:r w:rsidRPr="00761BCE">
        <w:rPr>
          <w:rFonts w:ascii="Times New Roman" w:hAnsi="Times New Roman" w:cs="Times New Roman"/>
          <w:sz w:val="24"/>
          <w:szCs w:val="24"/>
        </w:rPr>
        <w:t>The</w:t>
      </w:r>
      <w:r>
        <w:rPr>
          <w:rFonts w:ascii="Times New Roman" w:hAnsi="Times New Roman" w:cs="Times New Roman"/>
          <w:sz w:val="24"/>
          <w:szCs w:val="24"/>
        </w:rPr>
        <w:t xml:space="preserve"> </w:t>
      </w:r>
      <w:r w:rsidRPr="00761BCE">
        <w:rPr>
          <w:rFonts w:ascii="Times New Roman" w:hAnsi="Times New Roman" w:cs="Times New Roman"/>
          <w:sz w:val="24"/>
          <w:szCs w:val="24"/>
        </w:rPr>
        <w:t>T&amp;D</w:t>
      </w:r>
      <w:r>
        <w:rPr>
          <w:rFonts w:ascii="Times New Roman" w:hAnsi="Times New Roman" w:cs="Times New Roman"/>
          <w:sz w:val="24"/>
          <w:szCs w:val="24"/>
        </w:rPr>
        <w:t xml:space="preserve"> avoided costs </w:t>
      </w:r>
      <w:r w:rsidRPr="00761BCE">
        <w:rPr>
          <w:rFonts w:ascii="Times New Roman" w:hAnsi="Times New Roman" w:cs="Times New Roman"/>
          <w:sz w:val="24"/>
          <w:szCs w:val="24"/>
        </w:rPr>
        <w:t>range from $2</w:t>
      </w:r>
      <w:r>
        <w:rPr>
          <w:rFonts w:ascii="Times New Roman" w:hAnsi="Times New Roman" w:cs="Times New Roman"/>
          <w:sz w:val="24"/>
          <w:szCs w:val="24"/>
        </w:rPr>
        <w:t>4</w:t>
      </w:r>
      <w:r w:rsidRPr="00761BCE">
        <w:rPr>
          <w:rFonts w:ascii="Times New Roman" w:hAnsi="Times New Roman" w:cs="Times New Roman"/>
          <w:sz w:val="24"/>
          <w:szCs w:val="24"/>
        </w:rPr>
        <w:t xml:space="preserve"> to $</w:t>
      </w:r>
      <w:r>
        <w:rPr>
          <w:rFonts w:ascii="Times New Roman" w:hAnsi="Times New Roman" w:cs="Times New Roman"/>
          <w:sz w:val="24"/>
          <w:szCs w:val="24"/>
        </w:rPr>
        <w:t>48</w:t>
      </w:r>
      <w:r w:rsidRPr="00761BCE">
        <w:rPr>
          <w:rFonts w:ascii="Times New Roman" w:hAnsi="Times New Roman" w:cs="Times New Roman"/>
          <w:sz w:val="24"/>
          <w:szCs w:val="24"/>
        </w:rPr>
        <w:t xml:space="preserve"> per kW</w:t>
      </w:r>
      <w:r>
        <w:rPr>
          <w:rFonts w:ascii="Times New Roman" w:hAnsi="Times New Roman" w:cs="Times New Roman"/>
          <w:sz w:val="24"/>
          <w:szCs w:val="24"/>
        </w:rPr>
        <w:t>/</w:t>
      </w:r>
      <w:r w:rsidRPr="00761BCE">
        <w:rPr>
          <w:rFonts w:ascii="Times New Roman" w:hAnsi="Times New Roman" w:cs="Times New Roman"/>
          <w:sz w:val="24"/>
          <w:szCs w:val="24"/>
        </w:rPr>
        <w:t>year over a 25 year modeling horizon.</w:t>
      </w:r>
      <w:r w:rsidRPr="00801D3D">
        <w:rPr>
          <w:rStyle w:val="FootnoteReference"/>
          <w:rFonts w:ascii="Times New Roman" w:hAnsi="Times New Roman"/>
          <w:sz w:val="24"/>
          <w:szCs w:val="24"/>
        </w:rPr>
        <w:footnoteReference w:id="12"/>
      </w:r>
      <w:r>
        <w:rPr>
          <w:rFonts w:ascii="Times New Roman" w:hAnsi="Times New Roman" w:cs="Times New Roman"/>
          <w:sz w:val="24"/>
          <w:szCs w:val="24"/>
        </w:rPr>
        <w:t xml:space="preserve"> T</w:t>
      </w:r>
      <w:r w:rsidRPr="00761BCE">
        <w:rPr>
          <w:rFonts w:ascii="Times New Roman" w:hAnsi="Times New Roman" w:cs="Times New Roman"/>
          <w:sz w:val="24"/>
          <w:szCs w:val="24"/>
        </w:rPr>
        <w:t xml:space="preserve">he Company should </w:t>
      </w:r>
      <w:r>
        <w:rPr>
          <w:rFonts w:ascii="Times New Roman" w:hAnsi="Times New Roman" w:cs="Times New Roman"/>
          <w:sz w:val="24"/>
          <w:szCs w:val="24"/>
        </w:rPr>
        <w:t xml:space="preserve">be required to </w:t>
      </w:r>
      <w:r w:rsidRPr="00761BCE">
        <w:rPr>
          <w:rFonts w:ascii="Times New Roman" w:hAnsi="Times New Roman" w:cs="Times New Roman"/>
          <w:sz w:val="24"/>
          <w:szCs w:val="24"/>
        </w:rPr>
        <w:t>remove a</w:t>
      </w:r>
      <w:r>
        <w:rPr>
          <w:rFonts w:ascii="Times New Roman" w:hAnsi="Times New Roman" w:cs="Times New Roman"/>
          <w:sz w:val="24"/>
          <w:szCs w:val="24"/>
        </w:rPr>
        <w:t>ll</w:t>
      </w:r>
      <w:r w:rsidRPr="00761BCE">
        <w:rPr>
          <w:rFonts w:ascii="Times New Roman" w:hAnsi="Times New Roman" w:cs="Times New Roman"/>
          <w:sz w:val="24"/>
          <w:szCs w:val="24"/>
        </w:rPr>
        <w:t xml:space="preserve"> T&amp;D related avoided cost</w:t>
      </w:r>
      <w:r>
        <w:rPr>
          <w:rFonts w:ascii="Times New Roman" w:hAnsi="Times New Roman" w:cs="Times New Roman"/>
          <w:sz w:val="24"/>
          <w:szCs w:val="24"/>
        </w:rPr>
        <w:t>s</w:t>
      </w:r>
      <w:r w:rsidRPr="00761BCE">
        <w:rPr>
          <w:rFonts w:ascii="Times New Roman" w:hAnsi="Times New Roman" w:cs="Times New Roman"/>
          <w:sz w:val="24"/>
          <w:szCs w:val="24"/>
        </w:rPr>
        <w:t xml:space="preserve"> from its incentive</w:t>
      </w:r>
      <w:r>
        <w:rPr>
          <w:rFonts w:ascii="Times New Roman" w:hAnsi="Times New Roman" w:cs="Times New Roman"/>
          <w:sz w:val="24"/>
          <w:szCs w:val="24"/>
        </w:rPr>
        <w:t xml:space="preserve"> calculation, so that customers are not charged for an overly inflated incentive payment.  </w:t>
      </w:r>
    </w:p>
    <w:p w:rsidR="00672041" w:rsidRDefault="00672041" w:rsidP="00F00DBC">
      <w:pPr>
        <w:pStyle w:val="Heading2"/>
      </w:pPr>
      <w:bookmarkStart w:id="6" w:name="_Toc337737703"/>
      <w:r>
        <w:t>D.</w:t>
      </w:r>
      <w:r>
        <w:tab/>
      </w:r>
      <w:r w:rsidRPr="00761BCE">
        <w:t>The Commission Should Reduce Duke</w:t>
      </w:r>
      <w:r w:rsidRPr="00801D3D">
        <w:t>’</w:t>
      </w:r>
      <w:r w:rsidRPr="00761BCE">
        <w:t xml:space="preserve">s </w:t>
      </w:r>
      <w:r>
        <w:t xml:space="preserve">Proposed </w:t>
      </w:r>
      <w:r w:rsidRPr="00761BCE">
        <w:t>Incentive Award</w:t>
      </w:r>
      <w:r>
        <w:t xml:space="preserve"> Calculation (And Potentially Reduce What Customers Will Pay)</w:t>
      </w:r>
      <w:r w:rsidRPr="00761BCE">
        <w:t xml:space="preserve"> To Account For The Lower Company Program Savings Emanating From The Recent Ohio Independent Evaluator Study</w:t>
      </w:r>
      <w:r>
        <w:t>.</w:t>
      </w:r>
      <w:bookmarkEnd w:id="6"/>
    </w:p>
    <w:p w:rsidR="00672041" w:rsidRPr="00761BCE" w:rsidRDefault="00672041" w:rsidP="0050146F">
      <w:pPr>
        <w:spacing w:line="480" w:lineRule="auto"/>
        <w:ind w:firstLine="720"/>
        <w:rPr>
          <w:rFonts w:ascii="Times New Roman" w:hAnsi="Times New Roman" w:cs="Times New Roman"/>
          <w:sz w:val="24"/>
          <w:szCs w:val="24"/>
        </w:rPr>
      </w:pPr>
      <w:r w:rsidRPr="00761BCE">
        <w:rPr>
          <w:rFonts w:ascii="Times New Roman" w:hAnsi="Times New Roman" w:cs="Times New Roman"/>
          <w:sz w:val="24"/>
          <w:szCs w:val="24"/>
        </w:rPr>
        <w:t>One of the key variables driving the shared savings component of the SAW mechanism are energy and demand savings attributed to Duke</w:t>
      </w:r>
      <w:r w:rsidRPr="00801D3D">
        <w:rPr>
          <w:rFonts w:ascii="Times New Roman" w:hAnsi="Times New Roman" w:cs="Times New Roman"/>
          <w:sz w:val="24"/>
          <w:szCs w:val="24"/>
        </w:rPr>
        <w:t>’</w:t>
      </w:r>
      <w:r w:rsidRPr="00761BCE">
        <w:rPr>
          <w:rFonts w:ascii="Times New Roman" w:hAnsi="Times New Roman" w:cs="Times New Roman"/>
          <w:sz w:val="24"/>
          <w:szCs w:val="24"/>
        </w:rPr>
        <w:t xml:space="preserve">s energy efficiency and peak demand reduction efforts. On August 29, 2012, </w:t>
      </w:r>
      <w:r>
        <w:rPr>
          <w:rFonts w:ascii="Times New Roman" w:hAnsi="Times New Roman" w:cs="Times New Roman"/>
          <w:sz w:val="24"/>
          <w:szCs w:val="24"/>
        </w:rPr>
        <w:t>the Report</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of </w:t>
      </w:r>
      <w:r w:rsidRPr="00761BCE">
        <w:rPr>
          <w:rFonts w:ascii="Times New Roman" w:hAnsi="Times New Roman" w:cs="Times New Roman"/>
          <w:sz w:val="24"/>
          <w:szCs w:val="24"/>
        </w:rPr>
        <w:t xml:space="preserve">an </w:t>
      </w:r>
      <w:r>
        <w:rPr>
          <w:rFonts w:ascii="Times New Roman" w:hAnsi="Times New Roman" w:cs="Times New Roman"/>
          <w:sz w:val="24"/>
          <w:szCs w:val="24"/>
        </w:rPr>
        <w:t>I</w:t>
      </w:r>
      <w:r w:rsidRPr="00761BCE">
        <w:rPr>
          <w:rFonts w:ascii="Times New Roman" w:hAnsi="Times New Roman" w:cs="Times New Roman"/>
          <w:sz w:val="24"/>
          <w:szCs w:val="24"/>
        </w:rPr>
        <w:t xml:space="preserve">ndependent </w:t>
      </w:r>
      <w:r>
        <w:rPr>
          <w:rFonts w:ascii="Times New Roman" w:hAnsi="Times New Roman" w:cs="Times New Roman"/>
          <w:sz w:val="24"/>
          <w:szCs w:val="24"/>
        </w:rPr>
        <w:t>E</w:t>
      </w:r>
      <w:r w:rsidRPr="00761BCE">
        <w:rPr>
          <w:rFonts w:ascii="Times New Roman" w:hAnsi="Times New Roman" w:cs="Times New Roman"/>
          <w:sz w:val="24"/>
          <w:szCs w:val="24"/>
        </w:rPr>
        <w:t xml:space="preserve">valuator </w:t>
      </w:r>
      <w:r>
        <w:rPr>
          <w:rFonts w:ascii="Times New Roman" w:hAnsi="Times New Roman" w:cs="Times New Roman"/>
          <w:sz w:val="24"/>
          <w:szCs w:val="24"/>
        </w:rPr>
        <w:t>(</w:t>
      </w:r>
      <w:r w:rsidRPr="00761BCE">
        <w:rPr>
          <w:rFonts w:ascii="Times New Roman" w:hAnsi="Times New Roman" w:cs="Times New Roman"/>
          <w:sz w:val="24"/>
          <w:szCs w:val="24"/>
        </w:rPr>
        <w:t>hired by the Commission</w:t>
      </w:r>
      <w:r>
        <w:rPr>
          <w:rFonts w:ascii="Times New Roman" w:hAnsi="Times New Roman" w:cs="Times New Roman"/>
          <w:sz w:val="24"/>
          <w:szCs w:val="24"/>
        </w:rPr>
        <w:t xml:space="preserve"> to assist in the review and monitoring of Ohio’s electric utilities’ energy efficiency programs) was filed. That R</w:t>
      </w:r>
      <w:r w:rsidRPr="00761BCE">
        <w:rPr>
          <w:rFonts w:ascii="Times New Roman" w:hAnsi="Times New Roman" w:cs="Times New Roman"/>
          <w:sz w:val="24"/>
          <w:szCs w:val="24"/>
        </w:rPr>
        <w:t xml:space="preserve">eport contains </w:t>
      </w:r>
      <w:r>
        <w:rPr>
          <w:rFonts w:ascii="Times New Roman" w:hAnsi="Times New Roman" w:cs="Times New Roman"/>
          <w:sz w:val="24"/>
          <w:szCs w:val="24"/>
        </w:rPr>
        <w:t xml:space="preserve">the findings and recommendation from </w:t>
      </w:r>
      <w:r w:rsidRPr="00761BCE">
        <w:rPr>
          <w:rFonts w:ascii="Times New Roman" w:hAnsi="Times New Roman" w:cs="Times New Roman"/>
          <w:sz w:val="24"/>
          <w:szCs w:val="24"/>
        </w:rPr>
        <w:t>a review of the program savings estimates used by Duke over the 2009 and 2010 period.</w:t>
      </w:r>
      <w:r w:rsidRPr="00801D3D">
        <w:rPr>
          <w:rStyle w:val="FootnoteReference"/>
          <w:rFonts w:ascii="Times New Roman" w:hAnsi="Times New Roman"/>
          <w:sz w:val="24"/>
          <w:szCs w:val="24"/>
        </w:rPr>
        <w:footnoteReference w:id="14"/>
      </w:r>
      <w:r>
        <w:rPr>
          <w:rFonts w:ascii="Times New Roman" w:hAnsi="Times New Roman" w:cs="Times New Roman"/>
          <w:sz w:val="24"/>
          <w:szCs w:val="24"/>
        </w:rPr>
        <w:t xml:space="preserve"> </w:t>
      </w:r>
      <w:r w:rsidRPr="00761BCE">
        <w:rPr>
          <w:rFonts w:ascii="Times New Roman" w:hAnsi="Times New Roman" w:cs="Times New Roman"/>
          <w:sz w:val="24"/>
          <w:szCs w:val="24"/>
        </w:rPr>
        <w:t xml:space="preserve">The Report lists a number of instances where Duke appears to have overestimated the energy savings of </w:t>
      </w:r>
      <w:r>
        <w:rPr>
          <w:rFonts w:ascii="Times New Roman" w:hAnsi="Times New Roman" w:cs="Times New Roman"/>
          <w:sz w:val="24"/>
          <w:szCs w:val="24"/>
        </w:rPr>
        <w:t>its</w:t>
      </w:r>
      <w:r w:rsidRPr="00761BCE">
        <w:rPr>
          <w:rFonts w:ascii="Times New Roman" w:hAnsi="Times New Roman" w:cs="Times New Roman"/>
          <w:sz w:val="24"/>
          <w:szCs w:val="24"/>
        </w:rPr>
        <w:t xml:space="preserve"> program</w:t>
      </w:r>
      <w:r>
        <w:rPr>
          <w:rFonts w:ascii="Times New Roman" w:hAnsi="Times New Roman" w:cs="Times New Roman"/>
          <w:sz w:val="24"/>
          <w:szCs w:val="24"/>
        </w:rPr>
        <w:t>s</w:t>
      </w:r>
      <w:r w:rsidRPr="00761BCE">
        <w:rPr>
          <w:rFonts w:ascii="Times New Roman" w:hAnsi="Times New Roman" w:cs="Times New Roman"/>
          <w:sz w:val="24"/>
          <w:szCs w:val="24"/>
        </w:rPr>
        <w:t>. For example:</w:t>
      </w:r>
    </w:p>
    <w:p w:rsidR="00672041" w:rsidRPr="00761BCE" w:rsidRDefault="00672041" w:rsidP="0050146F">
      <w:pPr>
        <w:pStyle w:val="ListParagraph"/>
        <w:numPr>
          <w:ilvl w:val="0"/>
          <w:numId w:val="4"/>
        </w:numPr>
        <w:spacing w:line="480" w:lineRule="auto"/>
        <w:ind w:right="720" w:hanging="720"/>
        <w:rPr>
          <w:rFonts w:ascii="Times New Roman" w:hAnsi="Times New Roman"/>
          <w:sz w:val="24"/>
          <w:szCs w:val="24"/>
        </w:rPr>
      </w:pPr>
      <w:r w:rsidRPr="00761BCE">
        <w:rPr>
          <w:rFonts w:ascii="Times New Roman" w:hAnsi="Times New Roman"/>
          <w:sz w:val="24"/>
          <w:szCs w:val="24"/>
        </w:rPr>
        <w:t xml:space="preserve">Duke assumed the install rates for CFLs at 100 percent where the draft Ohio TRM suggests an installation rate of from 81 </w:t>
      </w:r>
      <w:r w:rsidRPr="00801D3D">
        <w:rPr>
          <w:rFonts w:ascii="Times New Roman" w:hAnsi="Times New Roman"/>
          <w:sz w:val="24"/>
          <w:szCs w:val="24"/>
        </w:rPr>
        <w:t>–</w:t>
      </w:r>
      <w:r w:rsidRPr="00761BCE">
        <w:rPr>
          <w:rFonts w:ascii="Times New Roman" w:hAnsi="Times New Roman"/>
          <w:sz w:val="24"/>
          <w:szCs w:val="24"/>
        </w:rPr>
        <w:t xml:space="preserve"> 86 percent.</w:t>
      </w:r>
      <w:r w:rsidRPr="00801D3D">
        <w:rPr>
          <w:rStyle w:val="FootnoteReference"/>
          <w:rFonts w:ascii="Times New Roman" w:hAnsi="Times New Roman"/>
          <w:sz w:val="24"/>
          <w:szCs w:val="24"/>
        </w:rPr>
        <w:footnoteReference w:id="15"/>
      </w:r>
    </w:p>
    <w:p w:rsidR="00672041" w:rsidRPr="00761BCE" w:rsidRDefault="00672041" w:rsidP="0050146F">
      <w:pPr>
        <w:pStyle w:val="ListParagraph"/>
        <w:numPr>
          <w:ilvl w:val="0"/>
          <w:numId w:val="4"/>
        </w:numPr>
        <w:spacing w:line="480" w:lineRule="auto"/>
        <w:ind w:right="720" w:hanging="720"/>
        <w:rPr>
          <w:rFonts w:ascii="Times New Roman" w:hAnsi="Times New Roman"/>
          <w:sz w:val="24"/>
          <w:szCs w:val="24"/>
        </w:rPr>
      </w:pPr>
      <w:r w:rsidRPr="00761BCE">
        <w:rPr>
          <w:rFonts w:ascii="Times New Roman" w:hAnsi="Times New Roman"/>
          <w:sz w:val="24"/>
          <w:szCs w:val="24"/>
        </w:rPr>
        <w:t>“The savings estimates for kWh and therms are higher than one wou</w:t>
      </w:r>
      <w:r>
        <w:rPr>
          <w:rFonts w:ascii="Times New Roman" w:hAnsi="Times New Roman"/>
          <w:sz w:val="24"/>
          <w:szCs w:val="24"/>
        </w:rPr>
        <w:t>ld expect ***.</w:t>
      </w:r>
      <w:r w:rsidRPr="00761BCE">
        <w:rPr>
          <w:rFonts w:ascii="Times New Roman" w:hAnsi="Times New Roman"/>
          <w:sz w:val="24"/>
          <w:szCs w:val="24"/>
        </w:rPr>
        <w:t>”</w:t>
      </w:r>
      <w:r w:rsidRPr="00801D3D">
        <w:rPr>
          <w:rStyle w:val="FootnoteReference"/>
          <w:rFonts w:ascii="Times New Roman" w:hAnsi="Times New Roman"/>
          <w:sz w:val="24"/>
          <w:szCs w:val="24"/>
        </w:rPr>
        <w:footnoteReference w:id="16"/>
      </w:r>
      <w:r w:rsidRPr="00761BCE">
        <w:rPr>
          <w:rFonts w:ascii="Times New Roman" w:hAnsi="Times New Roman"/>
          <w:sz w:val="24"/>
          <w:szCs w:val="24"/>
        </w:rPr>
        <w:t xml:space="preserve"> </w:t>
      </w:r>
      <w:r>
        <w:rPr>
          <w:rFonts w:ascii="Times New Roman" w:hAnsi="Times New Roman"/>
          <w:sz w:val="24"/>
          <w:szCs w:val="24"/>
        </w:rPr>
        <w:t xml:space="preserve">(Issue identified by the Independent Evaluator regarding </w:t>
      </w:r>
      <w:r w:rsidRPr="00761BCE">
        <w:rPr>
          <w:rFonts w:ascii="Times New Roman" w:hAnsi="Times New Roman"/>
          <w:sz w:val="24"/>
          <w:szCs w:val="24"/>
        </w:rPr>
        <w:t>Duke</w:t>
      </w:r>
      <w:r w:rsidRPr="00801D3D">
        <w:rPr>
          <w:rFonts w:ascii="Times New Roman" w:hAnsi="Times New Roman"/>
          <w:sz w:val="24"/>
          <w:szCs w:val="24"/>
        </w:rPr>
        <w:t>’</w:t>
      </w:r>
      <w:r w:rsidRPr="00761BCE">
        <w:rPr>
          <w:rFonts w:ascii="Times New Roman" w:hAnsi="Times New Roman"/>
          <w:sz w:val="24"/>
          <w:szCs w:val="24"/>
        </w:rPr>
        <w:t>s Personalized Energy Report Program.</w:t>
      </w:r>
      <w:r>
        <w:rPr>
          <w:rFonts w:ascii="Times New Roman" w:hAnsi="Times New Roman"/>
          <w:sz w:val="24"/>
          <w:szCs w:val="24"/>
        </w:rPr>
        <w:t>)</w:t>
      </w:r>
    </w:p>
    <w:p w:rsidR="00672041" w:rsidRDefault="00672041" w:rsidP="0050146F">
      <w:pPr>
        <w:pStyle w:val="ListParagraph"/>
        <w:numPr>
          <w:ilvl w:val="0"/>
          <w:numId w:val="4"/>
        </w:numPr>
        <w:spacing w:line="480" w:lineRule="auto"/>
        <w:ind w:right="720" w:hanging="720"/>
        <w:rPr>
          <w:rFonts w:ascii="Times New Roman" w:hAnsi="Times New Roman"/>
          <w:sz w:val="24"/>
          <w:szCs w:val="24"/>
        </w:rPr>
      </w:pPr>
      <w:r w:rsidRPr="00761BCE">
        <w:rPr>
          <w:rFonts w:ascii="Times New Roman" w:hAnsi="Times New Roman"/>
          <w:sz w:val="24"/>
          <w:szCs w:val="24"/>
        </w:rPr>
        <w:t xml:space="preserve">“Due to the lack of documentation and the unsubstantiated adjustments for bias discussed above, there is not enough information provided to assess the credibility of the reported savings.  Given these issues, we do not recommend that these values be used to estimate savings </w:t>
      </w:r>
    </w:p>
    <w:p w:rsidR="00672041" w:rsidRPr="00761BCE" w:rsidRDefault="00672041" w:rsidP="00083DB9">
      <w:pPr>
        <w:pStyle w:val="ListParagraph"/>
        <w:spacing w:line="480" w:lineRule="auto"/>
        <w:ind w:left="2160" w:right="720"/>
        <w:rPr>
          <w:rFonts w:ascii="Times New Roman" w:hAnsi="Times New Roman"/>
          <w:sz w:val="24"/>
          <w:szCs w:val="24"/>
        </w:rPr>
      </w:pPr>
      <w:r w:rsidRPr="00761BCE">
        <w:rPr>
          <w:rFonts w:ascii="Times New Roman" w:hAnsi="Times New Roman"/>
          <w:sz w:val="24"/>
          <w:szCs w:val="24"/>
        </w:rPr>
        <w:t>for future program planning.”</w:t>
      </w:r>
      <w:r w:rsidRPr="00CE786B">
        <w:rPr>
          <w:rStyle w:val="FootnoteReference"/>
          <w:rFonts w:ascii="Times New Roman" w:hAnsi="Times New Roman"/>
          <w:sz w:val="24"/>
          <w:szCs w:val="24"/>
        </w:rPr>
        <w:t xml:space="preserve"> </w:t>
      </w:r>
      <w:r w:rsidRPr="00801D3D">
        <w:rPr>
          <w:rStyle w:val="FootnoteReference"/>
          <w:rFonts w:ascii="Times New Roman" w:hAnsi="Times New Roman"/>
          <w:sz w:val="24"/>
          <w:szCs w:val="24"/>
        </w:rPr>
        <w:footnoteReference w:id="17"/>
      </w:r>
      <w:r w:rsidRPr="00761BCE">
        <w:rPr>
          <w:rFonts w:ascii="Times New Roman" w:hAnsi="Times New Roman"/>
          <w:sz w:val="24"/>
          <w:szCs w:val="24"/>
        </w:rPr>
        <w:t xml:space="preserve"> </w:t>
      </w:r>
      <w:r>
        <w:rPr>
          <w:rFonts w:ascii="Times New Roman" w:hAnsi="Times New Roman"/>
          <w:sz w:val="24"/>
          <w:szCs w:val="24"/>
        </w:rPr>
        <w:t xml:space="preserve">(Issue identified by the Independent Evaluator regarding </w:t>
      </w:r>
      <w:r w:rsidRPr="00761BCE">
        <w:rPr>
          <w:rFonts w:ascii="Times New Roman" w:hAnsi="Times New Roman"/>
          <w:sz w:val="24"/>
          <w:szCs w:val="24"/>
        </w:rPr>
        <w:t>Duke</w:t>
      </w:r>
      <w:r w:rsidRPr="00801D3D">
        <w:rPr>
          <w:rFonts w:ascii="Times New Roman" w:hAnsi="Times New Roman"/>
          <w:sz w:val="24"/>
          <w:szCs w:val="24"/>
        </w:rPr>
        <w:t>’</w:t>
      </w:r>
      <w:r w:rsidRPr="00761BCE">
        <w:rPr>
          <w:rFonts w:ascii="Times New Roman" w:hAnsi="Times New Roman"/>
          <w:sz w:val="24"/>
          <w:szCs w:val="24"/>
        </w:rPr>
        <w:t>s Home Energy House Call Program.</w:t>
      </w:r>
      <w:r>
        <w:rPr>
          <w:rFonts w:ascii="Times New Roman" w:hAnsi="Times New Roman"/>
          <w:sz w:val="24"/>
          <w:szCs w:val="24"/>
        </w:rPr>
        <w:t>)</w:t>
      </w:r>
    </w:p>
    <w:p w:rsidR="00672041" w:rsidRPr="00761BCE" w:rsidRDefault="00672041" w:rsidP="0050146F">
      <w:pPr>
        <w:pStyle w:val="ListParagraph"/>
        <w:numPr>
          <w:ilvl w:val="0"/>
          <w:numId w:val="4"/>
        </w:numPr>
        <w:spacing w:line="480" w:lineRule="auto"/>
        <w:ind w:right="720" w:hanging="720"/>
        <w:rPr>
          <w:rFonts w:ascii="Times New Roman" w:hAnsi="Times New Roman"/>
          <w:sz w:val="24"/>
          <w:szCs w:val="24"/>
        </w:rPr>
      </w:pPr>
      <w:r w:rsidRPr="00761BCE">
        <w:rPr>
          <w:rFonts w:ascii="Times New Roman" w:hAnsi="Times New Roman"/>
          <w:sz w:val="24"/>
          <w:szCs w:val="24"/>
        </w:rPr>
        <w:t>“The savings value for a single 13 W CFL included in thi</w:t>
      </w:r>
      <w:r>
        <w:rPr>
          <w:rFonts w:ascii="Times New Roman" w:hAnsi="Times New Roman"/>
          <w:sz w:val="24"/>
          <w:szCs w:val="24"/>
        </w:rPr>
        <w:t>s kit is estimated at 136.5 kWh ***</w:t>
      </w:r>
      <w:r w:rsidRPr="00761BCE">
        <w:rPr>
          <w:rFonts w:ascii="Times New Roman" w:hAnsi="Times New Roman"/>
          <w:sz w:val="24"/>
          <w:szCs w:val="24"/>
        </w:rPr>
        <w:t xml:space="preserve">, which is more than three times the estimated savings using the draft Ohio TRM value </w:t>
      </w:r>
      <w:r>
        <w:rPr>
          <w:rFonts w:ascii="Times New Roman" w:hAnsi="Times New Roman"/>
          <w:sz w:val="24"/>
          <w:szCs w:val="24"/>
        </w:rPr>
        <w:t>for the same measure (40.4 kWh).”</w:t>
      </w:r>
      <w:r>
        <w:rPr>
          <w:rStyle w:val="FootnoteReference"/>
          <w:rFonts w:ascii="Times New Roman" w:hAnsi="Times New Roman"/>
          <w:sz w:val="24"/>
          <w:szCs w:val="24"/>
        </w:rPr>
        <w:footnoteReference w:id="18"/>
      </w:r>
      <w:r>
        <w:rPr>
          <w:rFonts w:ascii="Times New Roman" w:hAnsi="Times New Roman"/>
          <w:sz w:val="24"/>
          <w:szCs w:val="24"/>
        </w:rPr>
        <w:t xml:space="preserve">  “</w:t>
      </w:r>
      <w:r w:rsidRPr="00761BCE">
        <w:rPr>
          <w:rFonts w:ascii="Times New Roman" w:hAnsi="Times New Roman"/>
          <w:sz w:val="24"/>
          <w:szCs w:val="24"/>
        </w:rPr>
        <w:t>Due to the issues described above, there is not enough information to assess the credibility of the reported savings.”</w:t>
      </w:r>
      <w:r w:rsidRPr="00801D3D">
        <w:rPr>
          <w:rStyle w:val="FootnoteReference"/>
          <w:rFonts w:ascii="Times New Roman" w:hAnsi="Times New Roman"/>
          <w:sz w:val="24"/>
          <w:szCs w:val="24"/>
        </w:rPr>
        <w:footnoteReference w:id="19"/>
      </w:r>
      <w:r w:rsidRPr="00761BCE">
        <w:rPr>
          <w:rFonts w:ascii="Times New Roman" w:hAnsi="Times New Roman"/>
          <w:sz w:val="24"/>
          <w:szCs w:val="24"/>
        </w:rPr>
        <w:t xml:space="preserve"> </w:t>
      </w:r>
      <w:r>
        <w:rPr>
          <w:rFonts w:ascii="Times New Roman" w:hAnsi="Times New Roman"/>
          <w:sz w:val="24"/>
          <w:szCs w:val="24"/>
        </w:rPr>
        <w:t xml:space="preserve">(Issue identified by the Independent Evaluator regarding </w:t>
      </w:r>
      <w:r w:rsidRPr="00761BCE">
        <w:rPr>
          <w:rFonts w:ascii="Times New Roman" w:hAnsi="Times New Roman"/>
          <w:sz w:val="24"/>
          <w:szCs w:val="24"/>
        </w:rPr>
        <w:t>Duke</w:t>
      </w:r>
      <w:r w:rsidRPr="00801D3D">
        <w:rPr>
          <w:rFonts w:ascii="Times New Roman" w:hAnsi="Times New Roman"/>
          <w:sz w:val="24"/>
          <w:szCs w:val="24"/>
        </w:rPr>
        <w:t>’</w:t>
      </w:r>
      <w:r w:rsidRPr="00761BCE">
        <w:rPr>
          <w:rFonts w:ascii="Times New Roman" w:hAnsi="Times New Roman"/>
          <w:sz w:val="24"/>
          <w:szCs w:val="24"/>
        </w:rPr>
        <w:t>s NEED Program.</w:t>
      </w:r>
      <w:r>
        <w:rPr>
          <w:rFonts w:ascii="Times New Roman" w:hAnsi="Times New Roman"/>
          <w:sz w:val="24"/>
          <w:szCs w:val="24"/>
        </w:rPr>
        <w:t>)</w:t>
      </w:r>
    </w:p>
    <w:p w:rsidR="00672041" w:rsidRPr="00761BCE" w:rsidRDefault="00672041" w:rsidP="0050146F">
      <w:pPr>
        <w:pStyle w:val="ListParagraph"/>
        <w:numPr>
          <w:ilvl w:val="0"/>
          <w:numId w:val="4"/>
        </w:numPr>
        <w:spacing w:line="480" w:lineRule="auto"/>
        <w:ind w:right="720" w:hanging="720"/>
        <w:rPr>
          <w:rFonts w:ascii="Times New Roman" w:hAnsi="Times New Roman"/>
          <w:sz w:val="24"/>
          <w:szCs w:val="24"/>
        </w:rPr>
      </w:pPr>
      <w:r w:rsidRPr="00761BCE">
        <w:rPr>
          <w:rFonts w:ascii="Times New Roman" w:hAnsi="Times New Roman"/>
          <w:sz w:val="24"/>
          <w:szCs w:val="24"/>
        </w:rPr>
        <w:t>“The billing regression analysis also estimates potential savings of 11 to 22 percent, which is almost certainly too high based on our knowledge of other types of audit/informational pro</w:t>
      </w:r>
      <w:r>
        <w:rPr>
          <w:rFonts w:ascii="Times New Roman" w:hAnsi="Times New Roman"/>
          <w:sz w:val="24"/>
          <w:szCs w:val="24"/>
        </w:rPr>
        <w:t>grams (0-2 percent is standard).”</w:t>
      </w:r>
      <w:r>
        <w:rPr>
          <w:rStyle w:val="FootnoteReference"/>
          <w:rFonts w:ascii="Times New Roman" w:hAnsi="Times New Roman"/>
          <w:sz w:val="24"/>
          <w:szCs w:val="24"/>
        </w:rPr>
        <w:footnoteReference w:id="20"/>
      </w:r>
      <w:r>
        <w:rPr>
          <w:rFonts w:ascii="Times New Roman" w:hAnsi="Times New Roman"/>
          <w:sz w:val="24"/>
          <w:szCs w:val="24"/>
        </w:rPr>
        <w:t xml:space="preserve">  “[W]</w:t>
      </w:r>
      <w:r w:rsidRPr="00761BCE">
        <w:rPr>
          <w:rFonts w:ascii="Times New Roman" w:hAnsi="Times New Roman"/>
          <w:sz w:val="24"/>
          <w:szCs w:val="24"/>
        </w:rPr>
        <w:t>e do not believe that the savings numbers in this report are credible</w:t>
      </w:r>
      <w:r>
        <w:rPr>
          <w:rFonts w:ascii="Times New Roman" w:hAnsi="Times New Roman"/>
          <w:sz w:val="24"/>
          <w:szCs w:val="24"/>
        </w:rPr>
        <w:t xml:space="preserve"> ***</w:t>
      </w:r>
      <w:r w:rsidRPr="00761BCE">
        <w:rPr>
          <w:rFonts w:ascii="Times New Roman" w:hAnsi="Times New Roman"/>
          <w:sz w:val="24"/>
          <w:szCs w:val="24"/>
        </w:rPr>
        <w:t>.”</w:t>
      </w:r>
      <w:r w:rsidRPr="00CE786B">
        <w:rPr>
          <w:rStyle w:val="HeaderChar"/>
          <w:rFonts w:ascii="Times New Roman" w:hAnsi="Times New Roman"/>
          <w:sz w:val="24"/>
          <w:szCs w:val="24"/>
        </w:rPr>
        <w:t xml:space="preserve"> </w:t>
      </w:r>
      <w:r w:rsidRPr="00801D3D">
        <w:rPr>
          <w:rStyle w:val="FootnoteReference"/>
          <w:rFonts w:ascii="Times New Roman" w:hAnsi="Times New Roman"/>
          <w:sz w:val="24"/>
          <w:szCs w:val="24"/>
        </w:rPr>
        <w:footnoteReference w:id="21"/>
      </w:r>
      <w:r w:rsidRPr="00761BCE">
        <w:rPr>
          <w:rFonts w:ascii="Times New Roman" w:hAnsi="Times New Roman"/>
          <w:sz w:val="24"/>
          <w:szCs w:val="24"/>
        </w:rPr>
        <w:t xml:space="preserve"> </w:t>
      </w:r>
      <w:r>
        <w:rPr>
          <w:rFonts w:ascii="Times New Roman" w:hAnsi="Times New Roman"/>
          <w:sz w:val="24"/>
          <w:szCs w:val="24"/>
        </w:rPr>
        <w:t xml:space="preserve">(Issue identified by the Independent Evaluator regarding </w:t>
      </w:r>
      <w:r w:rsidRPr="00761BCE">
        <w:rPr>
          <w:rFonts w:ascii="Times New Roman" w:hAnsi="Times New Roman"/>
          <w:sz w:val="24"/>
          <w:szCs w:val="24"/>
        </w:rPr>
        <w:t>Duke</w:t>
      </w:r>
      <w:r w:rsidRPr="00801D3D">
        <w:rPr>
          <w:rFonts w:ascii="Times New Roman" w:hAnsi="Times New Roman"/>
          <w:sz w:val="24"/>
          <w:szCs w:val="24"/>
        </w:rPr>
        <w:t>’</w:t>
      </w:r>
      <w:r w:rsidRPr="00761BCE">
        <w:rPr>
          <w:rFonts w:ascii="Times New Roman" w:hAnsi="Times New Roman"/>
          <w:sz w:val="24"/>
          <w:szCs w:val="24"/>
        </w:rPr>
        <w:t>s Energy Efficiency Website.</w:t>
      </w:r>
      <w:r>
        <w:rPr>
          <w:rFonts w:ascii="Times New Roman" w:hAnsi="Times New Roman"/>
          <w:sz w:val="24"/>
          <w:szCs w:val="24"/>
        </w:rPr>
        <w:t>)</w:t>
      </w:r>
    </w:p>
    <w:p w:rsidR="00672041" w:rsidRPr="00761BCE" w:rsidRDefault="00672041" w:rsidP="0097115E">
      <w:pPr>
        <w:spacing w:line="480" w:lineRule="auto"/>
        <w:rPr>
          <w:rFonts w:ascii="Times New Roman" w:hAnsi="Times New Roman" w:cs="Times New Roman"/>
          <w:sz w:val="24"/>
          <w:szCs w:val="24"/>
        </w:rPr>
      </w:pPr>
      <w:r w:rsidRPr="00761BCE">
        <w:rPr>
          <w:rFonts w:ascii="Times New Roman" w:hAnsi="Times New Roman" w:cs="Times New Roman"/>
          <w:sz w:val="24"/>
          <w:szCs w:val="24"/>
        </w:rPr>
        <w:t xml:space="preserve">Given the questions raised by the </w:t>
      </w:r>
      <w:r>
        <w:rPr>
          <w:rFonts w:ascii="Times New Roman" w:hAnsi="Times New Roman" w:cs="Times New Roman"/>
          <w:sz w:val="24"/>
          <w:szCs w:val="24"/>
        </w:rPr>
        <w:t>I</w:t>
      </w:r>
      <w:r w:rsidRPr="00761BCE">
        <w:rPr>
          <w:rFonts w:ascii="Times New Roman" w:hAnsi="Times New Roman" w:cs="Times New Roman"/>
          <w:sz w:val="24"/>
          <w:szCs w:val="24"/>
        </w:rPr>
        <w:t xml:space="preserve">ndependent </w:t>
      </w:r>
      <w:r>
        <w:rPr>
          <w:rFonts w:ascii="Times New Roman" w:hAnsi="Times New Roman" w:cs="Times New Roman"/>
          <w:sz w:val="24"/>
          <w:szCs w:val="24"/>
        </w:rPr>
        <w:t>E</w:t>
      </w:r>
      <w:r w:rsidRPr="00761BCE">
        <w:rPr>
          <w:rFonts w:ascii="Times New Roman" w:hAnsi="Times New Roman" w:cs="Times New Roman"/>
          <w:sz w:val="24"/>
          <w:szCs w:val="24"/>
        </w:rPr>
        <w:t>valuator on the credibility of some of Duke</w:t>
      </w:r>
      <w:r w:rsidRPr="00801D3D">
        <w:rPr>
          <w:rFonts w:ascii="Times New Roman" w:hAnsi="Times New Roman" w:cs="Times New Roman"/>
          <w:sz w:val="24"/>
          <w:szCs w:val="24"/>
        </w:rPr>
        <w:t>’</w:t>
      </w:r>
      <w:r w:rsidRPr="00761BCE">
        <w:rPr>
          <w:rFonts w:ascii="Times New Roman" w:hAnsi="Times New Roman" w:cs="Times New Roman"/>
          <w:sz w:val="24"/>
          <w:szCs w:val="24"/>
        </w:rPr>
        <w:t xml:space="preserve">s savings estimates, the electricity savings estimates used in the SAW filing should be reduced to </w:t>
      </w:r>
      <w:r>
        <w:rPr>
          <w:rFonts w:ascii="Times New Roman" w:hAnsi="Times New Roman" w:cs="Times New Roman"/>
          <w:sz w:val="24"/>
          <w:szCs w:val="24"/>
        </w:rPr>
        <w:t>correspond</w:t>
      </w:r>
      <w:r w:rsidRPr="00761BCE">
        <w:rPr>
          <w:rFonts w:ascii="Times New Roman" w:hAnsi="Times New Roman" w:cs="Times New Roman"/>
          <w:sz w:val="24"/>
          <w:szCs w:val="24"/>
        </w:rPr>
        <w:t xml:space="preserve"> with the findings </w:t>
      </w:r>
      <w:r>
        <w:rPr>
          <w:rFonts w:ascii="Times New Roman" w:hAnsi="Times New Roman" w:cs="Times New Roman"/>
          <w:sz w:val="24"/>
          <w:szCs w:val="24"/>
        </w:rPr>
        <w:t>of the independent evaluator. Otherwise, consumers will end up paying more than what was authorized by the Commission.</w:t>
      </w:r>
    </w:p>
    <w:p w:rsidR="00672041" w:rsidRPr="00761BCE" w:rsidRDefault="00672041" w:rsidP="00F00DBC">
      <w:pPr>
        <w:pStyle w:val="Heading2"/>
      </w:pPr>
      <w:bookmarkStart w:id="7" w:name="_Toc337737704"/>
      <w:r>
        <w:t>E.</w:t>
      </w:r>
      <w:r>
        <w:tab/>
      </w:r>
      <w:r w:rsidRPr="00761BCE">
        <w:t xml:space="preserve">The Commission Should Reduce The Level Of </w:t>
      </w:r>
      <w:r>
        <w:t xml:space="preserve">Energy Efficiency-Induced </w:t>
      </w:r>
      <w:r w:rsidRPr="00761BCE">
        <w:t>Lost Revenue</w:t>
      </w:r>
      <w:r>
        <w:t>s</w:t>
      </w:r>
      <w:r w:rsidRPr="00761BCE">
        <w:t xml:space="preserve"> In Duke</w:t>
      </w:r>
      <w:r w:rsidRPr="00801D3D">
        <w:t>’</w:t>
      </w:r>
      <w:r w:rsidRPr="00761BCE">
        <w:t xml:space="preserve">s </w:t>
      </w:r>
      <w:r>
        <w:t>Proposed Calculation (And Reduce What Customers Will Pay)</w:t>
      </w:r>
      <w:r w:rsidRPr="00761BCE">
        <w:t xml:space="preserve"> To Account For Interest </w:t>
      </w:r>
      <w:r>
        <w:t>That Should Be Paid</w:t>
      </w:r>
      <w:r w:rsidRPr="00761BCE">
        <w:t xml:space="preserve"> </w:t>
      </w:r>
      <w:r>
        <w:t xml:space="preserve">To </w:t>
      </w:r>
      <w:r w:rsidRPr="00761BCE">
        <w:t xml:space="preserve">Customers </w:t>
      </w:r>
      <w:r>
        <w:t xml:space="preserve">On Balances That Duke Held For Approximately Two Years, </w:t>
      </w:r>
      <w:r w:rsidRPr="00761BCE">
        <w:t>From December 10, 2010 Through December 31, 2011</w:t>
      </w:r>
      <w:r>
        <w:t>, Regarding Non-Fuel Lost Generation Revenues</w:t>
      </w:r>
      <w:r w:rsidRPr="00761BCE">
        <w:t>.</w:t>
      </w:r>
      <w:bookmarkEnd w:id="7"/>
    </w:p>
    <w:p w:rsidR="00672041" w:rsidRDefault="006720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January 1, 2009 through December 9, 2009, the Company was allowed to collect energy efficiency induced non-fuel related lost generation revenues through Rider DR-SAW. But o</w:t>
      </w:r>
      <w:r w:rsidRPr="00761BCE">
        <w:rPr>
          <w:rFonts w:ascii="Times New Roman" w:hAnsi="Times New Roman" w:cs="Times New Roman"/>
          <w:sz w:val="24"/>
          <w:szCs w:val="24"/>
        </w:rPr>
        <w:t>n December 1</w:t>
      </w:r>
      <w:r>
        <w:rPr>
          <w:rFonts w:ascii="Times New Roman" w:hAnsi="Times New Roman" w:cs="Times New Roman"/>
          <w:sz w:val="24"/>
          <w:szCs w:val="24"/>
        </w:rPr>
        <w:t>5</w:t>
      </w:r>
      <w:r w:rsidRPr="00761BCE">
        <w:rPr>
          <w:rFonts w:ascii="Times New Roman" w:hAnsi="Times New Roman" w:cs="Times New Roman"/>
          <w:sz w:val="24"/>
          <w:szCs w:val="24"/>
        </w:rPr>
        <w:t>, 2010, the Commission in its Opinion and Order in Duke</w:t>
      </w:r>
      <w:r w:rsidRPr="00801D3D">
        <w:rPr>
          <w:rFonts w:ascii="Times New Roman" w:hAnsi="Times New Roman" w:cs="Times New Roman"/>
          <w:sz w:val="24"/>
          <w:szCs w:val="24"/>
        </w:rPr>
        <w:t>’</w:t>
      </w:r>
      <w:r w:rsidRPr="00761BCE">
        <w:rPr>
          <w:rFonts w:ascii="Times New Roman" w:hAnsi="Times New Roman" w:cs="Times New Roman"/>
          <w:sz w:val="24"/>
          <w:szCs w:val="24"/>
        </w:rPr>
        <w:t>s Portfolio Case No. 09-1999-EL-POR, directed the Company to “remove lost generation revenues from its Rider</w:t>
      </w:r>
      <w:r>
        <w:rPr>
          <w:rFonts w:ascii="Times New Roman" w:hAnsi="Times New Roman" w:cs="Times New Roman"/>
          <w:sz w:val="24"/>
          <w:szCs w:val="24"/>
        </w:rPr>
        <w:t xml:space="preserve"> </w:t>
      </w:r>
      <w:r w:rsidRPr="00761BCE">
        <w:rPr>
          <w:rFonts w:ascii="Times New Roman" w:hAnsi="Times New Roman" w:cs="Times New Roman"/>
          <w:sz w:val="24"/>
          <w:szCs w:val="24"/>
        </w:rPr>
        <w:t>DR-SAW beginning on December 10, 2009, the effective date of Chapter 4901:1-39,O.A.C</w:t>
      </w:r>
      <w:r>
        <w:rPr>
          <w:rFonts w:ascii="Times New Roman" w:hAnsi="Times New Roman" w:cs="Times New Roman"/>
          <w:sz w:val="24"/>
          <w:szCs w:val="24"/>
        </w:rPr>
        <w:t>.”</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w:t>
      </w:r>
    </w:p>
    <w:p w:rsidR="00672041" w:rsidRPr="006E0753" w:rsidRDefault="00672041" w:rsidP="00EA75E7">
      <w:pPr>
        <w:autoSpaceDE w:val="0"/>
        <w:autoSpaceDN w:val="0"/>
        <w:adjustRightInd w:val="0"/>
        <w:spacing w:after="0" w:line="480" w:lineRule="auto"/>
        <w:ind w:firstLine="720"/>
        <w:rPr>
          <w:rFonts w:ascii="Times New Roman" w:hAnsi="Times New Roman" w:cs="Times New Roman"/>
          <w:sz w:val="24"/>
          <w:szCs w:val="24"/>
        </w:rPr>
      </w:pPr>
      <w:r w:rsidRPr="006E0753">
        <w:rPr>
          <w:rFonts w:ascii="Times New Roman" w:hAnsi="Times New Roman" w:cs="Times New Roman"/>
          <w:sz w:val="24"/>
          <w:szCs w:val="24"/>
        </w:rPr>
        <w:t xml:space="preserve">Accordingly, in that December 15, 2010 Order, the Commission directed Duke “to </w:t>
      </w:r>
      <w:r w:rsidRPr="006E0753">
        <w:rPr>
          <w:rFonts w:ascii="Times New Roman" w:hAnsi="Times New Roman" w:cs="Times New Roman"/>
          <w:b/>
          <w:i/>
          <w:sz w:val="24"/>
          <w:szCs w:val="24"/>
        </w:rPr>
        <w:t>immediately</w:t>
      </w:r>
      <w:r w:rsidRPr="006E0753">
        <w:rPr>
          <w:rFonts w:ascii="Times New Roman" w:hAnsi="Times New Roman" w:cs="Times New Roman"/>
          <w:sz w:val="24"/>
          <w:szCs w:val="24"/>
        </w:rPr>
        <w:t xml:space="preserve"> remove recovery of any lost generation revenues from Rider DR-SAW.”</w:t>
      </w:r>
      <w:r w:rsidRPr="006E0753">
        <w:rPr>
          <w:rStyle w:val="FootnoteReference"/>
          <w:rFonts w:ascii="Times New Roman" w:hAnsi="Times New Roman"/>
          <w:sz w:val="24"/>
          <w:szCs w:val="24"/>
        </w:rPr>
        <w:footnoteReference w:id="23"/>
      </w:r>
      <w:r w:rsidRPr="006E0753">
        <w:rPr>
          <w:rFonts w:ascii="Times New Roman" w:hAnsi="Times New Roman" w:cs="Times New Roman"/>
          <w:sz w:val="24"/>
          <w:szCs w:val="24"/>
        </w:rPr>
        <w:t xml:space="preserve"> The Commission also found that in light of its directive that Duke “immediately remove lost generation re</w:t>
      </w:r>
      <w:r>
        <w:rPr>
          <w:rFonts w:ascii="Times New Roman" w:hAnsi="Times New Roman" w:cs="Times New Roman"/>
          <w:sz w:val="24"/>
          <w:szCs w:val="24"/>
        </w:rPr>
        <w:t>venues from Rider DR-SAW</w:t>
      </w:r>
      <w:r w:rsidRPr="006E0753">
        <w:rPr>
          <w:rFonts w:ascii="Times New Roman" w:hAnsi="Times New Roman" w:cs="Times New Roman"/>
          <w:sz w:val="24"/>
          <w:szCs w:val="24"/>
        </w:rPr>
        <w:t xml:space="preserve"> ***” and that any over recovery by Duke between December 10, 2009 and the effective date of the revised tariffs would be credited back to customers.</w:t>
      </w:r>
      <w:r w:rsidRPr="006E0753">
        <w:rPr>
          <w:rStyle w:val="FootnoteReference"/>
          <w:rFonts w:ascii="Times New Roman" w:hAnsi="Times New Roman"/>
          <w:sz w:val="24"/>
          <w:szCs w:val="24"/>
        </w:rPr>
        <w:footnoteReference w:id="24"/>
      </w:r>
    </w:p>
    <w:p w:rsidR="00672041" w:rsidRDefault="00672041" w:rsidP="00083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Pr="00761BCE">
        <w:rPr>
          <w:rFonts w:ascii="Times New Roman" w:hAnsi="Times New Roman" w:cs="Times New Roman"/>
          <w:sz w:val="24"/>
          <w:szCs w:val="24"/>
        </w:rPr>
        <w:t xml:space="preserve"> the generation lost revenues were not “immediately” removed from the rider.</w:t>
      </w:r>
      <w:r>
        <w:rPr>
          <w:rFonts w:ascii="Times New Roman" w:hAnsi="Times New Roman" w:cs="Times New Roman"/>
          <w:sz w:val="24"/>
          <w:szCs w:val="24"/>
        </w:rPr>
        <w:t xml:space="preserve">  </w:t>
      </w:r>
      <w:r w:rsidRPr="00761BCE">
        <w:rPr>
          <w:rFonts w:ascii="Times New Roman" w:hAnsi="Times New Roman" w:cs="Times New Roman"/>
          <w:sz w:val="24"/>
          <w:szCs w:val="24"/>
        </w:rPr>
        <w:t>In Company witness Ziolkowski</w:t>
      </w:r>
      <w:r w:rsidRPr="00801D3D">
        <w:rPr>
          <w:rFonts w:ascii="Times New Roman" w:hAnsi="Times New Roman" w:cs="Times New Roman"/>
          <w:sz w:val="24"/>
          <w:szCs w:val="24"/>
        </w:rPr>
        <w:t>’</w:t>
      </w:r>
      <w:r w:rsidRPr="00761BCE">
        <w:rPr>
          <w:rFonts w:ascii="Times New Roman" w:hAnsi="Times New Roman" w:cs="Times New Roman"/>
          <w:sz w:val="24"/>
          <w:szCs w:val="24"/>
        </w:rPr>
        <w:t>s Direct Testimony in this case he states</w:t>
      </w:r>
      <w:r>
        <w:rPr>
          <w:rFonts w:ascii="Times New Roman" w:hAnsi="Times New Roman" w:cs="Times New Roman"/>
          <w:sz w:val="24"/>
          <w:szCs w:val="24"/>
        </w:rPr>
        <w:t xml:space="preserve"> that</w:t>
      </w:r>
      <w:r w:rsidRPr="00761BCE">
        <w:rPr>
          <w:rFonts w:ascii="Times New Roman" w:hAnsi="Times New Roman" w:cs="Times New Roman"/>
          <w:sz w:val="24"/>
          <w:szCs w:val="24"/>
        </w:rPr>
        <w:t>, “[o]n February 16, 2011, the Company filed a revised Rider DR-SAWR</w:t>
      </w:r>
      <w:r>
        <w:rPr>
          <w:rStyle w:val="FootnoteReference"/>
          <w:rFonts w:ascii="Times New Roman" w:hAnsi="Times New Roman"/>
          <w:sz w:val="24"/>
          <w:szCs w:val="24"/>
        </w:rPr>
        <w:footnoteReference w:id="25"/>
      </w:r>
      <w:r w:rsidRPr="00761BCE">
        <w:rPr>
          <w:rFonts w:ascii="Times New Roman" w:hAnsi="Times New Roman" w:cs="Times New Roman"/>
          <w:sz w:val="24"/>
          <w:szCs w:val="24"/>
        </w:rPr>
        <w:t xml:space="preserve"> tariff sheet and supporting work papers that reflected the removal of lost generation revenues beginning on December 10, 2009.  As the Commission has not issued an Order approving the revised rates, the revised rates were not implemented.”</w:t>
      </w:r>
      <w:r w:rsidRPr="00801D3D">
        <w:rPr>
          <w:rStyle w:val="FootnoteReference"/>
          <w:rFonts w:ascii="Times New Roman" w:hAnsi="Times New Roman"/>
          <w:sz w:val="24"/>
          <w:szCs w:val="24"/>
        </w:rPr>
        <w:footnoteReference w:id="26"/>
      </w:r>
      <w:r w:rsidRPr="00761BCE">
        <w:rPr>
          <w:rFonts w:ascii="Times New Roman" w:hAnsi="Times New Roman" w:cs="Times New Roman"/>
          <w:sz w:val="24"/>
          <w:szCs w:val="24"/>
        </w:rPr>
        <w:t xml:space="preserve"> The Company apparently </w:t>
      </w:r>
      <w:r>
        <w:rPr>
          <w:rFonts w:ascii="Times New Roman" w:hAnsi="Times New Roman" w:cs="Times New Roman"/>
          <w:sz w:val="24"/>
          <w:szCs w:val="24"/>
        </w:rPr>
        <w:t>addresses this</w:t>
      </w:r>
      <w:r w:rsidRPr="00761BCE">
        <w:rPr>
          <w:rFonts w:ascii="Times New Roman" w:hAnsi="Times New Roman" w:cs="Times New Roman"/>
          <w:sz w:val="24"/>
          <w:szCs w:val="24"/>
        </w:rPr>
        <w:t xml:space="preserve"> matter with the filing of this case on June 29, 2012</w:t>
      </w:r>
      <w:r>
        <w:rPr>
          <w:rFonts w:ascii="Times New Roman" w:hAnsi="Times New Roman" w:cs="Times New Roman"/>
          <w:sz w:val="24"/>
          <w:szCs w:val="24"/>
        </w:rPr>
        <w:t>,</w:t>
      </w:r>
      <w:r w:rsidRPr="00761BCE">
        <w:rPr>
          <w:rFonts w:ascii="Times New Roman" w:hAnsi="Times New Roman" w:cs="Times New Roman"/>
          <w:sz w:val="24"/>
          <w:szCs w:val="24"/>
        </w:rPr>
        <w:t xml:space="preserve"> </w:t>
      </w:r>
      <w:r>
        <w:rPr>
          <w:rFonts w:ascii="Times New Roman" w:hAnsi="Times New Roman" w:cs="Times New Roman"/>
          <w:sz w:val="24"/>
          <w:szCs w:val="24"/>
        </w:rPr>
        <w:t>where it removed</w:t>
      </w:r>
      <w:r w:rsidRPr="00761BCE">
        <w:rPr>
          <w:rFonts w:ascii="Times New Roman" w:hAnsi="Times New Roman" w:cs="Times New Roman"/>
          <w:sz w:val="24"/>
          <w:szCs w:val="24"/>
        </w:rPr>
        <w:t xml:space="preserve"> the lost generation revenues from </w:t>
      </w:r>
      <w:r>
        <w:rPr>
          <w:rFonts w:ascii="Times New Roman" w:hAnsi="Times New Roman" w:cs="Times New Roman"/>
          <w:sz w:val="24"/>
          <w:szCs w:val="24"/>
        </w:rPr>
        <w:t>its</w:t>
      </w:r>
      <w:r w:rsidRPr="00761BCE">
        <w:rPr>
          <w:rFonts w:ascii="Times New Roman" w:hAnsi="Times New Roman" w:cs="Times New Roman"/>
          <w:sz w:val="24"/>
          <w:szCs w:val="24"/>
        </w:rPr>
        <w:t xml:space="preserve"> incentive calculation beginning on December 10, 2009.</w:t>
      </w:r>
      <w:r w:rsidRPr="00801D3D">
        <w:rPr>
          <w:rStyle w:val="FootnoteReference"/>
          <w:rFonts w:ascii="Times New Roman" w:hAnsi="Times New Roman"/>
          <w:sz w:val="24"/>
          <w:szCs w:val="24"/>
        </w:rPr>
        <w:footnoteReference w:id="27"/>
      </w:r>
      <w:r w:rsidRPr="00761BCE">
        <w:rPr>
          <w:rFonts w:ascii="Times New Roman" w:hAnsi="Times New Roman" w:cs="Times New Roman"/>
          <w:sz w:val="24"/>
          <w:szCs w:val="24"/>
        </w:rPr>
        <w:t xml:space="preserve">  </w:t>
      </w:r>
    </w:p>
    <w:p w:rsidR="00672041" w:rsidRDefault="00672041" w:rsidP="00083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complied with the deadline for filing the revised tariffs according to the Commission’s February 9, 2011 Entry on Rehearing,</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But Duke did not return the amounts to customers given there was not a further ruling from the PUCO to do so.  This is a very unusual situation given that the PUCO  asked for “immediate” removal of generation related lost revenues. The result is that Duke’s customers have unfortunately been paying for lost generation distribution revenues since December 10, 2009, even though the PUCO earlier ruled that customers should not be paying.  </w:t>
      </w:r>
    </w:p>
    <w:p w:rsidR="00672041" w:rsidRDefault="00672041" w:rsidP="001649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Accordingly, the PUCO should require </w:t>
      </w:r>
      <w:r w:rsidRPr="00761BCE">
        <w:rPr>
          <w:rFonts w:ascii="Times New Roman" w:hAnsi="Times New Roman" w:cs="Times New Roman"/>
          <w:sz w:val="24"/>
          <w:szCs w:val="24"/>
        </w:rPr>
        <w:t>Duke</w:t>
      </w:r>
      <w:r>
        <w:rPr>
          <w:rFonts w:ascii="Times New Roman" w:hAnsi="Times New Roman" w:cs="Times New Roman"/>
          <w:sz w:val="24"/>
          <w:szCs w:val="24"/>
        </w:rPr>
        <w:t xml:space="preserve"> to pay its customers interest (</w:t>
      </w:r>
      <w:r w:rsidRPr="00761BCE">
        <w:rPr>
          <w:rFonts w:ascii="Times New Roman" w:hAnsi="Times New Roman" w:cs="Times New Roman"/>
          <w:sz w:val="24"/>
          <w:szCs w:val="24"/>
        </w:rPr>
        <w:t>at a rate of 7.29%</w:t>
      </w:r>
      <w:r w:rsidRPr="00801D3D">
        <w:rPr>
          <w:rStyle w:val="FootnoteReference"/>
          <w:rFonts w:ascii="Times New Roman" w:hAnsi="Times New Roman"/>
          <w:sz w:val="24"/>
          <w:szCs w:val="24"/>
        </w:rPr>
        <w:footnoteReference w:id="29"/>
      </w:r>
      <w:r>
        <w:rPr>
          <w:rFonts w:ascii="Times New Roman" w:hAnsi="Times New Roman" w:cs="Times New Roman"/>
          <w:sz w:val="24"/>
          <w:szCs w:val="24"/>
        </w:rPr>
        <w:t>)</w:t>
      </w:r>
      <w:r w:rsidRPr="00761BCE">
        <w:rPr>
          <w:rFonts w:ascii="Times New Roman" w:hAnsi="Times New Roman" w:cs="Times New Roman"/>
          <w:sz w:val="24"/>
          <w:szCs w:val="24"/>
        </w:rPr>
        <w:t xml:space="preserve"> on the lost generation </w:t>
      </w:r>
      <w:r>
        <w:rPr>
          <w:rFonts w:ascii="Times New Roman" w:hAnsi="Times New Roman" w:cs="Times New Roman"/>
          <w:sz w:val="24"/>
          <w:szCs w:val="24"/>
        </w:rPr>
        <w:t>revenue</w:t>
      </w:r>
      <w:r w:rsidRPr="00761BCE">
        <w:rPr>
          <w:rFonts w:ascii="Times New Roman" w:hAnsi="Times New Roman" w:cs="Times New Roman"/>
          <w:sz w:val="24"/>
          <w:szCs w:val="24"/>
        </w:rPr>
        <w:t xml:space="preserve"> collected </w:t>
      </w:r>
      <w:r>
        <w:rPr>
          <w:rFonts w:ascii="Times New Roman" w:hAnsi="Times New Roman" w:cs="Times New Roman"/>
          <w:sz w:val="24"/>
          <w:szCs w:val="24"/>
        </w:rPr>
        <w:t xml:space="preserve">and held </w:t>
      </w:r>
      <w:r w:rsidRPr="00761BCE">
        <w:rPr>
          <w:rFonts w:ascii="Times New Roman" w:hAnsi="Times New Roman" w:cs="Times New Roman"/>
          <w:sz w:val="24"/>
          <w:szCs w:val="24"/>
        </w:rPr>
        <w:t xml:space="preserve">by the Company </w:t>
      </w:r>
      <w:r>
        <w:rPr>
          <w:rFonts w:ascii="Times New Roman" w:hAnsi="Times New Roman" w:cs="Times New Roman"/>
          <w:sz w:val="24"/>
          <w:szCs w:val="24"/>
        </w:rPr>
        <w:t>in Rider DR-SAW po</w:t>
      </w:r>
      <w:r w:rsidRPr="00761BCE">
        <w:rPr>
          <w:rFonts w:ascii="Times New Roman" w:hAnsi="Times New Roman" w:cs="Times New Roman"/>
          <w:sz w:val="24"/>
          <w:szCs w:val="24"/>
        </w:rPr>
        <w:t>st 2009</w:t>
      </w:r>
      <w:r>
        <w:rPr>
          <w:rFonts w:ascii="Times New Roman" w:hAnsi="Times New Roman" w:cs="Times New Roman"/>
          <w:sz w:val="24"/>
          <w:szCs w:val="24"/>
        </w:rPr>
        <w:t>.  That is the fair result for customers in this very unusual situation. That total amount of interest should be subtracted from</w:t>
      </w:r>
      <w:r w:rsidRPr="00761BCE">
        <w:rPr>
          <w:rFonts w:ascii="Times New Roman" w:hAnsi="Times New Roman" w:cs="Times New Roman"/>
          <w:sz w:val="24"/>
          <w:szCs w:val="24"/>
        </w:rPr>
        <w:t xml:space="preserve"> the </w:t>
      </w:r>
      <w:r>
        <w:rPr>
          <w:rFonts w:ascii="Times New Roman" w:hAnsi="Times New Roman" w:cs="Times New Roman"/>
          <w:sz w:val="24"/>
          <w:szCs w:val="24"/>
        </w:rPr>
        <w:t xml:space="preserve">remaining distribution </w:t>
      </w:r>
      <w:r w:rsidRPr="00761BCE">
        <w:rPr>
          <w:rFonts w:ascii="Times New Roman" w:hAnsi="Times New Roman" w:cs="Times New Roman"/>
          <w:sz w:val="24"/>
          <w:szCs w:val="24"/>
        </w:rPr>
        <w:t>lost revenues</w:t>
      </w:r>
      <w:r>
        <w:rPr>
          <w:rFonts w:ascii="Times New Roman" w:hAnsi="Times New Roman" w:cs="Times New Roman"/>
          <w:sz w:val="24"/>
          <w:szCs w:val="24"/>
        </w:rPr>
        <w:t xml:space="preserve"> the Company contemplates collecting, if any, after adjustments to Duke’s calculation is made.</w:t>
      </w:r>
    </w:p>
    <w:p w:rsidR="00672041" w:rsidRDefault="003B1BCC" w:rsidP="00F00DBC">
      <w:pPr>
        <w:pStyle w:val="Heading2"/>
      </w:pPr>
      <w:bookmarkStart w:id="8" w:name="_Toc337737705"/>
      <w:r>
        <w:t>F</w:t>
      </w:r>
      <w:r w:rsidR="00672041">
        <w:t>.</w:t>
      </w:r>
      <w:r w:rsidR="00672041">
        <w:tab/>
      </w:r>
      <w:r w:rsidR="00672041" w:rsidRPr="009E7A50">
        <w:t>The Commission Should</w:t>
      </w:r>
      <w:r w:rsidR="00672041">
        <w:t xml:space="preserve"> Require Duke To Rerun Its Model And File Its Revised Incentive Results In This Proceeding.</w:t>
      </w:r>
      <w:bookmarkEnd w:id="8"/>
    </w:p>
    <w:p w:rsidR="00672041" w:rsidRDefault="00672041" w:rsidP="0050146F">
      <w:pPr>
        <w:pStyle w:val="OCC"/>
        <w:numPr>
          <w:ilvl w:val="0"/>
          <w:numId w:val="0"/>
        </w:numPr>
        <w:ind w:firstLine="720"/>
        <w:rPr>
          <w:b w:val="0"/>
        </w:rPr>
      </w:pPr>
      <w:r w:rsidRPr="00761BCE">
        <w:rPr>
          <w:b w:val="0"/>
        </w:rPr>
        <w:t>OCC</w:t>
      </w:r>
      <w:r>
        <w:rPr>
          <w:b w:val="0"/>
        </w:rPr>
        <w:t>’s</w:t>
      </w:r>
      <w:r w:rsidRPr="00761BCE">
        <w:rPr>
          <w:b w:val="0"/>
        </w:rPr>
        <w:t xml:space="preserve"> recommendations will </w:t>
      </w:r>
      <w:r>
        <w:rPr>
          <w:b w:val="0"/>
        </w:rPr>
        <w:t>reduce Duke’s</w:t>
      </w:r>
      <w:r w:rsidRPr="00761BCE">
        <w:rPr>
          <w:b w:val="0"/>
        </w:rPr>
        <w:t xml:space="preserve"> overall the avoided cost revenue</w:t>
      </w:r>
      <w:r>
        <w:rPr>
          <w:b w:val="0"/>
        </w:rPr>
        <w:t xml:space="preserve"> below the</w:t>
      </w:r>
      <w:r w:rsidRPr="00761BCE">
        <w:rPr>
          <w:b w:val="0"/>
        </w:rPr>
        <w:t xml:space="preserve"> $90 million estimated by Company witness Ziolkowski.</w:t>
      </w:r>
      <w:r w:rsidRPr="00801D3D">
        <w:rPr>
          <w:rStyle w:val="FootnoteReference"/>
          <w:b w:val="0"/>
        </w:rPr>
        <w:footnoteReference w:id="30"/>
      </w:r>
      <w:r>
        <w:rPr>
          <w:b w:val="0"/>
        </w:rPr>
        <w:t xml:space="preserve">  Lowering the avoided cost revenue estimate may lead to a lower incentive payment by customers. </w:t>
      </w:r>
      <w:r w:rsidRPr="00761BCE">
        <w:rPr>
          <w:b w:val="0"/>
        </w:rPr>
        <w:t xml:space="preserve">Without Duke rerunning the SAW model with the </w:t>
      </w:r>
      <w:r>
        <w:rPr>
          <w:b w:val="0"/>
        </w:rPr>
        <w:t xml:space="preserve">necessary </w:t>
      </w:r>
      <w:r w:rsidRPr="00761BCE">
        <w:rPr>
          <w:b w:val="0"/>
        </w:rPr>
        <w:t>adjustments</w:t>
      </w:r>
      <w:r>
        <w:rPr>
          <w:b w:val="0"/>
        </w:rPr>
        <w:t xml:space="preserve"> outlined above</w:t>
      </w:r>
      <w:r w:rsidRPr="00761BCE">
        <w:rPr>
          <w:b w:val="0"/>
        </w:rPr>
        <w:t xml:space="preserve">, it is difficult to estimate whether </w:t>
      </w:r>
      <w:r>
        <w:rPr>
          <w:b w:val="0"/>
        </w:rPr>
        <w:t>OCC’s</w:t>
      </w:r>
      <w:r w:rsidRPr="00761BCE">
        <w:rPr>
          <w:b w:val="0"/>
        </w:rPr>
        <w:t xml:space="preserve"> adjustments </w:t>
      </w:r>
      <w:r>
        <w:rPr>
          <w:b w:val="0"/>
        </w:rPr>
        <w:t>reduce</w:t>
      </w:r>
      <w:r w:rsidRPr="00761BCE">
        <w:rPr>
          <w:b w:val="0"/>
        </w:rPr>
        <w:t xml:space="preserve"> the avoided cost revenue below the 15 percent of total program cost metric that the Company is using to determine its $14.1 million incentive.</w:t>
      </w:r>
      <w:r w:rsidRPr="00801D3D">
        <w:rPr>
          <w:rStyle w:val="FootnoteReference"/>
          <w:b w:val="0"/>
        </w:rPr>
        <w:footnoteReference w:id="31"/>
      </w:r>
      <w:r w:rsidRPr="00761BCE">
        <w:rPr>
          <w:b w:val="0"/>
        </w:rPr>
        <w:t xml:space="preserve"> This</w:t>
      </w:r>
      <w:r>
        <w:rPr>
          <w:b w:val="0"/>
        </w:rPr>
        <w:t xml:space="preserve"> information</w:t>
      </w:r>
      <w:r w:rsidRPr="00761BCE">
        <w:rPr>
          <w:b w:val="0"/>
        </w:rPr>
        <w:t xml:space="preserve"> is important to ascertain as the Company is only allowed to collect the lesser of the earned revenues consistent with the calculated earnings cap or the earned avoided cost revenues associated with the actual </w:t>
      </w:r>
      <w:r>
        <w:rPr>
          <w:b w:val="0"/>
        </w:rPr>
        <w:t xml:space="preserve">impacts claimed.  </w:t>
      </w:r>
      <w:r w:rsidRPr="00761BCE">
        <w:rPr>
          <w:b w:val="0"/>
        </w:rPr>
        <w:t>Therefore</w:t>
      </w:r>
      <w:r>
        <w:rPr>
          <w:b w:val="0"/>
        </w:rPr>
        <w:t>,</w:t>
      </w:r>
      <w:r w:rsidRPr="00761BCE">
        <w:rPr>
          <w:b w:val="0"/>
        </w:rPr>
        <w:t xml:space="preserve"> the Commission </w:t>
      </w:r>
      <w:r>
        <w:rPr>
          <w:b w:val="0"/>
        </w:rPr>
        <w:t>should instruct</w:t>
      </w:r>
      <w:r w:rsidRPr="00761BCE">
        <w:rPr>
          <w:b w:val="0"/>
        </w:rPr>
        <w:t xml:space="preserve"> Duke</w:t>
      </w:r>
      <w:r>
        <w:rPr>
          <w:b w:val="0"/>
        </w:rPr>
        <w:t xml:space="preserve"> to</w:t>
      </w:r>
      <w:r w:rsidRPr="00761BCE">
        <w:rPr>
          <w:b w:val="0"/>
        </w:rPr>
        <w:t xml:space="preserve"> rerun its model and file its revised incentive results in this </w:t>
      </w:r>
      <w:r>
        <w:rPr>
          <w:b w:val="0"/>
        </w:rPr>
        <w:t>proceeding</w:t>
      </w:r>
      <w:r w:rsidRPr="00761BCE">
        <w:rPr>
          <w:b w:val="0"/>
        </w:rPr>
        <w:t xml:space="preserve">.  </w:t>
      </w:r>
      <w:r w:rsidRPr="00BC6E43">
        <w:rPr>
          <w:b w:val="0"/>
        </w:rPr>
        <w:t xml:space="preserve"> </w:t>
      </w:r>
    </w:p>
    <w:p w:rsidR="00672041" w:rsidRDefault="003B1BCC" w:rsidP="00F00DBC">
      <w:pPr>
        <w:pStyle w:val="Heading2"/>
      </w:pPr>
      <w:bookmarkStart w:id="9" w:name="_Toc337737706"/>
      <w:r>
        <w:t>G</w:t>
      </w:r>
      <w:r w:rsidR="00672041">
        <w:t>.</w:t>
      </w:r>
      <w:r w:rsidR="00672041">
        <w:tab/>
      </w:r>
      <w:r w:rsidR="00672041" w:rsidRPr="00912CB0">
        <w:t>The Commission Should</w:t>
      </w:r>
      <w:r w:rsidR="00672041">
        <w:t xml:space="preserve"> Amend The Procedural Schedule To Account For The Revised Incentive Calculations And Correlating Results.</w:t>
      </w:r>
      <w:bookmarkEnd w:id="9"/>
      <w:r w:rsidR="00672041">
        <w:t xml:space="preserve"> </w:t>
      </w:r>
    </w:p>
    <w:p w:rsidR="00672041" w:rsidRDefault="00672041" w:rsidP="0050146F">
      <w:pPr>
        <w:pStyle w:val="OCC"/>
        <w:numPr>
          <w:ilvl w:val="0"/>
          <w:numId w:val="0"/>
        </w:numPr>
        <w:ind w:firstLine="720"/>
        <w:rPr>
          <w:b w:val="0"/>
        </w:rPr>
      </w:pPr>
      <w:r>
        <w:rPr>
          <w:b w:val="0"/>
        </w:rPr>
        <w:t>G</w:t>
      </w:r>
      <w:r w:rsidRPr="00761BCE">
        <w:rPr>
          <w:b w:val="0"/>
        </w:rPr>
        <w:t xml:space="preserve">iven the complexity of the SAW cost-recovery model, Duke should </w:t>
      </w:r>
      <w:r>
        <w:rPr>
          <w:b w:val="0"/>
        </w:rPr>
        <w:t xml:space="preserve">be required </w:t>
      </w:r>
      <w:r w:rsidRPr="00761BCE">
        <w:rPr>
          <w:b w:val="0"/>
        </w:rPr>
        <w:t xml:space="preserve">to </w:t>
      </w:r>
      <w:r>
        <w:rPr>
          <w:b w:val="0"/>
        </w:rPr>
        <w:t xml:space="preserve">give </w:t>
      </w:r>
      <w:r w:rsidRPr="00761BCE">
        <w:rPr>
          <w:b w:val="0"/>
        </w:rPr>
        <w:t xml:space="preserve">a detailed presentation </w:t>
      </w:r>
      <w:r>
        <w:rPr>
          <w:b w:val="0"/>
        </w:rPr>
        <w:t xml:space="preserve">to interested stakeholders explaining </w:t>
      </w:r>
      <w:r w:rsidRPr="00761BCE">
        <w:rPr>
          <w:b w:val="0"/>
        </w:rPr>
        <w:t>its re</w:t>
      </w:r>
      <w:r>
        <w:rPr>
          <w:b w:val="0"/>
        </w:rPr>
        <w:t>vised calculations and correlating results</w:t>
      </w:r>
      <w:r w:rsidRPr="00761BCE">
        <w:rPr>
          <w:b w:val="0"/>
        </w:rPr>
        <w:t xml:space="preserve">. </w:t>
      </w:r>
      <w:r>
        <w:rPr>
          <w:b w:val="0"/>
        </w:rPr>
        <w:t xml:space="preserve">And the parties should be given the opportunity to file comments and reply comments in regards to the Company’s revised results. Finally, the </w:t>
      </w:r>
      <w:r w:rsidRPr="00761BCE">
        <w:rPr>
          <w:b w:val="0"/>
        </w:rPr>
        <w:t>October 23, 2012 hearing</w:t>
      </w:r>
      <w:r>
        <w:rPr>
          <w:b w:val="0"/>
        </w:rPr>
        <w:t xml:space="preserve"> date should be continued so that the parties will have adequate time to review and conduct discovery on the revised calculations and prepare and file comments and testimony</w:t>
      </w:r>
      <w:r w:rsidRPr="00761BCE">
        <w:rPr>
          <w:b w:val="0"/>
        </w:rPr>
        <w:t>.</w:t>
      </w:r>
      <w:r>
        <w:rPr>
          <w:b w:val="0"/>
        </w:rPr>
        <w:t xml:space="preserve">  This proposed process reflects that there is a significant amount of money at stake for customers and the issues should be heard before a decision is made on how much customers will pay.</w:t>
      </w:r>
    </w:p>
    <w:p w:rsidR="00672041" w:rsidRPr="00761BCE" w:rsidRDefault="00672041" w:rsidP="00083DB9">
      <w:pPr>
        <w:pStyle w:val="OCC"/>
        <w:numPr>
          <w:ilvl w:val="0"/>
          <w:numId w:val="0"/>
        </w:numPr>
        <w:spacing w:line="240" w:lineRule="auto"/>
        <w:ind w:firstLine="720"/>
        <w:rPr>
          <w:b w:val="0"/>
        </w:rPr>
      </w:pPr>
    </w:p>
    <w:p w:rsidR="00672041" w:rsidRDefault="00672041" w:rsidP="00F00DBC">
      <w:pPr>
        <w:pStyle w:val="Heading1"/>
      </w:pPr>
      <w:bookmarkStart w:id="10" w:name="_Toc337737707"/>
      <w:r>
        <w:t>III.</w:t>
      </w:r>
      <w:r>
        <w:tab/>
      </w:r>
      <w:r w:rsidRPr="00017C64">
        <w:t>CONCLUSION</w:t>
      </w:r>
      <w:bookmarkEnd w:id="10"/>
    </w:p>
    <w:p w:rsidR="00672041" w:rsidRDefault="00672041" w:rsidP="00F619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OCC, on behalf of Duke’s residential customers, appreciates the opportunity to submit these comments in response to Duke’s request that its residential customers pay more for its energy efficiency and peak demand programs.</w:t>
      </w:r>
      <w:r>
        <w:rPr>
          <w:rFonts w:ascii="Times New Roman" w:hAnsi="Times New Roman" w:cs="Times New Roman"/>
          <w:sz w:val="24"/>
          <w:szCs w:val="24"/>
          <w:lang w:eastAsia="ja-JP"/>
        </w:rPr>
        <w:t xml:space="preserve"> OCC’s comments are directed at advocating that </w:t>
      </w:r>
      <w:r>
        <w:rPr>
          <w:rFonts w:ascii="Times New Roman" w:hAnsi="Times New Roman" w:cs="Times New Roman"/>
          <w:sz w:val="24"/>
          <w:szCs w:val="24"/>
        </w:rPr>
        <w:t xml:space="preserve">Duke’s customers should realize the benefits of Duke’s programs, at just and reasonable rates, and that Duke fully adhere to the Stipulation that provided for the implementation of Rider DR-SAW.  </w:t>
      </w:r>
    </w:p>
    <w:p w:rsidR="00672041" w:rsidRDefault="00672041" w:rsidP="00017C64">
      <w:pPr>
        <w:ind w:left="4320"/>
        <w:rPr>
          <w:rFonts w:ascii="Times New Roman" w:hAnsi="Times New Roman" w:cs="Times New Roman"/>
          <w:sz w:val="24"/>
          <w:szCs w:val="24"/>
        </w:rPr>
      </w:pPr>
      <w:r>
        <w:rPr>
          <w:rFonts w:ascii="Times New Roman" w:hAnsi="Times New Roman" w:cs="Times New Roman"/>
          <w:sz w:val="24"/>
          <w:szCs w:val="24"/>
        </w:rPr>
        <w:br w:type="page"/>
        <w:t>Respectfully submitted,</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BRUCE J. WESTON</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OHIO CONSUMERS’ COUNSEL</w:t>
      </w:r>
    </w:p>
    <w:p w:rsidR="00672041" w:rsidRPr="00E04AA2" w:rsidRDefault="00672041" w:rsidP="00017C64">
      <w:pPr>
        <w:spacing w:after="0" w:line="240" w:lineRule="auto"/>
        <w:ind w:left="4320"/>
        <w:rPr>
          <w:rFonts w:ascii="Times New Roman" w:hAnsi="Times New Roman" w:cs="Times New Roman"/>
          <w:sz w:val="24"/>
          <w:szCs w:val="24"/>
        </w:rPr>
      </w:pPr>
      <w:r w:rsidRPr="00E04AA2">
        <w:rPr>
          <w:rFonts w:ascii="Times New Roman" w:hAnsi="Times New Roman" w:cs="Times New Roman"/>
          <w:sz w:val="24"/>
          <w:szCs w:val="24"/>
        </w:rPr>
        <w:tab/>
      </w:r>
    </w:p>
    <w:p w:rsidR="00672041" w:rsidRPr="00083DB9" w:rsidRDefault="00672041" w:rsidP="00017C64">
      <w:pPr>
        <w:spacing w:after="0" w:line="240" w:lineRule="auto"/>
        <w:ind w:left="4320"/>
        <w:rPr>
          <w:rFonts w:ascii="Times New Roman" w:hAnsi="Times New Roman" w:cs="Times New Roman"/>
          <w:i/>
          <w:sz w:val="24"/>
          <w:szCs w:val="24"/>
        </w:rPr>
      </w:pPr>
      <w:r w:rsidRPr="00083DB9">
        <w:rPr>
          <w:rFonts w:ascii="Times New Roman" w:hAnsi="Times New Roman" w:cs="Times New Roman"/>
          <w:i/>
          <w:sz w:val="24"/>
          <w:szCs w:val="24"/>
          <w:u w:val="single"/>
        </w:rPr>
        <w:t>/s/_Melissa R. Yost</w:t>
      </w:r>
      <w:r w:rsidRPr="00083DB9">
        <w:rPr>
          <w:rFonts w:ascii="Times New Roman" w:hAnsi="Times New Roman" w:cs="Times New Roman"/>
          <w:i/>
          <w:sz w:val="24"/>
          <w:szCs w:val="24"/>
        </w:rPr>
        <w:t xml:space="preserve">____ </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Melissa R. Yost</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672041" w:rsidRDefault="00672041" w:rsidP="00017C64">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Office of the Ohio Consumers’ Counsel</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672041" w:rsidRDefault="00672041" w:rsidP="00017C6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(614) 466-1291</w:t>
      </w:r>
    </w:p>
    <w:p w:rsidR="00672041" w:rsidRDefault="00055067" w:rsidP="00017C64">
      <w:pPr>
        <w:spacing w:after="0" w:line="240" w:lineRule="auto"/>
        <w:ind w:left="4320"/>
        <w:rPr>
          <w:rFonts w:ascii="Times New Roman" w:hAnsi="Times New Roman" w:cs="Times New Roman"/>
          <w:sz w:val="24"/>
          <w:szCs w:val="24"/>
        </w:rPr>
      </w:pPr>
      <w:hyperlink r:id="rId17" w:history="1">
        <w:r w:rsidR="00672041">
          <w:rPr>
            <w:rStyle w:val="Hyperlink"/>
            <w:rFonts w:ascii="Times New Roman" w:hAnsi="Times New Roman"/>
            <w:sz w:val="24"/>
            <w:szCs w:val="24"/>
          </w:rPr>
          <w:t>yost@occ.state.oh.us</w:t>
        </w:r>
      </w:hyperlink>
    </w:p>
    <w:p w:rsidR="00672041" w:rsidRPr="00017C64" w:rsidRDefault="00672041" w:rsidP="00017C64">
      <w:pPr>
        <w:pStyle w:val="OCC"/>
        <w:numPr>
          <w:ilvl w:val="0"/>
          <w:numId w:val="0"/>
        </w:numPr>
        <w:ind w:left="720" w:hanging="720"/>
      </w:pPr>
    </w:p>
    <w:p w:rsidR="00672041" w:rsidRDefault="00672041" w:rsidP="00631C0B">
      <w:pPr>
        <w:jc w:val="center"/>
        <w:rPr>
          <w:rFonts w:ascii="Times New Roman" w:hAnsi="Times New Roman" w:cs="Times New Roman"/>
          <w:b/>
          <w:bCs/>
          <w:sz w:val="24"/>
          <w:szCs w:val="24"/>
          <w:u w:val="single"/>
        </w:rPr>
      </w:pPr>
      <w:r>
        <w:rPr>
          <w:lang w:eastAsia="ja-JP"/>
        </w:rPr>
        <w:br w:type="page"/>
      </w:r>
      <w:r>
        <w:rPr>
          <w:rFonts w:ascii="Times New Roman" w:hAnsi="Times New Roman" w:cs="Times New Roman"/>
          <w:b/>
          <w:bCs/>
          <w:sz w:val="24"/>
          <w:szCs w:val="24"/>
          <w:u w:val="single"/>
        </w:rPr>
        <w:t>CERTIFICATE OF SERVICE</w:t>
      </w:r>
    </w:p>
    <w:p w:rsidR="00672041" w:rsidRDefault="00672041" w:rsidP="00017C64">
      <w:pPr>
        <w:spacing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 foregoing Comments was served on the persons stated below via electronic transmission, this 11the day of October, 2012.</w:t>
      </w:r>
    </w:p>
    <w:p w:rsidR="00672041" w:rsidRDefault="00672041" w:rsidP="00017C64">
      <w:pPr>
        <w:spacing w:line="480" w:lineRule="atLeast"/>
        <w:rPr>
          <w:rFonts w:ascii="Times New Roman" w:hAnsi="Times New Roman" w:cs="Times New Roman"/>
          <w:sz w:val="24"/>
          <w:szCs w:val="24"/>
        </w:rPr>
      </w:pPr>
    </w:p>
    <w:p w:rsidR="00672041" w:rsidRDefault="00672041" w:rsidP="00017C6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u w:val="single"/>
        </w:rPr>
        <w:t>/s/</w:t>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r>
      <w:r>
        <w:rPr>
          <w:rFonts w:ascii="Times New Roman" w:hAnsi="Times New Roman" w:cs="Times New Roman"/>
          <w:i/>
          <w:sz w:val="24"/>
          <w:szCs w:val="24"/>
          <w:u w:val="single"/>
        </w:rPr>
        <w:softHyphen/>
        <w:t>_Melissa R. Yost________________</w:t>
      </w:r>
    </w:p>
    <w:p w:rsidR="00672041" w:rsidRDefault="00672041" w:rsidP="00017C6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Melissa R. Yost</w:t>
      </w:r>
    </w:p>
    <w:p w:rsidR="00672041" w:rsidRDefault="00672041" w:rsidP="00017C6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672041" w:rsidRDefault="00672041" w:rsidP="00077542">
      <w:pPr>
        <w:pStyle w:val="CommentText"/>
      </w:pPr>
    </w:p>
    <w:p w:rsidR="00672041" w:rsidRPr="00077542" w:rsidRDefault="00672041" w:rsidP="00077542">
      <w:pPr>
        <w:pStyle w:val="CommentText"/>
        <w:spacing w:after="0" w:line="240" w:lineRule="auto"/>
        <w:jc w:val="center"/>
        <w:rPr>
          <w:rFonts w:ascii="Times New Roman" w:hAnsi="Times New Roman"/>
          <w:b/>
          <w:sz w:val="24"/>
          <w:szCs w:val="24"/>
          <w:u w:val="single"/>
        </w:rPr>
      </w:pPr>
      <w:r w:rsidRPr="00077542">
        <w:rPr>
          <w:rFonts w:ascii="Times New Roman" w:hAnsi="Times New Roman"/>
          <w:b/>
          <w:sz w:val="24"/>
          <w:szCs w:val="24"/>
          <w:u w:val="single"/>
        </w:rPr>
        <w:t>SERVICE LIST</w:t>
      </w:r>
    </w:p>
    <w:p w:rsidR="00672041" w:rsidRPr="00077542" w:rsidRDefault="00672041" w:rsidP="00077542">
      <w:pPr>
        <w:pStyle w:val="BodyText"/>
        <w:rPr>
          <w:b/>
          <w:bCs/>
          <w:szCs w:val="24"/>
        </w:rPr>
      </w:pPr>
    </w:p>
    <w:tbl>
      <w:tblPr>
        <w:tblW w:w="0" w:type="auto"/>
        <w:tblLook w:val="01E0" w:firstRow="1" w:lastRow="1" w:firstColumn="1" w:lastColumn="1" w:noHBand="0" w:noVBand="0"/>
      </w:tblPr>
      <w:tblGrid>
        <w:gridCol w:w="4428"/>
        <w:gridCol w:w="4428"/>
      </w:tblGrid>
      <w:tr w:rsidR="00672041" w:rsidRPr="004224DC" w:rsidTr="004224DC">
        <w:tc>
          <w:tcPr>
            <w:tcW w:w="4428" w:type="dxa"/>
          </w:tcPr>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r w:rsidRPr="004224DC">
              <w:rPr>
                <w:rFonts w:ascii="Times New Roman" w:hAnsi="Times New Roman" w:cs="Times New Roman"/>
                <w:bCs/>
                <w:sz w:val="24"/>
                <w:szCs w:val="24"/>
              </w:rPr>
              <w:t>Devin Parram</w:t>
            </w:r>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r w:rsidRPr="004224DC">
              <w:rPr>
                <w:rFonts w:ascii="Times New Roman" w:hAnsi="Times New Roman" w:cs="Times New Roman"/>
                <w:bCs/>
                <w:sz w:val="24"/>
                <w:szCs w:val="24"/>
              </w:rPr>
              <w:t xml:space="preserve">Attorney General’s Office </w:t>
            </w:r>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r w:rsidRPr="004224DC">
              <w:rPr>
                <w:rFonts w:ascii="Times New Roman" w:hAnsi="Times New Roman" w:cs="Times New Roman"/>
                <w:bCs/>
                <w:sz w:val="24"/>
                <w:szCs w:val="24"/>
              </w:rPr>
              <w:t>Public Utilities Commission of Ohio</w:t>
            </w:r>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r w:rsidRPr="004224DC">
              <w:rPr>
                <w:rFonts w:ascii="Times New Roman" w:hAnsi="Times New Roman" w:cs="Times New Roman"/>
                <w:bCs/>
                <w:sz w:val="24"/>
                <w:szCs w:val="24"/>
              </w:rPr>
              <w:t>180 E. Broad St., 6</w:t>
            </w:r>
            <w:r w:rsidRPr="004224DC">
              <w:rPr>
                <w:rFonts w:ascii="Times New Roman" w:hAnsi="Times New Roman" w:cs="Times New Roman"/>
                <w:bCs/>
                <w:sz w:val="24"/>
                <w:szCs w:val="24"/>
                <w:vertAlign w:val="superscript"/>
              </w:rPr>
              <w:t>th</w:t>
            </w:r>
            <w:r w:rsidRPr="004224DC">
              <w:rPr>
                <w:rFonts w:ascii="Times New Roman" w:hAnsi="Times New Roman" w:cs="Times New Roman"/>
                <w:bCs/>
                <w:sz w:val="24"/>
                <w:szCs w:val="24"/>
              </w:rPr>
              <w:t xml:space="preserve"> Fl.</w:t>
            </w:r>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r w:rsidRPr="004224DC">
              <w:rPr>
                <w:rFonts w:ascii="Times New Roman" w:hAnsi="Times New Roman" w:cs="Times New Roman"/>
                <w:bCs/>
                <w:sz w:val="24"/>
                <w:szCs w:val="24"/>
              </w:rPr>
              <w:t>Columbus, OH 43215</w:t>
            </w:r>
          </w:p>
          <w:p w:rsidR="00672041" w:rsidRPr="004224DC" w:rsidRDefault="00055067" w:rsidP="004224DC">
            <w:pPr>
              <w:autoSpaceDE w:val="0"/>
              <w:autoSpaceDN w:val="0"/>
              <w:adjustRightInd w:val="0"/>
              <w:spacing w:after="0" w:line="240" w:lineRule="auto"/>
              <w:rPr>
                <w:rFonts w:ascii="Times New Roman" w:hAnsi="Times New Roman" w:cs="Times New Roman"/>
                <w:bCs/>
                <w:sz w:val="24"/>
                <w:szCs w:val="24"/>
              </w:rPr>
            </w:pPr>
            <w:hyperlink r:id="rId18" w:history="1">
              <w:r w:rsidR="00672041" w:rsidRPr="004224DC">
                <w:rPr>
                  <w:rStyle w:val="Hyperlink"/>
                  <w:rFonts w:ascii="Times New Roman" w:hAnsi="Times New Roman"/>
                  <w:bCs/>
                  <w:sz w:val="24"/>
                  <w:szCs w:val="24"/>
                </w:rPr>
                <w:t>Devin.parram@puc.state.oh.us</w:t>
              </w:r>
            </w:hyperlink>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p>
          <w:p w:rsidR="00672041" w:rsidRPr="004224DC" w:rsidRDefault="00672041" w:rsidP="004224DC">
            <w:pPr>
              <w:autoSpaceDE w:val="0"/>
              <w:autoSpaceDN w:val="0"/>
              <w:adjustRightInd w:val="0"/>
              <w:spacing w:after="0" w:line="240" w:lineRule="auto"/>
              <w:rPr>
                <w:rFonts w:ascii="Times New Roman" w:hAnsi="Times New Roman" w:cs="Times New Roman"/>
                <w:bCs/>
                <w:sz w:val="24"/>
                <w:szCs w:val="24"/>
              </w:rPr>
            </w:pPr>
          </w:p>
        </w:tc>
        <w:tc>
          <w:tcPr>
            <w:tcW w:w="4428" w:type="dxa"/>
          </w:tcPr>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r w:rsidRPr="004224DC">
              <w:rPr>
                <w:rFonts w:ascii="Times New Roman" w:hAnsi="Times New Roman" w:cs="Times New Roman"/>
                <w:sz w:val="24"/>
                <w:szCs w:val="24"/>
              </w:rPr>
              <w:t>Amy B. Spiller</w:t>
            </w:r>
          </w:p>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r w:rsidRPr="004224DC">
              <w:rPr>
                <w:rFonts w:ascii="Times New Roman" w:hAnsi="Times New Roman" w:cs="Times New Roman"/>
                <w:sz w:val="24"/>
                <w:szCs w:val="24"/>
              </w:rPr>
              <w:t xml:space="preserve">Elizabeth H. Watts </w:t>
            </w:r>
          </w:p>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r w:rsidRPr="004224DC">
              <w:rPr>
                <w:rFonts w:ascii="Times New Roman" w:hAnsi="Times New Roman" w:cs="Times New Roman"/>
                <w:sz w:val="24"/>
                <w:szCs w:val="24"/>
              </w:rPr>
              <w:t>139 E. Fourth Street, 1303-Main</w:t>
            </w:r>
          </w:p>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r w:rsidRPr="004224DC">
              <w:rPr>
                <w:rFonts w:ascii="Times New Roman" w:hAnsi="Times New Roman" w:cs="Times New Roman"/>
                <w:sz w:val="24"/>
                <w:szCs w:val="24"/>
              </w:rPr>
              <w:t>P.O. Box 960</w:t>
            </w:r>
          </w:p>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r w:rsidRPr="004224DC">
              <w:rPr>
                <w:rFonts w:ascii="Times New Roman" w:hAnsi="Times New Roman" w:cs="Times New Roman"/>
                <w:sz w:val="24"/>
                <w:szCs w:val="24"/>
              </w:rPr>
              <w:t>Cincinnati, Ohio 45201-0960</w:t>
            </w:r>
          </w:p>
          <w:p w:rsidR="00672041" w:rsidRPr="004224DC" w:rsidRDefault="00055067" w:rsidP="004224DC">
            <w:pPr>
              <w:autoSpaceDE w:val="0"/>
              <w:autoSpaceDN w:val="0"/>
              <w:adjustRightInd w:val="0"/>
              <w:spacing w:after="0" w:line="240" w:lineRule="auto"/>
              <w:rPr>
                <w:rFonts w:ascii="Times New Roman" w:hAnsi="Times New Roman" w:cs="Times New Roman"/>
                <w:sz w:val="24"/>
                <w:szCs w:val="24"/>
              </w:rPr>
            </w:pPr>
            <w:hyperlink r:id="rId19" w:history="1">
              <w:r w:rsidR="00672041" w:rsidRPr="004224DC">
                <w:rPr>
                  <w:rStyle w:val="Hyperlink"/>
                  <w:rFonts w:ascii="Times New Roman" w:hAnsi="Times New Roman"/>
                  <w:sz w:val="24"/>
                  <w:szCs w:val="24"/>
                </w:rPr>
                <w:t>Amy.Spiller@duke-energy.com</w:t>
              </w:r>
            </w:hyperlink>
          </w:p>
          <w:p w:rsidR="00672041" w:rsidRPr="00652906" w:rsidRDefault="00055067" w:rsidP="00077542">
            <w:pPr>
              <w:pStyle w:val="BodyText"/>
              <w:rPr>
                <w:szCs w:val="24"/>
              </w:rPr>
            </w:pPr>
            <w:hyperlink r:id="rId20" w:history="1">
              <w:r w:rsidR="00672041" w:rsidRPr="00652906">
                <w:rPr>
                  <w:rStyle w:val="Hyperlink"/>
                  <w:szCs w:val="24"/>
                </w:rPr>
                <w:t>Elizabeth.Watts@duke-enegy.com</w:t>
              </w:r>
            </w:hyperlink>
          </w:p>
          <w:p w:rsidR="00672041" w:rsidRPr="00652906" w:rsidRDefault="00672041" w:rsidP="00077542">
            <w:pPr>
              <w:pStyle w:val="BodyText"/>
              <w:rPr>
                <w:bCs/>
                <w:szCs w:val="24"/>
              </w:rPr>
            </w:pPr>
          </w:p>
        </w:tc>
      </w:tr>
      <w:tr w:rsidR="00672041" w:rsidRPr="004224DC" w:rsidTr="004224DC">
        <w:tc>
          <w:tcPr>
            <w:tcW w:w="4428" w:type="dxa"/>
          </w:tcPr>
          <w:p w:rsidR="00672041" w:rsidRPr="004224DC" w:rsidRDefault="00672041" w:rsidP="004224DC">
            <w:pPr>
              <w:autoSpaceDE w:val="0"/>
              <w:autoSpaceDN w:val="0"/>
              <w:adjustRightInd w:val="0"/>
              <w:spacing w:after="0" w:line="240" w:lineRule="auto"/>
              <w:rPr>
                <w:rFonts w:ascii="Times New Roman" w:hAnsi="Times New Roman" w:cs="Times New Roman"/>
                <w:color w:val="000000"/>
                <w:sz w:val="24"/>
                <w:szCs w:val="24"/>
              </w:rPr>
            </w:pPr>
            <w:r w:rsidRPr="004224DC">
              <w:rPr>
                <w:rFonts w:ascii="Times New Roman" w:hAnsi="Times New Roman" w:cs="Times New Roman"/>
                <w:color w:val="000000"/>
                <w:sz w:val="24"/>
                <w:szCs w:val="24"/>
              </w:rPr>
              <w:t>Colleen L. Mooney</w:t>
            </w:r>
          </w:p>
          <w:p w:rsidR="00672041" w:rsidRPr="004224DC" w:rsidRDefault="00672041" w:rsidP="004224DC">
            <w:pPr>
              <w:autoSpaceDE w:val="0"/>
              <w:autoSpaceDN w:val="0"/>
              <w:adjustRightInd w:val="0"/>
              <w:spacing w:after="0" w:line="240" w:lineRule="auto"/>
              <w:rPr>
                <w:rFonts w:ascii="Times New Roman" w:hAnsi="Times New Roman" w:cs="Times New Roman"/>
                <w:color w:val="000000"/>
                <w:sz w:val="24"/>
                <w:szCs w:val="24"/>
              </w:rPr>
            </w:pPr>
            <w:r w:rsidRPr="004224DC">
              <w:rPr>
                <w:rFonts w:ascii="Times New Roman" w:hAnsi="Times New Roman" w:cs="Times New Roman"/>
                <w:color w:val="000000"/>
                <w:sz w:val="24"/>
                <w:szCs w:val="24"/>
              </w:rPr>
              <w:t>Ohio Partners for Affordable Energy</w:t>
            </w:r>
          </w:p>
          <w:p w:rsidR="00672041" w:rsidRPr="004224DC" w:rsidRDefault="00672041" w:rsidP="004224DC">
            <w:pPr>
              <w:autoSpaceDE w:val="0"/>
              <w:autoSpaceDN w:val="0"/>
              <w:adjustRightInd w:val="0"/>
              <w:spacing w:after="0" w:line="240" w:lineRule="auto"/>
              <w:rPr>
                <w:rFonts w:ascii="Times New Roman" w:hAnsi="Times New Roman" w:cs="Times New Roman"/>
                <w:color w:val="000000"/>
                <w:sz w:val="24"/>
                <w:szCs w:val="24"/>
              </w:rPr>
            </w:pPr>
            <w:r w:rsidRPr="004224DC">
              <w:rPr>
                <w:rFonts w:ascii="Times New Roman" w:hAnsi="Times New Roman" w:cs="Times New Roman"/>
                <w:color w:val="000000"/>
                <w:sz w:val="24"/>
                <w:szCs w:val="24"/>
              </w:rPr>
              <w:t>231 West Lima Street</w:t>
            </w:r>
          </w:p>
          <w:p w:rsidR="00672041" w:rsidRPr="004224DC" w:rsidRDefault="00672041" w:rsidP="004224DC">
            <w:pPr>
              <w:autoSpaceDE w:val="0"/>
              <w:autoSpaceDN w:val="0"/>
              <w:adjustRightInd w:val="0"/>
              <w:spacing w:after="0" w:line="240" w:lineRule="auto"/>
              <w:rPr>
                <w:rFonts w:ascii="Times New Roman" w:hAnsi="Times New Roman" w:cs="Times New Roman"/>
                <w:color w:val="000000"/>
                <w:sz w:val="24"/>
                <w:szCs w:val="24"/>
              </w:rPr>
            </w:pPr>
            <w:r w:rsidRPr="004224DC">
              <w:rPr>
                <w:rFonts w:ascii="Times New Roman" w:hAnsi="Times New Roman" w:cs="Times New Roman"/>
                <w:color w:val="000000"/>
                <w:sz w:val="24"/>
                <w:szCs w:val="24"/>
              </w:rPr>
              <w:t>Findlay, OH 45839-1793</w:t>
            </w:r>
          </w:p>
          <w:p w:rsidR="00672041" w:rsidRPr="004224DC" w:rsidRDefault="00055067" w:rsidP="004224DC">
            <w:pPr>
              <w:autoSpaceDE w:val="0"/>
              <w:autoSpaceDN w:val="0"/>
              <w:adjustRightInd w:val="0"/>
              <w:spacing w:after="0" w:line="240" w:lineRule="auto"/>
              <w:rPr>
                <w:rFonts w:ascii="Times New Roman" w:hAnsi="Times New Roman" w:cs="Times New Roman"/>
                <w:color w:val="0000FF"/>
                <w:sz w:val="24"/>
                <w:szCs w:val="24"/>
              </w:rPr>
            </w:pPr>
            <w:hyperlink r:id="rId21" w:history="1">
              <w:r w:rsidR="00672041" w:rsidRPr="004224DC">
                <w:rPr>
                  <w:rStyle w:val="Hyperlink"/>
                  <w:rFonts w:ascii="Times New Roman" w:hAnsi="Times New Roman"/>
                  <w:sz w:val="24"/>
                  <w:szCs w:val="24"/>
                </w:rPr>
                <w:t>cmooney2@columbus.rr.com</w:t>
              </w:r>
            </w:hyperlink>
          </w:p>
          <w:p w:rsidR="00672041" w:rsidRPr="004224DC" w:rsidRDefault="00672041" w:rsidP="004224DC">
            <w:pPr>
              <w:autoSpaceDE w:val="0"/>
              <w:autoSpaceDN w:val="0"/>
              <w:adjustRightInd w:val="0"/>
              <w:spacing w:after="0" w:line="240" w:lineRule="auto"/>
              <w:rPr>
                <w:rFonts w:ascii="Arial" w:hAnsi="Arial" w:cs="Arial"/>
                <w:color w:val="000000"/>
                <w:sz w:val="24"/>
                <w:szCs w:val="24"/>
              </w:rPr>
            </w:pPr>
          </w:p>
        </w:tc>
        <w:tc>
          <w:tcPr>
            <w:tcW w:w="4428" w:type="dxa"/>
          </w:tcPr>
          <w:p w:rsidR="00672041" w:rsidRPr="004224DC" w:rsidRDefault="00672041" w:rsidP="004224DC">
            <w:pPr>
              <w:autoSpaceDE w:val="0"/>
              <w:autoSpaceDN w:val="0"/>
              <w:adjustRightInd w:val="0"/>
              <w:spacing w:after="0" w:line="240" w:lineRule="auto"/>
              <w:rPr>
                <w:rFonts w:ascii="Times New Roman" w:hAnsi="Times New Roman" w:cs="Times New Roman"/>
                <w:sz w:val="24"/>
                <w:szCs w:val="24"/>
              </w:rPr>
            </w:pPr>
          </w:p>
        </w:tc>
      </w:tr>
    </w:tbl>
    <w:p w:rsidR="00672041" w:rsidRDefault="00672041" w:rsidP="00077542">
      <w:pPr>
        <w:pStyle w:val="BodyText"/>
        <w:rPr>
          <w:b/>
          <w:bCs/>
        </w:rPr>
      </w:pPr>
    </w:p>
    <w:p w:rsidR="00672041" w:rsidRDefault="00672041" w:rsidP="00497CCD">
      <w:pPr>
        <w:pStyle w:val="OCC"/>
        <w:numPr>
          <w:ilvl w:val="0"/>
          <w:numId w:val="0"/>
        </w:numPr>
        <w:rPr>
          <w:b w:val="0"/>
          <w:lang w:eastAsia="ja-JP"/>
        </w:rPr>
      </w:pPr>
      <w:r>
        <w:rPr>
          <w:lang w:eastAsia="ja-JP"/>
        </w:rPr>
        <w:t xml:space="preserve">AE:  </w:t>
      </w:r>
      <w:hyperlink r:id="rId22" w:history="1">
        <w:r w:rsidRPr="00C73059">
          <w:rPr>
            <w:rStyle w:val="Hyperlink"/>
            <w:b w:val="0"/>
            <w:lang w:eastAsia="ja-JP"/>
          </w:rPr>
          <w:t>Katie.stenman@puc.state.oh.us</w:t>
        </w:r>
      </w:hyperlink>
    </w:p>
    <w:p w:rsidR="00672041" w:rsidRPr="00077542" w:rsidRDefault="00672041" w:rsidP="00497CCD">
      <w:pPr>
        <w:pStyle w:val="OCC"/>
        <w:numPr>
          <w:ilvl w:val="0"/>
          <w:numId w:val="0"/>
        </w:numPr>
        <w:rPr>
          <w:b w:val="0"/>
          <w:lang w:eastAsia="ja-JP"/>
        </w:rPr>
      </w:pPr>
    </w:p>
    <w:sectPr w:rsidR="00672041" w:rsidRPr="00077542" w:rsidSect="0097115E">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1C" w:rsidRDefault="0033391C" w:rsidP="00497CCD">
      <w:pPr>
        <w:spacing w:after="0" w:line="240" w:lineRule="auto"/>
      </w:pPr>
      <w:r>
        <w:separator/>
      </w:r>
    </w:p>
  </w:endnote>
  <w:endnote w:type="continuationSeparator" w:id="0">
    <w:p w:rsidR="0033391C" w:rsidRDefault="0033391C" w:rsidP="0049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1" w:rsidRDefault="00140B50">
    <w:pPr>
      <w:pStyle w:val="Footer"/>
      <w:jc w:val="center"/>
    </w:pPr>
    <w:r>
      <w:fldChar w:fldCharType="begin"/>
    </w:r>
    <w:r>
      <w:instrText xml:space="preserve"> PAGE   \* MERGEFORMAT </w:instrText>
    </w:r>
    <w:r>
      <w:fldChar w:fldCharType="separate"/>
    </w:r>
    <w:r w:rsidR="00055067">
      <w:rPr>
        <w:noProof/>
      </w:rPr>
      <w:t>i</w:t>
    </w:r>
    <w:r>
      <w:rPr>
        <w:noProof/>
      </w:rPr>
      <w:fldChar w:fldCharType="end"/>
    </w:r>
  </w:p>
  <w:p w:rsidR="00672041" w:rsidRDefault="006720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1" w:rsidRPr="0097115E" w:rsidRDefault="00672041">
    <w:pPr>
      <w:pStyle w:val="Footer"/>
      <w:jc w:val="center"/>
      <w:rPr>
        <w:rFonts w:ascii="Times New Roman" w:hAnsi="Times New Roman"/>
        <w:sz w:val="24"/>
        <w:szCs w:val="24"/>
      </w:rPr>
    </w:pPr>
    <w:r w:rsidRPr="0097115E">
      <w:rPr>
        <w:rFonts w:ascii="Times New Roman" w:hAnsi="Times New Roman"/>
        <w:sz w:val="24"/>
        <w:szCs w:val="24"/>
      </w:rPr>
      <w:fldChar w:fldCharType="begin"/>
    </w:r>
    <w:r w:rsidRPr="0097115E">
      <w:rPr>
        <w:rFonts w:ascii="Times New Roman" w:hAnsi="Times New Roman"/>
        <w:sz w:val="24"/>
        <w:szCs w:val="24"/>
      </w:rPr>
      <w:instrText xml:space="preserve"> PAGE   \* MERGEFORMAT </w:instrText>
    </w:r>
    <w:r w:rsidRPr="0097115E">
      <w:rPr>
        <w:rFonts w:ascii="Times New Roman" w:hAnsi="Times New Roman"/>
        <w:sz w:val="24"/>
        <w:szCs w:val="24"/>
      </w:rPr>
      <w:fldChar w:fldCharType="separate"/>
    </w:r>
    <w:r w:rsidR="00055067">
      <w:rPr>
        <w:rFonts w:ascii="Times New Roman" w:hAnsi="Times New Roman"/>
        <w:noProof/>
        <w:sz w:val="24"/>
        <w:szCs w:val="24"/>
      </w:rPr>
      <w:t>1</w:t>
    </w:r>
    <w:r w:rsidRPr="0097115E">
      <w:rPr>
        <w:rFonts w:ascii="Times New Roman" w:hAnsi="Times New Roman"/>
        <w:sz w:val="24"/>
        <w:szCs w:val="24"/>
      </w:rPr>
      <w:fldChar w:fldCharType="end"/>
    </w:r>
  </w:p>
  <w:p w:rsidR="00672041" w:rsidRDefault="00672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1C" w:rsidRDefault="0033391C" w:rsidP="00497CCD">
      <w:pPr>
        <w:spacing w:after="0" w:line="240" w:lineRule="auto"/>
      </w:pPr>
      <w:r>
        <w:separator/>
      </w:r>
    </w:p>
  </w:footnote>
  <w:footnote w:type="continuationSeparator" w:id="0">
    <w:p w:rsidR="0033391C" w:rsidRDefault="0033391C" w:rsidP="00497CCD">
      <w:pPr>
        <w:spacing w:after="0" w:line="240" w:lineRule="auto"/>
      </w:pPr>
      <w:r>
        <w:continuationSeparator/>
      </w:r>
    </w:p>
  </w:footnote>
  <w:footnote w:id="1">
    <w:p w:rsidR="00672041" w:rsidRDefault="00672041">
      <w:pPr>
        <w:pStyle w:val="FootnoteText"/>
      </w:pPr>
      <w:r w:rsidRPr="0073054E">
        <w:rPr>
          <w:rStyle w:val="FootnoteReference"/>
          <w:rFonts w:ascii="Times New Roman" w:hAnsi="Times New Roman"/>
        </w:rPr>
        <w:footnoteRef/>
      </w:r>
      <w:r w:rsidRPr="0073054E">
        <w:rPr>
          <w:rFonts w:ascii="Times New Roman" w:hAnsi="Times New Roman"/>
        </w:rPr>
        <w:t xml:space="preserve"> PUCO Case No. 09-1999-EL-POR.</w:t>
      </w:r>
    </w:p>
  </w:footnote>
  <w:footnote w:id="2">
    <w:p w:rsidR="00672041" w:rsidRDefault="00672041" w:rsidP="0050146F">
      <w:pPr>
        <w:pStyle w:val="FootnoteText"/>
        <w:spacing w:after="120"/>
      </w:pPr>
      <w:r w:rsidRPr="0073054E">
        <w:rPr>
          <w:rStyle w:val="FootnoteReference"/>
          <w:rFonts w:ascii="Times New Roman" w:hAnsi="Times New Roman"/>
        </w:rPr>
        <w:footnoteRef/>
      </w:r>
      <w:r w:rsidRPr="0073054E">
        <w:rPr>
          <w:rFonts w:ascii="Times New Roman" w:hAnsi="Times New Roman"/>
        </w:rPr>
        <w:t xml:space="preserve"> Company Response to OCC-INT-01-001(</w:t>
      </w:r>
      <w:r>
        <w:rPr>
          <w:rFonts w:ascii="Times New Roman" w:hAnsi="Times New Roman"/>
        </w:rPr>
        <w:t xml:space="preserve">f), PUCO </w:t>
      </w:r>
      <w:r w:rsidRPr="0073054E">
        <w:rPr>
          <w:rFonts w:ascii="Times New Roman" w:hAnsi="Times New Roman"/>
        </w:rPr>
        <w:t>Case No. 09-1999-EL-POR (attached</w:t>
      </w:r>
      <w:r>
        <w:rPr>
          <w:rFonts w:ascii="Times New Roman" w:hAnsi="Times New Roman"/>
        </w:rPr>
        <w:t xml:space="preserve"> as OCC Attachment 1</w:t>
      </w:r>
      <w:r w:rsidRPr="0073054E">
        <w:rPr>
          <w:rFonts w:ascii="Times New Roman" w:hAnsi="Times New Roman"/>
        </w:rPr>
        <w:t>)</w:t>
      </w:r>
      <w:r>
        <w:rPr>
          <w:rFonts w:ascii="Times New Roman" w:hAnsi="Times New Roman"/>
        </w:rPr>
        <w:t>.</w:t>
      </w:r>
    </w:p>
  </w:footnote>
  <w:footnote w:id="3">
    <w:p w:rsidR="00672041" w:rsidRDefault="00672041" w:rsidP="0050146F">
      <w:pPr>
        <w:pStyle w:val="FootnoteText"/>
        <w:spacing w:after="120"/>
      </w:pPr>
      <w:r w:rsidRPr="0073054E">
        <w:rPr>
          <w:rStyle w:val="FootnoteReference"/>
          <w:rFonts w:ascii="Times New Roman" w:hAnsi="Times New Roman"/>
        </w:rPr>
        <w:footnoteRef/>
      </w:r>
      <w:r w:rsidRPr="0073054E">
        <w:rPr>
          <w:rFonts w:ascii="Times New Roman" w:hAnsi="Times New Roman"/>
        </w:rPr>
        <w:t xml:space="preserve"> Company Response to OCC-INT-01-003 (b) (attached</w:t>
      </w:r>
      <w:r>
        <w:rPr>
          <w:rFonts w:ascii="Times New Roman" w:hAnsi="Times New Roman"/>
        </w:rPr>
        <w:t xml:space="preserve"> as OCC Attachment 2</w:t>
      </w:r>
      <w:r w:rsidRPr="0073054E">
        <w:rPr>
          <w:rFonts w:ascii="Times New Roman" w:hAnsi="Times New Roman"/>
        </w:rPr>
        <w:t>)</w:t>
      </w:r>
      <w:r>
        <w:rPr>
          <w:rFonts w:ascii="Times New Roman" w:hAnsi="Times New Roman"/>
        </w:rPr>
        <w:t>.</w:t>
      </w:r>
    </w:p>
  </w:footnote>
  <w:footnote w:id="4">
    <w:p w:rsidR="00672041" w:rsidRDefault="00672041" w:rsidP="0050146F">
      <w:pPr>
        <w:pStyle w:val="FootnoteText"/>
        <w:spacing w:after="120"/>
      </w:pPr>
      <w:r w:rsidRPr="0050146F">
        <w:rPr>
          <w:rStyle w:val="FootnoteReference"/>
          <w:rFonts w:ascii="Times New Roman" w:hAnsi="Times New Roman"/>
        </w:rPr>
        <w:footnoteRef/>
      </w:r>
      <w:r w:rsidR="00D56ECB">
        <w:t xml:space="preserve"> </w:t>
      </w:r>
      <w:hyperlink r:id="rId1" w:history="1">
        <w:r w:rsidRPr="009E7A50">
          <w:rPr>
            <w:rStyle w:val="Hyperlink"/>
            <w:rFonts w:ascii="Times New Roman" w:hAnsi="Times New Roman"/>
          </w:rPr>
          <w:t>http://www.puco.ohio.gov/emplibrary/files/util/MktMonitoringElecCustSwitchRates/SWITCH%20RATES%20SALES/2009/4Q2009.pdf</w:t>
        </w:r>
      </w:hyperlink>
    </w:p>
  </w:footnote>
  <w:footnote w:id="5">
    <w:p w:rsidR="00672041" w:rsidRDefault="00672041">
      <w:pPr>
        <w:pStyle w:val="FootnoteText"/>
      </w:pPr>
      <w:r w:rsidRPr="00D32D37">
        <w:rPr>
          <w:rStyle w:val="FootnoteReference"/>
          <w:rFonts w:ascii="Times New Roman" w:hAnsi="Times New Roman"/>
        </w:rPr>
        <w:footnoteRef/>
      </w:r>
      <w:r w:rsidRPr="009E7A50">
        <w:rPr>
          <w:rFonts w:ascii="Times New Roman" w:hAnsi="Times New Roman"/>
        </w:rPr>
        <w:t>ttp://www.puco.ohio.gov/emplibrary/files/util/MktMonitoringElecCustSwitchRates/SWITCH%20RATES%20SALES/2008/4Q2008.pdf</w:t>
      </w:r>
    </w:p>
  </w:footnote>
  <w:footnote w:id="6">
    <w:p w:rsidR="00672041" w:rsidRDefault="00672041">
      <w:pPr>
        <w:pStyle w:val="FootnoteText"/>
      </w:pPr>
      <w:r w:rsidRPr="00EE2C62">
        <w:rPr>
          <w:rStyle w:val="FootnoteReference"/>
          <w:rFonts w:ascii="Times New Roman" w:hAnsi="Times New Roman"/>
        </w:rPr>
        <w:footnoteRef/>
      </w:r>
      <w:hyperlink r:id="rId2" w:history="1">
        <w:r w:rsidRPr="00EE2C62">
          <w:rPr>
            <w:rStyle w:val="Hyperlink"/>
            <w:rFonts w:ascii="Times New Roman" w:hAnsi="Times New Roman"/>
          </w:rPr>
          <w:t>http://www.puco.ohio.gov/emplibrary/files/util/MktMonitoringElecCustSwitchRates/SWITCH%20RATES%20SALES/2009/4Q2009.pdf</w:t>
        </w:r>
      </w:hyperlink>
      <w:r>
        <w:t xml:space="preserve"> </w:t>
      </w:r>
    </w:p>
  </w:footnote>
  <w:footnote w:id="7">
    <w:p w:rsidR="00672041" w:rsidRDefault="00672041" w:rsidP="0050146F">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73054E">
        <w:rPr>
          <w:rFonts w:ascii="Times New Roman" w:hAnsi="Times New Roman"/>
          <w:i/>
        </w:rPr>
        <w:t xml:space="preserve">See </w:t>
      </w:r>
      <w:r w:rsidRPr="0050146F">
        <w:rPr>
          <w:rFonts w:ascii="Times New Roman" w:hAnsi="Times New Roman"/>
        </w:rPr>
        <w:t>Duke Tariff Sheet No. 107.1, page 3 of 5.</w:t>
      </w:r>
    </w:p>
  </w:footnote>
  <w:footnote w:id="8">
    <w:p w:rsidR="00672041" w:rsidRDefault="00672041" w:rsidP="0050146F">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OCC- POD 1-004 Attachment 4, Avoided Costs</w:t>
      </w:r>
      <w:r>
        <w:rPr>
          <w:rFonts w:ascii="Times New Roman" w:hAnsi="Times New Roman"/>
        </w:rPr>
        <w:t xml:space="preserve"> (attached as OCC Attachment 3).</w:t>
      </w:r>
    </w:p>
  </w:footnote>
  <w:footnote w:id="9">
    <w:p w:rsidR="00672041" w:rsidRDefault="00672041" w:rsidP="0050146F">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PJM Document #699093, page 15. http://www.pjm.com/markets-and-operations/rpm/~/media/markets-ops/rpm/rpm-auction-info/20120518-2015-16-base-residual-auction-report.ashx</w:t>
      </w:r>
    </w:p>
  </w:footnote>
  <w:footnote w:id="10">
    <w:p w:rsidR="00672041" w:rsidRDefault="00672041" w:rsidP="0050146F">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50146F">
        <w:rPr>
          <w:rFonts w:ascii="Times New Roman" w:hAnsi="Times New Roman"/>
          <w:i/>
        </w:rPr>
        <w:t>See</w:t>
      </w:r>
      <w:r w:rsidRPr="0050146F">
        <w:rPr>
          <w:rFonts w:ascii="Times New Roman" w:hAnsi="Times New Roman"/>
        </w:rPr>
        <w:t xml:space="preserve"> Stipulation</w:t>
      </w:r>
      <w:r>
        <w:rPr>
          <w:rFonts w:ascii="Times New Roman" w:hAnsi="Times New Roman"/>
        </w:rPr>
        <w:t xml:space="preserve"> and Recommendation</w:t>
      </w:r>
      <w:r w:rsidRPr="0050146F">
        <w:rPr>
          <w:rFonts w:ascii="Times New Roman" w:hAnsi="Times New Roman"/>
        </w:rPr>
        <w:t xml:space="preserve"> </w:t>
      </w:r>
      <w:r>
        <w:rPr>
          <w:rFonts w:ascii="Times New Roman" w:hAnsi="Times New Roman"/>
        </w:rPr>
        <w:t xml:space="preserve">(October 27, 2008), paragraph 13 on pages 18-27, PUCO Case </w:t>
      </w:r>
      <w:r w:rsidRPr="0050146F">
        <w:rPr>
          <w:rFonts w:ascii="Times New Roman" w:hAnsi="Times New Roman"/>
        </w:rPr>
        <w:t>No. 08-920-EL-SS0.</w:t>
      </w:r>
    </w:p>
  </w:footnote>
  <w:footnote w:id="11">
    <w:p w:rsidR="00672041" w:rsidRDefault="00672041" w:rsidP="003D7B5B">
      <w:pPr>
        <w:pStyle w:val="FootnoteText"/>
        <w:spacing w:after="120"/>
      </w:pPr>
      <w:r w:rsidRPr="0050146F">
        <w:rPr>
          <w:rStyle w:val="FootnoteReference"/>
          <w:rFonts w:ascii="Times New Roman" w:hAnsi="Times New Roman"/>
        </w:rPr>
        <w:footnoteRef/>
      </w:r>
      <w:r>
        <w:rPr>
          <w:rFonts w:ascii="Times New Roman" w:hAnsi="Times New Roman"/>
        </w:rPr>
        <w:t xml:space="preserve"> </w:t>
      </w:r>
      <w:r w:rsidRPr="0050146F">
        <w:rPr>
          <w:rFonts w:ascii="Times New Roman" w:hAnsi="Times New Roman"/>
        </w:rPr>
        <w:t>Supplemental Direct Testimony</w:t>
      </w:r>
      <w:r>
        <w:rPr>
          <w:rFonts w:ascii="Times New Roman" w:hAnsi="Times New Roman"/>
        </w:rPr>
        <w:t xml:space="preserve"> of Paul G. Smith (September 16, 2008), PUCO Case No. </w:t>
      </w:r>
      <w:r w:rsidRPr="0050146F">
        <w:rPr>
          <w:rFonts w:ascii="Times New Roman" w:hAnsi="Times New Roman"/>
        </w:rPr>
        <w:t>08-920-EL-SSO, page 3.</w:t>
      </w:r>
    </w:p>
  </w:footnote>
  <w:footnote w:id="12">
    <w:p w:rsidR="00672041" w:rsidRDefault="00672041" w:rsidP="003D7B5B">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OCC- POD 1-004 Attachment </w:t>
      </w:r>
      <w:r>
        <w:rPr>
          <w:rFonts w:ascii="Times New Roman" w:hAnsi="Times New Roman"/>
        </w:rPr>
        <w:t>4</w:t>
      </w:r>
      <w:r w:rsidRPr="0050146F">
        <w:rPr>
          <w:rFonts w:ascii="Times New Roman" w:hAnsi="Times New Roman"/>
        </w:rPr>
        <w:t xml:space="preserve">, </w:t>
      </w:r>
      <w:r>
        <w:rPr>
          <w:rFonts w:ascii="Times New Roman" w:hAnsi="Times New Roman"/>
        </w:rPr>
        <w:t>Avoided Costs</w:t>
      </w:r>
      <w:r w:rsidRPr="0050146F">
        <w:rPr>
          <w:rFonts w:ascii="Times New Roman" w:hAnsi="Times New Roman"/>
        </w:rPr>
        <w:t>.</w:t>
      </w:r>
      <w:r>
        <w:rPr>
          <w:rFonts w:ascii="Times New Roman" w:hAnsi="Times New Roman"/>
        </w:rPr>
        <w:t xml:space="preserve"> (attached as OCC Attachment 3).</w:t>
      </w:r>
    </w:p>
  </w:footnote>
  <w:footnote w:id="13">
    <w:p w:rsidR="00672041" w:rsidRDefault="00672041" w:rsidP="00083DB9">
      <w:pPr>
        <w:pStyle w:val="FootnoteText"/>
        <w:spacing w:after="120"/>
      </w:pPr>
      <w:r>
        <w:rPr>
          <w:rStyle w:val="FootnoteReference"/>
        </w:rPr>
        <w:footnoteRef/>
      </w:r>
      <w:r>
        <w:t xml:space="preserve"> </w:t>
      </w:r>
      <w:r w:rsidRPr="0050146F">
        <w:rPr>
          <w:rFonts w:ascii="Times New Roman" w:hAnsi="Times New Roman"/>
        </w:rPr>
        <w:t>Report of the Ohio Independent Evaluator, 2009 and 2010 Ohio Efficiency Programs, prepared for PUCO by Everg</w:t>
      </w:r>
      <w:r>
        <w:rPr>
          <w:rFonts w:ascii="Times New Roman" w:hAnsi="Times New Roman"/>
        </w:rPr>
        <w:t>reen Economics (August 29, 2012), PUCO Case No. 12-665-EL-UNC.</w:t>
      </w:r>
    </w:p>
  </w:footnote>
  <w:footnote w:id="14">
    <w:p w:rsidR="00672041" w:rsidRDefault="00672041" w:rsidP="00083DB9">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9E7A50">
        <w:rPr>
          <w:rFonts w:ascii="Times New Roman" w:hAnsi="Times New Roman"/>
          <w:i/>
        </w:rPr>
        <w:t>Id.</w:t>
      </w:r>
      <w:r>
        <w:rPr>
          <w:rFonts w:ascii="Times New Roman" w:hAnsi="Times New Roman"/>
        </w:rPr>
        <w:t xml:space="preserve"> at 32-48.</w:t>
      </w:r>
    </w:p>
  </w:footnote>
  <w:footnote w:id="15">
    <w:p w:rsidR="00672041" w:rsidRDefault="00672041" w:rsidP="0050146F">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A1381A">
        <w:rPr>
          <w:rFonts w:ascii="Times New Roman" w:hAnsi="Times New Roman"/>
          <w:i/>
        </w:rPr>
        <w:t xml:space="preserve">Id. </w:t>
      </w:r>
      <w:r w:rsidRPr="0050146F">
        <w:rPr>
          <w:rFonts w:ascii="Times New Roman" w:hAnsi="Times New Roman"/>
        </w:rPr>
        <w:t>at 34.</w:t>
      </w:r>
    </w:p>
  </w:footnote>
  <w:footnote w:id="16">
    <w:p w:rsidR="00672041" w:rsidRDefault="00672041" w:rsidP="00CE786B">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A1381A">
        <w:rPr>
          <w:rFonts w:ascii="Times New Roman" w:hAnsi="Times New Roman"/>
          <w:i/>
        </w:rPr>
        <w:t>Id.</w:t>
      </w:r>
      <w:r w:rsidRPr="0050146F">
        <w:rPr>
          <w:rFonts w:ascii="Times New Roman" w:hAnsi="Times New Roman"/>
        </w:rPr>
        <w:t xml:space="preserve"> at 35.</w:t>
      </w:r>
    </w:p>
  </w:footnote>
  <w:footnote w:id="17">
    <w:p w:rsidR="00672041" w:rsidRDefault="00672041" w:rsidP="00CE786B">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A1381A">
        <w:rPr>
          <w:rFonts w:ascii="Times New Roman" w:hAnsi="Times New Roman"/>
          <w:i/>
        </w:rPr>
        <w:t>Id.</w:t>
      </w:r>
      <w:r w:rsidRPr="0050146F">
        <w:rPr>
          <w:rFonts w:ascii="Times New Roman" w:hAnsi="Times New Roman"/>
        </w:rPr>
        <w:t xml:space="preserve"> at 36.</w:t>
      </w:r>
    </w:p>
  </w:footnote>
  <w:footnote w:id="18">
    <w:p w:rsidR="00672041" w:rsidRDefault="00672041" w:rsidP="0097115E">
      <w:pPr>
        <w:pStyle w:val="FootnoteText"/>
        <w:spacing w:after="120"/>
      </w:pPr>
      <w:r>
        <w:rPr>
          <w:rStyle w:val="FootnoteReference"/>
        </w:rPr>
        <w:footnoteRef/>
      </w:r>
      <w:r>
        <w:t xml:space="preserve"> </w:t>
      </w:r>
      <w:r w:rsidRPr="00A1381A">
        <w:rPr>
          <w:rFonts w:ascii="Times New Roman" w:hAnsi="Times New Roman"/>
          <w:i/>
        </w:rPr>
        <w:t xml:space="preserve">Id. </w:t>
      </w:r>
      <w:r w:rsidRPr="0050146F">
        <w:rPr>
          <w:rFonts w:ascii="Times New Roman" w:hAnsi="Times New Roman"/>
        </w:rPr>
        <w:t>at 37.</w:t>
      </w:r>
    </w:p>
  </w:footnote>
  <w:footnote w:id="19">
    <w:p w:rsidR="00672041" w:rsidRDefault="00672041" w:rsidP="0097115E">
      <w:pPr>
        <w:pStyle w:val="FootnoteText"/>
        <w:spacing w:after="120"/>
      </w:pPr>
      <w:r w:rsidRPr="0050146F">
        <w:rPr>
          <w:rStyle w:val="FootnoteReference"/>
          <w:rFonts w:ascii="Times New Roman" w:hAnsi="Times New Roman"/>
        </w:rPr>
        <w:footnoteRef/>
      </w:r>
      <w:r w:rsidRPr="0050146F">
        <w:rPr>
          <w:rFonts w:ascii="Times New Roman" w:hAnsi="Times New Roman"/>
        </w:rPr>
        <w:t xml:space="preserve"> </w:t>
      </w:r>
      <w:r w:rsidRPr="00A1381A">
        <w:rPr>
          <w:rFonts w:ascii="Times New Roman" w:hAnsi="Times New Roman"/>
          <w:i/>
        </w:rPr>
        <w:t xml:space="preserve">Id. </w:t>
      </w:r>
    </w:p>
  </w:footnote>
  <w:footnote w:id="20">
    <w:p w:rsidR="00672041" w:rsidRDefault="00672041" w:rsidP="0097115E">
      <w:pPr>
        <w:pStyle w:val="FootnoteText"/>
        <w:spacing w:after="120"/>
      </w:pPr>
      <w:r>
        <w:rPr>
          <w:rStyle w:val="FootnoteReference"/>
        </w:rPr>
        <w:footnoteRef/>
      </w:r>
      <w:r>
        <w:t xml:space="preserve"> </w:t>
      </w:r>
      <w:r w:rsidRPr="00A1381A">
        <w:rPr>
          <w:rFonts w:ascii="Times New Roman" w:hAnsi="Times New Roman"/>
          <w:i/>
        </w:rPr>
        <w:t>Id</w:t>
      </w:r>
      <w:r w:rsidRPr="0050146F">
        <w:rPr>
          <w:rFonts w:ascii="Times New Roman" w:hAnsi="Times New Roman"/>
        </w:rPr>
        <w:t>. at 38.</w:t>
      </w:r>
    </w:p>
  </w:footnote>
  <w:footnote w:id="21">
    <w:p w:rsidR="00672041" w:rsidRDefault="00672041" w:rsidP="0097115E">
      <w:pPr>
        <w:pStyle w:val="FootnoteText"/>
        <w:spacing w:after="120"/>
      </w:pPr>
      <w:r w:rsidRPr="0050146F">
        <w:rPr>
          <w:rStyle w:val="FootnoteReference"/>
          <w:rFonts w:ascii="Times New Roman" w:hAnsi="Times New Roman"/>
        </w:rPr>
        <w:footnoteRef/>
      </w:r>
      <w:r w:rsidRPr="00A1381A">
        <w:rPr>
          <w:rFonts w:ascii="Times New Roman" w:hAnsi="Times New Roman"/>
          <w:i/>
        </w:rPr>
        <w:t xml:space="preserve"> Id</w:t>
      </w:r>
      <w:r w:rsidRPr="0050146F">
        <w:rPr>
          <w:rFonts w:ascii="Times New Roman" w:hAnsi="Times New Roman"/>
        </w:rPr>
        <w:t>.</w:t>
      </w:r>
    </w:p>
  </w:footnote>
  <w:footnote w:id="22">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PUCO Case No. 09-1999-EL-POR, Opinion and Order (December 15, 2010) at page 16.</w:t>
      </w:r>
    </w:p>
  </w:footnote>
  <w:footnote w:id="23">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w:t>
      </w:r>
      <w:r w:rsidRPr="00D90644">
        <w:rPr>
          <w:rFonts w:ascii="Times New Roman" w:hAnsi="Times New Roman"/>
          <w:i/>
        </w:rPr>
        <w:t>Id.</w:t>
      </w:r>
      <w:r w:rsidRPr="006E0753">
        <w:rPr>
          <w:rFonts w:ascii="Times New Roman" w:hAnsi="Times New Roman"/>
          <w:sz w:val="24"/>
          <w:szCs w:val="24"/>
        </w:rPr>
        <w:t xml:space="preserve"> </w:t>
      </w:r>
      <w:r w:rsidRPr="00761BCE">
        <w:rPr>
          <w:rFonts w:ascii="Times New Roman" w:hAnsi="Times New Roman"/>
          <w:sz w:val="24"/>
          <w:szCs w:val="24"/>
        </w:rPr>
        <w:t>(</w:t>
      </w:r>
      <w:r>
        <w:rPr>
          <w:rFonts w:ascii="Times New Roman" w:hAnsi="Times New Roman"/>
          <w:sz w:val="24"/>
          <w:szCs w:val="24"/>
        </w:rPr>
        <w:t>E</w:t>
      </w:r>
      <w:r w:rsidRPr="00761BCE">
        <w:rPr>
          <w:rFonts w:ascii="Times New Roman" w:hAnsi="Times New Roman"/>
          <w:sz w:val="24"/>
          <w:szCs w:val="24"/>
        </w:rPr>
        <w:t>mphasis added</w:t>
      </w:r>
      <w:r>
        <w:rPr>
          <w:rFonts w:ascii="Times New Roman" w:hAnsi="Times New Roman"/>
          <w:sz w:val="24"/>
          <w:szCs w:val="24"/>
        </w:rPr>
        <w:t>.</w:t>
      </w:r>
      <w:r w:rsidRPr="00761BCE">
        <w:rPr>
          <w:rFonts w:ascii="Times New Roman" w:hAnsi="Times New Roman"/>
          <w:sz w:val="24"/>
          <w:szCs w:val="24"/>
        </w:rPr>
        <w:t>)</w:t>
      </w:r>
    </w:p>
  </w:footnote>
  <w:footnote w:id="24">
    <w:p w:rsidR="00672041" w:rsidRDefault="00672041">
      <w:pPr>
        <w:pStyle w:val="FootnoteText"/>
      </w:pPr>
      <w:r w:rsidRPr="003456AE">
        <w:rPr>
          <w:rStyle w:val="FootnoteReference"/>
          <w:rFonts w:ascii="Times New Roman" w:hAnsi="Times New Roman"/>
        </w:rPr>
        <w:footnoteRef/>
      </w:r>
      <w:r w:rsidRPr="009E7A50">
        <w:rPr>
          <w:rFonts w:ascii="Times New Roman" w:hAnsi="Times New Roman"/>
        </w:rPr>
        <w:t xml:space="preserve"> </w:t>
      </w:r>
      <w:r w:rsidRPr="009E7A50">
        <w:rPr>
          <w:rFonts w:ascii="Times New Roman" w:hAnsi="Times New Roman"/>
          <w:i/>
        </w:rPr>
        <w:t>Id.</w:t>
      </w:r>
    </w:p>
  </w:footnote>
  <w:footnote w:id="25">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There are two SAW riders in Duke’s Tariff Schedule.  Rider DR-SAW, Energy Efficiency Recovery Rider that demonstrates how the rider is calculated, and Rider DR-SAWR, Energy Efficiency Recovery Rider Rate that determines the residential and non-residential rate according to the provisions of Rider DR-SAW.</w:t>
      </w:r>
    </w:p>
  </w:footnote>
  <w:footnote w:id="26">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Direct Testimony of James E. Ziolkowski at 6.</w:t>
      </w:r>
    </w:p>
  </w:footnote>
  <w:footnote w:id="27">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w:t>
      </w:r>
      <w:r w:rsidRPr="001649AB">
        <w:rPr>
          <w:rFonts w:ascii="Times New Roman" w:hAnsi="Times New Roman"/>
          <w:i/>
        </w:rPr>
        <w:t>Id.</w:t>
      </w:r>
      <w:r w:rsidRPr="00631C0B">
        <w:rPr>
          <w:rFonts w:ascii="Times New Roman" w:hAnsi="Times New Roman"/>
        </w:rPr>
        <w:t xml:space="preserve"> at 6.</w:t>
      </w:r>
    </w:p>
  </w:footnote>
  <w:footnote w:id="28">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The Commission’s December 15, 2010 Order required Duke to file revised tariffs with the Commission for review and approval within seven days of the issuance of the Order. Duke later requested and received an extension of time to file revised tariffs (within seven days after the Commission issued its entry on rehearing.)  PUCO Case No. 09-1999-EL-POR, Entry on Rehearing at paragraph 19 (February 9, 2011.) Duke filed its revised tariffs within seven days of the Commission’s Entry on Rehearing. Direct Testimony of James E. Ziolkowski at 6.</w:t>
      </w:r>
    </w:p>
  </w:footnote>
  <w:footnote w:id="29">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Discount Rate use</w:t>
      </w:r>
      <w:r>
        <w:rPr>
          <w:rFonts w:ascii="Times New Roman" w:hAnsi="Times New Roman"/>
        </w:rPr>
        <w:t>d</w:t>
      </w:r>
      <w:r w:rsidRPr="00631C0B">
        <w:rPr>
          <w:rFonts w:ascii="Times New Roman" w:hAnsi="Times New Roman"/>
        </w:rPr>
        <w:t xml:space="preserve"> in DSMORE Mod</w:t>
      </w:r>
      <w:r>
        <w:rPr>
          <w:rFonts w:ascii="Times New Roman" w:hAnsi="Times New Roman"/>
        </w:rPr>
        <w:t>el, OCC- POD 1-004 Attachment 3 CALC (attached as OCC Attachment 4).</w:t>
      </w:r>
    </w:p>
  </w:footnote>
  <w:footnote w:id="30">
    <w:p w:rsidR="00672041" w:rsidRDefault="00672041" w:rsidP="00631C0B">
      <w:pPr>
        <w:pStyle w:val="FootnoteText"/>
        <w:spacing w:after="120"/>
      </w:pPr>
      <w:r w:rsidRPr="00631C0B">
        <w:rPr>
          <w:rStyle w:val="FootnoteReference"/>
          <w:rFonts w:ascii="Times New Roman" w:hAnsi="Times New Roman"/>
        </w:rPr>
        <w:footnoteRef/>
      </w:r>
      <w:r w:rsidRPr="00631C0B">
        <w:rPr>
          <w:rFonts w:ascii="Times New Roman" w:hAnsi="Times New Roman"/>
        </w:rPr>
        <w:t xml:space="preserve"> Direct Testimony of James E. Ziolkowski Attachment JEZ – 2, page 2 of 6.</w:t>
      </w:r>
    </w:p>
  </w:footnote>
  <w:footnote w:id="31">
    <w:p w:rsidR="00672041" w:rsidRDefault="00672041" w:rsidP="00631C0B">
      <w:pPr>
        <w:pStyle w:val="FootnoteText"/>
        <w:spacing w:after="120"/>
        <w:rPr>
          <w:rFonts w:ascii="Times New Roman" w:hAnsi="Times New Roman"/>
        </w:rPr>
      </w:pPr>
      <w:r w:rsidRPr="00631C0B">
        <w:rPr>
          <w:rStyle w:val="FootnoteReference"/>
          <w:rFonts w:ascii="Times New Roman" w:hAnsi="Times New Roman"/>
        </w:rPr>
        <w:footnoteRef/>
      </w:r>
      <w:r w:rsidRPr="00631C0B">
        <w:rPr>
          <w:rFonts w:ascii="Times New Roman" w:hAnsi="Times New Roman"/>
        </w:rPr>
        <w:t xml:space="preserve"> </w:t>
      </w:r>
      <w:r w:rsidRPr="001649AB">
        <w:rPr>
          <w:rFonts w:ascii="Times New Roman" w:hAnsi="Times New Roman"/>
          <w:i/>
        </w:rPr>
        <w:t>Id</w:t>
      </w:r>
      <w:r w:rsidRPr="00631C0B">
        <w:rPr>
          <w:rFonts w:ascii="Times New Roman" w:hAnsi="Times New Roman"/>
        </w:rPr>
        <w:t>.</w:t>
      </w:r>
    </w:p>
    <w:p w:rsidR="00672041" w:rsidRDefault="00672041" w:rsidP="00631C0B">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B" w:rsidRDefault="005F75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1" w:rsidRDefault="00672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41" w:rsidRDefault="00672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F1B"/>
    <w:multiLevelType w:val="hybridMultilevel"/>
    <w:tmpl w:val="B6A20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D24227"/>
    <w:multiLevelType w:val="hybridMultilevel"/>
    <w:tmpl w:val="69822CA8"/>
    <w:lvl w:ilvl="0" w:tplc="ADF879B8">
      <w:start w:val="1"/>
      <w:numFmt w:val="upperRoman"/>
      <w:pStyle w:val="OCC"/>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F804F01"/>
    <w:multiLevelType w:val="hybridMultilevel"/>
    <w:tmpl w:val="4AD2B180"/>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5E0D40"/>
    <w:multiLevelType w:val="hybridMultilevel"/>
    <w:tmpl w:val="02B07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DC4D5B"/>
    <w:multiLevelType w:val="hybridMultilevel"/>
    <w:tmpl w:val="C1DE0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815473"/>
    <w:multiLevelType w:val="hybridMultilevel"/>
    <w:tmpl w:val="A6AE0486"/>
    <w:lvl w:ilvl="0" w:tplc="AD1EEAC2">
      <w:start w:val="5"/>
      <w:numFmt w:val="upperLetter"/>
      <w:lvlText w:val="%1."/>
      <w:lvlJc w:val="left"/>
      <w:pPr>
        <w:tabs>
          <w:tab w:val="num" w:pos="1440"/>
        </w:tabs>
        <w:ind w:left="1440" w:hanging="48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CCD"/>
    <w:rsid w:val="00014BF0"/>
    <w:rsid w:val="00017C64"/>
    <w:rsid w:val="00034C05"/>
    <w:rsid w:val="00037EEB"/>
    <w:rsid w:val="00043D81"/>
    <w:rsid w:val="00046418"/>
    <w:rsid w:val="00054354"/>
    <w:rsid w:val="00055067"/>
    <w:rsid w:val="00065B48"/>
    <w:rsid w:val="00071C3A"/>
    <w:rsid w:val="00075EE3"/>
    <w:rsid w:val="00077542"/>
    <w:rsid w:val="00083DB9"/>
    <w:rsid w:val="00090172"/>
    <w:rsid w:val="00092F47"/>
    <w:rsid w:val="00096694"/>
    <w:rsid w:val="000A3EE8"/>
    <w:rsid w:val="000A56EF"/>
    <w:rsid w:val="000A69B1"/>
    <w:rsid w:val="000B137B"/>
    <w:rsid w:val="000C1956"/>
    <w:rsid w:val="000C5CCD"/>
    <w:rsid w:val="000F2BF8"/>
    <w:rsid w:val="000F2D2E"/>
    <w:rsid w:val="000F36C1"/>
    <w:rsid w:val="000F7743"/>
    <w:rsid w:val="00106813"/>
    <w:rsid w:val="00110129"/>
    <w:rsid w:val="00115EE4"/>
    <w:rsid w:val="0013448A"/>
    <w:rsid w:val="00140B50"/>
    <w:rsid w:val="001649AB"/>
    <w:rsid w:val="00164AC7"/>
    <w:rsid w:val="00173253"/>
    <w:rsid w:val="00186A23"/>
    <w:rsid w:val="00191C09"/>
    <w:rsid w:val="001A5C08"/>
    <w:rsid w:val="001A6EAF"/>
    <w:rsid w:val="001B06B5"/>
    <w:rsid w:val="001E3D51"/>
    <w:rsid w:val="0021738C"/>
    <w:rsid w:val="00244DB0"/>
    <w:rsid w:val="0025454B"/>
    <w:rsid w:val="002565BD"/>
    <w:rsid w:val="00267FEA"/>
    <w:rsid w:val="00274E3D"/>
    <w:rsid w:val="002771A2"/>
    <w:rsid w:val="00294914"/>
    <w:rsid w:val="002B605A"/>
    <w:rsid w:val="002B619B"/>
    <w:rsid w:val="002C2502"/>
    <w:rsid w:val="002D530E"/>
    <w:rsid w:val="002E3266"/>
    <w:rsid w:val="002F47BC"/>
    <w:rsid w:val="003021A0"/>
    <w:rsid w:val="003134B9"/>
    <w:rsid w:val="0031396A"/>
    <w:rsid w:val="003145E3"/>
    <w:rsid w:val="00330675"/>
    <w:rsid w:val="0033391C"/>
    <w:rsid w:val="00335E34"/>
    <w:rsid w:val="00342470"/>
    <w:rsid w:val="003456AE"/>
    <w:rsid w:val="00350813"/>
    <w:rsid w:val="003519D9"/>
    <w:rsid w:val="003570A8"/>
    <w:rsid w:val="00365735"/>
    <w:rsid w:val="00376D47"/>
    <w:rsid w:val="00386029"/>
    <w:rsid w:val="00392454"/>
    <w:rsid w:val="003956DC"/>
    <w:rsid w:val="003A3086"/>
    <w:rsid w:val="003B1BCC"/>
    <w:rsid w:val="003C6292"/>
    <w:rsid w:val="003D7B5B"/>
    <w:rsid w:val="003D7D96"/>
    <w:rsid w:val="003E6344"/>
    <w:rsid w:val="003E7E44"/>
    <w:rsid w:val="003F2A8B"/>
    <w:rsid w:val="003F2D06"/>
    <w:rsid w:val="003F5BA1"/>
    <w:rsid w:val="004063AC"/>
    <w:rsid w:val="00406458"/>
    <w:rsid w:val="00420F91"/>
    <w:rsid w:val="004224DC"/>
    <w:rsid w:val="004272E6"/>
    <w:rsid w:val="00435951"/>
    <w:rsid w:val="0043624B"/>
    <w:rsid w:val="00437573"/>
    <w:rsid w:val="0044057B"/>
    <w:rsid w:val="00446FF7"/>
    <w:rsid w:val="00454616"/>
    <w:rsid w:val="00482A0B"/>
    <w:rsid w:val="0049270C"/>
    <w:rsid w:val="0049477A"/>
    <w:rsid w:val="00497CCD"/>
    <w:rsid w:val="004B5C8C"/>
    <w:rsid w:val="004C1586"/>
    <w:rsid w:val="0050146F"/>
    <w:rsid w:val="005150D9"/>
    <w:rsid w:val="0051551C"/>
    <w:rsid w:val="00527DDA"/>
    <w:rsid w:val="00545530"/>
    <w:rsid w:val="00557A66"/>
    <w:rsid w:val="005669A3"/>
    <w:rsid w:val="00573BC2"/>
    <w:rsid w:val="00574225"/>
    <w:rsid w:val="005745AE"/>
    <w:rsid w:val="00584668"/>
    <w:rsid w:val="00584807"/>
    <w:rsid w:val="005914D5"/>
    <w:rsid w:val="00597658"/>
    <w:rsid w:val="005A47C8"/>
    <w:rsid w:val="005B1EEC"/>
    <w:rsid w:val="005D2E5A"/>
    <w:rsid w:val="005F5D15"/>
    <w:rsid w:val="005F75FB"/>
    <w:rsid w:val="00614346"/>
    <w:rsid w:val="00615274"/>
    <w:rsid w:val="0061657E"/>
    <w:rsid w:val="00631C0B"/>
    <w:rsid w:val="00633642"/>
    <w:rsid w:val="0064155F"/>
    <w:rsid w:val="006447E4"/>
    <w:rsid w:val="00645192"/>
    <w:rsid w:val="00652906"/>
    <w:rsid w:val="0066189D"/>
    <w:rsid w:val="00672041"/>
    <w:rsid w:val="00675B0A"/>
    <w:rsid w:val="00677DEC"/>
    <w:rsid w:val="006906D1"/>
    <w:rsid w:val="006917F5"/>
    <w:rsid w:val="006C1678"/>
    <w:rsid w:val="006C4736"/>
    <w:rsid w:val="006D0306"/>
    <w:rsid w:val="006E0753"/>
    <w:rsid w:val="006E0DA7"/>
    <w:rsid w:val="006E1D9C"/>
    <w:rsid w:val="006E4D2C"/>
    <w:rsid w:val="006F40B5"/>
    <w:rsid w:val="00717BDF"/>
    <w:rsid w:val="00724024"/>
    <w:rsid w:val="00726088"/>
    <w:rsid w:val="0072741C"/>
    <w:rsid w:val="0073054E"/>
    <w:rsid w:val="00730DAB"/>
    <w:rsid w:val="00747FCE"/>
    <w:rsid w:val="0075792E"/>
    <w:rsid w:val="00760C4D"/>
    <w:rsid w:val="00761BCE"/>
    <w:rsid w:val="00783038"/>
    <w:rsid w:val="00783935"/>
    <w:rsid w:val="00787A67"/>
    <w:rsid w:val="00790186"/>
    <w:rsid w:val="007A55A2"/>
    <w:rsid w:val="007B0161"/>
    <w:rsid w:val="007B49F8"/>
    <w:rsid w:val="007C0492"/>
    <w:rsid w:val="007E5333"/>
    <w:rsid w:val="00801D3D"/>
    <w:rsid w:val="008179A9"/>
    <w:rsid w:val="00826E0E"/>
    <w:rsid w:val="00875056"/>
    <w:rsid w:val="00896E3E"/>
    <w:rsid w:val="008A535C"/>
    <w:rsid w:val="008B019C"/>
    <w:rsid w:val="008C2C9C"/>
    <w:rsid w:val="008C6E3A"/>
    <w:rsid w:val="008D5099"/>
    <w:rsid w:val="008E080F"/>
    <w:rsid w:val="008F051C"/>
    <w:rsid w:val="00904A10"/>
    <w:rsid w:val="00912CB0"/>
    <w:rsid w:val="00917F72"/>
    <w:rsid w:val="0092240A"/>
    <w:rsid w:val="00926034"/>
    <w:rsid w:val="009419C8"/>
    <w:rsid w:val="00944C99"/>
    <w:rsid w:val="009479BD"/>
    <w:rsid w:val="009612B3"/>
    <w:rsid w:val="0097115E"/>
    <w:rsid w:val="009934BE"/>
    <w:rsid w:val="00994DE3"/>
    <w:rsid w:val="009A20D0"/>
    <w:rsid w:val="009D5E6E"/>
    <w:rsid w:val="009E42E6"/>
    <w:rsid w:val="009E4B71"/>
    <w:rsid w:val="009E7A50"/>
    <w:rsid w:val="00A1381A"/>
    <w:rsid w:val="00A21E74"/>
    <w:rsid w:val="00A373F5"/>
    <w:rsid w:val="00A46B36"/>
    <w:rsid w:val="00A54ED1"/>
    <w:rsid w:val="00A61352"/>
    <w:rsid w:val="00A6218A"/>
    <w:rsid w:val="00A85ACF"/>
    <w:rsid w:val="00A85D9E"/>
    <w:rsid w:val="00A908E0"/>
    <w:rsid w:val="00AA552B"/>
    <w:rsid w:val="00AD3851"/>
    <w:rsid w:val="00AD4631"/>
    <w:rsid w:val="00AD7A56"/>
    <w:rsid w:val="00B15FCC"/>
    <w:rsid w:val="00B22F01"/>
    <w:rsid w:val="00B31BBB"/>
    <w:rsid w:val="00B52316"/>
    <w:rsid w:val="00B606E9"/>
    <w:rsid w:val="00BA622E"/>
    <w:rsid w:val="00BA708B"/>
    <w:rsid w:val="00BC6E43"/>
    <w:rsid w:val="00BC6F11"/>
    <w:rsid w:val="00BC79C7"/>
    <w:rsid w:val="00BD04A2"/>
    <w:rsid w:val="00BD0B09"/>
    <w:rsid w:val="00BD2837"/>
    <w:rsid w:val="00BD4E9E"/>
    <w:rsid w:val="00BE0223"/>
    <w:rsid w:val="00BE0D95"/>
    <w:rsid w:val="00BE0E98"/>
    <w:rsid w:val="00BE1405"/>
    <w:rsid w:val="00BF109B"/>
    <w:rsid w:val="00C01305"/>
    <w:rsid w:val="00C176F7"/>
    <w:rsid w:val="00C23F39"/>
    <w:rsid w:val="00C32293"/>
    <w:rsid w:val="00C420E5"/>
    <w:rsid w:val="00C4315A"/>
    <w:rsid w:val="00C50719"/>
    <w:rsid w:val="00C50DFF"/>
    <w:rsid w:val="00C54384"/>
    <w:rsid w:val="00C606DE"/>
    <w:rsid w:val="00C60943"/>
    <w:rsid w:val="00C659C2"/>
    <w:rsid w:val="00C66192"/>
    <w:rsid w:val="00C71CC6"/>
    <w:rsid w:val="00C73059"/>
    <w:rsid w:val="00C903D7"/>
    <w:rsid w:val="00CB2A03"/>
    <w:rsid w:val="00CC1D3B"/>
    <w:rsid w:val="00CC6211"/>
    <w:rsid w:val="00CC6849"/>
    <w:rsid w:val="00CC7C83"/>
    <w:rsid w:val="00CE40AD"/>
    <w:rsid w:val="00CE786B"/>
    <w:rsid w:val="00CF40E7"/>
    <w:rsid w:val="00CF5904"/>
    <w:rsid w:val="00D07B92"/>
    <w:rsid w:val="00D150A7"/>
    <w:rsid w:val="00D2779C"/>
    <w:rsid w:val="00D32D37"/>
    <w:rsid w:val="00D33789"/>
    <w:rsid w:val="00D37442"/>
    <w:rsid w:val="00D41403"/>
    <w:rsid w:val="00D56ECB"/>
    <w:rsid w:val="00D66993"/>
    <w:rsid w:val="00D70D90"/>
    <w:rsid w:val="00D73352"/>
    <w:rsid w:val="00D7416C"/>
    <w:rsid w:val="00D90644"/>
    <w:rsid w:val="00D942AA"/>
    <w:rsid w:val="00DB1529"/>
    <w:rsid w:val="00DB1899"/>
    <w:rsid w:val="00DD10A7"/>
    <w:rsid w:val="00DD5CDB"/>
    <w:rsid w:val="00DF17C6"/>
    <w:rsid w:val="00DF29D0"/>
    <w:rsid w:val="00DF425D"/>
    <w:rsid w:val="00E02378"/>
    <w:rsid w:val="00E04AA2"/>
    <w:rsid w:val="00E2597A"/>
    <w:rsid w:val="00E262FA"/>
    <w:rsid w:val="00E34B2A"/>
    <w:rsid w:val="00E44B1C"/>
    <w:rsid w:val="00E54B84"/>
    <w:rsid w:val="00E600F1"/>
    <w:rsid w:val="00E65135"/>
    <w:rsid w:val="00E654DD"/>
    <w:rsid w:val="00E65620"/>
    <w:rsid w:val="00E65D68"/>
    <w:rsid w:val="00E8377E"/>
    <w:rsid w:val="00E925B1"/>
    <w:rsid w:val="00EA75E7"/>
    <w:rsid w:val="00EB5379"/>
    <w:rsid w:val="00EC6D6D"/>
    <w:rsid w:val="00EE2C62"/>
    <w:rsid w:val="00EF571F"/>
    <w:rsid w:val="00EF58FA"/>
    <w:rsid w:val="00F00DBC"/>
    <w:rsid w:val="00F05D78"/>
    <w:rsid w:val="00F1508B"/>
    <w:rsid w:val="00F23107"/>
    <w:rsid w:val="00F31AFD"/>
    <w:rsid w:val="00F536BA"/>
    <w:rsid w:val="00F574FB"/>
    <w:rsid w:val="00F619E7"/>
    <w:rsid w:val="00F65ACF"/>
    <w:rsid w:val="00F704ED"/>
    <w:rsid w:val="00F70F29"/>
    <w:rsid w:val="00F80E2C"/>
    <w:rsid w:val="00F83246"/>
    <w:rsid w:val="00F856DF"/>
    <w:rsid w:val="00F8668E"/>
    <w:rsid w:val="00F90186"/>
    <w:rsid w:val="00F94E38"/>
    <w:rsid w:val="00FA165C"/>
    <w:rsid w:val="00FA55E9"/>
    <w:rsid w:val="00FC12E9"/>
    <w:rsid w:val="00FE205B"/>
    <w:rsid w:val="00FE7672"/>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6F"/>
    <w:pPr>
      <w:spacing w:after="200" w:line="276" w:lineRule="auto"/>
    </w:pPr>
    <w:rPr>
      <w:rFonts w:cs="Calibri"/>
      <w:sz w:val="22"/>
      <w:szCs w:val="22"/>
    </w:rPr>
  </w:style>
  <w:style w:type="paragraph" w:styleId="Heading1">
    <w:name w:val="heading 1"/>
    <w:basedOn w:val="Normal"/>
    <w:next w:val="Normal"/>
    <w:link w:val="Heading1Char"/>
    <w:autoRedefine/>
    <w:uiPriority w:val="99"/>
    <w:qFormat/>
    <w:locked/>
    <w:rsid w:val="00F00DBC"/>
    <w:pPr>
      <w:keepNext/>
      <w:spacing w:after="240" w:line="240" w:lineRule="auto"/>
      <w:ind w:left="720" w:hanging="720"/>
      <w:outlineLvl w:val="0"/>
    </w:pPr>
    <w:rPr>
      <w:rFonts w:ascii="Times New Roman" w:hAnsi="Times New Roman" w:cs="Times New Roman"/>
      <w:b/>
      <w:kern w:val="32"/>
      <w:sz w:val="24"/>
      <w:szCs w:val="24"/>
    </w:rPr>
  </w:style>
  <w:style w:type="paragraph" w:styleId="Heading2">
    <w:name w:val="heading 2"/>
    <w:basedOn w:val="Normal"/>
    <w:next w:val="Normal"/>
    <w:link w:val="Heading2Char"/>
    <w:autoRedefine/>
    <w:uiPriority w:val="99"/>
    <w:qFormat/>
    <w:locked/>
    <w:rsid w:val="00F00DBC"/>
    <w:pPr>
      <w:keepNext/>
      <w:spacing w:after="240" w:line="240" w:lineRule="auto"/>
      <w:ind w:left="1440" w:right="720" w:hanging="720"/>
      <w:outlineLvl w:val="1"/>
    </w:pPr>
    <w:rPr>
      <w:rFonts w:ascii="Times New Roman Bold" w:hAnsi="Times New Roman Bold" w:cs="Times New Roman"/>
      <w:b/>
      <w:sz w:val="24"/>
      <w:szCs w:val="24"/>
    </w:rPr>
  </w:style>
  <w:style w:type="paragraph" w:styleId="Heading3">
    <w:name w:val="heading 3"/>
    <w:basedOn w:val="Normal"/>
    <w:next w:val="Normal"/>
    <w:link w:val="Heading3Char"/>
    <w:autoRedefine/>
    <w:uiPriority w:val="99"/>
    <w:qFormat/>
    <w:locked/>
    <w:rsid w:val="0050146F"/>
    <w:pPr>
      <w:keepNext/>
      <w:spacing w:after="240" w:line="240" w:lineRule="auto"/>
      <w:ind w:left="2160" w:hanging="720"/>
      <w:outlineLvl w:val="2"/>
    </w:pPr>
    <w:rPr>
      <w:rFonts w:ascii="Times New Roman Bold" w:hAnsi="Times New Roman Bold"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0DBC"/>
    <w:rPr>
      <w:rFonts w:ascii="Times New Roman" w:hAnsi="Times New Roman"/>
      <w:b/>
      <w:kern w:val="32"/>
      <w:sz w:val="24"/>
      <w:szCs w:val="24"/>
    </w:rPr>
  </w:style>
  <w:style w:type="character" w:customStyle="1" w:styleId="Heading2Char">
    <w:name w:val="Heading 2 Char"/>
    <w:link w:val="Heading2"/>
    <w:uiPriority w:val="99"/>
    <w:locked/>
    <w:rsid w:val="00F00DBC"/>
    <w:rPr>
      <w:rFonts w:ascii="Times New Roman Bold" w:hAnsi="Times New Roman Bold"/>
      <w:b/>
      <w:sz w:val="24"/>
      <w:szCs w:val="24"/>
    </w:rPr>
  </w:style>
  <w:style w:type="character" w:customStyle="1" w:styleId="Heading3Char">
    <w:name w:val="Heading 3 Char"/>
    <w:link w:val="Heading3"/>
    <w:uiPriority w:val="99"/>
    <w:semiHidden/>
    <w:locked/>
    <w:rsid w:val="0050146F"/>
    <w:rPr>
      <w:rFonts w:ascii="Times New Roman Bold" w:hAnsi="Times New Roman Bold" w:cs="Times New Roman"/>
      <w:b/>
      <w:sz w:val="26"/>
    </w:rPr>
  </w:style>
  <w:style w:type="paragraph" w:styleId="ListParagraph">
    <w:name w:val="List Paragraph"/>
    <w:basedOn w:val="Normal"/>
    <w:link w:val="ListParagraphChar"/>
    <w:uiPriority w:val="99"/>
    <w:qFormat/>
    <w:rsid w:val="00497CCD"/>
    <w:pPr>
      <w:ind w:left="720"/>
      <w:contextualSpacing/>
    </w:pPr>
    <w:rPr>
      <w:rFonts w:cs="Times New Roman"/>
      <w:sz w:val="20"/>
      <w:szCs w:val="20"/>
    </w:rPr>
  </w:style>
  <w:style w:type="paragraph" w:styleId="Header">
    <w:name w:val="header"/>
    <w:basedOn w:val="Normal"/>
    <w:link w:val="HeaderChar"/>
    <w:uiPriority w:val="99"/>
    <w:rsid w:val="00497CCD"/>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locked/>
    <w:rsid w:val="00497CCD"/>
    <w:rPr>
      <w:rFonts w:ascii="Calibri" w:hAnsi="Calibri" w:cs="Times New Roman"/>
    </w:rPr>
  </w:style>
  <w:style w:type="paragraph" w:styleId="Footer">
    <w:name w:val="footer"/>
    <w:basedOn w:val="Normal"/>
    <w:link w:val="FooterChar"/>
    <w:uiPriority w:val="99"/>
    <w:rsid w:val="00497CCD"/>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locked/>
    <w:rsid w:val="00497CCD"/>
    <w:rPr>
      <w:rFonts w:ascii="Calibri" w:hAnsi="Calibri" w:cs="Times New Roman"/>
    </w:rPr>
  </w:style>
  <w:style w:type="paragraph" w:customStyle="1" w:styleId="OCC">
    <w:name w:val="OCC"/>
    <w:basedOn w:val="ListParagraph"/>
    <w:link w:val="OCCChar"/>
    <w:uiPriority w:val="99"/>
    <w:rsid w:val="00497CCD"/>
    <w:pPr>
      <w:numPr>
        <w:numId w:val="1"/>
      </w:numPr>
      <w:spacing w:after="0" w:line="480" w:lineRule="auto"/>
    </w:pPr>
    <w:rPr>
      <w:rFonts w:ascii="Times New Roman" w:hAnsi="Times New Roman"/>
      <w:b/>
      <w:sz w:val="24"/>
    </w:rPr>
  </w:style>
  <w:style w:type="character" w:styleId="Hyperlink">
    <w:name w:val="Hyperlink"/>
    <w:uiPriority w:val="99"/>
    <w:rsid w:val="00017C64"/>
    <w:rPr>
      <w:rFonts w:cs="Times New Roman"/>
      <w:color w:val="0000FF"/>
      <w:u w:val="single"/>
    </w:rPr>
  </w:style>
  <w:style w:type="character" w:customStyle="1" w:styleId="ListParagraphChar">
    <w:name w:val="List Paragraph Char"/>
    <w:link w:val="ListParagraph"/>
    <w:uiPriority w:val="99"/>
    <w:locked/>
    <w:rsid w:val="00497CCD"/>
    <w:rPr>
      <w:rFonts w:ascii="Calibri" w:hAnsi="Calibri"/>
    </w:rPr>
  </w:style>
  <w:style w:type="character" w:customStyle="1" w:styleId="OCCChar">
    <w:name w:val="OCC Char"/>
    <w:link w:val="OCC"/>
    <w:uiPriority w:val="99"/>
    <w:locked/>
    <w:rsid w:val="00497CCD"/>
    <w:rPr>
      <w:rFonts w:ascii="Times New Roman" w:hAnsi="Times New Roman"/>
      <w:b/>
      <w:sz w:val="24"/>
    </w:rPr>
  </w:style>
  <w:style w:type="paragraph" w:styleId="FootnoteText">
    <w:name w:val="footnote text"/>
    <w:basedOn w:val="Normal"/>
    <w:link w:val="FootnoteTextChar"/>
    <w:uiPriority w:val="99"/>
    <w:semiHidden/>
    <w:rsid w:val="002B619B"/>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2B619B"/>
    <w:rPr>
      <w:rFonts w:cs="Times New Roman"/>
      <w:sz w:val="20"/>
    </w:rPr>
  </w:style>
  <w:style w:type="character" w:styleId="FootnoteReference">
    <w:name w:val="footnote reference"/>
    <w:uiPriority w:val="99"/>
    <w:semiHidden/>
    <w:rsid w:val="002B619B"/>
    <w:rPr>
      <w:rFonts w:cs="Times New Roman"/>
      <w:vertAlign w:val="superscript"/>
    </w:rPr>
  </w:style>
  <w:style w:type="paragraph" w:styleId="BalloonText">
    <w:name w:val="Balloon Text"/>
    <w:basedOn w:val="Normal"/>
    <w:link w:val="BalloonTextChar"/>
    <w:uiPriority w:val="99"/>
    <w:semiHidden/>
    <w:rsid w:val="002B619B"/>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locked/>
    <w:rsid w:val="002B619B"/>
    <w:rPr>
      <w:rFonts w:ascii="Tahoma" w:hAnsi="Tahoma" w:cs="Times New Roman"/>
      <w:sz w:val="16"/>
    </w:rPr>
  </w:style>
  <w:style w:type="character" w:styleId="CommentReference">
    <w:name w:val="annotation reference"/>
    <w:uiPriority w:val="99"/>
    <w:semiHidden/>
    <w:rsid w:val="00065B48"/>
    <w:rPr>
      <w:rFonts w:cs="Times New Roman"/>
      <w:sz w:val="16"/>
    </w:rPr>
  </w:style>
  <w:style w:type="paragraph" w:styleId="CommentText">
    <w:name w:val="annotation text"/>
    <w:basedOn w:val="Normal"/>
    <w:link w:val="CommentTextChar"/>
    <w:uiPriority w:val="99"/>
    <w:semiHidden/>
    <w:rsid w:val="00065B48"/>
    <w:rPr>
      <w:rFonts w:cs="Times New Roman"/>
      <w:sz w:val="20"/>
      <w:szCs w:val="20"/>
    </w:rPr>
  </w:style>
  <w:style w:type="character" w:customStyle="1" w:styleId="CommentTextChar">
    <w:name w:val="Comment Text Char"/>
    <w:link w:val="CommentText"/>
    <w:uiPriority w:val="99"/>
    <w:semiHidden/>
    <w:locked/>
    <w:rsid w:val="00065B48"/>
    <w:rPr>
      <w:rFonts w:cs="Times New Roman"/>
      <w:sz w:val="20"/>
    </w:rPr>
  </w:style>
  <w:style w:type="paragraph" w:styleId="CommentSubject">
    <w:name w:val="annotation subject"/>
    <w:basedOn w:val="CommentText"/>
    <w:next w:val="CommentText"/>
    <w:link w:val="CommentSubjectChar"/>
    <w:uiPriority w:val="99"/>
    <w:semiHidden/>
    <w:rsid w:val="00065B48"/>
    <w:rPr>
      <w:b/>
    </w:rPr>
  </w:style>
  <w:style w:type="character" w:customStyle="1" w:styleId="CommentSubjectChar">
    <w:name w:val="Comment Subject Char"/>
    <w:link w:val="CommentSubject"/>
    <w:uiPriority w:val="99"/>
    <w:semiHidden/>
    <w:locked/>
    <w:rsid w:val="00065B48"/>
    <w:rPr>
      <w:rFonts w:cs="Times New Roman"/>
      <w:b/>
      <w:sz w:val="20"/>
    </w:rPr>
  </w:style>
  <w:style w:type="paragraph" w:styleId="BodyText">
    <w:name w:val="Body Text"/>
    <w:basedOn w:val="Normal"/>
    <w:link w:val="BodyTextChar"/>
    <w:uiPriority w:val="99"/>
    <w:rsid w:val="00077542"/>
    <w:pPr>
      <w:spacing w:after="0" w:line="240" w:lineRule="auto"/>
      <w:jc w:val="both"/>
    </w:pPr>
    <w:rPr>
      <w:rFonts w:ascii="Times New Roman" w:hAnsi="Times New Roman" w:cs="Times New Roman"/>
      <w:sz w:val="24"/>
      <w:szCs w:val="20"/>
    </w:rPr>
  </w:style>
  <w:style w:type="character" w:customStyle="1" w:styleId="BodyTextChar">
    <w:name w:val="Body Text Char"/>
    <w:link w:val="BodyText"/>
    <w:uiPriority w:val="99"/>
    <w:locked/>
    <w:rsid w:val="00077542"/>
    <w:rPr>
      <w:rFonts w:ascii="Times New Roman" w:hAnsi="Times New Roman" w:cs="Times New Roman"/>
      <w:sz w:val="24"/>
    </w:rPr>
  </w:style>
  <w:style w:type="table" w:styleId="TableGrid">
    <w:name w:val="Table Grid"/>
    <w:basedOn w:val="TableNormal"/>
    <w:uiPriority w:val="99"/>
    <w:locked/>
    <w:rsid w:val="000775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0675"/>
    <w:rPr>
      <w:rFonts w:cs="Calibri"/>
      <w:sz w:val="22"/>
      <w:szCs w:val="22"/>
    </w:rPr>
  </w:style>
  <w:style w:type="paragraph" w:styleId="TOC1">
    <w:name w:val="toc 1"/>
    <w:basedOn w:val="Normal"/>
    <w:next w:val="Normal"/>
    <w:autoRedefine/>
    <w:uiPriority w:val="39"/>
    <w:locked/>
    <w:rsid w:val="0097115E"/>
    <w:pPr>
      <w:tabs>
        <w:tab w:val="left" w:pos="720"/>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locked/>
    <w:rsid w:val="0097115E"/>
    <w:pPr>
      <w:tabs>
        <w:tab w:val="left" w:pos="720"/>
        <w:tab w:val="left" w:pos="1440"/>
        <w:tab w:val="decimal" w:leader="dot" w:pos="8640"/>
      </w:tabs>
      <w:spacing w:after="240" w:line="240" w:lineRule="auto"/>
      <w:ind w:left="144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st@occ.state.oh.us" TargetMode="External"/><Relationship Id="rId13" Type="http://schemas.openxmlformats.org/officeDocument/2006/relationships/header" Target="header3.xml"/><Relationship Id="rId18" Type="http://schemas.openxmlformats.org/officeDocument/2006/relationships/hyperlink" Target="mailto:Devin.parram@puc.state.oh.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mooney2@columbus.r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yost@occ.state.oh.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Elizabeth.Watts@duke-ene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atie.stenman@puc.state.oh.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uco.ohio.gov/emplibrary/files/util/MktMonitoringElecCustSwitchRates/SWITCH%20RATES%20SALES/2009/4Q2009.pdf" TargetMode="External"/><Relationship Id="rId1" Type="http://schemas.openxmlformats.org/officeDocument/2006/relationships/hyperlink" Target="http://www.puco.ohio.gov/emplibrary/files/util/MktMonitoringElecCustSwitchRates/SWITCH%20RATES%20SALES/2009/4Q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2804</Words>
  <Characters>15454</Characters>
  <Application>Microsoft Office Word</Application>
  <DocSecurity>0</DocSecurity>
  <Lines>350</Lines>
  <Paragraphs>119</Paragraphs>
  <ScaleCrop>false</ScaleCrop>
  <HeadingPairs>
    <vt:vector size="2" baseType="variant">
      <vt:variant>
        <vt:lpstr>Title</vt:lpstr>
      </vt:variant>
      <vt:variant>
        <vt:i4>1</vt:i4>
      </vt:variant>
    </vt:vector>
  </HeadingPairs>
  <TitlesOfParts>
    <vt:vector size="1" baseType="lpstr">
      <vt:lpstr>BEFORE </vt:lpstr>
    </vt:vector>
  </TitlesOfParts>
  <Manager/>
  <Company/>
  <LinksUpToDate>false</LinksUpToDate>
  <CharactersWithSpaces>18297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2012-10-11T16:58:00Z</cp:lastPrinted>
  <dcterms:created xsi:type="dcterms:W3CDTF">2012-10-11T20:56:00Z</dcterms:created>
  <dcterms:modified xsi:type="dcterms:W3CDTF">2012-10-11T20:56:00Z</dcterms:modified>
  <cp:category> </cp:category>
  <cp:contentStatus> </cp:contentStatus>
</cp:coreProperties>
</file>