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9B" w:rsidRPr="008E3930" w:rsidRDefault="00CB1F9B" w:rsidP="00CB1F9B">
      <w:pPr>
        <w:pStyle w:val="HTMLPreformatted"/>
        <w:jc w:val="center"/>
        <w:rPr>
          <w:rFonts w:ascii="Times New Roman" w:hAnsi="Times New Roman"/>
          <w:b/>
          <w:bCs/>
          <w:sz w:val="24"/>
          <w:szCs w:val="24"/>
        </w:rPr>
      </w:pPr>
      <w:bookmarkStart w:id="0" w:name="_GoBack"/>
      <w:bookmarkEnd w:id="0"/>
      <w:r w:rsidRPr="008E3930">
        <w:rPr>
          <w:rFonts w:ascii="Times New Roman" w:hAnsi="Times New Roman"/>
          <w:b/>
          <w:bCs/>
          <w:sz w:val="24"/>
          <w:szCs w:val="24"/>
        </w:rPr>
        <w:t>BEFORE</w:t>
      </w:r>
    </w:p>
    <w:p w:rsidR="00CB1F9B" w:rsidRPr="008E3930" w:rsidRDefault="00CB1F9B" w:rsidP="00CB1F9B">
      <w:pPr>
        <w:pStyle w:val="HTMLPreformatted"/>
        <w:jc w:val="center"/>
        <w:rPr>
          <w:rFonts w:ascii="Times New Roman" w:hAnsi="Times New Roman"/>
          <w:sz w:val="24"/>
          <w:szCs w:val="24"/>
        </w:rPr>
      </w:pPr>
      <w:r w:rsidRPr="008E3930">
        <w:rPr>
          <w:rFonts w:ascii="Times New Roman" w:hAnsi="Times New Roman"/>
          <w:b/>
          <w:bCs/>
          <w:sz w:val="24"/>
          <w:szCs w:val="24"/>
        </w:rPr>
        <w:t>THE PUBLIC UTILITIES COMMISSION OF OHIO</w:t>
      </w:r>
    </w:p>
    <w:p w:rsidR="00CB1F9B" w:rsidRPr="008E3930" w:rsidRDefault="00CB1F9B" w:rsidP="00CB1F9B">
      <w:pPr>
        <w:pStyle w:val="HTMLPreformatted"/>
        <w:rPr>
          <w:rFonts w:ascii="Times New Roman" w:hAnsi="Times New Roman"/>
          <w:sz w:val="24"/>
          <w:szCs w:val="24"/>
        </w:rPr>
      </w:pPr>
    </w:p>
    <w:tbl>
      <w:tblPr>
        <w:tblW w:w="9092" w:type="dxa"/>
        <w:tblLook w:val="01E0" w:firstRow="1" w:lastRow="1" w:firstColumn="1" w:lastColumn="1" w:noHBand="0" w:noVBand="0"/>
      </w:tblPr>
      <w:tblGrid>
        <w:gridCol w:w="4068"/>
        <w:gridCol w:w="360"/>
        <w:gridCol w:w="4664"/>
      </w:tblGrid>
      <w:tr w:rsidR="00CB1F9B" w:rsidRPr="008E3930" w:rsidTr="000F03C1">
        <w:trPr>
          <w:trHeight w:val="807"/>
        </w:trPr>
        <w:tc>
          <w:tcPr>
            <w:tcW w:w="4068" w:type="dxa"/>
            <w:hideMark/>
          </w:tcPr>
          <w:p w:rsidR="00CB1F9B" w:rsidRPr="008E3930" w:rsidRDefault="00CB1F9B" w:rsidP="000F03C1">
            <w:pPr>
              <w:rPr>
                <w:szCs w:val="24"/>
              </w:rPr>
            </w:pPr>
            <w:r w:rsidRPr="008E3930">
              <w:rPr>
                <w:szCs w:val="24"/>
              </w:rPr>
              <w:t>In the Matter of the Application of Ohio Power Company for a Limited Waiver of Rule 4901:1-35-10.</w:t>
            </w:r>
          </w:p>
        </w:tc>
        <w:tc>
          <w:tcPr>
            <w:tcW w:w="360" w:type="dxa"/>
            <w:hideMark/>
          </w:tcPr>
          <w:p w:rsidR="00CB1F9B" w:rsidRPr="008E3930" w:rsidRDefault="00CB1F9B" w:rsidP="000F03C1">
            <w:pPr>
              <w:pStyle w:val="HTMLPreformatted"/>
              <w:rPr>
                <w:rFonts w:ascii="Times New Roman" w:hAnsi="Times New Roman"/>
                <w:sz w:val="24"/>
                <w:szCs w:val="24"/>
              </w:rPr>
            </w:pPr>
            <w:r w:rsidRPr="008E3930">
              <w:rPr>
                <w:rFonts w:ascii="Times New Roman" w:hAnsi="Times New Roman"/>
                <w:sz w:val="24"/>
                <w:szCs w:val="24"/>
              </w:rPr>
              <w:t>)</w:t>
            </w:r>
          </w:p>
          <w:p w:rsidR="00CB1F9B" w:rsidRPr="008E3930" w:rsidRDefault="00CB1F9B" w:rsidP="000F03C1">
            <w:pPr>
              <w:pStyle w:val="HTMLPreformatted"/>
              <w:rPr>
                <w:rFonts w:ascii="Times New Roman" w:hAnsi="Times New Roman"/>
                <w:sz w:val="24"/>
                <w:szCs w:val="24"/>
              </w:rPr>
            </w:pPr>
            <w:r w:rsidRPr="008E3930">
              <w:rPr>
                <w:rFonts w:ascii="Times New Roman" w:hAnsi="Times New Roman"/>
                <w:sz w:val="24"/>
                <w:szCs w:val="24"/>
              </w:rPr>
              <w:t>)</w:t>
            </w:r>
          </w:p>
          <w:p w:rsidR="00CB1F9B" w:rsidRPr="008E3930" w:rsidRDefault="00CB1F9B" w:rsidP="000F03C1">
            <w:pPr>
              <w:pStyle w:val="HTMLPreformatted"/>
              <w:rPr>
                <w:rFonts w:ascii="Times New Roman" w:hAnsi="Times New Roman"/>
                <w:sz w:val="24"/>
                <w:szCs w:val="24"/>
              </w:rPr>
            </w:pPr>
            <w:r w:rsidRPr="008E3930">
              <w:rPr>
                <w:rFonts w:ascii="Times New Roman" w:hAnsi="Times New Roman"/>
                <w:sz w:val="24"/>
                <w:szCs w:val="24"/>
              </w:rPr>
              <w:t>)</w:t>
            </w:r>
          </w:p>
        </w:tc>
        <w:tc>
          <w:tcPr>
            <w:tcW w:w="4664" w:type="dxa"/>
          </w:tcPr>
          <w:p w:rsidR="00CB1F9B" w:rsidRPr="008E3930" w:rsidRDefault="00CB1F9B" w:rsidP="000F03C1">
            <w:pPr>
              <w:pStyle w:val="HTMLPreformatted"/>
              <w:rPr>
                <w:rFonts w:ascii="Times New Roman" w:hAnsi="Times New Roman"/>
                <w:sz w:val="24"/>
                <w:szCs w:val="24"/>
              </w:rPr>
            </w:pPr>
          </w:p>
          <w:p w:rsidR="00CB1F9B" w:rsidRPr="008E3930" w:rsidRDefault="00CB1F9B" w:rsidP="000F03C1">
            <w:pPr>
              <w:rPr>
                <w:i/>
                <w:szCs w:val="24"/>
              </w:rPr>
            </w:pPr>
            <w:r w:rsidRPr="008E3930">
              <w:rPr>
                <w:szCs w:val="24"/>
              </w:rPr>
              <w:t>Case No. 15-386-EL-WVR</w:t>
            </w:r>
          </w:p>
          <w:p w:rsidR="00CB1F9B" w:rsidRPr="008E3930" w:rsidRDefault="00CB1F9B" w:rsidP="000F03C1">
            <w:pPr>
              <w:pStyle w:val="HTMLPreformatted"/>
              <w:rPr>
                <w:rFonts w:ascii="Times New Roman" w:hAnsi="Times New Roman"/>
                <w:sz w:val="24"/>
                <w:szCs w:val="24"/>
              </w:rPr>
            </w:pPr>
          </w:p>
        </w:tc>
      </w:tr>
    </w:tbl>
    <w:p w:rsidR="00CB1F9B" w:rsidRPr="008E3930" w:rsidRDefault="00CB1F9B" w:rsidP="00CB1F9B">
      <w:pPr>
        <w:pStyle w:val="HTMLPreformatted"/>
        <w:rPr>
          <w:rFonts w:ascii="Times New Roman" w:hAnsi="Times New Roman"/>
          <w:sz w:val="24"/>
          <w:szCs w:val="24"/>
        </w:rPr>
      </w:pPr>
      <w:r w:rsidRPr="008E3930">
        <w:rPr>
          <w:rFonts w:ascii="Times New Roman" w:hAnsi="Times New Roman"/>
          <w:sz w:val="24"/>
          <w:szCs w:val="24"/>
        </w:rPr>
        <w:tab/>
      </w:r>
    </w:p>
    <w:p w:rsidR="00CB1F9B" w:rsidRPr="008E3930" w:rsidRDefault="00CB1F9B" w:rsidP="00CB1F9B">
      <w:pPr>
        <w:pStyle w:val="HTMLPreformatted"/>
        <w:pBdr>
          <w:top w:val="single" w:sz="12" w:space="1" w:color="auto"/>
        </w:pBdr>
        <w:rPr>
          <w:rFonts w:ascii="Times New Roman" w:hAnsi="Times New Roman"/>
          <w:sz w:val="24"/>
          <w:szCs w:val="24"/>
        </w:rPr>
      </w:pPr>
    </w:p>
    <w:p w:rsidR="00CB1F9B" w:rsidRPr="008E3930" w:rsidRDefault="005023E9" w:rsidP="00CB1F9B">
      <w:pPr>
        <w:jc w:val="center"/>
        <w:rPr>
          <w:b/>
          <w:bCs/>
          <w:szCs w:val="24"/>
        </w:rPr>
      </w:pPr>
      <w:r w:rsidRPr="008E3930">
        <w:rPr>
          <w:b/>
          <w:bCs/>
          <w:szCs w:val="24"/>
        </w:rPr>
        <w:t>COMMENTS</w:t>
      </w:r>
    </w:p>
    <w:p w:rsidR="00CB1F9B" w:rsidRPr="008E3930" w:rsidRDefault="00CB1F9B" w:rsidP="00CB1F9B">
      <w:pPr>
        <w:jc w:val="center"/>
        <w:rPr>
          <w:b/>
          <w:bCs/>
          <w:szCs w:val="24"/>
        </w:rPr>
      </w:pPr>
      <w:r w:rsidRPr="008E3930">
        <w:rPr>
          <w:b/>
          <w:bCs/>
          <w:szCs w:val="24"/>
        </w:rPr>
        <w:t>BY</w:t>
      </w:r>
    </w:p>
    <w:p w:rsidR="00CB1F9B" w:rsidRPr="008E3930" w:rsidRDefault="00CB1F9B" w:rsidP="00CB1F9B">
      <w:pPr>
        <w:jc w:val="center"/>
        <w:rPr>
          <w:b/>
          <w:bCs/>
          <w:szCs w:val="24"/>
        </w:rPr>
      </w:pPr>
      <w:r w:rsidRPr="008E3930">
        <w:rPr>
          <w:b/>
          <w:bCs/>
          <w:szCs w:val="24"/>
        </w:rPr>
        <w:t>THE OFFICE OF THE OHIO CONSUMERS’ COUNSEL</w:t>
      </w:r>
    </w:p>
    <w:p w:rsidR="00CB1F9B" w:rsidRPr="008E3930" w:rsidRDefault="00CB1F9B" w:rsidP="00CB1F9B">
      <w:pPr>
        <w:pBdr>
          <w:bottom w:val="single" w:sz="12" w:space="1" w:color="auto"/>
        </w:pBdr>
        <w:tabs>
          <w:tab w:val="left" w:pos="4320"/>
        </w:tabs>
        <w:rPr>
          <w:szCs w:val="24"/>
        </w:rPr>
      </w:pPr>
    </w:p>
    <w:p w:rsidR="00CB1F9B" w:rsidRPr="008E3930" w:rsidRDefault="00CB1F9B" w:rsidP="00CB1F9B">
      <w:pPr>
        <w:tabs>
          <w:tab w:val="left" w:pos="4320"/>
        </w:tabs>
        <w:rPr>
          <w:szCs w:val="24"/>
        </w:rPr>
      </w:pPr>
    </w:p>
    <w:p w:rsidR="00174C9F" w:rsidRPr="005F3B3A" w:rsidRDefault="005F3B3A" w:rsidP="005F3B3A">
      <w:pPr>
        <w:pStyle w:val="Heading1"/>
      </w:pPr>
      <w:r>
        <w:t>I.</w:t>
      </w:r>
      <w:r>
        <w:tab/>
      </w:r>
      <w:r w:rsidR="00174C9F" w:rsidRPr="005F3B3A">
        <w:t>Introduction</w:t>
      </w:r>
    </w:p>
    <w:p w:rsidR="008F244D" w:rsidRDefault="006C1681" w:rsidP="005F3B3A">
      <w:pPr>
        <w:suppressAutoHyphens/>
        <w:spacing w:line="480" w:lineRule="auto"/>
        <w:ind w:firstLine="720"/>
        <w:rPr>
          <w:szCs w:val="24"/>
        </w:rPr>
      </w:pPr>
      <w:r>
        <w:rPr>
          <w:szCs w:val="24"/>
        </w:rPr>
        <w:t xml:space="preserve">One of the limited benefits for customers to come out of Senate Bill 221 was the possibility that customers could receive a refund should the Utility earn significantly excessive earnings. </w:t>
      </w:r>
      <w:r w:rsidR="008F244D">
        <w:rPr>
          <w:szCs w:val="24"/>
        </w:rPr>
        <w:t xml:space="preserve">In this case, where a refund may be coming to customers, the Utility wants to delay its filing, and thus, delay </w:t>
      </w:r>
      <w:r w:rsidR="00F15687">
        <w:rPr>
          <w:szCs w:val="24"/>
        </w:rPr>
        <w:t xml:space="preserve">possible </w:t>
      </w:r>
      <w:r w:rsidR="008F244D">
        <w:rPr>
          <w:szCs w:val="24"/>
        </w:rPr>
        <w:t>refunds to customers. The PUCO should not permit such tactics.</w:t>
      </w:r>
    </w:p>
    <w:p w:rsidR="00AE62A6" w:rsidRDefault="008F244D" w:rsidP="005F3B3A">
      <w:pPr>
        <w:suppressAutoHyphens/>
        <w:spacing w:line="480" w:lineRule="auto"/>
        <w:ind w:firstLine="720"/>
        <w:rPr>
          <w:szCs w:val="24"/>
        </w:rPr>
        <w:sectPr w:rsidR="00AE62A6" w:rsidSect="005F3B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szCs w:val="24"/>
        </w:rPr>
        <w:t xml:space="preserve"> </w:t>
      </w:r>
      <w:r w:rsidR="005023E9" w:rsidRPr="005023E9">
        <w:rPr>
          <w:szCs w:val="24"/>
        </w:rPr>
        <w:t>On February 24, 2015, Ohio Power</w:t>
      </w:r>
      <w:r w:rsidR="007337FF">
        <w:rPr>
          <w:szCs w:val="24"/>
        </w:rPr>
        <w:t xml:space="preserve"> Company (“Ohio Power” or “Utility”)</w:t>
      </w:r>
      <w:r w:rsidR="005023E9" w:rsidRPr="005023E9">
        <w:rPr>
          <w:szCs w:val="24"/>
        </w:rPr>
        <w:t xml:space="preserve"> filed an Application for a waiver </w:t>
      </w:r>
      <w:r w:rsidR="007337FF">
        <w:rPr>
          <w:szCs w:val="24"/>
        </w:rPr>
        <w:t xml:space="preserve">of </w:t>
      </w:r>
      <w:r w:rsidR="007337FF" w:rsidRPr="005023E9">
        <w:rPr>
          <w:szCs w:val="24"/>
        </w:rPr>
        <w:t>Rule 4901:1-35-10 of the Ohio Adm. Code</w:t>
      </w:r>
      <w:r>
        <w:rPr>
          <w:szCs w:val="24"/>
        </w:rPr>
        <w:t xml:space="preserve">. Under its request, the Utility would not have to file its earnings reports </w:t>
      </w:r>
      <w:r w:rsidR="005023E9" w:rsidRPr="005023E9">
        <w:rPr>
          <w:szCs w:val="24"/>
        </w:rPr>
        <w:t xml:space="preserve">until 60 days after the later of two events: </w:t>
      </w:r>
      <w:r w:rsidR="005F3B3A">
        <w:rPr>
          <w:szCs w:val="24"/>
        </w:rPr>
        <w:t xml:space="preserve"> </w:t>
      </w:r>
      <w:r w:rsidR="005023E9" w:rsidRPr="005023E9">
        <w:rPr>
          <w:szCs w:val="24"/>
        </w:rPr>
        <w:t xml:space="preserve">(1) the final adjudication on the merits by the Ohio Supreme Court in Case No. 2013-521, which is the appeal of Ohio Power’s 2012-2015 Electric Security Plan (“ESP”), PUCO Case No. 11-346-EL-SSO, or (2) the PUCO’s final order in Ohio Power’s fuel Case Nos. 11-5906-EL-FAC et al. </w:t>
      </w:r>
      <w:r>
        <w:rPr>
          <w:szCs w:val="24"/>
        </w:rPr>
        <w:t>Otherwise, if no waiver is granted</w:t>
      </w:r>
      <w:r w:rsidR="00F15687">
        <w:rPr>
          <w:szCs w:val="24"/>
        </w:rPr>
        <w:t>,</w:t>
      </w:r>
      <w:r>
        <w:rPr>
          <w:szCs w:val="24"/>
        </w:rPr>
        <w:t xml:space="preserve"> the Utility’s filing is due May 15, 2015. The filing by the Utility of the earnings reports begins the process in which the PUCO examines the earnings to determine if they are significantly excessive so as to warrant a refund</w:t>
      </w:r>
      <w:r w:rsidR="008E5205">
        <w:rPr>
          <w:szCs w:val="24"/>
        </w:rPr>
        <w:t xml:space="preserve"> to customers under the ESP.</w:t>
      </w:r>
      <w:r>
        <w:rPr>
          <w:szCs w:val="24"/>
        </w:rPr>
        <w:t xml:space="preserve">  </w:t>
      </w:r>
    </w:p>
    <w:p w:rsidR="0019517D" w:rsidRDefault="005023E9" w:rsidP="005F3B3A">
      <w:pPr>
        <w:suppressAutoHyphens/>
        <w:spacing w:line="480" w:lineRule="auto"/>
        <w:ind w:firstLine="720"/>
        <w:rPr>
          <w:szCs w:val="24"/>
        </w:rPr>
      </w:pPr>
      <w:r w:rsidRPr="005023E9">
        <w:rPr>
          <w:szCs w:val="24"/>
        </w:rPr>
        <w:lastRenderedPageBreak/>
        <w:t xml:space="preserve">The PUCO ruled on Ohio Power’s 2012-2015 </w:t>
      </w:r>
      <w:r w:rsidR="00024F90">
        <w:rPr>
          <w:szCs w:val="24"/>
        </w:rPr>
        <w:t xml:space="preserve">ESP </w:t>
      </w:r>
      <w:r w:rsidRPr="005023E9">
        <w:rPr>
          <w:szCs w:val="24"/>
        </w:rPr>
        <w:t>on August 8, 2013</w:t>
      </w:r>
      <w:r w:rsidR="00CA4EEB" w:rsidRPr="008E3930">
        <w:rPr>
          <w:szCs w:val="24"/>
        </w:rPr>
        <w:t>.</w:t>
      </w:r>
      <w:r w:rsidRPr="005023E9">
        <w:rPr>
          <w:szCs w:val="24"/>
        </w:rPr>
        <w:t xml:space="preserve"> </w:t>
      </w:r>
      <w:r w:rsidR="00050A02" w:rsidRPr="008E3930">
        <w:rPr>
          <w:szCs w:val="24"/>
        </w:rPr>
        <w:t>Because PUCO orders are effective immediately,</w:t>
      </w:r>
      <w:r w:rsidR="00050A02" w:rsidRPr="008E3930">
        <w:rPr>
          <w:rStyle w:val="FootnoteReference"/>
          <w:szCs w:val="24"/>
        </w:rPr>
        <w:footnoteReference w:id="1"/>
      </w:r>
      <w:r w:rsidR="00050A02" w:rsidRPr="008E3930">
        <w:rPr>
          <w:szCs w:val="24"/>
        </w:rPr>
        <w:t xml:space="preserve"> </w:t>
      </w:r>
      <w:r w:rsidRPr="005023E9">
        <w:rPr>
          <w:szCs w:val="24"/>
        </w:rPr>
        <w:t xml:space="preserve">Ohio Power’s 1.2 million residential customers have been paying rates </w:t>
      </w:r>
      <w:r w:rsidR="001D0912" w:rsidRPr="008E3930">
        <w:rPr>
          <w:szCs w:val="24"/>
        </w:rPr>
        <w:t xml:space="preserve">in accordance with the ESP that is now on appeal at the Ohio Supreme </w:t>
      </w:r>
      <w:r w:rsidR="00050A02" w:rsidRPr="008E3930">
        <w:rPr>
          <w:szCs w:val="24"/>
        </w:rPr>
        <w:t xml:space="preserve">Court. </w:t>
      </w:r>
      <w:r w:rsidR="0019517D">
        <w:rPr>
          <w:szCs w:val="24"/>
        </w:rPr>
        <w:t>Those rates include issues that OCC and others appealed</w:t>
      </w:r>
      <w:r w:rsidR="00940858">
        <w:rPr>
          <w:szCs w:val="24"/>
        </w:rPr>
        <w:t>,</w:t>
      </w:r>
      <w:r w:rsidR="0019517D">
        <w:rPr>
          <w:szCs w:val="24"/>
        </w:rPr>
        <w:t xml:space="preserve"> such as the $508 million retail stability rider.</w:t>
      </w:r>
      <w:r w:rsidR="00F15687">
        <w:rPr>
          <w:rStyle w:val="FootnoteReference"/>
          <w:szCs w:val="24"/>
        </w:rPr>
        <w:footnoteReference w:id="2"/>
      </w:r>
      <w:r w:rsidR="0019517D">
        <w:rPr>
          <w:szCs w:val="24"/>
        </w:rPr>
        <w:t xml:space="preserve">  </w:t>
      </w:r>
    </w:p>
    <w:p w:rsidR="005023E9" w:rsidRDefault="00050A02" w:rsidP="005F3B3A">
      <w:pPr>
        <w:suppressAutoHyphens/>
        <w:spacing w:line="480" w:lineRule="auto"/>
        <w:ind w:firstLine="720"/>
        <w:rPr>
          <w:szCs w:val="24"/>
        </w:rPr>
      </w:pPr>
      <w:r w:rsidRPr="008E3930">
        <w:rPr>
          <w:szCs w:val="24"/>
        </w:rPr>
        <w:t>Ohio Power</w:t>
      </w:r>
      <w:r w:rsidR="008E5205">
        <w:rPr>
          <w:szCs w:val="24"/>
        </w:rPr>
        <w:t xml:space="preserve"> also appealed issues to the Court including </w:t>
      </w:r>
      <w:r w:rsidRPr="008E3930">
        <w:rPr>
          <w:szCs w:val="24"/>
        </w:rPr>
        <w:t>the PUCO’s holding regarding a 12 percent SEET threshold</w:t>
      </w:r>
      <w:r w:rsidR="00A77343" w:rsidRPr="008E3930">
        <w:rPr>
          <w:szCs w:val="24"/>
        </w:rPr>
        <w:t>.</w:t>
      </w:r>
      <w:r w:rsidRPr="008E3930">
        <w:rPr>
          <w:szCs w:val="24"/>
        </w:rPr>
        <w:t xml:space="preserve"> </w:t>
      </w:r>
      <w:r w:rsidR="00A77343" w:rsidRPr="008E3930">
        <w:rPr>
          <w:szCs w:val="24"/>
        </w:rPr>
        <w:t>H</w:t>
      </w:r>
      <w:r w:rsidRPr="008E3930">
        <w:rPr>
          <w:szCs w:val="24"/>
        </w:rPr>
        <w:t xml:space="preserve">owever, </w:t>
      </w:r>
      <w:r w:rsidR="00A77343" w:rsidRPr="008E3930">
        <w:rPr>
          <w:szCs w:val="24"/>
        </w:rPr>
        <w:t xml:space="preserve">just as the rates that were established by the PUCO have been and </w:t>
      </w:r>
      <w:r w:rsidR="0019517D">
        <w:rPr>
          <w:szCs w:val="24"/>
        </w:rPr>
        <w:t xml:space="preserve">are </w:t>
      </w:r>
      <w:r w:rsidR="00A77343" w:rsidRPr="008E3930">
        <w:rPr>
          <w:szCs w:val="24"/>
        </w:rPr>
        <w:t>still effective</w:t>
      </w:r>
      <w:r w:rsidR="0019517D">
        <w:rPr>
          <w:szCs w:val="24"/>
        </w:rPr>
        <w:t xml:space="preserve"> (and being charged to customers)</w:t>
      </w:r>
      <w:r w:rsidR="00A77343" w:rsidRPr="008E3930">
        <w:rPr>
          <w:szCs w:val="24"/>
        </w:rPr>
        <w:t>, the 12 percent SEET threshold is also effective.</w:t>
      </w:r>
      <w:r w:rsidRPr="008E3930">
        <w:rPr>
          <w:szCs w:val="24"/>
        </w:rPr>
        <w:t xml:space="preserve"> To allow Ohio Power to wait for the Court to rule on the SEET issue</w:t>
      </w:r>
      <w:r w:rsidR="006C1681">
        <w:rPr>
          <w:szCs w:val="24"/>
        </w:rPr>
        <w:t>, and potentially delay customers a refund,</w:t>
      </w:r>
      <w:r w:rsidRPr="008E3930">
        <w:rPr>
          <w:szCs w:val="24"/>
        </w:rPr>
        <w:t xml:space="preserve"> is </w:t>
      </w:r>
      <w:r w:rsidR="008F244D">
        <w:rPr>
          <w:szCs w:val="24"/>
        </w:rPr>
        <w:t xml:space="preserve">unreasonable and </w:t>
      </w:r>
      <w:r w:rsidR="008E3930">
        <w:rPr>
          <w:szCs w:val="24"/>
        </w:rPr>
        <w:t>contrary to</w:t>
      </w:r>
      <w:r w:rsidRPr="008E3930">
        <w:rPr>
          <w:szCs w:val="24"/>
        </w:rPr>
        <w:t xml:space="preserve"> Ohio law</w:t>
      </w:r>
      <w:r w:rsidR="008E3930">
        <w:rPr>
          <w:szCs w:val="24"/>
        </w:rPr>
        <w:t>.</w:t>
      </w:r>
      <w:r w:rsidR="00A77343" w:rsidRPr="008E3930">
        <w:rPr>
          <w:szCs w:val="24"/>
        </w:rPr>
        <w:t xml:space="preserve"> </w:t>
      </w:r>
      <w:r w:rsidR="007D6587">
        <w:rPr>
          <w:szCs w:val="24"/>
        </w:rPr>
        <w:t>T</w:t>
      </w:r>
      <w:r w:rsidR="00A77343" w:rsidRPr="008E3930">
        <w:rPr>
          <w:szCs w:val="24"/>
        </w:rPr>
        <w:t xml:space="preserve">he PUCO should enforce the Order that it issued </w:t>
      </w:r>
      <w:r w:rsidR="007337FF">
        <w:rPr>
          <w:szCs w:val="24"/>
        </w:rPr>
        <w:t>in 2013</w:t>
      </w:r>
      <w:r w:rsidR="00A77343" w:rsidRPr="008E3930">
        <w:rPr>
          <w:szCs w:val="24"/>
        </w:rPr>
        <w:t xml:space="preserve"> and deny Ohio Power’s waiver request.</w:t>
      </w:r>
    </w:p>
    <w:p w:rsidR="008E3930" w:rsidRDefault="008E3930" w:rsidP="005F3B3A">
      <w:pPr>
        <w:suppressAutoHyphens/>
        <w:spacing w:line="480" w:lineRule="auto"/>
        <w:ind w:firstLine="720"/>
        <w:rPr>
          <w:szCs w:val="24"/>
        </w:rPr>
      </w:pPr>
      <w:r>
        <w:rPr>
          <w:szCs w:val="24"/>
        </w:rPr>
        <w:t>Ohio Power also request</w:t>
      </w:r>
      <w:r w:rsidR="007D6587">
        <w:rPr>
          <w:szCs w:val="24"/>
        </w:rPr>
        <w:t>s</w:t>
      </w:r>
      <w:r>
        <w:rPr>
          <w:szCs w:val="24"/>
        </w:rPr>
        <w:t xml:space="preserve"> that its SEET case be put on hold until the PUCO </w:t>
      </w:r>
      <w:r w:rsidR="007D6587">
        <w:rPr>
          <w:szCs w:val="24"/>
        </w:rPr>
        <w:t>resolve</w:t>
      </w:r>
      <w:r w:rsidR="002554E3">
        <w:rPr>
          <w:szCs w:val="24"/>
        </w:rPr>
        <w:t>s</w:t>
      </w:r>
      <w:r>
        <w:rPr>
          <w:szCs w:val="24"/>
        </w:rPr>
        <w:t xml:space="preserve"> the Utility’s </w:t>
      </w:r>
      <w:r w:rsidR="00024F90">
        <w:rPr>
          <w:szCs w:val="24"/>
        </w:rPr>
        <w:t xml:space="preserve">pending FAC audit </w:t>
      </w:r>
      <w:r>
        <w:rPr>
          <w:szCs w:val="24"/>
        </w:rPr>
        <w:t xml:space="preserve">case. </w:t>
      </w:r>
      <w:r w:rsidR="007337FF">
        <w:rPr>
          <w:szCs w:val="24"/>
        </w:rPr>
        <w:t>Ohio Power cites fuel Case Nos</w:t>
      </w:r>
      <w:r w:rsidR="005F36DD">
        <w:rPr>
          <w:szCs w:val="24"/>
        </w:rPr>
        <w:t>.</w:t>
      </w:r>
      <w:r w:rsidR="007337FF">
        <w:rPr>
          <w:szCs w:val="24"/>
        </w:rPr>
        <w:t xml:space="preserve"> 11-5906-EL-FAC et al., as allegedly affecting its 2014 earnings. The</w:t>
      </w:r>
      <w:r w:rsidR="005F36DD">
        <w:rPr>
          <w:szCs w:val="24"/>
        </w:rPr>
        <w:t xml:space="preserve"> fuel rates that are the subject of these cases involve the years 2012, 2013, and 2014.</w:t>
      </w:r>
      <w:r w:rsidR="005F36DD">
        <w:rPr>
          <w:rStyle w:val="FootnoteReference"/>
          <w:szCs w:val="24"/>
        </w:rPr>
        <w:footnoteReference w:id="3"/>
      </w:r>
      <w:r w:rsidR="005F36DD">
        <w:rPr>
          <w:szCs w:val="24"/>
        </w:rPr>
        <w:t xml:space="preserve"> The SEET cases for 2012 and 2013 have been resolved, though the fuel rates </w:t>
      </w:r>
      <w:r w:rsidR="00024F90">
        <w:rPr>
          <w:szCs w:val="24"/>
        </w:rPr>
        <w:t xml:space="preserve">of Ohio Power in 2012 and 2013 </w:t>
      </w:r>
      <w:r w:rsidR="008F244D">
        <w:rPr>
          <w:szCs w:val="24"/>
        </w:rPr>
        <w:t xml:space="preserve">are </w:t>
      </w:r>
      <w:r w:rsidR="00024F90">
        <w:rPr>
          <w:szCs w:val="24"/>
        </w:rPr>
        <w:t xml:space="preserve">still </w:t>
      </w:r>
      <w:r w:rsidR="005F36DD">
        <w:rPr>
          <w:szCs w:val="24"/>
        </w:rPr>
        <w:t xml:space="preserve">subject to </w:t>
      </w:r>
      <w:r w:rsidR="00024F90">
        <w:rPr>
          <w:szCs w:val="24"/>
        </w:rPr>
        <w:t>the currently pending FAC audit cases</w:t>
      </w:r>
      <w:r w:rsidR="005F36DD">
        <w:rPr>
          <w:szCs w:val="24"/>
        </w:rPr>
        <w:t xml:space="preserve">. The 2014 SEET case should proceed, </w:t>
      </w:r>
      <w:r w:rsidR="005F36DD">
        <w:rPr>
          <w:szCs w:val="24"/>
        </w:rPr>
        <w:lastRenderedPageBreak/>
        <w:t>as did the 2012 and 2013 SEET cases.</w:t>
      </w:r>
      <w:r w:rsidR="0019189B">
        <w:rPr>
          <w:rStyle w:val="FootnoteReference"/>
          <w:szCs w:val="24"/>
        </w:rPr>
        <w:footnoteReference w:id="4"/>
      </w:r>
      <w:r w:rsidR="008F244D">
        <w:rPr>
          <w:szCs w:val="24"/>
        </w:rPr>
        <w:t xml:space="preserve"> </w:t>
      </w:r>
      <w:r w:rsidR="0019517D">
        <w:rPr>
          <w:szCs w:val="24"/>
        </w:rPr>
        <w:t xml:space="preserve">There is no reason that these pending cases should delay potential refunds to customers.  </w:t>
      </w:r>
    </w:p>
    <w:p w:rsidR="005F3B3A" w:rsidRPr="005023E9" w:rsidRDefault="005F3B3A" w:rsidP="005F3B3A">
      <w:pPr>
        <w:suppressAutoHyphens/>
        <w:ind w:firstLine="720"/>
        <w:rPr>
          <w:szCs w:val="24"/>
        </w:rPr>
      </w:pPr>
    </w:p>
    <w:p w:rsidR="00174C9F" w:rsidRPr="002C6A30" w:rsidRDefault="005F3B3A" w:rsidP="005F3B3A">
      <w:pPr>
        <w:pStyle w:val="Heading1"/>
      </w:pPr>
      <w:r>
        <w:t>II.</w:t>
      </w:r>
      <w:r>
        <w:tab/>
      </w:r>
      <w:r w:rsidR="00174C9F" w:rsidRPr="002C6A30">
        <w:t>Argument</w:t>
      </w:r>
    </w:p>
    <w:p w:rsidR="006C62FC" w:rsidRPr="008E3930" w:rsidRDefault="00CA4EEB" w:rsidP="00CA4EEB">
      <w:pPr>
        <w:spacing w:line="480" w:lineRule="auto"/>
        <w:ind w:firstLine="720"/>
        <w:rPr>
          <w:szCs w:val="24"/>
        </w:rPr>
      </w:pPr>
      <w:r w:rsidRPr="008E3930">
        <w:rPr>
          <w:szCs w:val="24"/>
        </w:rPr>
        <w:t>In this case, Ohio Power states that “[g]ood cause exists for granting AEP Ohio’s current application for limited waiver. First, the Supreme Court’s decision in the ESP II appeal (S. Ct. Case No. 2013-521) has not yet been rendered and may affect AEP Ohio’s SEET filing for 2014.”</w:t>
      </w:r>
      <w:r w:rsidRPr="008E3930">
        <w:rPr>
          <w:rStyle w:val="FootnoteReference"/>
          <w:szCs w:val="24"/>
        </w:rPr>
        <w:footnoteReference w:id="5"/>
      </w:r>
      <w:r w:rsidR="005F3B3A">
        <w:rPr>
          <w:szCs w:val="24"/>
        </w:rPr>
        <w:t xml:space="preserve"> </w:t>
      </w:r>
      <w:r w:rsidR="006C1681">
        <w:rPr>
          <w:szCs w:val="24"/>
        </w:rPr>
        <w:t xml:space="preserve">However, </w:t>
      </w:r>
      <w:r w:rsidR="00AB1149" w:rsidRPr="008E3930">
        <w:rPr>
          <w:szCs w:val="24"/>
        </w:rPr>
        <w:t xml:space="preserve">Ohio law </w:t>
      </w:r>
      <w:r w:rsidR="00177D62" w:rsidRPr="008E3930">
        <w:rPr>
          <w:szCs w:val="24"/>
        </w:rPr>
        <w:t>governi</w:t>
      </w:r>
      <w:r w:rsidR="00AB1149" w:rsidRPr="008E3930">
        <w:rPr>
          <w:szCs w:val="24"/>
        </w:rPr>
        <w:t>ng the effective timing of PUCO orders is very clear:</w:t>
      </w:r>
    </w:p>
    <w:p w:rsidR="00AB1149" w:rsidRDefault="00AB1149" w:rsidP="00AE62A6">
      <w:pPr>
        <w:ind w:left="1440" w:right="720"/>
        <w:rPr>
          <w:szCs w:val="24"/>
        </w:rPr>
      </w:pPr>
      <w:r w:rsidRPr="008E3930">
        <w:rPr>
          <w:szCs w:val="24"/>
        </w:rPr>
        <w:t>Unless a different time is specified therein or by law, every order made by the public utilities commission shall become effective immediately upon entry thereof upon the journal of the public utilities commission.</w:t>
      </w:r>
      <w:r w:rsidRPr="008E3930">
        <w:rPr>
          <w:rStyle w:val="FootnoteReference"/>
          <w:szCs w:val="24"/>
        </w:rPr>
        <w:footnoteReference w:id="6"/>
      </w:r>
    </w:p>
    <w:p w:rsidR="005F3B3A" w:rsidRPr="008E3930" w:rsidRDefault="005F3B3A" w:rsidP="005F3B3A">
      <w:pPr>
        <w:ind w:left="720" w:right="720"/>
        <w:rPr>
          <w:szCs w:val="24"/>
        </w:rPr>
      </w:pPr>
    </w:p>
    <w:p w:rsidR="006C1681" w:rsidRDefault="00177D62" w:rsidP="00AB1149">
      <w:pPr>
        <w:spacing w:line="480" w:lineRule="auto"/>
        <w:rPr>
          <w:szCs w:val="24"/>
        </w:rPr>
      </w:pPr>
      <w:r w:rsidRPr="008E3930">
        <w:rPr>
          <w:szCs w:val="24"/>
        </w:rPr>
        <w:t>The PUCO, on August 8, 2013, issued an Opinion and Order approving, modifying, and rejecting</w:t>
      </w:r>
      <w:r w:rsidR="00174C9F" w:rsidRPr="008E3930">
        <w:rPr>
          <w:szCs w:val="24"/>
        </w:rPr>
        <w:t xml:space="preserve"> parts</w:t>
      </w:r>
      <w:r w:rsidRPr="008E3930">
        <w:rPr>
          <w:szCs w:val="24"/>
        </w:rPr>
        <w:t xml:space="preserve"> Ohio Power’s ESP.</w:t>
      </w:r>
      <w:r w:rsidRPr="008E3930">
        <w:rPr>
          <w:rStyle w:val="FootnoteReference"/>
          <w:szCs w:val="24"/>
        </w:rPr>
        <w:footnoteReference w:id="7"/>
      </w:r>
      <w:r w:rsidRPr="008E3930">
        <w:rPr>
          <w:szCs w:val="24"/>
        </w:rPr>
        <w:t xml:space="preserve"> </w:t>
      </w:r>
      <w:r w:rsidR="00174C9F" w:rsidRPr="008E3930">
        <w:rPr>
          <w:szCs w:val="24"/>
        </w:rPr>
        <w:t>Many parties</w:t>
      </w:r>
      <w:r w:rsidRPr="008E3930">
        <w:rPr>
          <w:szCs w:val="24"/>
        </w:rPr>
        <w:t>, including Ohio Power, filed Applications for Rehearing</w:t>
      </w:r>
      <w:r w:rsidRPr="008E3930">
        <w:rPr>
          <w:rStyle w:val="FootnoteReference"/>
          <w:szCs w:val="24"/>
        </w:rPr>
        <w:footnoteReference w:id="8"/>
      </w:r>
      <w:r w:rsidR="002C6A30">
        <w:rPr>
          <w:szCs w:val="24"/>
        </w:rPr>
        <w:t xml:space="preserve"> of the ESP</w:t>
      </w:r>
      <w:r w:rsidRPr="008E3930">
        <w:rPr>
          <w:szCs w:val="24"/>
        </w:rPr>
        <w:t xml:space="preserve"> and appealed the decision to the Ohio Supreme Court</w:t>
      </w:r>
      <w:r w:rsidR="00174C9F" w:rsidRPr="008E3930">
        <w:rPr>
          <w:szCs w:val="24"/>
        </w:rPr>
        <w:t>.</w:t>
      </w:r>
      <w:r w:rsidR="00174C9F" w:rsidRPr="008E3930">
        <w:rPr>
          <w:rStyle w:val="FootnoteReference"/>
          <w:szCs w:val="24"/>
        </w:rPr>
        <w:footnoteReference w:id="9"/>
      </w:r>
      <w:r w:rsidR="00174C9F" w:rsidRPr="008E3930">
        <w:rPr>
          <w:szCs w:val="24"/>
        </w:rPr>
        <w:t xml:space="preserve"> Among other issues, Ohio Power Company specifically appealed the PUCO’s decision on the SEET threshold of 12 percent.</w:t>
      </w:r>
      <w:r w:rsidR="00174C9F" w:rsidRPr="008E3930">
        <w:rPr>
          <w:rStyle w:val="FootnoteReference"/>
          <w:szCs w:val="24"/>
        </w:rPr>
        <w:footnoteReference w:id="10"/>
      </w:r>
      <w:r w:rsidR="00024F90">
        <w:rPr>
          <w:szCs w:val="24"/>
        </w:rPr>
        <w:t xml:space="preserve"> </w:t>
      </w:r>
      <w:r w:rsidR="00D5693B" w:rsidRPr="008E3930">
        <w:rPr>
          <w:szCs w:val="24"/>
        </w:rPr>
        <w:t>Ohio Power, in its</w:t>
      </w:r>
      <w:r w:rsidR="00942358" w:rsidRPr="008E3930">
        <w:rPr>
          <w:szCs w:val="24"/>
        </w:rPr>
        <w:t xml:space="preserve"> pending appeal at the Supreme C</w:t>
      </w:r>
      <w:r w:rsidR="00D5693B" w:rsidRPr="008E3930">
        <w:rPr>
          <w:szCs w:val="24"/>
        </w:rPr>
        <w:t>ourt of Ohio, argues that “[t]he Commission’s imposition of a significantly excessive earning test (SEE</w:t>
      </w:r>
      <w:r w:rsidR="00CA4EEB" w:rsidRPr="008E3930">
        <w:rPr>
          <w:szCs w:val="24"/>
        </w:rPr>
        <w:t>T</w:t>
      </w:r>
      <w:r w:rsidR="00D5693B" w:rsidRPr="008E3930">
        <w:rPr>
          <w:szCs w:val="24"/>
        </w:rPr>
        <w:t>) threshold of 12 percent for AEP Ohio, to be applied annually during the term of the ESP, was unreasonable and unlawful.”</w:t>
      </w:r>
      <w:r w:rsidR="00D5693B" w:rsidRPr="008E3930">
        <w:rPr>
          <w:rStyle w:val="FootnoteReference"/>
          <w:szCs w:val="24"/>
        </w:rPr>
        <w:footnoteReference w:id="11"/>
      </w:r>
      <w:r w:rsidR="00D5693B" w:rsidRPr="008E3930">
        <w:rPr>
          <w:szCs w:val="24"/>
        </w:rPr>
        <w:t xml:space="preserve"> </w:t>
      </w:r>
      <w:r w:rsidR="0019517D">
        <w:rPr>
          <w:szCs w:val="24"/>
        </w:rPr>
        <w:t>But here Ohio Power is picking and choosing as to what provisions in its rates should not be implemented.  It lacks the power to do so. Indeed</w:t>
      </w:r>
      <w:r w:rsidR="00940858">
        <w:rPr>
          <w:szCs w:val="24"/>
        </w:rPr>
        <w:t>,</w:t>
      </w:r>
      <w:r w:rsidR="0019517D">
        <w:rPr>
          <w:szCs w:val="24"/>
        </w:rPr>
        <w:t xml:space="preserve"> </w:t>
      </w:r>
      <w:r w:rsidR="006C1681">
        <w:rPr>
          <w:szCs w:val="24"/>
        </w:rPr>
        <w:t xml:space="preserve">Ohio Power’s 1.2 million residential customers </w:t>
      </w:r>
      <w:r w:rsidR="0019517D">
        <w:rPr>
          <w:szCs w:val="24"/>
        </w:rPr>
        <w:t xml:space="preserve">are paying rates that pertain to issues under appeal, including a $508 million retail stability charge.  </w:t>
      </w:r>
    </w:p>
    <w:p w:rsidR="00AB1149" w:rsidRDefault="002C6A30" w:rsidP="002554E3">
      <w:pPr>
        <w:spacing w:line="480" w:lineRule="auto"/>
        <w:ind w:firstLine="720"/>
        <w:rPr>
          <w:szCs w:val="24"/>
        </w:rPr>
      </w:pPr>
      <w:r>
        <w:rPr>
          <w:szCs w:val="24"/>
        </w:rPr>
        <w:t xml:space="preserve">What Ohio Power is attempting to accomplish through its waiver request is a stay of one </w:t>
      </w:r>
      <w:r w:rsidR="0019517D">
        <w:rPr>
          <w:szCs w:val="24"/>
        </w:rPr>
        <w:t xml:space="preserve">discrete </w:t>
      </w:r>
      <w:r>
        <w:rPr>
          <w:szCs w:val="24"/>
        </w:rPr>
        <w:t>provision of its ESP.</w:t>
      </w:r>
      <w:r w:rsidR="007D6587">
        <w:rPr>
          <w:szCs w:val="24"/>
        </w:rPr>
        <w:t xml:space="preserve"> </w:t>
      </w:r>
      <w:r w:rsidR="0019517D">
        <w:rPr>
          <w:szCs w:val="24"/>
        </w:rPr>
        <w:t>Yet it failed to seek such a stay at the PUCO or at the Court.  Notably,</w:t>
      </w:r>
      <w:r w:rsidR="007D6587">
        <w:rPr>
          <w:szCs w:val="24"/>
        </w:rPr>
        <w:t xml:space="preserve"> Ohio Power </w:t>
      </w:r>
      <w:r w:rsidR="0019517D">
        <w:rPr>
          <w:szCs w:val="24"/>
        </w:rPr>
        <w:t xml:space="preserve">itself recognized that a stay on a single portion of its ESP is not permitted under the law. In its filings </w:t>
      </w:r>
      <w:r w:rsidR="007D6587">
        <w:rPr>
          <w:szCs w:val="24"/>
        </w:rPr>
        <w:t>at the Ohio Supreme Court in its appeal of this ESP</w:t>
      </w:r>
      <w:r w:rsidR="00940858">
        <w:rPr>
          <w:szCs w:val="24"/>
        </w:rPr>
        <w:t>,</w:t>
      </w:r>
      <w:r w:rsidR="0019517D">
        <w:rPr>
          <w:szCs w:val="24"/>
        </w:rPr>
        <w:t xml:space="preserve"> it stated</w:t>
      </w:r>
      <w:r w:rsidR="007D6587">
        <w:rPr>
          <w:szCs w:val="24"/>
        </w:rPr>
        <w:t xml:space="preserve"> </w:t>
      </w:r>
      <w:r w:rsidR="002554E3">
        <w:rPr>
          <w:szCs w:val="24"/>
        </w:rPr>
        <w:t>an “</w:t>
      </w:r>
      <w:r w:rsidR="007D6587">
        <w:rPr>
          <w:szCs w:val="24"/>
        </w:rPr>
        <w:t>effort to stay one piece of an integrated Commission Order cannot be reconciled with basic fairness. Nor can it be reconciled with the plain text of the statute, which allows this Court to stay a ‘final order,’ R.C. 4903.16, but does not permit for stays of a single provision of an order.”</w:t>
      </w:r>
      <w:r w:rsidR="007D6587">
        <w:rPr>
          <w:rStyle w:val="FootnoteReference"/>
          <w:szCs w:val="24"/>
        </w:rPr>
        <w:footnoteReference w:id="12"/>
      </w:r>
      <w:r w:rsidR="007D6587">
        <w:rPr>
          <w:szCs w:val="24"/>
        </w:rPr>
        <w:t xml:space="preserve"> </w:t>
      </w:r>
      <w:r w:rsidR="0019517D">
        <w:rPr>
          <w:szCs w:val="24"/>
        </w:rPr>
        <w:t>But here it asks for a stay of the single provision of the PUCO’s orde</w:t>
      </w:r>
      <w:r w:rsidR="008E5205">
        <w:rPr>
          <w:szCs w:val="24"/>
        </w:rPr>
        <w:t xml:space="preserve">r. </w:t>
      </w:r>
      <w:r>
        <w:rPr>
          <w:szCs w:val="24"/>
        </w:rPr>
        <w:t>To allow a stay of the PUCO’s 12 percent SEET holding is contrary to law</w:t>
      </w:r>
      <w:r w:rsidR="0019517D">
        <w:rPr>
          <w:szCs w:val="24"/>
        </w:rPr>
        <w:t>. The</w:t>
      </w:r>
      <w:r>
        <w:rPr>
          <w:szCs w:val="24"/>
        </w:rPr>
        <w:t xml:space="preserve"> PUCO </w:t>
      </w:r>
      <w:r w:rsidR="0019517D">
        <w:rPr>
          <w:szCs w:val="24"/>
        </w:rPr>
        <w:t xml:space="preserve">should </w:t>
      </w:r>
      <w:r>
        <w:rPr>
          <w:szCs w:val="24"/>
        </w:rPr>
        <w:t xml:space="preserve">deny Ohio Power’s request to indefinitely </w:t>
      </w:r>
      <w:r w:rsidR="0019189B">
        <w:rPr>
          <w:szCs w:val="24"/>
        </w:rPr>
        <w:t>suspend its requirement to file</w:t>
      </w:r>
      <w:r>
        <w:rPr>
          <w:szCs w:val="24"/>
        </w:rPr>
        <w:t xml:space="preserve"> a 2014 SEET application.</w:t>
      </w:r>
    </w:p>
    <w:p w:rsidR="007E367B" w:rsidRDefault="0019189B" w:rsidP="00AB1149">
      <w:pPr>
        <w:spacing w:line="480" w:lineRule="auto"/>
        <w:rPr>
          <w:szCs w:val="24"/>
        </w:rPr>
      </w:pPr>
      <w:r>
        <w:rPr>
          <w:szCs w:val="24"/>
        </w:rPr>
        <w:tab/>
        <w:t xml:space="preserve">Ohio </w:t>
      </w:r>
      <w:r w:rsidR="00B47133">
        <w:rPr>
          <w:szCs w:val="24"/>
        </w:rPr>
        <w:t>Power also states that good cause exist</w:t>
      </w:r>
      <w:r w:rsidR="007E367B">
        <w:rPr>
          <w:szCs w:val="24"/>
        </w:rPr>
        <w:t>s</w:t>
      </w:r>
      <w:r w:rsidR="00B47133">
        <w:rPr>
          <w:szCs w:val="24"/>
        </w:rPr>
        <w:t xml:space="preserve"> for its limited waiver because litigation is pending in fuel cases that could affect the Utility’s 2014 financial results for SEET purposes.</w:t>
      </w:r>
      <w:r w:rsidR="00B47133">
        <w:rPr>
          <w:rStyle w:val="FootnoteReference"/>
          <w:szCs w:val="24"/>
        </w:rPr>
        <w:footnoteReference w:id="13"/>
      </w:r>
      <w:r w:rsidR="00B47133">
        <w:rPr>
          <w:szCs w:val="24"/>
        </w:rPr>
        <w:t xml:space="preserve"> The fuel cases cited by Ohio Power involve the investigation into possible double recovery </w:t>
      </w:r>
      <w:r w:rsidR="007B148B">
        <w:rPr>
          <w:szCs w:val="24"/>
        </w:rPr>
        <w:t xml:space="preserve">of certain capacity costs </w:t>
      </w:r>
      <w:r w:rsidR="00B47133">
        <w:rPr>
          <w:szCs w:val="24"/>
        </w:rPr>
        <w:t>by Ohio Power for the years 2012, 2013, and 2014</w:t>
      </w:r>
      <w:r w:rsidR="00024F90">
        <w:rPr>
          <w:szCs w:val="24"/>
        </w:rPr>
        <w:t xml:space="preserve"> as well as many other aspects of the fuel and power procurement and management during that time period.</w:t>
      </w:r>
      <w:r w:rsidR="00B47133">
        <w:rPr>
          <w:szCs w:val="24"/>
        </w:rPr>
        <w:t xml:space="preserve"> </w:t>
      </w:r>
      <w:r w:rsidR="007E367B">
        <w:rPr>
          <w:szCs w:val="24"/>
        </w:rPr>
        <w:t>But the Utility went forward with the 2012 and 2013 SEET cases</w:t>
      </w:r>
      <w:r w:rsidR="00024F90">
        <w:rPr>
          <w:szCs w:val="24"/>
        </w:rPr>
        <w:t xml:space="preserve"> in spite of the fact that the </w:t>
      </w:r>
      <w:r w:rsidR="006C1681">
        <w:rPr>
          <w:szCs w:val="24"/>
        </w:rPr>
        <w:t>PUCO</w:t>
      </w:r>
      <w:r w:rsidR="00024F90">
        <w:rPr>
          <w:szCs w:val="24"/>
        </w:rPr>
        <w:t xml:space="preserve"> has not issued an order on the 2012 and 2013 FAC audit</w:t>
      </w:r>
      <w:r w:rsidR="007E367B">
        <w:rPr>
          <w:szCs w:val="24"/>
        </w:rPr>
        <w:t xml:space="preserve">. </w:t>
      </w:r>
      <w:r w:rsidR="007B148B">
        <w:rPr>
          <w:szCs w:val="24"/>
        </w:rPr>
        <w:t>Specifically, o</w:t>
      </w:r>
      <w:r w:rsidR="007E367B">
        <w:rPr>
          <w:szCs w:val="24"/>
        </w:rPr>
        <w:t>n May 28, 2014, the PUCO approved an Order resolving the Utility’s SEET case for the 2012 year and on December 3, 2014 the PUCO issued an order for Ohio Power’s 2013 SEET case. The OCC recommends that the PUCO proceed with its 2014 SEET case as it did in 2012 and 2013</w:t>
      </w:r>
      <w:r w:rsidR="007B148B">
        <w:rPr>
          <w:szCs w:val="24"/>
        </w:rPr>
        <w:t xml:space="preserve"> even with the 2014 FAC audit not yet completed</w:t>
      </w:r>
      <w:r w:rsidR="007E367B">
        <w:rPr>
          <w:szCs w:val="24"/>
        </w:rPr>
        <w:t>.</w:t>
      </w:r>
      <w:r w:rsidR="007B148B">
        <w:rPr>
          <w:szCs w:val="24"/>
        </w:rPr>
        <w:t xml:space="preserve"> The pending resolution of the issues related to the double recovery of certain capacity costs by Ohio Power is no justification for delay</w:t>
      </w:r>
      <w:r w:rsidR="006C1681">
        <w:rPr>
          <w:szCs w:val="24"/>
        </w:rPr>
        <w:t>ing</w:t>
      </w:r>
      <w:r w:rsidR="007B148B">
        <w:rPr>
          <w:szCs w:val="24"/>
        </w:rPr>
        <w:t xml:space="preserve"> the 2014 SEET filing. </w:t>
      </w:r>
      <w:r w:rsidR="0019517D">
        <w:rPr>
          <w:szCs w:val="24"/>
        </w:rPr>
        <w:t xml:space="preserve">A delay in the filing means a delay in potentially refunding excessive earnings to customers. The PUCO should protect customers from such a delay by rejecting the Utility’s request for a waiver.  </w:t>
      </w:r>
    </w:p>
    <w:p w:rsidR="00AE62A6" w:rsidRDefault="00AE62A6" w:rsidP="00AE62A6">
      <w:pPr>
        <w:rPr>
          <w:szCs w:val="24"/>
        </w:rPr>
      </w:pPr>
    </w:p>
    <w:p w:rsidR="007E367B" w:rsidRDefault="005F3B3A" w:rsidP="005F3B3A">
      <w:pPr>
        <w:pStyle w:val="Heading1"/>
      </w:pPr>
      <w:r>
        <w:t>III.</w:t>
      </w:r>
      <w:r>
        <w:tab/>
      </w:r>
      <w:r w:rsidR="007E367B">
        <w:t>Conclusion</w:t>
      </w:r>
    </w:p>
    <w:p w:rsidR="0019517D" w:rsidRDefault="007E367B" w:rsidP="00AB1149">
      <w:pPr>
        <w:spacing w:line="480" w:lineRule="auto"/>
        <w:rPr>
          <w:szCs w:val="24"/>
        </w:rPr>
      </w:pPr>
      <w:r>
        <w:rPr>
          <w:szCs w:val="24"/>
        </w:rPr>
        <w:tab/>
        <w:t>Ohio Power has failed to state good c</w:t>
      </w:r>
      <w:r w:rsidR="004B0622">
        <w:rPr>
          <w:szCs w:val="24"/>
        </w:rPr>
        <w:t>a</w:t>
      </w:r>
      <w:r>
        <w:rPr>
          <w:szCs w:val="24"/>
        </w:rPr>
        <w:t>u</w:t>
      </w:r>
      <w:r w:rsidR="004B0622">
        <w:rPr>
          <w:szCs w:val="24"/>
        </w:rPr>
        <w:t>s</w:t>
      </w:r>
      <w:r>
        <w:rPr>
          <w:szCs w:val="24"/>
        </w:rPr>
        <w:t xml:space="preserve">e to extend its 2014 SEET filing until an unknown date. The Utility’s request that the PUCO wait until the </w:t>
      </w:r>
      <w:r w:rsidR="004B0622">
        <w:rPr>
          <w:szCs w:val="24"/>
        </w:rPr>
        <w:t xml:space="preserve">Ohio </w:t>
      </w:r>
      <w:r>
        <w:rPr>
          <w:szCs w:val="24"/>
        </w:rPr>
        <w:t xml:space="preserve">Supreme Court reaches a decision </w:t>
      </w:r>
      <w:r w:rsidR="004B0622">
        <w:rPr>
          <w:szCs w:val="24"/>
        </w:rPr>
        <w:t xml:space="preserve">in the ESP appeal is </w:t>
      </w:r>
      <w:r w:rsidR="0019517D">
        <w:rPr>
          <w:szCs w:val="24"/>
        </w:rPr>
        <w:t xml:space="preserve">unreasonable and will potentially delay any refund of excessive earnings to customers.  </w:t>
      </w:r>
    </w:p>
    <w:p w:rsidR="005F36DD" w:rsidRDefault="0019517D" w:rsidP="00940858">
      <w:pPr>
        <w:spacing w:line="480" w:lineRule="auto"/>
        <w:rPr>
          <w:szCs w:val="24"/>
        </w:rPr>
      </w:pPr>
      <w:r>
        <w:rPr>
          <w:szCs w:val="24"/>
        </w:rPr>
        <w:t xml:space="preserve">It is also </w:t>
      </w:r>
      <w:r w:rsidR="004B0622">
        <w:rPr>
          <w:szCs w:val="24"/>
        </w:rPr>
        <w:t>contrary to law. PUCO orders are effective immediately and the 12 percent threshold is in effect must be upheld. In addition, Ohio Power’s argument to put the 2014 SEET case on hold pending the outcome of its fuel</w:t>
      </w:r>
      <w:r w:rsidR="00554ACD">
        <w:rPr>
          <w:szCs w:val="24"/>
        </w:rPr>
        <w:t xml:space="preserve"> cases</w:t>
      </w:r>
      <w:r w:rsidR="004B0622">
        <w:rPr>
          <w:szCs w:val="24"/>
        </w:rPr>
        <w:t xml:space="preserve"> should be rejected because, as a matter of law, fuel cases are always subject to future decisions. The PUCO was able to reach a decision for Ohio Power’s 2012 and 2013 SEET cases</w:t>
      </w:r>
      <w:r w:rsidR="00554ACD">
        <w:rPr>
          <w:szCs w:val="24"/>
        </w:rPr>
        <w:t>, though those fuel rates are also the subject of Case No. 11-5906-EL-FAC, the case cited by Ohio Power. OCC recommends that the PUCO reject Ohio Power’s waiver of Ohio Adm. Code 4901:1-</w:t>
      </w:r>
      <w:r w:rsidR="00940858">
        <w:rPr>
          <w:szCs w:val="24"/>
        </w:rPr>
        <w:t>35-10</w:t>
      </w:r>
      <w:r w:rsidR="00554ACD">
        <w:rPr>
          <w:szCs w:val="24"/>
        </w:rPr>
        <w:t>.</w:t>
      </w:r>
    </w:p>
    <w:p w:rsidR="005F3B3A" w:rsidRPr="000770D6" w:rsidRDefault="005F3B3A" w:rsidP="005F3B3A">
      <w:pPr>
        <w:pStyle w:val="BodyTextIndent3"/>
        <w:widowControl w:val="0"/>
        <w:spacing w:line="240" w:lineRule="auto"/>
        <w:ind w:left="3600" w:right="-677"/>
        <w:rPr>
          <w:szCs w:val="24"/>
        </w:rPr>
      </w:pPr>
      <w:r w:rsidRPr="000770D6">
        <w:rPr>
          <w:szCs w:val="24"/>
        </w:rPr>
        <w:t>Respectfully submitted,</w:t>
      </w:r>
    </w:p>
    <w:p w:rsidR="005F3B3A" w:rsidRPr="000770D6" w:rsidRDefault="005F3B3A" w:rsidP="005F3B3A">
      <w:pPr>
        <w:pStyle w:val="Footer"/>
        <w:tabs>
          <w:tab w:val="left" w:pos="2436"/>
        </w:tabs>
        <w:spacing w:before="240"/>
        <w:ind w:left="4320"/>
        <w:rPr>
          <w:sz w:val="24"/>
          <w:szCs w:val="24"/>
        </w:rPr>
      </w:pPr>
      <w:r w:rsidRPr="000770D6">
        <w:rPr>
          <w:sz w:val="24"/>
          <w:szCs w:val="24"/>
        </w:rPr>
        <w:t>BRUCE J. WESTON</w:t>
      </w:r>
      <w:r w:rsidRPr="000770D6">
        <w:rPr>
          <w:sz w:val="24"/>
          <w:szCs w:val="24"/>
        </w:rPr>
        <w:tab/>
      </w:r>
    </w:p>
    <w:p w:rsidR="005F3B3A" w:rsidRPr="000770D6" w:rsidRDefault="005F3B3A" w:rsidP="005F3B3A">
      <w:pPr>
        <w:tabs>
          <w:tab w:val="left" w:pos="4320"/>
        </w:tabs>
        <w:ind w:left="4320"/>
        <w:rPr>
          <w:szCs w:val="24"/>
        </w:rPr>
      </w:pPr>
      <w:r w:rsidRPr="000770D6">
        <w:rPr>
          <w:szCs w:val="24"/>
        </w:rPr>
        <w:t>OHIO CONSUMERS’ COUNSEL</w:t>
      </w:r>
    </w:p>
    <w:p w:rsidR="005F3B3A" w:rsidRPr="000770D6" w:rsidRDefault="005F3B3A" w:rsidP="005F3B3A">
      <w:pPr>
        <w:tabs>
          <w:tab w:val="left" w:pos="4320"/>
        </w:tabs>
        <w:rPr>
          <w:szCs w:val="24"/>
        </w:rPr>
      </w:pPr>
    </w:p>
    <w:p w:rsidR="005F3B3A" w:rsidRPr="000770D6" w:rsidRDefault="005F3B3A" w:rsidP="005F3B3A">
      <w:pPr>
        <w:tabs>
          <w:tab w:val="left" w:pos="4320"/>
        </w:tabs>
        <w:ind w:left="4320"/>
        <w:rPr>
          <w:szCs w:val="24"/>
        </w:rPr>
      </w:pPr>
      <w:r w:rsidRPr="000770D6">
        <w:rPr>
          <w:i/>
          <w:szCs w:val="24"/>
          <w:u w:val="single"/>
        </w:rPr>
        <w:t>/s/ Jodi Bair</w:t>
      </w:r>
    </w:p>
    <w:p w:rsidR="005F3B3A" w:rsidRDefault="005F3B3A" w:rsidP="005F3B3A">
      <w:pPr>
        <w:tabs>
          <w:tab w:val="left" w:pos="4320"/>
        </w:tabs>
        <w:ind w:left="4320"/>
        <w:rPr>
          <w:szCs w:val="24"/>
        </w:rPr>
      </w:pPr>
      <w:r w:rsidRPr="000770D6">
        <w:rPr>
          <w:szCs w:val="24"/>
        </w:rPr>
        <w:t>Jodi Bair, Counsel of Record</w:t>
      </w:r>
    </w:p>
    <w:p w:rsidR="005F3B3A" w:rsidRPr="000770D6" w:rsidRDefault="005F3B3A" w:rsidP="005F3B3A">
      <w:pPr>
        <w:tabs>
          <w:tab w:val="left" w:pos="4320"/>
        </w:tabs>
        <w:ind w:left="4320"/>
        <w:rPr>
          <w:szCs w:val="24"/>
        </w:rPr>
      </w:pPr>
      <w:r>
        <w:rPr>
          <w:szCs w:val="24"/>
        </w:rPr>
        <w:t>(Reg. No. 0062921)</w:t>
      </w:r>
    </w:p>
    <w:p w:rsidR="005F3B3A" w:rsidRDefault="005F3B3A" w:rsidP="005F3B3A">
      <w:pPr>
        <w:tabs>
          <w:tab w:val="left" w:pos="4320"/>
        </w:tabs>
        <w:ind w:left="4320"/>
        <w:rPr>
          <w:szCs w:val="24"/>
        </w:rPr>
      </w:pPr>
      <w:r w:rsidRPr="000770D6">
        <w:rPr>
          <w:szCs w:val="24"/>
        </w:rPr>
        <w:t>Assistant Consumers’ Counsel</w:t>
      </w:r>
    </w:p>
    <w:p w:rsidR="005F3B3A" w:rsidRPr="000770D6" w:rsidRDefault="005F3B3A" w:rsidP="005F3B3A">
      <w:pPr>
        <w:tabs>
          <w:tab w:val="left" w:pos="4320"/>
        </w:tabs>
        <w:ind w:left="4320"/>
        <w:rPr>
          <w:szCs w:val="24"/>
        </w:rPr>
      </w:pPr>
    </w:p>
    <w:p w:rsidR="005F3B3A" w:rsidRPr="005F3B3A" w:rsidRDefault="005F3B3A" w:rsidP="005F3B3A">
      <w:pPr>
        <w:ind w:left="4320"/>
        <w:rPr>
          <w:b/>
        </w:rPr>
      </w:pPr>
      <w:r w:rsidRPr="005F3B3A">
        <w:rPr>
          <w:b/>
        </w:rPr>
        <w:t>Office of the Ohio Consumers’ Counsel</w:t>
      </w:r>
    </w:p>
    <w:p w:rsidR="005F3B3A" w:rsidRPr="000770D6" w:rsidRDefault="005F3B3A" w:rsidP="005F3B3A">
      <w:pPr>
        <w:ind w:left="4320"/>
        <w:rPr>
          <w:b/>
        </w:rPr>
      </w:pPr>
      <w:r w:rsidRPr="000770D6">
        <w:t>10 West Broad Street, Suite 1800</w:t>
      </w:r>
    </w:p>
    <w:p w:rsidR="005F3B3A" w:rsidRPr="000770D6" w:rsidRDefault="005F3B3A" w:rsidP="005F3B3A">
      <w:pPr>
        <w:ind w:left="4320"/>
        <w:rPr>
          <w:b/>
        </w:rPr>
      </w:pPr>
      <w:r w:rsidRPr="000770D6">
        <w:t>Columbus, Ohio 43215-3485</w:t>
      </w:r>
    </w:p>
    <w:p w:rsidR="005F3B3A" w:rsidRPr="000770D6" w:rsidRDefault="005F3B3A" w:rsidP="005F3B3A">
      <w:pPr>
        <w:ind w:left="4320"/>
        <w:rPr>
          <w:szCs w:val="24"/>
        </w:rPr>
      </w:pPr>
      <w:r w:rsidRPr="000770D6">
        <w:rPr>
          <w:szCs w:val="24"/>
        </w:rPr>
        <w:t>(614) 466-9559 (Bair Direct)</w:t>
      </w:r>
    </w:p>
    <w:p w:rsidR="005F3B3A" w:rsidRDefault="004C7B46" w:rsidP="005F3B3A">
      <w:pPr>
        <w:autoSpaceDE w:val="0"/>
        <w:autoSpaceDN w:val="0"/>
        <w:adjustRightInd w:val="0"/>
        <w:ind w:left="3600" w:firstLine="720"/>
        <w:rPr>
          <w:szCs w:val="24"/>
        </w:rPr>
      </w:pPr>
      <w:hyperlink r:id="rId14" w:history="1">
        <w:r w:rsidR="005F3B3A" w:rsidRPr="00A95DC4">
          <w:rPr>
            <w:rStyle w:val="Hyperlink"/>
            <w:szCs w:val="24"/>
          </w:rPr>
          <w:t>Jodi.bair@occ.ohio.gov</w:t>
        </w:r>
      </w:hyperlink>
    </w:p>
    <w:p w:rsidR="005F3B3A" w:rsidRDefault="005F3B3A" w:rsidP="005F3B3A">
      <w:pPr>
        <w:autoSpaceDE w:val="0"/>
        <w:autoSpaceDN w:val="0"/>
        <w:adjustRightInd w:val="0"/>
        <w:ind w:left="3600" w:firstLine="720"/>
        <w:rPr>
          <w:szCs w:val="24"/>
        </w:rPr>
      </w:pPr>
      <w:r>
        <w:rPr>
          <w:szCs w:val="24"/>
        </w:rPr>
        <w:t>(will accept service via email)</w:t>
      </w:r>
    </w:p>
    <w:p w:rsidR="005F3B3A" w:rsidRDefault="005F3B3A" w:rsidP="005F3B3A">
      <w:pPr>
        <w:autoSpaceDE w:val="0"/>
        <w:autoSpaceDN w:val="0"/>
        <w:adjustRightInd w:val="0"/>
        <w:ind w:left="3600" w:firstLine="720"/>
        <w:rPr>
          <w:szCs w:val="24"/>
        </w:rPr>
      </w:pPr>
    </w:p>
    <w:p w:rsidR="005F3B3A" w:rsidRDefault="005F3B3A" w:rsidP="005F3B3A">
      <w:pPr>
        <w:spacing w:after="200" w:line="276" w:lineRule="auto"/>
        <w:rPr>
          <w:b/>
          <w:bCs/>
          <w:szCs w:val="24"/>
          <w:u w:val="single"/>
        </w:rPr>
      </w:pPr>
      <w:r>
        <w:rPr>
          <w:b/>
          <w:bCs/>
          <w:szCs w:val="24"/>
          <w:u w:val="single"/>
        </w:rPr>
        <w:br w:type="page"/>
      </w:r>
    </w:p>
    <w:p w:rsidR="005F3B3A" w:rsidRPr="000770D6" w:rsidRDefault="005F3B3A" w:rsidP="005F3B3A">
      <w:pPr>
        <w:pStyle w:val="BodyTextIndent3"/>
        <w:widowControl w:val="0"/>
        <w:spacing w:line="480" w:lineRule="auto"/>
        <w:ind w:firstLine="0"/>
        <w:jc w:val="center"/>
        <w:rPr>
          <w:b/>
          <w:bCs/>
          <w:szCs w:val="24"/>
          <w:u w:val="single"/>
        </w:rPr>
      </w:pPr>
      <w:r w:rsidRPr="000770D6">
        <w:rPr>
          <w:b/>
          <w:bCs/>
          <w:szCs w:val="24"/>
          <w:u w:val="single"/>
        </w:rPr>
        <w:t>CERTIFICATE OF SERVICE</w:t>
      </w:r>
    </w:p>
    <w:p w:rsidR="005F3B3A" w:rsidRPr="000770D6" w:rsidRDefault="005F3B3A" w:rsidP="005F3B3A">
      <w:pPr>
        <w:spacing w:line="480" w:lineRule="auto"/>
        <w:rPr>
          <w:szCs w:val="24"/>
        </w:rPr>
      </w:pPr>
      <w:r w:rsidRPr="000770D6">
        <w:rPr>
          <w:szCs w:val="24"/>
        </w:rPr>
        <w:tab/>
        <w:t>I hereby certify that a copy of th</w:t>
      </w:r>
      <w:r>
        <w:rPr>
          <w:szCs w:val="24"/>
        </w:rPr>
        <w:t>ese Comments</w:t>
      </w:r>
      <w:r w:rsidRPr="000770D6">
        <w:rPr>
          <w:szCs w:val="24"/>
        </w:rPr>
        <w:t xml:space="preserve"> w</w:t>
      </w:r>
      <w:r>
        <w:rPr>
          <w:szCs w:val="24"/>
        </w:rPr>
        <w:t>ere</w:t>
      </w:r>
      <w:r w:rsidRPr="000770D6">
        <w:rPr>
          <w:szCs w:val="24"/>
        </w:rPr>
        <w:t xml:space="preserve"> served on the persons stated below via electronic transmission this 3</w:t>
      </w:r>
      <w:r w:rsidRPr="000770D6">
        <w:rPr>
          <w:szCs w:val="24"/>
          <w:vertAlign w:val="superscript"/>
        </w:rPr>
        <w:t>rd</w:t>
      </w:r>
      <w:r w:rsidRPr="000770D6">
        <w:rPr>
          <w:szCs w:val="24"/>
        </w:rPr>
        <w:t xml:space="preserve"> day of March 2015.</w:t>
      </w:r>
    </w:p>
    <w:p w:rsidR="005F3B3A" w:rsidRPr="000770D6" w:rsidRDefault="005F3B3A" w:rsidP="005F3B3A">
      <w:pPr>
        <w:rPr>
          <w:szCs w:val="24"/>
        </w:rPr>
      </w:pPr>
    </w:p>
    <w:p w:rsidR="005F3B3A" w:rsidRPr="000770D6" w:rsidRDefault="005F3B3A" w:rsidP="005F3B3A">
      <w:pPr>
        <w:tabs>
          <w:tab w:val="left" w:pos="4320"/>
        </w:tabs>
        <w:rPr>
          <w:szCs w:val="24"/>
        </w:rPr>
      </w:pPr>
      <w:r w:rsidRPr="000770D6">
        <w:rPr>
          <w:szCs w:val="24"/>
        </w:rPr>
        <w:tab/>
      </w:r>
      <w:r w:rsidRPr="000770D6">
        <w:rPr>
          <w:i/>
          <w:szCs w:val="24"/>
          <w:u w:val="single"/>
        </w:rPr>
        <w:t>/s/ Jodi Bair</w:t>
      </w:r>
      <w:r w:rsidRPr="000770D6">
        <w:rPr>
          <w:szCs w:val="24"/>
        </w:rPr>
        <w:t>__________</w:t>
      </w:r>
    </w:p>
    <w:p w:rsidR="005F3B3A" w:rsidRPr="000770D6" w:rsidRDefault="005F3B3A" w:rsidP="005F3B3A">
      <w:pPr>
        <w:tabs>
          <w:tab w:val="left" w:pos="4320"/>
        </w:tabs>
        <w:rPr>
          <w:szCs w:val="24"/>
        </w:rPr>
      </w:pPr>
      <w:r w:rsidRPr="000770D6">
        <w:rPr>
          <w:szCs w:val="24"/>
        </w:rPr>
        <w:tab/>
        <w:t>Jodi Bair</w:t>
      </w:r>
    </w:p>
    <w:p w:rsidR="005F3B3A" w:rsidRPr="000770D6" w:rsidRDefault="005F3B3A" w:rsidP="005F3B3A">
      <w:pPr>
        <w:tabs>
          <w:tab w:val="left" w:pos="4320"/>
        </w:tabs>
        <w:rPr>
          <w:szCs w:val="24"/>
        </w:rPr>
      </w:pPr>
      <w:r w:rsidRPr="000770D6">
        <w:rPr>
          <w:szCs w:val="24"/>
        </w:rPr>
        <w:tab/>
        <w:t>Assistant Consumers’ Counsel</w:t>
      </w:r>
    </w:p>
    <w:p w:rsidR="005F3B3A" w:rsidRPr="000770D6" w:rsidRDefault="005F3B3A" w:rsidP="005F3B3A">
      <w:pPr>
        <w:pStyle w:val="CommentSubject"/>
        <w:rPr>
          <w:szCs w:val="24"/>
        </w:rPr>
      </w:pPr>
    </w:p>
    <w:p w:rsidR="005F3B3A" w:rsidRPr="000770D6" w:rsidRDefault="005F3B3A" w:rsidP="005F3B3A">
      <w:pPr>
        <w:pStyle w:val="CommentText"/>
      </w:pPr>
    </w:p>
    <w:p w:rsidR="005F3B3A" w:rsidRPr="000770D6" w:rsidRDefault="005F3B3A" w:rsidP="005F3B3A">
      <w:pPr>
        <w:pStyle w:val="CommentText"/>
        <w:jc w:val="center"/>
        <w:rPr>
          <w:b/>
          <w:u w:val="single"/>
        </w:rPr>
      </w:pPr>
      <w:r w:rsidRPr="000770D6">
        <w:rPr>
          <w:b/>
          <w:u w:val="single"/>
        </w:rPr>
        <w:t>SERVICE LIST</w:t>
      </w:r>
    </w:p>
    <w:p w:rsidR="005F3B3A" w:rsidRPr="000770D6" w:rsidRDefault="005F3B3A" w:rsidP="005F3B3A">
      <w:pPr>
        <w:pStyle w:val="BodyText"/>
        <w:rPr>
          <w:b/>
          <w:bCs/>
          <w:szCs w:val="24"/>
        </w:rPr>
      </w:pPr>
    </w:p>
    <w:tbl>
      <w:tblPr>
        <w:tblW w:w="0" w:type="auto"/>
        <w:tblLook w:val="01E0" w:firstRow="1" w:lastRow="1" w:firstColumn="1" w:lastColumn="1" w:noHBand="0" w:noVBand="0"/>
      </w:tblPr>
      <w:tblGrid>
        <w:gridCol w:w="4428"/>
        <w:gridCol w:w="4428"/>
      </w:tblGrid>
      <w:tr w:rsidR="005F3B3A" w:rsidRPr="000770D6" w:rsidTr="002F1EF4">
        <w:trPr>
          <w:trHeight w:val="2736"/>
        </w:trPr>
        <w:tc>
          <w:tcPr>
            <w:tcW w:w="4428" w:type="dxa"/>
          </w:tcPr>
          <w:p w:rsidR="005F3B3A" w:rsidRPr="000770D6" w:rsidRDefault="005F3B3A" w:rsidP="002F1EF4">
            <w:pPr>
              <w:pStyle w:val="BodyText"/>
              <w:rPr>
                <w:bCs/>
                <w:szCs w:val="24"/>
              </w:rPr>
            </w:pPr>
            <w:r w:rsidRPr="000770D6">
              <w:rPr>
                <w:bCs/>
                <w:szCs w:val="24"/>
              </w:rPr>
              <w:t>William Wright</w:t>
            </w:r>
          </w:p>
          <w:p w:rsidR="005F3B3A" w:rsidRPr="000770D6" w:rsidRDefault="005F3B3A" w:rsidP="002F1EF4">
            <w:pPr>
              <w:pStyle w:val="BodyText"/>
              <w:rPr>
                <w:bCs/>
                <w:szCs w:val="24"/>
              </w:rPr>
            </w:pPr>
            <w:r w:rsidRPr="000770D6">
              <w:rPr>
                <w:bCs/>
                <w:szCs w:val="24"/>
              </w:rPr>
              <w:t>Chief, Public Utilities Section</w:t>
            </w:r>
          </w:p>
          <w:p w:rsidR="005F3B3A" w:rsidRPr="000770D6" w:rsidRDefault="005F3B3A" w:rsidP="002F1EF4">
            <w:pPr>
              <w:pStyle w:val="BodyText"/>
              <w:rPr>
                <w:bCs/>
                <w:szCs w:val="24"/>
              </w:rPr>
            </w:pPr>
            <w:r w:rsidRPr="000770D6">
              <w:rPr>
                <w:bCs/>
                <w:szCs w:val="24"/>
              </w:rPr>
              <w:t>Attorney General’s Office</w:t>
            </w:r>
          </w:p>
          <w:p w:rsidR="005F3B3A" w:rsidRPr="000770D6" w:rsidRDefault="005F3B3A" w:rsidP="002F1EF4">
            <w:pPr>
              <w:pStyle w:val="BodyText"/>
              <w:rPr>
                <w:bCs/>
                <w:szCs w:val="24"/>
              </w:rPr>
            </w:pPr>
            <w:r w:rsidRPr="000770D6">
              <w:rPr>
                <w:bCs/>
                <w:szCs w:val="24"/>
              </w:rPr>
              <w:t>Public Utilities Commission of Ohio</w:t>
            </w:r>
          </w:p>
          <w:p w:rsidR="005F3B3A" w:rsidRPr="000770D6" w:rsidRDefault="005F3B3A" w:rsidP="002F1EF4">
            <w:pPr>
              <w:pStyle w:val="BodyText"/>
              <w:rPr>
                <w:bCs/>
                <w:szCs w:val="24"/>
              </w:rPr>
            </w:pPr>
            <w:r w:rsidRPr="000770D6">
              <w:rPr>
                <w:bCs/>
                <w:szCs w:val="24"/>
              </w:rPr>
              <w:t>180 E. Broad St., 6</w:t>
            </w:r>
            <w:r w:rsidRPr="000770D6">
              <w:rPr>
                <w:bCs/>
                <w:szCs w:val="24"/>
                <w:vertAlign w:val="superscript"/>
              </w:rPr>
              <w:t>th</w:t>
            </w:r>
            <w:r w:rsidRPr="000770D6">
              <w:rPr>
                <w:bCs/>
                <w:szCs w:val="24"/>
              </w:rPr>
              <w:t xml:space="preserve"> Floor</w:t>
            </w:r>
          </w:p>
          <w:p w:rsidR="005F3B3A" w:rsidRPr="000770D6" w:rsidRDefault="005F3B3A" w:rsidP="002F1EF4">
            <w:pPr>
              <w:pStyle w:val="BodyText"/>
              <w:rPr>
                <w:bCs/>
                <w:szCs w:val="24"/>
              </w:rPr>
            </w:pPr>
            <w:r w:rsidRPr="000770D6">
              <w:rPr>
                <w:bCs/>
                <w:szCs w:val="24"/>
              </w:rPr>
              <w:t>Columbus, Ohio 43215</w:t>
            </w:r>
          </w:p>
          <w:p w:rsidR="005F3B3A" w:rsidRPr="000770D6" w:rsidRDefault="004C7B46" w:rsidP="002F1EF4">
            <w:pPr>
              <w:pStyle w:val="BodyText"/>
              <w:rPr>
                <w:bCs/>
                <w:szCs w:val="24"/>
              </w:rPr>
            </w:pPr>
            <w:hyperlink r:id="rId15" w:history="1">
              <w:r w:rsidR="005F3B3A" w:rsidRPr="000770D6">
                <w:rPr>
                  <w:rStyle w:val="Hyperlink"/>
                  <w:bCs/>
                  <w:szCs w:val="24"/>
                </w:rPr>
                <w:t>William.wright@puc.state.oh.us</w:t>
              </w:r>
            </w:hyperlink>
          </w:p>
          <w:p w:rsidR="005F3B3A" w:rsidRPr="000770D6" w:rsidRDefault="005F3B3A" w:rsidP="002F1EF4">
            <w:pPr>
              <w:pStyle w:val="BodyText"/>
              <w:rPr>
                <w:bCs/>
                <w:szCs w:val="24"/>
              </w:rPr>
            </w:pPr>
          </w:p>
          <w:p w:rsidR="005F3B3A" w:rsidRPr="000770D6" w:rsidRDefault="005F3B3A" w:rsidP="002F1EF4">
            <w:pPr>
              <w:pStyle w:val="BodyText"/>
              <w:rPr>
                <w:bCs/>
                <w:szCs w:val="24"/>
              </w:rPr>
            </w:pPr>
          </w:p>
          <w:p w:rsidR="005F3B3A" w:rsidRPr="000770D6" w:rsidRDefault="005F3B3A" w:rsidP="002F1EF4">
            <w:pPr>
              <w:pStyle w:val="BodyText"/>
              <w:rPr>
                <w:bCs/>
                <w:szCs w:val="24"/>
              </w:rPr>
            </w:pPr>
          </w:p>
          <w:p w:rsidR="005F3B3A" w:rsidRPr="000770D6" w:rsidRDefault="005F3B3A" w:rsidP="002F1EF4">
            <w:pPr>
              <w:pStyle w:val="BodyText"/>
              <w:rPr>
                <w:bCs/>
                <w:szCs w:val="24"/>
              </w:rPr>
            </w:pPr>
          </w:p>
        </w:tc>
        <w:tc>
          <w:tcPr>
            <w:tcW w:w="4428" w:type="dxa"/>
          </w:tcPr>
          <w:p w:rsidR="005F3B3A" w:rsidRPr="000770D6" w:rsidRDefault="005F3B3A" w:rsidP="002F1EF4">
            <w:pPr>
              <w:autoSpaceDE w:val="0"/>
              <w:autoSpaceDN w:val="0"/>
              <w:adjustRightInd w:val="0"/>
              <w:rPr>
                <w:szCs w:val="24"/>
              </w:rPr>
            </w:pPr>
            <w:r w:rsidRPr="000770D6">
              <w:rPr>
                <w:szCs w:val="24"/>
              </w:rPr>
              <w:t>Steven T. Nourse</w:t>
            </w:r>
          </w:p>
          <w:p w:rsidR="005F3B3A" w:rsidRPr="000770D6" w:rsidRDefault="005F3B3A" w:rsidP="002F1EF4">
            <w:pPr>
              <w:autoSpaceDE w:val="0"/>
              <w:autoSpaceDN w:val="0"/>
              <w:adjustRightInd w:val="0"/>
              <w:rPr>
                <w:szCs w:val="24"/>
              </w:rPr>
            </w:pPr>
            <w:r w:rsidRPr="000770D6">
              <w:rPr>
                <w:szCs w:val="24"/>
              </w:rPr>
              <w:t>AEP Service Corporation</w:t>
            </w:r>
          </w:p>
          <w:p w:rsidR="005F3B3A" w:rsidRPr="000770D6" w:rsidRDefault="005F3B3A" w:rsidP="002F1EF4">
            <w:pPr>
              <w:autoSpaceDE w:val="0"/>
              <w:autoSpaceDN w:val="0"/>
              <w:adjustRightInd w:val="0"/>
              <w:rPr>
                <w:szCs w:val="24"/>
              </w:rPr>
            </w:pPr>
            <w:r w:rsidRPr="000770D6">
              <w:rPr>
                <w:szCs w:val="24"/>
              </w:rPr>
              <w:t>1 Riverside Plaza, 29th Floor</w:t>
            </w:r>
          </w:p>
          <w:p w:rsidR="005F3B3A" w:rsidRPr="000770D6" w:rsidRDefault="005F3B3A" w:rsidP="002F1EF4">
            <w:pPr>
              <w:autoSpaceDE w:val="0"/>
              <w:autoSpaceDN w:val="0"/>
              <w:adjustRightInd w:val="0"/>
              <w:rPr>
                <w:szCs w:val="24"/>
              </w:rPr>
            </w:pPr>
            <w:r w:rsidRPr="000770D6">
              <w:rPr>
                <w:szCs w:val="24"/>
              </w:rPr>
              <w:t>Columbus, Ohio 43215</w:t>
            </w:r>
          </w:p>
          <w:p w:rsidR="005F3B3A" w:rsidRPr="000770D6" w:rsidRDefault="004C7B46" w:rsidP="002F1EF4">
            <w:pPr>
              <w:autoSpaceDE w:val="0"/>
              <w:autoSpaceDN w:val="0"/>
              <w:adjustRightInd w:val="0"/>
              <w:rPr>
                <w:szCs w:val="24"/>
              </w:rPr>
            </w:pPr>
            <w:hyperlink r:id="rId16" w:history="1">
              <w:r w:rsidR="005F3B3A" w:rsidRPr="000770D6">
                <w:rPr>
                  <w:rStyle w:val="Hyperlink"/>
                  <w:szCs w:val="24"/>
                </w:rPr>
                <w:t>stnourse@aep.com</w:t>
              </w:r>
            </w:hyperlink>
          </w:p>
          <w:p w:rsidR="005F3B3A" w:rsidRPr="000770D6" w:rsidRDefault="005F3B3A" w:rsidP="002F1EF4">
            <w:pPr>
              <w:autoSpaceDE w:val="0"/>
              <w:autoSpaceDN w:val="0"/>
              <w:adjustRightInd w:val="0"/>
              <w:rPr>
                <w:bCs/>
                <w:szCs w:val="24"/>
              </w:rPr>
            </w:pPr>
          </w:p>
        </w:tc>
      </w:tr>
    </w:tbl>
    <w:p w:rsidR="005F3B3A" w:rsidRPr="000770D6" w:rsidRDefault="005F3B3A" w:rsidP="005F3B3A">
      <w:pPr>
        <w:pStyle w:val="BodyText"/>
        <w:rPr>
          <w:b/>
          <w:bCs/>
          <w:szCs w:val="24"/>
        </w:rPr>
      </w:pPr>
    </w:p>
    <w:p w:rsidR="005F3B3A" w:rsidRPr="000770D6" w:rsidRDefault="005F3B3A" w:rsidP="005F3B3A">
      <w:pPr>
        <w:rPr>
          <w:szCs w:val="24"/>
        </w:rPr>
      </w:pPr>
    </w:p>
    <w:p w:rsidR="005F3B3A" w:rsidRPr="008E3930" w:rsidRDefault="005F3B3A" w:rsidP="00AB1149">
      <w:pPr>
        <w:spacing w:line="480" w:lineRule="auto"/>
        <w:rPr>
          <w:szCs w:val="24"/>
        </w:rPr>
      </w:pPr>
    </w:p>
    <w:sectPr w:rsidR="005F3B3A" w:rsidRPr="008E3930" w:rsidSect="005F3B3A">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55" w:rsidRDefault="00965A55" w:rsidP="00CB1F9B">
      <w:r>
        <w:separator/>
      </w:r>
    </w:p>
  </w:endnote>
  <w:endnote w:type="continuationSeparator" w:id="0">
    <w:p w:rsidR="00965A55" w:rsidRDefault="00965A55" w:rsidP="00C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6" w:rsidRDefault="008F5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A6" w:rsidRDefault="00AE62A6">
    <w:pPr>
      <w:pStyle w:val="Footer"/>
      <w:jc w:val="center"/>
    </w:pPr>
  </w:p>
  <w:p w:rsidR="00AE62A6" w:rsidRDefault="00AE6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6" w:rsidRDefault="008F5C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1869"/>
      <w:docPartObj>
        <w:docPartGallery w:val="Page Numbers (Bottom of Page)"/>
        <w:docPartUnique/>
      </w:docPartObj>
    </w:sdtPr>
    <w:sdtEndPr>
      <w:rPr>
        <w:noProof/>
        <w:sz w:val="24"/>
        <w:szCs w:val="24"/>
      </w:rPr>
    </w:sdtEndPr>
    <w:sdtContent>
      <w:p w:rsidR="00AE62A6" w:rsidRPr="00AE62A6" w:rsidRDefault="00AE62A6">
        <w:pPr>
          <w:pStyle w:val="Footer"/>
          <w:jc w:val="center"/>
          <w:rPr>
            <w:sz w:val="24"/>
            <w:szCs w:val="24"/>
          </w:rPr>
        </w:pPr>
        <w:r w:rsidRPr="00AE62A6">
          <w:rPr>
            <w:sz w:val="24"/>
            <w:szCs w:val="24"/>
          </w:rPr>
          <w:fldChar w:fldCharType="begin"/>
        </w:r>
        <w:r w:rsidRPr="00AE62A6">
          <w:rPr>
            <w:sz w:val="24"/>
            <w:szCs w:val="24"/>
          </w:rPr>
          <w:instrText xml:space="preserve"> PAGE   \* MERGEFORMAT </w:instrText>
        </w:r>
        <w:r w:rsidRPr="00AE62A6">
          <w:rPr>
            <w:sz w:val="24"/>
            <w:szCs w:val="24"/>
          </w:rPr>
          <w:fldChar w:fldCharType="separate"/>
        </w:r>
        <w:r w:rsidR="004C7B46">
          <w:rPr>
            <w:noProof/>
            <w:sz w:val="24"/>
            <w:szCs w:val="24"/>
          </w:rPr>
          <w:t>2</w:t>
        </w:r>
        <w:r w:rsidRPr="00AE62A6">
          <w:rPr>
            <w:noProof/>
            <w:sz w:val="24"/>
            <w:szCs w:val="24"/>
          </w:rPr>
          <w:fldChar w:fldCharType="end"/>
        </w:r>
      </w:p>
    </w:sdtContent>
  </w:sdt>
  <w:p w:rsidR="00AE62A6" w:rsidRDefault="00AE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55" w:rsidRDefault="00965A55" w:rsidP="00CB1F9B">
      <w:r>
        <w:separator/>
      </w:r>
    </w:p>
  </w:footnote>
  <w:footnote w:type="continuationSeparator" w:id="0">
    <w:p w:rsidR="00965A55" w:rsidRDefault="00965A55" w:rsidP="00CB1F9B">
      <w:r>
        <w:continuationSeparator/>
      </w:r>
    </w:p>
  </w:footnote>
  <w:footnote w:id="1">
    <w:p w:rsidR="00050A02" w:rsidRDefault="00050A02" w:rsidP="00050A02">
      <w:pPr>
        <w:pStyle w:val="FootnoteText"/>
      </w:pPr>
      <w:r>
        <w:rPr>
          <w:rStyle w:val="FootnoteReference"/>
        </w:rPr>
        <w:footnoteRef/>
      </w:r>
      <w:r>
        <w:t xml:space="preserve"> R.C. 4903.13</w:t>
      </w:r>
      <w:r w:rsidR="00AE62A6">
        <w:t>.</w:t>
      </w:r>
    </w:p>
  </w:footnote>
  <w:footnote w:id="2">
    <w:p w:rsidR="00F15687" w:rsidRDefault="00F15687">
      <w:pPr>
        <w:pStyle w:val="FootnoteText"/>
      </w:pPr>
      <w:r>
        <w:rPr>
          <w:rStyle w:val="FootnoteReference"/>
        </w:rPr>
        <w:footnoteRef/>
      </w:r>
      <w:r>
        <w:t xml:space="preserve"> </w:t>
      </w:r>
      <w:r w:rsidRPr="00174C9F">
        <w:rPr>
          <w:i/>
        </w:rPr>
        <w:t>The Kroger Co. v. the Pub. Util. Comm. of Ohio</w:t>
      </w:r>
      <w:r>
        <w:t>, Supreme Court Case No. 2013-0521, OCC Brief at 2 (Aug. 12, 2013).</w:t>
      </w:r>
    </w:p>
  </w:footnote>
  <w:footnote w:id="3">
    <w:p w:rsidR="005F36DD" w:rsidRDefault="005F36DD">
      <w:pPr>
        <w:pStyle w:val="FootnoteText"/>
      </w:pPr>
      <w:r>
        <w:rPr>
          <w:rStyle w:val="FootnoteReference"/>
        </w:rPr>
        <w:footnoteRef/>
      </w:r>
      <w:r>
        <w:t xml:space="preserve"> </w:t>
      </w:r>
      <w:r w:rsidR="004B0622" w:rsidRPr="004B0622">
        <w:rPr>
          <w:i/>
        </w:rPr>
        <w:t>In the Matter of the Fuel Adjustment Clauses for Columbus Southern Power Comp</w:t>
      </w:r>
      <w:r w:rsidR="005F3B3A">
        <w:rPr>
          <w:i/>
        </w:rPr>
        <w:t>any</w:t>
      </w:r>
      <w:r w:rsidR="004B0622" w:rsidRPr="004B0622">
        <w:rPr>
          <w:i/>
        </w:rPr>
        <w:t xml:space="preserve"> an Ohio Power Company and Related Matters</w:t>
      </w:r>
      <w:r w:rsidR="004B0622">
        <w:t>, Case No.</w:t>
      </w:r>
      <w:r>
        <w:t>11-5906-EL-FAC, Report at 3 (Oct. 6, 2014).</w:t>
      </w:r>
    </w:p>
  </w:footnote>
  <w:footnote w:id="4">
    <w:p w:rsidR="0019189B" w:rsidRDefault="0019189B">
      <w:pPr>
        <w:pStyle w:val="FootnoteText"/>
      </w:pPr>
      <w:r>
        <w:rPr>
          <w:rStyle w:val="FootnoteReference"/>
        </w:rPr>
        <w:footnoteRef/>
      </w:r>
      <w:r>
        <w:t xml:space="preserve"> </w:t>
      </w:r>
      <w:r w:rsidR="007E367B" w:rsidRPr="007E367B">
        <w:rPr>
          <w:i/>
        </w:rPr>
        <w:t>In the Matter of the Application of Ohio Power Company for Administration of Significantly Excessive Earnings Test Under R.C. 4928.143(F) and Ohio Adm. Code 4901:1-13-10</w:t>
      </w:r>
      <w:r w:rsidR="007E367B">
        <w:t>., Case Nos. 13-2251-EL-UNC, Order (May 28, 2014) and 14-875-EL-UNC, O</w:t>
      </w:r>
      <w:r w:rsidR="00940858">
        <w:t>r</w:t>
      </w:r>
      <w:r w:rsidR="007E367B">
        <w:t>der (Dec. 3, 2014)</w:t>
      </w:r>
      <w:r>
        <w:t>.</w:t>
      </w:r>
    </w:p>
  </w:footnote>
  <w:footnote w:id="5">
    <w:p w:rsidR="00CA4EEB" w:rsidRDefault="00CA4EEB" w:rsidP="00CA4EEB">
      <w:pPr>
        <w:pStyle w:val="FootnoteText"/>
      </w:pPr>
      <w:r>
        <w:rPr>
          <w:rStyle w:val="FootnoteReference"/>
        </w:rPr>
        <w:footnoteRef/>
      </w:r>
      <w:r>
        <w:t xml:space="preserve"> Ohio Power’s App. at 3.</w:t>
      </w:r>
    </w:p>
  </w:footnote>
  <w:footnote w:id="6">
    <w:p w:rsidR="00AB1149" w:rsidRDefault="00AB1149">
      <w:pPr>
        <w:pStyle w:val="FootnoteText"/>
      </w:pPr>
      <w:r>
        <w:rPr>
          <w:rStyle w:val="FootnoteReference"/>
        </w:rPr>
        <w:footnoteRef/>
      </w:r>
      <w:r>
        <w:t xml:space="preserve"> </w:t>
      </w:r>
      <w:r w:rsidR="00F15687">
        <w:t>R.C.</w:t>
      </w:r>
      <w:r>
        <w:t xml:space="preserve"> 4903.13.</w:t>
      </w:r>
    </w:p>
  </w:footnote>
  <w:footnote w:id="7">
    <w:p w:rsidR="00177D62" w:rsidRDefault="00177D62">
      <w:pPr>
        <w:pStyle w:val="FootnoteText"/>
      </w:pPr>
      <w:r>
        <w:rPr>
          <w:rStyle w:val="FootnoteReference"/>
        </w:rPr>
        <w:footnoteRef/>
      </w:r>
      <w:r>
        <w:t xml:space="preserve"> </w:t>
      </w:r>
      <w:r w:rsidR="00F15687" w:rsidRPr="00A612C0">
        <w:rPr>
          <w:i/>
        </w:rPr>
        <w:t>In the Matter of the Application of Columbus Southern Power Company and Ohio Power Company for Authority to Establish a Standard Service Offer Pursuant to §4928.143, Ohio Rev. Code, in the Form of an Electric Security Plan</w:t>
      </w:r>
      <w:r w:rsidR="00F15687">
        <w:t xml:space="preserve">, Case No. </w:t>
      </w:r>
      <w:r>
        <w:t>11-346, Opinion and Order (Aug. 8, 2012).</w:t>
      </w:r>
    </w:p>
  </w:footnote>
  <w:footnote w:id="8">
    <w:p w:rsidR="00177D62" w:rsidRDefault="00177D62">
      <w:pPr>
        <w:pStyle w:val="FootnoteText"/>
      </w:pPr>
      <w:r>
        <w:rPr>
          <w:rStyle w:val="FootnoteReference"/>
        </w:rPr>
        <w:footnoteRef/>
      </w:r>
      <w:r>
        <w:t xml:space="preserve"> </w:t>
      </w:r>
      <w:r w:rsidR="00A612C0" w:rsidRPr="00A612C0">
        <w:rPr>
          <w:i/>
        </w:rPr>
        <w:t>In the Matter of the Application of Columbus Southern Power Company and Ohio Power Company for Authority to Establish a Standard Service Offer Pursuant to §4928.143, Ohio Rev. Code, in the Form of an Electric Security Plan</w:t>
      </w:r>
      <w:r w:rsidR="00A612C0">
        <w:t xml:space="preserve">, Case No. </w:t>
      </w:r>
      <w:r>
        <w:t>11-346, Ohio Power App</w:t>
      </w:r>
      <w:r w:rsidR="00174C9F">
        <w:t>.</w:t>
      </w:r>
      <w:r>
        <w:t xml:space="preserve"> for Rehearing</w:t>
      </w:r>
      <w:r w:rsidR="00174C9F">
        <w:t xml:space="preserve"> (Sept. 7, 2012)</w:t>
      </w:r>
      <w:r w:rsidR="005F3B3A">
        <w:t>.</w:t>
      </w:r>
    </w:p>
  </w:footnote>
  <w:footnote w:id="9">
    <w:p w:rsidR="00174C9F" w:rsidRDefault="00174C9F">
      <w:pPr>
        <w:pStyle w:val="FootnoteText"/>
      </w:pPr>
      <w:r>
        <w:rPr>
          <w:rStyle w:val="FootnoteReference"/>
        </w:rPr>
        <w:footnoteRef/>
      </w:r>
      <w:r>
        <w:t xml:space="preserve"> </w:t>
      </w:r>
      <w:r w:rsidRPr="00174C9F">
        <w:rPr>
          <w:i/>
        </w:rPr>
        <w:t>The Kroger Co. v. the Pub. Util. Comm. of Ohio</w:t>
      </w:r>
      <w:r>
        <w:t>, Supreme Court Case No. 2013-0521, Ohio Power Cross Appeal (</w:t>
      </w:r>
      <w:r w:rsidR="00A612C0">
        <w:t>May 24, 2013</w:t>
      </w:r>
      <w:r>
        <w:t>).</w:t>
      </w:r>
    </w:p>
  </w:footnote>
  <w:footnote w:id="10">
    <w:p w:rsidR="00174C9F" w:rsidRDefault="00174C9F">
      <w:pPr>
        <w:pStyle w:val="FootnoteText"/>
      </w:pPr>
      <w:r>
        <w:rPr>
          <w:rStyle w:val="FootnoteReference"/>
        </w:rPr>
        <w:footnoteRef/>
      </w:r>
      <w:r>
        <w:t xml:space="preserve"> </w:t>
      </w:r>
      <w:r w:rsidRPr="00174C9F">
        <w:rPr>
          <w:i/>
        </w:rPr>
        <w:t>The Kroger Co. v. the Pub. Util. Comm. of Ohio</w:t>
      </w:r>
      <w:r>
        <w:t>, Supreme Court Case No. 2013-0521, Ohio Power Brief at 1 – 6 (Dec. 30, 2013).</w:t>
      </w:r>
    </w:p>
  </w:footnote>
  <w:footnote w:id="11">
    <w:p w:rsidR="00D5693B" w:rsidRDefault="00D5693B">
      <w:pPr>
        <w:pStyle w:val="FootnoteText"/>
      </w:pPr>
      <w:r>
        <w:rPr>
          <w:rStyle w:val="FootnoteReference"/>
        </w:rPr>
        <w:footnoteRef/>
      </w:r>
      <w:r>
        <w:t xml:space="preserve"> </w:t>
      </w:r>
      <w:r w:rsidRPr="00174C9F">
        <w:rPr>
          <w:i/>
        </w:rPr>
        <w:t>The Kroger Co. v. the Pub. Util. Comm. of Ohio</w:t>
      </w:r>
      <w:r>
        <w:t>, Supreme Court Case No. 2013-0521, Ohio Power Brief at 1 (Dec. 30, 2013).</w:t>
      </w:r>
    </w:p>
  </w:footnote>
  <w:footnote w:id="12">
    <w:p w:rsidR="007D6587" w:rsidRDefault="007D6587">
      <w:pPr>
        <w:pStyle w:val="FootnoteText"/>
      </w:pPr>
      <w:r>
        <w:rPr>
          <w:rStyle w:val="FootnoteReference"/>
        </w:rPr>
        <w:footnoteRef/>
      </w:r>
      <w:r>
        <w:t xml:space="preserve"> </w:t>
      </w:r>
      <w:r w:rsidRPr="00174C9F">
        <w:rPr>
          <w:i/>
        </w:rPr>
        <w:t>The Kroger Co. v. the Pub. Util. Comm. of Ohio</w:t>
      </w:r>
      <w:r>
        <w:t>, Supreme Court Case No. 2013-0521, Ohio Power’s Memo in Opposition to Joint Motion for Stay at1</w:t>
      </w:r>
      <w:r w:rsidR="002554E3">
        <w:t>-</w:t>
      </w:r>
      <w:r>
        <w:t xml:space="preserve"> 2 (Aug.15, 2014).</w:t>
      </w:r>
      <w:r w:rsidR="002D56B1">
        <w:t xml:space="preserve"> The Court rejected the Motion for Stay on Oct. 22, 2014.</w:t>
      </w:r>
    </w:p>
  </w:footnote>
  <w:footnote w:id="13">
    <w:p w:rsidR="00B47133" w:rsidRDefault="00B47133">
      <w:pPr>
        <w:pStyle w:val="FootnoteText"/>
      </w:pPr>
      <w:r>
        <w:rPr>
          <w:rStyle w:val="FootnoteReference"/>
        </w:rPr>
        <w:footnoteRef/>
      </w:r>
      <w:r>
        <w:t xml:space="preserve"> Ohio Power App.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6" w:rsidRDefault="008F5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6" w:rsidRDefault="008F5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6" w:rsidRDefault="008F5C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A6" w:rsidRDefault="00AE6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0C8B8D2"/>
    <w:lvl w:ilvl="0">
      <w:start w:val="1"/>
      <w:numFmt w:val="decimal"/>
      <w:lvlText w:val="%1."/>
      <w:lvlJc w:val="left"/>
      <w:pPr>
        <w:tabs>
          <w:tab w:val="num" w:pos="1080"/>
        </w:tabs>
        <w:ind w:left="1080" w:hanging="360"/>
      </w:pPr>
    </w:lvl>
  </w:abstractNum>
  <w:abstractNum w:abstractNumId="1">
    <w:nsid w:val="FFFFFF7F"/>
    <w:multiLevelType w:val="singleLevel"/>
    <w:tmpl w:val="20969B90"/>
    <w:lvl w:ilvl="0">
      <w:start w:val="1"/>
      <w:numFmt w:val="decimal"/>
      <w:lvlText w:val="%1."/>
      <w:lvlJc w:val="left"/>
      <w:pPr>
        <w:tabs>
          <w:tab w:val="num" w:pos="720"/>
        </w:tabs>
        <w:ind w:left="720" w:hanging="360"/>
      </w:pPr>
    </w:lvl>
  </w:abstractNum>
  <w:abstractNum w:abstractNumId="2">
    <w:nsid w:val="FFFFFF80"/>
    <w:multiLevelType w:val="singleLevel"/>
    <w:tmpl w:val="CC52E43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88E6484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FE23B2C"/>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47464E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99C25D0"/>
    <w:lvl w:ilvl="0">
      <w:start w:val="1"/>
      <w:numFmt w:val="decimal"/>
      <w:lvlText w:val="%1."/>
      <w:lvlJc w:val="left"/>
      <w:pPr>
        <w:tabs>
          <w:tab w:val="num" w:pos="360"/>
        </w:tabs>
        <w:ind w:left="360" w:hanging="360"/>
      </w:pPr>
    </w:lvl>
  </w:abstractNum>
  <w:abstractNum w:abstractNumId="7">
    <w:nsid w:val="FFFFFF89"/>
    <w:multiLevelType w:val="singleLevel"/>
    <w:tmpl w:val="CBD409AA"/>
    <w:lvl w:ilvl="0">
      <w:start w:val="1"/>
      <w:numFmt w:val="bullet"/>
      <w:lvlText w:val=""/>
      <w:lvlJc w:val="left"/>
      <w:pPr>
        <w:tabs>
          <w:tab w:val="num" w:pos="360"/>
        </w:tabs>
        <w:ind w:left="360" w:hanging="360"/>
      </w:pPr>
      <w:rPr>
        <w:rFonts w:ascii="Symbol" w:hAnsi="Symbol" w:hint="default"/>
      </w:rPr>
    </w:lvl>
  </w:abstractNum>
  <w:abstractNum w:abstractNumId="8">
    <w:nsid w:val="3D907E8C"/>
    <w:multiLevelType w:val="hybridMultilevel"/>
    <w:tmpl w:val="2FB0C77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B"/>
    <w:rsid w:val="00024F90"/>
    <w:rsid w:val="00050A02"/>
    <w:rsid w:val="001216D7"/>
    <w:rsid w:val="00174C9F"/>
    <w:rsid w:val="00177D62"/>
    <w:rsid w:val="0019189B"/>
    <w:rsid w:val="0019517D"/>
    <w:rsid w:val="001A56F2"/>
    <w:rsid w:val="001D0912"/>
    <w:rsid w:val="0023420C"/>
    <w:rsid w:val="002554E3"/>
    <w:rsid w:val="002C6A30"/>
    <w:rsid w:val="002D56B1"/>
    <w:rsid w:val="00354511"/>
    <w:rsid w:val="003A3784"/>
    <w:rsid w:val="003A7125"/>
    <w:rsid w:val="004B0622"/>
    <w:rsid w:val="004C7B46"/>
    <w:rsid w:val="0050021F"/>
    <w:rsid w:val="005023E9"/>
    <w:rsid w:val="00524147"/>
    <w:rsid w:val="00554ACD"/>
    <w:rsid w:val="005A3860"/>
    <w:rsid w:val="005F36DD"/>
    <w:rsid w:val="005F3B3A"/>
    <w:rsid w:val="006C1681"/>
    <w:rsid w:val="006C62FC"/>
    <w:rsid w:val="007327D4"/>
    <w:rsid w:val="007337FF"/>
    <w:rsid w:val="007B148B"/>
    <w:rsid w:val="007D6587"/>
    <w:rsid w:val="007E367B"/>
    <w:rsid w:val="007E3E39"/>
    <w:rsid w:val="00814D14"/>
    <w:rsid w:val="008B4FB8"/>
    <w:rsid w:val="008D7A4D"/>
    <w:rsid w:val="008E3930"/>
    <w:rsid w:val="008E5205"/>
    <w:rsid w:val="008F244D"/>
    <w:rsid w:val="008F5CA6"/>
    <w:rsid w:val="00940858"/>
    <w:rsid w:val="00942358"/>
    <w:rsid w:val="00965A55"/>
    <w:rsid w:val="009D3582"/>
    <w:rsid w:val="00A612C0"/>
    <w:rsid w:val="00A77343"/>
    <w:rsid w:val="00AB1149"/>
    <w:rsid w:val="00AE62A6"/>
    <w:rsid w:val="00B47133"/>
    <w:rsid w:val="00B67E0F"/>
    <w:rsid w:val="00B72154"/>
    <w:rsid w:val="00CA4EEB"/>
    <w:rsid w:val="00CB1F9B"/>
    <w:rsid w:val="00D5693B"/>
    <w:rsid w:val="00F15687"/>
    <w:rsid w:val="00F4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F3B3A"/>
    <w:pPr>
      <w:keepNext/>
      <w:keepLines/>
      <w:spacing w:after="240"/>
      <w:ind w:left="720" w:hanging="720"/>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B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B1F9B"/>
    <w:rPr>
      <w:rFonts w:ascii="Courier New" w:eastAsia="Courier New" w:hAnsi="Courier New" w:cs="Courier New"/>
      <w:sz w:val="20"/>
      <w:szCs w:val="20"/>
    </w:rPr>
  </w:style>
  <w:style w:type="paragraph" w:styleId="FootnoteText">
    <w:name w:val="footnote text"/>
    <w:basedOn w:val="Normal"/>
    <w:link w:val="FootnoteTextChar"/>
    <w:semiHidden/>
    <w:unhideWhenUsed/>
    <w:rsid w:val="00CB1F9B"/>
    <w:pPr>
      <w:spacing w:before="120"/>
    </w:pPr>
    <w:rPr>
      <w:sz w:val="20"/>
    </w:rPr>
  </w:style>
  <w:style w:type="character" w:customStyle="1" w:styleId="FootnoteTextChar">
    <w:name w:val="Footnote Text Char"/>
    <w:basedOn w:val="DefaultParagraphFont"/>
    <w:link w:val="FootnoteText"/>
    <w:semiHidden/>
    <w:rsid w:val="00CB1F9B"/>
    <w:rPr>
      <w:rFonts w:ascii="Times New Roman" w:eastAsia="Times New Roman" w:hAnsi="Times New Roman" w:cs="Times New Roman"/>
      <w:sz w:val="20"/>
      <w:szCs w:val="20"/>
    </w:rPr>
  </w:style>
  <w:style w:type="character" w:styleId="FootnoteReference">
    <w:name w:val="footnote reference"/>
    <w:semiHidden/>
    <w:unhideWhenUsed/>
    <w:rsid w:val="00CB1F9B"/>
    <w:rPr>
      <w:vertAlign w:val="superscript"/>
    </w:rPr>
  </w:style>
  <w:style w:type="paragraph" w:styleId="ListParagraph">
    <w:name w:val="List Paragraph"/>
    <w:basedOn w:val="Normal"/>
    <w:uiPriority w:val="34"/>
    <w:qFormat/>
    <w:rsid w:val="00174C9F"/>
    <w:pPr>
      <w:ind w:left="720"/>
      <w:contextualSpacing/>
    </w:pPr>
  </w:style>
  <w:style w:type="paragraph" w:styleId="BalloonText">
    <w:name w:val="Balloon Text"/>
    <w:basedOn w:val="Normal"/>
    <w:link w:val="BalloonTextChar"/>
    <w:uiPriority w:val="99"/>
    <w:semiHidden/>
    <w:unhideWhenUsed/>
    <w:rsid w:val="00B72154"/>
    <w:rPr>
      <w:rFonts w:ascii="Tahoma" w:hAnsi="Tahoma" w:cs="Tahoma"/>
      <w:sz w:val="16"/>
      <w:szCs w:val="16"/>
    </w:rPr>
  </w:style>
  <w:style w:type="character" w:customStyle="1" w:styleId="BalloonTextChar">
    <w:name w:val="Balloon Text Char"/>
    <w:basedOn w:val="DefaultParagraphFont"/>
    <w:link w:val="BalloonText"/>
    <w:uiPriority w:val="99"/>
    <w:semiHidden/>
    <w:rsid w:val="00B72154"/>
    <w:rPr>
      <w:rFonts w:ascii="Tahoma" w:eastAsia="Times New Roman" w:hAnsi="Tahoma" w:cs="Tahoma"/>
      <w:sz w:val="16"/>
      <w:szCs w:val="16"/>
    </w:rPr>
  </w:style>
  <w:style w:type="paragraph" w:styleId="Index1">
    <w:name w:val="index 1"/>
    <w:basedOn w:val="Normal"/>
    <w:next w:val="Normal"/>
    <w:autoRedefine/>
    <w:uiPriority w:val="99"/>
    <w:semiHidden/>
    <w:unhideWhenUsed/>
    <w:qFormat/>
    <w:rsid w:val="005F3B3A"/>
    <w:pPr>
      <w:spacing w:after="240"/>
      <w:ind w:left="720" w:hanging="720"/>
    </w:pPr>
    <w:rPr>
      <w:caps/>
    </w:rPr>
  </w:style>
  <w:style w:type="character" w:customStyle="1" w:styleId="Heading1Char">
    <w:name w:val="Heading 1 Char"/>
    <w:basedOn w:val="DefaultParagraphFont"/>
    <w:link w:val="Heading1"/>
    <w:uiPriority w:val="9"/>
    <w:rsid w:val="005F3B3A"/>
    <w:rPr>
      <w:rFonts w:ascii="Times New Roman Bold" w:eastAsiaTheme="majorEastAsia" w:hAnsi="Times New Roman Bold" w:cstheme="majorBidi"/>
      <w:b/>
      <w:bCs/>
      <w:caps/>
      <w:sz w:val="24"/>
      <w:szCs w:val="28"/>
    </w:rPr>
  </w:style>
  <w:style w:type="character" w:styleId="Hyperlink">
    <w:name w:val="Hyperlink"/>
    <w:unhideWhenUsed/>
    <w:rsid w:val="005F3B3A"/>
    <w:rPr>
      <w:color w:val="0000FF"/>
      <w:u w:val="single"/>
    </w:rPr>
  </w:style>
  <w:style w:type="paragraph" w:styleId="CommentText">
    <w:name w:val="annotation text"/>
    <w:basedOn w:val="Normal"/>
    <w:link w:val="CommentTextChar"/>
    <w:semiHidden/>
    <w:unhideWhenUsed/>
    <w:rsid w:val="005F3B3A"/>
    <w:rPr>
      <w:szCs w:val="24"/>
    </w:rPr>
  </w:style>
  <w:style w:type="character" w:customStyle="1" w:styleId="CommentTextChar">
    <w:name w:val="Comment Text Char"/>
    <w:basedOn w:val="DefaultParagraphFont"/>
    <w:link w:val="CommentText"/>
    <w:semiHidden/>
    <w:rsid w:val="005F3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B3A"/>
    <w:pPr>
      <w:tabs>
        <w:tab w:val="center" w:pos="4320"/>
        <w:tab w:val="right" w:pos="8640"/>
      </w:tabs>
    </w:pPr>
    <w:rPr>
      <w:sz w:val="20"/>
    </w:rPr>
  </w:style>
  <w:style w:type="character" w:customStyle="1" w:styleId="FooterChar">
    <w:name w:val="Footer Char"/>
    <w:basedOn w:val="DefaultParagraphFont"/>
    <w:link w:val="Footer"/>
    <w:uiPriority w:val="99"/>
    <w:rsid w:val="005F3B3A"/>
    <w:rPr>
      <w:rFonts w:ascii="Times New Roman" w:eastAsia="Times New Roman" w:hAnsi="Times New Roman" w:cs="Times New Roman"/>
      <w:sz w:val="20"/>
      <w:szCs w:val="20"/>
    </w:rPr>
  </w:style>
  <w:style w:type="paragraph" w:styleId="BodyText">
    <w:name w:val="Body Text"/>
    <w:basedOn w:val="Normal"/>
    <w:link w:val="BodyTextChar"/>
    <w:unhideWhenUsed/>
    <w:rsid w:val="005F3B3A"/>
    <w:pPr>
      <w:jc w:val="both"/>
    </w:pPr>
  </w:style>
  <w:style w:type="character" w:customStyle="1" w:styleId="BodyTextChar">
    <w:name w:val="Body Text Char"/>
    <w:basedOn w:val="DefaultParagraphFont"/>
    <w:link w:val="BodyText"/>
    <w:rsid w:val="005F3B3A"/>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5F3B3A"/>
    <w:pPr>
      <w:spacing w:line="480" w:lineRule="atLeast"/>
      <w:ind w:firstLine="720"/>
    </w:pPr>
  </w:style>
  <w:style w:type="character" w:customStyle="1" w:styleId="BodyTextIndent3Char">
    <w:name w:val="Body Text Indent 3 Char"/>
    <w:basedOn w:val="DefaultParagraphFont"/>
    <w:link w:val="BodyTextIndent3"/>
    <w:semiHidden/>
    <w:rsid w:val="005F3B3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5F3B3A"/>
    <w:rPr>
      <w:szCs w:val="20"/>
    </w:rPr>
  </w:style>
  <w:style w:type="character" w:customStyle="1" w:styleId="CommentSubjectChar">
    <w:name w:val="Comment Subject Char"/>
    <w:basedOn w:val="CommentTextChar"/>
    <w:link w:val="CommentSubject"/>
    <w:semiHidden/>
    <w:rsid w:val="005F3B3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C1681"/>
    <w:rPr>
      <w:sz w:val="16"/>
      <w:szCs w:val="16"/>
    </w:rPr>
  </w:style>
  <w:style w:type="paragraph" w:styleId="Header">
    <w:name w:val="header"/>
    <w:basedOn w:val="Normal"/>
    <w:link w:val="HeaderChar"/>
    <w:uiPriority w:val="99"/>
    <w:unhideWhenUsed/>
    <w:rsid w:val="00AE62A6"/>
    <w:pPr>
      <w:tabs>
        <w:tab w:val="center" w:pos="4680"/>
        <w:tab w:val="right" w:pos="9360"/>
      </w:tabs>
    </w:pPr>
  </w:style>
  <w:style w:type="character" w:customStyle="1" w:styleId="HeaderChar">
    <w:name w:val="Header Char"/>
    <w:basedOn w:val="DefaultParagraphFont"/>
    <w:link w:val="Header"/>
    <w:uiPriority w:val="99"/>
    <w:rsid w:val="00AE62A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F3B3A"/>
    <w:pPr>
      <w:keepNext/>
      <w:keepLines/>
      <w:spacing w:after="240"/>
      <w:ind w:left="720" w:hanging="720"/>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B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B1F9B"/>
    <w:rPr>
      <w:rFonts w:ascii="Courier New" w:eastAsia="Courier New" w:hAnsi="Courier New" w:cs="Courier New"/>
      <w:sz w:val="20"/>
      <w:szCs w:val="20"/>
    </w:rPr>
  </w:style>
  <w:style w:type="paragraph" w:styleId="FootnoteText">
    <w:name w:val="footnote text"/>
    <w:basedOn w:val="Normal"/>
    <w:link w:val="FootnoteTextChar"/>
    <w:semiHidden/>
    <w:unhideWhenUsed/>
    <w:rsid w:val="00CB1F9B"/>
    <w:pPr>
      <w:spacing w:before="120"/>
    </w:pPr>
    <w:rPr>
      <w:sz w:val="20"/>
    </w:rPr>
  </w:style>
  <w:style w:type="character" w:customStyle="1" w:styleId="FootnoteTextChar">
    <w:name w:val="Footnote Text Char"/>
    <w:basedOn w:val="DefaultParagraphFont"/>
    <w:link w:val="FootnoteText"/>
    <w:semiHidden/>
    <w:rsid w:val="00CB1F9B"/>
    <w:rPr>
      <w:rFonts w:ascii="Times New Roman" w:eastAsia="Times New Roman" w:hAnsi="Times New Roman" w:cs="Times New Roman"/>
      <w:sz w:val="20"/>
      <w:szCs w:val="20"/>
    </w:rPr>
  </w:style>
  <w:style w:type="character" w:styleId="FootnoteReference">
    <w:name w:val="footnote reference"/>
    <w:semiHidden/>
    <w:unhideWhenUsed/>
    <w:rsid w:val="00CB1F9B"/>
    <w:rPr>
      <w:vertAlign w:val="superscript"/>
    </w:rPr>
  </w:style>
  <w:style w:type="paragraph" w:styleId="ListParagraph">
    <w:name w:val="List Paragraph"/>
    <w:basedOn w:val="Normal"/>
    <w:uiPriority w:val="34"/>
    <w:qFormat/>
    <w:rsid w:val="00174C9F"/>
    <w:pPr>
      <w:ind w:left="720"/>
      <w:contextualSpacing/>
    </w:pPr>
  </w:style>
  <w:style w:type="paragraph" w:styleId="BalloonText">
    <w:name w:val="Balloon Text"/>
    <w:basedOn w:val="Normal"/>
    <w:link w:val="BalloonTextChar"/>
    <w:uiPriority w:val="99"/>
    <w:semiHidden/>
    <w:unhideWhenUsed/>
    <w:rsid w:val="00B72154"/>
    <w:rPr>
      <w:rFonts w:ascii="Tahoma" w:hAnsi="Tahoma" w:cs="Tahoma"/>
      <w:sz w:val="16"/>
      <w:szCs w:val="16"/>
    </w:rPr>
  </w:style>
  <w:style w:type="character" w:customStyle="1" w:styleId="BalloonTextChar">
    <w:name w:val="Balloon Text Char"/>
    <w:basedOn w:val="DefaultParagraphFont"/>
    <w:link w:val="BalloonText"/>
    <w:uiPriority w:val="99"/>
    <w:semiHidden/>
    <w:rsid w:val="00B72154"/>
    <w:rPr>
      <w:rFonts w:ascii="Tahoma" w:eastAsia="Times New Roman" w:hAnsi="Tahoma" w:cs="Tahoma"/>
      <w:sz w:val="16"/>
      <w:szCs w:val="16"/>
    </w:rPr>
  </w:style>
  <w:style w:type="paragraph" w:styleId="Index1">
    <w:name w:val="index 1"/>
    <w:basedOn w:val="Normal"/>
    <w:next w:val="Normal"/>
    <w:autoRedefine/>
    <w:uiPriority w:val="99"/>
    <w:semiHidden/>
    <w:unhideWhenUsed/>
    <w:qFormat/>
    <w:rsid w:val="005F3B3A"/>
    <w:pPr>
      <w:spacing w:after="240"/>
      <w:ind w:left="720" w:hanging="720"/>
    </w:pPr>
    <w:rPr>
      <w:caps/>
    </w:rPr>
  </w:style>
  <w:style w:type="character" w:customStyle="1" w:styleId="Heading1Char">
    <w:name w:val="Heading 1 Char"/>
    <w:basedOn w:val="DefaultParagraphFont"/>
    <w:link w:val="Heading1"/>
    <w:uiPriority w:val="9"/>
    <w:rsid w:val="005F3B3A"/>
    <w:rPr>
      <w:rFonts w:ascii="Times New Roman Bold" w:eastAsiaTheme="majorEastAsia" w:hAnsi="Times New Roman Bold" w:cstheme="majorBidi"/>
      <w:b/>
      <w:bCs/>
      <w:caps/>
      <w:sz w:val="24"/>
      <w:szCs w:val="28"/>
    </w:rPr>
  </w:style>
  <w:style w:type="character" w:styleId="Hyperlink">
    <w:name w:val="Hyperlink"/>
    <w:unhideWhenUsed/>
    <w:rsid w:val="005F3B3A"/>
    <w:rPr>
      <w:color w:val="0000FF"/>
      <w:u w:val="single"/>
    </w:rPr>
  </w:style>
  <w:style w:type="paragraph" w:styleId="CommentText">
    <w:name w:val="annotation text"/>
    <w:basedOn w:val="Normal"/>
    <w:link w:val="CommentTextChar"/>
    <w:semiHidden/>
    <w:unhideWhenUsed/>
    <w:rsid w:val="005F3B3A"/>
    <w:rPr>
      <w:szCs w:val="24"/>
    </w:rPr>
  </w:style>
  <w:style w:type="character" w:customStyle="1" w:styleId="CommentTextChar">
    <w:name w:val="Comment Text Char"/>
    <w:basedOn w:val="DefaultParagraphFont"/>
    <w:link w:val="CommentText"/>
    <w:semiHidden/>
    <w:rsid w:val="005F3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B3A"/>
    <w:pPr>
      <w:tabs>
        <w:tab w:val="center" w:pos="4320"/>
        <w:tab w:val="right" w:pos="8640"/>
      </w:tabs>
    </w:pPr>
    <w:rPr>
      <w:sz w:val="20"/>
    </w:rPr>
  </w:style>
  <w:style w:type="character" w:customStyle="1" w:styleId="FooterChar">
    <w:name w:val="Footer Char"/>
    <w:basedOn w:val="DefaultParagraphFont"/>
    <w:link w:val="Footer"/>
    <w:uiPriority w:val="99"/>
    <w:rsid w:val="005F3B3A"/>
    <w:rPr>
      <w:rFonts w:ascii="Times New Roman" w:eastAsia="Times New Roman" w:hAnsi="Times New Roman" w:cs="Times New Roman"/>
      <w:sz w:val="20"/>
      <w:szCs w:val="20"/>
    </w:rPr>
  </w:style>
  <w:style w:type="paragraph" w:styleId="BodyText">
    <w:name w:val="Body Text"/>
    <w:basedOn w:val="Normal"/>
    <w:link w:val="BodyTextChar"/>
    <w:unhideWhenUsed/>
    <w:rsid w:val="005F3B3A"/>
    <w:pPr>
      <w:jc w:val="both"/>
    </w:pPr>
  </w:style>
  <w:style w:type="character" w:customStyle="1" w:styleId="BodyTextChar">
    <w:name w:val="Body Text Char"/>
    <w:basedOn w:val="DefaultParagraphFont"/>
    <w:link w:val="BodyText"/>
    <w:rsid w:val="005F3B3A"/>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5F3B3A"/>
    <w:pPr>
      <w:spacing w:line="480" w:lineRule="atLeast"/>
      <w:ind w:firstLine="720"/>
    </w:pPr>
  </w:style>
  <w:style w:type="character" w:customStyle="1" w:styleId="BodyTextIndent3Char">
    <w:name w:val="Body Text Indent 3 Char"/>
    <w:basedOn w:val="DefaultParagraphFont"/>
    <w:link w:val="BodyTextIndent3"/>
    <w:semiHidden/>
    <w:rsid w:val="005F3B3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5F3B3A"/>
    <w:rPr>
      <w:szCs w:val="20"/>
    </w:rPr>
  </w:style>
  <w:style w:type="character" w:customStyle="1" w:styleId="CommentSubjectChar">
    <w:name w:val="Comment Subject Char"/>
    <w:basedOn w:val="CommentTextChar"/>
    <w:link w:val="CommentSubject"/>
    <w:semiHidden/>
    <w:rsid w:val="005F3B3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C1681"/>
    <w:rPr>
      <w:sz w:val="16"/>
      <w:szCs w:val="16"/>
    </w:rPr>
  </w:style>
  <w:style w:type="paragraph" w:styleId="Header">
    <w:name w:val="header"/>
    <w:basedOn w:val="Normal"/>
    <w:link w:val="HeaderChar"/>
    <w:uiPriority w:val="99"/>
    <w:unhideWhenUsed/>
    <w:rsid w:val="00AE62A6"/>
    <w:pPr>
      <w:tabs>
        <w:tab w:val="center" w:pos="4680"/>
        <w:tab w:val="right" w:pos="9360"/>
      </w:tabs>
    </w:pPr>
  </w:style>
  <w:style w:type="character" w:customStyle="1" w:styleId="HeaderChar">
    <w:name w:val="Header Char"/>
    <w:basedOn w:val="DefaultParagraphFont"/>
    <w:link w:val="Header"/>
    <w:uiPriority w:val="99"/>
    <w:rsid w:val="00AE62A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tnourse@ae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illiam.wright@puc.state.oh.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di.bair@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7100</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2015-03-03T17:59:00Z</cp:lastPrinted>
  <dcterms:created xsi:type="dcterms:W3CDTF">2015-03-03T19:17:00Z</dcterms:created>
  <dcterms:modified xsi:type="dcterms:W3CDTF">2015-03-03T19:17:00Z</dcterms:modified>
  <cp:category> </cp:category>
  <cp:contentStatus> </cp:contentStatus>
</cp:coreProperties>
</file>