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6D2B6" w14:textId="77777777" w:rsidR="00545F29" w:rsidRPr="009D71F6" w:rsidRDefault="0056270F">
      <w:pPr>
        <w:pStyle w:val="Title"/>
        <w:widowControl w:val="0"/>
        <w:rPr>
          <w:rFonts w:ascii="Arial" w:hAnsi="Arial" w:cs="Arial"/>
          <w:szCs w:val="24"/>
        </w:rPr>
      </w:pPr>
      <w:r w:rsidRPr="009D71F6">
        <w:rPr>
          <w:rFonts w:ascii="Arial" w:hAnsi="Arial" w:cs="Arial"/>
          <w:szCs w:val="24"/>
        </w:rPr>
        <w:t>BEFORE</w:t>
      </w:r>
    </w:p>
    <w:p w14:paraId="7176D2B7" w14:textId="77777777" w:rsidR="00545F29" w:rsidRPr="009D71F6" w:rsidRDefault="0056270F">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355B90" w:rsidRPr="009D71F6" w14:paraId="7176D2C6" w14:textId="77777777">
        <w:trPr>
          <w:trHeight w:val="873"/>
          <w:jc w:val="center"/>
        </w:trPr>
        <w:tc>
          <w:tcPr>
            <w:tcW w:w="4739" w:type="dxa"/>
          </w:tcPr>
          <w:p w14:paraId="6668DD83" w14:textId="77777777" w:rsidR="00B43AC5" w:rsidRPr="00B43AC5" w:rsidRDefault="00B43AC5" w:rsidP="00B43AC5">
            <w:pPr>
              <w:widowControl w:val="0"/>
              <w:spacing w:after="0" w:line="240" w:lineRule="auto"/>
              <w:jc w:val="both"/>
              <w:rPr>
                <w:rFonts w:ascii="Arial" w:hAnsi="Arial" w:cs="Arial"/>
                <w:sz w:val="24"/>
                <w:szCs w:val="24"/>
              </w:rPr>
            </w:pPr>
            <w:r w:rsidRPr="00B43AC5">
              <w:rPr>
                <w:rFonts w:ascii="Arial" w:hAnsi="Arial" w:cs="Arial"/>
                <w:sz w:val="24"/>
                <w:szCs w:val="24"/>
              </w:rPr>
              <w:t>In The Matter of the Application of Duke</w:t>
            </w:r>
          </w:p>
          <w:p w14:paraId="6006CB05" w14:textId="77777777" w:rsidR="00B43AC5" w:rsidRPr="00B43AC5" w:rsidRDefault="00B43AC5" w:rsidP="00B43AC5">
            <w:pPr>
              <w:widowControl w:val="0"/>
              <w:spacing w:after="0" w:line="240" w:lineRule="auto"/>
              <w:jc w:val="both"/>
              <w:rPr>
                <w:rFonts w:ascii="Arial" w:hAnsi="Arial" w:cs="Arial"/>
                <w:sz w:val="24"/>
                <w:szCs w:val="24"/>
              </w:rPr>
            </w:pPr>
            <w:r w:rsidRPr="00B43AC5">
              <w:rPr>
                <w:rFonts w:ascii="Arial" w:hAnsi="Arial" w:cs="Arial"/>
                <w:sz w:val="24"/>
                <w:szCs w:val="24"/>
              </w:rPr>
              <w:t>Energy Ohio, Inc., for Approval to</w:t>
            </w:r>
          </w:p>
          <w:p w14:paraId="7FA77640" w14:textId="77777777" w:rsidR="00B43AC5" w:rsidRPr="00B43AC5" w:rsidRDefault="00B43AC5" w:rsidP="00B43AC5">
            <w:pPr>
              <w:widowControl w:val="0"/>
              <w:spacing w:after="0" w:line="240" w:lineRule="auto"/>
              <w:jc w:val="both"/>
              <w:rPr>
                <w:rFonts w:ascii="Arial" w:hAnsi="Arial" w:cs="Arial"/>
                <w:sz w:val="24"/>
                <w:szCs w:val="24"/>
              </w:rPr>
            </w:pPr>
            <w:r w:rsidRPr="00B43AC5">
              <w:rPr>
                <w:rFonts w:ascii="Arial" w:hAnsi="Arial" w:cs="Arial"/>
                <w:sz w:val="24"/>
                <w:szCs w:val="24"/>
              </w:rPr>
              <w:t>Modify Rider FBS, Rider EFBS, and</w:t>
            </w:r>
          </w:p>
          <w:p w14:paraId="7176D2BB" w14:textId="5670639E" w:rsidR="00545F29" w:rsidRPr="009D71F6" w:rsidRDefault="00B43AC5" w:rsidP="00B43AC5">
            <w:pPr>
              <w:widowControl w:val="0"/>
              <w:spacing w:after="0" w:line="240" w:lineRule="auto"/>
              <w:jc w:val="both"/>
              <w:rPr>
                <w:rFonts w:ascii="Arial" w:hAnsi="Arial" w:cs="Arial"/>
                <w:sz w:val="24"/>
                <w:szCs w:val="24"/>
              </w:rPr>
            </w:pPr>
            <w:r w:rsidRPr="00B43AC5">
              <w:rPr>
                <w:rFonts w:ascii="Arial" w:hAnsi="Arial" w:cs="Arial"/>
                <w:sz w:val="24"/>
                <w:szCs w:val="24"/>
              </w:rPr>
              <w:t>Rider FRAS</w:t>
            </w:r>
          </w:p>
        </w:tc>
        <w:tc>
          <w:tcPr>
            <w:tcW w:w="630" w:type="dxa"/>
          </w:tcPr>
          <w:p w14:paraId="7176D2BC"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D"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BE" w14:textId="77777777" w:rsidR="00545F29" w:rsidRPr="009D71F6" w:rsidRDefault="0056270F">
            <w:pPr>
              <w:widowControl w:val="0"/>
              <w:spacing w:after="0" w:line="240" w:lineRule="auto"/>
              <w:jc w:val="center"/>
              <w:rPr>
                <w:rFonts w:ascii="Arial" w:hAnsi="Arial" w:cs="Arial"/>
                <w:sz w:val="24"/>
                <w:szCs w:val="24"/>
              </w:rPr>
            </w:pPr>
            <w:r w:rsidRPr="009D71F6">
              <w:rPr>
                <w:rFonts w:ascii="Arial" w:hAnsi="Arial" w:cs="Arial"/>
                <w:sz w:val="24"/>
                <w:szCs w:val="24"/>
              </w:rPr>
              <w:t>)</w:t>
            </w:r>
          </w:p>
          <w:p w14:paraId="7176D2C0" w14:textId="6EEF1058" w:rsidR="00545F29" w:rsidRPr="009D71F6" w:rsidRDefault="0056270F" w:rsidP="00357C8B">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7176D2C1" w14:textId="77777777" w:rsidR="00545F29" w:rsidRPr="009D71F6" w:rsidRDefault="00545F29">
            <w:pPr>
              <w:widowControl w:val="0"/>
              <w:spacing w:after="0" w:line="240" w:lineRule="auto"/>
              <w:rPr>
                <w:rFonts w:ascii="Arial" w:hAnsi="Arial" w:cs="Arial"/>
                <w:sz w:val="24"/>
                <w:szCs w:val="24"/>
              </w:rPr>
            </w:pPr>
          </w:p>
          <w:p w14:paraId="7176D2C2" w14:textId="77777777" w:rsidR="00545F29" w:rsidRPr="009D71F6" w:rsidRDefault="00545F29">
            <w:pPr>
              <w:widowControl w:val="0"/>
              <w:spacing w:after="0" w:line="240" w:lineRule="auto"/>
              <w:rPr>
                <w:rFonts w:ascii="Arial" w:hAnsi="Arial" w:cs="Arial"/>
                <w:sz w:val="24"/>
                <w:szCs w:val="24"/>
              </w:rPr>
            </w:pPr>
          </w:p>
          <w:p w14:paraId="7176D2C3" w14:textId="23DFE4B5" w:rsidR="00545F29" w:rsidRPr="009D71F6" w:rsidRDefault="003D01DA">
            <w:pPr>
              <w:widowControl w:val="0"/>
              <w:spacing w:after="0" w:line="240" w:lineRule="auto"/>
              <w:rPr>
                <w:rFonts w:ascii="Arial" w:hAnsi="Arial" w:cs="Arial"/>
                <w:sz w:val="24"/>
                <w:szCs w:val="24"/>
              </w:rPr>
            </w:pPr>
            <w:r>
              <w:rPr>
                <w:rFonts w:ascii="Arial" w:hAnsi="Arial" w:cs="Arial"/>
                <w:sz w:val="24"/>
                <w:szCs w:val="24"/>
              </w:rPr>
              <w:t xml:space="preserve">Case No. </w:t>
            </w:r>
            <w:r w:rsidR="000A0F85">
              <w:rPr>
                <w:rFonts w:ascii="Arial" w:hAnsi="Arial" w:cs="Arial"/>
                <w:sz w:val="24"/>
                <w:szCs w:val="24"/>
              </w:rPr>
              <w:t>15-0050-GA-RDR</w:t>
            </w:r>
          </w:p>
          <w:p w14:paraId="7176D2C5" w14:textId="350A9796" w:rsidR="00613140" w:rsidRPr="009D71F6" w:rsidRDefault="00613140">
            <w:pPr>
              <w:widowControl w:val="0"/>
              <w:spacing w:after="0" w:line="240" w:lineRule="auto"/>
              <w:rPr>
                <w:rFonts w:ascii="Arial" w:hAnsi="Arial" w:cs="Arial"/>
                <w:sz w:val="24"/>
                <w:szCs w:val="24"/>
              </w:rPr>
            </w:pPr>
          </w:p>
        </w:tc>
      </w:tr>
    </w:tbl>
    <w:p w14:paraId="7176D2C7"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176D2C8" w14:textId="77777777" w:rsidR="00545F29" w:rsidRPr="009D71F6" w:rsidRDefault="00545F29">
      <w:pPr>
        <w:widowControl w:val="0"/>
        <w:spacing w:after="0" w:line="240" w:lineRule="auto"/>
        <w:jc w:val="center"/>
        <w:rPr>
          <w:rFonts w:ascii="Arial" w:hAnsi="Arial" w:cs="Arial"/>
          <w:b/>
          <w:bCs/>
          <w:sz w:val="24"/>
          <w:szCs w:val="24"/>
        </w:rPr>
      </w:pPr>
    </w:p>
    <w:p w14:paraId="7176D2C9" w14:textId="221EE496"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MOTION TO INTERVENE</w:t>
      </w:r>
      <w:r w:rsidR="006646D6">
        <w:rPr>
          <w:rFonts w:ascii="Arial" w:hAnsi="Arial" w:cs="Arial"/>
          <w:b/>
          <w:bCs/>
          <w:sz w:val="24"/>
          <w:szCs w:val="24"/>
        </w:rPr>
        <w:t xml:space="preserve"> </w:t>
      </w:r>
      <w:r w:rsidR="006646D6">
        <w:rPr>
          <w:rFonts w:ascii="Arial" w:hAnsi="Arial" w:cs="Arial"/>
          <w:b/>
          <w:bCs/>
          <w:sz w:val="24"/>
          <w:szCs w:val="24"/>
        </w:rPr>
        <w:tab/>
        <w:t>AND MOTION TO REVISE PROCEDURAL SCHEDULE</w:t>
      </w:r>
      <w:r w:rsidRPr="009D71F6">
        <w:rPr>
          <w:rFonts w:ascii="Arial" w:hAnsi="Arial" w:cs="Arial"/>
          <w:b/>
          <w:bCs/>
          <w:sz w:val="24"/>
          <w:szCs w:val="24"/>
        </w:rPr>
        <w:t xml:space="preserve"> </w:t>
      </w:r>
      <w:r w:rsidR="00B2379B">
        <w:rPr>
          <w:rFonts w:ascii="Arial" w:hAnsi="Arial" w:cs="Arial"/>
          <w:b/>
          <w:bCs/>
          <w:sz w:val="24"/>
          <w:szCs w:val="24"/>
        </w:rPr>
        <w:t>AND</w:t>
      </w:r>
      <w:r w:rsidR="00066F87">
        <w:rPr>
          <w:rFonts w:ascii="Arial" w:hAnsi="Arial" w:cs="Arial"/>
          <w:b/>
          <w:bCs/>
          <w:sz w:val="24"/>
          <w:szCs w:val="24"/>
        </w:rPr>
        <w:t xml:space="preserve"> IN THE ALTERNATIVE MOTION TO CONSOLIDATE</w:t>
      </w:r>
    </w:p>
    <w:p w14:paraId="7176D2CA" w14:textId="2DD5883E"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sidR="00AA75B4">
        <w:rPr>
          <w:rFonts w:ascii="Arial" w:hAnsi="Arial" w:cs="Arial"/>
          <w:b/>
          <w:bCs/>
          <w:sz w:val="24"/>
          <w:szCs w:val="24"/>
        </w:rPr>
        <w:t xml:space="preserve"> OF IGS ENERGY</w:t>
      </w:r>
      <w:r w:rsidR="00002FF7">
        <w:rPr>
          <w:rFonts w:ascii="Arial" w:hAnsi="Arial" w:cs="Arial"/>
          <w:b/>
          <w:bCs/>
          <w:sz w:val="24"/>
          <w:szCs w:val="24"/>
        </w:rPr>
        <w:t xml:space="preserve"> </w:t>
      </w:r>
    </w:p>
    <w:p w14:paraId="7176D2CB" w14:textId="77777777" w:rsidR="00545F29" w:rsidRPr="009D71F6" w:rsidRDefault="00545F29">
      <w:pPr>
        <w:widowControl w:val="0"/>
        <w:pBdr>
          <w:bottom w:val="single" w:sz="12" w:space="1" w:color="auto"/>
        </w:pBdr>
        <w:tabs>
          <w:tab w:val="left" w:pos="6461"/>
        </w:tabs>
        <w:spacing w:after="0" w:line="240" w:lineRule="auto"/>
        <w:jc w:val="center"/>
        <w:rPr>
          <w:rFonts w:ascii="Arial" w:hAnsi="Arial" w:cs="Arial"/>
          <w:sz w:val="24"/>
          <w:szCs w:val="24"/>
        </w:rPr>
      </w:pPr>
    </w:p>
    <w:p w14:paraId="7176D2CC" w14:textId="77777777" w:rsidR="00545F29" w:rsidRPr="009D71F6" w:rsidRDefault="00545F29">
      <w:pPr>
        <w:tabs>
          <w:tab w:val="left" w:pos="360"/>
        </w:tabs>
        <w:spacing w:after="0" w:line="240" w:lineRule="auto"/>
        <w:ind w:left="360" w:hanging="360"/>
        <w:jc w:val="both"/>
        <w:rPr>
          <w:rFonts w:ascii="Arial" w:hAnsi="Arial" w:cs="Arial"/>
          <w:sz w:val="24"/>
          <w:szCs w:val="24"/>
        </w:rPr>
      </w:pPr>
    </w:p>
    <w:p w14:paraId="7D434B1A"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9A5282C"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7002DFE5"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39545212" w14:textId="77777777" w:rsidR="00237730" w:rsidRDefault="00237730" w:rsidP="00F5720A">
      <w:pPr>
        <w:autoSpaceDE w:val="0"/>
        <w:autoSpaceDN w:val="0"/>
        <w:adjustRightInd w:val="0"/>
        <w:spacing w:after="120" w:line="480" w:lineRule="auto"/>
        <w:ind w:firstLine="720"/>
        <w:jc w:val="both"/>
        <w:rPr>
          <w:rFonts w:ascii="Arial" w:hAnsi="Arial" w:cs="Arial"/>
          <w:sz w:val="24"/>
          <w:szCs w:val="24"/>
        </w:rPr>
      </w:pPr>
    </w:p>
    <w:p w14:paraId="1FFAC93F" w14:textId="5772FB47" w:rsidR="00237730" w:rsidRDefault="00237730" w:rsidP="00237730">
      <w:pPr>
        <w:spacing w:after="0" w:line="240" w:lineRule="auto"/>
        <w:ind w:left="5040"/>
        <w:rPr>
          <w:rFonts w:ascii="Arial" w:eastAsia="Calibri" w:hAnsi="Arial" w:cs="Arial"/>
          <w:sz w:val="24"/>
          <w:szCs w:val="24"/>
          <w:u w:val="single"/>
        </w:rPr>
      </w:pPr>
    </w:p>
    <w:p w14:paraId="7307477B" w14:textId="7B7509FE" w:rsidR="00237730" w:rsidRDefault="00237730" w:rsidP="00237730">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w:t>
      </w:r>
    </w:p>
    <w:p w14:paraId="47F2F7F1"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Counsel of Record</w:t>
      </w:r>
    </w:p>
    <w:p w14:paraId="1E783C5D" w14:textId="3A73F714" w:rsidR="0058767D" w:rsidRDefault="0058767D" w:rsidP="00237730">
      <w:pPr>
        <w:spacing w:after="0" w:line="240" w:lineRule="auto"/>
        <w:ind w:left="5040"/>
        <w:rPr>
          <w:rFonts w:ascii="Arial" w:hAnsi="Arial" w:cs="Arial"/>
          <w:sz w:val="24"/>
          <w:szCs w:val="24"/>
        </w:rPr>
      </w:pPr>
      <w:r w:rsidRPr="0058767D">
        <w:rPr>
          <w:rFonts w:ascii="Arial" w:hAnsi="Arial" w:cs="Arial"/>
          <w:sz w:val="24"/>
          <w:szCs w:val="24"/>
        </w:rPr>
        <w:t>joliker@igsenergy.com</w:t>
      </w:r>
    </w:p>
    <w:p w14:paraId="1C54B0A0" w14:textId="1FE88325" w:rsidR="00237730" w:rsidRDefault="00AA75B4" w:rsidP="00237730">
      <w:pPr>
        <w:spacing w:after="0" w:line="240" w:lineRule="auto"/>
        <w:ind w:left="5040"/>
        <w:rPr>
          <w:rFonts w:ascii="Arial" w:hAnsi="Arial" w:cs="Arial"/>
          <w:sz w:val="24"/>
          <w:szCs w:val="24"/>
        </w:rPr>
      </w:pPr>
      <w:r>
        <w:rPr>
          <w:rFonts w:ascii="Arial" w:hAnsi="Arial" w:cs="Arial"/>
          <w:sz w:val="24"/>
          <w:szCs w:val="24"/>
        </w:rPr>
        <w:t>IGS Energy</w:t>
      </w:r>
    </w:p>
    <w:p w14:paraId="7808A77D"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6100 Emerald Parkway</w:t>
      </w:r>
    </w:p>
    <w:p w14:paraId="7F0E5D8B"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Dublin, Ohio 43016</w:t>
      </w:r>
    </w:p>
    <w:p w14:paraId="6527965A"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3ABFFA73" w14:textId="77777777" w:rsidR="00237730" w:rsidRDefault="00237730" w:rsidP="00237730">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F7DC00" w14:textId="77777777" w:rsidR="00237730" w:rsidRDefault="00237730" w:rsidP="00237730">
      <w:pPr>
        <w:spacing w:after="0" w:line="240" w:lineRule="auto"/>
        <w:ind w:left="5040"/>
        <w:rPr>
          <w:rFonts w:ascii="Arial" w:hAnsi="Arial" w:cs="Arial"/>
          <w:sz w:val="24"/>
          <w:szCs w:val="24"/>
        </w:rPr>
      </w:pPr>
    </w:p>
    <w:p w14:paraId="5C805413" w14:textId="4C5B22C0" w:rsidR="00237730" w:rsidRDefault="00553D21"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29245C49" w14:textId="77777777" w:rsidR="00237730" w:rsidRDefault="00237730" w:rsidP="00237730">
      <w:pPr>
        <w:spacing w:after="0" w:line="240" w:lineRule="auto"/>
        <w:ind w:left="5040"/>
        <w:rPr>
          <w:rFonts w:ascii="Arial" w:hAnsi="Arial" w:cs="Arial"/>
          <w:b/>
          <w:i/>
          <w:sz w:val="24"/>
          <w:szCs w:val="24"/>
        </w:rPr>
      </w:pPr>
    </w:p>
    <w:p w14:paraId="34A4F2A5" w14:textId="77777777" w:rsidR="00EB67DF" w:rsidRDefault="00EB67DF" w:rsidP="00D13280">
      <w:pPr>
        <w:spacing w:after="0" w:line="240" w:lineRule="auto"/>
        <w:rPr>
          <w:rFonts w:ascii="Arial" w:hAnsi="Arial" w:cs="Arial"/>
          <w:b/>
          <w:sz w:val="24"/>
          <w:szCs w:val="24"/>
        </w:rPr>
      </w:pPr>
    </w:p>
    <w:p w14:paraId="36FD7C48" w14:textId="77777777" w:rsidR="00EB67DF" w:rsidRDefault="00EB67DF" w:rsidP="00D13280">
      <w:pPr>
        <w:spacing w:after="0" w:line="240" w:lineRule="auto"/>
        <w:rPr>
          <w:rFonts w:ascii="Arial" w:hAnsi="Arial" w:cs="Arial"/>
          <w:b/>
          <w:sz w:val="24"/>
          <w:szCs w:val="24"/>
        </w:rPr>
      </w:pPr>
    </w:p>
    <w:p w14:paraId="3595B5EA" w14:textId="77777777" w:rsidR="00EB67DF" w:rsidRDefault="00EB67DF" w:rsidP="00D13280">
      <w:pPr>
        <w:spacing w:after="0" w:line="240" w:lineRule="auto"/>
        <w:rPr>
          <w:rFonts w:ascii="Arial" w:hAnsi="Arial" w:cs="Arial"/>
          <w:b/>
          <w:sz w:val="24"/>
          <w:szCs w:val="24"/>
        </w:rPr>
      </w:pPr>
    </w:p>
    <w:p w14:paraId="4B70B117" w14:textId="77777777" w:rsidR="00EB67DF" w:rsidRDefault="00EB67DF" w:rsidP="00D13280">
      <w:pPr>
        <w:spacing w:after="0" w:line="240" w:lineRule="auto"/>
        <w:rPr>
          <w:rFonts w:ascii="Arial" w:hAnsi="Arial" w:cs="Arial"/>
          <w:b/>
          <w:sz w:val="24"/>
          <w:szCs w:val="24"/>
        </w:rPr>
      </w:pPr>
    </w:p>
    <w:p w14:paraId="3D46AC74" w14:textId="77777777" w:rsidR="00EB67DF" w:rsidRDefault="00EB67DF" w:rsidP="00D13280">
      <w:pPr>
        <w:spacing w:after="0" w:line="240" w:lineRule="auto"/>
        <w:rPr>
          <w:rFonts w:ascii="Arial" w:hAnsi="Arial" w:cs="Arial"/>
          <w:b/>
          <w:sz w:val="24"/>
          <w:szCs w:val="24"/>
        </w:rPr>
      </w:pPr>
    </w:p>
    <w:p w14:paraId="5B52A399" w14:textId="77777777" w:rsidR="00EB67DF" w:rsidRDefault="00EB67DF" w:rsidP="00D13280">
      <w:pPr>
        <w:spacing w:after="0" w:line="240" w:lineRule="auto"/>
        <w:rPr>
          <w:rFonts w:ascii="Arial" w:hAnsi="Arial" w:cs="Arial"/>
          <w:b/>
          <w:sz w:val="24"/>
          <w:szCs w:val="24"/>
        </w:rPr>
      </w:pPr>
    </w:p>
    <w:p w14:paraId="0C5B0D09" w14:textId="77777777" w:rsidR="00EB67DF" w:rsidRDefault="00EB67DF" w:rsidP="00D13280">
      <w:pPr>
        <w:spacing w:after="0" w:line="240" w:lineRule="auto"/>
        <w:rPr>
          <w:rFonts w:ascii="Arial" w:hAnsi="Arial" w:cs="Arial"/>
          <w:b/>
          <w:sz w:val="24"/>
          <w:szCs w:val="24"/>
        </w:rPr>
      </w:pPr>
    </w:p>
    <w:p w14:paraId="1C0FCDB1" w14:textId="77777777" w:rsidR="00EB67DF" w:rsidRDefault="00EB67DF" w:rsidP="00D13280">
      <w:pPr>
        <w:spacing w:after="0" w:line="240" w:lineRule="auto"/>
        <w:rPr>
          <w:rFonts w:ascii="Arial" w:hAnsi="Arial" w:cs="Arial"/>
          <w:b/>
          <w:sz w:val="24"/>
          <w:szCs w:val="24"/>
        </w:rPr>
      </w:pPr>
    </w:p>
    <w:p w14:paraId="2552B45A" w14:textId="77777777" w:rsidR="00EB67DF" w:rsidRDefault="00EB67DF" w:rsidP="00D13280">
      <w:pPr>
        <w:spacing w:after="0" w:line="240" w:lineRule="auto"/>
        <w:rPr>
          <w:rFonts w:ascii="Arial" w:hAnsi="Arial" w:cs="Arial"/>
          <w:b/>
          <w:sz w:val="24"/>
          <w:szCs w:val="24"/>
        </w:rPr>
      </w:pPr>
    </w:p>
    <w:p w14:paraId="02FF85D4" w14:textId="77777777" w:rsidR="00EB67DF" w:rsidRDefault="00EB67DF" w:rsidP="00D13280">
      <w:pPr>
        <w:spacing w:after="0" w:line="240" w:lineRule="auto"/>
        <w:rPr>
          <w:rFonts w:ascii="Arial" w:hAnsi="Arial" w:cs="Arial"/>
          <w:b/>
          <w:sz w:val="24"/>
          <w:szCs w:val="24"/>
        </w:rPr>
      </w:pPr>
    </w:p>
    <w:p w14:paraId="65447692" w14:textId="4936BE18" w:rsidR="00357C8B" w:rsidRPr="00EB67DF" w:rsidRDefault="00722C62" w:rsidP="00EB67DF">
      <w:pPr>
        <w:spacing w:after="0" w:line="240" w:lineRule="auto"/>
        <w:rPr>
          <w:rFonts w:ascii="Arial" w:hAnsi="Arial" w:cs="Arial"/>
          <w:b/>
          <w:sz w:val="24"/>
          <w:szCs w:val="24"/>
        </w:rPr>
      </w:pPr>
      <w:r>
        <w:rPr>
          <w:rFonts w:ascii="Arial" w:hAnsi="Arial" w:cs="Arial"/>
          <w:b/>
          <w:sz w:val="24"/>
          <w:szCs w:val="24"/>
        </w:rPr>
        <w:t>February 5</w:t>
      </w:r>
      <w:r w:rsidR="000A0F85">
        <w:rPr>
          <w:rFonts w:ascii="Arial" w:hAnsi="Arial" w:cs="Arial"/>
          <w:b/>
          <w:sz w:val="24"/>
          <w:szCs w:val="24"/>
        </w:rPr>
        <w:t>, 2015</w:t>
      </w:r>
    </w:p>
    <w:p w14:paraId="7B491A97" w14:textId="77777777" w:rsidR="00F1629C" w:rsidRDefault="00F1629C" w:rsidP="00357C8B">
      <w:pPr>
        <w:pStyle w:val="Title"/>
        <w:widowControl w:val="0"/>
        <w:rPr>
          <w:rFonts w:ascii="Arial" w:hAnsi="Arial" w:cs="Arial"/>
          <w:szCs w:val="24"/>
        </w:rPr>
      </w:pPr>
    </w:p>
    <w:p w14:paraId="568200F0" w14:textId="77777777" w:rsidR="00357C8B" w:rsidRPr="009D71F6" w:rsidRDefault="00357C8B" w:rsidP="00357C8B">
      <w:pPr>
        <w:pStyle w:val="Title"/>
        <w:widowControl w:val="0"/>
        <w:rPr>
          <w:rFonts w:ascii="Arial" w:hAnsi="Arial" w:cs="Arial"/>
          <w:szCs w:val="24"/>
        </w:rPr>
      </w:pPr>
      <w:r w:rsidRPr="009D71F6">
        <w:rPr>
          <w:rFonts w:ascii="Arial" w:hAnsi="Arial" w:cs="Arial"/>
          <w:szCs w:val="24"/>
        </w:rPr>
        <w:t>BEFORE</w:t>
      </w:r>
    </w:p>
    <w:p w14:paraId="546ADF90" w14:textId="77777777" w:rsidR="00357C8B" w:rsidRPr="009D71F6" w:rsidRDefault="00357C8B" w:rsidP="00357C8B">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B43AC5" w:rsidRPr="009D71F6" w14:paraId="32EE1EE6" w14:textId="77777777" w:rsidTr="00553D21">
        <w:trPr>
          <w:trHeight w:val="378"/>
          <w:jc w:val="center"/>
        </w:trPr>
        <w:tc>
          <w:tcPr>
            <w:tcW w:w="4739" w:type="dxa"/>
          </w:tcPr>
          <w:p w14:paraId="65D49AD7" w14:textId="77777777" w:rsidR="00B43AC5" w:rsidRPr="00B43AC5" w:rsidRDefault="00B43AC5" w:rsidP="003836EA">
            <w:pPr>
              <w:widowControl w:val="0"/>
              <w:spacing w:after="0" w:line="240" w:lineRule="auto"/>
              <w:jc w:val="both"/>
              <w:rPr>
                <w:rFonts w:ascii="Arial" w:hAnsi="Arial" w:cs="Arial"/>
                <w:sz w:val="24"/>
                <w:szCs w:val="24"/>
              </w:rPr>
            </w:pPr>
            <w:r w:rsidRPr="00B43AC5">
              <w:rPr>
                <w:rFonts w:ascii="Arial" w:hAnsi="Arial" w:cs="Arial"/>
                <w:sz w:val="24"/>
                <w:szCs w:val="24"/>
              </w:rPr>
              <w:t>In The Matter of the Application of Duke</w:t>
            </w:r>
          </w:p>
          <w:p w14:paraId="2845249E" w14:textId="77777777" w:rsidR="00B43AC5" w:rsidRPr="00B43AC5" w:rsidRDefault="00B43AC5" w:rsidP="003836EA">
            <w:pPr>
              <w:widowControl w:val="0"/>
              <w:spacing w:after="0" w:line="240" w:lineRule="auto"/>
              <w:jc w:val="both"/>
              <w:rPr>
                <w:rFonts w:ascii="Arial" w:hAnsi="Arial" w:cs="Arial"/>
                <w:sz w:val="24"/>
                <w:szCs w:val="24"/>
              </w:rPr>
            </w:pPr>
            <w:r w:rsidRPr="00B43AC5">
              <w:rPr>
                <w:rFonts w:ascii="Arial" w:hAnsi="Arial" w:cs="Arial"/>
                <w:sz w:val="24"/>
                <w:szCs w:val="24"/>
              </w:rPr>
              <w:t>Energy Ohio, Inc., for Approval to</w:t>
            </w:r>
          </w:p>
          <w:p w14:paraId="7F9A81D5" w14:textId="77777777" w:rsidR="00B43AC5" w:rsidRPr="00B43AC5" w:rsidRDefault="00B43AC5" w:rsidP="003836EA">
            <w:pPr>
              <w:widowControl w:val="0"/>
              <w:spacing w:after="0" w:line="240" w:lineRule="auto"/>
              <w:jc w:val="both"/>
              <w:rPr>
                <w:rFonts w:ascii="Arial" w:hAnsi="Arial" w:cs="Arial"/>
                <w:sz w:val="24"/>
                <w:szCs w:val="24"/>
              </w:rPr>
            </w:pPr>
            <w:r w:rsidRPr="00B43AC5">
              <w:rPr>
                <w:rFonts w:ascii="Arial" w:hAnsi="Arial" w:cs="Arial"/>
                <w:sz w:val="24"/>
                <w:szCs w:val="24"/>
              </w:rPr>
              <w:t>Modify Rider FBS, Rider EFBS, and</w:t>
            </w:r>
          </w:p>
          <w:p w14:paraId="230F7221" w14:textId="6573D0AC" w:rsidR="00B43AC5" w:rsidRPr="009D71F6" w:rsidRDefault="00B43AC5" w:rsidP="002716EB">
            <w:pPr>
              <w:widowControl w:val="0"/>
              <w:spacing w:after="0" w:line="240" w:lineRule="auto"/>
              <w:jc w:val="both"/>
              <w:rPr>
                <w:rFonts w:ascii="Arial" w:hAnsi="Arial" w:cs="Arial"/>
                <w:sz w:val="24"/>
                <w:szCs w:val="24"/>
              </w:rPr>
            </w:pPr>
            <w:r w:rsidRPr="00B43AC5">
              <w:rPr>
                <w:rFonts w:ascii="Arial" w:hAnsi="Arial" w:cs="Arial"/>
                <w:sz w:val="24"/>
                <w:szCs w:val="24"/>
              </w:rPr>
              <w:t>Rider FRAS</w:t>
            </w:r>
          </w:p>
        </w:tc>
        <w:tc>
          <w:tcPr>
            <w:tcW w:w="630" w:type="dxa"/>
          </w:tcPr>
          <w:p w14:paraId="0EB596EE" w14:textId="77777777" w:rsidR="00B43AC5" w:rsidRPr="009D71F6" w:rsidRDefault="00B43AC5" w:rsidP="003836EA">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76BCE4C" w14:textId="77777777" w:rsidR="00B43AC5" w:rsidRPr="009D71F6" w:rsidRDefault="00B43AC5" w:rsidP="003836EA">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DD62F66" w14:textId="77777777" w:rsidR="00B43AC5" w:rsidRPr="009D71F6" w:rsidRDefault="00B43AC5" w:rsidP="003836EA">
            <w:pPr>
              <w:widowControl w:val="0"/>
              <w:spacing w:after="0" w:line="240" w:lineRule="auto"/>
              <w:jc w:val="center"/>
              <w:rPr>
                <w:rFonts w:ascii="Arial" w:hAnsi="Arial" w:cs="Arial"/>
                <w:sz w:val="24"/>
                <w:szCs w:val="24"/>
              </w:rPr>
            </w:pPr>
            <w:r w:rsidRPr="009D71F6">
              <w:rPr>
                <w:rFonts w:ascii="Arial" w:hAnsi="Arial" w:cs="Arial"/>
                <w:sz w:val="24"/>
                <w:szCs w:val="24"/>
              </w:rPr>
              <w:t>)</w:t>
            </w:r>
          </w:p>
          <w:p w14:paraId="2D015056" w14:textId="0CE52437" w:rsidR="00B43AC5" w:rsidRPr="009D71F6" w:rsidRDefault="00B43AC5" w:rsidP="002716EB">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4DAB0262" w14:textId="77777777" w:rsidR="00B43AC5" w:rsidRPr="009D71F6" w:rsidRDefault="00B43AC5" w:rsidP="003836EA">
            <w:pPr>
              <w:widowControl w:val="0"/>
              <w:spacing w:after="0" w:line="240" w:lineRule="auto"/>
              <w:rPr>
                <w:rFonts w:ascii="Arial" w:hAnsi="Arial" w:cs="Arial"/>
                <w:sz w:val="24"/>
                <w:szCs w:val="24"/>
              </w:rPr>
            </w:pPr>
          </w:p>
          <w:p w14:paraId="3487507B" w14:textId="77777777" w:rsidR="00B43AC5" w:rsidRPr="009D71F6" w:rsidRDefault="00B43AC5" w:rsidP="003836EA">
            <w:pPr>
              <w:widowControl w:val="0"/>
              <w:spacing w:after="0" w:line="240" w:lineRule="auto"/>
              <w:rPr>
                <w:rFonts w:ascii="Arial" w:hAnsi="Arial" w:cs="Arial"/>
                <w:sz w:val="24"/>
                <w:szCs w:val="24"/>
              </w:rPr>
            </w:pPr>
          </w:p>
          <w:p w14:paraId="46274138" w14:textId="77777777" w:rsidR="00B43AC5" w:rsidRPr="009D71F6" w:rsidRDefault="00B43AC5" w:rsidP="003836EA">
            <w:pPr>
              <w:widowControl w:val="0"/>
              <w:spacing w:after="0" w:line="240" w:lineRule="auto"/>
              <w:rPr>
                <w:rFonts w:ascii="Arial" w:hAnsi="Arial" w:cs="Arial"/>
                <w:sz w:val="24"/>
                <w:szCs w:val="24"/>
              </w:rPr>
            </w:pPr>
            <w:r>
              <w:rPr>
                <w:rFonts w:ascii="Arial" w:hAnsi="Arial" w:cs="Arial"/>
                <w:sz w:val="24"/>
                <w:szCs w:val="24"/>
              </w:rPr>
              <w:t>Case No. 15-0050-GA-RDR</w:t>
            </w:r>
          </w:p>
          <w:p w14:paraId="4E808153" w14:textId="77777777" w:rsidR="00B43AC5" w:rsidRPr="009D71F6" w:rsidRDefault="00B43AC5" w:rsidP="002716EB">
            <w:pPr>
              <w:widowControl w:val="0"/>
              <w:spacing w:after="0" w:line="240" w:lineRule="auto"/>
              <w:rPr>
                <w:rFonts w:ascii="Arial" w:hAnsi="Arial" w:cs="Arial"/>
                <w:sz w:val="24"/>
                <w:szCs w:val="24"/>
              </w:rPr>
            </w:pPr>
          </w:p>
        </w:tc>
      </w:tr>
    </w:tbl>
    <w:p w14:paraId="0804716A"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2D7FB604" w14:textId="77777777" w:rsidR="00237730" w:rsidRPr="009D71F6" w:rsidRDefault="00237730" w:rsidP="00237730">
      <w:pPr>
        <w:widowControl w:val="0"/>
        <w:spacing w:after="0" w:line="240" w:lineRule="auto"/>
        <w:jc w:val="center"/>
        <w:rPr>
          <w:rFonts w:ascii="Arial" w:hAnsi="Arial" w:cs="Arial"/>
          <w:b/>
          <w:bCs/>
          <w:sz w:val="24"/>
          <w:szCs w:val="24"/>
        </w:rPr>
      </w:pPr>
    </w:p>
    <w:p w14:paraId="17768E5F" w14:textId="7B72B1BE" w:rsidR="00237730" w:rsidRPr="009D71F6" w:rsidRDefault="00237730" w:rsidP="00237730">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r w:rsidR="0054417A">
        <w:rPr>
          <w:rFonts w:ascii="Arial" w:hAnsi="Arial" w:cs="Arial"/>
          <w:b/>
          <w:bCs/>
          <w:sz w:val="24"/>
          <w:szCs w:val="24"/>
        </w:rPr>
        <w:t>AND MOTION TO R</w:t>
      </w:r>
      <w:r w:rsidR="00722C62">
        <w:rPr>
          <w:rFonts w:ascii="Arial" w:hAnsi="Arial" w:cs="Arial"/>
          <w:b/>
          <w:bCs/>
          <w:sz w:val="24"/>
          <w:szCs w:val="24"/>
        </w:rPr>
        <w:t>EVISE</w:t>
      </w:r>
      <w:r w:rsidR="000E4162">
        <w:rPr>
          <w:rFonts w:ascii="Arial" w:hAnsi="Arial" w:cs="Arial"/>
          <w:b/>
          <w:bCs/>
          <w:sz w:val="24"/>
          <w:szCs w:val="24"/>
        </w:rPr>
        <w:t xml:space="preserve"> PROCEDURAL SCHEDULE</w:t>
      </w:r>
      <w:r w:rsidR="00066F87">
        <w:rPr>
          <w:rFonts w:ascii="Arial" w:hAnsi="Arial" w:cs="Arial"/>
          <w:b/>
          <w:bCs/>
          <w:sz w:val="24"/>
          <w:szCs w:val="24"/>
        </w:rPr>
        <w:t xml:space="preserve"> AND IN THE ALTERNATIVE MOTION TO CONSOLIDATE</w:t>
      </w:r>
    </w:p>
    <w:p w14:paraId="5C6BDE06"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31317229"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7176D2CD" w14:textId="7BBAFA6E" w:rsidR="00545F29" w:rsidRPr="00D25E3C" w:rsidRDefault="00D25E3C" w:rsidP="00D25E3C">
      <w:pPr>
        <w:autoSpaceDE w:val="0"/>
        <w:autoSpaceDN w:val="0"/>
        <w:adjustRightInd w:val="0"/>
        <w:spacing w:after="120" w:line="480" w:lineRule="auto"/>
        <w:ind w:firstLine="720"/>
        <w:jc w:val="both"/>
      </w:pPr>
      <w:r>
        <w:rPr>
          <w:rFonts w:ascii="Arial" w:hAnsi="Arial" w:cs="Arial"/>
          <w:sz w:val="24"/>
          <w:szCs w:val="24"/>
        </w:rPr>
        <w:t xml:space="preserve">On January 15, 2015, Duke Energy Ohio </w:t>
      </w:r>
      <w:r w:rsidR="00F5720A">
        <w:rPr>
          <w:rFonts w:ascii="Arial" w:hAnsi="Arial" w:cs="Arial"/>
          <w:sz w:val="24"/>
          <w:szCs w:val="24"/>
        </w:rPr>
        <w:t>(“Duke”)</w:t>
      </w:r>
      <w:r>
        <w:rPr>
          <w:rFonts w:ascii="Arial" w:hAnsi="Arial" w:cs="Arial"/>
          <w:sz w:val="24"/>
          <w:szCs w:val="24"/>
        </w:rPr>
        <w:t xml:space="preserve"> filed an application under R.C. 4909.18 for</w:t>
      </w:r>
      <w:r w:rsidR="00EB67DF">
        <w:rPr>
          <w:rFonts w:ascii="Arial" w:hAnsi="Arial" w:cs="Arial"/>
          <w:sz w:val="24"/>
          <w:szCs w:val="24"/>
        </w:rPr>
        <w:t xml:space="preserve"> approval </w:t>
      </w:r>
      <w:r w:rsidR="006646D6">
        <w:rPr>
          <w:rFonts w:ascii="Arial" w:hAnsi="Arial" w:cs="Arial"/>
          <w:sz w:val="24"/>
          <w:szCs w:val="24"/>
        </w:rPr>
        <w:t>to increase the rates in Ride</w:t>
      </w:r>
      <w:r>
        <w:rPr>
          <w:rFonts w:ascii="Arial" w:hAnsi="Arial" w:cs="Arial"/>
          <w:sz w:val="24"/>
          <w:szCs w:val="24"/>
        </w:rPr>
        <w:t>r</w:t>
      </w:r>
      <w:r w:rsidR="006646D6">
        <w:rPr>
          <w:rFonts w:ascii="Arial" w:hAnsi="Arial" w:cs="Arial"/>
          <w:sz w:val="24"/>
          <w:szCs w:val="24"/>
        </w:rPr>
        <w:t xml:space="preserve"> </w:t>
      </w:r>
      <w:r w:rsidR="0082224E" w:rsidRPr="0082224E">
        <w:rPr>
          <w:rFonts w:ascii="Arial" w:hAnsi="Arial" w:cs="Arial"/>
          <w:sz w:val="24"/>
          <w:szCs w:val="24"/>
        </w:rPr>
        <w:t>Firm Balancing Service</w:t>
      </w:r>
      <w:r w:rsidR="006646D6">
        <w:rPr>
          <w:rFonts w:ascii="Arial" w:hAnsi="Arial" w:cs="Arial"/>
          <w:sz w:val="24"/>
          <w:szCs w:val="24"/>
        </w:rPr>
        <w:t xml:space="preserve"> (“FBS”) and Rider </w:t>
      </w:r>
      <w:r w:rsidR="0082224E">
        <w:rPr>
          <w:rFonts w:ascii="Arial" w:hAnsi="Arial" w:cs="Arial"/>
          <w:sz w:val="24"/>
          <w:szCs w:val="24"/>
        </w:rPr>
        <w:t xml:space="preserve">Enhanced Firm </w:t>
      </w:r>
      <w:r w:rsidR="0082224E" w:rsidRPr="0082224E">
        <w:rPr>
          <w:rFonts w:ascii="Arial" w:hAnsi="Arial" w:cs="Arial"/>
          <w:sz w:val="24"/>
          <w:szCs w:val="24"/>
        </w:rPr>
        <w:t>Bala</w:t>
      </w:r>
      <w:r w:rsidR="006646D6">
        <w:rPr>
          <w:rFonts w:ascii="Arial" w:hAnsi="Arial" w:cs="Arial"/>
          <w:sz w:val="24"/>
          <w:szCs w:val="24"/>
        </w:rPr>
        <w:t xml:space="preserve">ncing Service (“EFBS”).  </w:t>
      </w:r>
      <w:proofErr w:type="gramStart"/>
      <w:r w:rsidR="006646D6">
        <w:rPr>
          <w:rFonts w:ascii="Arial" w:hAnsi="Arial" w:cs="Arial"/>
          <w:sz w:val="24"/>
          <w:szCs w:val="24"/>
        </w:rPr>
        <w:t>Application at 1.</w:t>
      </w:r>
      <w:proofErr w:type="gramEnd"/>
      <w:r w:rsidR="006646D6">
        <w:rPr>
          <w:rFonts w:ascii="Arial" w:hAnsi="Arial" w:cs="Arial"/>
          <w:sz w:val="24"/>
          <w:szCs w:val="24"/>
        </w:rPr>
        <w:t xml:space="preserve"> Duke also seeks to require</w:t>
      </w:r>
      <w:r w:rsidR="007E3A27">
        <w:rPr>
          <w:rFonts w:ascii="Arial" w:hAnsi="Arial" w:cs="Arial"/>
          <w:sz w:val="24"/>
          <w:szCs w:val="24"/>
        </w:rPr>
        <w:t xml:space="preserve"> that </w:t>
      </w:r>
      <w:r w:rsidR="006646D6">
        <w:rPr>
          <w:rFonts w:ascii="Arial" w:hAnsi="Arial" w:cs="Arial"/>
          <w:sz w:val="24"/>
          <w:szCs w:val="24"/>
        </w:rPr>
        <w:t xml:space="preserve">larger competitive retail natural gas (“CRNG”) providers </w:t>
      </w:r>
      <w:r w:rsidR="008858B9">
        <w:rPr>
          <w:rFonts w:ascii="Arial" w:hAnsi="Arial" w:cs="Arial"/>
          <w:sz w:val="24"/>
          <w:szCs w:val="24"/>
        </w:rPr>
        <w:t>utilize</w:t>
      </w:r>
      <w:r w:rsidR="007E3A27">
        <w:rPr>
          <w:rFonts w:ascii="Arial" w:hAnsi="Arial" w:cs="Arial"/>
          <w:sz w:val="24"/>
          <w:szCs w:val="24"/>
        </w:rPr>
        <w:t xml:space="preserve"> EFBS</w:t>
      </w:r>
      <w:r w:rsidR="006646D6">
        <w:rPr>
          <w:rFonts w:ascii="Arial" w:hAnsi="Arial" w:cs="Arial"/>
          <w:sz w:val="24"/>
          <w:szCs w:val="24"/>
        </w:rPr>
        <w:t xml:space="preserve">, which would eliminate </w:t>
      </w:r>
      <w:r w:rsidR="008858B9">
        <w:rPr>
          <w:rFonts w:ascii="Arial" w:hAnsi="Arial" w:cs="Arial"/>
          <w:sz w:val="24"/>
          <w:szCs w:val="24"/>
        </w:rPr>
        <w:t xml:space="preserve">a </w:t>
      </w:r>
      <w:r w:rsidR="006646D6">
        <w:rPr>
          <w:rFonts w:ascii="Arial" w:hAnsi="Arial" w:cs="Arial"/>
          <w:sz w:val="24"/>
          <w:szCs w:val="24"/>
        </w:rPr>
        <w:t>larger supplier</w:t>
      </w:r>
      <w:r w:rsidR="008858B9">
        <w:rPr>
          <w:rFonts w:ascii="Arial" w:hAnsi="Arial" w:cs="Arial"/>
          <w:sz w:val="24"/>
          <w:szCs w:val="24"/>
        </w:rPr>
        <w:t>’</w:t>
      </w:r>
      <w:r w:rsidR="006646D6">
        <w:rPr>
          <w:rFonts w:ascii="Arial" w:hAnsi="Arial" w:cs="Arial"/>
          <w:sz w:val="24"/>
          <w:szCs w:val="24"/>
        </w:rPr>
        <w:t xml:space="preserve">s option to make an annual election between EFBS and FBS.  </w:t>
      </w:r>
      <w:r w:rsidR="006646D6">
        <w:rPr>
          <w:rFonts w:ascii="Arial" w:hAnsi="Arial" w:cs="Arial"/>
          <w:i/>
          <w:sz w:val="24"/>
          <w:szCs w:val="24"/>
        </w:rPr>
        <w:t>Id.</w:t>
      </w:r>
      <w:r w:rsidR="006646D6">
        <w:rPr>
          <w:rFonts w:ascii="Arial" w:hAnsi="Arial" w:cs="Arial"/>
          <w:sz w:val="24"/>
          <w:szCs w:val="24"/>
        </w:rPr>
        <w:t xml:space="preserve">  Duke</w:t>
      </w:r>
      <w:r w:rsidR="0082224E">
        <w:rPr>
          <w:rFonts w:ascii="Arial" w:hAnsi="Arial" w:cs="Arial"/>
          <w:sz w:val="24"/>
          <w:szCs w:val="24"/>
        </w:rPr>
        <w:t xml:space="preserve"> is also seeking to modify </w:t>
      </w:r>
      <w:r w:rsidR="0082224E" w:rsidRPr="0082224E">
        <w:rPr>
          <w:rFonts w:ascii="Arial" w:hAnsi="Arial" w:cs="Arial"/>
          <w:sz w:val="24"/>
          <w:szCs w:val="24"/>
        </w:rPr>
        <w:t>certain of the terms under Rate FRAS (Full Requirements Aggregation Service) and Rate GTS</w:t>
      </w:r>
      <w:r w:rsidR="0082224E">
        <w:rPr>
          <w:rFonts w:ascii="Arial" w:hAnsi="Arial" w:cs="Arial"/>
          <w:sz w:val="24"/>
          <w:szCs w:val="24"/>
        </w:rPr>
        <w:t xml:space="preserve"> </w:t>
      </w:r>
      <w:r w:rsidR="0082224E" w:rsidRPr="0082224E">
        <w:rPr>
          <w:rFonts w:ascii="Arial" w:hAnsi="Arial" w:cs="Arial"/>
          <w:sz w:val="24"/>
          <w:szCs w:val="24"/>
        </w:rPr>
        <w:t>(Gas Trading Service) to coincide with the changes sought in respect of Rider FBS and Rider</w:t>
      </w:r>
      <w:r w:rsidR="0082224E">
        <w:rPr>
          <w:rFonts w:ascii="Arial" w:hAnsi="Arial" w:cs="Arial"/>
          <w:sz w:val="24"/>
          <w:szCs w:val="24"/>
        </w:rPr>
        <w:t xml:space="preserve"> EFBS.</w:t>
      </w:r>
      <w:r w:rsidR="006646D6">
        <w:rPr>
          <w:rFonts w:ascii="Arial" w:hAnsi="Arial" w:cs="Arial"/>
          <w:sz w:val="24"/>
          <w:szCs w:val="24"/>
        </w:rPr>
        <w:t xml:space="preserve">  </w:t>
      </w:r>
      <w:r w:rsidR="006646D6">
        <w:rPr>
          <w:rFonts w:ascii="Arial" w:hAnsi="Arial" w:cs="Arial"/>
          <w:i/>
          <w:sz w:val="24"/>
          <w:szCs w:val="24"/>
        </w:rPr>
        <w:t xml:space="preserve">Id. </w:t>
      </w:r>
      <w:r w:rsidR="006646D6">
        <w:rPr>
          <w:rFonts w:ascii="Arial" w:hAnsi="Arial" w:cs="Arial"/>
          <w:sz w:val="24"/>
          <w:szCs w:val="24"/>
        </w:rPr>
        <w:t>at</w:t>
      </w:r>
      <w:r w:rsidR="00B43AC5">
        <w:rPr>
          <w:rFonts w:ascii="Arial" w:hAnsi="Arial" w:cs="Arial"/>
          <w:sz w:val="24"/>
          <w:szCs w:val="24"/>
        </w:rPr>
        <w:t xml:space="preserve"> 1</w:t>
      </w:r>
      <w:r w:rsidR="006646D6">
        <w:rPr>
          <w:rFonts w:ascii="Arial" w:hAnsi="Arial" w:cs="Arial"/>
          <w:sz w:val="24"/>
          <w:szCs w:val="24"/>
        </w:rPr>
        <w:t>-2</w:t>
      </w:r>
      <w:r w:rsidR="00B43AC5">
        <w:rPr>
          <w:rFonts w:ascii="Arial" w:hAnsi="Arial" w:cs="Arial"/>
          <w:sz w:val="24"/>
          <w:szCs w:val="24"/>
        </w:rPr>
        <w:t>.</w:t>
      </w:r>
      <w:r>
        <w:t xml:space="preserve">  </w:t>
      </w:r>
      <w:r w:rsidR="006646D6">
        <w:rPr>
          <w:rFonts w:ascii="Arial" w:hAnsi="Arial" w:cs="Arial"/>
          <w:sz w:val="24"/>
          <w:szCs w:val="24"/>
        </w:rPr>
        <w:t>Duke Requested</w:t>
      </w:r>
      <w:r w:rsidR="006646D6" w:rsidRPr="006646D6">
        <w:rPr>
          <w:rFonts w:ascii="Arial" w:hAnsi="Arial" w:cs="Arial"/>
          <w:sz w:val="24"/>
          <w:szCs w:val="24"/>
        </w:rPr>
        <w:t xml:space="preserve"> approval to</w:t>
      </w:r>
      <w:r w:rsidR="006646D6">
        <w:rPr>
          <w:rFonts w:ascii="Arial" w:hAnsi="Arial" w:cs="Arial"/>
          <w:sz w:val="24"/>
          <w:szCs w:val="24"/>
        </w:rPr>
        <w:t xml:space="preserve"> implement these changes, via a </w:t>
      </w:r>
      <w:r w:rsidR="006646D6" w:rsidRPr="006646D6">
        <w:rPr>
          <w:rFonts w:ascii="Arial" w:hAnsi="Arial" w:cs="Arial"/>
          <w:sz w:val="24"/>
          <w:szCs w:val="24"/>
        </w:rPr>
        <w:t>Commission decision issued no later than February 27, 2015</w:t>
      </w:r>
      <w:r w:rsidR="006646D6">
        <w:rPr>
          <w:rFonts w:ascii="Arial" w:hAnsi="Arial" w:cs="Arial"/>
          <w:sz w:val="24"/>
          <w:szCs w:val="24"/>
        </w:rPr>
        <w:t xml:space="preserve">, and that the Commission retroactively apply these changes </w:t>
      </w:r>
      <w:r>
        <w:rPr>
          <w:rFonts w:ascii="Arial" w:hAnsi="Arial" w:cs="Arial"/>
          <w:sz w:val="24"/>
          <w:szCs w:val="24"/>
        </w:rPr>
        <w:t>to supersede any prior CRNG provider election.</w:t>
      </w:r>
    </w:p>
    <w:p w14:paraId="6C82EC87" w14:textId="72D9DF3F" w:rsidR="00D25E3C" w:rsidRDefault="00D25E3C" w:rsidP="00D25E3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On January 22, 2015, the Attorney Examiner issued a procedural schedule establishing a deadline for intervention, as well as a schedule </w:t>
      </w:r>
      <w:r w:rsidR="00C8369A">
        <w:rPr>
          <w:rFonts w:ascii="Arial" w:hAnsi="Arial" w:cs="Arial"/>
          <w:sz w:val="24"/>
          <w:szCs w:val="24"/>
        </w:rPr>
        <w:t>for comments and reply comments:</w:t>
      </w:r>
      <w:r>
        <w:rPr>
          <w:rFonts w:ascii="Arial" w:hAnsi="Arial" w:cs="Arial"/>
          <w:sz w:val="24"/>
          <w:szCs w:val="24"/>
        </w:rPr>
        <w:t xml:space="preserve">  </w:t>
      </w:r>
    </w:p>
    <w:p w14:paraId="4A14B135" w14:textId="5B6EB752" w:rsidR="00D25E3C" w:rsidRPr="00D25E3C" w:rsidRDefault="00D25E3C" w:rsidP="00D25E3C">
      <w:pPr>
        <w:autoSpaceDE w:val="0"/>
        <w:autoSpaceDN w:val="0"/>
        <w:adjustRightInd w:val="0"/>
        <w:spacing w:after="120" w:line="480" w:lineRule="auto"/>
        <w:ind w:firstLine="720"/>
        <w:jc w:val="both"/>
        <w:rPr>
          <w:rFonts w:ascii="Arial" w:hAnsi="Arial" w:cs="Arial"/>
          <w:sz w:val="24"/>
          <w:szCs w:val="24"/>
        </w:rPr>
      </w:pPr>
      <w:r w:rsidRPr="00D25E3C">
        <w:rPr>
          <w:rFonts w:ascii="Arial" w:hAnsi="Arial" w:cs="Arial"/>
          <w:sz w:val="24"/>
          <w:szCs w:val="24"/>
        </w:rPr>
        <w:t>(a) February 12, 20</w:t>
      </w:r>
      <w:r w:rsidR="00C8369A">
        <w:rPr>
          <w:rFonts w:ascii="Arial" w:hAnsi="Arial" w:cs="Arial"/>
          <w:sz w:val="24"/>
          <w:szCs w:val="24"/>
        </w:rPr>
        <w:t>15 – d</w:t>
      </w:r>
      <w:r>
        <w:rPr>
          <w:rFonts w:ascii="Arial" w:hAnsi="Arial" w:cs="Arial"/>
          <w:sz w:val="24"/>
          <w:szCs w:val="24"/>
        </w:rPr>
        <w:t xml:space="preserve">eadline for the filing of </w:t>
      </w:r>
      <w:r w:rsidRPr="00D25E3C">
        <w:rPr>
          <w:rFonts w:ascii="Arial" w:hAnsi="Arial" w:cs="Arial"/>
          <w:sz w:val="24"/>
          <w:szCs w:val="24"/>
        </w:rPr>
        <w:t>motions to intervene.</w:t>
      </w:r>
    </w:p>
    <w:p w14:paraId="0AD0FE2F" w14:textId="08D4A27B" w:rsidR="00D25E3C" w:rsidRPr="00D25E3C" w:rsidRDefault="00D25E3C" w:rsidP="00D25E3C">
      <w:pPr>
        <w:autoSpaceDE w:val="0"/>
        <w:autoSpaceDN w:val="0"/>
        <w:adjustRightInd w:val="0"/>
        <w:spacing w:after="120" w:line="480" w:lineRule="auto"/>
        <w:ind w:left="720"/>
        <w:jc w:val="both"/>
        <w:rPr>
          <w:rFonts w:ascii="Arial" w:hAnsi="Arial" w:cs="Arial"/>
          <w:sz w:val="24"/>
          <w:szCs w:val="24"/>
        </w:rPr>
      </w:pPr>
      <w:r w:rsidRPr="00D25E3C">
        <w:rPr>
          <w:rFonts w:ascii="Arial" w:hAnsi="Arial" w:cs="Arial"/>
          <w:sz w:val="24"/>
          <w:szCs w:val="24"/>
        </w:rPr>
        <w:lastRenderedPageBreak/>
        <w:t>(b) February 12, 20</w:t>
      </w:r>
      <w:r w:rsidR="00C8369A">
        <w:rPr>
          <w:rFonts w:ascii="Arial" w:hAnsi="Arial" w:cs="Arial"/>
          <w:sz w:val="24"/>
          <w:szCs w:val="24"/>
        </w:rPr>
        <w:t>15 – d</w:t>
      </w:r>
      <w:r>
        <w:rPr>
          <w:rFonts w:ascii="Arial" w:hAnsi="Arial" w:cs="Arial"/>
          <w:sz w:val="24"/>
          <w:szCs w:val="24"/>
        </w:rPr>
        <w:t xml:space="preserve">eadline for the filing of </w:t>
      </w:r>
      <w:r w:rsidRPr="00D25E3C">
        <w:rPr>
          <w:rFonts w:ascii="Arial" w:hAnsi="Arial" w:cs="Arial"/>
          <w:sz w:val="24"/>
          <w:szCs w:val="24"/>
        </w:rPr>
        <w:t xml:space="preserve">initial comments by Staff and </w:t>
      </w:r>
      <w:proofErr w:type="spellStart"/>
      <w:r w:rsidRPr="00D25E3C">
        <w:rPr>
          <w:rFonts w:ascii="Arial" w:hAnsi="Arial" w:cs="Arial"/>
          <w:sz w:val="24"/>
          <w:szCs w:val="24"/>
        </w:rPr>
        <w:t>intervenors</w:t>
      </w:r>
      <w:proofErr w:type="spellEnd"/>
      <w:r w:rsidRPr="00D25E3C">
        <w:rPr>
          <w:rFonts w:ascii="Arial" w:hAnsi="Arial" w:cs="Arial"/>
          <w:sz w:val="24"/>
          <w:szCs w:val="24"/>
        </w:rPr>
        <w:t>.</w:t>
      </w:r>
    </w:p>
    <w:p w14:paraId="5381E29A" w14:textId="7D36F81D" w:rsidR="00D25E3C" w:rsidRDefault="00D25E3C" w:rsidP="00D25E3C">
      <w:pPr>
        <w:autoSpaceDE w:val="0"/>
        <w:autoSpaceDN w:val="0"/>
        <w:adjustRightInd w:val="0"/>
        <w:spacing w:after="120" w:line="480" w:lineRule="auto"/>
        <w:ind w:firstLine="720"/>
        <w:jc w:val="both"/>
        <w:rPr>
          <w:rFonts w:ascii="Arial" w:hAnsi="Arial" w:cs="Arial"/>
          <w:sz w:val="24"/>
          <w:szCs w:val="24"/>
        </w:rPr>
      </w:pPr>
      <w:r w:rsidRPr="00D25E3C">
        <w:rPr>
          <w:rFonts w:ascii="Arial" w:hAnsi="Arial" w:cs="Arial"/>
          <w:sz w:val="24"/>
          <w:szCs w:val="24"/>
        </w:rPr>
        <w:t>(c) February 19, 20</w:t>
      </w:r>
      <w:r w:rsidR="00C8369A">
        <w:rPr>
          <w:rFonts w:ascii="Arial" w:hAnsi="Arial" w:cs="Arial"/>
          <w:sz w:val="24"/>
          <w:szCs w:val="24"/>
        </w:rPr>
        <w:t>15 – d</w:t>
      </w:r>
      <w:r>
        <w:rPr>
          <w:rFonts w:ascii="Arial" w:hAnsi="Arial" w:cs="Arial"/>
          <w:sz w:val="24"/>
          <w:szCs w:val="24"/>
        </w:rPr>
        <w:t xml:space="preserve">eadline for the filing of </w:t>
      </w:r>
      <w:r w:rsidRPr="00D25E3C">
        <w:rPr>
          <w:rFonts w:ascii="Arial" w:hAnsi="Arial" w:cs="Arial"/>
          <w:sz w:val="24"/>
          <w:szCs w:val="24"/>
        </w:rPr>
        <w:t>reply comments by all parties.</w:t>
      </w:r>
    </w:p>
    <w:p w14:paraId="2324D350" w14:textId="2E46C02C" w:rsidR="00C8369A" w:rsidRPr="00C8369A" w:rsidRDefault="00D25E3C" w:rsidP="00C8369A">
      <w:pPr>
        <w:autoSpaceDE w:val="0"/>
        <w:autoSpaceDN w:val="0"/>
        <w:adjustRightInd w:val="0"/>
        <w:spacing w:after="120" w:line="480" w:lineRule="auto"/>
        <w:jc w:val="both"/>
        <w:rPr>
          <w:rFonts w:ascii="Arial" w:hAnsi="Arial" w:cs="Arial"/>
          <w:sz w:val="24"/>
          <w:szCs w:val="24"/>
        </w:rPr>
      </w:pPr>
      <w:r>
        <w:rPr>
          <w:rFonts w:ascii="Arial" w:hAnsi="Arial" w:cs="Arial"/>
          <w:sz w:val="24"/>
          <w:szCs w:val="24"/>
        </w:rPr>
        <w:t>The Attorney Examiner provided three weeks for parties to draft comments</w:t>
      </w:r>
      <w:r w:rsidR="008858B9">
        <w:rPr>
          <w:rFonts w:ascii="Arial" w:hAnsi="Arial" w:cs="Arial"/>
          <w:sz w:val="24"/>
          <w:szCs w:val="24"/>
        </w:rPr>
        <w:t>,</w:t>
      </w:r>
      <w:r>
        <w:rPr>
          <w:rFonts w:ascii="Arial" w:hAnsi="Arial" w:cs="Arial"/>
          <w:sz w:val="24"/>
          <w:szCs w:val="24"/>
        </w:rPr>
        <w:t xml:space="preserve"> did not require expedited discovery</w:t>
      </w:r>
      <w:r w:rsidR="006D522F">
        <w:rPr>
          <w:rFonts w:ascii="Arial" w:hAnsi="Arial" w:cs="Arial"/>
          <w:sz w:val="24"/>
          <w:szCs w:val="24"/>
        </w:rPr>
        <w:t xml:space="preserve">, </w:t>
      </w:r>
      <w:r>
        <w:rPr>
          <w:rFonts w:ascii="Arial" w:hAnsi="Arial" w:cs="Arial"/>
          <w:sz w:val="24"/>
          <w:szCs w:val="24"/>
        </w:rPr>
        <w:t>and did not set the matter for hearing.</w:t>
      </w:r>
    </w:p>
    <w:p w14:paraId="7176D2CE" w14:textId="2B3DEFBB" w:rsidR="00545F29" w:rsidRDefault="00D25E3C" w:rsidP="00C8369A">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Pursuant </w:t>
      </w:r>
      <w:r w:rsidRPr="00B43AC5">
        <w:rPr>
          <w:rFonts w:ascii="Arial" w:hAnsi="Arial" w:cs="Arial"/>
          <w:sz w:val="24"/>
          <w:szCs w:val="24"/>
        </w:rPr>
        <w:t>to R.C. 4903.221 and Rule 4901-1-11, Ohio Administrative Code (“OAC”), Interstate Gas Supply, Inc. (“IGS” or “IGS Energy”) moves to intervene in the above captioned proceeding.</w:t>
      </w:r>
      <w:r w:rsidR="00C8369A">
        <w:rPr>
          <w:rFonts w:ascii="Arial" w:hAnsi="Arial" w:cs="Arial"/>
          <w:sz w:val="24"/>
          <w:szCs w:val="24"/>
        </w:rPr>
        <w:t xml:space="preserve">  </w:t>
      </w:r>
      <w:r w:rsidR="0056270F">
        <w:rPr>
          <w:rFonts w:ascii="Arial" w:hAnsi="Arial" w:cs="Arial"/>
          <w:sz w:val="24"/>
          <w:szCs w:val="24"/>
        </w:rPr>
        <w:t>As set forth in the attached Memorandum in Support, IGS submits that it has a direct, real, and substantial interest in the issues and matters involved in the above-captioned proceeding, and that it is so situated that the disp</w:t>
      </w:r>
      <w:r w:rsidR="00357C8B">
        <w:rPr>
          <w:rFonts w:ascii="Arial" w:hAnsi="Arial" w:cs="Arial"/>
          <w:sz w:val="24"/>
          <w:szCs w:val="24"/>
        </w:rPr>
        <w:t>osition of this</w:t>
      </w:r>
      <w:r w:rsidR="0056270F">
        <w:rPr>
          <w:rFonts w:ascii="Arial" w:hAnsi="Arial" w:cs="Arial"/>
          <w:sz w:val="24"/>
          <w:szCs w:val="24"/>
        </w:rPr>
        <w:t xml:space="preserve"> proceeding</w:t>
      </w:r>
      <w:r w:rsidR="00AA75B4">
        <w:rPr>
          <w:rFonts w:ascii="Arial" w:hAnsi="Arial" w:cs="Arial"/>
          <w:sz w:val="24"/>
          <w:szCs w:val="24"/>
        </w:rPr>
        <w:t xml:space="preserve"> without IGS’</w:t>
      </w:r>
      <w:r w:rsidR="005B63F0">
        <w:rPr>
          <w:rFonts w:ascii="Arial" w:hAnsi="Arial" w:cs="Arial"/>
          <w:sz w:val="24"/>
          <w:szCs w:val="24"/>
        </w:rPr>
        <w:t>s</w:t>
      </w:r>
      <w:r w:rsidR="0056270F">
        <w:rPr>
          <w:rFonts w:ascii="Arial" w:hAnsi="Arial" w:cs="Arial"/>
          <w:sz w:val="24"/>
          <w:szCs w:val="24"/>
        </w:rPr>
        <w:t xml:space="preserve"> participation may, as a practica</w:t>
      </w:r>
      <w:r w:rsidR="00AA75B4">
        <w:rPr>
          <w:rFonts w:ascii="Arial" w:hAnsi="Arial" w:cs="Arial"/>
          <w:sz w:val="24"/>
          <w:szCs w:val="24"/>
        </w:rPr>
        <w:t>l matter, impair or impede IGS’</w:t>
      </w:r>
      <w:r w:rsidR="00474257">
        <w:rPr>
          <w:rFonts w:ascii="Arial" w:hAnsi="Arial" w:cs="Arial"/>
          <w:sz w:val="24"/>
          <w:szCs w:val="24"/>
        </w:rPr>
        <w:t>s</w:t>
      </w:r>
      <w:r w:rsidR="0056270F">
        <w:rPr>
          <w:rFonts w:ascii="Arial" w:hAnsi="Arial" w:cs="Arial"/>
          <w:sz w:val="24"/>
          <w:szCs w:val="24"/>
        </w:rPr>
        <w:t xml:space="preserve"> ability to protect that interest.  IGS further submit</w:t>
      </w:r>
      <w:r w:rsidR="00955F86">
        <w:rPr>
          <w:rFonts w:ascii="Arial" w:hAnsi="Arial" w:cs="Arial"/>
          <w:sz w:val="24"/>
          <w:szCs w:val="24"/>
        </w:rPr>
        <w:t>s</w:t>
      </w:r>
      <w:r w:rsidR="00357C8B">
        <w:rPr>
          <w:rFonts w:ascii="Arial" w:hAnsi="Arial" w:cs="Arial"/>
          <w:sz w:val="24"/>
          <w:szCs w:val="24"/>
        </w:rPr>
        <w:t xml:space="preserve"> that its participation in this</w:t>
      </w:r>
      <w:r w:rsidR="0056270F">
        <w:rPr>
          <w:rFonts w:ascii="Arial" w:hAnsi="Arial" w:cs="Arial"/>
          <w:sz w:val="24"/>
          <w:szCs w:val="24"/>
        </w:rPr>
        <w:t xml:space="preserve"> proceeding will not cause undue delay, will not unjustly prejudice any existing party, and will contribute to the just and expeditious resolution of the is</w:t>
      </w:r>
      <w:r w:rsidR="00955F86">
        <w:rPr>
          <w:rFonts w:ascii="Arial" w:hAnsi="Arial" w:cs="Arial"/>
          <w:sz w:val="24"/>
          <w:szCs w:val="24"/>
        </w:rPr>
        <w:t>s</w:t>
      </w:r>
      <w:r w:rsidR="00357C8B">
        <w:rPr>
          <w:rFonts w:ascii="Arial" w:hAnsi="Arial" w:cs="Arial"/>
          <w:sz w:val="24"/>
          <w:szCs w:val="24"/>
        </w:rPr>
        <w:t>ues and concerns raised in this</w:t>
      </w:r>
      <w:r w:rsidR="0056270F">
        <w:rPr>
          <w:rFonts w:ascii="Arial" w:hAnsi="Arial" w:cs="Arial"/>
          <w:sz w:val="24"/>
          <w:szCs w:val="24"/>
        </w:rPr>
        <w:t xml:space="preserve"> proceeding.  </w:t>
      </w:r>
    </w:p>
    <w:p w14:paraId="080049CE" w14:textId="643644A8" w:rsidR="00C8369A" w:rsidRDefault="00955F86" w:rsidP="00C8369A">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IGS’</w:t>
      </w:r>
      <w:r w:rsidR="005B63F0">
        <w:rPr>
          <w:rFonts w:ascii="Arial" w:hAnsi="Arial" w:cs="Arial"/>
          <w:sz w:val="24"/>
          <w:szCs w:val="24"/>
        </w:rPr>
        <w:t>s</w:t>
      </w:r>
      <w:r w:rsidR="0056270F">
        <w:rPr>
          <w:rFonts w:ascii="Arial" w:hAnsi="Arial" w:cs="Arial"/>
          <w:sz w:val="24"/>
          <w:szCs w:val="24"/>
        </w:rPr>
        <w:t xml:space="preserve"> interests will not be adequately rep</w:t>
      </w:r>
      <w:r w:rsidR="00357C8B">
        <w:rPr>
          <w:rFonts w:ascii="Arial" w:hAnsi="Arial" w:cs="Arial"/>
          <w:sz w:val="24"/>
          <w:szCs w:val="24"/>
        </w:rPr>
        <w:t>resented by other parties to this</w:t>
      </w:r>
      <w:r w:rsidR="0056270F">
        <w:rPr>
          <w:rFonts w:ascii="Arial" w:hAnsi="Arial" w:cs="Arial"/>
          <w:sz w:val="24"/>
          <w:szCs w:val="24"/>
        </w:rPr>
        <w:t xml:space="preserve"> proceeding</w:t>
      </w:r>
      <w:r w:rsidR="008858B9">
        <w:rPr>
          <w:rFonts w:ascii="Arial" w:hAnsi="Arial" w:cs="Arial"/>
          <w:sz w:val="24"/>
          <w:szCs w:val="24"/>
        </w:rPr>
        <w:t>;</w:t>
      </w:r>
      <w:r w:rsidR="0056270F">
        <w:rPr>
          <w:rFonts w:ascii="Arial" w:hAnsi="Arial" w:cs="Arial"/>
          <w:sz w:val="24"/>
          <w:szCs w:val="24"/>
        </w:rPr>
        <w:t xml:space="preserve"> and</w:t>
      </w:r>
      <w:r w:rsidR="008858B9">
        <w:rPr>
          <w:rFonts w:ascii="Arial" w:hAnsi="Arial" w:cs="Arial"/>
          <w:sz w:val="24"/>
          <w:szCs w:val="24"/>
        </w:rPr>
        <w:t>,</w:t>
      </w:r>
      <w:r w:rsidR="0056270F">
        <w:rPr>
          <w:rFonts w:ascii="Arial" w:hAnsi="Arial" w:cs="Arial"/>
          <w:sz w:val="24"/>
          <w:szCs w:val="24"/>
        </w:rPr>
        <w:t xml:space="preserve"> therefore, IGS is entitled t</w:t>
      </w:r>
      <w:r>
        <w:rPr>
          <w:rFonts w:ascii="Arial" w:hAnsi="Arial" w:cs="Arial"/>
          <w:sz w:val="24"/>
          <w:szCs w:val="24"/>
        </w:rPr>
        <w:t>o intervene in</w:t>
      </w:r>
      <w:r w:rsidR="00357C8B">
        <w:rPr>
          <w:rFonts w:ascii="Arial" w:hAnsi="Arial" w:cs="Arial"/>
          <w:sz w:val="24"/>
          <w:szCs w:val="24"/>
        </w:rPr>
        <w:t xml:space="preserve"> this</w:t>
      </w:r>
      <w:r w:rsidR="0056270F">
        <w:rPr>
          <w:rFonts w:ascii="Arial" w:hAnsi="Arial" w:cs="Arial"/>
          <w:sz w:val="24"/>
          <w:szCs w:val="24"/>
        </w:rPr>
        <w:t xml:space="preserve"> proceeding with the full powers and rights granted to intervening parties.</w:t>
      </w:r>
    </w:p>
    <w:p w14:paraId="1A4F47F8" w14:textId="203F3BFD" w:rsidR="00002FF7" w:rsidRDefault="00D25E3C">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Additionally</w:t>
      </w:r>
      <w:r w:rsidR="00002FF7">
        <w:rPr>
          <w:rFonts w:ascii="Arial" w:hAnsi="Arial" w:cs="Arial"/>
          <w:sz w:val="24"/>
          <w:szCs w:val="24"/>
        </w:rPr>
        <w:t xml:space="preserve">, IGS moves to </w:t>
      </w:r>
      <w:r w:rsidR="009C531F">
        <w:rPr>
          <w:rFonts w:ascii="Arial" w:hAnsi="Arial" w:cs="Arial"/>
          <w:sz w:val="24"/>
          <w:szCs w:val="24"/>
        </w:rPr>
        <w:t>revise</w:t>
      </w:r>
      <w:r w:rsidR="00002FF7">
        <w:rPr>
          <w:rFonts w:ascii="Arial" w:hAnsi="Arial" w:cs="Arial"/>
          <w:sz w:val="24"/>
          <w:szCs w:val="24"/>
        </w:rPr>
        <w:t xml:space="preserve"> the</w:t>
      </w:r>
      <w:r w:rsidR="00C8369A">
        <w:rPr>
          <w:rFonts w:ascii="Arial" w:hAnsi="Arial" w:cs="Arial"/>
          <w:sz w:val="24"/>
          <w:szCs w:val="24"/>
        </w:rPr>
        <w:t xml:space="preserve"> procedural s</w:t>
      </w:r>
      <w:r w:rsidR="001600F8">
        <w:rPr>
          <w:rFonts w:ascii="Arial" w:hAnsi="Arial" w:cs="Arial"/>
          <w:sz w:val="24"/>
          <w:szCs w:val="24"/>
        </w:rPr>
        <w:t>chedule</w:t>
      </w:r>
      <w:r w:rsidR="00002FF7">
        <w:rPr>
          <w:rFonts w:ascii="Arial" w:hAnsi="Arial" w:cs="Arial"/>
          <w:sz w:val="24"/>
          <w:szCs w:val="24"/>
        </w:rPr>
        <w:t xml:space="preserve"> and set this matter for hearing because the Application appears to be unjust and unreasonable.  Moreover, m</w:t>
      </w:r>
      <w:r w:rsidR="001600F8">
        <w:rPr>
          <w:rFonts w:ascii="Arial" w:hAnsi="Arial" w:cs="Arial"/>
          <w:sz w:val="24"/>
          <w:szCs w:val="24"/>
        </w:rPr>
        <w:t>ore inf</w:t>
      </w:r>
      <w:r w:rsidR="00002FF7">
        <w:rPr>
          <w:rFonts w:ascii="Arial" w:hAnsi="Arial" w:cs="Arial"/>
          <w:sz w:val="24"/>
          <w:szCs w:val="24"/>
        </w:rPr>
        <w:t>ormation is necessary to properly evaluate Duke’s proposals</w:t>
      </w:r>
      <w:r w:rsidR="001600F8">
        <w:rPr>
          <w:rFonts w:ascii="Arial" w:hAnsi="Arial" w:cs="Arial"/>
          <w:sz w:val="24"/>
          <w:szCs w:val="24"/>
        </w:rPr>
        <w:t>.</w:t>
      </w:r>
      <w:r w:rsidR="00002FF7">
        <w:rPr>
          <w:rFonts w:ascii="Arial" w:hAnsi="Arial" w:cs="Arial"/>
          <w:sz w:val="24"/>
          <w:szCs w:val="24"/>
        </w:rPr>
        <w:t xml:space="preserve">  Thus, the Commission should direct Duke to file testimony in support of its Application, allow </w:t>
      </w:r>
      <w:r w:rsidR="00002FF7">
        <w:rPr>
          <w:rFonts w:ascii="Arial" w:hAnsi="Arial" w:cs="Arial"/>
          <w:sz w:val="24"/>
          <w:szCs w:val="24"/>
        </w:rPr>
        <w:lastRenderedPageBreak/>
        <w:t>CRNG providers to participate in discovery and to submit testimony.  Therefore, IGS requests that the Commission adopt the following schedule:</w:t>
      </w:r>
    </w:p>
    <w:p w14:paraId="720FC558" w14:textId="77777777" w:rsidR="0026383E" w:rsidRDefault="0026383E" w:rsidP="0026383E">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Duke files testimony on March 16, 2015;</w:t>
      </w:r>
    </w:p>
    <w:p w14:paraId="6212B661" w14:textId="77777777" w:rsidR="0026383E" w:rsidRDefault="0026383E" w:rsidP="0026383E">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CRNG providers file testimony on April 30, 2015;</w:t>
      </w:r>
    </w:p>
    <w:p w14:paraId="02EB995C" w14:textId="77777777" w:rsidR="0026383E" w:rsidRDefault="0026383E" w:rsidP="0026383E">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Staff files testimony on May 14, 2015;</w:t>
      </w:r>
    </w:p>
    <w:p w14:paraId="2367040A" w14:textId="77777777" w:rsidR="0026383E" w:rsidRPr="006D522F" w:rsidRDefault="0026383E" w:rsidP="0026383E">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If no settlement is reached, a hearing on May 21, 2015 </w:t>
      </w:r>
    </w:p>
    <w:p w14:paraId="043F8283" w14:textId="5969A187" w:rsidR="00066F87" w:rsidRDefault="00066F87" w:rsidP="006E6E5E">
      <w:pPr>
        <w:spacing w:after="0" w:line="480" w:lineRule="auto"/>
        <w:jc w:val="both"/>
        <w:rPr>
          <w:rFonts w:ascii="Arial" w:hAnsi="Arial" w:cs="Arial"/>
          <w:sz w:val="24"/>
          <w:szCs w:val="24"/>
        </w:rPr>
      </w:pPr>
      <w:r>
        <w:rPr>
          <w:rFonts w:ascii="Arial" w:hAnsi="Arial" w:cs="Arial"/>
          <w:sz w:val="24"/>
          <w:szCs w:val="24"/>
        </w:rPr>
        <w:t>In the alternative, IGS requests that the Commission</w:t>
      </w:r>
      <w:r w:rsidRPr="00066F87">
        <w:rPr>
          <w:rFonts w:ascii="Arial" w:hAnsi="Arial" w:cs="Arial"/>
          <w:sz w:val="24"/>
          <w:szCs w:val="24"/>
        </w:rPr>
        <w:t xml:space="preserve"> consolidate this case with Duke’s upcoming G</w:t>
      </w:r>
      <w:r>
        <w:rPr>
          <w:rFonts w:ascii="Arial" w:hAnsi="Arial" w:cs="Arial"/>
          <w:sz w:val="24"/>
          <w:szCs w:val="24"/>
        </w:rPr>
        <w:t>as Cost Recovery (“G</w:t>
      </w:r>
      <w:r w:rsidRPr="00066F87">
        <w:rPr>
          <w:rFonts w:ascii="Arial" w:hAnsi="Arial" w:cs="Arial"/>
          <w:sz w:val="24"/>
          <w:szCs w:val="24"/>
        </w:rPr>
        <w:t>CR</w:t>
      </w:r>
      <w:r>
        <w:rPr>
          <w:rFonts w:ascii="Arial" w:hAnsi="Arial" w:cs="Arial"/>
          <w:sz w:val="24"/>
          <w:szCs w:val="24"/>
        </w:rPr>
        <w:t>”) management performance audit</w:t>
      </w:r>
      <w:r w:rsidRPr="00066F87">
        <w:rPr>
          <w:rFonts w:ascii="Arial" w:hAnsi="Arial" w:cs="Arial"/>
          <w:sz w:val="24"/>
          <w:szCs w:val="24"/>
        </w:rPr>
        <w:t xml:space="preserve"> case to more</w:t>
      </w:r>
      <w:r>
        <w:rPr>
          <w:rFonts w:ascii="Arial" w:hAnsi="Arial" w:cs="Arial"/>
          <w:sz w:val="24"/>
          <w:szCs w:val="24"/>
        </w:rPr>
        <w:t xml:space="preserve"> efficiently consider the inter-</w:t>
      </w:r>
      <w:r w:rsidRPr="00066F87">
        <w:rPr>
          <w:rFonts w:ascii="Arial" w:hAnsi="Arial" w:cs="Arial"/>
          <w:sz w:val="24"/>
          <w:szCs w:val="24"/>
        </w:rPr>
        <w:t>related issues</w:t>
      </w:r>
      <w:r>
        <w:rPr>
          <w:rFonts w:ascii="Arial" w:hAnsi="Arial" w:cs="Arial"/>
          <w:sz w:val="24"/>
          <w:szCs w:val="24"/>
        </w:rPr>
        <w:t>.</w:t>
      </w:r>
    </w:p>
    <w:p w14:paraId="6DFD9D18" w14:textId="77AB2335" w:rsidR="006E6E5E" w:rsidRDefault="006E6E5E" w:rsidP="00066F87">
      <w:pPr>
        <w:spacing w:after="0" w:line="480" w:lineRule="auto"/>
        <w:ind w:firstLine="720"/>
        <w:jc w:val="both"/>
        <w:rPr>
          <w:rFonts w:ascii="Arial" w:hAnsi="Arial" w:cs="Arial"/>
          <w:sz w:val="24"/>
          <w:szCs w:val="24"/>
        </w:rPr>
      </w:pPr>
      <w:r>
        <w:rPr>
          <w:rFonts w:ascii="Arial" w:hAnsi="Arial" w:cs="Arial"/>
          <w:sz w:val="24"/>
          <w:szCs w:val="24"/>
        </w:rPr>
        <w:t xml:space="preserve">For the reasons set forth in the attached memorandum in support, IGS requests that the Commission grant this Motion. </w:t>
      </w:r>
    </w:p>
    <w:p w14:paraId="1D26AB60" w14:textId="77777777" w:rsidR="006E6E5E" w:rsidRDefault="006E6E5E" w:rsidP="006E6E5E">
      <w:pPr>
        <w:spacing w:after="0" w:line="240" w:lineRule="auto"/>
        <w:rPr>
          <w:rFonts w:ascii="Arial" w:hAnsi="Arial" w:cs="Arial"/>
          <w:sz w:val="24"/>
          <w:szCs w:val="24"/>
        </w:rPr>
      </w:pPr>
    </w:p>
    <w:p w14:paraId="7D5AB4AB" w14:textId="77777777" w:rsidR="006E6E5E" w:rsidRDefault="006E6E5E" w:rsidP="006E6E5E">
      <w:pPr>
        <w:spacing w:after="0" w:line="240" w:lineRule="auto"/>
        <w:rPr>
          <w:rFonts w:ascii="Arial" w:hAnsi="Arial" w:cs="Arial"/>
          <w:sz w:val="24"/>
          <w:szCs w:val="24"/>
        </w:rPr>
      </w:pPr>
    </w:p>
    <w:p w14:paraId="7176D2D0" w14:textId="77777777" w:rsidR="00545F29" w:rsidRDefault="0056270F">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7176D2D1" w14:textId="77777777" w:rsidR="00545F29" w:rsidRDefault="00545F29">
      <w:pPr>
        <w:spacing w:after="0" w:line="240" w:lineRule="auto"/>
        <w:ind w:left="5040"/>
        <w:rPr>
          <w:rFonts w:ascii="Arial" w:eastAsia="Calibri" w:hAnsi="Arial" w:cs="Arial"/>
          <w:sz w:val="24"/>
          <w:szCs w:val="24"/>
        </w:rPr>
      </w:pPr>
    </w:p>
    <w:p w14:paraId="7176D2D2" w14:textId="77777777" w:rsidR="00545F29" w:rsidRDefault="00545F29">
      <w:pPr>
        <w:spacing w:after="0" w:line="240" w:lineRule="auto"/>
        <w:ind w:left="5040"/>
        <w:rPr>
          <w:rFonts w:ascii="Arial" w:eastAsia="Calibri" w:hAnsi="Arial" w:cs="Arial"/>
          <w:sz w:val="24"/>
          <w:szCs w:val="24"/>
        </w:rPr>
      </w:pPr>
    </w:p>
    <w:p w14:paraId="7176D2D3" w14:textId="77777777" w:rsidR="00545F29" w:rsidRDefault="00545F29">
      <w:pPr>
        <w:spacing w:after="0" w:line="240" w:lineRule="auto"/>
        <w:ind w:left="5040"/>
        <w:rPr>
          <w:rFonts w:ascii="Arial" w:eastAsia="Calibri" w:hAnsi="Arial" w:cs="Arial"/>
          <w:sz w:val="24"/>
          <w:szCs w:val="24"/>
          <w:u w:val="single"/>
        </w:rPr>
      </w:pPr>
    </w:p>
    <w:p w14:paraId="7176D2D4" w14:textId="71202B1E" w:rsidR="00F10F9B" w:rsidRPr="00D223D6" w:rsidRDefault="00F5720A">
      <w:pPr>
        <w:spacing w:after="0" w:line="240" w:lineRule="auto"/>
        <w:ind w:left="5040"/>
        <w:rPr>
          <w:rFonts w:ascii="Arial" w:eastAsia="Arial" w:hAnsi="Arial" w:cs="Arial"/>
          <w:b/>
          <w:i/>
          <w:sz w:val="24"/>
          <w:szCs w:val="24"/>
          <w:u w:val="single"/>
        </w:rPr>
      </w:pPr>
      <w:r w:rsidRPr="00D223D6">
        <w:rPr>
          <w:rFonts w:ascii="Arial" w:eastAsia="Arial" w:hAnsi="Arial" w:cs="Arial"/>
          <w:b/>
          <w:i/>
          <w:sz w:val="24"/>
          <w:szCs w:val="24"/>
          <w:u w:val="single"/>
        </w:rPr>
        <w:t>/s/ Joseph Oliker</w:t>
      </w:r>
    </w:p>
    <w:p w14:paraId="0181F1A6" w14:textId="10887A4B" w:rsidR="00F5720A" w:rsidRPr="007B3399" w:rsidRDefault="00F5720A" w:rsidP="007B3399">
      <w:pPr>
        <w:spacing w:after="0" w:line="240" w:lineRule="auto"/>
        <w:ind w:left="5040"/>
        <w:rPr>
          <w:rFonts w:ascii="Arial" w:hAnsi="Arial" w:cs="Arial"/>
          <w:sz w:val="24"/>
          <w:szCs w:val="24"/>
        </w:rPr>
      </w:pPr>
      <w:r>
        <w:rPr>
          <w:rFonts w:ascii="Arial" w:eastAsia="Arial" w:hAnsi="Arial" w:cs="Arial"/>
          <w:sz w:val="24"/>
          <w:szCs w:val="24"/>
        </w:rPr>
        <w:t>Joseph Oliker</w:t>
      </w:r>
      <w:r w:rsidR="007B3399">
        <w:rPr>
          <w:rFonts w:ascii="Arial" w:eastAsia="Arial" w:hAnsi="Arial" w:cs="Arial"/>
          <w:sz w:val="24"/>
          <w:szCs w:val="24"/>
        </w:rPr>
        <w:t xml:space="preserve"> </w:t>
      </w:r>
    </w:p>
    <w:p w14:paraId="4878AB42" w14:textId="5D55136F" w:rsidR="00F5720A" w:rsidRDefault="00F5720A">
      <w:pPr>
        <w:spacing w:after="0" w:line="240" w:lineRule="auto"/>
        <w:ind w:left="5040"/>
        <w:rPr>
          <w:rFonts w:ascii="Arial" w:eastAsia="Calibri" w:hAnsi="Arial" w:cs="Arial"/>
          <w:sz w:val="24"/>
          <w:szCs w:val="24"/>
          <w:u w:val="single"/>
        </w:rPr>
      </w:pPr>
      <w:r>
        <w:rPr>
          <w:rFonts w:ascii="Arial" w:eastAsia="Arial" w:hAnsi="Arial" w:cs="Arial"/>
          <w:sz w:val="24"/>
          <w:szCs w:val="24"/>
        </w:rPr>
        <w:t xml:space="preserve">Counsel of Record </w:t>
      </w:r>
    </w:p>
    <w:p w14:paraId="7176D2D6" w14:textId="1BBE8363" w:rsidR="00545F29" w:rsidRDefault="00F5720A" w:rsidP="00F5720A">
      <w:pPr>
        <w:spacing w:after="0" w:line="240" w:lineRule="auto"/>
        <w:ind w:left="5040"/>
        <w:rPr>
          <w:rFonts w:ascii="Arial" w:hAnsi="Arial" w:cs="Arial"/>
          <w:sz w:val="24"/>
          <w:szCs w:val="24"/>
        </w:rPr>
      </w:pPr>
      <w:r>
        <w:rPr>
          <w:rFonts w:ascii="Arial" w:hAnsi="Arial" w:cs="Arial"/>
          <w:sz w:val="24"/>
          <w:szCs w:val="24"/>
        </w:rPr>
        <w:t>joliker</w:t>
      </w:r>
      <w:r w:rsidR="0056270F">
        <w:rPr>
          <w:rFonts w:ascii="Arial" w:hAnsi="Arial" w:cs="Arial"/>
          <w:sz w:val="24"/>
          <w:szCs w:val="24"/>
        </w:rPr>
        <w:t>@igsenergy.com</w:t>
      </w:r>
    </w:p>
    <w:p w14:paraId="7176D2DA" w14:textId="71124126"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2DB"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2DC"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2DD"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2DE"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2DF" w14:textId="77777777" w:rsidR="00545F29" w:rsidRDefault="00545F29">
      <w:pPr>
        <w:spacing w:after="0" w:line="240" w:lineRule="auto"/>
        <w:ind w:left="5040"/>
        <w:rPr>
          <w:rFonts w:ascii="Arial" w:hAnsi="Arial" w:cs="Arial"/>
          <w:sz w:val="24"/>
          <w:szCs w:val="24"/>
        </w:rPr>
      </w:pPr>
    </w:p>
    <w:p w14:paraId="7176D2E1" w14:textId="48CD5939" w:rsidR="00545F29" w:rsidRPr="00237730" w:rsidRDefault="00553D21" w:rsidP="00237730">
      <w:pPr>
        <w:spacing w:after="0" w:line="240" w:lineRule="auto"/>
        <w:ind w:left="5040"/>
        <w:rPr>
          <w:rFonts w:ascii="Arial" w:hAnsi="Arial" w:cs="Arial"/>
          <w:b/>
          <w:i/>
          <w:sz w:val="24"/>
          <w:szCs w:val="24"/>
        </w:rPr>
      </w:pPr>
      <w:r>
        <w:rPr>
          <w:rFonts w:ascii="Arial" w:hAnsi="Arial" w:cs="Arial"/>
          <w:b/>
          <w:i/>
          <w:sz w:val="24"/>
          <w:szCs w:val="24"/>
        </w:rPr>
        <w:t>Attorney</w:t>
      </w:r>
      <w:r w:rsidR="00237730">
        <w:rPr>
          <w:rFonts w:ascii="Arial" w:hAnsi="Arial" w:cs="Arial"/>
          <w:b/>
          <w:i/>
          <w:sz w:val="24"/>
          <w:szCs w:val="24"/>
        </w:rPr>
        <w:t xml:space="preserve"> for IGS Energy</w:t>
      </w:r>
    </w:p>
    <w:p w14:paraId="5B995E50" w14:textId="6CDDC3AA" w:rsidR="003D01DA" w:rsidRDefault="003D01DA">
      <w:pPr>
        <w:rPr>
          <w:rFonts w:ascii="Arial" w:hAnsi="Arial" w:cs="Arial"/>
          <w:b/>
          <w:szCs w:val="24"/>
          <w:u w:val="single"/>
        </w:rPr>
      </w:pPr>
    </w:p>
    <w:p w14:paraId="12A82F05" w14:textId="77777777" w:rsidR="003D01DA" w:rsidRDefault="003D01DA">
      <w:pPr>
        <w:rPr>
          <w:rFonts w:ascii="Arial" w:hAnsi="Arial" w:cs="Arial"/>
          <w:b/>
          <w:szCs w:val="24"/>
          <w:u w:val="single"/>
        </w:rPr>
      </w:pPr>
    </w:p>
    <w:p w14:paraId="08B54391" w14:textId="77777777" w:rsidR="006646D6" w:rsidRDefault="006646D6" w:rsidP="006646D6">
      <w:pPr>
        <w:pStyle w:val="Title"/>
        <w:widowControl w:val="0"/>
        <w:jc w:val="left"/>
        <w:rPr>
          <w:rFonts w:ascii="Arial" w:eastAsiaTheme="minorEastAsia" w:hAnsi="Arial" w:cs="Arial"/>
          <w:sz w:val="22"/>
          <w:szCs w:val="24"/>
          <w:u w:val="single"/>
        </w:rPr>
      </w:pPr>
    </w:p>
    <w:p w14:paraId="7354D4EF" w14:textId="77777777" w:rsidR="00066F87" w:rsidRDefault="00066F87" w:rsidP="006646D6">
      <w:pPr>
        <w:pStyle w:val="Title"/>
        <w:widowControl w:val="0"/>
        <w:jc w:val="left"/>
        <w:rPr>
          <w:rFonts w:ascii="Arial" w:hAnsi="Arial" w:cs="Arial"/>
          <w:szCs w:val="24"/>
        </w:rPr>
      </w:pPr>
    </w:p>
    <w:p w14:paraId="0E85A5EB" w14:textId="77777777" w:rsidR="00357C8B" w:rsidRPr="009D71F6" w:rsidRDefault="00357C8B" w:rsidP="00357C8B">
      <w:pPr>
        <w:pStyle w:val="Title"/>
        <w:widowControl w:val="0"/>
        <w:rPr>
          <w:rFonts w:ascii="Arial" w:hAnsi="Arial" w:cs="Arial"/>
          <w:szCs w:val="24"/>
        </w:rPr>
      </w:pPr>
      <w:r w:rsidRPr="009D71F6">
        <w:rPr>
          <w:rFonts w:ascii="Arial" w:hAnsi="Arial" w:cs="Arial"/>
          <w:szCs w:val="24"/>
        </w:rPr>
        <w:lastRenderedPageBreak/>
        <w:t>BEFORE</w:t>
      </w:r>
    </w:p>
    <w:p w14:paraId="383AEAE9" w14:textId="77777777" w:rsidR="00357C8B" w:rsidRPr="009D71F6" w:rsidRDefault="00357C8B" w:rsidP="00357C8B">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B43AC5" w:rsidRPr="009D71F6" w14:paraId="3A9F5413" w14:textId="77777777" w:rsidTr="002716EB">
        <w:trPr>
          <w:trHeight w:val="873"/>
          <w:jc w:val="center"/>
        </w:trPr>
        <w:tc>
          <w:tcPr>
            <w:tcW w:w="4739" w:type="dxa"/>
          </w:tcPr>
          <w:p w14:paraId="72596B40" w14:textId="77777777" w:rsidR="00B43AC5" w:rsidRPr="00B43AC5" w:rsidRDefault="00B43AC5" w:rsidP="003836EA">
            <w:pPr>
              <w:widowControl w:val="0"/>
              <w:spacing w:after="0" w:line="240" w:lineRule="auto"/>
              <w:jc w:val="both"/>
              <w:rPr>
                <w:rFonts w:ascii="Arial" w:hAnsi="Arial" w:cs="Arial"/>
                <w:sz w:val="24"/>
                <w:szCs w:val="24"/>
              </w:rPr>
            </w:pPr>
            <w:r w:rsidRPr="00B43AC5">
              <w:rPr>
                <w:rFonts w:ascii="Arial" w:hAnsi="Arial" w:cs="Arial"/>
                <w:sz w:val="24"/>
                <w:szCs w:val="24"/>
              </w:rPr>
              <w:t>In The Matter of the Application of Duke</w:t>
            </w:r>
          </w:p>
          <w:p w14:paraId="6B745B2D" w14:textId="77777777" w:rsidR="00B43AC5" w:rsidRPr="00B43AC5" w:rsidRDefault="00B43AC5" w:rsidP="003836EA">
            <w:pPr>
              <w:widowControl w:val="0"/>
              <w:spacing w:after="0" w:line="240" w:lineRule="auto"/>
              <w:jc w:val="both"/>
              <w:rPr>
                <w:rFonts w:ascii="Arial" w:hAnsi="Arial" w:cs="Arial"/>
                <w:sz w:val="24"/>
                <w:szCs w:val="24"/>
              </w:rPr>
            </w:pPr>
            <w:r w:rsidRPr="00B43AC5">
              <w:rPr>
                <w:rFonts w:ascii="Arial" w:hAnsi="Arial" w:cs="Arial"/>
                <w:sz w:val="24"/>
                <w:szCs w:val="24"/>
              </w:rPr>
              <w:t>Energy Ohio, Inc., for Approval to</w:t>
            </w:r>
          </w:p>
          <w:p w14:paraId="69DAC0F6" w14:textId="77777777" w:rsidR="00B43AC5" w:rsidRPr="00B43AC5" w:rsidRDefault="00B43AC5" w:rsidP="003836EA">
            <w:pPr>
              <w:widowControl w:val="0"/>
              <w:spacing w:after="0" w:line="240" w:lineRule="auto"/>
              <w:jc w:val="both"/>
              <w:rPr>
                <w:rFonts w:ascii="Arial" w:hAnsi="Arial" w:cs="Arial"/>
                <w:sz w:val="24"/>
                <w:szCs w:val="24"/>
              </w:rPr>
            </w:pPr>
            <w:r w:rsidRPr="00B43AC5">
              <w:rPr>
                <w:rFonts w:ascii="Arial" w:hAnsi="Arial" w:cs="Arial"/>
                <w:sz w:val="24"/>
                <w:szCs w:val="24"/>
              </w:rPr>
              <w:t>Modify Rider FBS, Rider EFBS, and</w:t>
            </w:r>
          </w:p>
          <w:p w14:paraId="4752AB82" w14:textId="082981B3" w:rsidR="00B43AC5" w:rsidRPr="009D71F6" w:rsidRDefault="00B43AC5" w:rsidP="002716EB">
            <w:pPr>
              <w:widowControl w:val="0"/>
              <w:spacing w:after="0" w:line="240" w:lineRule="auto"/>
              <w:jc w:val="both"/>
              <w:rPr>
                <w:rFonts w:ascii="Arial" w:hAnsi="Arial" w:cs="Arial"/>
                <w:sz w:val="24"/>
                <w:szCs w:val="24"/>
              </w:rPr>
            </w:pPr>
            <w:r w:rsidRPr="00B43AC5">
              <w:rPr>
                <w:rFonts w:ascii="Arial" w:hAnsi="Arial" w:cs="Arial"/>
                <w:sz w:val="24"/>
                <w:szCs w:val="24"/>
              </w:rPr>
              <w:t>Rider FRAS</w:t>
            </w:r>
          </w:p>
        </w:tc>
        <w:tc>
          <w:tcPr>
            <w:tcW w:w="630" w:type="dxa"/>
          </w:tcPr>
          <w:p w14:paraId="23722F2F" w14:textId="77777777" w:rsidR="00B43AC5" w:rsidRPr="009D71F6" w:rsidRDefault="00B43AC5" w:rsidP="003836EA">
            <w:pPr>
              <w:widowControl w:val="0"/>
              <w:spacing w:after="0" w:line="240" w:lineRule="auto"/>
              <w:jc w:val="center"/>
              <w:rPr>
                <w:rFonts w:ascii="Arial" w:hAnsi="Arial" w:cs="Arial"/>
                <w:sz w:val="24"/>
                <w:szCs w:val="24"/>
              </w:rPr>
            </w:pPr>
            <w:r w:rsidRPr="009D71F6">
              <w:rPr>
                <w:rFonts w:ascii="Arial" w:hAnsi="Arial" w:cs="Arial"/>
                <w:sz w:val="24"/>
                <w:szCs w:val="24"/>
              </w:rPr>
              <w:t>)</w:t>
            </w:r>
          </w:p>
          <w:p w14:paraId="6E88D405" w14:textId="77777777" w:rsidR="00B43AC5" w:rsidRPr="009D71F6" w:rsidRDefault="00B43AC5" w:rsidP="003836EA">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23ABBA1" w14:textId="77777777" w:rsidR="00B43AC5" w:rsidRPr="009D71F6" w:rsidRDefault="00B43AC5" w:rsidP="003836EA">
            <w:pPr>
              <w:widowControl w:val="0"/>
              <w:spacing w:after="0" w:line="240" w:lineRule="auto"/>
              <w:jc w:val="center"/>
              <w:rPr>
                <w:rFonts w:ascii="Arial" w:hAnsi="Arial" w:cs="Arial"/>
                <w:sz w:val="24"/>
                <w:szCs w:val="24"/>
              </w:rPr>
            </w:pPr>
            <w:r w:rsidRPr="009D71F6">
              <w:rPr>
                <w:rFonts w:ascii="Arial" w:hAnsi="Arial" w:cs="Arial"/>
                <w:sz w:val="24"/>
                <w:szCs w:val="24"/>
              </w:rPr>
              <w:t>)</w:t>
            </w:r>
          </w:p>
          <w:p w14:paraId="04156119" w14:textId="723CD40C" w:rsidR="00B43AC5" w:rsidRPr="009D71F6" w:rsidRDefault="00B43AC5" w:rsidP="002716EB">
            <w:pPr>
              <w:widowControl w:val="0"/>
              <w:spacing w:after="0" w:line="240" w:lineRule="auto"/>
              <w:jc w:val="center"/>
              <w:rPr>
                <w:rFonts w:ascii="Arial" w:hAnsi="Arial" w:cs="Arial"/>
                <w:sz w:val="24"/>
                <w:szCs w:val="24"/>
              </w:rPr>
            </w:pPr>
            <w:r w:rsidRPr="009D71F6">
              <w:rPr>
                <w:rFonts w:ascii="Arial" w:hAnsi="Arial" w:cs="Arial"/>
                <w:sz w:val="24"/>
                <w:szCs w:val="24"/>
              </w:rPr>
              <w:t>)</w:t>
            </w:r>
          </w:p>
        </w:tc>
        <w:tc>
          <w:tcPr>
            <w:tcW w:w="3928" w:type="dxa"/>
          </w:tcPr>
          <w:p w14:paraId="229FB1EB" w14:textId="77777777" w:rsidR="00B43AC5" w:rsidRPr="009D71F6" w:rsidRDefault="00B43AC5" w:rsidP="003836EA">
            <w:pPr>
              <w:widowControl w:val="0"/>
              <w:spacing w:after="0" w:line="240" w:lineRule="auto"/>
              <w:rPr>
                <w:rFonts w:ascii="Arial" w:hAnsi="Arial" w:cs="Arial"/>
                <w:sz w:val="24"/>
                <w:szCs w:val="24"/>
              </w:rPr>
            </w:pPr>
          </w:p>
          <w:p w14:paraId="63794AE0" w14:textId="77777777" w:rsidR="00B43AC5" w:rsidRPr="009D71F6" w:rsidRDefault="00B43AC5" w:rsidP="003836EA">
            <w:pPr>
              <w:widowControl w:val="0"/>
              <w:spacing w:after="0" w:line="240" w:lineRule="auto"/>
              <w:rPr>
                <w:rFonts w:ascii="Arial" w:hAnsi="Arial" w:cs="Arial"/>
                <w:sz w:val="24"/>
                <w:szCs w:val="24"/>
              </w:rPr>
            </w:pPr>
          </w:p>
          <w:p w14:paraId="3F3A70A8" w14:textId="77777777" w:rsidR="00B43AC5" w:rsidRPr="009D71F6" w:rsidRDefault="00B43AC5" w:rsidP="003836EA">
            <w:pPr>
              <w:widowControl w:val="0"/>
              <w:spacing w:after="0" w:line="240" w:lineRule="auto"/>
              <w:rPr>
                <w:rFonts w:ascii="Arial" w:hAnsi="Arial" w:cs="Arial"/>
                <w:sz w:val="24"/>
                <w:szCs w:val="24"/>
              </w:rPr>
            </w:pPr>
            <w:r>
              <w:rPr>
                <w:rFonts w:ascii="Arial" w:hAnsi="Arial" w:cs="Arial"/>
                <w:sz w:val="24"/>
                <w:szCs w:val="24"/>
              </w:rPr>
              <w:t>Case No. 15-0050-GA-RDR</w:t>
            </w:r>
          </w:p>
          <w:p w14:paraId="630B1130" w14:textId="77777777" w:rsidR="00B43AC5" w:rsidRPr="009D71F6" w:rsidRDefault="00B43AC5" w:rsidP="002716EB">
            <w:pPr>
              <w:widowControl w:val="0"/>
              <w:spacing w:after="0" w:line="240" w:lineRule="auto"/>
              <w:rPr>
                <w:rFonts w:ascii="Arial" w:hAnsi="Arial" w:cs="Arial"/>
                <w:sz w:val="24"/>
                <w:szCs w:val="24"/>
              </w:rPr>
            </w:pPr>
          </w:p>
        </w:tc>
      </w:tr>
    </w:tbl>
    <w:p w14:paraId="0FE16574"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54FDC7D0" w14:textId="77777777" w:rsidR="00237730" w:rsidRPr="009D71F6" w:rsidRDefault="00237730" w:rsidP="00237730">
      <w:pPr>
        <w:widowControl w:val="0"/>
        <w:spacing w:after="0" w:line="240" w:lineRule="auto"/>
        <w:jc w:val="center"/>
        <w:rPr>
          <w:rFonts w:ascii="Arial" w:hAnsi="Arial" w:cs="Arial"/>
          <w:b/>
          <w:bCs/>
          <w:sz w:val="24"/>
          <w:szCs w:val="24"/>
        </w:rPr>
      </w:pPr>
    </w:p>
    <w:p w14:paraId="26E76B01" w14:textId="71070922" w:rsidR="00237730" w:rsidRPr="009D71F6" w:rsidRDefault="00237730" w:rsidP="00237730">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1700C32F"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7D8EF2A2" w14:textId="77777777" w:rsidR="00EF5830" w:rsidRDefault="00EF5830" w:rsidP="00EF5830">
      <w:pPr>
        <w:widowControl w:val="0"/>
        <w:spacing w:after="0" w:line="480" w:lineRule="auto"/>
        <w:jc w:val="both"/>
        <w:rPr>
          <w:rFonts w:ascii="Arial" w:hAnsi="Arial" w:cs="Arial"/>
          <w:sz w:val="24"/>
          <w:szCs w:val="24"/>
        </w:rPr>
      </w:pPr>
    </w:p>
    <w:p w14:paraId="1F1DFABE" w14:textId="70B463F3" w:rsidR="006E3615" w:rsidRPr="006E6E5E" w:rsidRDefault="00B31134" w:rsidP="006E6E5E">
      <w:pPr>
        <w:pStyle w:val="ListParagraph"/>
        <w:widowControl w:val="0"/>
        <w:numPr>
          <w:ilvl w:val="0"/>
          <w:numId w:val="9"/>
        </w:numPr>
        <w:spacing w:after="0" w:line="480" w:lineRule="auto"/>
        <w:jc w:val="both"/>
        <w:rPr>
          <w:rFonts w:ascii="Arial" w:hAnsi="Arial" w:cs="Arial"/>
          <w:sz w:val="24"/>
          <w:szCs w:val="24"/>
        </w:rPr>
      </w:pPr>
      <w:r>
        <w:rPr>
          <w:rFonts w:ascii="Arial" w:hAnsi="Arial" w:cs="Arial"/>
          <w:b/>
          <w:sz w:val="24"/>
          <w:szCs w:val="24"/>
        </w:rPr>
        <w:t>INTRODUCTION</w:t>
      </w:r>
    </w:p>
    <w:p w14:paraId="71807EBE" w14:textId="3086C37A" w:rsidR="00553A1C" w:rsidRDefault="00B31134" w:rsidP="00553A1C">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Riders EFBS and FBS are the result of the Commission’s approval of a stipulation and recommendation entered into between Duke and several parties in the merger of Cinergy Corp. and Duke Energy Corporation (Case Nos. 05-732-EL-MER).</w:t>
      </w:r>
      <w:r w:rsidR="009E6B7A">
        <w:rPr>
          <w:rStyle w:val="FootnoteReference"/>
          <w:rFonts w:ascii="Arial" w:hAnsi="Arial" w:cs="Arial"/>
          <w:sz w:val="24"/>
          <w:szCs w:val="24"/>
        </w:rPr>
        <w:footnoteReference w:id="1"/>
      </w:r>
      <w:r>
        <w:rPr>
          <w:rFonts w:ascii="Arial" w:hAnsi="Arial" w:cs="Arial"/>
          <w:sz w:val="24"/>
          <w:szCs w:val="24"/>
        </w:rPr>
        <w:t xml:space="preserve">  In that case, Duke </w:t>
      </w:r>
      <w:r w:rsidR="00553A1C">
        <w:rPr>
          <w:rFonts w:ascii="Arial" w:hAnsi="Arial" w:cs="Arial"/>
          <w:sz w:val="24"/>
          <w:szCs w:val="24"/>
        </w:rPr>
        <w:t xml:space="preserve">committed to hold collaborative workshops to develop improvements to its gas choice program.  As a result of those workshops, Duke filed another stipulation creating the </w:t>
      </w:r>
      <w:r w:rsidR="00553A1C">
        <w:rPr>
          <w:rFonts w:ascii="Arial" w:hAnsi="Arial" w:cs="Arial"/>
          <w:i/>
          <w:sz w:val="24"/>
          <w:szCs w:val="24"/>
        </w:rPr>
        <w:t xml:space="preserve">option </w:t>
      </w:r>
      <w:r w:rsidR="00553A1C">
        <w:rPr>
          <w:rFonts w:ascii="Arial" w:hAnsi="Arial" w:cs="Arial"/>
          <w:sz w:val="24"/>
          <w:szCs w:val="24"/>
        </w:rPr>
        <w:t>for CRNG providers to annually elect between</w:t>
      </w:r>
      <w:r w:rsidR="006E4C4D">
        <w:rPr>
          <w:rFonts w:ascii="Arial" w:hAnsi="Arial" w:cs="Arial"/>
          <w:sz w:val="24"/>
          <w:szCs w:val="24"/>
        </w:rPr>
        <w:t xml:space="preserve"> Rider</w:t>
      </w:r>
      <w:r w:rsidR="00553A1C">
        <w:rPr>
          <w:rFonts w:ascii="Arial" w:hAnsi="Arial" w:cs="Arial"/>
          <w:sz w:val="24"/>
          <w:szCs w:val="24"/>
        </w:rPr>
        <w:t xml:space="preserve"> </w:t>
      </w:r>
      <w:r w:rsidR="006E4C4D">
        <w:rPr>
          <w:rFonts w:ascii="Arial" w:hAnsi="Arial" w:cs="Arial"/>
          <w:sz w:val="24"/>
          <w:szCs w:val="24"/>
        </w:rPr>
        <w:t>F</w:t>
      </w:r>
      <w:r w:rsidR="00553A1C">
        <w:rPr>
          <w:rFonts w:ascii="Arial" w:hAnsi="Arial" w:cs="Arial"/>
          <w:sz w:val="24"/>
          <w:szCs w:val="24"/>
        </w:rPr>
        <w:t xml:space="preserve">irm </w:t>
      </w:r>
      <w:r w:rsidR="006E4C4D">
        <w:rPr>
          <w:rFonts w:ascii="Arial" w:hAnsi="Arial" w:cs="Arial"/>
          <w:sz w:val="24"/>
          <w:szCs w:val="24"/>
        </w:rPr>
        <w:t>B</w:t>
      </w:r>
      <w:r w:rsidR="00553A1C">
        <w:rPr>
          <w:rFonts w:ascii="Arial" w:hAnsi="Arial" w:cs="Arial"/>
          <w:sz w:val="24"/>
          <w:szCs w:val="24"/>
        </w:rPr>
        <w:t xml:space="preserve">alancing </w:t>
      </w:r>
      <w:r w:rsidR="006E4C4D">
        <w:rPr>
          <w:rFonts w:ascii="Arial" w:hAnsi="Arial" w:cs="Arial"/>
          <w:sz w:val="24"/>
          <w:szCs w:val="24"/>
        </w:rPr>
        <w:t>S</w:t>
      </w:r>
      <w:r w:rsidR="00553A1C">
        <w:rPr>
          <w:rFonts w:ascii="Arial" w:hAnsi="Arial" w:cs="Arial"/>
          <w:sz w:val="24"/>
          <w:szCs w:val="24"/>
        </w:rPr>
        <w:t xml:space="preserve">ervice (FBS) or the </w:t>
      </w:r>
      <w:r w:rsidR="008858B9">
        <w:rPr>
          <w:rFonts w:ascii="Arial" w:hAnsi="Arial" w:cs="Arial"/>
          <w:sz w:val="24"/>
          <w:szCs w:val="24"/>
        </w:rPr>
        <w:t xml:space="preserve">then </w:t>
      </w:r>
      <w:r w:rsidR="00553A1C">
        <w:rPr>
          <w:rFonts w:ascii="Arial" w:hAnsi="Arial" w:cs="Arial"/>
          <w:sz w:val="24"/>
          <w:szCs w:val="24"/>
        </w:rPr>
        <w:t>new</w:t>
      </w:r>
      <w:r w:rsidR="006E4C4D">
        <w:rPr>
          <w:rFonts w:ascii="Arial" w:hAnsi="Arial" w:cs="Arial"/>
          <w:sz w:val="24"/>
          <w:szCs w:val="24"/>
        </w:rPr>
        <w:t xml:space="preserve"> Rider Enhanced F</w:t>
      </w:r>
      <w:r w:rsidR="00553A1C">
        <w:rPr>
          <w:rFonts w:ascii="Arial" w:hAnsi="Arial" w:cs="Arial"/>
          <w:sz w:val="24"/>
          <w:szCs w:val="24"/>
        </w:rPr>
        <w:t xml:space="preserve">irm </w:t>
      </w:r>
      <w:r w:rsidR="006E4C4D">
        <w:rPr>
          <w:rFonts w:ascii="Arial" w:hAnsi="Arial" w:cs="Arial"/>
          <w:sz w:val="24"/>
          <w:szCs w:val="24"/>
        </w:rPr>
        <w:t>B</w:t>
      </w:r>
      <w:r w:rsidR="00553A1C">
        <w:rPr>
          <w:rFonts w:ascii="Arial" w:hAnsi="Arial" w:cs="Arial"/>
          <w:sz w:val="24"/>
          <w:szCs w:val="24"/>
        </w:rPr>
        <w:t xml:space="preserve">alancing </w:t>
      </w:r>
      <w:r w:rsidR="006E4C4D">
        <w:rPr>
          <w:rFonts w:ascii="Arial" w:hAnsi="Arial" w:cs="Arial"/>
          <w:sz w:val="24"/>
          <w:szCs w:val="24"/>
        </w:rPr>
        <w:t>S</w:t>
      </w:r>
      <w:r w:rsidR="00553A1C">
        <w:rPr>
          <w:rFonts w:ascii="Arial" w:hAnsi="Arial" w:cs="Arial"/>
          <w:sz w:val="24"/>
          <w:szCs w:val="24"/>
        </w:rPr>
        <w:t>ervice (EFBS).  The la</w:t>
      </w:r>
      <w:r w:rsidR="006E4C4D">
        <w:rPr>
          <w:rFonts w:ascii="Arial" w:hAnsi="Arial" w:cs="Arial"/>
          <w:sz w:val="24"/>
          <w:szCs w:val="24"/>
        </w:rPr>
        <w:t>tter option effectively provides</w:t>
      </w:r>
      <w:r w:rsidR="00553A1C">
        <w:rPr>
          <w:rFonts w:ascii="Arial" w:hAnsi="Arial" w:cs="Arial"/>
          <w:sz w:val="24"/>
          <w:szCs w:val="24"/>
        </w:rPr>
        <w:t xml:space="preserve"> CRNG providers with an option to take virtual storage assets, whereas the </w:t>
      </w:r>
      <w:r w:rsidR="00553A1C" w:rsidRPr="00666E20">
        <w:rPr>
          <w:rFonts w:ascii="Arial" w:hAnsi="Arial" w:cs="Arial"/>
          <w:sz w:val="24"/>
          <w:szCs w:val="24"/>
        </w:rPr>
        <w:t>former did not.</w:t>
      </w:r>
      <w:r w:rsidR="00553A1C" w:rsidRPr="00666E20">
        <w:rPr>
          <w:rStyle w:val="FootnoteReference"/>
          <w:rFonts w:ascii="Arial" w:hAnsi="Arial" w:cs="Arial"/>
          <w:sz w:val="24"/>
          <w:szCs w:val="24"/>
        </w:rPr>
        <w:footnoteReference w:id="2"/>
      </w:r>
      <w:r w:rsidR="00553A1C" w:rsidRPr="00666E20">
        <w:rPr>
          <w:rFonts w:ascii="Arial" w:hAnsi="Arial" w:cs="Arial"/>
          <w:sz w:val="24"/>
          <w:szCs w:val="24"/>
        </w:rPr>
        <w:t xml:space="preserve">   Under the terms of EFBS, “This annual election shall be made on or before January 15 of each year to become effective on April 1 of each</w:t>
      </w:r>
      <w:r w:rsidR="00553A1C" w:rsidRPr="00553A1C">
        <w:rPr>
          <w:rFonts w:ascii="Arial" w:hAnsi="Arial" w:cs="Arial"/>
          <w:sz w:val="24"/>
          <w:szCs w:val="24"/>
        </w:rPr>
        <w:t xml:space="preserve"> year.</w:t>
      </w:r>
      <w:r w:rsidR="00553A1C">
        <w:rPr>
          <w:rFonts w:ascii="Arial" w:hAnsi="Arial" w:cs="Arial"/>
          <w:sz w:val="24"/>
          <w:szCs w:val="24"/>
        </w:rPr>
        <w:t>”</w:t>
      </w:r>
      <w:r w:rsidR="00553A1C">
        <w:rPr>
          <w:rStyle w:val="FootnoteReference"/>
          <w:rFonts w:ascii="Arial" w:hAnsi="Arial" w:cs="Arial"/>
          <w:sz w:val="24"/>
          <w:szCs w:val="24"/>
        </w:rPr>
        <w:footnoteReference w:id="3"/>
      </w:r>
    </w:p>
    <w:p w14:paraId="4B3BF15F" w14:textId="07D4A507" w:rsidR="00B31134" w:rsidRDefault="002F1F49" w:rsidP="00D91E52">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lastRenderedPageBreak/>
        <w:t>Duke cl</w:t>
      </w:r>
      <w:r w:rsidR="007037BE">
        <w:rPr>
          <w:rFonts w:ascii="Arial" w:hAnsi="Arial" w:cs="Arial"/>
          <w:sz w:val="24"/>
          <w:szCs w:val="24"/>
        </w:rPr>
        <w:t>aims that CRNG provider participation in Rider EFBS has decreased in recent years, and this decreased participation</w:t>
      </w:r>
      <w:r w:rsidR="00592F99">
        <w:rPr>
          <w:rFonts w:ascii="Arial" w:hAnsi="Arial" w:cs="Arial"/>
          <w:sz w:val="24"/>
          <w:szCs w:val="24"/>
        </w:rPr>
        <w:t xml:space="preserve"> has diminished its ability to manage its storage assets.</w:t>
      </w:r>
      <w:r w:rsidR="007037BE">
        <w:rPr>
          <w:rFonts w:ascii="Arial" w:hAnsi="Arial" w:cs="Arial"/>
          <w:sz w:val="24"/>
          <w:szCs w:val="24"/>
        </w:rPr>
        <w:t xml:space="preserve">  </w:t>
      </w:r>
      <w:r w:rsidR="006E4C4D">
        <w:rPr>
          <w:rFonts w:ascii="Arial" w:hAnsi="Arial" w:cs="Arial"/>
          <w:sz w:val="24"/>
          <w:szCs w:val="24"/>
        </w:rPr>
        <w:t>To address the issue</w:t>
      </w:r>
      <w:r w:rsidR="00D91E52">
        <w:rPr>
          <w:rFonts w:ascii="Arial" w:hAnsi="Arial" w:cs="Arial"/>
          <w:sz w:val="24"/>
          <w:szCs w:val="24"/>
        </w:rPr>
        <w:t xml:space="preserve">, Duke </w:t>
      </w:r>
      <w:r w:rsidR="00666E20">
        <w:rPr>
          <w:rFonts w:ascii="Arial" w:hAnsi="Arial" w:cs="Arial"/>
          <w:sz w:val="24"/>
          <w:szCs w:val="24"/>
        </w:rPr>
        <w:t>seeks to eliminate the option it agreed to in</w:t>
      </w:r>
      <w:r w:rsidR="008A07B0">
        <w:rPr>
          <w:rFonts w:ascii="Arial" w:hAnsi="Arial" w:cs="Arial"/>
          <w:sz w:val="24"/>
          <w:szCs w:val="24"/>
        </w:rPr>
        <w:t xml:space="preserve"> the</w:t>
      </w:r>
      <w:r w:rsidR="00666E20">
        <w:rPr>
          <w:rFonts w:ascii="Arial" w:hAnsi="Arial" w:cs="Arial"/>
          <w:sz w:val="24"/>
          <w:szCs w:val="24"/>
        </w:rPr>
        <w:t xml:space="preserve"> </w:t>
      </w:r>
      <w:r w:rsidR="00666E20">
        <w:rPr>
          <w:rFonts w:ascii="Arial" w:hAnsi="Arial" w:cs="Arial"/>
          <w:i/>
          <w:sz w:val="24"/>
          <w:szCs w:val="24"/>
        </w:rPr>
        <w:t xml:space="preserve">Merger </w:t>
      </w:r>
      <w:r w:rsidR="00D91E52">
        <w:rPr>
          <w:rFonts w:ascii="Arial" w:hAnsi="Arial" w:cs="Arial"/>
          <w:i/>
          <w:sz w:val="24"/>
          <w:szCs w:val="24"/>
        </w:rPr>
        <w:t>Case</w:t>
      </w:r>
      <w:r w:rsidR="008A07B0">
        <w:rPr>
          <w:rFonts w:ascii="Arial" w:hAnsi="Arial" w:cs="Arial"/>
          <w:i/>
          <w:sz w:val="24"/>
          <w:szCs w:val="24"/>
        </w:rPr>
        <w:t xml:space="preserve"> </w:t>
      </w:r>
      <w:r w:rsidR="008A07B0">
        <w:rPr>
          <w:rFonts w:ascii="Arial" w:hAnsi="Arial" w:cs="Arial"/>
          <w:sz w:val="24"/>
          <w:szCs w:val="24"/>
        </w:rPr>
        <w:t xml:space="preserve">stipulation </w:t>
      </w:r>
      <w:r w:rsidR="00D91E52">
        <w:rPr>
          <w:rFonts w:ascii="Arial" w:hAnsi="Arial" w:cs="Arial"/>
          <w:sz w:val="24"/>
          <w:szCs w:val="24"/>
        </w:rPr>
        <w:t>and</w:t>
      </w:r>
      <w:r w:rsidR="00D91E52">
        <w:rPr>
          <w:rFonts w:ascii="Arial" w:hAnsi="Arial" w:cs="Arial"/>
          <w:i/>
          <w:sz w:val="24"/>
          <w:szCs w:val="24"/>
        </w:rPr>
        <w:t xml:space="preserve"> </w:t>
      </w:r>
      <w:r w:rsidR="00666E20">
        <w:rPr>
          <w:rFonts w:ascii="Arial" w:hAnsi="Arial" w:cs="Arial"/>
          <w:sz w:val="24"/>
          <w:szCs w:val="24"/>
        </w:rPr>
        <w:t>to require</w:t>
      </w:r>
      <w:r w:rsidR="007E3A27">
        <w:rPr>
          <w:rFonts w:ascii="Arial" w:hAnsi="Arial" w:cs="Arial"/>
          <w:sz w:val="24"/>
          <w:szCs w:val="24"/>
        </w:rPr>
        <w:t xml:space="preserve"> </w:t>
      </w:r>
      <w:r w:rsidR="007E3A27" w:rsidRPr="006E6E5E">
        <w:rPr>
          <w:rFonts w:ascii="Arial" w:hAnsi="Arial" w:cs="Arial"/>
          <w:i/>
          <w:sz w:val="24"/>
          <w:szCs w:val="24"/>
        </w:rPr>
        <w:t>only</w:t>
      </w:r>
      <w:r w:rsidR="00666E20" w:rsidRPr="006E6E5E">
        <w:rPr>
          <w:rFonts w:ascii="Arial" w:hAnsi="Arial" w:cs="Arial"/>
          <w:i/>
          <w:sz w:val="24"/>
          <w:szCs w:val="24"/>
        </w:rPr>
        <w:t xml:space="preserve"> </w:t>
      </w:r>
      <w:r w:rsidR="00666E20">
        <w:rPr>
          <w:rFonts w:ascii="Arial" w:hAnsi="Arial" w:cs="Arial"/>
          <w:sz w:val="24"/>
          <w:szCs w:val="24"/>
        </w:rPr>
        <w:t>the largest CRNG providers</w:t>
      </w:r>
      <w:r w:rsidR="00D91E52">
        <w:rPr>
          <w:rFonts w:ascii="Arial" w:hAnsi="Arial" w:cs="Arial"/>
          <w:sz w:val="24"/>
          <w:szCs w:val="24"/>
        </w:rPr>
        <w:t xml:space="preserve"> to pay for Rider EFBS</w:t>
      </w:r>
      <w:r w:rsidR="007E3A27">
        <w:rPr>
          <w:rFonts w:ascii="Arial" w:hAnsi="Arial" w:cs="Arial"/>
          <w:sz w:val="24"/>
          <w:szCs w:val="24"/>
        </w:rPr>
        <w:t>, while allowing all other CRNG providers to select between the two services</w:t>
      </w:r>
      <w:r w:rsidR="00D91E52">
        <w:rPr>
          <w:rFonts w:ascii="Arial" w:hAnsi="Arial" w:cs="Arial"/>
          <w:sz w:val="24"/>
          <w:szCs w:val="24"/>
        </w:rPr>
        <w:t>.</w:t>
      </w:r>
      <w:r w:rsidR="008A07B0">
        <w:rPr>
          <w:rFonts w:ascii="Arial" w:hAnsi="Arial" w:cs="Arial"/>
          <w:sz w:val="24"/>
          <w:szCs w:val="24"/>
        </w:rPr>
        <w:t xml:space="preserve">  Duke does not propose to modify any other aspect of that </w:t>
      </w:r>
      <w:r w:rsidR="00E37B9B">
        <w:rPr>
          <w:rFonts w:ascii="Arial" w:hAnsi="Arial" w:cs="Arial"/>
          <w:sz w:val="24"/>
          <w:szCs w:val="24"/>
        </w:rPr>
        <w:t>s</w:t>
      </w:r>
      <w:r w:rsidR="008A07B0">
        <w:rPr>
          <w:rFonts w:ascii="Arial" w:hAnsi="Arial" w:cs="Arial"/>
          <w:sz w:val="24"/>
          <w:szCs w:val="24"/>
        </w:rPr>
        <w:t>tipulation.</w:t>
      </w:r>
      <w:r w:rsidR="00D91E52">
        <w:rPr>
          <w:rFonts w:ascii="Arial" w:hAnsi="Arial" w:cs="Arial"/>
          <w:sz w:val="24"/>
          <w:szCs w:val="24"/>
        </w:rPr>
        <w:t xml:space="preserve">  D</w:t>
      </w:r>
      <w:r w:rsidR="00066F87">
        <w:rPr>
          <w:rFonts w:ascii="Arial" w:hAnsi="Arial" w:cs="Arial"/>
          <w:sz w:val="24"/>
          <w:szCs w:val="24"/>
        </w:rPr>
        <w:t xml:space="preserve">uke does not provide testimony </w:t>
      </w:r>
      <w:r w:rsidR="00D91E52">
        <w:rPr>
          <w:rFonts w:ascii="Arial" w:hAnsi="Arial" w:cs="Arial"/>
          <w:sz w:val="24"/>
          <w:szCs w:val="24"/>
        </w:rPr>
        <w:t xml:space="preserve">or record evidence to support its proposal.  And Duke fails </w:t>
      </w:r>
      <w:r w:rsidR="00FB5FAF">
        <w:rPr>
          <w:rFonts w:ascii="Arial" w:hAnsi="Arial" w:cs="Arial"/>
          <w:sz w:val="24"/>
          <w:szCs w:val="24"/>
        </w:rPr>
        <w:t xml:space="preserve">to </w:t>
      </w:r>
      <w:r w:rsidR="00D91E52">
        <w:rPr>
          <w:rFonts w:ascii="Arial" w:hAnsi="Arial" w:cs="Arial"/>
          <w:sz w:val="24"/>
          <w:szCs w:val="24"/>
        </w:rPr>
        <w:t xml:space="preserve">discuss any potential alternatives to </w:t>
      </w:r>
      <w:r w:rsidR="008858B9">
        <w:rPr>
          <w:rFonts w:ascii="Arial" w:hAnsi="Arial" w:cs="Arial"/>
          <w:sz w:val="24"/>
          <w:szCs w:val="24"/>
        </w:rPr>
        <w:t xml:space="preserve">the </w:t>
      </w:r>
      <w:r w:rsidR="00D91E52">
        <w:rPr>
          <w:rFonts w:ascii="Arial" w:hAnsi="Arial" w:cs="Arial"/>
          <w:sz w:val="24"/>
          <w:szCs w:val="24"/>
        </w:rPr>
        <w:t>discriminati</w:t>
      </w:r>
      <w:r w:rsidR="008858B9">
        <w:rPr>
          <w:rFonts w:ascii="Arial" w:hAnsi="Arial" w:cs="Arial"/>
          <w:sz w:val="24"/>
          <w:szCs w:val="24"/>
        </w:rPr>
        <w:t>on</w:t>
      </w:r>
      <w:r w:rsidR="00D91E52">
        <w:rPr>
          <w:rFonts w:ascii="Arial" w:hAnsi="Arial" w:cs="Arial"/>
          <w:sz w:val="24"/>
          <w:szCs w:val="24"/>
        </w:rPr>
        <w:t xml:space="preserve"> against larger CRNG providers</w:t>
      </w:r>
      <w:r w:rsidR="008858B9">
        <w:rPr>
          <w:rFonts w:ascii="Arial" w:hAnsi="Arial" w:cs="Arial"/>
          <w:sz w:val="24"/>
          <w:szCs w:val="24"/>
        </w:rPr>
        <w:t xml:space="preserve"> which is inherent in Duke’s proposal</w:t>
      </w:r>
      <w:r w:rsidR="00D91E52">
        <w:rPr>
          <w:rFonts w:ascii="Arial" w:hAnsi="Arial" w:cs="Arial"/>
          <w:sz w:val="24"/>
          <w:szCs w:val="24"/>
        </w:rPr>
        <w:t xml:space="preserve">.  </w:t>
      </w:r>
      <w:r w:rsidR="00553A1C">
        <w:rPr>
          <w:rFonts w:ascii="Arial" w:hAnsi="Arial" w:cs="Arial"/>
          <w:sz w:val="24"/>
          <w:szCs w:val="24"/>
        </w:rPr>
        <w:t xml:space="preserve"> </w:t>
      </w:r>
    </w:p>
    <w:p w14:paraId="2858F6FB" w14:textId="5FCDAFEC" w:rsidR="006E3615" w:rsidRDefault="00BE3AD1" w:rsidP="00DF0B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Duke did not file its proposed tariff modifications until January 15, 2015, the same day as the deadline for CRNG providers to elect between FBS and EFBS service. </w:t>
      </w:r>
      <w:r w:rsidR="00D91E52">
        <w:rPr>
          <w:rFonts w:ascii="Arial" w:hAnsi="Arial" w:cs="Arial"/>
          <w:sz w:val="24"/>
          <w:szCs w:val="24"/>
        </w:rPr>
        <w:t>Duke</w:t>
      </w:r>
      <w:r w:rsidR="00D438F2">
        <w:rPr>
          <w:rFonts w:ascii="Arial" w:hAnsi="Arial" w:cs="Arial"/>
          <w:sz w:val="24"/>
          <w:szCs w:val="24"/>
        </w:rPr>
        <w:t>, however,</w:t>
      </w:r>
      <w:r w:rsidR="00D91E52">
        <w:rPr>
          <w:rFonts w:ascii="Arial" w:hAnsi="Arial" w:cs="Arial"/>
          <w:sz w:val="24"/>
          <w:szCs w:val="24"/>
        </w:rPr>
        <w:t xml:space="preserve"> requests that the Commission approve its proposal</w:t>
      </w:r>
      <w:r w:rsidR="00D91E52" w:rsidRPr="00D91E52">
        <w:t xml:space="preserve"> </w:t>
      </w:r>
      <w:r w:rsidR="00D91E52" w:rsidRPr="00D91E52">
        <w:rPr>
          <w:rFonts w:ascii="Arial" w:hAnsi="Arial" w:cs="Arial"/>
          <w:sz w:val="24"/>
          <w:szCs w:val="24"/>
        </w:rPr>
        <w:t>no later than February 27, 2015, and that the Commission retroactively apply these changes to supersede any prior CRNG provider election.</w:t>
      </w:r>
      <w:r w:rsidR="00D91E52">
        <w:rPr>
          <w:rFonts w:ascii="Arial" w:hAnsi="Arial" w:cs="Arial"/>
          <w:sz w:val="24"/>
          <w:szCs w:val="24"/>
        </w:rPr>
        <w:t xml:space="preserve"> </w:t>
      </w:r>
      <w:r w:rsidR="00DF0BE3">
        <w:rPr>
          <w:rFonts w:ascii="Arial" w:hAnsi="Arial" w:cs="Arial"/>
          <w:sz w:val="24"/>
          <w:szCs w:val="24"/>
        </w:rPr>
        <w:t xml:space="preserve"> Despite the fact that CRNG providers may have entered into multiyear contracts in reliance on the option to elect between Riders FBS and EFBS</w:t>
      </w:r>
      <w:r w:rsidR="007E3A27">
        <w:rPr>
          <w:rFonts w:ascii="Arial" w:hAnsi="Arial" w:cs="Arial"/>
          <w:sz w:val="24"/>
          <w:szCs w:val="24"/>
        </w:rPr>
        <w:t>.</w:t>
      </w:r>
      <w:r w:rsidR="00DF0BE3">
        <w:rPr>
          <w:rFonts w:ascii="Arial" w:hAnsi="Arial" w:cs="Arial"/>
          <w:sz w:val="24"/>
          <w:szCs w:val="24"/>
        </w:rPr>
        <w:t xml:space="preserve"> </w:t>
      </w:r>
      <w:r w:rsidR="00D91E52">
        <w:rPr>
          <w:rFonts w:ascii="Arial" w:hAnsi="Arial" w:cs="Arial"/>
          <w:sz w:val="24"/>
          <w:szCs w:val="24"/>
        </w:rPr>
        <w:t>Duke provides no indication</w:t>
      </w:r>
      <w:r w:rsidR="00D438F2">
        <w:rPr>
          <w:rFonts w:ascii="Arial" w:hAnsi="Arial" w:cs="Arial"/>
          <w:sz w:val="24"/>
          <w:szCs w:val="24"/>
        </w:rPr>
        <w:t xml:space="preserve"> </w:t>
      </w:r>
      <w:r w:rsidR="00D91E52">
        <w:rPr>
          <w:rFonts w:ascii="Arial" w:hAnsi="Arial" w:cs="Arial"/>
          <w:sz w:val="24"/>
          <w:szCs w:val="24"/>
        </w:rPr>
        <w:t>as to why it waited until the 11</w:t>
      </w:r>
      <w:r w:rsidR="00D91E52" w:rsidRPr="00D91E52">
        <w:rPr>
          <w:rFonts w:ascii="Arial" w:hAnsi="Arial" w:cs="Arial"/>
          <w:sz w:val="24"/>
          <w:szCs w:val="24"/>
          <w:vertAlign w:val="superscript"/>
        </w:rPr>
        <w:t>th</w:t>
      </w:r>
      <w:r w:rsidR="00D91E52">
        <w:rPr>
          <w:rFonts w:ascii="Arial" w:hAnsi="Arial" w:cs="Arial"/>
          <w:sz w:val="24"/>
          <w:szCs w:val="24"/>
        </w:rPr>
        <w:t xml:space="preserve"> </w:t>
      </w:r>
      <w:r w:rsidR="00DF0BE3">
        <w:rPr>
          <w:rFonts w:ascii="Arial" w:hAnsi="Arial" w:cs="Arial"/>
          <w:sz w:val="24"/>
          <w:szCs w:val="24"/>
        </w:rPr>
        <w:t>hour to file its Application</w:t>
      </w:r>
      <w:r w:rsidR="008A07B0">
        <w:rPr>
          <w:rFonts w:ascii="Arial" w:hAnsi="Arial" w:cs="Arial"/>
          <w:sz w:val="24"/>
          <w:szCs w:val="24"/>
        </w:rPr>
        <w:t>.</w:t>
      </w:r>
      <w:r w:rsidR="007E3A27">
        <w:rPr>
          <w:rFonts w:ascii="Arial" w:hAnsi="Arial" w:cs="Arial"/>
          <w:sz w:val="24"/>
          <w:szCs w:val="24"/>
        </w:rPr>
        <w:t xml:space="preserve"> </w:t>
      </w:r>
    </w:p>
    <w:p w14:paraId="28460446" w14:textId="52424C7F" w:rsidR="00E37B9B" w:rsidRDefault="00BE3AD1" w:rsidP="00DF0BE3">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With its Application Duke is seeking to unilaterally modify an agreed upon Stipulation between parties in a previous proceeding</w:t>
      </w:r>
      <w:r w:rsidR="00D438F2">
        <w:rPr>
          <w:rFonts w:ascii="Arial" w:hAnsi="Arial" w:cs="Arial"/>
          <w:sz w:val="24"/>
          <w:szCs w:val="24"/>
        </w:rPr>
        <w:t xml:space="preserve"> and retroactively apply the modification to its filed rates and tariffs</w:t>
      </w:r>
      <w:r>
        <w:rPr>
          <w:rFonts w:ascii="Arial" w:hAnsi="Arial" w:cs="Arial"/>
          <w:sz w:val="24"/>
          <w:szCs w:val="24"/>
        </w:rPr>
        <w:t xml:space="preserve">.  </w:t>
      </w:r>
      <w:r w:rsidR="00D438F2">
        <w:rPr>
          <w:rFonts w:ascii="Arial" w:hAnsi="Arial" w:cs="Arial"/>
          <w:sz w:val="24"/>
          <w:szCs w:val="24"/>
        </w:rPr>
        <w:t xml:space="preserve">Moreover, </w:t>
      </w:r>
      <w:r>
        <w:rPr>
          <w:rFonts w:ascii="Arial" w:hAnsi="Arial" w:cs="Arial"/>
          <w:sz w:val="24"/>
          <w:szCs w:val="24"/>
        </w:rPr>
        <w:t>Duke’s proposed tariff modifications will materially disadvantage only certain CRNG providers in the market.</w:t>
      </w:r>
      <w:r w:rsidR="00D62729">
        <w:rPr>
          <w:rFonts w:ascii="Arial" w:hAnsi="Arial" w:cs="Arial"/>
          <w:sz w:val="24"/>
          <w:szCs w:val="24"/>
        </w:rPr>
        <w:t xml:space="preserve">  As a practical matter, Duke</w:t>
      </w:r>
      <w:r w:rsidR="00567398">
        <w:rPr>
          <w:rFonts w:ascii="Arial" w:hAnsi="Arial" w:cs="Arial"/>
          <w:sz w:val="24"/>
          <w:szCs w:val="24"/>
        </w:rPr>
        <w:t>’s proposal would</w:t>
      </w:r>
      <w:r w:rsidR="00D62729">
        <w:rPr>
          <w:rFonts w:ascii="Arial" w:hAnsi="Arial" w:cs="Arial"/>
          <w:sz w:val="24"/>
          <w:szCs w:val="24"/>
        </w:rPr>
        <w:t xml:space="preserve"> retroactively increase the rates it charges to larger CRNG providers.</w:t>
      </w:r>
      <w:r w:rsidR="00567398">
        <w:rPr>
          <w:rFonts w:ascii="Arial" w:hAnsi="Arial" w:cs="Arial"/>
          <w:sz w:val="24"/>
          <w:szCs w:val="24"/>
        </w:rPr>
        <w:t xml:space="preserve"> </w:t>
      </w:r>
      <w:r w:rsidR="00D62729">
        <w:rPr>
          <w:rFonts w:ascii="Arial" w:hAnsi="Arial" w:cs="Arial"/>
          <w:sz w:val="24"/>
          <w:szCs w:val="24"/>
        </w:rPr>
        <w:t xml:space="preserve">To make matters worse, </w:t>
      </w:r>
      <w:r>
        <w:rPr>
          <w:rFonts w:ascii="Arial" w:hAnsi="Arial" w:cs="Arial"/>
          <w:sz w:val="24"/>
          <w:szCs w:val="24"/>
        </w:rPr>
        <w:t xml:space="preserve">Duke is </w:t>
      </w:r>
      <w:r w:rsidR="006E4C4D">
        <w:rPr>
          <w:rFonts w:ascii="Arial" w:hAnsi="Arial" w:cs="Arial"/>
          <w:sz w:val="24"/>
          <w:szCs w:val="24"/>
        </w:rPr>
        <w:t>proposing</w:t>
      </w:r>
      <w:r>
        <w:rPr>
          <w:rFonts w:ascii="Arial" w:hAnsi="Arial" w:cs="Arial"/>
          <w:sz w:val="24"/>
          <w:szCs w:val="24"/>
        </w:rPr>
        <w:t xml:space="preserve"> to do so after giving little </w:t>
      </w:r>
      <w:r>
        <w:rPr>
          <w:rFonts w:ascii="Arial" w:hAnsi="Arial" w:cs="Arial"/>
          <w:sz w:val="24"/>
          <w:szCs w:val="24"/>
        </w:rPr>
        <w:lastRenderedPageBreak/>
        <w:t>noti</w:t>
      </w:r>
      <w:r w:rsidR="00E37B9B">
        <w:rPr>
          <w:rFonts w:ascii="Arial" w:hAnsi="Arial" w:cs="Arial"/>
          <w:sz w:val="24"/>
          <w:szCs w:val="24"/>
        </w:rPr>
        <w:t xml:space="preserve">ce to </w:t>
      </w:r>
      <w:proofErr w:type="gramStart"/>
      <w:r w:rsidR="008858B9">
        <w:rPr>
          <w:rFonts w:ascii="Arial" w:hAnsi="Arial" w:cs="Arial"/>
          <w:sz w:val="24"/>
          <w:szCs w:val="24"/>
        </w:rPr>
        <w:t>e</w:t>
      </w:r>
      <w:r w:rsidR="00E37B9B">
        <w:rPr>
          <w:rFonts w:ascii="Arial" w:hAnsi="Arial" w:cs="Arial"/>
          <w:sz w:val="24"/>
          <w:szCs w:val="24"/>
        </w:rPr>
        <w:t>ffected</w:t>
      </w:r>
      <w:proofErr w:type="gramEnd"/>
      <w:r w:rsidR="00E37B9B">
        <w:rPr>
          <w:rFonts w:ascii="Arial" w:hAnsi="Arial" w:cs="Arial"/>
          <w:sz w:val="24"/>
          <w:szCs w:val="24"/>
        </w:rPr>
        <w:t xml:space="preserve"> CRNG providers. </w:t>
      </w:r>
      <w:r>
        <w:rPr>
          <w:rFonts w:ascii="Arial" w:hAnsi="Arial" w:cs="Arial"/>
          <w:sz w:val="24"/>
          <w:szCs w:val="24"/>
        </w:rPr>
        <w:t xml:space="preserve"> </w:t>
      </w:r>
      <w:r w:rsidR="00D62729">
        <w:rPr>
          <w:rFonts w:ascii="Arial" w:hAnsi="Arial" w:cs="Arial"/>
          <w:sz w:val="24"/>
          <w:szCs w:val="24"/>
        </w:rPr>
        <w:t xml:space="preserve">On its face, Duke’s proposal is unjust and unreasonable. </w:t>
      </w:r>
    </w:p>
    <w:p w14:paraId="42A9AA17" w14:textId="01EF1325" w:rsidR="00567398" w:rsidRDefault="00E37B9B" w:rsidP="00567398">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The Commission should not grant Duke’s request for expedited approval of its proposed tariff modifications filed in this proceeding.  Rather, a</w:t>
      </w:r>
      <w:r w:rsidR="00BE3AD1">
        <w:rPr>
          <w:rFonts w:ascii="Arial" w:hAnsi="Arial" w:cs="Arial"/>
          <w:sz w:val="24"/>
          <w:szCs w:val="24"/>
        </w:rPr>
        <w:t xml:space="preserve">s discussed below, the Commission should grant IGS’s Motion to </w:t>
      </w:r>
      <w:proofErr w:type="gramStart"/>
      <w:r w:rsidR="00BE3AD1">
        <w:rPr>
          <w:rFonts w:ascii="Arial" w:hAnsi="Arial" w:cs="Arial"/>
          <w:sz w:val="24"/>
          <w:szCs w:val="24"/>
        </w:rPr>
        <w:t>Intervene</w:t>
      </w:r>
      <w:proofErr w:type="gramEnd"/>
      <w:r w:rsidR="00BE3AD1">
        <w:rPr>
          <w:rFonts w:ascii="Arial" w:hAnsi="Arial" w:cs="Arial"/>
          <w:sz w:val="24"/>
          <w:szCs w:val="24"/>
        </w:rPr>
        <w:t xml:space="preserve"> because IGS has a real and substantial interest</w:t>
      </w:r>
      <w:r>
        <w:rPr>
          <w:rFonts w:ascii="Arial" w:hAnsi="Arial" w:cs="Arial"/>
          <w:sz w:val="24"/>
          <w:szCs w:val="24"/>
        </w:rPr>
        <w:t xml:space="preserve"> in this proceeding</w:t>
      </w:r>
      <w:r w:rsidR="00BE3AD1">
        <w:rPr>
          <w:rFonts w:ascii="Arial" w:hAnsi="Arial" w:cs="Arial"/>
          <w:sz w:val="24"/>
          <w:szCs w:val="24"/>
        </w:rPr>
        <w:t xml:space="preserve">.  Additionally, </w:t>
      </w:r>
      <w:r w:rsidR="00D62729">
        <w:rPr>
          <w:rFonts w:ascii="Arial" w:hAnsi="Arial" w:cs="Arial"/>
          <w:sz w:val="24"/>
          <w:szCs w:val="24"/>
        </w:rPr>
        <w:t>because Duke’s request is unjust and unreasonable, the Commission should set thi</w:t>
      </w:r>
      <w:r w:rsidR="00567398">
        <w:rPr>
          <w:rFonts w:ascii="Arial" w:hAnsi="Arial" w:cs="Arial"/>
          <w:sz w:val="24"/>
          <w:szCs w:val="24"/>
        </w:rPr>
        <w:t>s matter for hearing.</w:t>
      </w:r>
    </w:p>
    <w:p w14:paraId="1F90BFA9" w14:textId="0B938E77" w:rsidR="00EF5830" w:rsidRPr="00DF0BE3" w:rsidRDefault="00CE1727" w:rsidP="00DF0BE3">
      <w:pPr>
        <w:pStyle w:val="ListParagraph"/>
        <w:numPr>
          <w:ilvl w:val="0"/>
          <w:numId w:val="9"/>
        </w:numPr>
        <w:autoSpaceDE w:val="0"/>
        <w:autoSpaceDN w:val="0"/>
        <w:adjustRightInd w:val="0"/>
        <w:spacing w:after="120" w:line="480" w:lineRule="auto"/>
        <w:jc w:val="both"/>
        <w:rPr>
          <w:rFonts w:ascii="Arial" w:hAnsi="Arial" w:cs="Arial"/>
          <w:sz w:val="24"/>
          <w:szCs w:val="24"/>
        </w:rPr>
      </w:pPr>
      <w:r>
        <w:rPr>
          <w:rFonts w:ascii="Arial" w:hAnsi="Arial" w:cs="Arial"/>
          <w:b/>
          <w:sz w:val="24"/>
          <w:szCs w:val="24"/>
        </w:rPr>
        <w:t>INTERVENTION</w:t>
      </w:r>
    </w:p>
    <w:p w14:paraId="7176D2E4" w14:textId="2609BFD1" w:rsidR="00545F29" w:rsidRDefault="0056270F" w:rsidP="00474257">
      <w:pPr>
        <w:widowControl w:val="0"/>
        <w:spacing w:after="0" w:line="480" w:lineRule="auto"/>
        <w:ind w:firstLine="720"/>
        <w:jc w:val="both"/>
        <w:rPr>
          <w:rFonts w:ascii="Arial" w:hAnsi="Arial" w:cs="Arial"/>
          <w:sz w:val="24"/>
          <w:szCs w:val="24"/>
        </w:rPr>
      </w:pPr>
      <w:r>
        <w:rPr>
          <w:rFonts w:ascii="Arial" w:hAnsi="Arial" w:cs="Arial"/>
          <w:sz w:val="24"/>
          <w:szCs w:val="24"/>
        </w:rPr>
        <w:t xml:space="preserve">For purposes of considering requests for leave to intervene in a Commission proceeding, the </w:t>
      </w:r>
      <w:r w:rsidR="00955F86">
        <w:rPr>
          <w:rFonts w:ascii="Arial" w:hAnsi="Arial" w:cs="Arial"/>
          <w:sz w:val="24"/>
          <w:szCs w:val="24"/>
        </w:rPr>
        <w:t>Commission’s rules provide</w:t>
      </w:r>
      <w:r>
        <w:rPr>
          <w:rFonts w:ascii="Arial" w:hAnsi="Arial" w:cs="Arial"/>
          <w:sz w:val="24"/>
          <w:szCs w:val="24"/>
        </w:rPr>
        <w:t xml:space="preserve"> that:</w:t>
      </w:r>
    </w:p>
    <w:p w14:paraId="7176D2E6" w14:textId="252AC766" w:rsidR="00545F29" w:rsidRPr="00955F86" w:rsidRDefault="0056270F" w:rsidP="00955F86">
      <w:pPr>
        <w:widowControl w:val="0"/>
        <w:ind w:left="720" w:right="720"/>
        <w:jc w:val="both"/>
        <w:rPr>
          <w:rFonts w:ascii="Arial" w:hAnsi="Arial" w:cs="Arial"/>
          <w:sz w:val="24"/>
          <w:szCs w:val="24"/>
        </w:rPr>
      </w:pPr>
      <w:r w:rsidRPr="00955F86">
        <w:rPr>
          <w:rFonts w:ascii="Arial" w:hAnsi="Arial" w:cs="Arial"/>
          <w:sz w:val="24"/>
          <w:szCs w:val="24"/>
        </w:rPr>
        <w:t>Upon timely motion, any person shall be permitted to intervene in a proceeding upon a showing that:</w:t>
      </w:r>
      <w:r w:rsidR="00955F86" w:rsidRPr="00955F86">
        <w:rPr>
          <w:rFonts w:ascii="Arial" w:hAnsi="Arial" w:cs="Arial"/>
          <w:sz w:val="24"/>
          <w:szCs w:val="24"/>
        </w:rPr>
        <w:t xml:space="preserve"> (1) </w:t>
      </w:r>
      <w:proofErr w:type="gramStart"/>
      <w:r w:rsidR="00955F86" w:rsidRPr="00955F86">
        <w:rPr>
          <w:rFonts w:ascii="Arial" w:hAnsi="Arial" w:cs="Arial"/>
          <w:sz w:val="24"/>
          <w:szCs w:val="24"/>
        </w:rPr>
        <w:t>A</w:t>
      </w:r>
      <w:proofErr w:type="gramEnd"/>
      <w:r w:rsidR="00955F86" w:rsidRPr="00955F86">
        <w:rPr>
          <w:rFonts w:ascii="Arial" w:hAnsi="Arial" w:cs="Arial"/>
          <w:sz w:val="24"/>
          <w:szCs w:val="24"/>
        </w:rPr>
        <w:t xml:space="preserve"> statute of this state or the United States confers a right to intervene. </w:t>
      </w:r>
      <w:r w:rsidRPr="00955F86">
        <w:rPr>
          <w:rFonts w:ascii="Arial" w:hAnsi="Arial" w:cs="Arial"/>
          <w:sz w:val="24"/>
          <w:szCs w:val="24"/>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r w:rsidR="00955F86" w:rsidRPr="00955F86">
        <w:rPr>
          <w:rStyle w:val="FootnoteReference"/>
          <w:rFonts w:ascii="Arial" w:hAnsi="Arial" w:cs="Arial"/>
          <w:sz w:val="24"/>
          <w:szCs w:val="24"/>
        </w:rPr>
        <w:footnoteReference w:id="4"/>
      </w:r>
    </w:p>
    <w:p w14:paraId="7176D2E7" w14:textId="39FA0DED" w:rsidR="00545F29" w:rsidRDefault="00955F86" w:rsidP="00955F86">
      <w:pPr>
        <w:widowControl w:val="0"/>
        <w:spacing w:after="0" w:line="480" w:lineRule="auto"/>
        <w:ind w:firstLine="720"/>
        <w:jc w:val="both"/>
        <w:rPr>
          <w:rFonts w:ascii="Arial" w:hAnsi="Arial" w:cs="Arial"/>
          <w:sz w:val="24"/>
          <w:szCs w:val="24"/>
        </w:rPr>
      </w:pPr>
      <w:r>
        <w:rPr>
          <w:rFonts w:ascii="Arial" w:hAnsi="Arial" w:cs="Arial"/>
          <w:sz w:val="24"/>
          <w:szCs w:val="24"/>
        </w:rPr>
        <w:t xml:space="preserve">Further, RC 4903.221(B) and Rule </w:t>
      </w:r>
      <w:r w:rsidR="0056270F">
        <w:rPr>
          <w:rFonts w:ascii="Arial" w:hAnsi="Arial" w:cs="Arial"/>
          <w:sz w:val="24"/>
          <w:szCs w:val="24"/>
        </w:rPr>
        <w:t>4901-1-11(B)</w:t>
      </w:r>
      <w:r>
        <w:rPr>
          <w:rFonts w:ascii="Arial" w:hAnsi="Arial" w:cs="Arial"/>
          <w:sz w:val="24"/>
          <w:szCs w:val="24"/>
        </w:rPr>
        <w:t>, OAC,</w:t>
      </w:r>
      <w:r w:rsidR="0056270F">
        <w:rPr>
          <w:rFonts w:ascii="Arial" w:hAnsi="Arial" w:cs="Arial"/>
          <w:sz w:val="24"/>
          <w:szCs w:val="24"/>
        </w:rPr>
        <w:t xml:space="preserve"> provide that the Commission, in ruling upon applications to intervene in its proceedings, shall consider the following criteria: </w:t>
      </w:r>
    </w:p>
    <w:p w14:paraId="3974E32A" w14:textId="3CFE25F3" w:rsidR="00B31134" w:rsidRDefault="0056270F" w:rsidP="00B31134">
      <w:pPr>
        <w:widowControl w:val="0"/>
        <w:ind w:left="720" w:right="720"/>
        <w:jc w:val="both"/>
        <w:rPr>
          <w:rFonts w:ascii="Arial" w:hAnsi="Arial" w:cs="Arial"/>
          <w:sz w:val="24"/>
          <w:szCs w:val="24"/>
        </w:rPr>
      </w:pPr>
      <w:r>
        <w:rPr>
          <w:rFonts w:ascii="Arial" w:hAnsi="Arial" w:cs="Arial"/>
          <w:sz w:val="24"/>
          <w:szCs w:val="24"/>
        </w:rPr>
        <w:t>(1) The nature and extent of the prospective intervener’s interest; (2) The legal position advanced by the prospective intervener and its probable relation to the merits of the case; (3) Whether the intervention by the prospective intervener will unduly prolong or delay the proceedings; (4) Whether the prospective intervener will significantly contribute to full development and equitable resolution of the factual issues.</w:t>
      </w:r>
      <w:bookmarkStart w:id="0" w:name="_Hlk409710651"/>
    </w:p>
    <w:p w14:paraId="30AE0679" w14:textId="0BD33FA8" w:rsidR="00B31134" w:rsidRDefault="00B31134" w:rsidP="00B31134">
      <w:pPr>
        <w:widowControl w:val="0"/>
        <w:spacing w:after="0" w:line="480" w:lineRule="auto"/>
        <w:ind w:firstLine="720"/>
        <w:jc w:val="both"/>
        <w:rPr>
          <w:rFonts w:ascii="Arial" w:hAnsi="Arial" w:cs="Arial"/>
          <w:sz w:val="24"/>
          <w:szCs w:val="24"/>
        </w:rPr>
      </w:pPr>
      <w:r w:rsidRPr="004A6C5B">
        <w:rPr>
          <w:rFonts w:ascii="Arial" w:hAnsi="Arial" w:cs="Arial"/>
          <w:sz w:val="24"/>
          <w:szCs w:val="24"/>
        </w:rPr>
        <w:t xml:space="preserve">IGS has over 25 years of experience serving customers in Ohio’s competitive </w:t>
      </w:r>
      <w:r w:rsidRPr="004A6C5B">
        <w:rPr>
          <w:rFonts w:ascii="Arial" w:hAnsi="Arial" w:cs="Arial"/>
          <w:sz w:val="24"/>
          <w:szCs w:val="24"/>
        </w:rPr>
        <w:lastRenderedPageBreak/>
        <w:t>markets. IGS serves over 1 million customers nationwide and sells natural gas and electricity to customers in 11 states and in over 40 utility service territories. In Ohi</w:t>
      </w:r>
      <w:r w:rsidR="0087376E">
        <w:rPr>
          <w:rFonts w:ascii="Arial" w:hAnsi="Arial" w:cs="Arial"/>
          <w:sz w:val="24"/>
          <w:szCs w:val="24"/>
        </w:rPr>
        <w:t>o, IGS currently serves natural gas</w:t>
      </w:r>
      <w:r w:rsidRPr="004A6C5B">
        <w:rPr>
          <w:rFonts w:ascii="Arial" w:hAnsi="Arial" w:cs="Arial"/>
          <w:sz w:val="24"/>
          <w:szCs w:val="24"/>
        </w:rPr>
        <w:t xml:space="preserve"> cus</w:t>
      </w:r>
      <w:r w:rsidR="0087376E">
        <w:rPr>
          <w:rFonts w:ascii="Arial" w:hAnsi="Arial" w:cs="Arial"/>
          <w:sz w:val="24"/>
          <w:szCs w:val="24"/>
        </w:rPr>
        <w:t>tomers in the Dominion East Ohio</w:t>
      </w:r>
      <w:r w:rsidRPr="004A6C5B">
        <w:rPr>
          <w:rFonts w:ascii="Arial" w:hAnsi="Arial" w:cs="Arial"/>
          <w:sz w:val="24"/>
          <w:szCs w:val="24"/>
        </w:rPr>
        <w:t>, D</w:t>
      </w:r>
      <w:r w:rsidR="0087376E">
        <w:rPr>
          <w:rFonts w:ascii="Arial" w:hAnsi="Arial" w:cs="Arial"/>
          <w:sz w:val="24"/>
          <w:szCs w:val="24"/>
        </w:rPr>
        <w:t xml:space="preserve">uke Energy Ohio, Columbia Gas of Ohio, and </w:t>
      </w:r>
      <w:proofErr w:type="spellStart"/>
      <w:r w:rsidR="0087376E">
        <w:rPr>
          <w:rFonts w:ascii="Arial" w:hAnsi="Arial" w:cs="Arial"/>
          <w:sz w:val="24"/>
          <w:szCs w:val="24"/>
        </w:rPr>
        <w:t>Vectren</w:t>
      </w:r>
      <w:proofErr w:type="spellEnd"/>
      <w:r w:rsidR="0087376E">
        <w:rPr>
          <w:rFonts w:ascii="Arial" w:hAnsi="Arial" w:cs="Arial"/>
          <w:sz w:val="24"/>
          <w:szCs w:val="24"/>
        </w:rPr>
        <w:t xml:space="preserve"> Energy Delivery Ohio</w:t>
      </w:r>
      <w:r w:rsidRPr="004A6C5B">
        <w:rPr>
          <w:rFonts w:ascii="Arial" w:hAnsi="Arial" w:cs="Arial"/>
          <w:sz w:val="24"/>
          <w:szCs w:val="24"/>
        </w:rPr>
        <w:t xml:space="preserve"> service territories. </w:t>
      </w:r>
    </w:p>
    <w:p w14:paraId="6214DD97" w14:textId="77777777" w:rsidR="0046284D" w:rsidRPr="0046284D" w:rsidRDefault="0046284D" w:rsidP="0046284D">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IGS has a substantial interest in this proceeding, as it may impact the balancing service that IGS is required to take from Duke.  Thus, IGS respectfully submits that it is entitled to intervene in this proceeding because IGS has a real and substantial interest in this proceeding, the disposition of which may impair or impede its ability to protect that interest.  </w:t>
      </w:r>
    </w:p>
    <w:bookmarkEnd w:id="0"/>
    <w:p w14:paraId="7176D2EA" w14:textId="714AEA8B" w:rsidR="00B92A76" w:rsidRPr="00474257" w:rsidRDefault="00DE4973" w:rsidP="00474257">
      <w:pPr>
        <w:widowControl w:val="0"/>
        <w:spacing w:after="0" w:line="480" w:lineRule="auto"/>
        <w:ind w:firstLine="720"/>
        <w:jc w:val="both"/>
        <w:rPr>
          <w:rFonts w:ascii="Arial" w:hAnsi="Arial" w:cs="Arial"/>
          <w:sz w:val="24"/>
          <w:szCs w:val="24"/>
        </w:rPr>
      </w:pPr>
      <w:r>
        <w:rPr>
          <w:rFonts w:ascii="Arial" w:hAnsi="Arial" w:cs="Arial"/>
          <w:sz w:val="24"/>
          <w:szCs w:val="24"/>
        </w:rPr>
        <w:t>IGS’</w:t>
      </w:r>
      <w:r w:rsidR="001144C4">
        <w:rPr>
          <w:rFonts w:ascii="Arial" w:hAnsi="Arial" w:cs="Arial"/>
          <w:sz w:val="24"/>
          <w:szCs w:val="24"/>
        </w:rPr>
        <w:t>s</w:t>
      </w:r>
      <w:r w:rsidR="0056270F">
        <w:rPr>
          <w:rFonts w:ascii="Arial" w:hAnsi="Arial" w:cs="Arial"/>
          <w:sz w:val="24"/>
          <w:szCs w:val="24"/>
        </w:rPr>
        <w:t xml:space="preserve"> intervention will not unduly delay</w:t>
      </w:r>
      <w:r w:rsidR="000258F0">
        <w:rPr>
          <w:rFonts w:ascii="Arial" w:hAnsi="Arial" w:cs="Arial"/>
          <w:sz w:val="24"/>
          <w:szCs w:val="24"/>
        </w:rPr>
        <w:t xml:space="preserve"> this</w:t>
      </w:r>
      <w:r>
        <w:rPr>
          <w:rFonts w:ascii="Arial" w:hAnsi="Arial" w:cs="Arial"/>
          <w:sz w:val="24"/>
          <w:szCs w:val="24"/>
        </w:rPr>
        <w:t xml:space="preserve"> proceed</w:t>
      </w:r>
      <w:r w:rsidR="000258F0">
        <w:rPr>
          <w:rFonts w:ascii="Arial" w:hAnsi="Arial" w:cs="Arial"/>
          <w:sz w:val="24"/>
          <w:szCs w:val="24"/>
        </w:rPr>
        <w:t>ing</w:t>
      </w:r>
      <w:r w:rsidR="0056270F">
        <w:rPr>
          <w:rFonts w:ascii="Arial" w:hAnsi="Arial" w:cs="Arial"/>
          <w:sz w:val="24"/>
          <w:szCs w:val="24"/>
        </w:rPr>
        <w:t>.  Further, IGS i</w:t>
      </w:r>
      <w:r w:rsidR="001144C4">
        <w:rPr>
          <w:rFonts w:ascii="Arial" w:hAnsi="Arial" w:cs="Arial"/>
          <w:sz w:val="24"/>
          <w:szCs w:val="24"/>
        </w:rPr>
        <w:t>s so situated that without IGS’s</w:t>
      </w:r>
      <w:r w:rsidR="0056270F">
        <w:rPr>
          <w:rFonts w:ascii="Arial" w:hAnsi="Arial" w:cs="Arial"/>
          <w:sz w:val="24"/>
          <w:szCs w:val="24"/>
        </w:rPr>
        <w:t xml:space="preserve"> ability to fully parti</w:t>
      </w:r>
      <w:r w:rsidR="00357C8B">
        <w:rPr>
          <w:rFonts w:ascii="Arial" w:hAnsi="Arial" w:cs="Arial"/>
          <w:sz w:val="24"/>
          <w:szCs w:val="24"/>
        </w:rPr>
        <w:t>cipate in this proceeding</w:t>
      </w:r>
      <w:r>
        <w:rPr>
          <w:rFonts w:ascii="Arial" w:hAnsi="Arial" w:cs="Arial"/>
          <w:sz w:val="24"/>
          <w:szCs w:val="24"/>
        </w:rPr>
        <w:t>, its</w:t>
      </w:r>
      <w:r w:rsidR="0056270F">
        <w:rPr>
          <w:rFonts w:ascii="Arial" w:hAnsi="Arial" w:cs="Arial"/>
          <w:sz w:val="24"/>
          <w:szCs w:val="24"/>
        </w:rPr>
        <w:t xml:space="preserve"> substantial interest will be prejudic</w:t>
      </w:r>
      <w:r>
        <w:rPr>
          <w:rFonts w:ascii="Arial" w:hAnsi="Arial" w:cs="Arial"/>
          <w:sz w:val="24"/>
          <w:szCs w:val="24"/>
        </w:rPr>
        <w:t>e</w:t>
      </w:r>
      <w:r w:rsidR="00357C8B">
        <w:rPr>
          <w:rFonts w:ascii="Arial" w:hAnsi="Arial" w:cs="Arial"/>
          <w:sz w:val="24"/>
          <w:szCs w:val="24"/>
        </w:rPr>
        <w:t>d. Others participating in this</w:t>
      </w:r>
      <w:r w:rsidR="0056270F">
        <w:rPr>
          <w:rFonts w:ascii="Arial" w:hAnsi="Arial" w:cs="Arial"/>
          <w:sz w:val="24"/>
          <w:szCs w:val="24"/>
        </w:rPr>
        <w:t xml:space="preserve"> p</w:t>
      </w:r>
      <w:r w:rsidR="00357C8B">
        <w:rPr>
          <w:rFonts w:ascii="Arial" w:hAnsi="Arial" w:cs="Arial"/>
          <w:sz w:val="24"/>
          <w:szCs w:val="24"/>
        </w:rPr>
        <w:t>roceeding</w:t>
      </w:r>
      <w:r>
        <w:rPr>
          <w:rFonts w:ascii="Arial" w:hAnsi="Arial" w:cs="Arial"/>
          <w:sz w:val="24"/>
          <w:szCs w:val="24"/>
        </w:rPr>
        <w:t xml:space="preserve"> do not represent IGS’</w:t>
      </w:r>
      <w:r w:rsidR="001144C4">
        <w:rPr>
          <w:rFonts w:ascii="Arial" w:hAnsi="Arial" w:cs="Arial"/>
          <w:sz w:val="24"/>
          <w:szCs w:val="24"/>
        </w:rPr>
        <w:t>s</w:t>
      </w:r>
      <w:r w:rsidR="0056270F">
        <w:rPr>
          <w:rFonts w:ascii="Arial" w:hAnsi="Arial" w:cs="Arial"/>
          <w:sz w:val="24"/>
          <w:szCs w:val="24"/>
        </w:rPr>
        <w:t xml:space="preserve"> interests.  Inasmuch as others partic</w:t>
      </w:r>
      <w:r w:rsidR="00357C8B">
        <w:rPr>
          <w:rFonts w:ascii="Arial" w:hAnsi="Arial" w:cs="Arial"/>
          <w:sz w:val="24"/>
          <w:szCs w:val="24"/>
        </w:rPr>
        <w:t>ipating in this</w:t>
      </w:r>
      <w:r w:rsidR="0056270F">
        <w:rPr>
          <w:rFonts w:ascii="Arial" w:hAnsi="Arial" w:cs="Arial"/>
          <w:sz w:val="24"/>
          <w:szCs w:val="24"/>
        </w:rPr>
        <w:t xml:space="preserve"> proceeding</w:t>
      </w:r>
      <w:r>
        <w:rPr>
          <w:rFonts w:ascii="Arial" w:hAnsi="Arial" w:cs="Arial"/>
          <w:sz w:val="24"/>
          <w:szCs w:val="24"/>
        </w:rPr>
        <w:t xml:space="preserve"> cannot adequately protect IGS’</w:t>
      </w:r>
      <w:r w:rsidR="001144C4">
        <w:rPr>
          <w:rFonts w:ascii="Arial" w:hAnsi="Arial" w:cs="Arial"/>
          <w:sz w:val="24"/>
          <w:szCs w:val="24"/>
        </w:rPr>
        <w:t>s</w:t>
      </w:r>
      <w:r w:rsidR="0056270F">
        <w:rPr>
          <w:rFonts w:ascii="Arial" w:hAnsi="Arial" w:cs="Arial"/>
          <w:sz w:val="24"/>
          <w:szCs w:val="24"/>
        </w:rPr>
        <w:t xml:space="preserve"> interests, it would be inappropriate to determi</w:t>
      </w:r>
      <w:r w:rsidR="00357C8B">
        <w:rPr>
          <w:rFonts w:ascii="Arial" w:hAnsi="Arial" w:cs="Arial"/>
          <w:sz w:val="24"/>
          <w:szCs w:val="24"/>
        </w:rPr>
        <w:t>ne this proceeding</w:t>
      </w:r>
      <w:r>
        <w:rPr>
          <w:rFonts w:ascii="Arial" w:hAnsi="Arial" w:cs="Arial"/>
          <w:sz w:val="24"/>
          <w:szCs w:val="24"/>
        </w:rPr>
        <w:t xml:space="preserve"> without IGS’</w:t>
      </w:r>
      <w:r w:rsidR="001144C4">
        <w:rPr>
          <w:rFonts w:ascii="Arial" w:hAnsi="Arial" w:cs="Arial"/>
          <w:sz w:val="24"/>
          <w:szCs w:val="24"/>
        </w:rPr>
        <w:t>s</w:t>
      </w:r>
      <w:r w:rsidR="0056270F">
        <w:rPr>
          <w:rFonts w:ascii="Arial" w:hAnsi="Arial" w:cs="Arial"/>
          <w:sz w:val="24"/>
          <w:szCs w:val="24"/>
        </w:rPr>
        <w:t xml:space="preserve"> participation. </w:t>
      </w:r>
    </w:p>
    <w:p w14:paraId="7176D2F4" w14:textId="12151799" w:rsidR="00545F29" w:rsidRPr="00AA75B4" w:rsidRDefault="0056270F" w:rsidP="00AA75B4">
      <w:pPr>
        <w:widowControl w:val="0"/>
        <w:spacing w:after="0" w:line="480" w:lineRule="auto"/>
        <w:ind w:firstLine="720"/>
        <w:jc w:val="both"/>
        <w:rPr>
          <w:rFonts w:ascii="Arial" w:hAnsi="Arial" w:cs="Arial"/>
          <w:sz w:val="24"/>
          <w:szCs w:val="24"/>
        </w:rPr>
      </w:pPr>
      <w:r>
        <w:rPr>
          <w:rFonts w:ascii="Arial" w:hAnsi="Arial" w:cs="Arial"/>
          <w:sz w:val="24"/>
          <w:szCs w:val="24"/>
        </w:rPr>
        <w:t xml:space="preserve"> </w:t>
      </w:r>
      <w:r w:rsidR="00B92A76">
        <w:rPr>
          <w:rFonts w:ascii="Arial" w:hAnsi="Arial" w:cs="Arial"/>
          <w:sz w:val="24"/>
          <w:szCs w:val="24"/>
        </w:rPr>
        <w:t>Finally, the Supreme Court of Ohio has held that intervention should be liberally allowed for those with an interest in the proceeding.</w:t>
      </w:r>
      <w:r w:rsidR="00B92A76">
        <w:rPr>
          <w:rStyle w:val="FootnoteReference"/>
          <w:rFonts w:ascii="Arial" w:hAnsi="Arial" w:cs="Arial"/>
          <w:sz w:val="24"/>
          <w:szCs w:val="24"/>
        </w:rPr>
        <w:footnoteReference w:id="5"/>
      </w:r>
      <w:r w:rsidR="00B92A76">
        <w:rPr>
          <w:rFonts w:ascii="Arial" w:hAnsi="Arial" w:cs="Arial"/>
          <w:sz w:val="24"/>
          <w:szCs w:val="24"/>
        </w:rPr>
        <w:t xml:space="preserve">  In light of the liberal interpretation of the intervention rules, IGS clearly meets the standards for </w:t>
      </w:r>
      <w:r w:rsidR="00357C8B">
        <w:rPr>
          <w:rFonts w:ascii="Arial" w:hAnsi="Arial" w:cs="Arial"/>
          <w:sz w:val="24"/>
          <w:szCs w:val="24"/>
        </w:rPr>
        <w:t>intervention in this</w:t>
      </w:r>
      <w:r w:rsidR="00A71E20">
        <w:rPr>
          <w:rFonts w:ascii="Arial" w:hAnsi="Arial" w:cs="Arial"/>
          <w:sz w:val="24"/>
          <w:szCs w:val="24"/>
        </w:rPr>
        <w:t xml:space="preserve"> proceeding</w:t>
      </w:r>
      <w:r w:rsidR="00DE4973">
        <w:rPr>
          <w:rFonts w:ascii="Arial" w:hAnsi="Arial" w:cs="Arial"/>
          <w:sz w:val="24"/>
          <w:szCs w:val="24"/>
        </w:rPr>
        <w:t>.</w:t>
      </w:r>
    </w:p>
    <w:p w14:paraId="7176D2F5" w14:textId="77777777" w:rsidR="00545F29" w:rsidRDefault="0056270F">
      <w:pPr>
        <w:widowControl w:val="0"/>
        <w:spacing w:after="0" w:line="480" w:lineRule="auto"/>
        <w:ind w:firstLine="720"/>
        <w:jc w:val="both"/>
        <w:rPr>
          <w:rFonts w:ascii="Arial" w:hAnsi="Arial" w:cs="Arial"/>
          <w:sz w:val="24"/>
          <w:szCs w:val="24"/>
        </w:rPr>
      </w:pPr>
      <w:r>
        <w:rPr>
          <w:rFonts w:ascii="Arial" w:hAnsi="Arial" w:cs="Arial"/>
          <w:sz w:val="24"/>
          <w:szCs w:val="24"/>
        </w:rPr>
        <w:t xml:space="preserve">For the reasons set forth above, IGS respectfully requests the Commission grant this Motion to Intervene.   </w:t>
      </w:r>
    </w:p>
    <w:p w14:paraId="0371C0C1" w14:textId="77777777" w:rsidR="00F1629C" w:rsidRDefault="00F1629C">
      <w:pPr>
        <w:widowControl w:val="0"/>
        <w:spacing w:after="0" w:line="480" w:lineRule="auto"/>
        <w:ind w:firstLine="720"/>
        <w:jc w:val="both"/>
        <w:rPr>
          <w:rFonts w:ascii="Arial" w:hAnsi="Arial" w:cs="Arial"/>
          <w:sz w:val="24"/>
          <w:szCs w:val="24"/>
        </w:rPr>
      </w:pPr>
    </w:p>
    <w:p w14:paraId="5A91D1AE" w14:textId="7E72CB94" w:rsidR="00011E6A" w:rsidRDefault="00066F87" w:rsidP="00F1629C">
      <w:pPr>
        <w:pStyle w:val="ListParagraph"/>
        <w:widowControl w:val="0"/>
        <w:numPr>
          <w:ilvl w:val="0"/>
          <w:numId w:val="9"/>
        </w:numPr>
        <w:spacing w:after="0" w:line="240" w:lineRule="auto"/>
        <w:jc w:val="both"/>
        <w:rPr>
          <w:rFonts w:ascii="Arial" w:hAnsi="Arial" w:cs="Arial"/>
          <w:b/>
          <w:sz w:val="24"/>
          <w:szCs w:val="24"/>
        </w:rPr>
      </w:pPr>
      <w:r>
        <w:rPr>
          <w:rFonts w:ascii="Arial" w:hAnsi="Arial" w:cs="Arial"/>
          <w:b/>
          <w:sz w:val="24"/>
          <w:szCs w:val="24"/>
        </w:rPr>
        <w:lastRenderedPageBreak/>
        <w:t>MOTION</w:t>
      </w:r>
      <w:r w:rsidR="00B31134">
        <w:rPr>
          <w:rFonts w:ascii="Arial" w:hAnsi="Arial" w:cs="Arial"/>
          <w:b/>
          <w:sz w:val="24"/>
          <w:szCs w:val="24"/>
        </w:rPr>
        <w:t xml:space="preserve"> TO </w:t>
      </w:r>
      <w:r>
        <w:rPr>
          <w:rFonts w:ascii="Arial" w:hAnsi="Arial" w:cs="Arial"/>
          <w:b/>
          <w:sz w:val="24"/>
          <w:szCs w:val="24"/>
        </w:rPr>
        <w:t>REVISE</w:t>
      </w:r>
      <w:r w:rsidR="00567398">
        <w:rPr>
          <w:rFonts w:ascii="Arial" w:hAnsi="Arial" w:cs="Arial"/>
          <w:b/>
          <w:sz w:val="24"/>
          <w:szCs w:val="24"/>
        </w:rPr>
        <w:t xml:space="preserve"> PROCEDURAL SCHEDULE AND SET MATTER FOR HEARING</w:t>
      </w:r>
      <w:r w:rsidR="00B2379B">
        <w:rPr>
          <w:rFonts w:ascii="Arial" w:hAnsi="Arial" w:cs="Arial"/>
          <w:b/>
          <w:sz w:val="24"/>
          <w:szCs w:val="24"/>
        </w:rPr>
        <w:t xml:space="preserve"> AND</w:t>
      </w:r>
      <w:r w:rsidR="00011E6A">
        <w:rPr>
          <w:rFonts w:ascii="Arial" w:hAnsi="Arial" w:cs="Arial"/>
          <w:b/>
          <w:sz w:val="24"/>
          <w:szCs w:val="24"/>
        </w:rPr>
        <w:t xml:space="preserve"> </w:t>
      </w:r>
      <w:r>
        <w:rPr>
          <w:rFonts w:ascii="Arial" w:hAnsi="Arial" w:cs="Arial"/>
          <w:b/>
          <w:sz w:val="24"/>
          <w:szCs w:val="24"/>
        </w:rPr>
        <w:t>IN THE ALTERNATIVE CONSOLIDATE THIS CASE WITH DUKE’S GCR</w:t>
      </w:r>
      <w:r w:rsidR="00011E6A">
        <w:rPr>
          <w:rFonts w:ascii="Arial" w:hAnsi="Arial" w:cs="Arial"/>
          <w:b/>
          <w:sz w:val="24"/>
          <w:szCs w:val="24"/>
        </w:rPr>
        <w:t xml:space="preserve"> MANAGEM</w:t>
      </w:r>
      <w:r>
        <w:rPr>
          <w:rFonts w:ascii="Arial" w:hAnsi="Arial" w:cs="Arial"/>
          <w:b/>
          <w:sz w:val="24"/>
          <w:szCs w:val="24"/>
        </w:rPr>
        <w:t>ENT PERFORMANCE AUDIT CASE</w:t>
      </w:r>
    </w:p>
    <w:p w14:paraId="12F77F7A" w14:textId="77777777" w:rsidR="00F1629C" w:rsidRPr="00F1629C" w:rsidRDefault="00F1629C" w:rsidP="00F1629C">
      <w:pPr>
        <w:pStyle w:val="ListParagraph"/>
        <w:widowControl w:val="0"/>
        <w:spacing w:after="0" w:line="240" w:lineRule="auto"/>
        <w:ind w:left="1080"/>
        <w:jc w:val="both"/>
        <w:rPr>
          <w:rFonts w:ascii="Arial" w:hAnsi="Arial" w:cs="Arial"/>
          <w:b/>
          <w:sz w:val="24"/>
          <w:szCs w:val="24"/>
        </w:rPr>
      </w:pPr>
    </w:p>
    <w:p w14:paraId="08FBE9A2" w14:textId="442F5E8D" w:rsidR="00011E6A" w:rsidRDefault="00011E6A" w:rsidP="00F1629C">
      <w:pPr>
        <w:widowControl w:val="0"/>
        <w:spacing w:after="0" w:line="480" w:lineRule="auto"/>
        <w:ind w:firstLine="720"/>
        <w:jc w:val="both"/>
        <w:rPr>
          <w:rFonts w:ascii="Arial" w:hAnsi="Arial" w:cs="Arial"/>
          <w:sz w:val="24"/>
          <w:szCs w:val="24"/>
        </w:rPr>
      </w:pPr>
      <w:r>
        <w:rPr>
          <w:rFonts w:ascii="Arial" w:hAnsi="Arial" w:cs="Arial"/>
          <w:sz w:val="24"/>
          <w:szCs w:val="24"/>
        </w:rPr>
        <w:t>Duke’s Application appears to be unjust and unreasonable</w:t>
      </w:r>
      <w:r w:rsidR="00AE558B">
        <w:rPr>
          <w:rFonts w:ascii="Arial" w:hAnsi="Arial" w:cs="Arial"/>
          <w:sz w:val="24"/>
          <w:szCs w:val="24"/>
        </w:rPr>
        <w:t>.</w:t>
      </w:r>
      <w:r>
        <w:rPr>
          <w:rFonts w:ascii="Arial" w:hAnsi="Arial" w:cs="Arial"/>
          <w:sz w:val="24"/>
          <w:szCs w:val="24"/>
        </w:rPr>
        <w:t xml:space="preserve"> </w:t>
      </w:r>
      <w:r w:rsidR="00AE558B">
        <w:rPr>
          <w:rFonts w:ascii="Arial" w:hAnsi="Arial" w:cs="Arial"/>
          <w:sz w:val="24"/>
          <w:szCs w:val="24"/>
        </w:rPr>
        <w:t>T</w:t>
      </w:r>
      <w:r>
        <w:rPr>
          <w:rFonts w:ascii="Arial" w:hAnsi="Arial" w:cs="Arial"/>
          <w:sz w:val="24"/>
          <w:szCs w:val="24"/>
        </w:rPr>
        <w:t>herefore it must be set for hearing.  Issues related to Duke’s storage procurement will</w:t>
      </w:r>
      <w:r w:rsidR="00AE558B">
        <w:rPr>
          <w:rFonts w:ascii="Arial" w:hAnsi="Arial" w:cs="Arial"/>
          <w:sz w:val="24"/>
          <w:szCs w:val="24"/>
        </w:rPr>
        <w:t xml:space="preserve"> also</w:t>
      </w:r>
      <w:r>
        <w:rPr>
          <w:rFonts w:ascii="Arial" w:hAnsi="Arial" w:cs="Arial"/>
          <w:sz w:val="24"/>
          <w:szCs w:val="24"/>
        </w:rPr>
        <w:t xml:space="preserve"> be reviewed in Duke’s</w:t>
      </w:r>
      <w:r w:rsidR="00AE558B">
        <w:rPr>
          <w:rFonts w:ascii="Arial" w:hAnsi="Arial" w:cs="Arial"/>
          <w:sz w:val="24"/>
          <w:szCs w:val="24"/>
        </w:rPr>
        <w:t xml:space="preserve"> upcoming</w:t>
      </w:r>
      <w:r w:rsidR="00066F87">
        <w:rPr>
          <w:rFonts w:ascii="Arial" w:hAnsi="Arial" w:cs="Arial"/>
          <w:sz w:val="24"/>
          <w:szCs w:val="24"/>
        </w:rPr>
        <w:t xml:space="preserve"> GCR</w:t>
      </w:r>
      <w:r>
        <w:rPr>
          <w:rFonts w:ascii="Arial" w:hAnsi="Arial" w:cs="Arial"/>
          <w:sz w:val="24"/>
          <w:szCs w:val="24"/>
        </w:rPr>
        <w:t xml:space="preserve"> management performance audit</w:t>
      </w:r>
      <w:r w:rsidR="00066F87">
        <w:rPr>
          <w:rFonts w:ascii="Arial" w:hAnsi="Arial" w:cs="Arial"/>
          <w:sz w:val="24"/>
          <w:szCs w:val="24"/>
        </w:rPr>
        <w:t xml:space="preserve"> case</w:t>
      </w:r>
      <w:r>
        <w:rPr>
          <w:rFonts w:ascii="Arial" w:hAnsi="Arial" w:cs="Arial"/>
          <w:sz w:val="24"/>
          <w:szCs w:val="24"/>
        </w:rPr>
        <w:t xml:space="preserve">.  </w:t>
      </w:r>
      <w:r w:rsidR="00AE558B">
        <w:rPr>
          <w:rFonts w:ascii="Arial" w:hAnsi="Arial" w:cs="Arial"/>
          <w:sz w:val="24"/>
          <w:szCs w:val="24"/>
        </w:rPr>
        <w:t>Thus, in the alternative to setting this matter for hearing, i</w:t>
      </w:r>
      <w:r>
        <w:rPr>
          <w:rFonts w:ascii="Arial" w:hAnsi="Arial" w:cs="Arial"/>
          <w:sz w:val="24"/>
          <w:szCs w:val="24"/>
        </w:rPr>
        <w:t>t may be more efficient to consolidate t</w:t>
      </w:r>
      <w:r w:rsidR="006E4C4D">
        <w:rPr>
          <w:rFonts w:ascii="Arial" w:hAnsi="Arial" w:cs="Arial"/>
          <w:sz w:val="24"/>
          <w:szCs w:val="24"/>
        </w:rPr>
        <w:t xml:space="preserve">his </w:t>
      </w:r>
      <w:r w:rsidR="00AE558B">
        <w:rPr>
          <w:rFonts w:ascii="Arial" w:hAnsi="Arial" w:cs="Arial"/>
          <w:sz w:val="24"/>
          <w:szCs w:val="24"/>
        </w:rPr>
        <w:t>case with Duke’s upcoming GCR case to more efficiently</w:t>
      </w:r>
      <w:r>
        <w:rPr>
          <w:rFonts w:ascii="Arial" w:hAnsi="Arial" w:cs="Arial"/>
          <w:sz w:val="24"/>
          <w:szCs w:val="24"/>
        </w:rPr>
        <w:t xml:space="preserve"> co</w:t>
      </w:r>
      <w:r w:rsidR="006E4C4D">
        <w:rPr>
          <w:rFonts w:ascii="Arial" w:hAnsi="Arial" w:cs="Arial"/>
          <w:sz w:val="24"/>
          <w:szCs w:val="24"/>
        </w:rPr>
        <w:t>nsider the inter-related issues</w:t>
      </w:r>
      <w:r>
        <w:rPr>
          <w:rFonts w:ascii="Arial" w:hAnsi="Arial" w:cs="Arial"/>
          <w:sz w:val="24"/>
          <w:szCs w:val="24"/>
        </w:rPr>
        <w:t>.</w:t>
      </w:r>
      <w:r>
        <w:rPr>
          <w:rStyle w:val="FootnoteReference"/>
          <w:rFonts w:ascii="Arial" w:hAnsi="Arial" w:cs="Arial"/>
          <w:sz w:val="24"/>
          <w:szCs w:val="24"/>
        </w:rPr>
        <w:footnoteReference w:id="6"/>
      </w:r>
    </w:p>
    <w:p w14:paraId="23B76074" w14:textId="1100B57F" w:rsidR="00567398" w:rsidRDefault="00567398" w:rsidP="007A2BF3">
      <w:pPr>
        <w:widowControl w:val="0"/>
        <w:spacing w:after="0" w:line="480" w:lineRule="auto"/>
        <w:ind w:firstLine="720"/>
        <w:jc w:val="both"/>
        <w:rPr>
          <w:rFonts w:ascii="Arial" w:hAnsi="Arial" w:cs="Arial"/>
          <w:sz w:val="24"/>
          <w:szCs w:val="24"/>
        </w:rPr>
      </w:pPr>
      <w:r>
        <w:rPr>
          <w:rFonts w:ascii="Arial" w:hAnsi="Arial" w:cs="Arial"/>
          <w:sz w:val="24"/>
          <w:szCs w:val="24"/>
        </w:rPr>
        <w:t>U</w:t>
      </w:r>
      <w:r w:rsidRPr="00567398">
        <w:rPr>
          <w:rFonts w:ascii="Arial" w:hAnsi="Arial" w:cs="Arial"/>
          <w:sz w:val="24"/>
          <w:szCs w:val="24"/>
        </w:rPr>
        <w:t>nder R.C. 4909.18, “if it appears to the commission that the proposals in the application may be unjust or unreasonable, the commission shall set the matter for hearing.” (</w:t>
      </w:r>
      <w:proofErr w:type="gramStart"/>
      <w:r w:rsidRPr="00567398">
        <w:rPr>
          <w:rFonts w:ascii="Arial" w:hAnsi="Arial" w:cs="Arial"/>
          <w:sz w:val="24"/>
          <w:szCs w:val="24"/>
        </w:rPr>
        <w:t>emphasis</w:t>
      </w:r>
      <w:proofErr w:type="gramEnd"/>
      <w:r w:rsidRPr="00567398">
        <w:rPr>
          <w:rFonts w:ascii="Arial" w:hAnsi="Arial" w:cs="Arial"/>
          <w:sz w:val="24"/>
          <w:szCs w:val="24"/>
        </w:rPr>
        <w:t xml:space="preserve"> added).</w:t>
      </w:r>
      <w:r>
        <w:rPr>
          <w:rFonts w:ascii="Arial" w:hAnsi="Arial" w:cs="Arial"/>
          <w:sz w:val="24"/>
          <w:szCs w:val="24"/>
        </w:rPr>
        <w:t xml:space="preserve">  As discussed below, there are several reasons why Duke’s proposal appears to be unjust and unreasonable and therefore must be set for hearing, as opposed to an expedited comment schedule that provides no opportunity for dis</w:t>
      </w:r>
      <w:r w:rsidR="006E4C4D">
        <w:rPr>
          <w:rFonts w:ascii="Arial" w:hAnsi="Arial" w:cs="Arial"/>
          <w:sz w:val="24"/>
          <w:szCs w:val="24"/>
        </w:rPr>
        <w:t>covery or additional analysis of</w:t>
      </w:r>
      <w:r>
        <w:rPr>
          <w:rFonts w:ascii="Arial" w:hAnsi="Arial" w:cs="Arial"/>
          <w:sz w:val="24"/>
          <w:szCs w:val="24"/>
        </w:rPr>
        <w:t xml:space="preserve"> the Application.</w:t>
      </w:r>
      <w:r w:rsidRPr="00567398">
        <w:rPr>
          <w:rFonts w:ascii="Arial" w:hAnsi="Arial" w:cs="Arial"/>
          <w:sz w:val="24"/>
          <w:szCs w:val="24"/>
        </w:rPr>
        <w:t xml:space="preserve">  </w:t>
      </w:r>
    </w:p>
    <w:p w14:paraId="38CA140E" w14:textId="633F7FFB" w:rsidR="007A2BF3" w:rsidRDefault="00514223" w:rsidP="007A2BF3">
      <w:pPr>
        <w:widowControl w:val="0"/>
        <w:spacing w:after="0" w:line="480" w:lineRule="auto"/>
        <w:ind w:firstLine="720"/>
        <w:jc w:val="both"/>
        <w:rPr>
          <w:rFonts w:ascii="Arial" w:hAnsi="Arial" w:cs="Arial"/>
          <w:sz w:val="24"/>
          <w:szCs w:val="24"/>
        </w:rPr>
      </w:pPr>
      <w:r>
        <w:rPr>
          <w:rFonts w:ascii="Arial" w:hAnsi="Arial" w:cs="Arial"/>
          <w:sz w:val="24"/>
          <w:szCs w:val="24"/>
        </w:rPr>
        <w:t>Specifically, the Application appears to</w:t>
      </w:r>
      <w:r w:rsidR="006E4C4D">
        <w:rPr>
          <w:rFonts w:ascii="Arial" w:hAnsi="Arial" w:cs="Arial"/>
          <w:sz w:val="24"/>
          <w:szCs w:val="24"/>
        </w:rPr>
        <w:t xml:space="preserve"> be</w:t>
      </w:r>
      <w:r>
        <w:rPr>
          <w:rFonts w:ascii="Arial" w:hAnsi="Arial" w:cs="Arial"/>
          <w:sz w:val="24"/>
          <w:szCs w:val="24"/>
        </w:rPr>
        <w:t xml:space="preserve"> unjust and unreasonable for the following reasons:</w:t>
      </w:r>
    </w:p>
    <w:p w14:paraId="2772E1A0" w14:textId="3C1D5FF7" w:rsidR="00D472D4" w:rsidRDefault="00D472D4" w:rsidP="00A87022">
      <w:pPr>
        <w:pStyle w:val="ListParagraph"/>
        <w:widowControl w:val="0"/>
        <w:numPr>
          <w:ilvl w:val="0"/>
          <w:numId w:val="10"/>
        </w:numPr>
        <w:spacing w:after="120" w:line="240" w:lineRule="auto"/>
        <w:ind w:right="720"/>
        <w:jc w:val="both"/>
        <w:rPr>
          <w:rFonts w:ascii="Arial" w:hAnsi="Arial" w:cs="Arial"/>
          <w:sz w:val="24"/>
          <w:szCs w:val="24"/>
        </w:rPr>
      </w:pPr>
      <w:r>
        <w:rPr>
          <w:rFonts w:ascii="Arial" w:hAnsi="Arial" w:cs="Arial"/>
          <w:sz w:val="24"/>
          <w:szCs w:val="24"/>
        </w:rPr>
        <w:t>Duke propose</w:t>
      </w:r>
      <w:r w:rsidR="003C4C78">
        <w:rPr>
          <w:rFonts w:ascii="Arial" w:hAnsi="Arial" w:cs="Arial"/>
          <w:sz w:val="24"/>
          <w:szCs w:val="24"/>
        </w:rPr>
        <w:t>s</w:t>
      </w:r>
      <w:r>
        <w:rPr>
          <w:rFonts w:ascii="Arial" w:hAnsi="Arial" w:cs="Arial"/>
          <w:sz w:val="24"/>
          <w:szCs w:val="24"/>
        </w:rPr>
        <w:t xml:space="preserve"> to discriminate against large CRNG providers</w:t>
      </w:r>
      <w:r w:rsidR="00A87022">
        <w:rPr>
          <w:rFonts w:ascii="Arial" w:hAnsi="Arial" w:cs="Arial"/>
          <w:sz w:val="24"/>
          <w:szCs w:val="24"/>
        </w:rPr>
        <w:t xml:space="preserve">. </w:t>
      </w:r>
      <w:r w:rsidR="00A87022" w:rsidRPr="00A87022">
        <w:rPr>
          <w:rFonts w:ascii="Arial" w:hAnsi="Arial" w:cs="Arial"/>
          <w:sz w:val="24"/>
          <w:szCs w:val="24"/>
        </w:rPr>
        <w:t>Duke’s proposal</w:t>
      </w:r>
      <w:r w:rsidR="00A87022">
        <w:rPr>
          <w:rFonts w:ascii="Arial" w:hAnsi="Arial" w:cs="Arial"/>
          <w:sz w:val="24"/>
          <w:szCs w:val="24"/>
        </w:rPr>
        <w:t xml:space="preserve"> thus</w:t>
      </w:r>
      <w:r w:rsidR="00A87022" w:rsidRPr="00A87022">
        <w:rPr>
          <w:rFonts w:ascii="Arial" w:hAnsi="Arial" w:cs="Arial"/>
          <w:sz w:val="24"/>
          <w:szCs w:val="24"/>
        </w:rPr>
        <w:t xml:space="preserve"> may impact competitive conditi</w:t>
      </w:r>
      <w:r w:rsidR="00A87022">
        <w:rPr>
          <w:rFonts w:ascii="Arial" w:hAnsi="Arial" w:cs="Arial"/>
          <w:sz w:val="24"/>
          <w:szCs w:val="24"/>
        </w:rPr>
        <w:t>ons in Duke’s service territory</w:t>
      </w:r>
      <w:r w:rsidR="00514223">
        <w:rPr>
          <w:rFonts w:ascii="Arial" w:hAnsi="Arial" w:cs="Arial"/>
          <w:sz w:val="24"/>
          <w:szCs w:val="24"/>
        </w:rPr>
        <w:t>;</w:t>
      </w:r>
    </w:p>
    <w:p w14:paraId="2EC0CC64" w14:textId="77777777" w:rsidR="008A07B0" w:rsidRDefault="008A07B0" w:rsidP="008A07B0">
      <w:pPr>
        <w:pStyle w:val="ListParagraph"/>
        <w:widowControl w:val="0"/>
        <w:spacing w:after="120" w:line="240" w:lineRule="auto"/>
        <w:ind w:left="1440" w:right="720"/>
        <w:jc w:val="both"/>
        <w:rPr>
          <w:rFonts w:ascii="Arial" w:hAnsi="Arial" w:cs="Arial"/>
          <w:sz w:val="24"/>
          <w:szCs w:val="24"/>
        </w:rPr>
      </w:pPr>
    </w:p>
    <w:p w14:paraId="4D883330" w14:textId="161DBEE4" w:rsidR="008A07B0" w:rsidRPr="008A07B0" w:rsidRDefault="00514223" w:rsidP="008A07B0">
      <w:pPr>
        <w:pStyle w:val="ListParagraph"/>
        <w:numPr>
          <w:ilvl w:val="0"/>
          <w:numId w:val="10"/>
        </w:numPr>
        <w:spacing w:after="120" w:line="240" w:lineRule="auto"/>
        <w:ind w:right="720"/>
        <w:rPr>
          <w:rFonts w:ascii="Arial" w:hAnsi="Arial" w:cs="Arial"/>
          <w:sz w:val="24"/>
          <w:szCs w:val="24"/>
        </w:rPr>
      </w:pPr>
      <w:r>
        <w:rPr>
          <w:rFonts w:ascii="Arial" w:hAnsi="Arial" w:cs="Arial"/>
          <w:sz w:val="24"/>
          <w:szCs w:val="24"/>
        </w:rPr>
        <w:t>It is not clear that</w:t>
      </w:r>
      <w:r w:rsidR="006E4C4D">
        <w:rPr>
          <w:rFonts w:ascii="Arial" w:hAnsi="Arial" w:cs="Arial"/>
          <w:sz w:val="24"/>
          <w:szCs w:val="24"/>
        </w:rPr>
        <w:t xml:space="preserve"> an</w:t>
      </w:r>
      <w:r>
        <w:rPr>
          <w:rFonts w:ascii="Arial" w:hAnsi="Arial" w:cs="Arial"/>
          <w:sz w:val="24"/>
          <w:szCs w:val="24"/>
        </w:rPr>
        <w:t xml:space="preserve"> alternative approach would not more</w:t>
      </w:r>
      <w:r w:rsidR="008A323D" w:rsidRPr="008A323D">
        <w:rPr>
          <w:rFonts w:ascii="Arial" w:hAnsi="Arial" w:cs="Arial"/>
          <w:sz w:val="24"/>
          <w:szCs w:val="24"/>
        </w:rPr>
        <w:t xml:space="preserve"> reasonably al</w:t>
      </w:r>
      <w:r>
        <w:rPr>
          <w:rFonts w:ascii="Arial" w:hAnsi="Arial" w:cs="Arial"/>
          <w:sz w:val="24"/>
          <w:szCs w:val="24"/>
        </w:rPr>
        <w:t>leviate Duke’s alleged concerns;</w:t>
      </w:r>
    </w:p>
    <w:p w14:paraId="4A26CCB6" w14:textId="77777777" w:rsidR="008A07B0" w:rsidRPr="008A07B0" w:rsidRDefault="008A07B0" w:rsidP="008A07B0">
      <w:pPr>
        <w:pStyle w:val="ListParagraph"/>
        <w:spacing w:after="120" w:line="240" w:lineRule="auto"/>
        <w:ind w:left="1440" w:right="720"/>
        <w:rPr>
          <w:rFonts w:ascii="Arial" w:hAnsi="Arial" w:cs="Arial"/>
          <w:sz w:val="24"/>
          <w:szCs w:val="24"/>
        </w:rPr>
      </w:pPr>
    </w:p>
    <w:p w14:paraId="623BC03C" w14:textId="347DC9B8" w:rsidR="00D472D4" w:rsidRDefault="00D472D4" w:rsidP="008A07B0">
      <w:pPr>
        <w:pStyle w:val="ListParagraph"/>
        <w:widowControl w:val="0"/>
        <w:numPr>
          <w:ilvl w:val="0"/>
          <w:numId w:val="10"/>
        </w:numPr>
        <w:spacing w:after="120" w:line="240" w:lineRule="auto"/>
        <w:ind w:right="720"/>
        <w:jc w:val="both"/>
        <w:rPr>
          <w:rFonts w:ascii="Arial" w:hAnsi="Arial" w:cs="Arial"/>
          <w:sz w:val="24"/>
          <w:szCs w:val="24"/>
        </w:rPr>
      </w:pPr>
      <w:r>
        <w:rPr>
          <w:rFonts w:ascii="Arial" w:hAnsi="Arial" w:cs="Arial"/>
          <w:sz w:val="24"/>
          <w:szCs w:val="24"/>
        </w:rPr>
        <w:t>Duke</w:t>
      </w:r>
      <w:r w:rsidR="00514223">
        <w:rPr>
          <w:rFonts w:ascii="Arial" w:hAnsi="Arial" w:cs="Arial"/>
          <w:sz w:val="24"/>
          <w:szCs w:val="24"/>
        </w:rPr>
        <w:t xml:space="preserve"> proposes</w:t>
      </w:r>
      <w:r>
        <w:rPr>
          <w:rFonts w:ascii="Arial" w:hAnsi="Arial" w:cs="Arial"/>
          <w:sz w:val="24"/>
          <w:szCs w:val="24"/>
        </w:rPr>
        <w:t xml:space="preserve"> to unilaterally modify a portion of a stipulation that it entered into without record evidence and without considering additional </w:t>
      </w:r>
      <w:r w:rsidR="00514223">
        <w:rPr>
          <w:rFonts w:ascii="Arial" w:hAnsi="Arial" w:cs="Arial"/>
          <w:sz w:val="24"/>
          <w:szCs w:val="24"/>
        </w:rPr>
        <w:t>modifications;</w:t>
      </w:r>
    </w:p>
    <w:p w14:paraId="356DDF83" w14:textId="77777777" w:rsidR="008A07B0" w:rsidRDefault="008A07B0" w:rsidP="008A07B0">
      <w:pPr>
        <w:pStyle w:val="ListParagraph"/>
        <w:widowControl w:val="0"/>
        <w:spacing w:after="120" w:line="240" w:lineRule="auto"/>
        <w:ind w:left="1440" w:right="720"/>
        <w:jc w:val="both"/>
        <w:rPr>
          <w:rFonts w:ascii="Arial" w:hAnsi="Arial" w:cs="Arial"/>
          <w:sz w:val="24"/>
          <w:szCs w:val="24"/>
        </w:rPr>
      </w:pPr>
    </w:p>
    <w:p w14:paraId="4DA3A1A6" w14:textId="05966BCC" w:rsidR="00D472D4" w:rsidRDefault="00514223" w:rsidP="008A07B0">
      <w:pPr>
        <w:pStyle w:val="ListParagraph"/>
        <w:widowControl w:val="0"/>
        <w:numPr>
          <w:ilvl w:val="0"/>
          <w:numId w:val="10"/>
        </w:numPr>
        <w:spacing w:after="120" w:line="240" w:lineRule="auto"/>
        <w:ind w:right="720"/>
        <w:jc w:val="both"/>
        <w:rPr>
          <w:rFonts w:ascii="Arial" w:hAnsi="Arial" w:cs="Arial"/>
          <w:sz w:val="24"/>
          <w:szCs w:val="24"/>
        </w:rPr>
      </w:pPr>
      <w:r>
        <w:rPr>
          <w:rFonts w:ascii="Arial" w:hAnsi="Arial" w:cs="Arial"/>
          <w:sz w:val="24"/>
          <w:szCs w:val="24"/>
        </w:rPr>
        <w:t>Duke should not have waited</w:t>
      </w:r>
      <w:r w:rsidR="006E4C4D">
        <w:rPr>
          <w:rFonts w:ascii="Arial" w:hAnsi="Arial" w:cs="Arial"/>
          <w:sz w:val="24"/>
          <w:szCs w:val="24"/>
        </w:rPr>
        <w:t xml:space="preserve"> until the 11</w:t>
      </w:r>
      <w:r w:rsidR="006E4C4D" w:rsidRPr="006E4C4D">
        <w:rPr>
          <w:rFonts w:ascii="Arial" w:hAnsi="Arial" w:cs="Arial"/>
          <w:sz w:val="24"/>
          <w:szCs w:val="24"/>
          <w:vertAlign w:val="superscript"/>
        </w:rPr>
        <w:t>th</w:t>
      </w:r>
      <w:r w:rsidR="006E4C4D">
        <w:rPr>
          <w:rFonts w:ascii="Arial" w:hAnsi="Arial" w:cs="Arial"/>
          <w:sz w:val="24"/>
          <w:szCs w:val="24"/>
        </w:rPr>
        <w:t xml:space="preserve"> hour</w:t>
      </w:r>
      <w:r w:rsidR="00D472D4">
        <w:rPr>
          <w:rFonts w:ascii="Arial" w:hAnsi="Arial" w:cs="Arial"/>
          <w:sz w:val="24"/>
          <w:szCs w:val="24"/>
        </w:rPr>
        <w:t xml:space="preserve"> to file its Application, given that its proposed relief</w:t>
      </w:r>
      <w:r w:rsidR="008A323D">
        <w:rPr>
          <w:rFonts w:ascii="Arial" w:hAnsi="Arial" w:cs="Arial"/>
          <w:sz w:val="24"/>
          <w:szCs w:val="24"/>
        </w:rPr>
        <w:t xml:space="preserve"> could, as a practical </w:t>
      </w:r>
      <w:r w:rsidR="008A323D">
        <w:rPr>
          <w:rFonts w:ascii="Arial" w:hAnsi="Arial" w:cs="Arial"/>
          <w:sz w:val="24"/>
          <w:szCs w:val="24"/>
        </w:rPr>
        <w:lastRenderedPageBreak/>
        <w:t>matter, undermine customer contracts</w:t>
      </w:r>
    </w:p>
    <w:p w14:paraId="4AF2822A" w14:textId="77777777" w:rsidR="008A07B0" w:rsidRPr="008A07B0" w:rsidRDefault="008A07B0" w:rsidP="008A07B0">
      <w:pPr>
        <w:pStyle w:val="ListParagraph"/>
        <w:rPr>
          <w:rFonts w:ascii="Arial" w:hAnsi="Arial" w:cs="Arial"/>
          <w:sz w:val="24"/>
          <w:szCs w:val="24"/>
        </w:rPr>
      </w:pPr>
    </w:p>
    <w:p w14:paraId="4E391852" w14:textId="2CCACE67" w:rsidR="00A87022" w:rsidRPr="00A87022" w:rsidRDefault="008A07B0" w:rsidP="00A87022">
      <w:pPr>
        <w:pStyle w:val="ListParagraph"/>
        <w:widowControl w:val="0"/>
        <w:numPr>
          <w:ilvl w:val="0"/>
          <w:numId w:val="10"/>
        </w:numPr>
        <w:spacing w:after="120" w:line="240" w:lineRule="auto"/>
        <w:ind w:right="720"/>
        <w:jc w:val="both"/>
        <w:rPr>
          <w:rFonts w:ascii="Arial" w:hAnsi="Arial" w:cs="Arial"/>
          <w:sz w:val="24"/>
          <w:szCs w:val="24"/>
        </w:rPr>
      </w:pPr>
      <w:r w:rsidRPr="008A07B0">
        <w:rPr>
          <w:rFonts w:ascii="Arial" w:hAnsi="Arial" w:cs="Arial"/>
          <w:sz w:val="24"/>
          <w:szCs w:val="24"/>
        </w:rPr>
        <w:t>CRNG</w:t>
      </w:r>
      <w:r>
        <w:rPr>
          <w:rFonts w:ascii="Arial" w:hAnsi="Arial" w:cs="Arial"/>
          <w:sz w:val="24"/>
          <w:szCs w:val="24"/>
        </w:rPr>
        <w:t xml:space="preserve"> </w:t>
      </w:r>
      <w:r w:rsidRPr="008A07B0">
        <w:rPr>
          <w:rFonts w:ascii="Arial" w:hAnsi="Arial" w:cs="Arial"/>
          <w:sz w:val="24"/>
          <w:szCs w:val="24"/>
        </w:rPr>
        <w:t>provider</w:t>
      </w:r>
      <w:r>
        <w:rPr>
          <w:rFonts w:ascii="Arial" w:hAnsi="Arial" w:cs="Arial"/>
          <w:sz w:val="24"/>
          <w:szCs w:val="24"/>
        </w:rPr>
        <w:t xml:space="preserve">s have made elections in accordance with </w:t>
      </w:r>
      <w:r w:rsidR="00567398">
        <w:rPr>
          <w:rFonts w:ascii="Arial" w:hAnsi="Arial" w:cs="Arial"/>
          <w:sz w:val="24"/>
          <w:szCs w:val="24"/>
        </w:rPr>
        <w:t xml:space="preserve">Duke’s filed rates and tariffs. </w:t>
      </w:r>
      <w:r w:rsidR="00514223">
        <w:rPr>
          <w:rFonts w:ascii="Arial" w:hAnsi="Arial" w:cs="Arial"/>
          <w:sz w:val="24"/>
          <w:szCs w:val="24"/>
        </w:rPr>
        <w:t xml:space="preserve"> </w:t>
      </w:r>
      <w:r w:rsidR="00567398">
        <w:rPr>
          <w:rFonts w:ascii="Arial" w:hAnsi="Arial" w:cs="Arial"/>
          <w:sz w:val="24"/>
          <w:szCs w:val="24"/>
        </w:rPr>
        <w:t>Duke</w:t>
      </w:r>
      <w:r w:rsidR="00514223">
        <w:rPr>
          <w:rFonts w:ascii="Arial" w:hAnsi="Arial" w:cs="Arial"/>
          <w:sz w:val="24"/>
          <w:szCs w:val="24"/>
        </w:rPr>
        <w:t xml:space="preserve">’s Application </w:t>
      </w:r>
      <w:r w:rsidR="00567398">
        <w:rPr>
          <w:rFonts w:ascii="Arial" w:hAnsi="Arial" w:cs="Arial"/>
          <w:sz w:val="24"/>
          <w:szCs w:val="24"/>
        </w:rPr>
        <w:t>request</w:t>
      </w:r>
      <w:r w:rsidR="00514223">
        <w:rPr>
          <w:rFonts w:ascii="Arial" w:hAnsi="Arial" w:cs="Arial"/>
          <w:sz w:val="24"/>
          <w:szCs w:val="24"/>
        </w:rPr>
        <w:t>s</w:t>
      </w:r>
      <w:r w:rsidR="00567398">
        <w:rPr>
          <w:rFonts w:ascii="Arial" w:hAnsi="Arial" w:cs="Arial"/>
          <w:sz w:val="24"/>
          <w:szCs w:val="24"/>
        </w:rPr>
        <w:t xml:space="preserve"> that the</w:t>
      </w:r>
      <w:r>
        <w:rPr>
          <w:rFonts w:ascii="Arial" w:hAnsi="Arial" w:cs="Arial"/>
          <w:sz w:val="24"/>
          <w:szCs w:val="24"/>
        </w:rPr>
        <w:t xml:space="preserve"> Commission</w:t>
      </w:r>
      <w:r w:rsidR="00567398">
        <w:rPr>
          <w:rFonts w:ascii="Arial" w:hAnsi="Arial" w:cs="Arial"/>
          <w:sz w:val="24"/>
          <w:szCs w:val="24"/>
        </w:rPr>
        <w:t xml:space="preserve"> retroactively</w:t>
      </w:r>
      <w:r w:rsidR="007C7BAC">
        <w:rPr>
          <w:rFonts w:ascii="Arial" w:hAnsi="Arial" w:cs="Arial"/>
          <w:sz w:val="24"/>
          <w:szCs w:val="24"/>
        </w:rPr>
        <w:t xml:space="preserve"> modify CRNG</w:t>
      </w:r>
      <w:r w:rsidR="00A87022">
        <w:rPr>
          <w:rFonts w:ascii="Arial" w:hAnsi="Arial" w:cs="Arial"/>
          <w:sz w:val="24"/>
          <w:szCs w:val="24"/>
        </w:rPr>
        <w:t xml:space="preserve"> provider</w:t>
      </w:r>
      <w:r w:rsidR="007C7BAC">
        <w:rPr>
          <w:rFonts w:ascii="Arial" w:hAnsi="Arial" w:cs="Arial"/>
          <w:sz w:val="24"/>
          <w:szCs w:val="24"/>
        </w:rPr>
        <w:t xml:space="preserve"> elections</w:t>
      </w:r>
      <w:r w:rsidR="00A87022">
        <w:rPr>
          <w:rFonts w:ascii="Arial" w:hAnsi="Arial" w:cs="Arial"/>
          <w:sz w:val="24"/>
          <w:szCs w:val="24"/>
        </w:rPr>
        <w:t>, which will also retroactively modify the rates that</w:t>
      </w:r>
      <w:r w:rsidR="007C7BAC">
        <w:rPr>
          <w:rFonts w:ascii="Arial" w:hAnsi="Arial" w:cs="Arial"/>
          <w:sz w:val="24"/>
          <w:szCs w:val="24"/>
        </w:rPr>
        <w:t xml:space="preserve"> </w:t>
      </w:r>
      <w:r w:rsidR="00A87022">
        <w:rPr>
          <w:rFonts w:ascii="Arial" w:hAnsi="Arial" w:cs="Arial"/>
          <w:sz w:val="24"/>
          <w:szCs w:val="24"/>
        </w:rPr>
        <w:t>CRNG providers pay to Duke</w:t>
      </w:r>
      <w:r w:rsidR="007C7BAC">
        <w:rPr>
          <w:rFonts w:ascii="Arial" w:hAnsi="Arial" w:cs="Arial"/>
          <w:sz w:val="24"/>
          <w:szCs w:val="24"/>
        </w:rPr>
        <w:t>—t</w:t>
      </w:r>
      <w:r w:rsidR="00514223">
        <w:rPr>
          <w:rFonts w:ascii="Arial" w:hAnsi="Arial" w:cs="Arial"/>
          <w:sz w:val="24"/>
          <w:szCs w:val="24"/>
        </w:rPr>
        <w:t xml:space="preserve">hat request, in itself, is unjust, unreasonable, and unlawful. </w:t>
      </w:r>
      <w:proofErr w:type="spellStart"/>
      <w:r w:rsidR="00514223">
        <w:rPr>
          <w:rFonts w:ascii="Arial" w:hAnsi="Arial" w:cs="Arial"/>
          <w:i/>
          <w:sz w:val="24"/>
          <w:szCs w:val="24"/>
        </w:rPr>
        <w:t>Keco</w:t>
      </w:r>
      <w:proofErr w:type="spellEnd"/>
      <w:r w:rsidR="00514223">
        <w:rPr>
          <w:rFonts w:ascii="Arial" w:hAnsi="Arial" w:cs="Arial"/>
          <w:i/>
          <w:sz w:val="24"/>
          <w:szCs w:val="24"/>
        </w:rPr>
        <w:t xml:space="preserve"> Industries v. Cincinnati &amp; Suburban Bell Tel. Co.</w:t>
      </w:r>
      <w:r w:rsidR="00514223">
        <w:rPr>
          <w:rFonts w:ascii="Arial" w:hAnsi="Arial" w:cs="Arial"/>
          <w:sz w:val="24"/>
          <w:szCs w:val="24"/>
        </w:rPr>
        <w:t>, 166 Ohio St. 254 (</w:t>
      </w:r>
      <w:r w:rsidR="00514223" w:rsidRPr="00514223">
        <w:rPr>
          <w:rFonts w:ascii="Arial" w:hAnsi="Arial" w:cs="Arial"/>
          <w:sz w:val="24"/>
          <w:szCs w:val="24"/>
        </w:rPr>
        <w:t xml:space="preserve">1957); </w:t>
      </w:r>
      <w:r w:rsidR="00514223" w:rsidRPr="00514223">
        <w:rPr>
          <w:rFonts w:ascii="Arial" w:hAnsi="Arial" w:cs="Arial"/>
          <w:i/>
          <w:sz w:val="24"/>
          <w:szCs w:val="24"/>
        </w:rPr>
        <w:t xml:space="preserve">see also In re Application of Columbus S. Power Co., </w:t>
      </w:r>
      <w:r w:rsidR="00514223" w:rsidRPr="00514223">
        <w:rPr>
          <w:rFonts w:ascii="Arial" w:hAnsi="Arial" w:cs="Arial"/>
          <w:sz w:val="24"/>
          <w:szCs w:val="24"/>
        </w:rPr>
        <w:t>128 Ohio St.3d 512,</w:t>
      </w:r>
      <w:r w:rsidR="00514223">
        <w:rPr>
          <w:rFonts w:ascii="Arial" w:hAnsi="Arial" w:cs="Arial"/>
          <w:sz w:val="24"/>
          <w:szCs w:val="24"/>
        </w:rPr>
        <w:t xml:space="preserve"> at ¶¶8-21 (2011).</w:t>
      </w:r>
    </w:p>
    <w:p w14:paraId="45B203D9" w14:textId="111F288A" w:rsidR="00514223" w:rsidRDefault="00964060" w:rsidP="00964060">
      <w:pPr>
        <w:widowControl w:val="0"/>
        <w:spacing w:after="0" w:line="480" w:lineRule="auto"/>
        <w:ind w:firstLine="720"/>
        <w:jc w:val="both"/>
        <w:rPr>
          <w:rFonts w:ascii="Arial" w:hAnsi="Arial" w:cs="Arial"/>
          <w:sz w:val="24"/>
          <w:szCs w:val="24"/>
        </w:rPr>
      </w:pPr>
      <w:r>
        <w:rPr>
          <w:rFonts w:ascii="Arial" w:hAnsi="Arial" w:cs="Arial"/>
          <w:sz w:val="24"/>
          <w:szCs w:val="24"/>
        </w:rPr>
        <w:t xml:space="preserve">Moreover, Duke provided </w:t>
      </w:r>
      <w:r w:rsidR="00514223">
        <w:rPr>
          <w:rFonts w:ascii="Arial" w:hAnsi="Arial" w:cs="Arial"/>
          <w:sz w:val="24"/>
          <w:szCs w:val="24"/>
        </w:rPr>
        <w:t xml:space="preserve">no testimony </w:t>
      </w:r>
      <w:r w:rsidR="00FC7E4D">
        <w:rPr>
          <w:rFonts w:ascii="Arial" w:hAnsi="Arial" w:cs="Arial"/>
          <w:sz w:val="24"/>
          <w:szCs w:val="24"/>
        </w:rPr>
        <w:t>and very little information</w:t>
      </w:r>
      <w:r>
        <w:rPr>
          <w:rFonts w:ascii="Arial" w:hAnsi="Arial" w:cs="Arial"/>
          <w:sz w:val="24"/>
          <w:szCs w:val="24"/>
        </w:rPr>
        <w:t xml:space="preserve"> to support the Application</w:t>
      </w:r>
      <w:r w:rsidR="00514223">
        <w:rPr>
          <w:rFonts w:ascii="Arial" w:hAnsi="Arial" w:cs="Arial"/>
          <w:sz w:val="24"/>
          <w:szCs w:val="24"/>
        </w:rPr>
        <w:t>.</w:t>
      </w:r>
      <w:r>
        <w:rPr>
          <w:rFonts w:ascii="Arial" w:hAnsi="Arial" w:cs="Arial"/>
          <w:sz w:val="24"/>
          <w:szCs w:val="24"/>
        </w:rPr>
        <w:t xml:space="preserve">  It would be unjust and unreasonable to approve Duke’s proposal based upon such thin factual support.</w:t>
      </w:r>
    </w:p>
    <w:p w14:paraId="65392746" w14:textId="76B2117A" w:rsidR="006D522F" w:rsidRDefault="00D472D4" w:rsidP="006D522F">
      <w:pPr>
        <w:widowControl w:val="0"/>
        <w:spacing w:after="0" w:line="480" w:lineRule="auto"/>
        <w:ind w:firstLine="720"/>
        <w:jc w:val="both"/>
        <w:rPr>
          <w:rFonts w:ascii="Arial" w:hAnsi="Arial" w:cs="Arial"/>
          <w:sz w:val="24"/>
          <w:szCs w:val="24"/>
        </w:rPr>
      </w:pPr>
      <w:r>
        <w:rPr>
          <w:rFonts w:ascii="Arial" w:hAnsi="Arial" w:cs="Arial"/>
          <w:sz w:val="24"/>
          <w:szCs w:val="24"/>
        </w:rPr>
        <w:t>T</w:t>
      </w:r>
      <w:r w:rsidR="00DF0BE3">
        <w:rPr>
          <w:rFonts w:ascii="Arial" w:hAnsi="Arial" w:cs="Arial"/>
          <w:sz w:val="24"/>
          <w:szCs w:val="24"/>
        </w:rPr>
        <w:t>he Commission’s procedural entry</w:t>
      </w:r>
      <w:r w:rsidR="008A07B0">
        <w:rPr>
          <w:rFonts w:ascii="Arial" w:hAnsi="Arial" w:cs="Arial"/>
          <w:sz w:val="24"/>
          <w:szCs w:val="24"/>
        </w:rPr>
        <w:t xml:space="preserve"> provided only 21 days</w:t>
      </w:r>
      <w:r w:rsidR="007A2BF3">
        <w:rPr>
          <w:rFonts w:ascii="Arial" w:hAnsi="Arial" w:cs="Arial"/>
          <w:sz w:val="24"/>
          <w:szCs w:val="24"/>
        </w:rPr>
        <w:t xml:space="preserve"> to evaluate Duke’s Application and to draft comments.  As</w:t>
      </w:r>
      <w:r w:rsidR="006E4C4D">
        <w:rPr>
          <w:rFonts w:ascii="Arial" w:hAnsi="Arial" w:cs="Arial"/>
          <w:sz w:val="24"/>
          <w:szCs w:val="24"/>
        </w:rPr>
        <w:t xml:space="preserve"> a</w:t>
      </w:r>
      <w:r w:rsidR="007A2BF3">
        <w:rPr>
          <w:rFonts w:ascii="Arial" w:hAnsi="Arial" w:cs="Arial"/>
          <w:sz w:val="24"/>
          <w:szCs w:val="24"/>
        </w:rPr>
        <w:t xml:space="preserve"> practical matter, the Commiss</w:t>
      </w:r>
      <w:r w:rsidR="00567398">
        <w:rPr>
          <w:rFonts w:ascii="Arial" w:hAnsi="Arial" w:cs="Arial"/>
          <w:sz w:val="24"/>
          <w:szCs w:val="24"/>
        </w:rPr>
        <w:t>ion’s entry precluded</w:t>
      </w:r>
      <w:r w:rsidR="007A2BF3">
        <w:rPr>
          <w:rFonts w:ascii="Arial" w:hAnsi="Arial" w:cs="Arial"/>
          <w:sz w:val="24"/>
          <w:szCs w:val="24"/>
        </w:rPr>
        <w:t xml:space="preserve"> parties from participating in the discovery process, given th</w:t>
      </w:r>
      <w:r w:rsidR="008A323D">
        <w:rPr>
          <w:rFonts w:ascii="Arial" w:hAnsi="Arial" w:cs="Arial"/>
          <w:sz w:val="24"/>
          <w:szCs w:val="24"/>
        </w:rPr>
        <w:t xml:space="preserve">e standard 20 day </w:t>
      </w:r>
      <w:r w:rsidR="008A07B0">
        <w:rPr>
          <w:rFonts w:ascii="Arial" w:hAnsi="Arial" w:cs="Arial"/>
          <w:sz w:val="24"/>
          <w:szCs w:val="24"/>
        </w:rPr>
        <w:t xml:space="preserve">discovery </w:t>
      </w:r>
      <w:r w:rsidR="008A323D">
        <w:rPr>
          <w:rFonts w:ascii="Arial" w:hAnsi="Arial" w:cs="Arial"/>
          <w:sz w:val="24"/>
          <w:szCs w:val="24"/>
        </w:rPr>
        <w:t xml:space="preserve">turnaround.  </w:t>
      </w:r>
      <w:r w:rsidR="007A2BF3">
        <w:rPr>
          <w:rFonts w:ascii="Arial" w:hAnsi="Arial" w:cs="Arial"/>
          <w:sz w:val="24"/>
          <w:szCs w:val="24"/>
        </w:rPr>
        <w:t xml:space="preserve">Thus, </w:t>
      </w:r>
      <w:r w:rsidR="00964060">
        <w:rPr>
          <w:rFonts w:ascii="Arial" w:hAnsi="Arial" w:cs="Arial"/>
          <w:sz w:val="24"/>
          <w:szCs w:val="24"/>
        </w:rPr>
        <w:t>parties have not had an opportunity to utilize the discovery process to fill analytical and factual gaps contained in Duke’s application.</w:t>
      </w:r>
      <w:r w:rsidR="006D522F">
        <w:rPr>
          <w:rFonts w:ascii="Arial" w:hAnsi="Arial" w:cs="Arial"/>
          <w:sz w:val="24"/>
          <w:szCs w:val="24"/>
        </w:rPr>
        <w:t xml:space="preserve">  Therefore, IGS requests that the Co</w:t>
      </w:r>
      <w:r w:rsidR="00722C62">
        <w:rPr>
          <w:rFonts w:ascii="Arial" w:hAnsi="Arial" w:cs="Arial"/>
          <w:sz w:val="24"/>
          <w:szCs w:val="24"/>
        </w:rPr>
        <w:t xml:space="preserve">mmission revise </w:t>
      </w:r>
      <w:r w:rsidR="006D522F">
        <w:rPr>
          <w:rFonts w:ascii="Arial" w:hAnsi="Arial" w:cs="Arial"/>
          <w:sz w:val="24"/>
          <w:szCs w:val="24"/>
        </w:rPr>
        <w:t>the procedural schedules as set forth below:</w:t>
      </w:r>
    </w:p>
    <w:p w14:paraId="545F4B10" w14:textId="603FCDC9" w:rsidR="006D522F" w:rsidRDefault="006D522F" w:rsidP="006D522F">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Duke files testimony on March 16, 2015;</w:t>
      </w:r>
    </w:p>
    <w:p w14:paraId="66CF9A26" w14:textId="7F4B9906" w:rsidR="006D522F" w:rsidRDefault="006D522F" w:rsidP="006D522F">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CRNG providers file testimony on April </w:t>
      </w:r>
      <w:r w:rsidR="0026383E">
        <w:rPr>
          <w:rFonts w:ascii="Arial" w:hAnsi="Arial" w:cs="Arial"/>
          <w:sz w:val="24"/>
          <w:szCs w:val="24"/>
        </w:rPr>
        <w:t>30</w:t>
      </w:r>
      <w:r>
        <w:rPr>
          <w:rFonts w:ascii="Arial" w:hAnsi="Arial" w:cs="Arial"/>
          <w:sz w:val="24"/>
          <w:szCs w:val="24"/>
        </w:rPr>
        <w:t>, 2015;</w:t>
      </w:r>
    </w:p>
    <w:p w14:paraId="45598EE1" w14:textId="0DEE3A06" w:rsidR="006D522F" w:rsidRDefault="006D522F" w:rsidP="006D522F">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Staff files testimony on </w:t>
      </w:r>
      <w:r w:rsidR="0026383E">
        <w:rPr>
          <w:rFonts w:ascii="Arial" w:hAnsi="Arial" w:cs="Arial"/>
          <w:sz w:val="24"/>
          <w:szCs w:val="24"/>
        </w:rPr>
        <w:t>May 14</w:t>
      </w:r>
      <w:r>
        <w:rPr>
          <w:rFonts w:ascii="Arial" w:hAnsi="Arial" w:cs="Arial"/>
          <w:sz w:val="24"/>
          <w:szCs w:val="24"/>
        </w:rPr>
        <w:t>, 2015;</w:t>
      </w:r>
    </w:p>
    <w:p w14:paraId="2CBD921F" w14:textId="2B836D74" w:rsidR="0060569E" w:rsidRDefault="006D522F" w:rsidP="0060569E">
      <w:pPr>
        <w:pStyle w:val="ListParagraph"/>
        <w:numPr>
          <w:ilvl w:val="0"/>
          <w:numId w:val="11"/>
        </w:numPr>
        <w:autoSpaceDE w:val="0"/>
        <w:autoSpaceDN w:val="0"/>
        <w:adjustRightInd w:val="0"/>
        <w:spacing w:line="480" w:lineRule="auto"/>
        <w:jc w:val="both"/>
        <w:rPr>
          <w:rFonts w:ascii="Arial" w:hAnsi="Arial" w:cs="Arial"/>
          <w:sz w:val="24"/>
          <w:szCs w:val="24"/>
        </w:rPr>
      </w:pPr>
      <w:r>
        <w:rPr>
          <w:rFonts w:ascii="Arial" w:hAnsi="Arial" w:cs="Arial"/>
          <w:sz w:val="24"/>
          <w:szCs w:val="24"/>
        </w:rPr>
        <w:t xml:space="preserve">If no settlement is reached, a hearing on </w:t>
      </w:r>
      <w:r w:rsidR="0026383E">
        <w:rPr>
          <w:rFonts w:ascii="Arial" w:hAnsi="Arial" w:cs="Arial"/>
          <w:sz w:val="24"/>
          <w:szCs w:val="24"/>
        </w:rPr>
        <w:t>May 21</w:t>
      </w:r>
      <w:r>
        <w:rPr>
          <w:rFonts w:ascii="Arial" w:hAnsi="Arial" w:cs="Arial"/>
          <w:sz w:val="24"/>
          <w:szCs w:val="24"/>
        </w:rPr>
        <w:t xml:space="preserve">, 2015 </w:t>
      </w:r>
    </w:p>
    <w:p w14:paraId="59D5EF23" w14:textId="4466A42A" w:rsidR="00AD1178" w:rsidRDefault="0060569E" w:rsidP="00AD1178">
      <w:pPr>
        <w:widowControl w:val="0"/>
        <w:spacing w:after="0" w:line="480" w:lineRule="auto"/>
        <w:ind w:firstLine="720"/>
        <w:jc w:val="both"/>
        <w:rPr>
          <w:rFonts w:ascii="Arial" w:hAnsi="Arial" w:cs="Arial"/>
          <w:sz w:val="24"/>
          <w:szCs w:val="24"/>
        </w:rPr>
      </w:pPr>
      <w:r w:rsidRPr="0060569E">
        <w:rPr>
          <w:rFonts w:ascii="Arial" w:hAnsi="Arial" w:cs="Arial"/>
          <w:sz w:val="24"/>
          <w:szCs w:val="24"/>
        </w:rPr>
        <w:t>In the alternative, IGS requests that the Commission consolidate Duke’s Application with the</w:t>
      </w:r>
      <w:r w:rsidR="00066F87">
        <w:rPr>
          <w:rFonts w:ascii="Arial" w:hAnsi="Arial" w:cs="Arial"/>
          <w:sz w:val="24"/>
          <w:szCs w:val="24"/>
        </w:rPr>
        <w:t xml:space="preserve"> Duke’s upcoming GCR</w:t>
      </w:r>
      <w:r w:rsidRPr="0060569E">
        <w:rPr>
          <w:rFonts w:ascii="Arial" w:hAnsi="Arial" w:cs="Arial"/>
          <w:sz w:val="24"/>
          <w:szCs w:val="24"/>
        </w:rPr>
        <w:t xml:space="preserve"> management</w:t>
      </w:r>
      <w:r w:rsidR="00066F87">
        <w:rPr>
          <w:rFonts w:ascii="Arial" w:hAnsi="Arial" w:cs="Arial"/>
          <w:sz w:val="24"/>
          <w:szCs w:val="24"/>
        </w:rPr>
        <w:t xml:space="preserve"> performance audit case</w:t>
      </w:r>
      <w:r w:rsidRPr="0060569E">
        <w:rPr>
          <w:rFonts w:ascii="Arial" w:hAnsi="Arial" w:cs="Arial"/>
          <w:sz w:val="24"/>
          <w:szCs w:val="24"/>
        </w:rPr>
        <w:t>.</w:t>
      </w:r>
      <w:r>
        <w:rPr>
          <w:rFonts w:ascii="Arial" w:hAnsi="Arial" w:cs="Arial"/>
          <w:sz w:val="24"/>
          <w:szCs w:val="24"/>
        </w:rPr>
        <w:t xml:space="preserve">  The Commission will grant consolidation for good cause shown.</w:t>
      </w:r>
      <w:r w:rsidR="00AD1178">
        <w:rPr>
          <w:rStyle w:val="FootnoteReference"/>
          <w:rFonts w:ascii="Arial" w:hAnsi="Arial" w:cs="Arial"/>
          <w:sz w:val="24"/>
          <w:szCs w:val="24"/>
        </w:rPr>
        <w:footnoteReference w:id="7"/>
      </w:r>
      <w:r w:rsidRPr="0060569E">
        <w:t xml:space="preserve"> </w:t>
      </w:r>
      <w:r w:rsidR="00AD1178">
        <w:t xml:space="preserve"> </w:t>
      </w:r>
      <w:r>
        <w:rPr>
          <w:rFonts w:ascii="Arial" w:hAnsi="Arial" w:cs="Arial"/>
          <w:sz w:val="24"/>
          <w:szCs w:val="24"/>
        </w:rPr>
        <w:t>C</w:t>
      </w:r>
      <w:r w:rsidRPr="0060569E">
        <w:rPr>
          <w:rFonts w:ascii="Arial" w:hAnsi="Arial" w:cs="Arial"/>
          <w:sz w:val="24"/>
          <w:szCs w:val="24"/>
        </w:rPr>
        <w:t xml:space="preserve">onsolidation has been </w:t>
      </w:r>
      <w:r w:rsidRPr="0060569E">
        <w:rPr>
          <w:rFonts w:ascii="Arial" w:hAnsi="Arial" w:cs="Arial"/>
          <w:sz w:val="24"/>
          <w:szCs w:val="24"/>
        </w:rPr>
        <w:lastRenderedPageBreak/>
        <w:t xml:space="preserve">granted in the past when the issues </w:t>
      </w:r>
      <w:r>
        <w:rPr>
          <w:rFonts w:ascii="Arial" w:hAnsi="Arial" w:cs="Arial"/>
          <w:sz w:val="24"/>
          <w:szCs w:val="24"/>
        </w:rPr>
        <w:t xml:space="preserve">among </w:t>
      </w:r>
      <w:r w:rsidRPr="0060569E">
        <w:rPr>
          <w:rFonts w:ascii="Arial" w:hAnsi="Arial" w:cs="Arial"/>
          <w:sz w:val="24"/>
          <w:szCs w:val="24"/>
        </w:rPr>
        <w:t>the consolidated cases were si</w:t>
      </w:r>
      <w:r w:rsidR="00AD1178">
        <w:rPr>
          <w:rFonts w:ascii="Arial" w:hAnsi="Arial" w:cs="Arial"/>
          <w:sz w:val="24"/>
          <w:szCs w:val="24"/>
        </w:rPr>
        <w:t>milar or closely related.</w:t>
      </w:r>
      <w:r w:rsidR="00AD1178">
        <w:rPr>
          <w:rStyle w:val="FootnoteReference"/>
          <w:rFonts w:ascii="Arial" w:hAnsi="Arial" w:cs="Arial"/>
          <w:sz w:val="24"/>
          <w:szCs w:val="24"/>
        </w:rPr>
        <w:footnoteReference w:id="8"/>
      </w:r>
      <w:r w:rsidR="00AD1178">
        <w:rPr>
          <w:rFonts w:ascii="Arial" w:hAnsi="Arial" w:cs="Arial"/>
          <w:sz w:val="24"/>
          <w:szCs w:val="24"/>
        </w:rPr>
        <w:t xml:space="preserve">  As discussed below, this proceeding and Duke’s GCR case contain inter</w:t>
      </w:r>
      <w:r w:rsidR="00066F87">
        <w:rPr>
          <w:rFonts w:ascii="Arial" w:hAnsi="Arial" w:cs="Arial"/>
          <w:sz w:val="24"/>
          <w:szCs w:val="24"/>
        </w:rPr>
        <w:t>-</w:t>
      </w:r>
      <w:r w:rsidR="00AD1178">
        <w:rPr>
          <w:rFonts w:ascii="Arial" w:hAnsi="Arial" w:cs="Arial"/>
          <w:sz w:val="24"/>
          <w:szCs w:val="24"/>
        </w:rPr>
        <w:t xml:space="preserve">related issues that may be more efficiently addressed on a consolidated basis. </w:t>
      </w:r>
    </w:p>
    <w:p w14:paraId="28A6D69D" w14:textId="3D8BFCD8" w:rsidR="007C76EB" w:rsidRPr="00AD1178" w:rsidRDefault="007C76EB" w:rsidP="00E27648">
      <w:pPr>
        <w:widowControl w:val="0"/>
        <w:spacing w:after="0" w:line="480" w:lineRule="auto"/>
        <w:ind w:firstLine="720"/>
        <w:jc w:val="both"/>
        <w:rPr>
          <w:rFonts w:ascii="Arial" w:hAnsi="Arial" w:cs="Arial"/>
          <w:sz w:val="24"/>
          <w:szCs w:val="24"/>
        </w:rPr>
      </w:pPr>
      <w:r>
        <w:rPr>
          <w:rFonts w:ascii="Arial" w:hAnsi="Arial" w:cs="Arial"/>
          <w:sz w:val="24"/>
          <w:szCs w:val="24"/>
        </w:rPr>
        <w:t>Rider EFBS and Rider FBS relate to Duke’s use of storage assets</w:t>
      </w:r>
      <w:r w:rsidR="00E27648">
        <w:rPr>
          <w:rFonts w:ascii="Arial" w:hAnsi="Arial" w:cs="Arial"/>
          <w:sz w:val="24"/>
          <w:szCs w:val="24"/>
        </w:rPr>
        <w:t xml:space="preserve"> and pipeline capacity</w:t>
      </w:r>
      <w:r>
        <w:rPr>
          <w:rFonts w:ascii="Arial" w:hAnsi="Arial" w:cs="Arial"/>
          <w:sz w:val="24"/>
          <w:szCs w:val="24"/>
        </w:rPr>
        <w:t xml:space="preserve"> for the provision of balancing services to CRNG providers.  GCR customers pay for these assets net of char</w:t>
      </w:r>
      <w:r w:rsidR="00E27648">
        <w:rPr>
          <w:rFonts w:ascii="Arial" w:hAnsi="Arial" w:cs="Arial"/>
          <w:sz w:val="24"/>
          <w:szCs w:val="24"/>
        </w:rPr>
        <w:t>ges paid by CRNG providers under</w:t>
      </w:r>
      <w:r>
        <w:rPr>
          <w:rFonts w:ascii="Arial" w:hAnsi="Arial" w:cs="Arial"/>
          <w:sz w:val="24"/>
          <w:szCs w:val="24"/>
        </w:rPr>
        <w:t xml:space="preserve"> Rider EFBS and Rider FBS.  Duke claims that it is must modify Riders EFBS and Rider FBS to avoid the possibility that there is “</w:t>
      </w:r>
      <w:r w:rsidRPr="007C76EB">
        <w:rPr>
          <w:rFonts w:ascii="Arial" w:hAnsi="Arial" w:cs="Arial"/>
          <w:sz w:val="24"/>
          <w:szCs w:val="24"/>
        </w:rPr>
        <w:t>an inappropriate subsi</w:t>
      </w:r>
      <w:r>
        <w:rPr>
          <w:rFonts w:ascii="Arial" w:hAnsi="Arial" w:cs="Arial"/>
          <w:sz w:val="24"/>
          <w:szCs w:val="24"/>
        </w:rPr>
        <w:t xml:space="preserve">dy of the Choice Program by GCR </w:t>
      </w:r>
      <w:r w:rsidRPr="007C76EB">
        <w:rPr>
          <w:rFonts w:ascii="Arial" w:hAnsi="Arial" w:cs="Arial"/>
          <w:sz w:val="24"/>
          <w:szCs w:val="24"/>
        </w:rPr>
        <w:t>customers</w:t>
      </w:r>
      <w:r>
        <w:rPr>
          <w:rFonts w:ascii="Arial" w:hAnsi="Arial" w:cs="Arial"/>
          <w:sz w:val="24"/>
          <w:szCs w:val="24"/>
        </w:rPr>
        <w:t>.”</w:t>
      </w:r>
      <w:r w:rsidR="00E27648">
        <w:rPr>
          <w:rFonts w:ascii="Arial" w:hAnsi="Arial" w:cs="Arial"/>
          <w:sz w:val="24"/>
          <w:szCs w:val="24"/>
        </w:rPr>
        <w:t xml:space="preserve">  Thus, Duke’s Application is largely based upon the claim that the balancing service it provides to</w:t>
      </w:r>
      <w:r w:rsidR="00E07EBE">
        <w:rPr>
          <w:rFonts w:ascii="Arial" w:hAnsi="Arial" w:cs="Arial"/>
          <w:sz w:val="24"/>
          <w:szCs w:val="24"/>
        </w:rPr>
        <w:t xml:space="preserve"> CRNG providers will impact </w:t>
      </w:r>
      <w:r w:rsidR="00E27648">
        <w:rPr>
          <w:rFonts w:ascii="Arial" w:hAnsi="Arial" w:cs="Arial"/>
          <w:sz w:val="24"/>
          <w:szCs w:val="24"/>
        </w:rPr>
        <w:t>costs that are charged to default service customers</w:t>
      </w:r>
      <w:r w:rsidR="00E07EBE">
        <w:rPr>
          <w:rFonts w:ascii="Arial" w:hAnsi="Arial" w:cs="Arial"/>
          <w:sz w:val="24"/>
          <w:szCs w:val="24"/>
        </w:rPr>
        <w:t xml:space="preserve"> through the GCR.  A determination </w:t>
      </w:r>
      <w:r w:rsidR="00E27648">
        <w:rPr>
          <w:rFonts w:ascii="Arial" w:hAnsi="Arial" w:cs="Arial"/>
          <w:sz w:val="24"/>
          <w:szCs w:val="24"/>
        </w:rPr>
        <w:t>in that respect</w:t>
      </w:r>
      <w:r w:rsidR="00E07EBE">
        <w:rPr>
          <w:rFonts w:ascii="Arial" w:hAnsi="Arial" w:cs="Arial"/>
          <w:sz w:val="24"/>
          <w:szCs w:val="24"/>
        </w:rPr>
        <w:t>, however,</w:t>
      </w:r>
      <w:r w:rsidR="00E27648">
        <w:rPr>
          <w:rFonts w:ascii="Arial" w:hAnsi="Arial" w:cs="Arial"/>
          <w:sz w:val="24"/>
          <w:szCs w:val="24"/>
        </w:rPr>
        <w:t xml:space="preserve"> cannot be determined in a vacuum.  It can only be determined in conjunction with an evaluation of </w:t>
      </w:r>
      <w:r w:rsidR="00E07EBE">
        <w:rPr>
          <w:rFonts w:ascii="Arial" w:hAnsi="Arial" w:cs="Arial"/>
          <w:sz w:val="24"/>
          <w:szCs w:val="24"/>
        </w:rPr>
        <w:t xml:space="preserve">the </w:t>
      </w:r>
      <w:r w:rsidR="00E27648">
        <w:rPr>
          <w:rFonts w:ascii="Arial" w:hAnsi="Arial" w:cs="Arial"/>
          <w:sz w:val="24"/>
          <w:szCs w:val="24"/>
        </w:rPr>
        <w:t>costs that will flow through the GCR and Duke’s management and performance decisions related thereto.  Accordingly, this proceeding and Duke’s upcoming GCR mana</w:t>
      </w:r>
      <w:r w:rsidR="00F1629C">
        <w:rPr>
          <w:rFonts w:ascii="Arial" w:hAnsi="Arial" w:cs="Arial"/>
          <w:sz w:val="24"/>
          <w:szCs w:val="24"/>
        </w:rPr>
        <w:t>gement performance audit</w:t>
      </w:r>
      <w:r w:rsidR="00E27648">
        <w:rPr>
          <w:rFonts w:ascii="Arial" w:hAnsi="Arial" w:cs="Arial"/>
          <w:sz w:val="24"/>
          <w:szCs w:val="24"/>
        </w:rPr>
        <w:t xml:space="preserve"> will contain the same or similar </w:t>
      </w:r>
      <w:r w:rsidR="00E07EBE">
        <w:rPr>
          <w:rFonts w:ascii="Arial" w:hAnsi="Arial" w:cs="Arial"/>
          <w:sz w:val="24"/>
          <w:szCs w:val="24"/>
        </w:rPr>
        <w:t>issues.  Consolidating these proceedings would provide for a more efficient and reasonable resolution of these issues.</w:t>
      </w:r>
    </w:p>
    <w:p w14:paraId="6589E297" w14:textId="77D5EAE0" w:rsidR="001620D6" w:rsidRPr="001620D6" w:rsidRDefault="009D6A78" w:rsidP="001620D6">
      <w:pPr>
        <w:widowControl w:val="0"/>
        <w:spacing w:after="0" w:line="480" w:lineRule="auto"/>
        <w:ind w:firstLine="720"/>
        <w:jc w:val="both"/>
        <w:rPr>
          <w:rFonts w:ascii="Arial" w:hAnsi="Arial" w:cs="Arial"/>
          <w:sz w:val="24"/>
          <w:szCs w:val="24"/>
        </w:rPr>
      </w:pPr>
      <w:r>
        <w:rPr>
          <w:rFonts w:ascii="Arial" w:hAnsi="Arial" w:cs="Arial"/>
          <w:sz w:val="24"/>
          <w:szCs w:val="24"/>
        </w:rPr>
        <w:t>In considering this request</w:t>
      </w:r>
      <w:r w:rsidR="00E27648">
        <w:rPr>
          <w:rFonts w:ascii="Arial" w:hAnsi="Arial" w:cs="Arial"/>
          <w:sz w:val="24"/>
          <w:szCs w:val="24"/>
        </w:rPr>
        <w:t xml:space="preserve"> for a hearing or in the alternative consolidation</w:t>
      </w:r>
      <w:r>
        <w:rPr>
          <w:rFonts w:ascii="Arial" w:hAnsi="Arial" w:cs="Arial"/>
          <w:sz w:val="24"/>
          <w:szCs w:val="24"/>
        </w:rPr>
        <w:t>, the Commission should give lit</w:t>
      </w:r>
      <w:r w:rsidR="006E4C4D">
        <w:rPr>
          <w:rFonts w:ascii="Arial" w:hAnsi="Arial" w:cs="Arial"/>
          <w:sz w:val="24"/>
          <w:szCs w:val="24"/>
        </w:rPr>
        <w:t xml:space="preserve">tle weight to Duke’s request </w:t>
      </w:r>
      <w:r>
        <w:rPr>
          <w:rFonts w:ascii="Arial" w:hAnsi="Arial" w:cs="Arial"/>
          <w:sz w:val="24"/>
          <w:szCs w:val="24"/>
        </w:rPr>
        <w:t>for an order by February 27, 2015.</w:t>
      </w:r>
      <w:r w:rsidR="001620D6">
        <w:rPr>
          <w:rFonts w:ascii="Arial" w:hAnsi="Arial" w:cs="Arial"/>
          <w:sz w:val="24"/>
          <w:szCs w:val="24"/>
        </w:rPr>
        <w:t xml:space="preserve">  Duke claims that the change must be effective this year because “[i]</w:t>
      </w:r>
      <w:r w:rsidR="001620D6" w:rsidRPr="001620D6">
        <w:rPr>
          <w:rFonts w:ascii="Arial" w:hAnsi="Arial" w:cs="Arial"/>
          <w:sz w:val="24"/>
          <w:szCs w:val="24"/>
        </w:rPr>
        <w:t>f all supplier/aggregators were to choose Firm Balancing</w:t>
      </w:r>
      <w:r w:rsidR="001620D6">
        <w:rPr>
          <w:rFonts w:ascii="Arial" w:hAnsi="Arial" w:cs="Arial"/>
          <w:sz w:val="24"/>
          <w:szCs w:val="24"/>
        </w:rPr>
        <w:t xml:space="preserve"> Service . . . .I</w:t>
      </w:r>
      <w:r w:rsidR="001620D6" w:rsidRPr="001620D6">
        <w:rPr>
          <w:rFonts w:ascii="Arial" w:hAnsi="Arial" w:cs="Arial"/>
          <w:sz w:val="24"/>
          <w:szCs w:val="24"/>
        </w:rPr>
        <w:t>t would not be possible to manage storage under this scenario, without taking extreme</w:t>
      </w:r>
      <w:r w:rsidR="001620D6">
        <w:rPr>
          <w:rFonts w:ascii="Arial" w:hAnsi="Arial" w:cs="Arial"/>
          <w:sz w:val="24"/>
          <w:szCs w:val="24"/>
        </w:rPr>
        <w:t xml:space="preserve"> </w:t>
      </w:r>
      <w:r w:rsidR="001620D6" w:rsidRPr="001620D6">
        <w:rPr>
          <w:rFonts w:ascii="Arial" w:hAnsi="Arial" w:cs="Arial"/>
          <w:sz w:val="24"/>
          <w:szCs w:val="24"/>
        </w:rPr>
        <w:t xml:space="preserve">measures in the </w:t>
      </w:r>
      <w:r w:rsidR="001620D6" w:rsidRPr="001620D6">
        <w:rPr>
          <w:rFonts w:ascii="Arial" w:hAnsi="Arial" w:cs="Arial"/>
          <w:sz w:val="24"/>
          <w:szCs w:val="24"/>
        </w:rPr>
        <w:lastRenderedPageBreak/>
        <w:t>spot market</w:t>
      </w:r>
      <w:r w:rsidR="001620D6">
        <w:rPr>
          <w:rFonts w:ascii="Arial" w:hAnsi="Arial" w:cs="Arial"/>
          <w:sz w:val="24"/>
          <w:szCs w:val="24"/>
        </w:rPr>
        <w:t xml:space="preserve"> . . . .”  </w:t>
      </w:r>
      <w:proofErr w:type="gramStart"/>
      <w:r w:rsidR="001620D6">
        <w:rPr>
          <w:rFonts w:ascii="Arial" w:hAnsi="Arial" w:cs="Arial"/>
          <w:sz w:val="24"/>
          <w:szCs w:val="24"/>
        </w:rPr>
        <w:t>Application at 5.</w:t>
      </w:r>
      <w:proofErr w:type="gramEnd"/>
      <w:r w:rsidR="003C4C78">
        <w:rPr>
          <w:rFonts w:ascii="Arial" w:hAnsi="Arial" w:cs="Arial"/>
          <w:sz w:val="24"/>
          <w:szCs w:val="24"/>
        </w:rPr>
        <w:t xml:space="preserve">  Duke made this statement prior to knowing what balancing service each CRNG provider would elect.  </w:t>
      </w:r>
      <w:r w:rsidR="00600DCA">
        <w:rPr>
          <w:rFonts w:ascii="Arial" w:hAnsi="Arial" w:cs="Arial"/>
          <w:sz w:val="24"/>
          <w:szCs w:val="24"/>
        </w:rPr>
        <w:t xml:space="preserve">  Duke, however, has not updated its Application to indicate how many CRNG providers selected Rider EFBS.  If at least one CRNG provider has elected Rider EFBS, Duke’s reasoning for an expedited decision no longer has merit.</w:t>
      </w:r>
    </w:p>
    <w:p w14:paraId="17200B31" w14:textId="3401FD5D" w:rsidR="00125114" w:rsidRDefault="001620D6" w:rsidP="00125114">
      <w:pPr>
        <w:widowControl w:val="0"/>
        <w:spacing w:after="0" w:line="480" w:lineRule="auto"/>
        <w:ind w:firstLine="720"/>
        <w:jc w:val="both"/>
        <w:rPr>
          <w:rFonts w:ascii="Arial" w:hAnsi="Arial" w:cs="Arial"/>
          <w:sz w:val="24"/>
          <w:szCs w:val="24"/>
        </w:rPr>
      </w:pPr>
      <w:r>
        <w:rPr>
          <w:rFonts w:ascii="Arial" w:hAnsi="Arial" w:cs="Arial"/>
          <w:sz w:val="24"/>
          <w:szCs w:val="24"/>
        </w:rPr>
        <w:t xml:space="preserve">Moreover, </w:t>
      </w:r>
      <w:r w:rsidR="009D6A78">
        <w:rPr>
          <w:rFonts w:ascii="Arial" w:hAnsi="Arial" w:cs="Arial"/>
          <w:sz w:val="24"/>
          <w:szCs w:val="24"/>
        </w:rPr>
        <w:t>Duke alone controlled the timing of its filing—nothing prevented Duke from filing its Application six months or a year ago.  Instead, it waited until the 11</w:t>
      </w:r>
      <w:r w:rsidR="009D6A78" w:rsidRPr="009D6A78">
        <w:rPr>
          <w:rFonts w:ascii="Arial" w:hAnsi="Arial" w:cs="Arial"/>
          <w:sz w:val="24"/>
          <w:szCs w:val="24"/>
          <w:vertAlign w:val="superscript"/>
        </w:rPr>
        <w:t>th</w:t>
      </w:r>
      <w:r>
        <w:rPr>
          <w:rFonts w:ascii="Arial" w:hAnsi="Arial" w:cs="Arial"/>
          <w:sz w:val="24"/>
          <w:szCs w:val="24"/>
        </w:rPr>
        <w:t xml:space="preserve"> hour to request the</w:t>
      </w:r>
      <w:r w:rsidR="009D6A78">
        <w:rPr>
          <w:rFonts w:ascii="Arial" w:hAnsi="Arial" w:cs="Arial"/>
          <w:sz w:val="24"/>
          <w:szCs w:val="24"/>
        </w:rPr>
        <w:t xml:space="preserve"> Commission’s authorization to impose retroactive conditions</w:t>
      </w:r>
      <w:r>
        <w:rPr>
          <w:rFonts w:ascii="Arial" w:hAnsi="Arial" w:cs="Arial"/>
          <w:sz w:val="24"/>
          <w:szCs w:val="24"/>
        </w:rPr>
        <w:t xml:space="preserve"> and a retroactive rate increase</w:t>
      </w:r>
      <w:r w:rsidR="009D6A78">
        <w:rPr>
          <w:rFonts w:ascii="Arial" w:hAnsi="Arial" w:cs="Arial"/>
          <w:sz w:val="24"/>
          <w:szCs w:val="24"/>
        </w:rPr>
        <w:t xml:space="preserve"> on CRNG suppliers—conditions that deviate from a prior stipulation</w:t>
      </w:r>
      <w:r w:rsidR="00433C9F">
        <w:rPr>
          <w:rFonts w:ascii="Arial" w:hAnsi="Arial" w:cs="Arial"/>
          <w:sz w:val="24"/>
          <w:szCs w:val="24"/>
        </w:rPr>
        <w:t xml:space="preserve"> which is the product of a bargained for exchange among several parties</w:t>
      </w:r>
      <w:r w:rsidR="009D6A78">
        <w:rPr>
          <w:rFonts w:ascii="Arial" w:hAnsi="Arial" w:cs="Arial"/>
          <w:sz w:val="24"/>
          <w:szCs w:val="24"/>
        </w:rPr>
        <w:t xml:space="preserve"> and that may upset existing long-term contracts with customers.</w:t>
      </w:r>
      <w:r w:rsidR="000E4162">
        <w:rPr>
          <w:rFonts w:ascii="Arial" w:hAnsi="Arial" w:cs="Arial"/>
          <w:sz w:val="24"/>
          <w:szCs w:val="24"/>
        </w:rPr>
        <w:t xml:space="preserve">  Thu</w:t>
      </w:r>
      <w:r w:rsidR="006D522F">
        <w:rPr>
          <w:rFonts w:ascii="Arial" w:hAnsi="Arial" w:cs="Arial"/>
          <w:sz w:val="24"/>
          <w:szCs w:val="24"/>
        </w:rPr>
        <w:t xml:space="preserve">s, the Commission should modify </w:t>
      </w:r>
      <w:r w:rsidR="000E4162">
        <w:rPr>
          <w:rFonts w:ascii="Arial" w:hAnsi="Arial" w:cs="Arial"/>
          <w:sz w:val="24"/>
          <w:szCs w:val="24"/>
        </w:rPr>
        <w:t>the procedural schedule to allow</w:t>
      </w:r>
      <w:r w:rsidR="006D522F">
        <w:rPr>
          <w:rFonts w:ascii="Arial" w:hAnsi="Arial" w:cs="Arial"/>
          <w:sz w:val="24"/>
          <w:szCs w:val="24"/>
        </w:rPr>
        <w:t xml:space="preserve"> parties to submit testimony regarding the</w:t>
      </w:r>
      <w:r w:rsidR="000E4162">
        <w:rPr>
          <w:rFonts w:ascii="Arial" w:hAnsi="Arial" w:cs="Arial"/>
          <w:sz w:val="24"/>
          <w:szCs w:val="24"/>
        </w:rPr>
        <w:t xml:space="preserve"> justness and</w:t>
      </w:r>
      <w:r w:rsidR="006D522F">
        <w:rPr>
          <w:rFonts w:ascii="Arial" w:hAnsi="Arial" w:cs="Arial"/>
          <w:sz w:val="24"/>
          <w:szCs w:val="24"/>
        </w:rPr>
        <w:t xml:space="preserve"> reasonableness Duke’s proposal and</w:t>
      </w:r>
      <w:r w:rsidR="000E4162">
        <w:rPr>
          <w:rFonts w:ascii="Arial" w:hAnsi="Arial" w:cs="Arial"/>
          <w:sz w:val="24"/>
          <w:szCs w:val="24"/>
        </w:rPr>
        <w:t xml:space="preserve"> potential alternatives that would better suit customers of Duke and CRNG providers. </w:t>
      </w:r>
      <w:r w:rsidR="009D6A78">
        <w:rPr>
          <w:rFonts w:ascii="Arial" w:hAnsi="Arial" w:cs="Arial"/>
          <w:sz w:val="24"/>
          <w:szCs w:val="24"/>
        </w:rPr>
        <w:t xml:space="preserve">  </w:t>
      </w:r>
    </w:p>
    <w:p w14:paraId="7176D2F6" w14:textId="1FF3AEC0" w:rsidR="00545F29" w:rsidRDefault="000E4162" w:rsidP="000E4162">
      <w:pPr>
        <w:pStyle w:val="ListParagraph"/>
        <w:numPr>
          <w:ilvl w:val="0"/>
          <w:numId w:val="9"/>
        </w:numPr>
        <w:spacing w:after="0" w:line="480" w:lineRule="auto"/>
        <w:rPr>
          <w:rFonts w:ascii="Arial" w:hAnsi="Arial" w:cs="Arial"/>
          <w:b/>
          <w:sz w:val="24"/>
          <w:szCs w:val="24"/>
        </w:rPr>
      </w:pPr>
      <w:r>
        <w:rPr>
          <w:rFonts w:ascii="Arial" w:hAnsi="Arial" w:cs="Arial"/>
          <w:b/>
          <w:sz w:val="24"/>
          <w:szCs w:val="24"/>
        </w:rPr>
        <w:t>CONCLUSION</w:t>
      </w:r>
    </w:p>
    <w:p w14:paraId="2D566EFE" w14:textId="40189ACF" w:rsidR="002B2908" w:rsidRDefault="000E4162" w:rsidP="002B2908">
      <w:pPr>
        <w:spacing w:after="0" w:line="480" w:lineRule="auto"/>
        <w:ind w:firstLine="720"/>
        <w:jc w:val="both"/>
        <w:rPr>
          <w:rFonts w:ascii="Arial" w:hAnsi="Arial" w:cs="Arial"/>
          <w:sz w:val="24"/>
          <w:szCs w:val="24"/>
        </w:rPr>
      </w:pPr>
      <w:r>
        <w:rPr>
          <w:rFonts w:ascii="Arial" w:hAnsi="Arial" w:cs="Arial"/>
          <w:sz w:val="24"/>
          <w:szCs w:val="24"/>
        </w:rPr>
        <w:t>For the reasons stated herein, IGS respectfully requests that the Commission g</w:t>
      </w:r>
      <w:r w:rsidR="002B2908">
        <w:rPr>
          <w:rFonts w:ascii="Arial" w:hAnsi="Arial" w:cs="Arial"/>
          <w:sz w:val="24"/>
          <w:szCs w:val="24"/>
        </w:rPr>
        <w:t>rant IGS interventi</w:t>
      </w:r>
      <w:r w:rsidR="009C531F">
        <w:rPr>
          <w:rFonts w:ascii="Arial" w:hAnsi="Arial" w:cs="Arial"/>
          <w:sz w:val="24"/>
          <w:szCs w:val="24"/>
        </w:rPr>
        <w:t xml:space="preserve">on in this proceeding,  revise the procedural schedule, set this matter for hearing or in the alternative consolidate this matter with Duke’s upcoming GCR management performance audit. </w:t>
      </w:r>
    </w:p>
    <w:p w14:paraId="36A9822C" w14:textId="67ECD339" w:rsidR="000E4162" w:rsidRPr="000E4162" w:rsidRDefault="000E4162" w:rsidP="002B2908">
      <w:pPr>
        <w:spacing w:after="0" w:line="480" w:lineRule="auto"/>
        <w:ind w:firstLine="720"/>
        <w:jc w:val="both"/>
        <w:rPr>
          <w:rFonts w:ascii="Arial" w:hAnsi="Arial" w:cs="Arial"/>
          <w:sz w:val="24"/>
          <w:szCs w:val="24"/>
        </w:rPr>
      </w:pPr>
      <w:r>
        <w:rPr>
          <w:rFonts w:ascii="Arial" w:hAnsi="Arial" w:cs="Arial"/>
          <w:sz w:val="24"/>
          <w:szCs w:val="24"/>
        </w:rPr>
        <w:t xml:space="preserve">  </w:t>
      </w:r>
    </w:p>
    <w:p w14:paraId="7176D2F7" w14:textId="77777777" w:rsidR="00545F29" w:rsidRDefault="0056270F" w:rsidP="002B2908">
      <w:pPr>
        <w:spacing w:after="0" w:line="240" w:lineRule="auto"/>
        <w:ind w:left="5040"/>
        <w:jc w:val="both"/>
        <w:rPr>
          <w:rFonts w:ascii="Arial" w:eastAsia="Calibri" w:hAnsi="Arial" w:cs="Arial"/>
          <w:sz w:val="24"/>
          <w:szCs w:val="24"/>
        </w:rPr>
      </w:pPr>
      <w:r>
        <w:rPr>
          <w:rFonts w:ascii="Arial" w:eastAsia="Calibri" w:hAnsi="Arial" w:cs="Arial"/>
          <w:sz w:val="24"/>
          <w:szCs w:val="24"/>
        </w:rPr>
        <w:t>Respectfully submitted,</w:t>
      </w:r>
    </w:p>
    <w:p w14:paraId="7176D2F9" w14:textId="77777777" w:rsidR="00545F29" w:rsidRDefault="00545F29" w:rsidP="00D13280">
      <w:pPr>
        <w:spacing w:after="0" w:line="240" w:lineRule="auto"/>
        <w:rPr>
          <w:rFonts w:ascii="Arial" w:eastAsia="Calibri" w:hAnsi="Arial" w:cs="Arial"/>
          <w:sz w:val="24"/>
          <w:szCs w:val="24"/>
        </w:rPr>
      </w:pPr>
    </w:p>
    <w:p w14:paraId="7176D2FA" w14:textId="77777777" w:rsidR="00545F29" w:rsidRDefault="00545F29">
      <w:pPr>
        <w:spacing w:after="0" w:line="240" w:lineRule="auto"/>
        <w:ind w:left="5040"/>
        <w:rPr>
          <w:rFonts w:ascii="Arial" w:eastAsia="Calibri" w:hAnsi="Arial" w:cs="Arial"/>
          <w:sz w:val="24"/>
          <w:szCs w:val="24"/>
          <w:u w:val="single"/>
        </w:rPr>
      </w:pPr>
    </w:p>
    <w:p w14:paraId="7176D2FB" w14:textId="35F65A8F" w:rsidR="00F10F9B" w:rsidRPr="00D223D6" w:rsidRDefault="00F10F9B" w:rsidP="00F10F9B">
      <w:pPr>
        <w:spacing w:after="0" w:line="240" w:lineRule="auto"/>
        <w:ind w:left="5040"/>
        <w:rPr>
          <w:rFonts w:ascii="Arial" w:eastAsia="Calibri" w:hAnsi="Arial" w:cs="Arial"/>
          <w:b/>
          <w:sz w:val="24"/>
          <w:szCs w:val="24"/>
          <w:u w:val="single"/>
        </w:rPr>
      </w:pPr>
      <w:r w:rsidRPr="00D223D6">
        <w:rPr>
          <w:rFonts w:ascii="Arial" w:eastAsia="Arial" w:hAnsi="Arial" w:cs="Arial"/>
          <w:b/>
          <w:i/>
          <w:sz w:val="24"/>
          <w:szCs w:val="24"/>
          <w:u w:val="single"/>
        </w:rPr>
        <w:t xml:space="preserve">/s/ </w:t>
      </w:r>
      <w:r w:rsidR="00A71E20" w:rsidRPr="00D223D6">
        <w:rPr>
          <w:rFonts w:ascii="Arial" w:eastAsia="Arial" w:hAnsi="Arial" w:cs="Arial"/>
          <w:b/>
          <w:i/>
          <w:sz w:val="24"/>
          <w:szCs w:val="24"/>
          <w:u w:val="single"/>
        </w:rPr>
        <w:t>Joseph Oliker</w:t>
      </w:r>
      <w:r w:rsidR="00237730" w:rsidRPr="00D223D6">
        <w:rPr>
          <w:rFonts w:ascii="Arial" w:eastAsia="Arial" w:hAnsi="Arial" w:cs="Arial"/>
          <w:b/>
          <w:i/>
          <w:sz w:val="24"/>
          <w:szCs w:val="24"/>
          <w:u w:val="single"/>
        </w:rPr>
        <w:t>_________</w:t>
      </w:r>
    </w:p>
    <w:p w14:paraId="2109B4F2" w14:textId="14F8E6E7" w:rsidR="007B3399" w:rsidRDefault="00A71E20" w:rsidP="007B3399">
      <w:pPr>
        <w:spacing w:after="0" w:line="240" w:lineRule="auto"/>
        <w:ind w:left="5040"/>
        <w:rPr>
          <w:rFonts w:ascii="Arial" w:hAnsi="Arial" w:cs="Arial"/>
          <w:sz w:val="24"/>
          <w:szCs w:val="24"/>
        </w:rPr>
      </w:pPr>
      <w:r>
        <w:rPr>
          <w:rFonts w:ascii="Arial" w:hAnsi="Arial" w:cs="Arial"/>
          <w:sz w:val="24"/>
          <w:szCs w:val="24"/>
        </w:rPr>
        <w:t>Joseph Oliker</w:t>
      </w:r>
      <w:r w:rsidR="007B3399">
        <w:rPr>
          <w:rFonts w:ascii="Arial" w:hAnsi="Arial" w:cs="Arial"/>
          <w:sz w:val="24"/>
          <w:szCs w:val="24"/>
        </w:rPr>
        <w:t xml:space="preserve"> </w:t>
      </w:r>
      <w:bookmarkStart w:id="6" w:name="_GoBack"/>
      <w:bookmarkEnd w:id="6"/>
    </w:p>
    <w:p w14:paraId="012A9F05" w14:textId="27C64B02" w:rsidR="00A71E20" w:rsidRDefault="00A71E20">
      <w:pPr>
        <w:spacing w:after="0" w:line="240" w:lineRule="auto"/>
        <w:ind w:left="5040"/>
        <w:rPr>
          <w:rFonts w:ascii="Arial" w:hAnsi="Arial" w:cs="Arial"/>
          <w:sz w:val="24"/>
          <w:szCs w:val="24"/>
        </w:rPr>
      </w:pPr>
      <w:r>
        <w:rPr>
          <w:rFonts w:ascii="Arial" w:hAnsi="Arial" w:cs="Arial"/>
          <w:sz w:val="24"/>
          <w:szCs w:val="24"/>
        </w:rPr>
        <w:t>Counsel of Record</w:t>
      </w:r>
    </w:p>
    <w:p w14:paraId="3099F40D" w14:textId="31E86094" w:rsidR="0058767D" w:rsidRDefault="0058767D">
      <w:pPr>
        <w:spacing w:after="0" w:line="240" w:lineRule="auto"/>
        <w:ind w:left="5040"/>
        <w:rPr>
          <w:rFonts w:ascii="Arial" w:hAnsi="Arial" w:cs="Arial"/>
          <w:sz w:val="24"/>
          <w:szCs w:val="24"/>
        </w:rPr>
      </w:pPr>
      <w:r w:rsidRPr="0058767D">
        <w:rPr>
          <w:rFonts w:ascii="Arial" w:hAnsi="Arial" w:cs="Arial"/>
          <w:sz w:val="24"/>
          <w:szCs w:val="24"/>
        </w:rPr>
        <w:lastRenderedPageBreak/>
        <w:t>joliker@igsenergy.com</w:t>
      </w:r>
    </w:p>
    <w:p w14:paraId="7176D301" w14:textId="1C20233B" w:rsidR="00545F29" w:rsidRDefault="00AA75B4">
      <w:pPr>
        <w:spacing w:after="0" w:line="240" w:lineRule="auto"/>
        <w:ind w:left="5040"/>
        <w:rPr>
          <w:rFonts w:ascii="Arial" w:hAnsi="Arial" w:cs="Arial"/>
          <w:sz w:val="24"/>
          <w:szCs w:val="24"/>
        </w:rPr>
      </w:pPr>
      <w:r>
        <w:rPr>
          <w:rFonts w:ascii="Arial" w:hAnsi="Arial" w:cs="Arial"/>
          <w:sz w:val="24"/>
          <w:szCs w:val="24"/>
        </w:rPr>
        <w:t>IGS Energy</w:t>
      </w:r>
    </w:p>
    <w:p w14:paraId="7176D302" w14:textId="77777777" w:rsidR="00545F29" w:rsidRDefault="0056270F">
      <w:pPr>
        <w:spacing w:after="0" w:line="240" w:lineRule="auto"/>
        <w:ind w:left="5040"/>
        <w:rPr>
          <w:rFonts w:ascii="Arial" w:hAnsi="Arial" w:cs="Arial"/>
          <w:sz w:val="24"/>
          <w:szCs w:val="24"/>
        </w:rPr>
      </w:pPr>
      <w:r>
        <w:rPr>
          <w:rFonts w:ascii="Arial" w:hAnsi="Arial" w:cs="Arial"/>
          <w:sz w:val="24"/>
          <w:szCs w:val="24"/>
        </w:rPr>
        <w:t>6100 Emerald Parkway</w:t>
      </w:r>
    </w:p>
    <w:p w14:paraId="7176D303" w14:textId="77777777" w:rsidR="00545F29" w:rsidRDefault="0056270F">
      <w:pPr>
        <w:spacing w:after="0" w:line="240" w:lineRule="auto"/>
        <w:ind w:left="5040"/>
        <w:rPr>
          <w:rFonts w:ascii="Arial" w:hAnsi="Arial" w:cs="Arial"/>
          <w:sz w:val="24"/>
          <w:szCs w:val="24"/>
        </w:rPr>
      </w:pPr>
      <w:r>
        <w:rPr>
          <w:rFonts w:ascii="Arial" w:hAnsi="Arial" w:cs="Arial"/>
          <w:sz w:val="24"/>
          <w:szCs w:val="24"/>
        </w:rPr>
        <w:t>Dublin, Ohio 43016</w:t>
      </w:r>
    </w:p>
    <w:p w14:paraId="7176D304" w14:textId="77777777" w:rsidR="00545F29" w:rsidRDefault="0056270F">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14:paraId="7176D305" w14:textId="77777777" w:rsidR="00545F29" w:rsidRDefault="0056270F">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14:paraId="7176D306" w14:textId="77777777" w:rsidR="00545F29" w:rsidRDefault="00545F29">
      <w:pPr>
        <w:spacing w:after="0" w:line="240" w:lineRule="auto"/>
        <w:ind w:left="5040"/>
        <w:rPr>
          <w:rFonts w:ascii="Arial" w:hAnsi="Arial" w:cs="Arial"/>
          <w:sz w:val="24"/>
          <w:szCs w:val="24"/>
        </w:rPr>
      </w:pPr>
    </w:p>
    <w:p w14:paraId="7176D308" w14:textId="78B26A1B" w:rsidR="00545F29" w:rsidRPr="00237730" w:rsidRDefault="00155B5A" w:rsidP="00237730">
      <w:pPr>
        <w:spacing w:after="0" w:line="240" w:lineRule="auto"/>
        <w:ind w:left="5040"/>
        <w:rPr>
          <w:rFonts w:ascii="Arial" w:hAnsi="Arial" w:cs="Arial"/>
          <w:b/>
          <w:i/>
          <w:sz w:val="24"/>
          <w:szCs w:val="24"/>
        </w:rPr>
      </w:pPr>
      <w:r>
        <w:rPr>
          <w:rFonts w:ascii="Arial" w:hAnsi="Arial" w:cs="Arial"/>
          <w:b/>
          <w:i/>
          <w:sz w:val="24"/>
          <w:szCs w:val="24"/>
        </w:rPr>
        <w:t>Attorney</w:t>
      </w:r>
      <w:r w:rsidR="0056270F">
        <w:rPr>
          <w:rFonts w:ascii="Arial" w:hAnsi="Arial" w:cs="Arial"/>
          <w:b/>
          <w:i/>
          <w:sz w:val="24"/>
          <w:szCs w:val="24"/>
        </w:rPr>
        <w:t xml:space="preserve"> for </w:t>
      </w:r>
      <w:r w:rsidR="00237730">
        <w:rPr>
          <w:rFonts w:ascii="Arial" w:hAnsi="Arial" w:cs="Arial"/>
          <w:b/>
          <w:i/>
          <w:sz w:val="24"/>
          <w:szCs w:val="24"/>
        </w:rPr>
        <w:t>IGS Energy</w:t>
      </w:r>
    </w:p>
    <w:p w14:paraId="7176D309"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7176D30A" w14:textId="77777777" w:rsidR="00545F29" w:rsidRPr="009D71F6" w:rsidRDefault="0056270F">
      <w:pPr>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7176D30B" w14:textId="77777777" w:rsidR="00545F29" w:rsidRPr="009D71F6" w:rsidRDefault="00545F29">
      <w:pPr>
        <w:spacing w:after="0" w:line="240" w:lineRule="auto"/>
        <w:jc w:val="center"/>
        <w:rPr>
          <w:rFonts w:ascii="Arial" w:eastAsia="Arial" w:hAnsi="Arial" w:cs="Arial"/>
          <w:b/>
          <w:sz w:val="24"/>
          <w:szCs w:val="24"/>
          <w:u w:val="single"/>
        </w:rPr>
      </w:pPr>
    </w:p>
    <w:p w14:paraId="7176D30C" w14:textId="62900D00" w:rsidR="00545F29" w:rsidRPr="009D71F6" w:rsidRDefault="0056270F" w:rsidP="00D223D6">
      <w:pPr>
        <w:spacing w:after="0" w:line="48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Pr="009D71F6">
        <w:rPr>
          <w:rFonts w:ascii="Arial" w:eastAsia="Calibri" w:hAnsi="Arial" w:cs="Arial"/>
          <w:i/>
          <w:sz w:val="24"/>
          <w:szCs w:val="24"/>
        </w:rPr>
        <w:t>Motion to Intervene</w:t>
      </w:r>
      <w:r w:rsidR="0026383E">
        <w:rPr>
          <w:rFonts w:ascii="Arial" w:eastAsia="Calibri" w:hAnsi="Arial" w:cs="Arial"/>
          <w:i/>
          <w:sz w:val="24"/>
          <w:szCs w:val="24"/>
        </w:rPr>
        <w:t xml:space="preserve"> and Motion to </w:t>
      </w:r>
      <w:r w:rsidR="00066F87">
        <w:rPr>
          <w:rFonts w:ascii="Arial" w:eastAsia="Calibri" w:hAnsi="Arial" w:cs="Arial"/>
          <w:i/>
          <w:sz w:val="24"/>
          <w:szCs w:val="24"/>
        </w:rPr>
        <w:t>Revise</w:t>
      </w:r>
      <w:r w:rsidR="0026383E">
        <w:rPr>
          <w:rFonts w:ascii="Arial" w:eastAsia="Calibri" w:hAnsi="Arial" w:cs="Arial"/>
          <w:i/>
          <w:sz w:val="24"/>
          <w:szCs w:val="24"/>
        </w:rPr>
        <w:t xml:space="preserve"> </w:t>
      </w:r>
      <w:r w:rsidR="002B2908">
        <w:rPr>
          <w:rFonts w:ascii="Arial" w:eastAsia="Calibri" w:hAnsi="Arial" w:cs="Arial"/>
          <w:i/>
          <w:sz w:val="24"/>
          <w:szCs w:val="24"/>
        </w:rPr>
        <w:t>Procedural Schedule</w:t>
      </w:r>
      <w:r w:rsidRPr="009D71F6">
        <w:rPr>
          <w:rFonts w:ascii="Arial" w:eastAsia="Calibri" w:hAnsi="Arial" w:cs="Arial"/>
          <w:i/>
          <w:sz w:val="24"/>
          <w:szCs w:val="24"/>
        </w:rPr>
        <w:t xml:space="preserve"> and</w:t>
      </w:r>
      <w:r w:rsidR="00066F87">
        <w:rPr>
          <w:rFonts w:ascii="Arial" w:eastAsia="Calibri" w:hAnsi="Arial" w:cs="Arial"/>
          <w:i/>
          <w:sz w:val="24"/>
          <w:szCs w:val="24"/>
        </w:rPr>
        <w:t xml:space="preserve"> in the Alternative Motion to Consolidate and</w:t>
      </w:r>
      <w:r w:rsidRPr="009D71F6">
        <w:rPr>
          <w:rFonts w:ascii="Arial" w:eastAsia="Calibri" w:hAnsi="Arial" w:cs="Arial"/>
          <w:i/>
          <w:sz w:val="24"/>
          <w:szCs w:val="24"/>
        </w:rPr>
        <w:t xml:space="preserve"> Memorandum in Support</w:t>
      </w:r>
      <w:r w:rsidR="00AA75B4">
        <w:rPr>
          <w:rFonts w:ascii="Arial" w:eastAsia="Calibri" w:hAnsi="Arial" w:cs="Arial"/>
          <w:i/>
          <w:sz w:val="24"/>
          <w:szCs w:val="24"/>
        </w:rPr>
        <w:t xml:space="preserve"> of IGS Energy</w:t>
      </w:r>
      <w:r w:rsidR="00722C62">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722C62">
        <w:rPr>
          <w:rFonts w:ascii="Arial" w:eastAsia="Calibri" w:hAnsi="Arial" w:cs="Arial"/>
          <w:sz w:val="24"/>
          <w:szCs w:val="24"/>
        </w:rPr>
        <w:t>5</w:t>
      </w:r>
      <w:r w:rsidR="00474257">
        <w:rPr>
          <w:rFonts w:ascii="Arial" w:eastAsia="Calibri" w:hAnsi="Arial" w:cs="Arial"/>
          <w:sz w:val="24"/>
          <w:szCs w:val="24"/>
        </w:rPr>
        <w:t>t</w:t>
      </w:r>
      <w:r w:rsidR="00237730">
        <w:rPr>
          <w:rFonts w:ascii="Arial" w:eastAsia="Calibri" w:hAnsi="Arial" w:cs="Arial"/>
          <w:sz w:val="24"/>
          <w:szCs w:val="24"/>
        </w:rPr>
        <w:t>h</w:t>
      </w:r>
      <w:r w:rsidRPr="009D71F6">
        <w:rPr>
          <w:rFonts w:ascii="Arial" w:eastAsia="Calibri" w:hAnsi="Arial" w:cs="Arial"/>
          <w:sz w:val="24"/>
          <w:szCs w:val="24"/>
        </w:rPr>
        <w:t xml:space="preserve"> day of </w:t>
      </w:r>
      <w:r w:rsidR="00722C62">
        <w:rPr>
          <w:rFonts w:ascii="Arial" w:eastAsia="Calibri" w:hAnsi="Arial" w:cs="Arial"/>
          <w:sz w:val="24"/>
          <w:szCs w:val="24"/>
        </w:rPr>
        <w:t xml:space="preserve">February </w:t>
      </w:r>
      <w:r w:rsidR="002B2908">
        <w:rPr>
          <w:rFonts w:ascii="Arial" w:eastAsia="Calibri" w:hAnsi="Arial" w:cs="Arial"/>
          <w:sz w:val="24"/>
          <w:szCs w:val="24"/>
        </w:rPr>
        <w:t>2015</w:t>
      </w:r>
      <w:r w:rsidRPr="009D71F6">
        <w:rPr>
          <w:rFonts w:ascii="Arial" w:eastAsia="Calibri" w:hAnsi="Arial" w:cs="Arial"/>
          <w:sz w:val="24"/>
          <w:szCs w:val="24"/>
        </w:rPr>
        <w:t xml:space="preserve"> via electronic mail upon the following:</w:t>
      </w:r>
    </w:p>
    <w:p w14:paraId="7176D30D" w14:textId="77777777" w:rsidR="00545F29" w:rsidRPr="009D71F6" w:rsidRDefault="00545F29">
      <w:pPr>
        <w:spacing w:after="0" w:line="240" w:lineRule="auto"/>
        <w:jc w:val="both"/>
        <w:rPr>
          <w:rFonts w:ascii="Arial" w:eastAsia="Calibri" w:hAnsi="Arial" w:cs="Arial"/>
          <w:sz w:val="24"/>
          <w:szCs w:val="24"/>
        </w:rPr>
      </w:pPr>
    </w:p>
    <w:p w14:paraId="7176D30E" w14:textId="77777777" w:rsidR="00545F29" w:rsidRPr="009D71F6" w:rsidRDefault="00545F29">
      <w:pPr>
        <w:spacing w:after="0" w:line="240" w:lineRule="auto"/>
        <w:jc w:val="both"/>
        <w:rPr>
          <w:rFonts w:ascii="Arial" w:eastAsia="Arial" w:hAnsi="Arial" w:cs="Arial"/>
          <w:sz w:val="24"/>
          <w:szCs w:val="24"/>
        </w:rPr>
      </w:pPr>
    </w:p>
    <w:p w14:paraId="7176D30F" w14:textId="77777777" w:rsidR="00545F29" w:rsidRPr="009D71F6" w:rsidRDefault="00545F29">
      <w:pPr>
        <w:spacing w:after="0" w:line="240" w:lineRule="auto"/>
        <w:jc w:val="both"/>
        <w:rPr>
          <w:rFonts w:ascii="Arial" w:eastAsia="Arial" w:hAnsi="Arial" w:cs="Arial"/>
          <w:sz w:val="24"/>
          <w:szCs w:val="24"/>
        </w:rPr>
      </w:pPr>
    </w:p>
    <w:p w14:paraId="7176D310" w14:textId="46FCE781" w:rsidR="009D71F6" w:rsidRPr="009D71F6" w:rsidRDefault="009D71F6" w:rsidP="00237730">
      <w:pPr>
        <w:spacing w:after="0" w:line="240" w:lineRule="auto"/>
        <w:ind w:left="5040" w:firstLine="720"/>
        <w:rPr>
          <w:rFonts w:ascii="Arial" w:eastAsia="Calibri" w:hAnsi="Arial" w:cs="Arial"/>
          <w:sz w:val="24"/>
          <w:szCs w:val="24"/>
          <w:u w:val="single"/>
        </w:rPr>
      </w:pPr>
      <w:r w:rsidRPr="009D71F6">
        <w:rPr>
          <w:rFonts w:ascii="Arial" w:eastAsia="Arial" w:hAnsi="Arial" w:cs="Arial"/>
          <w:i/>
          <w:sz w:val="24"/>
          <w:szCs w:val="24"/>
          <w:u w:val="single"/>
        </w:rPr>
        <w:t xml:space="preserve">/s/ </w:t>
      </w:r>
      <w:r w:rsidR="00237730">
        <w:rPr>
          <w:rFonts w:ascii="Arial" w:eastAsia="Arial" w:hAnsi="Arial" w:cs="Arial"/>
          <w:i/>
          <w:sz w:val="24"/>
          <w:szCs w:val="24"/>
          <w:u w:val="single"/>
        </w:rPr>
        <w:t>Joseph Oliker_______</w:t>
      </w:r>
    </w:p>
    <w:p w14:paraId="7176D311" w14:textId="5306D116" w:rsidR="00FE2DE0" w:rsidRPr="009D71F6" w:rsidRDefault="00237730" w:rsidP="00237730">
      <w:pPr>
        <w:spacing w:after="0" w:line="240" w:lineRule="auto"/>
        <w:ind w:left="5040" w:firstLine="720"/>
        <w:rPr>
          <w:rFonts w:ascii="Arial" w:hAnsi="Arial" w:cs="Arial"/>
          <w:sz w:val="24"/>
          <w:szCs w:val="24"/>
        </w:rPr>
      </w:pPr>
      <w:r>
        <w:rPr>
          <w:rFonts w:ascii="Arial" w:hAnsi="Arial" w:cs="Arial"/>
          <w:sz w:val="24"/>
          <w:szCs w:val="24"/>
        </w:rPr>
        <w:t>Joseph Oliker</w:t>
      </w:r>
    </w:p>
    <w:p w14:paraId="6FCF01CA" w14:textId="77777777" w:rsidR="00B270B3" w:rsidRPr="00BB03FA" w:rsidRDefault="00B270B3" w:rsidP="00B270B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B270B3" w:rsidRPr="00BB03FA" w14:paraId="498F860B" w14:textId="77777777" w:rsidTr="00B270B3">
        <w:tc>
          <w:tcPr>
            <w:tcW w:w="4788" w:type="dxa"/>
          </w:tcPr>
          <w:p w14:paraId="5160DB03" w14:textId="777C5F44" w:rsidR="00BB03FA" w:rsidRPr="00BB03FA" w:rsidRDefault="00BB03FA" w:rsidP="00B270B3">
            <w:pPr>
              <w:rPr>
                <w:rFonts w:ascii="Arial" w:hAnsi="Arial" w:cs="Arial"/>
                <w:sz w:val="24"/>
                <w:szCs w:val="24"/>
              </w:rPr>
            </w:pPr>
            <w:r w:rsidRPr="00BB03FA">
              <w:rPr>
                <w:rFonts w:ascii="Arial" w:hAnsi="Arial" w:cs="Arial"/>
                <w:sz w:val="24"/>
                <w:szCs w:val="24"/>
              </w:rPr>
              <w:t xml:space="preserve">Amy B. Spiller </w:t>
            </w:r>
          </w:p>
          <w:p w14:paraId="226C414B" w14:textId="77777777" w:rsidR="00BB03FA" w:rsidRPr="00BB03FA" w:rsidRDefault="00BB03FA" w:rsidP="00B270B3">
            <w:pPr>
              <w:rPr>
                <w:rFonts w:ascii="Arial" w:hAnsi="Arial" w:cs="Arial"/>
                <w:sz w:val="24"/>
                <w:szCs w:val="24"/>
              </w:rPr>
            </w:pPr>
            <w:r w:rsidRPr="00BB03FA">
              <w:rPr>
                <w:rFonts w:ascii="Arial" w:hAnsi="Arial" w:cs="Arial"/>
                <w:sz w:val="24"/>
                <w:szCs w:val="24"/>
              </w:rPr>
              <w:t>Deputy General Counsel</w:t>
            </w:r>
          </w:p>
          <w:p w14:paraId="2E11B12A" w14:textId="06B8B820" w:rsidR="00BB03FA" w:rsidRPr="00BB03FA" w:rsidRDefault="00BB03FA" w:rsidP="00B270B3">
            <w:pPr>
              <w:rPr>
                <w:rFonts w:ascii="Arial" w:hAnsi="Arial" w:cs="Arial"/>
                <w:sz w:val="24"/>
                <w:szCs w:val="24"/>
              </w:rPr>
            </w:pPr>
            <w:r w:rsidRPr="00BB03FA">
              <w:rPr>
                <w:rFonts w:ascii="Arial" w:hAnsi="Arial" w:cs="Arial"/>
                <w:sz w:val="24"/>
                <w:szCs w:val="24"/>
              </w:rPr>
              <w:t>Elizabeth H. Watts</w:t>
            </w:r>
          </w:p>
          <w:p w14:paraId="795FA404" w14:textId="65243871" w:rsidR="00BB03FA" w:rsidRPr="00BB03FA" w:rsidRDefault="00BB03FA" w:rsidP="00B270B3">
            <w:pPr>
              <w:rPr>
                <w:rFonts w:ascii="Arial" w:hAnsi="Arial" w:cs="Arial"/>
                <w:sz w:val="24"/>
                <w:szCs w:val="24"/>
              </w:rPr>
            </w:pPr>
            <w:r w:rsidRPr="00BB03FA">
              <w:rPr>
                <w:rFonts w:ascii="Arial" w:hAnsi="Arial" w:cs="Arial"/>
                <w:sz w:val="24"/>
                <w:szCs w:val="24"/>
              </w:rPr>
              <w:t>Associate General Counsel</w:t>
            </w:r>
          </w:p>
          <w:p w14:paraId="0FF9A90D" w14:textId="77777777" w:rsidR="00BB03FA" w:rsidRPr="00BB03FA" w:rsidRDefault="00BB03FA" w:rsidP="00BB03FA">
            <w:pPr>
              <w:autoSpaceDE w:val="0"/>
              <w:autoSpaceDN w:val="0"/>
              <w:adjustRightInd w:val="0"/>
              <w:rPr>
                <w:rFonts w:ascii="Arial" w:hAnsi="Arial" w:cs="Arial"/>
                <w:sz w:val="24"/>
                <w:szCs w:val="24"/>
              </w:rPr>
            </w:pPr>
            <w:r w:rsidRPr="00BB03FA">
              <w:rPr>
                <w:rFonts w:ascii="Arial" w:hAnsi="Arial" w:cs="Arial"/>
                <w:sz w:val="24"/>
                <w:szCs w:val="24"/>
              </w:rPr>
              <w:t>Duke Energy Ohio, Inc.</w:t>
            </w:r>
          </w:p>
          <w:p w14:paraId="77D71336" w14:textId="1F93D3F3" w:rsidR="00BB03FA" w:rsidRDefault="00BB03FA" w:rsidP="00BB03FA">
            <w:pPr>
              <w:autoSpaceDE w:val="0"/>
              <w:autoSpaceDN w:val="0"/>
              <w:adjustRightInd w:val="0"/>
              <w:rPr>
                <w:rFonts w:ascii="Arial" w:hAnsi="Arial" w:cs="Arial"/>
                <w:sz w:val="24"/>
                <w:szCs w:val="24"/>
              </w:rPr>
            </w:pPr>
            <w:r w:rsidRPr="00BB03FA">
              <w:rPr>
                <w:rFonts w:ascii="Arial" w:hAnsi="Arial" w:cs="Arial"/>
                <w:sz w:val="24"/>
                <w:szCs w:val="24"/>
              </w:rPr>
              <w:t xml:space="preserve">139 </w:t>
            </w:r>
            <w:r w:rsidR="00A74926">
              <w:rPr>
                <w:rFonts w:ascii="Arial" w:hAnsi="Arial" w:cs="Arial"/>
                <w:sz w:val="24"/>
                <w:szCs w:val="24"/>
              </w:rPr>
              <w:t>East Fourth Street, 1303-</w:t>
            </w:r>
            <w:r w:rsidRPr="00BB03FA">
              <w:rPr>
                <w:rFonts w:ascii="Arial" w:hAnsi="Arial" w:cs="Arial"/>
                <w:sz w:val="24"/>
                <w:szCs w:val="24"/>
              </w:rPr>
              <w:t>Main</w:t>
            </w:r>
          </w:p>
          <w:p w14:paraId="4A552CD2" w14:textId="40A54D61" w:rsidR="00A74926" w:rsidRPr="00BB03FA" w:rsidRDefault="00A74926" w:rsidP="00BB03FA">
            <w:pPr>
              <w:autoSpaceDE w:val="0"/>
              <w:autoSpaceDN w:val="0"/>
              <w:adjustRightInd w:val="0"/>
              <w:rPr>
                <w:rFonts w:ascii="Arial" w:hAnsi="Arial" w:cs="Arial"/>
                <w:sz w:val="24"/>
                <w:szCs w:val="24"/>
              </w:rPr>
            </w:pPr>
            <w:r>
              <w:rPr>
                <w:rFonts w:ascii="Arial" w:hAnsi="Arial" w:cs="Arial"/>
                <w:sz w:val="24"/>
                <w:szCs w:val="24"/>
              </w:rPr>
              <w:t>P.O Box 960</w:t>
            </w:r>
          </w:p>
          <w:p w14:paraId="5ADB5856" w14:textId="758354B2" w:rsidR="00BB03FA" w:rsidRPr="00BB03FA" w:rsidRDefault="00BB03FA" w:rsidP="00B270B3">
            <w:pPr>
              <w:rPr>
                <w:rFonts w:ascii="Arial" w:hAnsi="Arial" w:cs="Arial"/>
                <w:sz w:val="24"/>
                <w:szCs w:val="24"/>
              </w:rPr>
            </w:pPr>
            <w:r w:rsidRPr="00BB03FA">
              <w:rPr>
                <w:rFonts w:ascii="Arial" w:hAnsi="Arial" w:cs="Arial"/>
                <w:sz w:val="24"/>
                <w:szCs w:val="24"/>
              </w:rPr>
              <w:t>Cincinnati, Ohio 452</w:t>
            </w:r>
            <w:r w:rsidR="00A74926">
              <w:rPr>
                <w:rFonts w:ascii="Arial" w:hAnsi="Arial" w:cs="Arial"/>
                <w:sz w:val="24"/>
                <w:szCs w:val="24"/>
              </w:rPr>
              <w:t>01</w:t>
            </w:r>
          </w:p>
          <w:p w14:paraId="62FC2F4F" w14:textId="5B5AFB24" w:rsidR="00B270B3" w:rsidRPr="00BB03FA" w:rsidRDefault="000943F2" w:rsidP="00B270B3">
            <w:pPr>
              <w:rPr>
                <w:rFonts w:ascii="Arial" w:hAnsi="Arial" w:cs="Arial"/>
                <w:sz w:val="24"/>
                <w:szCs w:val="24"/>
              </w:rPr>
            </w:pPr>
            <w:hyperlink r:id="rId9" w:history="1">
              <w:r w:rsidR="00B270B3" w:rsidRPr="00BB03FA">
                <w:rPr>
                  <w:rStyle w:val="Hyperlink"/>
                  <w:rFonts w:ascii="Arial" w:hAnsi="Arial" w:cs="Arial"/>
                  <w:color w:val="auto"/>
                  <w:sz w:val="24"/>
                  <w:szCs w:val="24"/>
                  <w:u w:val="none"/>
                </w:rPr>
                <w:t>Amy.Spiller@duke-energy.com</w:t>
              </w:r>
            </w:hyperlink>
          </w:p>
          <w:p w14:paraId="7FAFE182" w14:textId="77777777" w:rsidR="00B270B3" w:rsidRPr="00BB03FA" w:rsidRDefault="00B270B3" w:rsidP="00B270B3">
            <w:pPr>
              <w:rPr>
                <w:rFonts w:ascii="Arial" w:hAnsi="Arial" w:cs="Arial"/>
                <w:sz w:val="24"/>
                <w:szCs w:val="24"/>
              </w:rPr>
            </w:pPr>
            <w:r w:rsidRPr="00BB03FA">
              <w:rPr>
                <w:rFonts w:ascii="Arial" w:hAnsi="Arial" w:cs="Arial"/>
                <w:sz w:val="24"/>
                <w:szCs w:val="24"/>
              </w:rPr>
              <w:t>elizabeth.watts@duke-energy.com</w:t>
            </w:r>
          </w:p>
          <w:p w14:paraId="0BA9736B" w14:textId="77777777" w:rsidR="00B270B3" w:rsidRPr="00BB03FA" w:rsidRDefault="00B270B3" w:rsidP="000258F0">
            <w:pPr>
              <w:rPr>
                <w:rFonts w:ascii="Arial" w:hAnsi="Arial" w:cs="Arial"/>
                <w:sz w:val="24"/>
                <w:szCs w:val="24"/>
              </w:rPr>
            </w:pPr>
          </w:p>
        </w:tc>
        <w:tc>
          <w:tcPr>
            <w:tcW w:w="4788" w:type="dxa"/>
          </w:tcPr>
          <w:p w14:paraId="0AFAB224" w14:textId="4C618CCA" w:rsidR="00474257" w:rsidRDefault="007816CB" w:rsidP="00B270B3">
            <w:pPr>
              <w:rPr>
                <w:rFonts w:ascii="Arial" w:hAnsi="Arial" w:cs="Arial"/>
                <w:sz w:val="24"/>
                <w:szCs w:val="24"/>
              </w:rPr>
            </w:pPr>
            <w:r>
              <w:rPr>
                <w:rFonts w:ascii="Arial" w:hAnsi="Arial" w:cs="Arial"/>
                <w:sz w:val="24"/>
                <w:szCs w:val="24"/>
              </w:rPr>
              <w:t>William Wright</w:t>
            </w:r>
          </w:p>
          <w:p w14:paraId="04EDFAC1" w14:textId="1E637FEC" w:rsidR="007816CB" w:rsidRDefault="007816CB" w:rsidP="00B270B3">
            <w:pPr>
              <w:rPr>
                <w:rFonts w:ascii="Arial" w:hAnsi="Arial" w:cs="Arial"/>
                <w:sz w:val="24"/>
                <w:szCs w:val="24"/>
              </w:rPr>
            </w:pPr>
            <w:r w:rsidRPr="007816CB">
              <w:rPr>
                <w:rFonts w:ascii="Arial" w:hAnsi="Arial" w:cs="Arial"/>
                <w:sz w:val="24"/>
                <w:szCs w:val="24"/>
              </w:rPr>
              <w:t>Chief, Public Utilities Section</w:t>
            </w:r>
          </w:p>
          <w:p w14:paraId="22906E9A" w14:textId="77777777" w:rsidR="007816CB" w:rsidRPr="007816CB" w:rsidRDefault="007816CB" w:rsidP="007816CB">
            <w:pPr>
              <w:rPr>
                <w:rFonts w:ascii="Arial" w:hAnsi="Arial" w:cs="Arial"/>
                <w:sz w:val="24"/>
                <w:szCs w:val="24"/>
              </w:rPr>
            </w:pPr>
            <w:r w:rsidRPr="007816CB">
              <w:rPr>
                <w:rFonts w:ascii="Arial" w:hAnsi="Arial" w:cs="Arial"/>
                <w:sz w:val="24"/>
                <w:szCs w:val="24"/>
              </w:rPr>
              <w:t>Public Utilities Section</w:t>
            </w:r>
          </w:p>
          <w:p w14:paraId="19EFD939" w14:textId="77777777" w:rsidR="007816CB" w:rsidRPr="007816CB" w:rsidRDefault="007816CB" w:rsidP="007816CB">
            <w:pPr>
              <w:rPr>
                <w:rFonts w:ascii="Arial" w:hAnsi="Arial" w:cs="Arial"/>
                <w:sz w:val="24"/>
                <w:szCs w:val="24"/>
              </w:rPr>
            </w:pPr>
            <w:r w:rsidRPr="007816CB">
              <w:rPr>
                <w:rFonts w:ascii="Arial" w:hAnsi="Arial" w:cs="Arial"/>
                <w:sz w:val="24"/>
                <w:szCs w:val="24"/>
              </w:rPr>
              <w:t>180 East Broad Street, 6th Floor</w:t>
            </w:r>
          </w:p>
          <w:p w14:paraId="3ECB8E12" w14:textId="56A9B309" w:rsidR="007816CB" w:rsidRPr="00BB03FA" w:rsidRDefault="00F611C0" w:rsidP="007816CB">
            <w:pPr>
              <w:rPr>
                <w:rFonts w:ascii="Arial" w:hAnsi="Arial" w:cs="Arial"/>
                <w:sz w:val="24"/>
                <w:szCs w:val="24"/>
              </w:rPr>
            </w:pPr>
            <w:r>
              <w:rPr>
                <w:rFonts w:ascii="Arial" w:hAnsi="Arial" w:cs="Arial"/>
                <w:sz w:val="24"/>
                <w:szCs w:val="24"/>
              </w:rPr>
              <w:t>Columbus, Ohio</w:t>
            </w:r>
            <w:r w:rsidR="007816CB" w:rsidRPr="007816CB">
              <w:rPr>
                <w:rFonts w:ascii="Arial" w:hAnsi="Arial" w:cs="Arial"/>
                <w:sz w:val="24"/>
                <w:szCs w:val="24"/>
              </w:rPr>
              <w:t xml:space="preserve"> 43215</w:t>
            </w:r>
          </w:p>
          <w:p w14:paraId="7188781B" w14:textId="77777777" w:rsidR="00B270B3" w:rsidRDefault="007816CB">
            <w:pPr>
              <w:rPr>
                <w:rFonts w:ascii="Arial" w:hAnsi="Arial" w:cs="Arial"/>
                <w:sz w:val="24"/>
                <w:szCs w:val="24"/>
              </w:rPr>
            </w:pPr>
            <w:r w:rsidRPr="007816CB">
              <w:rPr>
                <w:rFonts w:ascii="Arial" w:hAnsi="Arial" w:cs="Arial"/>
                <w:sz w:val="24"/>
                <w:szCs w:val="24"/>
              </w:rPr>
              <w:t>William.wright@puc.state.oh.us</w:t>
            </w:r>
          </w:p>
          <w:p w14:paraId="7EBD91CE" w14:textId="16C24797" w:rsidR="007816CB" w:rsidRPr="00BB03FA" w:rsidRDefault="007816CB">
            <w:pPr>
              <w:rPr>
                <w:rFonts w:ascii="Arial" w:hAnsi="Arial" w:cs="Arial"/>
                <w:sz w:val="24"/>
                <w:szCs w:val="24"/>
              </w:rPr>
            </w:pPr>
          </w:p>
        </w:tc>
      </w:tr>
    </w:tbl>
    <w:p w14:paraId="7176D312" w14:textId="38B97BB5" w:rsidR="00545F29" w:rsidRPr="003A51CC" w:rsidRDefault="00545F29">
      <w:pPr>
        <w:spacing w:after="0" w:line="240" w:lineRule="auto"/>
        <w:rPr>
          <w:rFonts w:ascii="Arial" w:hAnsi="Arial" w:cs="Arial"/>
          <w:sz w:val="24"/>
          <w:szCs w:val="24"/>
        </w:rPr>
      </w:pPr>
    </w:p>
    <w:sectPr w:rsidR="00545F29" w:rsidRPr="003A51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10080" w14:textId="77777777" w:rsidR="000943F2" w:rsidRDefault="000943F2">
      <w:pPr>
        <w:spacing w:after="0" w:line="240" w:lineRule="auto"/>
      </w:pPr>
      <w:r>
        <w:separator/>
      </w:r>
    </w:p>
  </w:endnote>
  <w:endnote w:type="continuationSeparator" w:id="0">
    <w:p w14:paraId="7525788F" w14:textId="77777777" w:rsidR="000943F2" w:rsidRDefault="0009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C93F" w14:textId="77777777" w:rsidR="00D223D6" w:rsidRDefault="00D22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EndPr/>
    <w:sdtContent>
      <w:p w14:paraId="7176D32E" w14:textId="77777777" w:rsidR="0098338B" w:rsidRDefault="0098338B">
        <w:pPr>
          <w:pStyle w:val="Footer"/>
          <w:jc w:val="center"/>
        </w:pPr>
        <w:r>
          <w:fldChar w:fldCharType="begin"/>
        </w:r>
        <w:r>
          <w:instrText xml:space="preserve"> PAGE   \* MERGEFORMAT </w:instrText>
        </w:r>
        <w:r>
          <w:fldChar w:fldCharType="separate"/>
        </w:r>
        <w:r w:rsidR="00B2379B">
          <w:rPr>
            <w:noProof/>
          </w:rPr>
          <w:t>2</w:t>
        </w:r>
        <w:r>
          <w:rPr>
            <w:noProof/>
          </w:rPr>
          <w:fldChar w:fldCharType="end"/>
        </w:r>
      </w:p>
    </w:sdtContent>
  </w:sdt>
  <w:p w14:paraId="7176D32F" w14:textId="77777777" w:rsidR="0098338B" w:rsidRDefault="00983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090F7" w14:textId="77777777" w:rsidR="00D223D6" w:rsidRDefault="00D22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6EFA" w14:textId="77777777" w:rsidR="000943F2" w:rsidRDefault="000943F2">
      <w:pPr>
        <w:spacing w:after="0" w:line="240" w:lineRule="auto"/>
      </w:pPr>
      <w:r>
        <w:separator/>
      </w:r>
    </w:p>
  </w:footnote>
  <w:footnote w:type="continuationSeparator" w:id="0">
    <w:p w14:paraId="00799744" w14:textId="77777777" w:rsidR="000943F2" w:rsidRDefault="000943F2">
      <w:pPr>
        <w:spacing w:after="0" w:line="240" w:lineRule="auto"/>
      </w:pPr>
      <w:r>
        <w:continuationSeparator/>
      </w:r>
    </w:p>
  </w:footnote>
  <w:footnote w:id="1">
    <w:p w14:paraId="13B3F4D5" w14:textId="6E40F896" w:rsidR="009E6B7A" w:rsidRPr="00553A1C" w:rsidRDefault="009E6B7A" w:rsidP="009E6B7A">
      <w:pPr>
        <w:pStyle w:val="FootnoteText"/>
        <w:jc w:val="both"/>
        <w:rPr>
          <w:rFonts w:ascii="Arial" w:hAnsi="Arial" w:cs="Arial"/>
        </w:rPr>
      </w:pPr>
      <w:r w:rsidRPr="009E6B7A">
        <w:rPr>
          <w:rStyle w:val="FootnoteReference"/>
          <w:rFonts w:ascii="Arial" w:hAnsi="Arial" w:cs="Arial"/>
        </w:rPr>
        <w:footnoteRef/>
      </w:r>
      <w:r w:rsidRPr="009E6B7A">
        <w:rPr>
          <w:rFonts w:ascii="Arial" w:hAnsi="Arial" w:cs="Arial"/>
        </w:rPr>
        <w:t xml:space="preserve"> </w:t>
      </w:r>
      <w:r w:rsidRPr="009E6B7A">
        <w:rPr>
          <w:rFonts w:ascii="Arial" w:hAnsi="Arial" w:cs="Arial"/>
          <w:i/>
        </w:rPr>
        <w:t>In the Matter of the Joint Application of Cinergy Corp., on Behalf of The Cincinnati Gas &amp; Electric Company, and Duke Energy Holding Corp. for Consent and Approval of a Change of Control of The Cincinnati Gas &amp; Electric Company</w:t>
      </w:r>
      <w:r>
        <w:rPr>
          <w:rFonts w:ascii="Arial" w:hAnsi="Arial" w:cs="Arial"/>
        </w:rPr>
        <w:t>, Finding and Order at 18 (Dec. 21, 2005)</w:t>
      </w:r>
      <w:r w:rsidR="00553A1C">
        <w:rPr>
          <w:rFonts w:ascii="Arial" w:hAnsi="Arial" w:cs="Arial"/>
        </w:rPr>
        <w:t xml:space="preserve"> (hereinafter “</w:t>
      </w:r>
      <w:r w:rsidR="00553A1C">
        <w:rPr>
          <w:rFonts w:ascii="Arial" w:hAnsi="Arial" w:cs="Arial"/>
          <w:i/>
        </w:rPr>
        <w:t>Merger Case</w:t>
      </w:r>
      <w:r w:rsidR="00553A1C">
        <w:rPr>
          <w:rFonts w:ascii="Arial" w:hAnsi="Arial" w:cs="Arial"/>
        </w:rPr>
        <w:t>”).</w:t>
      </w:r>
    </w:p>
  </w:footnote>
  <w:footnote w:id="2">
    <w:p w14:paraId="4F650FA8" w14:textId="1AF8BD5B" w:rsidR="00553A1C" w:rsidRPr="00666E20" w:rsidRDefault="00553A1C">
      <w:pPr>
        <w:pStyle w:val="FootnoteText"/>
        <w:rPr>
          <w:rFonts w:ascii="Arial" w:hAnsi="Arial" w:cs="Arial"/>
        </w:rPr>
      </w:pPr>
      <w:r w:rsidRPr="00666E20">
        <w:rPr>
          <w:rStyle w:val="FootnoteReference"/>
          <w:rFonts w:ascii="Arial" w:hAnsi="Arial" w:cs="Arial"/>
        </w:rPr>
        <w:footnoteRef/>
      </w:r>
      <w:r w:rsidRPr="00666E20">
        <w:rPr>
          <w:rFonts w:ascii="Arial" w:hAnsi="Arial" w:cs="Arial"/>
        </w:rPr>
        <w:t xml:space="preserve"> </w:t>
      </w:r>
      <w:r w:rsidRPr="00666E20">
        <w:rPr>
          <w:rFonts w:ascii="Arial" w:hAnsi="Arial" w:cs="Arial"/>
          <w:i/>
        </w:rPr>
        <w:t>Merger Case</w:t>
      </w:r>
      <w:r w:rsidRPr="00666E20">
        <w:rPr>
          <w:rFonts w:ascii="Arial" w:hAnsi="Arial" w:cs="Arial"/>
        </w:rPr>
        <w:t>, Stipulation and Recommendation at</w:t>
      </w:r>
      <w:r w:rsidR="00666E20">
        <w:rPr>
          <w:rFonts w:ascii="Arial" w:hAnsi="Arial" w:cs="Arial"/>
        </w:rPr>
        <w:t xml:space="preserve"> Exhibits C and D (Mar. 1, 2007)</w:t>
      </w:r>
      <w:r w:rsidRPr="00666E20">
        <w:rPr>
          <w:rFonts w:ascii="Arial" w:hAnsi="Arial" w:cs="Arial"/>
        </w:rPr>
        <w:t xml:space="preserve">; </w:t>
      </w:r>
      <w:r w:rsidRPr="00666E20">
        <w:rPr>
          <w:rFonts w:ascii="Arial" w:hAnsi="Arial" w:cs="Arial"/>
          <w:i/>
        </w:rPr>
        <w:t>Merger</w:t>
      </w:r>
      <w:r w:rsidRPr="00666E20">
        <w:rPr>
          <w:rFonts w:ascii="Arial" w:hAnsi="Arial" w:cs="Arial"/>
        </w:rPr>
        <w:t xml:space="preserve">, Entry at 2 (Mar. 21, 2007). </w:t>
      </w:r>
    </w:p>
    <w:p w14:paraId="4D54B462" w14:textId="77777777" w:rsidR="00553A1C" w:rsidRPr="00666E20" w:rsidRDefault="00553A1C">
      <w:pPr>
        <w:pStyle w:val="FootnoteText"/>
        <w:rPr>
          <w:rFonts w:ascii="Arial" w:hAnsi="Arial" w:cs="Arial"/>
        </w:rPr>
      </w:pPr>
    </w:p>
  </w:footnote>
  <w:footnote w:id="3">
    <w:p w14:paraId="03EADC8D" w14:textId="5D6586FF" w:rsidR="00666E20" w:rsidRPr="00666E20" w:rsidRDefault="00553A1C">
      <w:pPr>
        <w:pStyle w:val="FootnoteText"/>
        <w:rPr>
          <w:rFonts w:ascii="Arial" w:hAnsi="Arial" w:cs="Arial"/>
        </w:rPr>
      </w:pPr>
      <w:r w:rsidRPr="00666E20">
        <w:rPr>
          <w:rStyle w:val="FootnoteReference"/>
          <w:rFonts w:ascii="Arial" w:hAnsi="Arial" w:cs="Arial"/>
        </w:rPr>
        <w:footnoteRef/>
      </w:r>
      <w:r w:rsidRPr="00666E20">
        <w:rPr>
          <w:rFonts w:ascii="Arial" w:hAnsi="Arial" w:cs="Arial"/>
        </w:rPr>
        <w:t xml:space="preserve"> </w:t>
      </w:r>
      <w:r w:rsidR="00666E20" w:rsidRPr="00666E20">
        <w:rPr>
          <w:rFonts w:ascii="Arial" w:hAnsi="Arial" w:cs="Arial"/>
          <w:i/>
        </w:rPr>
        <w:t>Merger Case</w:t>
      </w:r>
      <w:r w:rsidR="00666E20" w:rsidRPr="00666E20">
        <w:rPr>
          <w:rFonts w:ascii="Arial" w:hAnsi="Arial" w:cs="Arial"/>
        </w:rPr>
        <w:t>, Stipulation and</w:t>
      </w:r>
      <w:r w:rsidR="00666E20">
        <w:rPr>
          <w:rFonts w:ascii="Arial" w:hAnsi="Arial" w:cs="Arial"/>
        </w:rPr>
        <w:t xml:space="preserve"> Recommendation at Exhibit D </w:t>
      </w:r>
      <w:r w:rsidR="00666E20" w:rsidRPr="00666E20">
        <w:rPr>
          <w:rFonts w:ascii="Arial" w:hAnsi="Arial" w:cs="Arial"/>
        </w:rPr>
        <w:t xml:space="preserve">p. </w:t>
      </w:r>
      <w:r w:rsidR="00666E20">
        <w:rPr>
          <w:rFonts w:ascii="Arial" w:hAnsi="Arial" w:cs="Arial"/>
        </w:rPr>
        <w:t>1 of 7 (Mar. 1, 2007).</w:t>
      </w:r>
    </w:p>
    <w:p w14:paraId="1B03FEA0" w14:textId="77777777" w:rsidR="00666E20" w:rsidRPr="00666E20" w:rsidRDefault="00666E20">
      <w:pPr>
        <w:pStyle w:val="FootnoteText"/>
        <w:rPr>
          <w:rFonts w:ascii="Arial" w:hAnsi="Arial" w:cs="Arial"/>
        </w:rPr>
      </w:pPr>
    </w:p>
  </w:footnote>
  <w:footnote w:id="4">
    <w:p w14:paraId="7E5C1D35" w14:textId="7DC3A6B0" w:rsidR="00955F86" w:rsidRPr="00955F86" w:rsidRDefault="00955F86">
      <w:pPr>
        <w:pStyle w:val="FootnoteText"/>
        <w:rPr>
          <w:rFonts w:ascii="Arial" w:hAnsi="Arial" w:cs="Arial"/>
        </w:rPr>
      </w:pPr>
      <w:r w:rsidRPr="00666E20">
        <w:rPr>
          <w:rStyle w:val="FootnoteReference"/>
          <w:rFonts w:ascii="Arial" w:hAnsi="Arial" w:cs="Arial"/>
        </w:rPr>
        <w:footnoteRef/>
      </w:r>
      <w:r w:rsidRPr="00666E20">
        <w:rPr>
          <w:rFonts w:ascii="Arial" w:hAnsi="Arial" w:cs="Arial"/>
        </w:rPr>
        <w:t xml:space="preserve"> Rule 4901-1-11(A), OAC.</w:t>
      </w:r>
    </w:p>
  </w:footnote>
  <w:footnote w:id="5">
    <w:p w14:paraId="7176D331" w14:textId="77777777" w:rsidR="0098338B" w:rsidRPr="00DE4973" w:rsidRDefault="0098338B">
      <w:pPr>
        <w:pStyle w:val="FootnoteText"/>
        <w:rPr>
          <w:rFonts w:ascii="Arial" w:hAnsi="Arial" w:cs="Arial"/>
        </w:rPr>
      </w:pPr>
      <w:r w:rsidRPr="00DE4973">
        <w:rPr>
          <w:rStyle w:val="FootnoteReference"/>
          <w:rFonts w:ascii="Arial" w:hAnsi="Arial" w:cs="Arial"/>
        </w:rPr>
        <w:footnoteRef/>
      </w:r>
      <w:r w:rsidRPr="00DE4973">
        <w:rPr>
          <w:rFonts w:ascii="Arial" w:hAnsi="Arial" w:cs="Arial"/>
        </w:rPr>
        <w:t xml:space="preserve"> </w:t>
      </w:r>
      <w:proofErr w:type="gramStart"/>
      <w:r w:rsidRPr="00DE4973">
        <w:rPr>
          <w:rStyle w:val="apple-style-span"/>
          <w:rFonts w:ascii="Arial" w:hAnsi="Arial" w:cs="Arial"/>
          <w:i/>
          <w:iCs/>
          <w:color w:val="000000"/>
        </w:rPr>
        <w:t>Ohio Consumers' Counsel v. Pub.</w:t>
      </w:r>
      <w:proofErr w:type="gramEnd"/>
      <w:r w:rsidRPr="00DE4973">
        <w:rPr>
          <w:rStyle w:val="apple-style-span"/>
          <w:rFonts w:ascii="Arial" w:hAnsi="Arial" w:cs="Arial"/>
          <w:i/>
          <w:iCs/>
          <w:color w:val="000000"/>
        </w:rPr>
        <w:t xml:space="preserve"> </w:t>
      </w:r>
      <w:proofErr w:type="gramStart"/>
      <w:r w:rsidRPr="00DE4973">
        <w:rPr>
          <w:rStyle w:val="apple-style-span"/>
          <w:rFonts w:ascii="Arial" w:hAnsi="Arial" w:cs="Arial"/>
          <w:i/>
          <w:iCs/>
          <w:color w:val="000000"/>
        </w:rPr>
        <w:t>Util. Comm.,</w:t>
      </w:r>
      <w:r w:rsidRPr="00DE4973">
        <w:rPr>
          <w:rStyle w:val="apple-converted-space"/>
          <w:rFonts w:ascii="Arial" w:hAnsi="Arial" w:cs="Arial"/>
          <w:color w:val="000000"/>
        </w:rPr>
        <w:t> </w:t>
      </w:r>
      <w:bookmarkStart w:id="1" w:name="hit1"/>
      <w:r w:rsidRPr="00DE4973">
        <w:rPr>
          <w:rStyle w:val="apple-converted-space"/>
          <w:rFonts w:ascii="Arial" w:hAnsi="Arial" w:cs="Arial"/>
          <w:color w:val="000000"/>
        </w:rPr>
        <w:t>(</w:t>
      </w:r>
      <w:r w:rsidRPr="00DE4973">
        <w:rPr>
          <w:rStyle w:val="apple-converted-space"/>
          <w:rFonts w:ascii="Arial" w:hAnsi="Arial" w:cs="Arial"/>
        </w:rPr>
        <w:t xml:space="preserve">2006) </w:t>
      </w:r>
      <w:r w:rsidRPr="00DE4973">
        <w:rPr>
          <w:rStyle w:val="apple-style-span"/>
          <w:rFonts w:ascii="Arial" w:hAnsi="Arial" w:cs="Arial"/>
        </w:rPr>
        <w:t>111</w:t>
      </w:r>
      <w:bookmarkEnd w:id="1"/>
      <w:r w:rsidRPr="00DE4973">
        <w:rPr>
          <w:rStyle w:val="apple-converted-space"/>
          <w:rFonts w:ascii="Arial" w:hAnsi="Arial" w:cs="Arial"/>
        </w:rPr>
        <w:t> </w:t>
      </w:r>
      <w:bookmarkStart w:id="2" w:name="hit2"/>
      <w:r w:rsidRPr="00DE4973">
        <w:rPr>
          <w:rStyle w:val="apple-style-span"/>
          <w:rFonts w:ascii="Arial" w:hAnsi="Arial" w:cs="Arial"/>
        </w:rPr>
        <w:t>Ohio</w:t>
      </w:r>
      <w:bookmarkStart w:id="3" w:name="hit3"/>
      <w:bookmarkEnd w:id="2"/>
      <w:r w:rsidRPr="00DE4973">
        <w:rPr>
          <w:rStyle w:val="apple-style-span"/>
          <w:rFonts w:ascii="Arial" w:hAnsi="Arial" w:cs="Arial"/>
        </w:rPr>
        <w:t>St</w:t>
      </w:r>
      <w:bookmarkEnd w:id="3"/>
      <w:r w:rsidRPr="00DE4973">
        <w:rPr>
          <w:rStyle w:val="apple-style-span"/>
          <w:rFonts w:ascii="Arial" w:hAnsi="Arial" w:cs="Arial"/>
        </w:rPr>
        <w:t>.</w:t>
      </w:r>
      <w:bookmarkStart w:id="4" w:name="hit4"/>
      <w:r w:rsidRPr="00DE4973">
        <w:rPr>
          <w:rStyle w:val="apple-style-span"/>
          <w:rFonts w:ascii="Arial" w:hAnsi="Arial" w:cs="Arial"/>
        </w:rPr>
        <w:t>3d</w:t>
      </w:r>
      <w:bookmarkEnd w:id="4"/>
      <w:r w:rsidRPr="00DE4973">
        <w:rPr>
          <w:rStyle w:val="apple-converted-space"/>
          <w:rFonts w:ascii="Arial" w:hAnsi="Arial" w:cs="Arial"/>
        </w:rPr>
        <w:t> </w:t>
      </w:r>
      <w:bookmarkStart w:id="5" w:name="hit5"/>
      <w:r w:rsidRPr="00DE4973">
        <w:rPr>
          <w:rStyle w:val="apple-style-span"/>
          <w:rFonts w:ascii="Arial" w:hAnsi="Arial" w:cs="Arial"/>
        </w:rPr>
        <w:t>384</w:t>
      </w:r>
      <w:bookmarkEnd w:id="5"/>
      <w:r w:rsidRPr="00DE4973">
        <w:rPr>
          <w:rStyle w:val="apple-style-span"/>
          <w:rFonts w:ascii="Arial" w:hAnsi="Arial" w:cs="Arial"/>
        </w:rPr>
        <w:t>,</w:t>
      </w:r>
      <w:r w:rsidRPr="00DE4973">
        <w:rPr>
          <w:rStyle w:val="apple-converted-space"/>
          <w:rFonts w:ascii="Arial" w:hAnsi="Arial" w:cs="Arial"/>
        </w:rPr>
        <w:t> </w:t>
      </w:r>
      <w:r w:rsidRPr="00DE4973">
        <w:rPr>
          <w:rStyle w:val="apple-style-span"/>
          <w:rFonts w:ascii="Arial" w:hAnsi="Arial" w:cs="Arial"/>
        </w:rPr>
        <w:t>388.</w:t>
      </w:r>
      <w:proofErr w:type="gramEnd"/>
      <w:r w:rsidRPr="00DE4973">
        <w:rPr>
          <w:rFonts w:ascii="Arial" w:hAnsi="Arial" w:cs="Arial"/>
        </w:rPr>
        <w:t xml:space="preserve"> </w:t>
      </w:r>
    </w:p>
  </w:footnote>
  <w:footnote w:id="6">
    <w:p w14:paraId="6B6A64D3" w14:textId="4F11F2EB" w:rsidR="00011E6A" w:rsidRPr="00011E6A" w:rsidRDefault="00011E6A" w:rsidP="00AE558B">
      <w:pPr>
        <w:pStyle w:val="FootnoteText"/>
        <w:jc w:val="both"/>
        <w:rPr>
          <w:rFonts w:ascii="Arial" w:hAnsi="Arial" w:cs="Arial"/>
        </w:rPr>
      </w:pPr>
      <w:r w:rsidRPr="00011E6A">
        <w:rPr>
          <w:rStyle w:val="FootnoteReference"/>
          <w:rFonts w:ascii="Arial" w:hAnsi="Arial" w:cs="Arial"/>
        </w:rPr>
        <w:footnoteRef/>
      </w:r>
      <w:r w:rsidRPr="00011E6A">
        <w:rPr>
          <w:rFonts w:ascii="Arial" w:hAnsi="Arial" w:cs="Arial"/>
        </w:rPr>
        <w:t xml:space="preserve"> </w:t>
      </w:r>
      <w:r w:rsidRPr="00011E6A">
        <w:rPr>
          <w:rFonts w:ascii="Arial" w:hAnsi="Arial" w:cs="Arial"/>
          <w:i/>
        </w:rPr>
        <w:t>In the Matter of the Application of Ohio Power Company and Columbus Southern Power Company for Authority to Merge and Related Approvals</w:t>
      </w:r>
      <w:r w:rsidRPr="00011E6A">
        <w:rPr>
          <w:rFonts w:ascii="Arial" w:hAnsi="Arial" w:cs="Arial"/>
        </w:rPr>
        <w:t xml:space="preserve">, Case Nos. 11-346-EL-SSO, </w:t>
      </w:r>
      <w:r w:rsidRPr="00011E6A">
        <w:rPr>
          <w:rFonts w:ascii="Arial" w:hAnsi="Arial" w:cs="Arial"/>
          <w:i/>
        </w:rPr>
        <w:t>et al.</w:t>
      </w:r>
      <w:r w:rsidRPr="00011E6A">
        <w:rPr>
          <w:rFonts w:ascii="Arial" w:hAnsi="Arial" w:cs="Arial"/>
        </w:rPr>
        <w:t>, Entry at 4-5 (Sep. 16, 2011)</w:t>
      </w:r>
      <w:r w:rsidR="00AD1178">
        <w:rPr>
          <w:rFonts w:ascii="Arial" w:hAnsi="Arial" w:cs="Arial"/>
        </w:rPr>
        <w:t xml:space="preserve"> (hereinafter “</w:t>
      </w:r>
      <w:r w:rsidR="00AD1178">
        <w:rPr>
          <w:rFonts w:ascii="Arial" w:hAnsi="Arial" w:cs="Arial"/>
          <w:i/>
        </w:rPr>
        <w:t>AEP ESP Case</w:t>
      </w:r>
      <w:r w:rsidR="00AD1178">
        <w:rPr>
          <w:rFonts w:ascii="Arial" w:hAnsi="Arial" w:cs="Arial"/>
        </w:rPr>
        <w:t>”)</w:t>
      </w:r>
      <w:r w:rsidRPr="00011E6A">
        <w:rPr>
          <w:rFonts w:ascii="Arial" w:hAnsi="Arial" w:cs="Arial"/>
        </w:rPr>
        <w:t>.</w:t>
      </w:r>
    </w:p>
  </w:footnote>
  <w:footnote w:id="7">
    <w:p w14:paraId="342415ED" w14:textId="41D64461" w:rsidR="00AD1178" w:rsidRPr="00AD1178" w:rsidRDefault="00AD1178" w:rsidP="00AD1178">
      <w:pPr>
        <w:pStyle w:val="FootnoteText"/>
        <w:jc w:val="both"/>
        <w:rPr>
          <w:rFonts w:ascii="Arial" w:hAnsi="Arial" w:cs="Arial"/>
        </w:rPr>
      </w:pPr>
      <w:r w:rsidRPr="00AD1178">
        <w:rPr>
          <w:rStyle w:val="FootnoteReference"/>
          <w:rFonts w:ascii="Arial" w:hAnsi="Arial" w:cs="Arial"/>
        </w:rPr>
        <w:footnoteRef/>
      </w:r>
      <w:r w:rsidRPr="00AD1178">
        <w:rPr>
          <w:rFonts w:ascii="Arial" w:hAnsi="Arial" w:cs="Arial"/>
        </w:rPr>
        <w:t xml:space="preserve"> </w:t>
      </w:r>
      <w:r w:rsidRPr="00AD1178">
        <w:rPr>
          <w:rFonts w:ascii="Arial" w:hAnsi="Arial" w:cs="Arial"/>
          <w:i/>
        </w:rPr>
        <w:t>In the Matter of the Long-Term Forecast Report of Columbia Gas of Ohio, Inc. and Related Matters</w:t>
      </w:r>
      <w:r w:rsidRPr="00AD1178">
        <w:rPr>
          <w:rFonts w:ascii="Arial" w:hAnsi="Arial" w:cs="Arial"/>
        </w:rPr>
        <w:t xml:space="preserve">, Case Nos. 02-121-GA-FOR, </w:t>
      </w:r>
      <w:r w:rsidRPr="00AD1178">
        <w:rPr>
          <w:rFonts w:ascii="Arial" w:hAnsi="Arial" w:cs="Arial"/>
          <w:i/>
        </w:rPr>
        <w:t>et al.</w:t>
      </w:r>
      <w:r w:rsidRPr="00AD1178">
        <w:rPr>
          <w:rFonts w:ascii="Arial" w:hAnsi="Arial" w:cs="Arial"/>
        </w:rPr>
        <w:t>, Entry at 1 (Feb. 21, 2003)</w:t>
      </w:r>
    </w:p>
  </w:footnote>
  <w:footnote w:id="8">
    <w:p w14:paraId="3B996B49" w14:textId="0AF7BF22" w:rsidR="00AD1178" w:rsidRPr="00AD1178" w:rsidRDefault="00AD1178" w:rsidP="00AD1178">
      <w:pPr>
        <w:pStyle w:val="FootnoteText"/>
        <w:jc w:val="both"/>
        <w:rPr>
          <w:rFonts w:ascii="Arial" w:hAnsi="Arial" w:cs="Arial"/>
        </w:rPr>
      </w:pPr>
      <w:r w:rsidRPr="00AD1178">
        <w:rPr>
          <w:rStyle w:val="FootnoteReference"/>
          <w:rFonts w:ascii="Arial" w:hAnsi="Arial" w:cs="Arial"/>
        </w:rPr>
        <w:footnoteRef/>
      </w:r>
      <w:r w:rsidRPr="00AD1178">
        <w:rPr>
          <w:rFonts w:ascii="Arial" w:hAnsi="Arial" w:cs="Arial"/>
        </w:rPr>
        <w:t xml:space="preserve"> </w:t>
      </w:r>
      <w:r w:rsidRPr="00AD1178">
        <w:rPr>
          <w:rFonts w:ascii="Arial" w:hAnsi="Arial" w:cs="Arial"/>
          <w:i/>
        </w:rPr>
        <w:t>AEP ESP Case</w:t>
      </w:r>
      <w:r w:rsidRPr="00AD1178">
        <w:rPr>
          <w:rFonts w:ascii="Arial" w:hAnsi="Arial" w:cs="Arial"/>
        </w:rPr>
        <w:t xml:space="preserve">, Entry at 4-5 (Sep. 16, 2011); </w:t>
      </w:r>
      <w:r w:rsidRPr="00AD1178">
        <w:rPr>
          <w:rFonts w:ascii="Arial" w:hAnsi="Arial" w:cs="Arial"/>
          <w:i/>
        </w:rPr>
        <w:t xml:space="preserve">see also In the Matter of the Application of Ohio Power Company for Approval of a Special Contract Arrangement with </w:t>
      </w:r>
      <w:proofErr w:type="spellStart"/>
      <w:r w:rsidRPr="00AD1178">
        <w:rPr>
          <w:rFonts w:ascii="Arial" w:hAnsi="Arial" w:cs="Arial"/>
          <w:i/>
        </w:rPr>
        <w:t>Ormet</w:t>
      </w:r>
      <w:proofErr w:type="spellEnd"/>
      <w:r w:rsidRPr="00AD1178">
        <w:rPr>
          <w:rFonts w:ascii="Arial" w:hAnsi="Arial" w:cs="Arial"/>
          <w:i/>
        </w:rPr>
        <w:t xml:space="preserve"> Primary Aluminum Corporation</w:t>
      </w:r>
      <w:r w:rsidRPr="00AD1178">
        <w:rPr>
          <w:rFonts w:ascii="Arial" w:hAnsi="Arial" w:cs="Arial"/>
        </w:rPr>
        <w:t>,</w:t>
      </w:r>
      <w:r w:rsidRPr="00AD1178">
        <w:rPr>
          <w:rFonts w:ascii="Arial" w:hAnsi="Arial" w:cs="Arial"/>
          <w:i/>
        </w:rPr>
        <w:t xml:space="preserve"> </w:t>
      </w:r>
      <w:r w:rsidRPr="00AD1178">
        <w:rPr>
          <w:rFonts w:ascii="Arial" w:hAnsi="Arial" w:cs="Arial"/>
        </w:rPr>
        <w:t>Case No</w:t>
      </w:r>
      <w:r w:rsidR="009C531F">
        <w:rPr>
          <w:rFonts w:ascii="Arial" w:hAnsi="Arial" w:cs="Arial"/>
        </w:rPr>
        <w:t>s</w:t>
      </w:r>
      <w:r w:rsidRPr="00AD1178">
        <w:rPr>
          <w:rFonts w:ascii="Arial" w:hAnsi="Arial" w:cs="Arial"/>
        </w:rPr>
        <w:t xml:space="preserve">. 96-999-EL-AEC, </w:t>
      </w:r>
      <w:r w:rsidRPr="00AD1178">
        <w:rPr>
          <w:rFonts w:ascii="Arial" w:hAnsi="Arial" w:cs="Arial"/>
          <w:i/>
        </w:rPr>
        <w:t>et al.</w:t>
      </w:r>
      <w:r w:rsidRPr="00AD1178">
        <w:rPr>
          <w:rFonts w:ascii="Arial" w:hAnsi="Arial" w:cs="Arial"/>
        </w:rPr>
        <w:t>, Entry at 3 (Dec. 23,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5455" w14:textId="77777777" w:rsidR="00D223D6" w:rsidRDefault="00D22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C8FFF" w14:textId="77777777" w:rsidR="00D223D6" w:rsidRDefault="00D22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D330" w14:textId="77777777" w:rsidR="0098338B" w:rsidRDefault="0098338B">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14CA8"/>
    <w:multiLevelType w:val="hybridMultilevel"/>
    <w:tmpl w:val="2A4A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6107E5"/>
    <w:multiLevelType w:val="hybridMultilevel"/>
    <w:tmpl w:val="FF8EA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F5136"/>
    <w:multiLevelType w:val="hybridMultilevel"/>
    <w:tmpl w:val="726E50E8"/>
    <w:lvl w:ilvl="0" w:tplc="62BE8B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07CDE"/>
    <w:multiLevelType w:val="hybridMultilevel"/>
    <w:tmpl w:val="B268B3E4"/>
    <w:lvl w:ilvl="0" w:tplc="3ED61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5"/>
  </w:num>
  <w:num w:numId="5">
    <w:abstractNumId w:val="2"/>
  </w:num>
  <w:num w:numId="6">
    <w:abstractNumId w:val="6"/>
  </w:num>
  <w:num w:numId="7">
    <w:abstractNumId w:val="1"/>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2FF7"/>
    <w:rsid w:val="00004E6B"/>
    <w:rsid w:val="00011E6A"/>
    <w:rsid w:val="000258F0"/>
    <w:rsid w:val="00054020"/>
    <w:rsid w:val="00066F87"/>
    <w:rsid w:val="00072993"/>
    <w:rsid w:val="00083A30"/>
    <w:rsid w:val="000943F2"/>
    <w:rsid w:val="000A0F85"/>
    <w:rsid w:val="000B223F"/>
    <w:rsid w:val="000E4162"/>
    <w:rsid w:val="000E7DA7"/>
    <w:rsid w:val="001144C4"/>
    <w:rsid w:val="00121836"/>
    <w:rsid w:val="00125114"/>
    <w:rsid w:val="001502B7"/>
    <w:rsid w:val="00155B5A"/>
    <w:rsid w:val="001600F8"/>
    <w:rsid w:val="001620D6"/>
    <w:rsid w:val="001F3F95"/>
    <w:rsid w:val="00214C99"/>
    <w:rsid w:val="00231B62"/>
    <w:rsid w:val="00237730"/>
    <w:rsid w:val="0023794B"/>
    <w:rsid w:val="0024585D"/>
    <w:rsid w:val="002547B7"/>
    <w:rsid w:val="0026046D"/>
    <w:rsid w:val="0026383E"/>
    <w:rsid w:val="002B2908"/>
    <w:rsid w:val="002B3414"/>
    <w:rsid w:val="002E7401"/>
    <w:rsid w:val="002F05DC"/>
    <w:rsid w:val="002F1F49"/>
    <w:rsid w:val="00337E86"/>
    <w:rsid w:val="00355B90"/>
    <w:rsid w:val="00357C8B"/>
    <w:rsid w:val="003A51CC"/>
    <w:rsid w:val="003C4C78"/>
    <w:rsid w:val="003C60C6"/>
    <w:rsid w:val="003D01DA"/>
    <w:rsid w:val="003D212C"/>
    <w:rsid w:val="00413918"/>
    <w:rsid w:val="00422B4D"/>
    <w:rsid w:val="00433C9F"/>
    <w:rsid w:val="00457C5D"/>
    <w:rsid w:val="0046284D"/>
    <w:rsid w:val="00465A9F"/>
    <w:rsid w:val="00474257"/>
    <w:rsid w:val="00482B13"/>
    <w:rsid w:val="00483963"/>
    <w:rsid w:val="00492AD6"/>
    <w:rsid w:val="004A6C5B"/>
    <w:rsid w:val="004D04A6"/>
    <w:rsid w:val="00514223"/>
    <w:rsid w:val="0054417A"/>
    <w:rsid w:val="00545F29"/>
    <w:rsid w:val="00553A1C"/>
    <w:rsid w:val="00553D21"/>
    <w:rsid w:val="005544C0"/>
    <w:rsid w:val="0056270F"/>
    <w:rsid w:val="00567398"/>
    <w:rsid w:val="00584374"/>
    <w:rsid w:val="0058767D"/>
    <w:rsid w:val="00592F99"/>
    <w:rsid w:val="005B37CC"/>
    <w:rsid w:val="005B63F0"/>
    <w:rsid w:val="00600DCA"/>
    <w:rsid w:val="0060569E"/>
    <w:rsid w:val="00613140"/>
    <w:rsid w:val="006646D6"/>
    <w:rsid w:val="00666E20"/>
    <w:rsid w:val="006B49E9"/>
    <w:rsid w:val="006D522F"/>
    <w:rsid w:val="006E3615"/>
    <w:rsid w:val="006E4C4D"/>
    <w:rsid w:val="006E6E5E"/>
    <w:rsid w:val="006E6F71"/>
    <w:rsid w:val="006F0C37"/>
    <w:rsid w:val="007037BE"/>
    <w:rsid w:val="00722C62"/>
    <w:rsid w:val="0074333C"/>
    <w:rsid w:val="007816CB"/>
    <w:rsid w:val="007A2BF3"/>
    <w:rsid w:val="007A3068"/>
    <w:rsid w:val="007B3399"/>
    <w:rsid w:val="007C76EB"/>
    <w:rsid w:val="007C7BAC"/>
    <w:rsid w:val="007D2210"/>
    <w:rsid w:val="007E3A27"/>
    <w:rsid w:val="00813BFB"/>
    <w:rsid w:val="0082224E"/>
    <w:rsid w:val="0082422E"/>
    <w:rsid w:val="0087376E"/>
    <w:rsid w:val="008858B9"/>
    <w:rsid w:val="008A07B0"/>
    <w:rsid w:val="008A323D"/>
    <w:rsid w:val="00921E1B"/>
    <w:rsid w:val="00955F86"/>
    <w:rsid w:val="00964060"/>
    <w:rsid w:val="00972956"/>
    <w:rsid w:val="00976CF5"/>
    <w:rsid w:val="0098338B"/>
    <w:rsid w:val="0098755F"/>
    <w:rsid w:val="009B1592"/>
    <w:rsid w:val="009C531F"/>
    <w:rsid w:val="009D5434"/>
    <w:rsid w:val="009D6A78"/>
    <w:rsid w:val="009D71F6"/>
    <w:rsid w:val="009E6B7A"/>
    <w:rsid w:val="009F4632"/>
    <w:rsid w:val="009F6674"/>
    <w:rsid w:val="00A71613"/>
    <w:rsid w:val="00A71E20"/>
    <w:rsid w:val="00A74926"/>
    <w:rsid w:val="00A87022"/>
    <w:rsid w:val="00A940AD"/>
    <w:rsid w:val="00AA75B4"/>
    <w:rsid w:val="00AD1178"/>
    <w:rsid w:val="00AD24A7"/>
    <w:rsid w:val="00AD5E1E"/>
    <w:rsid w:val="00AE04D1"/>
    <w:rsid w:val="00AE558B"/>
    <w:rsid w:val="00B03255"/>
    <w:rsid w:val="00B2379B"/>
    <w:rsid w:val="00B270B3"/>
    <w:rsid w:val="00B31134"/>
    <w:rsid w:val="00B43AC5"/>
    <w:rsid w:val="00B92A76"/>
    <w:rsid w:val="00BB03FA"/>
    <w:rsid w:val="00BE3AD1"/>
    <w:rsid w:val="00BF64D4"/>
    <w:rsid w:val="00C20F96"/>
    <w:rsid w:val="00C73923"/>
    <w:rsid w:val="00C8369A"/>
    <w:rsid w:val="00C84BD1"/>
    <w:rsid w:val="00CD1E5A"/>
    <w:rsid w:val="00CE1727"/>
    <w:rsid w:val="00D13280"/>
    <w:rsid w:val="00D223D6"/>
    <w:rsid w:val="00D25E3C"/>
    <w:rsid w:val="00D35EFF"/>
    <w:rsid w:val="00D438F2"/>
    <w:rsid w:val="00D472D4"/>
    <w:rsid w:val="00D57E21"/>
    <w:rsid w:val="00D62729"/>
    <w:rsid w:val="00D91E52"/>
    <w:rsid w:val="00DB4110"/>
    <w:rsid w:val="00DC1001"/>
    <w:rsid w:val="00DE4973"/>
    <w:rsid w:val="00DF0186"/>
    <w:rsid w:val="00DF0BE3"/>
    <w:rsid w:val="00E07EBE"/>
    <w:rsid w:val="00E27648"/>
    <w:rsid w:val="00E37B9B"/>
    <w:rsid w:val="00E45E23"/>
    <w:rsid w:val="00E822D7"/>
    <w:rsid w:val="00EA0C60"/>
    <w:rsid w:val="00EB67DF"/>
    <w:rsid w:val="00EC1558"/>
    <w:rsid w:val="00EE7F58"/>
    <w:rsid w:val="00EF5830"/>
    <w:rsid w:val="00F10F9B"/>
    <w:rsid w:val="00F111C7"/>
    <w:rsid w:val="00F1629C"/>
    <w:rsid w:val="00F50D2C"/>
    <w:rsid w:val="00F5720A"/>
    <w:rsid w:val="00F611C0"/>
    <w:rsid w:val="00FA4A29"/>
    <w:rsid w:val="00FB5FAF"/>
    <w:rsid w:val="00FC7E4D"/>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y.Spiller@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846D-4666-4694-9597-1D67699A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2015-02-05T20:50:00Z</dcterms:created>
  <dcterms:modified xsi:type="dcterms:W3CDTF">2015-02-05T21:59:00Z</dcterms:modified>
</cp:coreProperties>
</file>