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7F336" w14:textId="77777777" w:rsidR="007C48A1" w:rsidRPr="00561663" w:rsidRDefault="007C48A1" w:rsidP="007C48A1">
      <w:pPr>
        <w:pStyle w:val="Title"/>
        <w:widowControl w:val="0"/>
        <w:rPr>
          <w:rFonts w:ascii="Arial" w:hAnsi="Arial" w:cs="Arial"/>
          <w:szCs w:val="24"/>
        </w:rPr>
      </w:pPr>
      <w:r w:rsidRPr="00561663">
        <w:rPr>
          <w:rFonts w:ascii="Arial" w:hAnsi="Arial" w:cs="Arial"/>
          <w:szCs w:val="24"/>
        </w:rPr>
        <w:t>BEFORE</w:t>
      </w:r>
    </w:p>
    <w:p w14:paraId="7A3A5457" w14:textId="77777777" w:rsidR="007C48A1" w:rsidRPr="00646AB2" w:rsidRDefault="007C48A1" w:rsidP="007C48A1">
      <w:pPr>
        <w:widowControl w:val="0"/>
        <w:jc w:val="center"/>
        <w:rPr>
          <w:b/>
          <w:sz w:val="24"/>
          <w:szCs w:val="24"/>
        </w:rPr>
      </w:pPr>
      <w:r w:rsidRPr="00561663">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7C48A1" w:rsidRPr="00561663" w14:paraId="7908BE0F" w14:textId="77777777" w:rsidTr="005E0176">
        <w:trPr>
          <w:trHeight w:val="1359"/>
          <w:jc w:val="center"/>
        </w:trPr>
        <w:tc>
          <w:tcPr>
            <w:tcW w:w="4739" w:type="dxa"/>
          </w:tcPr>
          <w:p w14:paraId="2B4236C7" w14:textId="77777777" w:rsidR="004B7243" w:rsidRPr="00114B47" w:rsidRDefault="00CF3F3B" w:rsidP="001E1681">
            <w:pPr>
              <w:spacing w:after="0" w:line="240" w:lineRule="auto"/>
              <w:rPr>
                <w:sz w:val="24"/>
                <w:szCs w:val="24"/>
              </w:rPr>
            </w:pPr>
            <w:r w:rsidRPr="00114B47">
              <w:rPr>
                <w:sz w:val="24"/>
                <w:szCs w:val="24"/>
              </w:rPr>
              <w:t xml:space="preserve">In the Matter of the </w:t>
            </w:r>
            <w:r w:rsidR="001E1681">
              <w:rPr>
                <w:sz w:val="24"/>
                <w:szCs w:val="24"/>
              </w:rPr>
              <w:t>2018 Long-Term Forecast Report of Ohio Power Company and Related Matters.</w:t>
            </w:r>
          </w:p>
          <w:p w14:paraId="672A6659" w14:textId="77777777" w:rsidR="00CF3F3B" w:rsidRPr="00114B47" w:rsidRDefault="00CF3F3B" w:rsidP="00CF3F3B">
            <w:pPr>
              <w:spacing w:after="0" w:line="240" w:lineRule="auto"/>
              <w:rPr>
                <w:sz w:val="24"/>
                <w:szCs w:val="24"/>
              </w:rPr>
            </w:pPr>
          </w:p>
          <w:p w14:paraId="0E96D060" w14:textId="77777777" w:rsidR="001E1681" w:rsidRDefault="001E1681" w:rsidP="001E1681">
            <w:pPr>
              <w:spacing w:after="0" w:line="240" w:lineRule="auto"/>
              <w:rPr>
                <w:sz w:val="24"/>
                <w:szCs w:val="24"/>
              </w:rPr>
            </w:pPr>
            <w:r w:rsidRPr="005E7F59">
              <w:rPr>
                <w:sz w:val="24"/>
                <w:szCs w:val="24"/>
              </w:rPr>
              <w:t>I</w:t>
            </w:r>
            <w:r>
              <w:rPr>
                <w:sz w:val="24"/>
                <w:szCs w:val="24"/>
              </w:rPr>
              <w:t>n the Matter of the Application of Ohio Power Company for Approval to Enter into Renewable Energy Purchase Agreements for Inclusion in the Renewable Generation</w:t>
            </w:r>
            <w:r w:rsidRPr="005E7F59">
              <w:rPr>
                <w:sz w:val="24"/>
                <w:szCs w:val="24"/>
              </w:rPr>
              <w:t xml:space="preserve"> Rider.</w:t>
            </w:r>
          </w:p>
          <w:p w14:paraId="0A37501D" w14:textId="77777777" w:rsidR="00975CC3" w:rsidRDefault="00975CC3" w:rsidP="00CF3F3B">
            <w:pPr>
              <w:spacing w:after="0" w:line="240" w:lineRule="auto"/>
              <w:rPr>
                <w:sz w:val="24"/>
                <w:szCs w:val="24"/>
              </w:rPr>
            </w:pPr>
          </w:p>
          <w:p w14:paraId="61A60C31" w14:textId="77777777" w:rsidR="001E1681" w:rsidRPr="005E7F59" w:rsidRDefault="001E1681" w:rsidP="001E1681">
            <w:pPr>
              <w:spacing w:after="0" w:line="240" w:lineRule="auto"/>
              <w:rPr>
                <w:sz w:val="24"/>
                <w:szCs w:val="24"/>
              </w:rPr>
            </w:pPr>
            <w:r w:rsidRPr="005E7F59">
              <w:rPr>
                <w:sz w:val="24"/>
                <w:szCs w:val="24"/>
              </w:rPr>
              <w:t>In the Matter of the Application of Ohio</w:t>
            </w:r>
          </w:p>
          <w:p w14:paraId="422AA6D3" w14:textId="77777777" w:rsidR="00605509" w:rsidRPr="00561663" w:rsidRDefault="001E1681" w:rsidP="00CF3F3B">
            <w:pPr>
              <w:spacing w:after="0" w:line="240" w:lineRule="auto"/>
              <w:rPr>
                <w:sz w:val="24"/>
                <w:szCs w:val="24"/>
              </w:rPr>
            </w:pPr>
            <w:r>
              <w:rPr>
                <w:sz w:val="24"/>
                <w:szCs w:val="24"/>
              </w:rPr>
              <w:t>Power Company for Approval to</w:t>
            </w:r>
            <w:r w:rsidRPr="005E7F59">
              <w:rPr>
                <w:sz w:val="24"/>
                <w:szCs w:val="24"/>
              </w:rPr>
              <w:t xml:space="preserve"> Amend its Tariffs.</w:t>
            </w:r>
          </w:p>
        </w:tc>
        <w:tc>
          <w:tcPr>
            <w:tcW w:w="630" w:type="dxa"/>
          </w:tcPr>
          <w:p w14:paraId="2CEAEE8A"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47337C0F"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42465816" w14:textId="77777777" w:rsidR="007C48A1" w:rsidRPr="00561663" w:rsidRDefault="007C48A1" w:rsidP="005E0176">
            <w:pPr>
              <w:widowControl w:val="0"/>
              <w:spacing w:after="0" w:line="240" w:lineRule="auto"/>
              <w:jc w:val="center"/>
              <w:rPr>
                <w:sz w:val="24"/>
                <w:szCs w:val="24"/>
              </w:rPr>
            </w:pPr>
            <w:r w:rsidRPr="00561663">
              <w:rPr>
                <w:sz w:val="24"/>
                <w:szCs w:val="24"/>
              </w:rPr>
              <w:t>)</w:t>
            </w:r>
          </w:p>
          <w:p w14:paraId="5DAB6C7B" w14:textId="77777777" w:rsidR="004B7243" w:rsidRDefault="004B7243" w:rsidP="001E1681">
            <w:pPr>
              <w:widowControl w:val="0"/>
              <w:spacing w:after="0" w:line="240" w:lineRule="auto"/>
              <w:jc w:val="center"/>
              <w:rPr>
                <w:sz w:val="24"/>
                <w:szCs w:val="24"/>
              </w:rPr>
            </w:pPr>
          </w:p>
          <w:p w14:paraId="66F6B82B"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6FCB2152"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01228B3"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3FFE75BF"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9E72294"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02EB378F" w14:textId="77777777" w:rsidR="001E1681" w:rsidRDefault="001E1681" w:rsidP="001E1681">
            <w:pPr>
              <w:widowControl w:val="0"/>
              <w:spacing w:after="0" w:line="240" w:lineRule="auto"/>
              <w:jc w:val="center"/>
              <w:rPr>
                <w:sz w:val="24"/>
                <w:szCs w:val="24"/>
              </w:rPr>
            </w:pPr>
          </w:p>
          <w:p w14:paraId="3CF3AAEE"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58C53964"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28B60AE9" w14:textId="77777777" w:rsidR="001E1681" w:rsidRPr="00561663" w:rsidRDefault="001E1681" w:rsidP="001E1681">
            <w:pPr>
              <w:widowControl w:val="0"/>
              <w:spacing w:after="0" w:line="240" w:lineRule="auto"/>
              <w:jc w:val="center"/>
              <w:rPr>
                <w:sz w:val="24"/>
                <w:szCs w:val="24"/>
              </w:rPr>
            </w:pPr>
            <w:r w:rsidRPr="00561663">
              <w:rPr>
                <w:sz w:val="24"/>
                <w:szCs w:val="24"/>
              </w:rPr>
              <w:t>)</w:t>
            </w:r>
          </w:p>
          <w:p w14:paraId="6A05A809" w14:textId="77777777" w:rsidR="001E1681" w:rsidRPr="00561663" w:rsidRDefault="001E1681" w:rsidP="001E1681">
            <w:pPr>
              <w:widowControl w:val="0"/>
              <w:spacing w:after="0" w:line="240" w:lineRule="auto"/>
              <w:jc w:val="center"/>
              <w:rPr>
                <w:sz w:val="24"/>
                <w:szCs w:val="24"/>
              </w:rPr>
            </w:pPr>
          </w:p>
        </w:tc>
        <w:tc>
          <w:tcPr>
            <w:tcW w:w="3928" w:type="dxa"/>
          </w:tcPr>
          <w:p w14:paraId="5A39BBE3" w14:textId="77777777" w:rsidR="007C48A1" w:rsidRDefault="007C48A1" w:rsidP="005E0176">
            <w:pPr>
              <w:widowControl w:val="0"/>
              <w:spacing w:after="0" w:line="240" w:lineRule="auto"/>
              <w:rPr>
                <w:sz w:val="24"/>
                <w:szCs w:val="24"/>
              </w:rPr>
            </w:pPr>
          </w:p>
          <w:p w14:paraId="3B8209F9" w14:textId="77777777" w:rsidR="001E1681" w:rsidRPr="00561663" w:rsidRDefault="001E1681" w:rsidP="005E0176">
            <w:pPr>
              <w:widowControl w:val="0"/>
              <w:spacing w:after="0" w:line="240" w:lineRule="auto"/>
              <w:rPr>
                <w:sz w:val="24"/>
                <w:szCs w:val="24"/>
              </w:rPr>
            </w:pPr>
            <w:r>
              <w:rPr>
                <w:sz w:val="24"/>
                <w:szCs w:val="24"/>
              </w:rPr>
              <w:t>Case No. 18-501-EL-FOR</w:t>
            </w:r>
          </w:p>
          <w:p w14:paraId="41C8F396" w14:textId="77777777" w:rsidR="00114B47" w:rsidRDefault="00114B47" w:rsidP="00605509">
            <w:pPr>
              <w:widowControl w:val="0"/>
              <w:spacing w:after="0" w:line="240" w:lineRule="auto"/>
              <w:rPr>
                <w:sz w:val="24"/>
                <w:szCs w:val="24"/>
              </w:rPr>
            </w:pPr>
          </w:p>
          <w:p w14:paraId="72A3D3EC" w14:textId="77777777" w:rsidR="00975CC3" w:rsidRDefault="00975CC3" w:rsidP="00605509">
            <w:pPr>
              <w:widowControl w:val="0"/>
              <w:spacing w:after="0" w:line="240" w:lineRule="auto"/>
              <w:rPr>
                <w:sz w:val="24"/>
                <w:szCs w:val="24"/>
              </w:rPr>
            </w:pPr>
          </w:p>
          <w:p w14:paraId="0D0B940D" w14:textId="77777777" w:rsidR="00605509" w:rsidRDefault="00605509" w:rsidP="001E1681">
            <w:pPr>
              <w:widowControl w:val="0"/>
              <w:spacing w:after="0" w:line="240" w:lineRule="auto"/>
              <w:rPr>
                <w:sz w:val="24"/>
                <w:szCs w:val="24"/>
              </w:rPr>
            </w:pPr>
          </w:p>
          <w:p w14:paraId="0E27B00A" w14:textId="77777777" w:rsidR="001E1681" w:rsidRDefault="001E1681" w:rsidP="001E1681">
            <w:pPr>
              <w:widowControl w:val="0"/>
              <w:spacing w:after="0" w:line="240" w:lineRule="auto"/>
              <w:rPr>
                <w:sz w:val="24"/>
                <w:szCs w:val="24"/>
              </w:rPr>
            </w:pPr>
          </w:p>
          <w:p w14:paraId="5A0B5A35" w14:textId="77777777" w:rsidR="001E1681" w:rsidRDefault="001E1681" w:rsidP="001E1681">
            <w:pPr>
              <w:widowControl w:val="0"/>
              <w:spacing w:after="0" w:line="240" w:lineRule="auto"/>
              <w:rPr>
                <w:sz w:val="24"/>
                <w:szCs w:val="24"/>
              </w:rPr>
            </w:pPr>
            <w:r>
              <w:rPr>
                <w:sz w:val="24"/>
                <w:szCs w:val="24"/>
              </w:rPr>
              <w:t>Case No. 18-1392-EL-RDR</w:t>
            </w:r>
          </w:p>
          <w:p w14:paraId="60061E4C" w14:textId="77777777" w:rsidR="001E1681" w:rsidRDefault="001E1681" w:rsidP="001E1681">
            <w:pPr>
              <w:widowControl w:val="0"/>
              <w:spacing w:after="0" w:line="240" w:lineRule="auto"/>
              <w:rPr>
                <w:sz w:val="24"/>
                <w:szCs w:val="24"/>
              </w:rPr>
            </w:pPr>
          </w:p>
          <w:p w14:paraId="44EAFD9C" w14:textId="77777777" w:rsidR="001E1681" w:rsidRDefault="001E1681" w:rsidP="001E1681">
            <w:pPr>
              <w:widowControl w:val="0"/>
              <w:spacing w:after="0" w:line="240" w:lineRule="auto"/>
              <w:rPr>
                <w:sz w:val="24"/>
                <w:szCs w:val="24"/>
              </w:rPr>
            </w:pPr>
          </w:p>
          <w:p w14:paraId="4B94D5A5" w14:textId="77777777" w:rsidR="001E1681" w:rsidRDefault="001E1681" w:rsidP="001E1681">
            <w:pPr>
              <w:widowControl w:val="0"/>
              <w:spacing w:after="0" w:line="240" w:lineRule="auto"/>
              <w:rPr>
                <w:sz w:val="24"/>
                <w:szCs w:val="24"/>
              </w:rPr>
            </w:pPr>
          </w:p>
          <w:p w14:paraId="3DEEC669" w14:textId="77777777" w:rsidR="001E1681" w:rsidRDefault="001E1681" w:rsidP="001E1681">
            <w:pPr>
              <w:widowControl w:val="0"/>
              <w:spacing w:after="0" w:line="240" w:lineRule="auto"/>
              <w:rPr>
                <w:sz w:val="24"/>
                <w:szCs w:val="24"/>
              </w:rPr>
            </w:pPr>
          </w:p>
          <w:p w14:paraId="68E7E2E5" w14:textId="77777777" w:rsidR="001E1681" w:rsidRPr="00561663" w:rsidRDefault="001E1681" w:rsidP="001E1681">
            <w:pPr>
              <w:widowControl w:val="0"/>
              <w:spacing w:after="0" w:line="240" w:lineRule="auto"/>
              <w:rPr>
                <w:sz w:val="24"/>
                <w:szCs w:val="24"/>
              </w:rPr>
            </w:pPr>
            <w:r>
              <w:rPr>
                <w:sz w:val="24"/>
                <w:szCs w:val="24"/>
              </w:rPr>
              <w:t>Case No. 18-1393-EL-ATA</w:t>
            </w:r>
          </w:p>
        </w:tc>
      </w:tr>
    </w:tbl>
    <w:p w14:paraId="3656B9AB" w14:textId="77777777" w:rsidR="007C48A1" w:rsidRDefault="007C48A1" w:rsidP="007C48A1">
      <w:pPr>
        <w:widowControl w:val="0"/>
        <w:pBdr>
          <w:bottom w:val="single" w:sz="12" w:space="0" w:color="auto"/>
        </w:pBdr>
        <w:spacing w:after="0" w:line="240" w:lineRule="auto"/>
        <w:rPr>
          <w:sz w:val="24"/>
          <w:szCs w:val="24"/>
        </w:rPr>
      </w:pPr>
    </w:p>
    <w:p w14:paraId="45FB0818" w14:textId="77777777" w:rsidR="00342C03" w:rsidRPr="009D71F6" w:rsidRDefault="00342C03" w:rsidP="007C48A1">
      <w:pPr>
        <w:widowControl w:val="0"/>
        <w:pBdr>
          <w:bottom w:val="single" w:sz="12" w:space="0" w:color="auto"/>
        </w:pBdr>
        <w:spacing w:after="0" w:line="240" w:lineRule="auto"/>
        <w:rPr>
          <w:sz w:val="24"/>
          <w:szCs w:val="24"/>
        </w:rPr>
      </w:pPr>
    </w:p>
    <w:p w14:paraId="049F31CB" w14:textId="77777777" w:rsidR="007C48A1" w:rsidRPr="009D71F6" w:rsidRDefault="007C48A1" w:rsidP="007C48A1">
      <w:pPr>
        <w:widowControl w:val="0"/>
        <w:spacing w:after="0" w:line="240" w:lineRule="auto"/>
        <w:jc w:val="center"/>
        <w:rPr>
          <w:b/>
          <w:bCs/>
          <w:sz w:val="24"/>
          <w:szCs w:val="24"/>
        </w:rPr>
      </w:pPr>
    </w:p>
    <w:p w14:paraId="5BDEA6E1" w14:textId="5B8D99DB" w:rsidR="007C48A1" w:rsidRDefault="0074202F" w:rsidP="007C48A1">
      <w:pPr>
        <w:widowControl w:val="0"/>
        <w:pBdr>
          <w:bottom w:val="single" w:sz="12" w:space="1" w:color="auto"/>
        </w:pBdr>
        <w:tabs>
          <w:tab w:val="left" w:pos="6461"/>
        </w:tabs>
        <w:spacing w:after="0" w:line="240" w:lineRule="auto"/>
        <w:jc w:val="center"/>
        <w:rPr>
          <w:b/>
          <w:bCs/>
          <w:sz w:val="24"/>
          <w:szCs w:val="24"/>
        </w:rPr>
      </w:pPr>
      <w:r>
        <w:rPr>
          <w:b/>
          <w:bCs/>
          <w:sz w:val="24"/>
          <w:szCs w:val="24"/>
        </w:rPr>
        <w:t>REPLY</w:t>
      </w:r>
      <w:r w:rsidR="009802DD">
        <w:rPr>
          <w:b/>
          <w:bCs/>
          <w:sz w:val="24"/>
          <w:szCs w:val="24"/>
        </w:rPr>
        <w:t xml:space="preserve"> BRIEF OF </w:t>
      </w:r>
      <w:r w:rsidR="007C48A1">
        <w:rPr>
          <w:b/>
          <w:bCs/>
          <w:sz w:val="24"/>
          <w:szCs w:val="24"/>
        </w:rPr>
        <w:t>INT</w:t>
      </w:r>
      <w:r w:rsidR="002D3F9C">
        <w:rPr>
          <w:b/>
          <w:bCs/>
          <w:sz w:val="24"/>
          <w:szCs w:val="24"/>
        </w:rPr>
        <w:t>E</w:t>
      </w:r>
      <w:r w:rsidR="00605509">
        <w:rPr>
          <w:b/>
          <w:bCs/>
          <w:sz w:val="24"/>
          <w:szCs w:val="24"/>
        </w:rPr>
        <w:t>RSTATE GAS SUPPLY, INC.</w:t>
      </w:r>
      <w:r w:rsidR="002415A5">
        <w:rPr>
          <w:b/>
          <w:bCs/>
          <w:sz w:val="24"/>
          <w:szCs w:val="24"/>
        </w:rPr>
        <w:t xml:space="preserve"> AND IGS SOLAR, LLC</w:t>
      </w:r>
    </w:p>
    <w:p w14:paraId="53128261" w14:textId="77777777" w:rsidR="00E67F76" w:rsidRPr="009D71F6" w:rsidRDefault="00E67F76" w:rsidP="007C48A1">
      <w:pPr>
        <w:widowControl w:val="0"/>
        <w:pBdr>
          <w:bottom w:val="single" w:sz="12" w:space="1" w:color="auto"/>
        </w:pBdr>
        <w:tabs>
          <w:tab w:val="left" w:pos="6461"/>
        </w:tabs>
        <w:spacing w:after="0" w:line="240" w:lineRule="auto"/>
        <w:jc w:val="center"/>
        <w:rPr>
          <w:sz w:val="24"/>
          <w:szCs w:val="24"/>
        </w:rPr>
      </w:pPr>
    </w:p>
    <w:p w14:paraId="62486C05" w14:textId="77777777" w:rsidR="007C48A1" w:rsidRPr="009D71F6" w:rsidRDefault="007C48A1" w:rsidP="007C48A1">
      <w:pPr>
        <w:tabs>
          <w:tab w:val="left" w:pos="360"/>
        </w:tabs>
        <w:spacing w:after="0" w:line="240" w:lineRule="auto"/>
        <w:ind w:left="360" w:hanging="360"/>
        <w:jc w:val="both"/>
        <w:rPr>
          <w:sz w:val="24"/>
          <w:szCs w:val="24"/>
        </w:rPr>
      </w:pPr>
    </w:p>
    <w:p w14:paraId="4101652C" w14:textId="77777777" w:rsidR="007C48A1" w:rsidRDefault="007C48A1" w:rsidP="007C48A1">
      <w:pPr>
        <w:autoSpaceDE w:val="0"/>
        <w:autoSpaceDN w:val="0"/>
        <w:adjustRightInd w:val="0"/>
        <w:spacing w:after="120" w:line="480" w:lineRule="auto"/>
        <w:ind w:firstLine="720"/>
        <w:jc w:val="both"/>
        <w:rPr>
          <w:sz w:val="24"/>
          <w:szCs w:val="24"/>
        </w:rPr>
      </w:pPr>
    </w:p>
    <w:p w14:paraId="4B99056E" w14:textId="77777777" w:rsidR="007C48A1" w:rsidRDefault="007C48A1" w:rsidP="001E1681">
      <w:pPr>
        <w:spacing w:after="0" w:line="240" w:lineRule="auto"/>
        <w:rPr>
          <w:sz w:val="24"/>
          <w:szCs w:val="24"/>
        </w:rPr>
      </w:pPr>
    </w:p>
    <w:p w14:paraId="1299C43A" w14:textId="77777777" w:rsidR="001E1681" w:rsidRDefault="001E1681" w:rsidP="001E1681">
      <w:pPr>
        <w:spacing w:after="0" w:line="240" w:lineRule="auto"/>
        <w:rPr>
          <w:sz w:val="24"/>
          <w:szCs w:val="24"/>
        </w:rPr>
      </w:pPr>
    </w:p>
    <w:p w14:paraId="4DDBEF00" w14:textId="77777777" w:rsidR="001E1681" w:rsidRDefault="001E1681" w:rsidP="001E1681">
      <w:pPr>
        <w:spacing w:after="0" w:line="240" w:lineRule="auto"/>
        <w:rPr>
          <w:sz w:val="24"/>
          <w:szCs w:val="24"/>
        </w:rPr>
      </w:pPr>
    </w:p>
    <w:p w14:paraId="3461D779" w14:textId="77777777" w:rsidR="007C48A1" w:rsidRDefault="007C48A1" w:rsidP="007C48A1">
      <w:pPr>
        <w:spacing w:after="0" w:line="240" w:lineRule="auto"/>
        <w:ind w:left="5040"/>
        <w:rPr>
          <w:sz w:val="24"/>
          <w:szCs w:val="24"/>
        </w:rPr>
      </w:pPr>
    </w:p>
    <w:p w14:paraId="3CF2D8B6" w14:textId="77777777" w:rsidR="007C48A1" w:rsidRDefault="007C48A1" w:rsidP="007C48A1">
      <w:pPr>
        <w:spacing w:after="0" w:line="240" w:lineRule="auto"/>
        <w:ind w:left="5040"/>
        <w:rPr>
          <w:sz w:val="24"/>
          <w:szCs w:val="24"/>
        </w:rPr>
      </w:pPr>
    </w:p>
    <w:p w14:paraId="0FB78278" w14:textId="77777777" w:rsidR="007C48A1" w:rsidRDefault="007C48A1" w:rsidP="007C48A1">
      <w:pPr>
        <w:spacing w:after="0" w:line="240" w:lineRule="auto"/>
        <w:ind w:left="5040"/>
        <w:rPr>
          <w:sz w:val="24"/>
          <w:szCs w:val="24"/>
        </w:rPr>
      </w:pPr>
    </w:p>
    <w:p w14:paraId="1FC39945" w14:textId="77777777" w:rsidR="00497F39" w:rsidRDefault="00497F39" w:rsidP="00BD59B6">
      <w:pPr>
        <w:spacing w:after="0" w:line="240" w:lineRule="auto"/>
        <w:rPr>
          <w:sz w:val="24"/>
          <w:szCs w:val="24"/>
        </w:rPr>
      </w:pPr>
    </w:p>
    <w:p w14:paraId="225B3BCF" w14:textId="77777777" w:rsidR="007C48A1" w:rsidRPr="002E49D6" w:rsidRDefault="007C48A1" w:rsidP="007C48A1">
      <w:pPr>
        <w:spacing w:after="0" w:line="240" w:lineRule="auto"/>
        <w:ind w:left="5040"/>
        <w:rPr>
          <w:sz w:val="24"/>
          <w:szCs w:val="24"/>
        </w:rPr>
      </w:pPr>
      <w:r>
        <w:rPr>
          <w:sz w:val="24"/>
          <w:szCs w:val="24"/>
        </w:rPr>
        <w:t>J</w:t>
      </w:r>
      <w:r w:rsidRPr="002E49D6">
        <w:rPr>
          <w:sz w:val="24"/>
          <w:szCs w:val="24"/>
        </w:rPr>
        <w:t>oseph Oliker (0086088)</w:t>
      </w:r>
    </w:p>
    <w:p w14:paraId="3682C493" w14:textId="77777777" w:rsidR="007C48A1" w:rsidRPr="002E49D6" w:rsidRDefault="007C48A1" w:rsidP="007C48A1">
      <w:pPr>
        <w:spacing w:after="0" w:line="240" w:lineRule="auto"/>
        <w:ind w:left="5040"/>
        <w:rPr>
          <w:sz w:val="24"/>
          <w:szCs w:val="24"/>
        </w:rPr>
      </w:pPr>
      <w:r w:rsidRPr="002E49D6">
        <w:rPr>
          <w:sz w:val="24"/>
          <w:szCs w:val="24"/>
        </w:rPr>
        <w:t xml:space="preserve">Email: </w:t>
      </w:r>
      <w:hyperlink r:id="rId11" w:history="1">
        <w:r w:rsidRPr="002E49D6">
          <w:rPr>
            <w:rStyle w:val="Hyperlink"/>
            <w:color w:val="auto"/>
            <w:sz w:val="24"/>
            <w:szCs w:val="24"/>
            <w:u w:val="none"/>
          </w:rPr>
          <w:t>joliker@igsenergy.com</w:t>
        </w:r>
      </w:hyperlink>
    </w:p>
    <w:p w14:paraId="4473441E" w14:textId="77777777" w:rsidR="007C48A1" w:rsidRPr="002E49D6" w:rsidRDefault="007C48A1" w:rsidP="007C48A1">
      <w:pPr>
        <w:spacing w:after="0" w:line="240" w:lineRule="auto"/>
        <w:ind w:left="5040"/>
        <w:rPr>
          <w:sz w:val="24"/>
          <w:szCs w:val="24"/>
        </w:rPr>
      </w:pPr>
      <w:r w:rsidRPr="002E49D6">
        <w:rPr>
          <w:sz w:val="24"/>
          <w:szCs w:val="24"/>
        </w:rPr>
        <w:t>Counsel of Record</w:t>
      </w:r>
    </w:p>
    <w:p w14:paraId="25BE39EF" w14:textId="200CAA98" w:rsidR="002E49D6" w:rsidRPr="002E49D6" w:rsidRDefault="002E49D6" w:rsidP="002E49D6">
      <w:pPr>
        <w:spacing w:after="0" w:line="240" w:lineRule="auto"/>
        <w:ind w:left="5040"/>
        <w:rPr>
          <w:sz w:val="24"/>
          <w:szCs w:val="24"/>
        </w:rPr>
      </w:pPr>
      <w:r w:rsidRPr="002E49D6">
        <w:rPr>
          <w:sz w:val="24"/>
          <w:szCs w:val="24"/>
        </w:rPr>
        <w:t>Michael Nugent</w:t>
      </w:r>
      <w:r w:rsidR="00313922">
        <w:rPr>
          <w:sz w:val="24"/>
          <w:szCs w:val="24"/>
        </w:rPr>
        <w:t xml:space="preserve"> (0090408)</w:t>
      </w:r>
    </w:p>
    <w:p w14:paraId="0B8DA199" w14:textId="77777777" w:rsidR="002E49D6" w:rsidRPr="002E49D6" w:rsidRDefault="002E49D6" w:rsidP="002E49D6">
      <w:pPr>
        <w:spacing w:after="0" w:line="240" w:lineRule="auto"/>
        <w:ind w:left="5040"/>
        <w:rPr>
          <w:sz w:val="24"/>
          <w:szCs w:val="24"/>
        </w:rPr>
      </w:pPr>
      <w:r w:rsidRPr="002E49D6">
        <w:rPr>
          <w:sz w:val="24"/>
          <w:szCs w:val="24"/>
        </w:rPr>
        <w:t>Email: mnugent@igsenergy.com</w:t>
      </w:r>
    </w:p>
    <w:p w14:paraId="667895FF" w14:textId="77777777" w:rsidR="007C48A1" w:rsidRPr="002E49D6" w:rsidRDefault="007C48A1" w:rsidP="007C48A1">
      <w:pPr>
        <w:spacing w:after="0" w:line="240" w:lineRule="auto"/>
        <w:ind w:left="5040"/>
        <w:rPr>
          <w:sz w:val="24"/>
          <w:szCs w:val="24"/>
        </w:rPr>
      </w:pPr>
      <w:r w:rsidRPr="002E49D6">
        <w:rPr>
          <w:sz w:val="24"/>
          <w:szCs w:val="24"/>
        </w:rPr>
        <w:t>IGS Energy</w:t>
      </w:r>
    </w:p>
    <w:p w14:paraId="6A93D56D" w14:textId="77777777" w:rsidR="007C48A1" w:rsidRPr="002E49D6" w:rsidRDefault="007C48A1" w:rsidP="007C48A1">
      <w:pPr>
        <w:spacing w:after="0" w:line="240" w:lineRule="auto"/>
        <w:ind w:left="5040"/>
        <w:rPr>
          <w:sz w:val="24"/>
          <w:szCs w:val="24"/>
        </w:rPr>
      </w:pPr>
      <w:r w:rsidRPr="002E49D6">
        <w:rPr>
          <w:sz w:val="24"/>
          <w:szCs w:val="24"/>
        </w:rPr>
        <w:t>6100 Emerald Parkway</w:t>
      </w:r>
    </w:p>
    <w:p w14:paraId="0DF6ED11" w14:textId="77777777" w:rsidR="007C48A1" w:rsidRPr="002E49D6" w:rsidRDefault="007C48A1" w:rsidP="007C48A1">
      <w:pPr>
        <w:spacing w:after="0" w:line="240" w:lineRule="auto"/>
        <w:ind w:left="5040"/>
        <w:rPr>
          <w:sz w:val="24"/>
          <w:szCs w:val="24"/>
        </w:rPr>
      </w:pPr>
      <w:r w:rsidRPr="002E49D6">
        <w:rPr>
          <w:sz w:val="24"/>
          <w:szCs w:val="24"/>
        </w:rPr>
        <w:t>Dublin, Ohio 43016</w:t>
      </w:r>
    </w:p>
    <w:p w14:paraId="0323BFD7" w14:textId="77777777" w:rsidR="007C48A1" w:rsidRPr="002E49D6" w:rsidRDefault="007C48A1" w:rsidP="007C48A1">
      <w:pPr>
        <w:spacing w:after="0" w:line="240" w:lineRule="auto"/>
        <w:ind w:left="5040"/>
        <w:rPr>
          <w:sz w:val="24"/>
          <w:szCs w:val="24"/>
        </w:rPr>
      </w:pPr>
      <w:r w:rsidRPr="002E49D6">
        <w:rPr>
          <w:sz w:val="24"/>
          <w:szCs w:val="24"/>
        </w:rPr>
        <w:t>Telephone:</w:t>
      </w:r>
      <w:r w:rsidRPr="002E49D6">
        <w:rPr>
          <w:sz w:val="24"/>
          <w:szCs w:val="24"/>
        </w:rPr>
        <w:tab/>
        <w:t>(614) 659-5000</w:t>
      </w:r>
    </w:p>
    <w:p w14:paraId="52594991" w14:textId="77777777" w:rsidR="007C48A1" w:rsidRPr="002E49D6" w:rsidRDefault="007C48A1" w:rsidP="007C48A1">
      <w:pPr>
        <w:spacing w:after="0" w:line="240" w:lineRule="auto"/>
        <w:ind w:left="5040"/>
        <w:rPr>
          <w:sz w:val="24"/>
          <w:szCs w:val="24"/>
        </w:rPr>
      </w:pPr>
      <w:r w:rsidRPr="002E49D6">
        <w:rPr>
          <w:sz w:val="24"/>
          <w:szCs w:val="24"/>
        </w:rPr>
        <w:t>Facsimile:</w:t>
      </w:r>
      <w:r w:rsidRPr="002E49D6">
        <w:rPr>
          <w:sz w:val="24"/>
          <w:szCs w:val="24"/>
        </w:rPr>
        <w:tab/>
        <w:t>(614) 659-5073</w:t>
      </w:r>
    </w:p>
    <w:p w14:paraId="0562CB0E" w14:textId="77777777" w:rsidR="007C48A1" w:rsidRPr="002E49D6" w:rsidRDefault="007C48A1" w:rsidP="007C48A1">
      <w:pPr>
        <w:spacing w:after="0" w:line="240" w:lineRule="auto"/>
        <w:ind w:left="5040"/>
        <w:rPr>
          <w:sz w:val="24"/>
          <w:szCs w:val="24"/>
        </w:rPr>
      </w:pPr>
    </w:p>
    <w:p w14:paraId="5F525F49" w14:textId="77777777" w:rsidR="007C48A1" w:rsidRPr="002E49D6" w:rsidRDefault="007C48A1" w:rsidP="007C48A1">
      <w:pPr>
        <w:spacing w:after="0" w:line="240" w:lineRule="auto"/>
        <w:ind w:left="5040"/>
        <w:rPr>
          <w:b/>
          <w:i/>
          <w:sz w:val="24"/>
          <w:szCs w:val="24"/>
        </w:rPr>
      </w:pPr>
      <w:r w:rsidRPr="002E49D6">
        <w:rPr>
          <w:b/>
          <w:i/>
          <w:sz w:val="24"/>
          <w:szCs w:val="24"/>
        </w:rPr>
        <w:t>Attorney</w:t>
      </w:r>
      <w:r w:rsidR="002E49D6" w:rsidRPr="002E49D6">
        <w:rPr>
          <w:b/>
          <w:i/>
          <w:sz w:val="24"/>
          <w:szCs w:val="24"/>
        </w:rPr>
        <w:t>s</w:t>
      </w:r>
      <w:r w:rsidRPr="002E49D6">
        <w:rPr>
          <w:b/>
          <w:i/>
          <w:sz w:val="24"/>
          <w:szCs w:val="24"/>
        </w:rPr>
        <w:t xml:space="preserve"> for IGS Energy</w:t>
      </w:r>
    </w:p>
    <w:p w14:paraId="7DD31972" w14:textId="40876CD7" w:rsidR="007C48A1" w:rsidRPr="002E49D6" w:rsidRDefault="009802DD" w:rsidP="007C48A1">
      <w:pPr>
        <w:spacing w:after="0" w:line="240" w:lineRule="auto"/>
        <w:rPr>
          <w:b/>
          <w:sz w:val="24"/>
          <w:szCs w:val="24"/>
        </w:rPr>
      </w:pPr>
      <w:r>
        <w:rPr>
          <w:b/>
          <w:sz w:val="24"/>
          <w:szCs w:val="24"/>
        </w:rPr>
        <w:t xml:space="preserve">March </w:t>
      </w:r>
      <w:r w:rsidR="0051000A">
        <w:rPr>
          <w:b/>
          <w:sz w:val="24"/>
          <w:szCs w:val="24"/>
        </w:rPr>
        <w:t>27</w:t>
      </w:r>
      <w:r w:rsidR="001E1681" w:rsidRPr="002E49D6">
        <w:rPr>
          <w:b/>
          <w:sz w:val="24"/>
          <w:szCs w:val="24"/>
        </w:rPr>
        <w:t>, 201</w:t>
      </w:r>
      <w:r>
        <w:rPr>
          <w:b/>
          <w:sz w:val="24"/>
          <w:szCs w:val="24"/>
        </w:rPr>
        <w:t>9</w:t>
      </w:r>
    </w:p>
    <w:p w14:paraId="5729C72C" w14:textId="77777777" w:rsidR="005C648E" w:rsidRDefault="00EF5C4B" w:rsidP="008616AA">
      <w:pPr>
        <w:widowControl w:val="0"/>
        <w:spacing w:after="0" w:line="240" w:lineRule="auto"/>
        <w:ind w:left="720"/>
        <w:jc w:val="center"/>
        <w:rPr>
          <w:b/>
          <w:bCs/>
          <w:sz w:val="24"/>
          <w:szCs w:val="24"/>
          <w:u w:val="single"/>
        </w:rPr>
      </w:pPr>
      <w:r>
        <w:br/>
      </w:r>
      <w:bookmarkStart w:id="0" w:name="_Hlk524355073"/>
      <w:r w:rsidR="005C648E" w:rsidRPr="00EC2ABB">
        <w:rPr>
          <w:b/>
          <w:bCs/>
          <w:sz w:val="24"/>
          <w:szCs w:val="24"/>
          <w:u w:val="single"/>
        </w:rPr>
        <w:lastRenderedPageBreak/>
        <w:t>TABLE OF CONTENTS</w:t>
      </w:r>
    </w:p>
    <w:p w14:paraId="78CABAF2" w14:textId="35D70225" w:rsidR="005C648E" w:rsidRPr="00AE7A34" w:rsidRDefault="005C648E" w:rsidP="005C648E">
      <w:pPr>
        <w:widowControl w:val="0"/>
        <w:spacing w:after="0" w:line="240" w:lineRule="auto"/>
        <w:jc w:val="center"/>
        <w:rPr>
          <w:b/>
          <w:bCs/>
          <w:sz w:val="24"/>
          <w:szCs w:val="24"/>
          <w:u w:val="single"/>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BB03A2">
        <w:rPr>
          <w:b/>
          <w:bCs/>
          <w:sz w:val="24"/>
          <w:szCs w:val="24"/>
        </w:rPr>
        <w:tab/>
      </w:r>
      <w:r w:rsidR="00BB03A2">
        <w:rPr>
          <w:b/>
          <w:bCs/>
          <w:sz w:val="24"/>
          <w:szCs w:val="24"/>
        </w:rPr>
        <w:tab/>
      </w:r>
      <w:r>
        <w:rPr>
          <w:b/>
          <w:bCs/>
          <w:sz w:val="24"/>
          <w:szCs w:val="24"/>
          <w:u w:val="single"/>
        </w:rPr>
        <w:t>PAGE</w:t>
      </w:r>
    </w:p>
    <w:p w14:paraId="143BA7E1" w14:textId="668318CF" w:rsidR="005C648E" w:rsidRPr="00774DB9" w:rsidRDefault="005C648E" w:rsidP="00EF5C4B">
      <w:pPr>
        <w:pStyle w:val="Level1"/>
        <w:rPr>
          <w:rFonts w:ascii="Arial" w:hAnsi="Arial" w:cs="Arial"/>
          <w:webHidden/>
        </w:rPr>
      </w:pPr>
    </w:p>
    <w:p w14:paraId="581A925C" w14:textId="2454E014" w:rsidR="43FAAD42" w:rsidRPr="00AE7A34" w:rsidRDefault="00C33282" w:rsidP="00414E73">
      <w:pPr>
        <w:pStyle w:val="Level1"/>
        <w:numPr>
          <w:ilvl w:val="0"/>
          <w:numId w:val="15"/>
        </w:numPr>
        <w:tabs>
          <w:tab w:val="clear" w:pos="8630"/>
          <w:tab w:val="left" w:leader="dot" w:pos="9000"/>
        </w:tabs>
        <w:rPr>
          <w:rFonts w:ascii="Arial" w:hAnsi="Arial" w:cs="Arial"/>
        </w:rPr>
      </w:pPr>
      <w:r w:rsidRPr="00AE7A34">
        <w:rPr>
          <w:rFonts w:ascii="Arial" w:eastAsia="Arial" w:hAnsi="Arial" w:cs="Arial"/>
          <w:caps w:val="0"/>
          <w:webHidden/>
        </w:rPr>
        <w:t xml:space="preserve">INTRODUCTION </w:t>
      </w:r>
      <w:r w:rsidRPr="00AE7A34">
        <w:rPr>
          <w:rFonts w:ascii="Arial" w:hAnsi="Arial" w:cs="Arial"/>
          <w:caps w:val="0"/>
          <w:webHidden/>
        </w:rPr>
        <w:tab/>
      </w:r>
      <w:r w:rsidR="007962CF">
        <w:rPr>
          <w:rFonts w:ascii="Arial" w:hAnsi="Arial" w:cs="Arial"/>
          <w:caps w:val="0"/>
          <w:webHidden/>
        </w:rPr>
        <w:t>4</w:t>
      </w:r>
    </w:p>
    <w:p w14:paraId="231694EE" w14:textId="6C51E369" w:rsidR="00EF5C4B" w:rsidRDefault="00C33282" w:rsidP="00414E73">
      <w:pPr>
        <w:pStyle w:val="Level1"/>
        <w:numPr>
          <w:ilvl w:val="0"/>
          <w:numId w:val="15"/>
        </w:numPr>
        <w:tabs>
          <w:tab w:val="clear" w:pos="8630"/>
          <w:tab w:val="left" w:leader="dot" w:pos="9000"/>
        </w:tabs>
        <w:rPr>
          <w:rFonts w:ascii="Arial" w:hAnsi="Arial" w:cs="Arial"/>
          <w:webHidden/>
        </w:rPr>
      </w:pPr>
      <w:r>
        <w:rPr>
          <w:rFonts w:ascii="Arial" w:hAnsi="Arial" w:cs="Arial"/>
          <w:caps w:val="0"/>
          <w:webHidden/>
        </w:rPr>
        <w:t>BACKGROUND</w:t>
      </w:r>
      <w:r w:rsidR="00EF5C4B" w:rsidRPr="00AE7A34">
        <w:rPr>
          <w:rFonts w:ascii="Arial" w:hAnsi="Arial" w:cs="Arial"/>
          <w:webHidden/>
        </w:rPr>
        <w:tab/>
      </w:r>
      <w:r w:rsidR="007962CF">
        <w:rPr>
          <w:rFonts w:ascii="Arial" w:hAnsi="Arial" w:cs="Arial"/>
          <w:webHidden/>
        </w:rPr>
        <w:t>5</w:t>
      </w:r>
    </w:p>
    <w:p w14:paraId="072880D8" w14:textId="0C2DE093" w:rsidR="00CF70C5" w:rsidRPr="00CF70C5" w:rsidRDefault="00C7701A" w:rsidP="00414E73">
      <w:pPr>
        <w:pStyle w:val="Level1"/>
        <w:numPr>
          <w:ilvl w:val="0"/>
          <w:numId w:val="15"/>
        </w:numPr>
        <w:tabs>
          <w:tab w:val="clear" w:pos="8630"/>
          <w:tab w:val="left" w:leader="dot" w:pos="9000"/>
        </w:tabs>
        <w:rPr>
          <w:rFonts w:ascii="Arial" w:hAnsi="Arial" w:cs="Arial"/>
          <w:webHidden/>
        </w:rPr>
      </w:pPr>
      <w:r>
        <w:rPr>
          <w:rFonts w:ascii="Arial" w:hAnsi="Arial" w:cs="Arial"/>
          <w:webHidden/>
        </w:rPr>
        <w:t>Argument</w:t>
      </w:r>
      <w:r w:rsidR="00EF5C4B" w:rsidRPr="00AE7A34">
        <w:rPr>
          <w:rFonts w:ascii="Arial" w:hAnsi="Arial" w:cs="Arial"/>
          <w:webHidden/>
        </w:rPr>
        <w:tab/>
      </w:r>
      <w:r w:rsidR="001D635F">
        <w:rPr>
          <w:rFonts w:ascii="Arial" w:hAnsi="Arial" w:cs="Arial"/>
          <w:webHidden/>
        </w:rPr>
        <w:t>8</w:t>
      </w:r>
    </w:p>
    <w:p w14:paraId="08E4DC38" w14:textId="6CCA7E22" w:rsidR="00985D71" w:rsidRPr="00985D71" w:rsidRDefault="00735C51" w:rsidP="00414E73">
      <w:pPr>
        <w:pStyle w:val="Level1"/>
        <w:numPr>
          <w:ilvl w:val="1"/>
          <w:numId w:val="15"/>
        </w:numPr>
        <w:tabs>
          <w:tab w:val="clear" w:pos="8630"/>
          <w:tab w:val="left" w:leader="dot" w:pos="9000"/>
        </w:tabs>
        <w:rPr>
          <w:rFonts w:ascii="Arial" w:hAnsi="Arial" w:cs="Arial"/>
          <w:webHidden/>
        </w:rPr>
      </w:pPr>
      <w:r>
        <w:rPr>
          <w:rFonts w:ascii="Arial" w:hAnsi="Arial" w:cs="Arial"/>
          <w:webHidden/>
        </w:rPr>
        <w:t>P</w:t>
      </w:r>
      <w:r>
        <w:rPr>
          <w:rFonts w:ascii="Arial" w:hAnsi="Arial" w:cs="Arial"/>
          <w:caps w:val="0"/>
          <w:webHidden/>
        </w:rPr>
        <w:t>roponents</w:t>
      </w:r>
      <w:r>
        <w:rPr>
          <w:rFonts w:ascii="Arial" w:hAnsi="Arial" w:cs="Arial"/>
          <w:webHidden/>
        </w:rPr>
        <w:t xml:space="preserve"> </w:t>
      </w:r>
      <w:r>
        <w:rPr>
          <w:rFonts w:ascii="Arial" w:hAnsi="Arial" w:cs="Arial"/>
          <w:caps w:val="0"/>
          <w:webHidden/>
        </w:rPr>
        <w:t>unlawfully</w:t>
      </w:r>
      <w:r>
        <w:rPr>
          <w:rFonts w:ascii="Arial" w:hAnsi="Arial" w:cs="Arial"/>
          <w:webHidden/>
        </w:rPr>
        <w:t xml:space="preserve"> </w:t>
      </w:r>
      <w:r>
        <w:rPr>
          <w:rFonts w:ascii="Arial" w:hAnsi="Arial" w:cs="Arial"/>
          <w:caps w:val="0"/>
          <w:webHidden/>
        </w:rPr>
        <w:t>define</w:t>
      </w:r>
      <w:r>
        <w:rPr>
          <w:rFonts w:ascii="Arial" w:hAnsi="Arial" w:cs="Arial"/>
          <w:webHidden/>
        </w:rPr>
        <w:t xml:space="preserve"> </w:t>
      </w:r>
      <w:r>
        <w:rPr>
          <w:rFonts w:ascii="Arial" w:hAnsi="Arial" w:cs="Arial"/>
          <w:caps w:val="0"/>
          <w:webHidden/>
        </w:rPr>
        <w:t>need</w:t>
      </w:r>
      <w:r>
        <w:rPr>
          <w:rFonts w:ascii="Arial" w:hAnsi="Arial" w:cs="Arial"/>
          <w:webHidden/>
        </w:rPr>
        <w:tab/>
      </w:r>
      <w:r w:rsidR="001D635F">
        <w:rPr>
          <w:rFonts w:ascii="Arial" w:hAnsi="Arial" w:cs="Arial"/>
          <w:webHidden/>
        </w:rPr>
        <w:t>8</w:t>
      </w:r>
    </w:p>
    <w:p w14:paraId="2A69F7E6" w14:textId="27B8CAF8" w:rsidR="009B7C4A" w:rsidRPr="005672E7" w:rsidRDefault="009112D5" w:rsidP="00414E73">
      <w:pPr>
        <w:pStyle w:val="Level1"/>
        <w:numPr>
          <w:ilvl w:val="2"/>
          <w:numId w:val="15"/>
        </w:numPr>
        <w:tabs>
          <w:tab w:val="clear" w:pos="8630"/>
          <w:tab w:val="left" w:leader="dot" w:pos="9000"/>
        </w:tabs>
        <w:ind w:right="810"/>
        <w:rPr>
          <w:rFonts w:ascii="Arial" w:hAnsi="Arial" w:cs="Arial"/>
        </w:rPr>
      </w:pPr>
      <w:r w:rsidRPr="005672E7">
        <w:rPr>
          <w:rFonts w:ascii="Arial" w:hAnsi="Arial" w:cs="Arial"/>
        </w:rPr>
        <w:t>T</w:t>
      </w:r>
      <w:r w:rsidRPr="005672E7">
        <w:rPr>
          <w:rFonts w:ascii="Arial" w:hAnsi="Arial" w:cs="Arial"/>
          <w:caps w:val="0"/>
        </w:rPr>
        <w:t xml:space="preserve">he plain language of </w:t>
      </w:r>
      <w:r w:rsidR="005A1FF7" w:rsidRPr="005672E7">
        <w:rPr>
          <w:rFonts w:ascii="Arial" w:hAnsi="Arial" w:cs="Arial"/>
          <w:caps w:val="0"/>
        </w:rPr>
        <w:t>R</w:t>
      </w:r>
      <w:r w:rsidRPr="005672E7">
        <w:rPr>
          <w:rFonts w:ascii="Arial" w:hAnsi="Arial" w:cs="Arial"/>
          <w:caps w:val="0"/>
        </w:rPr>
        <w:t>.</w:t>
      </w:r>
      <w:r w:rsidR="005A1FF7" w:rsidRPr="005672E7">
        <w:rPr>
          <w:rFonts w:ascii="Arial" w:hAnsi="Arial" w:cs="Arial"/>
          <w:caps w:val="0"/>
        </w:rPr>
        <w:t>C</w:t>
      </w:r>
      <w:r w:rsidRPr="005672E7">
        <w:rPr>
          <w:rFonts w:ascii="Arial" w:hAnsi="Arial" w:cs="Arial"/>
          <w:caps w:val="0"/>
        </w:rPr>
        <w:t>. 4935.04 states that “resource planning projections” must demonstrate how reliability will be maintained; therefore, such projections can only support a finding of “need” when there is a reliability concern</w:t>
      </w:r>
      <w:r w:rsidRPr="005672E7">
        <w:rPr>
          <w:rFonts w:ascii="Arial" w:hAnsi="Arial" w:cs="Arial"/>
          <w:caps w:val="0"/>
        </w:rPr>
        <w:tab/>
      </w:r>
      <w:r w:rsidR="007962CF" w:rsidRPr="005672E7">
        <w:rPr>
          <w:rFonts w:ascii="Arial" w:hAnsi="Arial" w:cs="Arial"/>
          <w:caps w:val="0"/>
        </w:rPr>
        <w:t>9</w:t>
      </w:r>
    </w:p>
    <w:p w14:paraId="13AFF5AF" w14:textId="59473894" w:rsidR="00DF216F" w:rsidRPr="00DF216F" w:rsidRDefault="00B5538B" w:rsidP="00414E73">
      <w:pPr>
        <w:pStyle w:val="Level1"/>
        <w:numPr>
          <w:ilvl w:val="2"/>
          <w:numId w:val="15"/>
        </w:numPr>
        <w:tabs>
          <w:tab w:val="clear" w:pos="8630"/>
          <w:tab w:val="left" w:leader="dot" w:pos="9000"/>
        </w:tabs>
        <w:ind w:right="810"/>
        <w:rPr>
          <w:rFonts w:ascii="Arial" w:hAnsi="Arial" w:cs="Arial"/>
          <w:caps w:val="0"/>
          <w:webHidden/>
        </w:rPr>
      </w:pPr>
      <w:r>
        <w:rPr>
          <w:rFonts w:ascii="Arial" w:hAnsi="Arial" w:cs="Arial"/>
          <w:webHidden/>
        </w:rPr>
        <w:t xml:space="preserve"> R.C. </w:t>
      </w:r>
      <w:r w:rsidR="00BC1A98" w:rsidRPr="005672E7">
        <w:rPr>
          <w:rFonts w:ascii="Arial" w:hAnsi="Arial" w:cs="Arial"/>
        </w:rPr>
        <w:t xml:space="preserve">4935.01 </w:t>
      </w:r>
      <w:r w:rsidR="00BC1A98" w:rsidRPr="005672E7">
        <w:rPr>
          <w:rFonts w:ascii="Arial" w:hAnsi="Arial" w:cs="Arial"/>
          <w:caps w:val="0"/>
        </w:rPr>
        <w:t>does not expand the definition of</w:t>
      </w:r>
      <w:r w:rsidR="00BC1A98" w:rsidRPr="005672E7">
        <w:rPr>
          <w:rFonts w:ascii="Arial" w:hAnsi="Arial" w:cs="Arial"/>
        </w:rPr>
        <w:t xml:space="preserve"> </w:t>
      </w:r>
      <w:r w:rsidR="00BC1A98">
        <w:rPr>
          <w:rFonts w:ascii="Arial" w:hAnsi="Arial" w:cs="Arial"/>
          <w:caps w:val="0"/>
          <w:webHidden/>
        </w:rPr>
        <w:t>need</w:t>
      </w:r>
      <w:r w:rsidR="009B53F2">
        <w:rPr>
          <w:rFonts w:ascii="Arial" w:hAnsi="Arial" w:cs="Arial"/>
          <w:caps w:val="0"/>
          <w:webHidden/>
        </w:rPr>
        <w:tab/>
      </w:r>
      <w:r w:rsidR="00EE588A">
        <w:rPr>
          <w:rFonts w:ascii="Arial" w:hAnsi="Arial" w:cs="Arial"/>
          <w:caps w:val="0"/>
          <w:webHidden/>
        </w:rPr>
        <w:t>10</w:t>
      </w:r>
    </w:p>
    <w:p w14:paraId="698986AD" w14:textId="213E570F" w:rsidR="008D4335" w:rsidRPr="005A1FF7" w:rsidRDefault="008B6A0B" w:rsidP="00414E73">
      <w:pPr>
        <w:pStyle w:val="Level1"/>
        <w:numPr>
          <w:ilvl w:val="2"/>
          <w:numId w:val="15"/>
        </w:numPr>
        <w:tabs>
          <w:tab w:val="clear" w:pos="8630"/>
          <w:tab w:val="left" w:leader="dot" w:pos="9000"/>
        </w:tabs>
        <w:ind w:right="810"/>
        <w:rPr>
          <w:rFonts w:ascii="Arial" w:hAnsi="Arial" w:cs="Arial"/>
        </w:rPr>
      </w:pPr>
      <w:r>
        <w:rPr>
          <w:rFonts w:ascii="Arial" w:hAnsi="Arial" w:cs="Arial"/>
          <w:webHidden/>
        </w:rPr>
        <w:t>t</w:t>
      </w:r>
      <w:r>
        <w:rPr>
          <w:rFonts w:ascii="Arial" w:hAnsi="Arial" w:cs="Arial"/>
          <w:caps w:val="0"/>
          <w:webHidden/>
        </w:rPr>
        <w:t>he</w:t>
      </w:r>
      <w:r>
        <w:rPr>
          <w:rFonts w:ascii="Arial" w:hAnsi="Arial" w:cs="Arial"/>
          <w:webHidden/>
        </w:rPr>
        <w:t xml:space="preserve"> </w:t>
      </w:r>
      <w:r>
        <w:rPr>
          <w:rFonts w:ascii="Arial" w:hAnsi="Arial" w:cs="Arial"/>
          <w:caps w:val="0"/>
          <w:webHidden/>
        </w:rPr>
        <w:t>plain</w:t>
      </w:r>
      <w:r>
        <w:rPr>
          <w:rFonts w:ascii="Arial" w:hAnsi="Arial" w:cs="Arial"/>
          <w:webHidden/>
        </w:rPr>
        <w:t xml:space="preserve"> </w:t>
      </w:r>
      <w:r w:rsidRPr="005672E7">
        <w:rPr>
          <w:rFonts w:ascii="Arial" w:hAnsi="Arial" w:cs="Arial"/>
          <w:caps w:val="0"/>
        </w:rPr>
        <w:t>meaning of R.C. 4928.64(e) and R.C. 4928.143(b) further illustrates that renewable generation cannot be subject to a non-</w:t>
      </w:r>
      <w:proofErr w:type="spellStart"/>
      <w:r w:rsidRPr="005672E7">
        <w:rPr>
          <w:rFonts w:ascii="Arial" w:hAnsi="Arial" w:cs="Arial"/>
          <w:caps w:val="0"/>
        </w:rPr>
        <w:t>bypassable</w:t>
      </w:r>
      <w:proofErr w:type="spellEnd"/>
      <w:r w:rsidRPr="005672E7">
        <w:rPr>
          <w:rFonts w:ascii="Arial" w:hAnsi="Arial" w:cs="Arial"/>
          <w:caps w:val="0"/>
        </w:rPr>
        <w:t xml:space="preserve"> charge as proposed by </w:t>
      </w:r>
      <w:r w:rsidR="00362261" w:rsidRPr="005672E7">
        <w:rPr>
          <w:rFonts w:ascii="Arial" w:hAnsi="Arial" w:cs="Arial"/>
          <w:caps w:val="0"/>
        </w:rPr>
        <w:t>AEP Ohio</w:t>
      </w:r>
      <w:r w:rsidR="008D4335" w:rsidRPr="005672E7">
        <w:rPr>
          <w:rFonts w:ascii="Arial" w:hAnsi="Arial" w:cs="Arial"/>
          <w:caps w:val="0"/>
        </w:rPr>
        <w:tab/>
      </w:r>
      <w:r w:rsidR="00155D6F" w:rsidRPr="005672E7">
        <w:rPr>
          <w:rFonts w:ascii="Arial" w:hAnsi="Arial" w:cs="Arial"/>
          <w:caps w:val="0"/>
        </w:rPr>
        <w:t>1</w:t>
      </w:r>
      <w:r w:rsidR="00EE588A">
        <w:rPr>
          <w:rFonts w:ascii="Arial" w:hAnsi="Arial" w:cs="Arial"/>
          <w:caps w:val="0"/>
        </w:rPr>
        <w:t>1</w:t>
      </w:r>
    </w:p>
    <w:p w14:paraId="3B55A850" w14:textId="31612724" w:rsidR="00CB465F" w:rsidRPr="00DF216F" w:rsidRDefault="004A307D" w:rsidP="00414E73">
      <w:pPr>
        <w:pStyle w:val="Level1"/>
        <w:numPr>
          <w:ilvl w:val="2"/>
          <w:numId w:val="15"/>
        </w:numPr>
        <w:tabs>
          <w:tab w:val="clear" w:pos="8630"/>
          <w:tab w:val="left" w:leader="dot" w:pos="9000"/>
        </w:tabs>
        <w:ind w:right="810"/>
        <w:rPr>
          <w:rFonts w:ascii="Arial" w:hAnsi="Arial" w:cs="Arial"/>
          <w:caps w:val="0"/>
          <w:webHidden/>
        </w:rPr>
      </w:pPr>
      <w:r w:rsidRPr="005672E7">
        <w:rPr>
          <w:rFonts w:ascii="Arial" w:hAnsi="Arial" w:cs="Arial"/>
          <w:caps w:val="0"/>
        </w:rPr>
        <w:t>PJM</w:t>
      </w:r>
      <w:r w:rsidR="00521C93" w:rsidRPr="005672E7">
        <w:rPr>
          <w:rFonts w:ascii="Arial" w:hAnsi="Arial" w:cs="Arial"/>
          <w:caps w:val="0"/>
        </w:rPr>
        <w:t xml:space="preserve">’s </w:t>
      </w:r>
      <w:r w:rsidR="00DB3F0C" w:rsidRPr="005672E7">
        <w:rPr>
          <w:rFonts w:ascii="Arial" w:hAnsi="Arial" w:cs="Arial"/>
          <w:caps w:val="0"/>
        </w:rPr>
        <w:t xml:space="preserve">role does not render </w:t>
      </w:r>
      <w:r w:rsidR="00CB383E" w:rsidRPr="005672E7">
        <w:rPr>
          <w:rFonts w:ascii="Arial" w:hAnsi="Arial" w:cs="Arial"/>
          <w:caps w:val="0"/>
        </w:rPr>
        <w:t>R</w:t>
      </w:r>
      <w:r w:rsidR="00DB3F0C" w:rsidRPr="005672E7">
        <w:rPr>
          <w:rFonts w:ascii="Arial" w:hAnsi="Arial" w:cs="Arial"/>
          <w:caps w:val="0"/>
        </w:rPr>
        <w:t>.</w:t>
      </w:r>
      <w:r w:rsidR="00CB383E" w:rsidRPr="005672E7">
        <w:rPr>
          <w:rFonts w:ascii="Arial" w:hAnsi="Arial" w:cs="Arial"/>
          <w:caps w:val="0"/>
        </w:rPr>
        <w:t>C</w:t>
      </w:r>
      <w:r w:rsidR="00DB3F0C" w:rsidRPr="005672E7">
        <w:rPr>
          <w:rFonts w:ascii="Arial" w:hAnsi="Arial" w:cs="Arial"/>
          <w:caps w:val="0"/>
        </w:rPr>
        <w:t>. 4928.143(b)(2)(c) a dead letter</w:t>
      </w:r>
      <w:r w:rsidR="008D4335">
        <w:rPr>
          <w:rFonts w:ascii="Arial" w:hAnsi="Arial" w:cs="Arial"/>
          <w:caps w:val="0"/>
        </w:rPr>
        <w:tab/>
      </w:r>
      <w:r w:rsidR="00CB465F">
        <w:rPr>
          <w:rFonts w:ascii="Arial" w:hAnsi="Arial" w:cs="Arial"/>
          <w:caps w:val="0"/>
          <w:webHidden/>
        </w:rPr>
        <w:t>1</w:t>
      </w:r>
      <w:r w:rsidR="00EE588A">
        <w:rPr>
          <w:rFonts w:ascii="Arial" w:hAnsi="Arial" w:cs="Arial"/>
          <w:caps w:val="0"/>
          <w:webHidden/>
        </w:rPr>
        <w:t>2</w:t>
      </w:r>
    </w:p>
    <w:p w14:paraId="6C154222" w14:textId="79FB5C37" w:rsidR="00AE4B2F" w:rsidRDefault="000820EA" w:rsidP="00AE4B2F">
      <w:pPr>
        <w:pStyle w:val="Level1"/>
        <w:numPr>
          <w:ilvl w:val="2"/>
          <w:numId w:val="15"/>
        </w:numPr>
        <w:tabs>
          <w:tab w:val="clear" w:pos="8630"/>
          <w:tab w:val="left" w:leader="dot" w:pos="9000"/>
        </w:tabs>
        <w:ind w:right="810"/>
        <w:rPr>
          <w:rFonts w:ascii="Arial" w:hAnsi="Arial" w:cs="Arial"/>
          <w:caps w:val="0"/>
        </w:rPr>
      </w:pPr>
      <w:r w:rsidRPr="005672E7">
        <w:rPr>
          <w:rFonts w:ascii="Arial" w:hAnsi="Arial" w:cs="Arial"/>
          <w:caps w:val="0"/>
        </w:rPr>
        <w:t xml:space="preserve">The Commission’s rules do not support a finding of need; rather, the rules dictate that an IRP should demonstrate how an EDU utilizes renewable resources pursuant to R.C. 4928.64, </w:t>
      </w:r>
      <w:r w:rsidR="008B15DD">
        <w:rPr>
          <w:rFonts w:ascii="Arial" w:hAnsi="Arial" w:cs="Arial"/>
          <w:caps w:val="0"/>
        </w:rPr>
        <w:t>on a</w:t>
      </w:r>
      <w:r w:rsidRPr="005672E7">
        <w:rPr>
          <w:rFonts w:ascii="Arial" w:hAnsi="Arial" w:cs="Arial"/>
          <w:caps w:val="0"/>
        </w:rPr>
        <w:t xml:space="preserve"> </w:t>
      </w:r>
      <w:proofErr w:type="spellStart"/>
      <w:r w:rsidRPr="005672E7">
        <w:rPr>
          <w:rFonts w:ascii="Arial" w:hAnsi="Arial" w:cs="Arial"/>
          <w:caps w:val="0"/>
        </w:rPr>
        <w:t>bypassable</w:t>
      </w:r>
      <w:proofErr w:type="spellEnd"/>
      <w:r w:rsidR="008B15DD">
        <w:rPr>
          <w:rFonts w:ascii="Arial" w:hAnsi="Arial" w:cs="Arial"/>
          <w:caps w:val="0"/>
        </w:rPr>
        <w:t xml:space="preserve"> basis</w:t>
      </w:r>
      <w:r w:rsidR="00025FA3" w:rsidRPr="005672E7">
        <w:rPr>
          <w:rFonts w:ascii="Arial" w:hAnsi="Arial" w:cs="Arial"/>
          <w:caps w:val="0"/>
        </w:rPr>
        <w:tab/>
      </w:r>
      <w:r w:rsidR="00B4113C" w:rsidRPr="005672E7">
        <w:rPr>
          <w:rFonts w:ascii="Arial" w:hAnsi="Arial" w:cs="Arial"/>
          <w:caps w:val="0"/>
        </w:rPr>
        <w:t>1</w:t>
      </w:r>
      <w:r w:rsidR="00513606" w:rsidRPr="005672E7">
        <w:rPr>
          <w:rFonts w:ascii="Arial" w:hAnsi="Arial" w:cs="Arial"/>
          <w:caps w:val="0"/>
        </w:rPr>
        <w:t>6</w:t>
      </w:r>
    </w:p>
    <w:p w14:paraId="5E2844FC" w14:textId="06E19FE4" w:rsidR="00394F6A" w:rsidRDefault="00AE4B2F" w:rsidP="00AE4B2F">
      <w:pPr>
        <w:pStyle w:val="Level1"/>
        <w:numPr>
          <w:ilvl w:val="2"/>
          <w:numId w:val="15"/>
        </w:numPr>
        <w:tabs>
          <w:tab w:val="clear" w:pos="8630"/>
          <w:tab w:val="left" w:leader="dot" w:pos="9000"/>
        </w:tabs>
        <w:ind w:right="810"/>
        <w:rPr>
          <w:rFonts w:ascii="Arial" w:hAnsi="Arial" w:cs="Arial"/>
          <w:caps w:val="0"/>
        </w:rPr>
      </w:pPr>
      <w:r>
        <w:rPr>
          <w:rFonts w:ascii="Arial" w:hAnsi="Arial" w:cs="Arial"/>
          <w:caps w:val="0"/>
        </w:rPr>
        <w:t xml:space="preserve"> T</w:t>
      </w:r>
      <w:r w:rsidR="00801258">
        <w:rPr>
          <w:rFonts w:ascii="Arial" w:hAnsi="Arial" w:cs="Arial"/>
          <w:caps w:val="0"/>
        </w:rPr>
        <w:t>urning point</w:t>
      </w:r>
      <w:r w:rsidR="00394F6A">
        <w:rPr>
          <w:rFonts w:ascii="Arial" w:hAnsi="Arial" w:cs="Arial"/>
          <w:caps w:val="0"/>
        </w:rPr>
        <w:t xml:space="preserve"> does not support a finding of need</w:t>
      </w:r>
      <w:r>
        <w:rPr>
          <w:rFonts w:ascii="Arial" w:hAnsi="Arial" w:cs="Arial"/>
          <w:caps w:val="0"/>
        </w:rPr>
        <w:tab/>
        <w:t>1</w:t>
      </w:r>
      <w:r w:rsidR="004567F3">
        <w:rPr>
          <w:rFonts w:ascii="Arial" w:hAnsi="Arial" w:cs="Arial"/>
          <w:caps w:val="0"/>
        </w:rPr>
        <w:t>8</w:t>
      </w:r>
    </w:p>
    <w:p w14:paraId="221C5D60" w14:textId="09544DC1" w:rsidR="00394F6A" w:rsidRDefault="00394F6A" w:rsidP="00AE4B2F">
      <w:pPr>
        <w:pStyle w:val="Level1"/>
        <w:numPr>
          <w:ilvl w:val="2"/>
          <w:numId w:val="15"/>
        </w:numPr>
        <w:tabs>
          <w:tab w:val="clear" w:pos="8630"/>
          <w:tab w:val="left" w:leader="dot" w:pos="9000"/>
        </w:tabs>
        <w:ind w:right="810"/>
        <w:rPr>
          <w:rFonts w:ascii="Arial" w:hAnsi="Arial" w:cs="Arial"/>
          <w:caps w:val="0"/>
        </w:rPr>
      </w:pPr>
      <w:r>
        <w:rPr>
          <w:rFonts w:ascii="Arial" w:hAnsi="Arial" w:cs="Arial"/>
          <w:caps w:val="0"/>
        </w:rPr>
        <w:t>State Policy does not support a finding of need</w:t>
      </w:r>
      <w:r>
        <w:rPr>
          <w:rFonts w:ascii="Arial" w:hAnsi="Arial" w:cs="Arial"/>
          <w:caps w:val="0"/>
        </w:rPr>
        <w:tab/>
        <w:t>1</w:t>
      </w:r>
      <w:r w:rsidR="004567F3">
        <w:rPr>
          <w:rFonts w:ascii="Arial" w:hAnsi="Arial" w:cs="Arial"/>
          <w:caps w:val="0"/>
        </w:rPr>
        <w:t>8</w:t>
      </w:r>
    </w:p>
    <w:p w14:paraId="6A4A8AEF" w14:textId="2B3E9B03" w:rsidR="002C1771" w:rsidRPr="002C1771" w:rsidRDefault="003C30A9" w:rsidP="003C30A9">
      <w:pPr>
        <w:pStyle w:val="Level1"/>
        <w:numPr>
          <w:ilvl w:val="1"/>
          <w:numId w:val="15"/>
        </w:numPr>
        <w:tabs>
          <w:tab w:val="clear" w:pos="8630"/>
          <w:tab w:val="left" w:leader="dot" w:pos="9000"/>
        </w:tabs>
        <w:ind w:right="810"/>
        <w:rPr>
          <w:rFonts w:ascii="Arial" w:hAnsi="Arial" w:cs="Arial"/>
          <w:caps w:val="0"/>
        </w:rPr>
      </w:pPr>
      <w:r>
        <w:rPr>
          <w:rFonts w:ascii="Arial" w:hAnsi="Arial" w:cs="Arial"/>
          <w:caps w:val="0"/>
        </w:rPr>
        <w:t xml:space="preserve">Even under </w:t>
      </w:r>
      <w:r w:rsidRPr="005672E7">
        <w:rPr>
          <w:rFonts w:ascii="Arial" w:hAnsi="Arial" w:cs="Arial"/>
          <w:caps w:val="0"/>
        </w:rPr>
        <w:t>its own concocted legal theory, AEP Ohio has not established that there is a need to construct renewable generation resources</w:t>
      </w:r>
      <w:r w:rsidR="008620BF" w:rsidRPr="005672E7">
        <w:rPr>
          <w:rFonts w:ascii="Arial" w:hAnsi="Arial" w:cs="Arial"/>
          <w:caps w:val="0"/>
        </w:rPr>
        <w:tab/>
        <w:t>1</w:t>
      </w:r>
      <w:r w:rsidR="004567F3">
        <w:rPr>
          <w:rFonts w:ascii="Arial" w:hAnsi="Arial" w:cs="Arial"/>
          <w:caps w:val="0"/>
        </w:rPr>
        <w:t>9</w:t>
      </w:r>
    </w:p>
    <w:p w14:paraId="7C669CB3" w14:textId="7AE57600" w:rsidR="00556678" w:rsidRPr="00556678" w:rsidRDefault="002C1771" w:rsidP="002C1771">
      <w:pPr>
        <w:pStyle w:val="Level1"/>
        <w:numPr>
          <w:ilvl w:val="2"/>
          <w:numId w:val="15"/>
        </w:numPr>
        <w:tabs>
          <w:tab w:val="clear" w:pos="8630"/>
          <w:tab w:val="left" w:leader="dot" w:pos="9000"/>
        </w:tabs>
        <w:ind w:right="810"/>
        <w:rPr>
          <w:rFonts w:ascii="Arial" w:hAnsi="Arial" w:cs="Arial"/>
          <w:caps w:val="0"/>
        </w:rPr>
      </w:pPr>
      <w:r>
        <w:rPr>
          <w:rFonts w:ascii="Arial" w:hAnsi="Arial" w:cs="Arial"/>
          <w:caps w:val="0"/>
        </w:rPr>
        <w:t>Neither</w:t>
      </w:r>
      <w:r w:rsidR="008620BF" w:rsidRPr="005672E7">
        <w:rPr>
          <w:rFonts w:ascii="Arial" w:hAnsi="Arial" w:cs="Arial"/>
          <w:caps w:val="0"/>
        </w:rPr>
        <w:t xml:space="preserve"> </w:t>
      </w:r>
      <w:r w:rsidR="00A96551" w:rsidRPr="005672E7">
        <w:rPr>
          <w:rFonts w:ascii="Arial" w:hAnsi="Arial" w:cs="Arial"/>
          <w:caps w:val="0"/>
        </w:rPr>
        <w:t xml:space="preserve">the survey nor public comments provide support to construct 900 </w:t>
      </w:r>
      <w:r w:rsidR="00CB383E" w:rsidRPr="005672E7">
        <w:rPr>
          <w:rFonts w:ascii="Arial" w:hAnsi="Arial" w:cs="Arial"/>
          <w:caps w:val="0"/>
        </w:rPr>
        <w:t>MW</w:t>
      </w:r>
      <w:r w:rsidR="00A96551" w:rsidRPr="005672E7">
        <w:rPr>
          <w:rFonts w:ascii="Arial" w:hAnsi="Arial" w:cs="Arial"/>
          <w:caps w:val="0"/>
        </w:rPr>
        <w:t>s of renewable generation</w:t>
      </w:r>
      <w:r w:rsidR="00A96551" w:rsidRPr="005672E7">
        <w:rPr>
          <w:rFonts w:ascii="Arial" w:hAnsi="Arial" w:cs="Arial"/>
          <w:caps w:val="0"/>
        </w:rPr>
        <w:tab/>
      </w:r>
      <w:r w:rsidR="004567F3">
        <w:rPr>
          <w:rFonts w:ascii="Arial" w:hAnsi="Arial" w:cs="Arial"/>
          <w:caps w:val="0"/>
        </w:rPr>
        <w:t>20</w:t>
      </w:r>
    </w:p>
    <w:p w14:paraId="6B3204AB" w14:textId="4D547FCB" w:rsidR="00FD285F" w:rsidRPr="00FD285F" w:rsidRDefault="00556678" w:rsidP="002C1771">
      <w:pPr>
        <w:pStyle w:val="Level1"/>
        <w:numPr>
          <w:ilvl w:val="2"/>
          <w:numId w:val="15"/>
        </w:numPr>
        <w:tabs>
          <w:tab w:val="clear" w:pos="8630"/>
          <w:tab w:val="left" w:leader="dot" w:pos="9000"/>
        </w:tabs>
        <w:ind w:right="810"/>
        <w:rPr>
          <w:rFonts w:ascii="Arial" w:hAnsi="Arial" w:cs="Arial"/>
          <w:caps w:val="0"/>
        </w:rPr>
      </w:pPr>
      <w:r>
        <w:rPr>
          <w:rFonts w:ascii="Arial" w:hAnsi="Arial" w:cs="Arial"/>
          <w:caps w:val="0"/>
        </w:rPr>
        <w:t>There is</w:t>
      </w:r>
      <w:r w:rsidR="00A96551" w:rsidRPr="00AE4B2F">
        <w:rPr>
          <w:rFonts w:ascii="Arial" w:hAnsi="Arial" w:cs="Arial"/>
        </w:rPr>
        <w:t xml:space="preserve"> </w:t>
      </w:r>
      <w:r w:rsidR="00FD285F" w:rsidRPr="005672E7">
        <w:rPr>
          <w:rFonts w:ascii="Arial" w:hAnsi="Arial" w:cs="Arial"/>
          <w:caps w:val="0"/>
        </w:rPr>
        <w:t>no evidence of market failure; rather the market is primed to meet a diverse range of customer preferences for renewable energy</w:t>
      </w:r>
      <w:r w:rsidR="00FD285F" w:rsidRPr="005672E7">
        <w:rPr>
          <w:rFonts w:ascii="Arial" w:hAnsi="Arial" w:cs="Arial"/>
          <w:caps w:val="0"/>
        </w:rPr>
        <w:tab/>
        <w:t>2</w:t>
      </w:r>
      <w:r w:rsidR="004567F3">
        <w:rPr>
          <w:rFonts w:ascii="Arial" w:hAnsi="Arial" w:cs="Arial"/>
          <w:caps w:val="0"/>
        </w:rPr>
        <w:t>3</w:t>
      </w:r>
    </w:p>
    <w:p w14:paraId="07C612E0" w14:textId="3F1780F8" w:rsidR="00D473CE" w:rsidRPr="00D473CE" w:rsidRDefault="00290D18" w:rsidP="002C1771">
      <w:pPr>
        <w:pStyle w:val="Level1"/>
        <w:numPr>
          <w:ilvl w:val="2"/>
          <w:numId w:val="15"/>
        </w:numPr>
        <w:tabs>
          <w:tab w:val="clear" w:pos="8630"/>
          <w:tab w:val="left" w:leader="dot" w:pos="9000"/>
        </w:tabs>
        <w:ind w:right="810"/>
        <w:rPr>
          <w:rFonts w:ascii="Arial" w:hAnsi="Arial" w:cs="Arial"/>
          <w:caps w:val="0"/>
        </w:rPr>
      </w:pPr>
      <w:r>
        <w:rPr>
          <w:rFonts w:ascii="Arial" w:hAnsi="Arial" w:cs="Arial"/>
          <w:caps w:val="0"/>
        </w:rPr>
        <w:t xml:space="preserve">AEP Ohio’s </w:t>
      </w:r>
      <w:r w:rsidRPr="005672E7">
        <w:rPr>
          <w:rFonts w:ascii="Arial" w:hAnsi="Arial" w:cs="Arial"/>
          <w:caps w:val="0"/>
        </w:rPr>
        <w:t>proposal will cost all customers money</w:t>
      </w:r>
      <w:r w:rsidRPr="005672E7">
        <w:rPr>
          <w:rFonts w:ascii="Arial" w:hAnsi="Arial" w:cs="Arial"/>
          <w:caps w:val="0"/>
        </w:rPr>
        <w:tab/>
        <w:t>2</w:t>
      </w:r>
      <w:r w:rsidR="004567F3">
        <w:rPr>
          <w:rFonts w:ascii="Arial" w:hAnsi="Arial" w:cs="Arial"/>
          <w:caps w:val="0"/>
        </w:rPr>
        <w:t>5</w:t>
      </w:r>
    </w:p>
    <w:p w14:paraId="50D0889F" w14:textId="584F616C" w:rsidR="00DA41DE" w:rsidRPr="00DA41DE" w:rsidRDefault="001C07B3" w:rsidP="001C07B3">
      <w:pPr>
        <w:pStyle w:val="Level1"/>
        <w:numPr>
          <w:ilvl w:val="3"/>
          <w:numId w:val="15"/>
        </w:numPr>
        <w:tabs>
          <w:tab w:val="clear" w:pos="8630"/>
          <w:tab w:val="left" w:leader="dot" w:pos="9000"/>
        </w:tabs>
        <w:ind w:right="810"/>
        <w:rPr>
          <w:rFonts w:ascii="Arial" w:hAnsi="Arial" w:cs="Arial"/>
          <w:caps w:val="0"/>
        </w:rPr>
      </w:pPr>
      <w:r>
        <w:rPr>
          <w:rFonts w:ascii="Arial" w:hAnsi="Arial" w:cs="Arial"/>
          <w:caps w:val="0"/>
        </w:rPr>
        <w:t>AEP Ohio’s</w:t>
      </w:r>
      <w:r w:rsidR="00DA41DE">
        <w:rPr>
          <w:rFonts w:ascii="Arial" w:hAnsi="Arial" w:cs="Arial"/>
          <w:caps w:val="0"/>
        </w:rPr>
        <w:t xml:space="preserve"> </w:t>
      </w:r>
      <w:r w:rsidR="00DA41DE" w:rsidRPr="005672E7">
        <w:rPr>
          <w:rFonts w:ascii="Arial" w:hAnsi="Arial" w:cs="Arial"/>
          <w:caps w:val="0"/>
        </w:rPr>
        <w:t>alleged locational marginal price suppression benefits are illusory</w:t>
      </w:r>
      <w:r w:rsidR="00DA41DE" w:rsidRPr="005672E7">
        <w:rPr>
          <w:rFonts w:ascii="Arial" w:hAnsi="Arial" w:cs="Arial"/>
          <w:caps w:val="0"/>
        </w:rPr>
        <w:tab/>
        <w:t>2</w:t>
      </w:r>
      <w:r w:rsidR="00155D6F" w:rsidRPr="005672E7">
        <w:rPr>
          <w:rFonts w:ascii="Arial" w:hAnsi="Arial" w:cs="Arial"/>
          <w:caps w:val="0"/>
        </w:rPr>
        <w:t>5</w:t>
      </w:r>
    </w:p>
    <w:p w14:paraId="17715267" w14:textId="7C21CF11" w:rsidR="00AE2683" w:rsidRPr="00AE2683" w:rsidRDefault="00DA41DE" w:rsidP="001C07B3">
      <w:pPr>
        <w:pStyle w:val="Level1"/>
        <w:numPr>
          <w:ilvl w:val="3"/>
          <w:numId w:val="15"/>
        </w:numPr>
        <w:tabs>
          <w:tab w:val="clear" w:pos="8630"/>
          <w:tab w:val="left" w:leader="dot" w:pos="9000"/>
        </w:tabs>
        <w:ind w:right="810"/>
        <w:rPr>
          <w:rFonts w:ascii="Arial" w:hAnsi="Arial" w:cs="Arial"/>
          <w:caps w:val="0"/>
        </w:rPr>
      </w:pPr>
      <w:r>
        <w:rPr>
          <w:rFonts w:ascii="Arial" w:hAnsi="Arial" w:cs="Arial"/>
          <w:caps w:val="0"/>
        </w:rPr>
        <w:t>AEP Ohio’s</w:t>
      </w:r>
      <w:r w:rsidR="00FD285F" w:rsidRPr="00AE4B2F">
        <w:rPr>
          <w:rFonts w:ascii="Arial" w:hAnsi="Arial" w:cs="Arial"/>
        </w:rPr>
        <w:t xml:space="preserve"> </w:t>
      </w:r>
      <w:r w:rsidRPr="005672E7">
        <w:rPr>
          <w:rFonts w:ascii="Arial" w:hAnsi="Arial" w:cs="Arial"/>
          <w:caps w:val="0"/>
        </w:rPr>
        <w:t>projection of market prices is not reliable</w:t>
      </w:r>
      <w:r w:rsidRPr="005672E7">
        <w:rPr>
          <w:rFonts w:ascii="Arial" w:hAnsi="Arial" w:cs="Arial"/>
          <w:caps w:val="0"/>
        </w:rPr>
        <w:tab/>
        <w:t>2</w:t>
      </w:r>
      <w:r w:rsidR="004567F3">
        <w:rPr>
          <w:rFonts w:ascii="Arial" w:hAnsi="Arial" w:cs="Arial"/>
          <w:caps w:val="0"/>
        </w:rPr>
        <w:t>6</w:t>
      </w:r>
    </w:p>
    <w:p w14:paraId="570FFB64" w14:textId="07757F3D" w:rsidR="001A7918" w:rsidRPr="001A7918" w:rsidRDefault="00AE2683" w:rsidP="001C07B3">
      <w:pPr>
        <w:pStyle w:val="Level1"/>
        <w:numPr>
          <w:ilvl w:val="3"/>
          <w:numId w:val="15"/>
        </w:numPr>
        <w:tabs>
          <w:tab w:val="clear" w:pos="8630"/>
          <w:tab w:val="left" w:leader="dot" w:pos="9000"/>
        </w:tabs>
        <w:ind w:right="810"/>
        <w:rPr>
          <w:rFonts w:ascii="Arial" w:hAnsi="Arial" w:cs="Arial"/>
          <w:caps w:val="0"/>
        </w:rPr>
      </w:pPr>
      <w:r>
        <w:rPr>
          <w:rFonts w:ascii="Arial" w:hAnsi="Arial" w:cs="Arial"/>
          <w:caps w:val="0"/>
        </w:rPr>
        <w:t>AEP Ohio’s</w:t>
      </w:r>
      <w:r w:rsidR="00DA41DE" w:rsidRPr="00AE4B2F">
        <w:rPr>
          <w:rFonts w:ascii="Arial" w:hAnsi="Arial" w:cs="Arial"/>
        </w:rPr>
        <w:t xml:space="preserve"> </w:t>
      </w:r>
      <w:r w:rsidRPr="005672E7">
        <w:rPr>
          <w:rFonts w:ascii="Arial" w:hAnsi="Arial" w:cs="Arial"/>
          <w:caps w:val="0"/>
        </w:rPr>
        <w:t>probabilistic simulation is misleading and unreliable</w:t>
      </w:r>
      <w:r w:rsidR="001A7918" w:rsidRPr="005672E7">
        <w:rPr>
          <w:rFonts w:ascii="Arial" w:hAnsi="Arial" w:cs="Arial"/>
          <w:caps w:val="0"/>
        </w:rPr>
        <w:tab/>
      </w:r>
      <w:r w:rsidR="003528C0">
        <w:rPr>
          <w:rFonts w:ascii="Arial" w:hAnsi="Arial" w:cs="Arial"/>
          <w:caps w:val="0"/>
        </w:rPr>
        <w:t>30</w:t>
      </w:r>
    </w:p>
    <w:p w14:paraId="7E456C94" w14:textId="5EA67DF3" w:rsidR="000B1E14" w:rsidRPr="000B1E14" w:rsidRDefault="001A7918" w:rsidP="001C07B3">
      <w:pPr>
        <w:pStyle w:val="Level1"/>
        <w:numPr>
          <w:ilvl w:val="3"/>
          <w:numId w:val="15"/>
        </w:numPr>
        <w:tabs>
          <w:tab w:val="clear" w:pos="8630"/>
          <w:tab w:val="left" w:leader="dot" w:pos="9000"/>
        </w:tabs>
        <w:ind w:right="810"/>
        <w:rPr>
          <w:rFonts w:ascii="Arial" w:hAnsi="Arial" w:cs="Arial"/>
          <w:caps w:val="0"/>
        </w:rPr>
      </w:pPr>
      <w:r>
        <w:rPr>
          <w:rFonts w:ascii="Arial" w:hAnsi="Arial" w:cs="Arial"/>
          <w:caps w:val="0"/>
        </w:rPr>
        <w:t xml:space="preserve">AEP Ohio’s </w:t>
      </w:r>
      <w:r w:rsidR="000B1E14" w:rsidRPr="005672E7">
        <w:rPr>
          <w:rFonts w:ascii="Arial" w:hAnsi="Arial" w:cs="Arial"/>
          <w:caps w:val="0"/>
        </w:rPr>
        <w:t>discount rate is understated and therefore inflates its projected benefits</w:t>
      </w:r>
      <w:r w:rsidR="000B1E14" w:rsidRPr="005672E7">
        <w:rPr>
          <w:rFonts w:ascii="Arial" w:hAnsi="Arial" w:cs="Arial"/>
          <w:caps w:val="0"/>
        </w:rPr>
        <w:tab/>
      </w:r>
      <w:r w:rsidR="003528C0">
        <w:rPr>
          <w:rFonts w:ascii="Arial" w:hAnsi="Arial" w:cs="Arial"/>
          <w:caps w:val="0"/>
        </w:rPr>
        <w:t>30</w:t>
      </w:r>
    </w:p>
    <w:p w14:paraId="3D5E76C0" w14:textId="27E542AE" w:rsidR="00D97389" w:rsidRPr="00D97389" w:rsidRDefault="004B6B82" w:rsidP="001C07B3">
      <w:pPr>
        <w:pStyle w:val="Level1"/>
        <w:numPr>
          <w:ilvl w:val="3"/>
          <w:numId w:val="15"/>
        </w:numPr>
        <w:tabs>
          <w:tab w:val="clear" w:pos="8630"/>
          <w:tab w:val="left" w:leader="dot" w:pos="9000"/>
        </w:tabs>
        <w:ind w:right="810"/>
        <w:rPr>
          <w:rFonts w:ascii="Arial" w:hAnsi="Arial" w:cs="Arial"/>
          <w:caps w:val="0"/>
        </w:rPr>
      </w:pPr>
      <w:r>
        <w:rPr>
          <w:rFonts w:ascii="Arial" w:hAnsi="Arial" w:cs="Arial"/>
          <w:caps w:val="0"/>
        </w:rPr>
        <w:t>Based upon</w:t>
      </w:r>
      <w:r w:rsidR="00AE2683" w:rsidRPr="005672E7">
        <w:rPr>
          <w:rFonts w:ascii="Arial" w:hAnsi="Arial" w:cs="Arial"/>
        </w:rPr>
        <w:t xml:space="preserve"> </w:t>
      </w:r>
      <w:r w:rsidRPr="005672E7">
        <w:rPr>
          <w:rFonts w:ascii="Arial" w:hAnsi="Arial" w:cs="Arial"/>
          <w:caps w:val="0"/>
        </w:rPr>
        <w:t>more realistic expectations of market prices, the ESP would flunk the MRO vs. ESP price test by approximately $100 million</w:t>
      </w:r>
      <w:r w:rsidRPr="005672E7">
        <w:rPr>
          <w:rFonts w:ascii="Arial" w:hAnsi="Arial" w:cs="Arial"/>
          <w:caps w:val="0"/>
        </w:rPr>
        <w:tab/>
        <w:t>3</w:t>
      </w:r>
      <w:r w:rsidR="003528C0">
        <w:rPr>
          <w:rFonts w:ascii="Arial" w:hAnsi="Arial" w:cs="Arial"/>
          <w:caps w:val="0"/>
        </w:rPr>
        <w:t>2</w:t>
      </w:r>
    </w:p>
    <w:p w14:paraId="7503814F" w14:textId="118BF5DD" w:rsidR="00100DD3" w:rsidRPr="00100DD3" w:rsidRDefault="00D97389" w:rsidP="00D97389">
      <w:pPr>
        <w:pStyle w:val="Level1"/>
        <w:numPr>
          <w:ilvl w:val="2"/>
          <w:numId w:val="15"/>
        </w:numPr>
        <w:tabs>
          <w:tab w:val="clear" w:pos="8630"/>
          <w:tab w:val="left" w:leader="dot" w:pos="9000"/>
        </w:tabs>
        <w:ind w:right="810"/>
        <w:rPr>
          <w:rFonts w:ascii="Arial" w:hAnsi="Arial" w:cs="Arial"/>
          <w:caps w:val="0"/>
        </w:rPr>
      </w:pPr>
      <w:r>
        <w:rPr>
          <w:rFonts w:ascii="Arial" w:hAnsi="Arial" w:cs="Arial"/>
        </w:rPr>
        <w:t>T</w:t>
      </w:r>
      <w:r>
        <w:rPr>
          <w:rFonts w:ascii="Arial" w:hAnsi="Arial" w:cs="Arial"/>
          <w:caps w:val="0"/>
        </w:rPr>
        <w:t>he</w:t>
      </w:r>
      <w:r>
        <w:rPr>
          <w:rFonts w:ascii="Arial" w:hAnsi="Arial" w:cs="Arial"/>
        </w:rPr>
        <w:t xml:space="preserve"> </w:t>
      </w:r>
      <w:r>
        <w:rPr>
          <w:rFonts w:ascii="Arial" w:hAnsi="Arial" w:cs="Arial"/>
          <w:caps w:val="0"/>
        </w:rPr>
        <w:t>projects</w:t>
      </w:r>
      <w:r w:rsidR="004B6B82" w:rsidRPr="00AE4B2F">
        <w:rPr>
          <w:rFonts w:ascii="Arial" w:hAnsi="Arial" w:cs="Arial"/>
        </w:rPr>
        <w:t xml:space="preserve"> </w:t>
      </w:r>
      <w:r w:rsidRPr="005672E7">
        <w:rPr>
          <w:rFonts w:ascii="Arial" w:hAnsi="Arial" w:cs="Arial"/>
          <w:caps w:val="0"/>
        </w:rPr>
        <w:t>will have little impact on Ohio’s generation mix, accept for the possibility of discouraging market-based development of generation resources</w:t>
      </w:r>
      <w:r w:rsidR="00100DD3" w:rsidRPr="005672E7">
        <w:rPr>
          <w:rFonts w:ascii="Arial" w:hAnsi="Arial" w:cs="Arial"/>
          <w:caps w:val="0"/>
        </w:rPr>
        <w:tab/>
        <w:t>3</w:t>
      </w:r>
      <w:r w:rsidR="003528C0">
        <w:rPr>
          <w:rFonts w:ascii="Arial" w:hAnsi="Arial" w:cs="Arial"/>
          <w:caps w:val="0"/>
        </w:rPr>
        <w:t>5</w:t>
      </w:r>
    </w:p>
    <w:p w14:paraId="5093CD72" w14:textId="2FAA3CB8" w:rsidR="00100DD3" w:rsidRPr="00100DD3" w:rsidRDefault="00D97389" w:rsidP="00D97389">
      <w:pPr>
        <w:pStyle w:val="Level1"/>
        <w:numPr>
          <w:ilvl w:val="2"/>
          <w:numId w:val="15"/>
        </w:numPr>
        <w:tabs>
          <w:tab w:val="clear" w:pos="8630"/>
          <w:tab w:val="left" w:leader="dot" w:pos="9000"/>
        </w:tabs>
        <w:ind w:right="810"/>
        <w:rPr>
          <w:rFonts w:ascii="Arial" w:hAnsi="Arial" w:cs="Arial"/>
          <w:caps w:val="0"/>
        </w:rPr>
      </w:pPr>
      <w:r w:rsidRPr="00AE4B2F">
        <w:rPr>
          <w:rFonts w:ascii="Arial" w:hAnsi="Arial" w:cs="Arial"/>
        </w:rPr>
        <w:t xml:space="preserve"> </w:t>
      </w:r>
      <w:r w:rsidR="00100DD3">
        <w:rPr>
          <w:rFonts w:ascii="Arial" w:hAnsi="Arial" w:cs="Arial"/>
        </w:rPr>
        <w:t>aep O</w:t>
      </w:r>
      <w:r w:rsidR="00100DD3" w:rsidRPr="005672E7">
        <w:rPr>
          <w:rFonts w:ascii="Arial" w:hAnsi="Arial" w:cs="Arial"/>
          <w:caps w:val="0"/>
        </w:rPr>
        <w:t>hio’s proposal will discourage more beneficial market-based approaches</w:t>
      </w:r>
      <w:r w:rsidR="00100DD3" w:rsidRPr="005672E7">
        <w:rPr>
          <w:rFonts w:ascii="Arial" w:hAnsi="Arial" w:cs="Arial"/>
          <w:caps w:val="0"/>
        </w:rPr>
        <w:tab/>
        <w:t>3</w:t>
      </w:r>
      <w:r w:rsidR="003528C0">
        <w:rPr>
          <w:rFonts w:ascii="Arial" w:hAnsi="Arial" w:cs="Arial"/>
          <w:caps w:val="0"/>
        </w:rPr>
        <w:t>6</w:t>
      </w:r>
    </w:p>
    <w:p w14:paraId="37D8B1EB" w14:textId="1E4AA859" w:rsidR="00916E4C" w:rsidRPr="00916E4C" w:rsidRDefault="009B5400" w:rsidP="00D97389">
      <w:pPr>
        <w:pStyle w:val="Level1"/>
        <w:numPr>
          <w:ilvl w:val="2"/>
          <w:numId w:val="15"/>
        </w:numPr>
        <w:tabs>
          <w:tab w:val="clear" w:pos="8630"/>
          <w:tab w:val="left" w:leader="dot" w:pos="9000"/>
        </w:tabs>
        <w:ind w:right="810"/>
        <w:rPr>
          <w:rFonts w:ascii="Arial" w:hAnsi="Arial" w:cs="Arial"/>
          <w:caps w:val="0"/>
        </w:rPr>
      </w:pPr>
      <w:r>
        <w:rPr>
          <w:rFonts w:ascii="Arial" w:hAnsi="Arial" w:cs="Arial"/>
        </w:rPr>
        <w:t>t</w:t>
      </w:r>
      <w:r>
        <w:rPr>
          <w:rFonts w:ascii="Arial" w:hAnsi="Arial" w:cs="Arial"/>
          <w:caps w:val="0"/>
        </w:rPr>
        <w:t>he</w:t>
      </w:r>
      <w:r>
        <w:rPr>
          <w:rFonts w:ascii="Arial" w:hAnsi="Arial" w:cs="Arial"/>
        </w:rPr>
        <w:t xml:space="preserve"> C</w:t>
      </w:r>
      <w:r w:rsidRPr="005672E7">
        <w:rPr>
          <w:rFonts w:ascii="Arial" w:hAnsi="Arial" w:cs="Arial"/>
          <w:caps w:val="0"/>
        </w:rPr>
        <w:t>ommission should not rush Phase 2 before a final order in this case</w:t>
      </w:r>
      <w:r w:rsidRPr="005672E7">
        <w:rPr>
          <w:rFonts w:ascii="Arial" w:hAnsi="Arial" w:cs="Arial"/>
          <w:caps w:val="0"/>
        </w:rPr>
        <w:tab/>
      </w:r>
      <w:r w:rsidR="001D635F">
        <w:rPr>
          <w:rFonts w:ascii="Arial" w:hAnsi="Arial" w:cs="Arial"/>
          <w:caps w:val="0"/>
        </w:rPr>
        <w:t>40</w:t>
      </w:r>
    </w:p>
    <w:p w14:paraId="7526AF26" w14:textId="2C62AFDD" w:rsidR="43FAAD42" w:rsidRPr="00AE4B2F" w:rsidRDefault="00916E4C" w:rsidP="00916E4C">
      <w:pPr>
        <w:pStyle w:val="Level1"/>
        <w:numPr>
          <w:ilvl w:val="0"/>
          <w:numId w:val="15"/>
        </w:numPr>
        <w:tabs>
          <w:tab w:val="clear" w:pos="8630"/>
          <w:tab w:val="left" w:leader="dot" w:pos="9000"/>
        </w:tabs>
        <w:ind w:right="810"/>
        <w:rPr>
          <w:rFonts w:ascii="Arial" w:hAnsi="Arial" w:cs="Arial"/>
          <w:caps w:val="0"/>
        </w:rPr>
      </w:pPr>
      <w:r>
        <w:rPr>
          <w:rFonts w:ascii="Arial" w:hAnsi="Arial" w:cs="Arial"/>
        </w:rPr>
        <w:t>conclusion</w:t>
      </w:r>
      <w:r>
        <w:rPr>
          <w:rFonts w:ascii="Arial" w:hAnsi="Arial" w:cs="Arial"/>
        </w:rPr>
        <w:tab/>
      </w:r>
      <w:r w:rsidR="001D635F">
        <w:rPr>
          <w:rFonts w:ascii="Arial" w:hAnsi="Arial" w:cs="Arial"/>
        </w:rPr>
        <w:t>41</w:t>
      </w:r>
      <w:r w:rsidR="00100DD3" w:rsidRPr="00AE4B2F">
        <w:rPr>
          <w:rFonts w:ascii="Arial" w:hAnsi="Arial" w:cs="Arial"/>
        </w:rPr>
        <w:t xml:space="preserve"> </w:t>
      </w:r>
      <w:r w:rsidR="00EF5C4B" w:rsidRPr="00AE4B2F">
        <w:rPr>
          <w:rFonts w:ascii="Arial" w:hAnsi="Arial" w:cs="Arial"/>
        </w:rPr>
        <w:br w:type="page"/>
      </w:r>
    </w:p>
    <w:bookmarkEnd w:id="0"/>
    <w:p w14:paraId="38FFCA42" w14:textId="77777777" w:rsidR="00F11B92" w:rsidRPr="00561663" w:rsidRDefault="00F11B92" w:rsidP="00F11B92">
      <w:pPr>
        <w:pStyle w:val="Title"/>
        <w:widowControl w:val="0"/>
        <w:rPr>
          <w:rFonts w:ascii="Arial" w:hAnsi="Arial" w:cs="Arial"/>
          <w:szCs w:val="24"/>
        </w:rPr>
      </w:pPr>
      <w:r w:rsidRPr="00561663">
        <w:rPr>
          <w:rFonts w:ascii="Arial" w:hAnsi="Arial" w:cs="Arial"/>
          <w:szCs w:val="24"/>
        </w:rPr>
        <w:t>BEFORE</w:t>
      </w:r>
    </w:p>
    <w:p w14:paraId="4ECE4E66" w14:textId="77777777" w:rsidR="00F11B92" w:rsidRPr="00646AB2" w:rsidRDefault="00F11B92" w:rsidP="00F11B92">
      <w:pPr>
        <w:widowControl w:val="0"/>
        <w:jc w:val="center"/>
        <w:rPr>
          <w:b/>
          <w:sz w:val="24"/>
          <w:szCs w:val="24"/>
        </w:rPr>
      </w:pPr>
      <w:r w:rsidRPr="00561663">
        <w:rPr>
          <w:b/>
          <w:sz w:val="24"/>
          <w:szCs w:val="24"/>
        </w:rPr>
        <w:t>THE PUBLIC UTILITIES COMMISSION OF OHIO</w:t>
      </w:r>
    </w:p>
    <w:tbl>
      <w:tblPr>
        <w:tblW w:w="0" w:type="auto"/>
        <w:jc w:val="center"/>
        <w:tblLook w:val="01E0" w:firstRow="1" w:lastRow="1" w:firstColumn="1" w:lastColumn="1" w:noHBand="0" w:noVBand="0"/>
      </w:tblPr>
      <w:tblGrid>
        <w:gridCol w:w="4739"/>
        <w:gridCol w:w="630"/>
        <w:gridCol w:w="3928"/>
      </w:tblGrid>
      <w:tr w:rsidR="00F11B92" w:rsidRPr="00561663" w14:paraId="00A1FC34" w14:textId="77777777" w:rsidTr="00916543">
        <w:trPr>
          <w:trHeight w:val="1359"/>
          <w:jc w:val="center"/>
        </w:trPr>
        <w:tc>
          <w:tcPr>
            <w:tcW w:w="4739" w:type="dxa"/>
          </w:tcPr>
          <w:p w14:paraId="3C33729C" w14:textId="77777777" w:rsidR="00F11B92" w:rsidRPr="00114B47" w:rsidRDefault="00F11B92" w:rsidP="00916543">
            <w:pPr>
              <w:spacing w:after="0" w:line="240" w:lineRule="auto"/>
              <w:rPr>
                <w:sz w:val="24"/>
                <w:szCs w:val="24"/>
              </w:rPr>
            </w:pPr>
            <w:r w:rsidRPr="00114B47">
              <w:rPr>
                <w:sz w:val="24"/>
                <w:szCs w:val="24"/>
              </w:rPr>
              <w:t xml:space="preserve">In the Matter of the </w:t>
            </w:r>
            <w:r>
              <w:rPr>
                <w:sz w:val="24"/>
                <w:szCs w:val="24"/>
              </w:rPr>
              <w:t>2018 Long-Term Forecast Report of Ohio Power Company and Related Matters.</w:t>
            </w:r>
          </w:p>
          <w:p w14:paraId="62EBF3C5" w14:textId="77777777" w:rsidR="00F11B92" w:rsidRPr="00114B47" w:rsidRDefault="00F11B92" w:rsidP="00916543">
            <w:pPr>
              <w:spacing w:after="0" w:line="240" w:lineRule="auto"/>
              <w:rPr>
                <w:sz w:val="24"/>
                <w:szCs w:val="24"/>
              </w:rPr>
            </w:pPr>
          </w:p>
          <w:p w14:paraId="2E675C44" w14:textId="77777777" w:rsidR="00F11B92" w:rsidRDefault="00F11B92" w:rsidP="00916543">
            <w:pPr>
              <w:spacing w:after="0" w:line="240" w:lineRule="auto"/>
              <w:rPr>
                <w:sz w:val="24"/>
                <w:szCs w:val="24"/>
              </w:rPr>
            </w:pPr>
            <w:r w:rsidRPr="005E7F59">
              <w:rPr>
                <w:sz w:val="24"/>
                <w:szCs w:val="24"/>
              </w:rPr>
              <w:t>I</w:t>
            </w:r>
            <w:r>
              <w:rPr>
                <w:sz w:val="24"/>
                <w:szCs w:val="24"/>
              </w:rPr>
              <w:t>n the Matter of the Application of Ohio Power Company for Approval to Enter into Renewable Energy Purchase Agreements for Inclusion in the Renewable Generation</w:t>
            </w:r>
            <w:r w:rsidRPr="005E7F59">
              <w:rPr>
                <w:sz w:val="24"/>
                <w:szCs w:val="24"/>
              </w:rPr>
              <w:t xml:space="preserve"> Rider.</w:t>
            </w:r>
          </w:p>
          <w:p w14:paraId="6D98A12B" w14:textId="77777777" w:rsidR="00F11B92" w:rsidRDefault="00F11B92" w:rsidP="00916543">
            <w:pPr>
              <w:spacing w:after="0" w:line="240" w:lineRule="auto"/>
              <w:rPr>
                <w:sz w:val="24"/>
                <w:szCs w:val="24"/>
              </w:rPr>
            </w:pPr>
          </w:p>
          <w:p w14:paraId="4B4D0F35" w14:textId="77777777" w:rsidR="00F11B92" w:rsidRPr="005E7F59" w:rsidRDefault="00F11B92" w:rsidP="00916543">
            <w:pPr>
              <w:spacing w:after="0" w:line="240" w:lineRule="auto"/>
              <w:rPr>
                <w:sz w:val="24"/>
                <w:szCs w:val="24"/>
              </w:rPr>
            </w:pPr>
            <w:r w:rsidRPr="005E7F59">
              <w:rPr>
                <w:sz w:val="24"/>
                <w:szCs w:val="24"/>
              </w:rPr>
              <w:t>In the Matter of the Application of Ohio</w:t>
            </w:r>
          </w:p>
          <w:p w14:paraId="691E5244" w14:textId="77777777" w:rsidR="00F11B92" w:rsidRPr="00561663" w:rsidRDefault="00F11B92" w:rsidP="00916543">
            <w:pPr>
              <w:spacing w:after="0" w:line="240" w:lineRule="auto"/>
              <w:rPr>
                <w:sz w:val="24"/>
                <w:szCs w:val="24"/>
              </w:rPr>
            </w:pPr>
            <w:r>
              <w:rPr>
                <w:sz w:val="24"/>
                <w:szCs w:val="24"/>
              </w:rPr>
              <w:t>Power Company for Approval to</w:t>
            </w:r>
            <w:r w:rsidRPr="005E7F59">
              <w:rPr>
                <w:sz w:val="24"/>
                <w:szCs w:val="24"/>
              </w:rPr>
              <w:t xml:space="preserve"> Amend its Tariffs.</w:t>
            </w:r>
          </w:p>
        </w:tc>
        <w:tc>
          <w:tcPr>
            <w:tcW w:w="630" w:type="dxa"/>
          </w:tcPr>
          <w:p w14:paraId="778840A1"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461A9EC2"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58693026"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946DB82" w14:textId="77777777" w:rsidR="00F11B92" w:rsidRDefault="00F11B92" w:rsidP="00916543">
            <w:pPr>
              <w:widowControl w:val="0"/>
              <w:spacing w:after="0" w:line="240" w:lineRule="auto"/>
              <w:jc w:val="center"/>
              <w:rPr>
                <w:sz w:val="24"/>
                <w:szCs w:val="24"/>
              </w:rPr>
            </w:pPr>
          </w:p>
          <w:p w14:paraId="5BFAFDA8"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686D1C19"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42B8D3C"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671F1FAC"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125F3C3F"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5997CC1D" w14:textId="77777777" w:rsidR="00F11B92" w:rsidRDefault="00F11B92" w:rsidP="00916543">
            <w:pPr>
              <w:widowControl w:val="0"/>
              <w:spacing w:after="0" w:line="240" w:lineRule="auto"/>
              <w:jc w:val="center"/>
              <w:rPr>
                <w:sz w:val="24"/>
                <w:szCs w:val="24"/>
              </w:rPr>
            </w:pPr>
          </w:p>
          <w:p w14:paraId="790B8902"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0CBA7C98"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264E1D95" w14:textId="77777777" w:rsidR="00F11B92" w:rsidRPr="00561663" w:rsidRDefault="00F11B92" w:rsidP="00916543">
            <w:pPr>
              <w:widowControl w:val="0"/>
              <w:spacing w:after="0" w:line="240" w:lineRule="auto"/>
              <w:jc w:val="center"/>
              <w:rPr>
                <w:sz w:val="24"/>
                <w:szCs w:val="24"/>
              </w:rPr>
            </w:pPr>
            <w:r w:rsidRPr="00561663">
              <w:rPr>
                <w:sz w:val="24"/>
                <w:szCs w:val="24"/>
              </w:rPr>
              <w:t>)</w:t>
            </w:r>
          </w:p>
          <w:p w14:paraId="110FFD37" w14:textId="77777777" w:rsidR="00F11B92" w:rsidRPr="00561663" w:rsidRDefault="00F11B92" w:rsidP="00916543">
            <w:pPr>
              <w:widowControl w:val="0"/>
              <w:spacing w:after="0" w:line="240" w:lineRule="auto"/>
              <w:jc w:val="center"/>
              <w:rPr>
                <w:sz w:val="24"/>
                <w:szCs w:val="24"/>
              </w:rPr>
            </w:pPr>
          </w:p>
        </w:tc>
        <w:tc>
          <w:tcPr>
            <w:tcW w:w="3928" w:type="dxa"/>
          </w:tcPr>
          <w:p w14:paraId="6B699379" w14:textId="77777777" w:rsidR="00F11B92" w:rsidRDefault="00F11B92" w:rsidP="00916543">
            <w:pPr>
              <w:widowControl w:val="0"/>
              <w:spacing w:after="0" w:line="240" w:lineRule="auto"/>
              <w:rPr>
                <w:sz w:val="24"/>
                <w:szCs w:val="24"/>
              </w:rPr>
            </w:pPr>
          </w:p>
          <w:p w14:paraId="25A7A5B4" w14:textId="77777777" w:rsidR="00F11B92" w:rsidRPr="00561663" w:rsidRDefault="00F11B92" w:rsidP="00916543">
            <w:pPr>
              <w:widowControl w:val="0"/>
              <w:spacing w:after="0" w:line="240" w:lineRule="auto"/>
              <w:rPr>
                <w:sz w:val="24"/>
                <w:szCs w:val="24"/>
              </w:rPr>
            </w:pPr>
            <w:r>
              <w:rPr>
                <w:sz w:val="24"/>
                <w:szCs w:val="24"/>
              </w:rPr>
              <w:t>Case No. 18-501-EL-FOR</w:t>
            </w:r>
          </w:p>
          <w:p w14:paraId="3FE9F23F" w14:textId="77777777" w:rsidR="00F11B92" w:rsidRDefault="00F11B92" w:rsidP="00916543">
            <w:pPr>
              <w:widowControl w:val="0"/>
              <w:spacing w:after="0" w:line="240" w:lineRule="auto"/>
              <w:rPr>
                <w:sz w:val="24"/>
                <w:szCs w:val="24"/>
              </w:rPr>
            </w:pPr>
          </w:p>
          <w:p w14:paraId="1F72F646" w14:textId="77777777" w:rsidR="00F11B92" w:rsidRDefault="00F11B92" w:rsidP="00916543">
            <w:pPr>
              <w:widowControl w:val="0"/>
              <w:spacing w:after="0" w:line="240" w:lineRule="auto"/>
              <w:rPr>
                <w:sz w:val="24"/>
                <w:szCs w:val="24"/>
              </w:rPr>
            </w:pPr>
          </w:p>
          <w:p w14:paraId="08CE6F91" w14:textId="77777777" w:rsidR="00F11B92" w:rsidRDefault="00F11B92" w:rsidP="00916543">
            <w:pPr>
              <w:widowControl w:val="0"/>
              <w:spacing w:after="0" w:line="240" w:lineRule="auto"/>
              <w:rPr>
                <w:sz w:val="24"/>
                <w:szCs w:val="24"/>
              </w:rPr>
            </w:pPr>
          </w:p>
          <w:p w14:paraId="61CDCEAD" w14:textId="77777777" w:rsidR="00F11B92" w:rsidRDefault="00F11B92" w:rsidP="00916543">
            <w:pPr>
              <w:widowControl w:val="0"/>
              <w:spacing w:after="0" w:line="240" w:lineRule="auto"/>
              <w:rPr>
                <w:sz w:val="24"/>
                <w:szCs w:val="24"/>
              </w:rPr>
            </w:pPr>
          </w:p>
          <w:p w14:paraId="1DF815BF" w14:textId="77777777" w:rsidR="00F11B92" w:rsidRDefault="00F11B92" w:rsidP="00916543">
            <w:pPr>
              <w:widowControl w:val="0"/>
              <w:spacing w:after="0" w:line="240" w:lineRule="auto"/>
              <w:rPr>
                <w:sz w:val="24"/>
                <w:szCs w:val="24"/>
              </w:rPr>
            </w:pPr>
            <w:r>
              <w:rPr>
                <w:sz w:val="24"/>
                <w:szCs w:val="24"/>
              </w:rPr>
              <w:t>Case No. 18-1392-EL-RDR</w:t>
            </w:r>
          </w:p>
          <w:p w14:paraId="6BB9E253" w14:textId="77777777" w:rsidR="00F11B92" w:rsidRDefault="00F11B92" w:rsidP="00916543">
            <w:pPr>
              <w:widowControl w:val="0"/>
              <w:spacing w:after="0" w:line="240" w:lineRule="auto"/>
              <w:rPr>
                <w:sz w:val="24"/>
                <w:szCs w:val="24"/>
              </w:rPr>
            </w:pPr>
          </w:p>
          <w:p w14:paraId="23DE523C" w14:textId="77777777" w:rsidR="00F11B92" w:rsidRDefault="00F11B92" w:rsidP="00916543">
            <w:pPr>
              <w:widowControl w:val="0"/>
              <w:spacing w:after="0" w:line="240" w:lineRule="auto"/>
              <w:rPr>
                <w:sz w:val="24"/>
                <w:szCs w:val="24"/>
              </w:rPr>
            </w:pPr>
          </w:p>
          <w:p w14:paraId="52E56223" w14:textId="77777777" w:rsidR="00F11B92" w:rsidRDefault="00F11B92" w:rsidP="00916543">
            <w:pPr>
              <w:widowControl w:val="0"/>
              <w:spacing w:after="0" w:line="240" w:lineRule="auto"/>
              <w:rPr>
                <w:sz w:val="24"/>
                <w:szCs w:val="24"/>
              </w:rPr>
            </w:pPr>
          </w:p>
          <w:p w14:paraId="07547A01" w14:textId="77777777" w:rsidR="00F11B92" w:rsidRDefault="00F11B92" w:rsidP="00916543">
            <w:pPr>
              <w:widowControl w:val="0"/>
              <w:spacing w:after="0" w:line="240" w:lineRule="auto"/>
              <w:rPr>
                <w:sz w:val="24"/>
                <w:szCs w:val="24"/>
              </w:rPr>
            </w:pPr>
          </w:p>
          <w:p w14:paraId="5870A85B" w14:textId="77777777" w:rsidR="00F11B92" w:rsidRPr="00561663" w:rsidRDefault="00F11B92" w:rsidP="00916543">
            <w:pPr>
              <w:widowControl w:val="0"/>
              <w:spacing w:after="0" w:line="240" w:lineRule="auto"/>
              <w:rPr>
                <w:sz w:val="24"/>
                <w:szCs w:val="24"/>
              </w:rPr>
            </w:pPr>
            <w:r>
              <w:rPr>
                <w:sz w:val="24"/>
                <w:szCs w:val="24"/>
              </w:rPr>
              <w:t>Case No. 18-1393-EL-ATA</w:t>
            </w:r>
          </w:p>
        </w:tc>
      </w:tr>
    </w:tbl>
    <w:p w14:paraId="5043CB0F" w14:textId="77777777" w:rsidR="00F11B92" w:rsidRDefault="00F11B92" w:rsidP="00F11B92">
      <w:pPr>
        <w:widowControl w:val="0"/>
        <w:pBdr>
          <w:bottom w:val="single" w:sz="12" w:space="0" w:color="auto"/>
        </w:pBdr>
        <w:spacing w:after="0" w:line="240" w:lineRule="auto"/>
        <w:rPr>
          <w:sz w:val="24"/>
          <w:szCs w:val="24"/>
        </w:rPr>
      </w:pPr>
    </w:p>
    <w:p w14:paraId="07459315" w14:textId="77777777" w:rsidR="00F11B92" w:rsidRPr="009D71F6" w:rsidRDefault="00F11B92" w:rsidP="00F11B92">
      <w:pPr>
        <w:widowControl w:val="0"/>
        <w:pBdr>
          <w:bottom w:val="single" w:sz="12" w:space="0" w:color="auto"/>
        </w:pBdr>
        <w:spacing w:after="0" w:line="240" w:lineRule="auto"/>
        <w:rPr>
          <w:sz w:val="24"/>
          <w:szCs w:val="24"/>
        </w:rPr>
      </w:pPr>
    </w:p>
    <w:p w14:paraId="6537F28F" w14:textId="77777777" w:rsidR="00F11B92" w:rsidRPr="009D71F6" w:rsidRDefault="00F11B92" w:rsidP="00F11B92">
      <w:pPr>
        <w:widowControl w:val="0"/>
        <w:spacing w:after="0" w:line="240" w:lineRule="auto"/>
        <w:jc w:val="center"/>
        <w:rPr>
          <w:b/>
          <w:bCs/>
          <w:sz w:val="24"/>
          <w:szCs w:val="24"/>
        </w:rPr>
      </w:pPr>
    </w:p>
    <w:p w14:paraId="7C443C1A" w14:textId="21FE450E" w:rsidR="00F11B92" w:rsidRDefault="007B5F17" w:rsidP="6AF121AF">
      <w:pPr>
        <w:widowControl w:val="0"/>
        <w:pBdr>
          <w:bottom w:val="single" w:sz="12" w:space="1" w:color="auto"/>
        </w:pBdr>
        <w:tabs>
          <w:tab w:val="left" w:pos="6461"/>
        </w:tabs>
        <w:spacing w:after="0" w:line="240" w:lineRule="auto"/>
        <w:jc w:val="center"/>
        <w:rPr>
          <w:b/>
          <w:bCs/>
          <w:sz w:val="24"/>
          <w:szCs w:val="24"/>
        </w:rPr>
      </w:pPr>
      <w:r>
        <w:rPr>
          <w:b/>
          <w:bCs/>
          <w:sz w:val="24"/>
          <w:szCs w:val="24"/>
        </w:rPr>
        <w:t>REPLY</w:t>
      </w:r>
      <w:r w:rsidR="6AF121AF" w:rsidRPr="6AF121AF">
        <w:rPr>
          <w:b/>
          <w:bCs/>
          <w:sz w:val="24"/>
          <w:szCs w:val="24"/>
        </w:rPr>
        <w:t xml:space="preserve"> BRIEF OF INTERSTATE GAS SUPPLY, INC. AND IGS SOLAR, LLC</w:t>
      </w:r>
    </w:p>
    <w:p w14:paraId="6DFB9E20" w14:textId="5004EA8D" w:rsidR="00F11B92" w:rsidRPr="009D71F6" w:rsidRDefault="00F11B92" w:rsidP="00F11B92">
      <w:pPr>
        <w:widowControl w:val="0"/>
        <w:pBdr>
          <w:bottom w:val="single" w:sz="12" w:space="1" w:color="auto"/>
        </w:pBdr>
        <w:tabs>
          <w:tab w:val="left" w:pos="6461"/>
        </w:tabs>
        <w:spacing w:after="0" w:line="240" w:lineRule="auto"/>
        <w:jc w:val="center"/>
        <w:rPr>
          <w:sz w:val="24"/>
          <w:szCs w:val="24"/>
        </w:rPr>
      </w:pPr>
    </w:p>
    <w:p w14:paraId="70DF9E56" w14:textId="77777777" w:rsidR="00F11B92" w:rsidRDefault="00F11B92" w:rsidP="00F11B92">
      <w:pPr>
        <w:autoSpaceDE w:val="0"/>
        <w:autoSpaceDN w:val="0"/>
        <w:adjustRightInd w:val="0"/>
        <w:spacing w:after="120" w:line="480" w:lineRule="auto"/>
        <w:jc w:val="both"/>
        <w:rPr>
          <w:sz w:val="24"/>
          <w:szCs w:val="24"/>
        </w:rPr>
      </w:pPr>
    </w:p>
    <w:p w14:paraId="1AFE6426" w14:textId="5B373968" w:rsidR="006721BE" w:rsidRDefault="00494259" w:rsidP="00447C95">
      <w:pPr>
        <w:pStyle w:val="ListParagraph"/>
        <w:numPr>
          <w:ilvl w:val="0"/>
          <w:numId w:val="1"/>
        </w:numPr>
        <w:autoSpaceDE w:val="0"/>
        <w:autoSpaceDN w:val="0"/>
        <w:adjustRightInd w:val="0"/>
        <w:spacing w:after="120" w:line="480" w:lineRule="auto"/>
        <w:jc w:val="both"/>
        <w:rPr>
          <w:b/>
          <w:sz w:val="24"/>
          <w:szCs w:val="24"/>
        </w:rPr>
      </w:pPr>
      <w:r>
        <w:rPr>
          <w:b/>
          <w:sz w:val="24"/>
          <w:szCs w:val="24"/>
        </w:rPr>
        <w:t>INTRODUCTION</w:t>
      </w:r>
    </w:p>
    <w:p w14:paraId="6B498FEF" w14:textId="0DB63325" w:rsidR="000C59BE" w:rsidRDefault="001268ED" w:rsidP="005451DC">
      <w:pPr>
        <w:autoSpaceDE w:val="0"/>
        <w:autoSpaceDN w:val="0"/>
        <w:adjustRightInd w:val="0"/>
        <w:spacing w:after="120" w:line="480" w:lineRule="auto"/>
        <w:ind w:firstLine="720"/>
        <w:jc w:val="both"/>
        <w:rPr>
          <w:sz w:val="24"/>
          <w:szCs w:val="24"/>
        </w:rPr>
      </w:pPr>
      <w:r>
        <w:rPr>
          <w:sz w:val="24"/>
          <w:szCs w:val="24"/>
        </w:rPr>
        <w:t>The world was very different in 2008 when</w:t>
      </w:r>
      <w:r w:rsidR="00672962">
        <w:rPr>
          <w:sz w:val="24"/>
          <w:szCs w:val="24"/>
        </w:rPr>
        <w:t xml:space="preserve"> the General Assembly passed Amended Senate Bill 221</w:t>
      </w:r>
      <w:r w:rsidR="0047766F">
        <w:rPr>
          <w:sz w:val="24"/>
          <w:szCs w:val="24"/>
        </w:rPr>
        <w:t xml:space="preserve"> (“SB 221”)</w:t>
      </w:r>
      <w:r w:rsidR="00672962">
        <w:rPr>
          <w:sz w:val="24"/>
          <w:szCs w:val="24"/>
        </w:rPr>
        <w:t>.</w:t>
      </w:r>
      <w:r w:rsidR="00190277">
        <w:rPr>
          <w:sz w:val="24"/>
          <w:szCs w:val="24"/>
        </w:rPr>
        <w:t xml:space="preserve">  </w:t>
      </w:r>
      <w:r w:rsidR="00F23E94">
        <w:rPr>
          <w:sz w:val="24"/>
          <w:szCs w:val="24"/>
        </w:rPr>
        <w:t xml:space="preserve">Energy prices </w:t>
      </w:r>
      <w:r w:rsidR="006D3D75">
        <w:rPr>
          <w:sz w:val="24"/>
          <w:szCs w:val="24"/>
        </w:rPr>
        <w:t>and demand were continually rising</w:t>
      </w:r>
      <w:r w:rsidR="006A7FFC">
        <w:rPr>
          <w:sz w:val="24"/>
          <w:szCs w:val="24"/>
        </w:rPr>
        <w:t>.</w:t>
      </w:r>
      <w:r w:rsidR="00176A55">
        <w:rPr>
          <w:sz w:val="24"/>
          <w:szCs w:val="24"/>
        </w:rPr>
        <w:t xml:space="preserve"> </w:t>
      </w:r>
      <w:r w:rsidR="006A7FFC">
        <w:rPr>
          <w:sz w:val="24"/>
          <w:szCs w:val="24"/>
        </w:rPr>
        <w:t xml:space="preserve"> </w:t>
      </w:r>
      <w:r w:rsidR="003D2F64">
        <w:rPr>
          <w:sz w:val="24"/>
          <w:szCs w:val="24"/>
        </w:rPr>
        <w:t xml:space="preserve">Parties legitimately questioned whether there would be </w:t>
      </w:r>
      <w:proofErr w:type="gramStart"/>
      <w:r w:rsidR="003D2F64">
        <w:rPr>
          <w:sz w:val="24"/>
          <w:szCs w:val="24"/>
        </w:rPr>
        <w:t>sufficient</w:t>
      </w:r>
      <w:proofErr w:type="gramEnd"/>
      <w:r w:rsidR="00176A55">
        <w:rPr>
          <w:sz w:val="24"/>
          <w:szCs w:val="24"/>
        </w:rPr>
        <w:t xml:space="preserve"> </w:t>
      </w:r>
      <w:r w:rsidR="003D2F64">
        <w:rPr>
          <w:sz w:val="24"/>
          <w:szCs w:val="24"/>
        </w:rPr>
        <w:t>g</w:t>
      </w:r>
      <w:r w:rsidR="00176A55">
        <w:rPr>
          <w:sz w:val="24"/>
          <w:szCs w:val="24"/>
        </w:rPr>
        <w:t xml:space="preserve">eneration capacity </w:t>
      </w:r>
      <w:r w:rsidR="003D2F64">
        <w:rPr>
          <w:sz w:val="24"/>
          <w:szCs w:val="24"/>
        </w:rPr>
        <w:t xml:space="preserve">available </w:t>
      </w:r>
      <w:r w:rsidR="00176A55">
        <w:rPr>
          <w:sz w:val="24"/>
          <w:szCs w:val="24"/>
        </w:rPr>
        <w:t>to meet demand</w:t>
      </w:r>
      <w:r w:rsidR="003D2F64">
        <w:rPr>
          <w:sz w:val="24"/>
          <w:szCs w:val="24"/>
        </w:rPr>
        <w:t xml:space="preserve"> at a reasonable </w:t>
      </w:r>
      <w:r w:rsidR="000D1FDD">
        <w:rPr>
          <w:sz w:val="24"/>
          <w:szCs w:val="24"/>
        </w:rPr>
        <w:t>price</w:t>
      </w:r>
      <w:r w:rsidR="003D2F64">
        <w:rPr>
          <w:sz w:val="24"/>
          <w:szCs w:val="24"/>
        </w:rPr>
        <w:t>.</w:t>
      </w:r>
      <w:r w:rsidR="003C0233">
        <w:rPr>
          <w:sz w:val="24"/>
          <w:szCs w:val="24"/>
        </w:rPr>
        <w:t xml:space="preserve">  Consequently, </w:t>
      </w:r>
      <w:r w:rsidR="004D46D0">
        <w:rPr>
          <w:sz w:val="24"/>
          <w:szCs w:val="24"/>
        </w:rPr>
        <w:t>the General Assembly established a hybrid form of regulation through which electric distribution utilities could potentially maintain their genera</w:t>
      </w:r>
      <w:r w:rsidR="000C59BE">
        <w:rPr>
          <w:sz w:val="24"/>
          <w:szCs w:val="24"/>
        </w:rPr>
        <w:t>tion if they could provide reliable service at a price better than the market.</w:t>
      </w:r>
    </w:p>
    <w:p w14:paraId="5137DC1E" w14:textId="7D714F1C" w:rsidR="00E80769" w:rsidRDefault="00CF3C25" w:rsidP="00CE264E">
      <w:pPr>
        <w:autoSpaceDE w:val="0"/>
        <w:autoSpaceDN w:val="0"/>
        <w:adjustRightInd w:val="0"/>
        <w:spacing w:after="120" w:line="480" w:lineRule="auto"/>
        <w:ind w:firstLine="720"/>
        <w:jc w:val="both"/>
        <w:rPr>
          <w:sz w:val="24"/>
          <w:szCs w:val="24"/>
        </w:rPr>
      </w:pPr>
      <w:r>
        <w:rPr>
          <w:sz w:val="24"/>
          <w:szCs w:val="24"/>
        </w:rPr>
        <w:t>Of course, t</w:t>
      </w:r>
      <w:r w:rsidR="003D2F64">
        <w:rPr>
          <w:sz w:val="24"/>
          <w:szCs w:val="24"/>
        </w:rPr>
        <w:t>hese concerns</w:t>
      </w:r>
      <w:r w:rsidR="00F66966">
        <w:rPr>
          <w:sz w:val="24"/>
          <w:szCs w:val="24"/>
        </w:rPr>
        <w:t xml:space="preserve"> never materialized</w:t>
      </w:r>
      <w:r w:rsidR="00F23069">
        <w:rPr>
          <w:sz w:val="24"/>
          <w:szCs w:val="24"/>
        </w:rPr>
        <w:t xml:space="preserve"> due</w:t>
      </w:r>
      <w:r w:rsidR="000E2A45">
        <w:rPr>
          <w:sz w:val="24"/>
          <w:szCs w:val="24"/>
        </w:rPr>
        <w:t xml:space="preserve"> in large part</w:t>
      </w:r>
      <w:r w:rsidR="00F23069">
        <w:rPr>
          <w:sz w:val="24"/>
          <w:szCs w:val="24"/>
        </w:rPr>
        <w:t xml:space="preserve"> to</w:t>
      </w:r>
      <w:r w:rsidR="0047766F">
        <w:rPr>
          <w:sz w:val="24"/>
          <w:szCs w:val="24"/>
        </w:rPr>
        <w:t xml:space="preserve"> the exploration and extraction of</w:t>
      </w:r>
      <w:r w:rsidR="00CD553D">
        <w:rPr>
          <w:sz w:val="24"/>
          <w:szCs w:val="24"/>
        </w:rPr>
        <w:t xml:space="preserve"> </w:t>
      </w:r>
      <w:r w:rsidR="00902699">
        <w:rPr>
          <w:sz w:val="24"/>
          <w:szCs w:val="24"/>
        </w:rPr>
        <w:t>shale</w:t>
      </w:r>
      <w:r w:rsidR="00E95944">
        <w:rPr>
          <w:sz w:val="24"/>
          <w:szCs w:val="24"/>
        </w:rPr>
        <w:t xml:space="preserve"> natural</w:t>
      </w:r>
      <w:r w:rsidR="00902699">
        <w:rPr>
          <w:sz w:val="24"/>
          <w:szCs w:val="24"/>
        </w:rPr>
        <w:t xml:space="preserve"> gas</w:t>
      </w:r>
      <w:r w:rsidR="00CD553D">
        <w:rPr>
          <w:sz w:val="24"/>
          <w:szCs w:val="24"/>
        </w:rPr>
        <w:t>, which came into fruition as the ink was still drying on SB 221</w:t>
      </w:r>
      <w:r w:rsidR="00CE264E">
        <w:rPr>
          <w:sz w:val="24"/>
          <w:szCs w:val="24"/>
        </w:rPr>
        <w:t>.</w:t>
      </w:r>
      <w:r w:rsidR="00F66966">
        <w:rPr>
          <w:sz w:val="24"/>
          <w:szCs w:val="24"/>
        </w:rPr>
        <w:t xml:space="preserve"> </w:t>
      </w:r>
      <w:r w:rsidR="00CE264E">
        <w:rPr>
          <w:sz w:val="24"/>
          <w:szCs w:val="24"/>
        </w:rPr>
        <w:t xml:space="preserve"> Following the successful</w:t>
      </w:r>
      <w:r w:rsidR="00CD553D">
        <w:rPr>
          <w:sz w:val="24"/>
          <w:szCs w:val="24"/>
        </w:rPr>
        <w:t xml:space="preserve"> development of shale gas,</w:t>
      </w:r>
      <w:r w:rsidR="00F66966">
        <w:rPr>
          <w:sz w:val="24"/>
          <w:szCs w:val="24"/>
        </w:rPr>
        <w:t xml:space="preserve"> Ohio has experienced nearly a decade of lo</w:t>
      </w:r>
      <w:r w:rsidR="00B32575">
        <w:rPr>
          <w:sz w:val="24"/>
          <w:szCs w:val="24"/>
        </w:rPr>
        <w:t xml:space="preserve">w </w:t>
      </w:r>
      <w:r w:rsidR="000D1FDD">
        <w:rPr>
          <w:sz w:val="24"/>
          <w:szCs w:val="24"/>
        </w:rPr>
        <w:t>electricity</w:t>
      </w:r>
      <w:r w:rsidR="00B32575">
        <w:rPr>
          <w:sz w:val="24"/>
          <w:szCs w:val="24"/>
        </w:rPr>
        <w:t xml:space="preserve"> prices.</w:t>
      </w:r>
      <w:r w:rsidR="003D2F64">
        <w:rPr>
          <w:sz w:val="24"/>
          <w:szCs w:val="24"/>
        </w:rPr>
        <w:t xml:space="preserve">  Rather than embrace the </w:t>
      </w:r>
      <w:r w:rsidR="009D7337">
        <w:rPr>
          <w:sz w:val="24"/>
          <w:szCs w:val="24"/>
        </w:rPr>
        <w:t xml:space="preserve">clear benefits that markets have delivered to Ohio customers, parties in favor of AEP Ohio’s proposal </w:t>
      </w:r>
      <w:r w:rsidR="008968A4">
        <w:rPr>
          <w:sz w:val="24"/>
          <w:szCs w:val="24"/>
        </w:rPr>
        <w:t xml:space="preserve">attempt to ignore the </w:t>
      </w:r>
      <w:r w:rsidR="00C8245D">
        <w:rPr>
          <w:sz w:val="24"/>
          <w:szCs w:val="24"/>
        </w:rPr>
        <w:t>plain language of the law and its historical context.</w:t>
      </w:r>
      <w:r w:rsidR="00E80769">
        <w:rPr>
          <w:sz w:val="24"/>
          <w:szCs w:val="24"/>
        </w:rPr>
        <w:t xml:space="preserve">  </w:t>
      </w:r>
    </w:p>
    <w:p w14:paraId="7C11CB51" w14:textId="208B2BCB" w:rsidR="00044977" w:rsidRDefault="00E80769" w:rsidP="0085103A">
      <w:pPr>
        <w:autoSpaceDE w:val="0"/>
        <w:autoSpaceDN w:val="0"/>
        <w:adjustRightInd w:val="0"/>
        <w:spacing w:after="120" w:line="480" w:lineRule="auto"/>
        <w:ind w:firstLine="720"/>
        <w:jc w:val="both"/>
        <w:rPr>
          <w:sz w:val="24"/>
          <w:szCs w:val="24"/>
        </w:rPr>
      </w:pPr>
      <w:r>
        <w:rPr>
          <w:sz w:val="24"/>
          <w:szCs w:val="24"/>
        </w:rPr>
        <w:t xml:space="preserve">To be clear, </w:t>
      </w:r>
      <w:r w:rsidR="007A2F47">
        <w:rPr>
          <w:sz w:val="24"/>
          <w:szCs w:val="24"/>
        </w:rPr>
        <w:t>Interstate Gas Supply, Inc. and IGS Solar, LLC (collectively “IGS”) support the development of renewable energy resources</w:t>
      </w:r>
      <w:r w:rsidR="003151EE">
        <w:rPr>
          <w:sz w:val="24"/>
          <w:szCs w:val="24"/>
        </w:rPr>
        <w:t>.</w:t>
      </w:r>
      <w:r w:rsidR="00EE599D">
        <w:rPr>
          <w:sz w:val="24"/>
          <w:szCs w:val="24"/>
        </w:rPr>
        <w:t xml:space="preserve">  </w:t>
      </w:r>
      <w:r w:rsidR="00A24156">
        <w:rPr>
          <w:sz w:val="24"/>
          <w:szCs w:val="24"/>
        </w:rPr>
        <w:t>IGS also recognizes that t</w:t>
      </w:r>
      <w:r w:rsidR="00EE599D">
        <w:rPr>
          <w:sz w:val="24"/>
          <w:szCs w:val="24"/>
        </w:rPr>
        <w:t xml:space="preserve">he state of Ohio is </w:t>
      </w:r>
      <w:r w:rsidR="00FE2BF1">
        <w:rPr>
          <w:sz w:val="24"/>
          <w:szCs w:val="24"/>
        </w:rPr>
        <w:t>poised for</w:t>
      </w:r>
      <w:r w:rsidR="00EE599D">
        <w:rPr>
          <w:sz w:val="24"/>
          <w:szCs w:val="24"/>
        </w:rPr>
        <w:t xml:space="preserve"> great surge in</w:t>
      </w:r>
      <w:r w:rsidR="00FE2BF1">
        <w:rPr>
          <w:sz w:val="24"/>
          <w:szCs w:val="24"/>
        </w:rPr>
        <w:t xml:space="preserve"> </w:t>
      </w:r>
      <w:r w:rsidR="00EE599D">
        <w:rPr>
          <w:sz w:val="24"/>
          <w:szCs w:val="24"/>
        </w:rPr>
        <w:t>renewable resource development</w:t>
      </w:r>
      <w:r w:rsidR="002A218C">
        <w:rPr>
          <w:sz w:val="24"/>
          <w:szCs w:val="24"/>
        </w:rPr>
        <w:t>, particularly in the solar marke</w:t>
      </w:r>
      <w:r w:rsidR="00A642E1">
        <w:rPr>
          <w:sz w:val="24"/>
          <w:szCs w:val="24"/>
        </w:rPr>
        <w:t>t</w:t>
      </w:r>
      <w:r w:rsidR="002A218C">
        <w:rPr>
          <w:sz w:val="24"/>
          <w:szCs w:val="24"/>
        </w:rPr>
        <w:t>.</w:t>
      </w:r>
      <w:r w:rsidR="00FE2BF1">
        <w:rPr>
          <w:sz w:val="24"/>
          <w:szCs w:val="24"/>
        </w:rPr>
        <w:t xml:space="preserve">  But</w:t>
      </w:r>
      <w:r>
        <w:rPr>
          <w:sz w:val="24"/>
          <w:szCs w:val="24"/>
        </w:rPr>
        <w:t xml:space="preserve"> market-based development of renewable resources is unlikely to occur if the Public Utilities Commission of Ohio (“Commission”) grants </w:t>
      </w:r>
      <w:r w:rsidR="0013775A">
        <w:rPr>
          <w:sz w:val="24"/>
          <w:szCs w:val="24"/>
        </w:rPr>
        <w:t>Ohio Power Company’s (“</w:t>
      </w:r>
      <w:r>
        <w:rPr>
          <w:sz w:val="24"/>
          <w:szCs w:val="24"/>
        </w:rPr>
        <w:t>AEP Ohio</w:t>
      </w:r>
      <w:r w:rsidR="0013775A">
        <w:rPr>
          <w:sz w:val="24"/>
          <w:szCs w:val="24"/>
        </w:rPr>
        <w:t>”)</w:t>
      </w:r>
      <w:r>
        <w:rPr>
          <w:sz w:val="24"/>
          <w:szCs w:val="24"/>
        </w:rPr>
        <w:t xml:space="preserve"> </w:t>
      </w:r>
      <w:r w:rsidR="0013775A">
        <w:rPr>
          <w:sz w:val="24"/>
          <w:szCs w:val="24"/>
        </w:rPr>
        <w:t>request</w:t>
      </w:r>
      <w:r w:rsidR="00323CB9">
        <w:rPr>
          <w:sz w:val="24"/>
          <w:szCs w:val="24"/>
        </w:rPr>
        <w:t xml:space="preserve"> to</w:t>
      </w:r>
      <w:r w:rsidR="002F278F">
        <w:rPr>
          <w:sz w:val="24"/>
          <w:szCs w:val="24"/>
        </w:rPr>
        <w:t xml:space="preserve"> subsidize 900 megawatts of solar and wind resources</w:t>
      </w:r>
      <w:r w:rsidR="00323CB9">
        <w:rPr>
          <w:sz w:val="24"/>
          <w:szCs w:val="24"/>
        </w:rPr>
        <w:t>, which would</w:t>
      </w:r>
      <w:r w:rsidR="00862B72">
        <w:rPr>
          <w:sz w:val="24"/>
          <w:szCs w:val="24"/>
        </w:rPr>
        <w:t xml:space="preserve"> </w:t>
      </w:r>
      <w:r w:rsidR="00420182">
        <w:rPr>
          <w:sz w:val="24"/>
          <w:szCs w:val="24"/>
        </w:rPr>
        <w:t>cut the competitive market off at the knees</w:t>
      </w:r>
      <w:r w:rsidR="002A218C">
        <w:rPr>
          <w:sz w:val="24"/>
          <w:szCs w:val="24"/>
        </w:rPr>
        <w:t>.</w:t>
      </w:r>
      <w:r w:rsidR="00862B72">
        <w:rPr>
          <w:sz w:val="24"/>
          <w:szCs w:val="24"/>
        </w:rPr>
        <w:t xml:space="preserve"> </w:t>
      </w:r>
      <w:r w:rsidR="00C92476">
        <w:rPr>
          <w:sz w:val="24"/>
          <w:szCs w:val="24"/>
        </w:rPr>
        <w:t>AEP Ohio has not offered any legitimate basis to stunt the competitive market</w:t>
      </w:r>
      <w:r w:rsidR="00526DF6">
        <w:rPr>
          <w:sz w:val="24"/>
          <w:szCs w:val="24"/>
        </w:rPr>
        <w:t xml:space="preserve"> in violation of Ohio policy. </w:t>
      </w:r>
    </w:p>
    <w:p w14:paraId="45FACD3A" w14:textId="7FBB3E28" w:rsidR="0013775A" w:rsidRPr="0085103A" w:rsidRDefault="0013775A" w:rsidP="0085103A">
      <w:pPr>
        <w:autoSpaceDE w:val="0"/>
        <w:autoSpaceDN w:val="0"/>
        <w:adjustRightInd w:val="0"/>
        <w:spacing w:after="120" w:line="480" w:lineRule="auto"/>
        <w:ind w:firstLine="720"/>
        <w:jc w:val="both"/>
        <w:rPr>
          <w:sz w:val="24"/>
          <w:szCs w:val="24"/>
        </w:rPr>
      </w:pPr>
      <w:r w:rsidRPr="0013775A">
        <w:rPr>
          <w:sz w:val="24"/>
          <w:szCs w:val="24"/>
        </w:rPr>
        <w:t>To the extent that the Commission truly desires to advance development of renewable energy resources</w:t>
      </w:r>
      <w:r w:rsidR="00B81EE6">
        <w:rPr>
          <w:sz w:val="24"/>
          <w:szCs w:val="24"/>
        </w:rPr>
        <w:t xml:space="preserve">, </w:t>
      </w:r>
      <w:r w:rsidR="00AA572D">
        <w:rPr>
          <w:sz w:val="24"/>
          <w:szCs w:val="24"/>
        </w:rPr>
        <w:t>rather than picking winners and losers</w:t>
      </w:r>
      <w:r w:rsidR="00B81EE6">
        <w:rPr>
          <w:sz w:val="24"/>
          <w:szCs w:val="24"/>
        </w:rPr>
        <w:t xml:space="preserve">, </w:t>
      </w:r>
      <w:r w:rsidRPr="0013775A">
        <w:rPr>
          <w:sz w:val="24"/>
          <w:szCs w:val="24"/>
        </w:rPr>
        <w:t>IGS urges the Commission to focus on</w:t>
      </w:r>
      <w:r w:rsidR="00AA572D">
        <w:rPr>
          <w:sz w:val="24"/>
          <w:szCs w:val="24"/>
        </w:rPr>
        <w:t xml:space="preserve"> eliminating existing barriers and establishing</w:t>
      </w:r>
      <w:r w:rsidRPr="0013775A">
        <w:rPr>
          <w:sz w:val="24"/>
          <w:szCs w:val="24"/>
        </w:rPr>
        <w:t xml:space="preserve"> competitively neutral incentives</w:t>
      </w:r>
      <w:r w:rsidR="00AA572D">
        <w:rPr>
          <w:sz w:val="24"/>
          <w:szCs w:val="24"/>
        </w:rPr>
        <w:t>.</w:t>
      </w:r>
    </w:p>
    <w:p w14:paraId="5E497384" w14:textId="6D1C7A13" w:rsidR="007A73E5" w:rsidRDefault="007A73E5" w:rsidP="007A73E5">
      <w:pPr>
        <w:pStyle w:val="ListParagraph"/>
        <w:numPr>
          <w:ilvl w:val="0"/>
          <w:numId w:val="1"/>
        </w:numPr>
        <w:autoSpaceDE w:val="0"/>
        <w:autoSpaceDN w:val="0"/>
        <w:adjustRightInd w:val="0"/>
        <w:spacing w:after="120" w:line="480" w:lineRule="auto"/>
        <w:jc w:val="both"/>
        <w:rPr>
          <w:b/>
          <w:sz w:val="24"/>
          <w:szCs w:val="24"/>
        </w:rPr>
      </w:pPr>
      <w:r>
        <w:rPr>
          <w:b/>
          <w:sz w:val="24"/>
          <w:szCs w:val="24"/>
        </w:rPr>
        <w:t xml:space="preserve">BACKGROUND </w:t>
      </w:r>
    </w:p>
    <w:p w14:paraId="1D9D8625" w14:textId="04980942" w:rsidR="002F4437" w:rsidRPr="00164865" w:rsidRDefault="000861DF" w:rsidP="00655F8E">
      <w:pPr>
        <w:autoSpaceDE w:val="0"/>
        <w:autoSpaceDN w:val="0"/>
        <w:adjustRightInd w:val="0"/>
        <w:spacing w:after="120" w:line="480" w:lineRule="auto"/>
        <w:ind w:firstLine="720"/>
        <w:jc w:val="both"/>
        <w:rPr>
          <w:sz w:val="24"/>
          <w:szCs w:val="24"/>
        </w:rPr>
      </w:pPr>
      <w:r>
        <w:rPr>
          <w:sz w:val="24"/>
          <w:szCs w:val="24"/>
        </w:rPr>
        <w:t>In this case,</w:t>
      </w:r>
      <w:r w:rsidR="00B81EE6">
        <w:rPr>
          <w:sz w:val="24"/>
          <w:szCs w:val="24"/>
        </w:rPr>
        <w:t xml:space="preserve"> </w:t>
      </w:r>
      <w:r>
        <w:rPr>
          <w:sz w:val="24"/>
          <w:szCs w:val="24"/>
        </w:rPr>
        <w:t>AEP Ohio requests that the Commission find that there is a need to build at least 900 megawatts of renewable energy resources.</w:t>
      </w:r>
      <w:r w:rsidR="00387D1E">
        <w:rPr>
          <w:sz w:val="24"/>
          <w:szCs w:val="24"/>
        </w:rPr>
        <w:t xml:space="preserve">  </w:t>
      </w:r>
      <w:r w:rsidR="00F62F45">
        <w:rPr>
          <w:sz w:val="24"/>
          <w:szCs w:val="24"/>
        </w:rPr>
        <w:t>The</w:t>
      </w:r>
      <w:r w:rsidR="00EB5EF3">
        <w:rPr>
          <w:sz w:val="24"/>
          <w:szCs w:val="24"/>
        </w:rPr>
        <w:t xml:space="preserve"> proposed finding of need </w:t>
      </w:r>
      <w:r w:rsidR="00F62F45">
        <w:rPr>
          <w:sz w:val="24"/>
          <w:szCs w:val="24"/>
        </w:rPr>
        <w:t xml:space="preserve">would </w:t>
      </w:r>
      <w:r w:rsidR="00387D1E">
        <w:rPr>
          <w:sz w:val="24"/>
          <w:szCs w:val="24"/>
        </w:rPr>
        <w:t xml:space="preserve">pave the way </w:t>
      </w:r>
      <w:r w:rsidR="0046621C">
        <w:rPr>
          <w:sz w:val="24"/>
          <w:szCs w:val="24"/>
        </w:rPr>
        <w:t>for</w:t>
      </w:r>
      <w:r w:rsidR="00F62F45">
        <w:rPr>
          <w:sz w:val="24"/>
          <w:szCs w:val="24"/>
        </w:rPr>
        <w:t xml:space="preserve"> AEP Ohio to</w:t>
      </w:r>
      <w:r w:rsidR="00387D1E">
        <w:rPr>
          <w:sz w:val="24"/>
          <w:szCs w:val="24"/>
        </w:rPr>
        <w:t xml:space="preserve"> collect a non-</w:t>
      </w:r>
      <w:proofErr w:type="spellStart"/>
      <w:r w:rsidR="00387D1E">
        <w:rPr>
          <w:sz w:val="24"/>
          <w:szCs w:val="24"/>
        </w:rPr>
        <w:t>bypassable</w:t>
      </w:r>
      <w:proofErr w:type="spellEnd"/>
      <w:r w:rsidR="00387D1E">
        <w:rPr>
          <w:sz w:val="24"/>
          <w:szCs w:val="24"/>
        </w:rPr>
        <w:t xml:space="preserve"> charge </w:t>
      </w:r>
      <w:r w:rsidR="004A1B05">
        <w:rPr>
          <w:sz w:val="24"/>
          <w:szCs w:val="24"/>
        </w:rPr>
        <w:t>under R.C. 4928.143(B)(2)(c)</w:t>
      </w:r>
      <w:r w:rsidR="00F62F45">
        <w:rPr>
          <w:sz w:val="24"/>
          <w:szCs w:val="24"/>
        </w:rPr>
        <w:t xml:space="preserve"> of the electric security plan statute</w:t>
      </w:r>
      <w:r w:rsidR="004A1B05">
        <w:rPr>
          <w:sz w:val="24"/>
          <w:szCs w:val="24"/>
        </w:rPr>
        <w:t>.</w:t>
      </w:r>
      <w:r w:rsidR="00655F8E">
        <w:rPr>
          <w:sz w:val="24"/>
          <w:szCs w:val="24"/>
        </w:rPr>
        <w:t xml:space="preserve">  If AEP Ohio has its way, it</w:t>
      </w:r>
      <w:r w:rsidR="002F4437">
        <w:rPr>
          <w:sz w:val="24"/>
          <w:szCs w:val="24"/>
        </w:rPr>
        <w:t xml:space="preserve"> </w:t>
      </w:r>
      <w:r w:rsidR="00655F8E">
        <w:rPr>
          <w:sz w:val="24"/>
          <w:szCs w:val="24"/>
        </w:rPr>
        <w:t>will</w:t>
      </w:r>
      <w:r w:rsidR="002F4437">
        <w:rPr>
          <w:sz w:val="24"/>
          <w:szCs w:val="24"/>
        </w:rPr>
        <w:t xml:space="preserve"> </w:t>
      </w:r>
      <w:r w:rsidR="002E45CF">
        <w:rPr>
          <w:sz w:val="24"/>
          <w:szCs w:val="24"/>
        </w:rPr>
        <w:t>enter into</w:t>
      </w:r>
      <w:r w:rsidR="002F4437">
        <w:rPr>
          <w:sz w:val="24"/>
          <w:szCs w:val="24"/>
        </w:rPr>
        <w:t xml:space="preserve"> renewable </w:t>
      </w:r>
      <w:r w:rsidR="00515CAC">
        <w:rPr>
          <w:sz w:val="24"/>
          <w:szCs w:val="24"/>
        </w:rPr>
        <w:t xml:space="preserve">energy </w:t>
      </w:r>
      <w:r w:rsidR="002F4437">
        <w:rPr>
          <w:sz w:val="24"/>
          <w:szCs w:val="24"/>
        </w:rPr>
        <w:t>purchase power agreement</w:t>
      </w:r>
      <w:r w:rsidR="00BA6AFF">
        <w:rPr>
          <w:sz w:val="24"/>
          <w:szCs w:val="24"/>
        </w:rPr>
        <w:t>s</w:t>
      </w:r>
      <w:r w:rsidR="002F4437">
        <w:rPr>
          <w:sz w:val="24"/>
          <w:szCs w:val="24"/>
        </w:rPr>
        <w:t xml:space="preserve"> (“REPA</w:t>
      </w:r>
      <w:r w:rsidR="00BA6AFF">
        <w:rPr>
          <w:sz w:val="24"/>
          <w:szCs w:val="24"/>
        </w:rPr>
        <w:t>s</w:t>
      </w:r>
      <w:r w:rsidR="002F4437">
        <w:rPr>
          <w:sz w:val="24"/>
          <w:szCs w:val="24"/>
        </w:rPr>
        <w:t>”), resell the power into the wholesale market</w:t>
      </w:r>
      <w:r w:rsidR="002D73BF">
        <w:rPr>
          <w:sz w:val="24"/>
          <w:szCs w:val="24"/>
        </w:rPr>
        <w:t>, and</w:t>
      </w:r>
      <w:r w:rsidR="009030C2">
        <w:rPr>
          <w:sz w:val="24"/>
          <w:szCs w:val="24"/>
        </w:rPr>
        <w:t xml:space="preserve"> </w:t>
      </w:r>
      <w:r w:rsidR="009D0746">
        <w:rPr>
          <w:sz w:val="24"/>
          <w:szCs w:val="24"/>
        </w:rPr>
        <w:t>sell the associated renewable energy credits</w:t>
      </w:r>
      <w:r w:rsidR="002D73BF">
        <w:rPr>
          <w:sz w:val="24"/>
          <w:szCs w:val="24"/>
        </w:rPr>
        <w:t>.  It</w:t>
      </w:r>
      <w:r w:rsidR="002F4437">
        <w:rPr>
          <w:sz w:val="24"/>
          <w:szCs w:val="24"/>
        </w:rPr>
        <w:t xml:space="preserve"> </w:t>
      </w:r>
      <w:r w:rsidR="002D73BF">
        <w:rPr>
          <w:sz w:val="24"/>
          <w:szCs w:val="24"/>
        </w:rPr>
        <w:t xml:space="preserve">will </w:t>
      </w:r>
      <w:r w:rsidR="002F4437">
        <w:rPr>
          <w:sz w:val="24"/>
          <w:szCs w:val="24"/>
        </w:rPr>
        <w:t xml:space="preserve">flow the difference </w:t>
      </w:r>
      <w:r w:rsidR="009D0746">
        <w:rPr>
          <w:sz w:val="24"/>
          <w:szCs w:val="24"/>
        </w:rPr>
        <w:t>between the cost it pays</w:t>
      </w:r>
      <w:r w:rsidR="002D73BF">
        <w:rPr>
          <w:sz w:val="24"/>
          <w:szCs w:val="24"/>
        </w:rPr>
        <w:t xml:space="preserve"> under the REPAs</w:t>
      </w:r>
      <w:r w:rsidR="009D0746">
        <w:rPr>
          <w:sz w:val="24"/>
          <w:szCs w:val="24"/>
        </w:rPr>
        <w:t xml:space="preserve"> and the revenue it receives </w:t>
      </w:r>
      <w:r w:rsidR="00164865" w:rsidRPr="00164865">
        <w:rPr>
          <w:sz w:val="24"/>
          <w:szCs w:val="24"/>
        </w:rPr>
        <w:t>through a non-</w:t>
      </w:r>
      <w:proofErr w:type="spellStart"/>
      <w:r w:rsidR="00164865" w:rsidRPr="00164865">
        <w:rPr>
          <w:sz w:val="24"/>
          <w:szCs w:val="24"/>
        </w:rPr>
        <w:t>by</w:t>
      </w:r>
      <w:r w:rsidR="00783A25">
        <w:rPr>
          <w:sz w:val="24"/>
          <w:szCs w:val="24"/>
        </w:rPr>
        <w:t>p</w:t>
      </w:r>
      <w:r w:rsidR="00164865" w:rsidRPr="00164865">
        <w:rPr>
          <w:sz w:val="24"/>
          <w:szCs w:val="24"/>
        </w:rPr>
        <w:t>assable</w:t>
      </w:r>
      <w:proofErr w:type="spellEnd"/>
      <w:r w:rsidR="00164865" w:rsidRPr="00164865">
        <w:rPr>
          <w:sz w:val="24"/>
          <w:szCs w:val="24"/>
        </w:rPr>
        <w:t xml:space="preserve"> rider.</w:t>
      </w:r>
      <w:r w:rsidR="009030C2">
        <w:rPr>
          <w:sz w:val="24"/>
          <w:szCs w:val="24"/>
        </w:rPr>
        <w:t xml:space="preserve"> </w:t>
      </w:r>
    </w:p>
    <w:p w14:paraId="574D537D" w14:textId="2B34D7F3" w:rsidR="007F1D9A" w:rsidRDefault="00AB2EDE" w:rsidP="007A73E5">
      <w:pPr>
        <w:autoSpaceDE w:val="0"/>
        <w:autoSpaceDN w:val="0"/>
        <w:adjustRightInd w:val="0"/>
        <w:spacing w:after="120" w:line="480" w:lineRule="auto"/>
        <w:ind w:firstLine="720"/>
        <w:jc w:val="both"/>
        <w:rPr>
          <w:sz w:val="24"/>
          <w:szCs w:val="24"/>
        </w:rPr>
      </w:pPr>
      <w:r>
        <w:rPr>
          <w:sz w:val="24"/>
          <w:szCs w:val="24"/>
        </w:rPr>
        <w:t>Following a hearing,</w:t>
      </w:r>
      <w:r w:rsidR="006C5A64">
        <w:rPr>
          <w:sz w:val="24"/>
          <w:szCs w:val="24"/>
        </w:rPr>
        <w:t xml:space="preserve"> </w:t>
      </w:r>
      <w:r w:rsidR="007F1D9A">
        <w:rPr>
          <w:sz w:val="24"/>
          <w:szCs w:val="24"/>
        </w:rPr>
        <w:t>o</w:t>
      </w:r>
      <w:r>
        <w:rPr>
          <w:sz w:val="24"/>
          <w:szCs w:val="24"/>
        </w:rPr>
        <w:t>pposi</w:t>
      </w:r>
      <w:r w:rsidR="00B621FB">
        <w:rPr>
          <w:sz w:val="24"/>
          <w:szCs w:val="24"/>
        </w:rPr>
        <w:t>ng briefs were filed by t</w:t>
      </w:r>
      <w:r>
        <w:rPr>
          <w:sz w:val="24"/>
          <w:szCs w:val="24"/>
        </w:rPr>
        <w:t xml:space="preserve">he Commission Staff, IGS, the Industrial Energy Users-Ohio (“IEU-Ohio”), the Office of Ohio Consumers’ Counsel (“OCC”), Ohio Manufacturers’ Association (“OMA”), Kroger Company, and the Ohio Coal Association (“OCA”).  The opposing parties include </w:t>
      </w:r>
      <w:proofErr w:type="gramStart"/>
      <w:r>
        <w:rPr>
          <w:sz w:val="24"/>
          <w:szCs w:val="24"/>
        </w:rPr>
        <w:t>the majority of</w:t>
      </w:r>
      <w:proofErr w:type="gramEnd"/>
      <w:r>
        <w:rPr>
          <w:sz w:val="24"/>
          <w:szCs w:val="24"/>
        </w:rPr>
        <w:t xml:space="preserve"> customer parties and the majority of developers of renewable energy resources that intervened in this proceeding.  The briefs of these parties proactively anticipated and </w:t>
      </w:r>
      <w:r w:rsidR="00DD5B77">
        <w:rPr>
          <w:sz w:val="24"/>
          <w:szCs w:val="24"/>
        </w:rPr>
        <w:t>rebutted</w:t>
      </w:r>
      <w:r>
        <w:rPr>
          <w:sz w:val="24"/>
          <w:szCs w:val="24"/>
        </w:rPr>
        <w:t xml:space="preserve"> the arguments </w:t>
      </w:r>
      <w:r w:rsidR="00DD5B77">
        <w:rPr>
          <w:sz w:val="24"/>
          <w:szCs w:val="24"/>
        </w:rPr>
        <w:t>in favor of</w:t>
      </w:r>
      <w:r>
        <w:rPr>
          <w:sz w:val="24"/>
          <w:szCs w:val="24"/>
        </w:rPr>
        <w:t xml:space="preserve"> AEP Ohio’s proposal.  </w:t>
      </w:r>
      <w:r w:rsidR="005A1E80">
        <w:rPr>
          <w:sz w:val="24"/>
          <w:szCs w:val="24"/>
        </w:rPr>
        <w:t>These parties are in agreement that (1)</w:t>
      </w:r>
      <w:r>
        <w:rPr>
          <w:sz w:val="24"/>
          <w:szCs w:val="24"/>
        </w:rPr>
        <w:t xml:space="preserve"> AEP Ohio has failed to </w:t>
      </w:r>
      <w:r w:rsidR="00AC28D4">
        <w:rPr>
          <w:sz w:val="24"/>
          <w:szCs w:val="24"/>
        </w:rPr>
        <w:t>demonstrate that additional renewable resources are needed under R.C. 4928.143(B)(2)(c)</w:t>
      </w:r>
      <w:r w:rsidR="005A1E80">
        <w:rPr>
          <w:sz w:val="24"/>
          <w:szCs w:val="24"/>
        </w:rPr>
        <w:t xml:space="preserve">, because AEP Ohio concedes it does not need additional generation to meet either a reliability concern or to satisfy its renewable mandate benchmarks; (2) </w:t>
      </w:r>
      <w:r w:rsidR="00161022">
        <w:rPr>
          <w:sz w:val="24"/>
          <w:szCs w:val="24"/>
        </w:rPr>
        <w:t>a survey cannot provide a basis of need under Ohio law; (3)</w:t>
      </w:r>
      <w:r w:rsidR="004509B8">
        <w:rPr>
          <w:sz w:val="24"/>
          <w:szCs w:val="24"/>
        </w:rPr>
        <w:t xml:space="preserve"> the claimed economic benefits are illusory and misleading; (4)</w:t>
      </w:r>
      <w:r w:rsidR="00BF4D56">
        <w:rPr>
          <w:sz w:val="24"/>
          <w:szCs w:val="24"/>
        </w:rPr>
        <w:t xml:space="preserve"> AEP Ohio</w:t>
      </w:r>
      <w:r w:rsidR="00161022">
        <w:rPr>
          <w:sz w:val="24"/>
          <w:szCs w:val="24"/>
        </w:rPr>
        <w:t xml:space="preserve"> price projections are based upon </w:t>
      </w:r>
      <w:r w:rsidR="00B85D29">
        <w:rPr>
          <w:sz w:val="24"/>
          <w:szCs w:val="24"/>
        </w:rPr>
        <w:t>a flawed and unreliable projection of market prices</w:t>
      </w:r>
      <w:r w:rsidR="004509B8">
        <w:rPr>
          <w:sz w:val="24"/>
          <w:szCs w:val="24"/>
        </w:rPr>
        <w:t xml:space="preserve">; and (5) the market can do a far better job than AEP Ohio of </w:t>
      </w:r>
      <w:r w:rsidR="005862A7">
        <w:rPr>
          <w:sz w:val="24"/>
          <w:szCs w:val="24"/>
        </w:rPr>
        <w:t>meetings consumer preferences—just as the market has done a better job over the last ten years</w:t>
      </w:r>
      <w:r w:rsidR="00B85D29">
        <w:rPr>
          <w:sz w:val="24"/>
          <w:szCs w:val="24"/>
        </w:rPr>
        <w:t>.</w:t>
      </w:r>
    </w:p>
    <w:p w14:paraId="50C4D2EC" w14:textId="48E25AA9" w:rsidR="007F1D9A" w:rsidRPr="00164865" w:rsidRDefault="007F1D9A" w:rsidP="007F1D9A">
      <w:pPr>
        <w:autoSpaceDE w:val="0"/>
        <w:autoSpaceDN w:val="0"/>
        <w:adjustRightInd w:val="0"/>
        <w:spacing w:after="120" w:line="480" w:lineRule="auto"/>
        <w:ind w:firstLine="720"/>
        <w:jc w:val="both"/>
        <w:rPr>
          <w:sz w:val="24"/>
          <w:szCs w:val="24"/>
        </w:rPr>
      </w:pPr>
      <w:r w:rsidRPr="00164865">
        <w:rPr>
          <w:sz w:val="24"/>
          <w:szCs w:val="24"/>
        </w:rPr>
        <w:t>AEP Ohio</w:t>
      </w:r>
      <w:r>
        <w:rPr>
          <w:sz w:val="24"/>
          <w:szCs w:val="24"/>
        </w:rPr>
        <w:t>’s initial brief alleged that</w:t>
      </w:r>
      <w:r w:rsidRPr="00164865">
        <w:rPr>
          <w:sz w:val="24"/>
          <w:szCs w:val="24"/>
        </w:rPr>
        <w:t xml:space="preserve"> the Commission should grant its request for six reasons</w:t>
      </w:r>
      <w:r>
        <w:rPr>
          <w:sz w:val="24"/>
          <w:szCs w:val="24"/>
        </w:rPr>
        <w:t xml:space="preserve">, which, as </w:t>
      </w:r>
      <w:r w:rsidR="00331458">
        <w:rPr>
          <w:sz w:val="24"/>
          <w:szCs w:val="24"/>
        </w:rPr>
        <w:t>identified</w:t>
      </w:r>
      <w:r>
        <w:rPr>
          <w:sz w:val="24"/>
          <w:szCs w:val="24"/>
        </w:rPr>
        <w:t xml:space="preserve"> above, were proactively addressed by the opposing parties</w:t>
      </w:r>
      <w:r w:rsidRPr="00164865">
        <w:rPr>
          <w:sz w:val="24"/>
          <w:szCs w:val="24"/>
        </w:rPr>
        <w:t>:</w:t>
      </w:r>
    </w:p>
    <w:p w14:paraId="29DC8DB7" w14:textId="39E4681C" w:rsidR="007F1D9A"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 xml:space="preserve">A survey that AEP Ohio alleges that customers want AEP Ohio to development renewables, and, according to AEP Ohio, customers’ desire </w:t>
      </w:r>
      <w:proofErr w:type="gramStart"/>
      <w:r w:rsidRPr="00164865">
        <w:rPr>
          <w:sz w:val="24"/>
          <w:szCs w:val="24"/>
        </w:rPr>
        <w:t>translate</w:t>
      </w:r>
      <w:proofErr w:type="gramEnd"/>
      <w:r w:rsidRPr="00164865">
        <w:rPr>
          <w:sz w:val="24"/>
          <w:szCs w:val="24"/>
        </w:rPr>
        <w:t xml:space="preserve"> to </w:t>
      </w:r>
      <w:r w:rsidR="00F24BAB">
        <w:rPr>
          <w:sz w:val="24"/>
          <w:szCs w:val="24"/>
        </w:rPr>
        <w:t>a need that the market has failed to satisfy.</w:t>
      </w:r>
    </w:p>
    <w:p w14:paraId="0D356120" w14:textId="77777777" w:rsidR="007F1D9A" w:rsidRPr="00164865" w:rsidRDefault="007F1D9A" w:rsidP="007F1D9A">
      <w:pPr>
        <w:pStyle w:val="ListParagraph"/>
        <w:autoSpaceDE w:val="0"/>
        <w:autoSpaceDN w:val="0"/>
        <w:adjustRightInd w:val="0"/>
        <w:spacing w:after="120" w:line="240" w:lineRule="auto"/>
        <w:ind w:left="1080"/>
        <w:jc w:val="both"/>
        <w:rPr>
          <w:sz w:val="24"/>
          <w:szCs w:val="24"/>
        </w:rPr>
      </w:pPr>
    </w:p>
    <w:p w14:paraId="53DBD294" w14:textId="77777777" w:rsidR="007F1D9A" w:rsidRPr="00AE2804"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 xml:space="preserve"> AEP Ohio’s proposed renewable facilities</w:t>
      </w:r>
      <w:r>
        <w:rPr>
          <w:sz w:val="24"/>
          <w:szCs w:val="24"/>
        </w:rPr>
        <w:t xml:space="preserve"> will provide benefits (bill credits) to customers on a net present value basis.</w:t>
      </w:r>
    </w:p>
    <w:p w14:paraId="332A5C52" w14:textId="77777777" w:rsidR="007F1D9A" w:rsidRPr="00AE2804" w:rsidRDefault="007F1D9A" w:rsidP="007F1D9A">
      <w:pPr>
        <w:pStyle w:val="ListParagraph"/>
        <w:autoSpaceDE w:val="0"/>
        <w:autoSpaceDN w:val="0"/>
        <w:adjustRightInd w:val="0"/>
        <w:spacing w:after="120" w:line="240" w:lineRule="auto"/>
        <w:ind w:left="1080"/>
        <w:jc w:val="both"/>
        <w:rPr>
          <w:sz w:val="24"/>
          <w:szCs w:val="24"/>
        </w:rPr>
      </w:pPr>
    </w:p>
    <w:p w14:paraId="7B24867C" w14:textId="77777777" w:rsidR="007F1D9A" w:rsidRPr="00AE2804"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Developing renewable projects in Ohio that are deliverable to AEP Ohio’s service territory can help reduce congestion costs and ultimately transmission rates.</w:t>
      </w:r>
    </w:p>
    <w:p w14:paraId="434834F0" w14:textId="77777777" w:rsidR="007F1D9A" w:rsidRPr="00AE2804" w:rsidRDefault="007F1D9A" w:rsidP="007F1D9A">
      <w:pPr>
        <w:pStyle w:val="ListParagraph"/>
        <w:autoSpaceDE w:val="0"/>
        <w:autoSpaceDN w:val="0"/>
        <w:adjustRightInd w:val="0"/>
        <w:spacing w:after="120" w:line="240" w:lineRule="auto"/>
        <w:ind w:left="1080"/>
        <w:jc w:val="both"/>
        <w:rPr>
          <w:sz w:val="24"/>
          <w:szCs w:val="24"/>
        </w:rPr>
      </w:pPr>
    </w:p>
    <w:p w14:paraId="4423B8A0" w14:textId="77777777" w:rsidR="007F1D9A" w:rsidRPr="00790DAE"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 xml:space="preserve">New in-state renewable projects will provide </w:t>
      </w:r>
      <w:r>
        <w:rPr>
          <w:sz w:val="24"/>
          <w:szCs w:val="24"/>
        </w:rPr>
        <w:t xml:space="preserve">local </w:t>
      </w:r>
      <w:r w:rsidRPr="00164865">
        <w:rPr>
          <w:sz w:val="24"/>
          <w:szCs w:val="24"/>
        </w:rPr>
        <w:t xml:space="preserve">and statewide economic benefits. </w:t>
      </w:r>
    </w:p>
    <w:p w14:paraId="296E9902" w14:textId="77777777" w:rsidR="007F1D9A" w:rsidRPr="00790DAE" w:rsidRDefault="007F1D9A" w:rsidP="007F1D9A">
      <w:pPr>
        <w:pStyle w:val="ListParagraph"/>
        <w:autoSpaceDE w:val="0"/>
        <w:autoSpaceDN w:val="0"/>
        <w:adjustRightInd w:val="0"/>
        <w:spacing w:after="120" w:line="240" w:lineRule="auto"/>
        <w:ind w:left="1080"/>
        <w:jc w:val="both"/>
        <w:rPr>
          <w:sz w:val="24"/>
          <w:szCs w:val="24"/>
        </w:rPr>
      </w:pPr>
    </w:p>
    <w:p w14:paraId="12F0B520" w14:textId="77777777" w:rsidR="007F1D9A" w:rsidRPr="00AE2804"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New in-state renewable projects will help reduce Ohio’s importation of power at the prices charged by out-of-state generation suppliers.</w:t>
      </w:r>
    </w:p>
    <w:p w14:paraId="37614678" w14:textId="77777777" w:rsidR="007F1D9A" w:rsidRPr="00164865" w:rsidRDefault="007F1D9A" w:rsidP="007F1D9A">
      <w:pPr>
        <w:pStyle w:val="ListParagraph"/>
        <w:autoSpaceDE w:val="0"/>
        <w:autoSpaceDN w:val="0"/>
        <w:adjustRightInd w:val="0"/>
        <w:spacing w:after="120" w:line="240" w:lineRule="auto"/>
        <w:ind w:left="1080"/>
        <w:jc w:val="both"/>
        <w:rPr>
          <w:sz w:val="24"/>
          <w:szCs w:val="24"/>
        </w:rPr>
      </w:pPr>
    </w:p>
    <w:p w14:paraId="29D94C20" w14:textId="3FDBDAA3" w:rsidR="007F1D9A" w:rsidRPr="00164865" w:rsidRDefault="007F1D9A" w:rsidP="007F1D9A">
      <w:pPr>
        <w:pStyle w:val="ListParagraph"/>
        <w:numPr>
          <w:ilvl w:val="0"/>
          <w:numId w:val="32"/>
        </w:numPr>
        <w:autoSpaceDE w:val="0"/>
        <w:autoSpaceDN w:val="0"/>
        <w:adjustRightInd w:val="0"/>
        <w:spacing w:after="120" w:line="240" w:lineRule="auto"/>
        <w:jc w:val="both"/>
        <w:rPr>
          <w:sz w:val="24"/>
          <w:szCs w:val="24"/>
        </w:rPr>
      </w:pPr>
      <w:r w:rsidRPr="00164865">
        <w:rPr>
          <w:sz w:val="24"/>
          <w:szCs w:val="24"/>
        </w:rPr>
        <w:t>New in-state renewable projects will promote fuel diversity, advance the development of renewable technology, and help reduce carbon emissions.</w:t>
      </w:r>
      <w:r w:rsidR="00F074A2">
        <w:rPr>
          <w:rStyle w:val="FootnoteReference"/>
          <w:sz w:val="24"/>
          <w:szCs w:val="24"/>
        </w:rPr>
        <w:footnoteReference w:id="2"/>
      </w:r>
    </w:p>
    <w:p w14:paraId="373A1770" w14:textId="72C4001F" w:rsidR="007F1D9A" w:rsidRDefault="007F1D9A" w:rsidP="00F24BAB">
      <w:pPr>
        <w:autoSpaceDE w:val="0"/>
        <w:autoSpaceDN w:val="0"/>
        <w:adjustRightInd w:val="0"/>
        <w:spacing w:after="120" w:line="480" w:lineRule="auto"/>
        <w:ind w:firstLine="720"/>
        <w:jc w:val="both"/>
        <w:rPr>
          <w:sz w:val="24"/>
          <w:szCs w:val="24"/>
        </w:rPr>
      </w:pPr>
      <w:r>
        <w:rPr>
          <w:sz w:val="24"/>
          <w:szCs w:val="24"/>
        </w:rPr>
        <w:t xml:space="preserve">Similar arguments were set forth in the initial joint brief of Sierra Club, Ohio Environmental Council (“OEC”), National Resources Defense Council (“NRDC”) (collectively, “Conservation Parties”), and the briefs of the Mid-Atlantic Renewable Coalition (“MAREC”), Ohio Partners for Affordable Energy (“OPAE”) and the Ohio Energy Group.  </w:t>
      </w:r>
      <w:r>
        <w:rPr>
          <w:sz w:val="24"/>
          <w:szCs w:val="24"/>
        </w:rPr>
        <w:tab/>
      </w:r>
    </w:p>
    <w:p w14:paraId="2E26B6E0" w14:textId="151B5335" w:rsidR="007A73E5" w:rsidRDefault="0051000A" w:rsidP="007A73E5">
      <w:pPr>
        <w:autoSpaceDE w:val="0"/>
        <w:autoSpaceDN w:val="0"/>
        <w:adjustRightInd w:val="0"/>
        <w:spacing w:after="120" w:line="480" w:lineRule="auto"/>
        <w:ind w:firstLine="720"/>
        <w:jc w:val="both"/>
        <w:rPr>
          <w:sz w:val="24"/>
          <w:szCs w:val="24"/>
        </w:rPr>
      </w:pPr>
      <w:r>
        <w:rPr>
          <w:sz w:val="24"/>
          <w:szCs w:val="24"/>
        </w:rPr>
        <w:t>In response</w:t>
      </w:r>
      <w:r w:rsidR="001B2DE2">
        <w:rPr>
          <w:sz w:val="24"/>
          <w:szCs w:val="24"/>
        </w:rPr>
        <w:t>,</w:t>
      </w:r>
      <w:r w:rsidR="007A73E5">
        <w:rPr>
          <w:sz w:val="24"/>
          <w:szCs w:val="24"/>
        </w:rPr>
        <w:t xml:space="preserve"> IGS was tempted</w:t>
      </w:r>
      <w:r w:rsidR="007A73E5" w:rsidRPr="007A73E5">
        <w:rPr>
          <w:sz w:val="24"/>
          <w:szCs w:val="24"/>
        </w:rPr>
        <w:t xml:space="preserve"> to </w:t>
      </w:r>
      <w:r w:rsidR="007A73E5">
        <w:rPr>
          <w:sz w:val="24"/>
          <w:szCs w:val="24"/>
        </w:rPr>
        <w:t>provide</w:t>
      </w:r>
      <w:r w:rsidR="007A73E5" w:rsidRPr="007A73E5">
        <w:rPr>
          <w:sz w:val="24"/>
          <w:szCs w:val="24"/>
        </w:rPr>
        <w:t xml:space="preserve"> a blow for blow response to each in</w:t>
      </w:r>
      <w:r w:rsidR="007A73E5">
        <w:rPr>
          <w:sz w:val="24"/>
          <w:szCs w:val="24"/>
        </w:rPr>
        <w:t xml:space="preserve">correct and unfounded claim regarding the alleged benefits of AEP Ohio’s proposal.  But, that is unnecessary, given that the entirety of AEP Ohio’s proposal is built on a flawed, unlawful definition of </w:t>
      </w:r>
      <w:r>
        <w:rPr>
          <w:sz w:val="24"/>
          <w:szCs w:val="24"/>
        </w:rPr>
        <w:t>need</w:t>
      </w:r>
      <w:r w:rsidR="008E4835">
        <w:rPr>
          <w:sz w:val="24"/>
          <w:szCs w:val="24"/>
        </w:rPr>
        <w:t xml:space="preserve">. </w:t>
      </w:r>
      <w:r w:rsidR="001B2DE2">
        <w:rPr>
          <w:sz w:val="24"/>
          <w:szCs w:val="24"/>
        </w:rPr>
        <w:t xml:space="preserve"> The Commission lacks authority </w:t>
      </w:r>
      <w:r w:rsidR="00E266AF">
        <w:rPr>
          <w:sz w:val="24"/>
          <w:szCs w:val="24"/>
        </w:rPr>
        <w:t>to make customers</w:t>
      </w:r>
      <w:r>
        <w:rPr>
          <w:sz w:val="24"/>
          <w:szCs w:val="24"/>
        </w:rPr>
        <w:t xml:space="preserve"> </w:t>
      </w:r>
      <w:r w:rsidR="008E4835">
        <w:rPr>
          <w:sz w:val="24"/>
          <w:szCs w:val="24"/>
        </w:rPr>
        <w:t>involuntar</w:t>
      </w:r>
      <w:r w:rsidR="00C21D23">
        <w:rPr>
          <w:sz w:val="24"/>
          <w:szCs w:val="24"/>
        </w:rPr>
        <w:t>y</w:t>
      </w:r>
      <w:r w:rsidR="008E4835">
        <w:rPr>
          <w:sz w:val="24"/>
          <w:szCs w:val="24"/>
        </w:rPr>
        <w:t xml:space="preserve"> invest</w:t>
      </w:r>
      <w:r w:rsidR="00E266AF">
        <w:rPr>
          <w:sz w:val="24"/>
          <w:szCs w:val="24"/>
        </w:rPr>
        <w:t>ors in</w:t>
      </w:r>
      <w:r w:rsidR="008E4835">
        <w:rPr>
          <w:sz w:val="24"/>
          <w:szCs w:val="24"/>
        </w:rPr>
        <w:t xml:space="preserve"> generation resource</w:t>
      </w:r>
      <w:r w:rsidR="00E266AF">
        <w:rPr>
          <w:sz w:val="24"/>
          <w:szCs w:val="24"/>
        </w:rPr>
        <w:t>s</w:t>
      </w:r>
      <w:r w:rsidR="008E4835">
        <w:rPr>
          <w:sz w:val="24"/>
          <w:szCs w:val="24"/>
        </w:rPr>
        <w:t xml:space="preserve"> when there is no threat to the reliability of the electric grid.</w:t>
      </w:r>
      <w:r w:rsidR="007A73E5">
        <w:rPr>
          <w:sz w:val="24"/>
          <w:szCs w:val="24"/>
        </w:rPr>
        <w:t xml:space="preserve">  To the extent that the Commission follows the law and interprets “need” to carry out the General Assembly’s intent, the balance </w:t>
      </w:r>
      <w:r w:rsidR="00C40A26">
        <w:rPr>
          <w:sz w:val="24"/>
          <w:szCs w:val="24"/>
        </w:rPr>
        <w:t xml:space="preserve">of the arguments in support of AEP Ohio’s proposal </w:t>
      </w:r>
      <w:r w:rsidR="00FC7A8C">
        <w:rPr>
          <w:sz w:val="24"/>
          <w:szCs w:val="24"/>
        </w:rPr>
        <w:t>can be relegated to</w:t>
      </w:r>
      <w:r w:rsidR="007A73E5">
        <w:rPr>
          <w:sz w:val="24"/>
          <w:szCs w:val="24"/>
        </w:rPr>
        <w:t xml:space="preserve"> background noise that the Commission should ignore.</w:t>
      </w:r>
      <w:r w:rsidR="007A73E5" w:rsidRPr="007A73E5">
        <w:rPr>
          <w:sz w:val="24"/>
          <w:szCs w:val="24"/>
        </w:rPr>
        <w:t xml:space="preserve"> </w:t>
      </w:r>
    </w:p>
    <w:p w14:paraId="133D7A1A" w14:textId="77777777" w:rsidR="001D635F" w:rsidRDefault="001D635F" w:rsidP="007A73E5">
      <w:pPr>
        <w:autoSpaceDE w:val="0"/>
        <w:autoSpaceDN w:val="0"/>
        <w:adjustRightInd w:val="0"/>
        <w:spacing w:after="120" w:line="480" w:lineRule="auto"/>
        <w:ind w:firstLine="720"/>
        <w:jc w:val="both"/>
        <w:rPr>
          <w:sz w:val="24"/>
          <w:szCs w:val="24"/>
        </w:rPr>
      </w:pPr>
    </w:p>
    <w:p w14:paraId="7CC212AA" w14:textId="082B26DA" w:rsidR="00E266AF" w:rsidRPr="00E266AF" w:rsidRDefault="00E266AF" w:rsidP="00E266AF">
      <w:pPr>
        <w:pStyle w:val="ListParagraph"/>
        <w:numPr>
          <w:ilvl w:val="0"/>
          <w:numId w:val="1"/>
        </w:numPr>
        <w:autoSpaceDE w:val="0"/>
        <w:autoSpaceDN w:val="0"/>
        <w:adjustRightInd w:val="0"/>
        <w:spacing w:after="120" w:line="480" w:lineRule="auto"/>
        <w:jc w:val="both"/>
        <w:rPr>
          <w:b/>
          <w:sz w:val="24"/>
          <w:szCs w:val="24"/>
        </w:rPr>
      </w:pPr>
      <w:r w:rsidRPr="00E266AF">
        <w:rPr>
          <w:b/>
          <w:sz w:val="24"/>
          <w:szCs w:val="24"/>
        </w:rPr>
        <w:t>ARGUMENT</w:t>
      </w:r>
    </w:p>
    <w:p w14:paraId="5BA73755" w14:textId="6C617FA5" w:rsidR="00100B40" w:rsidRPr="00100B40" w:rsidRDefault="00E266AF" w:rsidP="00100B40">
      <w:pPr>
        <w:pStyle w:val="ListParagraph"/>
        <w:numPr>
          <w:ilvl w:val="0"/>
          <w:numId w:val="25"/>
        </w:numPr>
        <w:autoSpaceDE w:val="0"/>
        <w:autoSpaceDN w:val="0"/>
        <w:adjustRightInd w:val="0"/>
        <w:spacing w:after="120" w:line="480" w:lineRule="auto"/>
        <w:jc w:val="both"/>
        <w:rPr>
          <w:b/>
          <w:sz w:val="24"/>
          <w:szCs w:val="24"/>
        </w:rPr>
      </w:pPr>
      <w:r>
        <w:rPr>
          <w:b/>
          <w:sz w:val="24"/>
          <w:szCs w:val="24"/>
        </w:rPr>
        <w:t>Proponent</w:t>
      </w:r>
      <w:r w:rsidR="000122D0">
        <w:rPr>
          <w:b/>
          <w:sz w:val="24"/>
          <w:szCs w:val="24"/>
        </w:rPr>
        <w:t>s</w:t>
      </w:r>
      <w:r w:rsidR="007A73E5">
        <w:rPr>
          <w:b/>
          <w:sz w:val="24"/>
          <w:szCs w:val="24"/>
        </w:rPr>
        <w:t xml:space="preserve"> Unlawfully Define Need</w:t>
      </w:r>
    </w:p>
    <w:p w14:paraId="0ABB92FC" w14:textId="758FCBB0" w:rsidR="00100B40" w:rsidRDefault="00100B40" w:rsidP="003D3578">
      <w:pPr>
        <w:spacing w:line="480" w:lineRule="auto"/>
        <w:ind w:firstLine="720"/>
        <w:jc w:val="both"/>
        <w:rPr>
          <w:sz w:val="24"/>
          <w:szCs w:val="24"/>
        </w:rPr>
      </w:pPr>
      <w:r>
        <w:rPr>
          <w:color w:val="000000"/>
          <w:sz w:val="24"/>
          <w:szCs w:val="24"/>
          <w:shd w:val="clear" w:color="auto" w:fill="FFFFFF"/>
        </w:rPr>
        <w:t xml:space="preserve">In this case, the Commission must render a determination </w:t>
      </w:r>
      <w:r w:rsidR="008E4835">
        <w:rPr>
          <w:color w:val="000000"/>
          <w:sz w:val="24"/>
          <w:szCs w:val="24"/>
          <w:shd w:val="clear" w:color="auto" w:fill="FFFFFF"/>
        </w:rPr>
        <w:t>on</w:t>
      </w:r>
      <w:r>
        <w:rPr>
          <w:color w:val="000000"/>
          <w:sz w:val="24"/>
          <w:szCs w:val="24"/>
          <w:shd w:val="clear" w:color="auto" w:fill="FFFFFF"/>
        </w:rPr>
        <w:t xml:space="preserve"> the meaning of need</w:t>
      </w:r>
      <w:r w:rsidR="008E4835">
        <w:rPr>
          <w:color w:val="000000"/>
          <w:sz w:val="24"/>
          <w:szCs w:val="24"/>
          <w:shd w:val="clear" w:color="auto" w:fill="FFFFFF"/>
        </w:rPr>
        <w:t xml:space="preserve"> contained in R.C. 4928.143(B)(2)(c)</w:t>
      </w:r>
      <w:r>
        <w:rPr>
          <w:color w:val="000000"/>
          <w:sz w:val="24"/>
          <w:szCs w:val="24"/>
          <w:shd w:val="clear" w:color="auto" w:fill="FFFFFF"/>
        </w:rPr>
        <w:t xml:space="preserve">.  Given the posture of this proceeding, the Commission should be cognizant that any determination </w:t>
      </w:r>
      <w:r w:rsidR="00AE1B7F">
        <w:rPr>
          <w:color w:val="000000"/>
          <w:sz w:val="24"/>
          <w:szCs w:val="24"/>
          <w:shd w:val="clear" w:color="auto" w:fill="FFFFFF"/>
        </w:rPr>
        <w:t xml:space="preserve">in favor of need </w:t>
      </w:r>
      <w:r>
        <w:rPr>
          <w:color w:val="000000"/>
          <w:sz w:val="24"/>
          <w:szCs w:val="24"/>
          <w:shd w:val="clear" w:color="auto" w:fill="FFFFFF"/>
        </w:rPr>
        <w:t xml:space="preserve">will likely be reviewed by the Supreme Court of Ohio. </w:t>
      </w:r>
      <w:r w:rsidRPr="00FC73F3">
        <w:rPr>
          <w:color w:val="000000"/>
          <w:sz w:val="24"/>
          <w:szCs w:val="24"/>
          <w:shd w:val="clear" w:color="auto" w:fill="FFFFFF"/>
        </w:rPr>
        <w:t xml:space="preserve">In interpreting a statute, </w:t>
      </w:r>
      <w:r>
        <w:rPr>
          <w:sz w:val="24"/>
          <w:szCs w:val="24"/>
        </w:rPr>
        <w:t>t</w:t>
      </w:r>
      <w:r w:rsidRPr="00FC73F3">
        <w:rPr>
          <w:sz w:val="24"/>
          <w:szCs w:val="24"/>
        </w:rPr>
        <w:t>he</w:t>
      </w:r>
      <w:r>
        <w:rPr>
          <w:sz w:val="24"/>
          <w:szCs w:val="24"/>
        </w:rPr>
        <w:t xml:space="preserve"> Court has held on numerous occasions that the</w:t>
      </w:r>
      <w:r w:rsidRPr="00FC73F3">
        <w:rPr>
          <w:sz w:val="24"/>
          <w:szCs w:val="24"/>
        </w:rPr>
        <w:t xml:space="preserve"> “paramount concern in construing a statute is legislative intent.” </w:t>
      </w:r>
      <w:r w:rsidRPr="6AF121AF">
        <w:rPr>
          <w:i/>
          <w:iCs/>
          <w:sz w:val="24"/>
          <w:szCs w:val="24"/>
        </w:rPr>
        <w:t>Ohio Neighborhood Finance, Inc. v. Scott</w:t>
      </w:r>
      <w:r w:rsidRPr="00FC73F3">
        <w:rPr>
          <w:sz w:val="24"/>
          <w:szCs w:val="24"/>
        </w:rPr>
        <w:t>, 139 Ohio St.3d 536</w:t>
      </w:r>
      <w:r>
        <w:rPr>
          <w:sz w:val="24"/>
          <w:szCs w:val="24"/>
        </w:rPr>
        <w:t xml:space="preserve"> at </w:t>
      </w:r>
      <w:r w:rsidRPr="00FC73F3">
        <w:rPr>
          <w:sz w:val="24"/>
          <w:szCs w:val="24"/>
        </w:rPr>
        <w:t>¶ 22</w:t>
      </w:r>
      <w:r>
        <w:rPr>
          <w:sz w:val="24"/>
          <w:szCs w:val="24"/>
        </w:rPr>
        <w:t xml:space="preserve"> (2014)</w:t>
      </w:r>
      <w:r w:rsidRPr="00FC73F3">
        <w:rPr>
          <w:sz w:val="24"/>
          <w:szCs w:val="24"/>
        </w:rPr>
        <w:t xml:space="preserve">. </w:t>
      </w:r>
      <w:r>
        <w:rPr>
          <w:sz w:val="24"/>
          <w:szCs w:val="24"/>
        </w:rPr>
        <w:t>A</w:t>
      </w:r>
      <w:r w:rsidRPr="00FC73F3">
        <w:rPr>
          <w:sz w:val="24"/>
          <w:szCs w:val="24"/>
        </w:rPr>
        <w:t xml:space="preserve">ll statutes which relate to the same general subject matter must be read in </w:t>
      </w:r>
      <w:proofErr w:type="spellStart"/>
      <w:r w:rsidRPr="6AF121AF">
        <w:rPr>
          <w:i/>
          <w:iCs/>
          <w:sz w:val="24"/>
          <w:szCs w:val="24"/>
        </w:rPr>
        <w:t>pari</w:t>
      </w:r>
      <w:proofErr w:type="spellEnd"/>
      <w:r w:rsidRPr="6AF121AF">
        <w:rPr>
          <w:i/>
          <w:iCs/>
          <w:sz w:val="24"/>
          <w:szCs w:val="24"/>
        </w:rPr>
        <w:t xml:space="preserve"> </w:t>
      </w:r>
      <w:proofErr w:type="spellStart"/>
      <w:r w:rsidRPr="6AF121AF">
        <w:rPr>
          <w:i/>
          <w:iCs/>
          <w:sz w:val="24"/>
          <w:szCs w:val="24"/>
        </w:rPr>
        <w:t>materia</w:t>
      </w:r>
      <w:proofErr w:type="spellEnd"/>
      <w:r w:rsidRPr="00FC73F3">
        <w:rPr>
          <w:sz w:val="24"/>
          <w:szCs w:val="24"/>
        </w:rPr>
        <w:t xml:space="preserve">. </w:t>
      </w:r>
      <w:r w:rsidRPr="6AF121AF">
        <w:rPr>
          <w:i/>
          <w:iCs/>
          <w:sz w:val="24"/>
          <w:szCs w:val="24"/>
        </w:rPr>
        <w:t>See Maxfield v. Brooks</w:t>
      </w:r>
      <w:r>
        <w:rPr>
          <w:sz w:val="24"/>
          <w:szCs w:val="24"/>
        </w:rPr>
        <w:t>,</w:t>
      </w:r>
      <w:r w:rsidRPr="00FC73F3">
        <w:rPr>
          <w:sz w:val="24"/>
          <w:szCs w:val="24"/>
        </w:rPr>
        <w:t xml:space="preserve"> 110 Ohio St. 566</w:t>
      </w:r>
      <w:r>
        <w:rPr>
          <w:sz w:val="24"/>
          <w:szCs w:val="24"/>
        </w:rPr>
        <w:t xml:space="preserve"> (1924)</w:t>
      </w:r>
      <w:r w:rsidRPr="00FC73F3">
        <w:rPr>
          <w:sz w:val="24"/>
          <w:szCs w:val="24"/>
        </w:rPr>
        <w:t xml:space="preserve">. </w:t>
      </w:r>
      <w:r w:rsidRPr="00FC73F3">
        <w:rPr>
          <w:color w:val="222222"/>
          <w:sz w:val="24"/>
          <w:szCs w:val="24"/>
          <w:shd w:val="clear" w:color="auto" w:fill="FFFFFF"/>
        </w:rPr>
        <w:t>All provisions of the Revised Code bearing upon the same subject matter should be construed harmoniously</w:t>
      </w:r>
      <w:r w:rsidRPr="008A25EA">
        <w:rPr>
          <w:i/>
          <w:color w:val="222222"/>
          <w:sz w:val="24"/>
          <w:szCs w:val="24"/>
          <w:shd w:val="clear" w:color="auto" w:fill="FFFFFF"/>
        </w:rPr>
        <w:t>.</w:t>
      </w:r>
      <w:r w:rsidRPr="008A25EA">
        <w:rPr>
          <w:i/>
        </w:rPr>
        <w:t xml:space="preserve"> </w:t>
      </w:r>
      <w:proofErr w:type="spellStart"/>
      <w:r w:rsidRPr="008A25EA">
        <w:rPr>
          <w:i/>
          <w:color w:val="222222"/>
          <w:sz w:val="24"/>
          <w:szCs w:val="24"/>
          <w:shd w:val="clear" w:color="auto" w:fill="FFFFFF"/>
        </w:rPr>
        <w:t>Couts</w:t>
      </w:r>
      <w:proofErr w:type="spellEnd"/>
      <w:r w:rsidRPr="008A25EA">
        <w:rPr>
          <w:i/>
          <w:color w:val="222222"/>
          <w:sz w:val="24"/>
          <w:szCs w:val="24"/>
          <w:shd w:val="clear" w:color="auto" w:fill="FFFFFF"/>
        </w:rPr>
        <w:t xml:space="preserve"> v. Rose</w:t>
      </w:r>
      <w:r w:rsidRPr="00E92CEC">
        <w:rPr>
          <w:color w:val="222222"/>
          <w:sz w:val="24"/>
          <w:szCs w:val="24"/>
          <w:shd w:val="clear" w:color="auto" w:fill="FFFFFF"/>
        </w:rPr>
        <w:t>, 152 Ohio St. 458</w:t>
      </w:r>
      <w:r>
        <w:rPr>
          <w:color w:val="222222"/>
          <w:sz w:val="24"/>
          <w:szCs w:val="24"/>
          <w:shd w:val="clear" w:color="auto" w:fill="FFFFFF"/>
        </w:rPr>
        <w:t>, 461 (1950).  Finally, the Court has determined that statutory construction should seek to avoid absurd results.</w:t>
      </w:r>
      <w:r w:rsidRPr="009238D9">
        <w:t xml:space="preserve"> </w:t>
      </w:r>
      <w:r w:rsidRPr="009238D9">
        <w:rPr>
          <w:i/>
          <w:color w:val="222222"/>
          <w:sz w:val="24"/>
          <w:szCs w:val="24"/>
          <w:shd w:val="clear" w:color="auto" w:fill="FFFFFF"/>
        </w:rPr>
        <w:t xml:space="preserve">Gulf Oil Corp. v. </w:t>
      </w:r>
      <w:proofErr w:type="spellStart"/>
      <w:r w:rsidRPr="009238D9">
        <w:rPr>
          <w:i/>
          <w:color w:val="222222"/>
          <w:sz w:val="24"/>
          <w:szCs w:val="24"/>
          <w:shd w:val="clear" w:color="auto" w:fill="FFFFFF"/>
        </w:rPr>
        <w:t>Kosydar</w:t>
      </w:r>
      <w:proofErr w:type="spellEnd"/>
      <w:r w:rsidRPr="009238D9">
        <w:rPr>
          <w:color w:val="222222"/>
          <w:sz w:val="24"/>
          <w:szCs w:val="24"/>
          <w:shd w:val="clear" w:color="auto" w:fill="FFFFFF"/>
        </w:rPr>
        <w:t>, 44 Ohio St.2d 20</w:t>
      </w:r>
      <w:r>
        <w:rPr>
          <w:color w:val="222222"/>
          <w:sz w:val="24"/>
          <w:szCs w:val="24"/>
          <w:shd w:val="clear" w:color="auto" w:fill="FFFFFF"/>
        </w:rPr>
        <w:t>8, 217</w:t>
      </w:r>
      <w:r>
        <w:rPr>
          <w:sz w:val="24"/>
          <w:szCs w:val="24"/>
        </w:rPr>
        <w:t xml:space="preserve"> (1975).  </w:t>
      </w:r>
    </w:p>
    <w:p w14:paraId="0F0AF2F2" w14:textId="25D1B616" w:rsidR="00BC263E" w:rsidRDefault="007A73E5" w:rsidP="007B5F17">
      <w:pPr>
        <w:spacing w:line="480" w:lineRule="auto"/>
        <w:ind w:firstLine="720"/>
        <w:jc w:val="both"/>
        <w:rPr>
          <w:sz w:val="24"/>
          <w:szCs w:val="24"/>
        </w:rPr>
      </w:pPr>
      <w:r w:rsidRPr="0036519B">
        <w:rPr>
          <w:sz w:val="24"/>
          <w:szCs w:val="24"/>
        </w:rPr>
        <w:t xml:space="preserve">Proponents of AEP’s proposal </w:t>
      </w:r>
      <w:proofErr w:type="gramStart"/>
      <w:r w:rsidRPr="0036519B">
        <w:rPr>
          <w:sz w:val="24"/>
          <w:szCs w:val="24"/>
        </w:rPr>
        <w:t>argue</w:t>
      </w:r>
      <w:proofErr w:type="gramEnd"/>
      <w:r w:rsidRPr="0036519B">
        <w:rPr>
          <w:sz w:val="24"/>
          <w:szCs w:val="24"/>
        </w:rPr>
        <w:t xml:space="preserve"> for a broad interpretation of “need.”</w:t>
      </w:r>
      <w:r w:rsidR="00CA16F5">
        <w:rPr>
          <w:rStyle w:val="FootnoteReference"/>
          <w:sz w:val="24"/>
          <w:szCs w:val="24"/>
        </w:rPr>
        <w:footnoteReference w:id="3"/>
      </w:r>
      <w:r w:rsidRPr="0036519B">
        <w:rPr>
          <w:sz w:val="24"/>
          <w:szCs w:val="24"/>
        </w:rPr>
        <w:t xml:space="preserve"> They claim that “need” and “resource planning projections” are not defined, therefore the Commission has broad discretion to determine the meaning of these sections of the law to fit their proposed outcome. </w:t>
      </w:r>
      <w:r w:rsidR="00FC7A8C">
        <w:rPr>
          <w:sz w:val="24"/>
          <w:szCs w:val="24"/>
        </w:rPr>
        <w:t xml:space="preserve"> </w:t>
      </w:r>
      <w:r w:rsidRPr="003D3578">
        <w:rPr>
          <w:sz w:val="24"/>
          <w:szCs w:val="24"/>
        </w:rPr>
        <w:t>Further</w:t>
      </w:r>
      <w:r w:rsidR="003D3578">
        <w:rPr>
          <w:sz w:val="24"/>
          <w:szCs w:val="24"/>
        </w:rPr>
        <w:t>, the proponents of AEP Ohio’s proposal</w:t>
      </w:r>
      <w:r w:rsidRPr="003D3578">
        <w:rPr>
          <w:sz w:val="24"/>
          <w:szCs w:val="24"/>
        </w:rPr>
        <w:t xml:space="preserve"> allege that the Commission’s rules support the conclusion that the Commission has broad discretion to define vague and ambiguous statute.</w:t>
      </w:r>
      <w:r w:rsidR="00704B10" w:rsidRPr="00704B10">
        <w:rPr>
          <w:rStyle w:val="FootnoteReference"/>
          <w:sz w:val="24"/>
          <w:szCs w:val="24"/>
        </w:rPr>
        <w:t xml:space="preserve"> </w:t>
      </w:r>
      <w:r w:rsidR="00704B10">
        <w:rPr>
          <w:rStyle w:val="FootnoteReference"/>
          <w:sz w:val="24"/>
          <w:szCs w:val="24"/>
        </w:rPr>
        <w:footnoteReference w:id="4"/>
      </w:r>
      <w:r w:rsidR="006C3F0E">
        <w:rPr>
          <w:sz w:val="24"/>
          <w:szCs w:val="24"/>
        </w:rPr>
        <w:t xml:space="preserve">  Moreover, they allege that limiting </w:t>
      </w:r>
      <w:proofErr w:type="spellStart"/>
      <w:r w:rsidR="006C3F0E">
        <w:rPr>
          <w:sz w:val="24"/>
          <w:szCs w:val="24"/>
        </w:rPr>
        <w:t>a</w:t>
      </w:r>
      <w:proofErr w:type="spellEnd"/>
      <w:r w:rsidR="006C3F0E">
        <w:rPr>
          <w:sz w:val="24"/>
          <w:szCs w:val="24"/>
        </w:rPr>
        <w:t xml:space="preserve"> finding of need to situations where there is insufficient resource adequacy would render the statute </w:t>
      </w:r>
      <w:proofErr w:type="spellStart"/>
      <w:r w:rsidR="006C3F0E">
        <w:rPr>
          <w:sz w:val="24"/>
          <w:szCs w:val="24"/>
        </w:rPr>
        <w:t>a</w:t>
      </w:r>
      <w:proofErr w:type="spellEnd"/>
      <w:r w:rsidR="006C3F0E">
        <w:rPr>
          <w:sz w:val="24"/>
          <w:szCs w:val="24"/>
        </w:rPr>
        <w:t xml:space="preserve"> “dead letter” given the role of PJM Interconnection.</w:t>
      </w:r>
      <w:r w:rsidR="00704B10">
        <w:rPr>
          <w:rStyle w:val="FootnoteReference"/>
          <w:sz w:val="24"/>
          <w:szCs w:val="24"/>
        </w:rPr>
        <w:footnoteReference w:id="5"/>
      </w:r>
      <w:r w:rsidR="00BC263E">
        <w:rPr>
          <w:sz w:val="24"/>
          <w:szCs w:val="24"/>
        </w:rPr>
        <w:t xml:space="preserve">  Finally,</w:t>
      </w:r>
      <w:r w:rsidR="008E4835">
        <w:rPr>
          <w:sz w:val="24"/>
          <w:szCs w:val="24"/>
        </w:rPr>
        <w:t xml:space="preserve"> </w:t>
      </w:r>
      <w:r w:rsidR="00BC263E">
        <w:rPr>
          <w:sz w:val="24"/>
          <w:szCs w:val="24"/>
        </w:rPr>
        <w:t>th</w:t>
      </w:r>
      <w:r w:rsidR="008E4835">
        <w:rPr>
          <w:sz w:val="24"/>
          <w:szCs w:val="24"/>
        </w:rPr>
        <w:t>ey allege that the ambiguity in the statute permits the Commission to conclude that if customers desire that AEP Ohio construct additional renewable resources, this is a sufficient basis to find there that is a need to construct such resources.</w:t>
      </w:r>
      <w:r w:rsidR="00932939">
        <w:rPr>
          <w:rStyle w:val="FootnoteReference"/>
          <w:sz w:val="24"/>
          <w:szCs w:val="24"/>
        </w:rPr>
        <w:footnoteReference w:id="6"/>
      </w:r>
      <w:r w:rsidR="008E4835">
        <w:rPr>
          <w:sz w:val="24"/>
          <w:szCs w:val="24"/>
        </w:rPr>
        <w:t xml:space="preserve">  </w:t>
      </w:r>
    </w:p>
    <w:p w14:paraId="64BD57E3" w14:textId="3B74D07E" w:rsidR="00D43723" w:rsidRDefault="00EB452D" w:rsidP="007B5F17">
      <w:pPr>
        <w:spacing w:line="480" w:lineRule="auto"/>
        <w:ind w:firstLine="720"/>
        <w:jc w:val="both"/>
        <w:rPr>
          <w:sz w:val="24"/>
          <w:szCs w:val="24"/>
        </w:rPr>
      </w:pPr>
      <w:r>
        <w:rPr>
          <w:sz w:val="24"/>
          <w:szCs w:val="24"/>
        </w:rPr>
        <w:t xml:space="preserve">Under </w:t>
      </w:r>
      <w:r w:rsidRPr="00EB452D">
        <w:rPr>
          <w:sz w:val="24"/>
          <w:szCs w:val="24"/>
        </w:rPr>
        <w:t>principles of</w:t>
      </w:r>
      <w:r>
        <w:rPr>
          <w:sz w:val="24"/>
          <w:szCs w:val="24"/>
        </w:rPr>
        <w:t xml:space="preserve"> statutory</w:t>
      </w:r>
      <w:r w:rsidRPr="00EB452D">
        <w:rPr>
          <w:sz w:val="24"/>
          <w:szCs w:val="24"/>
        </w:rPr>
        <w:t xml:space="preserve"> construction, the arguments in favor of finding need to construct renewables—without a reliability concern, but instead based upon the desires of a portion of AEP Ohio’s customers—simply cannot withstand appellate review, even if the Commission has the desire to indulge this misguided proposal. </w:t>
      </w:r>
      <w:r w:rsidR="007A73E5" w:rsidRPr="003D3578">
        <w:rPr>
          <w:sz w:val="24"/>
          <w:szCs w:val="24"/>
        </w:rPr>
        <w:t xml:space="preserve"> </w:t>
      </w:r>
      <w:r>
        <w:rPr>
          <w:sz w:val="24"/>
          <w:szCs w:val="24"/>
        </w:rPr>
        <w:t>T</w:t>
      </w:r>
      <w:r w:rsidR="007A73E5" w:rsidRPr="003D3578">
        <w:rPr>
          <w:sz w:val="24"/>
          <w:szCs w:val="24"/>
        </w:rPr>
        <w:t xml:space="preserve">here is simply no basis to adopt </w:t>
      </w:r>
      <w:r w:rsidR="00BC263E">
        <w:rPr>
          <w:sz w:val="24"/>
          <w:szCs w:val="24"/>
        </w:rPr>
        <w:t>a</w:t>
      </w:r>
      <w:r w:rsidR="007A73E5" w:rsidRPr="003D3578">
        <w:rPr>
          <w:sz w:val="24"/>
          <w:szCs w:val="24"/>
        </w:rPr>
        <w:t xml:space="preserve"> warped and misguided definition of need, which would turn the intent of Chapter 4928 on its head.</w:t>
      </w:r>
    </w:p>
    <w:p w14:paraId="3E1972ED" w14:textId="403E882B" w:rsidR="00D43723" w:rsidRPr="00D43723" w:rsidRDefault="00396135" w:rsidP="00D43723">
      <w:pPr>
        <w:spacing w:line="240" w:lineRule="auto"/>
        <w:ind w:left="720"/>
        <w:jc w:val="both"/>
        <w:rPr>
          <w:b/>
          <w:sz w:val="24"/>
          <w:szCs w:val="24"/>
        </w:rPr>
      </w:pPr>
      <w:r>
        <w:rPr>
          <w:b/>
          <w:sz w:val="24"/>
          <w:szCs w:val="24"/>
        </w:rPr>
        <w:t>1</w:t>
      </w:r>
      <w:r w:rsidR="00D43723">
        <w:rPr>
          <w:b/>
          <w:sz w:val="24"/>
          <w:szCs w:val="24"/>
        </w:rPr>
        <w:t>. T</w:t>
      </w:r>
      <w:r w:rsidR="007B5F17">
        <w:rPr>
          <w:b/>
          <w:sz w:val="24"/>
          <w:szCs w:val="24"/>
        </w:rPr>
        <w:t>h</w:t>
      </w:r>
      <w:r w:rsidR="00D43723">
        <w:rPr>
          <w:b/>
          <w:sz w:val="24"/>
          <w:szCs w:val="24"/>
        </w:rPr>
        <w:t>e plain language of R.C. 4935.04 states that “resource planning projections” must demonstrate how reliability will be maintained; therefore, such projections can only support a finding of “need” when there is a reliability concern</w:t>
      </w:r>
    </w:p>
    <w:p w14:paraId="4A6CD4FF" w14:textId="21157138" w:rsidR="003D3578" w:rsidRDefault="003D3578" w:rsidP="00CB7118">
      <w:pPr>
        <w:spacing w:line="480" w:lineRule="auto"/>
        <w:ind w:firstLine="720"/>
        <w:jc w:val="both"/>
        <w:rPr>
          <w:sz w:val="24"/>
          <w:szCs w:val="24"/>
        </w:rPr>
      </w:pPr>
      <w:r>
        <w:rPr>
          <w:sz w:val="24"/>
          <w:szCs w:val="24"/>
        </w:rPr>
        <w:t>Contrary to AEP Ohio’ claim</w:t>
      </w:r>
      <w:r w:rsidR="00D07D96">
        <w:rPr>
          <w:sz w:val="24"/>
          <w:szCs w:val="24"/>
        </w:rPr>
        <w:t xml:space="preserve"> that there is no statutory guidance</w:t>
      </w:r>
      <w:r w:rsidR="009E3001">
        <w:rPr>
          <w:sz w:val="24"/>
          <w:szCs w:val="24"/>
        </w:rPr>
        <w:t xml:space="preserve"> to light the way,</w:t>
      </w:r>
      <w:r>
        <w:rPr>
          <w:sz w:val="24"/>
          <w:szCs w:val="24"/>
        </w:rPr>
        <w:t xml:space="preserve"> </w:t>
      </w:r>
      <w:r w:rsidR="00D83688">
        <w:rPr>
          <w:sz w:val="24"/>
          <w:szCs w:val="24"/>
        </w:rPr>
        <w:t>R.C. 4935.04(C)(1)</w:t>
      </w:r>
      <w:r>
        <w:rPr>
          <w:sz w:val="24"/>
          <w:szCs w:val="24"/>
        </w:rPr>
        <w:t xml:space="preserve"> </w:t>
      </w:r>
      <w:r w:rsidR="009C6670">
        <w:rPr>
          <w:sz w:val="24"/>
          <w:szCs w:val="24"/>
        </w:rPr>
        <w:t>gives</w:t>
      </w:r>
      <w:r>
        <w:rPr>
          <w:sz w:val="24"/>
          <w:szCs w:val="24"/>
        </w:rPr>
        <w:t xml:space="preserve"> meaning </w:t>
      </w:r>
      <w:r w:rsidR="009C6670">
        <w:rPr>
          <w:sz w:val="24"/>
          <w:szCs w:val="24"/>
        </w:rPr>
        <w:t>to</w:t>
      </w:r>
      <w:r w:rsidRPr="00B81B02">
        <w:rPr>
          <w:sz w:val="24"/>
          <w:szCs w:val="24"/>
        </w:rPr>
        <w:t xml:space="preserve"> “resource planning projections</w:t>
      </w:r>
      <w:r w:rsidR="00D83688">
        <w:rPr>
          <w:sz w:val="24"/>
          <w:szCs w:val="24"/>
        </w:rPr>
        <w:t>.</w:t>
      </w:r>
      <w:r w:rsidRPr="00B81B02">
        <w:rPr>
          <w:sz w:val="24"/>
          <w:szCs w:val="24"/>
        </w:rPr>
        <w:t xml:space="preserve">”  </w:t>
      </w:r>
      <w:r w:rsidR="00D43723">
        <w:rPr>
          <w:sz w:val="24"/>
          <w:szCs w:val="24"/>
        </w:rPr>
        <w:t>T</w:t>
      </w:r>
      <w:r w:rsidRPr="00B81B02">
        <w:rPr>
          <w:sz w:val="24"/>
          <w:szCs w:val="24"/>
        </w:rPr>
        <w:t xml:space="preserve">hat section </w:t>
      </w:r>
      <w:r w:rsidR="00D43723">
        <w:rPr>
          <w:sz w:val="24"/>
          <w:szCs w:val="24"/>
        </w:rPr>
        <w:t>requires an EDU</w:t>
      </w:r>
      <w:r w:rsidRPr="00B81B02">
        <w:rPr>
          <w:sz w:val="24"/>
          <w:szCs w:val="24"/>
        </w:rPr>
        <w:t xml:space="preserve"> submitting a long-term forecast report</w:t>
      </w:r>
      <w:r w:rsidR="00005C76">
        <w:rPr>
          <w:sz w:val="24"/>
          <w:szCs w:val="24"/>
        </w:rPr>
        <w:t xml:space="preserve"> (“LTFR”)</w:t>
      </w:r>
      <w:r w:rsidRPr="00B81B02">
        <w:rPr>
          <w:sz w:val="24"/>
          <w:szCs w:val="24"/>
        </w:rPr>
        <w:t xml:space="preserve"> </w:t>
      </w:r>
      <w:r w:rsidR="00D43723">
        <w:rPr>
          <w:sz w:val="24"/>
          <w:szCs w:val="24"/>
        </w:rPr>
        <w:t>to</w:t>
      </w:r>
      <w:r w:rsidRPr="00B81B02">
        <w:rPr>
          <w:sz w:val="24"/>
          <w:szCs w:val="24"/>
        </w:rPr>
        <w:t xml:space="preserve"> provide:</w:t>
      </w:r>
      <w:r>
        <w:rPr>
          <w:sz w:val="24"/>
          <w:szCs w:val="24"/>
        </w:rPr>
        <w:t xml:space="preserve"> “</w:t>
      </w:r>
      <w:r w:rsidRPr="003D3578">
        <w:rPr>
          <w:i/>
          <w:sz w:val="24"/>
          <w:szCs w:val="24"/>
        </w:rPr>
        <w:t xml:space="preserve">A year-by-year, ten-year forecast of </w:t>
      </w:r>
      <w:r w:rsidRPr="003D3578">
        <w:rPr>
          <w:b/>
          <w:i/>
          <w:sz w:val="24"/>
          <w:szCs w:val="24"/>
        </w:rPr>
        <w:t>annual energy demand</w:t>
      </w:r>
      <w:r w:rsidRPr="003D3578">
        <w:rPr>
          <w:i/>
          <w:sz w:val="24"/>
          <w:szCs w:val="24"/>
        </w:rPr>
        <w:t>, peak load, reserves</w:t>
      </w:r>
      <w:r w:rsidRPr="003D3578">
        <w:rPr>
          <w:b/>
          <w:i/>
          <w:sz w:val="24"/>
          <w:szCs w:val="24"/>
        </w:rPr>
        <w:t>, and a general description of the resource planning projections to meet demand</w:t>
      </w:r>
      <w:r>
        <w:rPr>
          <w:sz w:val="24"/>
          <w:szCs w:val="24"/>
        </w:rPr>
        <w:t>.”</w:t>
      </w:r>
      <w:r>
        <w:rPr>
          <w:rStyle w:val="FootnoteReference"/>
          <w:sz w:val="24"/>
          <w:szCs w:val="24"/>
        </w:rPr>
        <w:footnoteReference w:id="7"/>
      </w:r>
      <w:r w:rsidRPr="003D3578">
        <w:t xml:space="preserve"> </w:t>
      </w:r>
      <w:r w:rsidRPr="003D3578">
        <w:rPr>
          <w:sz w:val="24"/>
          <w:szCs w:val="24"/>
        </w:rPr>
        <w:t xml:space="preserve">The statute indicates that the resource planning projections </w:t>
      </w:r>
      <w:r w:rsidR="007C1020">
        <w:rPr>
          <w:sz w:val="24"/>
          <w:szCs w:val="24"/>
        </w:rPr>
        <w:t>are submitted to show how an EDU will</w:t>
      </w:r>
      <w:r w:rsidRPr="003D3578">
        <w:rPr>
          <w:sz w:val="24"/>
          <w:szCs w:val="24"/>
        </w:rPr>
        <w:t xml:space="preserve"> “meet demand</w:t>
      </w:r>
      <w:r>
        <w:rPr>
          <w:sz w:val="24"/>
          <w:szCs w:val="24"/>
        </w:rPr>
        <w:t>.</w:t>
      </w:r>
      <w:r w:rsidRPr="003D3578">
        <w:rPr>
          <w:sz w:val="24"/>
          <w:szCs w:val="24"/>
        </w:rPr>
        <w:t>”</w:t>
      </w:r>
      <w:r>
        <w:rPr>
          <w:sz w:val="24"/>
          <w:szCs w:val="24"/>
        </w:rPr>
        <w:t xml:space="preserve">  </w:t>
      </w:r>
      <w:r w:rsidR="009B0486">
        <w:rPr>
          <w:sz w:val="24"/>
          <w:szCs w:val="24"/>
        </w:rPr>
        <w:t>I</w:t>
      </w:r>
      <w:r w:rsidRPr="003D3578">
        <w:rPr>
          <w:sz w:val="24"/>
          <w:szCs w:val="24"/>
        </w:rPr>
        <w:t>n the same sentence, demand is referred to as “energy demand.”</w:t>
      </w:r>
      <w:r w:rsidR="007C1020">
        <w:rPr>
          <w:sz w:val="24"/>
          <w:szCs w:val="24"/>
        </w:rPr>
        <w:t xml:space="preserve">  </w:t>
      </w:r>
      <w:r w:rsidR="009B0486">
        <w:rPr>
          <w:sz w:val="24"/>
          <w:szCs w:val="24"/>
        </w:rPr>
        <w:t>Moreover, a</w:t>
      </w:r>
      <w:r w:rsidR="007C1020">
        <w:rPr>
          <w:sz w:val="24"/>
          <w:szCs w:val="24"/>
        </w:rPr>
        <w:t xml:space="preserve">nnual energy demand, peak load, and reserves </w:t>
      </w:r>
      <w:r w:rsidR="005F740A">
        <w:rPr>
          <w:sz w:val="24"/>
          <w:szCs w:val="24"/>
        </w:rPr>
        <w:t>are terms used</w:t>
      </w:r>
      <w:r w:rsidR="00C91E4E">
        <w:rPr>
          <w:sz w:val="24"/>
          <w:szCs w:val="24"/>
        </w:rPr>
        <w:t xml:space="preserve"> for</w:t>
      </w:r>
      <w:r w:rsidR="007C1020">
        <w:rPr>
          <w:sz w:val="24"/>
          <w:szCs w:val="24"/>
        </w:rPr>
        <w:t xml:space="preserve"> purposes of</w:t>
      </w:r>
      <w:r w:rsidR="00C91E4E">
        <w:rPr>
          <w:sz w:val="24"/>
          <w:szCs w:val="24"/>
        </w:rPr>
        <w:t xml:space="preserve"> evaluating and</w:t>
      </w:r>
      <w:r w:rsidR="007C1020">
        <w:rPr>
          <w:sz w:val="24"/>
          <w:szCs w:val="24"/>
        </w:rPr>
        <w:t xml:space="preserve"> maintaining reliability</w:t>
      </w:r>
      <w:r w:rsidR="005F740A">
        <w:rPr>
          <w:sz w:val="24"/>
          <w:szCs w:val="24"/>
        </w:rPr>
        <w:t>.</w:t>
      </w:r>
      <w:r w:rsidR="00CB7118">
        <w:rPr>
          <w:sz w:val="24"/>
          <w:szCs w:val="24"/>
        </w:rPr>
        <w:t xml:space="preserve">  </w:t>
      </w:r>
      <w:r w:rsidR="007C1020">
        <w:rPr>
          <w:sz w:val="24"/>
          <w:szCs w:val="24"/>
        </w:rPr>
        <w:t xml:space="preserve">Given that resource planning projections are intended to identify how an EDU will </w:t>
      </w:r>
      <w:r w:rsidR="00C91E4E">
        <w:rPr>
          <w:sz w:val="24"/>
          <w:szCs w:val="24"/>
        </w:rPr>
        <w:t xml:space="preserve">obtain resources to maintain reliability; resource planning projections </w:t>
      </w:r>
      <w:r w:rsidR="00C91E4E" w:rsidRPr="00C91E4E">
        <w:rPr>
          <w:sz w:val="24"/>
          <w:szCs w:val="24"/>
        </w:rPr>
        <w:t xml:space="preserve">can only support a finding of “need” </w:t>
      </w:r>
      <w:r w:rsidR="005F282E">
        <w:rPr>
          <w:sz w:val="24"/>
          <w:szCs w:val="24"/>
        </w:rPr>
        <w:t>to mitigate</w:t>
      </w:r>
      <w:r w:rsidR="00C91E4E" w:rsidRPr="00C91E4E">
        <w:rPr>
          <w:sz w:val="24"/>
          <w:szCs w:val="24"/>
        </w:rPr>
        <w:t xml:space="preserve"> </w:t>
      </w:r>
      <w:r w:rsidR="005F282E">
        <w:rPr>
          <w:sz w:val="24"/>
          <w:szCs w:val="24"/>
        </w:rPr>
        <w:t xml:space="preserve">a </w:t>
      </w:r>
      <w:r w:rsidR="00C91E4E" w:rsidRPr="00C91E4E">
        <w:rPr>
          <w:sz w:val="24"/>
          <w:szCs w:val="24"/>
        </w:rPr>
        <w:t>reliability concern</w:t>
      </w:r>
      <w:r w:rsidR="00C91E4E">
        <w:rPr>
          <w:sz w:val="24"/>
          <w:szCs w:val="24"/>
        </w:rPr>
        <w:t>.  Attempts to establish a finding of need for any other purpose are beyond the Commission’s authority.</w:t>
      </w:r>
    </w:p>
    <w:p w14:paraId="70098BC9" w14:textId="5620CEA3" w:rsidR="001C5679" w:rsidRPr="00FC33B3" w:rsidRDefault="001C5679" w:rsidP="00FC33B3">
      <w:pPr>
        <w:pStyle w:val="ListParagraph"/>
        <w:numPr>
          <w:ilvl w:val="0"/>
          <w:numId w:val="33"/>
        </w:numPr>
        <w:spacing w:line="240" w:lineRule="auto"/>
        <w:jc w:val="both"/>
        <w:rPr>
          <w:b/>
          <w:sz w:val="24"/>
          <w:szCs w:val="24"/>
        </w:rPr>
      </w:pPr>
      <w:r w:rsidRPr="00FC33B3">
        <w:rPr>
          <w:b/>
          <w:sz w:val="24"/>
          <w:szCs w:val="24"/>
        </w:rPr>
        <w:t xml:space="preserve">R.C. 4935.01 </w:t>
      </w:r>
      <w:r w:rsidR="00091878" w:rsidRPr="00FC33B3">
        <w:rPr>
          <w:b/>
          <w:sz w:val="24"/>
          <w:szCs w:val="24"/>
        </w:rPr>
        <w:t>does not expand the definition of need</w:t>
      </w:r>
    </w:p>
    <w:p w14:paraId="5D664ABD" w14:textId="69C0DC49" w:rsidR="00B85F6E" w:rsidRDefault="00091878" w:rsidP="00B85F6E">
      <w:pPr>
        <w:spacing w:line="480" w:lineRule="auto"/>
        <w:ind w:firstLine="720"/>
        <w:jc w:val="both"/>
        <w:rPr>
          <w:rFonts w:eastAsia="Calibri"/>
          <w:sz w:val="24"/>
          <w:szCs w:val="24"/>
        </w:rPr>
      </w:pPr>
      <w:r>
        <w:rPr>
          <w:sz w:val="24"/>
          <w:szCs w:val="24"/>
        </w:rPr>
        <w:t xml:space="preserve">The </w:t>
      </w:r>
      <w:r w:rsidR="008F4C11">
        <w:rPr>
          <w:sz w:val="24"/>
          <w:szCs w:val="24"/>
        </w:rPr>
        <w:t>Conservat</w:t>
      </w:r>
      <w:r w:rsidR="00E54CF6">
        <w:rPr>
          <w:sz w:val="24"/>
          <w:szCs w:val="24"/>
        </w:rPr>
        <w:t>ion</w:t>
      </w:r>
      <w:r w:rsidR="008F4C11">
        <w:rPr>
          <w:sz w:val="24"/>
          <w:szCs w:val="24"/>
        </w:rPr>
        <w:t xml:space="preserve"> Group</w:t>
      </w:r>
      <w:r w:rsidR="00E54CF6">
        <w:rPr>
          <w:sz w:val="24"/>
          <w:szCs w:val="24"/>
        </w:rPr>
        <w:t>s</w:t>
      </w:r>
      <w:r>
        <w:rPr>
          <w:sz w:val="24"/>
          <w:szCs w:val="24"/>
        </w:rPr>
        <w:t xml:space="preserve"> allege</w:t>
      </w:r>
      <w:r w:rsidR="008F4C11">
        <w:rPr>
          <w:sz w:val="24"/>
          <w:szCs w:val="24"/>
        </w:rPr>
        <w:t>s</w:t>
      </w:r>
      <w:r>
        <w:rPr>
          <w:sz w:val="24"/>
          <w:szCs w:val="24"/>
        </w:rPr>
        <w:t xml:space="preserve"> that </w:t>
      </w:r>
      <w:r w:rsidR="00A23B49">
        <w:rPr>
          <w:sz w:val="24"/>
          <w:szCs w:val="24"/>
        </w:rPr>
        <w:t>R.C. 4935.01 supports an expan</w:t>
      </w:r>
      <w:r w:rsidR="00B85F6E">
        <w:rPr>
          <w:sz w:val="24"/>
          <w:szCs w:val="24"/>
        </w:rPr>
        <w:t xml:space="preserve">sive definition of need, because under that section </w:t>
      </w:r>
      <w:r w:rsidR="002C6694">
        <w:rPr>
          <w:sz w:val="24"/>
          <w:szCs w:val="24"/>
        </w:rPr>
        <w:t xml:space="preserve">the Commission </w:t>
      </w:r>
      <w:r w:rsidR="00FF16A7">
        <w:rPr>
          <w:sz w:val="24"/>
          <w:szCs w:val="24"/>
        </w:rPr>
        <w:t>is required</w:t>
      </w:r>
      <w:r w:rsidR="002C6694">
        <w:rPr>
          <w:sz w:val="24"/>
          <w:szCs w:val="24"/>
        </w:rPr>
        <w:t xml:space="preserve"> </w:t>
      </w:r>
      <w:r w:rsidR="00DC3514">
        <w:rPr>
          <w:sz w:val="24"/>
          <w:szCs w:val="24"/>
        </w:rPr>
        <w:t xml:space="preserve">to </w:t>
      </w:r>
      <w:r w:rsidR="00DE7CAD">
        <w:rPr>
          <w:sz w:val="24"/>
          <w:szCs w:val="24"/>
        </w:rPr>
        <w:t>“r</w:t>
      </w:r>
      <w:r w:rsidR="002C6694" w:rsidRPr="002C6694">
        <w:rPr>
          <w:sz w:val="24"/>
          <w:szCs w:val="24"/>
        </w:rPr>
        <w:t>easonably balance requirements of state</w:t>
      </w:r>
      <w:r w:rsidR="00DE7CAD">
        <w:rPr>
          <w:sz w:val="24"/>
          <w:szCs w:val="24"/>
        </w:rPr>
        <w:t xml:space="preserve"> </w:t>
      </w:r>
      <w:r w:rsidR="002C6694" w:rsidRPr="002C6694">
        <w:rPr>
          <w:sz w:val="24"/>
          <w:szCs w:val="24"/>
        </w:rPr>
        <w:t>and regional development, protection of public health and</w:t>
      </w:r>
      <w:r w:rsidR="00DE7CAD">
        <w:rPr>
          <w:sz w:val="24"/>
          <w:szCs w:val="24"/>
        </w:rPr>
        <w:t xml:space="preserve"> </w:t>
      </w:r>
      <w:r w:rsidR="002C6694" w:rsidRPr="002C6694">
        <w:rPr>
          <w:sz w:val="24"/>
          <w:szCs w:val="24"/>
        </w:rPr>
        <w:t xml:space="preserve">safety, preservation of environmental quality, </w:t>
      </w:r>
      <w:r w:rsidR="002C6694" w:rsidRPr="00B85F6E">
        <w:rPr>
          <w:sz w:val="24"/>
          <w:szCs w:val="24"/>
        </w:rPr>
        <w:t>maintenance of a</w:t>
      </w:r>
      <w:r w:rsidR="00DE7CAD" w:rsidRPr="00B85F6E">
        <w:rPr>
          <w:sz w:val="24"/>
          <w:szCs w:val="24"/>
        </w:rPr>
        <w:t xml:space="preserve"> </w:t>
      </w:r>
      <w:r w:rsidR="002C6694" w:rsidRPr="00B85F6E">
        <w:rPr>
          <w:sz w:val="24"/>
          <w:szCs w:val="24"/>
        </w:rPr>
        <w:t>sound economy, and conservation of energy and material</w:t>
      </w:r>
      <w:r w:rsidR="00DE7CAD" w:rsidRPr="00B85F6E">
        <w:rPr>
          <w:sz w:val="24"/>
          <w:szCs w:val="24"/>
        </w:rPr>
        <w:t xml:space="preserve"> </w:t>
      </w:r>
      <w:r w:rsidR="002C6694" w:rsidRPr="00B85F6E">
        <w:rPr>
          <w:sz w:val="24"/>
          <w:szCs w:val="24"/>
        </w:rPr>
        <w:t>resources.</w:t>
      </w:r>
      <w:r w:rsidR="00DE7CAD" w:rsidRPr="00B85F6E">
        <w:rPr>
          <w:sz w:val="24"/>
          <w:szCs w:val="24"/>
        </w:rPr>
        <w:t>”</w:t>
      </w:r>
      <w:r w:rsidR="00E5569D">
        <w:rPr>
          <w:rStyle w:val="FootnoteReference"/>
          <w:sz w:val="24"/>
          <w:szCs w:val="24"/>
        </w:rPr>
        <w:footnoteReference w:id="8"/>
      </w:r>
      <w:r w:rsidR="00E5569D">
        <w:rPr>
          <w:sz w:val="24"/>
          <w:szCs w:val="24"/>
        </w:rPr>
        <w:t xml:space="preserve"> </w:t>
      </w:r>
      <w:r w:rsidR="00DC3514" w:rsidRPr="00B85F6E">
        <w:rPr>
          <w:sz w:val="24"/>
          <w:szCs w:val="24"/>
        </w:rPr>
        <w:t xml:space="preserve"> </w:t>
      </w:r>
      <w:r w:rsidR="00B85F6E" w:rsidRPr="00B85F6E">
        <w:rPr>
          <w:rFonts w:eastAsia="Calibri"/>
          <w:sz w:val="24"/>
          <w:szCs w:val="24"/>
        </w:rPr>
        <w:t xml:space="preserve">This argument misses the mark.  </w:t>
      </w:r>
    </w:p>
    <w:p w14:paraId="5AE7001E" w14:textId="47D523DE" w:rsidR="00091878" w:rsidRDefault="00B85F6E" w:rsidP="00375816">
      <w:pPr>
        <w:spacing w:line="480" w:lineRule="auto"/>
        <w:ind w:firstLine="720"/>
        <w:jc w:val="both"/>
        <w:rPr>
          <w:rFonts w:eastAsia="Calibri"/>
          <w:sz w:val="24"/>
          <w:szCs w:val="24"/>
        </w:rPr>
      </w:pPr>
      <w:r w:rsidRPr="00B85F6E">
        <w:rPr>
          <w:rFonts w:eastAsia="Calibri"/>
          <w:sz w:val="24"/>
          <w:szCs w:val="24"/>
        </w:rPr>
        <w:t xml:space="preserve">R.C. </w:t>
      </w:r>
      <w:r w:rsidR="00091878" w:rsidRPr="00B85F6E">
        <w:rPr>
          <w:rFonts w:eastAsia="Calibri"/>
          <w:sz w:val="24"/>
          <w:szCs w:val="24"/>
        </w:rPr>
        <w:t xml:space="preserve">4935.01 lays out the Commission’s obligations with respect to energy forecasting, and those obligations are disconnected from the issues to be determined in an LTFR proceeding.  Indeed, the information to be contained in an LTFR and the scope of an LTFR proceeding is governed by Section 4935.04, Revised Code.  Under that Section, the Commission’s role is limited to determining whether the LTFR is complete, accurate, and reasonable.  And, </w:t>
      </w:r>
      <w:r w:rsidR="00166366">
        <w:rPr>
          <w:rFonts w:eastAsia="Calibri"/>
          <w:sz w:val="24"/>
          <w:szCs w:val="24"/>
        </w:rPr>
        <w:t xml:space="preserve">unlike </w:t>
      </w:r>
      <w:r w:rsidR="00375816">
        <w:rPr>
          <w:rFonts w:eastAsia="Calibri"/>
          <w:sz w:val="24"/>
          <w:szCs w:val="24"/>
        </w:rPr>
        <w:t xml:space="preserve">the Commission’s obligations to consider state-wide impacts, specific EDU filing are focused solely on the ability to satisfy the energy and peak demand requirements within their service territory. </w:t>
      </w:r>
    </w:p>
    <w:p w14:paraId="56CDE6CB" w14:textId="0A28907B" w:rsidR="00375816" w:rsidRPr="00375816" w:rsidRDefault="00375816" w:rsidP="00375816">
      <w:pPr>
        <w:spacing w:line="480" w:lineRule="auto"/>
        <w:ind w:firstLine="720"/>
        <w:jc w:val="both"/>
        <w:rPr>
          <w:sz w:val="24"/>
          <w:szCs w:val="24"/>
        </w:rPr>
      </w:pPr>
      <w:r>
        <w:rPr>
          <w:sz w:val="24"/>
          <w:szCs w:val="24"/>
        </w:rPr>
        <w:t xml:space="preserve">Moreover, as discussed below, while the Commission </w:t>
      </w:r>
      <w:r w:rsidR="000D7004">
        <w:rPr>
          <w:sz w:val="24"/>
          <w:szCs w:val="24"/>
        </w:rPr>
        <w:t xml:space="preserve">should focus on ensuring environmental quality and energy conservation, there </w:t>
      </w:r>
      <w:r w:rsidR="004B38D5">
        <w:rPr>
          <w:sz w:val="24"/>
          <w:szCs w:val="24"/>
        </w:rPr>
        <w:t>is already a comprehensive statutory scheme</w:t>
      </w:r>
      <w:r w:rsidR="00CF1CBA">
        <w:rPr>
          <w:sz w:val="24"/>
          <w:szCs w:val="24"/>
        </w:rPr>
        <w:t xml:space="preserve"> designed to govern those </w:t>
      </w:r>
      <w:r w:rsidR="004B38D5">
        <w:rPr>
          <w:sz w:val="24"/>
          <w:szCs w:val="24"/>
        </w:rPr>
        <w:t>policy objectives</w:t>
      </w:r>
      <w:r w:rsidR="0095270A">
        <w:rPr>
          <w:sz w:val="24"/>
          <w:szCs w:val="24"/>
        </w:rPr>
        <w:t xml:space="preserve"> from an electricity perspective</w:t>
      </w:r>
      <w:r w:rsidR="00CF1CBA">
        <w:rPr>
          <w:sz w:val="24"/>
          <w:szCs w:val="24"/>
        </w:rPr>
        <w:t>.</w:t>
      </w:r>
      <w:r w:rsidR="00CF1CBA">
        <w:rPr>
          <w:rStyle w:val="FootnoteReference"/>
          <w:sz w:val="24"/>
          <w:szCs w:val="24"/>
        </w:rPr>
        <w:footnoteReference w:id="9"/>
      </w:r>
      <w:r w:rsidR="00CA3AE5">
        <w:rPr>
          <w:sz w:val="24"/>
          <w:szCs w:val="24"/>
        </w:rPr>
        <w:t xml:space="preserve">  And</w:t>
      </w:r>
      <w:r w:rsidR="007D47C4">
        <w:rPr>
          <w:sz w:val="24"/>
          <w:szCs w:val="24"/>
        </w:rPr>
        <w:t>, as discussed below,</w:t>
      </w:r>
      <w:r w:rsidR="00CA3AE5">
        <w:rPr>
          <w:sz w:val="24"/>
          <w:szCs w:val="24"/>
        </w:rPr>
        <w:t xml:space="preserve"> the procurement of renewable resources has been designated as a component of competitive service, which cannot be </w:t>
      </w:r>
      <w:r w:rsidR="007D47C4">
        <w:rPr>
          <w:sz w:val="24"/>
          <w:szCs w:val="24"/>
        </w:rPr>
        <w:t>the subject of a non-</w:t>
      </w:r>
      <w:proofErr w:type="spellStart"/>
      <w:r w:rsidR="007D47C4">
        <w:rPr>
          <w:sz w:val="24"/>
          <w:szCs w:val="24"/>
        </w:rPr>
        <w:t>bypassable</w:t>
      </w:r>
      <w:proofErr w:type="spellEnd"/>
      <w:r w:rsidR="007D47C4">
        <w:rPr>
          <w:sz w:val="24"/>
          <w:szCs w:val="24"/>
        </w:rPr>
        <w:t>, market distorting surcharge under R.C. 4928.143(B)(2)(c).</w:t>
      </w:r>
      <w:r w:rsidR="007D47C4">
        <w:rPr>
          <w:rStyle w:val="FootnoteReference"/>
          <w:sz w:val="24"/>
          <w:szCs w:val="24"/>
        </w:rPr>
        <w:footnoteReference w:id="10"/>
      </w:r>
    </w:p>
    <w:p w14:paraId="0DADB3FE" w14:textId="689011B7" w:rsidR="00813E23" w:rsidRPr="00FC33B3" w:rsidRDefault="00E14582" w:rsidP="00FC33B3">
      <w:pPr>
        <w:pStyle w:val="ListParagraph"/>
        <w:numPr>
          <w:ilvl w:val="0"/>
          <w:numId w:val="33"/>
        </w:numPr>
        <w:spacing w:line="240" w:lineRule="auto"/>
        <w:jc w:val="both"/>
        <w:rPr>
          <w:b/>
          <w:sz w:val="24"/>
          <w:szCs w:val="24"/>
        </w:rPr>
      </w:pPr>
      <w:r w:rsidRPr="00FC33B3">
        <w:rPr>
          <w:b/>
          <w:sz w:val="24"/>
          <w:szCs w:val="24"/>
        </w:rPr>
        <w:t xml:space="preserve">The plain meaning of </w:t>
      </w:r>
      <w:r w:rsidR="00183E69" w:rsidRPr="00FC33B3">
        <w:rPr>
          <w:b/>
          <w:sz w:val="24"/>
          <w:szCs w:val="24"/>
        </w:rPr>
        <w:t>R.C. 4928.64(E) and R.C. 4928.143(B) further illustrates that renewable generation cannot be subject to a non-</w:t>
      </w:r>
      <w:proofErr w:type="spellStart"/>
      <w:r w:rsidR="00183E69" w:rsidRPr="00FC33B3">
        <w:rPr>
          <w:b/>
          <w:sz w:val="24"/>
          <w:szCs w:val="24"/>
        </w:rPr>
        <w:t>bypassable</w:t>
      </w:r>
      <w:proofErr w:type="spellEnd"/>
      <w:r w:rsidR="00183E69" w:rsidRPr="00FC33B3">
        <w:rPr>
          <w:b/>
          <w:sz w:val="24"/>
          <w:szCs w:val="24"/>
        </w:rPr>
        <w:t xml:space="preserve"> charge as proposed by AEP Ohio</w:t>
      </w:r>
    </w:p>
    <w:p w14:paraId="49640A82" w14:textId="77777777" w:rsidR="00FE0597" w:rsidRDefault="00D447C2" w:rsidP="00DA2FC7">
      <w:pPr>
        <w:spacing w:line="480" w:lineRule="auto"/>
        <w:ind w:firstLine="720"/>
        <w:jc w:val="both"/>
        <w:rPr>
          <w:sz w:val="24"/>
          <w:szCs w:val="24"/>
        </w:rPr>
      </w:pPr>
      <w:r w:rsidRPr="00B85F6E">
        <w:rPr>
          <w:sz w:val="24"/>
          <w:szCs w:val="24"/>
        </w:rPr>
        <w:t xml:space="preserve">To the extent that the plain meaning of </w:t>
      </w:r>
      <w:r w:rsidR="00C20283" w:rsidRPr="00B85F6E">
        <w:rPr>
          <w:sz w:val="24"/>
          <w:szCs w:val="24"/>
        </w:rPr>
        <w:t>resource planning does not provide clarity, the clear</w:t>
      </w:r>
      <w:r w:rsidR="00E20CFC" w:rsidRPr="00B85F6E">
        <w:rPr>
          <w:sz w:val="24"/>
          <w:szCs w:val="24"/>
        </w:rPr>
        <w:t xml:space="preserve"> language of R.C. 4928.64(E) and R.C. 4928.143(B) further illustrates that renewable generation cannot be subject to a non-</w:t>
      </w:r>
      <w:proofErr w:type="spellStart"/>
      <w:r w:rsidR="00E20CFC" w:rsidRPr="00B85F6E">
        <w:rPr>
          <w:sz w:val="24"/>
          <w:szCs w:val="24"/>
        </w:rPr>
        <w:t>bypassable</w:t>
      </w:r>
      <w:proofErr w:type="spellEnd"/>
      <w:r w:rsidR="00E20CFC" w:rsidRPr="00B85F6E">
        <w:rPr>
          <w:sz w:val="24"/>
          <w:szCs w:val="24"/>
        </w:rPr>
        <w:t xml:space="preserve"> charge.  First, </w:t>
      </w:r>
      <w:r w:rsidR="000D7E36" w:rsidRPr="00B85F6E">
        <w:rPr>
          <w:sz w:val="24"/>
          <w:szCs w:val="24"/>
        </w:rPr>
        <w:t xml:space="preserve">R.C. 4928.64 establishes a clear, coherent policy framework for purposes </w:t>
      </w:r>
      <w:r w:rsidR="00045A7A">
        <w:rPr>
          <w:sz w:val="24"/>
          <w:szCs w:val="24"/>
        </w:rPr>
        <w:t xml:space="preserve">of </w:t>
      </w:r>
      <w:r w:rsidR="000D7E36" w:rsidRPr="00B85F6E">
        <w:rPr>
          <w:sz w:val="24"/>
          <w:szCs w:val="24"/>
        </w:rPr>
        <w:t>procuring renewable energy to serve Ohio customers.</w:t>
      </w:r>
      <w:r w:rsidR="00E063C5" w:rsidRPr="00B85F6E">
        <w:rPr>
          <w:sz w:val="24"/>
          <w:szCs w:val="24"/>
        </w:rPr>
        <w:t xml:space="preserve">  The requirements were placed equally on EDUs and CRES providers, making the procurement of renewable energy a component of competitive service.  </w:t>
      </w:r>
    </w:p>
    <w:p w14:paraId="64762F48" w14:textId="75049735" w:rsidR="00183E69" w:rsidRPr="00B85F6E" w:rsidRDefault="00055333" w:rsidP="00DA2FC7">
      <w:pPr>
        <w:spacing w:line="480" w:lineRule="auto"/>
        <w:ind w:firstLine="720"/>
        <w:jc w:val="both"/>
        <w:rPr>
          <w:sz w:val="24"/>
          <w:szCs w:val="24"/>
        </w:rPr>
      </w:pPr>
      <w:r w:rsidRPr="00B85F6E">
        <w:rPr>
          <w:sz w:val="24"/>
          <w:szCs w:val="24"/>
        </w:rPr>
        <w:t xml:space="preserve">To ensure a level playing field in this respect, the General Assembly required that all costs incurred to support procurement of renewable energy pursuant to R.C. 4928.64 must be </w:t>
      </w:r>
      <w:proofErr w:type="spellStart"/>
      <w:r w:rsidRPr="00B85F6E">
        <w:rPr>
          <w:sz w:val="24"/>
          <w:szCs w:val="24"/>
        </w:rPr>
        <w:t>bypassable</w:t>
      </w:r>
      <w:proofErr w:type="spellEnd"/>
      <w:r w:rsidRPr="00B85F6E">
        <w:rPr>
          <w:sz w:val="24"/>
          <w:szCs w:val="24"/>
        </w:rPr>
        <w:t>.</w:t>
      </w:r>
      <w:r w:rsidR="00E5569D">
        <w:rPr>
          <w:rStyle w:val="FootnoteReference"/>
          <w:sz w:val="24"/>
          <w:szCs w:val="24"/>
        </w:rPr>
        <w:footnoteReference w:id="11"/>
      </w:r>
      <w:r w:rsidRPr="00B85F6E">
        <w:rPr>
          <w:sz w:val="24"/>
          <w:szCs w:val="24"/>
        </w:rPr>
        <w:t xml:space="preserve">  If that were not enough of a signal from the legislature that</w:t>
      </w:r>
      <w:r w:rsidR="00CD55B7" w:rsidRPr="00B85F6E">
        <w:rPr>
          <w:sz w:val="24"/>
          <w:szCs w:val="24"/>
        </w:rPr>
        <w:t xml:space="preserve"> the cost associated with </w:t>
      </w:r>
      <w:r w:rsidRPr="00B85F6E">
        <w:rPr>
          <w:sz w:val="24"/>
          <w:szCs w:val="24"/>
        </w:rPr>
        <w:t xml:space="preserve">renewable </w:t>
      </w:r>
      <w:r w:rsidR="00CD55B7" w:rsidRPr="00B85F6E">
        <w:rPr>
          <w:sz w:val="24"/>
          <w:szCs w:val="24"/>
        </w:rPr>
        <w:t>resources were not intended to be recovered through a non-</w:t>
      </w:r>
      <w:proofErr w:type="spellStart"/>
      <w:r w:rsidR="00CD55B7" w:rsidRPr="00B85F6E">
        <w:rPr>
          <w:sz w:val="24"/>
          <w:szCs w:val="24"/>
        </w:rPr>
        <w:t>bypassable</w:t>
      </w:r>
      <w:proofErr w:type="spellEnd"/>
      <w:r w:rsidR="00CD55B7" w:rsidRPr="00B85F6E">
        <w:rPr>
          <w:sz w:val="24"/>
          <w:szCs w:val="24"/>
        </w:rPr>
        <w:t xml:space="preserve"> charge, the point was hammered home in the preamble to </w:t>
      </w:r>
      <w:r w:rsidR="00FF2234">
        <w:rPr>
          <w:sz w:val="24"/>
          <w:szCs w:val="24"/>
        </w:rPr>
        <w:t>R.C.</w:t>
      </w:r>
      <w:r w:rsidR="001943BC" w:rsidRPr="00B85F6E">
        <w:rPr>
          <w:sz w:val="24"/>
          <w:szCs w:val="24"/>
        </w:rPr>
        <w:t xml:space="preserve"> 4928.143(B)</w:t>
      </w:r>
      <w:r w:rsidR="00B74BF5" w:rsidRPr="00B85F6E">
        <w:rPr>
          <w:sz w:val="24"/>
          <w:szCs w:val="24"/>
        </w:rPr>
        <w:t xml:space="preserve">.  In that section, the </w:t>
      </w:r>
      <w:r w:rsidR="00AE49AB" w:rsidRPr="00B85F6E">
        <w:rPr>
          <w:sz w:val="24"/>
          <w:szCs w:val="24"/>
        </w:rPr>
        <w:t xml:space="preserve">law stated that an ESP may include certain provisions, except provisions that conflict with, among other things, R.C. 4928.64(E), which requires the cost of renewables to remain </w:t>
      </w:r>
      <w:proofErr w:type="spellStart"/>
      <w:r w:rsidR="00AE49AB" w:rsidRPr="00B85F6E">
        <w:rPr>
          <w:sz w:val="24"/>
          <w:szCs w:val="24"/>
        </w:rPr>
        <w:t>bypassable</w:t>
      </w:r>
      <w:proofErr w:type="spellEnd"/>
      <w:r w:rsidR="00AE49AB" w:rsidRPr="00B85F6E">
        <w:rPr>
          <w:sz w:val="24"/>
          <w:szCs w:val="24"/>
        </w:rPr>
        <w:t>.</w:t>
      </w:r>
      <w:r w:rsidR="00DA2FC7" w:rsidRPr="00B85F6E">
        <w:rPr>
          <w:sz w:val="24"/>
          <w:szCs w:val="24"/>
        </w:rPr>
        <w:t xml:space="preserve">  </w:t>
      </w:r>
      <w:r w:rsidR="00DC0438" w:rsidRPr="00B85F6E">
        <w:rPr>
          <w:sz w:val="24"/>
          <w:szCs w:val="24"/>
        </w:rPr>
        <w:t>Accordingly, AEP Ohio’s proposal to redefine need</w:t>
      </w:r>
      <w:r w:rsidR="00AD2EFD">
        <w:rPr>
          <w:sz w:val="24"/>
          <w:szCs w:val="24"/>
        </w:rPr>
        <w:t xml:space="preserve"> c</w:t>
      </w:r>
      <w:r w:rsidR="00DC0438" w:rsidRPr="00B85F6E">
        <w:rPr>
          <w:sz w:val="24"/>
          <w:szCs w:val="24"/>
        </w:rPr>
        <w:t>onflicts with the plain language of the law and the obvious intent of the General Assembly.</w:t>
      </w:r>
      <w:r w:rsidR="00DA2FC7" w:rsidRPr="00B85F6E">
        <w:rPr>
          <w:sz w:val="24"/>
          <w:szCs w:val="24"/>
        </w:rPr>
        <w:t xml:space="preserve">    </w:t>
      </w:r>
    </w:p>
    <w:p w14:paraId="2D866986" w14:textId="7F50A083" w:rsidR="00FC33B3" w:rsidRPr="00396135" w:rsidRDefault="00FC33B3" w:rsidP="00FC33B3">
      <w:pPr>
        <w:pStyle w:val="ListParagraph"/>
        <w:numPr>
          <w:ilvl w:val="0"/>
          <w:numId w:val="33"/>
        </w:numPr>
        <w:spacing w:line="240" w:lineRule="auto"/>
        <w:jc w:val="both"/>
        <w:rPr>
          <w:b/>
          <w:sz w:val="24"/>
          <w:szCs w:val="24"/>
        </w:rPr>
      </w:pPr>
      <w:r w:rsidRPr="00396135">
        <w:rPr>
          <w:b/>
          <w:sz w:val="24"/>
          <w:szCs w:val="24"/>
        </w:rPr>
        <w:t>PJM’s role does not render R.C. 4928.143(B)(2)(c) a dead letter</w:t>
      </w:r>
    </w:p>
    <w:p w14:paraId="188B170B" w14:textId="3EB3814A" w:rsidR="00FC33B3" w:rsidRDefault="00FC33B3" w:rsidP="00FC33B3">
      <w:pPr>
        <w:spacing w:line="480" w:lineRule="auto"/>
        <w:ind w:firstLine="720"/>
        <w:jc w:val="both"/>
        <w:rPr>
          <w:sz w:val="24"/>
          <w:szCs w:val="24"/>
        </w:rPr>
      </w:pPr>
      <w:r w:rsidRPr="00D43723">
        <w:rPr>
          <w:sz w:val="24"/>
          <w:szCs w:val="24"/>
        </w:rPr>
        <w:t>AEP alleges that need cannot mean resource adequacy because at the time SB 221 was passed, the Ohio EDUs were already required to transfer control of their transmission facilities to PJM interconnection.</w:t>
      </w:r>
      <w:r w:rsidR="00215FBE">
        <w:rPr>
          <w:rStyle w:val="FootnoteReference"/>
          <w:sz w:val="24"/>
          <w:szCs w:val="24"/>
        </w:rPr>
        <w:footnoteReference w:id="12"/>
      </w:r>
      <w:r w:rsidRPr="00D43723">
        <w:rPr>
          <w:sz w:val="24"/>
          <w:szCs w:val="24"/>
        </w:rPr>
        <w:t xml:space="preserve">  </w:t>
      </w:r>
      <w:r>
        <w:rPr>
          <w:sz w:val="24"/>
          <w:szCs w:val="24"/>
        </w:rPr>
        <w:t>AEP Ohio alleges that because PJM is responsible for wholesale markets that provide resource adequacy, limiting the definition of need to reliability concerns would make the law</w:t>
      </w:r>
      <w:r w:rsidRPr="00D43723">
        <w:rPr>
          <w:sz w:val="24"/>
          <w:szCs w:val="24"/>
        </w:rPr>
        <w:t xml:space="preserve"> a dead letter.</w:t>
      </w:r>
      <w:r w:rsidR="004C3717">
        <w:rPr>
          <w:rStyle w:val="FootnoteReference"/>
          <w:sz w:val="24"/>
          <w:szCs w:val="24"/>
        </w:rPr>
        <w:footnoteReference w:id="13"/>
      </w:r>
      <w:r w:rsidRPr="00D43723">
        <w:rPr>
          <w:sz w:val="24"/>
          <w:szCs w:val="24"/>
        </w:rPr>
        <w:t xml:space="preserve">  AEP Ohio’s claim is without merit for several reasons. </w:t>
      </w:r>
    </w:p>
    <w:p w14:paraId="2AFFC0E9" w14:textId="77777777" w:rsidR="00FC33B3" w:rsidRDefault="00FC33B3" w:rsidP="00FC33B3">
      <w:pPr>
        <w:autoSpaceDE w:val="0"/>
        <w:autoSpaceDN w:val="0"/>
        <w:adjustRightInd w:val="0"/>
        <w:spacing w:after="120" w:line="480" w:lineRule="auto"/>
        <w:ind w:firstLine="720"/>
        <w:jc w:val="both"/>
        <w:rPr>
          <w:sz w:val="24"/>
          <w:szCs w:val="24"/>
        </w:rPr>
      </w:pPr>
      <w:r>
        <w:rPr>
          <w:sz w:val="24"/>
          <w:szCs w:val="24"/>
        </w:rPr>
        <w:t xml:space="preserve">First, the General Assembly enacted Amended Substitute Senate Bill 221 (“SB 221) ten years ago.  In the energy world, ten years is a lifetime.  While the world looks different today than it did when SB 221 was passed, the appropriate historical context shows that, while R.C. 4928.143(B)(2)(c) has gone unutilized, it was hardly a dead letter at the time it was enacted.  </w:t>
      </w:r>
    </w:p>
    <w:p w14:paraId="29018771" w14:textId="07E16ED6" w:rsidR="00FF1C5D" w:rsidRDefault="00FC33B3" w:rsidP="00FC33B3">
      <w:pPr>
        <w:autoSpaceDE w:val="0"/>
        <w:autoSpaceDN w:val="0"/>
        <w:adjustRightInd w:val="0"/>
        <w:spacing w:after="120" w:line="480" w:lineRule="auto"/>
        <w:ind w:firstLine="720"/>
        <w:jc w:val="both"/>
        <w:rPr>
          <w:sz w:val="24"/>
          <w:szCs w:val="24"/>
        </w:rPr>
      </w:pPr>
      <w:r>
        <w:rPr>
          <w:sz w:val="24"/>
          <w:szCs w:val="24"/>
        </w:rPr>
        <w:t>At the time that SB 221 was passed, there were serious concerns over PJM’s ability to maintain resource adequacy at reasonable prices.  Peak demand and electricity prices were rising year after year but the capacity markets were not providing just and reasonable rates.</w:t>
      </w:r>
      <w:r>
        <w:rPr>
          <w:rStyle w:val="FootnoteReference"/>
          <w:sz w:val="24"/>
          <w:szCs w:val="24"/>
        </w:rPr>
        <w:footnoteReference w:id="14"/>
      </w:r>
      <w:r>
        <w:rPr>
          <w:sz w:val="24"/>
          <w:szCs w:val="24"/>
        </w:rPr>
        <w:t xml:space="preserve">  </w:t>
      </w:r>
      <w:r w:rsidRPr="007545E3">
        <w:rPr>
          <w:sz w:val="24"/>
          <w:szCs w:val="24"/>
        </w:rPr>
        <w:t>Indeed, in the months leading up to the passage of Senate Bill 221, PJM and FERC were in the process of revamping the “Reliability Pricing Model (RPM) to establish new market rules that will enable PJM to obtain sufficient energy to reliably meet the needs of consumers within PJM.”</w:t>
      </w:r>
      <w:r w:rsidRPr="00B81B02">
        <w:rPr>
          <w:rStyle w:val="FootnoteReference"/>
          <w:sz w:val="24"/>
          <w:szCs w:val="24"/>
        </w:rPr>
        <w:footnoteReference w:id="15"/>
      </w:r>
      <w:r w:rsidR="00FF1C5D">
        <w:rPr>
          <w:sz w:val="24"/>
          <w:szCs w:val="24"/>
        </w:rPr>
        <w:t xml:space="preserve">  </w:t>
      </w:r>
    </w:p>
    <w:p w14:paraId="52642724" w14:textId="0352FDFA" w:rsidR="002A1DDC" w:rsidRDefault="006C1EE1" w:rsidP="00FC33B3">
      <w:pPr>
        <w:autoSpaceDE w:val="0"/>
        <w:autoSpaceDN w:val="0"/>
        <w:adjustRightInd w:val="0"/>
        <w:spacing w:after="120" w:line="480" w:lineRule="auto"/>
        <w:ind w:firstLine="720"/>
        <w:jc w:val="both"/>
        <w:rPr>
          <w:sz w:val="24"/>
          <w:szCs w:val="24"/>
        </w:rPr>
      </w:pPr>
      <w:r>
        <w:rPr>
          <w:sz w:val="24"/>
          <w:szCs w:val="24"/>
        </w:rPr>
        <w:t xml:space="preserve">At the time, </w:t>
      </w:r>
      <w:r w:rsidR="00FC33B3" w:rsidRPr="007545E3">
        <w:rPr>
          <w:sz w:val="24"/>
          <w:szCs w:val="24"/>
        </w:rPr>
        <w:t xml:space="preserve">there were substantial concerns regarding the status of the wholesale market. </w:t>
      </w:r>
      <w:r w:rsidR="00950FB6">
        <w:rPr>
          <w:sz w:val="24"/>
          <w:szCs w:val="24"/>
        </w:rPr>
        <w:t>In</w:t>
      </w:r>
      <w:r w:rsidR="00FC33B3" w:rsidRPr="007545E3">
        <w:rPr>
          <w:sz w:val="24"/>
          <w:szCs w:val="24"/>
        </w:rPr>
        <w:t xml:space="preserve"> </w:t>
      </w:r>
      <w:r w:rsidR="0085759D">
        <w:rPr>
          <w:sz w:val="24"/>
          <w:szCs w:val="24"/>
        </w:rPr>
        <w:t xml:space="preserve">the </w:t>
      </w:r>
      <w:r w:rsidR="00FC33B3" w:rsidRPr="007545E3">
        <w:rPr>
          <w:sz w:val="24"/>
          <w:szCs w:val="24"/>
        </w:rPr>
        <w:t>proceeding</w:t>
      </w:r>
      <w:r w:rsidR="0085759D">
        <w:rPr>
          <w:sz w:val="24"/>
          <w:szCs w:val="24"/>
        </w:rPr>
        <w:t xml:space="preserve"> leading to</w:t>
      </w:r>
      <w:r w:rsidR="00A856C4">
        <w:rPr>
          <w:sz w:val="24"/>
          <w:szCs w:val="24"/>
        </w:rPr>
        <w:t xml:space="preserve"> the modification of the capacity market</w:t>
      </w:r>
      <w:r w:rsidR="009F7C4C">
        <w:rPr>
          <w:sz w:val="24"/>
          <w:szCs w:val="24"/>
        </w:rPr>
        <w:t>, PJM itself had identified concerns regarding the ability to maintain resource adequacy:</w:t>
      </w:r>
      <w:r w:rsidR="00FC33B3" w:rsidRPr="007545E3">
        <w:rPr>
          <w:sz w:val="24"/>
          <w:szCs w:val="24"/>
        </w:rPr>
        <w:t xml:space="preserve"> “PJM stated that it anticipates multiple reliability violations in parts of eastern PJM, including northern New Jersey, and expects violations soon in the Delmarva and the Baltimore-Washington areas.”</w:t>
      </w:r>
      <w:r w:rsidR="00CB2077">
        <w:rPr>
          <w:rStyle w:val="FootnoteReference"/>
          <w:sz w:val="24"/>
          <w:szCs w:val="24"/>
        </w:rPr>
        <w:footnoteReference w:id="16"/>
      </w:r>
      <w:r w:rsidR="00FC33B3" w:rsidRPr="007545E3">
        <w:rPr>
          <w:sz w:val="24"/>
          <w:szCs w:val="24"/>
        </w:rPr>
        <w:t xml:space="preserve">  Moreover, PJM believed that “reliability problems are likely to extend to other parts of PJM in the near future, despite existing adequate supplies in those areas, because much of PJM’s generation fleet is very old (and thus, may soon be retired), and because current market revenues are likely to be insufficient to sustain.”</w:t>
      </w:r>
      <w:r w:rsidR="00FC33B3" w:rsidRPr="00B81B02">
        <w:rPr>
          <w:rStyle w:val="FootnoteReference"/>
          <w:sz w:val="24"/>
          <w:szCs w:val="24"/>
        </w:rPr>
        <w:footnoteReference w:id="17"/>
      </w:r>
      <w:r w:rsidR="00FC33B3" w:rsidRPr="007545E3">
        <w:rPr>
          <w:sz w:val="24"/>
          <w:szCs w:val="24"/>
        </w:rPr>
        <w:t xml:space="preserve">   “PJM demonstrated that in some areas, the addition of new generating units to the system will lag dramatically behind the anticipated growth in demand.”</w:t>
      </w:r>
      <w:r w:rsidR="00FC33B3" w:rsidRPr="00B81B02">
        <w:rPr>
          <w:rStyle w:val="FootnoteReference"/>
          <w:sz w:val="24"/>
          <w:szCs w:val="24"/>
        </w:rPr>
        <w:footnoteReference w:id="18"/>
      </w:r>
      <w:r w:rsidR="002A1DDC">
        <w:rPr>
          <w:sz w:val="24"/>
          <w:szCs w:val="24"/>
        </w:rPr>
        <w:t xml:space="preserve">  </w:t>
      </w:r>
    </w:p>
    <w:p w14:paraId="30988229" w14:textId="788A6009" w:rsidR="00FC33B3" w:rsidRDefault="006C1EE1" w:rsidP="001151F7">
      <w:pPr>
        <w:autoSpaceDE w:val="0"/>
        <w:autoSpaceDN w:val="0"/>
        <w:adjustRightInd w:val="0"/>
        <w:spacing w:after="120" w:line="480" w:lineRule="auto"/>
        <w:ind w:firstLine="720"/>
        <w:jc w:val="both"/>
        <w:rPr>
          <w:sz w:val="24"/>
          <w:szCs w:val="24"/>
        </w:rPr>
      </w:pPr>
      <w:r w:rsidRPr="007545E3">
        <w:rPr>
          <w:sz w:val="24"/>
          <w:szCs w:val="24"/>
        </w:rPr>
        <w:t xml:space="preserve">While parties were </w:t>
      </w:r>
      <w:r w:rsidR="001151F7">
        <w:rPr>
          <w:sz w:val="24"/>
          <w:szCs w:val="24"/>
        </w:rPr>
        <w:t>hopeful</w:t>
      </w:r>
      <w:r w:rsidRPr="007545E3">
        <w:rPr>
          <w:sz w:val="24"/>
          <w:szCs w:val="24"/>
        </w:rPr>
        <w:t xml:space="preserve"> that PJM’s new capacity market would ensure reliability</w:t>
      </w:r>
      <w:r>
        <w:rPr>
          <w:sz w:val="24"/>
          <w:szCs w:val="24"/>
        </w:rPr>
        <w:t xml:space="preserve"> at reasonable prices, it </w:t>
      </w:r>
      <w:r w:rsidR="000D1E4B">
        <w:rPr>
          <w:sz w:val="24"/>
          <w:szCs w:val="24"/>
        </w:rPr>
        <w:t>would take</w:t>
      </w:r>
      <w:r>
        <w:rPr>
          <w:sz w:val="24"/>
          <w:szCs w:val="24"/>
        </w:rPr>
        <w:t xml:space="preserve"> several years before the new paradigm w</w:t>
      </w:r>
      <w:r w:rsidR="000D1E4B">
        <w:rPr>
          <w:sz w:val="24"/>
          <w:szCs w:val="24"/>
        </w:rPr>
        <w:t>ould be</w:t>
      </w:r>
      <w:r>
        <w:rPr>
          <w:sz w:val="24"/>
          <w:szCs w:val="24"/>
        </w:rPr>
        <w:t xml:space="preserve"> fully implemented.  Specifically, the RPM Order contemplated phasing in its new locational delivery requirements</w:t>
      </w:r>
      <w:r w:rsidR="00A5680E">
        <w:rPr>
          <w:sz w:val="24"/>
          <w:szCs w:val="24"/>
        </w:rPr>
        <w:t>, such that “</w:t>
      </w:r>
      <w:r w:rsidR="00CB2449" w:rsidRPr="00CB2449">
        <w:rPr>
          <w:sz w:val="24"/>
          <w:szCs w:val="24"/>
        </w:rPr>
        <w:t>all 23 Locational Delivery Areas will be</w:t>
      </w:r>
      <w:r w:rsidR="00A5680E">
        <w:rPr>
          <w:sz w:val="24"/>
          <w:szCs w:val="24"/>
        </w:rPr>
        <w:t xml:space="preserve"> </w:t>
      </w:r>
      <w:r w:rsidR="00CB2449" w:rsidRPr="00CB2449">
        <w:rPr>
          <w:sz w:val="24"/>
          <w:szCs w:val="24"/>
        </w:rPr>
        <w:t>established for the delivery year 2010-2011</w:t>
      </w:r>
      <w:r w:rsidR="00A5680E">
        <w:rPr>
          <w:sz w:val="24"/>
          <w:szCs w:val="24"/>
        </w:rPr>
        <w:t>.”</w:t>
      </w:r>
      <w:r w:rsidR="00A5680E">
        <w:rPr>
          <w:rStyle w:val="FootnoteReference"/>
          <w:sz w:val="24"/>
          <w:szCs w:val="24"/>
        </w:rPr>
        <w:footnoteReference w:id="19"/>
      </w:r>
      <w:r w:rsidR="00A5680E">
        <w:rPr>
          <w:sz w:val="24"/>
          <w:szCs w:val="24"/>
        </w:rPr>
        <w:t xml:space="preserve"> </w:t>
      </w:r>
      <w:r w:rsidR="00FC33B3" w:rsidRPr="007545E3">
        <w:rPr>
          <w:sz w:val="24"/>
          <w:szCs w:val="24"/>
        </w:rPr>
        <w:t xml:space="preserve"> Given the uncertainty </w:t>
      </w:r>
      <w:r w:rsidR="006704FA">
        <w:rPr>
          <w:sz w:val="24"/>
          <w:szCs w:val="24"/>
        </w:rPr>
        <w:t>around the functionality of wholesale markets,</w:t>
      </w:r>
      <w:r w:rsidR="00FC33B3" w:rsidRPr="007545E3">
        <w:rPr>
          <w:sz w:val="24"/>
          <w:szCs w:val="24"/>
        </w:rPr>
        <w:t xml:space="preserve"> it is not surprising that SB 221 created a safety valve—just in case wholesale markets did not provide for </w:t>
      </w:r>
      <w:proofErr w:type="gramStart"/>
      <w:r w:rsidR="00FC33B3" w:rsidRPr="007545E3">
        <w:rPr>
          <w:sz w:val="24"/>
          <w:szCs w:val="24"/>
        </w:rPr>
        <w:t>sufficient</w:t>
      </w:r>
      <w:proofErr w:type="gramEnd"/>
      <w:r w:rsidR="00FC33B3" w:rsidRPr="007545E3">
        <w:rPr>
          <w:sz w:val="24"/>
          <w:szCs w:val="24"/>
        </w:rPr>
        <w:t xml:space="preserve"> reliability.    </w:t>
      </w:r>
    </w:p>
    <w:p w14:paraId="65C63EBA" w14:textId="465E1551" w:rsidR="00FC33B3" w:rsidRDefault="00FC33B3" w:rsidP="00FC33B3">
      <w:pPr>
        <w:spacing w:line="480" w:lineRule="auto"/>
        <w:ind w:firstLine="720"/>
        <w:jc w:val="both"/>
        <w:rPr>
          <w:sz w:val="24"/>
          <w:szCs w:val="24"/>
        </w:rPr>
      </w:pPr>
      <w:r>
        <w:rPr>
          <w:sz w:val="24"/>
          <w:szCs w:val="24"/>
        </w:rPr>
        <w:t>Second, w</w:t>
      </w:r>
      <w:r w:rsidRPr="007545E3">
        <w:rPr>
          <w:sz w:val="24"/>
          <w:szCs w:val="24"/>
        </w:rPr>
        <w:t xml:space="preserve">hile PJM </w:t>
      </w:r>
      <w:r>
        <w:rPr>
          <w:sz w:val="24"/>
          <w:szCs w:val="24"/>
        </w:rPr>
        <w:t>is responsible for</w:t>
      </w:r>
      <w:r w:rsidRPr="007545E3">
        <w:rPr>
          <w:sz w:val="24"/>
          <w:szCs w:val="24"/>
        </w:rPr>
        <w:t xml:space="preserve"> ensur</w:t>
      </w:r>
      <w:r>
        <w:rPr>
          <w:sz w:val="24"/>
          <w:szCs w:val="24"/>
        </w:rPr>
        <w:t>ing</w:t>
      </w:r>
      <w:r w:rsidRPr="007545E3">
        <w:rPr>
          <w:sz w:val="24"/>
          <w:szCs w:val="24"/>
        </w:rPr>
        <w:t xml:space="preserve"> reliability, it cannot direct any entity to construct generation to meet load; thus, </w:t>
      </w:r>
      <w:r w:rsidR="00885674">
        <w:rPr>
          <w:sz w:val="24"/>
          <w:szCs w:val="24"/>
        </w:rPr>
        <w:t xml:space="preserve">SB 221 contained a narrow </w:t>
      </w:r>
      <w:r w:rsidR="000E16D3">
        <w:rPr>
          <w:sz w:val="24"/>
          <w:szCs w:val="24"/>
        </w:rPr>
        <w:t xml:space="preserve">provision </w:t>
      </w:r>
      <w:r w:rsidRPr="007545E3">
        <w:rPr>
          <w:sz w:val="24"/>
          <w:szCs w:val="24"/>
        </w:rPr>
        <w:t>that would permit the construction of new generation if it was needed for a reliability perspective.  Indeed, there are examples where other PJM-member states</w:t>
      </w:r>
      <w:r w:rsidR="00CC0FF0">
        <w:rPr>
          <w:sz w:val="24"/>
          <w:szCs w:val="24"/>
        </w:rPr>
        <w:t xml:space="preserve"> have </w:t>
      </w:r>
      <w:proofErr w:type="gramStart"/>
      <w:r w:rsidR="00CC0FF0">
        <w:rPr>
          <w:sz w:val="24"/>
          <w:szCs w:val="24"/>
        </w:rPr>
        <w:t>taken action</w:t>
      </w:r>
      <w:proofErr w:type="gramEnd"/>
      <w:r w:rsidRPr="007545E3">
        <w:rPr>
          <w:sz w:val="24"/>
          <w:szCs w:val="24"/>
        </w:rPr>
        <w:t xml:space="preserve"> to mandate the construction of new generation</w:t>
      </w:r>
      <w:r w:rsidR="00CC0FF0">
        <w:rPr>
          <w:sz w:val="24"/>
          <w:szCs w:val="24"/>
        </w:rPr>
        <w:t xml:space="preserve">, despite </w:t>
      </w:r>
      <w:r w:rsidR="001F6BEF">
        <w:rPr>
          <w:sz w:val="24"/>
          <w:szCs w:val="24"/>
        </w:rPr>
        <w:t>PJM’s responsibility to assure resource adequacy</w:t>
      </w:r>
      <w:r w:rsidRPr="007545E3">
        <w:rPr>
          <w:sz w:val="24"/>
          <w:szCs w:val="24"/>
        </w:rPr>
        <w:t>.</w:t>
      </w:r>
      <w:r w:rsidR="008B03A6">
        <w:rPr>
          <w:rStyle w:val="FootnoteReference"/>
          <w:sz w:val="24"/>
          <w:szCs w:val="24"/>
        </w:rPr>
        <w:footnoteReference w:id="20"/>
      </w:r>
      <w:r w:rsidRPr="007545E3">
        <w:rPr>
          <w:sz w:val="24"/>
          <w:szCs w:val="24"/>
        </w:rPr>
        <w:t xml:space="preserve"> </w:t>
      </w:r>
      <w:r w:rsidR="00853451">
        <w:rPr>
          <w:sz w:val="24"/>
          <w:szCs w:val="24"/>
        </w:rPr>
        <w:t xml:space="preserve"> </w:t>
      </w:r>
      <w:r w:rsidR="00982867">
        <w:rPr>
          <w:sz w:val="24"/>
          <w:szCs w:val="24"/>
        </w:rPr>
        <w:t>Particularly, after the passage of SB 221, “[a]</w:t>
      </w:r>
      <w:r w:rsidR="00982867" w:rsidRPr="00982867">
        <w:rPr>
          <w:sz w:val="24"/>
          <w:szCs w:val="24"/>
        </w:rPr>
        <w:t>round 2009, Maryland electricity regulators became concerned that the PJM capacity auction was failing to encourage development of sufficient new in-state generation</w:t>
      </w:r>
      <w:r w:rsidR="00982867">
        <w:rPr>
          <w:sz w:val="24"/>
          <w:szCs w:val="24"/>
        </w:rPr>
        <w:t>.”</w:t>
      </w:r>
      <w:r w:rsidR="00853451">
        <w:rPr>
          <w:rStyle w:val="FootnoteReference"/>
          <w:sz w:val="24"/>
          <w:szCs w:val="24"/>
        </w:rPr>
        <w:footnoteReference w:id="21"/>
      </w:r>
      <w:r w:rsidR="000D3E86">
        <w:rPr>
          <w:sz w:val="24"/>
          <w:szCs w:val="24"/>
        </w:rPr>
        <w:t xml:space="preserve">  To rectify the perceived shortfall in generation</w:t>
      </w:r>
      <w:r w:rsidR="001F6BEF">
        <w:rPr>
          <w:sz w:val="24"/>
          <w:szCs w:val="24"/>
        </w:rPr>
        <w:t xml:space="preserve"> capacity</w:t>
      </w:r>
      <w:r w:rsidR="000D3E86">
        <w:rPr>
          <w:sz w:val="24"/>
          <w:szCs w:val="24"/>
        </w:rPr>
        <w:t>, “</w:t>
      </w:r>
      <w:r w:rsidR="000D3E86" w:rsidRPr="000D3E86">
        <w:rPr>
          <w:sz w:val="24"/>
          <w:szCs w:val="24"/>
        </w:rPr>
        <w:t>Maryland solicited proposals from various companies for construction of a new gas-fired power plant at a particular location, and accepted the proposal of petitioner CPV Maryland, LLC (CPV).</w:t>
      </w:r>
      <w:r w:rsidR="000D3E86">
        <w:rPr>
          <w:sz w:val="24"/>
          <w:szCs w:val="24"/>
        </w:rPr>
        <w:t>”</w:t>
      </w:r>
      <w:r w:rsidR="009041B9">
        <w:rPr>
          <w:rStyle w:val="FootnoteReference"/>
          <w:sz w:val="24"/>
          <w:szCs w:val="24"/>
        </w:rPr>
        <w:footnoteReference w:id="22"/>
      </w:r>
    </w:p>
    <w:p w14:paraId="01614BA0" w14:textId="77A2E00C" w:rsidR="00FC33B3" w:rsidRPr="007545E3" w:rsidRDefault="00FC33B3" w:rsidP="00FC33B3">
      <w:pPr>
        <w:autoSpaceDE w:val="0"/>
        <w:autoSpaceDN w:val="0"/>
        <w:adjustRightInd w:val="0"/>
        <w:spacing w:after="120" w:line="480" w:lineRule="auto"/>
        <w:ind w:firstLine="720"/>
        <w:jc w:val="both"/>
        <w:rPr>
          <w:sz w:val="24"/>
          <w:szCs w:val="24"/>
        </w:rPr>
      </w:pPr>
      <w:r>
        <w:rPr>
          <w:sz w:val="24"/>
          <w:szCs w:val="24"/>
        </w:rPr>
        <w:t>Third</w:t>
      </w:r>
      <w:r w:rsidRPr="007545E3">
        <w:rPr>
          <w:sz w:val="24"/>
          <w:szCs w:val="24"/>
        </w:rPr>
        <w:t>,</w:t>
      </w:r>
      <w:r>
        <w:rPr>
          <w:sz w:val="24"/>
          <w:szCs w:val="24"/>
        </w:rPr>
        <w:t xml:space="preserve"> </w:t>
      </w:r>
      <w:r w:rsidRPr="007545E3">
        <w:rPr>
          <w:sz w:val="24"/>
          <w:szCs w:val="24"/>
        </w:rPr>
        <w:t xml:space="preserve">at the time </w:t>
      </w:r>
      <w:r>
        <w:rPr>
          <w:sz w:val="24"/>
          <w:szCs w:val="24"/>
        </w:rPr>
        <w:t>that</w:t>
      </w:r>
      <w:r w:rsidRPr="007545E3">
        <w:rPr>
          <w:sz w:val="24"/>
          <w:szCs w:val="24"/>
        </w:rPr>
        <w:t xml:space="preserve"> SB 221</w:t>
      </w:r>
      <w:r>
        <w:rPr>
          <w:sz w:val="24"/>
          <w:szCs w:val="24"/>
        </w:rPr>
        <w:t xml:space="preserve"> was passed, PJM had a very limited role for purposes of maintaining resource adequacy in Ohio.  </w:t>
      </w:r>
      <w:r w:rsidRPr="007545E3">
        <w:rPr>
          <w:sz w:val="24"/>
          <w:szCs w:val="24"/>
        </w:rPr>
        <w:t>At the time, shopping levels were insignificant</w:t>
      </w:r>
      <w:r w:rsidR="00CC4E0F">
        <w:rPr>
          <w:rStyle w:val="FootnoteReference"/>
          <w:sz w:val="24"/>
          <w:szCs w:val="24"/>
        </w:rPr>
        <w:footnoteReference w:id="23"/>
      </w:r>
      <w:r w:rsidRPr="007545E3">
        <w:rPr>
          <w:sz w:val="24"/>
          <w:szCs w:val="24"/>
        </w:rPr>
        <w:t xml:space="preserve"> and all utilities served the SSO through either their owned or affiliate generation resources.</w:t>
      </w:r>
      <w:r w:rsidR="00A1165E">
        <w:rPr>
          <w:sz w:val="24"/>
          <w:szCs w:val="24"/>
        </w:rPr>
        <w:t xml:space="preserve">  It was anticipated that an ESP would in fact be offered by an EDU through its own generating assets</w:t>
      </w:r>
      <w:r w:rsidR="0041213B">
        <w:rPr>
          <w:sz w:val="24"/>
          <w:szCs w:val="24"/>
        </w:rPr>
        <w:t xml:space="preserve"> to the extent that it can do so at prices below the otherwise applicable market rate.</w:t>
      </w:r>
      <w:r w:rsidRPr="007545E3">
        <w:rPr>
          <w:sz w:val="24"/>
          <w:szCs w:val="24"/>
        </w:rPr>
        <w:t xml:space="preserve">  </w:t>
      </w:r>
    </w:p>
    <w:p w14:paraId="0C9EFBBD" w14:textId="46B55084" w:rsidR="00FC33B3" w:rsidRPr="00C530B5" w:rsidRDefault="00FC33B3" w:rsidP="00FC33B3">
      <w:pPr>
        <w:spacing w:line="480" w:lineRule="auto"/>
        <w:ind w:firstLine="720"/>
        <w:jc w:val="both"/>
        <w:rPr>
          <w:sz w:val="24"/>
          <w:szCs w:val="24"/>
        </w:rPr>
      </w:pPr>
      <w:r>
        <w:rPr>
          <w:sz w:val="24"/>
          <w:szCs w:val="24"/>
        </w:rPr>
        <w:t>Fourth</w:t>
      </w:r>
      <w:r w:rsidRPr="007545E3">
        <w:rPr>
          <w:sz w:val="24"/>
          <w:szCs w:val="24"/>
        </w:rPr>
        <w:t xml:space="preserve">, while PJM controlled the Ohio utilities transmission facilities, they were in many respects vertically integrated utilities.  For example, the AEP Ohio zone of PJM has only been subject to competitive market capacity pricing </w:t>
      </w:r>
      <w:r w:rsidR="005644B1">
        <w:rPr>
          <w:sz w:val="24"/>
          <w:szCs w:val="24"/>
        </w:rPr>
        <w:t>since June 1, 2015</w:t>
      </w:r>
      <w:r w:rsidRPr="007545E3">
        <w:rPr>
          <w:sz w:val="24"/>
          <w:szCs w:val="24"/>
        </w:rPr>
        <w:t>.</w:t>
      </w:r>
      <w:r w:rsidR="005644B1">
        <w:rPr>
          <w:rStyle w:val="FootnoteReference"/>
          <w:sz w:val="24"/>
          <w:szCs w:val="24"/>
        </w:rPr>
        <w:footnoteReference w:id="24"/>
      </w:r>
      <w:r w:rsidRPr="007545E3">
        <w:rPr>
          <w:sz w:val="24"/>
          <w:szCs w:val="24"/>
        </w:rPr>
        <w:t xml:space="preserve">  From the time AEP Ohio joined PJM until the resolution </w:t>
      </w:r>
      <w:r w:rsidR="001F4706">
        <w:rPr>
          <w:sz w:val="24"/>
          <w:szCs w:val="24"/>
        </w:rPr>
        <w:t xml:space="preserve">of what is commonly referred to the </w:t>
      </w:r>
      <w:r w:rsidR="001F4706">
        <w:rPr>
          <w:i/>
          <w:sz w:val="24"/>
          <w:szCs w:val="24"/>
        </w:rPr>
        <w:t>Capacity Case</w:t>
      </w:r>
      <w:r w:rsidR="007F06F8">
        <w:rPr>
          <w:sz w:val="24"/>
          <w:szCs w:val="24"/>
        </w:rPr>
        <w:t>, which</w:t>
      </w:r>
      <w:r w:rsidRPr="007545E3">
        <w:rPr>
          <w:sz w:val="24"/>
          <w:szCs w:val="24"/>
        </w:rPr>
        <w:t xml:space="preserve"> dragged on for several years, AEP Ohio relied upon its own generation assets (some of which were</w:t>
      </w:r>
      <w:r w:rsidR="0059588D">
        <w:rPr>
          <w:sz w:val="24"/>
          <w:szCs w:val="24"/>
        </w:rPr>
        <w:t xml:space="preserve"> located</w:t>
      </w:r>
      <w:r w:rsidRPr="007545E3">
        <w:rPr>
          <w:sz w:val="24"/>
          <w:szCs w:val="24"/>
        </w:rPr>
        <w:t xml:space="preserve"> out of state) to serve the capacity needs of its Ohio footprint.</w:t>
      </w:r>
      <w:r w:rsidR="006C779C">
        <w:rPr>
          <w:rStyle w:val="FootnoteReference"/>
          <w:sz w:val="24"/>
          <w:szCs w:val="24"/>
        </w:rPr>
        <w:footnoteReference w:id="25"/>
      </w:r>
      <w:r w:rsidR="006C779C">
        <w:rPr>
          <w:sz w:val="24"/>
          <w:szCs w:val="24"/>
        </w:rPr>
        <w:t xml:space="preserve"> </w:t>
      </w:r>
      <w:r w:rsidRPr="007545E3">
        <w:rPr>
          <w:sz w:val="24"/>
          <w:szCs w:val="24"/>
        </w:rPr>
        <w:t xml:space="preserve">  Rather than participating in PJM’s base residual capacity auction, AEP Ohio submitted a fixed resource requirement plan that was intended to permit an EDU to satisfy its reliable requirements through a traditional integrated resource plan, with specific assets identified to serve peak load.</w:t>
      </w:r>
      <w:r w:rsidRPr="00B81B02">
        <w:rPr>
          <w:rStyle w:val="FootnoteReference"/>
          <w:sz w:val="24"/>
          <w:szCs w:val="24"/>
        </w:rPr>
        <w:footnoteReference w:id="26"/>
      </w:r>
      <w:r w:rsidRPr="007545E3">
        <w:rPr>
          <w:b/>
          <w:sz w:val="24"/>
          <w:szCs w:val="24"/>
        </w:rPr>
        <w:t xml:space="preserve"> </w:t>
      </w:r>
      <w:r w:rsidRPr="007545E3">
        <w:rPr>
          <w:sz w:val="24"/>
          <w:szCs w:val="24"/>
        </w:rPr>
        <w:t xml:space="preserve">The Commission explicitly noted this in the </w:t>
      </w:r>
      <w:r w:rsidRPr="007545E3">
        <w:rPr>
          <w:i/>
          <w:sz w:val="24"/>
          <w:szCs w:val="24"/>
        </w:rPr>
        <w:t>Capacity Case</w:t>
      </w:r>
      <w:r w:rsidRPr="007545E3">
        <w:rPr>
          <w:sz w:val="24"/>
          <w:szCs w:val="24"/>
        </w:rPr>
        <w:t>, stating, “</w:t>
      </w:r>
      <w:r w:rsidR="00342639">
        <w:rPr>
          <w:sz w:val="24"/>
          <w:szCs w:val="24"/>
        </w:rPr>
        <w:t>[a]</w:t>
      </w:r>
      <w:r w:rsidRPr="007545E3">
        <w:rPr>
          <w:sz w:val="24"/>
          <w:szCs w:val="24"/>
        </w:rPr>
        <w:t>s an FRR Entity, AEP-Ohio notes that it does not procure capacity for its load obligations in PJM's RPM auctions or even participate in such auctions . . . .”</w:t>
      </w:r>
      <w:r>
        <w:rPr>
          <w:rStyle w:val="FootnoteReference"/>
          <w:sz w:val="24"/>
          <w:szCs w:val="24"/>
        </w:rPr>
        <w:footnoteReference w:id="27"/>
      </w:r>
      <w:r w:rsidR="0010576C">
        <w:rPr>
          <w:sz w:val="24"/>
          <w:szCs w:val="24"/>
        </w:rPr>
        <w:t xml:space="preserve">  Accordingly,</w:t>
      </w:r>
      <w:r w:rsidR="0067456E">
        <w:rPr>
          <w:sz w:val="24"/>
          <w:szCs w:val="24"/>
        </w:rPr>
        <w:t xml:space="preserve"> the role of PJM</w:t>
      </w:r>
      <w:r w:rsidR="0035576A">
        <w:rPr>
          <w:sz w:val="24"/>
          <w:szCs w:val="24"/>
        </w:rPr>
        <w:t>—one that</w:t>
      </w:r>
      <w:r w:rsidR="0067456E">
        <w:rPr>
          <w:sz w:val="24"/>
          <w:szCs w:val="24"/>
        </w:rPr>
        <w:t xml:space="preserve"> </w:t>
      </w:r>
      <w:r w:rsidR="0035576A">
        <w:rPr>
          <w:sz w:val="24"/>
          <w:szCs w:val="24"/>
        </w:rPr>
        <w:t>has been quite limited at times— does not render</w:t>
      </w:r>
      <w:r w:rsidR="0010576C">
        <w:rPr>
          <w:sz w:val="24"/>
          <w:szCs w:val="24"/>
        </w:rPr>
        <w:t xml:space="preserve"> R.C. 4928.143(B)(2)(c) </w:t>
      </w:r>
      <w:r w:rsidR="0035576A">
        <w:rPr>
          <w:sz w:val="24"/>
          <w:szCs w:val="24"/>
        </w:rPr>
        <w:t xml:space="preserve">a </w:t>
      </w:r>
      <w:r w:rsidR="0067456E">
        <w:rPr>
          <w:sz w:val="24"/>
          <w:szCs w:val="24"/>
        </w:rPr>
        <w:t>dead letter</w:t>
      </w:r>
      <w:r w:rsidR="00342639">
        <w:rPr>
          <w:sz w:val="24"/>
          <w:szCs w:val="24"/>
        </w:rPr>
        <w:t>;  just one that has fortunately not been needed</w:t>
      </w:r>
      <w:r w:rsidR="0067456E">
        <w:rPr>
          <w:sz w:val="24"/>
          <w:szCs w:val="24"/>
        </w:rPr>
        <w:t>.</w:t>
      </w:r>
    </w:p>
    <w:p w14:paraId="639B6A2B" w14:textId="0AF52930" w:rsidR="00FC33B3" w:rsidRPr="00FC33B3" w:rsidRDefault="0035576A" w:rsidP="00FC33B3">
      <w:pPr>
        <w:tabs>
          <w:tab w:val="left" w:pos="360"/>
        </w:tabs>
        <w:spacing w:after="0" w:line="480" w:lineRule="auto"/>
        <w:jc w:val="both"/>
        <w:rPr>
          <w:sz w:val="24"/>
          <w:szCs w:val="24"/>
        </w:rPr>
      </w:pPr>
      <w:r>
        <w:rPr>
          <w:b/>
          <w:sz w:val="24"/>
          <w:szCs w:val="24"/>
        </w:rPr>
        <w:tab/>
      </w:r>
      <w:r>
        <w:rPr>
          <w:b/>
          <w:sz w:val="24"/>
          <w:szCs w:val="24"/>
        </w:rPr>
        <w:tab/>
      </w:r>
      <w:r w:rsidR="00FC33B3">
        <w:rPr>
          <w:sz w:val="24"/>
          <w:szCs w:val="24"/>
        </w:rPr>
        <w:t xml:space="preserve">Interpreting need to situations where a new generation resource is needed to resolve a reliability concern would not render the law a dead letter and lead to an absurd result.  Indeed, reliability was the </w:t>
      </w:r>
      <w:r w:rsidR="00FC33B3">
        <w:rPr>
          <w:i/>
          <w:sz w:val="24"/>
          <w:szCs w:val="24"/>
        </w:rPr>
        <w:t xml:space="preserve">only </w:t>
      </w:r>
      <w:r w:rsidR="00FC33B3">
        <w:rPr>
          <w:sz w:val="24"/>
          <w:szCs w:val="24"/>
        </w:rPr>
        <w:t xml:space="preserve">concern that the General Assembly had in mind when it passed the law.  The construction of renewable resources was addressed by the General Assembly in R.C. 4928.64 pursuant to the renewable mandates.  And costs incurred to construct renewables must be </w:t>
      </w:r>
      <w:proofErr w:type="spellStart"/>
      <w:r w:rsidR="00FC33B3">
        <w:rPr>
          <w:sz w:val="24"/>
          <w:szCs w:val="24"/>
        </w:rPr>
        <w:t>bypassable</w:t>
      </w:r>
      <w:proofErr w:type="spellEnd"/>
      <w:r w:rsidR="00FC33B3">
        <w:rPr>
          <w:sz w:val="24"/>
          <w:szCs w:val="24"/>
        </w:rPr>
        <w:t xml:space="preserve"> under R.C. 4928.64(E).  Construing these statutes together, the General Assembly has provided that the recovery of renewable generation costs is not eligible for a non-</w:t>
      </w:r>
      <w:proofErr w:type="spellStart"/>
      <w:r w:rsidR="00FC33B3">
        <w:rPr>
          <w:sz w:val="24"/>
          <w:szCs w:val="24"/>
        </w:rPr>
        <w:t>bypassable</w:t>
      </w:r>
      <w:proofErr w:type="spellEnd"/>
      <w:r w:rsidR="00FC33B3">
        <w:rPr>
          <w:sz w:val="24"/>
          <w:szCs w:val="24"/>
        </w:rPr>
        <w:t xml:space="preserve"> surcharge under R.C. 4928.143(B)(2)(c).  Likewise, interpreting the ESP statute to permit non-</w:t>
      </w:r>
      <w:proofErr w:type="spellStart"/>
      <w:r w:rsidR="00FC33B3">
        <w:rPr>
          <w:sz w:val="24"/>
          <w:szCs w:val="24"/>
        </w:rPr>
        <w:t>bypassable</w:t>
      </w:r>
      <w:proofErr w:type="spellEnd"/>
      <w:r w:rsidR="00FC33B3">
        <w:rPr>
          <w:sz w:val="24"/>
          <w:szCs w:val="24"/>
        </w:rPr>
        <w:t xml:space="preserve"> cost recovery for renewable generation development beyond the levels contemplated by the RPS would lead to an absurd result that the Generally Assembly did not intend.</w:t>
      </w:r>
    </w:p>
    <w:p w14:paraId="6E5C4C91" w14:textId="512153CF" w:rsidR="007545E3" w:rsidRPr="00396135" w:rsidRDefault="007545E3" w:rsidP="00FC33B3">
      <w:pPr>
        <w:pStyle w:val="ListParagraph"/>
        <w:numPr>
          <w:ilvl w:val="0"/>
          <w:numId w:val="33"/>
        </w:numPr>
        <w:spacing w:line="240" w:lineRule="auto"/>
        <w:jc w:val="both"/>
        <w:rPr>
          <w:b/>
          <w:sz w:val="24"/>
          <w:szCs w:val="24"/>
        </w:rPr>
      </w:pPr>
      <w:r w:rsidRPr="00B85F6E">
        <w:rPr>
          <w:b/>
          <w:sz w:val="24"/>
          <w:szCs w:val="24"/>
        </w:rPr>
        <w:t>The Commission’s rules do not support a finding of need; rather, the rules</w:t>
      </w:r>
      <w:r w:rsidRPr="00396135">
        <w:rPr>
          <w:b/>
          <w:sz w:val="24"/>
          <w:szCs w:val="24"/>
        </w:rPr>
        <w:t xml:space="preserve"> dictate that an IRP should demonstrate how an EDU utilizes renewable resources pursuant to R.C. 4928.64</w:t>
      </w:r>
      <w:r w:rsidR="008B15DD">
        <w:rPr>
          <w:b/>
          <w:sz w:val="24"/>
          <w:szCs w:val="24"/>
        </w:rPr>
        <w:t xml:space="preserve"> on a</w:t>
      </w:r>
      <w:r w:rsidRPr="00396135">
        <w:rPr>
          <w:b/>
          <w:sz w:val="24"/>
          <w:szCs w:val="24"/>
        </w:rPr>
        <w:t xml:space="preserve"> </w:t>
      </w:r>
      <w:proofErr w:type="spellStart"/>
      <w:r w:rsidRPr="00396135">
        <w:rPr>
          <w:b/>
          <w:sz w:val="24"/>
          <w:szCs w:val="24"/>
        </w:rPr>
        <w:t>bypassable</w:t>
      </w:r>
      <w:proofErr w:type="spellEnd"/>
      <w:r w:rsidR="008B15DD">
        <w:rPr>
          <w:b/>
          <w:sz w:val="24"/>
          <w:szCs w:val="24"/>
        </w:rPr>
        <w:t xml:space="preserve"> basis</w:t>
      </w:r>
    </w:p>
    <w:p w14:paraId="16DD30AA" w14:textId="56B65EA0" w:rsidR="00EB452D" w:rsidRPr="003110CA" w:rsidRDefault="007C1020" w:rsidP="007545E3">
      <w:pPr>
        <w:spacing w:line="480" w:lineRule="auto"/>
        <w:ind w:firstLine="720"/>
        <w:jc w:val="both"/>
        <w:rPr>
          <w:sz w:val="24"/>
          <w:szCs w:val="24"/>
        </w:rPr>
      </w:pPr>
      <w:r w:rsidRPr="003110CA">
        <w:rPr>
          <w:sz w:val="24"/>
          <w:szCs w:val="24"/>
        </w:rPr>
        <w:t>AEP Ohio claims that the Commission’s rules and orders establishing such rules support its position.  W</w:t>
      </w:r>
      <w:r w:rsidR="00EB452D" w:rsidRPr="003110CA">
        <w:rPr>
          <w:sz w:val="24"/>
          <w:szCs w:val="24"/>
        </w:rPr>
        <w:t>hile</w:t>
      </w:r>
      <w:r w:rsidRPr="003110CA">
        <w:rPr>
          <w:sz w:val="24"/>
          <w:szCs w:val="24"/>
        </w:rPr>
        <w:t xml:space="preserve"> AEP is correct that the</w:t>
      </w:r>
      <w:r w:rsidR="00EB452D" w:rsidRPr="003110CA">
        <w:rPr>
          <w:sz w:val="24"/>
          <w:szCs w:val="24"/>
        </w:rPr>
        <w:t xml:space="preserve"> </w:t>
      </w:r>
      <w:r w:rsidR="007A73E5" w:rsidRPr="003110CA">
        <w:rPr>
          <w:sz w:val="24"/>
          <w:szCs w:val="24"/>
        </w:rPr>
        <w:t>Commission</w:t>
      </w:r>
      <w:r w:rsidRPr="003110CA">
        <w:rPr>
          <w:sz w:val="24"/>
          <w:szCs w:val="24"/>
        </w:rPr>
        <w:t>’s</w:t>
      </w:r>
      <w:r w:rsidR="007A73E5" w:rsidRPr="003110CA">
        <w:rPr>
          <w:sz w:val="24"/>
          <w:szCs w:val="24"/>
        </w:rPr>
        <w:t xml:space="preserve"> </w:t>
      </w:r>
      <w:r w:rsidR="007545E3" w:rsidRPr="003110CA">
        <w:rPr>
          <w:sz w:val="24"/>
          <w:szCs w:val="24"/>
        </w:rPr>
        <w:t xml:space="preserve">IRP </w:t>
      </w:r>
      <w:r w:rsidR="007A73E5" w:rsidRPr="003110CA">
        <w:rPr>
          <w:sz w:val="24"/>
          <w:szCs w:val="24"/>
        </w:rPr>
        <w:t>rules</w:t>
      </w:r>
      <w:r w:rsidR="007545E3" w:rsidRPr="003110CA">
        <w:rPr>
          <w:sz w:val="24"/>
          <w:szCs w:val="24"/>
        </w:rPr>
        <w:t xml:space="preserve"> address renewable resources</w:t>
      </w:r>
      <w:r w:rsidR="00EB452D" w:rsidRPr="003110CA">
        <w:rPr>
          <w:sz w:val="24"/>
          <w:szCs w:val="24"/>
        </w:rPr>
        <w:t>,</w:t>
      </w:r>
      <w:r w:rsidR="007545E3" w:rsidRPr="003110CA">
        <w:rPr>
          <w:sz w:val="24"/>
          <w:szCs w:val="24"/>
        </w:rPr>
        <w:t xml:space="preserve"> it is not in the way that AEP Ohio suggests.  T</w:t>
      </w:r>
      <w:r w:rsidR="00EB452D" w:rsidRPr="003110CA">
        <w:rPr>
          <w:sz w:val="24"/>
          <w:szCs w:val="24"/>
        </w:rPr>
        <w:t>he Commission’s rules</w:t>
      </w:r>
      <w:r w:rsidR="007A73E5" w:rsidRPr="003110CA">
        <w:rPr>
          <w:sz w:val="24"/>
          <w:szCs w:val="24"/>
        </w:rPr>
        <w:t xml:space="preserve"> </w:t>
      </w:r>
      <w:r w:rsidR="007545E3" w:rsidRPr="003110CA">
        <w:rPr>
          <w:sz w:val="24"/>
          <w:szCs w:val="24"/>
        </w:rPr>
        <w:t>provide</w:t>
      </w:r>
      <w:r w:rsidR="007A73E5" w:rsidRPr="003110CA">
        <w:rPr>
          <w:sz w:val="24"/>
          <w:szCs w:val="24"/>
        </w:rPr>
        <w:t xml:space="preserve"> that </w:t>
      </w:r>
      <w:r w:rsidR="00EB452D" w:rsidRPr="003110CA">
        <w:rPr>
          <w:sz w:val="24"/>
          <w:szCs w:val="24"/>
        </w:rPr>
        <w:t>R.C. 4928.64</w:t>
      </w:r>
      <w:r w:rsidR="007A73E5" w:rsidRPr="003110CA">
        <w:rPr>
          <w:sz w:val="24"/>
          <w:szCs w:val="24"/>
        </w:rPr>
        <w:t xml:space="preserve"> </w:t>
      </w:r>
      <w:r w:rsidR="00EB452D" w:rsidRPr="003110CA">
        <w:rPr>
          <w:sz w:val="24"/>
          <w:szCs w:val="24"/>
        </w:rPr>
        <w:t xml:space="preserve">is </w:t>
      </w:r>
      <w:r w:rsidR="007A73E5" w:rsidRPr="003110CA">
        <w:rPr>
          <w:sz w:val="24"/>
          <w:szCs w:val="24"/>
        </w:rPr>
        <w:t xml:space="preserve">responsible for renewable </w:t>
      </w:r>
      <w:r w:rsidR="007545E3" w:rsidRPr="003110CA">
        <w:rPr>
          <w:sz w:val="24"/>
          <w:szCs w:val="24"/>
        </w:rPr>
        <w:t xml:space="preserve">resource development and any IRP must </w:t>
      </w:r>
      <w:r w:rsidR="00EB452D" w:rsidRPr="003110CA">
        <w:rPr>
          <w:sz w:val="24"/>
          <w:szCs w:val="24"/>
        </w:rPr>
        <w:t>identify how the long-term forecast report makes “</w:t>
      </w:r>
      <w:r w:rsidR="00EB452D" w:rsidRPr="003110CA">
        <w:rPr>
          <w:rFonts w:eastAsia="Times New Roman"/>
          <w:sz w:val="24"/>
          <w:szCs w:val="24"/>
        </w:rPr>
        <w:t xml:space="preserve">use of alternative energy resources </w:t>
      </w:r>
      <w:r w:rsidR="00EB452D" w:rsidRPr="003110CA">
        <w:rPr>
          <w:rFonts w:eastAsia="Times New Roman"/>
          <w:i/>
          <w:sz w:val="24"/>
          <w:szCs w:val="24"/>
        </w:rPr>
        <w:t>pursuant to section </w:t>
      </w:r>
      <w:hyperlink r:id="rId12" w:tooltip="Electric distribution utility to provide electricity from alternative energy resources" w:history="1">
        <w:r w:rsidR="00EB452D" w:rsidRPr="003110CA">
          <w:rPr>
            <w:rFonts w:eastAsia="Times New Roman"/>
            <w:i/>
            <w:sz w:val="24"/>
            <w:szCs w:val="24"/>
            <w:u w:val="single"/>
          </w:rPr>
          <w:t>4928.64</w:t>
        </w:r>
      </w:hyperlink>
      <w:r w:rsidR="00EB452D" w:rsidRPr="003110CA">
        <w:rPr>
          <w:rFonts w:eastAsia="Times New Roman"/>
          <w:i/>
          <w:sz w:val="24"/>
          <w:szCs w:val="24"/>
        </w:rPr>
        <w:t> </w:t>
      </w:r>
      <w:r w:rsidR="00EB452D" w:rsidRPr="003110CA">
        <w:rPr>
          <w:rFonts w:eastAsia="Times New Roman"/>
          <w:sz w:val="24"/>
          <w:szCs w:val="24"/>
        </w:rPr>
        <w:t xml:space="preserve">of the Revised Code…” as well as the “[t]he availability and potential development of alternative energy resources </w:t>
      </w:r>
      <w:r w:rsidR="00EB452D" w:rsidRPr="003110CA">
        <w:rPr>
          <w:rFonts w:eastAsia="Times New Roman"/>
          <w:i/>
          <w:sz w:val="24"/>
          <w:szCs w:val="24"/>
        </w:rPr>
        <w:t>pursuant to section </w:t>
      </w:r>
      <w:hyperlink r:id="rId13" w:tooltip="Electric distribution utility to provide electricity from alternative energy resources" w:history="1">
        <w:r w:rsidR="00EB452D" w:rsidRPr="003110CA">
          <w:rPr>
            <w:rFonts w:eastAsia="Times New Roman"/>
            <w:i/>
            <w:sz w:val="24"/>
            <w:szCs w:val="24"/>
            <w:u w:val="single"/>
          </w:rPr>
          <w:t>4928.64</w:t>
        </w:r>
      </w:hyperlink>
      <w:r w:rsidR="00EB452D" w:rsidRPr="003110CA">
        <w:rPr>
          <w:rFonts w:eastAsia="Times New Roman"/>
          <w:sz w:val="24"/>
          <w:szCs w:val="24"/>
        </w:rPr>
        <w:t> of the Revised Code for generating electricity.”</w:t>
      </w:r>
      <w:r w:rsidR="00EB452D" w:rsidRPr="003110CA">
        <w:rPr>
          <w:rStyle w:val="FootnoteReference"/>
          <w:rFonts w:eastAsia="Times New Roman"/>
          <w:sz w:val="24"/>
          <w:szCs w:val="24"/>
        </w:rPr>
        <w:footnoteReference w:id="28"/>
      </w:r>
      <w:r w:rsidR="00EB452D" w:rsidRPr="003110CA">
        <w:rPr>
          <w:rFonts w:eastAsia="Times New Roman"/>
          <w:sz w:val="24"/>
          <w:szCs w:val="24"/>
        </w:rPr>
        <w:t xml:space="preserve">  Of course, R.C. 4928.64(</w:t>
      </w:r>
      <w:r w:rsidR="00E80611">
        <w:rPr>
          <w:rFonts w:eastAsia="Times New Roman"/>
          <w:sz w:val="24"/>
          <w:szCs w:val="24"/>
        </w:rPr>
        <w:t>E</w:t>
      </w:r>
      <w:r w:rsidR="00EB452D" w:rsidRPr="003110CA">
        <w:rPr>
          <w:rFonts w:eastAsia="Times New Roman"/>
          <w:sz w:val="24"/>
          <w:szCs w:val="24"/>
        </w:rPr>
        <w:t xml:space="preserve">) specifically </w:t>
      </w:r>
      <w:r w:rsidR="004C25C6" w:rsidRPr="003110CA">
        <w:rPr>
          <w:rFonts w:eastAsia="Times New Roman"/>
          <w:sz w:val="24"/>
          <w:szCs w:val="24"/>
        </w:rPr>
        <w:t xml:space="preserve">requires all costs incurred to supply renewable energy to be </w:t>
      </w:r>
      <w:proofErr w:type="spellStart"/>
      <w:r w:rsidR="004C25C6" w:rsidRPr="003110CA">
        <w:rPr>
          <w:rFonts w:eastAsia="Times New Roman"/>
          <w:sz w:val="24"/>
          <w:szCs w:val="24"/>
        </w:rPr>
        <w:t>bypassable</w:t>
      </w:r>
      <w:proofErr w:type="spellEnd"/>
      <w:r w:rsidR="004C25C6" w:rsidRPr="003110CA">
        <w:rPr>
          <w:rFonts w:eastAsia="Times New Roman"/>
          <w:sz w:val="24"/>
          <w:szCs w:val="24"/>
        </w:rPr>
        <w:t>.</w:t>
      </w:r>
      <w:r w:rsidR="007545E3" w:rsidRPr="003110CA">
        <w:rPr>
          <w:rFonts w:eastAsia="Times New Roman"/>
          <w:sz w:val="24"/>
          <w:szCs w:val="24"/>
        </w:rPr>
        <w:t xml:space="preserve">  Thus, the IRP should make use of renewable resources in compliance with the law.</w:t>
      </w:r>
    </w:p>
    <w:p w14:paraId="76F34E67" w14:textId="4A26B53A" w:rsidR="007A73E5" w:rsidRDefault="007A73E5" w:rsidP="004C25C6">
      <w:pPr>
        <w:spacing w:line="480" w:lineRule="auto"/>
        <w:ind w:firstLine="720"/>
        <w:jc w:val="both"/>
        <w:rPr>
          <w:sz w:val="24"/>
          <w:szCs w:val="24"/>
        </w:rPr>
      </w:pPr>
      <w:r w:rsidRPr="00EB452D">
        <w:rPr>
          <w:sz w:val="24"/>
          <w:szCs w:val="24"/>
        </w:rPr>
        <w:t xml:space="preserve"> Nothing in the Commission’s rules suggest that the Commission may find that there is a need to construct</w:t>
      </w:r>
      <w:r w:rsidR="00E80611">
        <w:rPr>
          <w:sz w:val="24"/>
          <w:szCs w:val="24"/>
        </w:rPr>
        <w:t xml:space="preserve"> </w:t>
      </w:r>
      <w:r w:rsidRPr="00EB452D">
        <w:rPr>
          <w:sz w:val="24"/>
          <w:szCs w:val="24"/>
        </w:rPr>
        <w:t>renewable</w:t>
      </w:r>
      <w:r w:rsidR="00E80611">
        <w:rPr>
          <w:sz w:val="24"/>
          <w:szCs w:val="24"/>
        </w:rPr>
        <w:t xml:space="preserve"> resources</w:t>
      </w:r>
      <w:r w:rsidRPr="00EB452D">
        <w:rPr>
          <w:sz w:val="24"/>
          <w:szCs w:val="24"/>
        </w:rPr>
        <w:t xml:space="preserve"> and recover the attendant cost through a non-</w:t>
      </w:r>
      <w:proofErr w:type="spellStart"/>
      <w:r w:rsidRPr="00EB452D">
        <w:rPr>
          <w:sz w:val="24"/>
          <w:szCs w:val="24"/>
        </w:rPr>
        <w:t>bypassable</w:t>
      </w:r>
      <w:proofErr w:type="spellEnd"/>
      <w:r w:rsidRPr="00EB452D">
        <w:rPr>
          <w:sz w:val="24"/>
          <w:szCs w:val="24"/>
        </w:rPr>
        <w:t xml:space="preserve"> charge.</w:t>
      </w:r>
      <w:r w:rsidR="004C25C6">
        <w:rPr>
          <w:sz w:val="24"/>
          <w:szCs w:val="24"/>
        </w:rPr>
        <w:t xml:space="preserve">  </w:t>
      </w:r>
      <w:r w:rsidRPr="004C25C6">
        <w:rPr>
          <w:sz w:val="24"/>
          <w:szCs w:val="24"/>
        </w:rPr>
        <w:t>AEP cherry picks a sentence from the Commission’s order authorizing the rules regarding IRPs.</w:t>
      </w:r>
      <w:r w:rsidR="000824AF">
        <w:rPr>
          <w:rStyle w:val="FootnoteReference"/>
          <w:sz w:val="24"/>
          <w:szCs w:val="24"/>
        </w:rPr>
        <w:footnoteReference w:id="29"/>
      </w:r>
      <w:r w:rsidRPr="004C25C6">
        <w:rPr>
          <w:sz w:val="24"/>
          <w:szCs w:val="24"/>
        </w:rPr>
        <w:t xml:space="preserve">  But the </w:t>
      </w:r>
      <w:r w:rsidR="000824AF">
        <w:rPr>
          <w:sz w:val="24"/>
          <w:szCs w:val="24"/>
        </w:rPr>
        <w:t>referenced Commission order</w:t>
      </w:r>
      <w:r w:rsidRPr="004C25C6">
        <w:rPr>
          <w:sz w:val="24"/>
          <w:szCs w:val="24"/>
        </w:rPr>
        <w:t xml:space="preserve"> merely discusses </w:t>
      </w:r>
      <w:r w:rsidR="000824AF">
        <w:rPr>
          <w:sz w:val="24"/>
          <w:szCs w:val="24"/>
        </w:rPr>
        <w:t>“</w:t>
      </w:r>
      <w:r w:rsidRPr="004C25C6">
        <w:rPr>
          <w:sz w:val="24"/>
          <w:szCs w:val="24"/>
        </w:rPr>
        <w:t>alternative resource strategies</w:t>
      </w:r>
      <w:r w:rsidR="000824AF">
        <w:rPr>
          <w:sz w:val="24"/>
          <w:szCs w:val="24"/>
        </w:rPr>
        <w:t>”</w:t>
      </w:r>
      <w:r w:rsidRPr="004C25C6">
        <w:rPr>
          <w:sz w:val="24"/>
          <w:szCs w:val="24"/>
        </w:rPr>
        <w:t>, not renewable resource strategies</w:t>
      </w:r>
      <w:r w:rsidR="004C25C6">
        <w:rPr>
          <w:sz w:val="24"/>
          <w:szCs w:val="24"/>
        </w:rPr>
        <w:t xml:space="preserve"> and whether such resources may be subject to non-</w:t>
      </w:r>
      <w:proofErr w:type="spellStart"/>
      <w:r w:rsidR="004C25C6">
        <w:rPr>
          <w:sz w:val="24"/>
          <w:szCs w:val="24"/>
        </w:rPr>
        <w:t>bypassable</w:t>
      </w:r>
      <w:proofErr w:type="spellEnd"/>
      <w:r w:rsidR="004C25C6">
        <w:rPr>
          <w:sz w:val="24"/>
          <w:szCs w:val="24"/>
        </w:rPr>
        <w:t xml:space="preserve"> charge.  In any event, </w:t>
      </w:r>
      <w:r w:rsidR="004C25C6" w:rsidRPr="004C25C6">
        <w:rPr>
          <w:sz w:val="24"/>
          <w:szCs w:val="24"/>
        </w:rPr>
        <w:t>the Commission’s rules must be interpreted as to not conflict with</w:t>
      </w:r>
      <w:r w:rsidR="004C25C6">
        <w:rPr>
          <w:sz w:val="24"/>
          <w:szCs w:val="24"/>
        </w:rPr>
        <w:t xml:space="preserve"> the statutory scheme.</w:t>
      </w:r>
      <w:r w:rsidR="004C25C6">
        <w:rPr>
          <w:rStyle w:val="FootnoteReference"/>
          <w:sz w:val="24"/>
          <w:szCs w:val="24"/>
        </w:rPr>
        <w:footnoteReference w:id="30"/>
      </w:r>
      <w:r w:rsidR="000824AF">
        <w:rPr>
          <w:sz w:val="24"/>
          <w:szCs w:val="24"/>
        </w:rPr>
        <w:t xml:space="preserve">  Given the plain language of R.C. 4928.6</w:t>
      </w:r>
      <w:r w:rsidR="001268A4">
        <w:rPr>
          <w:sz w:val="24"/>
          <w:szCs w:val="24"/>
        </w:rPr>
        <w:t>4</w:t>
      </w:r>
      <w:r w:rsidR="000824AF">
        <w:rPr>
          <w:sz w:val="24"/>
          <w:szCs w:val="24"/>
        </w:rPr>
        <w:t>(E)</w:t>
      </w:r>
      <w:r w:rsidR="001268A4">
        <w:rPr>
          <w:sz w:val="24"/>
          <w:szCs w:val="24"/>
        </w:rPr>
        <w:t xml:space="preserve"> and the definition of resource planning contained in R.C. 4935.04, </w:t>
      </w:r>
      <w:r w:rsidR="000B58C7">
        <w:rPr>
          <w:sz w:val="24"/>
          <w:szCs w:val="24"/>
        </w:rPr>
        <w:t>the Commission’s rule</w:t>
      </w:r>
      <w:r w:rsidR="00087439">
        <w:rPr>
          <w:sz w:val="24"/>
          <w:szCs w:val="24"/>
        </w:rPr>
        <w:t>s cannot be interpreted to support a finding of need in this proceeding.</w:t>
      </w:r>
      <w:r w:rsidR="008768E1">
        <w:rPr>
          <w:sz w:val="24"/>
          <w:szCs w:val="24"/>
        </w:rPr>
        <w:t xml:space="preserve"> </w:t>
      </w:r>
      <w:r w:rsidR="000824AF">
        <w:rPr>
          <w:sz w:val="24"/>
          <w:szCs w:val="24"/>
        </w:rPr>
        <w:t xml:space="preserve"> </w:t>
      </w:r>
      <w:r w:rsidR="004C25C6">
        <w:rPr>
          <w:sz w:val="24"/>
          <w:szCs w:val="24"/>
        </w:rPr>
        <w:t xml:space="preserve"> </w:t>
      </w:r>
    </w:p>
    <w:p w14:paraId="7B58BDF2" w14:textId="77777777" w:rsidR="007F7ED1" w:rsidRDefault="007F7ED1" w:rsidP="004C25C6">
      <w:pPr>
        <w:spacing w:line="480" w:lineRule="auto"/>
        <w:ind w:firstLine="720"/>
        <w:jc w:val="both"/>
        <w:rPr>
          <w:sz w:val="24"/>
          <w:szCs w:val="24"/>
        </w:rPr>
      </w:pPr>
    </w:p>
    <w:p w14:paraId="2861AAF5" w14:textId="77777777" w:rsidR="007F7ED1" w:rsidRDefault="007F7ED1" w:rsidP="004C25C6">
      <w:pPr>
        <w:spacing w:line="480" w:lineRule="auto"/>
        <w:ind w:firstLine="720"/>
        <w:jc w:val="both"/>
        <w:rPr>
          <w:sz w:val="24"/>
          <w:szCs w:val="24"/>
        </w:rPr>
      </w:pPr>
    </w:p>
    <w:p w14:paraId="64A47B59" w14:textId="308C8E04" w:rsidR="007545E3" w:rsidRPr="00396135" w:rsidRDefault="007545E3" w:rsidP="00FC33B3">
      <w:pPr>
        <w:pStyle w:val="ListParagraph"/>
        <w:numPr>
          <w:ilvl w:val="0"/>
          <w:numId w:val="33"/>
        </w:numPr>
        <w:spacing w:line="480" w:lineRule="auto"/>
        <w:jc w:val="both"/>
        <w:rPr>
          <w:b/>
          <w:sz w:val="24"/>
          <w:szCs w:val="24"/>
        </w:rPr>
      </w:pPr>
      <w:r w:rsidRPr="00396135">
        <w:rPr>
          <w:b/>
          <w:sz w:val="24"/>
          <w:szCs w:val="24"/>
        </w:rPr>
        <w:t>Turning Point does not support a finding of need</w:t>
      </w:r>
    </w:p>
    <w:p w14:paraId="14CE97D0" w14:textId="3D319FC2" w:rsidR="007A73E5" w:rsidRDefault="007A73E5" w:rsidP="004C25C6">
      <w:pPr>
        <w:spacing w:line="480" w:lineRule="auto"/>
        <w:ind w:firstLine="720"/>
        <w:jc w:val="both"/>
        <w:rPr>
          <w:sz w:val="24"/>
          <w:szCs w:val="24"/>
        </w:rPr>
      </w:pPr>
      <w:r w:rsidRPr="004C25C6">
        <w:rPr>
          <w:sz w:val="24"/>
          <w:szCs w:val="24"/>
        </w:rPr>
        <w:t>AEP</w:t>
      </w:r>
      <w:r w:rsidR="00087439">
        <w:rPr>
          <w:sz w:val="24"/>
          <w:szCs w:val="24"/>
        </w:rPr>
        <w:t xml:space="preserve"> Ohio</w:t>
      </w:r>
      <w:r w:rsidRPr="004C25C6">
        <w:rPr>
          <w:sz w:val="24"/>
          <w:szCs w:val="24"/>
        </w:rPr>
        <w:t xml:space="preserve"> </w:t>
      </w:r>
      <w:r w:rsidR="004C25C6">
        <w:rPr>
          <w:sz w:val="24"/>
          <w:szCs w:val="24"/>
        </w:rPr>
        <w:t>alleges that</w:t>
      </w:r>
      <w:r w:rsidRPr="004C25C6">
        <w:rPr>
          <w:sz w:val="24"/>
          <w:szCs w:val="24"/>
        </w:rPr>
        <w:t xml:space="preserve"> the </w:t>
      </w:r>
      <w:r w:rsidRPr="00866251">
        <w:rPr>
          <w:i/>
          <w:sz w:val="24"/>
          <w:szCs w:val="24"/>
        </w:rPr>
        <w:t>Turning Point</w:t>
      </w:r>
      <w:r w:rsidRPr="004C25C6">
        <w:rPr>
          <w:sz w:val="24"/>
          <w:szCs w:val="24"/>
        </w:rPr>
        <w:t xml:space="preserve"> case </w:t>
      </w:r>
      <w:r w:rsidR="00D43723">
        <w:rPr>
          <w:sz w:val="24"/>
          <w:szCs w:val="24"/>
        </w:rPr>
        <w:t>holds</w:t>
      </w:r>
      <w:r w:rsidRPr="004C25C6">
        <w:rPr>
          <w:sz w:val="24"/>
          <w:szCs w:val="24"/>
        </w:rPr>
        <w:t xml:space="preserve"> that need is broader than the need for capacity and energy.  While the </w:t>
      </w:r>
      <w:r w:rsidRPr="00866251">
        <w:rPr>
          <w:i/>
          <w:sz w:val="24"/>
          <w:szCs w:val="24"/>
        </w:rPr>
        <w:t>Turning Point</w:t>
      </w:r>
      <w:r w:rsidRPr="004C25C6">
        <w:rPr>
          <w:sz w:val="24"/>
          <w:szCs w:val="24"/>
        </w:rPr>
        <w:t xml:space="preserve"> case correctly rejected AEP Ohio’s request to subsidize generation resources, no party appealed the proceeding to the Supreme Court of Ohio.</w:t>
      </w:r>
      <w:r w:rsidR="00D43723">
        <w:rPr>
          <w:sz w:val="24"/>
          <w:szCs w:val="24"/>
        </w:rPr>
        <w:t xml:space="preserve">  Therefore, the Commission’s holding in that case provides little insight into how the Supreme Court may interpret </w:t>
      </w:r>
      <w:r w:rsidR="00947955">
        <w:rPr>
          <w:sz w:val="24"/>
          <w:szCs w:val="24"/>
        </w:rPr>
        <w:t>R.C. 4928.143(B)(2)(c)</w:t>
      </w:r>
      <w:r w:rsidR="00D43723">
        <w:rPr>
          <w:sz w:val="24"/>
          <w:szCs w:val="24"/>
        </w:rPr>
        <w:t xml:space="preserve">. </w:t>
      </w:r>
      <w:r w:rsidR="00947955">
        <w:rPr>
          <w:sz w:val="24"/>
          <w:szCs w:val="24"/>
        </w:rPr>
        <w:t xml:space="preserve"> </w:t>
      </w:r>
      <w:r w:rsidR="00751A51">
        <w:rPr>
          <w:sz w:val="24"/>
          <w:szCs w:val="24"/>
        </w:rPr>
        <w:t xml:space="preserve">Although the Commission </w:t>
      </w:r>
      <w:r w:rsidR="0034761F">
        <w:rPr>
          <w:sz w:val="24"/>
          <w:szCs w:val="24"/>
        </w:rPr>
        <w:t xml:space="preserve">in that case </w:t>
      </w:r>
      <w:r w:rsidR="00751A51">
        <w:rPr>
          <w:sz w:val="24"/>
          <w:szCs w:val="24"/>
        </w:rPr>
        <w:t>interpreted need to be broader</w:t>
      </w:r>
      <w:r w:rsidR="0034761F">
        <w:rPr>
          <w:sz w:val="24"/>
          <w:szCs w:val="24"/>
        </w:rPr>
        <w:t xml:space="preserve"> than resource adequacy,</w:t>
      </w:r>
      <w:r w:rsidR="00D43723">
        <w:rPr>
          <w:sz w:val="24"/>
          <w:szCs w:val="24"/>
        </w:rPr>
        <w:t xml:space="preserve"> AEP</w:t>
      </w:r>
      <w:r w:rsidR="0034761F">
        <w:rPr>
          <w:sz w:val="24"/>
          <w:szCs w:val="24"/>
        </w:rPr>
        <w:t xml:space="preserve"> Ohio</w:t>
      </w:r>
      <w:r w:rsidR="00D43723">
        <w:rPr>
          <w:sz w:val="24"/>
          <w:szCs w:val="24"/>
        </w:rPr>
        <w:t xml:space="preserve"> has failed to satisfy the Commission’s standard</w:t>
      </w:r>
      <w:r w:rsidR="0034761F">
        <w:rPr>
          <w:sz w:val="24"/>
          <w:szCs w:val="24"/>
        </w:rPr>
        <w:t xml:space="preserve"> in that case</w:t>
      </w:r>
      <w:r w:rsidR="00D43723">
        <w:rPr>
          <w:sz w:val="24"/>
          <w:szCs w:val="24"/>
        </w:rPr>
        <w:t>, given that AEP concedes that it will</w:t>
      </w:r>
      <w:r w:rsidR="0034761F">
        <w:rPr>
          <w:sz w:val="24"/>
          <w:szCs w:val="24"/>
        </w:rPr>
        <w:t xml:space="preserve"> have no difficulty</w:t>
      </w:r>
      <w:r w:rsidR="00D43723">
        <w:rPr>
          <w:sz w:val="24"/>
          <w:szCs w:val="24"/>
        </w:rPr>
        <w:t xml:space="preserve"> satisf</w:t>
      </w:r>
      <w:r w:rsidR="0034761F">
        <w:rPr>
          <w:sz w:val="24"/>
          <w:szCs w:val="24"/>
        </w:rPr>
        <w:t>ying</w:t>
      </w:r>
      <w:r w:rsidR="00D43723">
        <w:rPr>
          <w:sz w:val="24"/>
          <w:szCs w:val="24"/>
        </w:rPr>
        <w:t xml:space="preserve"> its requirements under R.C. 4928.64.</w:t>
      </w:r>
    </w:p>
    <w:p w14:paraId="272FC5FD" w14:textId="1E7413CC" w:rsidR="00A0621D" w:rsidRDefault="00A0621D" w:rsidP="00A0621D">
      <w:pPr>
        <w:pStyle w:val="ListParagraph"/>
        <w:numPr>
          <w:ilvl w:val="0"/>
          <w:numId w:val="33"/>
        </w:numPr>
        <w:spacing w:line="480" w:lineRule="auto"/>
        <w:jc w:val="both"/>
        <w:rPr>
          <w:b/>
          <w:sz w:val="24"/>
          <w:szCs w:val="24"/>
        </w:rPr>
      </w:pPr>
      <w:r>
        <w:rPr>
          <w:b/>
          <w:sz w:val="24"/>
          <w:szCs w:val="24"/>
        </w:rPr>
        <w:t>State Policy does not support a finding of need</w:t>
      </w:r>
    </w:p>
    <w:p w14:paraId="44CC1C3C" w14:textId="00C41148" w:rsidR="00B60DE6" w:rsidRDefault="00110C54" w:rsidP="00674B2C">
      <w:pPr>
        <w:spacing w:line="480" w:lineRule="auto"/>
        <w:ind w:firstLine="720"/>
        <w:jc w:val="both"/>
        <w:rPr>
          <w:sz w:val="24"/>
          <w:szCs w:val="24"/>
        </w:rPr>
      </w:pPr>
      <w:r>
        <w:rPr>
          <w:sz w:val="24"/>
          <w:szCs w:val="24"/>
        </w:rPr>
        <w:t xml:space="preserve">The proponents of AEP Ohio’s proposal allege that state policy favors a finding of need.  </w:t>
      </w:r>
      <w:proofErr w:type="gramStart"/>
      <w:r>
        <w:rPr>
          <w:sz w:val="24"/>
          <w:szCs w:val="24"/>
        </w:rPr>
        <w:t xml:space="preserve">In reality, </w:t>
      </w:r>
      <w:r w:rsidR="008B541D">
        <w:rPr>
          <w:sz w:val="24"/>
          <w:szCs w:val="24"/>
        </w:rPr>
        <w:t>it</w:t>
      </w:r>
      <w:proofErr w:type="gramEnd"/>
      <w:r w:rsidR="008B541D">
        <w:rPr>
          <w:sz w:val="24"/>
          <w:szCs w:val="24"/>
        </w:rPr>
        <w:t xml:space="preserve"> is antithetical to the pro-competitive policies contained in R.C. 4928.02</w:t>
      </w:r>
      <w:r w:rsidR="001B65E3">
        <w:rPr>
          <w:sz w:val="24"/>
          <w:szCs w:val="24"/>
        </w:rPr>
        <w:t>, which favor customer empowerment and choice</w:t>
      </w:r>
      <w:r w:rsidR="008B541D">
        <w:rPr>
          <w:sz w:val="24"/>
          <w:szCs w:val="24"/>
        </w:rPr>
        <w:t>.</w:t>
      </w:r>
      <w:r w:rsidR="00B60DE6">
        <w:rPr>
          <w:sz w:val="24"/>
          <w:szCs w:val="24"/>
        </w:rPr>
        <w:t xml:space="preserve">  I</w:t>
      </w:r>
      <w:r w:rsidR="008B541D">
        <w:rPr>
          <w:sz w:val="24"/>
          <w:szCs w:val="24"/>
        </w:rPr>
        <w:t>t is the state policy to</w:t>
      </w:r>
      <w:r w:rsidRPr="00110C54">
        <w:rPr>
          <w:sz w:val="24"/>
          <w:szCs w:val="24"/>
        </w:rPr>
        <w:t xml:space="preserve"> “[p]</w:t>
      </w:r>
      <w:proofErr w:type="spellStart"/>
      <w:r w:rsidRPr="00110C54">
        <w:rPr>
          <w:sz w:val="24"/>
          <w:szCs w:val="24"/>
        </w:rPr>
        <w:t>rovide</w:t>
      </w:r>
      <w:proofErr w:type="spellEnd"/>
      <w:r w:rsidRPr="00110C54">
        <w:rPr>
          <w:sz w:val="24"/>
          <w:szCs w:val="24"/>
        </w:rPr>
        <w:t xml:space="preserve"> coherent, transparent means of giving appropriate incentives to technologies that can adapt successfully to potential environmental mandates</w:t>
      </w:r>
      <w:r w:rsidR="008B541D">
        <w:rPr>
          <w:sz w:val="24"/>
          <w:szCs w:val="24"/>
        </w:rPr>
        <w:t>,</w:t>
      </w:r>
      <w:r w:rsidRPr="00110C54">
        <w:rPr>
          <w:sz w:val="24"/>
          <w:szCs w:val="24"/>
        </w:rPr>
        <w:t>”</w:t>
      </w:r>
      <w:r w:rsidR="000E1637">
        <w:rPr>
          <w:rStyle w:val="FootnoteReference"/>
          <w:sz w:val="24"/>
          <w:szCs w:val="24"/>
        </w:rPr>
        <w:footnoteReference w:id="31"/>
      </w:r>
      <w:r w:rsidR="00B60DE6">
        <w:rPr>
          <w:sz w:val="24"/>
          <w:szCs w:val="24"/>
        </w:rPr>
        <w:t xml:space="preserve"> but</w:t>
      </w:r>
      <w:r w:rsidR="009E24A3">
        <w:rPr>
          <w:sz w:val="24"/>
          <w:szCs w:val="24"/>
        </w:rPr>
        <w:t xml:space="preserve"> there is nothing transparent or appropriate about picking winners and losers</w:t>
      </w:r>
      <w:r w:rsidR="001A19BF">
        <w:rPr>
          <w:sz w:val="24"/>
          <w:szCs w:val="24"/>
        </w:rPr>
        <w:t xml:space="preserve">. </w:t>
      </w:r>
      <w:r w:rsidR="002511A6">
        <w:rPr>
          <w:sz w:val="24"/>
          <w:szCs w:val="24"/>
        </w:rPr>
        <w:t xml:space="preserve"> </w:t>
      </w:r>
      <w:r w:rsidR="001A19BF">
        <w:rPr>
          <w:sz w:val="24"/>
          <w:szCs w:val="24"/>
        </w:rPr>
        <w:t xml:space="preserve">Nor is it appropriate to </w:t>
      </w:r>
      <w:r w:rsidR="00674B2C">
        <w:rPr>
          <w:sz w:val="24"/>
          <w:szCs w:val="24"/>
        </w:rPr>
        <w:t xml:space="preserve">flood </w:t>
      </w:r>
      <w:r w:rsidR="001A19BF">
        <w:rPr>
          <w:sz w:val="24"/>
          <w:szCs w:val="24"/>
        </w:rPr>
        <w:t>the market with</w:t>
      </w:r>
      <w:r w:rsidR="00674B2C">
        <w:rPr>
          <w:sz w:val="24"/>
          <w:szCs w:val="24"/>
        </w:rPr>
        <w:t xml:space="preserve"> renewable energy credits</w:t>
      </w:r>
      <w:r w:rsidR="001A19BF">
        <w:rPr>
          <w:sz w:val="24"/>
          <w:szCs w:val="24"/>
        </w:rPr>
        <w:t xml:space="preserve">, which will distort </w:t>
      </w:r>
      <w:r w:rsidR="00996F54">
        <w:rPr>
          <w:sz w:val="24"/>
          <w:szCs w:val="24"/>
        </w:rPr>
        <w:t>the</w:t>
      </w:r>
      <w:r w:rsidR="001A19BF">
        <w:rPr>
          <w:sz w:val="24"/>
          <w:szCs w:val="24"/>
        </w:rPr>
        <w:t xml:space="preserve"> market</w:t>
      </w:r>
      <w:r w:rsidR="00674B2C">
        <w:rPr>
          <w:sz w:val="24"/>
          <w:szCs w:val="24"/>
        </w:rPr>
        <w:t xml:space="preserve"> to the detriment of other </w:t>
      </w:r>
      <w:r w:rsidR="001A19BF">
        <w:rPr>
          <w:sz w:val="24"/>
          <w:szCs w:val="24"/>
        </w:rPr>
        <w:t>renewable</w:t>
      </w:r>
      <w:r w:rsidR="00674B2C">
        <w:rPr>
          <w:sz w:val="24"/>
          <w:szCs w:val="24"/>
        </w:rPr>
        <w:t xml:space="preserve"> resources</w:t>
      </w:r>
      <w:r w:rsidR="001A19BF">
        <w:rPr>
          <w:sz w:val="24"/>
          <w:szCs w:val="24"/>
        </w:rPr>
        <w:t xml:space="preserve"> that rely upon such </w:t>
      </w:r>
      <w:proofErr w:type="spellStart"/>
      <w:r w:rsidR="001A19BF">
        <w:rPr>
          <w:sz w:val="24"/>
          <w:szCs w:val="24"/>
        </w:rPr>
        <w:t>RECs</w:t>
      </w:r>
      <w:r w:rsidR="00674B2C">
        <w:rPr>
          <w:sz w:val="24"/>
          <w:szCs w:val="24"/>
        </w:rPr>
        <w:t>.</w:t>
      </w:r>
      <w:proofErr w:type="spellEnd"/>
      <w:r w:rsidR="002511A6">
        <w:rPr>
          <w:sz w:val="24"/>
          <w:szCs w:val="24"/>
        </w:rPr>
        <w:t xml:space="preserve">  As other states have shown, renewable energy </w:t>
      </w:r>
      <w:r w:rsidR="007E5D87">
        <w:rPr>
          <w:sz w:val="24"/>
          <w:szCs w:val="24"/>
        </w:rPr>
        <w:t>development is better served by competitive neutral incentives.</w:t>
      </w:r>
      <w:r w:rsidR="007E5D87">
        <w:rPr>
          <w:rStyle w:val="FootnoteReference"/>
          <w:sz w:val="24"/>
          <w:szCs w:val="24"/>
        </w:rPr>
        <w:footnoteReference w:id="32"/>
      </w:r>
      <w:r w:rsidR="007E5D87">
        <w:rPr>
          <w:sz w:val="24"/>
          <w:szCs w:val="24"/>
        </w:rPr>
        <w:t xml:space="preserve"> </w:t>
      </w:r>
      <w:r w:rsidR="00674B2C">
        <w:rPr>
          <w:sz w:val="24"/>
          <w:szCs w:val="24"/>
        </w:rPr>
        <w:t xml:space="preserve"> </w:t>
      </w:r>
    </w:p>
    <w:p w14:paraId="10FEA71E" w14:textId="7F3234C5" w:rsidR="00474027" w:rsidRDefault="00674B2C" w:rsidP="00674B2C">
      <w:pPr>
        <w:spacing w:line="480" w:lineRule="auto"/>
        <w:ind w:firstLine="720"/>
        <w:jc w:val="both"/>
        <w:rPr>
          <w:sz w:val="24"/>
          <w:szCs w:val="24"/>
        </w:rPr>
      </w:pPr>
      <w:r>
        <w:rPr>
          <w:sz w:val="24"/>
          <w:szCs w:val="24"/>
        </w:rPr>
        <w:t xml:space="preserve">Moreover, </w:t>
      </w:r>
      <w:r w:rsidR="009031AB">
        <w:rPr>
          <w:sz w:val="24"/>
          <w:szCs w:val="24"/>
        </w:rPr>
        <w:t>while it is the state policy to</w:t>
      </w:r>
      <w:r w:rsidR="00110C54" w:rsidRPr="00110C54">
        <w:rPr>
          <w:sz w:val="24"/>
          <w:szCs w:val="24"/>
        </w:rPr>
        <w:t xml:space="preserve"> “[f]</w:t>
      </w:r>
      <w:proofErr w:type="spellStart"/>
      <w:r w:rsidR="00110C54" w:rsidRPr="00110C54">
        <w:rPr>
          <w:sz w:val="24"/>
          <w:szCs w:val="24"/>
        </w:rPr>
        <w:t>acilitate</w:t>
      </w:r>
      <w:proofErr w:type="spellEnd"/>
      <w:r w:rsidR="00110C54" w:rsidRPr="00110C54">
        <w:rPr>
          <w:sz w:val="24"/>
          <w:szCs w:val="24"/>
        </w:rPr>
        <w:t xml:space="preserve"> the state’s effectiveness in the global economy</w:t>
      </w:r>
      <w:r w:rsidR="00880616">
        <w:rPr>
          <w:sz w:val="24"/>
          <w:szCs w:val="24"/>
        </w:rPr>
        <w:t>,</w:t>
      </w:r>
      <w:r w:rsidR="00110C54" w:rsidRPr="00110C54">
        <w:rPr>
          <w:sz w:val="24"/>
          <w:szCs w:val="24"/>
        </w:rPr>
        <w:t>”</w:t>
      </w:r>
      <w:r w:rsidR="00567B56">
        <w:rPr>
          <w:rStyle w:val="FootnoteReference"/>
          <w:sz w:val="24"/>
          <w:szCs w:val="24"/>
        </w:rPr>
        <w:footnoteReference w:id="33"/>
      </w:r>
      <w:r w:rsidR="00880616">
        <w:rPr>
          <w:sz w:val="24"/>
          <w:szCs w:val="24"/>
        </w:rPr>
        <w:t xml:space="preserve"> authorizing an across-the-board rate</w:t>
      </w:r>
      <w:r w:rsidR="00110C54" w:rsidRPr="00110C54">
        <w:rPr>
          <w:sz w:val="24"/>
          <w:szCs w:val="24"/>
        </w:rPr>
        <w:t xml:space="preserve"> increase would make manufacturers less effective in the global economy.</w:t>
      </w:r>
      <w:r w:rsidR="00062C2B">
        <w:rPr>
          <w:sz w:val="24"/>
          <w:szCs w:val="24"/>
        </w:rPr>
        <w:t xml:space="preserve"> </w:t>
      </w:r>
      <w:r w:rsidR="002959D9">
        <w:rPr>
          <w:sz w:val="24"/>
          <w:szCs w:val="24"/>
        </w:rPr>
        <w:t>Rather than ensuring</w:t>
      </w:r>
      <w:r w:rsidR="00FC5E6C">
        <w:rPr>
          <w:sz w:val="24"/>
          <w:szCs w:val="24"/>
        </w:rPr>
        <w:t xml:space="preserve"> resource “</w:t>
      </w:r>
      <w:r w:rsidR="002959D9" w:rsidRPr="0087019B">
        <w:rPr>
          <w:i/>
          <w:sz w:val="24"/>
          <w:szCs w:val="24"/>
        </w:rPr>
        <w:t>options they elect</w:t>
      </w:r>
      <w:r w:rsidR="002959D9" w:rsidRPr="002959D9">
        <w:rPr>
          <w:sz w:val="24"/>
          <w:szCs w:val="24"/>
        </w:rPr>
        <w:t xml:space="preserve"> to meet their respective needs</w:t>
      </w:r>
      <w:r w:rsidR="002959D9">
        <w:rPr>
          <w:sz w:val="24"/>
          <w:szCs w:val="24"/>
        </w:rPr>
        <w:t>,”</w:t>
      </w:r>
      <w:r w:rsidR="0087019B">
        <w:rPr>
          <w:rStyle w:val="FootnoteReference"/>
          <w:sz w:val="24"/>
          <w:szCs w:val="24"/>
        </w:rPr>
        <w:footnoteReference w:id="34"/>
      </w:r>
      <w:r w:rsidR="002959D9">
        <w:rPr>
          <w:sz w:val="24"/>
          <w:szCs w:val="24"/>
        </w:rPr>
        <w:t xml:space="preserve"> </w:t>
      </w:r>
      <w:r w:rsidR="00FC5E6C">
        <w:rPr>
          <w:sz w:val="24"/>
          <w:szCs w:val="24"/>
        </w:rPr>
        <w:t>AEP Ohio proposes to</w:t>
      </w:r>
      <w:r w:rsidR="002959D9">
        <w:rPr>
          <w:sz w:val="24"/>
          <w:szCs w:val="24"/>
        </w:rPr>
        <w:t xml:space="preserve"> select a handful of renewable resources and </w:t>
      </w:r>
      <w:r w:rsidR="0087019B">
        <w:rPr>
          <w:sz w:val="24"/>
          <w:szCs w:val="24"/>
        </w:rPr>
        <w:t>mandates that</w:t>
      </w:r>
      <w:r w:rsidR="00FC5E6C">
        <w:rPr>
          <w:sz w:val="24"/>
          <w:szCs w:val="24"/>
        </w:rPr>
        <w:t xml:space="preserve"> all customers to pay for their attendant costs.</w:t>
      </w:r>
      <w:r w:rsidR="0087019B">
        <w:rPr>
          <w:sz w:val="24"/>
          <w:szCs w:val="24"/>
        </w:rPr>
        <w:t xml:space="preserve">  Likewise, rather than </w:t>
      </w:r>
      <w:r w:rsidR="003927C3">
        <w:rPr>
          <w:sz w:val="24"/>
          <w:szCs w:val="24"/>
        </w:rPr>
        <w:t>ensuring “</w:t>
      </w:r>
      <w:r w:rsidR="003927C3" w:rsidRPr="00341FC1">
        <w:rPr>
          <w:i/>
          <w:sz w:val="24"/>
          <w:szCs w:val="24"/>
        </w:rPr>
        <w:t>diversity of electricity supplies and suppliers</w:t>
      </w:r>
      <w:r w:rsidR="00341FC1">
        <w:rPr>
          <w:sz w:val="24"/>
          <w:szCs w:val="24"/>
        </w:rPr>
        <w:t xml:space="preserve">, by giving customers effective choices </w:t>
      </w:r>
      <w:r w:rsidR="00341FC1" w:rsidRPr="00341FC1">
        <w:rPr>
          <w:sz w:val="24"/>
          <w:szCs w:val="24"/>
        </w:rPr>
        <w:t xml:space="preserve">over the selection of those supplies and suppliers </w:t>
      </w:r>
      <w:r w:rsidR="00341FC1" w:rsidRPr="00341FC1">
        <w:rPr>
          <w:i/>
          <w:sz w:val="24"/>
          <w:szCs w:val="24"/>
        </w:rPr>
        <w:t>and by encouraging the development of distributed and small generation facilities</w:t>
      </w:r>
      <w:r w:rsidR="00341FC1">
        <w:rPr>
          <w:sz w:val="24"/>
          <w:szCs w:val="24"/>
        </w:rPr>
        <w:t>,”</w:t>
      </w:r>
      <w:r w:rsidR="00567B56">
        <w:rPr>
          <w:rStyle w:val="FootnoteReference"/>
          <w:sz w:val="24"/>
          <w:szCs w:val="24"/>
        </w:rPr>
        <w:footnoteReference w:id="35"/>
      </w:r>
      <w:r w:rsidR="00341FC1">
        <w:rPr>
          <w:sz w:val="24"/>
          <w:szCs w:val="24"/>
        </w:rPr>
        <w:t xml:space="preserve"> the proposal</w:t>
      </w:r>
      <w:r w:rsidR="005D0E9B">
        <w:rPr>
          <w:sz w:val="24"/>
          <w:szCs w:val="24"/>
        </w:rPr>
        <w:t xml:space="preserve"> </w:t>
      </w:r>
      <w:r w:rsidR="0039663B">
        <w:rPr>
          <w:sz w:val="24"/>
          <w:szCs w:val="24"/>
        </w:rPr>
        <w:t xml:space="preserve">would result in </w:t>
      </w:r>
      <w:r w:rsidR="006D015F">
        <w:rPr>
          <w:sz w:val="24"/>
          <w:szCs w:val="24"/>
        </w:rPr>
        <w:t xml:space="preserve">the construction of </w:t>
      </w:r>
      <w:r w:rsidR="0039663B">
        <w:rPr>
          <w:sz w:val="24"/>
          <w:szCs w:val="24"/>
        </w:rPr>
        <w:t>a handful of one-and-done facilities</w:t>
      </w:r>
      <w:r w:rsidR="006D015F">
        <w:rPr>
          <w:sz w:val="24"/>
          <w:szCs w:val="24"/>
        </w:rPr>
        <w:t>, which would</w:t>
      </w:r>
      <w:r w:rsidR="0039663B">
        <w:rPr>
          <w:sz w:val="24"/>
          <w:szCs w:val="24"/>
        </w:rPr>
        <w:t xml:space="preserve"> tank the REC market</w:t>
      </w:r>
      <w:r w:rsidR="006D015F">
        <w:rPr>
          <w:sz w:val="24"/>
          <w:szCs w:val="24"/>
        </w:rPr>
        <w:t xml:space="preserve"> and make the development of </w:t>
      </w:r>
      <w:r w:rsidR="0039663B">
        <w:rPr>
          <w:sz w:val="24"/>
          <w:szCs w:val="24"/>
        </w:rPr>
        <w:t>distributed generation facilities less economic.</w:t>
      </w:r>
      <w:r w:rsidR="006D015F">
        <w:rPr>
          <w:sz w:val="24"/>
          <w:szCs w:val="24"/>
        </w:rPr>
        <w:t xml:space="preserve">  </w:t>
      </w:r>
      <w:r w:rsidR="00474027">
        <w:rPr>
          <w:sz w:val="24"/>
          <w:szCs w:val="24"/>
        </w:rPr>
        <w:t xml:space="preserve">Finally, the proposal would violate R.C. 4928.143(B)(2)(h), by permitting AEP Ohio to recover </w:t>
      </w:r>
      <w:r w:rsidR="003A5923">
        <w:rPr>
          <w:sz w:val="24"/>
          <w:szCs w:val="24"/>
        </w:rPr>
        <w:t>the cost associated with a competitive service through a non-</w:t>
      </w:r>
      <w:proofErr w:type="spellStart"/>
      <w:r w:rsidR="003A5923">
        <w:rPr>
          <w:sz w:val="24"/>
          <w:szCs w:val="24"/>
        </w:rPr>
        <w:t>bypassable</w:t>
      </w:r>
      <w:proofErr w:type="spellEnd"/>
      <w:r w:rsidR="003A5923">
        <w:rPr>
          <w:sz w:val="24"/>
          <w:szCs w:val="24"/>
        </w:rPr>
        <w:t xml:space="preserve"> rate</w:t>
      </w:r>
      <w:r w:rsidR="00062C2B">
        <w:rPr>
          <w:sz w:val="24"/>
          <w:szCs w:val="24"/>
        </w:rPr>
        <w:t xml:space="preserve"> from all distribution customers.</w:t>
      </w:r>
      <w:r w:rsidR="00474027">
        <w:rPr>
          <w:sz w:val="24"/>
          <w:szCs w:val="24"/>
        </w:rPr>
        <w:t xml:space="preserve"> </w:t>
      </w:r>
    </w:p>
    <w:p w14:paraId="0A29B0AC" w14:textId="3FA544D0" w:rsidR="006838D3" w:rsidRDefault="006838D3" w:rsidP="003110CA">
      <w:pPr>
        <w:pStyle w:val="ListParagraph"/>
        <w:numPr>
          <w:ilvl w:val="0"/>
          <w:numId w:val="25"/>
        </w:numPr>
        <w:tabs>
          <w:tab w:val="left" w:pos="360"/>
        </w:tabs>
        <w:spacing w:after="0" w:line="240" w:lineRule="auto"/>
        <w:jc w:val="both"/>
        <w:rPr>
          <w:b/>
          <w:sz w:val="24"/>
          <w:szCs w:val="24"/>
        </w:rPr>
      </w:pPr>
      <w:r>
        <w:rPr>
          <w:b/>
          <w:sz w:val="24"/>
          <w:szCs w:val="24"/>
        </w:rPr>
        <w:t xml:space="preserve">Even under its own concocted legal theory, AEP Ohio has not established that there is a need to construct renewable generation resources </w:t>
      </w:r>
    </w:p>
    <w:p w14:paraId="424DBFFF" w14:textId="77777777" w:rsidR="003110CA" w:rsidRPr="003110CA" w:rsidRDefault="003110CA" w:rsidP="003110CA">
      <w:pPr>
        <w:pStyle w:val="ListParagraph"/>
        <w:tabs>
          <w:tab w:val="left" w:pos="360"/>
        </w:tabs>
        <w:spacing w:after="0" w:line="240" w:lineRule="auto"/>
        <w:jc w:val="both"/>
        <w:rPr>
          <w:b/>
          <w:sz w:val="24"/>
          <w:szCs w:val="24"/>
        </w:rPr>
      </w:pPr>
    </w:p>
    <w:p w14:paraId="1AE50357" w14:textId="245A969F" w:rsidR="006F28DF" w:rsidRDefault="006838D3" w:rsidP="006838D3">
      <w:pPr>
        <w:tabs>
          <w:tab w:val="left" w:pos="360"/>
        </w:tabs>
        <w:spacing w:after="0" w:line="480" w:lineRule="auto"/>
        <w:jc w:val="both"/>
        <w:rPr>
          <w:sz w:val="24"/>
          <w:szCs w:val="24"/>
        </w:rPr>
      </w:pPr>
      <w:r>
        <w:rPr>
          <w:sz w:val="24"/>
          <w:szCs w:val="24"/>
        </w:rPr>
        <w:tab/>
      </w:r>
      <w:r>
        <w:rPr>
          <w:sz w:val="24"/>
          <w:szCs w:val="24"/>
        </w:rPr>
        <w:tab/>
        <w:t xml:space="preserve">Putting the law and General Assembly’s clear intent aside for a moment, IGS will attempt to engage certain particularly egregious portions of </w:t>
      </w:r>
      <w:r w:rsidR="005151A7">
        <w:rPr>
          <w:sz w:val="24"/>
          <w:szCs w:val="24"/>
        </w:rPr>
        <w:t>the briefs submitted in support of need</w:t>
      </w:r>
      <w:r>
        <w:rPr>
          <w:sz w:val="24"/>
          <w:szCs w:val="24"/>
        </w:rPr>
        <w:t xml:space="preserve">, which were not proactively addressed in IGS Initial Brief.  </w:t>
      </w:r>
      <w:r w:rsidR="00DD35F8">
        <w:rPr>
          <w:sz w:val="24"/>
          <w:szCs w:val="24"/>
        </w:rPr>
        <w:t xml:space="preserve">Because </w:t>
      </w:r>
      <w:r w:rsidR="00B40E9A">
        <w:rPr>
          <w:sz w:val="24"/>
          <w:szCs w:val="24"/>
        </w:rPr>
        <w:t xml:space="preserve">a </w:t>
      </w:r>
      <w:r w:rsidR="00DD35F8">
        <w:rPr>
          <w:sz w:val="24"/>
          <w:szCs w:val="24"/>
        </w:rPr>
        <w:t>case</w:t>
      </w:r>
      <w:r w:rsidR="00222334">
        <w:rPr>
          <w:sz w:val="24"/>
          <w:szCs w:val="24"/>
        </w:rPr>
        <w:t xml:space="preserve"> for need</w:t>
      </w:r>
      <w:r w:rsidR="00DD35F8">
        <w:rPr>
          <w:sz w:val="24"/>
          <w:szCs w:val="24"/>
        </w:rPr>
        <w:t xml:space="preserve"> </w:t>
      </w:r>
      <w:r w:rsidR="00934C71">
        <w:rPr>
          <w:sz w:val="24"/>
          <w:szCs w:val="24"/>
        </w:rPr>
        <w:t>does not</w:t>
      </w:r>
      <w:r w:rsidR="00B40E9A">
        <w:rPr>
          <w:sz w:val="24"/>
          <w:szCs w:val="24"/>
        </w:rPr>
        <w:t>,</w:t>
      </w:r>
      <w:r w:rsidR="00934C71">
        <w:rPr>
          <w:sz w:val="24"/>
          <w:szCs w:val="24"/>
        </w:rPr>
        <w:t xml:space="preserve"> and cannot</w:t>
      </w:r>
      <w:r w:rsidR="00B40E9A">
        <w:rPr>
          <w:sz w:val="24"/>
          <w:szCs w:val="24"/>
        </w:rPr>
        <w:t>,</w:t>
      </w:r>
      <w:r w:rsidR="00934C71">
        <w:rPr>
          <w:sz w:val="24"/>
          <w:szCs w:val="24"/>
        </w:rPr>
        <w:t xml:space="preserve"> rest</w:t>
      </w:r>
      <w:r w:rsidR="00DD35F8">
        <w:rPr>
          <w:sz w:val="24"/>
          <w:szCs w:val="24"/>
        </w:rPr>
        <w:t xml:space="preserve"> on an actual need for additional generation resources</w:t>
      </w:r>
      <w:r w:rsidR="00934C71">
        <w:rPr>
          <w:sz w:val="24"/>
          <w:szCs w:val="24"/>
        </w:rPr>
        <w:t xml:space="preserve"> to meet demand</w:t>
      </w:r>
      <w:r w:rsidR="00DD35F8">
        <w:rPr>
          <w:sz w:val="24"/>
          <w:szCs w:val="24"/>
        </w:rPr>
        <w:t>, AEP</w:t>
      </w:r>
      <w:r w:rsidR="00222334">
        <w:rPr>
          <w:sz w:val="24"/>
          <w:szCs w:val="24"/>
        </w:rPr>
        <w:t xml:space="preserve"> Ohio</w:t>
      </w:r>
      <w:r w:rsidR="00DD35F8">
        <w:rPr>
          <w:sz w:val="24"/>
          <w:szCs w:val="24"/>
        </w:rPr>
        <w:t xml:space="preserve"> </w:t>
      </w:r>
      <w:r w:rsidR="006F28DF">
        <w:rPr>
          <w:sz w:val="24"/>
          <w:szCs w:val="24"/>
        </w:rPr>
        <w:t>allege</w:t>
      </w:r>
      <w:r w:rsidR="00934C71">
        <w:rPr>
          <w:sz w:val="24"/>
          <w:szCs w:val="24"/>
        </w:rPr>
        <w:t>s</w:t>
      </w:r>
      <w:r w:rsidR="006F28DF">
        <w:rPr>
          <w:sz w:val="24"/>
          <w:szCs w:val="24"/>
        </w:rPr>
        <w:t xml:space="preserve"> that </w:t>
      </w:r>
      <w:r w:rsidR="00DD35F8">
        <w:rPr>
          <w:sz w:val="24"/>
          <w:szCs w:val="24"/>
        </w:rPr>
        <w:t xml:space="preserve">customers want AEP Ohio to build additional renewable resources.  AEP Ohio then claims that it will be economically beneficial </w:t>
      </w:r>
      <w:r w:rsidR="006F28DF">
        <w:rPr>
          <w:sz w:val="24"/>
          <w:szCs w:val="24"/>
        </w:rPr>
        <w:t>for customers and the local economy to move forward with its proposal, because it is apparent that the market has failed to deliver renewable energy options to customers.  IGS Initial Brief addressed many of these arguments; therefore, I</w:t>
      </w:r>
      <w:r w:rsidR="007E7A3E">
        <w:rPr>
          <w:sz w:val="24"/>
          <w:szCs w:val="24"/>
        </w:rPr>
        <w:t>GS</w:t>
      </w:r>
      <w:r w:rsidR="006F28DF">
        <w:rPr>
          <w:sz w:val="24"/>
          <w:szCs w:val="24"/>
        </w:rPr>
        <w:t xml:space="preserve"> will respond only briefly.</w:t>
      </w:r>
    </w:p>
    <w:p w14:paraId="5FD75063" w14:textId="1C873C51" w:rsidR="006F28DF" w:rsidRDefault="006F28DF" w:rsidP="005958C1">
      <w:pPr>
        <w:pStyle w:val="ListParagraph"/>
        <w:numPr>
          <w:ilvl w:val="0"/>
          <w:numId w:val="30"/>
        </w:numPr>
        <w:tabs>
          <w:tab w:val="left" w:pos="360"/>
        </w:tabs>
        <w:spacing w:after="0" w:line="240" w:lineRule="auto"/>
        <w:contextualSpacing w:val="0"/>
        <w:jc w:val="both"/>
        <w:rPr>
          <w:b/>
          <w:sz w:val="24"/>
          <w:szCs w:val="24"/>
        </w:rPr>
      </w:pPr>
      <w:r>
        <w:rPr>
          <w:b/>
          <w:sz w:val="24"/>
          <w:szCs w:val="24"/>
        </w:rPr>
        <w:t>Neither the survey nor public comments provide support to construct 900 MWs of renewable generation</w:t>
      </w:r>
    </w:p>
    <w:p w14:paraId="0B21B629" w14:textId="77777777" w:rsidR="005958C1" w:rsidRDefault="005958C1" w:rsidP="005958C1">
      <w:pPr>
        <w:pStyle w:val="ListParagraph"/>
        <w:tabs>
          <w:tab w:val="left" w:pos="360"/>
        </w:tabs>
        <w:spacing w:after="0" w:line="240" w:lineRule="auto"/>
        <w:ind w:left="1080"/>
        <w:contextualSpacing w:val="0"/>
        <w:jc w:val="both"/>
        <w:rPr>
          <w:b/>
          <w:sz w:val="24"/>
          <w:szCs w:val="24"/>
        </w:rPr>
      </w:pPr>
    </w:p>
    <w:p w14:paraId="7270328A" w14:textId="69D0F649" w:rsidR="009613B6" w:rsidRDefault="002C47C2" w:rsidP="006A6ECF">
      <w:pPr>
        <w:spacing w:line="480" w:lineRule="auto"/>
        <w:ind w:firstLine="720"/>
        <w:jc w:val="both"/>
        <w:rPr>
          <w:sz w:val="24"/>
          <w:szCs w:val="24"/>
        </w:rPr>
      </w:pPr>
      <w:r>
        <w:rPr>
          <w:sz w:val="24"/>
          <w:szCs w:val="24"/>
        </w:rPr>
        <w:t>S</w:t>
      </w:r>
      <w:r w:rsidR="00F64D6A">
        <w:rPr>
          <w:sz w:val="24"/>
          <w:szCs w:val="24"/>
        </w:rPr>
        <w:t>ignificant portions of</w:t>
      </w:r>
      <w:r>
        <w:rPr>
          <w:sz w:val="24"/>
          <w:szCs w:val="24"/>
        </w:rPr>
        <w:t xml:space="preserve"> AEP Ohio’s</w:t>
      </w:r>
      <w:r w:rsidR="00F64D6A">
        <w:rPr>
          <w:sz w:val="24"/>
          <w:szCs w:val="24"/>
        </w:rPr>
        <w:t xml:space="preserve"> brief attempt to establish that its customers want more renewable resources and they are willing to pay more for them.  According to AEP Ohio, want=need.</w:t>
      </w:r>
      <w:r w:rsidR="004E1FE9">
        <w:rPr>
          <w:rStyle w:val="FootnoteReference"/>
          <w:sz w:val="24"/>
          <w:szCs w:val="24"/>
        </w:rPr>
        <w:footnoteReference w:id="36"/>
      </w:r>
      <w:r w:rsidR="009613B6">
        <w:rPr>
          <w:sz w:val="24"/>
          <w:szCs w:val="24"/>
        </w:rPr>
        <w:t xml:space="preserve">  Moreover, AEP Ohio a</w:t>
      </w:r>
      <w:r w:rsidR="00D40D18">
        <w:rPr>
          <w:sz w:val="24"/>
          <w:szCs w:val="24"/>
        </w:rPr>
        <w:t>nd other parties</w:t>
      </w:r>
      <w:r w:rsidR="009613B6">
        <w:rPr>
          <w:sz w:val="24"/>
          <w:szCs w:val="24"/>
        </w:rPr>
        <w:t xml:space="preserve"> argue that all the public comments </w:t>
      </w:r>
      <w:r w:rsidR="00A17E7C">
        <w:rPr>
          <w:sz w:val="24"/>
          <w:szCs w:val="24"/>
        </w:rPr>
        <w:t>support the proposal and no party undertook their own survey</w:t>
      </w:r>
      <w:r w:rsidR="001D6A51">
        <w:rPr>
          <w:rStyle w:val="FootnoteReference"/>
          <w:sz w:val="24"/>
          <w:szCs w:val="24"/>
        </w:rPr>
        <w:footnoteReference w:id="37"/>
      </w:r>
      <w:r w:rsidR="00A17E7C">
        <w:rPr>
          <w:sz w:val="24"/>
          <w:szCs w:val="24"/>
        </w:rPr>
        <w:t xml:space="preserve"> </w:t>
      </w:r>
      <w:r w:rsidR="00611AA3">
        <w:rPr>
          <w:sz w:val="24"/>
          <w:szCs w:val="24"/>
        </w:rPr>
        <w:t>to show a different customer preference.</w:t>
      </w:r>
      <w:r w:rsidR="007C56CB">
        <w:rPr>
          <w:sz w:val="24"/>
          <w:szCs w:val="24"/>
        </w:rPr>
        <w:t xml:space="preserve">  </w:t>
      </w:r>
      <w:r w:rsidR="00F64D6A">
        <w:rPr>
          <w:sz w:val="24"/>
          <w:szCs w:val="24"/>
        </w:rPr>
        <w:t xml:space="preserve"> </w:t>
      </w:r>
    </w:p>
    <w:p w14:paraId="6F23A81F" w14:textId="0F7359B3" w:rsidR="00AF1927" w:rsidRDefault="00F64D6A" w:rsidP="00611AA3">
      <w:pPr>
        <w:spacing w:line="480" w:lineRule="auto"/>
        <w:ind w:firstLine="720"/>
        <w:jc w:val="both"/>
        <w:rPr>
          <w:sz w:val="24"/>
          <w:szCs w:val="24"/>
        </w:rPr>
      </w:pPr>
      <w:r>
        <w:rPr>
          <w:sz w:val="24"/>
          <w:szCs w:val="24"/>
        </w:rPr>
        <w:t xml:space="preserve">As IGS demonstrated in its </w:t>
      </w:r>
      <w:r w:rsidR="00D40D18">
        <w:rPr>
          <w:sz w:val="24"/>
          <w:szCs w:val="24"/>
        </w:rPr>
        <w:t xml:space="preserve">testimony and </w:t>
      </w:r>
      <w:r>
        <w:rPr>
          <w:sz w:val="24"/>
          <w:szCs w:val="24"/>
        </w:rPr>
        <w:t>initial brief, want and need are not the same thing.</w:t>
      </w:r>
      <w:r w:rsidR="0043533A">
        <w:rPr>
          <w:sz w:val="24"/>
          <w:szCs w:val="24"/>
        </w:rPr>
        <w:t xml:space="preserve">  “</w:t>
      </w:r>
      <w:r w:rsidR="0043533A" w:rsidRPr="0074399F">
        <w:rPr>
          <w:sz w:val="24"/>
          <w:szCs w:val="24"/>
        </w:rPr>
        <w:t>A want is something you desire to have, but it is not actually needed.”</w:t>
      </w:r>
      <w:r w:rsidR="0043533A">
        <w:rPr>
          <w:rStyle w:val="FootnoteReference"/>
          <w:sz w:val="24"/>
          <w:szCs w:val="24"/>
        </w:rPr>
        <w:footnoteReference w:id="38"/>
      </w:r>
      <w:r w:rsidR="00601016">
        <w:rPr>
          <w:sz w:val="24"/>
          <w:szCs w:val="24"/>
        </w:rPr>
        <w:t xml:space="preserve">  Establishing a finding of need based upon</w:t>
      </w:r>
      <w:r w:rsidR="001D6A51">
        <w:rPr>
          <w:sz w:val="24"/>
          <w:szCs w:val="24"/>
        </w:rPr>
        <w:t xml:space="preserve"> either a survey or</w:t>
      </w:r>
      <w:r w:rsidR="00601016">
        <w:rPr>
          <w:sz w:val="24"/>
          <w:szCs w:val="24"/>
        </w:rPr>
        <w:t xml:space="preserve"> customer preferences wo</w:t>
      </w:r>
      <w:r w:rsidR="004458FB">
        <w:rPr>
          <w:sz w:val="24"/>
          <w:szCs w:val="24"/>
        </w:rPr>
        <w:t xml:space="preserve">uld lead to absurd results in the ratemaking process.  Likewise, requiring each intervenor to undertake </w:t>
      </w:r>
      <w:r w:rsidR="00F73E1C">
        <w:rPr>
          <w:sz w:val="24"/>
          <w:szCs w:val="24"/>
        </w:rPr>
        <w:t>their</w:t>
      </w:r>
      <w:r w:rsidR="004458FB">
        <w:rPr>
          <w:sz w:val="24"/>
          <w:szCs w:val="24"/>
        </w:rPr>
        <w:t xml:space="preserve"> own survey</w:t>
      </w:r>
      <w:r w:rsidR="005D180D">
        <w:rPr>
          <w:sz w:val="24"/>
          <w:szCs w:val="24"/>
        </w:rPr>
        <w:t>—if that were even possible, given that only AEP Ohio has access to the e-mail addresses of its customers—</w:t>
      </w:r>
      <w:r w:rsidR="004458FB">
        <w:rPr>
          <w:sz w:val="24"/>
          <w:szCs w:val="24"/>
        </w:rPr>
        <w:t xml:space="preserve">would </w:t>
      </w:r>
      <w:r w:rsidR="00D033AB">
        <w:rPr>
          <w:sz w:val="24"/>
          <w:szCs w:val="24"/>
        </w:rPr>
        <w:t>further exacerbate this absurdity and</w:t>
      </w:r>
      <w:r w:rsidR="00AF1927">
        <w:rPr>
          <w:sz w:val="24"/>
          <w:szCs w:val="24"/>
        </w:rPr>
        <w:t xml:space="preserve"> ultimately</w:t>
      </w:r>
      <w:r w:rsidR="00D033AB">
        <w:rPr>
          <w:sz w:val="24"/>
          <w:szCs w:val="24"/>
        </w:rPr>
        <w:t xml:space="preserve"> lead to </w:t>
      </w:r>
      <w:r w:rsidR="00AF1927">
        <w:rPr>
          <w:sz w:val="24"/>
          <w:szCs w:val="24"/>
        </w:rPr>
        <w:t xml:space="preserve">the trial of </w:t>
      </w:r>
      <w:r w:rsidR="00F73E1C">
        <w:rPr>
          <w:sz w:val="24"/>
          <w:szCs w:val="24"/>
        </w:rPr>
        <w:t>cases</w:t>
      </w:r>
      <w:r w:rsidR="00D033AB">
        <w:rPr>
          <w:sz w:val="24"/>
          <w:szCs w:val="24"/>
        </w:rPr>
        <w:t xml:space="preserve"> within the court of popular opinion rather than before the Commission</w:t>
      </w:r>
      <w:r w:rsidR="00AF1927">
        <w:rPr>
          <w:sz w:val="24"/>
          <w:szCs w:val="24"/>
        </w:rPr>
        <w:t>.</w:t>
      </w:r>
    </w:p>
    <w:p w14:paraId="2A8B4D26" w14:textId="5C65276D" w:rsidR="005958C1" w:rsidRDefault="0043533A" w:rsidP="00F73E1C">
      <w:pPr>
        <w:spacing w:line="480" w:lineRule="auto"/>
        <w:ind w:firstLine="720"/>
        <w:jc w:val="both"/>
        <w:rPr>
          <w:sz w:val="24"/>
          <w:szCs w:val="24"/>
        </w:rPr>
      </w:pPr>
      <w:r w:rsidRPr="0074399F">
        <w:rPr>
          <w:sz w:val="24"/>
          <w:szCs w:val="24"/>
        </w:rPr>
        <w:t xml:space="preserve"> </w:t>
      </w:r>
      <w:r>
        <w:rPr>
          <w:sz w:val="24"/>
          <w:szCs w:val="24"/>
        </w:rPr>
        <w:t>I</w:t>
      </w:r>
      <w:r w:rsidR="00F64D6A">
        <w:rPr>
          <w:sz w:val="24"/>
          <w:szCs w:val="24"/>
        </w:rPr>
        <w:t xml:space="preserve">n any event, the survey presented by AEP Ohio fails to provide any reliable evidence regarding the issues in this case.  </w:t>
      </w:r>
      <w:r w:rsidR="00F64D6A" w:rsidRPr="00F64D6A">
        <w:rPr>
          <w:sz w:val="24"/>
          <w:szCs w:val="24"/>
        </w:rPr>
        <w:t xml:space="preserve">AEP Ohio’s own survey only asked customers whether AEP procures sufficient renewables to meet the SSO requirements, and then whether the SSO should be based upon a larger </w:t>
      </w:r>
      <w:proofErr w:type="gramStart"/>
      <w:r w:rsidR="00F64D6A" w:rsidRPr="00F64D6A">
        <w:rPr>
          <w:sz w:val="24"/>
          <w:szCs w:val="24"/>
        </w:rPr>
        <w:t>amount</w:t>
      </w:r>
      <w:proofErr w:type="gramEnd"/>
      <w:r w:rsidR="00F64D6A" w:rsidRPr="00F64D6A">
        <w:rPr>
          <w:sz w:val="24"/>
          <w:szCs w:val="24"/>
        </w:rPr>
        <w:t xml:space="preserve"> of renewables.</w:t>
      </w:r>
      <w:r w:rsidR="002D0A5F">
        <w:rPr>
          <w:rStyle w:val="FootnoteReference"/>
          <w:sz w:val="24"/>
          <w:szCs w:val="24"/>
        </w:rPr>
        <w:footnoteReference w:id="39"/>
      </w:r>
      <w:r w:rsidR="00F64D6A">
        <w:rPr>
          <w:sz w:val="24"/>
          <w:szCs w:val="24"/>
        </w:rPr>
        <w:t xml:space="preserve">  That alleged customer preference, however, provides very little probative value for purposes of determining whether AEP Ohio should enter into renewable purchase agreements and make all customers—not just SSO</w:t>
      </w:r>
      <w:r w:rsidR="0011247C">
        <w:rPr>
          <w:sz w:val="24"/>
          <w:szCs w:val="24"/>
        </w:rPr>
        <w:t xml:space="preserve"> customers</w:t>
      </w:r>
      <w:r w:rsidR="00F64D6A">
        <w:rPr>
          <w:sz w:val="24"/>
          <w:szCs w:val="24"/>
        </w:rPr>
        <w:t>—responsible for the consequences.</w:t>
      </w:r>
      <w:r w:rsidR="00F5247B">
        <w:rPr>
          <w:rStyle w:val="FootnoteReference"/>
          <w:sz w:val="24"/>
          <w:szCs w:val="24"/>
        </w:rPr>
        <w:footnoteReference w:id="40"/>
      </w:r>
      <w:r w:rsidR="00F64D6A">
        <w:rPr>
          <w:sz w:val="24"/>
          <w:szCs w:val="24"/>
        </w:rPr>
        <w:t xml:space="preserve">  Moreover, the proposed REPAs do not actually deliver renewable energy to customers, because AEP Ohio intends on selling the renewable energy credits—in fact, the REPAs will deliver no energy whatsoever to customers.</w:t>
      </w:r>
      <w:r w:rsidR="007606F1">
        <w:rPr>
          <w:rStyle w:val="FootnoteReference"/>
          <w:sz w:val="24"/>
          <w:szCs w:val="24"/>
        </w:rPr>
        <w:footnoteReference w:id="41"/>
      </w:r>
      <w:r w:rsidR="00F64D6A">
        <w:rPr>
          <w:sz w:val="24"/>
          <w:szCs w:val="24"/>
        </w:rPr>
        <w:t xml:space="preserve">  Thus, the alleged customer preference identified by the survey is disconnected from the outcome that AEP Ohio proposes in this case.</w:t>
      </w:r>
    </w:p>
    <w:p w14:paraId="674AD730" w14:textId="1F9BAE4B" w:rsidR="00F64D6A" w:rsidRDefault="00F64D6A" w:rsidP="0043533A">
      <w:pPr>
        <w:spacing w:line="480" w:lineRule="auto"/>
        <w:ind w:firstLine="720"/>
        <w:jc w:val="both"/>
        <w:rPr>
          <w:sz w:val="24"/>
          <w:szCs w:val="24"/>
        </w:rPr>
      </w:pPr>
      <w:r>
        <w:rPr>
          <w:sz w:val="24"/>
          <w:szCs w:val="24"/>
        </w:rPr>
        <w:t>AEP Ohio’s claim that customers are willing to pay more for renewables is also flawed.  While the survey asked customers whether they would pay more</w:t>
      </w:r>
      <w:r w:rsidR="0043533A">
        <w:rPr>
          <w:sz w:val="24"/>
          <w:szCs w:val="24"/>
        </w:rPr>
        <w:t>, the survey did not identify how much customers were already paying for renewable energy.</w:t>
      </w:r>
      <w:r w:rsidR="002F264A">
        <w:rPr>
          <w:rStyle w:val="FootnoteReference"/>
          <w:sz w:val="24"/>
          <w:szCs w:val="24"/>
        </w:rPr>
        <w:footnoteReference w:id="42"/>
      </w:r>
      <w:r w:rsidR="0043533A">
        <w:rPr>
          <w:sz w:val="24"/>
          <w:szCs w:val="24"/>
        </w:rPr>
        <w:t xml:space="preserve">  Thus, the willingness to pay section of the survey is based upon a flawed baseline. </w:t>
      </w:r>
    </w:p>
    <w:p w14:paraId="7C9FE567" w14:textId="702A344C" w:rsidR="00A06E39" w:rsidRDefault="006A6ECF" w:rsidP="00A06E39">
      <w:pPr>
        <w:spacing w:line="480" w:lineRule="auto"/>
        <w:ind w:firstLine="720"/>
        <w:jc w:val="both"/>
        <w:rPr>
          <w:sz w:val="24"/>
          <w:szCs w:val="24"/>
        </w:rPr>
      </w:pPr>
      <w:r w:rsidRPr="006A6ECF">
        <w:rPr>
          <w:sz w:val="24"/>
          <w:szCs w:val="24"/>
        </w:rPr>
        <w:t xml:space="preserve">AEP Ohio and </w:t>
      </w:r>
      <w:r w:rsidR="0011247C">
        <w:rPr>
          <w:sz w:val="24"/>
          <w:szCs w:val="24"/>
        </w:rPr>
        <w:t xml:space="preserve">other parties </w:t>
      </w:r>
      <w:r w:rsidRPr="006A6ECF">
        <w:rPr>
          <w:sz w:val="24"/>
          <w:szCs w:val="24"/>
        </w:rPr>
        <w:t>claim that public comments support approving AEP Ohio’s proposal.</w:t>
      </w:r>
      <w:r w:rsidR="008C03F6">
        <w:rPr>
          <w:rStyle w:val="FootnoteReference"/>
          <w:sz w:val="24"/>
          <w:szCs w:val="24"/>
        </w:rPr>
        <w:footnoteReference w:id="43"/>
      </w:r>
      <w:r w:rsidRPr="006A6ECF">
        <w:rPr>
          <w:sz w:val="24"/>
          <w:szCs w:val="24"/>
        </w:rPr>
        <w:t xml:space="preserve"> </w:t>
      </w:r>
      <w:r w:rsidR="00A06E39">
        <w:rPr>
          <w:sz w:val="24"/>
          <w:szCs w:val="24"/>
        </w:rPr>
        <w:t>AEP Ohio goes so far as to claim that no party voiced opposition to its proposal.  Perhaps AEP Ohio failed to review the several hundred negative comments provided in direct response to the Navigant survey.</w:t>
      </w:r>
      <w:r w:rsidR="00D842CA">
        <w:rPr>
          <w:rStyle w:val="FootnoteReference"/>
          <w:sz w:val="24"/>
          <w:szCs w:val="24"/>
        </w:rPr>
        <w:footnoteReference w:id="44"/>
      </w:r>
      <w:r w:rsidR="00A06E39">
        <w:rPr>
          <w:sz w:val="24"/>
          <w:szCs w:val="24"/>
        </w:rPr>
        <w:t xml:space="preserve">  </w:t>
      </w:r>
    </w:p>
    <w:p w14:paraId="622C4DF4" w14:textId="7DB95381" w:rsidR="00CE237D" w:rsidRDefault="00CE237D" w:rsidP="00FD6657">
      <w:pPr>
        <w:spacing w:line="480" w:lineRule="auto"/>
        <w:ind w:firstLine="720"/>
        <w:jc w:val="both"/>
        <w:rPr>
          <w:sz w:val="24"/>
          <w:szCs w:val="24"/>
        </w:rPr>
      </w:pPr>
      <w:r>
        <w:rPr>
          <w:sz w:val="24"/>
          <w:szCs w:val="24"/>
        </w:rPr>
        <w:t>Regardless,</w:t>
      </w:r>
      <w:r w:rsidR="00FD6657" w:rsidRPr="00FD6657">
        <w:rPr>
          <w:sz w:val="24"/>
          <w:szCs w:val="24"/>
        </w:rPr>
        <w:t xml:space="preserve"> </w:t>
      </w:r>
      <w:r w:rsidR="00FD6657">
        <w:rPr>
          <w:sz w:val="24"/>
          <w:szCs w:val="24"/>
        </w:rPr>
        <w:t>the Commission does not give public comments weight in Commission proceedings because</w:t>
      </w:r>
      <w:r>
        <w:rPr>
          <w:sz w:val="24"/>
          <w:szCs w:val="24"/>
        </w:rPr>
        <w:t xml:space="preserve"> “public comments are not considered evidence regarding the truth of the matters asserted therein . . . .”</w:t>
      </w:r>
      <w:r w:rsidR="00FD6657">
        <w:rPr>
          <w:rStyle w:val="FootnoteReference"/>
          <w:sz w:val="24"/>
          <w:szCs w:val="24"/>
        </w:rPr>
        <w:footnoteReference w:id="45"/>
      </w:r>
      <w:r w:rsidR="00FD6657">
        <w:rPr>
          <w:sz w:val="24"/>
          <w:szCs w:val="24"/>
        </w:rPr>
        <w:t xml:space="preserve">  In</w:t>
      </w:r>
      <w:r w:rsidRPr="006A6ECF">
        <w:rPr>
          <w:sz w:val="24"/>
          <w:szCs w:val="24"/>
        </w:rPr>
        <w:t xml:space="preserve"> AEP Ohio’s prior purchase power agreement case</w:t>
      </w:r>
      <w:r w:rsidR="00144591">
        <w:rPr>
          <w:sz w:val="24"/>
          <w:szCs w:val="24"/>
        </w:rPr>
        <w:t>, which was intended to</w:t>
      </w:r>
      <w:r w:rsidRPr="006A6ECF">
        <w:rPr>
          <w:sz w:val="24"/>
          <w:szCs w:val="24"/>
        </w:rPr>
        <w:t xml:space="preserve"> provide compensation to its aging coal fired power plants, “[t]he majority of written comments express opposition to the PPA proposal.”</w:t>
      </w:r>
      <w:r w:rsidR="005D46B1">
        <w:rPr>
          <w:rStyle w:val="FootnoteReference"/>
          <w:sz w:val="24"/>
          <w:szCs w:val="24"/>
        </w:rPr>
        <w:footnoteReference w:id="46"/>
      </w:r>
      <w:r w:rsidR="005D46B1" w:rsidRPr="006A6ECF">
        <w:rPr>
          <w:sz w:val="24"/>
          <w:szCs w:val="24"/>
        </w:rPr>
        <w:t xml:space="preserve"> </w:t>
      </w:r>
      <w:r w:rsidR="00144591">
        <w:rPr>
          <w:sz w:val="24"/>
          <w:szCs w:val="24"/>
        </w:rPr>
        <w:t xml:space="preserve"> Many of those comments were filed by supporters of the Sierra Club and NRDC.</w:t>
      </w:r>
      <w:r w:rsidRPr="006A6ECF">
        <w:rPr>
          <w:sz w:val="24"/>
          <w:szCs w:val="24"/>
        </w:rPr>
        <w:t xml:space="preserve">  Those comments were given no weight then; they should be given no weight now. </w:t>
      </w:r>
    </w:p>
    <w:p w14:paraId="3797482C" w14:textId="3CEE8051" w:rsidR="006A6ECF" w:rsidRDefault="00A06E39" w:rsidP="00A06E39">
      <w:pPr>
        <w:spacing w:line="480" w:lineRule="auto"/>
        <w:ind w:firstLine="720"/>
        <w:jc w:val="both"/>
        <w:rPr>
          <w:sz w:val="24"/>
          <w:szCs w:val="24"/>
        </w:rPr>
      </w:pPr>
      <w:r>
        <w:rPr>
          <w:sz w:val="24"/>
          <w:szCs w:val="24"/>
        </w:rPr>
        <w:t>In any event,</w:t>
      </w:r>
      <w:r w:rsidR="006A6ECF" w:rsidRPr="006A6ECF">
        <w:rPr>
          <w:sz w:val="24"/>
          <w:szCs w:val="24"/>
        </w:rPr>
        <w:t xml:space="preserve"> the public comments provide little value to resolving the issues in this proceeding.  </w:t>
      </w:r>
      <w:r>
        <w:rPr>
          <w:sz w:val="24"/>
          <w:szCs w:val="24"/>
        </w:rPr>
        <w:t>M</w:t>
      </w:r>
      <w:r w:rsidR="006A6ECF" w:rsidRPr="006A6ECF">
        <w:rPr>
          <w:sz w:val="24"/>
          <w:szCs w:val="24"/>
        </w:rPr>
        <w:t>any of them are simply form comments submitted through Sierra Club’s and NRDC’s websites</w:t>
      </w:r>
      <w:r w:rsidR="0043533A">
        <w:rPr>
          <w:sz w:val="24"/>
          <w:szCs w:val="24"/>
        </w:rPr>
        <w:t>.</w:t>
      </w:r>
      <w:r w:rsidR="000877C5">
        <w:rPr>
          <w:rStyle w:val="FootnoteReference"/>
          <w:sz w:val="24"/>
          <w:szCs w:val="24"/>
        </w:rPr>
        <w:footnoteReference w:id="47"/>
      </w:r>
      <w:r w:rsidR="0043533A">
        <w:rPr>
          <w:sz w:val="24"/>
          <w:szCs w:val="24"/>
        </w:rPr>
        <w:t xml:space="preserve"> </w:t>
      </w:r>
      <w:r>
        <w:rPr>
          <w:sz w:val="24"/>
          <w:szCs w:val="24"/>
        </w:rPr>
        <w:t xml:space="preserve"> A</w:t>
      </w:r>
      <w:r w:rsidR="0043533A">
        <w:rPr>
          <w:sz w:val="24"/>
          <w:szCs w:val="24"/>
        </w:rPr>
        <w:t xml:space="preserve"> review of these comments quickly reveal that</w:t>
      </w:r>
      <w:r w:rsidR="006A6ECF" w:rsidRPr="006A6ECF">
        <w:rPr>
          <w:sz w:val="24"/>
          <w:szCs w:val="24"/>
        </w:rPr>
        <w:t xml:space="preserve"> many </w:t>
      </w:r>
      <w:r w:rsidR="0043533A">
        <w:rPr>
          <w:sz w:val="24"/>
          <w:szCs w:val="24"/>
        </w:rPr>
        <w:t>the individuals are not</w:t>
      </w:r>
      <w:r w:rsidR="006A6ECF" w:rsidRPr="006A6ECF">
        <w:rPr>
          <w:sz w:val="24"/>
          <w:szCs w:val="24"/>
        </w:rPr>
        <w:t xml:space="preserve"> customers of AEP Ohio.</w:t>
      </w:r>
      <w:r w:rsidR="006A6ECF" w:rsidRPr="006A6ECF">
        <w:rPr>
          <w:rStyle w:val="FootnoteReference"/>
          <w:sz w:val="24"/>
          <w:szCs w:val="24"/>
        </w:rPr>
        <w:footnoteReference w:id="48"/>
      </w:r>
      <w:r>
        <w:rPr>
          <w:sz w:val="24"/>
          <w:szCs w:val="24"/>
        </w:rPr>
        <w:t xml:space="preserve">  Likewise, the presence of individuals at public hearings provides little probative information, given that </w:t>
      </w:r>
      <w:r w:rsidR="0070580E">
        <w:rPr>
          <w:sz w:val="24"/>
          <w:szCs w:val="24"/>
        </w:rPr>
        <w:t xml:space="preserve">Sierra Club actively solicited its members </w:t>
      </w:r>
      <w:r w:rsidR="00ED6B11">
        <w:rPr>
          <w:sz w:val="24"/>
          <w:szCs w:val="24"/>
        </w:rPr>
        <w:t>through</w:t>
      </w:r>
      <w:r w:rsidR="005D6EDD">
        <w:rPr>
          <w:sz w:val="24"/>
          <w:szCs w:val="24"/>
        </w:rPr>
        <w:t xml:space="preserve"> Facebook</w:t>
      </w:r>
      <w:r w:rsidR="00ED6B11">
        <w:rPr>
          <w:sz w:val="24"/>
          <w:szCs w:val="24"/>
        </w:rPr>
        <w:t xml:space="preserve"> to appear at the public hearing</w:t>
      </w:r>
      <w:r w:rsidR="0070580E">
        <w:rPr>
          <w:sz w:val="24"/>
          <w:szCs w:val="24"/>
        </w:rPr>
        <w:t>.</w:t>
      </w:r>
      <w:r w:rsidR="0070580E">
        <w:rPr>
          <w:rStyle w:val="FootnoteReference"/>
          <w:sz w:val="24"/>
          <w:szCs w:val="24"/>
        </w:rPr>
        <w:footnoteReference w:id="49"/>
      </w:r>
      <w:r w:rsidR="006A6ECF" w:rsidRPr="006A6ECF">
        <w:rPr>
          <w:sz w:val="24"/>
          <w:szCs w:val="24"/>
        </w:rPr>
        <w:t xml:space="preserve">  This add little value other than to show that Sierra Club’s and NRDC’s members </w:t>
      </w:r>
      <w:r>
        <w:rPr>
          <w:sz w:val="24"/>
          <w:szCs w:val="24"/>
        </w:rPr>
        <w:t>desire renewable resources, which could be administratively noticed from those organizations’ purpose statements</w:t>
      </w:r>
      <w:r w:rsidR="006A6ECF" w:rsidRPr="006A6ECF">
        <w:rPr>
          <w:sz w:val="24"/>
          <w:szCs w:val="24"/>
        </w:rPr>
        <w:t>. These members, however, cannot claim to represent the views of all customers. Giving weight to the comments of Sierra Club and NRDC members would be equivalent to allowing a minority political party to pass legislation without a majority vote.</w:t>
      </w:r>
    </w:p>
    <w:p w14:paraId="6D7BC556" w14:textId="52A69A87" w:rsidR="006F28DF" w:rsidRDefault="006F28DF" w:rsidP="003110CA">
      <w:pPr>
        <w:pStyle w:val="ListParagraph"/>
        <w:numPr>
          <w:ilvl w:val="0"/>
          <w:numId w:val="30"/>
        </w:numPr>
        <w:tabs>
          <w:tab w:val="left" w:pos="360"/>
        </w:tabs>
        <w:spacing w:after="0" w:line="240" w:lineRule="auto"/>
        <w:jc w:val="both"/>
        <w:rPr>
          <w:b/>
          <w:sz w:val="24"/>
          <w:szCs w:val="24"/>
        </w:rPr>
      </w:pPr>
      <w:r>
        <w:rPr>
          <w:b/>
          <w:sz w:val="24"/>
          <w:szCs w:val="24"/>
        </w:rPr>
        <w:t xml:space="preserve">There is no evidence of market failure; rather the </w:t>
      </w:r>
      <w:r w:rsidR="003110CA">
        <w:rPr>
          <w:b/>
          <w:sz w:val="24"/>
          <w:szCs w:val="24"/>
        </w:rPr>
        <w:t>market is primed to meet a diverse range of customer preferences for renewable energy</w:t>
      </w:r>
    </w:p>
    <w:p w14:paraId="5C832108" w14:textId="77777777" w:rsidR="003110CA" w:rsidRPr="006F28DF" w:rsidRDefault="003110CA" w:rsidP="00FC4E52">
      <w:pPr>
        <w:pStyle w:val="ListParagraph"/>
        <w:tabs>
          <w:tab w:val="left" w:pos="360"/>
        </w:tabs>
        <w:spacing w:after="0" w:line="240" w:lineRule="auto"/>
        <w:ind w:left="1080"/>
        <w:jc w:val="both"/>
        <w:rPr>
          <w:b/>
          <w:sz w:val="24"/>
          <w:szCs w:val="24"/>
        </w:rPr>
      </w:pPr>
    </w:p>
    <w:p w14:paraId="0115EACE" w14:textId="358FD4BD" w:rsidR="006F28DF" w:rsidRDefault="00B205C1" w:rsidP="006838D3">
      <w:pPr>
        <w:tabs>
          <w:tab w:val="left" w:pos="360"/>
        </w:tabs>
        <w:spacing w:after="0" w:line="480" w:lineRule="auto"/>
        <w:jc w:val="both"/>
        <w:rPr>
          <w:sz w:val="24"/>
          <w:szCs w:val="24"/>
        </w:rPr>
      </w:pPr>
      <w:r>
        <w:rPr>
          <w:sz w:val="24"/>
          <w:szCs w:val="24"/>
        </w:rPr>
        <w:tab/>
      </w:r>
      <w:r>
        <w:rPr>
          <w:sz w:val="24"/>
          <w:szCs w:val="24"/>
        </w:rPr>
        <w:tab/>
      </w:r>
      <w:r w:rsidR="006F28DF">
        <w:rPr>
          <w:sz w:val="24"/>
          <w:szCs w:val="24"/>
        </w:rPr>
        <w:t xml:space="preserve">For the first time in this case, AEP Ohio has alleged that the market has failed to provide renewable energy options to </w:t>
      </w:r>
      <w:r w:rsidR="006F28DF" w:rsidRPr="0088267D">
        <w:rPr>
          <w:sz w:val="24"/>
          <w:szCs w:val="24"/>
        </w:rPr>
        <w:t>customers</w:t>
      </w:r>
      <w:r w:rsidR="00D44770">
        <w:rPr>
          <w:sz w:val="24"/>
          <w:szCs w:val="24"/>
        </w:rPr>
        <w:t xml:space="preserve"> to meet their preferences</w:t>
      </w:r>
      <w:r w:rsidR="006F28DF">
        <w:rPr>
          <w:sz w:val="24"/>
          <w:szCs w:val="24"/>
        </w:rPr>
        <w:t>.</w:t>
      </w:r>
      <w:r w:rsidR="00D44770">
        <w:rPr>
          <w:rStyle w:val="FootnoteReference"/>
          <w:sz w:val="24"/>
          <w:szCs w:val="24"/>
        </w:rPr>
        <w:footnoteReference w:id="50"/>
      </w:r>
      <w:r>
        <w:rPr>
          <w:sz w:val="24"/>
          <w:szCs w:val="24"/>
        </w:rPr>
        <w:t xml:space="preserve">  AEP Ohio’s argument is a logical fallacy.  AEP Ohio itself concedes that it has not calculated the quantity of renewable energy that customers want.</w:t>
      </w:r>
      <w:r w:rsidR="008B22F8">
        <w:rPr>
          <w:rStyle w:val="FootnoteReference"/>
          <w:sz w:val="24"/>
          <w:szCs w:val="24"/>
        </w:rPr>
        <w:footnoteReference w:id="51"/>
      </w:r>
      <w:r>
        <w:rPr>
          <w:sz w:val="24"/>
          <w:szCs w:val="24"/>
        </w:rPr>
        <w:t xml:space="preserve">  </w:t>
      </w:r>
      <w:r w:rsidR="00661CBB">
        <w:rPr>
          <w:sz w:val="24"/>
          <w:szCs w:val="24"/>
        </w:rPr>
        <w:t xml:space="preserve">But one must know the actual desired quantity of a good or service before </w:t>
      </w:r>
      <w:r w:rsidR="000A0523">
        <w:rPr>
          <w:sz w:val="24"/>
          <w:szCs w:val="24"/>
        </w:rPr>
        <w:t>one may</w:t>
      </w:r>
      <w:r w:rsidR="00661CBB">
        <w:rPr>
          <w:sz w:val="24"/>
          <w:szCs w:val="24"/>
        </w:rPr>
        <w:t xml:space="preserve"> </w:t>
      </w:r>
      <w:r w:rsidR="004C0331">
        <w:rPr>
          <w:sz w:val="24"/>
          <w:szCs w:val="24"/>
        </w:rPr>
        <w:t>conclude</w:t>
      </w:r>
      <w:r w:rsidR="00661CBB">
        <w:rPr>
          <w:sz w:val="24"/>
          <w:szCs w:val="24"/>
        </w:rPr>
        <w:t xml:space="preserve"> that the market has failed to deliver th</w:t>
      </w:r>
      <w:r w:rsidR="000A0523">
        <w:rPr>
          <w:sz w:val="24"/>
          <w:szCs w:val="24"/>
        </w:rPr>
        <w:t>e</w:t>
      </w:r>
      <w:r w:rsidR="00661CBB">
        <w:rPr>
          <w:sz w:val="24"/>
          <w:szCs w:val="24"/>
        </w:rPr>
        <w:t xml:space="preserve"> </w:t>
      </w:r>
      <w:r w:rsidR="00355016">
        <w:rPr>
          <w:sz w:val="24"/>
          <w:szCs w:val="24"/>
        </w:rPr>
        <w:t>required amount</w:t>
      </w:r>
      <w:r w:rsidR="00661CBB">
        <w:rPr>
          <w:sz w:val="24"/>
          <w:szCs w:val="24"/>
        </w:rPr>
        <w:t xml:space="preserve">. </w:t>
      </w:r>
      <w:r>
        <w:rPr>
          <w:sz w:val="24"/>
          <w:szCs w:val="24"/>
        </w:rPr>
        <w:t>Given this fact, there is no possible factual basis to conclude that the competitive market has not delivered the quantity of renewables that customers desire.</w:t>
      </w:r>
      <w:r w:rsidR="00C222F9">
        <w:rPr>
          <w:sz w:val="24"/>
          <w:szCs w:val="24"/>
        </w:rPr>
        <w:t xml:space="preserve"> </w:t>
      </w:r>
    </w:p>
    <w:p w14:paraId="4A190EA5" w14:textId="293B73E4" w:rsidR="00307CB0" w:rsidRDefault="00B205C1" w:rsidP="00B205C1">
      <w:pPr>
        <w:tabs>
          <w:tab w:val="left" w:pos="360"/>
        </w:tabs>
        <w:spacing w:after="0" w:line="480" w:lineRule="auto"/>
        <w:jc w:val="both"/>
        <w:rPr>
          <w:sz w:val="24"/>
          <w:szCs w:val="24"/>
        </w:rPr>
      </w:pPr>
      <w:r>
        <w:rPr>
          <w:sz w:val="24"/>
          <w:szCs w:val="24"/>
        </w:rPr>
        <w:tab/>
      </w:r>
      <w:r>
        <w:rPr>
          <w:sz w:val="24"/>
          <w:szCs w:val="24"/>
        </w:rPr>
        <w:tab/>
        <w:t xml:space="preserve">Indeed, AEP Ohio’s own survey only asked </w:t>
      </w:r>
      <w:r w:rsidRPr="00B205C1">
        <w:rPr>
          <w:i/>
          <w:sz w:val="24"/>
          <w:szCs w:val="24"/>
        </w:rPr>
        <w:t xml:space="preserve">customers </w:t>
      </w:r>
      <w:r w:rsidR="00307CB0" w:rsidRPr="00B205C1">
        <w:rPr>
          <w:i/>
          <w:sz w:val="24"/>
          <w:szCs w:val="24"/>
        </w:rPr>
        <w:t>whether AEP procures sufficient renewables to meet the SSO requirements</w:t>
      </w:r>
      <w:r w:rsidR="00307CB0" w:rsidRPr="00B205C1">
        <w:rPr>
          <w:sz w:val="24"/>
          <w:szCs w:val="24"/>
        </w:rPr>
        <w:t xml:space="preserve">, and then whether </w:t>
      </w:r>
      <w:r>
        <w:rPr>
          <w:sz w:val="24"/>
          <w:szCs w:val="24"/>
        </w:rPr>
        <w:t>the SSO</w:t>
      </w:r>
      <w:r w:rsidR="00307CB0" w:rsidRPr="00B205C1">
        <w:rPr>
          <w:sz w:val="24"/>
          <w:szCs w:val="24"/>
        </w:rPr>
        <w:t xml:space="preserve"> shoul</w:t>
      </w:r>
      <w:r>
        <w:rPr>
          <w:sz w:val="24"/>
          <w:szCs w:val="24"/>
        </w:rPr>
        <w:t xml:space="preserve">d be based upon a larger </w:t>
      </w:r>
      <w:proofErr w:type="gramStart"/>
      <w:r>
        <w:rPr>
          <w:sz w:val="24"/>
          <w:szCs w:val="24"/>
        </w:rPr>
        <w:t>amount</w:t>
      </w:r>
      <w:proofErr w:type="gramEnd"/>
      <w:r>
        <w:rPr>
          <w:sz w:val="24"/>
          <w:szCs w:val="24"/>
        </w:rPr>
        <w:t xml:space="preserve"> of renewables.</w:t>
      </w:r>
      <w:r w:rsidR="00CC5A95">
        <w:rPr>
          <w:rStyle w:val="FootnoteReference"/>
          <w:sz w:val="24"/>
          <w:szCs w:val="24"/>
        </w:rPr>
        <w:footnoteReference w:id="52"/>
      </w:r>
      <w:r>
        <w:rPr>
          <w:sz w:val="24"/>
          <w:szCs w:val="24"/>
        </w:rPr>
        <w:t xml:space="preserve"> </w:t>
      </w:r>
      <w:r w:rsidR="00307CB0" w:rsidRPr="00B205C1">
        <w:rPr>
          <w:sz w:val="24"/>
          <w:szCs w:val="24"/>
        </w:rPr>
        <w:t xml:space="preserve"> AEP never asked customers whether they feel there are sufficient renewable options in the market.</w:t>
      </w:r>
      <w:r w:rsidR="008C40D6" w:rsidRPr="008C40D6">
        <w:rPr>
          <w:sz w:val="24"/>
          <w:szCs w:val="24"/>
        </w:rPr>
        <w:t xml:space="preserve"> </w:t>
      </w:r>
      <w:r w:rsidR="008C40D6">
        <w:rPr>
          <w:sz w:val="24"/>
          <w:szCs w:val="24"/>
        </w:rPr>
        <w:t xml:space="preserve">Moreover, </w:t>
      </w:r>
      <w:r w:rsidR="008C40D6">
        <w:rPr>
          <w:sz w:val="24"/>
          <w:szCs w:val="24"/>
        </w:rPr>
        <w:t xml:space="preserve">neither the survey nor AEP Ohio attempted to quantify the amount of </w:t>
      </w:r>
      <w:r w:rsidR="008C40D6" w:rsidRPr="005A5A18">
        <w:rPr>
          <w:sz w:val="24"/>
          <w:szCs w:val="24"/>
        </w:rPr>
        <w:t xml:space="preserve">renewable generation </w:t>
      </w:r>
      <w:r w:rsidR="008C40D6">
        <w:rPr>
          <w:sz w:val="24"/>
          <w:szCs w:val="24"/>
        </w:rPr>
        <w:t>that will be developed by</w:t>
      </w:r>
      <w:r w:rsidR="008C40D6" w:rsidRPr="005A5A18">
        <w:rPr>
          <w:sz w:val="24"/>
          <w:szCs w:val="24"/>
        </w:rPr>
        <w:t xml:space="preserve"> the competitive market</w:t>
      </w:r>
      <w:r w:rsidR="008C40D6">
        <w:rPr>
          <w:sz w:val="24"/>
          <w:szCs w:val="24"/>
        </w:rPr>
        <w:t>.</w:t>
      </w:r>
      <w:r w:rsidR="008C40D6">
        <w:rPr>
          <w:rStyle w:val="FootnoteReference"/>
          <w:sz w:val="24"/>
          <w:szCs w:val="24"/>
        </w:rPr>
        <w:footnoteReference w:id="53"/>
      </w:r>
      <w:r w:rsidR="008C40D6">
        <w:rPr>
          <w:sz w:val="24"/>
          <w:szCs w:val="24"/>
        </w:rPr>
        <w:t xml:space="preserve">  </w:t>
      </w:r>
      <w:r w:rsidR="00307CB0" w:rsidRPr="00B205C1">
        <w:rPr>
          <w:sz w:val="24"/>
          <w:szCs w:val="24"/>
        </w:rPr>
        <w:t xml:space="preserve"> Thus, even if the survey data is accurate, the only potential failure is AEP not proposing to supply a greater portion of the SSO through renewable energy.  </w:t>
      </w:r>
    </w:p>
    <w:p w14:paraId="68453D62" w14:textId="71B00981" w:rsidR="00343625" w:rsidRPr="00B205C1" w:rsidRDefault="00B205C1" w:rsidP="00B205C1">
      <w:pPr>
        <w:tabs>
          <w:tab w:val="left" w:pos="360"/>
        </w:tabs>
        <w:spacing w:after="0" w:line="480" w:lineRule="auto"/>
        <w:jc w:val="both"/>
        <w:rPr>
          <w:sz w:val="24"/>
          <w:szCs w:val="24"/>
        </w:rPr>
      </w:pPr>
      <w:r>
        <w:rPr>
          <w:sz w:val="24"/>
          <w:szCs w:val="24"/>
        </w:rPr>
        <w:tab/>
      </w:r>
      <w:r>
        <w:rPr>
          <w:sz w:val="24"/>
          <w:szCs w:val="24"/>
        </w:rPr>
        <w:tab/>
      </w:r>
      <w:r w:rsidR="00E123A8" w:rsidRPr="00B205C1">
        <w:rPr>
          <w:sz w:val="24"/>
          <w:szCs w:val="24"/>
        </w:rPr>
        <w:t>Since AEP Ohio has not identified the alleged quantity of renewable energy that customers desire</w:t>
      </w:r>
      <w:r w:rsidR="008C40D6">
        <w:rPr>
          <w:sz w:val="24"/>
          <w:szCs w:val="24"/>
        </w:rPr>
        <w:t xml:space="preserve"> or the amount of renewable resources that the market will develop,</w:t>
      </w:r>
      <w:r w:rsidR="00E123A8" w:rsidRPr="00B205C1">
        <w:rPr>
          <w:sz w:val="24"/>
          <w:szCs w:val="24"/>
        </w:rPr>
        <w:t xml:space="preserve"> AEP Ohio has provided no evidence to suggest that the market has failed to deliver renewables to meet customers</w:t>
      </w:r>
      <w:r w:rsidR="004C0331">
        <w:rPr>
          <w:sz w:val="24"/>
          <w:szCs w:val="24"/>
        </w:rPr>
        <w:t>’</w:t>
      </w:r>
      <w:r w:rsidR="00E123A8" w:rsidRPr="00B205C1">
        <w:rPr>
          <w:sz w:val="24"/>
          <w:szCs w:val="24"/>
        </w:rPr>
        <w:t xml:space="preserve"> desires. </w:t>
      </w:r>
    </w:p>
    <w:p w14:paraId="491DA61A" w14:textId="4E7DC401" w:rsidR="00307CB0" w:rsidRPr="00B205C1" w:rsidRDefault="00B205C1" w:rsidP="00B205C1">
      <w:pPr>
        <w:autoSpaceDE w:val="0"/>
        <w:autoSpaceDN w:val="0"/>
        <w:adjustRightInd w:val="0"/>
        <w:spacing w:after="120" w:line="480" w:lineRule="auto"/>
        <w:ind w:firstLine="720"/>
        <w:jc w:val="both"/>
        <w:rPr>
          <w:sz w:val="24"/>
          <w:szCs w:val="24"/>
        </w:rPr>
      </w:pPr>
      <w:r>
        <w:rPr>
          <w:sz w:val="24"/>
          <w:szCs w:val="24"/>
        </w:rPr>
        <w:t>Likewise, the record evidence suggests that CRES providers are m</w:t>
      </w:r>
      <w:r w:rsidR="00307CB0" w:rsidRPr="00B205C1">
        <w:rPr>
          <w:sz w:val="24"/>
          <w:szCs w:val="24"/>
        </w:rPr>
        <w:t>eeting</w:t>
      </w:r>
      <w:r>
        <w:rPr>
          <w:sz w:val="24"/>
          <w:szCs w:val="24"/>
        </w:rPr>
        <w:t xml:space="preserve"> and exceeding the renewable energy benchmarks set forth in SB</w:t>
      </w:r>
      <w:r w:rsidR="00307CB0" w:rsidRPr="00B205C1">
        <w:rPr>
          <w:sz w:val="24"/>
          <w:szCs w:val="24"/>
        </w:rPr>
        <w:t xml:space="preserve"> 310</w:t>
      </w:r>
      <w:r>
        <w:rPr>
          <w:sz w:val="24"/>
          <w:szCs w:val="24"/>
        </w:rPr>
        <w:t>.</w:t>
      </w:r>
      <w:r w:rsidR="008C40D6">
        <w:rPr>
          <w:rStyle w:val="FootnoteReference"/>
          <w:sz w:val="24"/>
          <w:szCs w:val="24"/>
        </w:rPr>
        <w:footnoteReference w:id="54"/>
      </w:r>
      <w:r>
        <w:rPr>
          <w:sz w:val="24"/>
          <w:szCs w:val="24"/>
        </w:rPr>
        <w:t xml:space="preserve">  Further, t</w:t>
      </w:r>
      <w:r w:rsidR="00307CB0" w:rsidRPr="00B205C1">
        <w:rPr>
          <w:sz w:val="24"/>
          <w:szCs w:val="24"/>
        </w:rPr>
        <w:t xml:space="preserve">he market </w:t>
      </w:r>
      <w:r>
        <w:rPr>
          <w:sz w:val="24"/>
          <w:szCs w:val="24"/>
        </w:rPr>
        <w:t>contains numerous</w:t>
      </w:r>
      <w:r w:rsidR="00307CB0" w:rsidRPr="00B205C1">
        <w:rPr>
          <w:sz w:val="24"/>
          <w:szCs w:val="24"/>
        </w:rPr>
        <w:t xml:space="preserve"> options </w:t>
      </w:r>
      <w:r>
        <w:rPr>
          <w:sz w:val="24"/>
          <w:szCs w:val="24"/>
        </w:rPr>
        <w:t xml:space="preserve">for </w:t>
      </w:r>
      <w:r w:rsidR="00307CB0" w:rsidRPr="00B205C1">
        <w:rPr>
          <w:sz w:val="24"/>
          <w:szCs w:val="24"/>
        </w:rPr>
        <w:t>renewable energy, including significantly larger quantities than would be achieved by the proposal.</w:t>
      </w:r>
      <w:r w:rsidR="00075B44">
        <w:rPr>
          <w:rStyle w:val="FootnoteReference"/>
          <w:sz w:val="24"/>
          <w:szCs w:val="24"/>
        </w:rPr>
        <w:footnoteReference w:id="55"/>
      </w:r>
      <w:r w:rsidR="00F13481">
        <w:rPr>
          <w:sz w:val="24"/>
          <w:szCs w:val="24"/>
        </w:rPr>
        <w:t xml:space="preserve">  </w:t>
      </w:r>
      <w:r w:rsidR="00DB0C70">
        <w:rPr>
          <w:sz w:val="24"/>
          <w:szCs w:val="24"/>
        </w:rPr>
        <w:t>There are options available to all types of customers.  Therefore, AEP Ohio cannot legitimately claim that its proposal fills a gap or underserved market</w:t>
      </w:r>
      <w:r w:rsidR="007F3621">
        <w:rPr>
          <w:sz w:val="24"/>
          <w:szCs w:val="24"/>
        </w:rPr>
        <w:t xml:space="preserve"> segment</w:t>
      </w:r>
      <w:r w:rsidR="00DB0C70">
        <w:rPr>
          <w:sz w:val="24"/>
          <w:szCs w:val="24"/>
        </w:rPr>
        <w:t xml:space="preserve"> in any fashion.</w:t>
      </w:r>
      <w:r w:rsidR="00DB0C70">
        <w:rPr>
          <w:rStyle w:val="FootnoteReference"/>
          <w:sz w:val="24"/>
          <w:szCs w:val="24"/>
        </w:rPr>
        <w:footnoteReference w:id="56"/>
      </w:r>
    </w:p>
    <w:p w14:paraId="150A7F5A" w14:textId="2EC0D0C7" w:rsidR="004008E1" w:rsidRPr="005958C1" w:rsidRDefault="00B205C1" w:rsidP="005958C1">
      <w:pPr>
        <w:autoSpaceDE w:val="0"/>
        <w:autoSpaceDN w:val="0"/>
        <w:adjustRightInd w:val="0"/>
        <w:spacing w:after="120" w:line="480" w:lineRule="auto"/>
        <w:ind w:firstLine="720"/>
        <w:jc w:val="both"/>
        <w:rPr>
          <w:sz w:val="24"/>
          <w:szCs w:val="24"/>
        </w:rPr>
      </w:pPr>
      <w:r>
        <w:rPr>
          <w:sz w:val="24"/>
          <w:szCs w:val="24"/>
        </w:rPr>
        <w:t>AEP Ohio in portions of its brief c</w:t>
      </w:r>
      <w:r w:rsidR="007D2C39" w:rsidRPr="00B205C1">
        <w:rPr>
          <w:sz w:val="24"/>
          <w:szCs w:val="24"/>
        </w:rPr>
        <w:t>laim</w:t>
      </w:r>
      <w:r>
        <w:rPr>
          <w:sz w:val="24"/>
          <w:szCs w:val="24"/>
        </w:rPr>
        <w:t xml:space="preserve">s </w:t>
      </w:r>
      <w:r w:rsidR="007D2C39" w:rsidRPr="00B205C1">
        <w:rPr>
          <w:sz w:val="24"/>
          <w:szCs w:val="24"/>
        </w:rPr>
        <w:t xml:space="preserve">that the competitive markets failed to </w:t>
      </w:r>
      <w:r w:rsidR="00CC33B2" w:rsidRPr="00B205C1">
        <w:rPr>
          <w:sz w:val="24"/>
          <w:szCs w:val="24"/>
        </w:rPr>
        <w:t>develop in-state, utility scale renewables.</w:t>
      </w:r>
      <w:r w:rsidR="0036432A">
        <w:rPr>
          <w:rStyle w:val="FootnoteReference"/>
          <w:sz w:val="24"/>
          <w:szCs w:val="24"/>
        </w:rPr>
        <w:footnoteReference w:id="57"/>
      </w:r>
      <w:r w:rsidR="00E6329D">
        <w:rPr>
          <w:sz w:val="24"/>
          <w:szCs w:val="24"/>
        </w:rPr>
        <w:t xml:space="preserve">  Other parties make similar claims.  But,</w:t>
      </w:r>
      <w:r w:rsidR="00CC33B2" w:rsidRPr="00B205C1">
        <w:rPr>
          <w:sz w:val="24"/>
          <w:szCs w:val="24"/>
        </w:rPr>
        <w:t xml:space="preserve"> </w:t>
      </w:r>
      <w:r w:rsidR="007F3621">
        <w:rPr>
          <w:sz w:val="24"/>
          <w:szCs w:val="24"/>
        </w:rPr>
        <w:t>i</w:t>
      </w:r>
      <w:r w:rsidR="00CC33B2" w:rsidRPr="00B205C1">
        <w:rPr>
          <w:sz w:val="24"/>
          <w:szCs w:val="24"/>
        </w:rPr>
        <w:t>t is not clear why utility scale renewables should be the standard for development</w:t>
      </w:r>
      <w:r w:rsidR="00E6329D">
        <w:rPr>
          <w:sz w:val="24"/>
          <w:szCs w:val="24"/>
        </w:rPr>
        <w:t xml:space="preserve"> or why the Commission should </w:t>
      </w:r>
      <w:r w:rsidR="00C457C1">
        <w:rPr>
          <w:sz w:val="24"/>
          <w:szCs w:val="24"/>
        </w:rPr>
        <w:t>prioritize the development of in front of the meter resources</w:t>
      </w:r>
      <w:r w:rsidR="00CC33B2" w:rsidRPr="00B205C1">
        <w:rPr>
          <w:sz w:val="24"/>
          <w:szCs w:val="24"/>
        </w:rPr>
        <w:t>.  Such resources are less favorable than behind the meter solar from both an economic development</w:t>
      </w:r>
      <w:r w:rsidR="00820900">
        <w:rPr>
          <w:sz w:val="24"/>
          <w:szCs w:val="24"/>
        </w:rPr>
        <w:t xml:space="preserve"> and</w:t>
      </w:r>
      <w:r w:rsidR="00CC33B2" w:rsidRPr="00B205C1">
        <w:rPr>
          <w:sz w:val="24"/>
          <w:szCs w:val="24"/>
        </w:rPr>
        <w:t xml:space="preserve"> grid efficiency perspective.</w:t>
      </w:r>
      <w:r w:rsidR="00C457C1">
        <w:rPr>
          <w:rStyle w:val="FootnoteReference"/>
          <w:sz w:val="24"/>
          <w:szCs w:val="24"/>
        </w:rPr>
        <w:footnoteReference w:id="58"/>
      </w:r>
      <w:r w:rsidR="00CC33B2" w:rsidRPr="00B205C1">
        <w:rPr>
          <w:sz w:val="24"/>
          <w:szCs w:val="24"/>
        </w:rPr>
        <w:t xml:space="preserve">  Moreover, renewable</w:t>
      </w:r>
      <w:r w:rsidR="007F3621">
        <w:rPr>
          <w:sz w:val="24"/>
          <w:szCs w:val="24"/>
        </w:rPr>
        <w:t xml:space="preserve"> energy is</w:t>
      </w:r>
      <w:r w:rsidR="00CC33B2" w:rsidRPr="00B205C1">
        <w:rPr>
          <w:sz w:val="24"/>
          <w:szCs w:val="24"/>
        </w:rPr>
        <w:t xml:space="preserve"> renewable</w:t>
      </w:r>
      <w:r w:rsidR="007F3621">
        <w:rPr>
          <w:sz w:val="24"/>
          <w:szCs w:val="24"/>
        </w:rPr>
        <w:t xml:space="preserve"> energy</w:t>
      </w:r>
      <w:r w:rsidR="00CC33B2" w:rsidRPr="00B205C1">
        <w:rPr>
          <w:sz w:val="24"/>
          <w:szCs w:val="24"/>
        </w:rPr>
        <w:t xml:space="preserve"> whether </w:t>
      </w:r>
      <w:r w:rsidR="007F3621">
        <w:rPr>
          <w:sz w:val="24"/>
          <w:szCs w:val="24"/>
        </w:rPr>
        <w:t>it</w:t>
      </w:r>
      <w:r w:rsidR="00CC33B2" w:rsidRPr="00B205C1">
        <w:rPr>
          <w:sz w:val="24"/>
          <w:szCs w:val="24"/>
        </w:rPr>
        <w:t xml:space="preserve"> </w:t>
      </w:r>
      <w:r w:rsidR="00A01E51">
        <w:rPr>
          <w:sz w:val="24"/>
          <w:szCs w:val="24"/>
        </w:rPr>
        <w:t xml:space="preserve">is </w:t>
      </w:r>
      <w:r w:rsidR="007F3621">
        <w:rPr>
          <w:sz w:val="24"/>
          <w:szCs w:val="24"/>
        </w:rPr>
        <w:t>produced</w:t>
      </w:r>
      <w:r w:rsidR="00CC33B2" w:rsidRPr="00B205C1">
        <w:rPr>
          <w:sz w:val="24"/>
          <w:szCs w:val="24"/>
        </w:rPr>
        <w:t xml:space="preserve"> </w:t>
      </w:r>
      <w:r w:rsidR="007F3621">
        <w:rPr>
          <w:sz w:val="24"/>
          <w:szCs w:val="24"/>
        </w:rPr>
        <w:t>by</w:t>
      </w:r>
      <w:r w:rsidR="00CC33B2" w:rsidRPr="00B205C1">
        <w:rPr>
          <w:sz w:val="24"/>
          <w:szCs w:val="24"/>
        </w:rPr>
        <w:t xml:space="preserve"> large scale</w:t>
      </w:r>
      <w:r w:rsidR="007F3621">
        <w:rPr>
          <w:sz w:val="24"/>
          <w:szCs w:val="24"/>
        </w:rPr>
        <w:t xml:space="preserve"> </w:t>
      </w:r>
      <w:r w:rsidR="00A01E51">
        <w:rPr>
          <w:sz w:val="24"/>
          <w:szCs w:val="24"/>
        </w:rPr>
        <w:t>generation</w:t>
      </w:r>
      <w:r w:rsidR="00CC33B2" w:rsidRPr="00B205C1">
        <w:rPr>
          <w:sz w:val="24"/>
          <w:szCs w:val="24"/>
        </w:rPr>
        <w:t xml:space="preserve"> or on a residential rooftop.  The only distinguishable difference is that AEP Ohio’s proposal would require all customers to support </w:t>
      </w:r>
      <w:r w:rsidR="00A01E51">
        <w:rPr>
          <w:sz w:val="24"/>
          <w:szCs w:val="24"/>
        </w:rPr>
        <w:t>its</w:t>
      </w:r>
      <w:r w:rsidR="00CC33B2" w:rsidRPr="00B205C1">
        <w:rPr>
          <w:sz w:val="24"/>
          <w:szCs w:val="24"/>
        </w:rPr>
        <w:t xml:space="preserve"> proposal through an involuntary line item on their monthly electric bill.</w:t>
      </w:r>
    </w:p>
    <w:p w14:paraId="2DD26C2B" w14:textId="6005E457" w:rsidR="004008E1" w:rsidRPr="00334FFB" w:rsidRDefault="00334FFB" w:rsidP="00334FFB">
      <w:pPr>
        <w:pStyle w:val="ListParagraph"/>
        <w:numPr>
          <w:ilvl w:val="0"/>
          <w:numId w:val="30"/>
        </w:numPr>
        <w:spacing w:line="480" w:lineRule="auto"/>
        <w:jc w:val="both"/>
        <w:rPr>
          <w:b/>
          <w:sz w:val="24"/>
          <w:szCs w:val="24"/>
        </w:rPr>
      </w:pPr>
      <w:r w:rsidRPr="00334FFB">
        <w:rPr>
          <w:b/>
          <w:sz w:val="24"/>
          <w:szCs w:val="24"/>
        </w:rPr>
        <w:t>AEP Ohio’s proposal will cost all customers money</w:t>
      </w:r>
    </w:p>
    <w:p w14:paraId="7674DAB1" w14:textId="6BBDCCD3" w:rsidR="00334FFB" w:rsidRDefault="00334FFB" w:rsidP="00334FFB">
      <w:pPr>
        <w:spacing w:line="480" w:lineRule="auto"/>
        <w:ind w:firstLine="720"/>
        <w:jc w:val="both"/>
        <w:rPr>
          <w:sz w:val="24"/>
          <w:szCs w:val="24"/>
        </w:rPr>
      </w:pPr>
      <w:r>
        <w:rPr>
          <w:sz w:val="24"/>
          <w:szCs w:val="24"/>
        </w:rPr>
        <w:t>AEP Ohio incorrectly alleges its proposal will benefit its customers and the local economy.  AEP Ohio’s claim is based upon (1) an unreliable forecast of market prices; and (2) a one-sided and misguided projection of economic impacts.</w:t>
      </w:r>
      <w:r w:rsidR="00352C81">
        <w:rPr>
          <w:sz w:val="24"/>
          <w:szCs w:val="24"/>
        </w:rPr>
        <w:t xml:space="preserve">  Based upon more reasonable price projections and </w:t>
      </w:r>
      <w:r w:rsidR="006852CF">
        <w:rPr>
          <w:sz w:val="24"/>
          <w:szCs w:val="24"/>
        </w:rPr>
        <w:t xml:space="preserve">a more complete picture, </w:t>
      </w:r>
      <w:proofErr w:type="gramStart"/>
      <w:r w:rsidR="006852CF">
        <w:rPr>
          <w:sz w:val="24"/>
          <w:szCs w:val="24"/>
        </w:rPr>
        <w:t>it is clear that the</w:t>
      </w:r>
      <w:proofErr w:type="gramEnd"/>
      <w:r w:rsidR="006852CF">
        <w:rPr>
          <w:sz w:val="24"/>
          <w:szCs w:val="24"/>
        </w:rPr>
        <w:t xml:space="preserve"> proposal will cost customers over $1</w:t>
      </w:r>
      <w:r w:rsidR="008802E6">
        <w:rPr>
          <w:sz w:val="24"/>
          <w:szCs w:val="24"/>
        </w:rPr>
        <w:t>75</w:t>
      </w:r>
      <w:r w:rsidR="006852CF">
        <w:rPr>
          <w:sz w:val="24"/>
          <w:szCs w:val="24"/>
        </w:rPr>
        <w:t xml:space="preserve"> million within the ESP period</w:t>
      </w:r>
      <w:r w:rsidR="008802E6">
        <w:rPr>
          <w:rStyle w:val="FootnoteReference"/>
          <w:sz w:val="24"/>
          <w:szCs w:val="24"/>
        </w:rPr>
        <w:footnoteReference w:id="59"/>
      </w:r>
      <w:r w:rsidR="006852CF">
        <w:rPr>
          <w:sz w:val="24"/>
          <w:szCs w:val="24"/>
        </w:rPr>
        <w:t xml:space="preserve"> and discourage economic development within the state of Ohio.</w:t>
      </w:r>
      <w:r>
        <w:rPr>
          <w:sz w:val="24"/>
          <w:szCs w:val="24"/>
        </w:rPr>
        <w:t xml:space="preserve">  </w:t>
      </w:r>
    </w:p>
    <w:p w14:paraId="4685D289" w14:textId="298937C4" w:rsidR="00AA4F90" w:rsidRPr="00AA4F90" w:rsidRDefault="001E2F77" w:rsidP="006852CF">
      <w:pPr>
        <w:pStyle w:val="ListParagraph"/>
        <w:numPr>
          <w:ilvl w:val="1"/>
          <w:numId w:val="25"/>
        </w:numPr>
        <w:spacing w:line="240" w:lineRule="auto"/>
        <w:jc w:val="both"/>
        <w:rPr>
          <w:sz w:val="24"/>
          <w:szCs w:val="24"/>
        </w:rPr>
      </w:pPr>
      <w:r>
        <w:rPr>
          <w:b/>
          <w:sz w:val="24"/>
          <w:szCs w:val="24"/>
        </w:rPr>
        <w:t xml:space="preserve">AEP Ohio’s </w:t>
      </w:r>
      <w:r w:rsidR="00AA4F90">
        <w:rPr>
          <w:b/>
          <w:sz w:val="24"/>
          <w:szCs w:val="24"/>
        </w:rPr>
        <w:t>alleged locational marginal price suppression benefits are illusory</w:t>
      </w:r>
    </w:p>
    <w:p w14:paraId="04D2DB30" w14:textId="6AE2E44A" w:rsidR="001E2F77" w:rsidRDefault="00AA4F90" w:rsidP="00AA4F90">
      <w:pPr>
        <w:spacing w:line="480" w:lineRule="auto"/>
        <w:ind w:firstLine="720"/>
        <w:jc w:val="both"/>
        <w:rPr>
          <w:sz w:val="24"/>
          <w:szCs w:val="24"/>
        </w:rPr>
      </w:pPr>
      <w:r>
        <w:rPr>
          <w:sz w:val="24"/>
          <w:szCs w:val="24"/>
        </w:rPr>
        <w:t xml:space="preserve">AEP Ohio alleges that witnesses </w:t>
      </w:r>
      <w:proofErr w:type="spellStart"/>
      <w:r>
        <w:rPr>
          <w:sz w:val="24"/>
          <w:szCs w:val="24"/>
        </w:rPr>
        <w:t>Torpey</w:t>
      </w:r>
      <w:proofErr w:type="spellEnd"/>
      <w:r>
        <w:rPr>
          <w:sz w:val="24"/>
          <w:szCs w:val="24"/>
        </w:rPr>
        <w:t xml:space="preserve"> and Ali demonstrated that the introduction of zero-dispatch cost resources into the wholesale energy market will suppress locational marginal prices (“LMPs”)</w:t>
      </w:r>
      <w:r w:rsidR="005334A0">
        <w:rPr>
          <w:sz w:val="24"/>
          <w:szCs w:val="24"/>
        </w:rPr>
        <w:t xml:space="preserve"> and therefore reduce the rates that all customers pay.</w:t>
      </w:r>
      <w:r w:rsidR="00E63213">
        <w:rPr>
          <w:rStyle w:val="FootnoteReference"/>
          <w:sz w:val="24"/>
          <w:szCs w:val="24"/>
        </w:rPr>
        <w:footnoteReference w:id="60"/>
      </w:r>
      <w:r w:rsidR="003D16B1">
        <w:rPr>
          <w:sz w:val="24"/>
          <w:szCs w:val="24"/>
        </w:rPr>
        <w:t xml:space="preserve">  Other parties parrot this argument. </w:t>
      </w:r>
      <w:r w:rsidR="005334A0">
        <w:rPr>
          <w:sz w:val="24"/>
          <w:szCs w:val="24"/>
        </w:rPr>
        <w:t xml:space="preserve"> As IGS identified in its Initial Brief, AEP Ohio only tells half of the story, leaving out the additional costs that its proposal would place on </w:t>
      </w:r>
      <w:r w:rsidR="00A65061">
        <w:rPr>
          <w:sz w:val="24"/>
          <w:szCs w:val="24"/>
        </w:rPr>
        <w:t>all customers.</w:t>
      </w:r>
      <w:r w:rsidR="003D16B1">
        <w:rPr>
          <w:rStyle w:val="FootnoteReference"/>
          <w:sz w:val="24"/>
          <w:szCs w:val="24"/>
        </w:rPr>
        <w:footnoteReference w:id="61"/>
      </w:r>
    </w:p>
    <w:p w14:paraId="78226E24" w14:textId="3CE4C65E" w:rsidR="00A65061" w:rsidRPr="00AA4F90" w:rsidRDefault="00A65061" w:rsidP="000E49F5">
      <w:pPr>
        <w:spacing w:line="480" w:lineRule="auto"/>
        <w:ind w:firstLine="720"/>
        <w:jc w:val="both"/>
        <w:rPr>
          <w:sz w:val="24"/>
          <w:szCs w:val="24"/>
        </w:rPr>
      </w:pPr>
      <w:r>
        <w:rPr>
          <w:sz w:val="24"/>
          <w:szCs w:val="24"/>
        </w:rPr>
        <w:t>PJM has already identified</w:t>
      </w:r>
      <w:r w:rsidR="00B754D8">
        <w:rPr>
          <w:sz w:val="24"/>
          <w:szCs w:val="24"/>
        </w:rPr>
        <w:t xml:space="preserve"> that</w:t>
      </w:r>
      <w:r w:rsidR="00A92A9D">
        <w:rPr>
          <w:sz w:val="24"/>
          <w:szCs w:val="24"/>
        </w:rPr>
        <w:t xml:space="preserve"> large installations of</w:t>
      </w:r>
      <w:r>
        <w:rPr>
          <w:sz w:val="24"/>
          <w:szCs w:val="24"/>
        </w:rPr>
        <w:t xml:space="preserve"> </w:t>
      </w:r>
      <w:r w:rsidR="006401B6">
        <w:rPr>
          <w:sz w:val="24"/>
          <w:szCs w:val="24"/>
        </w:rPr>
        <w:t xml:space="preserve">renewable </w:t>
      </w:r>
      <w:r w:rsidR="006401B6" w:rsidRPr="006401B6">
        <w:rPr>
          <w:sz w:val="24"/>
          <w:szCs w:val="24"/>
        </w:rPr>
        <w:t>resource</w:t>
      </w:r>
      <w:r w:rsidR="00A92A9D">
        <w:rPr>
          <w:sz w:val="24"/>
          <w:szCs w:val="24"/>
        </w:rPr>
        <w:t xml:space="preserve"> </w:t>
      </w:r>
      <w:r w:rsidR="00B754D8">
        <w:rPr>
          <w:sz w:val="24"/>
          <w:szCs w:val="24"/>
        </w:rPr>
        <w:t xml:space="preserve">may </w:t>
      </w:r>
      <w:r w:rsidR="006401B6" w:rsidRPr="006401B6">
        <w:rPr>
          <w:sz w:val="24"/>
          <w:szCs w:val="24"/>
        </w:rPr>
        <w:t>cause other external costs, which</w:t>
      </w:r>
      <w:r w:rsidR="00A92A9D">
        <w:rPr>
          <w:sz w:val="24"/>
          <w:szCs w:val="24"/>
        </w:rPr>
        <w:t xml:space="preserve"> </w:t>
      </w:r>
      <w:r w:rsidR="006401B6" w:rsidRPr="006401B6">
        <w:rPr>
          <w:sz w:val="24"/>
          <w:szCs w:val="24"/>
        </w:rPr>
        <w:t>may outweigh the price suppressive impacts of the resources</w:t>
      </w:r>
      <w:r w:rsidR="00A92A9D">
        <w:rPr>
          <w:sz w:val="24"/>
          <w:szCs w:val="24"/>
        </w:rPr>
        <w:t>.</w:t>
      </w:r>
      <w:r w:rsidR="00974C6F">
        <w:rPr>
          <w:rStyle w:val="FootnoteReference"/>
          <w:sz w:val="24"/>
          <w:szCs w:val="24"/>
        </w:rPr>
        <w:footnoteReference w:id="62"/>
      </w:r>
      <w:r w:rsidR="00B754D8">
        <w:rPr>
          <w:sz w:val="24"/>
          <w:szCs w:val="24"/>
        </w:rPr>
        <w:t xml:space="preserve">  </w:t>
      </w:r>
      <w:r w:rsidR="0009102C" w:rsidRPr="0009102C">
        <w:rPr>
          <w:sz w:val="24"/>
          <w:szCs w:val="24"/>
        </w:rPr>
        <w:t xml:space="preserve">PJM concluded that </w:t>
      </w:r>
      <w:r w:rsidR="00974C6F">
        <w:rPr>
          <w:sz w:val="24"/>
          <w:szCs w:val="24"/>
        </w:rPr>
        <w:t>“</w:t>
      </w:r>
      <w:r w:rsidR="0009102C" w:rsidRPr="0009102C">
        <w:rPr>
          <w:sz w:val="24"/>
          <w:szCs w:val="24"/>
        </w:rPr>
        <w:t>[w]</w:t>
      </w:r>
      <w:proofErr w:type="spellStart"/>
      <w:r w:rsidR="0009102C" w:rsidRPr="0009102C">
        <w:rPr>
          <w:sz w:val="24"/>
          <w:szCs w:val="24"/>
        </w:rPr>
        <w:t>ith</w:t>
      </w:r>
      <w:proofErr w:type="spellEnd"/>
      <w:r w:rsidR="0009102C" w:rsidRPr="0009102C">
        <w:rPr>
          <w:sz w:val="24"/>
          <w:szCs w:val="24"/>
        </w:rPr>
        <w:t xml:space="preserve"> increasing levels of wind</w:t>
      </w:r>
      <w:r w:rsidR="0009102C">
        <w:rPr>
          <w:sz w:val="24"/>
          <w:szCs w:val="24"/>
        </w:rPr>
        <w:t xml:space="preserve"> </w:t>
      </w:r>
      <w:r w:rsidR="0009102C" w:rsidRPr="0009102C">
        <w:rPr>
          <w:sz w:val="24"/>
          <w:szCs w:val="24"/>
        </w:rPr>
        <w:t>and solar generation, it will be necessary for PJM to carry higher levels of reserves to</w:t>
      </w:r>
      <w:r w:rsidR="0009102C">
        <w:rPr>
          <w:sz w:val="24"/>
          <w:szCs w:val="24"/>
        </w:rPr>
        <w:t xml:space="preserve"> </w:t>
      </w:r>
      <w:r w:rsidR="0009102C" w:rsidRPr="0009102C">
        <w:rPr>
          <w:sz w:val="24"/>
          <w:szCs w:val="24"/>
        </w:rPr>
        <w:t>respond to the inherent variability and uncertainty in the output of those resources</w:t>
      </w:r>
      <w:r w:rsidR="0009102C">
        <w:rPr>
          <w:sz w:val="24"/>
          <w:szCs w:val="24"/>
        </w:rPr>
        <w:t>.”</w:t>
      </w:r>
      <w:r w:rsidR="003A2B2C">
        <w:rPr>
          <w:rStyle w:val="FootnoteReference"/>
          <w:sz w:val="24"/>
          <w:szCs w:val="24"/>
        </w:rPr>
        <w:footnoteReference w:id="63"/>
      </w:r>
      <w:r w:rsidR="003A2B2C">
        <w:rPr>
          <w:sz w:val="24"/>
          <w:szCs w:val="24"/>
        </w:rPr>
        <w:t xml:space="preserve">  </w:t>
      </w:r>
      <w:r w:rsidR="005612B5">
        <w:rPr>
          <w:sz w:val="24"/>
          <w:szCs w:val="24"/>
        </w:rPr>
        <w:t>T</w:t>
      </w:r>
      <w:r w:rsidR="003A2B2C">
        <w:rPr>
          <w:sz w:val="24"/>
          <w:szCs w:val="24"/>
        </w:rPr>
        <w:t>he cost of these services</w:t>
      </w:r>
      <w:r w:rsidR="005612B5">
        <w:rPr>
          <w:sz w:val="24"/>
          <w:szCs w:val="24"/>
        </w:rPr>
        <w:t xml:space="preserve"> are recovered from all load serving entities.</w:t>
      </w:r>
      <w:r w:rsidR="00733C9F">
        <w:rPr>
          <w:rStyle w:val="FootnoteReference"/>
          <w:sz w:val="24"/>
          <w:szCs w:val="24"/>
        </w:rPr>
        <w:footnoteReference w:id="64"/>
      </w:r>
      <w:r w:rsidR="005612B5">
        <w:rPr>
          <w:sz w:val="24"/>
          <w:szCs w:val="24"/>
        </w:rPr>
        <w:t xml:space="preserve">  Because the costs</w:t>
      </w:r>
      <w:r w:rsidR="000E49F5">
        <w:rPr>
          <w:sz w:val="24"/>
          <w:szCs w:val="24"/>
        </w:rPr>
        <w:t xml:space="preserve"> related to these services</w:t>
      </w:r>
      <w:r w:rsidR="003A2B2C">
        <w:rPr>
          <w:sz w:val="24"/>
          <w:szCs w:val="24"/>
        </w:rPr>
        <w:t xml:space="preserve"> </w:t>
      </w:r>
      <w:r w:rsidR="00813100">
        <w:rPr>
          <w:sz w:val="24"/>
          <w:szCs w:val="24"/>
        </w:rPr>
        <w:t>cannot be predicted or hedged</w:t>
      </w:r>
      <w:r w:rsidR="005612B5">
        <w:rPr>
          <w:sz w:val="24"/>
          <w:szCs w:val="24"/>
        </w:rPr>
        <w:t>, load serving entities mu</w:t>
      </w:r>
      <w:r w:rsidR="000E49F5">
        <w:rPr>
          <w:sz w:val="24"/>
          <w:szCs w:val="24"/>
        </w:rPr>
        <w:t xml:space="preserve">st include a risk premium in their retail rates.  The attendant costs and related risk premium may outweigh the price suppressive impacts alleged by AEP Ohio.  Therefore, the Commission should </w:t>
      </w:r>
      <w:r w:rsidR="00352C81">
        <w:rPr>
          <w:sz w:val="24"/>
          <w:szCs w:val="24"/>
        </w:rPr>
        <w:t>give no weight to AEP Ohio’s alleged LMP price suppression benefit of $31 million on a net present value basis.</w:t>
      </w:r>
    </w:p>
    <w:p w14:paraId="337AB8C4" w14:textId="1822A9A5" w:rsidR="00E123A8" w:rsidRPr="00334FFB" w:rsidRDefault="00334FFB" w:rsidP="00334FFB">
      <w:pPr>
        <w:pStyle w:val="ListParagraph"/>
        <w:numPr>
          <w:ilvl w:val="1"/>
          <w:numId w:val="25"/>
        </w:numPr>
        <w:spacing w:line="480" w:lineRule="auto"/>
        <w:jc w:val="both"/>
        <w:rPr>
          <w:sz w:val="24"/>
          <w:szCs w:val="24"/>
        </w:rPr>
      </w:pPr>
      <w:r>
        <w:rPr>
          <w:b/>
          <w:sz w:val="24"/>
          <w:szCs w:val="24"/>
        </w:rPr>
        <w:t>AEP Ohio’s projection of market prices is not reliable</w:t>
      </w:r>
    </w:p>
    <w:p w14:paraId="339714AD" w14:textId="2148C96D" w:rsidR="00EA1FA5" w:rsidRDefault="00EA1FA5" w:rsidP="00EA1FA5">
      <w:pPr>
        <w:spacing w:line="480" w:lineRule="auto"/>
        <w:ind w:firstLine="720"/>
        <w:jc w:val="both"/>
        <w:rPr>
          <w:sz w:val="24"/>
          <w:szCs w:val="24"/>
        </w:rPr>
      </w:pPr>
      <w:r>
        <w:rPr>
          <w:sz w:val="24"/>
          <w:szCs w:val="24"/>
        </w:rPr>
        <w:t xml:space="preserve">AEP Ohio’s projection of the price impacts of the proposed renewable facilities is based upon the fundamentals forecast created by AEP Ohio witness Karl </w:t>
      </w:r>
      <w:proofErr w:type="spellStart"/>
      <w:r>
        <w:rPr>
          <w:sz w:val="24"/>
          <w:szCs w:val="24"/>
        </w:rPr>
        <w:t>Bletzacker</w:t>
      </w:r>
      <w:proofErr w:type="spellEnd"/>
      <w:r>
        <w:rPr>
          <w:sz w:val="24"/>
          <w:szCs w:val="24"/>
        </w:rPr>
        <w:t>.</w:t>
      </w:r>
      <w:r w:rsidR="00734970">
        <w:rPr>
          <w:rStyle w:val="FootnoteReference"/>
          <w:sz w:val="24"/>
          <w:szCs w:val="24"/>
        </w:rPr>
        <w:footnoteReference w:id="65"/>
      </w:r>
      <w:r>
        <w:rPr>
          <w:sz w:val="24"/>
          <w:szCs w:val="24"/>
        </w:rPr>
        <w:t xml:space="preserve">  IGS’ initial brief proactively identified the major flaws in Mr. </w:t>
      </w:r>
      <w:proofErr w:type="spellStart"/>
      <w:r>
        <w:rPr>
          <w:sz w:val="24"/>
          <w:szCs w:val="24"/>
        </w:rPr>
        <w:t>Blatzacker’s</w:t>
      </w:r>
      <w:proofErr w:type="spellEnd"/>
      <w:r>
        <w:rPr>
          <w:sz w:val="24"/>
          <w:szCs w:val="24"/>
        </w:rPr>
        <w:t xml:space="preserve"> forecast; therefore, IGS will briefly respond to a few of the more egregious points in AEP Ohio’s initial brief.</w:t>
      </w:r>
      <w:r w:rsidR="002F64EA">
        <w:rPr>
          <w:rStyle w:val="FootnoteReference"/>
          <w:sz w:val="24"/>
          <w:szCs w:val="24"/>
        </w:rPr>
        <w:footnoteReference w:id="66"/>
      </w:r>
      <w:r>
        <w:rPr>
          <w:sz w:val="24"/>
          <w:szCs w:val="24"/>
        </w:rPr>
        <w:t xml:space="preserve"> </w:t>
      </w:r>
    </w:p>
    <w:p w14:paraId="0476BF88" w14:textId="46CCF436" w:rsidR="00243CA9" w:rsidRDefault="00EA1FA5" w:rsidP="00243CA9">
      <w:pPr>
        <w:spacing w:line="480" w:lineRule="auto"/>
        <w:ind w:firstLine="720"/>
        <w:jc w:val="both"/>
        <w:rPr>
          <w:sz w:val="24"/>
          <w:szCs w:val="24"/>
        </w:rPr>
      </w:pPr>
      <w:r>
        <w:rPr>
          <w:sz w:val="24"/>
          <w:szCs w:val="24"/>
        </w:rPr>
        <w:t>AEP Ohio alleges that it has provided the only forecast in the record, stating that “</w:t>
      </w:r>
      <w:r w:rsidRPr="00EA1FA5">
        <w:rPr>
          <w:sz w:val="24"/>
          <w:szCs w:val="24"/>
        </w:rPr>
        <w:t>Mr. Leanza acknowledged that he is not offering, and has not prepared, his own forecast</w:t>
      </w:r>
      <w:r>
        <w:rPr>
          <w:sz w:val="24"/>
          <w:szCs w:val="24"/>
        </w:rPr>
        <w:t>.”</w:t>
      </w:r>
      <w:r w:rsidR="006D3112">
        <w:rPr>
          <w:rStyle w:val="FootnoteReference"/>
          <w:sz w:val="24"/>
          <w:szCs w:val="24"/>
        </w:rPr>
        <w:footnoteReference w:id="67"/>
      </w:r>
      <w:r>
        <w:rPr>
          <w:sz w:val="24"/>
          <w:szCs w:val="24"/>
        </w:rPr>
        <w:t xml:space="preserve"> </w:t>
      </w:r>
      <w:r w:rsidR="00243CA9">
        <w:rPr>
          <w:sz w:val="24"/>
          <w:szCs w:val="24"/>
        </w:rPr>
        <w:t xml:space="preserve"> </w:t>
      </w:r>
      <w:r>
        <w:rPr>
          <w:sz w:val="24"/>
          <w:szCs w:val="24"/>
        </w:rPr>
        <w:t xml:space="preserve">AEP Ohio further alleged that </w:t>
      </w:r>
      <w:r w:rsidR="00243CA9">
        <w:rPr>
          <w:sz w:val="24"/>
          <w:szCs w:val="24"/>
        </w:rPr>
        <w:t>natural gas futures do not provide an a</w:t>
      </w:r>
      <w:r>
        <w:rPr>
          <w:sz w:val="24"/>
          <w:szCs w:val="24"/>
        </w:rPr>
        <w:t>ccurate predictor of actual future market prices</w:t>
      </w:r>
      <w:r w:rsidR="00243CA9">
        <w:rPr>
          <w:sz w:val="24"/>
          <w:szCs w:val="24"/>
        </w:rPr>
        <w:t>.</w:t>
      </w:r>
      <w:r w:rsidR="001F08A8">
        <w:rPr>
          <w:rStyle w:val="FootnoteReference"/>
          <w:sz w:val="24"/>
          <w:szCs w:val="24"/>
        </w:rPr>
        <w:footnoteReference w:id="68"/>
      </w:r>
      <w:r w:rsidR="00243CA9">
        <w:rPr>
          <w:sz w:val="24"/>
          <w:szCs w:val="24"/>
        </w:rPr>
        <w:t xml:space="preserve">  AEP Ohio claims that futures are not liquid after a few years,</w:t>
      </w:r>
      <w:r>
        <w:rPr>
          <w:sz w:val="24"/>
          <w:szCs w:val="24"/>
        </w:rPr>
        <w:t xml:space="preserve"> and the Commission reached th</w:t>
      </w:r>
      <w:r w:rsidR="00243CA9">
        <w:rPr>
          <w:sz w:val="24"/>
          <w:szCs w:val="24"/>
        </w:rPr>
        <w:t>is</w:t>
      </w:r>
      <w:r>
        <w:rPr>
          <w:sz w:val="24"/>
          <w:szCs w:val="24"/>
        </w:rPr>
        <w:t xml:space="preserve"> same conclusion in AEP Ohio’s purchased power case.</w:t>
      </w:r>
      <w:r w:rsidR="00CB576D">
        <w:rPr>
          <w:rStyle w:val="FootnoteReference"/>
          <w:sz w:val="24"/>
          <w:szCs w:val="24"/>
        </w:rPr>
        <w:footnoteReference w:id="69"/>
      </w:r>
      <w:r w:rsidR="00243CA9">
        <w:rPr>
          <w:sz w:val="24"/>
          <w:szCs w:val="24"/>
        </w:rPr>
        <w:t xml:space="preserve">  Mr. Leanza proactively addressed each of these points.</w:t>
      </w:r>
    </w:p>
    <w:p w14:paraId="79B22AA3" w14:textId="23F89DB2" w:rsidR="00243CA9" w:rsidRDefault="005958C1" w:rsidP="00FD6657">
      <w:pPr>
        <w:spacing w:line="480" w:lineRule="auto"/>
        <w:ind w:firstLine="720"/>
        <w:jc w:val="both"/>
        <w:rPr>
          <w:sz w:val="24"/>
          <w:szCs w:val="24"/>
        </w:rPr>
      </w:pPr>
      <w:r>
        <w:rPr>
          <w:sz w:val="24"/>
          <w:szCs w:val="24"/>
        </w:rPr>
        <w:t xml:space="preserve">Contrary to AEP Ohio’s claim, </w:t>
      </w:r>
      <w:r w:rsidR="00243CA9">
        <w:rPr>
          <w:sz w:val="24"/>
          <w:szCs w:val="24"/>
        </w:rPr>
        <w:t xml:space="preserve">Mr. Leanza testified that there is liquidity on CME </w:t>
      </w:r>
      <w:r w:rsidR="002279DB">
        <w:rPr>
          <w:sz w:val="24"/>
          <w:szCs w:val="24"/>
        </w:rPr>
        <w:t xml:space="preserve">Group </w:t>
      </w:r>
      <w:r w:rsidR="00243CA9">
        <w:rPr>
          <w:sz w:val="24"/>
          <w:szCs w:val="24"/>
        </w:rPr>
        <w:t>through 2024</w:t>
      </w:r>
      <w:r w:rsidR="009D4721">
        <w:rPr>
          <w:sz w:val="24"/>
          <w:szCs w:val="24"/>
        </w:rPr>
        <w:t>.</w:t>
      </w:r>
      <w:r w:rsidR="0062640B">
        <w:rPr>
          <w:rStyle w:val="FootnoteReference"/>
          <w:sz w:val="24"/>
          <w:szCs w:val="24"/>
        </w:rPr>
        <w:footnoteReference w:id="70"/>
      </w:r>
      <w:r w:rsidR="009D4721">
        <w:rPr>
          <w:sz w:val="24"/>
          <w:szCs w:val="24"/>
        </w:rPr>
        <w:t xml:space="preserve">  Thus, there are actual prices available within the </w:t>
      </w:r>
      <w:proofErr w:type="gramStart"/>
      <w:r w:rsidR="00243CA9">
        <w:rPr>
          <w:sz w:val="24"/>
          <w:szCs w:val="24"/>
        </w:rPr>
        <w:t>time period</w:t>
      </w:r>
      <w:proofErr w:type="gramEnd"/>
      <w:r w:rsidR="00243CA9">
        <w:rPr>
          <w:sz w:val="24"/>
          <w:szCs w:val="24"/>
        </w:rPr>
        <w:t xml:space="preserve"> </w:t>
      </w:r>
      <w:r w:rsidR="0062640B">
        <w:rPr>
          <w:sz w:val="24"/>
          <w:szCs w:val="24"/>
        </w:rPr>
        <w:t>that</w:t>
      </w:r>
      <w:r w:rsidR="009D4721">
        <w:rPr>
          <w:sz w:val="24"/>
          <w:szCs w:val="24"/>
        </w:rPr>
        <w:t xml:space="preserve"> corresponds with</w:t>
      </w:r>
      <w:r w:rsidR="00243CA9">
        <w:rPr>
          <w:sz w:val="24"/>
          <w:szCs w:val="24"/>
        </w:rPr>
        <w:t xml:space="preserve"> the current ESP.  Moreover,</w:t>
      </w:r>
      <w:r w:rsidR="0062640B">
        <w:rPr>
          <w:sz w:val="24"/>
          <w:szCs w:val="24"/>
        </w:rPr>
        <w:t xml:space="preserve"> after 2024, there are considerable transactions that take place “</w:t>
      </w:r>
      <w:r w:rsidR="0062640B" w:rsidRPr="0062640B">
        <w:rPr>
          <w:sz w:val="24"/>
          <w:szCs w:val="24"/>
        </w:rPr>
        <w:t>on ICE</w:t>
      </w:r>
      <w:r w:rsidR="0062640B">
        <w:rPr>
          <w:sz w:val="24"/>
          <w:szCs w:val="24"/>
        </w:rPr>
        <w:t xml:space="preserve"> [Intercontinental Exchange]</w:t>
      </w:r>
      <w:r w:rsidR="0062640B" w:rsidRPr="0062640B">
        <w:rPr>
          <w:sz w:val="24"/>
          <w:szCs w:val="24"/>
        </w:rPr>
        <w:t xml:space="preserve"> or in the broker market or other liquid markets</w:t>
      </w:r>
      <w:r w:rsidR="0062640B">
        <w:rPr>
          <w:sz w:val="24"/>
          <w:szCs w:val="24"/>
        </w:rPr>
        <w:t>.”</w:t>
      </w:r>
      <w:r w:rsidR="0062640B">
        <w:rPr>
          <w:rStyle w:val="FootnoteReference"/>
          <w:sz w:val="24"/>
          <w:szCs w:val="24"/>
        </w:rPr>
        <w:footnoteReference w:id="71"/>
      </w:r>
    </w:p>
    <w:p w14:paraId="7A884DCB" w14:textId="280E0518" w:rsidR="00EA1FA5" w:rsidRDefault="005958C1" w:rsidP="00EA1FA5">
      <w:pPr>
        <w:spacing w:line="480" w:lineRule="auto"/>
        <w:ind w:firstLine="720"/>
        <w:jc w:val="both"/>
        <w:rPr>
          <w:sz w:val="24"/>
          <w:szCs w:val="24"/>
        </w:rPr>
      </w:pPr>
      <w:r>
        <w:rPr>
          <w:sz w:val="24"/>
          <w:szCs w:val="24"/>
        </w:rPr>
        <w:t>Moreover, a</w:t>
      </w:r>
      <w:r w:rsidR="00EA1FA5">
        <w:rPr>
          <w:sz w:val="24"/>
          <w:szCs w:val="24"/>
        </w:rPr>
        <w:t>s Mr. Leanza testified, over the last several years, NYMEX futures transactions have done a much better job at predicting future prices than AEP Ohio’s fundamental forecast</w:t>
      </w:r>
      <w:r w:rsidR="00F83E24">
        <w:rPr>
          <w:sz w:val="24"/>
          <w:szCs w:val="24"/>
        </w:rPr>
        <w:t>.</w:t>
      </w:r>
      <w:r w:rsidR="00F83E24">
        <w:rPr>
          <w:rStyle w:val="FootnoteReference"/>
          <w:sz w:val="24"/>
          <w:szCs w:val="24"/>
        </w:rPr>
        <w:footnoteReference w:id="72"/>
      </w:r>
    </w:p>
    <w:p w14:paraId="32F34468" w14:textId="4C4C941B" w:rsidR="00EA1FA5" w:rsidRDefault="00EA1FA5" w:rsidP="00EA1FA5">
      <w:pPr>
        <w:spacing w:line="480" w:lineRule="auto"/>
        <w:jc w:val="both"/>
        <w:rPr>
          <w:sz w:val="24"/>
          <w:szCs w:val="24"/>
        </w:rPr>
      </w:pPr>
      <w:r w:rsidRPr="00EA1FA5">
        <w:rPr>
          <w:noProof/>
          <w:sz w:val="24"/>
          <w:szCs w:val="24"/>
        </w:rPr>
        <w:drawing>
          <wp:inline distT="0" distB="0" distL="0" distR="0" wp14:anchorId="7D074C48" wp14:editId="6BB97554">
            <wp:extent cx="5943600" cy="337823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78232"/>
                    </a:xfrm>
                    <a:prstGeom prst="rect">
                      <a:avLst/>
                    </a:prstGeom>
                    <a:noFill/>
                    <a:ln>
                      <a:noFill/>
                    </a:ln>
                  </pic:spPr>
                </pic:pic>
              </a:graphicData>
            </a:graphic>
          </wp:inline>
        </w:drawing>
      </w:r>
    </w:p>
    <w:p w14:paraId="63EC1F48" w14:textId="59F8B4DE" w:rsidR="00F83E24" w:rsidRDefault="005958C1" w:rsidP="00F83E24">
      <w:pPr>
        <w:spacing w:line="480" w:lineRule="auto"/>
        <w:jc w:val="both"/>
        <w:rPr>
          <w:sz w:val="24"/>
          <w:szCs w:val="24"/>
        </w:rPr>
      </w:pPr>
      <w:r>
        <w:rPr>
          <w:sz w:val="24"/>
          <w:szCs w:val="24"/>
        </w:rPr>
        <w:t xml:space="preserve">In retrospect, these facts are laid bare. In the PPA case, </w:t>
      </w:r>
      <w:r w:rsidR="00F83E24">
        <w:rPr>
          <w:sz w:val="24"/>
          <w:szCs w:val="24"/>
        </w:rPr>
        <w:t xml:space="preserve">based upon the fundamental forecast provided by witness </w:t>
      </w:r>
      <w:proofErr w:type="spellStart"/>
      <w:r w:rsidR="00F83E24">
        <w:rPr>
          <w:sz w:val="24"/>
          <w:szCs w:val="24"/>
        </w:rPr>
        <w:t>Bletzacker</w:t>
      </w:r>
      <w:proofErr w:type="spellEnd"/>
      <w:r w:rsidR="00F83E24">
        <w:rPr>
          <w:sz w:val="24"/>
          <w:szCs w:val="24"/>
        </w:rPr>
        <w:t xml:space="preserve"> in the PPA case, AEP Ohio alleged that the PPA rider would provide “</w:t>
      </w:r>
      <w:r w:rsidR="00F83E24" w:rsidRPr="00F83E24">
        <w:rPr>
          <w:sz w:val="24"/>
          <w:szCs w:val="24"/>
        </w:rPr>
        <w:t>a net credit of $721 mi</w:t>
      </w:r>
      <w:r w:rsidR="00F83E24">
        <w:rPr>
          <w:sz w:val="24"/>
          <w:szCs w:val="24"/>
        </w:rPr>
        <w:t>llion.”</w:t>
      </w:r>
      <w:r w:rsidR="00F83E24">
        <w:rPr>
          <w:rStyle w:val="FootnoteReference"/>
          <w:sz w:val="24"/>
          <w:szCs w:val="24"/>
        </w:rPr>
        <w:footnoteReference w:id="73"/>
      </w:r>
      <w:r w:rsidR="00F83E24">
        <w:rPr>
          <w:sz w:val="24"/>
          <w:szCs w:val="24"/>
        </w:rPr>
        <w:t xml:space="preserve"> </w:t>
      </w:r>
      <w:r>
        <w:rPr>
          <w:sz w:val="24"/>
          <w:szCs w:val="24"/>
        </w:rPr>
        <w:t xml:space="preserve"> </w:t>
      </w:r>
      <w:r w:rsidR="00F83E24">
        <w:rPr>
          <w:sz w:val="24"/>
          <w:szCs w:val="24"/>
        </w:rPr>
        <w:t>After the Federal Energy Regulatory Commission (“FERC”) intervened and prevented the PPA from going into effect, AEP Ohio’s generation resources wer</w:t>
      </w:r>
      <w:r>
        <w:rPr>
          <w:sz w:val="24"/>
          <w:szCs w:val="24"/>
        </w:rPr>
        <w:t>e required to participate directly in the competitive market</w:t>
      </w:r>
      <w:r w:rsidR="00F83E24">
        <w:rPr>
          <w:sz w:val="24"/>
          <w:szCs w:val="24"/>
        </w:rPr>
        <w:t xml:space="preserve">. </w:t>
      </w:r>
      <w:r>
        <w:rPr>
          <w:sz w:val="24"/>
          <w:szCs w:val="24"/>
        </w:rPr>
        <w:t xml:space="preserve"> </w:t>
      </w:r>
      <w:r w:rsidR="008C1E23">
        <w:rPr>
          <w:sz w:val="24"/>
          <w:szCs w:val="24"/>
        </w:rPr>
        <w:t>Because “</w:t>
      </w:r>
      <w:r w:rsidR="00F83E24" w:rsidRPr="00F83E24">
        <w:rPr>
          <w:sz w:val="24"/>
          <w:szCs w:val="24"/>
        </w:rPr>
        <w:t>AEP’s forecasting of commodity prices was s</w:t>
      </w:r>
      <w:r w:rsidR="00F83E24">
        <w:rPr>
          <w:sz w:val="24"/>
          <w:szCs w:val="24"/>
        </w:rPr>
        <w:t>o</w:t>
      </w:r>
      <w:r w:rsidR="00F83E24" w:rsidRPr="00F83E24">
        <w:rPr>
          <w:sz w:val="24"/>
          <w:szCs w:val="24"/>
        </w:rPr>
        <w:t xml:space="preserve"> far out of touch with reality that approximately months after Mr. </w:t>
      </w:r>
      <w:proofErr w:type="spellStart"/>
      <w:r w:rsidR="00F83E24" w:rsidRPr="00F83E24">
        <w:rPr>
          <w:sz w:val="24"/>
          <w:szCs w:val="24"/>
        </w:rPr>
        <w:t>Bletzacker’s</w:t>
      </w:r>
      <w:proofErr w:type="spellEnd"/>
      <w:r w:rsidR="00F83E24">
        <w:rPr>
          <w:sz w:val="24"/>
          <w:szCs w:val="24"/>
        </w:rPr>
        <w:t xml:space="preserve"> </w:t>
      </w:r>
      <w:r w:rsidR="00F83E24" w:rsidRPr="00F83E24">
        <w:rPr>
          <w:sz w:val="24"/>
          <w:szCs w:val="24"/>
        </w:rPr>
        <w:t>forecasting testimony, AEP took an economic impairment of $2.3 Billio</w:t>
      </w:r>
      <w:r w:rsidR="00F83E24">
        <w:rPr>
          <w:sz w:val="24"/>
          <w:szCs w:val="24"/>
        </w:rPr>
        <w:t>n</w:t>
      </w:r>
      <w:r w:rsidR="008C1E23">
        <w:rPr>
          <w:sz w:val="24"/>
          <w:szCs w:val="24"/>
        </w:rPr>
        <w:t xml:space="preserve"> . . . ”</w:t>
      </w:r>
      <w:r w:rsidR="0062640B">
        <w:rPr>
          <w:rStyle w:val="FootnoteReference"/>
          <w:sz w:val="24"/>
          <w:szCs w:val="24"/>
        </w:rPr>
        <w:footnoteReference w:id="74"/>
      </w:r>
      <w:r w:rsidR="0062640B">
        <w:rPr>
          <w:sz w:val="24"/>
          <w:szCs w:val="24"/>
        </w:rPr>
        <w:t xml:space="preserve">  A</w:t>
      </w:r>
      <w:r w:rsidR="0082223D">
        <w:rPr>
          <w:sz w:val="24"/>
          <w:szCs w:val="24"/>
        </w:rPr>
        <w:t>merican Electric Power’s</w:t>
      </w:r>
      <w:r w:rsidR="0062640B">
        <w:rPr>
          <w:sz w:val="24"/>
          <w:szCs w:val="24"/>
        </w:rPr>
        <w:t xml:space="preserve"> 8</w:t>
      </w:r>
      <w:r w:rsidR="0082223D">
        <w:rPr>
          <w:sz w:val="24"/>
          <w:szCs w:val="24"/>
        </w:rPr>
        <w:t>K</w:t>
      </w:r>
      <w:r w:rsidR="0062640B">
        <w:rPr>
          <w:sz w:val="24"/>
          <w:szCs w:val="24"/>
        </w:rPr>
        <w:t xml:space="preserve"> reveals that it</w:t>
      </w:r>
      <w:r w:rsidR="0082223D">
        <w:rPr>
          <w:sz w:val="24"/>
          <w:szCs w:val="24"/>
        </w:rPr>
        <w:t>s generation business</w:t>
      </w:r>
      <w:r w:rsidR="0062640B">
        <w:rPr>
          <w:sz w:val="24"/>
          <w:szCs w:val="24"/>
        </w:rPr>
        <w:t xml:space="preserve"> wrote the book value of these plants down to nearly zero value.</w:t>
      </w:r>
      <w:r w:rsidR="0062640B">
        <w:rPr>
          <w:rStyle w:val="FootnoteReference"/>
          <w:sz w:val="24"/>
          <w:szCs w:val="24"/>
        </w:rPr>
        <w:footnoteReference w:id="75"/>
      </w:r>
      <w:r w:rsidR="0062640B">
        <w:rPr>
          <w:sz w:val="24"/>
          <w:szCs w:val="24"/>
        </w:rPr>
        <w:t xml:space="preserve"> </w:t>
      </w:r>
      <w:r>
        <w:rPr>
          <w:sz w:val="24"/>
          <w:szCs w:val="24"/>
        </w:rPr>
        <w:t xml:space="preserve"> </w:t>
      </w:r>
      <w:r w:rsidR="0062640B">
        <w:rPr>
          <w:sz w:val="24"/>
          <w:szCs w:val="24"/>
        </w:rPr>
        <w:t>Had the</w:t>
      </w:r>
      <w:r>
        <w:rPr>
          <w:sz w:val="24"/>
          <w:szCs w:val="24"/>
        </w:rPr>
        <w:t xml:space="preserve"> generation</w:t>
      </w:r>
      <w:r w:rsidR="0062640B">
        <w:rPr>
          <w:sz w:val="24"/>
          <w:szCs w:val="24"/>
        </w:rPr>
        <w:t xml:space="preserve"> resources produced a profit—as AEP Ohio had predicted—no economic impairment would have been recorded.</w:t>
      </w:r>
      <w:r w:rsidR="005D3A06">
        <w:rPr>
          <w:sz w:val="24"/>
          <w:szCs w:val="24"/>
        </w:rPr>
        <w:t xml:space="preserve">  </w:t>
      </w:r>
      <w:r w:rsidR="008C1E23">
        <w:rPr>
          <w:sz w:val="24"/>
          <w:szCs w:val="24"/>
        </w:rPr>
        <w:t>Th</w:t>
      </w:r>
      <w:r>
        <w:rPr>
          <w:sz w:val="24"/>
          <w:szCs w:val="24"/>
        </w:rPr>
        <w:t>is should provide a cautionary tale that</w:t>
      </w:r>
      <w:r w:rsidR="008C1E23">
        <w:rPr>
          <w:sz w:val="24"/>
          <w:szCs w:val="24"/>
        </w:rPr>
        <w:t xml:space="preserve"> reliance upon AEP Ohio’s fundamentals forecast may result in severe economic consequences.</w:t>
      </w:r>
      <w:r w:rsidR="0062640B">
        <w:rPr>
          <w:rStyle w:val="FootnoteReference"/>
          <w:sz w:val="24"/>
          <w:szCs w:val="24"/>
        </w:rPr>
        <w:footnoteReference w:id="76"/>
      </w:r>
      <w:r w:rsidR="008C1E23">
        <w:rPr>
          <w:sz w:val="24"/>
          <w:szCs w:val="24"/>
        </w:rPr>
        <w:t xml:space="preserve">  </w:t>
      </w:r>
    </w:p>
    <w:p w14:paraId="1C75298C" w14:textId="544A0E04" w:rsidR="005C74DF" w:rsidRDefault="00E07813" w:rsidP="00F83E24">
      <w:pPr>
        <w:spacing w:line="480" w:lineRule="auto"/>
        <w:jc w:val="both"/>
        <w:rPr>
          <w:sz w:val="24"/>
          <w:szCs w:val="24"/>
        </w:rPr>
      </w:pPr>
      <w:r>
        <w:rPr>
          <w:sz w:val="24"/>
          <w:szCs w:val="24"/>
        </w:rPr>
        <w:tab/>
        <w:t>AEP Ohio’s initial brief does no better defending its proj</w:t>
      </w:r>
      <w:r w:rsidR="00E413FB">
        <w:rPr>
          <w:sz w:val="24"/>
          <w:szCs w:val="24"/>
        </w:rPr>
        <w:t>ection of a burden</w:t>
      </w:r>
      <w:r w:rsidR="005C74DF">
        <w:rPr>
          <w:sz w:val="24"/>
          <w:szCs w:val="24"/>
        </w:rPr>
        <w:t xml:space="preserve"> on CO2 emissions</w:t>
      </w:r>
      <w:r w:rsidR="00E413FB">
        <w:rPr>
          <w:sz w:val="24"/>
          <w:szCs w:val="24"/>
        </w:rPr>
        <w:t xml:space="preserve">.  </w:t>
      </w:r>
      <w:r w:rsidR="00C75EC0">
        <w:rPr>
          <w:sz w:val="24"/>
          <w:szCs w:val="24"/>
        </w:rPr>
        <w:t>AEP Ohio claims that (1) it has historically included a forecast of a CO2 burden in its fundamentals forecast; and (2) such a burden would impact generation resources.</w:t>
      </w:r>
      <w:r w:rsidR="005C74DF">
        <w:rPr>
          <w:rStyle w:val="FootnoteReference"/>
          <w:sz w:val="24"/>
          <w:szCs w:val="24"/>
        </w:rPr>
        <w:footnoteReference w:id="77"/>
      </w:r>
      <w:r w:rsidR="00C75EC0">
        <w:rPr>
          <w:sz w:val="24"/>
          <w:szCs w:val="24"/>
        </w:rPr>
        <w:t xml:space="preserve">  </w:t>
      </w:r>
      <w:r w:rsidR="003F104C">
        <w:rPr>
          <w:sz w:val="24"/>
          <w:szCs w:val="24"/>
        </w:rPr>
        <w:t>AEP Ohio’s reasoning does not make a convincing case</w:t>
      </w:r>
      <w:r w:rsidR="005C74DF">
        <w:rPr>
          <w:sz w:val="24"/>
          <w:szCs w:val="24"/>
        </w:rPr>
        <w:t xml:space="preserve">.  </w:t>
      </w:r>
      <w:r w:rsidR="0033584C">
        <w:rPr>
          <w:sz w:val="24"/>
          <w:szCs w:val="24"/>
        </w:rPr>
        <w:t xml:space="preserve">The fact that AEP Ohio has historically included a CO2 burden in its forecast doesn’t make it acceptable </w:t>
      </w:r>
      <w:r w:rsidR="00514C89">
        <w:rPr>
          <w:sz w:val="24"/>
          <w:szCs w:val="24"/>
        </w:rPr>
        <w:t>or reliable, though it</w:t>
      </w:r>
      <w:r w:rsidR="0033584C" w:rsidRPr="0033584C">
        <w:rPr>
          <w:sz w:val="24"/>
          <w:szCs w:val="24"/>
        </w:rPr>
        <w:t xml:space="preserve"> may explain why AEP Ohio’s fundamental forecast has consistently overstated market prices.  </w:t>
      </w:r>
      <w:r w:rsidR="005C74DF">
        <w:rPr>
          <w:sz w:val="24"/>
          <w:szCs w:val="24"/>
        </w:rPr>
        <w:t xml:space="preserve">There </w:t>
      </w:r>
      <w:r w:rsidR="003649BA">
        <w:rPr>
          <w:sz w:val="24"/>
          <w:szCs w:val="24"/>
        </w:rPr>
        <w:t xml:space="preserve">is currently no rule </w:t>
      </w:r>
      <w:r w:rsidR="00441EBA">
        <w:rPr>
          <w:sz w:val="24"/>
          <w:szCs w:val="24"/>
        </w:rPr>
        <w:t>to regulate the emission of CO2 that would impact generation resources located in Ohio.</w:t>
      </w:r>
      <w:r w:rsidR="00A260DD">
        <w:rPr>
          <w:sz w:val="24"/>
          <w:szCs w:val="24"/>
        </w:rPr>
        <w:t xml:space="preserve">  Until there is a concreate rule </w:t>
      </w:r>
      <w:r w:rsidR="00F67377">
        <w:rPr>
          <w:sz w:val="24"/>
          <w:szCs w:val="24"/>
        </w:rPr>
        <w:t xml:space="preserve">limiting the emission of CO2, it would be patently unreasonable to </w:t>
      </w:r>
      <w:r w:rsidR="005440C1">
        <w:rPr>
          <w:sz w:val="24"/>
          <w:szCs w:val="24"/>
        </w:rPr>
        <w:t xml:space="preserve">rely upon such an assumption.  Moreover, to the extent that a burden on CO2 </w:t>
      </w:r>
      <w:r w:rsidR="0010671A">
        <w:rPr>
          <w:sz w:val="24"/>
          <w:szCs w:val="24"/>
        </w:rPr>
        <w:t xml:space="preserve">ultimately materializes, the Commission and market participants would have </w:t>
      </w:r>
      <w:proofErr w:type="gramStart"/>
      <w:r w:rsidR="0010671A">
        <w:rPr>
          <w:sz w:val="24"/>
          <w:szCs w:val="24"/>
        </w:rPr>
        <w:t>sufficient</w:t>
      </w:r>
      <w:proofErr w:type="gramEnd"/>
      <w:r w:rsidR="0010671A">
        <w:rPr>
          <w:sz w:val="24"/>
          <w:szCs w:val="24"/>
        </w:rPr>
        <w:t xml:space="preserve"> lead time to evaluate and </w:t>
      </w:r>
      <w:r w:rsidR="003021C8">
        <w:rPr>
          <w:sz w:val="24"/>
          <w:szCs w:val="24"/>
        </w:rPr>
        <w:t xml:space="preserve">consider </w:t>
      </w:r>
      <w:r w:rsidR="00385D39">
        <w:rPr>
          <w:sz w:val="24"/>
          <w:szCs w:val="24"/>
        </w:rPr>
        <w:t>its impact on market pricing.</w:t>
      </w:r>
      <w:r w:rsidR="00671C3F">
        <w:rPr>
          <w:sz w:val="24"/>
          <w:szCs w:val="24"/>
        </w:rPr>
        <w:t xml:space="preserve">  Such an approach would make much more sense than </w:t>
      </w:r>
      <w:r w:rsidR="003021C8">
        <w:rPr>
          <w:sz w:val="24"/>
          <w:szCs w:val="24"/>
        </w:rPr>
        <w:t xml:space="preserve">simply </w:t>
      </w:r>
      <w:r w:rsidR="00671C3F">
        <w:rPr>
          <w:sz w:val="24"/>
          <w:szCs w:val="24"/>
        </w:rPr>
        <w:t xml:space="preserve">assuming there will be a market paradigm shift in </w:t>
      </w:r>
      <w:r w:rsidR="003021C8">
        <w:rPr>
          <w:sz w:val="24"/>
          <w:szCs w:val="24"/>
        </w:rPr>
        <w:t>nearly ten years.</w:t>
      </w:r>
      <w:r w:rsidR="00385D39">
        <w:rPr>
          <w:sz w:val="24"/>
          <w:szCs w:val="24"/>
        </w:rPr>
        <w:t xml:space="preserve">  </w:t>
      </w:r>
      <w:r w:rsidR="00441EBA">
        <w:rPr>
          <w:sz w:val="24"/>
          <w:szCs w:val="24"/>
        </w:rPr>
        <w:t xml:space="preserve">   </w:t>
      </w:r>
      <w:r w:rsidR="005C74DF">
        <w:rPr>
          <w:sz w:val="24"/>
          <w:szCs w:val="24"/>
        </w:rPr>
        <w:t xml:space="preserve">  </w:t>
      </w:r>
    </w:p>
    <w:p w14:paraId="27067633" w14:textId="3646791C" w:rsidR="005958C1" w:rsidRPr="005958C1" w:rsidRDefault="005958C1" w:rsidP="005958C1">
      <w:pPr>
        <w:pStyle w:val="ListParagraph"/>
        <w:numPr>
          <w:ilvl w:val="1"/>
          <w:numId w:val="25"/>
        </w:numPr>
        <w:spacing w:line="480" w:lineRule="auto"/>
        <w:jc w:val="both"/>
        <w:rPr>
          <w:b/>
          <w:sz w:val="24"/>
          <w:szCs w:val="24"/>
        </w:rPr>
      </w:pPr>
      <w:r w:rsidRPr="005958C1">
        <w:rPr>
          <w:b/>
          <w:sz w:val="24"/>
          <w:szCs w:val="24"/>
        </w:rPr>
        <w:t>AEP Ohio’s</w:t>
      </w:r>
      <w:r>
        <w:rPr>
          <w:b/>
          <w:sz w:val="24"/>
          <w:szCs w:val="24"/>
        </w:rPr>
        <w:t xml:space="preserve"> probabilistic simulation is misleading and unreliable</w:t>
      </w:r>
      <w:r w:rsidRPr="005958C1">
        <w:rPr>
          <w:b/>
          <w:sz w:val="24"/>
          <w:szCs w:val="24"/>
        </w:rPr>
        <w:t xml:space="preserve"> </w:t>
      </w:r>
    </w:p>
    <w:p w14:paraId="6AFEAE0C" w14:textId="3ADAA5C9" w:rsidR="0098188A" w:rsidRPr="00F83E24" w:rsidRDefault="0098188A" w:rsidP="00F83E24">
      <w:pPr>
        <w:spacing w:line="480" w:lineRule="auto"/>
        <w:jc w:val="both"/>
        <w:rPr>
          <w:sz w:val="24"/>
          <w:szCs w:val="24"/>
        </w:rPr>
      </w:pPr>
      <w:r>
        <w:rPr>
          <w:sz w:val="24"/>
          <w:szCs w:val="24"/>
        </w:rPr>
        <w:tab/>
        <w:t>AEP Ohio alleges that under its “probabilistic simulation,” the proposed facilities will result in a net benefit 99.9% (wind) and 100% (solar) of the time.</w:t>
      </w:r>
      <w:r>
        <w:rPr>
          <w:rStyle w:val="FootnoteReference"/>
          <w:sz w:val="24"/>
          <w:szCs w:val="24"/>
        </w:rPr>
        <w:footnoteReference w:id="78"/>
      </w:r>
      <w:r>
        <w:rPr>
          <w:sz w:val="24"/>
          <w:szCs w:val="24"/>
        </w:rPr>
        <w:t xml:space="preserve">  Of course, AEP Ohio’s claim assumes that the Base Fundamental Forecast is accurate.</w:t>
      </w:r>
      <w:r>
        <w:rPr>
          <w:rStyle w:val="FootnoteReference"/>
          <w:sz w:val="24"/>
          <w:szCs w:val="24"/>
        </w:rPr>
        <w:footnoteReference w:id="79"/>
      </w:r>
      <w:r>
        <w:rPr>
          <w:sz w:val="24"/>
          <w:szCs w:val="24"/>
        </w:rPr>
        <w:t xml:space="preserve">  AEP Ohio failed to consider any scenarios in which there is no carbon tax.</w:t>
      </w:r>
      <w:r>
        <w:rPr>
          <w:rStyle w:val="FootnoteReference"/>
          <w:sz w:val="24"/>
          <w:szCs w:val="24"/>
        </w:rPr>
        <w:footnoteReference w:id="80"/>
      </w:r>
      <w:r>
        <w:rPr>
          <w:sz w:val="24"/>
          <w:szCs w:val="24"/>
        </w:rPr>
        <w:t xml:space="preserve">  Given that AEP Ohio’s “probabilistic simulation” failed to model credible scenarios, the Commission should give this evidence no weight.  </w:t>
      </w:r>
    </w:p>
    <w:p w14:paraId="05C742B8" w14:textId="77777777" w:rsidR="00E10CD3" w:rsidRDefault="00B54DD6" w:rsidP="00E10CD3">
      <w:pPr>
        <w:pStyle w:val="ListParagraph"/>
        <w:numPr>
          <w:ilvl w:val="1"/>
          <w:numId w:val="25"/>
        </w:numPr>
        <w:spacing w:line="240" w:lineRule="auto"/>
        <w:jc w:val="both"/>
        <w:rPr>
          <w:b/>
          <w:sz w:val="24"/>
          <w:szCs w:val="24"/>
        </w:rPr>
      </w:pPr>
      <w:r>
        <w:rPr>
          <w:b/>
          <w:sz w:val="24"/>
          <w:szCs w:val="24"/>
        </w:rPr>
        <w:t>AEP Ohio</w:t>
      </w:r>
      <w:r w:rsidR="0085479D">
        <w:rPr>
          <w:b/>
          <w:sz w:val="24"/>
          <w:szCs w:val="24"/>
        </w:rPr>
        <w:t>’s discount rate is understated</w:t>
      </w:r>
      <w:r w:rsidR="00B342AA">
        <w:rPr>
          <w:b/>
          <w:sz w:val="24"/>
          <w:szCs w:val="24"/>
        </w:rPr>
        <w:t xml:space="preserve"> and therefore inflates its projected benefits</w:t>
      </w:r>
    </w:p>
    <w:p w14:paraId="038ED795" w14:textId="77777777" w:rsidR="00A22629" w:rsidRDefault="00B478DC" w:rsidP="00CB064D">
      <w:pPr>
        <w:spacing w:line="480" w:lineRule="auto"/>
        <w:ind w:firstLine="720"/>
        <w:jc w:val="both"/>
        <w:rPr>
          <w:sz w:val="24"/>
          <w:szCs w:val="24"/>
        </w:rPr>
      </w:pPr>
      <w:r>
        <w:rPr>
          <w:sz w:val="24"/>
          <w:szCs w:val="24"/>
        </w:rPr>
        <w:t>AEP Ohio</w:t>
      </w:r>
      <w:r w:rsidR="00394B89">
        <w:rPr>
          <w:sz w:val="24"/>
          <w:szCs w:val="24"/>
        </w:rPr>
        <w:t xml:space="preserve"> alleges that its proposal—errors identified above aside—will result in </w:t>
      </w:r>
      <w:r w:rsidR="00027F69">
        <w:rPr>
          <w:sz w:val="24"/>
          <w:szCs w:val="24"/>
        </w:rPr>
        <w:t>$173 million in net present value benefits for customers.</w:t>
      </w:r>
      <w:r w:rsidR="00EE502A">
        <w:rPr>
          <w:rStyle w:val="FootnoteReference"/>
          <w:sz w:val="24"/>
          <w:szCs w:val="24"/>
        </w:rPr>
        <w:footnoteReference w:id="81"/>
      </w:r>
      <w:r w:rsidR="00027F69">
        <w:rPr>
          <w:sz w:val="24"/>
          <w:szCs w:val="24"/>
        </w:rPr>
        <w:t xml:space="preserve"> </w:t>
      </w:r>
      <w:r w:rsidR="005438DD">
        <w:rPr>
          <w:sz w:val="24"/>
          <w:szCs w:val="24"/>
        </w:rPr>
        <w:t xml:space="preserve">The record is uncontroverted </w:t>
      </w:r>
      <w:r w:rsidR="000B1456">
        <w:rPr>
          <w:sz w:val="24"/>
          <w:szCs w:val="24"/>
        </w:rPr>
        <w:t>inasmuch as</w:t>
      </w:r>
      <w:r w:rsidR="005438DD">
        <w:rPr>
          <w:sz w:val="24"/>
          <w:szCs w:val="24"/>
        </w:rPr>
        <w:t xml:space="preserve"> p</w:t>
      </w:r>
      <w:r w:rsidR="005438DD" w:rsidRPr="005438DD">
        <w:rPr>
          <w:sz w:val="24"/>
          <w:szCs w:val="24"/>
        </w:rPr>
        <w:t>resent value is the current value of a future sum of money or a stream of cash flows given a specified rate of return</w:t>
      </w:r>
      <w:r w:rsidR="000B1456">
        <w:rPr>
          <w:sz w:val="24"/>
          <w:szCs w:val="24"/>
        </w:rPr>
        <w:t>.</w:t>
      </w:r>
      <w:r w:rsidR="000B1456">
        <w:rPr>
          <w:rStyle w:val="FootnoteReference"/>
          <w:sz w:val="24"/>
          <w:szCs w:val="24"/>
        </w:rPr>
        <w:footnoteReference w:id="82"/>
      </w:r>
      <w:r w:rsidR="000B1456">
        <w:rPr>
          <w:sz w:val="24"/>
          <w:szCs w:val="24"/>
        </w:rPr>
        <w:t xml:space="preserve"> </w:t>
      </w:r>
      <w:r w:rsidR="00EE502A">
        <w:rPr>
          <w:sz w:val="24"/>
          <w:szCs w:val="24"/>
        </w:rPr>
        <w:t xml:space="preserve"> </w:t>
      </w:r>
      <w:r w:rsidR="00507F7E">
        <w:rPr>
          <w:sz w:val="24"/>
          <w:szCs w:val="24"/>
        </w:rPr>
        <w:t xml:space="preserve">For purposes of determining the present value (or cost) of AEP Ohio’s proposal, </w:t>
      </w:r>
      <w:r w:rsidR="00E10CD3">
        <w:rPr>
          <w:sz w:val="24"/>
          <w:szCs w:val="24"/>
        </w:rPr>
        <w:t>AEP Ohio utilized a</w:t>
      </w:r>
      <w:r w:rsidR="00DD0716">
        <w:rPr>
          <w:sz w:val="24"/>
          <w:szCs w:val="24"/>
        </w:rPr>
        <w:t xml:space="preserve"> discount rate</w:t>
      </w:r>
      <w:r w:rsidR="007F4EA7">
        <w:rPr>
          <w:sz w:val="24"/>
          <w:szCs w:val="24"/>
        </w:rPr>
        <w:t xml:space="preserve"> of 8.5%.</w:t>
      </w:r>
      <w:r w:rsidR="004E0635">
        <w:rPr>
          <w:rStyle w:val="FootnoteReference"/>
          <w:sz w:val="24"/>
          <w:szCs w:val="24"/>
        </w:rPr>
        <w:footnoteReference w:id="83"/>
      </w:r>
      <w:r w:rsidR="00147FAB">
        <w:rPr>
          <w:sz w:val="24"/>
          <w:szCs w:val="24"/>
        </w:rPr>
        <w:t xml:space="preserve">  </w:t>
      </w:r>
      <w:r w:rsidR="00C65A7E">
        <w:rPr>
          <w:sz w:val="24"/>
          <w:szCs w:val="24"/>
        </w:rPr>
        <w:t>This rate is based upon AEP Ohio’s weighted average cost of capital.</w:t>
      </w:r>
      <w:r w:rsidR="00C65A7E">
        <w:rPr>
          <w:rStyle w:val="FootnoteReference"/>
          <w:sz w:val="24"/>
          <w:szCs w:val="24"/>
        </w:rPr>
        <w:footnoteReference w:id="84"/>
      </w:r>
      <w:r w:rsidR="00E75E43">
        <w:rPr>
          <w:sz w:val="24"/>
          <w:szCs w:val="24"/>
        </w:rPr>
        <w:t xml:space="preserve">  </w:t>
      </w:r>
      <w:r w:rsidR="001014E8">
        <w:rPr>
          <w:sz w:val="24"/>
          <w:szCs w:val="24"/>
        </w:rPr>
        <w:t>But the money at issue</w:t>
      </w:r>
      <w:r w:rsidR="00E75E43">
        <w:rPr>
          <w:sz w:val="24"/>
          <w:szCs w:val="24"/>
        </w:rPr>
        <w:t xml:space="preserve"> is not AEP Ohio’s—it is customers’ money.</w:t>
      </w:r>
      <w:r w:rsidR="00C65C21">
        <w:rPr>
          <w:rStyle w:val="FootnoteReference"/>
          <w:sz w:val="24"/>
          <w:szCs w:val="24"/>
        </w:rPr>
        <w:footnoteReference w:id="85"/>
      </w:r>
      <w:r w:rsidR="00507F7E">
        <w:rPr>
          <w:sz w:val="24"/>
          <w:szCs w:val="24"/>
        </w:rPr>
        <w:t xml:space="preserve"> </w:t>
      </w:r>
    </w:p>
    <w:p w14:paraId="4DECDDF8" w14:textId="12D42A35" w:rsidR="00DD0716" w:rsidRDefault="00A22629" w:rsidP="00D54FAD">
      <w:pPr>
        <w:spacing w:line="480" w:lineRule="auto"/>
        <w:ind w:firstLine="720"/>
        <w:jc w:val="both"/>
        <w:rPr>
          <w:sz w:val="24"/>
          <w:szCs w:val="24"/>
        </w:rPr>
      </w:pPr>
      <w:r>
        <w:rPr>
          <w:sz w:val="24"/>
          <w:szCs w:val="24"/>
        </w:rPr>
        <w:t>AEP Ohio’s affiliates have concluded that “</w:t>
      </w:r>
      <w:r w:rsidR="004052F6">
        <w:rPr>
          <w:sz w:val="24"/>
          <w:szCs w:val="24"/>
        </w:rPr>
        <w:t>[d]</w:t>
      </w:r>
      <w:proofErr w:type="spellStart"/>
      <w:r w:rsidR="00CB064D" w:rsidRPr="00CB064D">
        <w:rPr>
          <w:sz w:val="24"/>
          <w:szCs w:val="24"/>
        </w:rPr>
        <w:t>iscount</w:t>
      </w:r>
      <w:proofErr w:type="spellEnd"/>
      <w:r w:rsidR="00CB064D" w:rsidRPr="00CB064D">
        <w:rPr>
          <w:sz w:val="24"/>
          <w:szCs w:val="24"/>
        </w:rPr>
        <w:t xml:space="preserve"> rates for residential investments vary</w:t>
      </w:r>
      <w:r>
        <w:rPr>
          <w:sz w:val="24"/>
          <w:szCs w:val="24"/>
        </w:rPr>
        <w:t xml:space="preserve"> </w:t>
      </w:r>
      <w:r w:rsidR="00CB064D" w:rsidRPr="00CB064D">
        <w:rPr>
          <w:sz w:val="24"/>
          <w:szCs w:val="24"/>
        </w:rPr>
        <w:t>dramatically and are based on each individual’s financial situation.</w:t>
      </w:r>
      <w:r>
        <w:rPr>
          <w:sz w:val="24"/>
          <w:szCs w:val="24"/>
        </w:rPr>
        <w:t>”</w:t>
      </w:r>
      <w:r>
        <w:rPr>
          <w:rStyle w:val="FootnoteReference"/>
          <w:sz w:val="24"/>
          <w:szCs w:val="24"/>
        </w:rPr>
        <w:footnoteReference w:id="86"/>
      </w:r>
      <w:r w:rsidR="00D54FAD">
        <w:rPr>
          <w:sz w:val="24"/>
          <w:szCs w:val="24"/>
        </w:rPr>
        <w:t xml:space="preserve">  AEP Ohio concedes that </w:t>
      </w:r>
      <w:r w:rsidR="00FC431B">
        <w:rPr>
          <w:sz w:val="24"/>
          <w:szCs w:val="24"/>
        </w:rPr>
        <w:t>residential customer discount rates are often higher</w:t>
      </w:r>
      <w:r w:rsidR="00AB28A4">
        <w:rPr>
          <w:sz w:val="24"/>
          <w:szCs w:val="24"/>
        </w:rPr>
        <w:t xml:space="preserve"> than 8.5%.  Indeed, the integrated resource plan AEP Ohio</w:t>
      </w:r>
      <w:r w:rsidR="00D54FAD">
        <w:rPr>
          <w:sz w:val="24"/>
          <w:szCs w:val="24"/>
        </w:rPr>
        <w:t xml:space="preserve">’s affiliate </w:t>
      </w:r>
      <w:r w:rsidR="00AB28A4">
        <w:rPr>
          <w:sz w:val="24"/>
          <w:szCs w:val="24"/>
        </w:rPr>
        <w:t xml:space="preserve">filed in Arkansas assumed that residential </w:t>
      </w:r>
      <w:r w:rsidR="00306775">
        <w:rPr>
          <w:sz w:val="24"/>
          <w:szCs w:val="24"/>
        </w:rPr>
        <w:t>customers may value capital at a discount rate of 10% or even higher.</w:t>
      </w:r>
      <w:r w:rsidR="00B70DF1">
        <w:rPr>
          <w:rStyle w:val="FootnoteReference"/>
          <w:sz w:val="24"/>
          <w:szCs w:val="24"/>
        </w:rPr>
        <w:footnoteReference w:id="87"/>
      </w:r>
      <w:r w:rsidR="00B70DF1">
        <w:rPr>
          <w:sz w:val="24"/>
          <w:szCs w:val="24"/>
        </w:rPr>
        <w:t xml:space="preserve">  </w:t>
      </w:r>
      <w:r w:rsidR="001462DA">
        <w:rPr>
          <w:sz w:val="24"/>
          <w:szCs w:val="24"/>
        </w:rPr>
        <w:t>Had AEP Ohio used a discount rate of 10% or higher, the net present value of its proposal would be lower.</w:t>
      </w:r>
      <w:r w:rsidR="001462DA">
        <w:rPr>
          <w:rStyle w:val="FootnoteReference"/>
          <w:sz w:val="24"/>
          <w:szCs w:val="24"/>
        </w:rPr>
        <w:footnoteReference w:id="88"/>
      </w:r>
      <w:r w:rsidR="001014E8">
        <w:rPr>
          <w:sz w:val="24"/>
          <w:szCs w:val="24"/>
        </w:rPr>
        <w:t xml:space="preserve">  </w:t>
      </w:r>
    </w:p>
    <w:p w14:paraId="405CB012" w14:textId="4C543CA0" w:rsidR="00B342AA" w:rsidRDefault="000601BD" w:rsidP="00295993">
      <w:pPr>
        <w:spacing w:line="480" w:lineRule="auto"/>
        <w:ind w:firstLine="720"/>
        <w:jc w:val="both"/>
        <w:rPr>
          <w:sz w:val="24"/>
          <w:szCs w:val="24"/>
        </w:rPr>
      </w:pPr>
      <w:r>
        <w:rPr>
          <w:sz w:val="24"/>
          <w:szCs w:val="24"/>
        </w:rPr>
        <w:t xml:space="preserve">This impact of this error is magnified by the </w:t>
      </w:r>
      <w:r w:rsidR="00654612">
        <w:rPr>
          <w:sz w:val="24"/>
          <w:szCs w:val="24"/>
        </w:rPr>
        <w:t xml:space="preserve">structure of AEP Ohio’s proposal.  </w:t>
      </w:r>
      <w:r w:rsidR="00965A2F">
        <w:rPr>
          <w:sz w:val="24"/>
          <w:szCs w:val="24"/>
        </w:rPr>
        <w:t>Specifically,</w:t>
      </w:r>
      <w:r w:rsidR="001C246E" w:rsidRPr="001C246E">
        <w:t xml:space="preserve"> </w:t>
      </w:r>
      <w:r w:rsidR="001C246E" w:rsidRPr="001C246E">
        <w:rPr>
          <w:sz w:val="24"/>
          <w:szCs w:val="24"/>
        </w:rPr>
        <w:t>AEP Ohio’s pro</w:t>
      </w:r>
      <w:r w:rsidR="007C25AE">
        <w:rPr>
          <w:sz w:val="24"/>
          <w:szCs w:val="24"/>
        </w:rPr>
        <w:t>jects that the resources</w:t>
      </w:r>
      <w:r w:rsidR="001C246E" w:rsidRPr="001C246E">
        <w:rPr>
          <w:sz w:val="24"/>
          <w:szCs w:val="24"/>
        </w:rPr>
        <w:t xml:space="preserve"> </w:t>
      </w:r>
      <w:r w:rsidR="001C246E">
        <w:rPr>
          <w:sz w:val="24"/>
          <w:szCs w:val="24"/>
        </w:rPr>
        <w:t xml:space="preserve">do not </w:t>
      </w:r>
      <w:r w:rsidR="001C246E" w:rsidRPr="001C246E">
        <w:rPr>
          <w:sz w:val="24"/>
          <w:szCs w:val="24"/>
        </w:rPr>
        <w:t>break even on a nominal basis</w:t>
      </w:r>
      <w:r w:rsidR="00E01673">
        <w:rPr>
          <w:sz w:val="24"/>
          <w:szCs w:val="24"/>
        </w:rPr>
        <w:t xml:space="preserve"> until</w:t>
      </w:r>
      <w:r w:rsidR="001C246E">
        <w:rPr>
          <w:sz w:val="24"/>
          <w:szCs w:val="24"/>
        </w:rPr>
        <w:t xml:space="preserve"> after</w:t>
      </w:r>
      <w:r w:rsidR="00E01673">
        <w:rPr>
          <w:sz w:val="24"/>
          <w:szCs w:val="24"/>
        </w:rPr>
        <w:t xml:space="preserve"> the introduction of an alleged carbon burden in 202</w:t>
      </w:r>
      <w:r w:rsidR="000F3172">
        <w:rPr>
          <w:sz w:val="24"/>
          <w:szCs w:val="24"/>
        </w:rPr>
        <w:t>9.</w:t>
      </w:r>
      <w:r w:rsidR="00A66D67">
        <w:rPr>
          <w:rStyle w:val="FootnoteReference"/>
          <w:sz w:val="24"/>
          <w:szCs w:val="24"/>
        </w:rPr>
        <w:footnoteReference w:id="89"/>
      </w:r>
      <w:r w:rsidR="00654612">
        <w:rPr>
          <w:sz w:val="24"/>
          <w:szCs w:val="24"/>
        </w:rPr>
        <w:t xml:space="preserve">  </w:t>
      </w:r>
      <w:r w:rsidR="007C25AE">
        <w:rPr>
          <w:sz w:val="24"/>
          <w:szCs w:val="24"/>
        </w:rPr>
        <w:t>G</w:t>
      </w:r>
      <w:r w:rsidRPr="000601BD">
        <w:rPr>
          <w:sz w:val="24"/>
          <w:szCs w:val="24"/>
        </w:rPr>
        <w:t>iven that AEP Ohio has backloaded the benefits of its proposal, AEP Ohio’s flawed discount rate further overstates the benefits t</w:t>
      </w:r>
      <w:r w:rsidR="00A941D9">
        <w:rPr>
          <w:sz w:val="24"/>
          <w:szCs w:val="24"/>
        </w:rPr>
        <w:t>hat AEP Ohio projects</w:t>
      </w:r>
      <w:r w:rsidRPr="000601BD">
        <w:rPr>
          <w:sz w:val="24"/>
          <w:szCs w:val="24"/>
        </w:rPr>
        <w:t xml:space="preserve"> cust</w:t>
      </w:r>
      <w:r w:rsidR="00A941D9">
        <w:rPr>
          <w:sz w:val="24"/>
          <w:szCs w:val="24"/>
        </w:rPr>
        <w:t>omers will receive</w:t>
      </w:r>
      <w:r w:rsidRPr="000601BD">
        <w:rPr>
          <w:sz w:val="24"/>
          <w:szCs w:val="24"/>
        </w:rPr>
        <w:t>.</w:t>
      </w:r>
      <w:r w:rsidR="00295993">
        <w:rPr>
          <w:sz w:val="24"/>
          <w:szCs w:val="24"/>
        </w:rPr>
        <w:t xml:space="preserve"> </w:t>
      </w:r>
      <w:r w:rsidRPr="000601BD">
        <w:rPr>
          <w:sz w:val="24"/>
          <w:szCs w:val="24"/>
        </w:rPr>
        <w:t xml:space="preserve">  </w:t>
      </w:r>
      <w:r w:rsidR="006C0F20" w:rsidRPr="00E10CD3">
        <w:rPr>
          <w:sz w:val="24"/>
          <w:szCs w:val="24"/>
        </w:rPr>
        <w:t xml:space="preserve"> </w:t>
      </w:r>
    </w:p>
    <w:p w14:paraId="24D31586" w14:textId="77777777" w:rsidR="00926C1B" w:rsidRDefault="00926C1B" w:rsidP="00926C1B">
      <w:pPr>
        <w:pStyle w:val="ListParagraph"/>
        <w:spacing w:line="240" w:lineRule="auto"/>
        <w:ind w:left="1440"/>
        <w:jc w:val="both"/>
        <w:rPr>
          <w:b/>
          <w:sz w:val="24"/>
          <w:szCs w:val="24"/>
        </w:rPr>
      </w:pPr>
    </w:p>
    <w:p w14:paraId="4403DA5C" w14:textId="77777777" w:rsidR="00926C1B" w:rsidRDefault="00926C1B" w:rsidP="00926C1B">
      <w:pPr>
        <w:pStyle w:val="ListParagraph"/>
        <w:spacing w:line="240" w:lineRule="auto"/>
        <w:ind w:left="1440"/>
        <w:jc w:val="both"/>
        <w:rPr>
          <w:b/>
          <w:sz w:val="24"/>
          <w:szCs w:val="24"/>
        </w:rPr>
      </w:pPr>
    </w:p>
    <w:p w14:paraId="4D9215A4" w14:textId="77777777" w:rsidR="00926C1B" w:rsidRDefault="00926C1B" w:rsidP="00926C1B">
      <w:pPr>
        <w:pStyle w:val="ListParagraph"/>
        <w:spacing w:line="240" w:lineRule="auto"/>
        <w:ind w:left="1440"/>
        <w:jc w:val="both"/>
        <w:rPr>
          <w:b/>
          <w:sz w:val="24"/>
          <w:szCs w:val="24"/>
        </w:rPr>
      </w:pPr>
    </w:p>
    <w:p w14:paraId="190F3B8E" w14:textId="4DE82059" w:rsidR="009E1E7C" w:rsidRPr="005958C1" w:rsidRDefault="005D3A06" w:rsidP="005958C1">
      <w:pPr>
        <w:pStyle w:val="ListParagraph"/>
        <w:numPr>
          <w:ilvl w:val="1"/>
          <w:numId w:val="25"/>
        </w:numPr>
        <w:spacing w:line="240" w:lineRule="auto"/>
        <w:jc w:val="both"/>
        <w:rPr>
          <w:b/>
          <w:sz w:val="24"/>
          <w:szCs w:val="24"/>
        </w:rPr>
      </w:pPr>
      <w:r w:rsidRPr="005958C1">
        <w:rPr>
          <w:b/>
          <w:sz w:val="24"/>
          <w:szCs w:val="24"/>
        </w:rPr>
        <w:t>Based upon more realistic expectations of market prices</w:t>
      </w:r>
      <w:r w:rsidR="009E1E7C" w:rsidRPr="005958C1">
        <w:rPr>
          <w:b/>
          <w:sz w:val="24"/>
          <w:szCs w:val="24"/>
        </w:rPr>
        <w:t>, the ESP would flunk the MRO vs. ESP price test</w:t>
      </w:r>
      <w:r w:rsidRPr="005958C1">
        <w:rPr>
          <w:b/>
          <w:sz w:val="24"/>
          <w:szCs w:val="24"/>
        </w:rPr>
        <w:t xml:space="preserve"> by </w:t>
      </w:r>
      <w:r w:rsidR="0098188A" w:rsidRPr="005958C1">
        <w:rPr>
          <w:b/>
          <w:sz w:val="24"/>
          <w:szCs w:val="24"/>
        </w:rPr>
        <w:t>approximately $100 million</w:t>
      </w:r>
    </w:p>
    <w:p w14:paraId="2C4F743C" w14:textId="6772A1D6" w:rsidR="00417CEA" w:rsidRDefault="009E1E7C" w:rsidP="009E1E7C">
      <w:pPr>
        <w:autoSpaceDE w:val="0"/>
        <w:autoSpaceDN w:val="0"/>
        <w:adjustRightInd w:val="0"/>
        <w:spacing w:after="120" w:line="480" w:lineRule="auto"/>
        <w:ind w:firstLine="720"/>
        <w:jc w:val="both"/>
        <w:rPr>
          <w:sz w:val="24"/>
          <w:szCs w:val="24"/>
        </w:rPr>
      </w:pPr>
      <w:r>
        <w:rPr>
          <w:sz w:val="24"/>
          <w:szCs w:val="24"/>
        </w:rPr>
        <w:t>AEP Ohio alleges that the current ESP is more favorable than the otherwise applicable market rate offer outcome by $78.5 million and that the proposed renewable energy resources further improve that result.</w:t>
      </w:r>
      <w:r w:rsidR="0098188A">
        <w:rPr>
          <w:rStyle w:val="FootnoteReference"/>
          <w:sz w:val="24"/>
          <w:szCs w:val="24"/>
        </w:rPr>
        <w:footnoteReference w:id="90"/>
      </w:r>
      <w:r>
        <w:rPr>
          <w:sz w:val="24"/>
          <w:szCs w:val="24"/>
        </w:rPr>
        <w:t xml:space="preserve">  As IGS identified in its initial brief, AEP Ohio’s proposed renewable facilities will cost customers money during the ESP period even under AEP Ohio’s projections of market prices.</w:t>
      </w:r>
      <w:r w:rsidR="004904E8">
        <w:rPr>
          <w:rStyle w:val="FootnoteReference"/>
          <w:sz w:val="24"/>
          <w:szCs w:val="24"/>
        </w:rPr>
        <w:footnoteReference w:id="91"/>
      </w:r>
      <w:r>
        <w:rPr>
          <w:sz w:val="24"/>
          <w:szCs w:val="24"/>
        </w:rPr>
        <w:t xml:space="preserve">  Based upon more realistic market prices, it is clear that the proposed renewable facilities </w:t>
      </w:r>
      <w:r w:rsidR="00417CEA">
        <w:rPr>
          <w:sz w:val="24"/>
          <w:szCs w:val="24"/>
        </w:rPr>
        <w:t xml:space="preserve">cause the current ESP to flunk the ESP vs. MRO test by </w:t>
      </w:r>
      <w:r w:rsidR="00D331DA">
        <w:rPr>
          <w:sz w:val="24"/>
          <w:szCs w:val="24"/>
        </w:rPr>
        <w:t>approximately</w:t>
      </w:r>
      <w:r w:rsidR="00417CEA">
        <w:rPr>
          <w:sz w:val="24"/>
          <w:szCs w:val="24"/>
        </w:rPr>
        <w:t xml:space="preserve"> $100 million</w:t>
      </w:r>
      <w:r w:rsidR="008E0C1E">
        <w:rPr>
          <w:sz w:val="24"/>
          <w:szCs w:val="24"/>
        </w:rPr>
        <w:t>.</w:t>
      </w:r>
    </w:p>
    <w:p w14:paraId="5591B8F8" w14:textId="538280D6" w:rsidR="00224810" w:rsidRDefault="00417CEA" w:rsidP="00224810">
      <w:pPr>
        <w:autoSpaceDE w:val="0"/>
        <w:autoSpaceDN w:val="0"/>
        <w:adjustRightInd w:val="0"/>
        <w:spacing w:after="120" w:line="480" w:lineRule="auto"/>
        <w:ind w:firstLine="720"/>
        <w:jc w:val="both"/>
        <w:rPr>
          <w:sz w:val="24"/>
          <w:szCs w:val="24"/>
        </w:rPr>
      </w:pPr>
      <w:r>
        <w:rPr>
          <w:sz w:val="24"/>
          <w:szCs w:val="24"/>
        </w:rPr>
        <w:t>As IGS witness Leanza testified, “</w:t>
      </w:r>
      <w:r w:rsidRPr="00BA73CB">
        <w:rPr>
          <w:sz w:val="24"/>
          <w:szCs w:val="24"/>
        </w:rPr>
        <w:t>AEP’s forecast is well above what the market believes gas prices are valued a</w:t>
      </w:r>
      <w:r>
        <w:rPr>
          <w:sz w:val="24"/>
          <w:szCs w:val="24"/>
        </w:rPr>
        <w:t xml:space="preserve">t </w:t>
      </w:r>
      <w:r w:rsidRPr="00BA73CB">
        <w:rPr>
          <w:sz w:val="24"/>
          <w:szCs w:val="24"/>
        </w:rPr>
        <w:t>through 2030.</w:t>
      </w:r>
      <w:r>
        <w:rPr>
          <w:sz w:val="24"/>
          <w:szCs w:val="24"/>
        </w:rPr>
        <w:t>”</w:t>
      </w:r>
      <w:r>
        <w:rPr>
          <w:rStyle w:val="FootnoteReference"/>
          <w:sz w:val="24"/>
          <w:szCs w:val="24"/>
        </w:rPr>
        <w:footnoteReference w:id="92"/>
      </w:r>
      <w:r>
        <w:rPr>
          <w:sz w:val="24"/>
          <w:szCs w:val="24"/>
        </w:rPr>
        <w:t xml:space="preserve">  Mr. Leanza identified that in reality, natural gas is trading</w:t>
      </w:r>
      <w:r w:rsidR="00C80BCC">
        <w:rPr>
          <w:sz w:val="24"/>
          <w:szCs w:val="24"/>
        </w:rPr>
        <w:t xml:space="preserve"> at </w:t>
      </w:r>
      <w:r w:rsidR="001127CB">
        <w:rPr>
          <w:sz w:val="24"/>
          <w:szCs w:val="24"/>
        </w:rPr>
        <w:t>prices significantly lower</w:t>
      </w:r>
      <w:r>
        <w:rPr>
          <w:sz w:val="24"/>
          <w:szCs w:val="24"/>
        </w:rPr>
        <w:t xml:space="preserve"> than witness </w:t>
      </w:r>
      <w:proofErr w:type="spellStart"/>
      <w:r>
        <w:rPr>
          <w:sz w:val="24"/>
          <w:szCs w:val="24"/>
        </w:rPr>
        <w:t>Bletzacker</w:t>
      </w:r>
      <w:proofErr w:type="spellEnd"/>
      <w:r>
        <w:rPr>
          <w:sz w:val="24"/>
          <w:szCs w:val="24"/>
        </w:rPr>
        <w:t xml:space="preserve"> projects.   AEP Ohio’s overstatement of natural gas prices translates into overstated power prices.</w:t>
      </w:r>
      <w:r>
        <w:rPr>
          <w:rStyle w:val="FootnoteReference"/>
          <w:sz w:val="24"/>
          <w:szCs w:val="24"/>
        </w:rPr>
        <w:footnoteReference w:id="93"/>
      </w:r>
      <w:r>
        <w:rPr>
          <w:sz w:val="24"/>
          <w:szCs w:val="24"/>
        </w:rPr>
        <w:t xml:space="preserve">  “</w:t>
      </w:r>
      <w:r w:rsidRPr="00BA73CB">
        <w:rPr>
          <w:sz w:val="24"/>
          <w:szCs w:val="24"/>
        </w:rPr>
        <w:t>Using the average Heat Rate of 9.63 from AEP’s Nominal Forecast, a $1.00 increase in the price of natural gas will increase power prices by approximately $9.63 or $1.00 times the heat rate ratio</w:t>
      </w:r>
      <w:r>
        <w:rPr>
          <w:sz w:val="24"/>
          <w:szCs w:val="24"/>
        </w:rPr>
        <w:t>.”</w:t>
      </w:r>
      <w:r>
        <w:rPr>
          <w:rStyle w:val="FootnoteReference"/>
          <w:sz w:val="24"/>
          <w:szCs w:val="24"/>
        </w:rPr>
        <w:footnoteReference w:id="94"/>
      </w:r>
      <w:r>
        <w:rPr>
          <w:sz w:val="24"/>
          <w:szCs w:val="24"/>
        </w:rPr>
        <w:t xml:space="preserve">  “[T]</w:t>
      </w:r>
      <w:r w:rsidRPr="00D65435">
        <w:rPr>
          <w:sz w:val="24"/>
          <w:szCs w:val="24"/>
        </w:rPr>
        <w:t>he price difference of $3.09 translates to an overinflated power price by approximately $29 per megawatt hour in 2030.</w:t>
      </w:r>
      <w:r>
        <w:rPr>
          <w:sz w:val="24"/>
          <w:szCs w:val="24"/>
        </w:rPr>
        <w:t>”</w:t>
      </w:r>
      <w:r>
        <w:rPr>
          <w:rStyle w:val="FootnoteReference"/>
          <w:sz w:val="24"/>
          <w:szCs w:val="24"/>
        </w:rPr>
        <w:footnoteReference w:id="95"/>
      </w:r>
      <w:r w:rsidR="00224810">
        <w:rPr>
          <w:sz w:val="24"/>
          <w:szCs w:val="24"/>
        </w:rPr>
        <w:t xml:space="preserve">  </w:t>
      </w:r>
    </w:p>
    <w:p w14:paraId="7753D75F" w14:textId="7E078CCF" w:rsidR="00224810" w:rsidRDefault="009E1E7C" w:rsidP="00224810">
      <w:pPr>
        <w:autoSpaceDE w:val="0"/>
        <w:autoSpaceDN w:val="0"/>
        <w:adjustRightInd w:val="0"/>
        <w:spacing w:after="120" w:line="480" w:lineRule="auto"/>
        <w:ind w:firstLine="720"/>
        <w:jc w:val="both"/>
        <w:rPr>
          <w:sz w:val="24"/>
          <w:szCs w:val="24"/>
        </w:rPr>
      </w:pPr>
      <w:r>
        <w:rPr>
          <w:sz w:val="24"/>
          <w:szCs w:val="24"/>
        </w:rPr>
        <w:t>The current electric security plan will end on May 31, 2024.</w:t>
      </w:r>
      <w:r>
        <w:rPr>
          <w:rStyle w:val="FootnoteReference"/>
          <w:sz w:val="24"/>
          <w:szCs w:val="24"/>
        </w:rPr>
        <w:footnoteReference w:id="96"/>
      </w:r>
      <w:r w:rsidR="00224810">
        <w:rPr>
          <w:sz w:val="24"/>
          <w:szCs w:val="24"/>
        </w:rPr>
        <w:t xml:space="preserve">  Conservatively </w:t>
      </w:r>
      <w:proofErr w:type="gramStart"/>
      <w:r w:rsidR="00224810">
        <w:rPr>
          <w:sz w:val="24"/>
          <w:szCs w:val="24"/>
        </w:rPr>
        <w:t>assuming that</w:t>
      </w:r>
      <w:proofErr w:type="gramEnd"/>
      <w:r w:rsidR="00224810">
        <w:rPr>
          <w:sz w:val="24"/>
          <w:szCs w:val="24"/>
        </w:rPr>
        <w:t xml:space="preserve"> AEP Ohio’s forecast is overstated by $19 per megawatt hour in each year</w:t>
      </w:r>
      <w:r w:rsidR="008D3D5A">
        <w:rPr>
          <w:sz w:val="24"/>
          <w:szCs w:val="24"/>
        </w:rPr>
        <w:t xml:space="preserve"> (the overstatement is actually higher)</w:t>
      </w:r>
      <w:r w:rsidR="00224810">
        <w:rPr>
          <w:sz w:val="24"/>
          <w:szCs w:val="24"/>
        </w:rPr>
        <w:t>, it is clear that the proposed solar resources will rack up $67.7 million in losses through the end of the ESP term.</w:t>
      </w:r>
      <w:r w:rsidR="00224810">
        <w:rPr>
          <w:rStyle w:val="FootnoteReference"/>
          <w:sz w:val="24"/>
          <w:szCs w:val="24"/>
        </w:rPr>
        <w:footnoteReference w:id="97"/>
      </w:r>
      <w:r w:rsidR="00224810">
        <w:rPr>
          <w:sz w:val="24"/>
          <w:szCs w:val="24"/>
        </w:rPr>
        <w:t xml:space="preserve">  </w:t>
      </w:r>
    </w:p>
    <w:p w14:paraId="2D2B46E6" w14:textId="60DCE49E" w:rsidR="00224810" w:rsidRDefault="00224810" w:rsidP="00224810">
      <w:pPr>
        <w:autoSpaceDE w:val="0"/>
        <w:autoSpaceDN w:val="0"/>
        <w:adjustRightInd w:val="0"/>
        <w:spacing w:after="120" w:line="480" w:lineRule="auto"/>
        <w:jc w:val="center"/>
        <w:rPr>
          <w:sz w:val="24"/>
          <w:szCs w:val="24"/>
        </w:rPr>
      </w:pPr>
      <w:r w:rsidRPr="00224810">
        <w:rPr>
          <w:noProof/>
        </w:rPr>
        <w:drawing>
          <wp:inline distT="0" distB="0" distL="0" distR="0" wp14:anchorId="528AA17D" wp14:editId="55D83651">
            <wp:extent cx="5943600" cy="144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1447800"/>
                    </a:xfrm>
                    <a:prstGeom prst="rect">
                      <a:avLst/>
                    </a:prstGeom>
                    <a:noFill/>
                    <a:ln>
                      <a:noFill/>
                    </a:ln>
                  </pic:spPr>
                </pic:pic>
              </a:graphicData>
            </a:graphic>
          </wp:inline>
        </w:drawing>
      </w:r>
    </w:p>
    <w:p w14:paraId="20D5A716" w14:textId="60DE2990" w:rsidR="00224810" w:rsidRDefault="00224810" w:rsidP="00917629">
      <w:pPr>
        <w:autoSpaceDE w:val="0"/>
        <w:autoSpaceDN w:val="0"/>
        <w:adjustRightInd w:val="0"/>
        <w:spacing w:after="120" w:line="480" w:lineRule="auto"/>
        <w:jc w:val="both"/>
        <w:rPr>
          <w:sz w:val="24"/>
          <w:szCs w:val="24"/>
        </w:rPr>
      </w:pPr>
      <w:r>
        <w:rPr>
          <w:sz w:val="24"/>
          <w:szCs w:val="24"/>
        </w:rPr>
        <w:t>Even if one assumes that the solar resources receive capacity compensation, the revenue only reduces the projected losses by a few million dollars within the ESP period.</w:t>
      </w:r>
      <w:r w:rsidR="00667E94">
        <w:rPr>
          <w:rStyle w:val="FootnoteReference"/>
          <w:sz w:val="24"/>
          <w:szCs w:val="24"/>
        </w:rPr>
        <w:footnoteReference w:id="98"/>
      </w:r>
    </w:p>
    <w:p w14:paraId="5A66BF63" w14:textId="0ED0541C" w:rsidR="00224810" w:rsidRDefault="00224810" w:rsidP="00224810">
      <w:pPr>
        <w:autoSpaceDE w:val="0"/>
        <w:autoSpaceDN w:val="0"/>
        <w:adjustRightInd w:val="0"/>
        <w:spacing w:after="120" w:line="480" w:lineRule="auto"/>
        <w:ind w:firstLine="720"/>
        <w:jc w:val="both"/>
        <w:rPr>
          <w:sz w:val="24"/>
          <w:szCs w:val="24"/>
        </w:rPr>
      </w:pPr>
      <w:r>
        <w:rPr>
          <w:sz w:val="24"/>
          <w:szCs w:val="24"/>
        </w:rPr>
        <w:t xml:space="preserve">Likewise, </w:t>
      </w:r>
      <w:r w:rsidR="00D331DA">
        <w:rPr>
          <w:sz w:val="24"/>
          <w:szCs w:val="24"/>
        </w:rPr>
        <w:t>under more realistic market expectations, the proposed wind resources would rack up</w:t>
      </w:r>
      <w:r>
        <w:rPr>
          <w:sz w:val="24"/>
          <w:szCs w:val="24"/>
        </w:rPr>
        <w:t xml:space="preserve"> $10</w:t>
      </w:r>
      <w:r w:rsidR="00D331DA">
        <w:rPr>
          <w:sz w:val="24"/>
          <w:szCs w:val="24"/>
        </w:rPr>
        <w:t>9</w:t>
      </w:r>
      <w:r>
        <w:rPr>
          <w:sz w:val="24"/>
          <w:szCs w:val="24"/>
        </w:rPr>
        <w:t xml:space="preserve"> million</w:t>
      </w:r>
      <w:r w:rsidR="00D331DA">
        <w:rPr>
          <w:sz w:val="24"/>
          <w:szCs w:val="24"/>
        </w:rPr>
        <w:t xml:space="preserve"> in losses</w:t>
      </w:r>
      <w:r>
        <w:rPr>
          <w:sz w:val="24"/>
          <w:szCs w:val="24"/>
        </w:rPr>
        <w:t xml:space="preserve"> within the ESP period.</w:t>
      </w:r>
      <w:r w:rsidR="00F47B27">
        <w:rPr>
          <w:rStyle w:val="FootnoteReference"/>
          <w:sz w:val="24"/>
          <w:szCs w:val="24"/>
        </w:rPr>
        <w:footnoteReference w:id="99"/>
      </w:r>
      <w:r>
        <w:rPr>
          <w:sz w:val="24"/>
          <w:szCs w:val="24"/>
        </w:rPr>
        <w:t xml:space="preserve">  </w:t>
      </w:r>
    </w:p>
    <w:p w14:paraId="13E91666" w14:textId="5DDD17CC" w:rsidR="00224810" w:rsidRDefault="00224810" w:rsidP="00224810">
      <w:pPr>
        <w:autoSpaceDE w:val="0"/>
        <w:autoSpaceDN w:val="0"/>
        <w:adjustRightInd w:val="0"/>
        <w:spacing w:after="120" w:line="480" w:lineRule="auto"/>
        <w:jc w:val="both"/>
        <w:rPr>
          <w:sz w:val="24"/>
          <w:szCs w:val="24"/>
        </w:rPr>
      </w:pPr>
      <w:r w:rsidRPr="00224810">
        <w:rPr>
          <w:noProof/>
        </w:rPr>
        <w:drawing>
          <wp:inline distT="0" distB="0" distL="0" distR="0" wp14:anchorId="5AA2DA0A" wp14:editId="5DF091EC">
            <wp:extent cx="5943600" cy="1212273"/>
            <wp:effectExtent l="0" t="0" r="0"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1212273"/>
                    </a:xfrm>
                    <a:prstGeom prst="rect">
                      <a:avLst/>
                    </a:prstGeom>
                    <a:noFill/>
                    <a:ln>
                      <a:noFill/>
                    </a:ln>
                  </pic:spPr>
                </pic:pic>
              </a:graphicData>
            </a:graphic>
          </wp:inline>
        </w:drawing>
      </w:r>
    </w:p>
    <w:p w14:paraId="2D701A6F" w14:textId="46C9C177" w:rsidR="00E123A8" w:rsidRDefault="00224810" w:rsidP="00D331DA">
      <w:pPr>
        <w:autoSpaceDE w:val="0"/>
        <w:autoSpaceDN w:val="0"/>
        <w:adjustRightInd w:val="0"/>
        <w:spacing w:after="120" w:line="480" w:lineRule="auto"/>
        <w:jc w:val="both"/>
        <w:rPr>
          <w:sz w:val="24"/>
          <w:szCs w:val="24"/>
        </w:rPr>
      </w:pPr>
      <w:r>
        <w:rPr>
          <w:sz w:val="24"/>
          <w:szCs w:val="24"/>
        </w:rPr>
        <w:t>Including capacity revenue in the calculation only reduces the projected loss by $1 million.</w:t>
      </w:r>
      <w:r w:rsidR="00F47B27">
        <w:rPr>
          <w:rStyle w:val="FootnoteReference"/>
          <w:sz w:val="24"/>
          <w:szCs w:val="24"/>
        </w:rPr>
        <w:footnoteReference w:id="100"/>
      </w:r>
      <w:r>
        <w:rPr>
          <w:sz w:val="24"/>
          <w:szCs w:val="24"/>
        </w:rPr>
        <w:t xml:space="preserve">  </w:t>
      </w:r>
    </w:p>
    <w:p w14:paraId="50DE0FEA" w14:textId="6BD07349" w:rsidR="00DE0FEB" w:rsidRDefault="00D331DA" w:rsidP="0070580E">
      <w:pPr>
        <w:autoSpaceDE w:val="0"/>
        <w:autoSpaceDN w:val="0"/>
        <w:adjustRightInd w:val="0"/>
        <w:spacing w:after="120" w:line="480" w:lineRule="auto"/>
        <w:ind w:firstLine="720"/>
        <w:jc w:val="both"/>
        <w:rPr>
          <w:sz w:val="24"/>
          <w:szCs w:val="24"/>
        </w:rPr>
      </w:pPr>
      <w:r>
        <w:rPr>
          <w:sz w:val="24"/>
          <w:szCs w:val="24"/>
        </w:rPr>
        <w:t>In total, the proposed renewable facilities would cost customers over $176 million.</w:t>
      </w:r>
      <w:r w:rsidR="006F3549">
        <w:rPr>
          <w:sz w:val="24"/>
          <w:szCs w:val="24"/>
        </w:rPr>
        <w:t xml:space="preserve">  AEP Ohio’s purported LMP price suppression impacts—approximately $1-2 million per year on a nominal basis</w:t>
      </w:r>
      <w:r w:rsidR="006F3549">
        <w:rPr>
          <w:rStyle w:val="FootnoteReference"/>
          <w:sz w:val="24"/>
          <w:szCs w:val="24"/>
        </w:rPr>
        <w:footnoteReference w:id="101"/>
      </w:r>
      <w:r w:rsidR="006F3549">
        <w:rPr>
          <w:sz w:val="24"/>
          <w:szCs w:val="24"/>
        </w:rPr>
        <w:t>—cannot overcome this deficit, even if one ignores the additional costs that the proposed renewable facilities would place on the system.</w:t>
      </w:r>
      <w:r w:rsidR="006F3549">
        <w:rPr>
          <w:rStyle w:val="FootnoteReference"/>
          <w:sz w:val="24"/>
          <w:szCs w:val="24"/>
        </w:rPr>
        <w:footnoteReference w:id="102"/>
      </w:r>
      <w:r w:rsidR="006F3549">
        <w:rPr>
          <w:sz w:val="24"/>
          <w:szCs w:val="24"/>
        </w:rPr>
        <w:t xml:space="preserve"> </w:t>
      </w:r>
      <w:r>
        <w:rPr>
          <w:sz w:val="24"/>
          <w:szCs w:val="24"/>
        </w:rPr>
        <w:t xml:space="preserve">  Consequently, AEP Ohio’s proposal </w:t>
      </w:r>
      <w:r w:rsidR="00CF70C5">
        <w:rPr>
          <w:sz w:val="24"/>
          <w:szCs w:val="24"/>
        </w:rPr>
        <w:t xml:space="preserve">turns the ESP from a </w:t>
      </w:r>
      <w:r w:rsidR="002536B3">
        <w:rPr>
          <w:sz w:val="24"/>
          <w:szCs w:val="24"/>
        </w:rPr>
        <w:t>$78.5 million benefit to</w:t>
      </w:r>
      <w:r>
        <w:rPr>
          <w:sz w:val="24"/>
          <w:szCs w:val="24"/>
        </w:rPr>
        <w:t xml:space="preserve"> </w:t>
      </w:r>
      <w:r w:rsidR="002536B3">
        <w:rPr>
          <w:sz w:val="24"/>
          <w:szCs w:val="24"/>
        </w:rPr>
        <w:t xml:space="preserve">$100 million loss, which causes </w:t>
      </w:r>
      <w:r>
        <w:rPr>
          <w:sz w:val="24"/>
          <w:szCs w:val="24"/>
        </w:rPr>
        <w:t>the ESP to flunk the MRO test.</w:t>
      </w:r>
      <w:r w:rsidR="006F3549">
        <w:rPr>
          <w:sz w:val="24"/>
          <w:szCs w:val="24"/>
        </w:rPr>
        <w:t xml:space="preserve"> </w:t>
      </w:r>
    </w:p>
    <w:p w14:paraId="1EC52EE5" w14:textId="43DBDB9C" w:rsidR="00243CA9" w:rsidRPr="0070580E" w:rsidRDefault="00DE0FEB" w:rsidP="0070580E">
      <w:pPr>
        <w:autoSpaceDE w:val="0"/>
        <w:autoSpaceDN w:val="0"/>
        <w:adjustRightInd w:val="0"/>
        <w:spacing w:after="120" w:line="480" w:lineRule="auto"/>
        <w:ind w:firstLine="720"/>
        <w:jc w:val="both"/>
        <w:rPr>
          <w:sz w:val="24"/>
          <w:szCs w:val="24"/>
        </w:rPr>
      </w:pPr>
      <w:r>
        <w:rPr>
          <w:sz w:val="24"/>
          <w:szCs w:val="24"/>
        </w:rPr>
        <w:t xml:space="preserve">Of course, the losses associated with AEP Ohio’s proposal only </w:t>
      </w:r>
      <w:r w:rsidR="00F56C43">
        <w:rPr>
          <w:sz w:val="24"/>
          <w:szCs w:val="24"/>
        </w:rPr>
        <w:t xml:space="preserve">grow over </w:t>
      </w:r>
      <w:r>
        <w:rPr>
          <w:sz w:val="24"/>
          <w:szCs w:val="24"/>
        </w:rPr>
        <w:t xml:space="preserve">time.  As IGS witness Leanza identified, based upon </w:t>
      </w:r>
      <w:r w:rsidR="005E2E8F">
        <w:rPr>
          <w:sz w:val="24"/>
          <w:szCs w:val="24"/>
        </w:rPr>
        <w:t>a more realistic view of market prices, AEP Ohio has overstated the price of energy by between $19-$</w:t>
      </w:r>
      <w:r w:rsidR="008F2A70">
        <w:rPr>
          <w:sz w:val="24"/>
          <w:szCs w:val="24"/>
        </w:rPr>
        <w:t>29</w:t>
      </w:r>
      <w:r w:rsidR="005E2E8F">
        <w:rPr>
          <w:sz w:val="24"/>
          <w:szCs w:val="24"/>
        </w:rPr>
        <w:t xml:space="preserve"> per megawatt hour</w:t>
      </w:r>
      <w:r w:rsidR="00C12F94">
        <w:rPr>
          <w:sz w:val="24"/>
          <w:szCs w:val="24"/>
        </w:rPr>
        <w:t>.</w:t>
      </w:r>
      <w:r w:rsidR="00A246E3">
        <w:rPr>
          <w:rStyle w:val="FootnoteReference"/>
          <w:sz w:val="24"/>
          <w:szCs w:val="24"/>
        </w:rPr>
        <w:footnoteReference w:id="103"/>
      </w:r>
      <w:r w:rsidR="00C12F94">
        <w:rPr>
          <w:sz w:val="24"/>
          <w:szCs w:val="24"/>
        </w:rPr>
        <w:t xml:space="preserve">  The differential between AEP Ohio’s forecast and reality is greater and closer to $30 per megawatt hour after 2025</w:t>
      </w:r>
      <w:r w:rsidR="00F56C43">
        <w:rPr>
          <w:sz w:val="24"/>
          <w:szCs w:val="24"/>
        </w:rPr>
        <w:t>.</w:t>
      </w:r>
      <w:r w:rsidR="00DF545B">
        <w:rPr>
          <w:rStyle w:val="FootnoteReference"/>
          <w:sz w:val="24"/>
          <w:szCs w:val="24"/>
        </w:rPr>
        <w:footnoteReference w:id="104"/>
      </w:r>
      <w:r w:rsidR="00F56C43">
        <w:rPr>
          <w:sz w:val="24"/>
          <w:szCs w:val="24"/>
        </w:rPr>
        <w:t xml:space="preserve">  Thus, AEP Ohio’s proposal is</w:t>
      </w:r>
      <w:r w:rsidR="00DF216F">
        <w:rPr>
          <w:sz w:val="24"/>
          <w:szCs w:val="24"/>
        </w:rPr>
        <w:t xml:space="preserve"> also</w:t>
      </w:r>
      <w:r w:rsidR="00F56C43">
        <w:rPr>
          <w:sz w:val="24"/>
          <w:szCs w:val="24"/>
        </w:rPr>
        <w:t xml:space="preserve"> not in customers’ best interests</w:t>
      </w:r>
      <w:r w:rsidR="00BC582B">
        <w:rPr>
          <w:sz w:val="24"/>
          <w:szCs w:val="24"/>
        </w:rPr>
        <w:t xml:space="preserve"> over a longer-term view.</w:t>
      </w:r>
    </w:p>
    <w:p w14:paraId="2A4DBCC4" w14:textId="1C485D62" w:rsidR="00733348" w:rsidRPr="00486E95" w:rsidRDefault="00733348" w:rsidP="00486E95">
      <w:pPr>
        <w:pStyle w:val="ListParagraph"/>
        <w:numPr>
          <w:ilvl w:val="0"/>
          <w:numId w:val="30"/>
        </w:numPr>
        <w:autoSpaceDE w:val="0"/>
        <w:autoSpaceDN w:val="0"/>
        <w:adjustRightInd w:val="0"/>
        <w:spacing w:after="120" w:line="240" w:lineRule="auto"/>
        <w:jc w:val="both"/>
        <w:rPr>
          <w:b/>
          <w:sz w:val="24"/>
          <w:szCs w:val="24"/>
        </w:rPr>
      </w:pPr>
      <w:r w:rsidRPr="00486E95">
        <w:rPr>
          <w:b/>
          <w:sz w:val="24"/>
          <w:szCs w:val="24"/>
        </w:rPr>
        <w:t>The projects will have little impact on Ohio’s generation mix, accept for the possibility of discouraging market-based development of generation resources</w:t>
      </w:r>
    </w:p>
    <w:p w14:paraId="2B1C6256" w14:textId="5CADB083" w:rsidR="00733348" w:rsidRDefault="00733348" w:rsidP="00733348">
      <w:pPr>
        <w:autoSpaceDE w:val="0"/>
        <w:autoSpaceDN w:val="0"/>
        <w:adjustRightInd w:val="0"/>
        <w:spacing w:after="120" w:line="480" w:lineRule="auto"/>
        <w:ind w:firstLine="720"/>
        <w:jc w:val="both"/>
        <w:rPr>
          <w:sz w:val="24"/>
          <w:szCs w:val="24"/>
        </w:rPr>
      </w:pPr>
      <w:r>
        <w:rPr>
          <w:sz w:val="24"/>
          <w:szCs w:val="24"/>
        </w:rPr>
        <w:t>AEP claims that Ohio has been a net importer for years and that this gap will continue to widen.</w:t>
      </w:r>
      <w:r w:rsidR="00CE60DC">
        <w:rPr>
          <w:rStyle w:val="FootnoteReference"/>
          <w:sz w:val="24"/>
          <w:szCs w:val="24"/>
        </w:rPr>
        <w:footnoteReference w:id="105"/>
      </w:r>
      <w:r>
        <w:rPr>
          <w:sz w:val="24"/>
          <w:szCs w:val="24"/>
        </w:rPr>
        <w:t xml:space="preserve"> AEP Ohio claims that the “</w:t>
      </w:r>
      <w:r w:rsidRPr="00733348">
        <w:rPr>
          <w:sz w:val="24"/>
          <w:szCs w:val="24"/>
        </w:rPr>
        <w:t>addition of up to 900 MW in renewable energy resources in</w:t>
      </w:r>
      <w:r>
        <w:rPr>
          <w:sz w:val="24"/>
          <w:szCs w:val="24"/>
        </w:rPr>
        <w:t xml:space="preserve"> </w:t>
      </w:r>
      <w:r w:rsidRPr="00733348">
        <w:rPr>
          <w:sz w:val="24"/>
          <w:szCs w:val="24"/>
        </w:rPr>
        <w:t>Ohio could help ameliorate this imbalance</w:t>
      </w:r>
      <w:r>
        <w:rPr>
          <w:sz w:val="24"/>
          <w:szCs w:val="24"/>
        </w:rPr>
        <w:t>.”</w:t>
      </w:r>
      <w:r>
        <w:rPr>
          <w:rStyle w:val="FootnoteReference"/>
          <w:sz w:val="24"/>
          <w:szCs w:val="24"/>
        </w:rPr>
        <w:footnoteReference w:id="106"/>
      </w:r>
      <w:r>
        <w:rPr>
          <w:sz w:val="24"/>
          <w:szCs w:val="24"/>
        </w:rPr>
        <w:t xml:space="preserve">  AEP Ohio’s argument rings hollow for several reasons.</w:t>
      </w:r>
    </w:p>
    <w:p w14:paraId="6DB22A7A" w14:textId="021B88D3" w:rsidR="0074202F" w:rsidRDefault="00733348" w:rsidP="0074202F">
      <w:pPr>
        <w:autoSpaceDE w:val="0"/>
        <w:autoSpaceDN w:val="0"/>
        <w:adjustRightInd w:val="0"/>
        <w:spacing w:after="120" w:line="480" w:lineRule="auto"/>
        <w:ind w:firstLine="720"/>
        <w:jc w:val="both"/>
        <w:rPr>
          <w:sz w:val="24"/>
          <w:szCs w:val="24"/>
        </w:rPr>
      </w:pPr>
      <w:r>
        <w:rPr>
          <w:sz w:val="24"/>
          <w:szCs w:val="24"/>
        </w:rPr>
        <w:t>First, the physical location of generation resources is irrelevant</w:t>
      </w:r>
      <w:r w:rsidR="00873B55">
        <w:rPr>
          <w:sz w:val="24"/>
          <w:szCs w:val="24"/>
        </w:rPr>
        <w:t>.</w:t>
      </w:r>
      <w:r w:rsidR="00F346EE">
        <w:rPr>
          <w:sz w:val="24"/>
          <w:szCs w:val="24"/>
        </w:rPr>
        <w:t xml:space="preserve"> </w:t>
      </w:r>
      <w:r w:rsidR="00873B55">
        <w:rPr>
          <w:sz w:val="24"/>
          <w:szCs w:val="24"/>
        </w:rPr>
        <w:t xml:space="preserve"> </w:t>
      </w:r>
      <w:r w:rsidR="00CE237D">
        <w:rPr>
          <w:sz w:val="24"/>
          <w:szCs w:val="24"/>
        </w:rPr>
        <w:t>The electrons do</w:t>
      </w:r>
      <w:r w:rsidR="0074202F">
        <w:rPr>
          <w:sz w:val="24"/>
          <w:szCs w:val="24"/>
        </w:rPr>
        <w:t xml:space="preserve"> not suddenly</w:t>
      </w:r>
      <w:r w:rsidR="00CE237D">
        <w:rPr>
          <w:sz w:val="24"/>
          <w:szCs w:val="24"/>
        </w:rPr>
        <w:t xml:space="preserve"> become shy when they come to a state line. What matters is that</w:t>
      </w:r>
      <w:r>
        <w:rPr>
          <w:sz w:val="24"/>
          <w:szCs w:val="24"/>
        </w:rPr>
        <w:t xml:space="preserve"> electricity is deliverable where it is needed over transmission lines. </w:t>
      </w:r>
      <w:r w:rsidR="0074202F">
        <w:rPr>
          <w:sz w:val="24"/>
          <w:szCs w:val="24"/>
        </w:rPr>
        <w:t>Perhaps that is why when AEP Ohio was vertically integrated it relied upon several thousand megawatts of out-of-state baseload generation to serve its customers.</w:t>
      </w:r>
      <w:r w:rsidR="0074202F">
        <w:rPr>
          <w:rStyle w:val="FootnoteReference"/>
          <w:sz w:val="24"/>
          <w:szCs w:val="24"/>
        </w:rPr>
        <w:footnoteReference w:id="107"/>
      </w:r>
      <w:r w:rsidR="006675C8">
        <w:rPr>
          <w:sz w:val="24"/>
          <w:szCs w:val="24"/>
        </w:rPr>
        <w:t xml:space="preserve">  </w:t>
      </w:r>
    </w:p>
    <w:p w14:paraId="42071CB9" w14:textId="12DB4591" w:rsidR="00CE237D" w:rsidRDefault="0074202F" w:rsidP="00CE237D">
      <w:pPr>
        <w:autoSpaceDE w:val="0"/>
        <w:autoSpaceDN w:val="0"/>
        <w:adjustRightInd w:val="0"/>
        <w:spacing w:after="120" w:line="480" w:lineRule="auto"/>
        <w:ind w:firstLine="720"/>
        <w:jc w:val="both"/>
        <w:rPr>
          <w:sz w:val="24"/>
          <w:szCs w:val="24"/>
        </w:rPr>
      </w:pPr>
      <w:r>
        <w:rPr>
          <w:sz w:val="24"/>
          <w:szCs w:val="24"/>
        </w:rPr>
        <w:t xml:space="preserve">Second, there is nothing wrong with </w:t>
      </w:r>
      <w:r w:rsidR="00CE237D">
        <w:rPr>
          <w:sz w:val="24"/>
          <w:szCs w:val="24"/>
        </w:rPr>
        <w:t xml:space="preserve">Ohio’s current generation portfolio.  </w:t>
      </w:r>
      <w:r>
        <w:rPr>
          <w:sz w:val="24"/>
          <w:szCs w:val="24"/>
        </w:rPr>
        <w:t xml:space="preserve">AEP Ohio’s proposal is a manufactured solution desperately seeking a problem where none exists. </w:t>
      </w:r>
      <w:r w:rsidR="00CE237D">
        <w:rPr>
          <w:sz w:val="24"/>
          <w:szCs w:val="24"/>
        </w:rPr>
        <w:t xml:space="preserve"> </w:t>
      </w:r>
      <w:r w:rsidRPr="0074202F">
        <w:rPr>
          <w:sz w:val="24"/>
          <w:szCs w:val="24"/>
        </w:rPr>
        <w:t>Ohio is currently experiencing a prolonged period of historically low electricity prices.</w:t>
      </w:r>
      <w:r w:rsidR="00620962">
        <w:rPr>
          <w:rStyle w:val="FootnoteReference"/>
          <w:sz w:val="24"/>
          <w:szCs w:val="24"/>
        </w:rPr>
        <w:footnoteReference w:id="108"/>
      </w:r>
      <w:r>
        <w:rPr>
          <w:sz w:val="24"/>
          <w:szCs w:val="24"/>
        </w:rPr>
        <w:t xml:space="preserve">  These prices exist because PJM’s markets are working.</w:t>
      </w:r>
      <w:r w:rsidRPr="0074202F">
        <w:rPr>
          <w:sz w:val="24"/>
          <w:szCs w:val="24"/>
        </w:rPr>
        <w:t xml:space="preserve">  </w:t>
      </w:r>
    </w:p>
    <w:p w14:paraId="379DF37C" w14:textId="646B4893" w:rsidR="00733348" w:rsidRPr="00733348" w:rsidRDefault="0074202F" w:rsidP="00733348">
      <w:pPr>
        <w:autoSpaceDE w:val="0"/>
        <w:autoSpaceDN w:val="0"/>
        <w:adjustRightInd w:val="0"/>
        <w:spacing w:after="120" w:line="480" w:lineRule="auto"/>
        <w:ind w:firstLine="720"/>
        <w:jc w:val="both"/>
        <w:rPr>
          <w:sz w:val="24"/>
          <w:szCs w:val="24"/>
        </w:rPr>
      </w:pPr>
      <w:r>
        <w:rPr>
          <w:sz w:val="24"/>
          <w:szCs w:val="24"/>
        </w:rPr>
        <w:t>Third, the General Assembly itself has determined that the location of generation resources is of no moment.  Through the passage of Senate Bill 310, the General Assembly explicitly eliminated the requirement that load serving entities must procure electricity from resources that are physically located within the state of Ohio.</w:t>
      </w:r>
      <w:r w:rsidR="00494A41">
        <w:rPr>
          <w:rStyle w:val="FootnoteReference"/>
          <w:sz w:val="24"/>
          <w:szCs w:val="24"/>
        </w:rPr>
        <w:footnoteReference w:id="109"/>
      </w:r>
      <w:r>
        <w:rPr>
          <w:sz w:val="24"/>
          <w:szCs w:val="24"/>
        </w:rPr>
        <w:t xml:space="preserve">  A stronger indication of the General Assembly’s intent is harder to find for purposes of establishing policy on the location of generation resources.</w:t>
      </w:r>
      <w:r w:rsidR="00CE237D">
        <w:rPr>
          <w:sz w:val="24"/>
          <w:szCs w:val="24"/>
        </w:rPr>
        <w:t xml:space="preserve"> </w:t>
      </w:r>
    </w:p>
    <w:p w14:paraId="53CCA706" w14:textId="68F656B7" w:rsidR="0074202F" w:rsidRPr="00654C58" w:rsidRDefault="00061781" w:rsidP="00934C71">
      <w:pPr>
        <w:pStyle w:val="ListParagraph"/>
        <w:numPr>
          <w:ilvl w:val="0"/>
          <w:numId w:val="30"/>
        </w:numPr>
        <w:autoSpaceDE w:val="0"/>
        <w:autoSpaceDN w:val="0"/>
        <w:adjustRightInd w:val="0"/>
        <w:spacing w:after="120" w:line="240" w:lineRule="auto"/>
        <w:jc w:val="both"/>
        <w:rPr>
          <w:b/>
          <w:sz w:val="24"/>
          <w:szCs w:val="24"/>
        </w:rPr>
      </w:pPr>
      <w:r>
        <w:rPr>
          <w:b/>
          <w:sz w:val="24"/>
          <w:szCs w:val="24"/>
        </w:rPr>
        <w:t xml:space="preserve">AEP Ohio’s proposal will discourage more </w:t>
      </w:r>
      <w:r w:rsidR="00934C71">
        <w:rPr>
          <w:b/>
          <w:sz w:val="24"/>
          <w:szCs w:val="24"/>
        </w:rPr>
        <w:t>ben</w:t>
      </w:r>
      <w:r w:rsidR="00CB0B93">
        <w:rPr>
          <w:b/>
          <w:sz w:val="24"/>
          <w:szCs w:val="24"/>
        </w:rPr>
        <w:t>e</w:t>
      </w:r>
      <w:r w:rsidR="00934C71">
        <w:rPr>
          <w:b/>
          <w:sz w:val="24"/>
          <w:szCs w:val="24"/>
        </w:rPr>
        <w:t>ficial</w:t>
      </w:r>
      <w:r>
        <w:rPr>
          <w:b/>
          <w:sz w:val="24"/>
          <w:szCs w:val="24"/>
        </w:rPr>
        <w:t xml:space="preserve"> market-based approaches</w:t>
      </w:r>
    </w:p>
    <w:p w14:paraId="72614AB9" w14:textId="620EE636" w:rsidR="00625274" w:rsidRDefault="00AC5A86" w:rsidP="006E0291">
      <w:pPr>
        <w:autoSpaceDE w:val="0"/>
        <w:autoSpaceDN w:val="0"/>
        <w:adjustRightInd w:val="0"/>
        <w:spacing w:after="120" w:line="480" w:lineRule="auto"/>
        <w:ind w:firstLine="720"/>
        <w:jc w:val="both"/>
        <w:rPr>
          <w:sz w:val="24"/>
          <w:szCs w:val="24"/>
        </w:rPr>
      </w:pPr>
      <w:r>
        <w:rPr>
          <w:sz w:val="24"/>
          <w:szCs w:val="24"/>
        </w:rPr>
        <w:t>AEP Ohio further argues that its proposal is complementary to market-based development rather than as a substitute for such resources.</w:t>
      </w:r>
      <w:r w:rsidR="00CB0B93">
        <w:rPr>
          <w:rStyle w:val="FootnoteReference"/>
          <w:sz w:val="24"/>
          <w:szCs w:val="24"/>
        </w:rPr>
        <w:footnoteReference w:id="110"/>
      </w:r>
      <w:r w:rsidR="001B51C7">
        <w:rPr>
          <w:sz w:val="24"/>
          <w:szCs w:val="24"/>
        </w:rPr>
        <w:t xml:space="preserve">  </w:t>
      </w:r>
      <w:r w:rsidR="00F7428E">
        <w:rPr>
          <w:sz w:val="24"/>
          <w:szCs w:val="24"/>
        </w:rPr>
        <w:t xml:space="preserve">AEP Ohio </w:t>
      </w:r>
      <w:r w:rsidR="004D70DD">
        <w:rPr>
          <w:sz w:val="24"/>
          <w:szCs w:val="24"/>
        </w:rPr>
        <w:t xml:space="preserve">goes as far to claim that IGS testified that the flood of renewable energy credits will not impact </w:t>
      </w:r>
      <w:r w:rsidR="006E0291">
        <w:rPr>
          <w:sz w:val="24"/>
          <w:szCs w:val="24"/>
        </w:rPr>
        <w:t>the development of renewable resources by the market.</w:t>
      </w:r>
      <w:r w:rsidR="00790825">
        <w:rPr>
          <w:rStyle w:val="FootnoteReference"/>
          <w:sz w:val="24"/>
          <w:szCs w:val="24"/>
        </w:rPr>
        <w:footnoteReference w:id="111"/>
      </w:r>
      <w:r w:rsidR="006E0291">
        <w:rPr>
          <w:sz w:val="24"/>
          <w:szCs w:val="24"/>
        </w:rPr>
        <w:t xml:space="preserve">  AEP Ohio mischaracterizes the record and its arguments are disconnected from </w:t>
      </w:r>
      <w:r w:rsidR="00B73CB7">
        <w:rPr>
          <w:sz w:val="24"/>
          <w:szCs w:val="24"/>
        </w:rPr>
        <w:t>reality.</w:t>
      </w:r>
    </w:p>
    <w:p w14:paraId="538D96DA" w14:textId="5A7046CE" w:rsidR="00AC0793" w:rsidRDefault="00B73CB7" w:rsidP="005D02B8">
      <w:pPr>
        <w:autoSpaceDE w:val="0"/>
        <w:autoSpaceDN w:val="0"/>
        <w:adjustRightInd w:val="0"/>
        <w:spacing w:after="120" w:line="480" w:lineRule="auto"/>
        <w:ind w:firstLine="720"/>
        <w:jc w:val="both"/>
        <w:rPr>
          <w:sz w:val="24"/>
          <w:szCs w:val="24"/>
        </w:rPr>
      </w:pPr>
      <w:r>
        <w:rPr>
          <w:sz w:val="24"/>
          <w:szCs w:val="24"/>
        </w:rPr>
        <w:t xml:space="preserve">Contrary to AEP Ohio’s </w:t>
      </w:r>
      <w:r w:rsidR="0049507B">
        <w:rPr>
          <w:sz w:val="24"/>
          <w:szCs w:val="24"/>
        </w:rPr>
        <w:t>misleading claim, IGS did not testify that the flood of RECs will have no impact on the development of renewable resource.</w:t>
      </w:r>
      <w:r w:rsidR="00790825">
        <w:rPr>
          <w:rStyle w:val="FootnoteReference"/>
          <w:sz w:val="24"/>
          <w:szCs w:val="24"/>
        </w:rPr>
        <w:footnoteReference w:id="112"/>
      </w:r>
      <w:r w:rsidR="0049507B">
        <w:rPr>
          <w:sz w:val="24"/>
          <w:szCs w:val="24"/>
        </w:rPr>
        <w:t xml:space="preserve"> Rather, witness Rengstorf stated </w:t>
      </w:r>
      <w:r w:rsidR="00824C6E">
        <w:rPr>
          <w:sz w:val="24"/>
          <w:szCs w:val="24"/>
        </w:rPr>
        <w:t xml:space="preserve">IGS has assumed that </w:t>
      </w:r>
      <w:r w:rsidR="00860D58">
        <w:rPr>
          <w:sz w:val="24"/>
          <w:szCs w:val="24"/>
        </w:rPr>
        <w:t>the supply and demand for RECS grow on a normal scale, and “</w:t>
      </w:r>
      <w:r w:rsidR="00960A6A">
        <w:rPr>
          <w:sz w:val="24"/>
          <w:szCs w:val="24"/>
        </w:rPr>
        <w:t>[w]</w:t>
      </w:r>
      <w:r w:rsidR="0049507B" w:rsidRPr="0049507B">
        <w:rPr>
          <w:sz w:val="24"/>
          <w:szCs w:val="24"/>
        </w:rPr>
        <w:t>e didn't price in the</w:t>
      </w:r>
      <w:r w:rsidR="0049507B">
        <w:rPr>
          <w:sz w:val="24"/>
          <w:szCs w:val="24"/>
        </w:rPr>
        <w:t xml:space="preserve"> </w:t>
      </w:r>
      <w:r w:rsidR="0049507B" w:rsidRPr="0049507B">
        <w:rPr>
          <w:sz w:val="24"/>
          <w:szCs w:val="24"/>
        </w:rPr>
        <w:t>additional flow of these RECs which we view would</w:t>
      </w:r>
      <w:r w:rsidR="0049507B">
        <w:rPr>
          <w:sz w:val="24"/>
          <w:szCs w:val="24"/>
        </w:rPr>
        <w:t xml:space="preserve"> </w:t>
      </w:r>
      <w:r w:rsidR="0049507B" w:rsidRPr="0049507B">
        <w:rPr>
          <w:sz w:val="24"/>
          <w:szCs w:val="24"/>
        </w:rPr>
        <w:t>suppress pricing, so we have not begun to do that</w:t>
      </w:r>
      <w:r w:rsidR="008B2116">
        <w:rPr>
          <w:sz w:val="24"/>
          <w:szCs w:val="24"/>
        </w:rPr>
        <w:t>.”</w:t>
      </w:r>
      <w:r w:rsidR="00DA272F">
        <w:rPr>
          <w:rStyle w:val="FootnoteReference"/>
          <w:sz w:val="24"/>
          <w:szCs w:val="24"/>
        </w:rPr>
        <w:footnoteReference w:id="113"/>
      </w:r>
      <w:r w:rsidR="00625274">
        <w:rPr>
          <w:sz w:val="24"/>
          <w:szCs w:val="24"/>
        </w:rPr>
        <w:t xml:space="preserve"> </w:t>
      </w:r>
      <w:r w:rsidR="00B03C14">
        <w:rPr>
          <w:sz w:val="24"/>
          <w:szCs w:val="24"/>
        </w:rPr>
        <w:t xml:space="preserve">The </w:t>
      </w:r>
      <w:r w:rsidR="003B1E88">
        <w:rPr>
          <w:sz w:val="24"/>
          <w:szCs w:val="24"/>
        </w:rPr>
        <w:t>depression of REC prices will discourage the development</w:t>
      </w:r>
      <w:r w:rsidR="005D02B8">
        <w:rPr>
          <w:sz w:val="24"/>
          <w:szCs w:val="24"/>
        </w:rPr>
        <w:t xml:space="preserve"> of renewable </w:t>
      </w:r>
      <w:r w:rsidR="003B1E88">
        <w:rPr>
          <w:sz w:val="24"/>
          <w:szCs w:val="24"/>
        </w:rPr>
        <w:t>resources</w:t>
      </w:r>
      <w:r w:rsidR="000C0388">
        <w:rPr>
          <w:sz w:val="24"/>
          <w:szCs w:val="24"/>
        </w:rPr>
        <w:t xml:space="preserve"> and harm the economics of existing projects</w:t>
      </w:r>
      <w:r w:rsidR="003B1E88">
        <w:rPr>
          <w:sz w:val="24"/>
          <w:szCs w:val="24"/>
        </w:rPr>
        <w:t xml:space="preserve"> </w:t>
      </w:r>
      <w:r w:rsidR="00AC0793">
        <w:rPr>
          <w:sz w:val="24"/>
          <w:szCs w:val="24"/>
        </w:rPr>
        <w:t>because:</w:t>
      </w:r>
    </w:p>
    <w:p w14:paraId="58B8F50E" w14:textId="77D42C95" w:rsidR="003B1E88" w:rsidRDefault="005D02B8" w:rsidP="00254EFD">
      <w:pPr>
        <w:autoSpaceDE w:val="0"/>
        <w:autoSpaceDN w:val="0"/>
        <w:adjustRightInd w:val="0"/>
        <w:spacing w:after="120" w:line="240" w:lineRule="auto"/>
        <w:ind w:left="720"/>
        <w:jc w:val="both"/>
        <w:rPr>
          <w:sz w:val="24"/>
          <w:szCs w:val="24"/>
        </w:rPr>
      </w:pPr>
      <w:r w:rsidRPr="005D02B8">
        <w:rPr>
          <w:sz w:val="24"/>
          <w:szCs w:val="24"/>
        </w:rPr>
        <w:t>The sale of REC revenue is factored into</w:t>
      </w:r>
      <w:r>
        <w:rPr>
          <w:sz w:val="24"/>
          <w:szCs w:val="24"/>
        </w:rPr>
        <w:t xml:space="preserve"> </w:t>
      </w:r>
      <w:r w:rsidRPr="005D02B8">
        <w:rPr>
          <w:sz w:val="24"/>
          <w:szCs w:val="24"/>
        </w:rPr>
        <w:t>every single Ohio project that we build, and</w:t>
      </w:r>
      <w:r>
        <w:rPr>
          <w:sz w:val="24"/>
          <w:szCs w:val="24"/>
        </w:rPr>
        <w:t xml:space="preserve"> </w:t>
      </w:r>
      <w:r w:rsidRPr="005D02B8">
        <w:rPr>
          <w:sz w:val="24"/>
          <w:szCs w:val="24"/>
        </w:rPr>
        <w:t>dependent on the time that the project was built and</w:t>
      </w:r>
      <w:r>
        <w:rPr>
          <w:sz w:val="24"/>
          <w:szCs w:val="24"/>
        </w:rPr>
        <w:t xml:space="preserve"> </w:t>
      </w:r>
      <w:r w:rsidRPr="005D02B8">
        <w:rPr>
          <w:sz w:val="24"/>
          <w:szCs w:val="24"/>
        </w:rPr>
        <w:t>the forward curve for Ohio SRECs or Ohio RECs at that</w:t>
      </w:r>
      <w:r>
        <w:rPr>
          <w:sz w:val="24"/>
          <w:szCs w:val="24"/>
        </w:rPr>
        <w:t xml:space="preserve"> </w:t>
      </w:r>
      <w:r w:rsidRPr="005D02B8">
        <w:rPr>
          <w:sz w:val="24"/>
          <w:szCs w:val="24"/>
        </w:rPr>
        <w:t>time, the number could be different, but they are an important piece of the economic equation for each</w:t>
      </w:r>
      <w:r>
        <w:rPr>
          <w:sz w:val="24"/>
          <w:szCs w:val="24"/>
        </w:rPr>
        <w:t xml:space="preserve"> </w:t>
      </w:r>
      <w:r w:rsidRPr="005D02B8">
        <w:rPr>
          <w:sz w:val="24"/>
          <w:szCs w:val="24"/>
        </w:rPr>
        <w:t>project that we build</w:t>
      </w:r>
      <w:r w:rsidR="00AC0793">
        <w:rPr>
          <w:sz w:val="24"/>
          <w:szCs w:val="24"/>
        </w:rPr>
        <w:t>.</w:t>
      </w:r>
      <w:r w:rsidR="00AC0793">
        <w:rPr>
          <w:rStyle w:val="FootnoteReference"/>
          <w:sz w:val="24"/>
          <w:szCs w:val="24"/>
        </w:rPr>
        <w:footnoteReference w:id="114"/>
      </w:r>
    </w:p>
    <w:p w14:paraId="451CD0D8" w14:textId="4A05B20A" w:rsidR="009877D0" w:rsidRPr="004A1CD4" w:rsidRDefault="00C81AF1" w:rsidP="00710190">
      <w:pPr>
        <w:autoSpaceDE w:val="0"/>
        <w:autoSpaceDN w:val="0"/>
        <w:adjustRightInd w:val="0"/>
        <w:spacing w:after="120" w:line="480" w:lineRule="auto"/>
        <w:jc w:val="both"/>
        <w:rPr>
          <w:sz w:val="24"/>
          <w:szCs w:val="24"/>
        </w:rPr>
      </w:pPr>
      <w:r>
        <w:rPr>
          <w:sz w:val="24"/>
          <w:szCs w:val="24"/>
        </w:rPr>
        <w:t>Thus, AEP Ohio’s propos</w:t>
      </w:r>
      <w:r w:rsidR="00710190">
        <w:rPr>
          <w:sz w:val="24"/>
          <w:szCs w:val="24"/>
        </w:rPr>
        <w:t xml:space="preserve">al will </w:t>
      </w:r>
      <w:r w:rsidR="009F3BC9">
        <w:rPr>
          <w:sz w:val="24"/>
          <w:szCs w:val="24"/>
        </w:rPr>
        <w:t>tank the REC market and frustrate the development of market-based renewable resources.</w:t>
      </w:r>
      <w:r w:rsidR="000C0388">
        <w:rPr>
          <w:sz w:val="24"/>
          <w:szCs w:val="24"/>
        </w:rPr>
        <w:t xml:space="preserve">  Coex</w:t>
      </w:r>
      <w:r w:rsidR="009877D0">
        <w:rPr>
          <w:sz w:val="24"/>
          <w:szCs w:val="24"/>
        </w:rPr>
        <w:t>istence may only occur to the detriment of the market.</w:t>
      </w:r>
      <w:r w:rsidR="00C544E3">
        <w:rPr>
          <w:sz w:val="24"/>
          <w:szCs w:val="24"/>
        </w:rPr>
        <w:t xml:space="preserve">  </w:t>
      </w:r>
      <w:r w:rsidR="009877D0">
        <w:rPr>
          <w:sz w:val="24"/>
          <w:szCs w:val="24"/>
        </w:rPr>
        <w:t>Indeed, IGS witness</w:t>
      </w:r>
      <w:r w:rsidR="00D072D5">
        <w:rPr>
          <w:sz w:val="24"/>
          <w:szCs w:val="24"/>
        </w:rPr>
        <w:t>es</w:t>
      </w:r>
      <w:r w:rsidR="009877D0">
        <w:rPr>
          <w:sz w:val="24"/>
          <w:szCs w:val="24"/>
        </w:rPr>
        <w:t xml:space="preserve"> Rever</w:t>
      </w:r>
      <w:r w:rsidR="00D072D5">
        <w:rPr>
          <w:sz w:val="24"/>
          <w:szCs w:val="24"/>
        </w:rPr>
        <w:t xml:space="preserve"> and Haugen</w:t>
      </w:r>
      <w:r w:rsidR="009877D0">
        <w:rPr>
          <w:sz w:val="24"/>
          <w:szCs w:val="24"/>
        </w:rPr>
        <w:t xml:space="preserve"> </w:t>
      </w:r>
      <w:r w:rsidR="0045502B">
        <w:rPr>
          <w:sz w:val="24"/>
          <w:szCs w:val="24"/>
        </w:rPr>
        <w:t xml:space="preserve">testified that participation of subsidized renewable resources </w:t>
      </w:r>
      <w:r w:rsidR="009877D0">
        <w:rPr>
          <w:sz w:val="24"/>
          <w:szCs w:val="24"/>
        </w:rPr>
        <w:t>negative</w:t>
      </w:r>
      <w:r w:rsidR="0045502B">
        <w:rPr>
          <w:sz w:val="24"/>
          <w:szCs w:val="24"/>
        </w:rPr>
        <w:t>ly</w:t>
      </w:r>
      <w:r w:rsidR="009877D0">
        <w:rPr>
          <w:sz w:val="24"/>
          <w:szCs w:val="24"/>
        </w:rPr>
        <w:t xml:space="preserve"> </w:t>
      </w:r>
      <w:proofErr w:type="gramStart"/>
      <w:r w:rsidR="009877D0">
        <w:rPr>
          <w:sz w:val="24"/>
          <w:szCs w:val="24"/>
        </w:rPr>
        <w:t>impact</w:t>
      </w:r>
      <w:proofErr w:type="gramEnd"/>
      <w:r w:rsidR="009877D0">
        <w:rPr>
          <w:sz w:val="24"/>
          <w:szCs w:val="24"/>
        </w:rPr>
        <w:t xml:space="preserve"> </w:t>
      </w:r>
      <w:r w:rsidR="00C544E3">
        <w:rPr>
          <w:sz w:val="24"/>
          <w:szCs w:val="24"/>
        </w:rPr>
        <w:t>the market.</w:t>
      </w:r>
      <w:r w:rsidR="00B93160">
        <w:rPr>
          <w:rStyle w:val="FootnoteReference"/>
          <w:sz w:val="24"/>
          <w:szCs w:val="24"/>
        </w:rPr>
        <w:footnoteReference w:id="115"/>
      </w:r>
      <w:r w:rsidR="00C544E3">
        <w:rPr>
          <w:sz w:val="24"/>
          <w:szCs w:val="24"/>
        </w:rPr>
        <w:t xml:space="preserve">  </w:t>
      </w:r>
    </w:p>
    <w:p w14:paraId="7DF588ED" w14:textId="407B575E" w:rsidR="008609FB" w:rsidRDefault="009F3BC9" w:rsidP="004A1CD4">
      <w:pPr>
        <w:spacing w:line="480" w:lineRule="auto"/>
        <w:ind w:firstLine="720"/>
        <w:jc w:val="both"/>
        <w:rPr>
          <w:sz w:val="24"/>
          <w:szCs w:val="24"/>
        </w:rPr>
      </w:pPr>
      <w:r>
        <w:rPr>
          <w:sz w:val="24"/>
          <w:szCs w:val="24"/>
        </w:rPr>
        <w:t>Moreover, the m</w:t>
      </w:r>
      <w:r w:rsidR="00DE5B40">
        <w:rPr>
          <w:sz w:val="24"/>
          <w:szCs w:val="24"/>
        </w:rPr>
        <w:t>arket-based</w:t>
      </w:r>
      <w:r>
        <w:rPr>
          <w:sz w:val="24"/>
          <w:szCs w:val="24"/>
        </w:rPr>
        <w:t xml:space="preserve"> resources that AEP Ohio’s proposal would replace </w:t>
      </w:r>
      <w:r w:rsidR="00B15664">
        <w:rPr>
          <w:sz w:val="24"/>
          <w:szCs w:val="24"/>
        </w:rPr>
        <w:t xml:space="preserve">provide </w:t>
      </w:r>
      <w:r w:rsidR="00410A8C">
        <w:rPr>
          <w:sz w:val="24"/>
          <w:szCs w:val="24"/>
        </w:rPr>
        <w:t xml:space="preserve">a </w:t>
      </w:r>
      <w:r w:rsidR="00DE5B40">
        <w:rPr>
          <w:sz w:val="24"/>
          <w:szCs w:val="24"/>
        </w:rPr>
        <w:t xml:space="preserve">more </w:t>
      </w:r>
      <w:r w:rsidR="00B15664">
        <w:rPr>
          <w:sz w:val="24"/>
          <w:szCs w:val="24"/>
        </w:rPr>
        <w:t>favorable outcome</w:t>
      </w:r>
      <w:r w:rsidR="00DE5B40">
        <w:rPr>
          <w:sz w:val="24"/>
          <w:szCs w:val="24"/>
        </w:rPr>
        <w:t xml:space="preserve">, given that </w:t>
      </w:r>
      <w:r w:rsidR="008A4CBA">
        <w:rPr>
          <w:sz w:val="24"/>
          <w:szCs w:val="24"/>
        </w:rPr>
        <w:t>market-based resources may</w:t>
      </w:r>
      <w:r w:rsidR="00DE5B40">
        <w:rPr>
          <w:sz w:val="24"/>
          <w:szCs w:val="24"/>
        </w:rPr>
        <w:t xml:space="preserve"> </w:t>
      </w:r>
      <w:proofErr w:type="gramStart"/>
      <w:r w:rsidR="00DE5B40">
        <w:rPr>
          <w:sz w:val="24"/>
          <w:szCs w:val="24"/>
        </w:rPr>
        <w:t>actually delive</w:t>
      </w:r>
      <w:r w:rsidR="008A4CBA">
        <w:rPr>
          <w:sz w:val="24"/>
          <w:szCs w:val="24"/>
        </w:rPr>
        <w:t>r</w:t>
      </w:r>
      <w:proofErr w:type="gramEnd"/>
      <w:r w:rsidR="00DE5B40">
        <w:rPr>
          <w:sz w:val="24"/>
          <w:szCs w:val="24"/>
        </w:rPr>
        <w:t xml:space="preserve"> a renewable product to customers.</w:t>
      </w:r>
      <w:r w:rsidR="008A4CBA">
        <w:rPr>
          <w:sz w:val="24"/>
          <w:szCs w:val="24"/>
        </w:rPr>
        <w:t xml:space="preserve"> </w:t>
      </w:r>
      <w:r w:rsidR="00DE5B40">
        <w:rPr>
          <w:sz w:val="24"/>
          <w:szCs w:val="24"/>
        </w:rPr>
        <w:t xml:space="preserve"> “</w:t>
      </w:r>
      <w:r w:rsidR="00DE5B40" w:rsidRPr="00DE5B40">
        <w:rPr>
          <w:sz w:val="24"/>
          <w:szCs w:val="24"/>
        </w:rPr>
        <w:t>AEP would not be retiring SRECs or RECs on customer’s behalf but rather would sell the RECs generated by the generation</w:t>
      </w:r>
      <w:r w:rsidR="00DE5B40">
        <w:rPr>
          <w:sz w:val="24"/>
          <w:szCs w:val="24"/>
        </w:rPr>
        <w:t xml:space="preserve"> </w:t>
      </w:r>
      <w:r w:rsidR="00DE5B40" w:rsidRPr="00DE5B40">
        <w:rPr>
          <w:sz w:val="24"/>
          <w:szCs w:val="24"/>
        </w:rPr>
        <w:t>facilities into the wholesale REC market</w:t>
      </w:r>
      <w:r w:rsidR="00DE5B40">
        <w:rPr>
          <w:sz w:val="24"/>
          <w:szCs w:val="24"/>
        </w:rPr>
        <w:t>.”</w:t>
      </w:r>
      <w:r w:rsidR="00DE5B40">
        <w:rPr>
          <w:rStyle w:val="FootnoteReference"/>
          <w:sz w:val="24"/>
          <w:szCs w:val="24"/>
        </w:rPr>
        <w:footnoteReference w:id="116"/>
      </w:r>
      <w:r w:rsidR="00DE5B40">
        <w:rPr>
          <w:sz w:val="24"/>
          <w:szCs w:val="24"/>
        </w:rPr>
        <w:t xml:space="preserve"> </w:t>
      </w:r>
      <w:r w:rsidR="004F70AE">
        <w:rPr>
          <w:sz w:val="24"/>
          <w:szCs w:val="24"/>
        </w:rPr>
        <w:t>According t</w:t>
      </w:r>
      <w:r w:rsidR="008B17E8">
        <w:rPr>
          <w:sz w:val="24"/>
          <w:szCs w:val="24"/>
        </w:rPr>
        <w:t xml:space="preserve">he Federal Trade Commission’s rules, under </w:t>
      </w:r>
      <w:r w:rsidR="008B17E8" w:rsidRPr="008B17E8">
        <w:rPr>
          <w:sz w:val="24"/>
          <w:szCs w:val="24"/>
        </w:rPr>
        <w:t>16 C.F.R. § 260.15(d)</w:t>
      </w:r>
      <w:r w:rsidR="008B17E8">
        <w:rPr>
          <w:sz w:val="24"/>
          <w:szCs w:val="24"/>
        </w:rPr>
        <w:t>,</w:t>
      </w:r>
      <w:r w:rsidR="004F70AE">
        <w:rPr>
          <w:sz w:val="24"/>
          <w:szCs w:val="24"/>
        </w:rPr>
        <w:t xml:space="preserve"> “</w:t>
      </w:r>
      <w:r w:rsidR="00684037">
        <w:rPr>
          <w:sz w:val="24"/>
          <w:szCs w:val="24"/>
        </w:rPr>
        <w:t>[</w:t>
      </w:r>
      <w:proofErr w:type="spellStart"/>
      <w:r w:rsidR="00684037">
        <w:rPr>
          <w:sz w:val="24"/>
          <w:szCs w:val="24"/>
        </w:rPr>
        <w:t>i</w:t>
      </w:r>
      <w:proofErr w:type="spellEnd"/>
      <w:r w:rsidR="00684037">
        <w:rPr>
          <w:sz w:val="24"/>
          <w:szCs w:val="24"/>
        </w:rPr>
        <w:t>]</w:t>
      </w:r>
      <w:r w:rsidR="004F70AE" w:rsidRPr="004F70AE">
        <w:rPr>
          <w:sz w:val="24"/>
          <w:szCs w:val="24"/>
        </w:rPr>
        <w:t>f a marketer generates renewable electricity but sells renewable energy certificates for all of that electricity, it would be deceptive for the marketer to represent, directly or by implication, that it uses renewable energy.</w:t>
      </w:r>
      <w:r w:rsidR="004F70AE">
        <w:rPr>
          <w:sz w:val="24"/>
          <w:szCs w:val="24"/>
        </w:rPr>
        <w:t>”</w:t>
      </w:r>
      <w:r w:rsidR="008B17E8">
        <w:rPr>
          <w:rStyle w:val="FootnoteReference"/>
          <w:sz w:val="24"/>
          <w:szCs w:val="24"/>
        </w:rPr>
        <w:footnoteReference w:id="117"/>
      </w:r>
      <w:r w:rsidR="008B17E8">
        <w:rPr>
          <w:sz w:val="24"/>
          <w:szCs w:val="24"/>
        </w:rPr>
        <w:t xml:space="preserve"> </w:t>
      </w:r>
      <w:r w:rsidR="008B17E8">
        <w:rPr>
          <w:sz w:val="24"/>
          <w:szCs w:val="24"/>
        </w:rPr>
        <w:t>“</w:t>
      </w:r>
      <w:r w:rsidR="008B17E8" w:rsidRPr="00DE5B40">
        <w:rPr>
          <w:sz w:val="24"/>
          <w:szCs w:val="24"/>
        </w:rPr>
        <w:t>By law, a customer is not being supplied by renewable generation unless the REC or SREC from the facility is retired by the</w:t>
      </w:r>
      <w:r w:rsidR="008B17E8">
        <w:rPr>
          <w:sz w:val="24"/>
          <w:szCs w:val="24"/>
        </w:rPr>
        <w:t xml:space="preserve"> </w:t>
      </w:r>
      <w:r w:rsidR="008B17E8" w:rsidRPr="00DE5B40">
        <w:rPr>
          <w:sz w:val="24"/>
          <w:szCs w:val="24"/>
        </w:rPr>
        <w:t>customer, or an entity acting on the customer’s behalf</w:t>
      </w:r>
      <w:r w:rsidR="008B17E8">
        <w:rPr>
          <w:sz w:val="24"/>
          <w:szCs w:val="24"/>
        </w:rPr>
        <w:t>.”</w:t>
      </w:r>
      <w:r w:rsidR="008B17E8">
        <w:rPr>
          <w:rStyle w:val="FootnoteReference"/>
          <w:sz w:val="24"/>
          <w:szCs w:val="24"/>
        </w:rPr>
        <w:footnoteReference w:id="118"/>
      </w:r>
      <w:r w:rsidR="008B17E8">
        <w:rPr>
          <w:sz w:val="24"/>
          <w:szCs w:val="24"/>
        </w:rPr>
        <w:t xml:space="preserve">  </w:t>
      </w:r>
      <w:r w:rsidR="004F70AE">
        <w:rPr>
          <w:sz w:val="24"/>
          <w:szCs w:val="24"/>
        </w:rPr>
        <w:t xml:space="preserve"> </w:t>
      </w:r>
      <w:r w:rsidR="00DE5B40">
        <w:rPr>
          <w:sz w:val="24"/>
          <w:szCs w:val="24"/>
        </w:rPr>
        <w:t>Thus, AEP Ohio’s proposal does not even achieve the purpose for which it is intended, since “</w:t>
      </w:r>
      <w:r w:rsidR="00DE5B40" w:rsidRPr="00DE5B40">
        <w:rPr>
          <w:sz w:val="24"/>
          <w:szCs w:val="24"/>
        </w:rPr>
        <w:t>AEP’s customers would not actually be supplied electricity by the renewable</w:t>
      </w:r>
      <w:r w:rsidR="00DE5B40">
        <w:rPr>
          <w:sz w:val="24"/>
          <w:szCs w:val="24"/>
        </w:rPr>
        <w:t xml:space="preserve"> </w:t>
      </w:r>
      <w:r w:rsidR="00DE5B40" w:rsidRPr="00DE5B40">
        <w:rPr>
          <w:sz w:val="24"/>
          <w:szCs w:val="24"/>
        </w:rPr>
        <w:t xml:space="preserve"> generation facilities</w:t>
      </w:r>
      <w:r w:rsidR="00DE5B40">
        <w:rPr>
          <w:sz w:val="24"/>
          <w:szCs w:val="24"/>
        </w:rPr>
        <w:t>.”</w:t>
      </w:r>
      <w:r w:rsidR="00DE5B40">
        <w:rPr>
          <w:rStyle w:val="FootnoteReference"/>
          <w:sz w:val="24"/>
          <w:szCs w:val="24"/>
        </w:rPr>
        <w:footnoteReference w:id="119"/>
      </w:r>
    </w:p>
    <w:p w14:paraId="59CE89E2" w14:textId="0D40135A" w:rsidR="004A1CD4" w:rsidRDefault="004A1CD4" w:rsidP="004A1CD4">
      <w:pPr>
        <w:spacing w:line="480" w:lineRule="auto"/>
        <w:ind w:firstLine="720"/>
        <w:jc w:val="both"/>
        <w:rPr>
          <w:sz w:val="24"/>
          <w:szCs w:val="24"/>
        </w:rPr>
      </w:pPr>
      <w:r>
        <w:rPr>
          <w:sz w:val="24"/>
          <w:szCs w:val="24"/>
        </w:rPr>
        <w:t>Recognizing that the competitive market is well positioned to meet the desires of Ohio customers, AEP Ohio alleges that utility solar provides greater job benefits than behind the meter solar.</w:t>
      </w:r>
      <w:r w:rsidR="003B26C1">
        <w:rPr>
          <w:rStyle w:val="FootnoteReference"/>
          <w:sz w:val="24"/>
          <w:szCs w:val="24"/>
        </w:rPr>
        <w:footnoteReference w:id="120"/>
      </w:r>
      <w:r>
        <w:rPr>
          <w:sz w:val="24"/>
          <w:szCs w:val="24"/>
        </w:rPr>
        <w:t xml:space="preserve">  The entirety of AEP Ohio’s argument is based upon an outdated news article from the State of California.</w:t>
      </w:r>
      <w:r w:rsidR="00AF0D2B">
        <w:rPr>
          <w:sz w:val="24"/>
          <w:szCs w:val="24"/>
        </w:rPr>
        <w:t xml:space="preserve">  AEP Ohio’s cross-examination </w:t>
      </w:r>
      <w:r w:rsidR="000B6E25">
        <w:rPr>
          <w:sz w:val="24"/>
          <w:szCs w:val="24"/>
        </w:rPr>
        <w:t>of Mr. Rengstorf re</w:t>
      </w:r>
      <w:r w:rsidR="00F23032">
        <w:rPr>
          <w:sz w:val="24"/>
          <w:szCs w:val="24"/>
        </w:rPr>
        <w:t xml:space="preserve">vealed </w:t>
      </w:r>
      <w:r w:rsidR="000B6E25">
        <w:rPr>
          <w:sz w:val="24"/>
          <w:szCs w:val="24"/>
        </w:rPr>
        <w:t>that he had never read the article</w:t>
      </w:r>
      <w:r w:rsidR="00074AB1">
        <w:rPr>
          <w:rStyle w:val="FootnoteReference"/>
          <w:sz w:val="24"/>
          <w:szCs w:val="24"/>
        </w:rPr>
        <w:footnoteReference w:id="121"/>
      </w:r>
      <w:r w:rsidR="000B6E25">
        <w:rPr>
          <w:sz w:val="24"/>
          <w:szCs w:val="24"/>
        </w:rPr>
        <w:t xml:space="preserve"> and he disagreed with its conclusion.</w:t>
      </w:r>
      <w:r w:rsidR="00074AB1">
        <w:rPr>
          <w:rStyle w:val="FootnoteReference"/>
          <w:sz w:val="24"/>
          <w:szCs w:val="24"/>
        </w:rPr>
        <w:footnoteReference w:id="122"/>
      </w:r>
      <w:r>
        <w:rPr>
          <w:sz w:val="24"/>
          <w:szCs w:val="24"/>
        </w:rPr>
        <w:t xml:space="preserve">  A closer examination of the</w:t>
      </w:r>
      <w:r w:rsidR="008B5CC9">
        <w:rPr>
          <w:sz w:val="24"/>
          <w:szCs w:val="24"/>
        </w:rPr>
        <w:t xml:space="preserve"> </w:t>
      </w:r>
      <w:r w:rsidR="00512CBF">
        <w:rPr>
          <w:sz w:val="24"/>
          <w:szCs w:val="24"/>
        </w:rPr>
        <w:t>referenced</w:t>
      </w:r>
      <w:r>
        <w:rPr>
          <w:sz w:val="24"/>
          <w:szCs w:val="24"/>
        </w:rPr>
        <w:t xml:space="preserve"> article identifies that the analysis is largely focused on the difference between union and non-union jobs within the State of California</w:t>
      </w:r>
      <w:r w:rsidR="00482A36">
        <w:rPr>
          <w:sz w:val="24"/>
          <w:szCs w:val="24"/>
        </w:rPr>
        <w:t>—as of five years ago</w:t>
      </w:r>
      <w:r>
        <w:rPr>
          <w:sz w:val="24"/>
          <w:szCs w:val="24"/>
        </w:rPr>
        <w:t>.  Regardless, as IGS witness Rengstorf testified based upon current trends in the solar market, behind the meter solar contributes a higher economic stimulus per megawatt installed.</w:t>
      </w:r>
      <w:r w:rsidR="00482A36">
        <w:rPr>
          <w:rStyle w:val="FootnoteReference"/>
          <w:sz w:val="24"/>
          <w:szCs w:val="24"/>
        </w:rPr>
        <w:footnoteReference w:id="123"/>
      </w:r>
      <w:r>
        <w:rPr>
          <w:sz w:val="24"/>
          <w:szCs w:val="24"/>
        </w:rPr>
        <w:t xml:space="preserve"> </w:t>
      </w:r>
    </w:p>
    <w:p w14:paraId="79B3BAE1" w14:textId="78F84B16" w:rsidR="00FC0EBE" w:rsidRDefault="00DC0438" w:rsidP="004A1CD4">
      <w:pPr>
        <w:spacing w:line="480" w:lineRule="auto"/>
        <w:ind w:firstLine="720"/>
        <w:jc w:val="both"/>
        <w:rPr>
          <w:sz w:val="24"/>
          <w:szCs w:val="24"/>
        </w:rPr>
      </w:pPr>
      <w:r>
        <w:rPr>
          <w:sz w:val="24"/>
          <w:szCs w:val="24"/>
        </w:rPr>
        <w:t xml:space="preserve">Indeed, IGS is clearly doing a better job of </w:t>
      </w:r>
      <w:r w:rsidR="00DF4616">
        <w:rPr>
          <w:sz w:val="24"/>
          <w:szCs w:val="24"/>
        </w:rPr>
        <w:t xml:space="preserve">creating jobs within Ohio than what has been </w:t>
      </w:r>
      <w:r w:rsidR="008B5CC9">
        <w:rPr>
          <w:sz w:val="24"/>
          <w:szCs w:val="24"/>
        </w:rPr>
        <w:t xml:space="preserve">touted </w:t>
      </w:r>
      <w:r w:rsidR="00DF4616">
        <w:rPr>
          <w:sz w:val="24"/>
          <w:szCs w:val="24"/>
        </w:rPr>
        <w:t>by AEP Ohio.  According to AEP Ohio, i</w:t>
      </w:r>
      <w:r w:rsidR="00785491">
        <w:rPr>
          <w:sz w:val="24"/>
          <w:szCs w:val="24"/>
        </w:rPr>
        <w:t>ts propos</w:t>
      </w:r>
      <w:r w:rsidR="00E42426">
        <w:rPr>
          <w:sz w:val="24"/>
          <w:szCs w:val="24"/>
        </w:rPr>
        <w:t>al will result in t</w:t>
      </w:r>
      <w:r w:rsidR="0033547B">
        <w:rPr>
          <w:sz w:val="24"/>
          <w:szCs w:val="24"/>
        </w:rPr>
        <w:t xml:space="preserve">he creation of </w:t>
      </w:r>
      <w:r w:rsidR="00E42426">
        <w:rPr>
          <w:sz w:val="24"/>
          <w:szCs w:val="24"/>
        </w:rPr>
        <w:t>3870 jobs</w:t>
      </w:r>
      <w:r w:rsidR="00AF32F7">
        <w:rPr>
          <w:sz w:val="24"/>
          <w:szCs w:val="24"/>
        </w:rPr>
        <w:t xml:space="preserve"> in the short term</w:t>
      </w:r>
      <w:r w:rsidR="00E42426">
        <w:rPr>
          <w:sz w:val="24"/>
          <w:szCs w:val="24"/>
        </w:rPr>
        <w:t xml:space="preserve"> and</w:t>
      </w:r>
      <w:r w:rsidR="0011287F">
        <w:rPr>
          <w:sz w:val="24"/>
          <w:szCs w:val="24"/>
        </w:rPr>
        <w:t xml:space="preserve"> approximately</w:t>
      </w:r>
      <w:r w:rsidR="00E42426">
        <w:rPr>
          <w:sz w:val="24"/>
          <w:szCs w:val="24"/>
        </w:rPr>
        <w:t xml:space="preserve"> 50</w:t>
      </w:r>
      <w:r w:rsidR="00DF4616">
        <w:rPr>
          <w:sz w:val="24"/>
          <w:szCs w:val="24"/>
        </w:rPr>
        <w:t xml:space="preserve"> jobs</w:t>
      </w:r>
      <w:r w:rsidR="0011287F">
        <w:rPr>
          <w:sz w:val="24"/>
          <w:szCs w:val="24"/>
        </w:rPr>
        <w:t xml:space="preserve"> in the long-term</w:t>
      </w:r>
      <w:r w:rsidR="00DF4616">
        <w:rPr>
          <w:sz w:val="24"/>
          <w:szCs w:val="24"/>
        </w:rPr>
        <w:t>.</w:t>
      </w:r>
      <w:r w:rsidR="0033547B">
        <w:rPr>
          <w:rStyle w:val="FootnoteReference"/>
          <w:sz w:val="24"/>
          <w:szCs w:val="24"/>
        </w:rPr>
        <w:footnoteReference w:id="124"/>
      </w:r>
      <w:r w:rsidR="00AF32F7">
        <w:rPr>
          <w:sz w:val="24"/>
          <w:szCs w:val="24"/>
        </w:rPr>
        <w:t xml:space="preserve">  It is ironic that AEP Ohio alleges that behind</w:t>
      </w:r>
      <w:r w:rsidR="00F15DFB">
        <w:rPr>
          <w:sz w:val="24"/>
          <w:szCs w:val="24"/>
        </w:rPr>
        <w:t>-the-meter projects result in a boom and bu</w:t>
      </w:r>
      <w:r w:rsidR="00766FD9">
        <w:rPr>
          <w:sz w:val="24"/>
          <w:szCs w:val="24"/>
        </w:rPr>
        <w:t>st cycle, when it</w:t>
      </w:r>
      <w:r w:rsidR="003C6024">
        <w:rPr>
          <w:sz w:val="24"/>
          <w:szCs w:val="24"/>
        </w:rPr>
        <w:t xml:space="preserve"> appears to be </w:t>
      </w:r>
      <w:r w:rsidR="00731A17">
        <w:rPr>
          <w:sz w:val="24"/>
          <w:szCs w:val="24"/>
        </w:rPr>
        <w:t>project</w:t>
      </w:r>
      <w:r w:rsidR="00482A36">
        <w:rPr>
          <w:sz w:val="24"/>
          <w:szCs w:val="24"/>
        </w:rPr>
        <w:t>ing</w:t>
      </w:r>
      <w:r w:rsidR="00731A17">
        <w:rPr>
          <w:sz w:val="24"/>
          <w:szCs w:val="24"/>
        </w:rPr>
        <w:t xml:space="preserve"> that very result.  AEP Ohio proposes a very short-term stimulus through its one-and-done approach, with long-term impacts that b</w:t>
      </w:r>
      <w:r w:rsidR="009B6007">
        <w:rPr>
          <w:sz w:val="24"/>
          <w:szCs w:val="24"/>
        </w:rPr>
        <w:t xml:space="preserve">arely matches the amount of jobs that IGS </w:t>
      </w:r>
      <w:r w:rsidR="00AF1852">
        <w:rPr>
          <w:sz w:val="24"/>
          <w:szCs w:val="24"/>
        </w:rPr>
        <w:t xml:space="preserve">Solar, LLC </w:t>
      </w:r>
      <w:r w:rsidR="009B6007">
        <w:rPr>
          <w:sz w:val="24"/>
          <w:szCs w:val="24"/>
        </w:rPr>
        <w:t>has already created</w:t>
      </w:r>
      <w:r w:rsidR="008A30A3">
        <w:rPr>
          <w:sz w:val="24"/>
          <w:szCs w:val="24"/>
        </w:rPr>
        <w:t xml:space="preserve"> (not including </w:t>
      </w:r>
      <w:r w:rsidR="00AF1852">
        <w:rPr>
          <w:sz w:val="24"/>
          <w:szCs w:val="24"/>
        </w:rPr>
        <w:t>employees of IGS that perform service for IGS Solar, LLC)</w:t>
      </w:r>
      <w:r w:rsidR="009B6007">
        <w:rPr>
          <w:sz w:val="24"/>
          <w:szCs w:val="24"/>
        </w:rPr>
        <w:t xml:space="preserve"> by deploying approximately 1</w:t>
      </w:r>
      <w:r w:rsidR="008A30A3">
        <w:rPr>
          <w:sz w:val="24"/>
          <w:szCs w:val="24"/>
        </w:rPr>
        <w:t>25</w:t>
      </w:r>
      <w:r w:rsidR="009B6007">
        <w:rPr>
          <w:sz w:val="24"/>
          <w:szCs w:val="24"/>
        </w:rPr>
        <w:t xml:space="preserve"> MWs of solar.</w:t>
      </w:r>
      <w:r w:rsidR="00482A36">
        <w:rPr>
          <w:rStyle w:val="FootnoteReference"/>
          <w:sz w:val="24"/>
          <w:szCs w:val="24"/>
        </w:rPr>
        <w:footnoteReference w:id="125"/>
      </w:r>
      <w:r w:rsidR="009B6007">
        <w:rPr>
          <w:sz w:val="24"/>
          <w:szCs w:val="24"/>
        </w:rPr>
        <w:t xml:space="preserve">  Perhaps, </w:t>
      </w:r>
      <w:r w:rsidR="008B5CC9">
        <w:rPr>
          <w:sz w:val="24"/>
          <w:szCs w:val="24"/>
        </w:rPr>
        <w:t xml:space="preserve">that is </w:t>
      </w:r>
      <w:r w:rsidR="009B6007">
        <w:rPr>
          <w:sz w:val="24"/>
          <w:szCs w:val="24"/>
        </w:rPr>
        <w:t xml:space="preserve">because IGS has developed several different projects in various locations, tailoring complex solutions to meet the individual needs of specific customers, rather than simply constructed a one-and-done </w:t>
      </w:r>
      <w:r w:rsidR="002F13A9">
        <w:rPr>
          <w:sz w:val="24"/>
          <w:szCs w:val="24"/>
        </w:rPr>
        <w:t>utility scale projects that lack customer-specific benefits.</w:t>
      </w:r>
    </w:p>
    <w:p w14:paraId="6AE01B8B" w14:textId="7A247913" w:rsidR="00DC0438" w:rsidRDefault="00FC0EBE" w:rsidP="004A1CD4">
      <w:pPr>
        <w:spacing w:line="480" w:lineRule="auto"/>
        <w:ind w:firstLine="720"/>
        <w:jc w:val="both"/>
        <w:rPr>
          <w:sz w:val="24"/>
          <w:szCs w:val="24"/>
        </w:rPr>
      </w:pPr>
      <w:r>
        <w:rPr>
          <w:sz w:val="24"/>
          <w:szCs w:val="24"/>
        </w:rPr>
        <w:t xml:space="preserve">IGS’ growth over the past decade provides an example of how competitive markets—without direct subsidies—provide far better job creation than </w:t>
      </w:r>
      <w:r w:rsidR="003D024F">
        <w:rPr>
          <w:sz w:val="24"/>
          <w:szCs w:val="24"/>
        </w:rPr>
        <w:t>government intervention. In 2010, IGS employed less than 200 people.  Today that number approaches 900</w:t>
      </w:r>
      <w:r w:rsidR="00971C95">
        <w:rPr>
          <w:sz w:val="24"/>
          <w:szCs w:val="24"/>
        </w:rPr>
        <w:t>, which reflects the creation of approximately 100 jobs per year.</w:t>
      </w:r>
      <w:r w:rsidR="00AC5EE9">
        <w:rPr>
          <w:rStyle w:val="FootnoteReference"/>
          <w:sz w:val="24"/>
          <w:szCs w:val="24"/>
        </w:rPr>
        <w:footnoteReference w:id="126"/>
      </w:r>
      <w:r w:rsidR="00971C95">
        <w:rPr>
          <w:sz w:val="24"/>
          <w:szCs w:val="24"/>
        </w:rPr>
        <w:t xml:space="preserve">  These results demonstrate that the competitive market </w:t>
      </w:r>
      <w:r w:rsidR="00B9244A">
        <w:rPr>
          <w:sz w:val="24"/>
          <w:szCs w:val="24"/>
        </w:rPr>
        <w:t>is well positioned to stimulate the local econom</w:t>
      </w:r>
      <w:r w:rsidR="00582B4E">
        <w:rPr>
          <w:sz w:val="24"/>
          <w:szCs w:val="24"/>
        </w:rPr>
        <w:t>y—</w:t>
      </w:r>
      <w:r w:rsidR="00AB4453">
        <w:rPr>
          <w:sz w:val="24"/>
          <w:szCs w:val="24"/>
        </w:rPr>
        <w:t xml:space="preserve">well, </w:t>
      </w:r>
      <w:proofErr w:type="gramStart"/>
      <w:r w:rsidR="009B1ACB">
        <w:rPr>
          <w:sz w:val="24"/>
          <w:szCs w:val="24"/>
        </w:rPr>
        <w:t>as</w:t>
      </w:r>
      <w:r w:rsidR="00335D40">
        <w:rPr>
          <w:sz w:val="24"/>
          <w:szCs w:val="24"/>
        </w:rPr>
        <w:t xml:space="preserve"> long as</w:t>
      </w:r>
      <w:proofErr w:type="gramEnd"/>
      <w:r w:rsidR="009B1ACB">
        <w:rPr>
          <w:sz w:val="24"/>
          <w:szCs w:val="24"/>
        </w:rPr>
        <w:t xml:space="preserve"> the</w:t>
      </w:r>
      <w:r w:rsidR="00335D40">
        <w:rPr>
          <w:sz w:val="24"/>
          <w:szCs w:val="24"/>
        </w:rPr>
        <w:t xml:space="preserve"> Commission does not pick winners and losers and tilt the</w:t>
      </w:r>
      <w:r w:rsidR="009B1ACB">
        <w:rPr>
          <w:sz w:val="24"/>
          <w:szCs w:val="24"/>
        </w:rPr>
        <w:t xml:space="preserve"> competitive playing field against </w:t>
      </w:r>
      <w:r w:rsidR="00335D40">
        <w:rPr>
          <w:sz w:val="24"/>
          <w:szCs w:val="24"/>
        </w:rPr>
        <w:t>Ohio businesses that desire to invest in developing renewable resources within this state.</w:t>
      </w:r>
      <w:r w:rsidR="00DF1A53">
        <w:rPr>
          <w:sz w:val="24"/>
          <w:szCs w:val="24"/>
        </w:rPr>
        <w:t xml:space="preserve"> </w:t>
      </w:r>
      <w:r w:rsidR="002F13A9">
        <w:rPr>
          <w:sz w:val="24"/>
          <w:szCs w:val="24"/>
        </w:rPr>
        <w:t xml:space="preserve">  </w:t>
      </w:r>
    </w:p>
    <w:p w14:paraId="400AC047" w14:textId="079E704C" w:rsidR="00076A56" w:rsidRDefault="00076A56" w:rsidP="004A1CD4">
      <w:pPr>
        <w:spacing w:line="480" w:lineRule="auto"/>
        <w:ind w:firstLine="720"/>
        <w:jc w:val="both"/>
        <w:rPr>
          <w:sz w:val="24"/>
          <w:szCs w:val="24"/>
        </w:rPr>
      </w:pPr>
      <w:r>
        <w:rPr>
          <w:sz w:val="24"/>
          <w:szCs w:val="24"/>
        </w:rPr>
        <w:t xml:space="preserve">To the extent that the Commission truly desires to advance development of renewable energy resources, IGS urges the Commission to </w:t>
      </w:r>
      <w:r w:rsidR="002001A7">
        <w:rPr>
          <w:sz w:val="24"/>
          <w:szCs w:val="24"/>
        </w:rPr>
        <w:t>focus on competitively neutral incentives.</w:t>
      </w:r>
      <w:r w:rsidR="00017A1A">
        <w:rPr>
          <w:sz w:val="24"/>
          <w:szCs w:val="24"/>
        </w:rPr>
        <w:t xml:space="preserve">  The market is well poised to </w:t>
      </w:r>
      <w:r w:rsidR="00DF6469">
        <w:rPr>
          <w:sz w:val="24"/>
          <w:szCs w:val="24"/>
        </w:rPr>
        <w:t xml:space="preserve">meet the </w:t>
      </w:r>
      <w:r w:rsidR="00DB6670">
        <w:rPr>
          <w:sz w:val="24"/>
          <w:szCs w:val="24"/>
        </w:rPr>
        <w:t>actual preferences of consumers—whether that amount is greater or smaller than AEP Ohio propose</w:t>
      </w:r>
      <w:r w:rsidR="009254A5">
        <w:rPr>
          <w:sz w:val="24"/>
          <w:szCs w:val="24"/>
        </w:rPr>
        <w:t>s</w:t>
      </w:r>
      <w:r w:rsidR="00DB6670">
        <w:rPr>
          <w:sz w:val="24"/>
          <w:szCs w:val="24"/>
        </w:rPr>
        <w:t xml:space="preserve"> </w:t>
      </w:r>
      <w:r w:rsidR="009254A5">
        <w:rPr>
          <w:sz w:val="24"/>
          <w:szCs w:val="24"/>
        </w:rPr>
        <w:t>in this case</w:t>
      </w:r>
      <w:r w:rsidR="00DB6670">
        <w:rPr>
          <w:sz w:val="24"/>
          <w:szCs w:val="24"/>
        </w:rPr>
        <w:t>.</w:t>
      </w:r>
    </w:p>
    <w:p w14:paraId="1285CDA6" w14:textId="126C892C" w:rsidR="00056452" w:rsidRDefault="00056452" w:rsidP="00056452">
      <w:pPr>
        <w:pStyle w:val="ListParagraph"/>
        <w:numPr>
          <w:ilvl w:val="0"/>
          <w:numId w:val="30"/>
        </w:numPr>
        <w:spacing w:line="480" w:lineRule="auto"/>
        <w:jc w:val="both"/>
        <w:rPr>
          <w:b/>
          <w:sz w:val="24"/>
          <w:szCs w:val="24"/>
        </w:rPr>
      </w:pPr>
      <w:r>
        <w:rPr>
          <w:b/>
          <w:sz w:val="24"/>
          <w:szCs w:val="24"/>
        </w:rPr>
        <w:t>The Commission sho</w:t>
      </w:r>
      <w:r w:rsidR="002271B0">
        <w:rPr>
          <w:b/>
          <w:sz w:val="24"/>
          <w:szCs w:val="24"/>
        </w:rPr>
        <w:t>uld not rush Phase 2 before a final order in this case</w:t>
      </w:r>
    </w:p>
    <w:p w14:paraId="2945A360" w14:textId="5DF923BD" w:rsidR="00EA060F" w:rsidRDefault="002271B0" w:rsidP="002271B0">
      <w:pPr>
        <w:spacing w:line="480" w:lineRule="auto"/>
        <w:ind w:firstLine="720"/>
        <w:jc w:val="both"/>
        <w:rPr>
          <w:sz w:val="24"/>
          <w:szCs w:val="24"/>
        </w:rPr>
      </w:pPr>
      <w:r>
        <w:rPr>
          <w:sz w:val="24"/>
          <w:szCs w:val="24"/>
        </w:rPr>
        <w:t>AEP Ohio and others argue that the Commission should proceed to hold hearings in “Phase 2.”</w:t>
      </w:r>
      <w:r w:rsidR="009254A5">
        <w:rPr>
          <w:rStyle w:val="FootnoteReference"/>
          <w:sz w:val="24"/>
          <w:szCs w:val="24"/>
        </w:rPr>
        <w:footnoteReference w:id="127"/>
      </w:r>
      <w:r>
        <w:rPr>
          <w:sz w:val="24"/>
          <w:szCs w:val="24"/>
        </w:rPr>
        <w:t xml:space="preserve">  These parties argue that haste is needed to ensure that the proposed projects may </w:t>
      </w:r>
      <w:r w:rsidR="006C16C0">
        <w:rPr>
          <w:sz w:val="24"/>
          <w:szCs w:val="24"/>
        </w:rPr>
        <w:t>go into service prior to the expiration of the Production Tax Credit and Investment Tax Credit.</w:t>
      </w:r>
      <w:r w:rsidR="004B72E3">
        <w:rPr>
          <w:rStyle w:val="FootnoteReference"/>
          <w:sz w:val="24"/>
          <w:szCs w:val="24"/>
        </w:rPr>
        <w:footnoteReference w:id="128"/>
      </w:r>
      <w:r w:rsidR="00A0655A">
        <w:rPr>
          <w:sz w:val="24"/>
          <w:szCs w:val="24"/>
        </w:rPr>
        <w:t xml:space="preserve">  Enough resources have already been wasted on these proceeding, the Commission should not further waste resources by placing the broke</w:t>
      </w:r>
      <w:r w:rsidR="009F7288">
        <w:rPr>
          <w:sz w:val="24"/>
          <w:szCs w:val="24"/>
        </w:rPr>
        <w:t xml:space="preserve">n cart before </w:t>
      </w:r>
      <w:r w:rsidR="00EA060F">
        <w:rPr>
          <w:sz w:val="24"/>
          <w:szCs w:val="24"/>
        </w:rPr>
        <w:t>a</w:t>
      </w:r>
      <w:r w:rsidR="009F7288">
        <w:rPr>
          <w:sz w:val="24"/>
          <w:szCs w:val="24"/>
        </w:rPr>
        <w:t xml:space="preserve"> hobbled horse</w:t>
      </w:r>
      <w:r w:rsidR="00A0655A">
        <w:rPr>
          <w:sz w:val="24"/>
          <w:szCs w:val="24"/>
        </w:rPr>
        <w:t>.</w:t>
      </w:r>
      <w:r w:rsidR="00046E69">
        <w:rPr>
          <w:sz w:val="24"/>
          <w:szCs w:val="24"/>
        </w:rPr>
        <w:t xml:space="preserve">  AEP Ohio has not demonstrated that there is a need </w:t>
      </w:r>
      <w:r w:rsidR="000F7CCE">
        <w:rPr>
          <w:sz w:val="24"/>
          <w:szCs w:val="24"/>
        </w:rPr>
        <w:t xml:space="preserve">in this case to construct additional resources.  </w:t>
      </w:r>
    </w:p>
    <w:p w14:paraId="17700DD2" w14:textId="78949A31" w:rsidR="00EB1532" w:rsidRDefault="000F7CCE" w:rsidP="002271B0">
      <w:pPr>
        <w:spacing w:line="480" w:lineRule="auto"/>
        <w:ind w:firstLine="720"/>
        <w:jc w:val="both"/>
        <w:rPr>
          <w:sz w:val="24"/>
          <w:szCs w:val="24"/>
        </w:rPr>
      </w:pPr>
      <w:r>
        <w:rPr>
          <w:sz w:val="24"/>
          <w:szCs w:val="24"/>
        </w:rPr>
        <w:t>Moreover, AEP Ohio’s fear mongering over the ITC and PTC lack merit.  Based upon AEP Ohio’s own</w:t>
      </w:r>
      <w:r w:rsidR="005E4048">
        <w:rPr>
          <w:sz w:val="24"/>
          <w:szCs w:val="24"/>
        </w:rPr>
        <w:t xml:space="preserve"> testimony, the cost of installing renewable resources is falling faster than a stone.</w:t>
      </w:r>
      <w:r w:rsidR="009A7399">
        <w:rPr>
          <w:rStyle w:val="FootnoteReference"/>
          <w:sz w:val="24"/>
          <w:szCs w:val="24"/>
        </w:rPr>
        <w:footnoteReference w:id="129"/>
      </w:r>
      <w:r w:rsidR="0007242E">
        <w:rPr>
          <w:sz w:val="24"/>
          <w:szCs w:val="24"/>
        </w:rPr>
        <w:t xml:space="preserve">  Even if AEP Ohio’s argument had any merit—which it doesn’t—delay may result in </w:t>
      </w:r>
      <w:r w:rsidR="00C06DE8">
        <w:rPr>
          <w:sz w:val="24"/>
          <w:szCs w:val="24"/>
        </w:rPr>
        <w:t xml:space="preserve">even lower costs for customers without current tax credits.  For example, </w:t>
      </w:r>
      <w:r w:rsidR="006063ED">
        <w:rPr>
          <w:sz w:val="24"/>
          <w:szCs w:val="24"/>
        </w:rPr>
        <w:t xml:space="preserve">while the ITC is currently set to reduce from a 30% reduction to 10%, the installed cost of solar panels </w:t>
      </w:r>
      <w:proofErr w:type="gramStart"/>
      <w:r w:rsidR="006063ED">
        <w:rPr>
          <w:sz w:val="24"/>
          <w:szCs w:val="24"/>
        </w:rPr>
        <w:t>are</w:t>
      </w:r>
      <w:proofErr w:type="gramEnd"/>
      <w:r w:rsidR="00EB1532">
        <w:rPr>
          <w:sz w:val="24"/>
          <w:szCs w:val="24"/>
        </w:rPr>
        <w:t xml:space="preserve"> falling at a rate that makes up for the lost tax incentives</w:t>
      </w:r>
      <w:r w:rsidR="006063ED">
        <w:rPr>
          <w:sz w:val="24"/>
          <w:szCs w:val="24"/>
        </w:rPr>
        <w:t>.</w:t>
      </w:r>
      <w:r w:rsidR="00CE185A">
        <w:rPr>
          <w:sz w:val="24"/>
          <w:szCs w:val="24"/>
        </w:rPr>
        <w:t xml:space="preserve">  </w:t>
      </w:r>
    </w:p>
    <w:p w14:paraId="391BE4B5" w14:textId="77777777" w:rsidR="00623902" w:rsidRDefault="00CE185A" w:rsidP="00B137BF">
      <w:pPr>
        <w:spacing w:line="480" w:lineRule="auto"/>
        <w:ind w:firstLine="720"/>
        <w:jc w:val="both"/>
        <w:rPr>
          <w:sz w:val="24"/>
          <w:szCs w:val="24"/>
        </w:rPr>
      </w:pPr>
      <w:r>
        <w:rPr>
          <w:sz w:val="24"/>
          <w:szCs w:val="24"/>
        </w:rPr>
        <w:t xml:space="preserve">AEP Ohio’s LTFR projected that the cost of </w:t>
      </w:r>
      <w:r w:rsidR="008340C5">
        <w:rPr>
          <w:sz w:val="24"/>
          <w:szCs w:val="24"/>
        </w:rPr>
        <w:t>utility scale solar would be $1.</w:t>
      </w:r>
      <w:r w:rsidR="00441E53">
        <w:rPr>
          <w:sz w:val="24"/>
          <w:szCs w:val="24"/>
        </w:rPr>
        <w:t>6</w:t>
      </w:r>
      <w:r w:rsidR="008340C5">
        <w:rPr>
          <w:sz w:val="24"/>
          <w:szCs w:val="24"/>
        </w:rPr>
        <w:t xml:space="preserve"> per watt in 202</w:t>
      </w:r>
      <w:r w:rsidR="00441E53">
        <w:rPr>
          <w:sz w:val="24"/>
          <w:szCs w:val="24"/>
        </w:rPr>
        <w:t>1</w:t>
      </w:r>
      <w:r w:rsidR="004778BD">
        <w:rPr>
          <w:sz w:val="24"/>
          <w:szCs w:val="24"/>
        </w:rPr>
        <w:t>.</w:t>
      </w:r>
      <w:r w:rsidR="0080429B">
        <w:rPr>
          <w:rStyle w:val="FootnoteReference"/>
          <w:sz w:val="24"/>
          <w:szCs w:val="24"/>
        </w:rPr>
        <w:footnoteReference w:id="130"/>
      </w:r>
      <w:r w:rsidR="004778BD">
        <w:rPr>
          <w:sz w:val="24"/>
          <w:szCs w:val="24"/>
        </w:rPr>
        <w:t xml:space="preserve">  With the ITC, this installed cost </w:t>
      </w:r>
      <w:r w:rsidR="00681D5E">
        <w:rPr>
          <w:sz w:val="24"/>
          <w:szCs w:val="24"/>
        </w:rPr>
        <w:t>translates</w:t>
      </w:r>
      <w:r w:rsidR="004778BD">
        <w:rPr>
          <w:sz w:val="24"/>
          <w:szCs w:val="24"/>
        </w:rPr>
        <w:t xml:space="preserve"> to approximately $1.12 per watt.</w:t>
      </w:r>
      <w:r w:rsidR="0080429B">
        <w:rPr>
          <w:rStyle w:val="FootnoteReference"/>
          <w:sz w:val="24"/>
          <w:szCs w:val="24"/>
        </w:rPr>
        <w:footnoteReference w:id="131"/>
      </w:r>
      <w:r w:rsidR="004778BD">
        <w:rPr>
          <w:sz w:val="24"/>
          <w:szCs w:val="24"/>
        </w:rPr>
        <w:t xml:space="preserve">  </w:t>
      </w:r>
      <w:r w:rsidR="00754E19">
        <w:rPr>
          <w:sz w:val="24"/>
          <w:szCs w:val="24"/>
        </w:rPr>
        <w:t xml:space="preserve">By AEP Ohio’s own testimony, the </w:t>
      </w:r>
      <w:r w:rsidR="00D26DD3">
        <w:rPr>
          <w:sz w:val="24"/>
          <w:szCs w:val="24"/>
        </w:rPr>
        <w:t>installed cost of solar in 2022 is projected to be</w:t>
      </w:r>
      <w:r w:rsidR="00681D5E">
        <w:rPr>
          <w:sz w:val="24"/>
          <w:szCs w:val="24"/>
        </w:rPr>
        <w:t xml:space="preserve"> approximately $1.</w:t>
      </w:r>
      <w:r w:rsidR="00AF061C">
        <w:rPr>
          <w:sz w:val="24"/>
          <w:szCs w:val="24"/>
        </w:rPr>
        <w:t>3</w:t>
      </w:r>
      <w:r w:rsidR="00681D5E">
        <w:rPr>
          <w:sz w:val="24"/>
          <w:szCs w:val="24"/>
        </w:rPr>
        <w:t>0</w:t>
      </w:r>
      <w:r w:rsidR="0028642D">
        <w:rPr>
          <w:sz w:val="24"/>
          <w:szCs w:val="24"/>
        </w:rPr>
        <w:t>-1.40</w:t>
      </w:r>
      <w:r w:rsidR="00681D5E">
        <w:rPr>
          <w:sz w:val="24"/>
          <w:szCs w:val="24"/>
        </w:rPr>
        <w:t xml:space="preserve"> per watt, which translates to </w:t>
      </w:r>
      <w:r w:rsidR="00386B5C">
        <w:rPr>
          <w:sz w:val="24"/>
          <w:szCs w:val="24"/>
        </w:rPr>
        <w:t>approximately $1.17 per watt, which is nearly the same price</w:t>
      </w:r>
      <w:r w:rsidR="00DC4246">
        <w:rPr>
          <w:sz w:val="24"/>
          <w:szCs w:val="24"/>
        </w:rPr>
        <w:t>.</w:t>
      </w:r>
      <w:r w:rsidR="0028642D">
        <w:rPr>
          <w:rStyle w:val="FootnoteReference"/>
          <w:sz w:val="24"/>
          <w:szCs w:val="24"/>
        </w:rPr>
        <w:footnoteReference w:id="132"/>
      </w:r>
      <w:r w:rsidR="00DC4246">
        <w:rPr>
          <w:sz w:val="24"/>
          <w:szCs w:val="24"/>
        </w:rPr>
        <w:t xml:space="preserve"> </w:t>
      </w:r>
    </w:p>
    <w:p w14:paraId="68D71554" w14:textId="18CCEFE6" w:rsidR="002271B0" w:rsidRPr="002271B0" w:rsidRDefault="00DC4246" w:rsidP="00B137BF">
      <w:pPr>
        <w:spacing w:line="480" w:lineRule="auto"/>
        <w:ind w:firstLine="720"/>
        <w:jc w:val="both"/>
        <w:rPr>
          <w:sz w:val="24"/>
          <w:szCs w:val="24"/>
        </w:rPr>
      </w:pPr>
      <w:r>
        <w:rPr>
          <w:sz w:val="24"/>
          <w:szCs w:val="24"/>
        </w:rPr>
        <w:t>AEP Ohio’s testimony is</w:t>
      </w:r>
      <w:r w:rsidR="00477EF0">
        <w:rPr>
          <w:sz w:val="24"/>
          <w:szCs w:val="24"/>
        </w:rPr>
        <w:t xml:space="preserve"> also</w:t>
      </w:r>
      <w:r>
        <w:rPr>
          <w:sz w:val="24"/>
          <w:szCs w:val="24"/>
        </w:rPr>
        <w:t xml:space="preserve"> based upon stale information.  </w:t>
      </w:r>
      <w:r w:rsidR="008E70F4">
        <w:rPr>
          <w:sz w:val="24"/>
          <w:szCs w:val="24"/>
        </w:rPr>
        <w:t xml:space="preserve">AEP Ohio testified that </w:t>
      </w:r>
      <w:r w:rsidR="007946C1">
        <w:rPr>
          <w:sz w:val="24"/>
          <w:szCs w:val="24"/>
        </w:rPr>
        <w:t>more recent projections predict that solar costs</w:t>
      </w:r>
      <w:r w:rsidR="00444336">
        <w:rPr>
          <w:sz w:val="24"/>
          <w:szCs w:val="24"/>
        </w:rPr>
        <w:t xml:space="preserve"> (both utility scale and residential rooftop)</w:t>
      </w:r>
      <w:r w:rsidR="007946C1">
        <w:rPr>
          <w:sz w:val="24"/>
          <w:szCs w:val="24"/>
        </w:rPr>
        <w:t xml:space="preserve"> will</w:t>
      </w:r>
      <w:r w:rsidR="008E70F4">
        <w:rPr>
          <w:sz w:val="24"/>
          <w:szCs w:val="24"/>
        </w:rPr>
        <w:t xml:space="preserve"> fall even further </w:t>
      </w:r>
      <w:r w:rsidR="007946C1">
        <w:rPr>
          <w:sz w:val="24"/>
          <w:szCs w:val="24"/>
        </w:rPr>
        <w:t>than AEP Ohio predict</w:t>
      </w:r>
      <w:r w:rsidR="00090720">
        <w:rPr>
          <w:sz w:val="24"/>
          <w:szCs w:val="24"/>
        </w:rPr>
        <w:t>ed</w:t>
      </w:r>
      <w:r w:rsidR="00952A3A">
        <w:rPr>
          <w:sz w:val="24"/>
          <w:szCs w:val="24"/>
        </w:rPr>
        <w:t>.</w:t>
      </w:r>
      <w:r w:rsidR="00952A3A">
        <w:rPr>
          <w:rStyle w:val="FootnoteReference"/>
          <w:sz w:val="24"/>
          <w:szCs w:val="24"/>
        </w:rPr>
        <w:footnoteReference w:id="133"/>
      </w:r>
      <w:r w:rsidR="007946C1">
        <w:rPr>
          <w:sz w:val="24"/>
          <w:szCs w:val="24"/>
        </w:rPr>
        <w:t xml:space="preserve">  Th</w:t>
      </w:r>
      <w:r w:rsidR="00090720">
        <w:rPr>
          <w:sz w:val="24"/>
          <w:szCs w:val="24"/>
        </w:rPr>
        <w:t xml:space="preserve">ese additional market efficiencies may make up for </w:t>
      </w:r>
      <w:r w:rsidR="00FF2702">
        <w:rPr>
          <w:sz w:val="24"/>
          <w:szCs w:val="24"/>
        </w:rPr>
        <w:t xml:space="preserve">lost federal tax savings, which AEP alleges support </w:t>
      </w:r>
      <w:r w:rsidR="002F6378">
        <w:rPr>
          <w:sz w:val="24"/>
          <w:szCs w:val="24"/>
        </w:rPr>
        <w:t xml:space="preserve">moving forward with phase 2 without a final order in this case.  </w:t>
      </w:r>
      <w:r w:rsidR="00444336">
        <w:rPr>
          <w:sz w:val="24"/>
          <w:szCs w:val="24"/>
        </w:rPr>
        <w:t xml:space="preserve">Therefore, </w:t>
      </w:r>
      <w:r w:rsidR="002F6378">
        <w:rPr>
          <w:sz w:val="24"/>
          <w:szCs w:val="24"/>
        </w:rPr>
        <w:t xml:space="preserve">IGS urges the Commission to not adopt </w:t>
      </w:r>
      <w:r w:rsidR="00B137BF">
        <w:rPr>
          <w:sz w:val="24"/>
          <w:szCs w:val="24"/>
        </w:rPr>
        <w:t>AEP Ohio’s</w:t>
      </w:r>
      <w:r w:rsidR="002F6378">
        <w:rPr>
          <w:sz w:val="24"/>
          <w:szCs w:val="24"/>
        </w:rPr>
        <w:t xml:space="preserve"> shoot first and aim later approach</w:t>
      </w:r>
      <w:r w:rsidR="00B137BF">
        <w:rPr>
          <w:sz w:val="24"/>
          <w:szCs w:val="24"/>
        </w:rPr>
        <w:t>.</w:t>
      </w:r>
      <w:r w:rsidR="002271B0">
        <w:rPr>
          <w:sz w:val="24"/>
          <w:szCs w:val="24"/>
        </w:rPr>
        <w:t xml:space="preserve"> </w:t>
      </w:r>
    </w:p>
    <w:p w14:paraId="40571209" w14:textId="63C8A74B" w:rsidR="00870F2D" w:rsidRPr="00870F2D" w:rsidRDefault="00F03591" w:rsidP="00844AC7">
      <w:pPr>
        <w:tabs>
          <w:tab w:val="left" w:pos="360"/>
        </w:tabs>
        <w:spacing w:after="0" w:line="480" w:lineRule="auto"/>
        <w:jc w:val="both"/>
        <w:rPr>
          <w:sz w:val="24"/>
          <w:szCs w:val="24"/>
        </w:rPr>
      </w:pPr>
      <w:r>
        <w:rPr>
          <w:b/>
          <w:sz w:val="24"/>
          <w:szCs w:val="24"/>
        </w:rPr>
        <w:t>I</w:t>
      </w:r>
      <w:r w:rsidR="00B428D9">
        <w:rPr>
          <w:b/>
          <w:sz w:val="24"/>
          <w:szCs w:val="24"/>
        </w:rPr>
        <w:t>V.  CONCLUSION</w:t>
      </w:r>
      <w:r w:rsidR="00870F2D">
        <w:rPr>
          <w:sz w:val="24"/>
          <w:szCs w:val="24"/>
        </w:rPr>
        <w:t xml:space="preserve"> </w:t>
      </w:r>
    </w:p>
    <w:p w14:paraId="7A735E4F" w14:textId="2D1CB102" w:rsidR="00B57386" w:rsidRDefault="00167A7B" w:rsidP="00B57386">
      <w:pPr>
        <w:tabs>
          <w:tab w:val="left" w:pos="360"/>
        </w:tabs>
        <w:spacing w:after="0" w:line="480" w:lineRule="auto"/>
        <w:jc w:val="both"/>
        <w:rPr>
          <w:color w:val="000000" w:themeColor="text1"/>
          <w:sz w:val="24"/>
          <w:szCs w:val="24"/>
        </w:rPr>
      </w:pPr>
      <w:r>
        <w:rPr>
          <w:color w:val="000000"/>
          <w:sz w:val="24"/>
          <w:szCs w:val="24"/>
          <w:shd w:val="clear" w:color="auto" w:fill="FFFFFF"/>
        </w:rPr>
        <w:tab/>
      </w:r>
      <w:r>
        <w:rPr>
          <w:color w:val="000000"/>
          <w:sz w:val="24"/>
          <w:szCs w:val="24"/>
          <w:shd w:val="clear" w:color="auto" w:fill="FFFFFF"/>
        </w:rPr>
        <w:tab/>
      </w:r>
      <w:r w:rsidR="006447A5">
        <w:rPr>
          <w:color w:val="000000"/>
          <w:sz w:val="24"/>
          <w:szCs w:val="24"/>
          <w:shd w:val="clear" w:color="auto" w:fill="FFFFFF"/>
        </w:rPr>
        <w:t>AEP Ohio’</w:t>
      </w:r>
      <w:r w:rsidR="00501CF9">
        <w:rPr>
          <w:color w:val="000000"/>
          <w:sz w:val="24"/>
          <w:szCs w:val="24"/>
          <w:shd w:val="clear" w:color="auto" w:fill="FFFFFF"/>
        </w:rPr>
        <w:t xml:space="preserve">s </w:t>
      </w:r>
      <w:r w:rsidR="00191820">
        <w:rPr>
          <w:color w:val="000000"/>
          <w:sz w:val="24"/>
          <w:szCs w:val="24"/>
          <w:shd w:val="clear" w:color="auto" w:fill="FFFFFF"/>
        </w:rPr>
        <w:t xml:space="preserve">Amended LTFR </w:t>
      </w:r>
      <w:r w:rsidR="00501CF9">
        <w:rPr>
          <w:color w:val="000000"/>
          <w:sz w:val="24"/>
          <w:szCs w:val="24"/>
          <w:shd w:val="clear" w:color="auto" w:fill="FFFFFF"/>
        </w:rPr>
        <w:t>application concedes that it does not need to construct generation to satisfy a reliability concern. Given this fact, b</w:t>
      </w:r>
      <w:r w:rsidR="002E1BE2" w:rsidRPr="00FC73F3">
        <w:rPr>
          <w:color w:val="000000"/>
          <w:sz w:val="24"/>
          <w:szCs w:val="24"/>
          <w:shd w:val="clear" w:color="auto" w:fill="FFFFFF"/>
        </w:rPr>
        <w:t>ased upon the plain language of the ESP statute, the balance of Chapter</w:t>
      </w:r>
      <w:r w:rsidR="002E1BE2">
        <w:rPr>
          <w:color w:val="000000"/>
          <w:sz w:val="24"/>
          <w:szCs w:val="24"/>
          <w:shd w:val="clear" w:color="auto" w:fill="FFFFFF"/>
        </w:rPr>
        <w:t xml:space="preserve"> 4928, and historical context regarding the passage of SB 221, </w:t>
      </w:r>
      <w:proofErr w:type="gramStart"/>
      <w:r w:rsidR="002E1BE2">
        <w:rPr>
          <w:color w:val="000000"/>
          <w:sz w:val="24"/>
          <w:szCs w:val="24"/>
          <w:shd w:val="clear" w:color="auto" w:fill="FFFFFF"/>
        </w:rPr>
        <w:t>it is clear that AEP</w:t>
      </w:r>
      <w:proofErr w:type="gramEnd"/>
      <w:r w:rsidR="002E1BE2">
        <w:rPr>
          <w:color w:val="000000"/>
          <w:sz w:val="24"/>
          <w:szCs w:val="24"/>
          <w:shd w:val="clear" w:color="auto" w:fill="FFFFFF"/>
        </w:rPr>
        <w:t xml:space="preserve"> Ohio’s proposal</w:t>
      </w:r>
      <w:r w:rsidR="00501CF9">
        <w:rPr>
          <w:color w:val="000000"/>
          <w:sz w:val="24"/>
          <w:szCs w:val="24"/>
          <w:shd w:val="clear" w:color="auto" w:fill="FFFFFF"/>
        </w:rPr>
        <w:t xml:space="preserve"> to c</w:t>
      </w:r>
      <w:r w:rsidR="001658C2">
        <w:rPr>
          <w:color w:val="000000"/>
          <w:sz w:val="24"/>
          <w:szCs w:val="24"/>
          <w:shd w:val="clear" w:color="auto" w:fill="FFFFFF"/>
        </w:rPr>
        <w:t>onstruct</w:t>
      </w:r>
      <w:r w:rsidR="00501CF9">
        <w:rPr>
          <w:color w:val="000000"/>
          <w:sz w:val="24"/>
          <w:szCs w:val="24"/>
          <w:shd w:val="clear" w:color="auto" w:fill="FFFFFF"/>
        </w:rPr>
        <w:t xml:space="preserve"> 900 MWs of renewable generation</w:t>
      </w:r>
      <w:r w:rsidR="002E1BE2">
        <w:rPr>
          <w:color w:val="000000"/>
          <w:sz w:val="24"/>
          <w:szCs w:val="24"/>
          <w:shd w:val="clear" w:color="auto" w:fill="FFFFFF"/>
        </w:rPr>
        <w:t xml:space="preserve"> </w:t>
      </w:r>
      <w:r w:rsidR="004377A9">
        <w:rPr>
          <w:color w:val="000000"/>
          <w:sz w:val="24"/>
          <w:szCs w:val="24"/>
          <w:shd w:val="clear" w:color="auto" w:fill="FFFFFF"/>
        </w:rPr>
        <w:t>lacks merit</w:t>
      </w:r>
      <w:r w:rsidR="00C06387">
        <w:rPr>
          <w:color w:val="000000"/>
          <w:sz w:val="24"/>
          <w:szCs w:val="24"/>
          <w:shd w:val="clear" w:color="auto" w:fill="FFFFFF"/>
        </w:rPr>
        <w:t xml:space="preserve">.  The purported </w:t>
      </w:r>
      <w:r w:rsidR="00C06387" w:rsidRPr="00C06387">
        <w:rPr>
          <w:color w:val="000000"/>
          <w:sz w:val="24"/>
          <w:szCs w:val="24"/>
          <w:shd w:val="clear" w:color="auto" w:fill="FFFFFF"/>
        </w:rPr>
        <w:t>desire of a portion of AEP Ohio’s customers to develop additional renewable resources within this state does not translate to a need to do so in contravention to the General Assembly’s</w:t>
      </w:r>
      <w:r>
        <w:rPr>
          <w:color w:val="000000"/>
          <w:sz w:val="24"/>
          <w:szCs w:val="24"/>
          <w:shd w:val="clear" w:color="auto" w:fill="FFFFFF"/>
        </w:rPr>
        <w:t xml:space="preserve"> policy framework</w:t>
      </w:r>
      <w:r w:rsidR="00C06387" w:rsidRPr="00C06387">
        <w:rPr>
          <w:color w:val="000000"/>
          <w:sz w:val="24"/>
          <w:szCs w:val="24"/>
          <w:shd w:val="clear" w:color="auto" w:fill="FFFFFF"/>
        </w:rPr>
        <w:t xml:space="preserve">. </w:t>
      </w:r>
      <w:r>
        <w:rPr>
          <w:color w:val="000000"/>
          <w:sz w:val="24"/>
          <w:szCs w:val="24"/>
          <w:shd w:val="clear" w:color="auto" w:fill="FFFFFF"/>
        </w:rPr>
        <w:t xml:space="preserve"> </w:t>
      </w:r>
      <w:r w:rsidR="00C06387" w:rsidRPr="00C06387">
        <w:rPr>
          <w:color w:val="000000"/>
          <w:sz w:val="24"/>
          <w:szCs w:val="24"/>
          <w:shd w:val="clear" w:color="auto" w:fill="FFFFFF"/>
        </w:rPr>
        <w:t xml:space="preserve">This is especially true given that </w:t>
      </w:r>
      <w:r w:rsidR="00DB27C2">
        <w:rPr>
          <w:color w:val="000000"/>
          <w:sz w:val="24"/>
          <w:szCs w:val="24"/>
          <w:shd w:val="clear" w:color="auto" w:fill="FFFFFF"/>
        </w:rPr>
        <w:t xml:space="preserve">customers </w:t>
      </w:r>
      <w:r w:rsidR="00C03842">
        <w:rPr>
          <w:color w:val="000000"/>
          <w:sz w:val="24"/>
          <w:szCs w:val="24"/>
          <w:shd w:val="clear" w:color="auto" w:fill="FFFFFF"/>
        </w:rPr>
        <w:t>have access to</w:t>
      </w:r>
      <w:r w:rsidR="003D34B2">
        <w:rPr>
          <w:color w:val="000000"/>
          <w:sz w:val="24"/>
          <w:szCs w:val="24"/>
          <w:shd w:val="clear" w:color="auto" w:fill="FFFFFF"/>
        </w:rPr>
        <w:t xml:space="preserve"> </w:t>
      </w:r>
      <w:r w:rsidR="00C03842">
        <w:rPr>
          <w:color w:val="000000"/>
          <w:sz w:val="24"/>
          <w:szCs w:val="24"/>
          <w:shd w:val="clear" w:color="auto" w:fill="FFFFFF"/>
        </w:rPr>
        <w:t>s</w:t>
      </w:r>
      <w:r w:rsidR="003D34B2">
        <w:rPr>
          <w:color w:val="000000"/>
          <w:sz w:val="24"/>
          <w:szCs w:val="24"/>
          <w:shd w:val="clear" w:color="auto" w:fill="FFFFFF"/>
        </w:rPr>
        <w:t>everal different renewable energy products thr</w:t>
      </w:r>
      <w:r w:rsidR="00C03842">
        <w:rPr>
          <w:color w:val="000000"/>
          <w:sz w:val="24"/>
          <w:szCs w:val="24"/>
          <w:shd w:val="clear" w:color="auto" w:fill="FFFFFF"/>
        </w:rPr>
        <w:t>ough</w:t>
      </w:r>
      <w:r w:rsidR="00C06387" w:rsidRPr="00C06387">
        <w:rPr>
          <w:color w:val="000000"/>
          <w:sz w:val="24"/>
          <w:szCs w:val="24"/>
          <w:shd w:val="clear" w:color="auto" w:fill="FFFFFF"/>
        </w:rPr>
        <w:t xml:space="preserve"> the competitive market</w:t>
      </w:r>
      <w:r w:rsidR="00C03842">
        <w:rPr>
          <w:color w:val="000000"/>
          <w:sz w:val="24"/>
          <w:szCs w:val="24"/>
          <w:shd w:val="clear" w:color="auto" w:fill="FFFFFF"/>
        </w:rPr>
        <w:t>.</w:t>
      </w:r>
      <w:r w:rsidR="004377A9">
        <w:rPr>
          <w:color w:val="000000"/>
          <w:sz w:val="24"/>
          <w:szCs w:val="24"/>
          <w:shd w:val="clear" w:color="auto" w:fill="FFFFFF"/>
        </w:rPr>
        <w:t xml:space="preserve">  </w:t>
      </w:r>
    </w:p>
    <w:p w14:paraId="6B62F1B3" w14:textId="0EBAE6C0" w:rsidR="00F11B92" w:rsidRDefault="00703A05" w:rsidP="00694919">
      <w:pPr>
        <w:spacing w:line="480" w:lineRule="auto"/>
        <w:ind w:firstLine="720"/>
        <w:jc w:val="both"/>
        <w:rPr>
          <w:sz w:val="24"/>
          <w:szCs w:val="24"/>
        </w:rPr>
      </w:pPr>
      <w:r>
        <w:rPr>
          <w:sz w:val="24"/>
          <w:szCs w:val="24"/>
        </w:rPr>
        <w:t xml:space="preserve">Rather than indulging AEP Ohio’s request to return to a bygone era, the Commission should </w:t>
      </w:r>
      <w:r w:rsidR="00F5226C">
        <w:rPr>
          <w:sz w:val="24"/>
          <w:szCs w:val="24"/>
        </w:rPr>
        <w:t>focus its efforts on eliminating barriers to</w:t>
      </w:r>
      <w:r w:rsidR="00792395">
        <w:rPr>
          <w:sz w:val="24"/>
          <w:szCs w:val="24"/>
        </w:rPr>
        <w:t xml:space="preserve"> deployment of</w:t>
      </w:r>
      <w:r w:rsidR="00F5226C">
        <w:rPr>
          <w:sz w:val="24"/>
          <w:szCs w:val="24"/>
        </w:rPr>
        <w:t xml:space="preserve"> customer sited generation</w:t>
      </w:r>
      <w:r w:rsidR="00792395">
        <w:rPr>
          <w:sz w:val="24"/>
          <w:szCs w:val="24"/>
        </w:rPr>
        <w:t>.</w:t>
      </w:r>
      <w:r>
        <w:rPr>
          <w:sz w:val="24"/>
          <w:szCs w:val="24"/>
        </w:rPr>
        <w:t xml:space="preserve">  </w:t>
      </w:r>
      <w:r w:rsidRPr="00287652">
        <w:rPr>
          <w:sz w:val="24"/>
          <w:szCs w:val="24"/>
        </w:rPr>
        <w:t>In doing so,</w:t>
      </w:r>
      <w:r>
        <w:rPr>
          <w:sz w:val="24"/>
          <w:szCs w:val="24"/>
        </w:rPr>
        <w:t xml:space="preserve"> the Commission</w:t>
      </w:r>
      <w:r w:rsidRPr="00287652">
        <w:rPr>
          <w:sz w:val="24"/>
          <w:szCs w:val="24"/>
        </w:rPr>
        <w:t xml:space="preserve"> can empower individual customers to deploy</w:t>
      </w:r>
      <w:r w:rsidR="003F3FF9">
        <w:rPr>
          <w:sz w:val="24"/>
          <w:szCs w:val="24"/>
        </w:rPr>
        <w:t xml:space="preserve"> clean</w:t>
      </w:r>
      <w:r w:rsidRPr="00287652">
        <w:rPr>
          <w:sz w:val="24"/>
          <w:szCs w:val="24"/>
        </w:rPr>
        <w:t xml:space="preserve"> </w:t>
      </w:r>
      <w:r>
        <w:rPr>
          <w:sz w:val="24"/>
          <w:szCs w:val="24"/>
        </w:rPr>
        <w:t>renewable resources</w:t>
      </w:r>
      <w:r w:rsidRPr="00287652">
        <w:rPr>
          <w:sz w:val="24"/>
          <w:szCs w:val="24"/>
        </w:rPr>
        <w:t xml:space="preserve"> to meet actual </w:t>
      </w:r>
      <w:r w:rsidR="00792395">
        <w:rPr>
          <w:sz w:val="24"/>
          <w:szCs w:val="24"/>
        </w:rPr>
        <w:t>consumer preference</w:t>
      </w:r>
      <w:r>
        <w:rPr>
          <w:sz w:val="24"/>
          <w:szCs w:val="24"/>
        </w:rPr>
        <w:t xml:space="preserve">, </w:t>
      </w:r>
      <w:r w:rsidRPr="00714364">
        <w:rPr>
          <w:sz w:val="24"/>
          <w:szCs w:val="24"/>
        </w:rPr>
        <w:t>whether it is greater than or less than what AEP is proposing</w:t>
      </w:r>
      <w:r w:rsidR="00FD1440">
        <w:rPr>
          <w:sz w:val="24"/>
          <w:szCs w:val="24"/>
        </w:rPr>
        <w:t xml:space="preserve"> in this case</w:t>
      </w:r>
      <w:r>
        <w:rPr>
          <w:sz w:val="24"/>
          <w:szCs w:val="24"/>
        </w:rPr>
        <w:t>.</w:t>
      </w:r>
    </w:p>
    <w:p w14:paraId="02F2C34E" w14:textId="0335F71D" w:rsidR="00F11B92" w:rsidRPr="00694919" w:rsidRDefault="00694919" w:rsidP="00694919">
      <w:pPr>
        <w:spacing w:line="480" w:lineRule="auto"/>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Respectfully submitted,</w:t>
      </w:r>
    </w:p>
    <w:p w14:paraId="769A11AD" w14:textId="77777777" w:rsidR="002E49D6" w:rsidRPr="00DB0D3A" w:rsidRDefault="00DB0D3A" w:rsidP="00055553">
      <w:pPr>
        <w:tabs>
          <w:tab w:val="left" w:pos="360"/>
        </w:tabs>
        <w:spacing w:after="0" w:line="360" w:lineRule="auto"/>
        <w:rPr>
          <w:i/>
          <w:sz w:val="24"/>
          <w:szCs w:val="24"/>
          <w:u w:val="single"/>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DB0D3A">
        <w:rPr>
          <w:sz w:val="24"/>
          <w:szCs w:val="24"/>
        </w:rPr>
        <w:tab/>
      </w:r>
      <w:r w:rsidRPr="00DB0D3A">
        <w:rPr>
          <w:i/>
          <w:sz w:val="24"/>
          <w:szCs w:val="24"/>
          <w:u w:val="single"/>
        </w:rPr>
        <w:t>/s/ Joseph Oliker</w:t>
      </w:r>
    </w:p>
    <w:p w14:paraId="144E302B" w14:textId="77777777" w:rsidR="00DB0D3A" w:rsidRPr="002E49D6" w:rsidRDefault="00DB0D3A" w:rsidP="00DB0D3A">
      <w:pPr>
        <w:spacing w:after="0" w:line="240" w:lineRule="auto"/>
        <w:ind w:left="5040"/>
        <w:rPr>
          <w:sz w:val="24"/>
          <w:szCs w:val="24"/>
        </w:rPr>
      </w:pPr>
      <w:r>
        <w:rPr>
          <w:sz w:val="24"/>
          <w:szCs w:val="24"/>
        </w:rPr>
        <w:t>J</w:t>
      </w:r>
      <w:r w:rsidRPr="002E49D6">
        <w:rPr>
          <w:sz w:val="24"/>
          <w:szCs w:val="24"/>
        </w:rPr>
        <w:t>oseph Oliker (0086088)</w:t>
      </w:r>
    </w:p>
    <w:p w14:paraId="5F45BB03" w14:textId="77777777" w:rsidR="00DB0D3A" w:rsidRPr="002E49D6" w:rsidRDefault="00DB0D3A" w:rsidP="00DB0D3A">
      <w:pPr>
        <w:spacing w:after="0" w:line="240" w:lineRule="auto"/>
        <w:ind w:left="5040"/>
        <w:rPr>
          <w:sz w:val="24"/>
          <w:szCs w:val="24"/>
        </w:rPr>
      </w:pPr>
      <w:r w:rsidRPr="002E49D6">
        <w:rPr>
          <w:sz w:val="24"/>
          <w:szCs w:val="24"/>
        </w:rPr>
        <w:t xml:space="preserve">Email: </w:t>
      </w:r>
      <w:hyperlink r:id="rId17" w:history="1">
        <w:r w:rsidRPr="002E49D6">
          <w:rPr>
            <w:rStyle w:val="Hyperlink"/>
            <w:color w:val="auto"/>
            <w:sz w:val="24"/>
            <w:szCs w:val="24"/>
            <w:u w:val="none"/>
          </w:rPr>
          <w:t>joliker@igsenergy.com</w:t>
        </w:r>
      </w:hyperlink>
    </w:p>
    <w:p w14:paraId="696F92E1" w14:textId="77777777" w:rsidR="00DB0D3A" w:rsidRPr="002E49D6" w:rsidRDefault="00DB0D3A" w:rsidP="00DB0D3A">
      <w:pPr>
        <w:spacing w:after="0" w:line="240" w:lineRule="auto"/>
        <w:ind w:left="5040"/>
        <w:rPr>
          <w:sz w:val="24"/>
          <w:szCs w:val="24"/>
        </w:rPr>
      </w:pPr>
      <w:r w:rsidRPr="002E49D6">
        <w:rPr>
          <w:sz w:val="24"/>
          <w:szCs w:val="24"/>
        </w:rPr>
        <w:t>Counsel of Record</w:t>
      </w:r>
    </w:p>
    <w:p w14:paraId="3BFC7C03" w14:textId="77777777" w:rsidR="00DB0D3A" w:rsidRPr="002E49D6" w:rsidRDefault="00DB0D3A" w:rsidP="00DB0D3A">
      <w:pPr>
        <w:spacing w:after="0" w:line="240" w:lineRule="auto"/>
        <w:ind w:left="5040"/>
        <w:rPr>
          <w:sz w:val="24"/>
          <w:szCs w:val="24"/>
        </w:rPr>
      </w:pPr>
      <w:r w:rsidRPr="002E49D6">
        <w:rPr>
          <w:sz w:val="24"/>
          <w:szCs w:val="24"/>
        </w:rPr>
        <w:t>Michael Nugent</w:t>
      </w:r>
    </w:p>
    <w:p w14:paraId="509D8C03" w14:textId="77777777" w:rsidR="00DB0D3A" w:rsidRPr="002E49D6" w:rsidRDefault="00DB0D3A" w:rsidP="00DB0D3A">
      <w:pPr>
        <w:spacing w:after="0" w:line="240" w:lineRule="auto"/>
        <w:ind w:left="5040"/>
        <w:rPr>
          <w:sz w:val="24"/>
          <w:szCs w:val="24"/>
        </w:rPr>
      </w:pPr>
      <w:r w:rsidRPr="002E49D6">
        <w:rPr>
          <w:sz w:val="24"/>
          <w:szCs w:val="24"/>
        </w:rPr>
        <w:t>Email: mnugent@igsenergy.com</w:t>
      </w:r>
    </w:p>
    <w:p w14:paraId="5E07CCCF" w14:textId="77777777" w:rsidR="00DB0D3A" w:rsidRPr="002E49D6" w:rsidRDefault="00DB0D3A" w:rsidP="00DB0D3A">
      <w:pPr>
        <w:spacing w:after="0" w:line="240" w:lineRule="auto"/>
        <w:ind w:left="5040"/>
        <w:rPr>
          <w:sz w:val="24"/>
          <w:szCs w:val="24"/>
        </w:rPr>
      </w:pPr>
      <w:r w:rsidRPr="002E49D6">
        <w:rPr>
          <w:sz w:val="24"/>
          <w:szCs w:val="24"/>
        </w:rPr>
        <w:t>IGS Energy</w:t>
      </w:r>
    </w:p>
    <w:p w14:paraId="687C9EC9" w14:textId="77777777" w:rsidR="00DB0D3A" w:rsidRPr="002E49D6" w:rsidRDefault="00DB0D3A" w:rsidP="00DB0D3A">
      <w:pPr>
        <w:spacing w:after="0" w:line="240" w:lineRule="auto"/>
        <w:ind w:left="5040"/>
        <w:rPr>
          <w:sz w:val="24"/>
          <w:szCs w:val="24"/>
        </w:rPr>
      </w:pPr>
      <w:r w:rsidRPr="002E49D6">
        <w:rPr>
          <w:sz w:val="24"/>
          <w:szCs w:val="24"/>
        </w:rPr>
        <w:t>6100 Emerald Parkway</w:t>
      </w:r>
    </w:p>
    <w:p w14:paraId="76F82882" w14:textId="77777777" w:rsidR="00DB0D3A" w:rsidRPr="002E49D6" w:rsidRDefault="00DB0D3A" w:rsidP="00DB0D3A">
      <w:pPr>
        <w:spacing w:after="0" w:line="240" w:lineRule="auto"/>
        <w:ind w:left="5040"/>
        <w:rPr>
          <w:sz w:val="24"/>
          <w:szCs w:val="24"/>
        </w:rPr>
      </w:pPr>
      <w:r w:rsidRPr="002E49D6">
        <w:rPr>
          <w:sz w:val="24"/>
          <w:szCs w:val="24"/>
        </w:rPr>
        <w:t>Dublin, Ohio 43016</w:t>
      </w:r>
    </w:p>
    <w:p w14:paraId="405D1CF7" w14:textId="77777777" w:rsidR="00DB0D3A" w:rsidRPr="002E49D6" w:rsidRDefault="00DB0D3A" w:rsidP="00DB0D3A">
      <w:pPr>
        <w:spacing w:after="0" w:line="240" w:lineRule="auto"/>
        <w:ind w:left="5040"/>
        <w:rPr>
          <w:sz w:val="24"/>
          <w:szCs w:val="24"/>
        </w:rPr>
      </w:pPr>
      <w:r w:rsidRPr="002E49D6">
        <w:rPr>
          <w:sz w:val="24"/>
          <w:szCs w:val="24"/>
        </w:rPr>
        <w:t>Telephone:</w:t>
      </w:r>
      <w:r w:rsidRPr="002E49D6">
        <w:rPr>
          <w:sz w:val="24"/>
          <w:szCs w:val="24"/>
        </w:rPr>
        <w:tab/>
        <w:t>(614) 659-5000</w:t>
      </w:r>
    </w:p>
    <w:p w14:paraId="31C5F4E0" w14:textId="77777777" w:rsidR="00DB0D3A" w:rsidRPr="002E49D6" w:rsidRDefault="00DB0D3A" w:rsidP="00DB0D3A">
      <w:pPr>
        <w:spacing w:after="0" w:line="240" w:lineRule="auto"/>
        <w:ind w:left="5040"/>
        <w:rPr>
          <w:sz w:val="24"/>
          <w:szCs w:val="24"/>
        </w:rPr>
      </w:pPr>
      <w:r w:rsidRPr="002E49D6">
        <w:rPr>
          <w:sz w:val="24"/>
          <w:szCs w:val="24"/>
        </w:rPr>
        <w:t>Facsimile:</w:t>
      </w:r>
      <w:r w:rsidRPr="002E49D6">
        <w:rPr>
          <w:sz w:val="24"/>
          <w:szCs w:val="24"/>
        </w:rPr>
        <w:tab/>
        <w:t>(614) 659-5073</w:t>
      </w:r>
    </w:p>
    <w:p w14:paraId="680A4E5D" w14:textId="77777777" w:rsidR="00DB0D3A" w:rsidRPr="002E49D6" w:rsidRDefault="00DB0D3A" w:rsidP="00DB0D3A">
      <w:pPr>
        <w:spacing w:after="0" w:line="240" w:lineRule="auto"/>
        <w:ind w:left="5040"/>
        <w:rPr>
          <w:sz w:val="24"/>
          <w:szCs w:val="24"/>
        </w:rPr>
      </w:pPr>
    </w:p>
    <w:p w14:paraId="4BFC68F9" w14:textId="77777777" w:rsidR="00DB0D3A" w:rsidRPr="002E49D6" w:rsidRDefault="00DB0D3A" w:rsidP="00DB0D3A">
      <w:pPr>
        <w:spacing w:after="0" w:line="240" w:lineRule="auto"/>
        <w:ind w:left="5040"/>
        <w:rPr>
          <w:b/>
          <w:i/>
          <w:sz w:val="24"/>
          <w:szCs w:val="24"/>
        </w:rPr>
      </w:pPr>
      <w:r w:rsidRPr="002E49D6">
        <w:rPr>
          <w:b/>
          <w:i/>
          <w:sz w:val="24"/>
          <w:szCs w:val="24"/>
        </w:rPr>
        <w:t>Attorneys for IGS Energy</w:t>
      </w:r>
    </w:p>
    <w:p w14:paraId="19219836" w14:textId="77777777" w:rsidR="002E49D6" w:rsidRDefault="002E49D6" w:rsidP="00055553">
      <w:pPr>
        <w:tabs>
          <w:tab w:val="left" w:pos="360"/>
        </w:tabs>
        <w:spacing w:after="0" w:line="360" w:lineRule="auto"/>
        <w:rPr>
          <w:b/>
          <w:sz w:val="24"/>
          <w:szCs w:val="24"/>
          <w:u w:val="single"/>
        </w:rPr>
      </w:pPr>
    </w:p>
    <w:p w14:paraId="296FEF7D" w14:textId="77777777" w:rsidR="002E49D6" w:rsidRDefault="002E49D6" w:rsidP="00055553">
      <w:pPr>
        <w:tabs>
          <w:tab w:val="left" w:pos="360"/>
        </w:tabs>
        <w:spacing w:after="0" w:line="360" w:lineRule="auto"/>
        <w:rPr>
          <w:b/>
          <w:sz w:val="24"/>
          <w:szCs w:val="24"/>
          <w:u w:val="single"/>
        </w:rPr>
      </w:pPr>
    </w:p>
    <w:p w14:paraId="1E75A79E" w14:textId="77777777" w:rsidR="00694919" w:rsidRDefault="00694919" w:rsidP="6AF121AF">
      <w:pPr>
        <w:tabs>
          <w:tab w:val="left" w:pos="360"/>
        </w:tabs>
        <w:spacing w:after="0" w:line="360" w:lineRule="auto"/>
        <w:rPr>
          <w:b/>
          <w:bCs/>
          <w:sz w:val="24"/>
          <w:szCs w:val="24"/>
          <w:u w:val="single"/>
        </w:rPr>
      </w:pPr>
    </w:p>
    <w:p w14:paraId="25E56157" w14:textId="77777777" w:rsidR="000253F3" w:rsidRDefault="000253F3" w:rsidP="6AF121AF">
      <w:pPr>
        <w:tabs>
          <w:tab w:val="left" w:pos="360"/>
        </w:tabs>
        <w:spacing w:after="0" w:line="360" w:lineRule="auto"/>
        <w:rPr>
          <w:b/>
          <w:bCs/>
          <w:sz w:val="24"/>
          <w:szCs w:val="24"/>
          <w:u w:val="single"/>
        </w:rPr>
      </w:pPr>
    </w:p>
    <w:p w14:paraId="41780369" w14:textId="77777777" w:rsidR="000253F3" w:rsidRDefault="000253F3" w:rsidP="6AF121AF">
      <w:pPr>
        <w:tabs>
          <w:tab w:val="left" w:pos="360"/>
        </w:tabs>
        <w:spacing w:after="0" w:line="360" w:lineRule="auto"/>
        <w:rPr>
          <w:b/>
          <w:bCs/>
          <w:sz w:val="24"/>
          <w:szCs w:val="24"/>
          <w:u w:val="single"/>
        </w:rPr>
      </w:pPr>
    </w:p>
    <w:p w14:paraId="65E0F5CE" w14:textId="77777777" w:rsidR="001D635F" w:rsidRDefault="001D635F" w:rsidP="6AF121AF">
      <w:pPr>
        <w:tabs>
          <w:tab w:val="left" w:pos="360"/>
        </w:tabs>
        <w:spacing w:after="0" w:line="360" w:lineRule="auto"/>
        <w:rPr>
          <w:b/>
          <w:bCs/>
          <w:sz w:val="24"/>
          <w:szCs w:val="24"/>
          <w:u w:val="single"/>
        </w:rPr>
      </w:pPr>
    </w:p>
    <w:p w14:paraId="55BA296E" w14:textId="77777777" w:rsidR="001D635F" w:rsidRDefault="001D635F" w:rsidP="6AF121AF">
      <w:pPr>
        <w:tabs>
          <w:tab w:val="left" w:pos="360"/>
        </w:tabs>
        <w:spacing w:after="0" w:line="360" w:lineRule="auto"/>
        <w:rPr>
          <w:b/>
          <w:bCs/>
          <w:sz w:val="24"/>
          <w:szCs w:val="24"/>
          <w:u w:val="single"/>
        </w:rPr>
      </w:pPr>
    </w:p>
    <w:p w14:paraId="29618ACD" w14:textId="77777777" w:rsidR="001D635F" w:rsidRDefault="001D635F" w:rsidP="6AF121AF">
      <w:pPr>
        <w:tabs>
          <w:tab w:val="left" w:pos="360"/>
        </w:tabs>
        <w:spacing w:after="0" w:line="360" w:lineRule="auto"/>
        <w:rPr>
          <w:b/>
          <w:bCs/>
          <w:sz w:val="24"/>
          <w:szCs w:val="24"/>
          <w:u w:val="single"/>
        </w:rPr>
      </w:pPr>
    </w:p>
    <w:p w14:paraId="63AC454D" w14:textId="77777777" w:rsidR="001D635F" w:rsidRDefault="001D635F" w:rsidP="6AF121AF">
      <w:pPr>
        <w:tabs>
          <w:tab w:val="left" w:pos="360"/>
        </w:tabs>
        <w:spacing w:after="0" w:line="360" w:lineRule="auto"/>
        <w:rPr>
          <w:b/>
          <w:bCs/>
          <w:sz w:val="24"/>
          <w:szCs w:val="24"/>
          <w:u w:val="single"/>
        </w:rPr>
      </w:pPr>
    </w:p>
    <w:p w14:paraId="6E5B314A" w14:textId="77777777" w:rsidR="000253F3" w:rsidRDefault="000253F3" w:rsidP="6AF121AF">
      <w:pPr>
        <w:tabs>
          <w:tab w:val="left" w:pos="360"/>
        </w:tabs>
        <w:spacing w:after="0" w:line="360" w:lineRule="auto"/>
        <w:rPr>
          <w:b/>
          <w:bCs/>
          <w:sz w:val="24"/>
          <w:szCs w:val="24"/>
          <w:u w:val="single"/>
        </w:rPr>
      </w:pPr>
    </w:p>
    <w:p w14:paraId="0BDECA50" w14:textId="77777777" w:rsidR="000253F3" w:rsidRDefault="000253F3" w:rsidP="6AF121AF">
      <w:pPr>
        <w:tabs>
          <w:tab w:val="left" w:pos="360"/>
        </w:tabs>
        <w:spacing w:after="0" w:line="360" w:lineRule="auto"/>
        <w:rPr>
          <w:b/>
          <w:bCs/>
          <w:sz w:val="24"/>
          <w:szCs w:val="24"/>
          <w:u w:val="single"/>
        </w:rPr>
      </w:pPr>
    </w:p>
    <w:p w14:paraId="239DC366" w14:textId="77777777" w:rsidR="000253F3" w:rsidRDefault="000253F3" w:rsidP="6AF121AF">
      <w:pPr>
        <w:tabs>
          <w:tab w:val="left" w:pos="360"/>
        </w:tabs>
        <w:spacing w:after="0" w:line="360" w:lineRule="auto"/>
        <w:rPr>
          <w:b/>
          <w:bCs/>
          <w:sz w:val="24"/>
          <w:szCs w:val="24"/>
          <w:u w:val="single"/>
        </w:rPr>
      </w:pPr>
    </w:p>
    <w:p w14:paraId="09075464" w14:textId="77777777" w:rsidR="000253F3" w:rsidRDefault="000253F3" w:rsidP="6AF121AF">
      <w:pPr>
        <w:tabs>
          <w:tab w:val="left" w:pos="360"/>
        </w:tabs>
        <w:spacing w:after="0" w:line="360" w:lineRule="auto"/>
        <w:rPr>
          <w:b/>
          <w:bCs/>
          <w:sz w:val="24"/>
          <w:szCs w:val="24"/>
          <w:u w:val="single"/>
        </w:rPr>
      </w:pPr>
    </w:p>
    <w:p w14:paraId="3D8025EC" w14:textId="77777777" w:rsidR="000253F3" w:rsidRDefault="000253F3" w:rsidP="6AF121AF">
      <w:pPr>
        <w:tabs>
          <w:tab w:val="left" w:pos="360"/>
        </w:tabs>
        <w:spacing w:after="0" w:line="360" w:lineRule="auto"/>
        <w:rPr>
          <w:b/>
          <w:bCs/>
          <w:sz w:val="24"/>
          <w:szCs w:val="24"/>
          <w:u w:val="single"/>
        </w:rPr>
      </w:pPr>
    </w:p>
    <w:p w14:paraId="0F904E5C" w14:textId="77777777" w:rsidR="000253F3" w:rsidRDefault="000253F3" w:rsidP="00CF2021">
      <w:pPr>
        <w:spacing w:after="0" w:line="240" w:lineRule="auto"/>
        <w:rPr>
          <w:rFonts w:eastAsia="Arial"/>
          <w:b/>
          <w:sz w:val="24"/>
          <w:szCs w:val="24"/>
          <w:u w:val="single"/>
        </w:rPr>
      </w:pPr>
    </w:p>
    <w:p w14:paraId="0B21468E" w14:textId="77777777" w:rsidR="007C48A1" w:rsidRPr="00D136F1" w:rsidRDefault="007C48A1" w:rsidP="007C48A1">
      <w:pPr>
        <w:spacing w:after="0" w:line="240" w:lineRule="auto"/>
        <w:ind w:left="2160" w:firstLine="720"/>
        <w:rPr>
          <w:rFonts w:eastAsia="Arial"/>
          <w:b/>
          <w:color w:val="FF0000"/>
          <w:sz w:val="24"/>
          <w:szCs w:val="24"/>
          <w:u w:val="single"/>
        </w:rPr>
      </w:pPr>
      <w:r w:rsidRPr="00D136F1">
        <w:rPr>
          <w:rFonts w:eastAsia="Arial"/>
          <w:b/>
          <w:sz w:val="24"/>
          <w:szCs w:val="24"/>
          <w:u w:val="single"/>
        </w:rPr>
        <w:t>CERTIFICATE OF SERVICE</w:t>
      </w:r>
    </w:p>
    <w:p w14:paraId="0F3CABC7" w14:textId="77777777" w:rsidR="007C48A1" w:rsidRPr="009D71F6" w:rsidRDefault="007C48A1" w:rsidP="007C48A1">
      <w:pPr>
        <w:spacing w:after="0" w:line="240" w:lineRule="auto"/>
        <w:jc w:val="center"/>
        <w:rPr>
          <w:rFonts w:eastAsia="Arial"/>
          <w:b/>
          <w:sz w:val="24"/>
          <w:szCs w:val="24"/>
          <w:u w:val="single"/>
        </w:rPr>
      </w:pPr>
    </w:p>
    <w:p w14:paraId="40C6BAFB" w14:textId="27E09685" w:rsidR="007C48A1" w:rsidRPr="009D71F6" w:rsidRDefault="007C48A1" w:rsidP="6AF121AF">
      <w:pPr>
        <w:spacing w:after="0" w:line="240" w:lineRule="auto"/>
        <w:jc w:val="both"/>
        <w:rPr>
          <w:rFonts w:eastAsia="Calibri"/>
          <w:sz w:val="24"/>
          <w:szCs w:val="24"/>
        </w:rPr>
      </w:pPr>
      <w:r w:rsidRPr="009D71F6">
        <w:rPr>
          <w:rFonts w:eastAsia="Arial"/>
          <w:sz w:val="24"/>
          <w:szCs w:val="24"/>
        </w:rPr>
        <w:tab/>
      </w:r>
      <w:r w:rsidRPr="009D71F6">
        <w:rPr>
          <w:rFonts w:eastAsia="Calibri"/>
          <w:sz w:val="24"/>
          <w:szCs w:val="24"/>
        </w:rPr>
        <w:t xml:space="preserve">The undersigned hereby certifies that a copy of the foregoing </w:t>
      </w:r>
      <w:r w:rsidR="00095750">
        <w:rPr>
          <w:rFonts w:eastAsia="Calibri"/>
          <w:i/>
          <w:iCs/>
          <w:sz w:val="24"/>
          <w:szCs w:val="24"/>
        </w:rPr>
        <w:t>Reply</w:t>
      </w:r>
      <w:r w:rsidRPr="6AF121AF">
        <w:rPr>
          <w:rFonts w:eastAsia="Calibri"/>
          <w:i/>
          <w:iCs/>
          <w:sz w:val="24"/>
          <w:szCs w:val="24"/>
        </w:rPr>
        <w:t xml:space="preserve"> Brief of</w:t>
      </w:r>
      <w:r w:rsidRPr="009D71F6">
        <w:rPr>
          <w:rFonts w:eastAsia="Calibri"/>
          <w:sz w:val="24"/>
          <w:szCs w:val="24"/>
        </w:rPr>
        <w:t xml:space="preserve"> </w:t>
      </w:r>
      <w:r w:rsidRPr="6AF121AF">
        <w:rPr>
          <w:rFonts w:eastAsia="Calibri"/>
          <w:i/>
          <w:iCs/>
          <w:sz w:val="24"/>
          <w:szCs w:val="24"/>
        </w:rPr>
        <w:t>Int</w:t>
      </w:r>
      <w:r w:rsidR="00AE6B35" w:rsidRPr="6AF121AF">
        <w:rPr>
          <w:rFonts w:eastAsia="Calibri"/>
          <w:i/>
          <w:iCs/>
          <w:sz w:val="24"/>
          <w:szCs w:val="24"/>
        </w:rPr>
        <w:t>e</w:t>
      </w:r>
      <w:r w:rsidR="00605509" w:rsidRPr="6AF121AF">
        <w:rPr>
          <w:rFonts w:eastAsia="Calibri"/>
          <w:i/>
          <w:iCs/>
          <w:sz w:val="24"/>
          <w:szCs w:val="24"/>
        </w:rPr>
        <w:t xml:space="preserve">rstate Gas Supply, Inc. </w:t>
      </w:r>
      <w:r w:rsidR="002415A5" w:rsidRPr="6AF121AF">
        <w:rPr>
          <w:rFonts w:eastAsia="Calibri"/>
          <w:i/>
          <w:iCs/>
          <w:sz w:val="24"/>
          <w:szCs w:val="24"/>
        </w:rPr>
        <w:t>and IGS Solar, LLC</w:t>
      </w:r>
      <w:r w:rsidR="00605509" w:rsidRPr="6AF121AF">
        <w:rPr>
          <w:rFonts w:eastAsia="Calibri"/>
          <w:i/>
          <w:iCs/>
          <w:sz w:val="24"/>
          <w:szCs w:val="24"/>
        </w:rPr>
        <w:t>,</w:t>
      </w:r>
      <w:r w:rsidRPr="6AF121AF">
        <w:rPr>
          <w:rFonts w:eastAsia="Calibri"/>
          <w:i/>
          <w:iCs/>
          <w:sz w:val="24"/>
          <w:szCs w:val="24"/>
        </w:rPr>
        <w:t xml:space="preserve"> </w:t>
      </w:r>
      <w:r w:rsidRPr="009D71F6">
        <w:rPr>
          <w:rFonts w:eastAsia="Calibri"/>
          <w:sz w:val="24"/>
          <w:szCs w:val="24"/>
        </w:rPr>
        <w:t xml:space="preserve">was served this </w:t>
      </w:r>
      <w:r w:rsidR="00095750">
        <w:rPr>
          <w:rFonts w:eastAsia="Calibri"/>
          <w:sz w:val="24"/>
          <w:szCs w:val="24"/>
        </w:rPr>
        <w:t>27</w:t>
      </w:r>
      <w:r w:rsidR="00E67F76">
        <w:rPr>
          <w:rFonts w:eastAsia="Calibri"/>
          <w:sz w:val="24"/>
          <w:szCs w:val="24"/>
        </w:rPr>
        <w:t>th</w:t>
      </w:r>
      <w:r w:rsidRPr="009D71F6">
        <w:rPr>
          <w:rFonts w:eastAsia="Calibri"/>
          <w:sz w:val="24"/>
          <w:szCs w:val="24"/>
        </w:rPr>
        <w:t xml:space="preserve"> day of March</w:t>
      </w:r>
      <w:r w:rsidR="001E1681">
        <w:rPr>
          <w:rFonts w:eastAsia="Calibri"/>
          <w:sz w:val="24"/>
          <w:szCs w:val="24"/>
        </w:rPr>
        <w:t xml:space="preserve"> 2019</w:t>
      </w:r>
      <w:r w:rsidRPr="009D71F6">
        <w:rPr>
          <w:rFonts w:eastAsia="Calibri"/>
          <w:sz w:val="24"/>
          <w:szCs w:val="24"/>
        </w:rPr>
        <w:t xml:space="preserve"> via electronic mail upon the following:</w:t>
      </w:r>
    </w:p>
    <w:p w14:paraId="5B08B5D1" w14:textId="77777777" w:rsidR="007C48A1" w:rsidRPr="009D71F6" w:rsidRDefault="007C48A1" w:rsidP="007C48A1">
      <w:pPr>
        <w:spacing w:after="0" w:line="240" w:lineRule="auto"/>
        <w:jc w:val="both"/>
        <w:rPr>
          <w:rFonts w:eastAsia="Arial"/>
          <w:sz w:val="24"/>
          <w:szCs w:val="24"/>
        </w:rPr>
      </w:pPr>
    </w:p>
    <w:p w14:paraId="16DEB4AB" w14:textId="77777777" w:rsidR="007C48A1" w:rsidRPr="0079455C" w:rsidRDefault="007C48A1" w:rsidP="007C48A1">
      <w:pPr>
        <w:spacing w:after="0" w:line="240" w:lineRule="auto"/>
        <w:rPr>
          <w:sz w:val="16"/>
          <w:szCs w:val="16"/>
        </w:rPr>
      </w:pPr>
    </w:p>
    <w:tbl>
      <w:tblPr>
        <w:tblStyle w:val="TableGrid"/>
        <w:tblW w:w="0" w:type="auto"/>
        <w:tblLook w:val="04A0" w:firstRow="1" w:lastRow="0" w:firstColumn="1" w:lastColumn="0" w:noHBand="0" w:noVBand="1"/>
      </w:tblPr>
      <w:tblGrid>
        <w:gridCol w:w="5023"/>
        <w:gridCol w:w="4327"/>
      </w:tblGrid>
      <w:tr w:rsidR="004E62FB" w:rsidRPr="0079455C" w14:paraId="014BA242" w14:textId="77777777" w:rsidTr="005E0176">
        <w:trPr>
          <w:trHeight w:val="2357"/>
        </w:trPr>
        <w:tc>
          <w:tcPr>
            <w:tcW w:w="4610" w:type="dxa"/>
          </w:tcPr>
          <w:p w14:paraId="2FA9D225" w14:textId="77777777" w:rsidR="004E62FB" w:rsidRPr="004E62FB" w:rsidRDefault="00C45A28" w:rsidP="004E62FB">
            <w:pPr>
              <w:pStyle w:val="BodyText"/>
              <w:spacing w:line="240" w:lineRule="auto"/>
              <w:rPr>
                <w:rFonts w:ascii="Arial" w:hAnsi="Arial" w:cs="Arial"/>
                <w:bCs/>
              </w:rPr>
            </w:pPr>
            <w:hyperlink r:id="rId18" w:history="1">
              <w:r w:rsidR="004E62FB" w:rsidRPr="004E62FB">
                <w:rPr>
                  <w:rStyle w:val="Hyperlink"/>
                  <w:rFonts w:ascii="Arial" w:hAnsi="Arial" w:cs="Arial"/>
                  <w:color w:val="auto"/>
                  <w:u w:val="none"/>
                </w:rPr>
                <w:t>Thomas.mcnamee@ohioattorneygeneral.gov</w:t>
              </w:r>
            </w:hyperlink>
          </w:p>
          <w:p w14:paraId="0CEC64F8" w14:textId="77777777" w:rsidR="004E62FB" w:rsidRPr="004E62FB" w:rsidRDefault="00C45A28" w:rsidP="004E62FB">
            <w:pPr>
              <w:pStyle w:val="BodyText"/>
              <w:spacing w:line="240" w:lineRule="auto"/>
              <w:rPr>
                <w:rFonts w:ascii="Arial" w:hAnsi="Arial" w:cs="Arial"/>
                <w:bCs/>
              </w:rPr>
            </w:pPr>
            <w:hyperlink r:id="rId19" w:history="1">
              <w:r w:rsidR="004E62FB" w:rsidRPr="004E62FB">
                <w:rPr>
                  <w:rStyle w:val="Hyperlink"/>
                  <w:rFonts w:ascii="Arial" w:hAnsi="Arial" w:cs="Arial"/>
                  <w:color w:val="auto"/>
                  <w:u w:val="none"/>
                </w:rPr>
                <w:t>kboehm@BKLlawfirm.com</w:t>
              </w:r>
            </w:hyperlink>
          </w:p>
          <w:p w14:paraId="1E43A8CE" w14:textId="77777777" w:rsidR="004E62FB" w:rsidRPr="004E62FB" w:rsidRDefault="00C45A28" w:rsidP="004E62FB">
            <w:pPr>
              <w:pStyle w:val="BodyText"/>
              <w:spacing w:line="240" w:lineRule="auto"/>
              <w:rPr>
                <w:rFonts w:ascii="Arial" w:hAnsi="Arial" w:cs="Arial"/>
                <w:bCs/>
              </w:rPr>
            </w:pPr>
            <w:hyperlink r:id="rId20" w:history="1">
              <w:r w:rsidR="004E62FB" w:rsidRPr="004E62FB">
                <w:rPr>
                  <w:rStyle w:val="Hyperlink"/>
                  <w:rFonts w:ascii="Arial" w:hAnsi="Arial" w:cs="Arial"/>
                  <w:color w:val="auto"/>
                  <w:u w:val="none"/>
                </w:rPr>
                <w:t>jkylercohn@BKLlawfirm.com</w:t>
              </w:r>
            </w:hyperlink>
          </w:p>
          <w:p w14:paraId="26F2486E" w14:textId="77777777" w:rsidR="004E62FB" w:rsidRPr="004E62FB" w:rsidRDefault="00C45A28" w:rsidP="004E62FB">
            <w:pPr>
              <w:autoSpaceDE w:val="0"/>
              <w:autoSpaceDN w:val="0"/>
              <w:adjustRightInd w:val="0"/>
              <w:spacing w:after="0" w:line="240" w:lineRule="auto"/>
              <w:jc w:val="both"/>
              <w:rPr>
                <w:sz w:val="24"/>
                <w:szCs w:val="24"/>
              </w:rPr>
            </w:pPr>
            <w:hyperlink r:id="rId21" w:history="1">
              <w:r w:rsidR="004E62FB" w:rsidRPr="004E62FB">
                <w:rPr>
                  <w:rStyle w:val="Hyperlink"/>
                  <w:color w:val="auto"/>
                  <w:sz w:val="24"/>
                  <w:szCs w:val="24"/>
                  <w:u w:val="none"/>
                </w:rPr>
                <w:t>mpritchard@mwncmh.com</w:t>
              </w:r>
            </w:hyperlink>
          </w:p>
          <w:p w14:paraId="151053A8" w14:textId="77777777" w:rsidR="004E62FB" w:rsidRPr="004E62FB" w:rsidRDefault="00C45A28" w:rsidP="004E62FB">
            <w:pPr>
              <w:autoSpaceDE w:val="0"/>
              <w:autoSpaceDN w:val="0"/>
              <w:adjustRightInd w:val="0"/>
              <w:spacing w:after="0" w:line="240" w:lineRule="auto"/>
              <w:jc w:val="both"/>
              <w:rPr>
                <w:rStyle w:val="Hyperlink"/>
                <w:color w:val="auto"/>
                <w:sz w:val="24"/>
                <w:szCs w:val="24"/>
                <w:u w:val="none"/>
              </w:rPr>
            </w:pPr>
            <w:hyperlink r:id="rId22" w:history="1">
              <w:r w:rsidR="004E62FB" w:rsidRPr="004E62FB">
                <w:rPr>
                  <w:rStyle w:val="Hyperlink"/>
                  <w:color w:val="auto"/>
                  <w:sz w:val="24"/>
                  <w:szCs w:val="24"/>
                  <w:u w:val="none"/>
                </w:rPr>
                <w:t>fdarr@mwncmh.com</w:t>
              </w:r>
            </w:hyperlink>
          </w:p>
          <w:p w14:paraId="172B369B" w14:textId="77777777" w:rsidR="004E62FB" w:rsidRPr="004E62FB" w:rsidRDefault="00C45A28" w:rsidP="004E62FB">
            <w:pPr>
              <w:autoSpaceDE w:val="0"/>
              <w:autoSpaceDN w:val="0"/>
              <w:adjustRightInd w:val="0"/>
              <w:spacing w:after="0" w:line="240" w:lineRule="auto"/>
              <w:jc w:val="both"/>
              <w:rPr>
                <w:sz w:val="24"/>
                <w:szCs w:val="24"/>
              </w:rPr>
            </w:pPr>
            <w:hyperlink r:id="rId23" w:history="1">
              <w:r w:rsidR="004E62FB" w:rsidRPr="004E62FB">
                <w:rPr>
                  <w:rStyle w:val="Hyperlink"/>
                  <w:rFonts w:eastAsia="Calibri"/>
                  <w:color w:val="auto"/>
                  <w:sz w:val="24"/>
                  <w:szCs w:val="24"/>
                  <w:u w:val="none"/>
                </w:rPr>
                <w:t>mleppla@theOEC.org</w:t>
              </w:r>
            </w:hyperlink>
          </w:p>
          <w:p w14:paraId="712DC490" w14:textId="77777777" w:rsidR="004E62FB" w:rsidRPr="004E62FB" w:rsidRDefault="00C45A28" w:rsidP="004E62FB">
            <w:pPr>
              <w:autoSpaceDE w:val="0"/>
              <w:autoSpaceDN w:val="0"/>
              <w:adjustRightInd w:val="0"/>
              <w:spacing w:after="0" w:line="240" w:lineRule="auto"/>
              <w:jc w:val="both"/>
              <w:rPr>
                <w:sz w:val="24"/>
                <w:szCs w:val="24"/>
              </w:rPr>
            </w:pPr>
            <w:hyperlink r:id="rId24" w:history="1">
              <w:r w:rsidR="004E62FB" w:rsidRPr="004E62FB">
                <w:rPr>
                  <w:rStyle w:val="Hyperlink"/>
                  <w:color w:val="auto"/>
                  <w:sz w:val="24"/>
                  <w:szCs w:val="24"/>
                  <w:u w:val="none"/>
                </w:rPr>
                <w:t>dparram@bricker.com</w:t>
              </w:r>
            </w:hyperlink>
          </w:p>
          <w:p w14:paraId="25AB8E7C" w14:textId="77777777" w:rsidR="004E62FB" w:rsidRPr="004E62FB" w:rsidRDefault="00C45A28" w:rsidP="004E62FB">
            <w:pPr>
              <w:autoSpaceDE w:val="0"/>
              <w:autoSpaceDN w:val="0"/>
              <w:adjustRightInd w:val="0"/>
              <w:spacing w:after="0" w:line="240" w:lineRule="auto"/>
              <w:jc w:val="both"/>
              <w:rPr>
                <w:rFonts w:eastAsia="Calibri"/>
                <w:sz w:val="24"/>
                <w:szCs w:val="24"/>
              </w:rPr>
            </w:pPr>
            <w:hyperlink r:id="rId25" w:history="1">
              <w:r w:rsidR="004E62FB" w:rsidRPr="004E62FB">
                <w:rPr>
                  <w:rStyle w:val="Hyperlink"/>
                  <w:rFonts w:eastAsia="Calibri"/>
                  <w:color w:val="auto"/>
                  <w:sz w:val="24"/>
                  <w:szCs w:val="24"/>
                  <w:u w:val="none"/>
                </w:rPr>
                <w:t>jstock@beneschlaw.com</w:t>
              </w:r>
            </w:hyperlink>
          </w:p>
          <w:p w14:paraId="1224D1B0" w14:textId="77777777" w:rsidR="004E62FB" w:rsidRPr="004E62FB" w:rsidRDefault="00C45A28" w:rsidP="004E62FB">
            <w:pPr>
              <w:autoSpaceDE w:val="0"/>
              <w:autoSpaceDN w:val="0"/>
              <w:adjustRightInd w:val="0"/>
              <w:spacing w:after="0" w:line="240" w:lineRule="auto"/>
              <w:jc w:val="both"/>
              <w:rPr>
                <w:rStyle w:val="Hyperlink"/>
                <w:color w:val="auto"/>
                <w:sz w:val="24"/>
                <w:szCs w:val="24"/>
                <w:u w:val="none"/>
              </w:rPr>
            </w:pPr>
            <w:hyperlink r:id="rId26" w:history="1">
              <w:r w:rsidR="004E62FB" w:rsidRPr="004E62FB">
                <w:rPr>
                  <w:rStyle w:val="Hyperlink"/>
                  <w:rFonts w:eastAsia="Calibri"/>
                  <w:color w:val="auto"/>
                  <w:sz w:val="24"/>
                  <w:szCs w:val="24"/>
                  <w:u w:val="none"/>
                </w:rPr>
                <w:t>jrego@beneschlaw.com</w:t>
              </w:r>
            </w:hyperlink>
          </w:p>
          <w:p w14:paraId="2C915C42" w14:textId="77777777" w:rsidR="004E62FB" w:rsidRPr="004E62FB" w:rsidRDefault="00C45A28" w:rsidP="004E62FB">
            <w:pPr>
              <w:autoSpaceDE w:val="0"/>
              <w:autoSpaceDN w:val="0"/>
              <w:adjustRightInd w:val="0"/>
              <w:spacing w:after="0" w:line="240" w:lineRule="auto"/>
              <w:jc w:val="both"/>
              <w:rPr>
                <w:rFonts w:eastAsiaTheme="minorHAnsi"/>
                <w:sz w:val="24"/>
                <w:szCs w:val="24"/>
              </w:rPr>
            </w:pPr>
            <w:hyperlink r:id="rId27" w:history="1">
              <w:r w:rsidR="004E62FB" w:rsidRPr="004E62FB">
                <w:rPr>
                  <w:rStyle w:val="Hyperlink"/>
                  <w:rFonts w:eastAsiaTheme="minorHAnsi"/>
                  <w:color w:val="auto"/>
                  <w:sz w:val="24"/>
                  <w:szCs w:val="24"/>
                  <w:u w:val="none"/>
                </w:rPr>
                <w:t>cpirik@dickinsonwright.com</w:t>
              </w:r>
            </w:hyperlink>
          </w:p>
          <w:p w14:paraId="3281586B" w14:textId="77777777" w:rsidR="004E62FB" w:rsidRPr="004E62FB" w:rsidRDefault="004E62FB" w:rsidP="004E62FB">
            <w:pPr>
              <w:autoSpaceDE w:val="0"/>
              <w:autoSpaceDN w:val="0"/>
              <w:adjustRightInd w:val="0"/>
              <w:spacing w:after="0" w:line="240" w:lineRule="auto"/>
              <w:jc w:val="both"/>
              <w:rPr>
                <w:rFonts w:eastAsiaTheme="minorHAnsi"/>
                <w:sz w:val="24"/>
                <w:szCs w:val="24"/>
              </w:rPr>
            </w:pPr>
            <w:r w:rsidRPr="004E62FB">
              <w:rPr>
                <w:rFonts w:eastAsiaTheme="minorHAnsi"/>
                <w:sz w:val="24"/>
                <w:szCs w:val="24"/>
              </w:rPr>
              <w:t>todonnell@dickinsonwright.com</w:t>
            </w:r>
          </w:p>
          <w:p w14:paraId="29285CE5" w14:textId="77777777" w:rsidR="004E62FB" w:rsidRPr="004E62FB" w:rsidRDefault="00C45A28" w:rsidP="004E62FB">
            <w:pPr>
              <w:autoSpaceDE w:val="0"/>
              <w:autoSpaceDN w:val="0"/>
              <w:adjustRightInd w:val="0"/>
              <w:spacing w:after="0" w:line="240" w:lineRule="auto"/>
              <w:jc w:val="both"/>
              <w:rPr>
                <w:rStyle w:val="Hyperlink"/>
                <w:color w:val="auto"/>
                <w:sz w:val="24"/>
                <w:szCs w:val="24"/>
                <w:u w:val="none"/>
              </w:rPr>
            </w:pPr>
            <w:hyperlink r:id="rId28" w:history="1">
              <w:r w:rsidR="004E62FB" w:rsidRPr="004E62FB">
                <w:rPr>
                  <w:rStyle w:val="Hyperlink"/>
                  <w:rFonts w:eastAsiaTheme="minorHAnsi"/>
                  <w:color w:val="auto"/>
                  <w:sz w:val="24"/>
                  <w:szCs w:val="24"/>
                  <w:u w:val="none"/>
                </w:rPr>
                <w:t>wvorys@dickinsonwright.com</w:t>
              </w:r>
            </w:hyperlink>
          </w:p>
          <w:p w14:paraId="13210003" w14:textId="77777777" w:rsidR="004E62FB" w:rsidRPr="004E62FB" w:rsidRDefault="00C45A28" w:rsidP="004E62FB">
            <w:pPr>
              <w:pStyle w:val="BodyText"/>
              <w:spacing w:line="240" w:lineRule="auto"/>
              <w:rPr>
                <w:rFonts w:ascii="Arial" w:eastAsiaTheme="minorHAnsi" w:hAnsi="Arial" w:cs="Arial"/>
              </w:rPr>
            </w:pPr>
            <w:hyperlink r:id="rId29" w:history="1">
              <w:r w:rsidR="004E62FB" w:rsidRPr="004E62FB">
                <w:rPr>
                  <w:rStyle w:val="Hyperlink"/>
                  <w:rFonts w:ascii="Arial" w:eastAsiaTheme="minorHAnsi" w:hAnsi="Arial" w:cs="Arial"/>
                  <w:color w:val="auto"/>
                  <w:u w:val="none"/>
                </w:rPr>
                <w:t>mjsettineri@vorys.com</w:t>
              </w:r>
            </w:hyperlink>
          </w:p>
          <w:p w14:paraId="5A248962" w14:textId="77777777" w:rsidR="004E62FB" w:rsidRPr="004E62FB" w:rsidRDefault="00C45A28" w:rsidP="004E62FB">
            <w:pPr>
              <w:autoSpaceDE w:val="0"/>
              <w:autoSpaceDN w:val="0"/>
              <w:adjustRightInd w:val="0"/>
              <w:spacing w:after="0" w:line="240" w:lineRule="auto"/>
              <w:jc w:val="both"/>
              <w:rPr>
                <w:rFonts w:eastAsiaTheme="minorHAnsi"/>
                <w:sz w:val="24"/>
                <w:szCs w:val="24"/>
              </w:rPr>
            </w:pPr>
            <w:hyperlink r:id="rId30" w:history="1">
              <w:r w:rsidR="004E62FB" w:rsidRPr="004E62FB">
                <w:rPr>
                  <w:rStyle w:val="Hyperlink"/>
                  <w:rFonts w:eastAsiaTheme="minorHAnsi"/>
                  <w:color w:val="auto"/>
                  <w:sz w:val="24"/>
                  <w:szCs w:val="24"/>
                  <w:u w:val="none"/>
                </w:rPr>
                <w:t>glpetrucci@vorys.com</w:t>
              </w:r>
            </w:hyperlink>
          </w:p>
          <w:p w14:paraId="0AD9C6F4" w14:textId="77777777" w:rsidR="004E62FB" w:rsidRPr="004E62FB" w:rsidRDefault="004E62FB" w:rsidP="004E62FB">
            <w:pPr>
              <w:autoSpaceDE w:val="0"/>
              <w:autoSpaceDN w:val="0"/>
              <w:adjustRightInd w:val="0"/>
              <w:spacing w:after="0" w:line="240" w:lineRule="auto"/>
              <w:jc w:val="both"/>
              <w:rPr>
                <w:rFonts w:eastAsia="Times New Roman"/>
                <w:sz w:val="24"/>
                <w:szCs w:val="24"/>
              </w:rPr>
            </w:pPr>
          </w:p>
          <w:p w14:paraId="4B1F511A" w14:textId="77777777" w:rsidR="004E62FB" w:rsidRPr="004E62FB" w:rsidRDefault="004E62FB" w:rsidP="004E62FB">
            <w:pPr>
              <w:autoSpaceDE w:val="0"/>
              <w:autoSpaceDN w:val="0"/>
              <w:adjustRightInd w:val="0"/>
              <w:spacing w:after="0" w:line="240" w:lineRule="auto"/>
              <w:jc w:val="both"/>
              <w:rPr>
                <w:rFonts w:eastAsia="Calibri"/>
                <w:sz w:val="24"/>
                <w:szCs w:val="24"/>
              </w:rPr>
            </w:pPr>
          </w:p>
          <w:p w14:paraId="65F9C3DC" w14:textId="77777777" w:rsidR="004E62FB" w:rsidRPr="004E62FB" w:rsidRDefault="004E62FB" w:rsidP="004E62FB">
            <w:pPr>
              <w:autoSpaceDE w:val="0"/>
              <w:autoSpaceDN w:val="0"/>
              <w:adjustRightInd w:val="0"/>
              <w:spacing w:after="0" w:line="240" w:lineRule="auto"/>
              <w:jc w:val="both"/>
              <w:rPr>
                <w:rFonts w:eastAsia="Calibri"/>
                <w:sz w:val="24"/>
                <w:szCs w:val="24"/>
              </w:rPr>
            </w:pPr>
          </w:p>
          <w:p w14:paraId="5023141B" w14:textId="77777777" w:rsidR="004E62FB" w:rsidRPr="004E62FB" w:rsidRDefault="004E62FB" w:rsidP="004E62FB">
            <w:pPr>
              <w:pStyle w:val="BodyText"/>
              <w:spacing w:line="240" w:lineRule="auto"/>
              <w:rPr>
                <w:rFonts w:ascii="Arial" w:hAnsi="Arial" w:cs="Arial"/>
                <w:bCs/>
              </w:rPr>
            </w:pPr>
          </w:p>
        </w:tc>
        <w:tc>
          <w:tcPr>
            <w:tcW w:w="4740" w:type="dxa"/>
          </w:tcPr>
          <w:p w14:paraId="105864E6" w14:textId="77777777" w:rsidR="004E62FB" w:rsidRPr="004E62FB" w:rsidRDefault="00C45A28" w:rsidP="004E62FB">
            <w:pPr>
              <w:pStyle w:val="BodyText"/>
              <w:spacing w:line="240" w:lineRule="auto"/>
              <w:rPr>
                <w:rFonts w:ascii="Arial" w:hAnsi="Arial" w:cs="Arial"/>
                <w:bCs/>
              </w:rPr>
            </w:pPr>
            <w:hyperlink r:id="rId31" w:history="1">
              <w:r w:rsidR="004E62FB" w:rsidRPr="004E62FB">
                <w:rPr>
                  <w:rStyle w:val="Hyperlink"/>
                  <w:rFonts w:ascii="Arial" w:hAnsi="Arial" w:cs="Arial"/>
                  <w:color w:val="auto"/>
                  <w:u w:val="none"/>
                </w:rPr>
                <w:t>stnourse@aep.com</w:t>
              </w:r>
            </w:hyperlink>
          </w:p>
          <w:p w14:paraId="3B8232E6" w14:textId="77777777" w:rsidR="004E62FB" w:rsidRPr="004E62FB" w:rsidRDefault="00C45A28" w:rsidP="004E62FB">
            <w:pPr>
              <w:pStyle w:val="BodyText"/>
              <w:spacing w:line="240" w:lineRule="auto"/>
              <w:rPr>
                <w:rFonts w:ascii="Arial" w:hAnsi="Arial" w:cs="Arial"/>
                <w:bCs/>
              </w:rPr>
            </w:pPr>
            <w:hyperlink r:id="rId32" w:history="1">
              <w:r w:rsidR="004E62FB" w:rsidRPr="004E62FB">
                <w:rPr>
                  <w:rStyle w:val="Hyperlink"/>
                  <w:rFonts w:ascii="Arial" w:hAnsi="Arial" w:cs="Arial"/>
                  <w:color w:val="auto"/>
                  <w:u w:val="none"/>
                </w:rPr>
                <w:t>cmblend@aep.com</w:t>
              </w:r>
            </w:hyperlink>
          </w:p>
          <w:p w14:paraId="1150BECB" w14:textId="77777777" w:rsidR="004E62FB" w:rsidRPr="004E62FB" w:rsidRDefault="00C45A28" w:rsidP="004E62FB">
            <w:pPr>
              <w:pStyle w:val="BodyText"/>
              <w:spacing w:line="240" w:lineRule="auto"/>
              <w:rPr>
                <w:rFonts w:ascii="Arial" w:hAnsi="Arial" w:cs="Arial"/>
              </w:rPr>
            </w:pPr>
            <w:hyperlink r:id="rId33" w:history="1">
              <w:r w:rsidR="004E62FB" w:rsidRPr="004E62FB">
                <w:rPr>
                  <w:rStyle w:val="Hyperlink"/>
                  <w:rFonts w:ascii="Arial" w:hAnsi="Arial" w:cs="Arial"/>
                  <w:color w:val="auto"/>
                  <w:u w:val="none"/>
                </w:rPr>
                <w:t>tony.mendoza@sierraclub.org</w:t>
              </w:r>
            </w:hyperlink>
          </w:p>
          <w:p w14:paraId="549DCF46" w14:textId="77777777" w:rsidR="004E62FB" w:rsidRPr="004E62FB" w:rsidRDefault="00C45A28" w:rsidP="004E62FB">
            <w:pPr>
              <w:pStyle w:val="BodyText"/>
              <w:spacing w:line="240" w:lineRule="auto"/>
              <w:rPr>
                <w:rFonts w:ascii="Arial" w:hAnsi="Arial" w:cs="Arial"/>
              </w:rPr>
            </w:pPr>
            <w:hyperlink r:id="rId34" w:history="1">
              <w:r w:rsidR="004E62FB" w:rsidRPr="004E62FB">
                <w:rPr>
                  <w:rStyle w:val="Hyperlink"/>
                  <w:rFonts w:ascii="Arial" w:hAnsi="Arial" w:cs="Arial"/>
                  <w:color w:val="auto"/>
                  <w:u w:val="none"/>
                </w:rPr>
                <w:t>rsahli@columbus.rr.com</w:t>
              </w:r>
            </w:hyperlink>
          </w:p>
          <w:p w14:paraId="3C3FD322" w14:textId="77777777" w:rsidR="004E62FB" w:rsidRPr="004E62FB" w:rsidRDefault="00C45A28" w:rsidP="004E62FB">
            <w:pPr>
              <w:pStyle w:val="BodyText"/>
              <w:spacing w:line="240" w:lineRule="auto"/>
              <w:rPr>
                <w:rStyle w:val="Hyperlink"/>
                <w:rFonts w:ascii="Arial" w:hAnsi="Arial" w:cs="Arial"/>
                <w:color w:val="auto"/>
                <w:u w:val="none"/>
              </w:rPr>
            </w:pPr>
            <w:hyperlink r:id="rId35" w:history="1">
              <w:r w:rsidR="004E62FB" w:rsidRPr="004E62FB">
                <w:rPr>
                  <w:rStyle w:val="Hyperlink"/>
                  <w:rFonts w:ascii="Arial" w:hAnsi="Arial" w:cs="Arial"/>
                  <w:color w:val="auto"/>
                  <w:u w:val="none"/>
                </w:rPr>
                <w:t>cmooney@ohiopartners.org</w:t>
              </w:r>
            </w:hyperlink>
          </w:p>
          <w:p w14:paraId="03E7EBD8" w14:textId="77777777" w:rsidR="004E62FB" w:rsidRPr="004E62FB" w:rsidRDefault="00C45A28" w:rsidP="004E62FB">
            <w:pPr>
              <w:pStyle w:val="BodyText"/>
              <w:spacing w:line="240" w:lineRule="auto"/>
              <w:rPr>
                <w:rFonts w:ascii="Arial" w:eastAsia="Calibri" w:hAnsi="Arial" w:cs="Arial"/>
              </w:rPr>
            </w:pPr>
            <w:hyperlink r:id="rId36" w:history="1">
              <w:r w:rsidR="004E62FB" w:rsidRPr="004E62FB">
                <w:rPr>
                  <w:rStyle w:val="Hyperlink"/>
                  <w:rFonts w:ascii="Arial" w:eastAsia="Calibri" w:hAnsi="Arial" w:cs="Arial"/>
                  <w:color w:val="auto"/>
                  <w:u w:val="none"/>
                </w:rPr>
                <w:t>mnugent@igsenergy.com</w:t>
              </w:r>
            </w:hyperlink>
          </w:p>
          <w:p w14:paraId="5FCC08DE" w14:textId="77777777" w:rsidR="004E62FB" w:rsidRPr="004E62FB" w:rsidRDefault="00C45A28" w:rsidP="004E62FB">
            <w:pPr>
              <w:pStyle w:val="BodyText"/>
              <w:spacing w:line="240" w:lineRule="auto"/>
              <w:rPr>
                <w:rStyle w:val="Hyperlink"/>
                <w:rFonts w:ascii="Arial" w:eastAsia="Calibri" w:hAnsi="Arial" w:cs="Arial"/>
                <w:color w:val="auto"/>
                <w:u w:val="none"/>
              </w:rPr>
            </w:pPr>
            <w:hyperlink r:id="rId37" w:history="1">
              <w:r w:rsidR="004E62FB" w:rsidRPr="004E62FB">
                <w:rPr>
                  <w:rStyle w:val="Hyperlink"/>
                  <w:rFonts w:ascii="Arial" w:eastAsia="Calibri" w:hAnsi="Arial" w:cs="Arial"/>
                  <w:color w:val="auto"/>
                  <w:u w:val="none"/>
                </w:rPr>
                <w:t>joliker@igsenergy.com</w:t>
              </w:r>
            </w:hyperlink>
          </w:p>
          <w:p w14:paraId="67FB4081" w14:textId="77777777" w:rsidR="004E62FB" w:rsidRPr="004E62FB" w:rsidRDefault="00C45A28" w:rsidP="004E62FB">
            <w:pPr>
              <w:autoSpaceDE w:val="0"/>
              <w:autoSpaceDN w:val="0"/>
              <w:adjustRightInd w:val="0"/>
              <w:spacing w:after="0" w:line="240" w:lineRule="auto"/>
              <w:jc w:val="both"/>
              <w:rPr>
                <w:sz w:val="24"/>
                <w:szCs w:val="24"/>
              </w:rPr>
            </w:pPr>
            <w:hyperlink r:id="rId38" w:history="1">
              <w:r w:rsidR="004E62FB" w:rsidRPr="004E62FB">
                <w:rPr>
                  <w:rStyle w:val="Hyperlink"/>
                  <w:rFonts w:eastAsia="Calibri"/>
                  <w:color w:val="auto"/>
                  <w:sz w:val="24"/>
                  <w:szCs w:val="24"/>
                  <w:u w:val="none"/>
                </w:rPr>
                <w:t>whitt@whitt-sturtevant.com</w:t>
              </w:r>
            </w:hyperlink>
          </w:p>
          <w:p w14:paraId="403C1F7D" w14:textId="77777777" w:rsidR="004E62FB" w:rsidRPr="004E62FB" w:rsidRDefault="00C45A28" w:rsidP="004E62FB">
            <w:pPr>
              <w:pStyle w:val="BodyText"/>
              <w:spacing w:line="240" w:lineRule="auto"/>
              <w:rPr>
                <w:rFonts w:ascii="Arial" w:hAnsi="Arial" w:cs="Arial"/>
              </w:rPr>
            </w:pPr>
            <w:hyperlink r:id="rId39" w:history="1">
              <w:r w:rsidR="004E62FB" w:rsidRPr="004E62FB">
                <w:rPr>
                  <w:rStyle w:val="Hyperlink"/>
                  <w:rFonts w:ascii="Arial" w:eastAsia="Calibri" w:hAnsi="Arial" w:cs="Arial"/>
                  <w:color w:val="auto"/>
                  <w:u w:val="none"/>
                </w:rPr>
                <w:t>glover@whitt-sturtevant.com</w:t>
              </w:r>
            </w:hyperlink>
          </w:p>
          <w:p w14:paraId="5957631E" w14:textId="77777777" w:rsidR="004E62FB" w:rsidRPr="004E62FB" w:rsidRDefault="00C45A28" w:rsidP="004E62FB">
            <w:pPr>
              <w:pStyle w:val="BodyText"/>
              <w:spacing w:line="240" w:lineRule="auto"/>
              <w:rPr>
                <w:rFonts w:ascii="Arial" w:hAnsi="Arial" w:cs="Arial"/>
              </w:rPr>
            </w:pPr>
            <w:hyperlink r:id="rId40" w:history="1">
              <w:r w:rsidR="004E62FB" w:rsidRPr="004E62FB">
                <w:rPr>
                  <w:rStyle w:val="Hyperlink"/>
                  <w:rFonts w:ascii="Arial" w:hAnsi="Arial" w:cs="Arial"/>
                  <w:color w:val="auto"/>
                  <w:u w:val="none"/>
                </w:rPr>
                <w:t>ktreadway@oneenergyllc.com</w:t>
              </w:r>
            </w:hyperlink>
          </w:p>
          <w:p w14:paraId="0FB2BF34" w14:textId="77777777" w:rsidR="004E62FB" w:rsidRPr="004E62FB" w:rsidRDefault="00C45A28" w:rsidP="004E62FB">
            <w:pPr>
              <w:pStyle w:val="BodyText"/>
              <w:spacing w:line="240" w:lineRule="auto"/>
              <w:rPr>
                <w:rStyle w:val="Hyperlink"/>
                <w:rFonts w:ascii="Arial" w:eastAsia="Calibri" w:hAnsi="Arial" w:cs="Arial"/>
                <w:color w:val="auto"/>
                <w:u w:val="none"/>
              </w:rPr>
            </w:pPr>
            <w:hyperlink r:id="rId41" w:history="1">
              <w:r w:rsidR="004E62FB" w:rsidRPr="004E62FB">
                <w:rPr>
                  <w:rStyle w:val="Hyperlink"/>
                  <w:rFonts w:ascii="Arial" w:eastAsia="Calibri" w:hAnsi="Arial" w:cs="Arial"/>
                  <w:color w:val="auto"/>
                  <w:u w:val="none"/>
                </w:rPr>
                <w:t>callwein@opae.org</w:t>
              </w:r>
            </w:hyperlink>
          </w:p>
          <w:p w14:paraId="0E9A34D8" w14:textId="77777777" w:rsidR="004E62FB" w:rsidRPr="004E62FB" w:rsidRDefault="00C45A28" w:rsidP="004E62FB">
            <w:pPr>
              <w:pStyle w:val="BodyText"/>
              <w:spacing w:line="240" w:lineRule="auto"/>
              <w:rPr>
                <w:rFonts w:ascii="Arial" w:eastAsiaTheme="minorHAnsi" w:hAnsi="Arial" w:cs="Arial"/>
              </w:rPr>
            </w:pPr>
            <w:hyperlink r:id="rId42" w:history="1">
              <w:r w:rsidR="004E62FB" w:rsidRPr="004E62FB">
                <w:rPr>
                  <w:rStyle w:val="Hyperlink"/>
                  <w:rFonts w:ascii="Arial" w:eastAsiaTheme="minorHAnsi" w:hAnsi="Arial" w:cs="Arial"/>
                  <w:color w:val="auto"/>
                  <w:u w:val="none"/>
                </w:rPr>
                <w:t>mdortch@kravitzllc.com</w:t>
              </w:r>
            </w:hyperlink>
          </w:p>
          <w:p w14:paraId="17D311B7" w14:textId="77777777" w:rsidR="004E62FB" w:rsidRPr="004E62FB" w:rsidRDefault="00C45A28" w:rsidP="004E62FB">
            <w:pPr>
              <w:pStyle w:val="BodyText"/>
              <w:spacing w:line="240" w:lineRule="auto"/>
              <w:rPr>
                <w:rStyle w:val="Hyperlink"/>
                <w:rFonts w:ascii="Arial" w:hAnsi="Arial" w:cs="Arial"/>
                <w:color w:val="auto"/>
                <w:u w:val="none"/>
              </w:rPr>
            </w:pPr>
            <w:hyperlink r:id="rId43" w:history="1">
              <w:r w:rsidR="004E62FB" w:rsidRPr="004E62FB">
                <w:rPr>
                  <w:rStyle w:val="Hyperlink"/>
                  <w:rFonts w:ascii="Arial" w:hAnsi="Arial" w:cs="Arial"/>
                  <w:color w:val="auto"/>
                  <w:u w:val="none"/>
                </w:rPr>
                <w:t>rdove@keglerbrown.com</w:t>
              </w:r>
            </w:hyperlink>
          </w:p>
          <w:p w14:paraId="1F3B1409" w14:textId="77777777" w:rsidR="004E62FB" w:rsidRPr="004E62FB" w:rsidRDefault="004E62FB" w:rsidP="004E62FB">
            <w:pPr>
              <w:pStyle w:val="BodyText"/>
              <w:spacing w:line="240" w:lineRule="auto"/>
              <w:rPr>
                <w:rFonts w:ascii="Arial" w:hAnsi="Arial" w:cs="Arial"/>
              </w:rPr>
            </w:pPr>
          </w:p>
          <w:p w14:paraId="562C75D1" w14:textId="77777777" w:rsidR="004E62FB" w:rsidRPr="004E62FB" w:rsidRDefault="004E62FB" w:rsidP="004E62FB">
            <w:pPr>
              <w:pStyle w:val="BodyText"/>
              <w:spacing w:line="240" w:lineRule="auto"/>
              <w:rPr>
                <w:rFonts w:ascii="Arial" w:hAnsi="Arial" w:cs="Arial"/>
              </w:rPr>
            </w:pPr>
          </w:p>
          <w:p w14:paraId="664355AD" w14:textId="77777777" w:rsidR="004E62FB" w:rsidRPr="004E62FB" w:rsidRDefault="004E62FB" w:rsidP="004E62FB">
            <w:pPr>
              <w:pStyle w:val="BodyText"/>
              <w:spacing w:line="240" w:lineRule="auto"/>
              <w:rPr>
                <w:rFonts w:ascii="Arial" w:eastAsia="Calibri" w:hAnsi="Arial" w:cs="Arial"/>
              </w:rPr>
            </w:pPr>
          </w:p>
          <w:p w14:paraId="1A965116" w14:textId="77777777" w:rsidR="004E62FB" w:rsidRPr="004E62FB" w:rsidRDefault="004E62FB" w:rsidP="004E62FB">
            <w:pPr>
              <w:pStyle w:val="BodyText"/>
              <w:spacing w:line="240" w:lineRule="auto"/>
              <w:rPr>
                <w:rFonts w:ascii="Arial" w:eastAsia="Calibri" w:hAnsi="Arial" w:cs="Arial"/>
              </w:rPr>
            </w:pPr>
          </w:p>
          <w:p w14:paraId="7DF4E37C" w14:textId="77777777" w:rsidR="004E62FB" w:rsidRPr="004E62FB" w:rsidRDefault="004E62FB" w:rsidP="004E62FB">
            <w:pPr>
              <w:pStyle w:val="BodyText"/>
              <w:spacing w:line="240" w:lineRule="auto"/>
              <w:rPr>
                <w:rFonts w:ascii="Arial" w:eastAsia="Calibri" w:hAnsi="Arial" w:cs="Arial"/>
              </w:rPr>
            </w:pPr>
          </w:p>
          <w:p w14:paraId="44FB30F8" w14:textId="77777777" w:rsidR="004E62FB" w:rsidRPr="004E62FB" w:rsidRDefault="004E62FB" w:rsidP="004E62FB">
            <w:pPr>
              <w:pStyle w:val="BodyText"/>
              <w:spacing w:line="240" w:lineRule="auto"/>
              <w:rPr>
                <w:rFonts w:ascii="Arial" w:hAnsi="Arial" w:cs="Arial"/>
              </w:rPr>
            </w:pPr>
          </w:p>
          <w:p w14:paraId="1DA6542E" w14:textId="77777777" w:rsidR="004E62FB" w:rsidRPr="004E62FB" w:rsidRDefault="004E62FB" w:rsidP="004E62FB">
            <w:pPr>
              <w:autoSpaceDE w:val="0"/>
              <w:autoSpaceDN w:val="0"/>
              <w:adjustRightInd w:val="0"/>
              <w:spacing w:after="0" w:line="240" w:lineRule="auto"/>
              <w:jc w:val="both"/>
              <w:rPr>
                <w:sz w:val="24"/>
                <w:szCs w:val="24"/>
              </w:rPr>
            </w:pPr>
          </w:p>
          <w:p w14:paraId="3041E394" w14:textId="77777777" w:rsidR="004E62FB" w:rsidRPr="004E62FB" w:rsidRDefault="004E62FB" w:rsidP="004E62FB">
            <w:pPr>
              <w:pStyle w:val="BodyText"/>
              <w:spacing w:line="240" w:lineRule="auto"/>
              <w:rPr>
                <w:rFonts w:ascii="Arial" w:hAnsi="Arial" w:cs="Arial"/>
              </w:rPr>
            </w:pPr>
          </w:p>
          <w:p w14:paraId="722B00AE" w14:textId="77777777" w:rsidR="004E62FB" w:rsidRPr="004E62FB" w:rsidRDefault="004E62FB" w:rsidP="004E62FB">
            <w:pPr>
              <w:pStyle w:val="BodyText"/>
              <w:spacing w:line="240" w:lineRule="auto"/>
              <w:rPr>
                <w:rFonts w:ascii="Arial" w:hAnsi="Arial" w:cs="Arial"/>
                <w:bCs/>
              </w:rPr>
            </w:pPr>
          </w:p>
        </w:tc>
      </w:tr>
    </w:tbl>
    <w:p w14:paraId="42C6D796" w14:textId="77777777" w:rsidR="007C48A1" w:rsidRDefault="007C48A1" w:rsidP="007C48A1">
      <w:pPr>
        <w:spacing w:after="0" w:line="240" w:lineRule="auto"/>
        <w:ind w:left="5040" w:firstLine="720"/>
        <w:rPr>
          <w:rFonts w:eastAsia="Arial"/>
          <w:i/>
          <w:sz w:val="24"/>
          <w:szCs w:val="24"/>
          <w:u w:val="single"/>
        </w:rPr>
      </w:pPr>
    </w:p>
    <w:p w14:paraId="23C54FB1" w14:textId="77777777" w:rsidR="007C48A1" w:rsidRPr="0079455C" w:rsidRDefault="007C48A1" w:rsidP="007C48A1">
      <w:pPr>
        <w:spacing w:after="0" w:line="240" w:lineRule="auto"/>
        <w:ind w:left="5040" w:firstLine="720"/>
        <w:rPr>
          <w:rFonts w:eastAsia="Calibri"/>
          <w:sz w:val="24"/>
          <w:szCs w:val="24"/>
        </w:rPr>
      </w:pPr>
      <w:r w:rsidRPr="0079455C">
        <w:rPr>
          <w:rFonts w:eastAsia="Arial"/>
          <w:i/>
          <w:sz w:val="24"/>
          <w:szCs w:val="24"/>
          <w:u w:val="single"/>
        </w:rPr>
        <w:t>/s/ Joseph Oliker</w:t>
      </w:r>
      <w:r w:rsidRPr="0079455C">
        <w:rPr>
          <w:rFonts w:eastAsia="Arial"/>
          <w:i/>
          <w:sz w:val="24"/>
          <w:szCs w:val="24"/>
        </w:rPr>
        <w:t>_______</w:t>
      </w:r>
    </w:p>
    <w:p w14:paraId="7EC0BA84" w14:textId="77777777" w:rsidR="007C48A1" w:rsidRDefault="007C48A1" w:rsidP="00600A66">
      <w:pPr>
        <w:spacing w:after="0" w:line="240" w:lineRule="auto"/>
        <w:ind w:left="5040" w:firstLine="720"/>
        <w:rPr>
          <w:sz w:val="24"/>
          <w:szCs w:val="24"/>
        </w:rPr>
      </w:pPr>
      <w:r w:rsidRPr="0079455C">
        <w:rPr>
          <w:sz w:val="24"/>
          <w:szCs w:val="24"/>
        </w:rPr>
        <w:t>Joseph Oliker</w:t>
      </w:r>
    </w:p>
    <w:p w14:paraId="6E1831B3" w14:textId="77777777" w:rsidR="00E52966" w:rsidRDefault="00E52966" w:rsidP="00600A66">
      <w:pPr>
        <w:spacing w:after="0" w:line="240" w:lineRule="auto"/>
        <w:ind w:left="5040" w:firstLine="720"/>
        <w:rPr>
          <w:sz w:val="24"/>
          <w:szCs w:val="24"/>
        </w:rPr>
      </w:pPr>
    </w:p>
    <w:sectPr w:rsidR="00E52966">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6094" w14:textId="77777777" w:rsidR="00D81914" w:rsidRDefault="00D81914" w:rsidP="00214B03">
      <w:pPr>
        <w:spacing w:after="0" w:line="240" w:lineRule="auto"/>
      </w:pPr>
      <w:r>
        <w:separator/>
      </w:r>
    </w:p>
  </w:endnote>
  <w:endnote w:type="continuationSeparator" w:id="0">
    <w:p w14:paraId="3AE7CBBC" w14:textId="77777777" w:rsidR="00D81914" w:rsidRDefault="00D81914" w:rsidP="00214B03">
      <w:pPr>
        <w:spacing w:after="0" w:line="240" w:lineRule="auto"/>
      </w:pPr>
      <w:r>
        <w:continuationSeparator/>
      </w:r>
    </w:p>
  </w:endnote>
  <w:endnote w:type="continuationNotice" w:id="1">
    <w:p w14:paraId="6428337E" w14:textId="77777777" w:rsidR="00D81914" w:rsidRDefault="00D81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626866"/>
      <w:docPartObj>
        <w:docPartGallery w:val="Page Numbers (Bottom of Page)"/>
        <w:docPartUnique/>
      </w:docPartObj>
    </w:sdtPr>
    <w:sdtEndPr>
      <w:rPr>
        <w:noProof/>
      </w:rPr>
    </w:sdtEndPr>
    <w:sdtContent>
      <w:p w14:paraId="2903CBC8" w14:textId="4CE85BCB" w:rsidR="00733348" w:rsidRPr="00AD0FE2" w:rsidRDefault="00733348">
        <w:pPr>
          <w:pStyle w:val="Footer"/>
          <w:jc w:val="center"/>
        </w:pPr>
        <w:r w:rsidRPr="00AD0FE2">
          <w:fldChar w:fldCharType="begin"/>
        </w:r>
        <w:r w:rsidRPr="00AD0FE2">
          <w:instrText xml:space="preserve"> PAGE   \* MERGEFORMAT </w:instrText>
        </w:r>
        <w:r w:rsidRPr="00AD0FE2">
          <w:fldChar w:fldCharType="separate"/>
        </w:r>
        <w:r w:rsidRPr="00AD0FE2">
          <w:rPr>
            <w:noProof/>
          </w:rPr>
          <w:t>2</w:t>
        </w:r>
        <w:r w:rsidRPr="00AD0FE2">
          <w:rPr>
            <w:noProof/>
          </w:rPr>
          <w:fldChar w:fldCharType="end"/>
        </w:r>
      </w:p>
    </w:sdtContent>
  </w:sdt>
  <w:p w14:paraId="308D56CC" w14:textId="77777777" w:rsidR="00733348" w:rsidRPr="00AD0FE2" w:rsidRDefault="0073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6A125" w14:textId="77777777" w:rsidR="00D81914" w:rsidRDefault="00D81914" w:rsidP="00214B03">
      <w:pPr>
        <w:spacing w:after="0" w:line="240" w:lineRule="auto"/>
      </w:pPr>
      <w:r>
        <w:separator/>
      </w:r>
    </w:p>
  </w:footnote>
  <w:footnote w:type="continuationSeparator" w:id="0">
    <w:p w14:paraId="4124A844" w14:textId="77777777" w:rsidR="00D81914" w:rsidRDefault="00D81914" w:rsidP="00214B03">
      <w:pPr>
        <w:spacing w:after="0" w:line="240" w:lineRule="auto"/>
      </w:pPr>
      <w:r>
        <w:continuationSeparator/>
      </w:r>
    </w:p>
  </w:footnote>
  <w:footnote w:type="continuationNotice" w:id="1">
    <w:p w14:paraId="6B1FCEEE" w14:textId="77777777" w:rsidR="00D81914" w:rsidRDefault="00D81914">
      <w:pPr>
        <w:spacing w:after="0" w:line="240" w:lineRule="auto"/>
      </w:pPr>
    </w:p>
  </w:footnote>
  <w:footnote w:id="2">
    <w:p w14:paraId="705F85CA" w14:textId="6C9CD3C4" w:rsidR="00F074A2" w:rsidRDefault="00F074A2">
      <w:pPr>
        <w:pStyle w:val="FootnoteText"/>
      </w:pPr>
      <w:r>
        <w:rPr>
          <w:rStyle w:val="FootnoteReference"/>
        </w:rPr>
        <w:footnoteRef/>
      </w:r>
      <w:r>
        <w:t xml:space="preserve"> </w:t>
      </w:r>
      <w:r w:rsidR="00CA16F5">
        <w:t>AEP Ohio Brief at 12.</w:t>
      </w:r>
    </w:p>
  </w:footnote>
  <w:footnote w:id="3">
    <w:p w14:paraId="3C58FA00" w14:textId="4AC5C771" w:rsidR="00CA16F5" w:rsidRDefault="00CA16F5">
      <w:pPr>
        <w:pStyle w:val="FootnoteText"/>
      </w:pPr>
      <w:r>
        <w:rPr>
          <w:rStyle w:val="FootnoteReference"/>
        </w:rPr>
        <w:footnoteRef/>
      </w:r>
      <w:r>
        <w:t xml:space="preserve"> AEP Ohio Brief at </w:t>
      </w:r>
      <w:r w:rsidR="00112197">
        <w:t>9-21.</w:t>
      </w:r>
    </w:p>
    <w:p w14:paraId="0157A31E" w14:textId="77777777" w:rsidR="00112197" w:rsidRDefault="00112197">
      <w:pPr>
        <w:pStyle w:val="FootnoteText"/>
      </w:pPr>
    </w:p>
  </w:footnote>
  <w:footnote w:id="4">
    <w:p w14:paraId="2B890058" w14:textId="77777777" w:rsidR="00704B10" w:rsidRDefault="00704B10" w:rsidP="00704B10">
      <w:pPr>
        <w:pStyle w:val="FootnoteText"/>
      </w:pPr>
      <w:r>
        <w:rPr>
          <w:rStyle w:val="FootnoteReference"/>
        </w:rPr>
        <w:footnoteRef/>
      </w:r>
      <w:r>
        <w:t xml:space="preserve"> </w:t>
      </w:r>
      <w:r>
        <w:rPr>
          <w:i/>
        </w:rPr>
        <w:t xml:space="preserve">Id. </w:t>
      </w:r>
      <w:r>
        <w:t>at 12,16-17.</w:t>
      </w:r>
    </w:p>
    <w:p w14:paraId="5E257FF1" w14:textId="2A98E2EC" w:rsidR="00000000" w:rsidRDefault="00C45A28" w:rsidP="00704B10">
      <w:pPr>
        <w:pStyle w:val="FootnoteText"/>
      </w:pPr>
    </w:p>
    <w:p w14:paraId="41DEF880" w14:textId="12BC31CF" w:rsidR="00704B10" w:rsidRPr="00112197" w:rsidRDefault="00704B10" w:rsidP="00704B10">
      <w:pPr>
        <w:pStyle w:val="FootnoteText"/>
      </w:pPr>
    </w:p>
  </w:footnote>
  <w:footnote w:id="5">
    <w:p w14:paraId="5FFB1FA7" w14:textId="77777777" w:rsidR="00704B10" w:rsidRDefault="00704B10" w:rsidP="00704B10">
      <w:pPr>
        <w:pStyle w:val="FootnoteText"/>
        <w:rPr>
          <w:i/>
        </w:rPr>
      </w:pPr>
      <w:r>
        <w:rPr>
          <w:rStyle w:val="FootnoteReference"/>
        </w:rPr>
        <w:footnoteRef/>
      </w:r>
      <w:r>
        <w:t xml:space="preserve"> </w:t>
      </w:r>
      <w:r>
        <w:rPr>
          <w:i/>
        </w:rPr>
        <w:t xml:space="preserve">Id. </w:t>
      </w:r>
      <w:r>
        <w:t>at 15.</w:t>
      </w:r>
      <w:r>
        <w:rPr>
          <w:i/>
        </w:rPr>
        <w:t xml:space="preserve"> </w:t>
      </w:r>
    </w:p>
    <w:p w14:paraId="74B33D3B" w14:textId="77777777" w:rsidR="00704B10" w:rsidRPr="00C61D8B" w:rsidRDefault="00704B10" w:rsidP="00704B10">
      <w:pPr>
        <w:pStyle w:val="FootnoteText"/>
      </w:pPr>
    </w:p>
  </w:footnote>
  <w:footnote w:id="6">
    <w:p w14:paraId="79432A6D" w14:textId="4EE9B5B5" w:rsidR="00932939" w:rsidRDefault="00932939">
      <w:pPr>
        <w:pStyle w:val="FootnoteText"/>
      </w:pPr>
      <w:r>
        <w:rPr>
          <w:rStyle w:val="FootnoteReference"/>
        </w:rPr>
        <w:footnoteRef/>
      </w:r>
      <w:r>
        <w:t xml:space="preserve"> </w:t>
      </w:r>
      <w:r>
        <w:rPr>
          <w:i/>
        </w:rPr>
        <w:t xml:space="preserve">Id. </w:t>
      </w:r>
      <w:r>
        <w:t>at 26-40.</w:t>
      </w:r>
    </w:p>
    <w:p w14:paraId="746E577D" w14:textId="77777777" w:rsidR="00932939" w:rsidRPr="00932939" w:rsidRDefault="00932939">
      <w:pPr>
        <w:pStyle w:val="FootnoteText"/>
      </w:pPr>
    </w:p>
  </w:footnote>
  <w:footnote w:id="7">
    <w:p w14:paraId="6B05D009" w14:textId="4DCEA7C0" w:rsidR="00733348" w:rsidRDefault="00733348">
      <w:pPr>
        <w:pStyle w:val="FootnoteText"/>
      </w:pPr>
      <w:r>
        <w:rPr>
          <w:rStyle w:val="FootnoteReference"/>
        </w:rPr>
        <w:footnoteRef/>
      </w:r>
      <w:r>
        <w:t xml:space="preserve"> R.C. 4935.04(C)(1) (emphasis added).</w:t>
      </w:r>
    </w:p>
    <w:p w14:paraId="0C065C33" w14:textId="77777777" w:rsidR="00733348" w:rsidRDefault="00733348">
      <w:pPr>
        <w:pStyle w:val="FootnoteText"/>
      </w:pPr>
    </w:p>
  </w:footnote>
  <w:footnote w:id="8">
    <w:p w14:paraId="26CFB935" w14:textId="2C668B8E" w:rsidR="00E5569D" w:rsidRDefault="00E5569D">
      <w:pPr>
        <w:pStyle w:val="FootnoteText"/>
      </w:pPr>
      <w:r>
        <w:rPr>
          <w:rStyle w:val="FootnoteReference"/>
        </w:rPr>
        <w:footnoteRef/>
      </w:r>
      <w:r>
        <w:t xml:space="preserve"> Conservation Groups Initial Brief at 7.</w:t>
      </w:r>
    </w:p>
  </w:footnote>
  <w:footnote w:id="9">
    <w:p w14:paraId="1B34C626" w14:textId="00D10D6C" w:rsidR="00CF1CBA" w:rsidRDefault="00CF1CBA">
      <w:pPr>
        <w:pStyle w:val="FootnoteText"/>
      </w:pPr>
      <w:r>
        <w:rPr>
          <w:rStyle w:val="FootnoteReference"/>
        </w:rPr>
        <w:footnoteRef/>
      </w:r>
      <w:r>
        <w:t xml:space="preserve"> </w:t>
      </w:r>
      <w:r>
        <w:rPr>
          <w:i/>
        </w:rPr>
        <w:t xml:space="preserve">See </w:t>
      </w:r>
      <w:r>
        <w:t>R.C. 4928.6</w:t>
      </w:r>
      <w:r w:rsidR="004B38D5">
        <w:t>4 and R.C. 4928.66.</w:t>
      </w:r>
    </w:p>
    <w:p w14:paraId="6EFC8B26" w14:textId="77777777" w:rsidR="007D47C4" w:rsidRPr="00CF1CBA" w:rsidRDefault="007D47C4">
      <w:pPr>
        <w:pStyle w:val="FootnoteText"/>
      </w:pPr>
    </w:p>
  </w:footnote>
  <w:footnote w:id="10">
    <w:p w14:paraId="64CD25B8" w14:textId="3406B817" w:rsidR="007D47C4" w:rsidRDefault="007D47C4">
      <w:pPr>
        <w:pStyle w:val="FootnoteText"/>
      </w:pPr>
      <w:r>
        <w:rPr>
          <w:rStyle w:val="FootnoteReference"/>
        </w:rPr>
        <w:footnoteRef/>
      </w:r>
      <w:r>
        <w:t xml:space="preserve"> R.C. 4928.143(B).</w:t>
      </w:r>
    </w:p>
    <w:p w14:paraId="145501CC" w14:textId="77777777" w:rsidR="00E5569D" w:rsidRDefault="00E5569D">
      <w:pPr>
        <w:pStyle w:val="FootnoteText"/>
      </w:pPr>
    </w:p>
  </w:footnote>
  <w:footnote w:id="11">
    <w:p w14:paraId="4C29B72D" w14:textId="796C8918" w:rsidR="00E5569D" w:rsidRDefault="00E5569D">
      <w:pPr>
        <w:pStyle w:val="FootnoteText"/>
      </w:pPr>
      <w:r>
        <w:rPr>
          <w:rStyle w:val="FootnoteReference"/>
        </w:rPr>
        <w:footnoteRef/>
      </w:r>
      <w:r>
        <w:t xml:space="preserve"> R.C. 4928.64(E).</w:t>
      </w:r>
    </w:p>
  </w:footnote>
  <w:footnote w:id="12">
    <w:p w14:paraId="50B85F83" w14:textId="54AFC4DC" w:rsidR="00215FBE" w:rsidRDefault="00215FBE">
      <w:pPr>
        <w:pStyle w:val="FootnoteText"/>
      </w:pPr>
      <w:r>
        <w:rPr>
          <w:rStyle w:val="FootnoteReference"/>
        </w:rPr>
        <w:footnoteRef/>
      </w:r>
      <w:r>
        <w:t xml:space="preserve"> AEP Ohio Initial Brief at 14.</w:t>
      </w:r>
    </w:p>
    <w:p w14:paraId="40C5FD79" w14:textId="77777777" w:rsidR="004C3717" w:rsidRDefault="004C3717">
      <w:pPr>
        <w:pStyle w:val="FootnoteText"/>
      </w:pPr>
    </w:p>
  </w:footnote>
  <w:footnote w:id="13">
    <w:p w14:paraId="0773C1E3" w14:textId="65674C0E" w:rsidR="004C3717" w:rsidRPr="004C3717" w:rsidRDefault="004C3717" w:rsidP="003E5A66">
      <w:pPr>
        <w:pStyle w:val="FootnoteText"/>
        <w:jc w:val="both"/>
      </w:pPr>
      <w:r>
        <w:rPr>
          <w:rStyle w:val="FootnoteReference"/>
        </w:rPr>
        <w:footnoteRef/>
      </w:r>
      <w:r>
        <w:t xml:space="preserve"> </w:t>
      </w:r>
      <w:r>
        <w:rPr>
          <w:i/>
        </w:rPr>
        <w:t xml:space="preserve">Id. </w:t>
      </w:r>
      <w:r>
        <w:t>at 14-15.</w:t>
      </w:r>
    </w:p>
  </w:footnote>
  <w:footnote w:id="14">
    <w:p w14:paraId="1FBF9D35" w14:textId="77777777" w:rsidR="00FC33B3" w:rsidRPr="001858DD" w:rsidRDefault="00FC33B3" w:rsidP="003E5A66">
      <w:pPr>
        <w:pStyle w:val="FootnoteText"/>
        <w:jc w:val="both"/>
      </w:pPr>
    </w:p>
    <w:p w14:paraId="14FEAFC1" w14:textId="77777777" w:rsidR="00FC33B3" w:rsidRPr="001858DD" w:rsidRDefault="00FC33B3" w:rsidP="003E5A66">
      <w:pPr>
        <w:pStyle w:val="FootnoteText"/>
        <w:jc w:val="both"/>
      </w:pPr>
      <w:r w:rsidRPr="001858DD">
        <w:rPr>
          <w:rStyle w:val="FootnoteReference"/>
        </w:rPr>
        <w:footnoteRef/>
      </w:r>
      <w:r w:rsidRPr="001858DD">
        <w:t xml:space="preserve"> Tr. Vol. I at 73; </w:t>
      </w:r>
      <w:r w:rsidRPr="001858DD">
        <w:rPr>
          <w:i/>
        </w:rPr>
        <w:t>In re Application of Columbus Southern Power Co.</w:t>
      </w:r>
      <w:r w:rsidRPr="001858DD">
        <w:t>, 128 Ohio St. 3d. 512 at ¶ 4 (2011)</w:t>
      </w:r>
    </w:p>
    <w:p w14:paraId="09A94D1E" w14:textId="77777777" w:rsidR="00FC33B3" w:rsidRPr="001858DD" w:rsidRDefault="00FC33B3" w:rsidP="003E5A66">
      <w:pPr>
        <w:pStyle w:val="FootnoteText"/>
        <w:jc w:val="both"/>
      </w:pPr>
    </w:p>
  </w:footnote>
  <w:footnote w:id="15">
    <w:p w14:paraId="3F002EBF" w14:textId="0017E66E" w:rsidR="00FC33B3" w:rsidRDefault="00FC33B3" w:rsidP="003E5A66">
      <w:pPr>
        <w:pStyle w:val="FootnoteText"/>
        <w:jc w:val="both"/>
      </w:pPr>
      <w:r>
        <w:rPr>
          <w:rStyle w:val="FootnoteReference"/>
        </w:rPr>
        <w:footnoteRef/>
      </w:r>
      <w:r>
        <w:t xml:space="preserve"> </w:t>
      </w:r>
      <w:r w:rsidRPr="009D3979">
        <w:rPr>
          <w:i/>
        </w:rPr>
        <w:t>PJM Interconnection, L.L.C.</w:t>
      </w:r>
      <w:r w:rsidRPr="004B27B0">
        <w:t>, ER05-1410-001, Order Denying Rehearing and Approving Settlement Subject to Conditions</w:t>
      </w:r>
      <w:r>
        <w:t xml:space="preserve"> at 1</w:t>
      </w:r>
      <w:r w:rsidRPr="004B27B0">
        <w:t xml:space="preserve"> (Dec. 22, 2006)</w:t>
      </w:r>
      <w:r w:rsidR="003F1F2A">
        <w:t xml:space="preserve"> (hereinafter “RPM Order”).</w:t>
      </w:r>
    </w:p>
    <w:p w14:paraId="050E2DBB" w14:textId="77777777" w:rsidR="00FC33B3" w:rsidRDefault="00FC33B3" w:rsidP="003E5A66">
      <w:pPr>
        <w:pStyle w:val="FootnoteText"/>
        <w:jc w:val="both"/>
      </w:pPr>
    </w:p>
  </w:footnote>
  <w:footnote w:id="16">
    <w:p w14:paraId="57516E0B" w14:textId="7017FE3F" w:rsidR="00CB2077" w:rsidRDefault="00CB2077" w:rsidP="003E5A66">
      <w:pPr>
        <w:pStyle w:val="FootnoteText"/>
        <w:jc w:val="both"/>
      </w:pPr>
      <w:r>
        <w:rPr>
          <w:rStyle w:val="FootnoteReference"/>
        </w:rPr>
        <w:footnoteRef/>
      </w:r>
      <w:r>
        <w:t xml:space="preserve"> </w:t>
      </w:r>
      <w:r>
        <w:rPr>
          <w:i/>
        </w:rPr>
        <w:t xml:space="preserve">Id. </w:t>
      </w:r>
      <w:r>
        <w:t>at 2.</w:t>
      </w:r>
    </w:p>
    <w:p w14:paraId="581B451F" w14:textId="77777777" w:rsidR="00BF2C65" w:rsidRPr="00CB2077" w:rsidRDefault="00BF2C65" w:rsidP="003E5A66">
      <w:pPr>
        <w:pStyle w:val="FootnoteText"/>
        <w:jc w:val="both"/>
      </w:pPr>
    </w:p>
  </w:footnote>
  <w:footnote w:id="17">
    <w:p w14:paraId="0BFD1855" w14:textId="77777777" w:rsidR="00FC33B3" w:rsidRDefault="00FC33B3" w:rsidP="003E5A66">
      <w:pPr>
        <w:pStyle w:val="FootnoteText"/>
        <w:jc w:val="both"/>
        <w:rPr>
          <w:i/>
        </w:rPr>
      </w:pPr>
      <w:r>
        <w:rPr>
          <w:rStyle w:val="FootnoteReference"/>
        </w:rPr>
        <w:footnoteRef/>
      </w:r>
      <w:r>
        <w:t xml:space="preserve"> </w:t>
      </w:r>
      <w:r>
        <w:rPr>
          <w:i/>
        </w:rPr>
        <w:t xml:space="preserve">Id. at 2-3 </w:t>
      </w:r>
      <w:r>
        <w:t>(citations omitted).</w:t>
      </w:r>
      <w:r>
        <w:rPr>
          <w:i/>
        </w:rPr>
        <w:t xml:space="preserve"> </w:t>
      </w:r>
    </w:p>
    <w:p w14:paraId="079B2D9A" w14:textId="77777777" w:rsidR="00FC33B3" w:rsidRPr="004B27B0" w:rsidRDefault="00FC33B3" w:rsidP="003E5A66">
      <w:pPr>
        <w:pStyle w:val="FootnoteText"/>
        <w:jc w:val="both"/>
        <w:rPr>
          <w:i/>
        </w:rPr>
      </w:pPr>
    </w:p>
  </w:footnote>
  <w:footnote w:id="18">
    <w:p w14:paraId="673133AD" w14:textId="77777777" w:rsidR="00FC33B3" w:rsidRDefault="00FC33B3" w:rsidP="003E5A66">
      <w:pPr>
        <w:pStyle w:val="FootnoteText"/>
        <w:jc w:val="both"/>
      </w:pPr>
      <w:r>
        <w:rPr>
          <w:rStyle w:val="FootnoteReference"/>
        </w:rPr>
        <w:footnoteRef/>
      </w:r>
      <w:r>
        <w:t xml:space="preserve"> </w:t>
      </w:r>
      <w:r>
        <w:rPr>
          <w:i/>
        </w:rPr>
        <w:t xml:space="preserve">Id. </w:t>
      </w:r>
      <w:r>
        <w:t xml:space="preserve">at 3. </w:t>
      </w:r>
    </w:p>
    <w:p w14:paraId="65985FAB" w14:textId="77777777" w:rsidR="00FC33B3" w:rsidRPr="004B27B0" w:rsidRDefault="00FC33B3" w:rsidP="003E5A66">
      <w:pPr>
        <w:pStyle w:val="FootnoteText"/>
        <w:jc w:val="both"/>
      </w:pPr>
    </w:p>
  </w:footnote>
  <w:footnote w:id="19">
    <w:p w14:paraId="53B5CE33" w14:textId="0C96B9E8" w:rsidR="00A5680E" w:rsidRDefault="00A5680E" w:rsidP="003E5A66">
      <w:pPr>
        <w:pStyle w:val="FootnoteText"/>
        <w:jc w:val="both"/>
      </w:pPr>
      <w:r>
        <w:rPr>
          <w:rStyle w:val="FootnoteReference"/>
        </w:rPr>
        <w:footnoteRef/>
      </w:r>
      <w:r>
        <w:t xml:space="preserve"> </w:t>
      </w:r>
      <w:r>
        <w:rPr>
          <w:i/>
        </w:rPr>
        <w:t xml:space="preserve">Id. </w:t>
      </w:r>
      <w:r>
        <w:t xml:space="preserve">at </w:t>
      </w:r>
      <w:r w:rsidR="004E4522">
        <w:t>25</w:t>
      </w:r>
      <w:r>
        <w:t>.</w:t>
      </w:r>
    </w:p>
    <w:p w14:paraId="5E78C6D5" w14:textId="77777777" w:rsidR="00B44297" w:rsidRPr="00A5680E" w:rsidRDefault="00B44297" w:rsidP="003E5A66">
      <w:pPr>
        <w:pStyle w:val="FootnoteText"/>
        <w:jc w:val="both"/>
      </w:pPr>
    </w:p>
  </w:footnote>
  <w:footnote w:id="20">
    <w:p w14:paraId="496F6FF1" w14:textId="75EC17A6" w:rsidR="008B03A6" w:rsidRDefault="008B03A6" w:rsidP="003E5A66">
      <w:pPr>
        <w:pStyle w:val="FootnoteText"/>
        <w:jc w:val="both"/>
      </w:pPr>
      <w:r>
        <w:rPr>
          <w:rStyle w:val="FootnoteReference"/>
        </w:rPr>
        <w:footnoteRef/>
      </w:r>
      <w:r>
        <w:t xml:space="preserve"> </w:t>
      </w:r>
      <w:r>
        <w:rPr>
          <w:i/>
        </w:rPr>
        <w:t>Talen v. H</w:t>
      </w:r>
      <w:r w:rsidR="005B4C4A">
        <w:rPr>
          <w:i/>
        </w:rPr>
        <w:t>ughes</w:t>
      </w:r>
      <w:r w:rsidR="005B4C4A">
        <w:t>,</w:t>
      </w:r>
      <w:r w:rsidR="005B4C4A">
        <w:rPr>
          <w:i/>
        </w:rPr>
        <w:t xml:space="preserve"> </w:t>
      </w:r>
      <w:r w:rsidRPr="008B03A6">
        <w:t>136 S.</w:t>
      </w:r>
      <w:r w:rsidR="005B4C4A">
        <w:t xml:space="preserve"> </w:t>
      </w:r>
      <w:r w:rsidRPr="008B03A6">
        <w:t>Ct. 1288</w:t>
      </w:r>
      <w:r w:rsidR="00A3434B">
        <w:t>, 1294</w:t>
      </w:r>
      <w:r w:rsidRPr="008B03A6">
        <w:t xml:space="preserve"> (2016)</w:t>
      </w:r>
      <w:r w:rsidR="00BF2C65">
        <w:t>.</w:t>
      </w:r>
    </w:p>
    <w:p w14:paraId="2264E898" w14:textId="77777777" w:rsidR="00BF2C65" w:rsidRDefault="00BF2C65" w:rsidP="003E5A66">
      <w:pPr>
        <w:pStyle w:val="FootnoteText"/>
        <w:jc w:val="both"/>
      </w:pPr>
    </w:p>
  </w:footnote>
  <w:footnote w:id="21">
    <w:p w14:paraId="22649BB8" w14:textId="58D037A2" w:rsidR="00853451" w:rsidRDefault="00853451">
      <w:pPr>
        <w:pStyle w:val="FootnoteText"/>
        <w:rPr>
          <w:i/>
        </w:rPr>
      </w:pPr>
      <w:r>
        <w:rPr>
          <w:rStyle w:val="FootnoteReference"/>
        </w:rPr>
        <w:footnoteRef/>
      </w:r>
      <w:r>
        <w:t xml:space="preserve"> </w:t>
      </w:r>
      <w:r>
        <w:rPr>
          <w:i/>
        </w:rPr>
        <w:t xml:space="preserve">Id. </w:t>
      </w:r>
    </w:p>
    <w:p w14:paraId="7A29280F" w14:textId="77777777" w:rsidR="00853451" w:rsidRPr="00853451" w:rsidRDefault="00853451">
      <w:pPr>
        <w:pStyle w:val="FootnoteText"/>
        <w:rPr>
          <w:i/>
        </w:rPr>
      </w:pPr>
    </w:p>
  </w:footnote>
  <w:footnote w:id="22">
    <w:p w14:paraId="64E401DE" w14:textId="5BCA4757" w:rsidR="009041B9" w:rsidRDefault="009041B9" w:rsidP="003E5A66">
      <w:pPr>
        <w:pStyle w:val="FootnoteText"/>
        <w:jc w:val="both"/>
        <w:rPr>
          <w:i/>
        </w:rPr>
      </w:pPr>
      <w:r>
        <w:rPr>
          <w:rStyle w:val="FootnoteReference"/>
        </w:rPr>
        <w:footnoteRef/>
      </w:r>
      <w:r>
        <w:t xml:space="preserve"> </w:t>
      </w:r>
      <w:r>
        <w:rPr>
          <w:i/>
        </w:rPr>
        <w:t>Id.</w:t>
      </w:r>
    </w:p>
    <w:p w14:paraId="2D209554" w14:textId="77777777" w:rsidR="009041B9" w:rsidRPr="009041B9" w:rsidRDefault="009041B9" w:rsidP="003E5A66">
      <w:pPr>
        <w:pStyle w:val="FootnoteText"/>
        <w:jc w:val="both"/>
        <w:rPr>
          <w:i/>
        </w:rPr>
      </w:pPr>
    </w:p>
  </w:footnote>
  <w:footnote w:id="23">
    <w:p w14:paraId="3E7A1C9A" w14:textId="1A1EB328" w:rsidR="00CC4E0F" w:rsidRDefault="00CC4E0F" w:rsidP="003E5A66">
      <w:pPr>
        <w:pStyle w:val="FootnoteText"/>
        <w:jc w:val="both"/>
      </w:pPr>
      <w:r>
        <w:rPr>
          <w:rStyle w:val="FootnoteReference"/>
        </w:rPr>
        <w:footnoteRef/>
      </w:r>
      <w:r>
        <w:t xml:space="preserve"> </w:t>
      </w:r>
      <w:bookmarkStart w:id="1" w:name="_Hlk2688335"/>
      <w:r w:rsidRPr="00CC4E0F">
        <w:rPr>
          <w:i/>
        </w:rPr>
        <w:t>In re Application of Columbus Southern Power Co.</w:t>
      </w:r>
      <w:r w:rsidRPr="00CC4E0F">
        <w:t xml:space="preserve">, 128 Ohio St. 3d. 512 at ¶ 28 (2011) </w:t>
      </w:r>
      <w:bookmarkEnd w:id="1"/>
      <w:r w:rsidRPr="00CC4E0F">
        <w:t xml:space="preserve">(“The record showed that AEP has had ‘virtually no’ shopping in the last eight years, including no residential shoppers.”) </w:t>
      </w:r>
      <w:r w:rsidRPr="00CC4E0F">
        <w:rPr>
          <w:i/>
        </w:rPr>
        <w:t>see also</w:t>
      </w:r>
      <w:r w:rsidRPr="00CC4E0F">
        <w:t xml:space="preserve">  </w:t>
      </w:r>
      <w:r w:rsidRPr="00CC4E0F">
        <w:rPr>
          <w:i/>
        </w:rPr>
        <w:t>In the Matter of the Application of Columbus Southern Power Company and Ohio Power Company for Approval of a Post-Market Development Period Rate Stabilization Plan</w:t>
      </w:r>
      <w:r w:rsidRPr="00CC4E0F">
        <w:t xml:space="preserve">, Case No. 04-169-EL-UNC, Opinion and Order at 5 (Jan. 26, 2005); </w:t>
      </w:r>
      <w:r w:rsidRPr="00CC4E0F">
        <w:rPr>
          <w:i/>
        </w:rPr>
        <w:t>see In the Matter of the Application of Columbus Southern Power Company for Approval of an Electric Security Plan; an Amendment to its Corporate Separation Plan; and the Sale or Transfer of Certain Generating Assets</w:t>
      </w:r>
      <w:r w:rsidRPr="00CC4E0F">
        <w:t xml:space="preserve">, Case Nos. 08-917-EL-SSO, </w:t>
      </w:r>
      <w:r w:rsidRPr="00CC4E0F">
        <w:rPr>
          <w:i/>
        </w:rPr>
        <w:t>et al.</w:t>
      </w:r>
      <w:r w:rsidRPr="00CC4E0F">
        <w:t>, Entry on Rehearing at 25 (Jul. 23, 2009).</w:t>
      </w:r>
    </w:p>
    <w:p w14:paraId="331E5777" w14:textId="77777777" w:rsidR="001F4706" w:rsidRDefault="001F4706" w:rsidP="003E5A66">
      <w:pPr>
        <w:pStyle w:val="FootnoteText"/>
        <w:jc w:val="both"/>
      </w:pPr>
    </w:p>
  </w:footnote>
  <w:footnote w:id="24">
    <w:p w14:paraId="0B31F42D" w14:textId="738B954D" w:rsidR="005644B1" w:rsidRPr="001F4706" w:rsidRDefault="005644B1" w:rsidP="003E5A66">
      <w:pPr>
        <w:pStyle w:val="FootnoteText"/>
        <w:jc w:val="both"/>
      </w:pPr>
      <w:r>
        <w:rPr>
          <w:rStyle w:val="FootnoteReference"/>
        </w:rPr>
        <w:footnoteRef/>
      </w:r>
      <w:r>
        <w:t xml:space="preserve"> </w:t>
      </w:r>
      <w:r w:rsidR="0036303A">
        <w:rPr>
          <w:i/>
        </w:rPr>
        <w:t>In the Matter of the Commission Review of the Capacity Charges of Ohio Power Company</w:t>
      </w:r>
      <w:r w:rsidR="001F4706">
        <w:rPr>
          <w:i/>
        </w:rPr>
        <w:t xml:space="preserve"> and Columbus Southern Power Company</w:t>
      </w:r>
      <w:r w:rsidR="001F4706">
        <w:t>, Case No. 10-2929-EL-UNC</w:t>
      </w:r>
      <w:r w:rsidR="0036303A">
        <w:rPr>
          <w:i/>
        </w:rPr>
        <w:t xml:space="preserve"> </w:t>
      </w:r>
      <w:r w:rsidR="0036303A">
        <w:t>at 10 (Jul. 2, 2012)</w:t>
      </w:r>
      <w:r w:rsidR="001F4706">
        <w:t xml:space="preserve"> (hereinafter “</w:t>
      </w:r>
      <w:r w:rsidR="001F4706">
        <w:rPr>
          <w:i/>
        </w:rPr>
        <w:t>Capacity Case</w:t>
      </w:r>
      <w:r w:rsidR="001F4706">
        <w:t>”).</w:t>
      </w:r>
    </w:p>
  </w:footnote>
  <w:footnote w:id="25">
    <w:p w14:paraId="52657253" w14:textId="753E6A16" w:rsidR="006C779C" w:rsidRDefault="006C779C" w:rsidP="003E5A66">
      <w:pPr>
        <w:pStyle w:val="FootnoteText"/>
        <w:jc w:val="both"/>
      </w:pPr>
      <w:r>
        <w:rPr>
          <w:rStyle w:val="FootnoteReference"/>
        </w:rPr>
        <w:footnoteRef/>
      </w:r>
      <w:r>
        <w:t xml:space="preserve"> </w:t>
      </w:r>
      <w:r>
        <w:rPr>
          <w:i/>
        </w:rPr>
        <w:t xml:space="preserve">Id. </w:t>
      </w:r>
      <w:r w:rsidR="00F356FA">
        <w:t>(</w:t>
      </w:r>
      <w:r>
        <w:t>“</w:t>
      </w:r>
      <w:r>
        <w:t>the Company has committed to ensuring that adequate capacity</w:t>
      </w:r>
      <w:r>
        <w:t xml:space="preserve"> </w:t>
      </w:r>
      <w:r>
        <w:t>resources exist within its footprint during this timeframe</w:t>
      </w:r>
      <w:r>
        <w:t>.”</w:t>
      </w:r>
      <w:r w:rsidR="00F356FA">
        <w:t>)</w:t>
      </w:r>
    </w:p>
    <w:p w14:paraId="0096CD78" w14:textId="77777777" w:rsidR="006C779C" w:rsidRDefault="006C779C" w:rsidP="003E5A66">
      <w:pPr>
        <w:pStyle w:val="FootnoteText"/>
        <w:jc w:val="both"/>
      </w:pPr>
    </w:p>
  </w:footnote>
  <w:footnote w:id="26">
    <w:p w14:paraId="219B0B93" w14:textId="77777777" w:rsidR="00FC33B3" w:rsidRDefault="00FC33B3" w:rsidP="003E5A66">
      <w:pPr>
        <w:pStyle w:val="FootnoteText"/>
        <w:jc w:val="both"/>
      </w:pPr>
      <w:r>
        <w:rPr>
          <w:rStyle w:val="FootnoteReference"/>
        </w:rPr>
        <w:footnoteRef/>
      </w:r>
      <w:r>
        <w:t xml:space="preserve"> Under PJM rules, “[a]n investor-owned utility, electric cooperative, or public power entity may elect this</w:t>
      </w:r>
    </w:p>
    <w:p w14:paraId="5417C1D2" w14:textId="19CA0344" w:rsidR="00FC33B3" w:rsidRDefault="00FC33B3" w:rsidP="003E5A66">
      <w:pPr>
        <w:pStyle w:val="FootnoteText"/>
        <w:jc w:val="both"/>
      </w:pPr>
      <w:r>
        <w:t>alternative if it demonstrates the capacity to satisfy the entire capacity obligation for all load, including load growth, in the applicable Fixed Resource Requirement service area for the term of the entity’s participation in the Fixed Resource Requirement alternative.”</w:t>
      </w:r>
      <w:r w:rsidRPr="004B27B0">
        <w:t xml:space="preserve"> </w:t>
      </w:r>
      <w:r w:rsidRPr="004B27B0">
        <w:rPr>
          <w:i/>
        </w:rPr>
        <w:t>PJM Interconnection, L.L.C.</w:t>
      </w:r>
      <w:r>
        <w:t xml:space="preserve">, </w:t>
      </w:r>
      <w:r w:rsidRPr="004B27B0">
        <w:t>ER05-1410-001</w:t>
      </w:r>
      <w:r>
        <w:t xml:space="preserve">, </w:t>
      </w:r>
      <w:r w:rsidR="00BF2C65">
        <w:t>RPM Order</w:t>
      </w:r>
      <w:r>
        <w:t xml:space="preserve"> </w:t>
      </w:r>
      <w:r w:rsidR="003C3EB0">
        <w:t xml:space="preserve">at 17 </w:t>
      </w:r>
      <w:r>
        <w:t>(Dec. 22, 2006).</w:t>
      </w:r>
    </w:p>
    <w:p w14:paraId="2E7370B4" w14:textId="77777777" w:rsidR="00FC33B3" w:rsidRDefault="00FC33B3" w:rsidP="003E5A66">
      <w:pPr>
        <w:pStyle w:val="FootnoteText"/>
        <w:jc w:val="both"/>
      </w:pPr>
    </w:p>
  </w:footnote>
  <w:footnote w:id="27">
    <w:p w14:paraId="1DB773F2" w14:textId="449A80B1" w:rsidR="00FC33B3" w:rsidRPr="00160BB6" w:rsidRDefault="00FC33B3" w:rsidP="003E5A66">
      <w:pPr>
        <w:pStyle w:val="FootnoteText"/>
        <w:jc w:val="both"/>
      </w:pPr>
      <w:r>
        <w:rPr>
          <w:rStyle w:val="FootnoteReference"/>
        </w:rPr>
        <w:footnoteRef/>
      </w:r>
      <w:r>
        <w:t xml:space="preserve"> </w:t>
      </w:r>
      <w:r w:rsidRPr="00623692">
        <w:rPr>
          <w:i/>
        </w:rPr>
        <w:t>Capacity Case</w:t>
      </w:r>
      <w:r>
        <w:t>, Opinion and Order at 15 (Jul. 2, 2012)</w:t>
      </w:r>
      <w:r w:rsidR="00160BB6">
        <w:t xml:space="preserve">; </w:t>
      </w:r>
      <w:r w:rsidR="00160BB6">
        <w:rPr>
          <w:i/>
        </w:rPr>
        <w:t xml:space="preserve">see also </w:t>
      </w:r>
      <w:r w:rsidR="00160BB6">
        <w:t>RPM Order at 17.</w:t>
      </w:r>
    </w:p>
    <w:p w14:paraId="21E7DA7D" w14:textId="77777777" w:rsidR="00FC33B3" w:rsidRDefault="00FC33B3" w:rsidP="003E5A66">
      <w:pPr>
        <w:pStyle w:val="FootnoteText"/>
        <w:jc w:val="both"/>
      </w:pPr>
    </w:p>
  </w:footnote>
  <w:footnote w:id="28">
    <w:p w14:paraId="298F227F" w14:textId="4D77E0DD" w:rsidR="00733348" w:rsidRDefault="00733348" w:rsidP="003E5A66">
      <w:pPr>
        <w:pStyle w:val="FootnoteText"/>
        <w:jc w:val="both"/>
      </w:pPr>
      <w:r>
        <w:rPr>
          <w:rStyle w:val="FootnoteReference"/>
        </w:rPr>
        <w:footnoteRef/>
      </w:r>
      <w:r>
        <w:t xml:space="preserve"> OAC 4901:5-5-06(A)(1) and (</w:t>
      </w:r>
      <w:proofErr w:type="gramStart"/>
      <w:r>
        <w:t>2)</w:t>
      </w:r>
      <w:r w:rsidR="00F54DE1">
        <w:t>(</w:t>
      </w:r>
      <w:proofErr w:type="gramEnd"/>
      <w:r w:rsidR="00F54DE1">
        <w:t>emphasis added)</w:t>
      </w:r>
      <w:r>
        <w:t>.</w:t>
      </w:r>
    </w:p>
    <w:p w14:paraId="54AE5781" w14:textId="77777777" w:rsidR="000824AF" w:rsidRDefault="000824AF" w:rsidP="003E5A66">
      <w:pPr>
        <w:pStyle w:val="FootnoteText"/>
        <w:jc w:val="both"/>
      </w:pPr>
    </w:p>
  </w:footnote>
  <w:footnote w:id="29">
    <w:p w14:paraId="312F9DE4" w14:textId="222545BB" w:rsidR="000824AF" w:rsidRDefault="000824AF" w:rsidP="003E5A66">
      <w:pPr>
        <w:pStyle w:val="FootnoteText"/>
        <w:jc w:val="both"/>
      </w:pPr>
      <w:r>
        <w:rPr>
          <w:rStyle w:val="FootnoteReference"/>
        </w:rPr>
        <w:footnoteRef/>
      </w:r>
      <w:r>
        <w:t xml:space="preserve"> AEP Ohio Initial Brief at 16.</w:t>
      </w:r>
    </w:p>
    <w:p w14:paraId="23BBB623" w14:textId="77777777" w:rsidR="00F641F0" w:rsidRDefault="00F641F0" w:rsidP="003E5A66">
      <w:pPr>
        <w:pStyle w:val="FootnoteText"/>
        <w:jc w:val="both"/>
      </w:pPr>
    </w:p>
  </w:footnote>
  <w:footnote w:id="30">
    <w:p w14:paraId="5F58DEC1" w14:textId="606DB7C9" w:rsidR="00733348" w:rsidRDefault="00733348" w:rsidP="003E5A66">
      <w:pPr>
        <w:pStyle w:val="FootnoteText"/>
        <w:jc w:val="both"/>
      </w:pPr>
      <w:r>
        <w:rPr>
          <w:rStyle w:val="FootnoteReference"/>
        </w:rPr>
        <w:footnoteRef/>
      </w:r>
      <w:r>
        <w:t xml:space="preserve"> </w:t>
      </w:r>
      <w:r w:rsidRPr="004C25C6">
        <w:t xml:space="preserve">See </w:t>
      </w:r>
      <w:r w:rsidRPr="004C25C6">
        <w:rPr>
          <w:i/>
        </w:rPr>
        <w:t>Youngstown Sheet &amp; Tube Company v. Lindley</w:t>
      </w:r>
      <w:r w:rsidRPr="004C25C6">
        <w:t>, 38 Ohio St. 3d 232, 234 (1988).</w:t>
      </w:r>
    </w:p>
  </w:footnote>
  <w:footnote w:id="31">
    <w:p w14:paraId="7CD7B664" w14:textId="18E24885" w:rsidR="000E1637" w:rsidRDefault="000E1637">
      <w:pPr>
        <w:pStyle w:val="FootnoteText"/>
      </w:pPr>
      <w:r>
        <w:rPr>
          <w:rStyle w:val="FootnoteReference"/>
        </w:rPr>
        <w:footnoteRef/>
      </w:r>
      <w:r>
        <w:t xml:space="preserve"> R.C. 4928.02(J)</w:t>
      </w:r>
    </w:p>
    <w:p w14:paraId="1E56C713" w14:textId="77777777" w:rsidR="000E1637" w:rsidRDefault="000E1637">
      <w:pPr>
        <w:pStyle w:val="FootnoteText"/>
      </w:pPr>
    </w:p>
  </w:footnote>
  <w:footnote w:id="32">
    <w:p w14:paraId="7297244A" w14:textId="7DB31B83" w:rsidR="007E5D87" w:rsidRDefault="007E5D87" w:rsidP="003E5A66">
      <w:pPr>
        <w:pStyle w:val="FootnoteText"/>
        <w:jc w:val="both"/>
      </w:pPr>
      <w:r>
        <w:rPr>
          <w:rStyle w:val="FootnoteReference"/>
        </w:rPr>
        <w:footnoteRef/>
      </w:r>
      <w:r>
        <w:t xml:space="preserve"> </w:t>
      </w:r>
      <w:r w:rsidR="00221C83">
        <w:t xml:space="preserve">IGS Ex. 11 at 17-19, 23. </w:t>
      </w:r>
    </w:p>
    <w:p w14:paraId="5DAAB257" w14:textId="77777777" w:rsidR="00221C83" w:rsidRDefault="00221C83" w:rsidP="003E5A66">
      <w:pPr>
        <w:pStyle w:val="FootnoteText"/>
        <w:jc w:val="both"/>
      </w:pPr>
    </w:p>
  </w:footnote>
  <w:footnote w:id="33">
    <w:p w14:paraId="4317783B" w14:textId="2678C6A3" w:rsidR="00567B56" w:rsidRDefault="00567B56">
      <w:pPr>
        <w:pStyle w:val="FootnoteText"/>
      </w:pPr>
      <w:r>
        <w:rPr>
          <w:rStyle w:val="FootnoteReference"/>
        </w:rPr>
        <w:footnoteRef/>
      </w:r>
      <w:r>
        <w:t xml:space="preserve"> R.C. 4928.02(N).</w:t>
      </w:r>
    </w:p>
    <w:p w14:paraId="1889F2BE" w14:textId="77777777" w:rsidR="00567B56" w:rsidRDefault="00567B56">
      <w:pPr>
        <w:pStyle w:val="FootnoteText"/>
      </w:pPr>
    </w:p>
  </w:footnote>
  <w:footnote w:id="34">
    <w:p w14:paraId="0C1BFC61" w14:textId="22F84C4F" w:rsidR="0087019B" w:rsidRDefault="0087019B" w:rsidP="003E5A66">
      <w:pPr>
        <w:pStyle w:val="FootnoteText"/>
        <w:jc w:val="both"/>
      </w:pPr>
      <w:r>
        <w:rPr>
          <w:rStyle w:val="FootnoteReference"/>
        </w:rPr>
        <w:footnoteRef/>
      </w:r>
      <w:r>
        <w:t xml:space="preserve"> R.C. 4928.02(B).</w:t>
      </w:r>
    </w:p>
    <w:p w14:paraId="3C2C9624" w14:textId="77777777" w:rsidR="00567B56" w:rsidRDefault="00567B56" w:rsidP="003E5A66">
      <w:pPr>
        <w:pStyle w:val="FootnoteText"/>
        <w:jc w:val="both"/>
      </w:pPr>
    </w:p>
  </w:footnote>
  <w:footnote w:id="35">
    <w:p w14:paraId="441F60ED" w14:textId="6F1DE9E8" w:rsidR="00567B56" w:rsidRDefault="00567B56">
      <w:pPr>
        <w:pStyle w:val="FootnoteText"/>
      </w:pPr>
      <w:r>
        <w:rPr>
          <w:rStyle w:val="FootnoteReference"/>
        </w:rPr>
        <w:footnoteRef/>
      </w:r>
      <w:r>
        <w:t xml:space="preserve"> R.C. 4928.02(C).</w:t>
      </w:r>
    </w:p>
  </w:footnote>
  <w:footnote w:id="36">
    <w:p w14:paraId="108536D3" w14:textId="190C99EA" w:rsidR="004E1FE9" w:rsidRDefault="004E1FE9" w:rsidP="003E5A66">
      <w:pPr>
        <w:pStyle w:val="FootnoteText"/>
        <w:jc w:val="both"/>
      </w:pPr>
      <w:r>
        <w:rPr>
          <w:rStyle w:val="FootnoteReference"/>
        </w:rPr>
        <w:footnoteRef/>
      </w:r>
      <w:r>
        <w:t xml:space="preserve"> AEP Ohio Initial Brief at </w:t>
      </w:r>
      <w:r w:rsidR="00A05FBA">
        <w:t>27-45; Conservation Group</w:t>
      </w:r>
      <w:r w:rsidR="000B007D">
        <w:t>s</w:t>
      </w:r>
      <w:r w:rsidR="00A05FBA">
        <w:t xml:space="preserve"> Initial Brief at </w:t>
      </w:r>
      <w:r w:rsidR="000C74F9">
        <w:t>1-2</w:t>
      </w:r>
      <w:r w:rsidR="009030C2">
        <w:t>.</w:t>
      </w:r>
    </w:p>
    <w:p w14:paraId="3527F0A7" w14:textId="77777777" w:rsidR="009030C2" w:rsidRDefault="009030C2" w:rsidP="003E5A66">
      <w:pPr>
        <w:pStyle w:val="FootnoteText"/>
        <w:jc w:val="both"/>
      </w:pPr>
    </w:p>
  </w:footnote>
  <w:footnote w:id="37">
    <w:p w14:paraId="560B723A" w14:textId="2EB65DDF" w:rsidR="001D6A51" w:rsidRDefault="001D6A51" w:rsidP="003E5A66">
      <w:pPr>
        <w:pStyle w:val="FootnoteText"/>
        <w:jc w:val="both"/>
      </w:pPr>
      <w:r>
        <w:rPr>
          <w:rStyle w:val="FootnoteReference"/>
        </w:rPr>
        <w:footnoteRef/>
      </w:r>
      <w:r>
        <w:t xml:space="preserve"> AEP Ohio Initial Brief at 36</w:t>
      </w:r>
      <w:r w:rsidR="00EA46CF">
        <w:t>-38.</w:t>
      </w:r>
    </w:p>
    <w:p w14:paraId="253BF906" w14:textId="77777777" w:rsidR="00EA46CF" w:rsidRDefault="00EA46CF" w:rsidP="003E5A66">
      <w:pPr>
        <w:pStyle w:val="FootnoteText"/>
        <w:jc w:val="both"/>
      </w:pPr>
    </w:p>
  </w:footnote>
  <w:footnote w:id="38">
    <w:p w14:paraId="12D04131" w14:textId="77777777" w:rsidR="00733348" w:rsidRDefault="00733348" w:rsidP="003E5A66">
      <w:pPr>
        <w:pStyle w:val="FootnoteText"/>
        <w:jc w:val="both"/>
      </w:pPr>
      <w:r>
        <w:rPr>
          <w:rStyle w:val="FootnoteReference"/>
        </w:rPr>
        <w:footnoteRef/>
      </w:r>
      <w:r>
        <w:t xml:space="preserve"> IGS Ex. 11 at 14.</w:t>
      </w:r>
    </w:p>
    <w:p w14:paraId="5A61ACC5" w14:textId="77777777" w:rsidR="00733348" w:rsidRDefault="00733348" w:rsidP="003E5A66">
      <w:pPr>
        <w:pStyle w:val="FootnoteText"/>
        <w:jc w:val="both"/>
      </w:pPr>
    </w:p>
  </w:footnote>
  <w:footnote w:id="39">
    <w:p w14:paraId="069723FB" w14:textId="73857857" w:rsidR="002D0A5F" w:rsidRDefault="002D0A5F" w:rsidP="003E5A66">
      <w:pPr>
        <w:pStyle w:val="FootnoteText"/>
        <w:jc w:val="both"/>
      </w:pPr>
      <w:r>
        <w:rPr>
          <w:rStyle w:val="FootnoteReference"/>
        </w:rPr>
        <w:footnoteRef/>
      </w:r>
      <w:r>
        <w:t xml:space="preserve"> </w:t>
      </w:r>
      <w:r w:rsidRPr="002D0A5F">
        <w:t>AEP Ohio Ex. 6 at TH-1 p. 17 of 41</w:t>
      </w:r>
      <w:r>
        <w:t xml:space="preserve">; </w:t>
      </w:r>
      <w:r>
        <w:rPr>
          <w:i/>
        </w:rPr>
        <w:t xml:space="preserve">see </w:t>
      </w:r>
      <w:r>
        <w:t>IGS Initial Brief at 19</w:t>
      </w:r>
      <w:r w:rsidR="00F5247B">
        <w:t>-20.</w:t>
      </w:r>
    </w:p>
    <w:p w14:paraId="20018147" w14:textId="77777777" w:rsidR="00F5247B" w:rsidRPr="002D0A5F" w:rsidRDefault="00F5247B" w:rsidP="003E5A66">
      <w:pPr>
        <w:pStyle w:val="FootnoteText"/>
        <w:jc w:val="both"/>
      </w:pPr>
    </w:p>
  </w:footnote>
  <w:footnote w:id="40">
    <w:p w14:paraId="12FEDA8B" w14:textId="7020F210" w:rsidR="00F5247B" w:rsidRDefault="00F5247B" w:rsidP="003E5A66">
      <w:pPr>
        <w:pStyle w:val="FootnoteText"/>
        <w:jc w:val="both"/>
        <w:rPr>
          <w:i/>
        </w:rPr>
      </w:pPr>
      <w:r>
        <w:rPr>
          <w:rStyle w:val="FootnoteReference"/>
        </w:rPr>
        <w:footnoteRef/>
      </w:r>
      <w:r>
        <w:rPr>
          <w:i/>
        </w:rPr>
        <w:t>Id.</w:t>
      </w:r>
    </w:p>
    <w:p w14:paraId="29BBF5CF" w14:textId="77777777" w:rsidR="007606F1" w:rsidRPr="00F5247B" w:rsidRDefault="007606F1" w:rsidP="003E5A66">
      <w:pPr>
        <w:pStyle w:val="FootnoteText"/>
        <w:jc w:val="both"/>
        <w:rPr>
          <w:i/>
        </w:rPr>
      </w:pPr>
    </w:p>
  </w:footnote>
  <w:footnote w:id="41">
    <w:p w14:paraId="2FA65E42" w14:textId="61716E16" w:rsidR="007606F1" w:rsidRDefault="007606F1" w:rsidP="003E5A66">
      <w:pPr>
        <w:pStyle w:val="FootnoteText"/>
        <w:jc w:val="both"/>
      </w:pPr>
      <w:r>
        <w:rPr>
          <w:rStyle w:val="FootnoteReference"/>
        </w:rPr>
        <w:footnoteRef/>
      </w:r>
      <w:r>
        <w:t xml:space="preserve"> </w:t>
      </w:r>
      <w:r w:rsidRPr="007606F1">
        <w:t>IGS Ex. 11 at 16.</w:t>
      </w:r>
    </w:p>
    <w:p w14:paraId="43A52C2C" w14:textId="77777777" w:rsidR="008C03F6" w:rsidRDefault="008C03F6" w:rsidP="003E5A66">
      <w:pPr>
        <w:pStyle w:val="FootnoteText"/>
        <w:jc w:val="both"/>
      </w:pPr>
    </w:p>
  </w:footnote>
  <w:footnote w:id="42">
    <w:p w14:paraId="327A315D" w14:textId="296549A4" w:rsidR="002F264A" w:rsidRDefault="002F264A" w:rsidP="003E5A66">
      <w:pPr>
        <w:pStyle w:val="FootnoteText"/>
        <w:jc w:val="both"/>
      </w:pPr>
      <w:r>
        <w:rPr>
          <w:rStyle w:val="FootnoteReference"/>
        </w:rPr>
        <w:footnoteRef/>
      </w:r>
      <w:r>
        <w:t xml:space="preserve"> </w:t>
      </w:r>
      <w:r>
        <w:rPr>
          <w:i/>
        </w:rPr>
        <w:t xml:space="preserve">See </w:t>
      </w:r>
      <w:r w:rsidRPr="002F264A">
        <w:t xml:space="preserve">AEP Ohio Ex. 6 at TH-1 p. </w:t>
      </w:r>
      <w:r w:rsidR="008C03F6">
        <w:t>20-21</w:t>
      </w:r>
      <w:r w:rsidRPr="002F264A">
        <w:t xml:space="preserve"> of 41</w:t>
      </w:r>
      <w:r>
        <w:t>.</w:t>
      </w:r>
    </w:p>
    <w:p w14:paraId="07C0804F" w14:textId="77777777" w:rsidR="00BA5431" w:rsidRPr="002F264A" w:rsidRDefault="00BA5431" w:rsidP="003E5A66">
      <w:pPr>
        <w:pStyle w:val="FootnoteText"/>
        <w:jc w:val="both"/>
      </w:pPr>
    </w:p>
  </w:footnote>
  <w:footnote w:id="43">
    <w:p w14:paraId="380E13BA" w14:textId="36292B96" w:rsidR="008C03F6" w:rsidRDefault="008C03F6" w:rsidP="003E5A66">
      <w:pPr>
        <w:pStyle w:val="FootnoteText"/>
        <w:jc w:val="both"/>
      </w:pPr>
      <w:r>
        <w:rPr>
          <w:rStyle w:val="FootnoteReference"/>
        </w:rPr>
        <w:footnoteRef/>
      </w:r>
      <w:r>
        <w:t xml:space="preserve"> </w:t>
      </w:r>
      <w:r w:rsidR="00967FFB">
        <w:t>AEP Ohio Initial Brief at 5</w:t>
      </w:r>
      <w:r w:rsidR="000523F8">
        <w:t>, 26; Conservation Groups Initial Brief at 2</w:t>
      </w:r>
    </w:p>
    <w:p w14:paraId="149F7832" w14:textId="77777777" w:rsidR="000523F8" w:rsidRDefault="000523F8" w:rsidP="003E5A66">
      <w:pPr>
        <w:pStyle w:val="FootnoteText"/>
        <w:jc w:val="both"/>
      </w:pPr>
    </w:p>
  </w:footnote>
  <w:footnote w:id="44">
    <w:p w14:paraId="1E252C64" w14:textId="6ACE089A" w:rsidR="00D842CA" w:rsidRDefault="00D842CA" w:rsidP="003E5A66">
      <w:pPr>
        <w:pStyle w:val="FootnoteText"/>
        <w:jc w:val="both"/>
      </w:pPr>
      <w:r>
        <w:rPr>
          <w:rStyle w:val="FootnoteReference"/>
        </w:rPr>
        <w:footnoteRef/>
      </w:r>
      <w:r>
        <w:t xml:space="preserve"> </w:t>
      </w:r>
      <w:r w:rsidR="00BA5431">
        <w:t>IGS Ex. 11 at Ex. MW-2.</w:t>
      </w:r>
    </w:p>
    <w:p w14:paraId="4161F485" w14:textId="77777777" w:rsidR="00BA5431" w:rsidRDefault="00BA5431" w:rsidP="003E5A66">
      <w:pPr>
        <w:pStyle w:val="FootnoteText"/>
        <w:jc w:val="both"/>
      </w:pPr>
    </w:p>
  </w:footnote>
  <w:footnote w:id="45">
    <w:p w14:paraId="04DDE117" w14:textId="1292BC6E" w:rsidR="00FD6657" w:rsidRDefault="00FD6657" w:rsidP="003E5A66">
      <w:pPr>
        <w:pStyle w:val="FootnoteText"/>
        <w:jc w:val="both"/>
      </w:pPr>
      <w:r>
        <w:rPr>
          <w:rStyle w:val="FootnoteReference"/>
        </w:rPr>
        <w:footnoteRef/>
      </w:r>
      <w:r>
        <w:t xml:space="preserve"> </w:t>
      </w:r>
      <w:r>
        <w:rPr>
          <w:i/>
        </w:rPr>
        <w:t>In the Matter of the Application of the Ohio Edison Company, the Cleveland Electric Illuminating Company, and the Toledo Edison Company for Approval of their Energy Efficiency and Peak Demand Reduction Program Portfolio Plans for 2017 through 2019</w:t>
      </w:r>
      <w:r>
        <w:t>, Opinion and Order at 6 (Nov. 21, 2017).</w:t>
      </w:r>
    </w:p>
    <w:p w14:paraId="43056D83" w14:textId="77777777" w:rsidR="002B064E" w:rsidRPr="00FD6657" w:rsidRDefault="002B064E" w:rsidP="003E5A66">
      <w:pPr>
        <w:pStyle w:val="FootnoteText"/>
        <w:jc w:val="both"/>
      </w:pPr>
    </w:p>
  </w:footnote>
  <w:footnote w:id="46">
    <w:p w14:paraId="2D9D5DA5" w14:textId="77777777" w:rsidR="005D46B1" w:rsidRDefault="005D46B1" w:rsidP="005D46B1">
      <w:pPr>
        <w:pStyle w:val="FootnoteText"/>
        <w:jc w:val="both"/>
      </w:pPr>
      <w:r>
        <w:rPr>
          <w:rStyle w:val="FootnoteReference"/>
        </w:rPr>
        <w:footnoteRef/>
      </w:r>
      <w:r>
        <w:t xml:space="preserve"> </w:t>
      </w:r>
      <w:r w:rsidRPr="002B064E">
        <w:rPr>
          <w:i/>
        </w:rPr>
        <w:t>In the Matter of the Application Seeking Approval of Ohio Power Company's Proposal to Enter into an Affiliate Power Purchase Agreement for Inclusion in the Power Purchase Agreement Rider</w:t>
      </w:r>
      <w:r>
        <w:t xml:space="preserve">, </w:t>
      </w:r>
      <w:r w:rsidRPr="00BD3163">
        <w:t>Case Nos. 14-1693-EL-RDR</w:t>
      </w:r>
      <w:r>
        <w:t>, Opinion and Order</w:t>
      </w:r>
      <w:r w:rsidRPr="00BD3163">
        <w:t xml:space="preserve"> at p. 8. (Mar. 31, 2016).</w:t>
      </w:r>
    </w:p>
    <w:p w14:paraId="091E3C44" w14:textId="77777777" w:rsidR="005D46B1" w:rsidRDefault="005D46B1" w:rsidP="005D46B1">
      <w:pPr>
        <w:pStyle w:val="FootnoteText"/>
        <w:jc w:val="both"/>
      </w:pPr>
    </w:p>
  </w:footnote>
  <w:footnote w:id="47">
    <w:p w14:paraId="553D41F4" w14:textId="23C661C4" w:rsidR="000877C5" w:rsidRDefault="000877C5" w:rsidP="003E5A66">
      <w:pPr>
        <w:pStyle w:val="FootnoteText"/>
        <w:jc w:val="both"/>
      </w:pPr>
      <w:r>
        <w:rPr>
          <w:rStyle w:val="FootnoteReference"/>
        </w:rPr>
        <w:footnoteRef/>
      </w:r>
      <w:hyperlink r:id="rId1" w:history="1">
        <w:r w:rsidR="003E5A66" w:rsidRPr="00E71516">
          <w:rPr>
            <w:rStyle w:val="Hyperlink"/>
          </w:rPr>
          <w:t>https://act.sierraclub.org/actions/National?actionId=AR0127176&amp;fbclid=IwAR1L2F60-uxM-5RzODTW3AZk1Knaz3bz_uN9EAei5hKHidZEWiGA-Hjcr3M&amp;id=7010Z000001qmkAQAQ</w:t>
        </w:r>
      </w:hyperlink>
    </w:p>
    <w:p w14:paraId="624B4BCA" w14:textId="034E37B4" w:rsidR="000877C5" w:rsidRDefault="000877C5" w:rsidP="003E5A66">
      <w:pPr>
        <w:pStyle w:val="FootnoteText"/>
        <w:jc w:val="both"/>
      </w:pPr>
      <w:r w:rsidRPr="000877C5">
        <w:t xml:space="preserve">(allegedly supported by 1,191 Sierra Club members); see also </w:t>
      </w:r>
      <w:hyperlink r:id="rId2" w:history="1">
        <w:r w:rsidRPr="00E71516">
          <w:rPr>
            <w:rStyle w:val="Hyperlink"/>
          </w:rPr>
          <w:t>https://act.nrdc.org/letter/ohio-solar-181116</w:t>
        </w:r>
      </w:hyperlink>
      <w:r w:rsidRPr="000877C5">
        <w:t>?</w:t>
      </w:r>
    </w:p>
    <w:p w14:paraId="74A6F0DC" w14:textId="77777777" w:rsidR="000877C5" w:rsidRDefault="000877C5" w:rsidP="003E5A66">
      <w:pPr>
        <w:pStyle w:val="FootnoteText"/>
        <w:jc w:val="both"/>
      </w:pPr>
    </w:p>
  </w:footnote>
  <w:footnote w:id="48">
    <w:p w14:paraId="6E583C2B" w14:textId="77777777" w:rsidR="00733348" w:rsidRPr="00445047" w:rsidRDefault="00733348" w:rsidP="003E5A66">
      <w:pPr>
        <w:pStyle w:val="FootnoteText"/>
        <w:jc w:val="both"/>
      </w:pPr>
    </w:p>
  </w:footnote>
  <w:footnote w:id="49">
    <w:p w14:paraId="7C45D488" w14:textId="6ED49299" w:rsidR="00733348" w:rsidRDefault="00733348" w:rsidP="003E5A66">
      <w:pPr>
        <w:pStyle w:val="FootnoteText"/>
        <w:jc w:val="both"/>
      </w:pPr>
      <w:r>
        <w:rPr>
          <w:rStyle w:val="FootnoteReference"/>
        </w:rPr>
        <w:footnoteRef/>
      </w:r>
      <w:r>
        <w:t xml:space="preserve"> </w:t>
      </w:r>
      <w:hyperlink r:id="rId3" w:history="1">
        <w:r w:rsidRPr="00103961">
          <w:rPr>
            <w:rStyle w:val="Hyperlink"/>
          </w:rPr>
          <w:t>https://www.facebook.com/events/340444389847546/</w:t>
        </w:r>
      </w:hyperlink>
    </w:p>
    <w:p w14:paraId="4AE6415C" w14:textId="77777777" w:rsidR="00733348" w:rsidRDefault="00733348" w:rsidP="003E5A66">
      <w:pPr>
        <w:pStyle w:val="FootnoteText"/>
        <w:jc w:val="both"/>
      </w:pPr>
    </w:p>
  </w:footnote>
  <w:footnote w:id="50">
    <w:p w14:paraId="303DB987" w14:textId="502CFA56" w:rsidR="00D44770" w:rsidRDefault="00D44770" w:rsidP="003E5A66">
      <w:pPr>
        <w:pStyle w:val="FootnoteText"/>
        <w:jc w:val="both"/>
      </w:pPr>
      <w:r>
        <w:rPr>
          <w:rStyle w:val="FootnoteReference"/>
        </w:rPr>
        <w:footnoteRef/>
      </w:r>
      <w:r>
        <w:t xml:space="preserve"> </w:t>
      </w:r>
      <w:r w:rsidR="004C4F79">
        <w:t xml:space="preserve">AEP Ohio Initial Brief at 3,6, </w:t>
      </w:r>
      <w:r w:rsidR="00964683">
        <w:t>60-61</w:t>
      </w:r>
      <w:r w:rsidR="008B22F8">
        <w:t>, and 78.</w:t>
      </w:r>
    </w:p>
    <w:p w14:paraId="67C0282C" w14:textId="77777777" w:rsidR="008B22F8" w:rsidRDefault="008B22F8" w:rsidP="003E5A66">
      <w:pPr>
        <w:pStyle w:val="FootnoteText"/>
        <w:jc w:val="both"/>
      </w:pPr>
    </w:p>
  </w:footnote>
  <w:footnote w:id="51">
    <w:p w14:paraId="726B5508" w14:textId="57A0D747" w:rsidR="008B22F8" w:rsidRDefault="008B22F8" w:rsidP="003E5A66">
      <w:pPr>
        <w:pStyle w:val="FootnoteText"/>
        <w:jc w:val="both"/>
      </w:pPr>
      <w:r>
        <w:rPr>
          <w:rStyle w:val="FootnoteReference"/>
        </w:rPr>
        <w:footnoteRef/>
      </w:r>
      <w:r>
        <w:t xml:space="preserve"> IGS Ex. 11 at MW-1.</w:t>
      </w:r>
    </w:p>
    <w:p w14:paraId="2EFB72A6" w14:textId="77777777" w:rsidR="001D635F" w:rsidRDefault="001D635F" w:rsidP="003E5A66">
      <w:pPr>
        <w:pStyle w:val="FootnoteText"/>
        <w:jc w:val="both"/>
      </w:pPr>
    </w:p>
  </w:footnote>
  <w:footnote w:id="52">
    <w:p w14:paraId="6A7352CB" w14:textId="7B7D7653" w:rsidR="00CC5A95" w:rsidRDefault="00CC5A95" w:rsidP="003E5A66">
      <w:pPr>
        <w:pStyle w:val="FootnoteText"/>
        <w:jc w:val="both"/>
      </w:pPr>
      <w:r>
        <w:rPr>
          <w:rStyle w:val="FootnoteReference"/>
        </w:rPr>
        <w:footnoteRef/>
      </w:r>
      <w:r>
        <w:t xml:space="preserve"> </w:t>
      </w:r>
      <w:r>
        <w:rPr>
          <w:i/>
        </w:rPr>
        <w:t xml:space="preserve">See </w:t>
      </w:r>
      <w:r>
        <w:t>IGS Initial Brief at 19.</w:t>
      </w:r>
    </w:p>
    <w:p w14:paraId="3BFE7067" w14:textId="77777777" w:rsidR="008C40D6" w:rsidRPr="00CC5A95" w:rsidRDefault="008C40D6" w:rsidP="003E5A66">
      <w:pPr>
        <w:pStyle w:val="FootnoteText"/>
        <w:jc w:val="both"/>
      </w:pPr>
    </w:p>
  </w:footnote>
  <w:footnote w:id="53">
    <w:p w14:paraId="203F2A15" w14:textId="77777777" w:rsidR="008C40D6" w:rsidRPr="00627742" w:rsidRDefault="008C40D6" w:rsidP="003E5A66">
      <w:pPr>
        <w:pStyle w:val="FootnoteText"/>
        <w:jc w:val="both"/>
      </w:pPr>
      <w:r w:rsidRPr="00627742">
        <w:rPr>
          <w:rStyle w:val="FootnoteReference"/>
        </w:rPr>
        <w:footnoteRef/>
      </w:r>
      <w:r w:rsidRPr="00627742">
        <w:t xml:space="preserve"> Tr. Vol. I at 86. </w:t>
      </w:r>
    </w:p>
    <w:p w14:paraId="323E1A82" w14:textId="77777777" w:rsidR="008C40D6" w:rsidRPr="00627742" w:rsidRDefault="008C40D6" w:rsidP="003E5A66">
      <w:pPr>
        <w:pStyle w:val="FootnoteText"/>
        <w:jc w:val="both"/>
      </w:pPr>
    </w:p>
  </w:footnote>
  <w:footnote w:id="54">
    <w:p w14:paraId="2BCB7D97" w14:textId="7E7B63DB" w:rsidR="008C40D6" w:rsidRDefault="008C40D6" w:rsidP="003E5A66">
      <w:pPr>
        <w:pStyle w:val="FootnoteText"/>
        <w:jc w:val="both"/>
      </w:pPr>
      <w:r>
        <w:rPr>
          <w:rStyle w:val="FootnoteReference"/>
        </w:rPr>
        <w:footnoteRef/>
      </w:r>
      <w:r>
        <w:t xml:space="preserve"> </w:t>
      </w:r>
      <w:r w:rsidR="00075B44">
        <w:t>IGS Ex. 11 at 9</w:t>
      </w:r>
      <w:r w:rsidR="00163088">
        <w:t>.</w:t>
      </w:r>
    </w:p>
    <w:p w14:paraId="497156EA" w14:textId="77777777" w:rsidR="00F13481" w:rsidRDefault="00F13481" w:rsidP="003E5A66">
      <w:pPr>
        <w:pStyle w:val="FootnoteText"/>
        <w:jc w:val="both"/>
      </w:pPr>
    </w:p>
  </w:footnote>
  <w:footnote w:id="55">
    <w:p w14:paraId="3FD1305F" w14:textId="154354AD" w:rsidR="00075B44" w:rsidRDefault="00075B44" w:rsidP="003E5A66">
      <w:pPr>
        <w:pStyle w:val="FootnoteText"/>
        <w:jc w:val="both"/>
      </w:pPr>
      <w:r>
        <w:rPr>
          <w:rStyle w:val="FootnoteReference"/>
        </w:rPr>
        <w:footnoteRef/>
      </w:r>
      <w:r>
        <w:t xml:space="preserve"> </w:t>
      </w:r>
      <w:r>
        <w:rPr>
          <w:i/>
        </w:rPr>
        <w:t xml:space="preserve">See </w:t>
      </w:r>
      <w:r>
        <w:t xml:space="preserve">IGS Initial Brief at </w:t>
      </w:r>
      <w:r w:rsidR="00F13481">
        <w:t>47-49.</w:t>
      </w:r>
    </w:p>
    <w:p w14:paraId="637A5627" w14:textId="77777777" w:rsidR="003E5A66" w:rsidRPr="00075B44" w:rsidRDefault="003E5A66" w:rsidP="003E5A66">
      <w:pPr>
        <w:pStyle w:val="FootnoteText"/>
        <w:jc w:val="both"/>
      </w:pPr>
    </w:p>
  </w:footnote>
  <w:footnote w:id="56">
    <w:p w14:paraId="6893FAEF" w14:textId="77777777" w:rsidR="00254FFA" w:rsidRDefault="00DB0C70" w:rsidP="003E5A66">
      <w:pPr>
        <w:pStyle w:val="FootnoteText"/>
        <w:jc w:val="both"/>
        <w:rPr>
          <w:i/>
        </w:rPr>
      </w:pPr>
      <w:r>
        <w:rPr>
          <w:rStyle w:val="FootnoteReference"/>
        </w:rPr>
        <w:footnoteRef/>
      </w:r>
      <w:r>
        <w:t xml:space="preserve"> </w:t>
      </w:r>
      <w:r>
        <w:rPr>
          <w:i/>
        </w:rPr>
        <w:t>Id.</w:t>
      </w:r>
    </w:p>
    <w:p w14:paraId="01A7D7AD" w14:textId="284134D1" w:rsidR="00DB0C70" w:rsidRPr="00DB0C70" w:rsidRDefault="00DB0C70" w:rsidP="003E5A66">
      <w:pPr>
        <w:pStyle w:val="FootnoteText"/>
        <w:jc w:val="both"/>
        <w:rPr>
          <w:i/>
        </w:rPr>
      </w:pPr>
      <w:r>
        <w:rPr>
          <w:i/>
        </w:rPr>
        <w:t xml:space="preserve"> </w:t>
      </w:r>
    </w:p>
  </w:footnote>
  <w:footnote w:id="57">
    <w:p w14:paraId="34441013" w14:textId="7A9025EB" w:rsidR="0036432A" w:rsidRDefault="0036432A" w:rsidP="003E5A66">
      <w:pPr>
        <w:pStyle w:val="FootnoteText"/>
        <w:jc w:val="both"/>
      </w:pPr>
      <w:r>
        <w:rPr>
          <w:rStyle w:val="FootnoteReference"/>
        </w:rPr>
        <w:footnoteRef/>
      </w:r>
      <w:r>
        <w:t xml:space="preserve"> </w:t>
      </w:r>
      <w:r w:rsidR="00E6329D">
        <w:t xml:space="preserve">The term “utility scale” or “large scale” </w:t>
      </w:r>
      <w:r w:rsidR="00B53F73">
        <w:t xml:space="preserve">is used </w:t>
      </w:r>
      <w:r w:rsidR="00E6329D">
        <w:t>in AEP Ohio’s brief over 70 times.</w:t>
      </w:r>
    </w:p>
    <w:p w14:paraId="50AC4D6B" w14:textId="77777777" w:rsidR="003E5A66" w:rsidRDefault="003E5A66" w:rsidP="003E5A66">
      <w:pPr>
        <w:pStyle w:val="FootnoteText"/>
        <w:jc w:val="both"/>
      </w:pPr>
    </w:p>
  </w:footnote>
  <w:footnote w:id="58">
    <w:p w14:paraId="15625F4D" w14:textId="22AED57F" w:rsidR="00C457C1" w:rsidRPr="00163088" w:rsidRDefault="00C457C1" w:rsidP="003E5A66">
      <w:pPr>
        <w:pStyle w:val="FootnoteText"/>
        <w:jc w:val="both"/>
      </w:pPr>
      <w:r>
        <w:rPr>
          <w:rStyle w:val="FootnoteReference"/>
        </w:rPr>
        <w:footnoteRef/>
      </w:r>
      <w:r>
        <w:t xml:space="preserve"> </w:t>
      </w:r>
      <w:r w:rsidR="00FA13A0">
        <w:t xml:space="preserve">IGS Ex. 9 at </w:t>
      </w:r>
      <w:r w:rsidR="00163088">
        <w:t xml:space="preserve">6, 12; </w:t>
      </w:r>
      <w:r w:rsidR="00163088">
        <w:rPr>
          <w:i/>
        </w:rPr>
        <w:t xml:space="preserve">see also </w:t>
      </w:r>
      <w:r w:rsidR="00163088">
        <w:t xml:space="preserve">IGS Initial Brief at </w:t>
      </w:r>
      <w:r w:rsidR="00254FFA">
        <w:t>45-49.</w:t>
      </w:r>
    </w:p>
    <w:p w14:paraId="4F744B63" w14:textId="77777777" w:rsidR="00163088" w:rsidRDefault="00163088" w:rsidP="003E5A66">
      <w:pPr>
        <w:pStyle w:val="FootnoteText"/>
        <w:jc w:val="both"/>
      </w:pPr>
    </w:p>
  </w:footnote>
  <w:footnote w:id="59">
    <w:p w14:paraId="6B67B5FB" w14:textId="10A1BEAD" w:rsidR="008802E6" w:rsidRDefault="008802E6" w:rsidP="003E5A66">
      <w:pPr>
        <w:pStyle w:val="FootnoteText"/>
        <w:jc w:val="both"/>
      </w:pPr>
      <w:r>
        <w:rPr>
          <w:rStyle w:val="FootnoteReference"/>
        </w:rPr>
        <w:footnoteRef/>
      </w:r>
      <w:r>
        <w:t xml:space="preserve"> </w:t>
      </w:r>
      <w:r w:rsidR="00DB5D5F">
        <w:rPr>
          <w:i/>
        </w:rPr>
        <w:t xml:space="preserve">Supra </w:t>
      </w:r>
      <w:r w:rsidR="00B53F73">
        <w:t>Section III(B)(3)(e).</w:t>
      </w:r>
    </w:p>
    <w:p w14:paraId="17021745" w14:textId="77777777" w:rsidR="003E5A66" w:rsidRPr="00B53F73" w:rsidRDefault="003E5A66" w:rsidP="003E5A66">
      <w:pPr>
        <w:pStyle w:val="FootnoteText"/>
        <w:jc w:val="both"/>
      </w:pPr>
    </w:p>
  </w:footnote>
  <w:footnote w:id="60">
    <w:p w14:paraId="59129D89" w14:textId="6205BF21" w:rsidR="00E63213" w:rsidRDefault="00E63213" w:rsidP="003E5A66">
      <w:pPr>
        <w:pStyle w:val="FootnoteText"/>
        <w:jc w:val="both"/>
      </w:pPr>
      <w:r>
        <w:rPr>
          <w:rStyle w:val="FootnoteReference"/>
        </w:rPr>
        <w:footnoteRef/>
      </w:r>
      <w:r>
        <w:t xml:space="preserve"> </w:t>
      </w:r>
      <w:r w:rsidR="003D16B1">
        <w:t xml:space="preserve">AEP Ohio Initial Brief at 47-49. </w:t>
      </w:r>
    </w:p>
    <w:p w14:paraId="4A119999" w14:textId="77777777" w:rsidR="00E064C2" w:rsidRDefault="00E064C2" w:rsidP="003E5A66">
      <w:pPr>
        <w:pStyle w:val="FootnoteText"/>
        <w:jc w:val="both"/>
      </w:pPr>
    </w:p>
  </w:footnote>
  <w:footnote w:id="61">
    <w:p w14:paraId="1D5CC912" w14:textId="5CF532A9" w:rsidR="003D16B1" w:rsidRDefault="003D16B1" w:rsidP="003E5A66">
      <w:pPr>
        <w:pStyle w:val="FootnoteText"/>
        <w:jc w:val="both"/>
      </w:pPr>
      <w:r>
        <w:rPr>
          <w:rStyle w:val="FootnoteReference"/>
        </w:rPr>
        <w:footnoteRef/>
      </w:r>
      <w:r>
        <w:t xml:space="preserve"> </w:t>
      </w:r>
      <w:r w:rsidR="00E064C2">
        <w:t>IGS Initial Brief at 24-26.</w:t>
      </w:r>
    </w:p>
    <w:p w14:paraId="7809D12D" w14:textId="77777777" w:rsidR="00E064C2" w:rsidRDefault="00E064C2" w:rsidP="003E5A66">
      <w:pPr>
        <w:pStyle w:val="FootnoteText"/>
        <w:jc w:val="both"/>
      </w:pPr>
    </w:p>
  </w:footnote>
  <w:footnote w:id="62">
    <w:p w14:paraId="3ED4C70A" w14:textId="368382C2" w:rsidR="00974C6F" w:rsidRDefault="00974C6F" w:rsidP="003E5A66">
      <w:pPr>
        <w:pStyle w:val="FootnoteText"/>
        <w:jc w:val="both"/>
        <w:rPr>
          <w:i/>
        </w:rPr>
      </w:pPr>
      <w:r>
        <w:rPr>
          <w:rStyle w:val="FootnoteReference"/>
        </w:rPr>
        <w:footnoteRef/>
      </w:r>
      <w:r>
        <w:t xml:space="preserve"> </w:t>
      </w:r>
      <w:r>
        <w:rPr>
          <w:i/>
        </w:rPr>
        <w:t xml:space="preserve">Id. </w:t>
      </w:r>
    </w:p>
    <w:p w14:paraId="129FB9BC" w14:textId="77777777" w:rsidR="00974C6F" w:rsidRPr="00974C6F" w:rsidRDefault="00974C6F" w:rsidP="003E5A66">
      <w:pPr>
        <w:pStyle w:val="FootnoteText"/>
        <w:jc w:val="both"/>
        <w:rPr>
          <w:i/>
        </w:rPr>
      </w:pPr>
    </w:p>
  </w:footnote>
  <w:footnote w:id="63">
    <w:p w14:paraId="42DA18B2" w14:textId="4DC9418E" w:rsidR="003A2B2C" w:rsidRDefault="003A2B2C" w:rsidP="003E5A66">
      <w:pPr>
        <w:pStyle w:val="FootnoteText"/>
        <w:jc w:val="both"/>
      </w:pPr>
      <w:r>
        <w:rPr>
          <w:rStyle w:val="FootnoteReference"/>
        </w:rPr>
        <w:footnoteRef/>
      </w:r>
      <w:r>
        <w:t xml:space="preserve"> IGS </w:t>
      </w:r>
      <w:r w:rsidR="00733C9F">
        <w:t>Ex. 2 at 1</w:t>
      </w:r>
      <w:r>
        <w:t>4.</w:t>
      </w:r>
    </w:p>
    <w:p w14:paraId="3A9A86C2" w14:textId="77777777" w:rsidR="00EA6E0F" w:rsidRDefault="00EA6E0F" w:rsidP="003E5A66">
      <w:pPr>
        <w:pStyle w:val="FootnoteText"/>
        <w:jc w:val="both"/>
      </w:pPr>
    </w:p>
  </w:footnote>
  <w:footnote w:id="64">
    <w:p w14:paraId="2F9ADF90" w14:textId="6B8FF1C1" w:rsidR="00733C9F" w:rsidRDefault="00733C9F" w:rsidP="003E5A66">
      <w:pPr>
        <w:pStyle w:val="FootnoteText"/>
        <w:jc w:val="both"/>
      </w:pPr>
      <w:r>
        <w:rPr>
          <w:rStyle w:val="FootnoteReference"/>
        </w:rPr>
        <w:footnoteRef/>
      </w:r>
      <w:r>
        <w:t xml:space="preserve"> </w:t>
      </w:r>
      <w:r w:rsidR="00450C95">
        <w:t>Tr. Vol. II 446</w:t>
      </w:r>
      <w:r w:rsidR="00EA6E0F">
        <w:t>, 449.</w:t>
      </w:r>
    </w:p>
    <w:p w14:paraId="7DDEC1E1" w14:textId="77777777" w:rsidR="001D635F" w:rsidRDefault="001D635F" w:rsidP="003E5A66">
      <w:pPr>
        <w:pStyle w:val="FootnoteText"/>
        <w:jc w:val="both"/>
      </w:pPr>
    </w:p>
  </w:footnote>
  <w:footnote w:id="65">
    <w:p w14:paraId="2ABFB96C" w14:textId="6EAF24C7" w:rsidR="00734970" w:rsidRDefault="00734970" w:rsidP="003E5A66">
      <w:pPr>
        <w:pStyle w:val="FootnoteText"/>
        <w:jc w:val="both"/>
      </w:pPr>
      <w:r>
        <w:rPr>
          <w:rStyle w:val="FootnoteReference"/>
        </w:rPr>
        <w:footnoteRef/>
      </w:r>
      <w:r>
        <w:t xml:space="preserve"> </w:t>
      </w:r>
      <w:r w:rsidR="002F64EA">
        <w:t>AEP Ohio Initial Brief at 24, 51-53.</w:t>
      </w:r>
    </w:p>
    <w:p w14:paraId="619EB9BF" w14:textId="77777777" w:rsidR="002F64EA" w:rsidRDefault="002F64EA" w:rsidP="003E5A66">
      <w:pPr>
        <w:pStyle w:val="FootnoteText"/>
        <w:jc w:val="both"/>
      </w:pPr>
    </w:p>
  </w:footnote>
  <w:footnote w:id="66">
    <w:p w14:paraId="006429CD" w14:textId="5E1ABE18" w:rsidR="002F64EA" w:rsidRDefault="002F64EA" w:rsidP="003E5A66">
      <w:pPr>
        <w:pStyle w:val="FootnoteText"/>
        <w:jc w:val="both"/>
      </w:pPr>
      <w:r>
        <w:rPr>
          <w:rStyle w:val="FootnoteReference"/>
        </w:rPr>
        <w:footnoteRef/>
      </w:r>
      <w:r>
        <w:t xml:space="preserve"> </w:t>
      </w:r>
      <w:r w:rsidR="006D3112">
        <w:t>IGS Initial Brief at 25-32.</w:t>
      </w:r>
    </w:p>
    <w:p w14:paraId="463B4161" w14:textId="77777777" w:rsidR="006D3112" w:rsidRDefault="006D3112" w:rsidP="003E5A66">
      <w:pPr>
        <w:pStyle w:val="FootnoteText"/>
        <w:jc w:val="both"/>
      </w:pPr>
    </w:p>
  </w:footnote>
  <w:footnote w:id="67">
    <w:p w14:paraId="64693144" w14:textId="5CCB7AAB" w:rsidR="006D3112" w:rsidRDefault="006D3112" w:rsidP="003E5A66">
      <w:pPr>
        <w:pStyle w:val="FootnoteText"/>
        <w:jc w:val="both"/>
      </w:pPr>
      <w:r>
        <w:rPr>
          <w:rStyle w:val="FootnoteReference"/>
        </w:rPr>
        <w:footnoteRef/>
      </w:r>
      <w:r>
        <w:t xml:space="preserve"> AEP Ohio Initial Brief at </w:t>
      </w:r>
      <w:r w:rsidR="001F08A8">
        <w:t>52.</w:t>
      </w:r>
    </w:p>
    <w:p w14:paraId="5FA691E7" w14:textId="77777777" w:rsidR="007A6428" w:rsidRDefault="007A6428" w:rsidP="003E5A66">
      <w:pPr>
        <w:pStyle w:val="FootnoteText"/>
        <w:jc w:val="both"/>
      </w:pPr>
    </w:p>
  </w:footnote>
  <w:footnote w:id="68">
    <w:p w14:paraId="49B42581" w14:textId="5AC6A38A" w:rsidR="001F08A8" w:rsidRDefault="001F08A8" w:rsidP="003E5A66">
      <w:pPr>
        <w:pStyle w:val="FootnoteText"/>
        <w:jc w:val="both"/>
      </w:pPr>
      <w:r>
        <w:rPr>
          <w:rStyle w:val="FootnoteReference"/>
        </w:rPr>
        <w:footnoteRef/>
      </w:r>
      <w:r>
        <w:t xml:space="preserve"> </w:t>
      </w:r>
      <w:r>
        <w:rPr>
          <w:i/>
        </w:rPr>
        <w:t xml:space="preserve">Id. </w:t>
      </w:r>
      <w:r>
        <w:t>at 52-53.</w:t>
      </w:r>
    </w:p>
    <w:p w14:paraId="7938ADD1" w14:textId="77777777" w:rsidR="001F08A8" w:rsidRPr="001F08A8" w:rsidRDefault="001F08A8" w:rsidP="003E5A66">
      <w:pPr>
        <w:pStyle w:val="FootnoteText"/>
        <w:jc w:val="both"/>
      </w:pPr>
    </w:p>
  </w:footnote>
  <w:footnote w:id="69">
    <w:p w14:paraId="3FC19203" w14:textId="5951A117" w:rsidR="00CB576D" w:rsidRDefault="00CB576D" w:rsidP="003E5A66">
      <w:pPr>
        <w:pStyle w:val="FootnoteText"/>
        <w:jc w:val="both"/>
      </w:pPr>
      <w:r>
        <w:rPr>
          <w:rStyle w:val="FootnoteReference"/>
        </w:rPr>
        <w:footnoteRef/>
      </w:r>
      <w:r>
        <w:t xml:space="preserve"> </w:t>
      </w:r>
      <w:r>
        <w:rPr>
          <w:i/>
        </w:rPr>
        <w:t xml:space="preserve">Id. </w:t>
      </w:r>
      <w:r>
        <w:t xml:space="preserve">at </w:t>
      </w:r>
      <w:r w:rsidR="005D58A4">
        <w:t xml:space="preserve">53. </w:t>
      </w:r>
    </w:p>
    <w:p w14:paraId="62F989C5" w14:textId="77777777" w:rsidR="005D58A4" w:rsidRPr="00CB576D" w:rsidRDefault="005D58A4" w:rsidP="003E5A66">
      <w:pPr>
        <w:pStyle w:val="FootnoteText"/>
        <w:jc w:val="both"/>
      </w:pPr>
    </w:p>
  </w:footnote>
  <w:footnote w:id="70">
    <w:p w14:paraId="6036A93D" w14:textId="5CCD1480" w:rsidR="00733348" w:rsidRDefault="00733348" w:rsidP="003E5A66">
      <w:pPr>
        <w:pStyle w:val="FootnoteText"/>
        <w:jc w:val="both"/>
      </w:pPr>
      <w:r>
        <w:rPr>
          <w:rStyle w:val="FootnoteReference"/>
        </w:rPr>
        <w:footnoteRef/>
      </w:r>
      <w:r>
        <w:t xml:space="preserve"> Tr. Vol. IX at 2630.</w:t>
      </w:r>
    </w:p>
    <w:p w14:paraId="429866A4" w14:textId="77777777" w:rsidR="00733348" w:rsidRDefault="00733348" w:rsidP="003E5A66">
      <w:pPr>
        <w:pStyle w:val="FootnoteText"/>
        <w:jc w:val="both"/>
      </w:pPr>
    </w:p>
  </w:footnote>
  <w:footnote w:id="71">
    <w:p w14:paraId="3A5C7E8B" w14:textId="66759DE4" w:rsidR="00733348" w:rsidRDefault="00733348" w:rsidP="003E5A66">
      <w:pPr>
        <w:pStyle w:val="FootnoteText"/>
        <w:jc w:val="both"/>
      </w:pPr>
      <w:r>
        <w:rPr>
          <w:rStyle w:val="FootnoteReference"/>
        </w:rPr>
        <w:footnoteRef/>
      </w:r>
      <w:r>
        <w:t xml:space="preserve"> Tr. Vol. IX at 2631.</w:t>
      </w:r>
    </w:p>
    <w:p w14:paraId="3E8B5270" w14:textId="77777777" w:rsidR="002279DB" w:rsidRDefault="002279DB" w:rsidP="003E5A66">
      <w:pPr>
        <w:pStyle w:val="FootnoteText"/>
        <w:jc w:val="both"/>
      </w:pPr>
    </w:p>
  </w:footnote>
  <w:footnote w:id="72">
    <w:p w14:paraId="546D1EA3" w14:textId="44027273" w:rsidR="00733348" w:rsidRDefault="00733348" w:rsidP="003E5A66">
      <w:pPr>
        <w:pStyle w:val="FootnoteText"/>
        <w:jc w:val="both"/>
      </w:pPr>
      <w:r>
        <w:rPr>
          <w:rStyle w:val="FootnoteReference"/>
        </w:rPr>
        <w:footnoteRef/>
      </w:r>
      <w:r>
        <w:t xml:space="preserve"> IGS Ex. 13 at 10.</w:t>
      </w:r>
    </w:p>
    <w:p w14:paraId="2CED8BD5" w14:textId="77777777" w:rsidR="00733348" w:rsidRDefault="00733348" w:rsidP="003E5A66">
      <w:pPr>
        <w:pStyle w:val="FootnoteText"/>
        <w:jc w:val="both"/>
      </w:pPr>
    </w:p>
  </w:footnote>
  <w:footnote w:id="73">
    <w:p w14:paraId="173B80DA" w14:textId="691722EB" w:rsidR="00733348" w:rsidRDefault="00733348" w:rsidP="003E5A66">
      <w:pPr>
        <w:pStyle w:val="FootnoteText"/>
        <w:jc w:val="both"/>
      </w:pPr>
      <w:r>
        <w:rPr>
          <w:rStyle w:val="FootnoteReference"/>
        </w:rPr>
        <w:footnoteRef/>
      </w:r>
      <w:r>
        <w:t xml:space="preserve"> </w:t>
      </w:r>
      <w:r w:rsidRPr="00F83E24">
        <w:rPr>
          <w:i/>
        </w:rPr>
        <w:t>In the Matter of the Application Seeking Approval of Ohio Power Company's Proposal to Enter into an Affiliate Power Purchase Agreement for Inclusion in the Power Purchase Agreement Rider</w:t>
      </w:r>
      <w:r>
        <w:t xml:space="preserve">, Case Nos. 14-1693-EL-RDR, </w:t>
      </w:r>
      <w:r>
        <w:rPr>
          <w:i/>
        </w:rPr>
        <w:t>et al.</w:t>
      </w:r>
      <w:r>
        <w:t>, at 79 (Mar. 31, 2016).</w:t>
      </w:r>
    </w:p>
    <w:p w14:paraId="37A38A9B" w14:textId="77777777" w:rsidR="00733348" w:rsidRPr="00F83E24" w:rsidRDefault="00733348" w:rsidP="003E5A66">
      <w:pPr>
        <w:pStyle w:val="FootnoteText"/>
        <w:jc w:val="both"/>
      </w:pPr>
    </w:p>
  </w:footnote>
  <w:footnote w:id="74">
    <w:p w14:paraId="6A38E7CE" w14:textId="4ADF7797" w:rsidR="00733348" w:rsidRDefault="00733348" w:rsidP="003E5A66">
      <w:pPr>
        <w:pStyle w:val="FootnoteText"/>
        <w:jc w:val="both"/>
      </w:pPr>
      <w:r>
        <w:rPr>
          <w:rStyle w:val="FootnoteReference"/>
        </w:rPr>
        <w:footnoteRef/>
      </w:r>
      <w:r>
        <w:t xml:space="preserve"> IGS Ex. 14 at 9; </w:t>
      </w:r>
      <w:r>
        <w:rPr>
          <w:i/>
        </w:rPr>
        <w:t xml:space="preserve">see also </w:t>
      </w:r>
      <w:r>
        <w:t>Tr. Vol. IX at 2640.</w:t>
      </w:r>
    </w:p>
    <w:p w14:paraId="79FBBE9C" w14:textId="77777777" w:rsidR="00733348" w:rsidRDefault="00733348" w:rsidP="003E5A66">
      <w:pPr>
        <w:pStyle w:val="FootnoteText"/>
        <w:jc w:val="both"/>
      </w:pPr>
    </w:p>
  </w:footnote>
  <w:footnote w:id="75">
    <w:p w14:paraId="7A77F46D" w14:textId="10389247" w:rsidR="00733348" w:rsidRDefault="00733348" w:rsidP="003E5A66">
      <w:pPr>
        <w:pStyle w:val="FootnoteText"/>
        <w:jc w:val="both"/>
      </w:pPr>
      <w:r>
        <w:rPr>
          <w:rStyle w:val="FootnoteReference"/>
        </w:rPr>
        <w:footnoteRef/>
      </w:r>
      <w:r>
        <w:t xml:space="preserve"> IGS Ex. 13 at Ex. PL-2 at 2 (“As of December 31, 2016, the remaining net book value of these assets is $57 million.”)</w:t>
      </w:r>
    </w:p>
    <w:p w14:paraId="4BF0E1F0" w14:textId="77777777" w:rsidR="00733348" w:rsidRDefault="00733348" w:rsidP="003E5A66">
      <w:pPr>
        <w:pStyle w:val="FootnoteText"/>
        <w:jc w:val="both"/>
      </w:pPr>
    </w:p>
  </w:footnote>
  <w:footnote w:id="76">
    <w:p w14:paraId="18724383" w14:textId="36981BD7" w:rsidR="00733348" w:rsidRDefault="00733348" w:rsidP="003E5A66">
      <w:pPr>
        <w:pStyle w:val="FootnoteText"/>
        <w:jc w:val="both"/>
      </w:pPr>
      <w:r>
        <w:rPr>
          <w:rStyle w:val="FootnoteReference"/>
        </w:rPr>
        <w:footnoteRef/>
      </w:r>
      <w:r>
        <w:t xml:space="preserve"> </w:t>
      </w:r>
      <w:r w:rsidRPr="0062640B">
        <w:t>Tr. Vol. IX at 2640.</w:t>
      </w:r>
    </w:p>
    <w:p w14:paraId="0470D14A" w14:textId="77777777" w:rsidR="00733348" w:rsidRDefault="00733348" w:rsidP="003E5A66">
      <w:pPr>
        <w:pStyle w:val="FootnoteText"/>
        <w:jc w:val="both"/>
      </w:pPr>
    </w:p>
  </w:footnote>
  <w:footnote w:id="77">
    <w:p w14:paraId="41D616E5" w14:textId="06D007CA" w:rsidR="005C74DF" w:rsidRDefault="005C74DF" w:rsidP="003E5A66">
      <w:pPr>
        <w:pStyle w:val="FootnoteText"/>
        <w:jc w:val="both"/>
      </w:pPr>
      <w:r>
        <w:rPr>
          <w:rStyle w:val="FootnoteReference"/>
        </w:rPr>
        <w:footnoteRef/>
      </w:r>
      <w:r>
        <w:t xml:space="preserve"> </w:t>
      </w:r>
      <w:r w:rsidR="003649BA">
        <w:t>AEP Ohio Initial Brief at 53-54.</w:t>
      </w:r>
    </w:p>
  </w:footnote>
  <w:footnote w:id="78">
    <w:p w14:paraId="2FD7F9D0" w14:textId="7719B09D" w:rsidR="00733348" w:rsidRDefault="00733348" w:rsidP="003E5A66">
      <w:pPr>
        <w:pStyle w:val="FootnoteText"/>
        <w:jc w:val="both"/>
      </w:pPr>
      <w:r>
        <w:rPr>
          <w:rStyle w:val="FootnoteReference"/>
        </w:rPr>
        <w:footnoteRef/>
      </w:r>
      <w:r>
        <w:t xml:space="preserve"> AEP Ohio Initial Brief at 5, 45, and 54.</w:t>
      </w:r>
    </w:p>
    <w:p w14:paraId="2F9961BC" w14:textId="77777777" w:rsidR="00733348" w:rsidRDefault="00733348" w:rsidP="003E5A66">
      <w:pPr>
        <w:pStyle w:val="FootnoteText"/>
        <w:jc w:val="both"/>
      </w:pPr>
    </w:p>
  </w:footnote>
  <w:footnote w:id="79">
    <w:p w14:paraId="2EE6330D" w14:textId="05A97B14" w:rsidR="00733348" w:rsidRDefault="00733348" w:rsidP="003E5A66">
      <w:pPr>
        <w:pStyle w:val="FootnoteText"/>
        <w:jc w:val="both"/>
      </w:pPr>
      <w:r>
        <w:rPr>
          <w:rStyle w:val="FootnoteReference"/>
        </w:rPr>
        <w:footnoteRef/>
      </w:r>
      <w:r>
        <w:t xml:space="preserve"> Tr. Vol. V at 1312 L 15-21.</w:t>
      </w:r>
    </w:p>
    <w:p w14:paraId="51E35574" w14:textId="77777777" w:rsidR="00733348" w:rsidRDefault="00733348" w:rsidP="003E5A66">
      <w:pPr>
        <w:pStyle w:val="FootnoteText"/>
        <w:jc w:val="both"/>
      </w:pPr>
    </w:p>
  </w:footnote>
  <w:footnote w:id="80">
    <w:p w14:paraId="73322CC7" w14:textId="32E42DE2" w:rsidR="00733348" w:rsidRDefault="00733348" w:rsidP="003E5A66">
      <w:pPr>
        <w:pStyle w:val="FootnoteText"/>
        <w:jc w:val="both"/>
        <w:rPr>
          <w:i/>
        </w:rPr>
      </w:pPr>
      <w:r>
        <w:rPr>
          <w:rStyle w:val="FootnoteReference"/>
        </w:rPr>
        <w:footnoteRef/>
      </w:r>
      <w:r>
        <w:t xml:space="preserve"> </w:t>
      </w:r>
      <w:r>
        <w:rPr>
          <w:i/>
        </w:rPr>
        <w:t>Id.</w:t>
      </w:r>
    </w:p>
    <w:p w14:paraId="76C11210" w14:textId="77777777" w:rsidR="00733348" w:rsidRPr="0098188A" w:rsidRDefault="00733348" w:rsidP="003E5A66">
      <w:pPr>
        <w:pStyle w:val="FootnoteText"/>
        <w:jc w:val="both"/>
        <w:rPr>
          <w:i/>
        </w:rPr>
      </w:pPr>
    </w:p>
  </w:footnote>
  <w:footnote w:id="81">
    <w:p w14:paraId="6F000D69" w14:textId="21DA6A83" w:rsidR="00EE502A" w:rsidRDefault="00EE502A" w:rsidP="003E5A66">
      <w:pPr>
        <w:pStyle w:val="FootnoteText"/>
        <w:jc w:val="both"/>
      </w:pPr>
      <w:r>
        <w:rPr>
          <w:rStyle w:val="FootnoteReference"/>
        </w:rPr>
        <w:footnoteRef/>
      </w:r>
      <w:r>
        <w:t xml:space="preserve"> </w:t>
      </w:r>
      <w:r w:rsidR="005438DD">
        <w:t>AEP Ohio Initial Brief at 5.</w:t>
      </w:r>
    </w:p>
    <w:p w14:paraId="5334D8CA" w14:textId="77777777" w:rsidR="005438DD" w:rsidRDefault="005438DD" w:rsidP="003E5A66">
      <w:pPr>
        <w:pStyle w:val="FootnoteText"/>
        <w:jc w:val="both"/>
      </w:pPr>
    </w:p>
  </w:footnote>
  <w:footnote w:id="82">
    <w:p w14:paraId="033A74E2" w14:textId="6F507AB1" w:rsidR="000B1456" w:rsidRDefault="000B1456" w:rsidP="003E5A66">
      <w:pPr>
        <w:pStyle w:val="FootnoteText"/>
        <w:jc w:val="both"/>
      </w:pPr>
      <w:r>
        <w:rPr>
          <w:rStyle w:val="FootnoteReference"/>
        </w:rPr>
        <w:footnoteRef/>
      </w:r>
      <w:r>
        <w:t xml:space="preserve"> Tr. Vol. VI at </w:t>
      </w:r>
      <w:r w:rsidR="00147FAB">
        <w:t>1540.</w:t>
      </w:r>
    </w:p>
    <w:p w14:paraId="7D7FD414" w14:textId="77777777" w:rsidR="00147FAB" w:rsidRDefault="00147FAB" w:rsidP="003E5A66">
      <w:pPr>
        <w:pStyle w:val="FootnoteText"/>
        <w:jc w:val="both"/>
      </w:pPr>
    </w:p>
  </w:footnote>
  <w:footnote w:id="83">
    <w:p w14:paraId="2F107907" w14:textId="26723F7B" w:rsidR="004E0635" w:rsidRDefault="004E0635" w:rsidP="003E5A66">
      <w:pPr>
        <w:pStyle w:val="FootnoteText"/>
        <w:jc w:val="both"/>
      </w:pPr>
      <w:r>
        <w:rPr>
          <w:rStyle w:val="FootnoteReference"/>
        </w:rPr>
        <w:footnoteRef/>
      </w:r>
      <w:r>
        <w:t xml:space="preserve"> Tr. Vol. V at 1290.</w:t>
      </w:r>
    </w:p>
    <w:p w14:paraId="07FA2349" w14:textId="77777777" w:rsidR="004E0635" w:rsidRDefault="004E0635" w:rsidP="003E5A66">
      <w:pPr>
        <w:pStyle w:val="FootnoteText"/>
        <w:jc w:val="both"/>
      </w:pPr>
    </w:p>
  </w:footnote>
  <w:footnote w:id="84">
    <w:p w14:paraId="509546F1" w14:textId="5D0AB736" w:rsidR="00C65A7E" w:rsidRDefault="00C65A7E" w:rsidP="003E5A66">
      <w:pPr>
        <w:pStyle w:val="FootnoteText"/>
        <w:jc w:val="both"/>
        <w:rPr>
          <w:i/>
        </w:rPr>
      </w:pPr>
      <w:r>
        <w:rPr>
          <w:rStyle w:val="FootnoteReference"/>
        </w:rPr>
        <w:footnoteRef/>
      </w:r>
      <w:r>
        <w:t xml:space="preserve"> </w:t>
      </w:r>
      <w:r>
        <w:rPr>
          <w:i/>
        </w:rPr>
        <w:t>Id.</w:t>
      </w:r>
    </w:p>
    <w:p w14:paraId="7F23748C" w14:textId="77777777" w:rsidR="00E77F0A" w:rsidRPr="00C65A7E" w:rsidRDefault="00E77F0A" w:rsidP="003E5A66">
      <w:pPr>
        <w:pStyle w:val="FootnoteText"/>
        <w:jc w:val="both"/>
        <w:rPr>
          <w:i/>
        </w:rPr>
      </w:pPr>
    </w:p>
  </w:footnote>
  <w:footnote w:id="85">
    <w:p w14:paraId="099C7AA7" w14:textId="0CA39F1F" w:rsidR="00C65C21" w:rsidRDefault="00C65C21" w:rsidP="003E5A66">
      <w:pPr>
        <w:pStyle w:val="FootnoteText"/>
        <w:jc w:val="both"/>
      </w:pPr>
      <w:r>
        <w:rPr>
          <w:rStyle w:val="FootnoteReference"/>
        </w:rPr>
        <w:footnoteRef/>
      </w:r>
      <w:r>
        <w:t xml:space="preserve"> </w:t>
      </w:r>
      <w:r w:rsidR="00FC431B">
        <w:t>Tr. Vol. VI at 1541-42.</w:t>
      </w:r>
    </w:p>
    <w:p w14:paraId="7C1C197C" w14:textId="77777777" w:rsidR="00E77F0A" w:rsidRDefault="00E77F0A" w:rsidP="003E5A66">
      <w:pPr>
        <w:pStyle w:val="FootnoteText"/>
        <w:jc w:val="both"/>
      </w:pPr>
    </w:p>
  </w:footnote>
  <w:footnote w:id="86">
    <w:p w14:paraId="4BC55C0A" w14:textId="394A0EDE" w:rsidR="00A22629" w:rsidRDefault="00A22629" w:rsidP="003E5A66">
      <w:pPr>
        <w:pStyle w:val="FootnoteText"/>
        <w:jc w:val="both"/>
      </w:pPr>
      <w:r>
        <w:rPr>
          <w:rStyle w:val="FootnoteReference"/>
        </w:rPr>
        <w:footnoteRef/>
      </w:r>
      <w:r>
        <w:t xml:space="preserve"> IGS Ex. 8 at p. 52. (containing an excerpt of the integrated resource plan filed </w:t>
      </w:r>
      <w:r w:rsidR="00D54FAD">
        <w:t>by Southwester Electric Power Company).</w:t>
      </w:r>
    </w:p>
    <w:p w14:paraId="62A01752" w14:textId="77777777" w:rsidR="004052F6" w:rsidRDefault="004052F6" w:rsidP="003E5A66">
      <w:pPr>
        <w:pStyle w:val="FootnoteText"/>
        <w:jc w:val="both"/>
      </w:pPr>
    </w:p>
  </w:footnote>
  <w:footnote w:id="87">
    <w:p w14:paraId="7CC780C2" w14:textId="77777777" w:rsidR="00E77F0A" w:rsidRDefault="00B70DF1" w:rsidP="003E5A66">
      <w:pPr>
        <w:pStyle w:val="FootnoteText"/>
        <w:jc w:val="both"/>
      </w:pPr>
      <w:r>
        <w:rPr>
          <w:rStyle w:val="FootnoteReference"/>
        </w:rPr>
        <w:footnoteRef/>
      </w:r>
      <w:r>
        <w:t xml:space="preserve"> </w:t>
      </w:r>
      <w:r>
        <w:rPr>
          <w:i/>
        </w:rPr>
        <w:t xml:space="preserve">Id. </w:t>
      </w:r>
      <w:r>
        <w:t>at 1540.</w:t>
      </w:r>
    </w:p>
    <w:p w14:paraId="3B13D8EF" w14:textId="29354C94" w:rsidR="00B70DF1" w:rsidRPr="00B70DF1" w:rsidRDefault="00B70DF1" w:rsidP="003E5A66">
      <w:pPr>
        <w:pStyle w:val="FootnoteText"/>
        <w:jc w:val="both"/>
      </w:pPr>
      <w:r>
        <w:t xml:space="preserve">  </w:t>
      </w:r>
    </w:p>
  </w:footnote>
  <w:footnote w:id="88">
    <w:p w14:paraId="38EB12DA" w14:textId="308CEB8D" w:rsidR="001462DA" w:rsidRDefault="001462DA" w:rsidP="003E5A66">
      <w:pPr>
        <w:pStyle w:val="FootnoteText"/>
        <w:jc w:val="both"/>
      </w:pPr>
      <w:r>
        <w:rPr>
          <w:rStyle w:val="FootnoteReference"/>
        </w:rPr>
        <w:footnoteRef/>
      </w:r>
      <w:r>
        <w:t xml:space="preserve"> </w:t>
      </w:r>
      <w:r w:rsidR="00E77F0A">
        <w:rPr>
          <w:i/>
        </w:rPr>
        <w:t xml:space="preserve">Id. </w:t>
      </w:r>
      <w:r w:rsidR="00E77F0A">
        <w:t>at 1541.</w:t>
      </w:r>
    </w:p>
    <w:p w14:paraId="7BDBB358" w14:textId="77777777" w:rsidR="00C16BDB" w:rsidRPr="00E77F0A" w:rsidRDefault="00C16BDB" w:rsidP="003E5A66">
      <w:pPr>
        <w:pStyle w:val="FootnoteText"/>
        <w:jc w:val="both"/>
      </w:pPr>
    </w:p>
  </w:footnote>
  <w:footnote w:id="89">
    <w:p w14:paraId="56A696AC" w14:textId="20CE5DBC" w:rsidR="00A66D67" w:rsidRDefault="00A66D67" w:rsidP="003E5A66">
      <w:pPr>
        <w:pStyle w:val="FootnoteText"/>
        <w:jc w:val="both"/>
      </w:pPr>
      <w:r>
        <w:rPr>
          <w:rStyle w:val="FootnoteReference"/>
        </w:rPr>
        <w:footnoteRef/>
      </w:r>
      <w:r>
        <w:t xml:space="preserve"> AEP Ohio Ex. </w:t>
      </w:r>
      <w:r w:rsidR="00497A35">
        <w:t>14 at JFT-1 at 2</w:t>
      </w:r>
      <w:r w:rsidR="00B2192D">
        <w:t>1 and 22.</w:t>
      </w:r>
    </w:p>
  </w:footnote>
  <w:footnote w:id="90">
    <w:p w14:paraId="22117725" w14:textId="129F601F" w:rsidR="00733348" w:rsidRDefault="00733348" w:rsidP="003E5A66">
      <w:pPr>
        <w:pStyle w:val="FootnoteText"/>
        <w:jc w:val="both"/>
      </w:pPr>
      <w:r>
        <w:rPr>
          <w:rStyle w:val="FootnoteReference"/>
        </w:rPr>
        <w:footnoteRef/>
      </w:r>
      <w:r>
        <w:t xml:space="preserve"> AEP Ohio Brief at 11.</w:t>
      </w:r>
    </w:p>
    <w:p w14:paraId="58664BB1" w14:textId="77777777" w:rsidR="004904E8" w:rsidRDefault="004904E8" w:rsidP="003E5A66">
      <w:pPr>
        <w:pStyle w:val="FootnoteText"/>
        <w:jc w:val="both"/>
      </w:pPr>
    </w:p>
  </w:footnote>
  <w:footnote w:id="91">
    <w:p w14:paraId="33B77518" w14:textId="7E50E2ED" w:rsidR="004904E8" w:rsidRDefault="004904E8" w:rsidP="003E5A66">
      <w:pPr>
        <w:pStyle w:val="FootnoteText"/>
        <w:jc w:val="both"/>
      </w:pPr>
      <w:r>
        <w:rPr>
          <w:rStyle w:val="FootnoteReference"/>
        </w:rPr>
        <w:footnoteRef/>
      </w:r>
      <w:r>
        <w:t xml:space="preserve"> </w:t>
      </w:r>
      <w:r w:rsidR="00BB7120">
        <w:t>IGS Initial Brief at 33-34.</w:t>
      </w:r>
    </w:p>
    <w:p w14:paraId="7721FFDD" w14:textId="77777777" w:rsidR="008D3D5A" w:rsidRDefault="008D3D5A" w:rsidP="003E5A66">
      <w:pPr>
        <w:pStyle w:val="FootnoteText"/>
        <w:jc w:val="both"/>
      </w:pPr>
    </w:p>
  </w:footnote>
  <w:footnote w:id="92">
    <w:p w14:paraId="6B6884D2" w14:textId="18769D54" w:rsidR="00733348" w:rsidRPr="00627742" w:rsidRDefault="00733348" w:rsidP="003E5A66">
      <w:pPr>
        <w:pStyle w:val="FootnoteText"/>
        <w:jc w:val="both"/>
      </w:pPr>
      <w:r w:rsidRPr="00627742">
        <w:rPr>
          <w:rStyle w:val="FootnoteReference"/>
        </w:rPr>
        <w:footnoteRef/>
      </w:r>
      <w:r w:rsidRPr="00627742">
        <w:t xml:space="preserve"> </w:t>
      </w:r>
      <w:r w:rsidR="008E0C1E">
        <w:t>IGS Ex. 13</w:t>
      </w:r>
      <w:r w:rsidRPr="00627742">
        <w:rPr>
          <w:i/>
        </w:rPr>
        <w:t xml:space="preserve"> </w:t>
      </w:r>
      <w:r w:rsidRPr="00627742">
        <w:t>at 5.</w:t>
      </w:r>
    </w:p>
    <w:p w14:paraId="23BC53EB" w14:textId="77777777" w:rsidR="00733348" w:rsidRPr="00627742" w:rsidRDefault="00733348" w:rsidP="003E5A66">
      <w:pPr>
        <w:pStyle w:val="FootnoteText"/>
        <w:jc w:val="both"/>
      </w:pPr>
    </w:p>
  </w:footnote>
  <w:footnote w:id="93">
    <w:p w14:paraId="6081670A" w14:textId="77777777" w:rsidR="00733348" w:rsidRDefault="00733348" w:rsidP="003E5A66">
      <w:pPr>
        <w:pStyle w:val="FootnoteText"/>
        <w:jc w:val="both"/>
      </w:pPr>
      <w:r>
        <w:rPr>
          <w:rStyle w:val="FootnoteReference"/>
        </w:rPr>
        <w:footnoteRef/>
      </w:r>
      <w:r>
        <w:t xml:space="preserve"> IGS Ex. 13 at 6. </w:t>
      </w:r>
    </w:p>
    <w:p w14:paraId="5F5AD062" w14:textId="77777777" w:rsidR="00733348" w:rsidRDefault="00733348" w:rsidP="003E5A66">
      <w:pPr>
        <w:pStyle w:val="FootnoteText"/>
        <w:jc w:val="both"/>
      </w:pPr>
    </w:p>
  </w:footnote>
  <w:footnote w:id="94">
    <w:p w14:paraId="39F93311" w14:textId="77777777" w:rsidR="00733348" w:rsidRPr="00627742" w:rsidRDefault="00733348" w:rsidP="003E5A66">
      <w:pPr>
        <w:pStyle w:val="FootnoteText"/>
        <w:jc w:val="both"/>
      </w:pPr>
      <w:r w:rsidRPr="00627742">
        <w:rPr>
          <w:rStyle w:val="FootnoteReference"/>
        </w:rPr>
        <w:footnoteRef/>
      </w:r>
      <w:r w:rsidRPr="00627742">
        <w:t xml:space="preserve"> </w:t>
      </w:r>
      <w:r w:rsidRPr="00627742">
        <w:rPr>
          <w:i/>
        </w:rPr>
        <w:t xml:space="preserve">Id. </w:t>
      </w:r>
      <w:r w:rsidRPr="00627742">
        <w:t xml:space="preserve">at 6. </w:t>
      </w:r>
    </w:p>
    <w:p w14:paraId="2828E97F" w14:textId="77777777" w:rsidR="00733348" w:rsidRPr="00627742" w:rsidRDefault="00733348" w:rsidP="003E5A66">
      <w:pPr>
        <w:pStyle w:val="FootnoteText"/>
        <w:jc w:val="both"/>
      </w:pPr>
    </w:p>
  </w:footnote>
  <w:footnote w:id="95">
    <w:p w14:paraId="44926A34" w14:textId="77777777" w:rsidR="00733348" w:rsidRDefault="00733348" w:rsidP="003E5A66">
      <w:pPr>
        <w:pStyle w:val="FootnoteText"/>
        <w:jc w:val="both"/>
        <w:rPr>
          <w:i/>
        </w:rPr>
      </w:pPr>
      <w:r w:rsidRPr="00627742">
        <w:rPr>
          <w:rStyle w:val="FootnoteReference"/>
        </w:rPr>
        <w:footnoteRef/>
      </w:r>
      <w:r w:rsidRPr="00627742">
        <w:t xml:space="preserve"> </w:t>
      </w:r>
      <w:r w:rsidRPr="00627742">
        <w:rPr>
          <w:i/>
        </w:rPr>
        <w:t>Id.</w:t>
      </w:r>
    </w:p>
    <w:p w14:paraId="359F3D4C" w14:textId="77777777" w:rsidR="008D3D5A" w:rsidRPr="00627742" w:rsidRDefault="008D3D5A" w:rsidP="003E5A66">
      <w:pPr>
        <w:pStyle w:val="FootnoteText"/>
        <w:jc w:val="both"/>
        <w:rPr>
          <w:i/>
        </w:rPr>
      </w:pPr>
    </w:p>
  </w:footnote>
  <w:footnote w:id="96">
    <w:p w14:paraId="752A5715" w14:textId="77777777" w:rsidR="00733348" w:rsidRDefault="00733348" w:rsidP="003E5A66">
      <w:pPr>
        <w:pStyle w:val="FootnoteText"/>
        <w:jc w:val="both"/>
      </w:pPr>
      <w:r>
        <w:rPr>
          <w:rStyle w:val="FootnoteReference"/>
        </w:rPr>
        <w:footnoteRef/>
      </w:r>
      <w:r>
        <w:t xml:space="preserve"> </w:t>
      </w:r>
      <w:r>
        <w:rPr>
          <w:i/>
        </w:rPr>
        <w:t>In the Matter of the Application of Ohio Power Company for Authority to Establish a Standard Service Offer Pursuant to R.C. 4928.143, in the Form of an Electric Security Plan</w:t>
      </w:r>
      <w:r>
        <w:t xml:space="preserve">, Case Nos. 16-1852-EL-SSO, </w:t>
      </w:r>
      <w:r>
        <w:rPr>
          <w:i/>
        </w:rPr>
        <w:t>et al.</w:t>
      </w:r>
      <w:r>
        <w:t>, Opinion and Order at 5 (Apr. 25, 2018).</w:t>
      </w:r>
    </w:p>
    <w:p w14:paraId="745BAA5A" w14:textId="77777777" w:rsidR="00733348" w:rsidRPr="009041CF" w:rsidRDefault="00733348" w:rsidP="003E5A66">
      <w:pPr>
        <w:pStyle w:val="FootnoteText"/>
        <w:jc w:val="both"/>
      </w:pPr>
    </w:p>
  </w:footnote>
  <w:footnote w:id="97">
    <w:p w14:paraId="7A0009DF" w14:textId="50EC0965" w:rsidR="00733348" w:rsidRDefault="00733348" w:rsidP="003E5A66">
      <w:pPr>
        <w:pStyle w:val="FootnoteText"/>
        <w:jc w:val="both"/>
      </w:pPr>
      <w:r>
        <w:rPr>
          <w:rStyle w:val="FootnoteReference"/>
        </w:rPr>
        <w:footnoteRef/>
      </w:r>
      <w:r>
        <w:t xml:space="preserve"> </w:t>
      </w:r>
      <w:r w:rsidR="008D7142" w:rsidRPr="008D7142">
        <w:t>These losses can be easily calculated simply by reducing AEP Ohio’s $ per MWh market price (JFT-1 at 2</w:t>
      </w:r>
      <w:r w:rsidR="008D7142">
        <w:t>1</w:t>
      </w:r>
      <w:r w:rsidR="008D7142" w:rsidRPr="008D7142">
        <w:t xml:space="preserve"> (Column H)) by $19 per and multiplying that amount by the projected </w:t>
      </w:r>
      <w:r w:rsidR="008D7142">
        <w:t>solar</w:t>
      </w:r>
      <w:r w:rsidR="008D7142" w:rsidRPr="008D7142">
        <w:t xml:space="preserve"> energy output (Column D) and subtracting that amount from the total </w:t>
      </w:r>
      <w:r w:rsidR="008D7142">
        <w:t>solar</w:t>
      </w:r>
      <w:r w:rsidR="008D7142" w:rsidRPr="008D7142">
        <w:t xml:space="preserve"> energy cost</w:t>
      </w:r>
    </w:p>
    <w:p w14:paraId="2CB98F60" w14:textId="77777777" w:rsidR="00733348" w:rsidRDefault="00733348" w:rsidP="003E5A66">
      <w:pPr>
        <w:pStyle w:val="FootnoteText"/>
        <w:jc w:val="both"/>
      </w:pPr>
    </w:p>
  </w:footnote>
  <w:footnote w:id="98">
    <w:p w14:paraId="45ED7372" w14:textId="4705DBB0" w:rsidR="00667E94" w:rsidRDefault="00667E94" w:rsidP="003E5A66">
      <w:pPr>
        <w:pStyle w:val="FootnoteText"/>
        <w:jc w:val="both"/>
      </w:pPr>
      <w:r>
        <w:rPr>
          <w:rStyle w:val="FootnoteReference"/>
        </w:rPr>
        <w:footnoteRef/>
      </w:r>
      <w:r>
        <w:t xml:space="preserve"> </w:t>
      </w:r>
      <w:r w:rsidR="00F47B27">
        <w:rPr>
          <w:i/>
        </w:rPr>
        <w:t xml:space="preserve">See </w:t>
      </w:r>
      <w:r w:rsidRPr="00667E94">
        <w:t>AEP Ohio Ex. 14 at JFT-1 at 21</w:t>
      </w:r>
      <w:r w:rsidR="004F4F15">
        <w:t xml:space="preserve"> (Column L)</w:t>
      </w:r>
      <w:r w:rsidRPr="00667E94">
        <w:t xml:space="preserve"> and 22</w:t>
      </w:r>
      <w:r>
        <w:t xml:space="preserve"> (</w:t>
      </w:r>
      <w:r w:rsidR="004F4F15">
        <w:t>C</w:t>
      </w:r>
      <w:r>
        <w:t>olumn</w:t>
      </w:r>
      <w:r w:rsidR="004F4F15">
        <w:t xml:space="preserve"> L</w:t>
      </w:r>
      <w:r>
        <w:t>)</w:t>
      </w:r>
      <w:r w:rsidRPr="00667E94">
        <w:t>.</w:t>
      </w:r>
    </w:p>
    <w:p w14:paraId="3BCB7462" w14:textId="77777777" w:rsidR="00F47B27" w:rsidRDefault="00F47B27" w:rsidP="003E5A66">
      <w:pPr>
        <w:pStyle w:val="FootnoteText"/>
        <w:jc w:val="both"/>
      </w:pPr>
    </w:p>
  </w:footnote>
  <w:footnote w:id="99">
    <w:p w14:paraId="69376AD8" w14:textId="563A81B7" w:rsidR="00F47B27" w:rsidRDefault="00F47B27" w:rsidP="003E5A66">
      <w:pPr>
        <w:pStyle w:val="FootnoteText"/>
        <w:jc w:val="both"/>
      </w:pPr>
      <w:r>
        <w:rPr>
          <w:rStyle w:val="FootnoteReference"/>
        </w:rPr>
        <w:footnoteRef/>
      </w:r>
      <w:r>
        <w:t xml:space="preserve"> </w:t>
      </w:r>
      <w:bookmarkStart w:id="2" w:name="_Hlk4589833"/>
      <w:r w:rsidRPr="00F47B27">
        <w:t>These losses can be easily calculated simply by reducing AEP Ohio’s $</w:t>
      </w:r>
      <w:r>
        <w:t xml:space="preserve"> </w:t>
      </w:r>
      <w:r w:rsidRPr="00F47B27">
        <w:t xml:space="preserve">per MWh market price </w:t>
      </w:r>
      <w:r w:rsidR="00315CE3">
        <w:t>(</w:t>
      </w:r>
      <w:r w:rsidR="000913E9">
        <w:t>JFT-1 at 22</w:t>
      </w:r>
      <w:r w:rsidR="00315CE3">
        <w:t xml:space="preserve"> (Column H))</w:t>
      </w:r>
      <w:r>
        <w:t xml:space="preserve"> </w:t>
      </w:r>
      <w:r w:rsidRPr="00F47B27">
        <w:t>by $19</w:t>
      </w:r>
      <w:r w:rsidR="00315CE3">
        <w:t xml:space="preserve"> per </w:t>
      </w:r>
      <w:r w:rsidRPr="00F47B27">
        <w:t>and multiplying that amount by the projected</w:t>
      </w:r>
      <w:r w:rsidR="008D7142">
        <w:t xml:space="preserve"> wind</w:t>
      </w:r>
      <w:r w:rsidRPr="00F47B27">
        <w:t xml:space="preserve"> energy output</w:t>
      </w:r>
      <w:r w:rsidR="008D7142">
        <w:t xml:space="preserve"> (Column D) and subtracting that amount from the total wind energy cost</w:t>
      </w:r>
      <w:bookmarkEnd w:id="2"/>
      <w:r w:rsidR="00CA1AEE">
        <w:t>.</w:t>
      </w:r>
    </w:p>
    <w:p w14:paraId="164DDDD8" w14:textId="77777777" w:rsidR="00CA1AEE" w:rsidRDefault="00CA1AEE" w:rsidP="003E5A66">
      <w:pPr>
        <w:pStyle w:val="FootnoteText"/>
        <w:jc w:val="both"/>
      </w:pPr>
    </w:p>
  </w:footnote>
  <w:footnote w:id="100">
    <w:p w14:paraId="450FDA9B" w14:textId="2D8DCA1E" w:rsidR="00F47B27" w:rsidRDefault="00F47B27" w:rsidP="003E5A66">
      <w:pPr>
        <w:pStyle w:val="FootnoteText"/>
        <w:jc w:val="both"/>
      </w:pPr>
      <w:r>
        <w:rPr>
          <w:rStyle w:val="FootnoteReference"/>
        </w:rPr>
        <w:footnoteRef/>
      </w:r>
      <w:r>
        <w:t xml:space="preserve"> </w:t>
      </w:r>
      <w:r w:rsidRPr="00F47B27">
        <w:t>See AEP Ohio Ex. 14 at JFT-1 at 21 (Column L) and 22 (Column L).</w:t>
      </w:r>
    </w:p>
    <w:p w14:paraId="2C0455F2" w14:textId="77777777" w:rsidR="00F47B27" w:rsidRPr="00F47B27" w:rsidRDefault="00F47B27" w:rsidP="003E5A66">
      <w:pPr>
        <w:pStyle w:val="FootnoteText"/>
        <w:jc w:val="both"/>
        <w:rPr>
          <w:i/>
        </w:rPr>
      </w:pPr>
    </w:p>
  </w:footnote>
  <w:footnote w:id="101">
    <w:p w14:paraId="1E2CE268" w14:textId="2E184A2F" w:rsidR="00733348" w:rsidRDefault="00733348" w:rsidP="003E5A66">
      <w:pPr>
        <w:pStyle w:val="FootnoteText"/>
        <w:jc w:val="both"/>
      </w:pPr>
      <w:r>
        <w:rPr>
          <w:rStyle w:val="FootnoteReference"/>
        </w:rPr>
        <w:footnoteRef/>
      </w:r>
      <w:r>
        <w:t xml:space="preserve"> </w:t>
      </w:r>
      <w:r>
        <w:rPr>
          <w:i/>
        </w:rPr>
        <w:t xml:space="preserve">See </w:t>
      </w:r>
      <w:r>
        <w:t>AEP Ohio Ex. 14 at JFT-1 at p. 20 Table 4 (subtracting projected load cost with renewables from load cost without renewables).</w:t>
      </w:r>
    </w:p>
    <w:p w14:paraId="74E2C51D" w14:textId="77777777" w:rsidR="00733348" w:rsidRPr="006F3549" w:rsidRDefault="00733348" w:rsidP="003E5A66">
      <w:pPr>
        <w:pStyle w:val="FootnoteText"/>
        <w:jc w:val="both"/>
      </w:pPr>
    </w:p>
  </w:footnote>
  <w:footnote w:id="102">
    <w:p w14:paraId="3CF2AC05" w14:textId="196C6BAD" w:rsidR="00733348" w:rsidRDefault="00733348" w:rsidP="003E5A66">
      <w:pPr>
        <w:pStyle w:val="FootnoteText"/>
        <w:jc w:val="both"/>
      </w:pPr>
      <w:r>
        <w:rPr>
          <w:rStyle w:val="FootnoteReference"/>
        </w:rPr>
        <w:footnoteRef/>
      </w:r>
      <w:r>
        <w:t xml:space="preserve"> IGS Initial Brief at 24-26.</w:t>
      </w:r>
    </w:p>
    <w:p w14:paraId="6F6B829E" w14:textId="77777777" w:rsidR="00733348" w:rsidRDefault="00733348" w:rsidP="003E5A66">
      <w:pPr>
        <w:pStyle w:val="FootnoteText"/>
        <w:jc w:val="both"/>
      </w:pPr>
    </w:p>
  </w:footnote>
  <w:footnote w:id="103">
    <w:p w14:paraId="745A8B65" w14:textId="4A69ECC9" w:rsidR="00A246E3" w:rsidRDefault="00A246E3" w:rsidP="003E5A66">
      <w:pPr>
        <w:pStyle w:val="FootnoteText"/>
        <w:jc w:val="both"/>
      </w:pPr>
      <w:r>
        <w:rPr>
          <w:rStyle w:val="FootnoteReference"/>
        </w:rPr>
        <w:footnoteRef/>
      </w:r>
      <w:r>
        <w:t xml:space="preserve"> IGS</w:t>
      </w:r>
      <w:r w:rsidR="00DF216F">
        <w:t xml:space="preserve"> Initial Brief at</w:t>
      </w:r>
      <w:r w:rsidR="00CE60DC">
        <w:t xml:space="preserve"> 28-</w:t>
      </w:r>
      <w:r w:rsidR="00DF216F">
        <w:t>29.</w:t>
      </w:r>
      <w:r>
        <w:t xml:space="preserve"> </w:t>
      </w:r>
    </w:p>
    <w:p w14:paraId="347E1372" w14:textId="77777777" w:rsidR="00A246E3" w:rsidRDefault="00A246E3" w:rsidP="003E5A66">
      <w:pPr>
        <w:pStyle w:val="FootnoteText"/>
        <w:jc w:val="both"/>
      </w:pPr>
    </w:p>
  </w:footnote>
  <w:footnote w:id="104">
    <w:p w14:paraId="211F77E0" w14:textId="77777777" w:rsidR="00DF216F" w:rsidRDefault="00DF545B" w:rsidP="003E5A66">
      <w:pPr>
        <w:pStyle w:val="FootnoteText"/>
        <w:jc w:val="both"/>
      </w:pPr>
      <w:r>
        <w:rPr>
          <w:rStyle w:val="FootnoteReference"/>
        </w:rPr>
        <w:footnoteRef/>
      </w:r>
      <w:r>
        <w:t xml:space="preserve"> </w:t>
      </w:r>
      <w:r>
        <w:rPr>
          <w:i/>
        </w:rPr>
        <w:t xml:space="preserve">See </w:t>
      </w:r>
      <w:r w:rsidR="00A36831">
        <w:t>IGS Ex. 13 at 14.</w:t>
      </w:r>
      <w:r w:rsidR="00EC1A95">
        <w:t xml:space="preserve">  This gas widens significantly in 2028</w:t>
      </w:r>
      <w:r w:rsidR="008F2A70">
        <w:t>.</w:t>
      </w:r>
    </w:p>
    <w:p w14:paraId="170131F6" w14:textId="1E2F8C20" w:rsidR="00DF545B" w:rsidRPr="00DF545B" w:rsidRDefault="008F2A70" w:rsidP="003E5A66">
      <w:pPr>
        <w:pStyle w:val="FootnoteText"/>
        <w:jc w:val="both"/>
      </w:pPr>
      <w:r>
        <w:t xml:space="preserve"> </w:t>
      </w:r>
      <w:bookmarkStart w:id="3" w:name="_GoBack"/>
      <w:bookmarkEnd w:id="3"/>
    </w:p>
  </w:footnote>
  <w:footnote w:id="105">
    <w:p w14:paraId="0E597519" w14:textId="50FFDD20" w:rsidR="00CE60DC" w:rsidRDefault="00CE60DC" w:rsidP="003E5A66">
      <w:pPr>
        <w:pStyle w:val="FootnoteText"/>
        <w:jc w:val="both"/>
      </w:pPr>
      <w:r>
        <w:rPr>
          <w:rStyle w:val="FootnoteReference"/>
        </w:rPr>
        <w:footnoteRef/>
      </w:r>
      <w:r>
        <w:t xml:space="preserve"> </w:t>
      </w:r>
      <w:r w:rsidR="00851919">
        <w:t xml:space="preserve">AEP Ohio Initial Brief at </w:t>
      </w:r>
      <w:r w:rsidR="004B389B">
        <w:t>62,64-65.</w:t>
      </w:r>
    </w:p>
    <w:p w14:paraId="7465F69E" w14:textId="77777777" w:rsidR="004B389B" w:rsidRDefault="004B389B" w:rsidP="003E5A66">
      <w:pPr>
        <w:pStyle w:val="FootnoteText"/>
        <w:jc w:val="both"/>
      </w:pPr>
    </w:p>
  </w:footnote>
  <w:footnote w:id="106">
    <w:p w14:paraId="48E0A099" w14:textId="7D65C710" w:rsidR="00733348" w:rsidRDefault="00733348" w:rsidP="003E5A66">
      <w:pPr>
        <w:pStyle w:val="FootnoteText"/>
        <w:jc w:val="both"/>
      </w:pPr>
      <w:r>
        <w:rPr>
          <w:rStyle w:val="FootnoteReference"/>
        </w:rPr>
        <w:footnoteRef/>
      </w:r>
      <w:r>
        <w:t xml:space="preserve"> AEP Ohio Initial Brief at 65.</w:t>
      </w:r>
    </w:p>
    <w:p w14:paraId="4492A58D" w14:textId="77777777" w:rsidR="00733348" w:rsidRDefault="00733348" w:rsidP="003E5A66">
      <w:pPr>
        <w:pStyle w:val="FootnoteText"/>
        <w:jc w:val="both"/>
      </w:pPr>
    </w:p>
  </w:footnote>
  <w:footnote w:id="107">
    <w:p w14:paraId="3699A89F" w14:textId="77777777" w:rsidR="0074202F" w:rsidRDefault="0074202F" w:rsidP="003E5A66">
      <w:pPr>
        <w:pStyle w:val="FootnoteText"/>
        <w:jc w:val="both"/>
      </w:pPr>
      <w:r>
        <w:rPr>
          <w:rStyle w:val="FootnoteReference"/>
        </w:rPr>
        <w:footnoteRef/>
      </w:r>
      <w:r>
        <w:t xml:space="preserve"> Tr. Vol. I at 101-103.</w:t>
      </w:r>
    </w:p>
    <w:p w14:paraId="535B56B8" w14:textId="77777777" w:rsidR="003528C0" w:rsidRDefault="003528C0" w:rsidP="003E5A66">
      <w:pPr>
        <w:pStyle w:val="FootnoteText"/>
        <w:jc w:val="both"/>
      </w:pPr>
    </w:p>
  </w:footnote>
  <w:footnote w:id="108">
    <w:p w14:paraId="01089064" w14:textId="5C770051" w:rsidR="00620962" w:rsidRDefault="00620962" w:rsidP="003E5A66">
      <w:pPr>
        <w:pStyle w:val="FootnoteText"/>
        <w:jc w:val="both"/>
      </w:pPr>
      <w:r>
        <w:rPr>
          <w:rStyle w:val="FootnoteReference"/>
        </w:rPr>
        <w:footnoteRef/>
      </w:r>
      <w:r>
        <w:t xml:space="preserve"> </w:t>
      </w:r>
      <w:r w:rsidR="00276603">
        <w:t>Tr. Vol. I at 97.</w:t>
      </w:r>
    </w:p>
    <w:p w14:paraId="1EA35A4E" w14:textId="77777777" w:rsidR="00276603" w:rsidRDefault="00276603" w:rsidP="003E5A66">
      <w:pPr>
        <w:pStyle w:val="FootnoteText"/>
        <w:jc w:val="both"/>
      </w:pPr>
    </w:p>
  </w:footnote>
  <w:footnote w:id="109">
    <w:p w14:paraId="02CC15AF" w14:textId="4A096D4C" w:rsidR="00494A41" w:rsidRDefault="00494A41" w:rsidP="003E5A66">
      <w:pPr>
        <w:pStyle w:val="FootnoteText"/>
        <w:jc w:val="both"/>
      </w:pPr>
      <w:r>
        <w:rPr>
          <w:rStyle w:val="FootnoteReference"/>
        </w:rPr>
        <w:footnoteRef/>
      </w:r>
      <w:r>
        <w:t xml:space="preserve"> IGS Ex. 11 at </w:t>
      </w:r>
      <w:r w:rsidR="00CB0B93">
        <w:t>7-12.</w:t>
      </w:r>
    </w:p>
    <w:p w14:paraId="6F712114" w14:textId="77777777" w:rsidR="00790825" w:rsidRDefault="00790825" w:rsidP="003E5A66">
      <w:pPr>
        <w:pStyle w:val="FootnoteText"/>
        <w:jc w:val="both"/>
      </w:pPr>
    </w:p>
  </w:footnote>
  <w:footnote w:id="110">
    <w:p w14:paraId="2EA537EF" w14:textId="2CCC7178" w:rsidR="00CB0B93" w:rsidRDefault="00CB0B93" w:rsidP="003E5A66">
      <w:pPr>
        <w:pStyle w:val="FootnoteText"/>
        <w:jc w:val="both"/>
      </w:pPr>
      <w:r>
        <w:rPr>
          <w:rStyle w:val="FootnoteReference"/>
        </w:rPr>
        <w:footnoteRef/>
      </w:r>
      <w:r>
        <w:t xml:space="preserve"> </w:t>
      </w:r>
      <w:r w:rsidR="00790825">
        <w:t>AEP Ohio Initial Brief at 77-78.</w:t>
      </w:r>
    </w:p>
    <w:p w14:paraId="21869F84" w14:textId="12BAF207" w:rsidR="00790825" w:rsidRDefault="00790825" w:rsidP="003E5A66">
      <w:pPr>
        <w:pStyle w:val="FootnoteText"/>
        <w:jc w:val="both"/>
      </w:pPr>
    </w:p>
  </w:footnote>
  <w:footnote w:id="111">
    <w:p w14:paraId="70A29FD3" w14:textId="5DF37E64" w:rsidR="00790825" w:rsidRDefault="00790825" w:rsidP="003E5A66">
      <w:pPr>
        <w:pStyle w:val="FootnoteText"/>
        <w:jc w:val="both"/>
        <w:rPr>
          <w:i/>
        </w:rPr>
      </w:pPr>
      <w:r>
        <w:rPr>
          <w:rStyle w:val="FootnoteReference"/>
        </w:rPr>
        <w:footnoteRef/>
      </w:r>
      <w:r>
        <w:t xml:space="preserve"> </w:t>
      </w:r>
      <w:r>
        <w:rPr>
          <w:i/>
        </w:rPr>
        <w:t>Id.</w:t>
      </w:r>
    </w:p>
    <w:p w14:paraId="65CBC243" w14:textId="77777777" w:rsidR="000C0388" w:rsidRPr="00790825" w:rsidRDefault="000C0388" w:rsidP="003E5A66">
      <w:pPr>
        <w:pStyle w:val="FootnoteText"/>
        <w:jc w:val="both"/>
        <w:rPr>
          <w:i/>
        </w:rPr>
      </w:pPr>
    </w:p>
  </w:footnote>
  <w:footnote w:id="112">
    <w:p w14:paraId="2455192E" w14:textId="188E0179" w:rsidR="00790825" w:rsidRDefault="00790825" w:rsidP="003E5A66">
      <w:pPr>
        <w:pStyle w:val="FootnoteText"/>
        <w:jc w:val="both"/>
      </w:pPr>
      <w:r>
        <w:rPr>
          <w:rStyle w:val="FootnoteReference"/>
        </w:rPr>
        <w:footnoteRef/>
      </w:r>
      <w:r>
        <w:t xml:space="preserve"> </w:t>
      </w:r>
      <w:r>
        <w:rPr>
          <w:i/>
        </w:rPr>
        <w:t xml:space="preserve">Id. </w:t>
      </w:r>
      <w:r>
        <w:t xml:space="preserve">at </w:t>
      </w:r>
      <w:r w:rsidR="000C0388">
        <w:t>78.</w:t>
      </w:r>
    </w:p>
    <w:p w14:paraId="0F74A824" w14:textId="77777777" w:rsidR="001D635F" w:rsidRPr="00790825" w:rsidRDefault="001D635F" w:rsidP="003E5A66">
      <w:pPr>
        <w:pStyle w:val="FootnoteText"/>
        <w:jc w:val="both"/>
      </w:pPr>
    </w:p>
  </w:footnote>
  <w:footnote w:id="113">
    <w:p w14:paraId="38456F74" w14:textId="6CDCE01F" w:rsidR="00DA272F" w:rsidRDefault="00DA272F" w:rsidP="003E5A66">
      <w:pPr>
        <w:pStyle w:val="FootnoteText"/>
        <w:jc w:val="both"/>
      </w:pPr>
      <w:r>
        <w:rPr>
          <w:rStyle w:val="FootnoteReference"/>
        </w:rPr>
        <w:footnoteRef/>
      </w:r>
      <w:r>
        <w:t xml:space="preserve"> Tr. Vol. IX at 2598. </w:t>
      </w:r>
    </w:p>
    <w:p w14:paraId="708EEE15" w14:textId="77777777" w:rsidR="00DA272F" w:rsidRDefault="00DA272F" w:rsidP="003E5A66">
      <w:pPr>
        <w:pStyle w:val="FootnoteText"/>
        <w:jc w:val="both"/>
      </w:pPr>
    </w:p>
  </w:footnote>
  <w:footnote w:id="114">
    <w:p w14:paraId="7C050F95" w14:textId="1A5CA48D" w:rsidR="00AC0793" w:rsidRDefault="00AC0793" w:rsidP="003E5A66">
      <w:pPr>
        <w:pStyle w:val="FootnoteText"/>
        <w:jc w:val="both"/>
      </w:pPr>
      <w:r>
        <w:rPr>
          <w:rStyle w:val="FootnoteReference"/>
        </w:rPr>
        <w:footnoteRef/>
      </w:r>
      <w:r>
        <w:t xml:space="preserve"> </w:t>
      </w:r>
      <w:r w:rsidR="003B1E88">
        <w:rPr>
          <w:i/>
        </w:rPr>
        <w:t xml:space="preserve">Id. </w:t>
      </w:r>
      <w:r w:rsidR="003B1E88">
        <w:t>at 2597.</w:t>
      </w:r>
    </w:p>
    <w:p w14:paraId="658D88E7" w14:textId="77777777" w:rsidR="00B93160" w:rsidRPr="003B1E88" w:rsidRDefault="00B93160" w:rsidP="003E5A66">
      <w:pPr>
        <w:pStyle w:val="FootnoteText"/>
        <w:jc w:val="both"/>
      </w:pPr>
    </w:p>
  </w:footnote>
  <w:footnote w:id="115">
    <w:p w14:paraId="3ABC0E83" w14:textId="0BF83293" w:rsidR="00B93160" w:rsidRDefault="00B93160" w:rsidP="003E5A66">
      <w:pPr>
        <w:pStyle w:val="FootnoteText"/>
        <w:jc w:val="both"/>
      </w:pPr>
      <w:r>
        <w:rPr>
          <w:rStyle w:val="FootnoteReference"/>
        </w:rPr>
        <w:footnoteRef/>
      </w:r>
      <w:r>
        <w:t xml:space="preserve"> Tr. Vol. VI at 1789</w:t>
      </w:r>
      <w:r w:rsidR="00E472C2">
        <w:t>-9</w:t>
      </w:r>
      <w:r w:rsidR="0045502B">
        <w:t>2</w:t>
      </w:r>
      <w:r w:rsidR="006E45A2">
        <w:t>; Tr. Vol. IX at 2584</w:t>
      </w:r>
      <w:r>
        <w:t>.</w:t>
      </w:r>
    </w:p>
    <w:p w14:paraId="15FA5F5D" w14:textId="77777777" w:rsidR="00B93160" w:rsidRDefault="00B93160" w:rsidP="003E5A66">
      <w:pPr>
        <w:pStyle w:val="FootnoteText"/>
        <w:jc w:val="both"/>
      </w:pPr>
    </w:p>
  </w:footnote>
  <w:footnote w:id="116">
    <w:p w14:paraId="0B3992F6" w14:textId="5AA2AB87" w:rsidR="00733348" w:rsidRDefault="00733348" w:rsidP="003E5A66">
      <w:pPr>
        <w:pStyle w:val="FootnoteText"/>
        <w:jc w:val="both"/>
      </w:pPr>
      <w:r w:rsidRPr="001858DD">
        <w:rPr>
          <w:rStyle w:val="FootnoteReference"/>
        </w:rPr>
        <w:footnoteRef/>
      </w:r>
      <w:r w:rsidRPr="001858DD">
        <w:t xml:space="preserve"> IGS Ex. 11 at 16. </w:t>
      </w:r>
    </w:p>
    <w:p w14:paraId="2D9B4A83" w14:textId="77777777" w:rsidR="00733348" w:rsidRPr="001858DD" w:rsidRDefault="00733348" w:rsidP="003E5A66">
      <w:pPr>
        <w:pStyle w:val="FootnoteText"/>
        <w:jc w:val="both"/>
      </w:pPr>
    </w:p>
  </w:footnote>
  <w:footnote w:id="117">
    <w:p w14:paraId="4CD0387D" w14:textId="53C273B9" w:rsidR="008B17E8" w:rsidRDefault="008B17E8" w:rsidP="003E5A66">
      <w:pPr>
        <w:pStyle w:val="FootnoteText"/>
        <w:jc w:val="both"/>
      </w:pPr>
      <w:r>
        <w:rPr>
          <w:rStyle w:val="FootnoteReference"/>
        </w:rPr>
        <w:footnoteRef/>
      </w:r>
      <w:r>
        <w:t xml:space="preserve"> </w:t>
      </w:r>
      <w:r w:rsidR="00677FF9" w:rsidRPr="00677FF9">
        <w:t>16 C.F.R. § 260.15(d)</w:t>
      </w:r>
      <w:r w:rsidR="004342CC">
        <w:t xml:space="preserve"> (Titled Renewable Energy Claims).</w:t>
      </w:r>
    </w:p>
    <w:p w14:paraId="3DE9B0EB" w14:textId="77777777" w:rsidR="008A4CBA" w:rsidRDefault="008A4CBA" w:rsidP="003E5A66">
      <w:pPr>
        <w:pStyle w:val="FootnoteText"/>
        <w:jc w:val="both"/>
      </w:pPr>
    </w:p>
  </w:footnote>
  <w:footnote w:id="118">
    <w:p w14:paraId="1E9A37D6" w14:textId="3F77E3A5" w:rsidR="008B17E8" w:rsidRPr="00684037" w:rsidRDefault="008B17E8" w:rsidP="003E5A66">
      <w:pPr>
        <w:pStyle w:val="FootnoteText"/>
        <w:jc w:val="both"/>
      </w:pPr>
      <w:r w:rsidRPr="001858DD">
        <w:rPr>
          <w:rStyle w:val="FootnoteReference"/>
        </w:rPr>
        <w:footnoteRef/>
      </w:r>
      <w:r w:rsidRPr="001858DD">
        <w:t xml:space="preserve"> </w:t>
      </w:r>
      <w:r w:rsidR="00684037">
        <w:t>IGS Ex. 11 at 16.</w:t>
      </w:r>
    </w:p>
    <w:p w14:paraId="7264DA83" w14:textId="77777777" w:rsidR="008B17E8" w:rsidRPr="001858DD" w:rsidRDefault="008B17E8" w:rsidP="003E5A66">
      <w:pPr>
        <w:pStyle w:val="FootnoteText"/>
        <w:jc w:val="both"/>
        <w:rPr>
          <w:i/>
        </w:rPr>
      </w:pPr>
    </w:p>
  </w:footnote>
  <w:footnote w:id="119">
    <w:p w14:paraId="026C26C2" w14:textId="221FB586" w:rsidR="00733348" w:rsidRDefault="00733348" w:rsidP="003E5A66">
      <w:pPr>
        <w:pStyle w:val="FootnoteText"/>
        <w:jc w:val="both"/>
        <w:rPr>
          <w:i/>
        </w:rPr>
      </w:pPr>
      <w:r w:rsidRPr="001858DD">
        <w:rPr>
          <w:rStyle w:val="FootnoteReference"/>
        </w:rPr>
        <w:footnoteRef/>
      </w:r>
      <w:r w:rsidRPr="001858DD">
        <w:t xml:space="preserve"> </w:t>
      </w:r>
      <w:r w:rsidRPr="001858DD">
        <w:rPr>
          <w:i/>
        </w:rPr>
        <w:t xml:space="preserve">Id. </w:t>
      </w:r>
    </w:p>
    <w:p w14:paraId="358398BE" w14:textId="77777777" w:rsidR="00733348" w:rsidRPr="001858DD" w:rsidRDefault="00733348" w:rsidP="003E5A66">
      <w:pPr>
        <w:pStyle w:val="FootnoteText"/>
        <w:jc w:val="both"/>
        <w:rPr>
          <w:i/>
        </w:rPr>
      </w:pPr>
    </w:p>
  </w:footnote>
  <w:footnote w:id="120">
    <w:p w14:paraId="331F2340" w14:textId="11B35B65" w:rsidR="003B26C1" w:rsidRDefault="003B26C1" w:rsidP="003E5A66">
      <w:pPr>
        <w:pStyle w:val="FootnoteText"/>
        <w:jc w:val="both"/>
      </w:pPr>
      <w:r>
        <w:rPr>
          <w:rStyle w:val="FootnoteReference"/>
        </w:rPr>
        <w:footnoteRef/>
      </w:r>
      <w:r>
        <w:t xml:space="preserve"> </w:t>
      </w:r>
      <w:r w:rsidR="00BB6CF5">
        <w:t xml:space="preserve">AEP Ohio Initial Brief at 66. </w:t>
      </w:r>
    </w:p>
    <w:p w14:paraId="4D4B5965" w14:textId="77777777" w:rsidR="00BB6CF5" w:rsidRDefault="00BB6CF5" w:rsidP="003E5A66">
      <w:pPr>
        <w:pStyle w:val="FootnoteText"/>
        <w:jc w:val="both"/>
      </w:pPr>
    </w:p>
  </w:footnote>
  <w:footnote w:id="121">
    <w:p w14:paraId="01AE9B54" w14:textId="1861BE46" w:rsidR="00074AB1" w:rsidRDefault="00074AB1" w:rsidP="003E5A66">
      <w:pPr>
        <w:pStyle w:val="FootnoteText"/>
        <w:jc w:val="both"/>
      </w:pPr>
      <w:r>
        <w:rPr>
          <w:rStyle w:val="FootnoteReference"/>
        </w:rPr>
        <w:footnoteRef/>
      </w:r>
      <w:r>
        <w:t xml:space="preserve"> Tr. Vol. IX at 2585. </w:t>
      </w:r>
    </w:p>
    <w:p w14:paraId="668A7A50" w14:textId="77777777" w:rsidR="00074AB1" w:rsidRDefault="00074AB1" w:rsidP="003E5A66">
      <w:pPr>
        <w:pStyle w:val="FootnoteText"/>
        <w:jc w:val="both"/>
      </w:pPr>
    </w:p>
  </w:footnote>
  <w:footnote w:id="122">
    <w:p w14:paraId="6D693AFA" w14:textId="202D94A9" w:rsidR="00074AB1" w:rsidRDefault="00074AB1" w:rsidP="003E5A66">
      <w:pPr>
        <w:pStyle w:val="FootnoteText"/>
        <w:jc w:val="both"/>
      </w:pPr>
      <w:r>
        <w:rPr>
          <w:rStyle w:val="FootnoteReference"/>
        </w:rPr>
        <w:footnoteRef/>
      </w:r>
      <w:r>
        <w:t xml:space="preserve"> </w:t>
      </w:r>
      <w:r w:rsidR="00512CBF">
        <w:rPr>
          <w:i/>
        </w:rPr>
        <w:t xml:space="preserve">Id. </w:t>
      </w:r>
      <w:r w:rsidR="00512CBF">
        <w:t>at 2599.</w:t>
      </w:r>
    </w:p>
    <w:p w14:paraId="72BEC0E1" w14:textId="77777777" w:rsidR="00512CBF" w:rsidRPr="00512CBF" w:rsidRDefault="00512CBF" w:rsidP="003E5A66">
      <w:pPr>
        <w:pStyle w:val="FootnoteText"/>
        <w:jc w:val="both"/>
      </w:pPr>
    </w:p>
  </w:footnote>
  <w:footnote w:id="123">
    <w:p w14:paraId="4DA6C2D7" w14:textId="156B4D51" w:rsidR="00482A36" w:rsidRDefault="00482A36" w:rsidP="003E5A66">
      <w:pPr>
        <w:pStyle w:val="FootnoteText"/>
        <w:jc w:val="both"/>
        <w:rPr>
          <w:i/>
        </w:rPr>
      </w:pPr>
      <w:r>
        <w:rPr>
          <w:rStyle w:val="FootnoteReference"/>
        </w:rPr>
        <w:footnoteRef/>
      </w:r>
      <w:r>
        <w:t xml:space="preserve"> </w:t>
      </w:r>
      <w:r>
        <w:rPr>
          <w:i/>
        </w:rPr>
        <w:t xml:space="preserve">Id. </w:t>
      </w:r>
    </w:p>
    <w:p w14:paraId="1DFACF23" w14:textId="77777777" w:rsidR="00482A36" w:rsidRPr="00482A36" w:rsidRDefault="00482A36" w:rsidP="003E5A66">
      <w:pPr>
        <w:pStyle w:val="FootnoteText"/>
        <w:jc w:val="both"/>
        <w:rPr>
          <w:i/>
        </w:rPr>
      </w:pPr>
    </w:p>
  </w:footnote>
  <w:footnote w:id="124">
    <w:p w14:paraId="27EBDB90" w14:textId="2DC6D39D" w:rsidR="0033547B" w:rsidRDefault="0033547B" w:rsidP="003E5A66">
      <w:pPr>
        <w:pStyle w:val="FootnoteText"/>
        <w:jc w:val="both"/>
      </w:pPr>
      <w:r>
        <w:rPr>
          <w:rStyle w:val="FootnoteReference"/>
        </w:rPr>
        <w:footnoteRef/>
      </w:r>
      <w:r>
        <w:t xml:space="preserve"> AEP Ohio Initial Brief at 5, 57. </w:t>
      </w:r>
    </w:p>
    <w:p w14:paraId="4468136F" w14:textId="77777777" w:rsidR="0058243D" w:rsidRDefault="0058243D" w:rsidP="003E5A66">
      <w:pPr>
        <w:pStyle w:val="FootnoteText"/>
        <w:jc w:val="both"/>
      </w:pPr>
    </w:p>
  </w:footnote>
  <w:footnote w:id="125">
    <w:p w14:paraId="1C355A64" w14:textId="27DC92F5" w:rsidR="00482A36" w:rsidRDefault="00482A36" w:rsidP="003E5A66">
      <w:pPr>
        <w:pStyle w:val="FootnoteText"/>
        <w:jc w:val="both"/>
      </w:pPr>
      <w:r>
        <w:rPr>
          <w:rStyle w:val="FootnoteReference"/>
        </w:rPr>
        <w:footnoteRef/>
      </w:r>
      <w:r>
        <w:t xml:space="preserve"> </w:t>
      </w:r>
      <w:r w:rsidR="00F270E9">
        <w:t xml:space="preserve">IGS Ex. 12 at </w:t>
      </w:r>
      <w:r w:rsidR="008A30A3">
        <w:t xml:space="preserve">2. </w:t>
      </w:r>
    </w:p>
    <w:p w14:paraId="40E9A236" w14:textId="77777777" w:rsidR="00AC5EE9" w:rsidRDefault="00AC5EE9" w:rsidP="003E5A66">
      <w:pPr>
        <w:pStyle w:val="FootnoteText"/>
        <w:jc w:val="both"/>
      </w:pPr>
    </w:p>
  </w:footnote>
  <w:footnote w:id="126">
    <w:p w14:paraId="41FF38EF" w14:textId="44261152" w:rsidR="00AC5EE9" w:rsidRDefault="00AC5EE9" w:rsidP="003E5A66">
      <w:pPr>
        <w:pStyle w:val="FootnoteText"/>
        <w:jc w:val="both"/>
      </w:pPr>
      <w:r>
        <w:rPr>
          <w:rStyle w:val="FootnoteReference"/>
        </w:rPr>
        <w:footnoteRef/>
      </w:r>
      <w:r>
        <w:t xml:space="preserve"> IGS Ex. 11 at 3. </w:t>
      </w:r>
    </w:p>
    <w:p w14:paraId="7C50267B" w14:textId="77777777" w:rsidR="00AC5EE9" w:rsidRDefault="00AC5EE9" w:rsidP="003E5A66">
      <w:pPr>
        <w:pStyle w:val="FootnoteText"/>
        <w:jc w:val="both"/>
      </w:pPr>
    </w:p>
  </w:footnote>
  <w:footnote w:id="127">
    <w:p w14:paraId="09C66EE0" w14:textId="1F187D9A" w:rsidR="009254A5" w:rsidRDefault="009254A5" w:rsidP="003E5A66">
      <w:pPr>
        <w:pStyle w:val="FootnoteText"/>
        <w:jc w:val="both"/>
      </w:pPr>
      <w:r>
        <w:rPr>
          <w:rStyle w:val="FootnoteReference"/>
        </w:rPr>
        <w:footnoteRef/>
      </w:r>
      <w:r>
        <w:t xml:space="preserve"> </w:t>
      </w:r>
      <w:r w:rsidR="004B72E3">
        <w:t>AEP Ohio Initial Brief at 79-80.</w:t>
      </w:r>
    </w:p>
    <w:p w14:paraId="0A00DBB3" w14:textId="77777777" w:rsidR="004B72E3" w:rsidRDefault="004B72E3" w:rsidP="003E5A66">
      <w:pPr>
        <w:pStyle w:val="FootnoteText"/>
        <w:jc w:val="both"/>
      </w:pPr>
    </w:p>
  </w:footnote>
  <w:footnote w:id="128">
    <w:p w14:paraId="174FBD0A" w14:textId="77777777" w:rsidR="009A7399" w:rsidRDefault="004B72E3" w:rsidP="003E5A66">
      <w:pPr>
        <w:pStyle w:val="FootnoteText"/>
        <w:jc w:val="both"/>
        <w:rPr>
          <w:i/>
        </w:rPr>
      </w:pPr>
      <w:r>
        <w:rPr>
          <w:rStyle w:val="FootnoteReference"/>
        </w:rPr>
        <w:footnoteRef/>
      </w:r>
      <w:r>
        <w:t xml:space="preserve"> </w:t>
      </w:r>
      <w:r>
        <w:rPr>
          <w:i/>
        </w:rPr>
        <w:t>Id.</w:t>
      </w:r>
    </w:p>
    <w:p w14:paraId="39DCEEF7" w14:textId="0D768818" w:rsidR="004B72E3" w:rsidRPr="004B72E3" w:rsidRDefault="004B72E3" w:rsidP="003E5A66">
      <w:pPr>
        <w:pStyle w:val="FootnoteText"/>
        <w:jc w:val="both"/>
        <w:rPr>
          <w:i/>
        </w:rPr>
      </w:pPr>
      <w:r>
        <w:rPr>
          <w:i/>
        </w:rPr>
        <w:t xml:space="preserve"> </w:t>
      </w:r>
    </w:p>
  </w:footnote>
  <w:footnote w:id="129">
    <w:p w14:paraId="77EC30D3" w14:textId="4F01A728" w:rsidR="009A7399" w:rsidRDefault="009A7399" w:rsidP="003E5A66">
      <w:pPr>
        <w:pStyle w:val="FootnoteText"/>
        <w:jc w:val="both"/>
      </w:pPr>
      <w:r>
        <w:rPr>
          <w:rStyle w:val="FootnoteReference"/>
        </w:rPr>
        <w:footnoteRef/>
      </w:r>
      <w:r>
        <w:t xml:space="preserve"> AEP Ohio Ex. 14 at JFT-1 at 13.</w:t>
      </w:r>
    </w:p>
    <w:p w14:paraId="5174C644" w14:textId="77777777" w:rsidR="0080429B" w:rsidRDefault="0080429B" w:rsidP="003E5A66">
      <w:pPr>
        <w:pStyle w:val="FootnoteText"/>
        <w:jc w:val="both"/>
      </w:pPr>
    </w:p>
  </w:footnote>
  <w:footnote w:id="130">
    <w:p w14:paraId="4626229E" w14:textId="77777777" w:rsidR="0028642D" w:rsidRDefault="0080429B" w:rsidP="003E5A66">
      <w:pPr>
        <w:pStyle w:val="FootnoteText"/>
        <w:jc w:val="both"/>
        <w:rPr>
          <w:i/>
        </w:rPr>
      </w:pPr>
      <w:r>
        <w:rPr>
          <w:rStyle w:val="FootnoteReference"/>
        </w:rPr>
        <w:footnoteRef/>
      </w:r>
      <w:r>
        <w:t xml:space="preserve"> </w:t>
      </w:r>
      <w:r>
        <w:rPr>
          <w:i/>
        </w:rPr>
        <w:t>Id.</w:t>
      </w:r>
    </w:p>
    <w:p w14:paraId="679E73E8" w14:textId="5C65BD90" w:rsidR="0080429B" w:rsidRPr="0080429B" w:rsidRDefault="0080429B" w:rsidP="003E5A66">
      <w:pPr>
        <w:pStyle w:val="FootnoteText"/>
        <w:jc w:val="both"/>
        <w:rPr>
          <w:i/>
        </w:rPr>
      </w:pPr>
      <w:r>
        <w:rPr>
          <w:i/>
        </w:rPr>
        <w:t xml:space="preserve"> </w:t>
      </w:r>
    </w:p>
  </w:footnote>
  <w:footnote w:id="131">
    <w:p w14:paraId="44666C52" w14:textId="7ACF11E1" w:rsidR="0080429B" w:rsidRDefault="0080429B" w:rsidP="003E5A66">
      <w:pPr>
        <w:pStyle w:val="FootnoteText"/>
        <w:jc w:val="both"/>
      </w:pPr>
      <w:r>
        <w:rPr>
          <w:rStyle w:val="FootnoteReference"/>
        </w:rPr>
        <w:footnoteRef/>
      </w:r>
      <w:r>
        <w:t xml:space="preserve"> $1.6 per watt multiplied by </w:t>
      </w:r>
      <w:r w:rsidR="0028642D">
        <w:t>.7 = $1.12 per watt.</w:t>
      </w:r>
    </w:p>
    <w:p w14:paraId="0D429BB1" w14:textId="77777777" w:rsidR="0058243D" w:rsidRDefault="0058243D" w:rsidP="003E5A66">
      <w:pPr>
        <w:pStyle w:val="FootnoteText"/>
        <w:jc w:val="both"/>
      </w:pPr>
    </w:p>
  </w:footnote>
  <w:footnote w:id="132">
    <w:p w14:paraId="7187485F" w14:textId="0B9932AB" w:rsidR="0028642D" w:rsidRDefault="0028642D" w:rsidP="003E5A66">
      <w:pPr>
        <w:pStyle w:val="FootnoteText"/>
        <w:jc w:val="both"/>
      </w:pPr>
      <w:r>
        <w:rPr>
          <w:rStyle w:val="FootnoteReference"/>
        </w:rPr>
        <w:footnoteRef/>
      </w:r>
      <w:r>
        <w:t xml:space="preserve"> $1.30 per watt multiplied by .9 = $1.17 per watt.</w:t>
      </w:r>
    </w:p>
    <w:p w14:paraId="2B4F2B5C" w14:textId="77777777" w:rsidR="0028642D" w:rsidRDefault="0028642D" w:rsidP="003E5A66">
      <w:pPr>
        <w:pStyle w:val="FootnoteText"/>
        <w:jc w:val="both"/>
      </w:pPr>
    </w:p>
  </w:footnote>
  <w:footnote w:id="133">
    <w:p w14:paraId="7D129E27" w14:textId="103221A5" w:rsidR="00952A3A" w:rsidRDefault="00952A3A" w:rsidP="003E5A66">
      <w:pPr>
        <w:pStyle w:val="FootnoteText"/>
        <w:jc w:val="both"/>
      </w:pPr>
      <w:r>
        <w:rPr>
          <w:rStyle w:val="FootnoteReference"/>
        </w:rPr>
        <w:footnoteRef/>
      </w:r>
      <w:r>
        <w:t xml:space="preserve"> Tr. Vol. V at 1351-52.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1F65"/>
    <w:multiLevelType w:val="hybridMultilevel"/>
    <w:tmpl w:val="42426F42"/>
    <w:lvl w:ilvl="0" w:tplc="19B21B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23570"/>
    <w:multiLevelType w:val="hybridMultilevel"/>
    <w:tmpl w:val="33B61F18"/>
    <w:lvl w:ilvl="0" w:tplc="F540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DC5010"/>
    <w:multiLevelType w:val="hybridMultilevel"/>
    <w:tmpl w:val="DA1C14D0"/>
    <w:lvl w:ilvl="0" w:tplc="B3EE47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904A1E"/>
    <w:multiLevelType w:val="hybridMultilevel"/>
    <w:tmpl w:val="909083B8"/>
    <w:lvl w:ilvl="0" w:tplc="69C41C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F0286B"/>
    <w:multiLevelType w:val="hybridMultilevel"/>
    <w:tmpl w:val="B67069F8"/>
    <w:lvl w:ilvl="0" w:tplc="98543D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89601D"/>
    <w:multiLevelType w:val="hybridMultilevel"/>
    <w:tmpl w:val="8B3E637C"/>
    <w:lvl w:ilvl="0" w:tplc="8942479A">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17A56"/>
    <w:multiLevelType w:val="hybridMultilevel"/>
    <w:tmpl w:val="EEC23908"/>
    <w:lvl w:ilvl="0" w:tplc="58901C38">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E04E5"/>
    <w:multiLevelType w:val="hybridMultilevel"/>
    <w:tmpl w:val="776835E4"/>
    <w:lvl w:ilvl="0" w:tplc="5EC624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7B37B7"/>
    <w:multiLevelType w:val="hybridMultilevel"/>
    <w:tmpl w:val="660A2E74"/>
    <w:lvl w:ilvl="0" w:tplc="CC486C04">
      <w:start w:val="2"/>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2A2F00AC"/>
    <w:multiLevelType w:val="hybridMultilevel"/>
    <w:tmpl w:val="AA38B594"/>
    <w:lvl w:ilvl="0" w:tplc="04090015">
      <w:start w:val="1"/>
      <w:numFmt w:val="upperLetter"/>
      <w:lvlText w:val="%1."/>
      <w:lvlJc w:val="left"/>
      <w:pPr>
        <w:ind w:left="720" w:hanging="360"/>
      </w:pPr>
      <w:rPr>
        <w:rFonts w:hint="default"/>
      </w:rPr>
    </w:lvl>
    <w:lvl w:ilvl="1" w:tplc="7AF20912">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261E25"/>
    <w:multiLevelType w:val="hybridMultilevel"/>
    <w:tmpl w:val="4764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9635F5"/>
    <w:multiLevelType w:val="hybridMultilevel"/>
    <w:tmpl w:val="7426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0520B0"/>
    <w:multiLevelType w:val="hybridMultilevel"/>
    <w:tmpl w:val="E2D0CC54"/>
    <w:lvl w:ilvl="0" w:tplc="5F28E640">
      <w:start w:val="1"/>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3A30D2E"/>
    <w:multiLevelType w:val="hybridMultilevel"/>
    <w:tmpl w:val="C9A8C1A0"/>
    <w:lvl w:ilvl="0" w:tplc="759ED1F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4466F97"/>
    <w:multiLevelType w:val="hybridMultilevel"/>
    <w:tmpl w:val="323EE418"/>
    <w:lvl w:ilvl="0" w:tplc="E1BA46D2">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6206F2E"/>
    <w:multiLevelType w:val="hybridMultilevel"/>
    <w:tmpl w:val="F6B87CCA"/>
    <w:lvl w:ilvl="0" w:tplc="250224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7CF13E4"/>
    <w:multiLevelType w:val="hybridMultilevel"/>
    <w:tmpl w:val="8CD44704"/>
    <w:lvl w:ilvl="0" w:tplc="F1F2644C">
      <w:start w:val="1"/>
      <w:numFmt w:val="upperRoman"/>
      <w:lvlText w:val="%1."/>
      <w:lvlJc w:val="left"/>
      <w:pPr>
        <w:ind w:left="720" w:hanging="360"/>
      </w:pPr>
    </w:lvl>
    <w:lvl w:ilvl="1" w:tplc="46605280">
      <w:start w:val="1"/>
      <w:numFmt w:val="lowerLetter"/>
      <w:lvlText w:val="%2."/>
      <w:lvlJc w:val="left"/>
      <w:pPr>
        <w:ind w:left="1440" w:hanging="360"/>
      </w:pPr>
    </w:lvl>
    <w:lvl w:ilvl="2" w:tplc="6F4646B0">
      <w:start w:val="1"/>
      <w:numFmt w:val="decimal"/>
      <w:lvlText w:val="%3."/>
      <w:lvlJc w:val="left"/>
      <w:pPr>
        <w:ind w:left="2160" w:hanging="180"/>
      </w:pPr>
    </w:lvl>
    <w:lvl w:ilvl="3" w:tplc="2138CDBE">
      <w:start w:val="1"/>
      <w:numFmt w:val="decimal"/>
      <w:lvlText w:val="%4."/>
      <w:lvlJc w:val="left"/>
      <w:pPr>
        <w:ind w:left="2880" w:hanging="360"/>
      </w:pPr>
    </w:lvl>
    <w:lvl w:ilvl="4" w:tplc="9EF211B0">
      <w:start w:val="1"/>
      <w:numFmt w:val="lowerLetter"/>
      <w:lvlText w:val="%5."/>
      <w:lvlJc w:val="left"/>
      <w:pPr>
        <w:ind w:left="3600" w:hanging="360"/>
      </w:pPr>
    </w:lvl>
    <w:lvl w:ilvl="5" w:tplc="DC8ECC4E">
      <w:start w:val="1"/>
      <w:numFmt w:val="lowerRoman"/>
      <w:lvlText w:val="%6."/>
      <w:lvlJc w:val="right"/>
      <w:pPr>
        <w:ind w:left="4320" w:hanging="180"/>
      </w:pPr>
    </w:lvl>
    <w:lvl w:ilvl="6" w:tplc="78DCF2E6">
      <w:start w:val="1"/>
      <w:numFmt w:val="decimal"/>
      <w:lvlText w:val="%7."/>
      <w:lvlJc w:val="left"/>
      <w:pPr>
        <w:ind w:left="5040" w:hanging="360"/>
      </w:pPr>
    </w:lvl>
    <w:lvl w:ilvl="7" w:tplc="E1C85B3E">
      <w:start w:val="1"/>
      <w:numFmt w:val="lowerLetter"/>
      <w:lvlText w:val="%8."/>
      <w:lvlJc w:val="left"/>
      <w:pPr>
        <w:ind w:left="5760" w:hanging="360"/>
      </w:pPr>
    </w:lvl>
    <w:lvl w:ilvl="8" w:tplc="BE8C7882">
      <w:start w:val="1"/>
      <w:numFmt w:val="lowerRoman"/>
      <w:lvlText w:val="%9."/>
      <w:lvlJc w:val="right"/>
      <w:pPr>
        <w:ind w:left="6480" w:hanging="180"/>
      </w:pPr>
    </w:lvl>
  </w:abstractNum>
  <w:abstractNum w:abstractNumId="17" w15:restartNumberingAfterBreak="0">
    <w:nsid w:val="4E3750ED"/>
    <w:multiLevelType w:val="hybridMultilevel"/>
    <w:tmpl w:val="132603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522E77"/>
    <w:multiLevelType w:val="hybridMultilevel"/>
    <w:tmpl w:val="85FC9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377D77"/>
    <w:multiLevelType w:val="hybridMultilevel"/>
    <w:tmpl w:val="FB4C40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42D66C8"/>
    <w:multiLevelType w:val="hybridMultilevel"/>
    <w:tmpl w:val="2BBE681E"/>
    <w:lvl w:ilvl="0" w:tplc="0C14B88A">
      <w:start w:val="1"/>
      <w:numFmt w:val="upp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44A3F90"/>
    <w:multiLevelType w:val="hybridMultilevel"/>
    <w:tmpl w:val="5B16B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7D46E23"/>
    <w:multiLevelType w:val="hybridMultilevel"/>
    <w:tmpl w:val="043262AA"/>
    <w:lvl w:ilvl="0" w:tplc="99A278E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A395D69"/>
    <w:multiLevelType w:val="hybridMultilevel"/>
    <w:tmpl w:val="45785FAE"/>
    <w:lvl w:ilvl="0" w:tplc="D8249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950BF4"/>
    <w:multiLevelType w:val="hybridMultilevel"/>
    <w:tmpl w:val="FA542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F7F15"/>
    <w:multiLevelType w:val="hybridMultilevel"/>
    <w:tmpl w:val="6DA821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E01D37"/>
    <w:multiLevelType w:val="hybridMultilevel"/>
    <w:tmpl w:val="62AE07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A32968"/>
    <w:multiLevelType w:val="hybridMultilevel"/>
    <w:tmpl w:val="1E6A3CC2"/>
    <w:lvl w:ilvl="0" w:tplc="9F5E6FA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A53117B"/>
    <w:multiLevelType w:val="hybridMultilevel"/>
    <w:tmpl w:val="E70C6442"/>
    <w:lvl w:ilvl="0" w:tplc="394ED9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B750399"/>
    <w:multiLevelType w:val="hybridMultilevel"/>
    <w:tmpl w:val="7870EE7E"/>
    <w:lvl w:ilvl="0" w:tplc="7F568E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3F42E8"/>
    <w:multiLevelType w:val="hybridMultilevel"/>
    <w:tmpl w:val="536A986C"/>
    <w:lvl w:ilvl="0" w:tplc="A4A624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EFD0524"/>
    <w:multiLevelType w:val="hybridMultilevel"/>
    <w:tmpl w:val="FFA28886"/>
    <w:lvl w:ilvl="0" w:tplc="C302AD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78760A"/>
    <w:multiLevelType w:val="hybridMultilevel"/>
    <w:tmpl w:val="B8007D38"/>
    <w:lvl w:ilvl="0" w:tplc="96A6E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2"/>
  </w:num>
  <w:num w:numId="3">
    <w:abstractNumId w:val="12"/>
  </w:num>
  <w:num w:numId="4">
    <w:abstractNumId w:val="15"/>
  </w:num>
  <w:num w:numId="5">
    <w:abstractNumId w:val="31"/>
  </w:num>
  <w:num w:numId="6">
    <w:abstractNumId w:val="27"/>
  </w:num>
  <w:num w:numId="7">
    <w:abstractNumId w:val="20"/>
  </w:num>
  <w:num w:numId="8">
    <w:abstractNumId w:val="30"/>
  </w:num>
  <w:num w:numId="9">
    <w:abstractNumId w:val="2"/>
  </w:num>
  <w:num w:numId="10">
    <w:abstractNumId w:val="14"/>
  </w:num>
  <w:num w:numId="11">
    <w:abstractNumId w:val="8"/>
  </w:num>
  <w:num w:numId="12">
    <w:abstractNumId w:val="7"/>
  </w:num>
  <w:num w:numId="13">
    <w:abstractNumId w:val="10"/>
  </w:num>
  <w:num w:numId="14">
    <w:abstractNumId w:val="11"/>
  </w:num>
  <w:num w:numId="15">
    <w:abstractNumId w:val="5"/>
  </w:num>
  <w:num w:numId="16">
    <w:abstractNumId w:val="21"/>
  </w:num>
  <w:num w:numId="17">
    <w:abstractNumId w:val="21"/>
  </w:num>
  <w:num w:numId="18">
    <w:abstractNumId w:val="17"/>
  </w:num>
  <w:num w:numId="19">
    <w:abstractNumId w:val="18"/>
  </w:num>
  <w:num w:numId="20">
    <w:abstractNumId w:val="24"/>
  </w:num>
  <w:num w:numId="21">
    <w:abstractNumId w:val="26"/>
  </w:num>
  <w:num w:numId="22">
    <w:abstractNumId w:val="1"/>
  </w:num>
  <w:num w:numId="23">
    <w:abstractNumId w:val="23"/>
  </w:num>
  <w:num w:numId="24">
    <w:abstractNumId w:val="28"/>
  </w:num>
  <w:num w:numId="25">
    <w:abstractNumId w:val="9"/>
  </w:num>
  <w:num w:numId="26">
    <w:abstractNumId w:val="19"/>
  </w:num>
  <w:num w:numId="27">
    <w:abstractNumId w:val="3"/>
  </w:num>
  <w:num w:numId="28">
    <w:abstractNumId w:val="25"/>
  </w:num>
  <w:num w:numId="29">
    <w:abstractNumId w:val="4"/>
  </w:num>
  <w:num w:numId="30">
    <w:abstractNumId w:val="29"/>
  </w:num>
  <w:num w:numId="31">
    <w:abstractNumId w:val="32"/>
  </w:num>
  <w:num w:numId="32">
    <w:abstractNumId w:val="6"/>
  </w:num>
  <w:num w:numId="33">
    <w:abstractNumId w:val="13"/>
  </w:num>
  <w:num w:numId="3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F32"/>
    <w:rsid w:val="00000F4A"/>
    <w:rsid w:val="0000103E"/>
    <w:rsid w:val="00002E9B"/>
    <w:rsid w:val="00003023"/>
    <w:rsid w:val="0000356C"/>
    <w:rsid w:val="00003666"/>
    <w:rsid w:val="00003BA7"/>
    <w:rsid w:val="000043B2"/>
    <w:rsid w:val="00005C76"/>
    <w:rsid w:val="000067C2"/>
    <w:rsid w:val="00007D2C"/>
    <w:rsid w:val="00010112"/>
    <w:rsid w:val="00010CCD"/>
    <w:rsid w:val="00011535"/>
    <w:rsid w:val="0001187B"/>
    <w:rsid w:val="00012292"/>
    <w:rsid w:val="000122D0"/>
    <w:rsid w:val="0001416E"/>
    <w:rsid w:val="00014CCD"/>
    <w:rsid w:val="00014D29"/>
    <w:rsid w:val="00014DEE"/>
    <w:rsid w:val="000156B6"/>
    <w:rsid w:val="000168CC"/>
    <w:rsid w:val="00016E21"/>
    <w:rsid w:val="00016E46"/>
    <w:rsid w:val="00017A1A"/>
    <w:rsid w:val="00020D5A"/>
    <w:rsid w:val="00020ED4"/>
    <w:rsid w:val="000228BC"/>
    <w:rsid w:val="00023BB8"/>
    <w:rsid w:val="00023F2B"/>
    <w:rsid w:val="00024146"/>
    <w:rsid w:val="000253F3"/>
    <w:rsid w:val="000259C5"/>
    <w:rsid w:val="00025FA3"/>
    <w:rsid w:val="000260C1"/>
    <w:rsid w:val="00026563"/>
    <w:rsid w:val="00027F69"/>
    <w:rsid w:val="00030C29"/>
    <w:rsid w:val="00031815"/>
    <w:rsid w:val="000321BF"/>
    <w:rsid w:val="00032409"/>
    <w:rsid w:val="00033CFB"/>
    <w:rsid w:val="000360F0"/>
    <w:rsid w:val="00036D6D"/>
    <w:rsid w:val="000370FF"/>
    <w:rsid w:val="000403DF"/>
    <w:rsid w:val="00040820"/>
    <w:rsid w:val="00042735"/>
    <w:rsid w:val="00042951"/>
    <w:rsid w:val="00042C46"/>
    <w:rsid w:val="00042C51"/>
    <w:rsid w:val="000430EF"/>
    <w:rsid w:val="00043EF2"/>
    <w:rsid w:val="00044977"/>
    <w:rsid w:val="00045A7A"/>
    <w:rsid w:val="00046848"/>
    <w:rsid w:val="00046E33"/>
    <w:rsid w:val="00046E69"/>
    <w:rsid w:val="00046F3D"/>
    <w:rsid w:val="00047B61"/>
    <w:rsid w:val="000510B4"/>
    <w:rsid w:val="000523F8"/>
    <w:rsid w:val="00052AB4"/>
    <w:rsid w:val="000531B3"/>
    <w:rsid w:val="000536DD"/>
    <w:rsid w:val="0005415A"/>
    <w:rsid w:val="0005438E"/>
    <w:rsid w:val="0005524F"/>
    <w:rsid w:val="00055333"/>
    <w:rsid w:val="00055553"/>
    <w:rsid w:val="00055A7E"/>
    <w:rsid w:val="00056452"/>
    <w:rsid w:val="000568BF"/>
    <w:rsid w:val="00057C24"/>
    <w:rsid w:val="000601BD"/>
    <w:rsid w:val="00061781"/>
    <w:rsid w:val="00062A3E"/>
    <w:rsid w:val="00062C2B"/>
    <w:rsid w:val="00063102"/>
    <w:rsid w:val="00063128"/>
    <w:rsid w:val="00063190"/>
    <w:rsid w:val="0006380A"/>
    <w:rsid w:val="00063FB8"/>
    <w:rsid w:val="0006416B"/>
    <w:rsid w:val="000645BD"/>
    <w:rsid w:val="000650E8"/>
    <w:rsid w:val="0006554E"/>
    <w:rsid w:val="00066A59"/>
    <w:rsid w:val="00066EF1"/>
    <w:rsid w:val="000675F0"/>
    <w:rsid w:val="0007009D"/>
    <w:rsid w:val="00070432"/>
    <w:rsid w:val="00070870"/>
    <w:rsid w:val="0007242E"/>
    <w:rsid w:val="0007344A"/>
    <w:rsid w:val="000735BF"/>
    <w:rsid w:val="00074278"/>
    <w:rsid w:val="00074387"/>
    <w:rsid w:val="00074AB1"/>
    <w:rsid w:val="00074EB0"/>
    <w:rsid w:val="00075B44"/>
    <w:rsid w:val="00076A56"/>
    <w:rsid w:val="0007749D"/>
    <w:rsid w:val="00077E11"/>
    <w:rsid w:val="000800FA"/>
    <w:rsid w:val="0008103B"/>
    <w:rsid w:val="00081A64"/>
    <w:rsid w:val="000820EA"/>
    <w:rsid w:val="000820F7"/>
    <w:rsid w:val="000823E4"/>
    <w:rsid w:val="000824AF"/>
    <w:rsid w:val="000837D8"/>
    <w:rsid w:val="00083EBF"/>
    <w:rsid w:val="00085E2B"/>
    <w:rsid w:val="000861DF"/>
    <w:rsid w:val="00087439"/>
    <w:rsid w:val="000877C5"/>
    <w:rsid w:val="00090257"/>
    <w:rsid w:val="00090720"/>
    <w:rsid w:val="00090DC2"/>
    <w:rsid w:val="00090ED1"/>
    <w:rsid w:val="0009102C"/>
    <w:rsid w:val="000913E9"/>
    <w:rsid w:val="00091878"/>
    <w:rsid w:val="00091A22"/>
    <w:rsid w:val="000924CC"/>
    <w:rsid w:val="000925C4"/>
    <w:rsid w:val="000935F3"/>
    <w:rsid w:val="00094F52"/>
    <w:rsid w:val="000952CE"/>
    <w:rsid w:val="00095750"/>
    <w:rsid w:val="0009685A"/>
    <w:rsid w:val="00096AE7"/>
    <w:rsid w:val="00096C3C"/>
    <w:rsid w:val="000971FF"/>
    <w:rsid w:val="000973CA"/>
    <w:rsid w:val="000975A0"/>
    <w:rsid w:val="000A0523"/>
    <w:rsid w:val="000A1945"/>
    <w:rsid w:val="000A1F84"/>
    <w:rsid w:val="000A2279"/>
    <w:rsid w:val="000A2980"/>
    <w:rsid w:val="000A2CB2"/>
    <w:rsid w:val="000A3D35"/>
    <w:rsid w:val="000A48EA"/>
    <w:rsid w:val="000A49EF"/>
    <w:rsid w:val="000A4F18"/>
    <w:rsid w:val="000A507C"/>
    <w:rsid w:val="000A6733"/>
    <w:rsid w:val="000A6855"/>
    <w:rsid w:val="000A7179"/>
    <w:rsid w:val="000B007D"/>
    <w:rsid w:val="000B09CC"/>
    <w:rsid w:val="000B1085"/>
    <w:rsid w:val="000B1456"/>
    <w:rsid w:val="000B1E14"/>
    <w:rsid w:val="000B2311"/>
    <w:rsid w:val="000B3317"/>
    <w:rsid w:val="000B4E30"/>
    <w:rsid w:val="000B4EB8"/>
    <w:rsid w:val="000B5218"/>
    <w:rsid w:val="000B53BB"/>
    <w:rsid w:val="000B58C7"/>
    <w:rsid w:val="000B63C3"/>
    <w:rsid w:val="000B6664"/>
    <w:rsid w:val="000B6E25"/>
    <w:rsid w:val="000B6E70"/>
    <w:rsid w:val="000C0388"/>
    <w:rsid w:val="000C079A"/>
    <w:rsid w:val="000C4E34"/>
    <w:rsid w:val="000C4F23"/>
    <w:rsid w:val="000C59BE"/>
    <w:rsid w:val="000C70A7"/>
    <w:rsid w:val="000C74F9"/>
    <w:rsid w:val="000C7E02"/>
    <w:rsid w:val="000C7E89"/>
    <w:rsid w:val="000D0C72"/>
    <w:rsid w:val="000D1E4B"/>
    <w:rsid w:val="000D1FDD"/>
    <w:rsid w:val="000D2F8F"/>
    <w:rsid w:val="000D3E86"/>
    <w:rsid w:val="000D492E"/>
    <w:rsid w:val="000D4952"/>
    <w:rsid w:val="000D58EE"/>
    <w:rsid w:val="000D7004"/>
    <w:rsid w:val="000D7E36"/>
    <w:rsid w:val="000E149D"/>
    <w:rsid w:val="000E15DC"/>
    <w:rsid w:val="000E1637"/>
    <w:rsid w:val="000E16D3"/>
    <w:rsid w:val="000E1896"/>
    <w:rsid w:val="000E2195"/>
    <w:rsid w:val="000E21F2"/>
    <w:rsid w:val="000E2A45"/>
    <w:rsid w:val="000E30CC"/>
    <w:rsid w:val="000E3C50"/>
    <w:rsid w:val="000E3C95"/>
    <w:rsid w:val="000E3DC4"/>
    <w:rsid w:val="000E45FC"/>
    <w:rsid w:val="000E49F5"/>
    <w:rsid w:val="000E5876"/>
    <w:rsid w:val="000E619B"/>
    <w:rsid w:val="000E77AD"/>
    <w:rsid w:val="000F1417"/>
    <w:rsid w:val="000F3172"/>
    <w:rsid w:val="000F3906"/>
    <w:rsid w:val="000F3EEE"/>
    <w:rsid w:val="000F4BB9"/>
    <w:rsid w:val="000F71BA"/>
    <w:rsid w:val="000F7CCE"/>
    <w:rsid w:val="00100B40"/>
    <w:rsid w:val="00100D0D"/>
    <w:rsid w:val="00100DD3"/>
    <w:rsid w:val="001014E8"/>
    <w:rsid w:val="00101B3E"/>
    <w:rsid w:val="00101C00"/>
    <w:rsid w:val="00101D14"/>
    <w:rsid w:val="001023C8"/>
    <w:rsid w:val="001035AF"/>
    <w:rsid w:val="001052B7"/>
    <w:rsid w:val="00105437"/>
    <w:rsid w:val="00105767"/>
    <w:rsid w:val="0010576C"/>
    <w:rsid w:val="001062F5"/>
    <w:rsid w:val="0010671A"/>
    <w:rsid w:val="00107ABB"/>
    <w:rsid w:val="00110C54"/>
    <w:rsid w:val="00112197"/>
    <w:rsid w:val="001122CA"/>
    <w:rsid w:val="0011247C"/>
    <w:rsid w:val="001127CB"/>
    <w:rsid w:val="0011287F"/>
    <w:rsid w:val="00112A50"/>
    <w:rsid w:val="00114296"/>
    <w:rsid w:val="00114B47"/>
    <w:rsid w:val="001151F7"/>
    <w:rsid w:val="0011575F"/>
    <w:rsid w:val="00117244"/>
    <w:rsid w:val="00117F6F"/>
    <w:rsid w:val="00122B6F"/>
    <w:rsid w:val="00124F00"/>
    <w:rsid w:val="00125D20"/>
    <w:rsid w:val="001268A4"/>
    <w:rsid w:val="001268ED"/>
    <w:rsid w:val="00131C82"/>
    <w:rsid w:val="00132F79"/>
    <w:rsid w:val="00133073"/>
    <w:rsid w:val="00133DC4"/>
    <w:rsid w:val="00135466"/>
    <w:rsid w:val="0013550C"/>
    <w:rsid w:val="00135CB3"/>
    <w:rsid w:val="00135D8F"/>
    <w:rsid w:val="0013638E"/>
    <w:rsid w:val="00136B6D"/>
    <w:rsid w:val="0013775A"/>
    <w:rsid w:val="00137CB2"/>
    <w:rsid w:val="00137D25"/>
    <w:rsid w:val="00141056"/>
    <w:rsid w:val="00141C1A"/>
    <w:rsid w:val="0014213F"/>
    <w:rsid w:val="0014300E"/>
    <w:rsid w:val="00143505"/>
    <w:rsid w:val="001436FC"/>
    <w:rsid w:val="00144090"/>
    <w:rsid w:val="00144591"/>
    <w:rsid w:val="0014497B"/>
    <w:rsid w:val="00144C74"/>
    <w:rsid w:val="0014506A"/>
    <w:rsid w:val="00146050"/>
    <w:rsid w:val="001462DA"/>
    <w:rsid w:val="001462FD"/>
    <w:rsid w:val="00146568"/>
    <w:rsid w:val="001468E1"/>
    <w:rsid w:val="00146A0E"/>
    <w:rsid w:val="00147FAB"/>
    <w:rsid w:val="00151D2E"/>
    <w:rsid w:val="00151FAE"/>
    <w:rsid w:val="001520DA"/>
    <w:rsid w:val="00154236"/>
    <w:rsid w:val="00154341"/>
    <w:rsid w:val="00154364"/>
    <w:rsid w:val="0015497F"/>
    <w:rsid w:val="00155D6F"/>
    <w:rsid w:val="00156A5E"/>
    <w:rsid w:val="00156CA1"/>
    <w:rsid w:val="00160BB6"/>
    <w:rsid w:val="00161022"/>
    <w:rsid w:val="00161E44"/>
    <w:rsid w:val="00163088"/>
    <w:rsid w:val="00163515"/>
    <w:rsid w:val="001635AF"/>
    <w:rsid w:val="00164865"/>
    <w:rsid w:val="001658C2"/>
    <w:rsid w:val="001659A9"/>
    <w:rsid w:val="00166244"/>
    <w:rsid w:val="00166366"/>
    <w:rsid w:val="001667C5"/>
    <w:rsid w:val="001671C5"/>
    <w:rsid w:val="00167A7B"/>
    <w:rsid w:val="00170BF8"/>
    <w:rsid w:val="00171B60"/>
    <w:rsid w:val="001721DA"/>
    <w:rsid w:val="00172512"/>
    <w:rsid w:val="0017383D"/>
    <w:rsid w:val="001738F0"/>
    <w:rsid w:val="001750CE"/>
    <w:rsid w:val="00175951"/>
    <w:rsid w:val="00176A55"/>
    <w:rsid w:val="00176A77"/>
    <w:rsid w:val="0018005D"/>
    <w:rsid w:val="001809A3"/>
    <w:rsid w:val="00182C66"/>
    <w:rsid w:val="001836C3"/>
    <w:rsid w:val="00183850"/>
    <w:rsid w:val="00183E69"/>
    <w:rsid w:val="00184486"/>
    <w:rsid w:val="001848D9"/>
    <w:rsid w:val="0018529F"/>
    <w:rsid w:val="001858DD"/>
    <w:rsid w:val="00186AED"/>
    <w:rsid w:val="00186CD3"/>
    <w:rsid w:val="0018760A"/>
    <w:rsid w:val="0019002A"/>
    <w:rsid w:val="00190277"/>
    <w:rsid w:val="00190F35"/>
    <w:rsid w:val="00191820"/>
    <w:rsid w:val="001928DB"/>
    <w:rsid w:val="0019299B"/>
    <w:rsid w:val="00192C5C"/>
    <w:rsid w:val="00192C78"/>
    <w:rsid w:val="00193AB0"/>
    <w:rsid w:val="00193CF8"/>
    <w:rsid w:val="00194284"/>
    <w:rsid w:val="001943BC"/>
    <w:rsid w:val="001956F4"/>
    <w:rsid w:val="00195B66"/>
    <w:rsid w:val="00195B78"/>
    <w:rsid w:val="001967EF"/>
    <w:rsid w:val="00196B4A"/>
    <w:rsid w:val="00196E3A"/>
    <w:rsid w:val="00197B3F"/>
    <w:rsid w:val="00197CFF"/>
    <w:rsid w:val="001A19BF"/>
    <w:rsid w:val="001A1EE2"/>
    <w:rsid w:val="001A439E"/>
    <w:rsid w:val="001A5127"/>
    <w:rsid w:val="001A6CED"/>
    <w:rsid w:val="001A7918"/>
    <w:rsid w:val="001B03FA"/>
    <w:rsid w:val="001B107C"/>
    <w:rsid w:val="001B216D"/>
    <w:rsid w:val="001B25AE"/>
    <w:rsid w:val="001B2DE2"/>
    <w:rsid w:val="001B38CA"/>
    <w:rsid w:val="001B3CFD"/>
    <w:rsid w:val="001B3DE2"/>
    <w:rsid w:val="001B51C7"/>
    <w:rsid w:val="001B5251"/>
    <w:rsid w:val="001B65E3"/>
    <w:rsid w:val="001B70BB"/>
    <w:rsid w:val="001C07B3"/>
    <w:rsid w:val="001C0E06"/>
    <w:rsid w:val="001C1A2C"/>
    <w:rsid w:val="001C2028"/>
    <w:rsid w:val="001C246E"/>
    <w:rsid w:val="001C3062"/>
    <w:rsid w:val="001C4184"/>
    <w:rsid w:val="001C484D"/>
    <w:rsid w:val="001C4BF0"/>
    <w:rsid w:val="001C5679"/>
    <w:rsid w:val="001C77E1"/>
    <w:rsid w:val="001C7E9E"/>
    <w:rsid w:val="001C7FDF"/>
    <w:rsid w:val="001D1C6C"/>
    <w:rsid w:val="001D2330"/>
    <w:rsid w:val="001D2F6E"/>
    <w:rsid w:val="001D3C6A"/>
    <w:rsid w:val="001D5836"/>
    <w:rsid w:val="001D5F1E"/>
    <w:rsid w:val="001D635F"/>
    <w:rsid w:val="001D66E5"/>
    <w:rsid w:val="001D6A51"/>
    <w:rsid w:val="001D731E"/>
    <w:rsid w:val="001D7A40"/>
    <w:rsid w:val="001E00C6"/>
    <w:rsid w:val="001E1681"/>
    <w:rsid w:val="001E1B77"/>
    <w:rsid w:val="001E239D"/>
    <w:rsid w:val="001E2F77"/>
    <w:rsid w:val="001E445A"/>
    <w:rsid w:val="001E5596"/>
    <w:rsid w:val="001E6023"/>
    <w:rsid w:val="001E612A"/>
    <w:rsid w:val="001F08A8"/>
    <w:rsid w:val="001F0E4B"/>
    <w:rsid w:val="001F2203"/>
    <w:rsid w:val="001F3451"/>
    <w:rsid w:val="001F3DF6"/>
    <w:rsid w:val="001F4706"/>
    <w:rsid w:val="001F53A4"/>
    <w:rsid w:val="001F6BEF"/>
    <w:rsid w:val="001F7825"/>
    <w:rsid w:val="001F7A9A"/>
    <w:rsid w:val="002001A7"/>
    <w:rsid w:val="0020112B"/>
    <w:rsid w:val="00201565"/>
    <w:rsid w:val="00202288"/>
    <w:rsid w:val="0020266B"/>
    <w:rsid w:val="002040A4"/>
    <w:rsid w:val="00204F06"/>
    <w:rsid w:val="00206DF1"/>
    <w:rsid w:val="00206FD9"/>
    <w:rsid w:val="002077E2"/>
    <w:rsid w:val="00210FFA"/>
    <w:rsid w:val="00212C5E"/>
    <w:rsid w:val="002146B3"/>
    <w:rsid w:val="00214B03"/>
    <w:rsid w:val="00214BA4"/>
    <w:rsid w:val="002158AF"/>
    <w:rsid w:val="00215FBE"/>
    <w:rsid w:val="00216C8A"/>
    <w:rsid w:val="0021769F"/>
    <w:rsid w:val="0021781C"/>
    <w:rsid w:val="0022034B"/>
    <w:rsid w:val="00220A1E"/>
    <w:rsid w:val="002210DB"/>
    <w:rsid w:val="0022196B"/>
    <w:rsid w:val="00221C83"/>
    <w:rsid w:val="00222334"/>
    <w:rsid w:val="002223E9"/>
    <w:rsid w:val="0022262A"/>
    <w:rsid w:val="00222893"/>
    <w:rsid w:val="00222DE9"/>
    <w:rsid w:val="002240E8"/>
    <w:rsid w:val="00224563"/>
    <w:rsid w:val="00224810"/>
    <w:rsid w:val="00226B81"/>
    <w:rsid w:val="002271B0"/>
    <w:rsid w:val="002279DB"/>
    <w:rsid w:val="00227B70"/>
    <w:rsid w:val="00227EE9"/>
    <w:rsid w:val="002315E7"/>
    <w:rsid w:val="00232E15"/>
    <w:rsid w:val="00233125"/>
    <w:rsid w:val="002339D2"/>
    <w:rsid w:val="002339F0"/>
    <w:rsid w:val="0023542F"/>
    <w:rsid w:val="00235DA6"/>
    <w:rsid w:val="00236554"/>
    <w:rsid w:val="0023671F"/>
    <w:rsid w:val="00236EC0"/>
    <w:rsid w:val="0024117D"/>
    <w:rsid w:val="002412CA"/>
    <w:rsid w:val="002414DF"/>
    <w:rsid w:val="002415A5"/>
    <w:rsid w:val="0024165F"/>
    <w:rsid w:val="00243567"/>
    <w:rsid w:val="00243CA9"/>
    <w:rsid w:val="00244D52"/>
    <w:rsid w:val="00245BE8"/>
    <w:rsid w:val="00245F77"/>
    <w:rsid w:val="0024623B"/>
    <w:rsid w:val="002473CE"/>
    <w:rsid w:val="00247E9D"/>
    <w:rsid w:val="00250088"/>
    <w:rsid w:val="002502CD"/>
    <w:rsid w:val="0025098C"/>
    <w:rsid w:val="00250E25"/>
    <w:rsid w:val="002511A6"/>
    <w:rsid w:val="00251DD6"/>
    <w:rsid w:val="0025242E"/>
    <w:rsid w:val="00252816"/>
    <w:rsid w:val="00252D90"/>
    <w:rsid w:val="002536B3"/>
    <w:rsid w:val="00254EFD"/>
    <w:rsid w:val="00254FFA"/>
    <w:rsid w:val="002550B8"/>
    <w:rsid w:val="00255F63"/>
    <w:rsid w:val="0025647C"/>
    <w:rsid w:val="00256922"/>
    <w:rsid w:val="00256D5A"/>
    <w:rsid w:val="00260BDA"/>
    <w:rsid w:val="00262111"/>
    <w:rsid w:val="002629A2"/>
    <w:rsid w:val="0026327A"/>
    <w:rsid w:val="002634DA"/>
    <w:rsid w:val="00265202"/>
    <w:rsid w:val="002656D9"/>
    <w:rsid w:val="002660A4"/>
    <w:rsid w:val="002668C1"/>
    <w:rsid w:val="00267BCD"/>
    <w:rsid w:val="00267E65"/>
    <w:rsid w:val="00267E6E"/>
    <w:rsid w:val="0027028B"/>
    <w:rsid w:val="00270983"/>
    <w:rsid w:val="00270B7D"/>
    <w:rsid w:val="00271125"/>
    <w:rsid w:val="00271CA9"/>
    <w:rsid w:val="002726EB"/>
    <w:rsid w:val="00272CC3"/>
    <w:rsid w:val="00273570"/>
    <w:rsid w:val="00275A6F"/>
    <w:rsid w:val="00276603"/>
    <w:rsid w:val="0027765C"/>
    <w:rsid w:val="00277FDB"/>
    <w:rsid w:val="00283096"/>
    <w:rsid w:val="00284242"/>
    <w:rsid w:val="002843A3"/>
    <w:rsid w:val="0028456E"/>
    <w:rsid w:val="00284FA2"/>
    <w:rsid w:val="0028555A"/>
    <w:rsid w:val="0028642D"/>
    <w:rsid w:val="00286837"/>
    <w:rsid w:val="0028737C"/>
    <w:rsid w:val="00287652"/>
    <w:rsid w:val="00287ABC"/>
    <w:rsid w:val="00290D18"/>
    <w:rsid w:val="00291329"/>
    <w:rsid w:val="00291FA9"/>
    <w:rsid w:val="00292047"/>
    <w:rsid w:val="002921F3"/>
    <w:rsid w:val="00292715"/>
    <w:rsid w:val="0029294A"/>
    <w:rsid w:val="0029302E"/>
    <w:rsid w:val="002934F2"/>
    <w:rsid w:val="00293E84"/>
    <w:rsid w:val="00293F4E"/>
    <w:rsid w:val="002940B7"/>
    <w:rsid w:val="0029467D"/>
    <w:rsid w:val="002946EF"/>
    <w:rsid w:val="00294F49"/>
    <w:rsid w:val="00295993"/>
    <w:rsid w:val="002959D9"/>
    <w:rsid w:val="00296B26"/>
    <w:rsid w:val="00297027"/>
    <w:rsid w:val="002975BD"/>
    <w:rsid w:val="002976D8"/>
    <w:rsid w:val="00297FC4"/>
    <w:rsid w:val="002A0462"/>
    <w:rsid w:val="002A0987"/>
    <w:rsid w:val="002A0ACE"/>
    <w:rsid w:val="002A13E2"/>
    <w:rsid w:val="002A1DDC"/>
    <w:rsid w:val="002A218C"/>
    <w:rsid w:val="002A274D"/>
    <w:rsid w:val="002A3901"/>
    <w:rsid w:val="002A52ED"/>
    <w:rsid w:val="002A6088"/>
    <w:rsid w:val="002A785B"/>
    <w:rsid w:val="002B064E"/>
    <w:rsid w:val="002B14F5"/>
    <w:rsid w:val="002B1664"/>
    <w:rsid w:val="002B2875"/>
    <w:rsid w:val="002B3458"/>
    <w:rsid w:val="002B45DA"/>
    <w:rsid w:val="002B5656"/>
    <w:rsid w:val="002B7841"/>
    <w:rsid w:val="002C06B0"/>
    <w:rsid w:val="002C0AF2"/>
    <w:rsid w:val="002C1771"/>
    <w:rsid w:val="002C2DD7"/>
    <w:rsid w:val="002C31DC"/>
    <w:rsid w:val="002C34AC"/>
    <w:rsid w:val="002C43A3"/>
    <w:rsid w:val="002C47C2"/>
    <w:rsid w:val="002C4876"/>
    <w:rsid w:val="002C514E"/>
    <w:rsid w:val="002C57C2"/>
    <w:rsid w:val="002C640D"/>
    <w:rsid w:val="002C6694"/>
    <w:rsid w:val="002C6B4F"/>
    <w:rsid w:val="002C6E3E"/>
    <w:rsid w:val="002C70AF"/>
    <w:rsid w:val="002D07FE"/>
    <w:rsid w:val="002D0A5F"/>
    <w:rsid w:val="002D0F41"/>
    <w:rsid w:val="002D116C"/>
    <w:rsid w:val="002D1E5A"/>
    <w:rsid w:val="002D2733"/>
    <w:rsid w:val="002D3F9C"/>
    <w:rsid w:val="002D481C"/>
    <w:rsid w:val="002D4A46"/>
    <w:rsid w:val="002D53A9"/>
    <w:rsid w:val="002D7287"/>
    <w:rsid w:val="002D73BF"/>
    <w:rsid w:val="002D7649"/>
    <w:rsid w:val="002E0165"/>
    <w:rsid w:val="002E0361"/>
    <w:rsid w:val="002E1AD6"/>
    <w:rsid w:val="002E1BE2"/>
    <w:rsid w:val="002E1BF9"/>
    <w:rsid w:val="002E45CF"/>
    <w:rsid w:val="002E46C2"/>
    <w:rsid w:val="002E49D6"/>
    <w:rsid w:val="002E6283"/>
    <w:rsid w:val="002E7DBF"/>
    <w:rsid w:val="002F08A1"/>
    <w:rsid w:val="002F0F9B"/>
    <w:rsid w:val="002F13A9"/>
    <w:rsid w:val="002F1F52"/>
    <w:rsid w:val="002F2060"/>
    <w:rsid w:val="002F264A"/>
    <w:rsid w:val="002F278F"/>
    <w:rsid w:val="002F298E"/>
    <w:rsid w:val="002F4437"/>
    <w:rsid w:val="002F4754"/>
    <w:rsid w:val="002F48EA"/>
    <w:rsid w:val="002F6378"/>
    <w:rsid w:val="002F64EA"/>
    <w:rsid w:val="002F66B3"/>
    <w:rsid w:val="002F68B4"/>
    <w:rsid w:val="002F6D0E"/>
    <w:rsid w:val="002F6F5A"/>
    <w:rsid w:val="002F6F8F"/>
    <w:rsid w:val="00300D4F"/>
    <w:rsid w:val="0030131F"/>
    <w:rsid w:val="003017D5"/>
    <w:rsid w:val="00301FFB"/>
    <w:rsid w:val="003021C8"/>
    <w:rsid w:val="00302593"/>
    <w:rsid w:val="0030345F"/>
    <w:rsid w:val="00303AB6"/>
    <w:rsid w:val="00303C4B"/>
    <w:rsid w:val="00305028"/>
    <w:rsid w:val="003053F0"/>
    <w:rsid w:val="00305B09"/>
    <w:rsid w:val="00306775"/>
    <w:rsid w:val="00307CB0"/>
    <w:rsid w:val="00310185"/>
    <w:rsid w:val="003110CA"/>
    <w:rsid w:val="0031210F"/>
    <w:rsid w:val="00312276"/>
    <w:rsid w:val="00313922"/>
    <w:rsid w:val="003144C4"/>
    <w:rsid w:val="00314CF3"/>
    <w:rsid w:val="003151EE"/>
    <w:rsid w:val="0031526C"/>
    <w:rsid w:val="00315338"/>
    <w:rsid w:val="00315964"/>
    <w:rsid w:val="00315B72"/>
    <w:rsid w:val="00315CE3"/>
    <w:rsid w:val="00316608"/>
    <w:rsid w:val="0032008A"/>
    <w:rsid w:val="0032058C"/>
    <w:rsid w:val="003212AD"/>
    <w:rsid w:val="00322218"/>
    <w:rsid w:val="003239F8"/>
    <w:rsid w:val="00323C47"/>
    <w:rsid w:val="00323CB9"/>
    <w:rsid w:val="00324348"/>
    <w:rsid w:val="0033054A"/>
    <w:rsid w:val="00330831"/>
    <w:rsid w:val="00331458"/>
    <w:rsid w:val="00331791"/>
    <w:rsid w:val="00331EEC"/>
    <w:rsid w:val="003331EB"/>
    <w:rsid w:val="00334FFB"/>
    <w:rsid w:val="003353F0"/>
    <w:rsid w:val="0033547B"/>
    <w:rsid w:val="0033584C"/>
    <w:rsid w:val="003359D9"/>
    <w:rsid w:val="00335D40"/>
    <w:rsid w:val="00335F0C"/>
    <w:rsid w:val="003360FA"/>
    <w:rsid w:val="00336E8B"/>
    <w:rsid w:val="003371C4"/>
    <w:rsid w:val="003376F6"/>
    <w:rsid w:val="00337AE7"/>
    <w:rsid w:val="00337BB5"/>
    <w:rsid w:val="003409D3"/>
    <w:rsid w:val="00340FFD"/>
    <w:rsid w:val="003414AE"/>
    <w:rsid w:val="00341FC1"/>
    <w:rsid w:val="00342639"/>
    <w:rsid w:val="00342C03"/>
    <w:rsid w:val="0034340B"/>
    <w:rsid w:val="00343456"/>
    <w:rsid w:val="00343625"/>
    <w:rsid w:val="0034467E"/>
    <w:rsid w:val="003451F7"/>
    <w:rsid w:val="00345506"/>
    <w:rsid w:val="00345E25"/>
    <w:rsid w:val="0034692E"/>
    <w:rsid w:val="0034761F"/>
    <w:rsid w:val="00350562"/>
    <w:rsid w:val="00350DDC"/>
    <w:rsid w:val="003528C0"/>
    <w:rsid w:val="00352C81"/>
    <w:rsid w:val="00353FC8"/>
    <w:rsid w:val="00354206"/>
    <w:rsid w:val="00355016"/>
    <w:rsid w:val="00355506"/>
    <w:rsid w:val="0035576A"/>
    <w:rsid w:val="0035599C"/>
    <w:rsid w:val="00355A90"/>
    <w:rsid w:val="00360AF3"/>
    <w:rsid w:val="00361281"/>
    <w:rsid w:val="003621D8"/>
    <w:rsid w:val="00362261"/>
    <w:rsid w:val="0036303A"/>
    <w:rsid w:val="0036432A"/>
    <w:rsid w:val="003649BA"/>
    <w:rsid w:val="0036519B"/>
    <w:rsid w:val="00365B4B"/>
    <w:rsid w:val="003670ED"/>
    <w:rsid w:val="003678DE"/>
    <w:rsid w:val="00367C32"/>
    <w:rsid w:val="00371004"/>
    <w:rsid w:val="003710BE"/>
    <w:rsid w:val="003716AD"/>
    <w:rsid w:val="0037178D"/>
    <w:rsid w:val="00371802"/>
    <w:rsid w:val="0037392E"/>
    <w:rsid w:val="00374271"/>
    <w:rsid w:val="00374B5B"/>
    <w:rsid w:val="00374C7A"/>
    <w:rsid w:val="00375816"/>
    <w:rsid w:val="00376620"/>
    <w:rsid w:val="00376ED6"/>
    <w:rsid w:val="0037703D"/>
    <w:rsid w:val="00377C8A"/>
    <w:rsid w:val="00380981"/>
    <w:rsid w:val="00382B41"/>
    <w:rsid w:val="00385D39"/>
    <w:rsid w:val="00385F9E"/>
    <w:rsid w:val="00386B5C"/>
    <w:rsid w:val="00386F88"/>
    <w:rsid w:val="00387D1E"/>
    <w:rsid w:val="00390DD7"/>
    <w:rsid w:val="00392106"/>
    <w:rsid w:val="003927C3"/>
    <w:rsid w:val="003931DE"/>
    <w:rsid w:val="0039340D"/>
    <w:rsid w:val="00393D22"/>
    <w:rsid w:val="00393DCE"/>
    <w:rsid w:val="0039404F"/>
    <w:rsid w:val="003947A9"/>
    <w:rsid w:val="003947BF"/>
    <w:rsid w:val="0039481B"/>
    <w:rsid w:val="00394B89"/>
    <w:rsid w:val="00394CCB"/>
    <w:rsid w:val="00394F6A"/>
    <w:rsid w:val="00395B5E"/>
    <w:rsid w:val="00396135"/>
    <w:rsid w:val="003963CD"/>
    <w:rsid w:val="00396635"/>
    <w:rsid w:val="0039663B"/>
    <w:rsid w:val="00396E24"/>
    <w:rsid w:val="003A0121"/>
    <w:rsid w:val="003A0A92"/>
    <w:rsid w:val="003A183F"/>
    <w:rsid w:val="003A2B2C"/>
    <w:rsid w:val="003A2F62"/>
    <w:rsid w:val="003A3A6F"/>
    <w:rsid w:val="003A44BE"/>
    <w:rsid w:val="003A5230"/>
    <w:rsid w:val="003A5923"/>
    <w:rsid w:val="003A689E"/>
    <w:rsid w:val="003A79E1"/>
    <w:rsid w:val="003B0416"/>
    <w:rsid w:val="003B0653"/>
    <w:rsid w:val="003B1E88"/>
    <w:rsid w:val="003B26C1"/>
    <w:rsid w:val="003B2A38"/>
    <w:rsid w:val="003B4250"/>
    <w:rsid w:val="003B5F97"/>
    <w:rsid w:val="003B5FDB"/>
    <w:rsid w:val="003B65D0"/>
    <w:rsid w:val="003B76A4"/>
    <w:rsid w:val="003C01F4"/>
    <w:rsid w:val="003C0233"/>
    <w:rsid w:val="003C094E"/>
    <w:rsid w:val="003C0DCD"/>
    <w:rsid w:val="003C0E30"/>
    <w:rsid w:val="003C0FE1"/>
    <w:rsid w:val="003C14A3"/>
    <w:rsid w:val="003C1C1A"/>
    <w:rsid w:val="003C25CB"/>
    <w:rsid w:val="003C2D01"/>
    <w:rsid w:val="003C30A9"/>
    <w:rsid w:val="003C394B"/>
    <w:rsid w:val="003C3C16"/>
    <w:rsid w:val="003C3EB0"/>
    <w:rsid w:val="003C47E4"/>
    <w:rsid w:val="003C5D14"/>
    <w:rsid w:val="003C6024"/>
    <w:rsid w:val="003C7D20"/>
    <w:rsid w:val="003C7F4C"/>
    <w:rsid w:val="003D024F"/>
    <w:rsid w:val="003D120F"/>
    <w:rsid w:val="003D1489"/>
    <w:rsid w:val="003D16B1"/>
    <w:rsid w:val="003D29F0"/>
    <w:rsid w:val="003D2F64"/>
    <w:rsid w:val="003D30DF"/>
    <w:rsid w:val="003D34B2"/>
    <w:rsid w:val="003D3578"/>
    <w:rsid w:val="003D382F"/>
    <w:rsid w:val="003D4465"/>
    <w:rsid w:val="003D5406"/>
    <w:rsid w:val="003D55C1"/>
    <w:rsid w:val="003D6886"/>
    <w:rsid w:val="003E1528"/>
    <w:rsid w:val="003E25FA"/>
    <w:rsid w:val="003E3CB6"/>
    <w:rsid w:val="003E5542"/>
    <w:rsid w:val="003E5691"/>
    <w:rsid w:val="003E5730"/>
    <w:rsid w:val="003E5A66"/>
    <w:rsid w:val="003E659B"/>
    <w:rsid w:val="003E7140"/>
    <w:rsid w:val="003E71FE"/>
    <w:rsid w:val="003E78A5"/>
    <w:rsid w:val="003F01F2"/>
    <w:rsid w:val="003F055C"/>
    <w:rsid w:val="003F0CCE"/>
    <w:rsid w:val="003F104C"/>
    <w:rsid w:val="003F1377"/>
    <w:rsid w:val="003F15A1"/>
    <w:rsid w:val="003F194B"/>
    <w:rsid w:val="003F1F2A"/>
    <w:rsid w:val="003F378C"/>
    <w:rsid w:val="003F3ED3"/>
    <w:rsid w:val="003F3FF9"/>
    <w:rsid w:val="003F40F7"/>
    <w:rsid w:val="003F4C62"/>
    <w:rsid w:val="003F5024"/>
    <w:rsid w:val="003F5712"/>
    <w:rsid w:val="003F5C54"/>
    <w:rsid w:val="003F6C45"/>
    <w:rsid w:val="003F760B"/>
    <w:rsid w:val="004008E1"/>
    <w:rsid w:val="00401098"/>
    <w:rsid w:val="00401997"/>
    <w:rsid w:val="00401D74"/>
    <w:rsid w:val="00403147"/>
    <w:rsid w:val="0040353B"/>
    <w:rsid w:val="00403F89"/>
    <w:rsid w:val="0040488D"/>
    <w:rsid w:val="004049D0"/>
    <w:rsid w:val="00404D24"/>
    <w:rsid w:val="004052F6"/>
    <w:rsid w:val="0040560C"/>
    <w:rsid w:val="00406181"/>
    <w:rsid w:val="004067D5"/>
    <w:rsid w:val="00406B99"/>
    <w:rsid w:val="00407F8D"/>
    <w:rsid w:val="00410A8C"/>
    <w:rsid w:val="00410EF1"/>
    <w:rsid w:val="0041213B"/>
    <w:rsid w:val="00412DB4"/>
    <w:rsid w:val="00412DE0"/>
    <w:rsid w:val="00412F51"/>
    <w:rsid w:val="00413CD8"/>
    <w:rsid w:val="00413DF0"/>
    <w:rsid w:val="0041416B"/>
    <w:rsid w:val="00414E73"/>
    <w:rsid w:val="004152BB"/>
    <w:rsid w:val="00416F71"/>
    <w:rsid w:val="00417371"/>
    <w:rsid w:val="00417CEA"/>
    <w:rsid w:val="00420182"/>
    <w:rsid w:val="0042037C"/>
    <w:rsid w:val="0042085A"/>
    <w:rsid w:val="004215A5"/>
    <w:rsid w:val="00421846"/>
    <w:rsid w:val="0042538F"/>
    <w:rsid w:val="00426506"/>
    <w:rsid w:val="00426ED3"/>
    <w:rsid w:val="00427C3E"/>
    <w:rsid w:val="004304FE"/>
    <w:rsid w:val="00431C40"/>
    <w:rsid w:val="00431F29"/>
    <w:rsid w:val="004323EA"/>
    <w:rsid w:val="004337A9"/>
    <w:rsid w:val="004342CC"/>
    <w:rsid w:val="004342F8"/>
    <w:rsid w:val="0043533A"/>
    <w:rsid w:val="00436302"/>
    <w:rsid w:val="004377A9"/>
    <w:rsid w:val="004405E2"/>
    <w:rsid w:val="00440889"/>
    <w:rsid w:val="00441E53"/>
    <w:rsid w:val="00441EBA"/>
    <w:rsid w:val="004420E2"/>
    <w:rsid w:val="004424DB"/>
    <w:rsid w:val="00442B0A"/>
    <w:rsid w:val="00444307"/>
    <w:rsid w:val="00444336"/>
    <w:rsid w:val="00444957"/>
    <w:rsid w:val="004449B3"/>
    <w:rsid w:val="00444A37"/>
    <w:rsid w:val="0044564E"/>
    <w:rsid w:val="00445826"/>
    <w:rsid w:val="004458FB"/>
    <w:rsid w:val="004461E1"/>
    <w:rsid w:val="004478FD"/>
    <w:rsid w:val="00447C95"/>
    <w:rsid w:val="00447DCB"/>
    <w:rsid w:val="00447DEC"/>
    <w:rsid w:val="0045061E"/>
    <w:rsid w:val="004509B8"/>
    <w:rsid w:val="00450C95"/>
    <w:rsid w:val="00452238"/>
    <w:rsid w:val="0045502B"/>
    <w:rsid w:val="004567F3"/>
    <w:rsid w:val="00456955"/>
    <w:rsid w:val="00457636"/>
    <w:rsid w:val="004579A8"/>
    <w:rsid w:val="00460392"/>
    <w:rsid w:val="00461F7C"/>
    <w:rsid w:val="00462833"/>
    <w:rsid w:val="00462BB0"/>
    <w:rsid w:val="00463378"/>
    <w:rsid w:val="004636CF"/>
    <w:rsid w:val="004650FA"/>
    <w:rsid w:val="00465312"/>
    <w:rsid w:val="00465A39"/>
    <w:rsid w:val="00465D84"/>
    <w:rsid w:val="0046621C"/>
    <w:rsid w:val="0046676C"/>
    <w:rsid w:val="00466ADA"/>
    <w:rsid w:val="00466EB3"/>
    <w:rsid w:val="004670C6"/>
    <w:rsid w:val="00467C68"/>
    <w:rsid w:val="00467EA0"/>
    <w:rsid w:val="004719E0"/>
    <w:rsid w:val="00471CD5"/>
    <w:rsid w:val="00471E3B"/>
    <w:rsid w:val="0047216A"/>
    <w:rsid w:val="00472269"/>
    <w:rsid w:val="00472530"/>
    <w:rsid w:val="00472F85"/>
    <w:rsid w:val="0047329B"/>
    <w:rsid w:val="004732CF"/>
    <w:rsid w:val="004732D7"/>
    <w:rsid w:val="00473BD5"/>
    <w:rsid w:val="00474027"/>
    <w:rsid w:val="004756DD"/>
    <w:rsid w:val="00476E3A"/>
    <w:rsid w:val="0047766F"/>
    <w:rsid w:val="004778BD"/>
    <w:rsid w:val="00477EF0"/>
    <w:rsid w:val="00477F85"/>
    <w:rsid w:val="00480860"/>
    <w:rsid w:val="004810EF"/>
    <w:rsid w:val="00482329"/>
    <w:rsid w:val="00482A36"/>
    <w:rsid w:val="00483BAC"/>
    <w:rsid w:val="00484235"/>
    <w:rsid w:val="00484587"/>
    <w:rsid w:val="00484F9D"/>
    <w:rsid w:val="00485713"/>
    <w:rsid w:val="004858EF"/>
    <w:rsid w:val="00485A9D"/>
    <w:rsid w:val="00486E95"/>
    <w:rsid w:val="00487ECD"/>
    <w:rsid w:val="004904E8"/>
    <w:rsid w:val="0049178B"/>
    <w:rsid w:val="004920BC"/>
    <w:rsid w:val="0049213B"/>
    <w:rsid w:val="0049345F"/>
    <w:rsid w:val="00493607"/>
    <w:rsid w:val="00493654"/>
    <w:rsid w:val="00494259"/>
    <w:rsid w:val="0049435A"/>
    <w:rsid w:val="00494A41"/>
    <w:rsid w:val="0049507B"/>
    <w:rsid w:val="00495F6B"/>
    <w:rsid w:val="004966A5"/>
    <w:rsid w:val="00496B04"/>
    <w:rsid w:val="004973DA"/>
    <w:rsid w:val="00497A35"/>
    <w:rsid w:val="00497F39"/>
    <w:rsid w:val="004A1B05"/>
    <w:rsid w:val="004A1CD4"/>
    <w:rsid w:val="004A2073"/>
    <w:rsid w:val="004A25FC"/>
    <w:rsid w:val="004A27B9"/>
    <w:rsid w:val="004A2877"/>
    <w:rsid w:val="004A2DBE"/>
    <w:rsid w:val="004A307D"/>
    <w:rsid w:val="004A30F4"/>
    <w:rsid w:val="004A4CB5"/>
    <w:rsid w:val="004A52A8"/>
    <w:rsid w:val="004A5DAB"/>
    <w:rsid w:val="004A704E"/>
    <w:rsid w:val="004A7B96"/>
    <w:rsid w:val="004B0A68"/>
    <w:rsid w:val="004B1316"/>
    <w:rsid w:val="004B27B0"/>
    <w:rsid w:val="004B27FF"/>
    <w:rsid w:val="004B3252"/>
    <w:rsid w:val="004B389B"/>
    <w:rsid w:val="004B38D5"/>
    <w:rsid w:val="004B424A"/>
    <w:rsid w:val="004B4413"/>
    <w:rsid w:val="004B5046"/>
    <w:rsid w:val="004B54D8"/>
    <w:rsid w:val="004B557F"/>
    <w:rsid w:val="004B69EA"/>
    <w:rsid w:val="004B6B82"/>
    <w:rsid w:val="004B6BC3"/>
    <w:rsid w:val="004B7243"/>
    <w:rsid w:val="004B72E3"/>
    <w:rsid w:val="004B7888"/>
    <w:rsid w:val="004C0331"/>
    <w:rsid w:val="004C0424"/>
    <w:rsid w:val="004C11BE"/>
    <w:rsid w:val="004C1334"/>
    <w:rsid w:val="004C1D3A"/>
    <w:rsid w:val="004C21C3"/>
    <w:rsid w:val="004C25C6"/>
    <w:rsid w:val="004C2DD9"/>
    <w:rsid w:val="004C3717"/>
    <w:rsid w:val="004C4F79"/>
    <w:rsid w:val="004C5AC7"/>
    <w:rsid w:val="004C5DE8"/>
    <w:rsid w:val="004C6821"/>
    <w:rsid w:val="004D00FA"/>
    <w:rsid w:val="004D1954"/>
    <w:rsid w:val="004D1FCB"/>
    <w:rsid w:val="004D2C1E"/>
    <w:rsid w:val="004D3299"/>
    <w:rsid w:val="004D3DC7"/>
    <w:rsid w:val="004D3DF9"/>
    <w:rsid w:val="004D4119"/>
    <w:rsid w:val="004D46D0"/>
    <w:rsid w:val="004D5083"/>
    <w:rsid w:val="004D51FB"/>
    <w:rsid w:val="004D58E2"/>
    <w:rsid w:val="004D70DD"/>
    <w:rsid w:val="004D76D7"/>
    <w:rsid w:val="004D7715"/>
    <w:rsid w:val="004D7995"/>
    <w:rsid w:val="004E0635"/>
    <w:rsid w:val="004E0F63"/>
    <w:rsid w:val="004E1BDD"/>
    <w:rsid w:val="004E1FE9"/>
    <w:rsid w:val="004E2FF0"/>
    <w:rsid w:val="004E40FF"/>
    <w:rsid w:val="004E4522"/>
    <w:rsid w:val="004E4748"/>
    <w:rsid w:val="004E592D"/>
    <w:rsid w:val="004E6003"/>
    <w:rsid w:val="004E62FB"/>
    <w:rsid w:val="004E66C9"/>
    <w:rsid w:val="004E6AF2"/>
    <w:rsid w:val="004E737B"/>
    <w:rsid w:val="004F0377"/>
    <w:rsid w:val="004F0F15"/>
    <w:rsid w:val="004F26D8"/>
    <w:rsid w:val="004F4D99"/>
    <w:rsid w:val="004F4E9A"/>
    <w:rsid w:val="004F4F15"/>
    <w:rsid w:val="004F655C"/>
    <w:rsid w:val="004F70AE"/>
    <w:rsid w:val="004F70DC"/>
    <w:rsid w:val="004F72C7"/>
    <w:rsid w:val="004F7A2D"/>
    <w:rsid w:val="00500C6E"/>
    <w:rsid w:val="00501551"/>
    <w:rsid w:val="00501B3E"/>
    <w:rsid w:val="00501CF9"/>
    <w:rsid w:val="00504FE7"/>
    <w:rsid w:val="00505B64"/>
    <w:rsid w:val="00505CEA"/>
    <w:rsid w:val="00507653"/>
    <w:rsid w:val="005078F1"/>
    <w:rsid w:val="00507EE2"/>
    <w:rsid w:val="00507F7E"/>
    <w:rsid w:val="0051000A"/>
    <w:rsid w:val="005106ED"/>
    <w:rsid w:val="0051098A"/>
    <w:rsid w:val="00510CA9"/>
    <w:rsid w:val="00510E6C"/>
    <w:rsid w:val="0051194D"/>
    <w:rsid w:val="0051219A"/>
    <w:rsid w:val="00512CBF"/>
    <w:rsid w:val="00513606"/>
    <w:rsid w:val="005137DF"/>
    <w:rsid w:val="005140CB"/>
    <w:rsid w:val="00514C89"/>
    <w:rsid w:val="005151A7"/>
    <w:rsid w:val="00515533"/>
    <w:rsid w:val="00515917"/>
    <w:rsid w:val="00515A6B"/>
    <w:rsid w:val="00515CAC"/>
    <w:rsid w:val="00520604"/>
    <w:rsid w:val="005219C0"/>
    <w:rsid w:val="00521C93"/>
    <w:rsid w:val="00521CB0"/>
    <w:rsid w:val="00522743"/>
    <w:rsid w:val="00522FF7"/>
    <w:rsid w:val="005233CC"/>
    <w:rsid w:val="0052383F"/>
    <w:rsid w:val="005248A5"/>
    <w:rsid w:val="00524D4A"/>
    <w:rsid w:val="00525306"/>
    <w:rsid w:val="00526058"/>
    <w:rsid w:val="005264B0"/>
    <w:rsid w:val="00526DF6"/>
    <w:rsid w:val="00527AC7"/>
    <w:rsid w:val="00531047"/>
    <w:rsid w:val="005310DD"/>
    <w:rsid w:val="00532099"/>
    <w:rsid w:val="0053234B"/>
    <w:rsid w:val="00532D86"/>
    <w:rsid w:val="005334A0"/>
    <w:rsid w:val="005342A7"/>
    <w:rsid w:val="00534EB9"/>
    <w:rsid w:val="0053692E"/>
    <w:rsid w:val="0053759A"/>
    <w:rsid w:val="005417BD"/>
    <w:rsid w:val="00542A30"/>
    <w:rsid w:val="00542EF3"/>
    <w:rsid w:val="0054349E"/>
    <w:rsid w:val="005438DD"/>
    <w:rsid w:val="005440C1"/>
    <w:rsid w:val="00544F5E"/>
    <w:rsid w:val="005451DC"/>
    <w:rsid w:val="0054544A"/>
    <w:rsid w:val="0054643B"/>
    <w:rsid w:val="00550E08"/>
    <w:rsid w:val="005551DE"/>
    <w:rsid w:val="00555D34"/>
    <w:rsid w:val="00555FC6"/>
    <w:rsid w:val="00556655"/>
    <w:rsid w:val="00556678"/>
    <w:rsid w:val="00556E00"/>
    <w:rsid w:val="00556FF4"/>
    <w:rsid w:val="005612B5"/>
    <w:rsid w:val="005626B3"/>
    <w:rsid w:val="00562A9B"/>
    <w:rsid w:val="00564029"/>
    <w:rsid w:val="005641E8"/>
    <w:rsid w:val="005644B1"/>
    <w:rsid w:val="00565F32"/>
    <w:rsid w:val="00565F7B"/>
    <w:rsid w:val="0056715D"/>
    <w:rsid w:val="005672E7"/>
    <w:rsid w:val="00567675"/>
    <w:rsid w:val="00567B56"/>
    <w:rsid w:val="00570720"/>
    <w:rsid w:val="00571380"/>
    <w:rsid w:val="00571B43"/>
    <w:rsid w:val="005720D4"/>
    <w:rsid w:val="005722D8"/>
    <w:rsid w:val="00572B2F"/>
    <w:rsid w:val="00573A9D"/>
    <w:rsid w:val="00573F0A"/>
    <w:rsid w:val="0057560C"/>
    <w:rsid w:val="00576486"/>
    <w:rsid w:val="0057696E"/>
    <w:rsid w:val="00576D1F"/>
    <w:rsid w:val="005777F7"/>
    <w:rsid w:val="00580356"/>
    <w:rsid w:val="0058068A"/>
    <w:rsid w:val="0058090C"/>
    <w:rsid w:val="00580E51"/>
    <w:rsid w:val="00581D44"/>
    <w:rsid w:val="0058243D"/>
    <w:rsid w:val="00582B4E"/>
    <w:rsid w:val="00584191"/>
    <w:rsid w:val="00584CFF"/>
    <w:rsid w:val="0058618E"/>
    <w:rsid w:val="005862A7"/>
    <w:rsid w:val="00586749"/>
    <w:rsid w:val="00590C7E"/>
    <w:rsid w:val="00592FD3"/>
    <w:rsid w:val="005935FD"/>
    <w:rsid w:val="00593E3B"/>
    <w:rsid w:val="00593E4E"/>
    <w:rsid w:val="0059588D"/>
    <w:rsid w:val="005958C1"/>
    <w:rsid w:val="00595DB0"/>
    <w:rsid w:val="00595E77"/>
    <w:rsid w:val="005964E2"/>
    <w:rsid w:val="0059655C"/>
    <w:rsid w:val="0059709A"/>
    <w:rsid w:val="00597701"/>
    <w:rsid w:val="005A034C"/>
    <w:rsid w:val="005A0792"/>
    <w:rsid w:val="005A1DE8"/>
    <w:rsid w:val="005A1E80"/>
    <w:rsid w:val="005A1FF7"/>
    <w:rsid w:val="005A2127"/>
    <w:rsid w:val="005A2D5C"/>
    <w:rsid w:val="005A53C2"/>
    <w:rsid w:val="005A5A18"/>
    <w:rsid w:val="005A7940"/>
    <w:rsid w:val="005A7BC4"/>
    <w:rsid w:val="005B184F"/>
    <w:rsid w:val="005B1921"/>
    <w:rsid w:val="005B299C"/>
    <w:rsid w:val="005B2B14"/>
    <w:rsid w:val="005B3336"/>
    <w:rsid w:val="005B3EB5"/>
    <w:rsid w:val="005B4278"/>
    <w:rsid w:val="005B4C4A"/>
    <w:rsid w:val="005B603D"/>
    <w:rsid w:val="005B69FB"/>
    <w:rsid w:val="005B7DA3"/>
    <w:rsid w:val="005C0C28"/>
    <w:rsid w:val="005C0C85"/>
    <w:rsid w:val="005C0DC2"/>
    <w:rsid w:val="005C10A0"/>
    <w:rsid w:val="005C1617"/>
    <w:rsid w:val="005C392C"/>
    <w:rsid w:val="005C3BBA"/>
    <w:rsid w:val="005C4516"/>
    <w:rsid w:val="005C55C0"/>
    <w:rsid w:val="005C5BDA"/>
    <w:rsid w:val="005C5BE4"/>
    <w:rsid w:val="005C5CC3"/>
    <w:rsid w:val="005C648E"/>
    <w:rsid w:val="005C6B2B"/>
    <w:rsid w:val="005C705F"/>
    <w:rsid w:val="005C74DF"/>
    <w:rsid w:val="005C796A"/>
    <w:rsid w:val="005D02B8"/>
    <w:rsid w:val="005D04FF"/>
    <w:rsid w:val="005D09B5"/>
    <w:rsid w:val="005D0A1E"/>
    <w:rsid w:val="005D0E9B"/>
    <w:rsid w:val="005D180D"/>
    <w:rsid w:val="005D3719"/>
    <w:rsid w:val="005D387F"/>
    <w:rsid w:val="005D3A06"/>
    <w:rsid w:val="005D3BD1"/>
    <w:rsid w:val="005D46B1"/>
    <w:rsid w:val="005D4B23"/>
    <w:rsid w:val="005D58A4"/>
    <w:rsid w:val="005D58E1"/>
    <w:rsid w:val="005D6B27"/>
    <w:rsid w:val="005D6EDD"/>
    <w:rsid w:val="005E0176"/>
    <w:rsid w:val="005E0EF6"/>
    <w:rsid w:val="005E21D7"/>
    <w:rsid w:val="005E2394"/>
    <w:rsid w:val="005E2E8F"/>
    <w:rsid w:val="005E2EAD"/>
    <w:rsid w:val="005E363A"/>
    <w:rsid w:val="005E3A22"/>
    <w:rsid w:val="005E3CF7"/>
    <w:rsid w:val="005E4048"/>
    <w:rsid w:val="005E4207"/>
    <w:rsid w:val="005E56FB"/>
    <w:rsid w:val="005E7473"/>
    <w:rsid w:val="005F07E5"/>
    <w:rsid w:val="005F2671"/>
    <w:rsid w:val="005F282E"/>
    <w:rsid w:val="005F291A"/>
    <w:rsid w:val="005F2BCE"/>
    <w:rsid w:val="005F2EFC"/>
    <w:rsid w:val="005F47C9"/>
    <w:rsid w:val="005F4F31"/>
    <w:rsid w:val="005F6782"/>
    <w:rsid w:val="005F71F7"/>
    <w:rsid w:val="005F740A"/>
    <w:rsid w:val="005F799B"/>
    <w:rsid w:val="00600679"/>
    <w:rsid w:val="00600A66"/>
    <w:rsid w:val="00600EB8"/>
    <w:rsid w:val="00601016"/>
    <w:rsid w:val="006018CD"/>
    <w:rsid w:val="00603602"/>
    <w:rsid w:val="00604A1E"/>
    <w:rsid w:val="00604D02"/>
    <w:rsid w:val="00605509"/>
    <w:rsid w:val="006059B9"/>
    <w:rsid w:val="006063ED"/>
    <w:rsid w:val="00606D9B"/>
    <w:rsid w:val="00607016"/>
    <w:rsid w:val="00610958"/>
    <w:rsid w:val="00610BDE"/>
    <w:rsid w:val="0061190F"/>
    <w:rsid w:val="00611AA3"/>
    <w:rsid w:val="00612585"/>
    <w:rsid w:val="006131E7"/>
    <w:rsid w:val="00613989"/>
    <w:rsid w:val="0061421E"/>
    <w:rsid w:val="006143A3"/>
    <w:rsid w:val="00614A81"/>
    <w:rsid w:val="00615327"/>
    <w:rsid w:val="00620173"/>
    <w:rsid w:val="00620962"/>
    <w:rsid w:val="00620CA8"/>
    <w:rsid w:val="00620E76"/>
    <w:rsid w:val="00621273"/>
    <w:rsid w:val="00621530"/>
    <w:rsid w:val="00621856"/>
    <w:rsid w:val="00621F2B"/>
    <w:rsid w:val="006229A4"/>
    <w:rsid w:val="00623632"/>
    <w:rsid w:val="00623692"/>
    <w:rsid w:val="00623902"/>
    <w:rsid w:val="00624331"/>
    <w:rsid w:val="00625274"/>
    <w:rsid w:val="0062555D"/>
    <w:rsid w:val="006261EC"/>
    <w:rsid w:val="0062640B"/>
    <w:rsid w:val="00627051"/>
    <w:rsid w:val="00627742"/>
    <w:rsid w:val="006304B2"/>
    <w:rsid w:val="00632CF9"/>
    <w:rsid w:val="006336B8"/>
    <w:rsid w:val="00633BDF"/>
    <w:rsid w:val="006348E4"/>
    <w:rsid w:val="00634FDB"/>
    <w:rsid w:val="0063657D"/>
    <w:rsid w:val="00636580"/>
    <w:rsid w:val="0063754F"/>
    <w:rsid w:val="00637991"/>
    <w:rsid w:val="00637EFC"/>
    <w:rsid w:val="006401B6"/>
    <w:rsid w:val="00641831"/>
    <w:rsid w:val="00642A6F"/>
    <w:rsid w:val="00644232"/>
    <w:rsid w:val="0064431D"/>
    <w:rsid w:val="006443C7"/>
    <w:rsid w:val="006447A5"/>
    <w:rsid w:val="00644A0C"/>
    <w:rsid w:val="006460B6"/>
    <w:rsid w:val="006461FB"/>
    <w:rsid w:val="0064753E"/>
    <w:rsid w:val="0064785A"/>
    <w:rsid w:val="006508A0"/>
    <w:rsid w:val="00650E2B"/>
    <w:rsid w:val="00651E8F"/>
    <w:rsid w:val="00651E93"/>
    <w:rsid w:val="00652777"/>
    <w:rsid w:val="0065300F"/>
    <w:rsid w:val="00654244"/>
    <w:rsid w:val="00654612"/>
    <w:rsid w:val="00654C58"/>
    <w:rsid w:val="00655F8E"/>
    <w:rsid w:val="00656AAA"/>
    <w:rsid w:val="006570AD"/>
    <w:rsid w:val="00657391"/>
    <w:rsid w:val="006575FF"/>
    <w:rsid w:val="006576E8"/>
    <w:rsid w:val="0065785C"/>
    <w:rsid w:val="006619AE"/>
    <w:rsid w:val="00661CBB"/>
    <w:rsid w:val="0066216C"/>
    <w:rsid w:val="00663ACF"/>
    <w:rsid w:val="0066472F"/>
    <w:rsid w:val="00664BE7"/>
    <w:rsid w:val="006662E0"/>
    <w:rsid w:val="006667FF"/>
    <w:rsid w:val="0066720F"/>
    <w:rsid w:val="006675C8"/>
    <w:rsid w:val="00667E94"/>
    <w:rsid w:val="006704FA"/>
    <w:rsid w:val="006708B2"/>
    <w:rsid w:val="00670E45"/>
    <w:rsid w:val="006717E8"/>
    <w:rsid w:val="00671C3F"/>
    <w:rsid w:val="006721BE"/>
    <w:rsid w:val="00672962"/>
    <w:rsid w:val="0067320B"/>
    <w:rsid w:val="006732A8"/>
    <w:rsid w:val="00674449"/>
    <w:rsid w:val="0067456E"/>
    <w:rsid w:val="00674B2C"/>
    <w:rsid w:val="00674F5E"/>
    <w:rsid w:val="00675942"/>
    <w:rsid w:val="0067665A"/>
    <w:rsid w:val="00677C91"/>
    <w:rsid w:val="00677FF9"/>
    <w:rsid w:val="00681D5E"/>
    <w:rsid w:val="006831DC"/>
    <w:rsid w:val="00683422"/>
    <w:rsid w:val="006838D3"/>
    <w:rsid w:val="00684037"/>
    <w:rsid w:val="00684B0C"/>
    <w:rsid w:val="0068505C"/>
    <w:rsid w:val="006852CF"/>
    <w:rsid w:val="0068612A"/>
    <w:rsid w:val="00686357"/>
    <w:rsid w:val="00686FBE"/>
    <w:rsid w:val="00687FE6"/>
    <w:rsid w:val="006902EA"/>
    <w:rsid w:val="00690537"/>
    <w:rsid w:val="00690E52"/>
    <w:rsid w:val="00691C05"/>
    <w:rsid w:val="00692AEF"/>
    <w:rsid w:val="00692F18"/>
    <w:rsid w:val="00692FF4"/>
    <w:rsid w:val="00693401"/>
    <w:rsid w:val="0069343C"/>
    <w:rsid w:val="00693EA8"/>
    <w:rsid w:val="00694919"/>
    <w:rsid w:val="00695421"/>
    <w:rsid w:val="0069629F"/>
    <w:rsid w:val="0069646E"/>
    <w:rsid w:val="00696E6E"/>
    <w:rsid w:val="00697A30"/>
    <w:rsid w:val="006A004C"/>
    <w:rsid w:val="006A015E"/>
    <w:rsid w:val="006A0562"/>
    <w:rsid w:val="006A0849"/>
    <w:rsid w:val="006A1801"/>
    <w:rsid w:val="006A241E"/>
    <w:rsid w:val="006A468D"/>
    <w:rsid w:val="006A4A41"/>
    <w:rsid w:val="006A6932"/>
    <w:rsid w:val="006A6ECF"/>
    <w:rsid w:val="006A6EDB"/>
    <w:rsid w:val="006A7644"/>
    <w:rsid w:val="006A7FFC"/>
    <w:rsid w:val="006B0004"/>
    <w:rsid w:val="006B0192"/>
    <w:rsid w:val="006B12F6"/>
    <w:rsid w:val="006B1756"/>
    <w:rsid w:val="006B2B72"/>
    <w:rsid w:val="006B387C"/>
    <w:rsid w:val="006B3930"/>
    <w:rsid w:val="006B3D86"/>
    <w:rsid w:val="006B3F56"/>
    <w:rsid w:val="006B4306"/>
    <w:rsid w:val="006C0AB4"/>
    <w:rsid w:val="006C0F20"/>
    <w:rsid w:val="006C16C0"/>
    <w:rsid w:val="006C1EE1"/>
    <w:rsid w:val="006C3A1D"/>
    <w:rsid w:val="006C3F0E"/>
    <w:rsid w:val="006C42E3"/>
    <w:rsid w:val="006C4412"/>
    <w:rsid w:val="006C45B6"/>
    <w:rsid w:val="006C5A64"/>
    <w:rsid w:val="006C5E7C"/>
    <w:rsid w:val="006C6E84"/>
    <w:rsid w:val="006C74C7"/>
    <w:rsid w:val="006C779C"/>
    <w:rsid w:val="006D015F"/>
    <w:rsid w:val="006D0F25"/>
    <w:rsid w:val="006D1A4B"/>
    <w:rsid w:val="006D1C53"/>
    <w:rsid w:val="006D2164"/>
    <w:rsid w:val="006D3112"/>
    <w:rsid w:val="006D3187"/>
    <w:rsid w:val="006D3D75"/>
    <w:rsid w:val="006D597E"/>
    <w:rsid w:val="006D647C"/>
    <w:rsid w:val="006E0147"/>
    <w:rsid w:val="006E0291"/>
    <w:rsid w:val="006E191B"/>
    <w:rsid w:val="006E21A0"/>
    <w:rsid w:val="006E2A65"/>
    <w:rsid w:val="006E3C81"/>
    <w:rsid w:val="006E4493"/>
    <w:rsid w:val="006E45A2"/>
    <w:rsid w:val="006E48A4"/>
    <w:rsid w:val="006E5C23"/>
    <w:rsid w:val="006E5F24"/>
    <w:rsid w:val="006F1768"/>
    <w:rsid w:val="006F2212"/>
    <w:rsid w:val="006F2295"/>
    <w:rsid w:val="006F28A5"/>
    <w:rsid w:val="006F28DF"/>
    <w:rsid w:val="006F2D49"/>
    <w:rsid w:val="006F2D5F"/>
    <w:rsid w:val="006F3086"/>
    <w:rsid w:val="006F341F"/>
    <w:rsid w:val="006F352E"/>
    <w:rsid w:val="006F3549"/>
    <w:rsid w:val="006F4A5E"/>
    <w:rsid w:val="006F54FC"/>
    <w:rsid w:val="006F7466"/>
    <w:rsid w:val="006F7591"/>
    <w:rsid w:val="007017F2"/>
    <w:rsid w:val="007018EB"/>
    <w:rsid w:val="00701E23"/>
    <w:rsid w:val="0070286C"/>
    <w:rsid w:val="007036EC"/>
    <w:rsid w:val="00703A05"/>
    <w:rsid w:val="0070436D"/>
    <w:rsid w:val="00704B10"/>
    <w:rsid w:val="007052ED"/>
    <w:rsid w:val="0070580E"/>
    <w:rsid w:val="007059FF"/>
    <w:rsid w:val="00705BC0"/>
    <w:rsid w:val="007075ED"/>
    <w:rsid w:val="00710190"/>
    <w:rsid w:val="00710931"/>
    <w:rsid w:val="00712489"/>
    <w:rsid w:val="00712795"/>
    <w:rsid w:val="0071325C"/>
    <w:rsid w:val="00713CF4"/>
    <w:rsid w:val="00713EB2"/>
    <w:rsid w:val="007141EB"/>
    <w:rsid w:val="00714364"/>
    <w:rsid w:val="007152D4"/>
    <w:rsid w:val="007153B7"/>
    <w:rsid w:val="00716088"/>
    <w:rsid w:val="00720500"/>
    <w:rsid w:val="00720A05"/>
    <w:rsid w:val="007236CE"/>
    <w:rsid w:val="00723DA0"/>
    <w:rsid w:val="00725691"/>
    <w:rsid w:val="007264E3"/>
    <w:rsid w:val="00727846"/>
    <w:rsid w:val="00730C2B"/>
    <w:rsid w:val="00730C82"/>
    <w:rsid w:val="007310B0"/>
    <w:rsid w:val="007317B4"/>
    <w:rsid w:val="00731A17"/>
    <w:rsid w:val="0073203F"/>
    <w:rsid w:val="00732B89"/>
    <w:rsid w:val="00733348"/>
    <w:rsid w:val="00733C9F"/>
    <w:rsid w:val="007344DB"/>
    <w:rsid w:val="00734970"/>
    <w:rsid w:val="00734F7E"/>
    <w:rsid w:val="00735C46"/>
    <w:rsid w:val="00735C51"/>
    <w:rsid w:val="0073614D"/>
    <w:rsid w:val="007368EB"/>
    <w:rsid w:val="00736F71"/>
    <w:rsid w:val="007377A3"/>
    <w:rsid w:val="0074050F"/>
    <w:rsid w:val="007414BB"/>
    <w:rsid w:val="00741854"/>
    <w:rsid w:val="007419F7"/>
    <w:rsid w:val="0074202F"/>
    <w:rsid w:val="00742087"/>
    <w:rsid w:val="007420F7"/>
    <w:rsid w:val="00742979"/>
    <w:rsid w:val="00742D40"/>
    <w:rsid w:val="0074399F"/>
    <w:rsid w:val="00743C36"/>
    <w:rsid w:val="0074451E"/>
    <w:rsid w:val="00744C5A"/>
    <w:rsid w:val="0074704C"/>
    <w:rsid w:val="00747098"/>
    <w:rsid w:val="00751A51"/>
    <w:rsid w:val="00753E34"/>
    <w:rsid w:val="007545E3"/>
    <w:rsid w:val="00754E19"/>
    <w:rsid w:val="00754E9A"/>
    <w:rsid w:val="00757FE3"/>
    <w:rsid w:val="00760145"/>
    <w:rsid w:val="007606F1"/>
    <w:rsid w:val="00760934"/>
    <w:rsid w:val="00760E69"/>
    <w:rsid w:val="00762C72"/>
    <w:rsid w:val="007637C9"/>
    <w:rsid w:val="00763815"/>
    <w:rsid w:val="00763F11"/>
    <w:rsid w:val="00765197"/>
    <w:rsid w:val="00766824"/>
    <w:rsid w:val="00766FD9"/>
    <w:rsid w:val="007677B8"/>
    <w:rsid w:val="00767C3D"/>
    <w:rsid w:val="0077058E"/>
    <w:rsid w:val="0077103D"/>
    <w:rsid w:val="007726E8"/>
    <w:rsid w:val="00774DB9"/>
    <w:rsid w:val="00774EA0"/>
    <w:rsid w:val="00775245"/>
    <w:rsid w:val="0077679B"/>
    <w:rsid w:val="007768F7"/>
    <w:rsid w:val="00777DFA"/>
    <w:rsid w:val="00777EF0"/>
    <w:rsid w:val="00780771"/>
    <w:rsid w:val="00780D41"/>
    <w:rsid w:val="0078189C"/>
    <w:rsid w:val="007828BC"/>
    <w:rsid w:val="0078305E"/>
    <w:rsid w:val="00783A25"/>
    <w:rsid w:val="00783E8C"/>
    <w:rsid w:val="00784AC6"/>
    <w:rsid w:val="00784C55"/>
    <w:rsid w:val="00785491"/>
    <w:rsid w:val="00785A23"/>
    <w:rsid w:val="007862F4"/>
    <w:rsid w:val="0078661A"/>
    <w:rsid w:val="00786C3C"/>
    <w:rsid w:val="00790825"/>
    <w:rsid w:val="00790DAE"/>
    <w:rsid w:val="00791150"/>
    <w:rsid w:val="007912FC"/>
    <w:rsid w:val="0079150B"/>
    <w:rsid w:val="007919A4"/>
    <w:rsid w:val="00791C64"/>
    <w:rsid w:val="00792395"/>
    <w:rsid w:val="0079296A"/>
    <w:rsid w:val="00792CDE"/>
    <w:rsid w:val="007931A9"/>
    <w:rsid w:val="007946C1"/>
    <w:rsid w:val="00794F0A"/>
    <w:rsid w:val="007962CF"/>
    <w:rsid w:val="00796627"/>
    <w:rsid w:val="00797919"/>
    <w:rsid w:val="00797E44"/>
    <w:rsid w:val="007A2063"/>
    <w:rsid w:val="007A2F47"/>
    <w:rsid w:val="007A3EE5"/>
    <w:rsid w:val="007A4FBA"/>
    <w:rsid w:val="007A6428"/>
    <w:rsid w:val="007A73E5"/>
    <w:rsid w:val="007A78E5"/>
    <w:rsid w:val="007B04A7"/>
    <w:rsid w:val="007B28AA"/>
    <w:rsid w:val="007B2977"/>
    <w:rsid w:val="007B3DC6"/>
    <w:rsid w:val="007B455F"/>
    <w:rsid w:val="007B4840"/>
    <w:rsid w:val="007B4DAF"/>
    <w:rsid w:val="007B5209"/>
    <w:rsid w:val="007B5F17"/>
    <w:rsid w:val="007B74E0"/>
    <w:rsid w:val="007C1020"/>
    <w:rsid w:val="007C20BA"/>
    <w:rsid w:val="007C25AE"/>
    <w:rsid w:val="007C26C0"/>
    <w:rsid w:val="007C27C7"/>
    <w:rsid w:val="007C48A1"/>
    <w:rsid w:val="007C56CB"/>
    <w:rsid w:val="007C6395"/>
    <w:rsid w:val="007C642C"/>
    <w:rsid w:val="007C6D04"/>
    <w:rsid w:val="007D178D"/>
    <w:rsid w:val="007D1BED"/>
    <w:rsid w:val="007D2200"/>
    <w:rsid w:val="007D267D"/>
    <w:rsid w:val="007D2C39"/>
    <w:rsid w:val="007D345B"/>
    <w:rsid w:val="007D377F"/>
    <w:rsid w:val="007D47C4"/>
    <w:rsid w:val="007D4939"/>
    <w:rsid w:val="007D4DC7"/>
    <w:rsid w:val="007D5084"/>
    <w:rsid w:val="007D58D2"/>
    <w:rsid w:val="007D60D8"/>
    <w:rsid w:val="007D65E5"/>
    <w:rsid w:val="007D78E0"/>
    <w:rsid w:val="007D7C37"/>
    <w:rsid w:val="007E036A"/>
    <w:rsid w:val="007E0826"/>
    <w:rsid w:val="007E0DFF"/>
    <w:rsid w:val="007E1CC9"/>
    <w:rsid w:val="007E2CAD"/>
    <w:rsid w:val="007E3006"/>
    <w:rsid w:val="007E553C"/>
    <w:rsid w:val="007E5D87"/>
    <w:rsid w:val="007E6240"/>
    <w:rsid w:val="007E652C"/>
    <w:rsid w:val="007E662A"/>
    <w:rsid w:val="007E678B"/>
    <w:rsid w:val="007E7A3E"/>
    <w:rsid w:val="007F0390"/>
    <w:rsid w:val="007F06F8"/>
    <w:rsid w:val="007F0CC5"/>
    <w:rsid w:val="007F1D9A"/>
    <w:rsid w:val="007F2CE2"/>
    <w:rsid w:val="007F2E4F"/>
    <w:rsid w:val="007F3337"/>
    <w:rsid w:val="007F3621"/>
    <w:rsid w:val="007F3703"/>
    <w:rsid w:val="007F41C8"/>
    <w:rsid w:val="007F4432"/>
    <w:rsid w:val="007F4EA7"/>
    <w:rsid w:val="007F6BB6"/>
    <w:rsid w:val="007F72B7"/>
    <w:rsid w:val="007F778F"/>
    <w:rsid w:val="007F7ED1"/>
    <w:rsid w:val="007F7F60"/>
    <w:rsid w:val="00800B70"/>
    <w:rsid w:val="00800C9F"/>
    <w:rsid w:val="00801258"/>
    <w:rsid w:val="008015CA"/>
    <w:rsid w:val="0080243A"/>
    <w:rsid w:val="00803204"/>
    <w:rsid w:val="00803761"/>
    <w:rsid w:val="0080429B"/>
    <w:rsid w:val="008078E2"/>
    <w:rsid w:val="00810D1A"/>
    <w:rsid w:val="0081193E"/>
    <w:rsid w:val="00812EEA"/>
    <w:rsid w:val="00813100"/>
    <w:rsid w:val="00813E23"/>
    <w:rsid w:val="008143A7"/>
    <w:rsid w:val="00814CFC"/>
    <w:rsid w:val="00815C1D"/>
    <w:rsid w:val="00816625"/>
    <w:rsid w:val="00817CF7"/>
    <w:rsid w:val="0082004A"/>
    <w:rsid w:val="00820900"/>
    <w:rsid w:val="00821951"/>
    <w:rsid w:val="0082223D"/>
    <w:rsid w:val="00822D6C"/>
    <w:rsid w:val="008233E2"/>
    <w:rsid w:val="008245A0"/>
    <w:rsid w:val="008249BD"/>
    <w:rsid w:val="00824C6E"/>
    <w:rsid w:val="00825A6C"/>
    <w:rsid w:val="00826A93"/>
    <w:rsid w:val="00826D2D"/>
    <w:rsid w:val="00827E87"/>
    <w:rsid w:val="008302BE"/>
    <w:rsid w:val="00830EC0"/>
    <w:rsid w:val="00831E54"/>
    <w:rsid w:val="00833144"/>
    <w:rsid w:val="0083319A"/>
    <w:rsid w:val="00834098"/>
    <w:rsid w:val="008340C5"/>
    <w:rsid w:val="0083507A"/>
    <w:rsid w:val="00835B81"/>
    <w:rsid w:val="00836222"/>
    <w:rsid w:val="00837532"/>
    <w:rsid w:val="008414D3"/>
    <w:rsid w:val="00842293"/>
    <w:rsid w:val="00842D72"/>
    <w:rsid w:val="00843A4F"/>
    <w:rsid w:val="00844075"/>
    <w:rsid w:val="00844430"/>
    <w:rsid w:val="0084491E"/>
    <w:rsid w:val="00844AC7"/>
    <w:rsid w:val="0084514D"/>
    <w:rsid w:val="0084642B"/>
    <w:rsid w:val="008467A3"/>
    <w:rsid w:val="0084684D"/>
    <w:rsid w:val="00847A13"/>
    <w:rsid w:val="008503DF"/>
    <w:rsid w:val="0085103A"/>
    <w:rsid w:val="00851919"/>
    <w:rsid w:val="00853451"/>
    <w:rsid w:val="00854551"/>
    <w:rsid w:val="0085461C"/>
    <w:rsid w:val="0085479D"/>
    <w:rsid w:val="00854DD3"/>
    <w:rsid w:val="008559EF"/>
    <w:rsid w:val="0085759D"/>
    <w:rsid w:val="008603DD"/>
    <w:rsid w:val="00860699"/>
    <w:rsid w:val="008608A8"/>
    <w:rsid w:val="008609FB"/>
    <w:rsid w:val="00860D58"/>
    <w:rsid w:val="008616AA"/>
    <w:rsid w:val="00861719"/>
    <w:rsid w:val="008620BF"/>
    <w:rsid w:val="00862B72"/>
    <w:rsid w:val="00862F8C"/>
    <w:rsid w:val="00863017"/>
    <w:rsid w:val="00863EBA"/>
    <w:rsid w:val="0086411F"/>
    <w:rsid w:val="00864ED2"/>
    <w:rsid w:val="00865600"/>
    <w:rsid w:val="00866251"/>
    <w:rsid w:val="00866F3F"/>
    <w:rsid w:val="0087019B"/>
    <w:rsid w:val="0087089E"/>
    <w:rsid w:val="00870F2D"/>
    <w:rsid w:val="00871513"/>
    <w:rsid w:val="00871D5A"/>
    <w:rsid w:val="00872EE8"/>
    <w:rsid w:val="00873B55"/>
    <w:rsid w:val="00874144"/>
    <w:rsid w:val="00874F5A"/>
    <w:rsid w:val="00875A5A"/>
    <w:rsid w:val="0087659D"/>
    <w:rsid w:val="00876862"/>
    <w:rsid w:val="008768E1"/>
    <w:rsid w:val="008769EE"/>
    <w:rsid w:val="008801D0"/>
    <w:rsid w:val="008802E6"/>
    <w:rsid w:val="00880616"/>
    <w:rsid w:val="00880D3A"/>
    <w:rsid w:val="00881BF9"/>
    <w:rsid w:val="0088267D"/>
    <w:rsid w:val="00882E48"/>
    <w:rsid w:val="00882F8B"/>
    <w:rsid w:val="00884099"/>
    <w:rsid w:val="0088557E"/>
    <w:rsid w:val="00885674"/>
    <w:rsid w:val="0088733D"/>
    <w:rsid w:val="00887C23"/>
    <w:rsid w:val="00887F38"/>
    <w:rsid w:val="00892855"/>
    <w:rsid w:val="00893768"/>
    <w:rsid w:val="00893AAE"/>
    <w:rsid w:val="00894749"/>
    <w:rsid w:val="00894965"/>
    <w:rsid w:val="00894D72"/>
    <w:rsid w:val="00895099"/>
    <w:rsid w:val="00896055"/>
    <w:rsid w:val="008968A4"/>
    <w:rsid w:val="00896BDA"/>
    <w:rsid w:val="00897C0E"/>
    <w:rsid w:val="00897E7C"/>
    <w:rsid w:val="008A1DAA"/>
    <w:rsid w:val="008A1DD8"/>
    <w:rsid w:val="008A257C"/>
    <w:rsid w:val="008A25EA"/>
    <w:rsid w:val="008A2B8B"/>
    <w:rsid w:val="008A3001"/>
    <w:rsid w:val="008A306E"/>
    <w:rsid w:val="008A30A3"/>
    <w:rsid w:val="008A399F"/>
    <w:rsid w:val="008A4721"/>
    <w:rsid w:val="008A4CBA"/>
    <w:rsid w:val="008A5D6E"/>
    <w:rsid w:val="008A5DC0"/>
    <w:rsid w:val="008B011E"/>
    <w:rsid w:val="008B03A6"/>
    <w:rsid w:val="008B08CD"/>
    <w:rsid w:val="008B0A0C"/>
    <w:rsid w:val="008B15DD"/>
    <w:rsid w:val="008B17E8"/>
    <w:rsid w:val="008B2116"/>
    <w:rsid w:val="008B22F8"/>
    <w:rsid w:val="008B2FA6"/>
    <w:rsid w:val="008B3ECE"/>
    <w:rsid w:val="008B541D"/>
    <w:rsid w:val="008B5CC9"/>
    <w:rsid w:val="008B6816"/>
    <w:rsid w:val="008B6A0B"/>
    <w:rsid w:val="008B6CDF"/>
    <w:rsid w:val="008B7506"/>
    <w:rsid w:val="008C03F6"/>
    <w:rsid w:val="008C1505"/>
    <w:rsid w:val="008C1CE9"/>
    <w:rsid w:val="008C1E23"/>
    <w:rsid w:val="008C1F63"/>
    <w:rsid w:val="008C40D6"/>
    <w:rsid w:val="008C6273"/>
    <w:rsid w:val="008D013B"/>
    <w:rsid w:val="008D20B2"/>
    <w:rsid w:val="008D243F"/>
    <w:rsid w:val="008D2679"/>
    <w:rsid w:val="008D390B"/>
    <w:rsid w:val="008D3D5A"/>
    <w:rsid w:val="008D4335"/>
    <w:rsid w:val="008D4A36"/>
    <w:rsid w:val="008D4A86"/>
    <w:rsid w:val="008D5CEA"/>
    <w:rsid w:val="008D5ED7"/>
    <w:rsid w:val="008D7142"/>
    <w:rsid w:val="008D715E"/>
    <w:rsid w:val="008D7BFA"/>
    <w:rsid w:val="008D7D86"/>
    <w:rsid w:val="008E0148"/>
    <w:rsid w:val="008E0C1E"/>
    <w:rsid w:val="008E0EB1"/>
    <w:rsid w:val="008E3134"/>
    <w:rsid w:val="008E35E3"/>
    <w:rsid w:val="008E37D2"/>
    <w:rsid w:val="008E4835"/>
    <w:rsid w:val="008E4A56"/>
    <w:rsid w:val="008E5870"/>
    <w:rsid w:val="008E70F4"/>
    <w:rsid w:val="008E7187"/>
    <w:rsid w:val="008F0314"/>
    <w:rsid w:val="008F2618"/>
    <w:rsid w:val="008F2A70"/>
    <w:rsid w:val="008F2DBC"/>
    <w:rsid w:val="008F42D0"/>
    <w:rsid w:val="008F4C11"/>
    <w:rsid w:val="008F56C2"/>
    <w:rsid w:val="008F6107"/>
    <w:rsid w:val="008F6CBE"/>
    <w:rsid w:val="008F74C9"/>
    <w:rsid w:val="008F75AA"/>
    <w:rsid w:val="009016FE"/>
    <w:rsid w:val="00901C59"/>
    <w:rsid w:val="00901E9C"/>
    <w:rsid w:val="00902699"/>
    <w:rsid w:val="009030C2"/>
    <w:rsid w:val="009031AB"/>
    <w:rsid w:val="009037F5"/>
    <w:rsid w:val="009041B9"/>
    <w:rsid w:val="009041CF"/>
    <w:rsid w:val="009041DD"/>
    <w:rsid w:val="0090478D"/>
    <w:rsid w:val="00905042"/>
    <w:rsid w:val="00905968"/>
    <w:rsid w:val="009061B4"/>
    <w:rsid w:val="00906AD6"/>
    <w:rsid w:val="00906C9C"/>
    <w:rsid w:val="00906D70"/>
    <w:rsid w:val="009072CB"/>
    <w:rsid w:val="009076DF"/>
    <w:rsid w:val="00907DB6"/>
    <w:rsid w:val="0091073A"/>
    <w:rsid w:val="009112D5"/>
    <w:rsid w:val="009112EA"/>
    <w:rsid w:val="00911FE4"/>
    <w:rsid w:val="00912533"/>
    <w:rsid w:val="00914237"/>
    <w:rsid w:val="009146D9"/>
    <w:rsid w:val="00914A00"/>
    <w:rsid w:val="009162FB"/>
    <w:rsid w:val="00916543"/>
    <w:rsid w:val="00916E4C"/>
    <w:rsid w:val="00917422"/>
    <w:rsid w:val="00917629"/>
    <w:rsid w:val="00917AB1"/>
    <w:rsid w:val="00920491"/>
    <w:rsid w:val="009205CC"/>
    <w:rsid w:val="00920E1E"/>
    <w:rsid w:val="009215C6"/>
    <w:rsid w:val="0092182C"/>
    <w:rsid w:val="00922D2A"/>
    <w:rsid w:val="009238D9"/>
    <w:rsid w:val="0092458D"/>
    <w:rsid w:val="009247D5"/>
    <w:rsid w:val="00924FF2"/>
    <w:rsid w:val="009254A5"/>
    <w:rsid w:val="0092581B"/>
    <w:rsid w:val="00925DE9"/>
    <w:rsid w:val="00926C1B"/>
    <w:rsid w:val="00926D47"/>
    <w:rsid w:val="009272FA"/>
    <w:rsid w:val="00930579"/>
    <w:rsid w:val="00930AAB"/>
    <w:rsid w:val="00930F71"/>
    <w:rsid w:val="00931272"/>
    <w:rsid w:val="0093182D"/>
    <w:rsid w:val="00931867"/>
    <w:rsid w:val="00931ECE"/>
    <w:rsid w:val="00931ED0"/>
    <w:rsid w:val="00932837"/>
    <w:rsid w:val="00932939"/>
    <w:rsid w:val="00932CC3"/>
    <w:rsid w:val="00934140"/>
    <w:rsid w:val="00934C71"/>
    <w:rsid w:val="009350E2"/>
    <w:rsid w:val="009355FE"/>
    <w:rsid w:val="00935D2F"/>
    <w:rsid w:val="00935D44"/>
    <w:rsid w:val="0093642E"/>
    <w:rsid w:val="0093698D"/>
    <w:rsid w:val="0093748D"/>
    <w:rsid w:val="009374D7"/>
    <w:rsid w:val="00937668"/>
    <w:rsid w:val="00937A29"/>
    <w:rsid w:val="00937ACE"/>
    <w:rsid w:val="00940A30"/>
    <w:rsid w:val="009412DD"/>
    <w:rsid w:val="009413D0"/>
    <w:rsid w:val="0094379E"/>
    <w:rsid w:val="00943909"/>
    <w:rsid w:val="00943F9D"/>
    <w:rsid w:val="00944529"/>
    <w:rsid w:val="00944660"/>
    <w:rsid w:val="00944947"/>
    <w:rsid w:val="009450F4"/>
    <w:rsid w:val="00945A0A"/>
    <w:rsid w:val="0094719D"/>
    <w:rsid w:val="00947644"/>
    <w:rsid w:val="0094784E"/>
    <w:rsid w:val="00947955"/>
    <w:rsid w:val="0095009D"/>
    <w:rsid w:val="00950834"/>
    <w:rsid w:val="00950FB6"/>
    <w:rsid w:val="00952284"/>
    <w:rsid w:val="0095270A"/>
    <w:rsid w:val="00952A3A"/>
    <w:rsid w:val="00953CC8"/>
    <w:rsid w:val="00953EE3"/>
    <w:rsid w:val="009544A0"/>
    <w:rsid w:val="00954747"/>
    <w:rsid w:val="009567A6"/>
    <w:rsid w:val="00956896"/>
    <w:rsid w:val="00956BA2"/>
    <w:rsid w:val="009573D4"/>
    <w:rsid w:val="00957F0F"/>
    <w:rsid w:val="0096067C"/>
    <w:rsid w:val="00960A6A"/>
    <w:rsid w:val="009613B6"/>
    <w:rsid w:val="00961960"/>
    <w:rsid w:val="009619F1"/>
    <w:rsid w:val="00962251"/>
    <w:rsid w:val="009633FD"/>
    <w:rsid w:val="00964683"/>
    <w:rsid w:val="00964929"/>
    <w:rsid w:val="00965A2F"/>
    <w:rsid w:val="009666BA"/>
    <w:rsid w:val="009671DB"/>
    <w:rsid w:val="0096769D"/>
    <w:rsid w:val="00967FB9"/>
    <w:rsid w:val="00967FFB"/>
    <w:rsid w:val="0097007D"/>
    <w:rsid w:val="00971C95"/>
    <w:rsid w:val="00971DF4"/>
    <w:rsid w:val="009736CB"/>
    <w:rsid w:val="00973793"/>
    <w:rsid w:val="00974635"/>
    <w:rsid w:val="00974C6F"/>
    <w:rsid w:val="0097508A"/>
    <w:rsid w:val="00975CC3"/>
    <w:rsid w:val="009770CE"/>
    <w:rsid w:val="009779CC"/>
    <w:rsid w:val="009802DD"/>
    <w:rsid w:val="009803CD"/>
    <w:rsid w:val="00980FE1"/>
    <w:rsid w:val="00981310"/>
    <w:rsid w:val="0098188A"/>
    <w:rsid w:val="00981F41"/>
    <w:rsid w:val="00982867"/>
    <w:rsid w:val="00982D78"/>
    <w:rsid w:val="00985562"/>
    <w:rsid w:val="00985589"/>
    <w:rsid w:val="00985D71"/>
    <w:rsid w:val="00986540"/>
    <w:rsid w:val="009877D0"/>
    <w:rsid w:val="009907B9"/>
    <w:rsid w:val="00990E92"/>
    <w:rsid w:val="0099287E"/>
    <w:rsid w:val="00992B97"/>
    <w:rsid w:val="0099344E"/>
    <w:rsid w:val="00995659"/>
    <w:rsid w:val="00996F54"/>
    <w:rsid w:val="00997561"/>
    <w:rsid w:val="009978A5"/>
    <w:rsid w:val="00997A5D"/>
    <w:rsid w:val="009A1450"/>
    <w:rsid w:val="009A1603"/>
    <w:rsid w:val="009A173A"/>
    <w:rsid w:val="009A2AB2"/>
    <w:rsid w:val="009A499F"/>
    <w:rsid w:val="009A57AA"/>
    <w:rsid w:val="009A6F72"/>
    <w:rsid w:val="009A710F"/>
    <w:rsid w:val="009A72B3"/>
    <w:rsid w:val="009A7399"/>
    <w:rsid w:val="009B0486"/>
    <w:rsid w:val="009B1ACB"/>
    <w:rsid w:val="009B1FD4"/>
    <w:rsid w:val="009B25C5"/>
    <w:rsid w:val="009B393A"/>
    <w:rsid w:val="009B5052"/>
    <w:rsid w:val="009B51D1"/>
    <w:rsid w:val="009B53F2"/>
    <w:rsid w:val="009B5400"/>
    <w:rsid w:val="009B591F"/>
    <w:rsid w:val="009B6007"/>
    <w:rsid w:val="009B6E8D"/>
    <w:rsid w:val="009B6FF6"/>
    <w:rsid w:val="009B73C1"/>
    <w:rsid w:val="009B7C4A"/>
    <w:rsid w:val="009C05A2"/>
    <w:rsid w:val="009C2358"/>
    <w:rsid w:val="009C2DB2"/>
    <w:rsid w:val="009C3774"/>
    <w:rsid w:val="009C43AA"/>
    <w:rsid w:val="009C5C35"/>
    <w:rsid w:val="009C6670"/>
    <w:rsid w:val="009C6814"/>
    <w:rsid w:val="009C750B"/>
    <w:rsid w:val="009D0746"/>
    <w:rsid w:val="009D10B9"/>
    <w:rsid w:val="009D178C"/>
    <w:rsid w:val="009D1D79"/>
    <w:rsid w:val="009D214A"/>
    <w:rsid w:val="009D2275"/>
    <w:rsid w:val="009D3348"/>
    <w:rsid w:val="009D380E"/>
    <w:rsid w:val="009D3916"/>
    <w:rsid w:val="009D3979"/>
    <w:rsid w:val="009D3BB4"/>
    <w:rsid w:val="009D44DF"/>
    <w:rsid w:val="009D4721"/>
    <w:rsid w:val="009D4FEE"/>
    <w:rsid w:val="009D5498"/>
    <w:rsid w:val="009D58F8"/>
    <w:rsid w:val="009D5BAE"/>
    <w:rsid w:val="009D5C02"/>
    <w:rsid w:val="009D5D55"/>
    <w:rsid w:val="009D6165"/>
    <w:rsid w:val="009D6E11"/>
    <w:rsid w:val="009D7337"/>
    <w:rsid w:val="009E0219"/>
    <w:rsid w:val="009E06B3"/>
    <w:rsid w:val="009E1E7C"/>
    <w:rsid w:val="009E2052"/>
    <w:rsid w:val="009E2292"/>
    <w:rsid w:val="009E2471"/>
    <w:rsid w:val="009E24A3"/>
    <w:rsid w:val="009E294B"/>
    <w:rsid w:val="009E3001"/>
    <w:rsid w:val="009E3852"/>
    <w:rsid w:val="009E397F"/>
    <w:rsid w:val="009E3FB2"/>
    <w:rsid w:val="009E4799"/>
    <w:rsid w:val="009E49E0"/>
    <w:rsid w:val="009E511C"/>
    <w:rsid w:val="009E6DC6"/>
    <w:rsid w:val="009F0BB5"/>
    <w:rsid w:val="009F289F"/>
    <w:rsid w:val="009F3BC9"/>
    <w:rsid w:val="009F4095"/>
    <w:rsid w:val="009F4E41"/>
    <w:rsid w:val="009F5583"/>
    <w:rsid w:val="009F55A9"/>
    <w:rsid w:val="009F5949"/>
    <w:rsid w:val="009F6019"/>
    <w:rsid w:val="009F7229"/>
    <w:rsid w:val="009F7288"/>
    <w:rsid w:val="009F7896"/>
    <w:rsid w:val="009F7C4C"/>
    <w:rsid w:val="00A00DD9"/>
    <w:rsid w:val="00A00FA0"/>
    <w:rsid w:val="00A0191C"/>
    <w:rsid w:val="00A01E51"/>
    <w:rsid w:val="00A0211C"/>
    <w:rsid w:val="00A034F6"/>
    <w:rsid w:val="00A035D4"/>
    <w:rsid w:val="00A03836"/>
    <w:rsid w:val="00A03B21"/>
    <w:rsid w:val="00A043DE"/>
    <w:rsid w:val="00A052B4"/>
    <w:rsid w:val="00A054AC"/>
    <w:rsid w:val="00A05753"/>
    <w:rsid w:val="00A05FBA"/>
    <w:rsid w:val="00A06147"/>
    <w:rsid w:val="00A0621D"/>
    <w:rsid w:val="00A0655A"/>
    <w:rsid w:val="00A06E39"/>
    <w:rsid w:val="00A075A4"/>
    <w:rsid w:val="00A1086A"/>
    <w:rsid w:val="00A11656"/>
    <w:rsid w:val="00A1165E"/>
    <w:rsid w:val="00A1175C"/>
    <w:rsid w:val="00A1288B"/>
    <w:rsid w:val="00A14213"/>
    <w:rsid w:val="00A14634"/>
    <w:rsid w:val="00A14EA7"/>
    <w:rsid w:val="00A14EE9"/>
    <w:rsid w:val="00A154AB"/>
    <w:rsid w:val="00A1587F"/>
    <w:rsid w:val="00A162F2"/>
    <w:rsid w:val="00A1631F"/>
    <w:rsid w:val="00A168D4"/>
    <w:rsid w:val="00A17E7C"/>
    <w:rsid w:val="00A21BFD"/>
    <w:rsid w:val="00A21DC9"/>
    <w:rsid w:val="00A221A6"/>
    <w:rsid w:val="00A22629"/>
    <w:rsid w:val="00A22E1C"/>
    <w:rsid w:val="00A23B49"/>
    <w:rsid w:val="00A24156"/>
    <w:rsid w:val="00A24564"/>
    <w:rsid w:val="00A246E3"/>
    <w:rsid w:val="00A2505F"/>
    <w:rsid w:val="00A256D6"/>
    <w:rsid w:val="00A25926"/>
    <w:rsid w:val="00A25B26"/>
    <w:rsid w:val="00A260DD"/>
    <w:rsid w:val="00A26594"/>
    <w:rsid w:val="00A269D3"/>
    <w:rsid w:val="00A26F52"/>
    <w:rsid w:val="00A2759E"/>
    <w:rsid w:val="00A30A99"/>
    <w:rsid w:val="00A313C9"/>
    <w:rsid w:val="00A31D3E"/>
    <w:rsid w:val="00A338EE"/>
    <w:rsid w:val="00A3434B"/>
    <w:rsid w:val="00A34651"/>
    <w:rsid w:val="00A35949"/>
    <w:rsid w:val="00A35C2A"/>
    <w:rsid w:val="00A36421"/>
    <w:rsid w:val="00A36831"/>
    <w:rsid w:val="00A36C86"/>
    <w:rsid w:val="00A415DC"/>
    <w:rsid w:val="00A41AB9"/>
    <w:rsid w:val="00A41E81"/>
    <w:rsid w:val="00A434AA"/>
    <w:rsid w:val="00A44490"/>
    <w:rsid w:val="00A44E28"/>
    <w:rsid w:val="00A44E6D"/>
    <w:rsid w:val="00A4758A"/>
    <w:rsid w:val="00A475C2"/>
    <w:rsid w:val="00A47A08"/>
    <w:rsid w:val="00A47C76"/>
    <w:rsid w:val="00A505B3"/>
    <w:rsid w:val="00A50FF4"/>
    <w:rsid w:val="00A5128B"/>
    <w:rsid w:val="00A514D7"/>
    <w:rsid w:val="00A52254"/>
    <w:rsid w:val="00A52325"/>
    <w:rsid w:val="00A52C8E"/>
    <w:rsid w:val="00A53715"/>
    <w:rsid w:val="00A53A94"/>
    <w:rsid w:val="00A53D50"/>
    <w:rsid w:val="00A54C79"/>
    <w:rsid w:val="00A54DAF"/>
    <w:rsid w:val="00A55E21"/>
    <w:rsid w:val="00A5680E"/>
    <w:rsid w:val="00A6124D"/>
    <w:rsid w:val="00A612B4"/>
    <w:rsid w:val="00A612D1"/>
    <w:rsid w:val="00A62D32"/>
    <w:rsid w:val="00A639CF"/>
    <w:rsid w:val="00A642E1"/>
    <w:rsid w:val="00A65061"/>
    <w:rsid w:val="00A6507B"/>
    <w:rsid w:val="00A66D67"/>
    <w:rsid w:val="00A67728"/>
    <w:rsid w:val="00A704B4"/>
    <w:rsid w:val="00A70D9B"/>
    <w:rsid w:val="00A70F20"/>
    <w:rsid w:val="00A71A0B"/>
    <w:rsid w:val="00A71A6E"/>
    <w:rsid w:val="00A71CFF"/>
    <w:rsid w:val="00A71D67"/>
    <w:rsid w:val="00A72388"/>
    <w:rsid w:val="00A726A0"/>
    <w:rsid w:val="00A7336F"/>
    <w:rsid w:val="00A73F92"/>
    <w:rsid w:val="00A7526A"/>
    <w:rsid w:val="00A76D35"/>
    <w:rsid w:val="00A7713E"/>
    <w:rsid w:val="00A8050B"/>
    <w:rsid w:val="00A82522"/>
    <w:rsid w:val="00A836FA"/>
    <w:rsid w:val="00A83860"/>
    <w:rsid w:val="00A83999"/>
    <w:rsid w:val="00A83C40"/>
    <w:rsid w:val="00A8431E"/>
    <w:rsid w:val="00A84873"/>
    <w:rsid w:val="00A84F59"/>
    <w:rsid w:val="00A856C4"/>
    <w:rsid w:val="00A85F9E"/>
    <w:rsid w:val="00A85FFD"/>
    <w:rsid w:val="00A878FC"/>
    <w:rsid w:val="00A90329"/>
    <w:rsid w:val="00A909BD"/>
    <w:rsid w:val="00A92A9D"/>
    <w:rsid w:val="00A93D8E"/>
    <w:rsid w:val="00A93EC1"/>
    <w:rsid w:val="00A93F1A"/>
    <w:rsid w:val="00A941D9"/>
    <w:rsid w:val="00A94373"/>
    <w:rsid w:val="00A95001"/>
    <w:rsid w:val="00A95D84"/>
    <w:rsid w:val="00A95F2C"/>
    <w:rsid w:val="00A96551"/>
    <w:rsid w:val="00A966C0"/>
    <w:rsid w:val="00A96A56"/>
    <w:rsid w:val="00A96E37"/>
    <w:rsid w:val="00A97BF9"/>
    <w:rsid w:val="00AA07B3"/>
    <w:rsid w:val="00AA08B3"/>
    <w:rsid w:val="00AA0940"/>
    <w:rsid w:val="00AA2973"/>
    <w:rsid w:val="00AA29B1"/>
    <w:rsid w:val="00AA2EA8"/>
    <w:rsid w:val="00AA3699"/>
    <w:rsid w:val="00AA3859"/>
    <w:rsid w:val="00AA4669"/>
    <w:rsid w:val="00AA4F90"/>
    <w:rsid w:val="00AA5193"/>
    <w:rsid w:val="00AA52D4"/>
    <w:rsid w:val="00AA572D"/>
    <w:rsid w:val="00AA6A88"/>
    <w:rsid w:val="00AA6B3C"/>
    <w:rsid w:val="00AA6FFD"/>
    <w:rsid w:val="00AB0187"/>
    <w:rsid w:val="00AB0BDC"/>
    <w:rsid w:val="00AB0DC3"/>
    <w:rsid w:val="00AB1430"/>
    <w:rsid w:val="00AB16C1"/>
    <w:rsid w:val="00AB28A4"/>
    <w:rsid w:val="00AB2EDE"/>
    <w:rsid w:val="00AB41F7"/>
    <w:rsid w:val="00AB43AC"/>
    <w:rsid w:val="00AB4453"/>
    <w:rsid w:val="00AB44D7"/>
    <w:rsid w:val="00AB54E0"/>
    <w:rsid w:val="00AB6BF3"/>
    <w:rsid w:val="00AB732C"/>
    <w:rsid w:val="00AB749C"/>
    <w:rsid w:val="00AC04DC"/>
    <w:rsid w:val="00AC077D"/>
    <w:rsid w:val="00AC0793"/>
    <w:rsid w:val="00AC1C73"/>
    <w:rsid w:val="00AC1DC9"/>
    <w:rsid w:val="00AC2515"/>
    <w:rsid w:val="00AC28D4"/>
    <w:rsid w:val="00AC2950"/>
    <w:rsid w:val="00AC2D49"/>
    <w:rsid w:val="00AC2F0D"/>
    <w:rsid w:val="00AC3D18"/>
    <w:rsid w:val="00AC4269"/>
    <w:rsid w:val="00AC4862"/>
    <w:rsid w:val="00AC4870"/>
    <w:rsid w:val="00AC5327"/>
    <w:rsid w:val="00AC555C"/>
    <w:rsid w:val="00AC5A86"/>
    <w:rsid w:val="00AC5BD7"/>
    <w:rsid w:val="00AC5C62"/>
    <w:rsid w:val="00AC5EE9"/>
    <w:rsid w:val="00AC6175"/>
    <w:rsid w:val="00AC7261"/>
    <w:rsid w:val="00AC7644"/>
    <w:rsid w:val="00AD0A4B"/>
    <w:rsid w:val="00AD0FE2"/>
    <w:rsid w:val="00AD103D"/>
    <w:rsid w:val="00AD2977"/>
    <w:rsid w:val="00AD2C05"/>
    <w:rsid w:val="00AD2EFD"/>
    <w:rsid w:val="00AD6E18"/>
    <w:rsid w:val="00AD7770"/>
    <w:rsid w:val="00AE0742"/>
    <w:rsid w:val="00AE14CF"/>
    <w:rsid w:val="00AE1ADE"/>
    <w:rsid w:val="00AE1B7F"/>
    <w:rsid w:val="00AE2683"/>
    <w:rsid w:val="00AE2804"/>
    <w:rsid w:val="00AE4188"/>
    <w:rsid w:val="00AE49AB"/>
    <w:rsid w:val="00AE4B2F"/>
    <w:rsid w:val="00AE4CD4"/>
    <w:rsid w:val="00AE621B"/>
    <w:rsid w:val="00AE625B"/>
    <w:rsid w:val="00AE6613"/>
    <w:rsid w:val="00AE6B35"/>
    <w:rsid w:val="00AF0226"/>
    <w:rsid w:val="00AF058F"/>
    <w:rsid w:val="00AF061C"/>
    <w:rsid w:val="00AF0739"/>
    <w:rsid w:val="00AF0D2B"/>
    <w:rsid w:val="00AF1852"/>
    <w:rsid w:val="00AF1927"/>
    <w:rsid w:val="00AF2237"/>
    <w:rsid w:val="00AF279A"/>
    <w:rsid w:val="00AF2A3A"/>
    <w:rsid w:val="00AF32F7"/>
    <w:rsid w:val="00AF5184"/>
    <w:rsid w:val="00AF56A8"/>
    <w:rsid w:val="00AF5ED8"/>
    <w:rsid w:val="00AF5F49"/>
    <w:rsid w:val="00AF6FF6"/>
    <w:rsid w:val="00AF762A"/>
    <w:rsid w:val="00AF7FE6"/>
    <w:rsid w:val="00B00AFF"/>
    <w:rsid w:val="00B00B27"/>
    <w:rsid w:val="00B00E0C"/>
    <w:rsid w:val="00B01EBE"/>
    <w:rsid w:val="00B03C14"/>
    <w:rsid w:val="00B03F68"/>
    <w:rsid w:val="00B04B52"/>
    <w:rsid w:val="00B055FB"/>
    <w:rsid w:val="00B06FE9"/>
    <w:rsid w:val="00B10BCA"/>
    <w:rsid w:val="00B10F71"/>
    <w:rsid w:val="00B11473"/>
    <w:rsid w:val="00B137BF"/>
    <w:rsid w:val="00B14B50"/>
    <w:rsid w:val="00B15427"/>
    <w:rsid w:val="00B15664"/>
    <w:rsid w:val="00B1611F"/>
    <w:rsid w:val="00B205C1"/>
    <w:rsid w:val="00B216E8"/>
    <w:rsid w:val="00B2192D"/>
    <w:rsid w:val="00B225ED"/>
    <w:rsid w:val="00B229F0"/>
    <w:rsid w:val="00B22F8A"/>
    <w:rsid w:val="00B2318E"/>
    <w:rsid w:val="00B2353B"/>
    <w:rsid w:val="00B244F0"/>
    <w:rsid w:val="00B245FD"/>
    <w:rsid w:val="00B308BC"/>
    <w:rsid w:val="00B32575"/>
    <w:rsid w:val="00B32BDA"/>
    <w:rsid w:val="00B336EE"/>
    <w:rsid w:val="00B33A76"/>
    <w:rsid w:val="00B33F80"/>
    <w:rsid w:val="00B342AA"/>
    <w:rsid w:val="00B345EF"/>
    <w:rsid w:val="00B34F94"/>
    <w:rsid w:val="00B35A17"/>
    <w:rsid w:val="00B374AF"/>
    <w:rsid w:val="00B3766E"/>
    <w:rsid w:val="00B40E9A"/>
    <w:rsid w:val="00B4113C"/>
    <w:rsid w:val="00B41304"/>
    <w:rsid w:val="00B41578"/>
    <w:rsid w:val="00B42507"/>
    <w:rsid w:val="00B428D9"/>
    <w:rsid w:val="00B44297"/>
    <w:rsid w:val="00B44774"/>
    <w:rsid w:val="00B44C56"/>
    <w:rsid w:val="00B4594F"/>
    <w:rsid w:val="00B45C12"/>
    <w:rsid w:val="00B45F62"/>
    <w:rsid w:val="00B466EC"/>
    <w:rsid w:val="00B46A45"/>
    <w:rsid w:val="00B471F7"/>
    <w:rsid w:val="00B478DC"/>
    <w:rsid w:val="00B47C53"/>
    <w:rsid w:val="00B50698"/>
    <w:rsid w:val="00B5092B"/>
    <w:rsid w:val="00B51DDF"/>
    <w:rsid w:val="00B523B1"/>
    <w:rsid w:val="00B535C9"/>
    <w:rsid w:val="00B53F73"/>
    <w:rsid w:val="00B54568"/>
    <w:rsid w:val="00B54DD6"/>
    <w:rsid w:val="00B5538B"/>
    <w:rsid w:val="00B55938"/>
    <w:rsid w:val="00B55CFD"/>
    <w:rsid w:val="00B57386"/>
    <w:rsid w:val="00B608DF"/>
    <w:rsid w:val="00B60999"/>
    <w:rsid w:val="00B60DE6"/>
    <w:rsid w:val="00B60E34"/>
    <w:rsid w:val="00B61BFC"/>
    <w:rsid w:val="00B621FB"/>
    <w:rsid w:val="00B62CB2"/>
    <w:rsid w:val="00B6309A"/>
    <w:rsid w:val="00B6347F"/>
    <w:rsid w:val="00B658AF"/>
    <w:rsid w:val="00B6699D"/>
    <w:rsid w:val="00B66FAC"/>
    <w:rsid w:val="00B676EF"/>
    <w:rsid w:val="00B70C4D"/>
    <w:rsid w:val="00B70DF1"/>
    <w:rsid w:val="00B70E20"/>
    <w:rsid w:val="00B71BC0"/>
    <w:rsid w:val="00B7271C"/>
    <w:rsid w:val="00B72D12"/>
    <w:rsid w:val="00B7399E"/>
    <w:rsid w:val="00B73CB7"/>
    <w:rsid w:val="00B74BF5"/>
    <w:rsid w:val="00B7501B"/>
    <w:rsid w:val="00B752AA"/>
    <w:rsid w:val="00B754D8"/>
    <w:rsid w:val="00B76027"/>
    <w:rsid w:val="00B765A7"/>
    <w:rsid w:val="00B766D7"/>
    <w:rsid w:val="00B76D0D"/>
    <w:rsid w:val="00B77516"/>
    <w:rsid w:val="00B77E1C"/>
    <w:rsid w:val="00B80B00"/>
    <w:rsid w:val="00B80DFC"/>
    <w:rsid w:val="00B81A26"/>
    <w:rsid w:val="00B81B02"/>
    <w:rsid w:val="00B81EE6"/>
    <w:rsid w:val="00B82D57"/>
    <w:rsid w:val="00B849D0"/>
    <w:rsid w:val="00B854E8"/>
    <w:rsid w:val="00B85B9E"/>
    <w:rsid w:val="00B85D29"/>
    <w:rsid w:val="00B85F6E"/>
    <w:rsid w:val="00B86E2E"/>
    <w:rsid w:val="00B86EE9"/>
    <w:rsid w:val="00B90EFF"/>
    <w:rsid w:val="00B91067"/>
    <w:rsid w:val="00B910CC"/>
    <w:rsid w:val="00B9244A"/>
    <w:rsid w:val="00B93120"/>
    <w:rsid w:val="00B93160"/>
    <w:rsid w:val="00B93266"/>
    <w:rsid w:val="00B94545"/>
    <w:rsid w:val="00B958D0"/>
    <w:rsid w:val="00B9738D"/>
    <w:rsid w:val="00B97489"/>
    <w:rsid w:val="00B9776D"/>
    <w:rsid w:val="00B97858"/>
    <w:rsid w:val="00BA034F"/>
    <w:rsid w:val="00BA09EA"/>
    <w:rsid w:val="00BA1B18"/>
    <w:rsid w:val="00BA1D8A"/>
    <w:rsid w:val="00BA1FD1"/>
    <w:rsid w:val="00BA2777"/>
    <w:rsid w:val="00BA2D8A"/>
    <w:rsid w:val="00BA382D"/>
    <w:rsid w:val="00BA5431"/>
    <w:rsid w:val="00BA5E9F"/>
    <w:rsid w:val="00BA61F1"/>
    <w:rsid w:val="00BA625A"/>
    <w:rsid w:val="00BA64A2"/>
    <w:rsid w:val="00BA6AFF"/>
    <w:rsid w:val="00BB03A2"/>
    <w:rsid w:val="00BB04C8"/>
    <w:rsid w:val="00BB247F"/>
    <w:rsid w:val="00BB3C6E"/>
    <w:rsid w:val="00BB5A5B"/>
    <w:rsid w:val="00BB6696"/>
    <w:rsid w:val="00BB6CF5"/>
    <w:rsid w:val="00BB6ED6"/>
    <w:rsid w:val="00BB7120"/>
    <w:rsid w:val="00BC049E"/>
    <w:rsid w:val="00BC1A98"/>
    <w:rsid w:val="00BC263E"/>
    <w:rsid w:val="00BC339B"/>
    <w:rsid w:val="00BC4017"/>
    <w:rsid w:val="00BC4215"/>
    <w:rsid w:val="00BC582B"/>
    <w:rsid w:val="00BC5D96"/>
    <w:rsid w:val="00BC6C15"/>
    <w:rsid w:val="00BD029C"/>
    <w:rsid w:val="00BD0813"/>
    <w:rsid w:val="00BD3126"/>
    <w:rsid w:val="00BD3163"/>
    <w:rsid w:val="00BD334B"/>
    <w:rsid w:val="00BD48C2"/>
    <w:rsid w:val="00BD4EC3"/>
    <w:rsid w:val="00BD59B6"/>
    <w:rsid w:val="00BD5B41"/>
    <w:rsid w:val="00BD618D"/>
    <w:rsid w:val="00BD73D0"/>
    <w:rsid w:val="00BD7D62"/>
    <w:rsid w:val="00BE16D9"/>
    <w:rsid w:val="00BE4FAF"/>
    <w:rsid w:val="00BE6021"/>
    <w:rsid w:val="00BF0653"/>
    <w:rsid w:val="00BF0A49"/>
    <w:rsid w:val="00BF0CB3"/>
    <w:rsid w:val="00BF2C65"/>
    <w:rsid w:val="00BF3F75"/>
    <w:rsid w:val="00BF4721"/>
    <w:rsid w:val="00BF4D56"/>
    <w:rsid w:val="00BF5097"/>
    <w:rsid w:val="00BF51CB"/>
    <w:rsid w:val="00BF55A7"/>
    <w:rsid w:val="00BF6D26"/>
    <w:rsid w:val="00BF7C4D"/>
    <w:rsid w:val="00BF7FAF"/>
    <w:rsid w:val="00C004B4"/>
    <w:rsid w:val="00C00B73"/>
    <w:rsid w:val="00C023BA"/>
    <w:rsid w:val="00C02545"/>
    <w:rsid w:val="00C033A3"/>
    <w:rsid w:val="00C03715"/>
    <w:rsid w:val="00C03842"/>
    <w:rsid w:val="00C051B8"/>
    <w:rsid w:val="00C05CC3"/>
    <w:rsid w:val="00C06387"/>
    <w:rsid w:val="00C06683"/>
    <w:rsid w:val="00C06DE8"/>
    <w:rsid w:val="00C104CE"/>
    <w:rsid w:val="00C10AFF"/>
    <w:rsid w:val="00C10B7F"/>
    <w:rsid w:val="00C10F48"/>
    <w:rsid w:val="00C11820"/>
    <w:rsid w:val="00C11988"/>
    <w:rsid w:val="00C11D30"/>
    <w:rsid w:val="00C12F94"/>
    <w:rsid w:val="00C1385F"/>
    <w:rsid w:val="00C147C2"/>
    <w:rsid w:val="00C15B18"/>
    <w:rsid w:val="00C15C33"/>
    <w:rsid w:val="00C16BDB"/>
    <w:rsid w:val="00C20283"/>
    <w:rsid w:val="00C203A3"/>
    <w:rsid w:val="00C2160C"/>
    <w:rsid w:val="00C21D23"/>
    <w:rsid w:val="00C222F9"/>
    <w:rsid w:val="00C243BF"/>
    <w:rsid w:val="00C243E1"/>
    <w:rsid w:val="00C248BB"/>
    <w:rsid w:val="00C24D4A"/>
    <w:rsid w:val="00C25CFF"/>
    <w:rsid w:val="00C26BDF"/>
    <w:rsid w:val="00C26CA2"/>
    <w:rsid w:val="00C27B24"/>
    <w:rsid w:val="00C31F39"/>
    <w:rsid w:val="00C32541"/>
    <w:rsid w:val="00C33282"/>
    <w:rsid w:val="00C33B15"/>
    <w:rsid w:val="00C3605E"/>
    <w:rsid w:val="00C360F7"/>
    <w:rsid w:val="00C36991"/>
    <w:rsid w:val="00C374FF"/>
    <w:rsid w:val="00C37737"/>
    <w:rsid w:val="00C37AB5"/>
    <w:rsid w:val="00C40A26"/>
    <w:rsid w:val="00C43586"/>
    <w:rsid w:val="00C43D2D"/>
    <w:rsid w:val="00C454BB"/>
    <w:rsid w:val="00C457C1"/>
    <w:rsid w:val="00C461B0"/>
    <w:rsid w:val="00C47336"/>
    <w:rsid w:val="00C511F6"/>
    <w:rsid w:val="00C52887"/>
    <w:rsid w:val="00C52ED0"/>
    <w:rsid w:val="00C530B5"/>
    <w:rsid w:val="00C538F7"/>
    <w:rsid w:val="00C53D29"/>
    <w:rsid w:val="00C544E3"/>
    <w:rsid w:val="00C57115"/>
    <w:rsid w:val="00C606C7"/>
    <w:rsid w:val="00C61D8B"/>
    <w:rsid w:val="00C623A7"/>
    <w:rsid w:val="00C63272"/>
    <w:rsid w:val="00C6392B"/>
    <w:rsid w:val="00C646C2"/>
    <w:rsid w:val="00C65A7E"/>
    <w:rsid w:val="00C65C21"/>
    <w:rsid w:val="00C66C09"/>
    <w:rsid w:val="00C67841"/>
    <w:rsid w:val="00C7011E"/>
    <w:rsid w:val="00C704DD"/>
    <w:rsid w:val="00C71361"/>
    <w:rsid w:val="00C71590"/>
    <w:rsid w:val="00C71751"/>
    <w:rsid w:val="00C72E73"/>
    <w:rsid w:val="00C73835"/>
    <w:rsid w:val="00C73F2A"/>
    <w:rsid w:val="00C7436A"/>
    <w:rsid w:val="00C75EC0"/>
    <w:rsid w:val="00C766C9"/>
    <w:rsid w:val="00C7701A"/>
    <w:rsid w:val="00C772C5"/>
    <w:rsid w:val="00C7789B"/>
    <w:rsid w:val="00C77C91"/>
    <w:rsid w:val="00C8055A"/>
    <w:rsid w:val="00C80BCC"/>
    <w:rsid w:val="00C81AF1"/>
    <w:rsid w:val="00C8245D"/>
    <w:rsid w:val="00C831C2"/>
    <w:rsid w:val="00C83395"/>
    <w:rsid w:val="00C83515"/>
    <w:rsid w:val="00C837E2"/>
    <w:rsid w:val="00C83EE7"/>
    <w:rsid w:val="00C85ECB"/>
    <w:rsid w:val="00C86592"/>
    <w:rsid w:val="00C86A69"/>
    <w:rsid w:val="00C86AFE"/>
    <w:rsid w:val="00C86DF2"/>
    <w:rsid w:val="00C86F01"/>
    <w:rsid w:val="00C87238"/>
    <w:rsid w:val="00C87B1A"/>
    <w:rsid w:val="00C900E4"/>
    <w:rsid w:val="00C91A3F"/>
    <w:rsid w:val="00C91E4E"/>
    <w:rsid w:val="00C922E9"/>
    <w:rsid w:val="00C92476"/>
    <w:rsid w:val="00C92A62"/>
    <w:rsid w:val="00C930DC"/>
    <w:rsid w:val="00C93FD9"/>
    <w:rsid w:val="00C9493D"/>
    <w:rsid w:val="00C9510D"/>
    <w:rsid w:val="00C96FD4"/>
    <w:rsid w:val="00C97156"/>
    <w:rsid w:val="00C97979"/>
    <w:rsid w:val="00CA08FD"/>
    <w:rsid w:val="00CA0937"/>
    <w:rsid w:val="00CA13A8"/>
    <w:rsid w:val="00CA149B"/>
    <w:rsid w:val="00CA16B4"/>
    <w:rsid w:val="00CA16F5"/>
    <w:rsid w:val="00CA1783"/>
    <w:rsid w:val="00CA1AEE"/>
    <w:rsid w:val="00CA39BC"/>
    <w:rsid w:val="00CA3AE5"/>
    <w:rsid w:val="00CA3E7B"/>
    <w:rsid w:val="00CA5F36"/>
    <w:rsid w:val="00CA6052"/>
    <w:rsid w:val="00CA6115"/>
    <w:rsid w:val="00CA6729"/>
    <w:rsid w:val="00CA73E4"/>
    <w:rsid w:val="00CB00EF"/>
    <w:rsid w:val="00CB064D"/>
    <w:rsid w:val="00CB0B93"/>
    <w:rsid w:val="00CB0C30"/>
    <w:rsid w:val="00CB0E3C"/>
    <w:rsid w:val="00CB1354"/>
    <w:rsid w:val="00CB1408"/>
    <w:rsid w:val="00CB2077"/>
    <w:rsid w:val="00CB219A"/>
    <w:rsid w:val="00CB23FC"/>
    <w:rsid w:val="00CB2449"/>
    <w:rsid w:val="00CB2831"/>
    <w:rsid w:val="00CB2BA6"/>
    <w:rsid w:val="00CB2C85"/>
    <w:rsid w:val="00CB36C9"/>
    <w:rsid w:val="00CB383E"/>
    <w:rsid w:val="00CB4480"/>
    <w:rsid w:val="00CB465F"/>
    <w:rsid w:val="00CB576D"/>
    <w:rsid w:val="00CB6707"/>
    <w:rsid w:val="00CB6873"/>
    <w:rsid w:val="00CB6C55"/>
    <w:rsid w:val="00CB7118"/>
    <w:rsid w:val="00CB72C1"/>
    <w:rsid w:val="00CB7359"/>
    <w:rsid w:val="00CC06A4"/>
    <w:rsid w:val="00CC07DF"/>
    <w:rsid w:val="00CC0FF0"/>
    <w:rsid w:val="00CC27D8"/>
    <w:rsid w:val="00CC28F3"/>
    <w:rsid w:val="00CC3058"/>
    <w:rsid w:val="00CC33B2"/>
    <w:rsid w:val="00CC363F"/>
    <w:rsid w:val="00CC43CC"/>
    <w:rsid w:val="00CC4BA0"/>
    <w:rsid w:val="00CC4E0F"/>
    <w:rsid w:val="00CC5A95"/>
    <w:rsid w:val="00CC6633"/>
    <w:rsid w:val="00CC6F7D"/>
    <w:rsid w:val="00CC7516"/>
    <w:rsid w:val="00CD156A"/>
    <w:rsid w:val="00CD1BD2"/>
    <w:rsid w:val="00CD2543"/>
    <w:rsid w:val="00CD2EFB"/>
    <w:rsid w:val="00CD3A67"/>
    <w:rsid w:val="00CD47EB"/>
    <w:rsid w:val="00CD49B5"/>
    <w:rsid w:val="00CD4A78"/>
    <w:rsid w:val="00CD553D"/>
    <w:rsid w:val="00CD55B7"/>
    <w:rsid w:val="00CD6240"/>
    <w:rsid w:val="00CD6847"/>
    <w:rsid w:val="00CE0023"/>
    <w:rsid w:val="00CE0751"/>
    <w:rsid w:val="00CE115E"/>
    <w:rsid w:val="00CE185A"/>
    <w:rsid w:val="00CE1FD7"/>
    <w:rsid w:val="00CE237D"/>
    <w:rsid w:val="00CE264E"/>
    <w:rsid w:val="00CE3B24"/>
    <w:rsid w:val="00CE3F6D"/>
    <w:rsid w:val="00CE4552"/>
    <w:rsid w:val="00CE5072"/>
    <w:rsid w:val="00CE5122"/>
    <w:rsid w:val="00CE584F"/>
    <w:rsid w:val="00CE59D7"/>
    <w:rsid w:val="00CE60DC"/>
    <w:rsid w:val="00CE6E5A"/>
    <w:rsid w:val="00CF059D"/>
    <w:rsid w:val="00CF0AFF"/>
    <w:rsid w:val="00CF1CBA"/>
    <w:rsid w:val="00CF2021"/>
    <w:rsid w:val="00CF2ADA"/>
    <w:rsid w:val="00CF3401"/>
    <w:rsid w:val="00CF3BEA"/>
    <w:rsid w:val="00CF3C25"/>
    <w:rsid w:val="00CF3CEE"/>
    <w:rsid w:val="00CF3E85"/>
    <w:rsid w:val="00CF3F3B"/>
    <w:rsid w:val="00CF4AF3"/>
    <w:rsid w:val="00CF5362"/>
    <w:rsid w:val="00CF5CD4"/>
    <w:rsid w:val="00CF60BC"/>
    <w:rsid w:val="00CF70C5"/>
    <w:rsid w:val="00CF7235"/>
    <w:rsid w:val="00D005E5"/>
    <w:rsid w:val="00D00743"/>
    <w:rsid w:val="00D007DB"/>
    <w:rsid w:val="00D0082C"/>
    <w:rsid w:val="00D01955"/>
    <w:rsid w:val="00D0195E"/>
    <w:rsid w:val="00D01DA4"/>
    <w:rsid w:val="00D01FA9"/>
    <w:rsid w:val="00D02B3A"/>
    <w:rsid w:val="00D02D0C"/>
    <w:rsid w:val="00D030D4"/>
    <w:rsid w:val="00D033AB"/>
    <w:rsid w:val="00D03BA7"/>
    <w:rsid w:val="00D03E48"/>
    <w:rsid w:val="00D04FB9"/>
    <w:rsid w:val="00D05A21"/>
    <w:rsid w:val="00D06129"/>
    <w:rsid w:val="00D070E0"/>
    <w:rsid w:val="00D072D5"/>
    <w:rsid w:val="00D07D96"/>
    <w:rsid w:val="00D10181"/>
    <w:rsid w:val="00D1019A"/>
    <w:rsid w:val="00D10DB2"/>
    <w:rsid w:val="00D10DFA"/>
    <w:rsid w:val="00D117FC"/>
    <w:rsid w:val="00D136F1"/>
    <w:rsid w:val="00D14F96"/>
    <w:rsid w:val="00D14FC0"/>
    <w:rsid w:val="00D15199"/>
    <w:rsid w:val="00D2118B"/>
    <w:rsid w:val="00D21552"/>
    <w:rsid w:val="00D219E5"/>
    <w:rsid w:val="00D22B44"/>
    <w:rsid w:val="00D232AF"/>
    <w:rsid w:val="00D233A1"/>
    <w:rsid w:val="00D23E11"/>
    <w:rsid w:val="00D25921"/>
    <w:rsid w:val="00D25E2B"/>
    <w:rsid w:val="00D26DD3"/>
    <w:rsid w:val="00D27127"/>
    <w:rsid w:val="00D272A3"/>
    <w:rsid w:val="00D27523"/>
    <w:rsid w:val="00D277CE"/>
    <w:rsid w:val="00D3262E"/>
    <w:rsid w:val="00D331DA"/>
    <w:rsid w:val="00D33AA3"/>
    <w:rsid w:val="00D35FF4"/>
    <w:rsid w:val="00D362D2"/>
    <w:rsid w:val="00D371FC"/>
    <w:rsid w:val="00D37546"/>
    <w:rsid w:val="00D37BD0"/>
    <w:rsid w:val="00D4058E"/>
    <w:rsid w:val="00D40882"/>
    <w:rsid w:val="00D40D18"/>
    <w:rsid w:val="00D40EEA"/>
    <w:rsid w:val="00D41D6F"/>
    <w:rsid w:val="00D430C4"/>
    <w:rsid w:val="00D43237"/>
    <w:rsid w:val="00D4371F"/>
    <w:rsid w:val="00D43723"/>
    <w:rsid w:val="00D43F6D"/>
    <w:rsid w:val="00D4426E"/>
    <w:rsid w:val="00D446EE"/>
    <w:rsid w:val="00D44770"/>
    <w:rsid w:val="00D447C2"/>
    <w:rsid w:val="00D44BC6"/>
    <w:rsid w:val="00D45066"/>
    <w:rsid w:val="00D454F8"/>
    <w:rsid w:val="00D46C8B"/>
    <w:rsid w:val="00D473CE"/>
    <w:rsid w:val="00D47B1D"/>
    <w:rsid w:val="00D47F76"/>
    <w:rsid w:val="00D5116F"/>
    <w:rsid w:val="00D527B8"/>
    <w:rsid w:val="00D54FAD"/>
    <w:rsid w:val="00D56E34"/>
    <w:rsid w:val="00D577B0"/>
    <w:rsid w:val="00D5785C"/>
    <w:rsid w:val="00D57974"/>
    <w:rsid w:val="00D57F5D"/>
    <w:rsid w:val="00D613B6"/>
    <w:rsid w:val="00D619A5"/>
    <w:rsid w:val="00D638CF"/>
    <w:rsid w:val="00D64684"/>
    <w:rsid w:val="00D65435"/>
    <w:rsid w:val="00D655ED"/>
    <w:rsid w:val="00D65743"/>
    <w:rsid w:val="00D67D86"/>
    <w:rsid w:val="00D67E42"/>
    <w:rsid w:val="00D701E9"/>
    <w:rsid w:val="00D7143C"/>
    <w:rsid w:val="00D7196B"/>
    <w:rsid w:val="00D7368F"/>
    <w:rsid w:val="00D7458A"/>
    <w:rsid w:val="00D74BDE"/>
    <w:rsid w:val="00D75793"/>
    <w:rsid w:val="00D75D7A"/>
    <w:rsid w:val="00D7626D"/>
    <w:rsid w:val="00D76B28"/>
    <w:rsid w:val="00D80F58"/>
    <w:rsid w:val="00D81713"/>
    <w:rsid w:val="00D81914"/>
    <w:rsid w:val="00D81F99"/>
    <w:rsid w:val="00D83290"/>
    <w:rsid w:val="00D83688"/>
    <w:rsid w:val="00D8414A"/>
    <w:rsid w:val="00D84198"/>
    <w:rsid w:val="00D842CA"/>
    <w:rsid w:val="00D851ED"/>
    <w:rsid w:val="00D85784"/>
    <w:rsid w:val="00D8579B"/>
    <w:rsid w:val="00D861E0"/>
    <w:rsid w:val="00D86688"/>
    <w:rsid w:val="00D87508"/>
    <w:rsid w:val="00D879A7"/>
    <w:rsid w:val="00D87A59"/>
    <w:rsid w:val="00D90B6D"/>
    <w:rsid w:val="00D921CD"/>
    <w:rsid w:val="00D927D7"/>
    <w:rsid w:val="00D9358D"/>
    <w:rsid w:val="00D93A96"/>
    <w:rsid w:val="00D95674"/>
    <w:rsid w:val="00D961FD"/>
    <w:rsid w:val="00D97389"/>
    <w:rsid w:val="00D97672"/>
    <w:rsid w:val="00D97A84"/>
    <w:rsid w:val="00DA0DD5"/>
    <w:rsid w:val="00DA1ED0"/>
    <w:rsid w:val="00DA1FE7"/>
    <w:rsid w:val="00DA272F"/>
    <w:rsid w:val="00DA2FC7"/>
    <w:rsid w:val="00DA2FCA"/>
    <w:rsid w:val="00DA3216"/>
    <w:rsid w:val="00DA41DE"/>
    <w:rsid w:val="00DA595A"/>
    <w:rsid w:val="00DA5C05"/>
    <w:rsid w:val="00DA6D3E"/>
    <w:rsid w:val="00DA7964"/>
    <w:rsid w:val="00DB0716"/>
    <w:rsid w:val="00DB0C70"/>
    <w:rsid w:val="00DB0D3A"/>
    <w:rsid w:val="00DB0EB9"/>
    <w:rsid w:val="00DB118D"/>
    <w:rsid w:val="00DB1D52"/>
    <w:rsid w:val="00DB27C2"/>
    <w:rsid w:val="00DB2D7C"/>
    <w:rsid w:val="00DB391A"/>
    <w:rsid w:val="00DB3DAB"/>
    <w:rsid w:val="00DB3F0C"/>
    <w:rsid w:val="00DB49F2"/>
    <w:rsid w:val="00DB5D5A"/>
    <w:rsid w:val="00DB5D5F"/>
    <w:rsid w:val="00DB6670"/>
    <w:rsid w:val="00DB7880"/>
    <w:rsid w:val="00DB7C06"/>
    <w:rsid w:val="00DC0438"/>
    <w:rsid w:val="00DC19ED"/>
    <w:rsid w:val="00DC2133"/>
    <w:rsid w:val="00DC3514"/>
    <w:rsid w:val="00DC38F6"/>
    <w:rsid w:val="00DC4246"/>
    <w:rsid w:val="00DC460D"/>
    <w:rsid w:val="00DC4B17"/>
    <w:rsid w:val="00DC4E52"/>
    <w:rsid w:val="00DC5238"/>
    <w:rsid w:val="00DC56DF"/>
    <w:rsid w:val="00DC5DF3"/>
    <w:rsid w:val="00DC5FFD"/>
    <w:rsid w:val="00DC662C"/>
    <w:rsid w:val="00DC66C2"/>
    <w:rsid w:val="00DC78FC"/>
    <w:rsid w:val="00DD0716"/>
    <w:rsid w:val="00DD1C9B"/>
    <w:rsid w:val="00DD2AFF"/>
    <w:rsid w:val="00DD2ED0"/>
    <w:rsid w:val="00DD3510"/>
    <w:rsid w:val="00DD351F"/>
    <w:rsid w:val="00DD35E8"/>
    <w:rsid w:val="00DD35F8"/>
    <w:rsid w:val="00DD40C6"/>
    <w:rsid w:val="00DD448A"/>
    <w:rsid w:val="00DD4DA0"/>
    <w:rsid w:val="00DD5B77"/>
    <w:rsid w:val="00DD6B6F"/>
    <w:rsid w:val="00DD6F85"/>
    <w:rsid w:val="00DE0FEB"/>
    <w:rsid w:val="00DE1926"/>
    <w:rsid w:val="00DE23EB"/>
    <w:rsid w:val="00DE253B"/>
    <w:rsid w:val="00DE2E49"/>
    <w:rsid w:val="00DE36C5"/>
    <w:rsid w:val="00DE43B5"/>
    <w:rsid w:val="00DE4569"/>
    <w:rsid w:val="00DE4A25"/>
    <w:rsid w:val="00DE536D"/>
    <w:rsid w:val="00DE5920"/>
    <w:rsid w:val="00DE5B40"/>
    <w:rsid w:val="00DE7CAD"/>
    <w:rsid w:val="00DF102F"/>
    <w:rsid w:val="00DF1A53"/>
    <w:rsid w:val="00DF2064"/>
    <w:rsid w:val="00DF216F"/>
    <w:rsid w:val="00DF2238"/>
    <w:rsid w:val="00DF2B2E"/>
    <w:rsid w:val="00DF36F7"/>
    <w:rsid w:val="00DF3BE6"/>
    <w:rsid w:val="00DF42AB"/>
    <w:rsid w:val="00DF4616"/>
    <w:rsid w:val="00DF4C5B"/>
    <w:rsid w:val="00DF4F3D"/>
    <w:rsid w:val="00DF545B"/>
    <w:rsid w:val="00DF6321"/>
    <w:rsid w:val="00DF6469"/>
    <w:rsid w:val="00DF7261"/>
    <w:rsid w:val="00DF7F8C"/>
    <w:rsid w:val="00E008E6"/>
    <w:rsid w:val="00E01673"/>
    <w:rsid w:val="00E01BEA"/>
    <w:rsid w:val="00E02A9B"/>
    <w:rsid w:val="00E063C5"/>
    <w:rsid w:val="00E064C2"/>
    <w:rsid w:val="00E06B68"/>
    <w:rsid w:val="00E07813"/>
    <w:rsid w:val="00E10CCA"/>
    <w:rsid w:val="00E10CD3"/>
    <w:rsid w:val="00E123A8"/>
    <w:rsid w:val="00E123C8"/>
    <w:rsid w:val="00E1297B"/>
    <w:rsid w:val="00E12D02"/>
    <w:rsid w:val="00E13B7F"/>
    <w:rsid w:val="00E143AA"/>
    <w:rsid w:val="00E144ED"/>
    <w:rsid w:val="00E14582"/>
    <w:rsid w:val="00E14AF8"/>
    <w:rsid w:val="00E14B9B"/>
    <w:rsid w:val="00E17968"/>
    <w:rsid w:val="00E20020"/>
    <w:rsid w:val="00E20CFC"/>
    <w:rsid w:val="00E213FC"/>
    <w:rsid w:val="00E21DA3"/>
    <w:rsid w:val="00E21F07"/>
    <w:rsid w:val="00E246E1"/>
    <w:rsid w:val="00E255B9"/>
    <w:rsid w:val="00E25EF9"/>
    <w:rsid w:val="00E266AF"/>
    <w:rsid w:val="00E26B11"/>
    <w:rsid w:val="00E27BCE"/>
    <w:rsid w:val="00E27C58"/>
    <w:rsid w:val="00E32F3F"/>
    <w:rsid w:val="00E33B52"/>
    <w:rsid w:val="00E340C5"/>
    <w:rsid w:val="00E34209"/>
    <w:rsid w:val="00E34DC5"/>
    <w:rsid w:val="00E3520C"/>
    <w:rsid w:val="00E352E8"/>
    <w:rsid w:val="00E366E0"/>
    <w:rsid w:val="00E37151"/>
    <w:rsid w:val="00E41096"/>
    <w:rsid w:val="00E413FB"/>
    <w:rsid w:val="00E42426"/>
    <w:rsid w:val="00E42CFC"/>
    <w:rsid w:val="00E43063"/>
    <w:rsid w:val="00E439C1"/>
    <w:rsid w:val="00E46BC5"/>
    <w:rsid w:val="00E46F30"/>
    <w:rsid w:val="00E472C2"/>
    <w:rsid w:val="00E47911"/>
    <w:rsid w:val="00E52966"/>
    <w:rsid w:val="00E5445A"/>
    <w:rsid w:val="00E544C7"/>
    <w:rsid w:val="00E54CF6"/>
    <w:rsid w:val="00E54D66"/>
    <w:rsid w:val="00E55134"/>
    <w:rsid w:val="00E5569D"/>
    <w:rsid w:val="00E55D7B"/>
    <w:rsid w:val="00E5606F"/>
    <w:rsid w:val="00E564E0"/>
    <w:rsid w:val="00E56990"/>
    <w:rsid w:val="00E57B1B"/>
    <w:rsid w:val="00E57B7E"/>
    <w:rsid w:val="00E603BC"/>
    <w:rsid w:val="00E610E1"/>
    <w:rsid w:val="00E6137E"/>
    <w:rsid w:val="00E61DB1"/>
    <w:rsid w:val="00E63213"/>
    <w:rsid w:val="00E6329D"/>
    <w:rsid w:val="00E6347A"/>
    <w:rsid w:val="00E64453"/>
    <w:rsid w:val="00E64805"/>
    <w:rsid w:val="00E666DE"/>
    <w:rsid w:val="00E66C17"/>
    <w:rsid w:val="00E67913"/>
    <w:rsid w:val="00E67E72"/>
    <w:rsid w:val="00E67F76"/>
    <w:rsid w:val="00E70E1E"/>
    <w:rsid w:val="00E720B2"/>
    <w:rsid w:val="00E74320"/>
    <w:rsid w:val="00E74DEB"/>
    <w:rsid w:val="00E75371"/>
    <w:rsid w:val="00E753DE"/>
    <w:rsid w:val="00E7582E"/>
    <w:rsid w:val="00E75E43"/>
    <w:rsid w:val="00E76915"/>
    <w:rsid w:val="00E7718D"/>
    <w:rsid w:val="00E77F0A"/>
    <w:rsid w:val="00E803D0"/>
    <w:rsid w:val="00E80611"/>
    <w:rsid w:val="00E80769"/>
    <w:rsid w:val="00E81118"/>
    <w:rsid w:val="00E81900"/>
    <w:rsid w:val="00E81EB9"/>
    <w:rsid w:val="00E82C7D"/>
    <w:rsid w:val="00E83015"/>
    <w:rsid w:val="00E835F9"/>
    <w:rsid w:val="00E836C6"/>
    <w:rsid w:val="00E83E71"/>
    <w:rsid w:val="00E8530E"/>
    <w:rsid w:val="00E85435"/>
    <w:rsid w:val="00E92CEC"/>
    <w:rsid w:val="00E9336A"/>
    <w:rsid w:val="00E94625"/>
    <w:rsid w:val="00E956F0"/>
    <w:rsid w:val="00E95944"/>
    <w:rsid w:val="00E95B49"/>
    <w:rsid w:val="00E960C2"/>
    <w:rsid w:val="00E96102"/>
    <w:rsid w:val="00E970AB"/>
    <w:rsid w:val="00E97175"/>
    <w:rsid w:val="00EA060F"/>
    <w:rsid w:val="00EA1702"/>
    <w:rsid w:val="00EA1B46"/>
    <w:rsid w:val="00EA1EA3"/>
    <w:rsid w:val="00EA1FA5"/>
    <w:rsid w:val="00EA34EF"/>
    <w:rsid w:val="00EA4611"/>
    <w:rsid w:val="00EA46CF"/>
    <w:rsid w:val="00EA47C9"/>
    <w:rsid w:val="00EA57B0"/>
    <w:rsid w:val="00EA5DC7"/>
    <w:rsid w:val="00EA5FA5"/>
    <w:rsid w:val="00EA6E0F"/>
    <w:rsid w:val="00EA7C71"/>
    <w:rsid w:val="00EB1532"/>
    <w:rsid w:val="00EB1635"/>
    <w:rsid w:val="00EB289B"/>
    <w:rsid w:val="00EB34FF"/>
    <w:rsid w:val="00EB452D"/>
    <w:rsid w:val="00EB5003"/>
    <w:rsid w:val="00EB5261"/>
    <w:rsid w:val="00EB52DB"/>
    <w:rsid w:val="00EB5EF3"/>
    <w:rsid w:val="00EB67E3"/>
    <w:rsid w:val="00EB7C28"/>
    <w:rsid w:val="00EC1853"/>
    <w:rsid w:val="00EC1A87"/>
    <w:rsid w:val="00EC1A95"/>
    <w:rsid w:val="00EC205F"/>
    <w:rsid w:val="00EC2271"/>
    <w:rsid w:val="00EC3591"/>
    <w:rsid w:val="00EC3FA9"/>
    <w:rsid w:val="00EC55A4"/>
    <w:rsid w:val="00EC6955"/>
    <w:rsid w:val="00EC6F8D"/>
    <w:rsid w:val="00ED13F4"/>
    <w:rsid w:val="00ED5249"/>
    <w:rsid w:val="00ED6B11"/>
    <w:rsid w:val="00ED6C0E"/>
    <w:rsid w:val="00ED7133"/>
    <w:rsid w:val="00ED7CB3"/>
    <w:rsid w:val="00EE0B92"/>
    <w:rsid w:val="00EE0D7A"/>
    <w:rsid w:val="00EE1A8E"/>
    <w:rsid w:val="00EE276C"/>
    <w:rsid w:val="00EE35F8"/>
    <w:rsid w:val="00EE4073"/>
    <w:rsid w:val="00EE4365"/>
    <w:rsid w:val="00EE502A"/>
    <w:rsid w:val="00EE588A"/>
    <w:rsid w:val="00EE599D"/>
    <w:rsid w:val="00EE5EB7"/>
    <w:rsid w:val="00EE6D6C"/>
    <w:rsid w:val="00EE7480"/>
    <w:rsid w:val="00EE7FE9"/>
    <w:rsid w:val="00EF0333"/>
    <w:rsid w:val="00EF0572"/>
    <w:rsid w:val="00EF0DFC"/>
    <w:rsid w:val="00EF19C1"/>
    <w:rsid w:val="00EF3546"/>
    <w:rsid w:val="00EF3607"/>
    <w:rsid w:val="00EF3A58"/>
    <w:rsid w:val="00EF4683"/>
    <w:rsid w:val="00EF5B91"/>
    <w:rsid w:val="00EF5C4B"/>
    <w:rsid w:val="00EF652A"/>
    <w:rsid w:val="00EF6606"/>
    <w:rsid w:val="00EF6DA9"/>
    <w:rsid w:val="00EF7082"/>
    <w:rsid w:val="00EF7376"/>
    <w:rsid w:val="00EF7D3C"/>
    <w:rsid w:val="00F00D76"/>
    <w:rsid w:val="00F01355"/>
    <w:rsid w:val="00F0153F"/>
    <w:rsid w:val="00F0166C"/>
    <w:rsid w:val="00F01A76"/>
    <w:rsid w:val="00F01E8F"/>
    <w:rsid w:val="00F0212B"/>
    <w:rsid w:val="00F023ED"/>
    <w:rsid w:val="00F025EE"/>
    <w:rsid w:val="00F03591"/>
    <w:rsid w:val="00F03A81"/>
    <w:rsid w:val="00F04B28"/>
    <w:rsid w:val="00F04FC1"/>
    <w:rsid w:val="00F068F6"/>
    <w:rsid w:val="00F074A2"/>
    <w:rsid w:val="00F076D0"/>
    <w:rsid w:val="00F07EE0"/>
    <w:rsid w:val="00F108B7"/>
    <w:rsid w:val="00F10D5F"/>
    <w:rsid w:val="00F11B92"/>
    <w:rsid w:val="00F120A9"/>
    <w:rsid w:val="00F120BC"/>
    <w:rsid w:val="00F13481"/>
    <w:rsid w:val="00F148D2"/>
    <w:rsid w:val="00F1490F"/>
    <w:rsid w:val="00F15DFB"/>
    <w:rsid w:val="00F1643C"/>
    <w:rsid w:val="00F165FD"/>
    <w:rsid w:val="00F16BD0"/>
    <w:rsid w:val="00F1702F"/>
    <w:rsid w:val="00F17341"/>
    <w:rsid w:val="00F17D5C"/>
    <w:rsid w:val="00F209A2"/>
    <w:rsid w:val="00F2169E"/>
    <w:rsid w:val="00F23032"/>
    <w:rsid w:val="00F23066"/>
    <w:rsid w:val="00F23069"/>
    <w:rsid w:val="00F2313C"/>
    <w:rsid w:val="00F236E7"/>
    <w:rsid w:val="00F23870"/>
    <w:rsid w:val="00F23E94"/>
    <w:rsid w:val="00F2426A"/>
    <w:rsid w:val="00F24519"/>
    <w:rsid w:val="00F24BAB"/>
    <w:rsid w:val="00F257A2"/>
    <w:rsid w:val="00F25EB9"/>
    <w:rsid w:val="00F262A2"/>
    <w:rsid w:val="00F270E9"/>
    <w:rsid w:val="00F27606"/>
    <w:rsid w:val="00F312D7"/>
    <w:rsid w:val="00F31C15"/>
    <w:rsid w:val="00F3244F"/>
    <w:rsid w:val="00F32C82"/>
    <w:rsid w:val="00F33682"/>
    <w:rsid w:val="00F34016"/>
    <w:rsid w:val="00F3401B"/>
    <w:rsid w:val="00F346EE"/>
    <w:rsid w:val="00F3482C"/>
    <w:rsid w:val="00F356FA"/>
    <w:rsid w:val="00F36125"/>
    <w:rsid w:val="00F36A53"/>
    <w:rsid w:val="00F37B75"/>
    <w:rsid w:val="00F402F8"/>
    <w:rsid w:val="00F409C9"/>
    <w:rsid w:val="00F41EC1"/>
    <w:rsid w:val="00F43AEB"/>
    <w:rsid w:val="00F4417E"/>
    <w:rsid w:val="00F44B23"/>
    <w:rsid w:val="00F451D4"/>
    <w:rsid w:val="00F45240"/>
    <w:rsid w:val="00F45352"/>
    <w:rsid w:val="00F4552C"/>
    <w:rsid w:val="00F47969"/>
    <w:rsid w:val="00F47B27"/>
    <w:rsid w:val="00F50BE9"/>
    <w:rsid w:val="00F50FE8"/>
    <w:rsid w:val="00F514F7"/>
    <w:rsid w:val="00F5226C"/>
    <w:rsid w:val="00F5247B"/>
    <w:rsid w:val="00F52C85"/>
    <w:rsid w:val="00F53DDE"/>
    <w:rsid w:val="00F53ED6"/>
    <w:rsid w:val="00F54400"/>
    <w:rsid w:val="00F54DE1"/>
    <w:rsid w:val="00F55726"/>
    <w:rsid w:val="00F55F21"/>
    <w:rsid w:val="00F55F52"/>
    <w:rsid w:val="00F56A23"/>
    <w:rsid w:val="00F56C43"/>
    <w:rsid w:val="00F56DDB"/>
    <w:rsid w:val="00F56F5B"/>
    <w:rsid w:val="00F570A6"/>
    <w:rsid w:val="00F576E2"/>
    <w:rsid w:val="00F61387"/>
    <w:rsid w:val="00F625D6"/>
    <w:rsid w:val="00F62B3A"/>
    <w:rsid w:val="00F62F45"/>
    <w:rsid w:val="00F634FD"/>
    <w:rsid w:val="00F6353D"/>
    <w:rsid w:val="00F641F0"/>
    <w:rsid w:val="00F64356"/>
    <w:rsid w:val="00F64A31"/>
    <w:rsid w:val="00F64D6A"/>
    <w:rsid w:val="00F650A5"/>
    <w:rsid w:val="00F656C1"/>
    <w:rsid w:val="00F65CBE"/>
    <w:rsid w:val="00F66966"/>
    <w:rsid w:val="00F6709E"/>
    <w:rsid w:val="00F67377"/>
    <w:rsid w:val="00F70251"/>
    <w:rsid w:val="00F7067C"/>
    <w:rsid w:val="00F709CA"/>
    <w:rsid w:val="00F71379"/>
    <w:rsid w:val="00F717AE"/>
    <w:rsid w:val="00F71968"/>
    <w:rsid w:val="00F71F77"/>
    <w:rsid w:val="00F72186"/>
    <w:rsid w:val="00F72328"/>
    <w:rsid w:val="00F72B0D"/>
    <w:rsid w:val="00F73E1C"/>
    <w:rsid w:val="00F73EA6"/>
    <w:rsid w:val="00F7420A"/>
    <w:rsid w:val="00F7428E"/>
    <w:rsid w:val="00F743D8"/>
    <w:rsid w:val="00F7642C"/>
    <w:rsid w:val="00F76906"/>
    <w:rsid w:val="00F76B20"/>
    <w:rsid w:val="00F76ECB"/>
    <w:rsid w:val="00F773D7"/>
    <w:rsid w:val="00F7797A"/>
    <w:rsid w:val="00F77D3F"/>
    <w:rsid w:val="00F812DF"/>
    <w:rsid w:val="00F817B0"/>
    <w:rsid w:val="00F81E70"/>
    <w:rsid w:val="00F825F1"/>
    <w:rsid w:val="00F83E24"/>
    <w:rsid w:val="00F84305"/>
    <w:rsid w:val="00F849FD"/>
    <w:rsid w:val="00F84ED5"/>
    <w:rsid w:val="00F853A5"/>
    <w:rsid w:val="00F8560D"/>
    <w:rsid w:val="00F85A72"/>
    <w:rsid w:val="00F85DC3"/>
    <w:rsid w:val="00F8670A"/>
    <w:rsid w:val="00F8725A"/>
    <w:rsid w:val="00F8767F"/>
    <w:rsid w:val="00F8788B"/>
    <w:rsid w:val="00F878CB"/>
    <w:rsid w:val="00F92EC7"/>
    <w:rsid w:val="00F9448E"/>
    <w:rsid w:val="00F94744"/>
    <w:rsid w:val="00F948E6"/>
    <w:rsid w:val="00F95E75"/>
    <w:rsid w:val="00F96742"/>
    <w:rsid w:val="00F978D5"/>
    <w:rsid w:val="00FA01C0"/>
    <w:rsid w:val="00FA1304"/>
    <w:rsid w:val="00FA13A0"/>
    <w:rsid w:val="00FA19F4"/>
    <w:rsid w:val="00FA2346"/>
    <w:rsid w:val="00FA424F"/>
    <w:rsid w:val="00FA4879"/>
    <w:rsid w:val="00FA5C3D"/>
    <w:rsid w:val="00FA6BCE"/>
    <w:rsid w:val="00FA733B"/>
    <w:rsid w:val="00FB0FA2"/>
    <w:rsid w:val="00FB0FE7"/>
    <w:rsid w:val="00FB11F3"/>
    <w:rsid w:val="00FB16B4"/>
    <w:rsid w:val="00FB224B"/>
    <w:rsid w:val="00FB22BF"/>
    <w:rsid w:val="00FB2608"/>
    <w:rsid w:val="00FB3554"/>
    <w:rsid w:val="00FB36DC"/>
    <w:rsid w:val="00FB3A30"/>
    <w:rsid w:val="00FB3BD4"/>
    <w:rsid w:val="00FB3F8A"/>
    <w:rsid w:val="00FB406A"/>
    <w:rsid w:val="00FB4E12"/>
    <w:rsid w:val="00FB4FEC"/>
    <w:rsid w:val="00FB641E"/>
    <w:rsid w:val="00FB7B4A"/>
    <w:rsid w:val="00FC03BB"/>
    <w:rsid w:val="00FC0777"/>
    <w:rsid w:val="00FC0DE3"/>
    <w:rsid w:val="00FC0EBE"/>
    <w:rsid w:val="00FC1179"/>
    <w:rsid w:val="00FC12DA"/>
    <w:rsid w:val="00FC1A90"/>
    <w:rsid w:val="00FC33B3"/>
    <w:rsid w:val="00FC3AF7"/>
    <w:rsid w:val="00FC431B"/>
    <w:rsid w:val="00FC467B"/>
    <w:rsid w:val="00FC4E52"/>
    <w:rsid w:val="00FC4E87"/>
    <w:rsid w:val="00FC4EE8"/>
    <w:rsid w:val="00FC50CF"/>
    <w:rsid w:val="00FC5C27"/>
    <w:rsid w:val="00FC5E6C"/>
    <w:rsid w:val="00FC5F9F"/>
    <w:rsid w:val="00FC73F3"/>
    <w:rsid w:val="00FC7A8C"/>
    <w:rsid w:val="00FD1440"/>
    <w:rsid w:val="00FD1A6C"/>
    <w:rsid w:val="00FD285F"/>
    <w:rsid w:val="00FD3236"/>
    <w:rsid w:val="00FD43CF"/>
    <w:rsid w:val="00FD5650"/>
    <w:rsid w:val="00FD62B3"/>
    <w:rsid w:val="00FD6657"/>
    <w:rsid w:val="00FD6AAD"/>
    <w:rsid w:val="00FD6B3E"/>
    <w:rsid w:val="00FE0597"/>
    <w:rsid w:val="00FE0882"/>
    <w:rsid w:val="00FE1107"/>
    <w:rsid w:val="00FE1E74"/>
    <w:rsid w:val="00FE234D"/>
    <w:rsid w:val="00FE2BF1"/>
    <w:rsid w:val="00FE33F1"/>
    <w:rsid w:val="00FE376B"/>
    <w:rsid w:val="00FE4B81"/>
    <w:rsid w:val="00FE4C7F"/>
    <w:rsid w:val="00FE4DA5"/>
    <w:rsid w:val="00FE4DC1"/>
    <w:rsid w:val="00FE5B1E"/>
    <w:rsid w:val="00FE647F"/>
    <w:rsid w:val="00FE6F14"/>
    <w:rsid w:val="00FE7265"/>
    <w:rsid w:val="00FF01A7"/>
    <w:rsid w:val="00FF16A7"/>
    <w:rsid w:val="00FF1C5D"/>
    <w:rsid w:val="00FF2234"/>
    <w:rsid w:val="00FF2702"/>
    <w:rsid w:val="00FF412B"/>
    <w:rsid w:val="00FF4142"/>
    <w:rsid w:val="00FF4C19"/>
    <w:rsid w:val="00FF5DDC"/>
    <w:rsid w:val="00FF5DFE"/>
    <w:rsid w:val="00FF647B"/>
    <w:rsid w:val="00FF6DFE"/>
    <w:rsid w:val="05C2D32C"/>
    <w:rsid w:val="17475028"/>
    <w:rsid w:val="18774E1E"/>
    <w:rsid w:val="1F9AEAF0"/>
    <w:rsid w:val="231E68D1"/>
    <w:rsid w:val="2A276453"/>
    <w:rsid w:val="2E610A09"/>
    <w:rsid w:val="2FCE36A4"/>
    <w:rsid w:val="35566F8E"/>
    <w:rsid w:val="421A930F"/>
    <w:rsid w:val="43FAAD42"/>
    <w:rsid w:val="48EE55EF"/>
    <w:rsid w:val="4B9218A4"/>
    <w:rsid w:val="53153CE5"/>
    <w:rsid w:val="589F1D01"/>
    <w:rsid w:val="58FA1D40"/>
    <w:rsid w:val="5A15825C"/>
    <w:rsid w:val="6A2CA7A0"/>
    <w:rsid w:val="6AF121AF"/>
    <w:rsid w:val="6B0FB26F"/>
    <w:rsid w:val="7B44DAB3"/>
    <w:rsid w:val="7B97A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27A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8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5F32"/>
    <w:pPr>
      <w:ind w:left="720"/>
      <w:contextualSpacing/>
    </w:pPr>
  </w:style>
  <w:style w:type="paragraph" w:styleId="BalloonText">
    <w:name w:val="Balloon Text"/>
    <w:basedOn w:val="Normal"/>
    <w:link w:val="BalloonTextChar"/>
    <w:uiPriority w:val="99"/>
    <w:semiHidden/>
    <w:unhideWhenUsed/>
    <w:rsid w:val="008D3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90B"/>
    <w:rPr>
      <w:rFonts w:ascii="Segoe UI" w:eastAsiaTheme="minorEastAsia" w:hAnsi="Segoe UI" w:cs="Segoe UI"/>
      <w:sz w:val="18"/>
      <w:szCs w:val="18"/>
    </w:rPr>
  </w:style>
  <w:style w:type="paragraph" w:styleId="Title">
    <w:name w:val="Title"/>
    <w:basedOn w:val="Normal"/>
    <w:link w:val="TitleChar"/>
    <w:qFormat/>
    <w:rsid w:val="007C48A1"/>
    <w:pPr>
      <w:spacing w:after="0" w:line="240" w:lineRule="auto"/>
      <w:jc w:val="center"/>
    </w:pPr>
    <w:rPr>
      <w:rFonts w:ascii="Times New Roman" w:eastAsia="Times New Roman" w:hAnsi="Times New Roman" w:cs="Times New Roman"/>
      <w:b/>
      <w:sz w:val="24"/>
    </w:rPr>
  </w:style>
  <w:style w:type="character" w:customStyle="1" w:styleId="TitleChar">
    <w:name w:val="Title Char"/>
    <w:basedOn w:val="DefaultParagraphFont"/>
    <w:link w:val="Title"/>
    <w:rsid w:val="007C48A1"/>
    <w:rPr>
      <w:rFonts w:ascii="Times New Roman" w:eastAsia="Times New Roman" w:hAnsi="Times New Roman" w:cs="Times New Roman"/>
      <w:b/>
      <w:sz w:val="24"/>
    </w:rPr>
  </w:style>
  <w:style w:type="character" w:styleId="Hyperlink">
    <w:name w:val="Hyperlink"/>
    <w:basedOn w:val="DefaultParagraphFont"/>
    <w:rsid w:val="007C48A1"/>
    <w:rPr>
      <w:color w:val="0000FF"/>
      <w:u w:val="single"/>
    </w:rPr>
  </w:style>
  <w:style w:type="table" w:styleId="TableGrid">
    <w:name w:val="Table Grid"/>
    <w:basedOn w:val="TableNormal"/>
    <w:uiPriority w:val="59"/>
    <w:rsid w:val="007C48A1"/>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4E62FB"/>
    <w:pPr>
      <w:tabs>
        <w:tab w:val="left" w:pos="-720"/>
      </w:tabs>
      <w:suppressAutoHyphens/>
      <w:spacing w:after="0" w:line="48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4E62FB"/>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4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4B03"/>
    <w:rPr>
      <w:rFonts w:eastAsiaTheme="minorEastAsia"/>
    </w:rPr>
  </w:style>
  <w:style w:type="paragraph" w:styleId="Footer">
    <w:name w:val="footer"/>
    <w:basedOn w:val="Normal"/>
    <w:link w:val="FooterChar"/>
    <w:uiPriority w:val="99"/>
    <w:unhideWhenUsed/>
    <w:rsid w:val="00214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B03"/>
    <w:rPr>
      <w:rFonts w:eastAsiaTheme="minorEastAsia"/>
    </w:rPr>
  </w:style>
  <w:style w:type="paragraph" w:styleId="FootnoteText">
    <w:name w:val="footnote text"/>
    <w:basedOn w:val="Normal"/>
    <w:link w:val="FootnoteTextChar"/>
    <w:uiPriority w:val="99"/>
    <w:unhideWhenUsed/>
    <w:rsid w:val="00033CFB"/>
    <w:pPr>
      <w:spacing w:after="0" w:line="240" w:lineRule="auto"/>
    </w:pPr>
  </w:style>
  <w:style w:type="character" w:customStyle="1" w:styleId="FootnoteTextChar">
    <w:name w:val="Footnote Text Char"/>
    <w:basedOn w:val="DefaultParagraphFont"/>
    <w:link w:val="FootnoteText"/>
    <w:uiPriority w:val="99"/>
    <w:rsid w:val="00033CFB"/>
  </w:style>
  <w:style w:type="character" w:styleId="FootnoteReference">
    <w:name w:val="footnote reference"/>
    <w:basedOn w:val="DefaultParagraphFont"/>
    <w:uiPriority w:val="99"/>
    <w:semiHidden/>
    <w:unhideWhenUsed/>
    <w:rsid w:val="00033CFB"/>
    <w:rPr>
      <w:vertAlign w:val="superscript"/>
    </w:rPr>
  </w:style>
  <w:style w:type="character" w:styleId="CommentReference">
    <w:name w:val="annotation reference"/>
    <w:basedOn w:val="DefaultParagraphFont"/>
    <w:uiPriority w:val="99"/>
    <w:semiHidden/>
    <w:unhideWhenUsed/>
    <w:rsid w:val="00BB3C6E"/>
    <w:rPr>
      <w:sz w:val="16"/>
      <w:szCs w:val="16"/>
    </w:rPr>
  </w:style>
  <w:style w:type="paragraph" w:styleId="CommentText">
    <w:name w:val="annotation text"/>
    <w:basedOn w:val="Normal"/>
    <w:link w:val="CommentTextChar"/>
    <w:uiPriority w:val="99"/>
    <w:semiHidden/>
    <w:unhideWhenUsed/>
    <w:rsid w:val="00BB3C6E"/>
    <w:pPr>
      <w:spacing w:line="240" w:lineRule="auto"/>
    </w:pPr>
  </w:style>
  <w:style w:type="character" w:customStyle="1" w:styleId="CommentTextChar">
    <w:name w:val="Comment Text Char"/>
    <w:basedOn w:val="DefaultParagraphFont"/>
    <w:link w:val="CommentText"/>
    <w:uiPriority w:val="99"/>
    <w:semiHidden/>
    <w:rsid w:val="00BB3C6E"/>
  </w:style>
  <w:style w:type="paragraph" w:styleId="CommentSubject">
    <w:name w:val="annotation subject"/>
    <w:basedOn w:val="CommentText"/>
    <w:next w:val="CommentText"/>
    <w:link w:val="CommentSubjectChar"/>
    <w:uiPriority w:val="99"/>
    <w:semiHidden/>
    <w:unhideWhenUsed/>
    <w:rsid w:val="00BB3C6E"/>
    <w:rPr>
      <w:b/>
      <w:bCs/>
    </w:rPr>
  </w:style>
  <w:style w:type="character" w:customStyle="1" w:styleId="CommentSubjectChar">
    <w:name w:val="Comment Subject Char"/>
    <w:basedOn w:val="CommentTextChar"/>
    <w:link w:val="CommentSubject"/>
    <w:uiPriority w:val="99"/>
    <w:semiHidden/>
    <w:rsid w:val="00BB3C6E"/>
    <w:rPr>
      <w:rFonts w:eastAsiaTheme="minorEastAsia"/>
      <w:b/>
      <w:bCs/>
      <w:sz w:val="20"/>
      <w:szCs w:val="20"/>
    </w:rPr>
  </w:style>
  <w:style w:type="paragraph" w:styleId="Revision">
    <w:name w:val="Revision"/>
    <w:hidden/>
    <w:uiPriority w:val="99"/>
    <w:semiHidden/>
    <w:rsid w:val="00297FC4"/>
    <w:pPr>
      <w:spacing w:after="0" w:line="240" w:lineRule="auto"/>
    </w:pPr>
  </w:style>
  <w:style w:type="paragraph" w:styleId="NoSpacing">
    <w:name w:val="No Spacing"/>
    <w:uiPriority w:val="1"/>
    <w:qFormat/>
    <w:rsid w:val="00C00B73"/>
    <w:pPr>
      <w:spacing w:after="0" w:line="240" w:lineRule="auto"/>
    </w:pPr>
    <w:rPr>
      <w:rFonts w:asciiTheme="minorHAnsi" w:hAnsiTheme="minorHAnsi" w:cstheme="minorBidi"/>
      <w:sz w:val="22"/>
      <w:szCs w:val="22"/>
    </w:rPr>
  </w:style>
  <w:style w:type="paragraph" w:customStyle="1" w:styleId="Level1">
    <w:name w:val="Level 1"/>
    <w:basedOn w:val="TOC1"/>
    <w:link w:val="Level1Char"/>
    <w:qFormat/>
    <w:rsid w:val="00FE4DC1"/>
    <w:pPr>
      <w:tabs>
        <w:tab w:val="right" w:leader="dot" w:pos="8630"/>
      </w:tabs>
      <w:spacing w:before="120" w:after="120" w:line="240" w:lineRule="auto"/>
    </w:pPr>
    <w:rPr>
      <w:rFonts w:asciiTheme="majorHAnsi" w:eastAsia="Times New Roman" w:hAnsiTheme="majorHAnsi" w:cs="Times New Roman"/>
      <w:b/>
      <w:bCs/>
      <w:caps/>
    </w:rPr>
  </w:style>
  <w:style w:type="character" w:customStyle="1" w:styleId="Level1Char">
    <w:name w:val="Level 1 Char"/>
    <w:basedOn w:val="DefaultParagraphFont"/>
    <w:link w:val="Level1"/>
    <w:rsid w:val="00FE4DC1"/>
    <w:rPr>
      <w:rFonts w:asciiTheme="majorHAnsi" w:eastAsia="Times New Roman" w:hAnsiTheme="majorHAnsi" w:cs="Times New Roman"/>
      <w:b/>
      <w:bCs/>
      <w:caps/>
    </w:rPr>
  </w:style>
  <w:style w:type="paragraph" w:styleId="TOC1">
    <w:name w:val="toc 1"/>
    <w:basedOn w:val="Normal"/>
    <w:next w:val="Normal"/>
    <w:autoRedefine/>
    <w:uiPriority w:val="39"/>
    <w:semiHidden/>
    <w:unhideWhenUsed/>
    <w:rsid w:val="00FE4DC1"/>
    <w:pPr>
      <w:spacing w:after="100"/>
    </w:pPr>
  </w:style>
  <w:style w:type="paragraph" w:customStyle="1" w:styleId="Default">
    <w:name w:val="Default"/>
    <w:basedOn w:val="Normal"/>
    <w:rsid w:val="00F71F77"/>
    <w:pPr>
      <w:autoSpaceDE w:val="0"/>
      <w:autoSpaceDN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4B69EA"/>
    <w:rPr>
      <w:color w:val="605E5C"/>
      <w:shd w:val="clear" w:color="auto" w:fill="E1DFDD"/>
    </w:rPr>
  </w:style>
  <w:style w:type="character" w:styleId="FollowedHyperlink">
    <w:name w:val="FollowedHyperlink"/>
    <w:basedOn w:val="DefaultParagraphFont"/>
    <w:uiPriority w:val="99"/>
    <w:semiHidden/>
    <w:unhideWhenUsed/>
    <w:rsid w:val="008350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391752">
      <w:bodyDiv w:val="1"/>
      <w:marLeft w:val="0"/>
      <w:marRight w:val="0"/>
      <w:marTop w:val="0"/>
      <w:marBottom w:val="0"/>
      <w:divBdr>
        <w:top w:val="none" w:sz="0" w:space="0" w:color="auto"/>
        <w:left w:val="none" w:sz="0" w:space="0" w:color="auto"/>
        <w:bottom w:val="none" w:sz="0" w:space="0" w:color="auto"/>
        <w:right w:val="none" w:sz="0" w:space="0" w:color="auto"/>
      </w:divBdr>
    </w:div>
    <w:div w:id="821232841">
      <w:bodyDiv w:val="1"/>
      <w:marLeft w:val="0"/>
      <w:marRight w:val="0"/>
      <w:marTop w:val="0"/>
      <w:marBottom w:val="0"/>
      <w:divBdr>
        <w:top w:val="none" w:sz="0" w:space="0" w:color="auto"/>
        <w:left w:val="none" w:sz="0" w:space="0" w:color="auto"/>
        <w:bottom w:val="none" w:sz="0" w:space="0" w:color="auto"/>
        <w:right w:val="none" w:sz="0" w:space="0" w:color="auto"/>
      </w:divBdr>
    </w:div>
    <w:div w:id="1086610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des.ohio.gov/orc/4928.64" TargetMode="External"/><Relationship Id="rId18" Type="http://schemas.openxmlformats.org/officeDocument/2006/relationships/hyperlink" Target="mailto:Thomas.mcnamee@ohioattorneygeneral.gov" TargetMode="External"/><Relationship Id="rId26" Type="http://schemas.openxmlformats.org/officeDocument/2006/relationships/hyperlink" Target="mailto:jrego@beneschlaw.com" TargetMode="External"/><Relationship Id="rId39" Type="http://schemas.openxmlformats.org/officeDocument/2006/relationships/hyperlink" Target="mailto:glover@whitt-sturtevant.com" TargetMode="External"/><Relationship Id="rId3" Type="http://schemas.openxmlformats.org/officeDocument/2006/relationships/customXml" Target="../customXml/item3.xml"/><Relationship Id="rId21" Type="http://schemas.openxmlformats.org/officeDocument/2006/relationships/hyperlink" Target="mailto:mpritchard@mwncmh.com" TargetMode="External"/><Relationship Id="rId34" Type="http://schemas.openxmlformats.org/officeDocument/2006/relationships/hyperlink" Target="mailto:rsahli@columbus.rr.com" TargetMode="External"/><Relationship Id="rId42" Type="http://schemas.openxmlformats.org/officeDocument/2006/relationships/hyperlink" Target="mailto:mdortch@kravitzllc.com" TargetMode="External"/><Relationship Id="rId7" Type="http://schemas.openxmlformats.org/officeDocument/2006/relationships/settings" Target="settings.xml"/><Relationship Id="rId12" Type="http://schemas.openxmlformats.org/officeDocument/2006/relationships/hyperlink" Target="http://codes.ohio.gov/orc/4928.64" TargetMode="External"/><Relationship Id="rId17" Type="http://schemas.openxmlformats.org/officeDocument/2006/relationships/hyperlink" Target="mailto:joliker@igsenergy.com" TargetMode="External"/><Relationship Id="rId25" Type="http://schemas.openxmlformats.org/officeDocument/2006/relationships/hyperlink" Target="mailto:jstock@beneschlaw.com" TargetMode="External"/><Relationship Id="rId33" Type="http://schemas.openxmlformats.org/officeDocument/2006/relationships/hyperlink" Target="mailto:tony.mendoza@sierraclub.org" TargetMode="External"/><Relationship Id="rId38" Type="http://schemas.openxmlformats.org/officeDocument/2006/relationships/hyperlink" Target="mailto:whitt@whitt-sturtevant.com"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yperlink" Target="mailto:jkylercohn@BKLlawfirm.com" TargetMode="External"/><Relationship Id="rId29" Type="http://schemas.openxmlformats.org/officeDocument/2006/relationships/hyperlink" Target="mailto:mjsettineri@vorys.com" TargetMode="External"/><Relationship Id="rId41" Type="http://schemas.openxmlformats.org/officeDocument/2006/relationships/hyperlink" Target="mailto:callwein@opae.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liker@igsenergy.com" TargetMode="External"/><Relationship Id="rId24" Type="http://schemas.openxmlformats.org/officeDocument/2006/relationships/hyperlink" Target="mailto:dparram@bricker.com" TargetMode="External"/><Relationship Id="rId32" Type="http://schemas.openxmlformats.org/officeDocument/2006/relationships/hyperlink" Target="mailto:cmblend@aep.com" TargetMode="External"/><Relationship Id="rId37" Type="http://schemas.openxmlformats.org/officeDocument/2006/relationships/hyperlink" Target="mailto:joliker@igsenergy.com" TargetMode="External"/><Relationship Id="rId40" Type="http://schemas.openxmlformats.org/officeDocument/2006/relationships/hyperlink" Target="mailto:ktreadway@oneenergyllc.com"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hyperlink" Target="mailto:mleppla@theOEC.org" TargetMode="External"/><Relationship Id="rId28" Type="http://schemas.openxmlformats.org/officeDocument/2006/relationships/hyperlink" Target="mailto:wvorys@dickinsonwright.com" TargetMode="External"/><Relationship Id="rId36" Type="http://schemas.openxmlformats.org/officeDocument/2006/relationships/hyperlink" Target="mailto:mnugent@igsenergy.com" TargetMode="External"/><Relationship Id="rId10" Type="http://schemas.openxmlformats.org/officeDocument/2006/relationships/endnotes" Target="endnotes.xml"/><Relationship Id="rId19" Type="http://schemas.openxmlformats.org/officeDocument/2006/relationships/hyperlink" Target="mailto:kboehm@BKLlawfirm.com" TargetMode="External"/><Relationship Id="rId31" Type="http://schemas.openxmlformats.org/officeDocument/2006/relationships/hyperlink" Target="mailto:stnourse@aep.com"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hyperlink" Target="mailto:fdarr@mwncmh.com" TargetMode="External"/><Relationship Id="rId27" Type="http://schemas.openxmlformats.org/officeDocument/2006/relationships/hyperlink" Target="mailto:cpirik@dickinsonwright.com" TargetMode="External"/><Relationship Id="rId30" Type="http://schemas.openxmlformats.org/officeDocument/2006/relationships/hyperlink" Target="mailto:glpetrucci@vorys.com" TargetMode="External"/><Relationship Id="rId35" Type="http://schemas.openxmlformats.org/officeDocument/2006/relationships/hyperlink" Target="mailto:cmooney@ohiopartners.org" TargetMode="External"/><Relationship Id="rId43" Type="http://schemas.openxmlformats.org/officeDocument/2006/relationships/hyperlink" Target="mailto:rdove@keglerbrown.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acebook.com/events/340444389847546/" TargetMode="External"/><Relationship Id="rId2" Type="http://schemas.openxmlformats.org/officeDocument/2006/relationships/hyperlink" Target="https://act.nrdc.org/letter/ohio-solar-181116" TargetMode="External"/><Relationship Id="rId1" Type="http://schemas.openxmlformats.org/officeDocument/2006/relationships/hyperlink" Target="https://act.sierraclub.org/actions/National?actionId=AR0127176&amp;fbclid=IwAR1L2F60-uxM-5RzODTW3AZk1Knaz3bz_uN9EAei5hKHidZEWiGA-Hjcr3M&amp;id=7010Z000001qmkAQ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4" ma:contentTypeDescription="Create a new document." ma:contentTypeScope="" ma:versionID="d918d5c27cec337b8aa5c8d3e9b6675c">
  <xsd:schema xmlns:xsd="http://www.w3.org/2001/XMLSchema" xmlns:xs="http://www.w3.org/2001/XMLSchema" xmlns:p="http://schemas.microsoft.com/office/2006/metadata/properties" xmlns:ns2="7b65a839-91ea-4ae8-a3e7-aa2e1fd1ecb0" targetNamespace="http://schemas.microsoft.com/office/2006/metadata/properties" ma:root="true" ma:fieldsID="6e25d13ed8ab8316a9153911676548a6" ns2:_="">
    <xsd:import namespace="7b65a839-91ea-4ae8-a3e7-aa2e1fd1ecb0"/>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97A3DD-DF36-4D89-BE30-9A026C10F40C}">
  <ds:schemaRefs>
    <ds:schemaRef ds:uri="http://purl.org/dc/terms/"/>
    <ds:schemaRef ds:uri="7b65a839-91ea-4ae8-a3e7-aa2e1fd1ecb0"/>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0218900-2A5A-47D0-A2A2-E063B0046861}">
  <ds:schemaRefs>
    <ds:schemaRef ds:uri="http://schemas.microsoft.com/sharepoint/v3/contenttype/forms"/>
  </ds:schemaRefs>
</ds:datastoreItem>
</file>

<file path=customXml/itemProps3.xml><?xml version="1.0" encoding="utf-8"?>
<ds:datastoreItem xmlns:ds="http://schemas.openxmlformats.org/officeDocument/2006/customXml" ds:itemID="{275DD264-2F95-472E-96C4-9105EB98A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E520BA-7D44-42E4-8087-C63578326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8804</Words>
  <Characters>50186</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2019-03-27T21:12:00Z</dcterms:created>
  <dcterms:modified xsi:type="dcterms:W3CDTF">2019-03-27T21:12:00Z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89600">
    <vt:lpwstr>15</vt:lpwstr>
  </property>
  <property fmtid="{D5CDD505-2E9C-101B-9397-08002B2CF9AE}" pid="3" name="ContentTypeId">
    <vt:lpwstr>0x010100134952F9974ECA4090E456E20DC829D0</vt:lpwstr>
  </property>
</Properties>
</file>