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0B3FF" w14:textId="77777777" w:rsidR="00976B63" w:rsidRPr="00976B63" w:rsidRDefault="00976B63" w:rsidP="00976B63">
      <w:pPr>
        <w:jc w:val="center"/>
        <w:rPr>
          <w:b/>
        </w:rPr>
      </w:pPr>
      <w:r w:rsidRPr="00976B63">
        <w:rPr>
          <w:b/>
        </w:rPr>
        <w:t>BEFORE</w:t>
      </w:r>
    </w:p>
    <w:p w14:paraId="4FF5FD2D" w14:textId="77777777" w:rsidR="00976B63" w:rsidRPr="00976B63" w:rsidRDefault="00976B63" w:rsidP="00976B63">
      <w:pPr>
        <w:jc w:val="center"/>
        <w:rPr>
          <w:b/>
        </w:rPr>
      </w:pPr>
      <w:r w:rsidRPr="00976B63">
        <w:rPr>
          <w:b/>
        </w:rPr>
        <w:t>THE PUBLIC UTILITIES COMMISSION OF OHIO</w:t>
      </w:r>
    </w:p>
    <w:p w14:paraId="2AFE8264" w14:textId="77777777" w:rsidR="00976B63" w:rsidRPr="00976B63" w:rsidRDefault="00976B63" w:rsidP="00976B63">
      <w:pPr>
        <w:jc w:val="center"/>
        <w:rPr>
          <w:b/>
        </w:rPr>
      </w:pPr>
    </w:p>
    <w:p w14:paraId="00DCF50C" w14:textId="77777777" w:rsidR="00976B63" w:rsidRPr="00976B63" w:rsidRDefault="00976B63" w:rsidP="00976B63">
      <w:pPr>
        <w:jc w:val="center"/>
        <w:rPr>
          <w:b/>
        </w:rPr>
      </w:pPr>
    </w:p>
    <w:p w14:paraId="37B1821C" w14:textId="77777777" w:rsidR="00976B63" w:rsidRPr="00976B63" w:rsidRDefault="00976B63" w:rsidP="00976B63">
      <w:pPr>
        <w:jc w:val="both"/>
      </w:pPr>
      <w:r w:rsidRPr="00976B63">
        <w:t>In the Matter of the Commission’s</w:t>
      </w:r>
      <w:r w:rsidRPr="00976B63">
        <w:tab/>
      </w:r>
      <w:r w:rsidRPr="00976B63">
        <w:tab/>
        <w:t>)</w:t>
      </w:r>
      <w:r w:rsidRPr="00976B63">
        <w:tab/>
      </w:r>
    </w:p>
    <w:p w14:paraId="2FD94138" w14:textId="77777777" w:rsidR="00976B63" w:rsidRPr="00976B63" w:rsidRDefault="00976B63" w:rsidP="00976B63">
      <w:pPr>
        <w:jc w:val="both"/>
      </w:pPr>
      <w:r w:rsidRPr="00976B63">
        <w:t>Investigation of Submetering in the</w:t>
      </w:r>
      <w:r w:rsidRPr="00976B63">
        <w:tab/>
        <w:t>)</w:t>
      </w:r>
      <w:r w:rsidRPr="00976B63">
        <w:tab/>
      </w:r>
      <w:r w:rsidRPr="00976B63">
        <w:tab/>
        <w:t>Case No. 15-1594-AU-COI</w:t>
      </w:r>
    </w:p>
    <w:p w14:paraId="3CA7C681" w14:textId="77777777" w:rsidR="00976B63" w:rsidRPr="00976B63" w:rsidRDefault="00976B63" w:rsidP="00976B63">
      <w:pPr>
        <w:jc w:val="both"/>
      </w:pPr>
      <w:r w:rsidRPr="00976B63">
        <w:t>State of Ohio.</w:t>
      </w:r>
      <w:r w:rsidRPr="00976B63">
        <w:tab/>
      </w:r>
      <w:r w:rsidRPr="00976B63">
        <w:tab/>
      </w:r>
      <w:r w:rsidRPr="00976B63">
        <w:tab/>
      </w:r>
      <w:r w:rsidRPr="00976B63">
        <w:tab/>
        <w:t>)</w:t>
      </w:r>
    </w:p>
    <w:p w14:paraId="0B770F72" w14:textId="77777777" w:rsidR="00976B63" w:rsidRPr="00976B63" w:rsidRDefault="00976B63" w:rsidP="00976B63">
      <w:pPr>
        <w:jc w:val="both"/>
        <w:rPr>
          <w:b/>
        </w:rPr>
      </w:pPr>
    </w:p>
    <w:p w14:paraId="71982DF3" w14:textId="77777777" w:rsidR="00976B63" w:rsidRPr="00976B63" w:rsidRDefault="00976B63" w:rsidP="00976B63">
      <w:pPr>
        <w:jc w:val="both"/>
      </w:pPr>
      <w:r w:rsidRPr="00976B63">
        <w:t>______________________________________________________________________</w:t>
      </w:r>
    </w:p>
    <w:p w14:paraId="7627C38D" w14:textId="77777777" w:rsidR="00976B63" w:rsidRPr="00976B63" w:rsidRDefault="00976B63" w:rsidP="00976B63">
      <w:pPr>
        <w:jc w:val="both"/>
      </w:pPr>
    </w:p>
    <w:p w14:paraId="6E85F739" w14:textId="77777777" w:rsidR="00976B63" w:rsidRPr="00976B63" w:rsidRDefault="00976B63" w:rsidP="00976B63">
      <w:pPr>
        <w:jc w:val="center"/>
        <w:rPr>
          <w:rFonts w:ascii="Arial Bold" w:hAnsi="Arial Bold"/>
          <w:b/>
          <w:caps/>
          <w:sz w:val="28"/>
          <w:szCs w:val="28"/>
        </w:rPr>
      </w:pPr>
      <w:r>
        <w:rPr>
          <w:rFonts w:ascii="Arial Bold" w:hAnsi="Arial Bold"/>
          <w:b/>
          <w:caps/>
          <w:sz w:val="28"/>
          <w:szCs w:val="28"/>
        </w:rPr>
        <w:t>REPLY</w:t>
      </w:r>
      <w:r w:rsidRPr="00976B63">
        <w:rPr>
          <w:rFonts w:ascii="Arial Bold" w:hAnsi="Arial Bold"/>
          <w:b/>
          <w:caps/>
          <w:sz w:val="28"/>
          <w:szCs w:val="28"/>
        </w:rPr>
        <w:t xml:space="preserve"> Comments of</w:t>
      </w:r>
    </w:p>
    <w:p w14:paraId="246A416A" w14:textId="77777777" w:rsidR="00976B63" w:rsidRPr="00976B63" w:rsidRDefault="00976B63" w:rsidP="00976B63">
      <w:pPr>
        <w:jc w:val="center"/>
        <w:rPr>
          <w:rFonts w:ascii="Arial Bold" w:hAnsi="Arial Bold"/>
          <w:b/>
          <w:caps/>
        </w:rPr>
      </w:pPr>
      <w:r w:rsidRPr="00976B63">
        <w:rPr>
          <w:rFonts w:ascii="Arial Bold" w:hAnsi="Arial Bold"/>
          <w:b/>
          <w:caps/>
          <w:sz w:val="28"/>
          <w:szCs w:val="28"/>
        </w:rPr>
        <w:t>Industrial Energy Users-Ohio</w:t>
      </w:r>
    </w:p>
    <w:p w14:paraId="1B5C5527" w14:textId="77777777" w:rsidR="00976B63" w:rsidRPr="00976B63" w:rsidRDefault="00976B63" w:rsidP="00976B63">
      <w:pPr>
        <w:jc w:val="both"/>
      </w:pPr>
      <w:r w:rsidRPr="00976B63">
        <w:t>______________________________________________________________________</w:t>
      </w:r>
    </w:p>
    <w:p w14:paraId="403B843F" w14:textId="77777777" w:rsidR="00976B63" w:rsidRPr="00976B63" w:rsidRDefault="00976B63" w:rsidP="00976B63">
      <w:pPr>
        <w:jc w:val="both"/>
      </w:pPr>
    </w:p>
    <w:p w14:paraId="464D3EE0" w14:textId="77777777" w:rsidR="00976B63" w:rsidRPr="00976B63" w:rsidRDefault="00976B63" w:rsidP="00976B63">
      <w:pPr>
        <w:widowControl w:val="0"/>
        <w:ind w:left="4320"/>
        <w:jc w:val="both"/>
        <w:rPr>
          <w:rFonts w:eastAsia="Calibri" w:cs="Arial"/>
          <w:bCs/>
        </w:rPr>
      </w:pPr>
    </w:p>
    <w:p w14:paraId="1C71F6FC" w14:textId="77777777" w:rsidR="00976B63" w:rsidRPr="00976B63" w:rsidRDefault="00976B63" w:rsidP="00976B63">
      <w:pPr>
        <w:widowControl w:val="0"/>
        <w:ind w:left="4320"/>
        <w:jc w:val="both"/>
        <w:rPr>
          <w:rFonts w:eastAsia="Calibri" w:cs="Arial"/>
          <w:bCs/>
        </w:rPr>
      </w:pPr>
    </w:p>
    <w:p w14:paraId="5B1CF2B1" w14:textId="77777777" w:rsidR="00976B63" w:rsidRPr="00976B63" w:rsidRDefault="00976B63" w:rsidP="00976B63">
      <w:pPr>
        <w:widowControl w:val="0"/>
        <w:ind w:left="4320"/>
        <w:jc w:val="both"/>
        <w:rPr>
          <w:rFonts w:eastAsia="Calibri" w:cs="Arial"/>
          <w:bCs/>
        </w:rPr>
      </w:pPr>
    </w:p>
    <w:p w14:paraId="009765A5" w14:textId="77777777" w:rsidR="00976B63" w:rsidRPr="00976B63" w:rsidRDefault="00976B63" w:rsidP="00976B63">
      <w:pPr>
        <w:widowControl w:val="0"/>
        <w:ind w:left="4320"/>
        <w:jc w:val="both"/>
        <w:rPr>
          <w:rFonts w:eastAsia="Calibri" w:cs="Arial"/>
          <w:bCs/>
        </w:rPr>
      </w:pPr>
    </w:p>
    <w:p w14:paraId="4B230949" w14:textId="77777777" w:rsidR="00976B63" w:rsidRPr="00976B63" w:rsidRDefault="00976B63" w:rsidP="00976B63">
      <w:pPr>
        <w:widowControl w:val="0"/>
        <w:ind w:left="4320"/>
        <w:jc w:val="both"/>
        <w:rPr>
          <w:rFonts w:eastAsia="Calibri" w:cs="Arial"/>
          <w:bCs/>
        </w:rPr>
      </w:pPr>
    </w:p>
    <w:p w14:paraId="1A282504" w14:textId="77777777" w:rsidR="00976B63" w:rsidRPr="00976B63" w:rsidRDefault="00976B63" w:rsidP="00976B63">
      <w:pPr>
        <w:widowControl w:val="0"/>
        <w:ind w:left="4320"/>
        <w:jc w:val="both"/>
        <w:rPr>
          <w:rFonts w:eastAsia="Calibri" w:cs="Arial"/>
          <w:bCs/>
        </w:rPr>
      </w:pPr>
    </w:p>
    <w:p w14:paraId="1120D430" w14:textId="77777777" w:rsidR="00976B63" w:rsidRPr="00976B63" w:rsidRDefault="00976B63" w:rsidP="00976B63">
      <w:pPr>
        <w:widowControl w:val="0"/>
        <w:ind w:left="4320"/>
        <w:jc w:val="both"/>
        <w:rPr>
          <w:rFonts w:eastAsia="Calibri" w:cs="Arial"/>
          <w:bCs/>
        </w:rPr>
      </w:pPr>
    </w:p>
    <w:p w14:paraId="3378DEB9" w14:textId="77777777" w:rsidR="00976B63" w:rsidRPr="00976B63" w:rsidRDefault="00976B63" w:rsidP="00976B63">
      <w:pPr>
        <w:widowControl w:val="0"/>
        <w:ind w:left="4320"/>
        <w:jc w:val="both"/>
        <w:rPr>
          <w:rFonts w:eastAsia="Calibri" w:cs="Arial"/>
          <w:bCs/>
        </w:rPr>
      </w:pPr>
    </w:p>
    <w:p w14:paraId="3F053C45" w14:textId="77777777" w:rsidR="00976B63" w:rsidRPr="00976B63" w:rsidRDefault="00976B63" w:rsidP="00976B63">
      <w:pPr>
        <w:widowControl w:val="0"/>
        <w:ind w:left="4320"/>
        <w:jc w:val="both"/>
        <w:rPr>
          <w:rFonts w:eastAsia="Calibri" w:cs="Arial"/>
          <w:bCs/>
        </w:rPr>
      </w:pPr>
    </w:p>
    <w:p w14:paraId="46E5ED78" w14:textId="77777777" w:rsidR="00976B63" w:rsidRPr="00976B63" w:rsidRDefault="00976B63" w:rsidP="00976B63">
      <w:pPr>
        <w:widowControl w:val="0"/>
        <w:ind w:left="4320"/>
        <w:jc w:val="both"/>
        <w:rPr>
          <w:rFonts w:eastAsia="Calibri" w:cs="Arial"/>
          <w:bCs/>
        </w:rPr>
      </w:pPr>
    </w:p>
    <w:p w14:paraId="7DD3FC97" w14:textId="77777777" w:rsidR="00976B63" w:rsidRPr="00976B63" w:rsidRDefault="00976B63" w:rsidP="00976B63">
      <w:pPr>
        <w:widowControl w:val="0"/>
        <w:ind w:left="4320"/>
        <w:jc w:val="both"/>
        <w:rPr>
          <w:rFonts w:eastAsia="Calibri" w:cs="Arial"/>
          <w:bCs/>
        </w:rPr>
      </w:pPr>
    </w:p>
    <w:p w14:paraId="488E318E" w14:textId="77777777" w:rsidR="00976B63" w:rsidRPr="00976B63" w:rsidRDefault="00976B63" w:rsidP="00976B63">
      <w:pPr>
        <w:widowControl w:val="0"/>
        <w:ind w:left="4320"/>
        <w:jc w:val="both"/>
        <w:rPr>
          <w:rFonts w:eastAsia="Calibri" w:cs="Arial"/>
          <w:bCs/>
        </w:rPr>
      </w:pPr>
    </w:p>
    <w:p w14:paraId="120FE271" w14:textId="77777777" w:rsidR="00976B63" w:rsidRPr="00976B63" w:rsidRDefault="00976B63" w:rsidP="00976B63">
      <w:pPr>
        <w:widowControl w:val="0"/>
        <w:ind w:left="4320"/>
        <w:jc w:val="both"/>
        <w:rPr>
          <w:rFonts w:eastAsia="Calibri" w:cs="Arial"/>
          <w:bCs/>
        </w:rPr>
      </w:pPr>
    </w:p>
    <w:p w14:paraId="066EB1F7" w14:textId="77777777" w:rsidR="00976B63" w:rsidRPr="00976B63" w:rsidRDefault="00976B63" w:rsidP="00976B63">
      <w:pPr>
        <w:widowControl w:val="0"/>
        <w:ind w:left="4320"/>
        <w:jc w:val="both"/>
        <w:rPr>
          <w:rFonts w:eastAsia="Calibri" w:cs="Arial"/>
          <w:bCs/>
        </w:rPr>
      </w:pPr>
    </w:p>
    <w:p w14:paraId="5FAE0AF3" w14:textId="77777777" w:rsidR="00976B63" w:rsidRPr="00976B63" w:rsidRDefault="00976B63" w:rsidP="00976B63">
      <w:pPr>
        <w:widowControl w:val="0"/>
        <w:ind w:left="4320"/>
        <w:jc w:val="both"/>
        <w:rPr>
          <w:rFonts w:eastAsia="Calibri" w:cs="Arial"/>
          <w:bCs/>
        </w:rPr>
      </w:pPr>
    </w:p>
    <w:p w14:paraId="32E6EB4A" w14:textId="77777777" w:rsidR="00976B63" w:rsidRPr="00976B63" w:rsidRDefault="00976B63" w:rsidP="00976B63">
      <w:pPr>
        <w:widowControl w:val="0"/>
        <w:ind w:left="4320"/>
        <w:jc w:val="both"/>
        <w:rPr>
          <w:rFonts w:eastAsia="Calibri" w:cs="Arial"/>
          <w:bCs/>
        </w:rPr>
      </w:pPr>
    </w:p>
    <w:p w14:paraId="5FDD35A5" w14:textId="77777777" w:rsidR="00976B63" w:rsidRPr="00976B63" w:rsidRDefault="00976B63" w:rsidP="00976B63">
      <w:pPr>
        <w:widowControl w:val="0"/>
        <w:ind w:left="4320"/>
        <w:jc w:val="both"/>
        <w:rPr>
          <w:rFonts w:eastAsia="Calibri" w:cs="Arial"/>
          <w:bCs/>
        </w:rPr>
      </w:pPr>
    </w:p>
    <w:p w14:paraId="445FEAE2" w14:textId="77777777" w:rsidR="00976B63" w:rsidRPr="00976B63" w:rsidRDefault="00976B63" w:rsidP="00976B63">
      <w:pPr>
        <w:widowControl w:val="0"/>
        <w:ind w:left="4320"/>
        <w:jc w:val="both"/>
        <w:rPr>
          <w:rFonts w:eastAsia="Calibri" w:cs="Arial"/>
          <w:bCs/>
        </w:rPr>
      </w:pPr>
    </w:p>
    <w:p w14:paraId="2EC2C82E" w14:textId="77777777" w:rsidR="00976B63" w:rsidRPr="00976B63" w:rsidRDefault="00976B63" w:rsidP="00976B63">
      <w:pPr>
        <w:widowControl w:val="0"/>
        <w:ind w:left="4320"/>
        <w:jc w:val="both"/>
        <w:rPr>
          <w:rFonts w:eastAsia="Calibri" w:cs="Arial"/>
          <w:bCs/>
        </w:rPr>
      </w:pPr>
      <w:r w:rsidRPr="00976B63">
        <w:rPr>
          <w:rFonts w:eastAsia="Calibri" w:cs="Arial"/>
          <w:bCs/>
        </w:rPr>
        <w:t>Frank P. Darr (Reg. No. 0025469)</w:t>
      </w:r>
    </w:p>
    <w:p w14:paraId="01864BA8" w14:textId="77777777" w:rsidR="00976B63" w:rsidRPr="00976B63" w:rsidRDefault="00976B63" w:rsidP="00976B63">
      <w:pPr>
        <w:widowControl w:val="0"/>
        <w:ind w:left="4320"/>
        <w:jc w:val="both"/>
        <w:rPr>
          <w:rFonts w:eastAsia="Calibri" w:cs="Arial"/>
          <w:bCs/>
        </w:rPr>
      </w:pPr>
      <w:r w:rsidRPr="00976B63">
        <w:rPr>
          <w:rFonts w:eastAsia="Calibri" w:cs="Arial"/>
          <w:bCs/>
        </w:rPr>
        <w:t>(Counsel of Record)</w:t>
      </w:r>
    </w:p>
    <w:p w14:paraId="18110F53" w14:textId="77777777" w:rsidR="00976B63" w:rsidRPr="00976B63" w:rsidRDefault="00976B63" w:rsidP="00976B63">
      <w:pPr>
        <w:widowControl w:val="0"/>
        <w:ind w:left="4320"/>
        <w:jc w:val="both"/>
        <w:rPr>
          <w:rFonts w:eastAsia="Calibri" w:cs="Arial"/>
          <w:b/>
          <w:bCs/>
        </w:rPr>
      </w:pPr>
      <w:r w:rsidRPr="00976B63">
        <w:rPr>
          <w:rFonts w:eastAsia="Calibri" w:cs="Arial"/>
          <w:bCs/>
        </w:rPr>
        <w:t>Matthew R. Pritchard (Reg. No. 0088070)</w:t>
      </w:r>
    </w:p>
    <w:p w14:paraId="6185ABD5" w14:textId="77777777" w:rsidR="00976B63" w:rsidRPr="00976B63" w:rsidRDefault="00976B63" w:rsidP="00976B63">
      <w:pPr>
        <w:widowControl w:val="0"/>
        <w:ind w:left="4320"/>
        <w:jc w:val="both"/>
        <w:rPr>
          <w:rFonts w:eastAsia="Calibri" w:cs="Arial"/>
          <w:b/>
          <w:bCs/>
          <w:smallCaps/>
        </w:rPr>
      </w:pPr>
      <w:r w:rsidRPr="00976B63">
        <w:rPr>
          <w:rFonts w:eastAsia="Calibri" w:cs="Arial"/>
          <w:bCs/>
          <w:smallCaps/>
        </w:rPr>
        <w:t>McNees Wallace &amp; Nurick LLC</w:t>
      </w:r>
    </w:p>
    <w:p w14:paraId="601DF710" w14:textId="77777777" w:rsidR="00976B63" w:rsidRPr="00976B63" w:rsidRDefault="00976B63" w:rsidP="00976B63">
      <w:pPr>
        <w:widowControl w:val="0"/>
        <w:ind w:left="4320"/>
        <w:jc w:val="both"/>
        <w:rPr>
          <w:rFonts w:eastAsia="Calibri" w:cs="Arial"/>
          <w:b/>
          <w:bCs/>
        </w:rPr>
      </w:pPr>
      <w:r w:rsidRPr="00976B63">
        <w:rPr>
          <w:rFonts w:eastAsia="Calibri" w:cs="Arial"/>
          <w:bCs/>
        </w:rPr>
        <w:t>21 East State Street, 17</w:t>
      </w:r>
      <w:r w:rsidRPr="00976B63">
        <w:rPr>
          <w:rFonts w:eastAsia="Calibri" w:cs="Arial"/>
          <w:bCs/>
          <w:vertAlign w:val="superscript"/>
        </w:rPr>
        <w:t>TH</w:t>
      </w:r>
      <w:r w:rsidRPr="00976B63">
        <w:rPr>
          <w:rFonts w:eastAsia="Calibri" w:cs="Arial"/>
          <w:bCs/>
        </w:rPr>
        <w:t xml:space="preserve"> Floor</w:t>
      </w:r>
    </w:p>
    <w:p w14:paraId="789BF986" w14:textId="77777777" w:rsidR="00976B63" w:rsidRPr="00976B63" w:rsidRDefault="00976B63" w:rsidP="00976B63">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976B63">
        <w:rPr>
          <w:rFonts w:eastAsia="Calibri" w:cs="Arial"/>
        </w:rPr>
        <w:t>Columbus, OH  43215</w:t>
      </w:r>
    </w:p>
    <w:p w14:paraId="12C08C48" w14:textId="77777777" w:rsidR="00976B63" w:rsidRPr="00976B63" w:rsidRDefault="00976B63" w:rsidP="00976B63">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976B63">
        <w:rPr>
          <w:rFonts w:eastAsia="Calibri" w:cs="Arial"/>
        </w:rPr>
        <w:t>Telephone:  (614) 469-8000</w:t>
      </w:r>
    </w:p>
    <w:p w14:paraId="7FD270B5" w14:textId="77777777" w:rsidR="00976B63" w:rsidRPr="00976B63" w:rsidRDefault="00976B63" w:rsidP="00976B6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Telecopier:  (614) 469-4653</w:t>
      </w:r>
    </w:p>
    <w:p w14:paraId="473AC5B1" w14:textId="77777777" w:rsidR="00976B63" w:rsidRPr="00976B63" w:rsidRDefault="00976B63" w:rsidP="00976B6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rPr>
        <w:t>fdarr@mwncmh.com</w:t>
      </w:r>
    </w:p>
    <w:p w14:paraId="34BEED8B" w14:textId="77777777" w:rsidR="00976B63" w:rsidRPr="00976B63" w:rsidRDefault="00976B63" w:rsidP="00976B6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(willing to accept service by e-mail)</w:t>
      </w:r>
    </w:p>
    <w:p w14:paraId="1BABC9F6" w14:textId="77777777" w:rsidR="00976B63" w:rsidRPr="00976B63" w:rsidRDefault="00976B63" w:rsidP="00976B63">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976B63">
        <w:rPr>
          <w:rFonts w:eastAsia="Calibri" w:cs="Arial"/>
          <w:color w:val="000000"/>
        </w:rPr>
        <w:t>mpritchard@mwncmh.com</w:t>
      </w:r>
    </w:p>
    <w:p w14:paraId="286F9B64" w14:textId="77777777" w:rsidR="00976B63" w:rsidRPr="00976B63" w:rsidRDefault="00976B63" w:rsidP="00976B6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(willing to accept service by e-mail)</w:t>
      </w:r>
    </w:p>
    <w:p w14:paraId="5CA90792" w14:textId="77777777" w:rsidR="00976B63" w:rsidRPr="00976B63" w:rsidRDefault="00976B63" w:rsidP="00976B6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p>
    <w:p w14:paraId="5B944760" w14:textId="77777777" w:rsidR="00976B63" w:rsidRPr="00976B63" w:rsidRDefault="000C570A" w:rsidP="00976B63">
      <w:pPr>
        <w:ind w:left="4320" w:hanging="4320"/>
        <w:jc w:val="both"/>
        <w:rPr>
          <w:rFonts w:cs="Arial"/>
          <w:b/>
          <w:smallCaps/>
          <w:color w:val="000000"/>
        </w:rPr>
        <w:sectPr w:rsidR="00976B63" w:rsidRPr="00976B63" w:rsidSect="00686A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26"/>
        </w:sectPr>
      </w:pPr>
      <w:r>
        <w:rPr>
          <w:rFonts w:cs="Arial"/>
          <w:b/>
          <w:smallCaps/>
          <w:color w:val="000000"/>
        </w:rPr>
        <w:t>February 5</w:t>
      </w:r>
      <w:r w:rsidR="00976B63" w:rsidRPr="00976B63">
        <w:rPr>
          <w:rFonts w:cs="Arial"/>
          <w:b/>
          <w:smallCaps/>
          <w:color w:val="000000"/>
        </w:rPr>
        <w:t>, 2016</w:t>
      </w:r>
      <w:r w:rsidR="00976B63" w:rsidRPr="00976B63">
        <w:rPr>
          <w:rFonts w:cs="Arial"/>
          <w:b/>
          <w:smallCaps/>
          <w:color w:val="000000"/>
        </w:rPr>
        <w:tab/>
        <w:t>On Behalf of Industrial Energy Users-Ohio</w:t>
      </w:r>
    </w:p>
    <w:p w14:paraId="628317D2" w14:textId="77777777" w:rsidR="00976B63" w:rsidRPr="00976B63" w:rsidRDefault="00976B63" w:rsidP="00976B63">
      <w:pPr>
        <w:jc w:val="center"/>
        <w:rPr>
          <w:b/>
        </w:rPr>
      </w:pPr>
      <w:r w:rsidRPr="00976B63">
        <w:rPr>
          <w:b/>
        </w:rPr>
        <w:lastRenderedPageBreak/>
        <w:t>BEFORE</w:t>
      </w:r>
    </w:p>
    <w:p w14:paraId="5A35CD59" w14:textId="77777777" w:rsidR="00976B63" w:rsidRPr="00976B63" w:rsidRDefault="00976B63" w:rsidP="00976B63">
      <w:pPr>
        <w:jc w:val="center"/>
        <w:rPr>
          <w:b/>
        </w:rPr>
      </w:pPr>
      <w:r w:rsidRPr="00976B63">
        <w:rPr>
          <w:b/>
        </w:rPr>
        <w:t>THE PUBLIC UTILITIES COMMISSION OF OHIO</w:t>
      </w:r>
    </w:p>
    <w:p w14:paraId="5D13A50C" w14:textId="77777777" w:rsidR="00976B63" w:rsidRPr="00976B63" w:rsidRDefault="00976B63" w:rsidP="00976B63">
      <w:pPr>
        <w:jc w:val="center"/>
        <w:rPr>
          <w:b/>
        </w:rPr>
      </w:pPr>
    </w:p>
    <w:p w14:paraId="55AFB5C5" w14:textId="77777777" w:rsidR="00976B63" w:rsidRPr="00976B63" w:rsidRDefault="00976B63" w:rsidP="00976B63">
      <w:pPr>
        <w:jc w:val="center"/>
        <w:rPr>
          <w:b/>
        </w:rPr>
      </w:pPr>
    </w:p>
    <w:p w14:paraId="50DD1C6F" w14:textId="77777777" w:rsidR="00976B63" w:rsidRPr="00976B63" w:rsidRDefault="00976B63" w:rsidP="00976B63">
      <w:pPr>
        <w:jc w:val="both"/>
      </w:pPr>
      <w:r w:rsidRPr="00976B63">
        <w:t>In the Matter of the Commission’s</w:t>
      </w:r>
      <w:r w:rsidRPr="00976B63">
        <w:tab/>
      </w:r>
      <w:r w:rsidRPr="00976B63">
        <w:tab/>
        <w:t>)</w:t>
      </w:r>
      <w:r w:rsidRPr="00976B63">
        <w:tab/>
      </w:r>
    </w:p>
    <w:p w14:paraId="4D98AE4F" w14:textId="77777777" w:rsidR="00976B63" w:rsidRPr="00976B63" w:rsidRDefault="00976B63" w:rsidP="00976B63">
      <w:pPr>
        <w:jc w:val="both"/>
      </w:pPr>
      <w:r w:rsidRPr="00976B63">
        <w:t>Investigation of Submetering in the</w:t>
      </w:r>
      <w:r w:rsidRPr="00976B63">
        <w:tab/>
        <w:t>)</w:t>
      </w:r>
      <w:r w:rsidRPr="00976B63">
        <w:tab/>
      </w:r>
      <w:r w:rsidRPr="00976B63">
        <w:tab/>
        <w:t>Case No. 15-1594-AU-COI</w:t>
      </w:r>
    </w:p>
    <w:p w14:paraId="7563DA52" w14:textId="77777777" w:rsidR="00976B63" w:rsidRPr="00976B63" w:rsidRDefault="00976B63" w:rsidP="00976B63">
      <w:pPr>
        <w:jc w:val="both"/>
      </w:pPr>
      <w:r w:rsidRPr="00976B63">
        <w:t>State of Ohio.</w:t>
      </w:r>
      <w:r w:rsidRPr="00976B63">
        <w:tab/>
      </w:r>
      <w:r w:rsidRPr="00976B63">
        <w:tab/>
      </w:r>
      <w:r w:rsidRPr="00976B63">
        <w:tab/>
      </w:r>
      <w:r w:rsidRPr="00976B63">
        <w:tab/>
        <w:t>)</w:t>
      </w:r>
    </w:p>
    <w:p w14:paraId="12BB82E3" w14:textId="77777777" w:rsidR="00976B63" w:rsidRPr="00976B63" w:rsidRDefault="00976B63" w:rsidP="00976B63">
      <w:pPr>
        <w:jc w:val="both"/>
        <w:rPr>
          <w:b/>
        </w:rPr>
      </w:pPr>
    </w:p>
    <w:p w14:paraId="3E99051F" w14:textId="77777777" w:rsidR="00976B63" w:rsidRPr="00976B63" w:rsidRDefault="00976B63" w:rsidP="00976B63">
      <w:pPr>
        <w:jc w:val="both"/>
      </w:pPr>
      <w:r w:rsidRPr="00976B63">
        <w:t>______________________________________________________________________</w:t>
      </w:r>
    </w:p>
    <w:p w14:paraId="0F665B1E" w14:textId="77777777" w:rsidR="00976B63" w:rsidRPr="00976B63" w:rsidRDefault="00976B63" w:rsidP="00976B63">
      <w:pPr>
        <w:jc w:val="both"/>
      </w:pPr>
    </w:p>
    <w:p w14:paraId="64C2541B" w14:textId="77777777" w:rsidR="00976B63" w:rsidRPr="00976B63" w:rsidRDefault="000C570A" w:rsidP="00976B63">
      <w:pPr>
        <w:jc w:val="center"/>
        <w:rPr>
          <w:rFonts w:ascii="Arial Bold" w:hAnsi="Arial Bold"/>
          <w:b/>
          <w:caps/>
          <w:sz w:val="28"/>
          <w:szCs w:val="28"/>
        </w:rPr>
      </w:pPr>
      <w:r>
        <w:rPr>
          <w:rFonts w:ascii="Arial Bold" w:hAnsi="Arial Bold"/>
          <w:b/>
          <w:caps/>
          <w:sz w:val="28"/>
          <w:szCs w:val="28"/>
        </w:rPr>
        <w:t>reply</w:t>
      </w:r>
      <w:r w:rsidR="00976B63" w:rsidRPr="00976B63">
        <w:rPr>
          <w:rFonts w:ascii="Arial Bold" w:hAnsi="Arial Bold"/>
          <w:b/>
          <w:caps/>
          <w:sz w:val="28"/>
          <w:szCs w:val="28"/>
        </w:rPr>
        <w:t xml:space="preserve"> Comments of</w:t>
      </w:r>
    </w:p>
    <w:p w14:paraId="0E217138" w14:textId="77777777" w:rsidR="00976B63" w:rsidRPr="00976B63" w:rsidRDefault="00976B63" w:rsidP="00976B63">
      <w:pPr>
        <w:jc w:val="center"/>
        <w:rPr>
          <w:rFonts w:ascii="Arial Bold" w:hAnsi="Arial Bold"/>
          <w:b/>
          <w:caps/>
        </w:rPr>
      </w:pPr>
      <w:r w:rsidRPr="00976B63">
        <w:rPr>
          <w:rFonts w:ascii="Arial Bold" w:hAnsi="Arial Bold"/>
          <w:b/>
          <w:caps/>
          <w:sz w:val="28"/>
          <w:szCs w:val="28"/>
        </w:rPr>
        <w:t>Industrial Energy Users-Ohio</w:t>
      </w:r>
    </w:p>
    <w:p w14:paraId="340129EA" w14:textId="77777777" w:rsidR="00976B63" w:rsidRPr="00976B63" w:rsidRDefault="00976B63" w:rsidP="00976B63">
      <w:pPr>
        <w:jc w:val="both"/>
      </w:pPr>
      <w:r w:rsidRPr="00976B63">
        <w:t>______________________________________________________________________</w:t>
      </w:r>
    </w:p>
    <w:p w14:paraId="2BB1D52B" w14:textId="77777777" w:rsidR="00B93786" w:rsidRDefault="00B93786" w:rsidP="00B93786">
      <w:pPr>
        <w:pStyle w:val="Heading1"/>
        <w:numPr>
          <w:ilvl w:val="0"/>
          <w:numId w:val="0"/>
        </w:numPr>
        <w:rPr>
          <w:rFonts w:eastAsia="Times New Roman"/>
        </w:rPr>
      </w:pPr>
    </w:p>
    <w:p w14:paraId="604BA052" w14:textId="77777777" w:rsidR="00976B63" w:rsidRPr="00EB23A6" w:rsidRDefault="00976B63" w:rsidP="00CA4AE3">
      <w:pPr>
        <w:pStyle w:val="Heading1"/>
        <w:jc w:val="both"/>
        <w:rPr>
          <w:rFonts w:eastAsia="Times New Roman"/>
          <w:b/>
        </w:rPr>
      </w:pPr>
      <w:r w:rsidRPr="00EB23A6">
        <w:rPr>
          <w:rFonts w:eastAsia="Times New Roman"/>
          <w:b/>
        </w:rPr>
        <w:t>INTRODUCTION</w:t>
      </w:r>
    </w:p>
    <w:p w14:paraId="010D113D" w14:textId="4D415EB9" w:rsidR="007A67F4" w:rsidRDefault="00976B63" w:rsidP="006D499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sidRPr="00976B63">
        <w:rPr>
          <w:rFonts w:eastAsia="Times New Roman" w:cs="Arial"/>
        </w:rPr>
        <w:tab/>
        <w:t xml:space="preserve">On December 16, 2015, the Public Utilities Commission of Ohio (“Commission”) initiated an investigation regarding the proper regulatory framework that should be applied to submetering and condominium associations in Ohio.  </w:t>
      </w:r>
      <w:r w:rsidRPr="00976B63">
        <w:rPr>
          <w:rFonts w:cs="Arial"/>
        </w:rPr>
        <w:t xml:space="preserve">Entry at 1 (Dec. 16, 2015) (“Entry”).  </w:t>
      </w:r>
      <w:r w:rsidR="00A60401">
        <w:rPr>
          <w:rFonts w:eastAsia="Times New Roman" w:cs="Arial"/>
        </w:rPr>
        <w:t xml:space="preserve">As </w:t>
      </w:r>
      <w:r w:rsidR="001D1A8F">
        <w:rPr>
          <w:rFonts w:eastAsia="Times New Roman" w:cs="Arial"/>
        </w:rPr>
        <w:t>Industrial Energy Users-Ohio (“</w:t>
      </w:r>
      <w:r w:rsidR="00A60401">
        <w:rPr>
          <w:rFonts w:eastAsia="Times New Roman" w:cs="Arial"/>
        </w:rPr>
        <w:t>IEU-Ohio</w:t>
      </w:r>
      <w:r w:rsidR="001D1A8F">
        <w:rPr>
          <w:rFonts w:eastAsia="Times New Roman" w:cs="Arial"/>
        </w:rPr>
        <w:t>”)</w:t>
      </w:r>
      <w:r w:rsidR="00A60401">
        <w:rPr>
          <w:rFonts w:eastAsia="Times New Roman" w:cs="Arial"/>
        </w:rPr>
        <w:t xml:space="preserve"> demonstrated in its initial comments, t</w:t>
      </w:r>
      <w:r w:rsidR="00EC3A34">
        <w:rPr>
          <w:rFonts w:eastAsia="Times New Roman" w:cs="Arial"/>
        </w:rPr>
        <w:t xml:space="preserve">he regulatory framework that should be applied to submetering must conform to the jurisdictional requirements of Title 49 of the Ohio Revised Code and the accepted legal standards used to determine whether an entity is a public utility.  </w:t>
      </w:r>
      <w:r w:rsidR="00974F5C">
        <w:rPr>
          <w:rFonts w:eastAsia="Times New Roman" w:cs="Arial"/>
        </w:rPr>
        <w:t xml:space="preserve">Under this legal framework, </w:t>
      </w:r>
      <w:r w:rsidR="00DD4ABF">
        <w:rPr>
          <w:rFonts w:eastAsia="Times New Roman" w:cs="Arial"/>
        </w:rPr>
        <w:t>the determination whether</w:t>
      </w:r>
      <w:r w:rsidR="00EC3A34">
        <w:rPr>
          <w:rFonts w:eastAsia="Times New Roman" w:cs="Arial"/>
        </w:rPr>
        <w:t xml:space="preserve"> an entity, or its agent, is subject to Commission jurisdiction</w:t>
      </w:r>
      <w:r w:rsidR="00DD4ABF">
        <w:rPr>
          <w:rFonts w:eastAsia="Times New Roman" w:cs="Arial"/>
        </w:rPr>
        <w:t xml:space="preserve"> is</w:t>
      </w:r>
      <w:r w:rsidR="00EC3A34">
        <w:rPr>
          <w:rFonts w:eastAsia="Times New Roman" w:cs="Arial"/>
        </w:rPr>
        <w:t xml:space="preserve"> based on a review of the facts and circumstances presented by the particular activities of the entity or its agent.  </w:t>
      </w:r>
      <w:r w:rsidR="00DC6723">
        <w:rPr>
          <w:rFonts w:eastAsia="Times New Roman" w:cs="Arial"/>
        </w:rPr>
        <w:t xml:space="preserve">Further, the Commission must consider the statutory exceptions to its jurisdiction.  </w:t>
      </w:r>
      <w:r w:rsidR="002A12C2">
        <w:rPr>
          <w:rFonts w:eastAsia="Times New Roman" w:cs="Arial"/>
        </w:rPr>
        <w:t>Initial Comments of Industrial Energy Users-Ohio</w:t>
      </w:r>
      <w:r w:rsidR="0093172A">
        <w:rPr>
          <w:rFonts w:eastAsia="Times New Roman" w:cs="Arial"/>
        </w:rPr>
        <w:t xml:space="preserve"> at </w:t>
      </w:r>
      <w:r w:rsidR="002A12C2">
        <w:rPr>
          <w:rFonts w:eastAsia="Times New Roman" w:cs="Arial"/>
        </w:rPr>
        <w:t xml:space="preserve">4 </w:t>
      </w:r>
      <w:r w:rsidR="004E0941">
        <w:rPr>
          <w:rFonts w:eastAsia="Times New Roman" w:cs="Arial"/>
        </w:rPr>
        <w:t>&amp; 7 n.6</w:t>
      </w:r>
      <w:r w:rsidR="002A12C2">
        <w:rPr>
          <w:rFonts w:eastAsia="Times New Roman" w:cs="Arial"/>
        </w:rPr>
        <w:t xml:space="preserve"> (Jan. 21, 2016) (“IEU-Ohio Comments”).  </w:t>
      </w:r>
      <w:r w:rsidR="007A67F4">
        <w:t>As Mr.</w:t>
      </w:r>
      <w:r w:rsidR="00141C2E">
        <w:t xml:space="preserve"> </w:t>
      </w:r>
      <w:r w:rsidR="007A67F4">
        <w:t>Whitt correctly notes</w:t>
      </w:r>
      <w:r w:rsidR="00A60401">
        <w:t xml:space="preserve"> in his initial comments</w:t>
      </w:r>
      <w:r w:rsidR="007A67F4">
        <w:t xml:space="preserve">, the issues presented by this investigation cannot address the determinations that may be presented in an individual case.  </w:t>
      </w:r>
      <w:r w:rsidR="00141C2E">
        <w:t xml:space="preserve">“Different facts may implicate </w:t>
      </w:r>
      <w:r w:rsidR="00141C2E">
        <w:lastRenderedPageBreak/>
        <w:t xml:space="preserve">different rules of law.”  </w:t>
      </w:r>
      <w:r w:rsidR="007E21AC">
        <w:t>Initial Comments of Mark Whitt</w:t>
      </w:r>
      <w:r w:rsidR="00141C2E">
        <w:t xml:space="preserve"> at 7</w:t>
      </w:r>
      <w:r w:rsidR="007E21AC">
        <w:t xml:space="preserve"> (Jan. 21, 2016) (“Whitt Comments”)</w:t>
      </w:r>
      <w:r w:rsidR="00141C2E">
        <w:t>.</w:t>
      </w:r>
    </w:p>
    <w:p w14:paraId="6D5B090E" w14:textId="5E1F04BD" w:rsidR="001F791B" w:rsidRDefault="00270B2A" w:rsidP="00CA4AE3">
      <w:pPr>
        <w:spacing w:line="480" w:lineRule="auto"/>
        <w:ind w:firstLine="720"/>
        <w:jc w:val="both"/>
      </w:pPr>
      <w:r>
        <w:t xml:space="preserve">As IEU-Ohio also demonstrated in its initial comments, </w:t>
      </w:r>
      <w:r w:rsidR="00D832E0">
        <w:t xml:space="preserve">large industrial customers rely on the Commission’s consistent application of the legal standards </w:t>
      </w:r>
      <w:r w:rsidR="004D24ED">
        <w:t xml:space="preserve">used to determine if an entity is subject to Commission regulation </w:t>
      </w:r>
      <w:r w:rsidR="0058413C">
        <w:t>so that they can engage in voluntary arrangements</w:t>
      </w:r>
      <w:r w:rsidR="00D832E0">
        <w:t xml:space="preserve"> </w:t>
      </w:r>
      <w:r w:rsidR="003D3222">
        <w:t xml:space="preserve">among customers </w:t>
      </w:r>
      <w:r w:rsidR="00372338">
        <w:t xml:space="preserve">to receive electricity, natural gas, water or wastewater treatment services through a “master-meter,” or jointly or individually owned facilities, plant, or equipment.  These arrangements arise voluntarily and have become more common over time because corporations have spun off or separated individual business units that may have separate corporate identities even if commonly owned.  </w:t>
      </w:r>
      <w:r w:rsidR="00A57477">
        <w:t xml:space="preserve">IEU-Ohio Comments at 7-8.  </w:t>
      </w:r>
      <w:r w:rsidR="00782126">
        <w:t xml:space="preserve">Sweeping </w:t>
      </w:r>
      <w:r w:rsidR="00372338">
        <w:t xml:space="preserve">these </w:t>
      </w:r>
      <w:r w:rsidR="00DC00DA">
        <w:t>voluntary</w:t>
      </w:r>
      <w:r w:rsidR="00372338">
        <w:t xml:space="preserve"> shared service arrangements </w:t>
      </w:r>
      <w:r w:rsidR="00782126">
        <w:t xml:space="preserve">under Commission jurisdiction </w:t>
      </w:r>
      <w:r w:rsidR="00372338">
        <w:t xml:space="preserve">would impose unnecessary costs </w:t>
      </w:r>
      <w:r w:rsidR="00782126">
        <w:t>without any advancement of the public interest</w:t>
      </w:r>
      <w:r w:rsidR="00372338">
        <w:t>.</w:t>
      </w:r>
      <w:r w:rsidR="002E3A3A">
        <w:rPr>
          <w:rStyle w:val="FootnoteReference"/>
        </w:rPr>
        <w:footnoteReference w:id="1"/>
      </w:r>
      <w:r w:rsidR="00372338">
        <w:t xml:space="preserve">  </w:t>
      </w:r>
    </w:p>
    <w:p w14:paraId="2A9CAE8F" w14:textId="2C4B2985" w:rsidR="0002705C" w:rsidRDefault="00E610B1" w:rsidP="00CA4AE3">
      <w:pPr>
        <w:spacing w:line="480" w:lineRule="auto"/>
        <w:ind w:firstLine="720"/>
        <w:jc w:val="both"/>
      </w:pPr>
      <w:r>
        <w:t>T</w:t>
      </w:r>
      <w:r w:rsidR="00EC3A34">
        <w:t xml:space="preserve">he Comments filed by </w:t>
      </w:r>
      <w:r w:rsidR="001C3D85">
        <w:t>Ohio Power Company</w:t>
      </w:r>
      <w:r w:rsidR="00ED41AB">
        <w:t xml:space="preserve"> (“</w:t>
      </w:r>
      <w:r w:rsidR="00EC3A34">
        <w:t>AEP-Ohio</w:t>
      </w:r>
      <w:r w:rsidR="00ED41AB">
        <w:t>”)</w:t>
      </w:r>
      <w:r w:rsidR="00EC3A34">
        <w:t xml:space="preserve"> and </w:t>
      </w:r>
      <w:r w:rsidR="00ED41AB">
        <w:t>Duke Energy Ohio, Inc. (“</w:t>
      </w:r>
      <w:r w:rsidR="00EC3A34">
        <w:t>Duke</w:t>
      </w:r>
      <w:r w:rsidR="00ED41AB">
        <w:t>”)</w:t>
      </w:r>
      <w:r w:rsidR="00EC3A34">
        <w:t>,</w:t>
      </w:r>
      <w:r w:rsidR="00647837">
        <w:rPr>
          <w:rStyle w:val="FootnoteReference"/>
        </w:rPr>
        <w:footnoteReference w:id="2"/>
      </w:r>
      <w:r w:rsidR="00EC3A34">
        <w:t xml:space="preserve"> the Office of the Ohio Consumers’ Counsel </w:t>
      </w:r>
      <w:r w:rsidR="00B13DF8">
        <w:t xml:space="preserve">(“OCC”) </w:t>
      </w:r>
      <w:r w:rsidR="00EC3A34">
        <w:t xml:space="preserve">and the Ohio </w:t>
      </w:r>
      <w:r w:rsidR="00EC3A34">
        <w:lastRenderedPageBreak/>
        <w:t>Poverty Law Center</w:t>
      </w:r>
      <w:r w:rsidR="009B56A4">
        <w:t xml:space="preserve"> </w:t>
      </w:r>
      <w:r w:rsidR="00C92418">
        <w:t>(“OLPC”)</w:t>
      </w:r>
      <w:r w:rsidR="00D74D60">
        <w:t>,</w:t>
      </w:r>
      <w:r w:rsidR="004E17C6">
        <w:rPr>
          <w:rStyle w:val="FootnoteReference"/>
        </w:rPr>
        <w:footnoteReference w:id="3"/>
      </w:r>
      <w:r w:rsidR="00D74D60">
        <w:t xml:space="preserve"> and Nationwide Energy Partners, LLC</w:t>
      </w:r>
      <w:r w:rsidR="009B56A4">
        <w:t xml:space="preserve"> (“NEP”)</w:t>
      </w:r>
      <w:r w:rsidR="00044666">
        <w:t>,</w:t>
      </w:r>
      <w:r w:rsidR="00EC5477">
        <w:rPr>
          <w:rStyle w:val="FootnoteReference"/>
        </w:rPr>
        <w:footnoteReference w:id="4"/>
      </w:r>
      <w:r w:rsidR="00832823">
        <w:t xml:space="preserve"> </w:t>
      </w:r>
      <w:r w:rsidR="00044666">
        <w:t xml:space="preserve">however, </w:t>
      </w:r>
      <w:r w:rsidR="00FA4F96">
        <w:t xml:space="preserve">propose departures from current law.  </w:t>
      </w:r>
      <w:r w:rsidR="00A64E0F">
        <w:t>Although based on different starting points</w:t>
      </w:r>
      <w:r w:rsidR="0098442B">
        <w:t xml:space="preserve">, the AEP-Ohio/Duke and OCC/OLPC Comments </w:t>
      </w:r>
      <w:r w:rsidR="00A64E0F">
        <w:t xml:space="preserve">reach the same conclusion and </w:t>
      </w:r>
      <w:r w:rsidR="0098442B">
        <w:t xml:space="preserve">would sweep submetering relationships under Commission jurisdiction.  NEP, on the other hand, argues that current case law excludes submetering arrangements from Commission supervision.  </w:t>
      </w:r>
      <w:r w:rsidR="00FA4F96">
        <w:t xml:space="preserve">As discussed below, the Commission should reject these alternative approaches </w:t>
      </w:r>
      <w:r w:rsidR="00947D28">
        <w:t xml:space="preserve">because </w:t>
      </w:r>
      <w:r w:rsidR="004F063E">
        <w:t xml:space="preserve">they </w:t>
      </w:r>
      <w:r w:rsidR="007F390E">
        <w:t>are not supported by well-understood legal requirements</w:t>
      </w:r>
      <w:r w:rsidR="00B713A7">
        <w:t>, would disrupt business relationships</w:t>
      </w:r>
      <w:r w:rsidR="00EE3739">
        <w:t xml:space="preserve"> that should not be supervised by the Commission</w:t>
      </w:r>
      <w:r w:rsidR="00B713A7">
        <w:t>,</w:t>
      </w:r>
      <w:r w:rsidR="007F390E">
        <w:t xml:space="preserve"> and </w:t>
      </w:r>
      <w:r w:rsidR="004F063E">
        <w:t>would not serve the public interest</w:t>
      </w:r>
      <w:r w:rsidR="00947D28">
        <w:t>.</w:t>
      </w:r>
    </w:p>
    <w:p w14:paraId="57E16F41" w14:textId="77777777" w:rsidR="008E3BF4" w:rsidRPr="00EB23A6" w:rsidRDefault="00EB23A6" w:rsidP="00CA4AE3">
      <w:pPr>
        <w:pStyle w:val="Heading1"/>
        <w:jc w:val="both"/>
        <w:rPr>
          <w:b/>
        </w:rPr>
      </w:pPr>
      <w:r>
        <w:rPr>
          <w:b/>
        </w:rPr>
        <w:t>DISCUSSION</w:t>
      </w:r>
    </w:p>
    <w:p w14:paraId="7E75E6C7" w14:textId="56E1BDCF" w:rsidR="004C71D0" w:rsidRPr="00E66B4D" w:rsidRDefault="006E34AE" w:rsidP="00CA4AE3">
      <w:pPr>
        <w:pStyle w:val="Heading2"/>
        <w:jc w:val="both"/>
        <w:rPr>
          <w:b/>
        </w:rPr>
      </w:pPr>
      <w:r>
        <w:rPr>
          <w:b/>
        </w:rPr>
        <w:t xml:space="preserve">The </w:t>
      </w:r>
      <w:r w:rsidR="008665AC">
        <w:rPr>
          <w:b/>
        </w:rPr>
        <w:t>AEP-Ohio/Duke p</w:t>
      </w:r>
      <w:r>
        <w:rPr>
          <w:b/>
        </w:rPr>
        <w:t xml:space="preserve">roposal </w:t>
      </w:r>
      <w:r w:rsidR="001964E1">
        <w:rPr>
          <w:b/>
        </w:rPr>
        <w:t>to sweep all submetering</w:t>
      </w:r>
      <w:r w:rsidR="00F356A1" w:rsidRPr="00F356A1">
        <w:rPr>
          <w:b/>
        </w:rPr>
        <w:t xml:space="preserve"> </w:t>
      </w:r>
      <w:r w:rsidR="006E171A">
        <w:rPr>
          <w:b/>
        </w:rPr>
        <w:t xml:space="preserve">based on what the entity </w:t>
      </w:r>
      <w:r w:rsidR="00BA38D3">
        <w:rPr>
          <w:b/>
        </w:rPr>
        <w:t>bills</w:t>
      </w:r>
      <w:r w:rsidR="006E171A">
        <w:rPr>
          <w:b/>
        </w:rPr>
        <w:t xml:space="preserve"> the end user</w:t>
      </w:r>
      <w:r w:rsidR="001964E1">
        <w:rPr>
          <w:b/>
        </w:rPr>
        <w:t xml:space="preserve"> is </w:t>
      </w:r>
      <w:r w:rsidR="00CC3846">
        <w:rPr>
          <w:b/>
        </w:rPr>
        <w:t>unlawful, over</w:t>
      </w:r>
      <w:r w:rsidR="00A87789">
        <w:rPr>
          <w:b/>
        </w:rPr>
        <w:t>-</w:t>
      </w:r>
      <w:r w:rsidR="00CC3846">
        <w:rPr>
          <w:b/>
        </w:rPr>
        <w:t>inclusive, and unworkable</w:t>
      </w:r>
    </w:p>
    <w:p w14:paraId="0C235C27" w14:textId="318E9668" w:rsidR="00966D22" w:rsidRDefault="004C71D0" w:rsidP="00CA4AE3">
      <w:pPr>
        <w:spacing w:line="480" w:lineRule="auto"/>
        <w:ind w:firstLine="720"/>
        <w:jc w:val="both"/>
      </w:pPr>
      <w:r>
        <w:t>AEP</w:t>
      </w:r>
      <w:r w:rsidR="00ED34AD">
        <w:t>-Ohio</w:t>
      </w:r>
      <w:r>
        <w:t xml:space="preserve"> and Duke propose the following definition that would eliminate unregulated submetering</w:t>
      </w:r>
      <w:r w:rsidR="009003BD">
        <w:t xml:space="preserve"> by focusing on the billing arrangement between the service provider and its customer</w:t>
      </w:r>
      <w:r>
        <w:t xml:space="preserve">: </w:t>
      </w:r>
      <w:r w:rsidR="005F2163">
        <w:t>“</w:t>
      </w:r>
      <w:r w:rsidR="007170AC">
        <w:t>[</w:t>
      </w:r>
      <w:r>
        <w:t>f</w:t>
      </w:r>
      <w:r w:rsidR="007170AC">
        <w:t>]</w:t>
      </w:r>
      <w:r>
        <w:t xml:space="preserve">or purposes of determining whether an entity constitutes an </w:t>
      </w:r>
      <w:r w:rsidR="007170AC">
        <w:t>‘</w:t>
      </w:r>
      <w:r>
        <w:t>electric light company</w:t>
      </w:r>
      <w:r w:rsidR="007170AC">
        <w:t>’</w:t>
      </w:r>
      <w:r>
        <w:t xml:space="preserve">, a </w:t>
      </w:r>
      <w:r w:rsidR="007170AC">
        <w:t>‘</w:t>
      </w:r>
      <w:r>
        <w:t>natural gas company</w:t>
      </w:r>
      <w:r w:rsidR="007170AC">
        <w:t>’</w:t>
      </w:r>
      <w:r>
        <w:t xml:space="preserve">, or any other type of utility provider set forth in </w:t>
      </w:r>
      <w:r w:rsidR="00251C60">
        <w:t>R</w:t>
      </w:r>
      <w:r>
        <w:t xml:space="preserve">.C. 4905.03, any entity that charges </w:t>
      </w:r>
      <w:r w:rsidR="006339A0">
        <w:t>end-</w:t>
      </w:r>
      <w:r>
        <w:t>use customers for the utility service in question satisfies the statutory definition.</w:t>
      </w:r>
      <w:r w:rsidR="00BE6448">
        <w:t>”</w:t>
      </w:r>
      <w:r>
        <w:t xml:space="preserve"> </w:t>
      </w:r>
      <w:r w:rsidR="006339A0">
        <w:t xml:space="preserve"> </w:t>
      </w:r>
      <w:r w:rsidR="00BD1ACD">
        <w:t>AEP</w:t>
      </w:r>
      <w:r w:rsidR="003C3CB1">
        <w:t>-Ohio</w:t>
      </w:r>
      <w:r w:rsidR="00BD1ACD">
        <w:t>/</w:t>
      </w:r>
      <w:r>
        <w:t xml:space="preserve">Duke Comments at </w:t>
      </w:r>
      <w:r w:rsidR="00311610">
        <w:t xml:space="preserve">24.  </w:t>
      </w:r>
      <w:r w:rsidR="004D7279">
        <w:t>In application</w:t>
      </w:r>
      <w:r w:rsidR="006339A0">
        <w:t>,</w:t>
      </w:r>
      <w:r w:rsidR="00311610">
        <w:t xml:space="preserve"> </w:t>
      </w:r>
      <w:r w:rsidR="00966D22">
        <w:t xml:space="preserve">Commission jurisdiction </w:t>
      </w:r>
      <w:r w:rsidR="004D7279">
        <w:t xml:space="preserve">under the AEP-Ohio/Duke proposal </w:t>
      </w:r>
      <w:r w:rsidR="00966D22">
        <w:t xml:space="preserve">would cover </w:t>
      </w:r>
      <w:r w:rsidR="00311610">
        <w:t>all landlords and submetering companies that assess separate rates or markups for utility usage.</w:t>
      </w:r>
      <w:r w:rsidR="001F23D5">
        <w:t xml:space="preserve">  </w:t>
      </w:r>
      <w:r w:rsidR="001F23D5" w:rsidRPr="00BD1ACD">
        <w:rPr>
          <w:i/>
        </w:rPr>
        <w:t>Id</w:t>
      </w:r>
      <w:r w:rsidR="001F23D5">
        <w:t xml:space="preserve">. at 24-25. </w:t>
      </w:r>
      <w:r w:rsidR="006350CB">
        <w:t xml:space="preserve"> </w:t>
      </w:r>
    </w:p>
    <w:p w14:paraId="43930162" w14:textId="124DA76B" w:rsidR="004C71D0" w:rsidRDefault="0007397B" w:rsidP="00CA4AE3">
      <w:pPr>
        <w:spacing w:line="480" w:lineRule="auto"/>
        <w:ind w:firstLine="720"/>
        <w:jc w:val="both"/>
      </w:pPr>
      <w:r>
        <w:lastRenderedPageBreak/>
        <w:t>The AEP</w:t>
      </w:r>
      <w:r w:rsidR="00E10CBE">
        <w:t>-</w:t>
      </w:r>
      <w:r w:rsidR="00ED221F">
        <w:t>Ohio</w:t>
      </w:r>
      <w:r>
        <w:t xml:space="preserve">/Duke Comments recognize the disruptive effect of </w:t>
      </w:r>
      <w:r w:rsidR="00BD1ACD">
        <w:t>their</w:t>
      </w:r>
      <w:r w:rsidR="003A5460">
        <w:t xml:space="preserve"> </w:t>
      </w:r>
      <w:r w:rsidR="004B45F0">
        <w:t>proposal</w:t>
      </w:r>
      <w:r w:rsidR="004D7279">
        <w:t xml:space="preserve"> </w:t>
      </w:r>
      <w:r w:rsidR="003A5460">
        <w:t xml:space="preserve">and </w:t>
      </w:r>
      <w:r w:rsidR="00020632">
        <w:t xml:space="preserve">suggest </w:t>
      </w:r>
      <w:r w:rsidR="004B45F0">
        <w:t xml:space="preserve">three </w:t>
      </w:r>
      <w:r w:rsidR="00EA4AF8">
        <w:t>limitations</w:t>
      </w:r>
      <w:r w:rsidR="001F23D5">
        <w:t>.</w:t>
      </w:r>
      <w:r w:rsidR="006350CB">
        <w:t xml:space="preserve">  </w:t>
      </w:r>
      <w:r w:rsidR="006350CB" w:rsidRPr="00463BF7">
        <w:rPr>
          <w:i/>
        </w:rPr>
        <w:t>Id</w:t>
      </w:r>
      <w:r w:rsidR="006350CB">
        <w:t xml:space="preserve">. at 26.  First, </w:t>
      </w:r>
      <w:r w:rsidR="00463BF7">
        <w:t xml:space="preserve">they offer that </w:t>
      </w:r>
      <w:r w:rsidR="006350CB">
        <w:t xml:space="preserve">landlords and condominium associations that include utilities in rent or condominium dues may not count as public utilities. </w:t>
      </w:r>
      <w:r w:rsidR="00463BF7">
        <w:t xml:space="preserve"> </w:t>
      </w:r>
      <w:r w:rsidR="006350CB">
        <w:t>Second, AEP</w:t>
      </w:r>
      <w:r w:rsidR="00D2123D">
        <w:t>-Ohio</w:t>
      </w:r>
      <w:r w:rsidR="006350CB">
        <w:t xml:space="preserve"> and Duke would carve out an exception for those entities that pass-through </w:t>
      </w:r>
      <w:r w:rsidR="001267C0">
        <w:t>utility charges without any “markup</w:t>
      </w:r>
      <w:r w:rsidR="006350CB">
        <w:t>.</w:t>
      </w:r>
      <w:r w:rsidR="001267C0">
        <w:t>”</w:t>
      </w:r>
      <w:r w:rsidR="00FC2616">
        <w:t xml:space="preserve">  </w:t>
      </w:r>
      <w:r w:rsidR="00FC2616" w:rsidRPr="00F66382">
        <w:rPr>
          <w:i/>
        </w:rPr>
        <w:t>Id</w:t>
      </w:r>
      <w:r w:rsidR="00FC2616">
        <w:t>. at 28.  Third, AEP</w:t>
      </w:r>
      <w:r w:rsidR="00D2123D">
        <w:t>-Ohio</w:t>
      </w:r>
      <w:r w:rsidR="00FC2616">
        <w:t xml:space="preserve"> and Duke would</w:t>
      </w:r>
      <w:r w:rsidR="00F66382">
        <w:t xml:space="preserve"> not oppose a C</w:t>
      </w:r>
      <w:r w:rsidR="00FC2616">
        <w:t xml:space="preserve">ommission order allowing current submetering arrangements to continue for a reasonable </w:t>
      </w:r>
      <w:r w:rsidR="00F66382">
        <w:t xml:space="preserve">transition </w:t>
      </w:r>
      <w:r w:rsidR="00FC2616">
        <w:t xml:space="preserve">period.  </w:t>
      </w:r>
      <w:r w:rsidR="00FC2616" w:rsidRPr="00333439">
        <w:rPr>
          <w:i/>
        </w:rPr>
        <w:t>Id</w:t>
      </w:r>
      <w:r w:rsidR="00FC2616">
        <w:t>. at 29.</w:t>
      </w:r>
    </w:p>
    <w:p w14:paraId="23F041DC" w14:textId="07500D11" w:rsidR="00DE012A" w:rsidRDefault="00E373CC" w:rsidP="0024274E">
      <w:pPr>
        <w:spacing w:line="480" w:lineRule="auto"/>
        <w:jc w:val="both"/>
        <w:rPr>
          <w:rFonts w:eastAsia="Times New Roman" w:cs="Arial"/>
          <w:szCs w:val="20"/>
        </w:rPr>
      </w:pPr>
      <w:r>
        <w:tab/>
      </w:r>
      <w:r w:rsidR="002D70F6">
        <w:t xml:space="preserve">The Commission should reject the proposal for several reasons.  First, </w:t>
      </w:r>
      <w:r w:rsidR="006F142C">
        <w:rPr>
          <w:rFonts w:eastAsia="Times New Roman" w:cs="Arial"/>
        </w:rPr>
        <w:t>the AEP-Ohio/Duke proposal ignores the Court’s recognition that the statutory definition of what constitutes an entity subject to Commission jurisdiction is not “</w:t>
      </w:r>
      <w:r w:rsidR="006F142C" w:rsidRPr="00BF2878">
        <w:rPr>
          <w:rFonts w:eastAsia="Times New Roman" w:cs="Arial"/>
          <w:szCs w:val="20"/>
        </w:rPr>
        <w:t xml:space="preserve">self-applying.”  </w:t>
      </w:r>
      <w:r w:rsidR="006F142C" w:rsidRPr="00BF2878">
        <w:rPr>
          <w:rFonts w:eastAsia="Times New Roman" w:cs="Arial"/>
          <w:i/>
          <w:szCs w:val="20"/>
        </w:rPr>
        <w:t>Pledger v. Pub. Util. Comm’n of Ohio</w:t>
      </w:r>
      <w:r w:rsidR="006F142C" w:rsidRPr="00BF2878">
        <w:rPr>
          <w:rFonts w:eastAsia="Times New Roman" w:cs="Arial"/>
          <w:szCs w:val="20"/>
        </w:rPr>
        <w:t>, 109 Ohio St.3d 463, 465 (2006)</w:t>
      </w:r>
      <w:r w:rsidR="006F142C">
        <w:rPr>
          <w:rFonts w:eastAsia="Times New Roman" w:cs="Arial"/>
          <w:szCs w:val="20"/>
        </w:rPr>
        <w:t xml:space="preserve">. </w:t>
      </w:r>
      <w:r>
        <w:t xml:space="preserve"> As noted above, </w:t>
      </w:r>
      <w:r w:rsidR="00902EB9">
        <w:rPr>
          <w:rFonts w:eastAsia="Times New Roman" w:cs="Arial"/>
        </w:rPr>
        <w:t>the determination whether an entity, or its agent, is subject to Commission jurisdiction is based on a review of the facts and circumstances presented by the particular activiti</w:t>
      </w:r>
      <w:r w:rsidR="006F142C">
        <w:rPr>
          <w:rFonts w:eastAsia="Times New Roman" w:cs="Arial"/>
        </w:rPr>
        <w:t>es of the entity or its agent</w:t>
      </w:r>
      <w:r w:rsidR="0024274E">
        <w:rPr>
          <w:rFonts w:eastAsia="Times New Roman" w:cs="Arial"/>
        </w:rPr>
        <w:t>, not the categorical application of jurisdiction to all entities that may bill another entity for utility service</w:t>
      </w:r>
      <w:r w:rsidR="006F142C">
        <w:rPr>
          <w:rFonts w:eastAsia="Times New Roman" w:cs="Arial"/>
        </w:rPr>
        <w:t>.</w:t>
      </w:r>
    </w:p>
    <w:p w14:paraId="31B922A7" w14:textId="4EFD133A" w:rsidR="009A4E5B" w:rsidRDefault="00DE012A" w:rsidP="00BF513C">
      <w:pPr>
        <w:spacing w:line="480" w:lineRule="auto"/>
        <w:jc w:val="both"/>
        <w:rPr>
          <w:rFonts w:eastAsia="Times New Roman" w:cs="Arial"/>
          <w:szCs w:val="20"/>
        </w:rPr>
      </w:pPr>
      <w:r>
        <w:rPr>
          <w:rFonts w:eastAsia="Times New Roman" w:cs="Arial"/>
          <w:szCs w:val="20"/>
        </w:rPr>
        <w:tab/>
        <w:t xml:space="preserve">In addition to being unlawful, the proposal is also over-inclusive.  </w:t>
      </w:r>
      <w:r w:rsidR="004A1517">
        <w:rPr>
          <w:rFonts w:eastAsia="Times New Roman" w:cs="Arial"/>
          <w:szCs w:val="20"/>
        </w:rPr>
        <w:t>A</w:t>
      </w:r>
      <w:r w:rsidR="0080080D">
        <w:t xml:space="preserve">pplying a categorical rule </w:t>
      </w:r>
      <w:r w:rsidR="003537EE">
        <w:t>based on billing arrangements</w:t>
      </w:r>
      <w:r w:rsidR="0080080D">
        <w:t xml:space="preserve"> fails to account for the statutory exceptions for cooperatives and other arrangements.  </w:t>
      </w:r>
      <w:r w:rsidR="0080080D" w:rsidRPr="00BD644B">
        <w:rPr>
          <w:i/>
        </w:rPr>
        <w:t>See</w:t>
      </w:r>
      <w:r w:rsidR="0080080D">
        <w:t xml:space="preserve"> R.C. 4905.02.  </w:t>
      </w:r>
      <w:r w:rsidR="00FF5BDF">
        <w:rPr>
          <w:rFonts w:eastAsia="Times New Roman" w:cs="Arial"/>
          <w:szCs w:val="20"/>
        </w:rPr>
        <w:t xml:space="preserve">It also ignores </w:t>
      </w:r>
      <w:r w:rsidR="00C548F3">
        <w:rPr>
          <w:rFonts w:eastAsia="Times New Roman" w:cs="Arial"/>
          <w:szCs w:val="20"/>
        </w:rPr>
        <w:t xml:space="preserve">legal and </w:t>
      </w:r>
      <w:r w:rsidR="00FF5BDF">
        <w:rPr>
          <w:rFonts w:eastAsia="Times New Roman" w:cs="Arial"/>
          <w:szCs w:val="20"/>
        </w:rPr>
        <w:t xml:space="preserve">practical realities.  As the Commission has previously </w:t>
      </w:r>
      <w:r w:rsidR="0010754F">
        <w:rPr>
          <w:rFonts w:eastAsia="Times New Roman" w:cs="Arial"/>
          <w:szCs w:val="20"/>
        </w:rPr>
        <w:t>found</w:t>
      </w:r>
      <w:r w:rsidR="00FF5BDF">
        <w:rPr>
          <w:rFonts w:eastAsia="Times New Roman" w:cs="Arial"/>
          <w:szCs w:val="20"/>
        </w:rPr>
        <w:t xml:space="preserve">, </w:t>
      </w:r>
      <w:r w:rsidR="00421F3A">
        <w:rPr>
          <w:rFonts w:eastAsia="Times New Roman" w:cs="Arial"/>
          <w:szCs w:val="20"/>
        </w:rPr>
        <w:t>the Commission</w:t>
      </w:r>
      <w:r w:rsidR="00FF5BDF">
        <w:rPr>
          <w:rFonts w:eastAsia="Times New Roman" w:cs="Arial"/>
          <w:szCs w:val="20"/>
        </w:rPr>
        <w:t xml:space="preserve"> has neither </w:t>
      </w:r>
      <w:r w:rsidR="00C548F3">
        <w:rPr>
          <w:rFonts w:eastAsia="Times New Roman" w:cs="Arial"/>
          <w:szCs w:val="20"/>
        </w:rPr>
        <w:t xml:space="preserve">the statutory authority </w:t>
      </w:r>
      <w:r w:rsidR="00FF5BDF">
        <w:rPr>
          <w:rFonts w:eastAsia="Times New Roman" w:cs="Arial"/>
          <w:szCs w:val="20"/>
        </w:rPr>
        <w:t xml:space="preserve">nor </w:t>
      </w:r>
      <w:r w:rsidR="00C548F3">
        <w:rPr>
          <w:rFonts w:eastAsia="Times New Roman" w:cs="Arial"/>
          <w:szCs w:val="20"/>
        </w:rPr>
        <w:t xml:space="preserve">the staff </w:t>
      </w:r>
      <w:r w:rsidR="00FF5BDF">
        <w:rPr>
          <w:rFonts w:eastAsia="Times New Roman" w:cs="Arial"/>
          <w:szCs w:val="20"/>
        </w:rPr>
        <w:t xml:space="preserve">to insert itself into </w:t>
      </w:r>
      <w:r w:rsidR="00664F13">
        <w:rPr>
          <w:rFonts w:eastAsia="Times New Roman" w:cs="Arial"/>
          <w:szCs w:val="20"/>
        </w:rPr>
        <w:t xml:space="preserve">the landlord-tenant relationship </w:t>
      </w:r>
      <w:r w:rsidR="00C548F3">
        <w:rPr>
          <w:rFonts w:eastAsia="Times New Roman" w:cs="Arial"/>
          <w:szCs w:val="20"/>
        </w:rPr>
        <w:t>so</w:t>
      </w:r>
      <w:r w:rsidR="00664F13">
        <w:rPr>
          <w:rFonts w:eastAsia="Times New Roman" w:cs="Arial"/>
          <w:szCs w:val="20"/>
        </w:rPr>
        <w:t xml:space="preserve"> long as the landlord’s actions are </w:t>
      </w:r>
      <w:r w:rsidR="006E2D10">
        <w:rPr>
          <w:rFonts w:eastAsia="Times New Roman" w:cs="Arial"/>
          <w:szCs w:val="20"/>
        </w:rPr>
        <w:t>consistent</w:t>
      </w:r>
      <w:r w:rsidR="00664F13">
        <w:rPr>
          <w:rFonts w:eastAsia="Times New Roman" w:cs="Arial"/>
          <w:szCs w:val="20"/>
        </w:rPr>
        <w:t xml:space="preserve"> with the tariffs of the regulated utility from which the service is obtained</w:t>
      </w:r>
      <w:r w:rsidR="003A683D">
        <w:rPr>
          <w:rFonts w:eastAsia="Times New Roman" w:cs="Arial"/>
          <w:szCs w:val="20"/>
        </w:rPr>
        <w:t xml:space="preserve">. </w:t>
      </w:r>
      <w:r w:rsidR="00B23C87">
        <w:rPr>
          <w:rFonts w:eastAsia="Times New Roman" w:cs="Arial"/>
          <w:szCs w:val="20"/>
        </w:rPr>
        <w:t xml:space="preserve"> </w:t>
      </w:r>
      <w:r w:rsidR="00137C75" w:rsidRPr="008C5355">
        <w:rPr>
          <w:rFonts w:cs="Arial"/>
          <w:i/>
          <w:iCs/>
        </w:rPr>
        <w:t>In re Complaints of Inscho v. Shroyer's Mobile Homes,</w:t>
      </w:r>
      <w:r w:rsidR="00137C75" w:rsidRPr="008C5355">
        <w:rPr>
          <w:rFonts w:cs="Arial"/>
        </w:rPr>
        <w:t xml:space="preserve"> Case Nos. 90-182-WS-CSS, </w:t>
      </w:r>
      <w:r w:rsidR="00137C75" w:rsidRPr="008C5355">
        <w:rPr>
          <w:rFonts w:cs="Arial"/>
          <w:i/>
        </w:rPr>
        <w:t>et al</w:t>
      </w:r>
      <w:r w:rsidR="00137C75" w:rsidRPr="008C5355">
        <w:rPr>
          <w:rFonts w:cs="Arial"/>
        </w:rPr>
        <w:t xml:space="preserve">., </w:t>
      </w:r>
      <w:r w:rsidR="00137C75">
        <w:rPr>
          <w:rFonts w:cs="Arial"/>
        </w:rPr>
        <w:t xml:space="preserve">Opinion and Order </w:t>
      </w:r>
      <w:r w:rsidR="00137C75" w:rsidRPr="008C5355">
        <w:rPr>
          <w:rFonts w:cs="Arial"/>
        </w:rPr>
        <w:t>(Feb. 27, 1992)</w:t>
      </w:r>
      <w:r w:rsidR="005B0F04">
        <w:rPr>
          <w:rFonts w:cs="Arial"/>
        </w:rPr>
        <w:t>.</w:t>
      </w:r>
      <w:bookmarkStart w:id="0" w:name="_GoBack"/>
      <w:bookmarkEnd w:id="0"/>
    </w:p>
    <w:p w14:paraId="7FDFEE33" w14:textId="5358E62C" w:rsidR="000E3A84" w:rsidRDefault="00C548F3" w:rsidP="009A4E5B">
      <w:pPr>
        <w:spacing w:line="480" w:lineRule="auto"/>
        <w:ind w:firstLine="720"/>
        <w:jc w:val="both"/>
      </w:pPr>
      <w:r>
        <w:rPr>
          <w:rFonts w:eastAsia="Times New Roman" w:cs="Arial"/>
          <w:szCs w:val="20"/>
        </w:rPr>
        <w:lastRenderedPageBreak/>
        <w:t>Moreover,</w:t>
      </w:r>
      <w:r w:rsidR="000E1B4E">
        <w:rPr>
          <w:rFonts w:eastAsia="Times New Roman" w:cs="Arial"/>
          <w:szCs w:val="20"/>
        </w:rPr>
        <w:t xml:space="preserve"> the AEP-Ohio/Duke proposal </w:t>
      </w:r>
      <w:r>
        <w:rPr>
          <w:rFonts w:eastAsia="Times New Roman" w:cs="Arial"/>
          <w:szCs w:val="20"/>
        </w:rPr>
        <w:t xml:space="preserve">could unnecessarily sweep shared </w:t>
      </w:r>
      <w:r w:rsidR="004E2B25">
        <w:rPr>
          <w:rFonts w:eastAsia="Times New Roman" w:cs="Arial"/>
          <w:szCs w:val="20"/>
        </w:rPr>
        <w:t>services</w:t>
      </w:r>
      <w:r>
        <w:rPr>
          <w:rFonts w:eastAsia="Times New Roman" w:cs="Arial"/>
          <w:szCs w:val="20"/>
        </w:rPr>
        <w:t xml:space="preserve"> arrangement</w:t>
      </w:r>
      <w:r w:rsidR="0019662E">
        <w:rPr>
          <w:rFonts w:eastAsia="Times New Roman" w:cs="Arial"/>
          <w:szCs w:val="20"/>
        </w:rPr>
        <w:t>s under Commission jurisdiction if the billing arrangements do not fall into one of the ill-defined exceptions offered by AEP-Ohio and Duke</w:t>
      </w:r>
      <w:r w:rsidR="00BA7D93">
        <w:rPr>
          <w:rFonts w:eastAsia="Times New Roman" w:cs="Arial"/>
          <w:szCs w:val="20"/>
        </w:rPr>
        <w:t>.</w:t>
      </w:r>
      <w:r w:rsidR="00B23C87">
        <w:rPr>
          <w:rFonts w:eastAsia="Times New Roman" w:cs="Arial"/>
          <w:szCs w:val="20"/>
        </w:rPr>
        <w:t xml:space="preserve">  </w:t>
      </w:r>
      <w:r w:rsidR="007F594E">
        <w:rPr>
          <w:rFonts w:eastAsia="Times New Roman" w:cs="Arial"/>
          <w:szCs w:val="20"/>
        </w:rPr>
        <w:t>As noted above, however, these arrangements</w:t>
      </w:r>
      <w:r w:rsidR="0019662E">
        <w:rPr>
          <w:rFonts w:eastAsia="Times New Roman" w:cs="Arial"/>
          <w:szCs w:val="20"/>
        </w:rPr>
        <w:t xml:space="preserve"> do not present the factual circumstances that justify Commission supervision.  </w:t>
      </w:r>
      <w:r w:rsidR="00B23C87" w:rsidRPr="003B44FA">
        <w:rPr>
          <w:rFonts w:eastAsia="Times New Roman" w:cs="Arial"/>
          <w:i/>
          <w:szCs w:val="20"/>
        </w:rPr>
        <w:t>See</w:t>
      </w:r>
      <w:r w:rsidR="00B23C87">
        <w:rPr>
          <w:rFonts w:eastAsia="Times New Roman" w:cs="Arial"/>
          <w:szCs w:val="20"/>
        </w:rPr>
        <w:t xml:space="preserve"> IEU-Ohio Comments at </w:t>
      </w:r>
      <w:r w:rsidR="00421F3A">
        <w:rPr>
          <w:rFonts w:eastAsia="Times New Roman" w:cs="Arial"/>
          <w:szCs w:val="20"/>
        </w:rPr>
        <w:t>7-8.</w:t>
      </w:r>
      <w:r w:rsidR="003D0B44" w:rsidRPr="003D0B44">
        <w:t xml:space="preserve"> </w:t>
      </w:r>
      <w:r w:rsidR="003D0B44">
        <w:t xml:space="preserve"> </w:t>
      </w:r>
    </w:p>
    <w:p w14:paraId="4F52A3B6" w14:textId="72CA9A0B" w:rsidR="00274492" w:rsidRDefault="00C379EE" w:rsidP="00CA4AE3">
      <w:pPr>
        <w:spacing w:line="480" w:lineRule="auto"/>
        <w:ind w:firstLine="720"/>
        <w:jc w:val="both"/>
      </w:pPr>
      <w:r>
        <w:t xml:space="preserve">The exceptions </w:t>
      </w:r>
      <w:r w:rsidR="00943CA8">
        <w:t>recommended by AEP-Ohio/Duke do not rectify the practical problems associated with their proposal.  In particular, t</w:t>
      </w:r>
      <w:r w:rsidR="00B23C87">
        <w:t xml:space="preserve">he </w:t>
      </w:r>
      <w:r w:rsidR="00A772C4">
        <w:t xml:space="preserve">second and third </w:t>
      </w:r>
      <w:r w:rsidR="00B23C87">
        <w:t>exceptions that AEP-Ohio and Duke</w:t>
      </w:r>
      <w:r w:rsidR="00CB2CB2">
        <w:t xml:space="preserve"> propose</w:t>
      </w:r>
      <w:r w:rsidR="00B23C87">
        <w:t xml:space="preserve"> </w:t>
      </w:r>
      <w:r w:rsidR="00A772C4">
        <w:t>take a bad idea and make it worse</w:t>
      </w:r>
      <w:r w:rsidR="00087547">
        <w:t xml:space="preserve">.  </w:t>
      </w:r>
    </w:p>
    <w:p w14:paraId="57ED8044" w14:textId="7A2652CD" w:rsidR="00274492" w:rsidRDefault="00703610" w:rsidP="00CA4AE3">
      <w:pPr>
        <w:spacing w:line="480" w:lineRule="auto"/>
        <w:ind w:firstLine="720"/>
        <w:jc w:val="both"/>
      </w:pPr>
      <w:r>
        <w:t>The</w:t>
      </w:r>
      <w:r w:rsidR="00316A51">
        <w:t xml:space="preserve"> </w:t>
      </w:r>
      <w:r w:rsidR="00A772C4">
        <w:t xml:space="preserve">second </w:t>
      </w:r>
      <w:r w:rsidR="00026AF1">
        <w:t xml:space="preserve">exception for those landlords that </w:t>
      </w:r>
      <w:r w:rsidR="00CB2CB2">
        <w:t>pass-</w:t>
      </w:r>
      <w:r w:rsidR="00026AF1">
        <w:t xml:space="preserve">through the </w:t>
      </w:r>
      <w:r>
        <w:t>utility costs at the serving utilities</w:t>
      </w:r>
      <w:r w:rsidR="00815F18">
        <w:t>’</w:t>
      </w:r>
      <w:r>
        <w:t xml:space="preserve"> rates </w:t>
      </w:r>
      <w:r w:rsidR="00026AF1">
        <w:t>does</w:t>
      </w:r>
      <w:r w:rsidR="008451D8">
        <w:t xml:space="preserve"> not provide any practical means of limiting the </w:t>
      </w:r>
      <w:r w:rsidR="00C93FD1">
        <w:t>unnecessary</w:t>
      </w:r>
      <w:r w:rsidR="008451D8">
        <w:t xml:space="preserve"> sweep of their proposal.</w:t>
      </w:r>
      <w:r w:rsidR="00E22D5E">
        <w:rPr>
          <w:rStyle w:val="FootnoteReference"/>
        </w:rPr>
        <w:footnoteReference w:id="5"/>
      </w:r>
      <w:r w:rsidR="008451D8">
        <w:t xml:space="preserve">  </w:t>
      </w:r>
      <w:r w:rsidR="0086724A">
        <w:t>In particular, s</w:t>
      </w:r>
      <w:r w:rsidR="00113C94">
        <w:t>ubmetering is often used in instances in which t</w:t>
      </w:r>
      <w:r w:rsidR="001929F8">
        <w:t xml:space="preserve">he </w:t>
      </w:r>
      <w:r w:rsidR="0087431E">
        <w:t>end-</w:t>
      </w:r>
      <w:r w:rsidR="00FD061E">
        <w:t>use customer</w:t>
      </w:r>
      <w:r w:rsidR="000E3A84">
        <w:t>’s</w:t>
      </w:r>
      <w:r w:rsidR="00FD061E">
        <w:t xml:space="preserve"> </w:t>
      </w:r>
      <w:r w:rsidR="0086724A">
        <w:t>utility service is not metered</w:t>
      </w:r>
      <w:r w:rsidR="00113C94">
        <w:t xml:space="preserve">.  </w:t>
      </w:r>
      <w:r w:rsidR="006E2D10">
        <w:t>In those instances</w:t>
      </w:r>
      <w:r w:rsidR="00113C94">
        <w:t xml:space="preserve">, there would be no practical way </w:t>
      </w:r>
      <w:r w:rsidR="00FD061E">
        <w:t xml:space="preserve">to determine </w:t>
      </w:r>
      <w:r w:rsidR="00AD511E">
        <w:t>whether the end</w:t>
      </w:r>
      <w:r w:rsidR="0087431E">
        <w:t>-</w:t>
      </w:r>
      <w:r w:rsidR="00AD511E">
        <w:t>use customer is being billed properly</w:t>
      </w:r>
      <w:r w:rsidR="00113C94">
        <w:t xml:space="preserve">. </w:t>
      </w:r>
      <w:r w:rsidR="001F1367">
        <w:t xml:space="preserve"> </w:t>
      </w:r>
      <w:r w:rsidR="00113C94">
        <w:t>Th</w:t>
      </w:r>
      <w:r w:rsidR="006E2D10">
        <w:t>us, th</w:t>
      </w:r>
      <w:r w:rsidR="00113C94">
        <w:t xml:space="preserve">e </w:t>
      </w:r>
      <w:r w:rsidR="000E3A84">
        <w:t>second</w:t>
      </w:r>
      <w:r w:rsidR="00113C94">
        <w:t xml:space="preserve"> exc</w:t>
      </w:r>
      <w:r w:rsidR="000E3A84">
        <w:t>eption</w:t>
      </w:r>
      <w:r w:rsidR="00113C94">
        <w:t xml:space="preserve"> offered by AEP-Ohio and Duke </w:t>
      </w:r>
      <w:r w:rsidR="000E3A84">
        <w:t>is</w:t>
      </w:r>
      <w:r w:rsidR="00113C94">
        <w:t xml:space="preserve"> unworkable.</w:t>
      </w:r>
      <w:r w:rsidR="00FD061E">
        <w:t xml:space="preserve">  </w:t>
      </w:r>
    </w:p>
    <w:p w14:paraId="61EA9436" w14:textId="6AFF0319" w:rsidR="00FC2616" w:rsidRDefault="002661C8" w:rsidP="00CA4AE3">
      <w:pPr>
        <w:spacing w:line="480" w:lineRule="auto"/>
        <w:ind w:firstLine="720"/>
        <w:jc w:val="both"/>
      </w:pPr>
      <w:r>
        <w:t>The</w:t>
      </w:r>
      <w:r w:rsidR="00A772C4">
        <w:t xml:space="preserve"> third exception</w:t>
      </w:r>
      <w:r>
        <w:t xml:space="preserve"> </w:t>
      </w:r>
      <w:r w:rsidR="005F4A6A">
        <w:t>grand</w:t>
      </w:r>
      <w:r w:rsidR="0028019A">
        <w:t>f</w:t>
      </w:r>
      <w:r w:rsidR="005F4A6A">
        <w:t>athering</w:t>
      </w:r>
      <w:r w:rsidR="001A3269">
        <w:t xml:space="preserve"> </w:t>
      </w:r>
      <w:r w:rsidR="00D6530C">
        <w:t xml:space="preserve">all </w:t>
      </w:r>
      <w:r w:rsidR="002C4A36">
        <w:t xml:space="preserve">existing </w:t>
      </w:r>
      <w:r w:rsidR="00806CCE">
        <w:t xml:space="preserve">submetering </w:t>
      </w:r>
      <w:r w:rsidR="001A3269">
        <w:t>arrangements</w:t>
      </w:r>
      <w:r w:rsidR="00834396">
        <w:t xml:space="preserve"> for some undefined transition period</w:t>
      </w:r>
      <w:r w:rsidR="00D80A95">
        <w:t xml:space="preserve"> </w:t>
      </w:r>
      <w:r w:rsidR="00274492">
        <w:t xml:space="preserve">would permit existing arrangements to continue </w:t>
      </w:r>
      <w:r w:rsidR="007D3D20">
        <w:t xml:space="preserve">even </w:t>
      </w:r>
      <w:r w:rsidR="007A467C">
        <w:t>if</w:t>
      </w:r>
      <w:r w:rsidR="007D3D20">
        <w:t xml:space="preserve"> </w:t>
      </w:r>
      <w:r w:rsidR="0028019A">
        <w:t>an</w:t>
      </w:r>
      <w:r w:rsidR="007D3D20">
        <w:t xml:space="preserve"> entity</w:t>
      </w:r>
      <w:r w:rsidR="007A467C">
        <w:t xml:space="preserve"> was acting unlawfully</w:t>
      </w:r>
      <w:r w:rsidR="00274492">
        <w:t xml:space="preserve">.  </w:t>
      </w:r>
      <w:r w:rsidR="00455F76">
        <w:t>In addition to being a poor outcome for the injured customer, this result would also be a violation of law; the Commission</w:t>
      </w:r>
      <w:r w:rsidR="007D3D20">
        <w:t xml:space="preserve"> </w:t>
      </w:r>
      <w:r w:rsidR="008A2683">
        <w:t>cannot refuse to act if its jurisdiction is properly invoked</w:t>
      </w:r>
      <w:r w:rsidR="00086B5D">
        <w:t>.</w:t>
      </w:r>
      <w:r w:rsidR="00E9095E">
        <w:t xml:space="preserve">  </w:t>
      </w:r>
      <w:r w:rsidR="00E9095E" w:rsidRPr="00747DF2">
        <w:rPr>
          <w:i/>
        </w:rPr>
        <w:t>State, ex rel. General Motors Corp., v. Industrial Comm’n</w:t>
      </w:r>
      <w:r w:rsidR="00E9095E">
        <w:t>, 117 Ohio St.3d 480 (2008) (</w:t>
      </w:r>
      <w:r w:rsidR="007B300D">
        <w:t>an</w:t>
      </w:r>
      <w:r w:rsidR="00747DF2">
        <w:t xml:space="preserve"> agency may be compelled to perform its duties).</w:t>
      </w:r>
    </w:p>
    <w:p w14:paraId="43A2C8A3" w14:textId="77777777" w:rsidR="004C71D0" w:rsidRPr="00EB23A6" w:rsidRDefault="006E34AE" w:rsidP="00CA4AE3">
      <w:pPr>
        <w:pStyle w:val="Heading2"/>
        <w:jc w:val="both"/>
        <w:rPr>
          <w:b/>
        </w:rPr>
      </w:pPr>
      <w:r>
        <w:rPr>
          <w:b/>
        </w:rPr>
        <w:lastRenderedPageBreak/>
        <w:t>The OCC/OPLC and NEP</w:t>
      </w:r>
      <w:r w:rsidR="00F677B2">
        <w:rPr>
          <w:b/>
        </w:rPr>
        <w:t xml:space="preserve"> “bright line” </w:t>
      </w:r>
      <w:r w:rsidR="00B14403">
        <w:rPr>
          <w:b/>
        </w:rPr>
        <w:t>proposals</w:t>
      </w:r>
      <w:r w:rsidR="00F677B2">
        <w:rPr>
          <w:b/>
        </w:rPr>
        <w:t xml:space="preserve"> do not comply with Ohio law</w:t>
      </w:r>
    </w:p>
    <w:p w14:paraId="44CF3E3D" w14:textId="16DE3B9B" w:rsidR="00461CDF" w:rsidRDefault="00ED2FE4" w:rsidP="00CA4AE3">
      <w:pPr>
        <w:spacing w:line="480" w:lineRule="auto"/>
        <w:ind w:firstLine="720"/>
        <w:jc w:val="both"/>
      </w:pPr>
      <w:r>
        <w:t>In contrast to AEP-Ohio and Duke, which focus on the</w:t>
      </w:r>
      <w:r w:rsidR="0029278F">
        <w:t xml:space="preserve"> billing arrangements between </w:t>
      </w:r>
      <w:r w:rsidR="008820A5">
        <w:t>the landlord</w:t>
      </w:r>
      <w:r w:rsidR="0029278F">
        <w:t xml:space="preserve"> and the </w:t>
      </w:r>
      <w:r w:rsidR="008820A5">
        <w:t>tenant</w:t>
      </w:r>
      <w:r w:rsidR="0029278F">
        <w:t>, OCC</w:t>
      </w:r>
      <w:r w:rsidR="008D5322">
        <w:t xml:space="preserve">, </w:t>
      </w:r>
      <w:r w:rsidR="0029278F">
        <w:t>OLPC</w:t>
      </w:r>
      <w:r w:rsidR="008D5322">
        <w:t>,</w:t>
      </w:r>
      <w:r w:rsidR="0029278F">
        <w:t xml:space="preserve"> and NEP focus on the </w:t>
      </w:r>
      <w:r w:rsidR="00A2691A">
        <w:t xml:space="preserve">function of </w:t>
      </w:r>
      <w:r w:rsidR="0029278F">
        <w:t xml:space="preserve">metering.  </w:t>
      </w:r>
    </w:p>
    <w:p w14:paraId="56F7EB62" w14:textId="2EF21D87" w:rsidR="00783AF3" w:rsidRDefault="00A2691A" w:rsidP="00CA4AE3">
      <w:pPr>
        <w:spacing w:line="480" w:lineRule="auto"/>
        <w:ind w:firstLine="720"/>
        <w:jc w:val="both"/>
      </w:pPr>
      <w:r>
        <w:t xml:space="preserve">Noting that the Commission has found that metering is a traditional function of a </w:t>
      </w:r>
      <w:r w:rsidR="00FF7308">
        <w:t xml:space="preserve">public </w:t>
      </w:r>
      <w:r>
        <w:t>utility,</w:t>
      </w:r>
      <w:r w:rsidR="00783AF3">
        <w:t xml:space="preserve"> OCC</w:t>
      </w:r>
      <w:r w:rsidR="008D5322">
        <w:t xml:space="preserve"> and </w:t>
      </w:r>
      <w:r w:rsidR="00B93786">
        <w:t>OLPC</w:t>
      </w:r>
      <w:r>
        <w:t xml:space="preserve"> argue that</w:t>
      </w:r>
      <w:r w:rsidR="00783AF3">
        <w:t xml:space="preserve"> </w:t>
      </w:r>
      <w:r w:rsidR="00DD39CF">
        <w:t xml:space="preserve">the </w:t>
      </w:r>
      <w:r w:rsidR="00B93786">
        <w:t>Commission</w:t>
      </w:r>
      <w:r w:rsidR="00DD39CF">
        <w:t xml:space="preserve"> should incorporate the </w:t>
      </w:r>
      <w:r w:rsidR="00B93786">
        <w:t>“</w:t>
      </w:r>
      <w:r w:rsidR="00C81FD4">
        <w:t>traditional</w:t>
      </w:r>
      <w:r w:rsidR="00DD39CF">
        <w:t xml:space="preserve"> function</w:t>
      </w:r>
      <w:r w:rsidR="00B93786">
        <w:t>”</w:t>
      </w:r>
      <w:r w:rsidR="00DD39CF">
        <w:t xml:space="preserve"> doctrine </w:t>
      </w:r>
      <w:r w:rsidR="00F677B2">
        <w:t xml:space="preserve">into the </w:t>
      </w:r>
      <w:r w:rsidR="00F677B2" w:rsidRPr="00FF7308">
        <w:rPr>
          <w:i/>
        </w:rPr>
        <w:t>Shroyer</w:t>
      </w:r>
      <w:r w:rsidR="00F677B2">
        <w:t xml:space="preserve"> test </w:t>
      </w:r>
      <w:r w:rsidR="00C83091">
        <w:t>as a means of</w:t>
      </w:r>
      <w:r w:rsidR="00DD39CF">
        <w:t xml:space="preserve"> </w:t>
      </w:r>
      <w:r w:rsidR="00C83091">
        <w:t>setting a</w:t>
      </w:r>
      <w:r w:rsidR="00DD39CF">
        <w:t xml:space="preserve"> dividing line between public utility and non</w:t>
      </w:r>
      <w:r w:rsidR="00C87901">
        <w:t>-</w:t>
      </w:r>
      <w:r w:rsidR="00DD39CF">
        <w:t>public utility functions.</w:t>
      </w:r>
      <w:r w:rsidR="00C81FD4">
        <w:t xml:space="preserve">  OCC</w:t>
      </w:r>
      <w:r w:rsidR="003D76D4">
        <w:t>/OPLC</w:t>
      </w:r>
      <w:r w:rsidR="00C81FD4">
        <w:t xml:space="preserve"> Comments at 8-9.</w:t>
      </w:r>
      <w:r w:rsidR="00540E9B">
        <w:t xml:space="preserve">  </w:t>
      </w:r>
      <w:r w:rsidR="003D313D">
        <w:t xml:space="preserve">Although the OCC/OPLC </w:t>
      </w:r>
      <w:r w:rsidR="00634A03">
        <w:t xml:space="preserve">Comments </w:t>
      </w:r>
      <w:r w:rsidR="003D313D">
        <w:t>suggest that certain transactions may be outside Commission jurisdiction</w:t>
      </w:r>
      <w:r w:rsidR="00B93786">
        <w:t>, the recommendation sweep</w:t>
      </w:r>
      <w:r w:rsidR="00395524">
        <w:t>s</w:t>
      </w:r>
      <w:r w:rsidR="00B93786">
        <w:t xml:space="preserve"> submetering </w:t>
      </w:r>
      <w:r w:rsidR="00395524">
        <w:t xml:space="preserve">under Commission authority </w:t>
      </w:r>
      <w:r w:rsidR="000D6A4A">
        <w:t xml:space="preserve">so as to “ensure that the [Commission] exercises the maximum extent of its statutory jurisdiction over </w:t>
      </w:r>
      <w:r w:rsidR="008820A5">
        <w:t>entities</w:t>
      </w:r>
      <w:r w:rsidR="000D6A4A">
        <w:t xml:space="preserve"> that seek to enjoy all the benefits granted to a public utility while evading the regulatory oversight that comes along with that status</w:t>
      </w:r>
      <w:r w:rsidR="00670296">
        <w:t>.</w:t>
      </w:r>
      <w:r w:rsidR="000D6A4A">
        <w:t>”</w:t>
      </w:r>
      <w:r w:rsidR="00670296">
        <w:t xml:space="preserve">  OCC/OPLC Comments at 1</w:t>
      </w:r>
      <w:r w:rsidR="00EA5A89">
        <w:t>3</w:t>
      </w:r>
      <w:r w:rsidR="00670296">
        <w:t xml:space="preserve">.  </w:t>
      </w:r>
    </w:p>
    <w:p w14:paraId="000DE419" w14:textId="3E4CDEFE" w:rsidR="00611687" w:rsidRDefault="00472F19" w:rsidP="00CA4AE3">
      <w:pPr>
        <w:spacing w:line="480" w:lineRule="auto"/>
        <w:ind w:firstLine="720"/>
        <w:jc w:val="both"/>
      </w:pPr>
      <w:r>
        <w:t>Relying on prior Commission decisions regarding submetering by landlords</w:t>
      </w:r>
      <w:r w:rsidR="00B93786">
        <w:t>, NEP</w:t>
      </w:r>
      <w:r w:rsidR="00042D6C">
        <w:t xml:space="preserve"> </w:t>
      </w:r>
      <w:r w:rsidR="00B93456">
        <w:t>reaches the opposite conclusion, urging</w:t>
      </w:r>
      <w:r w:rsidR="00042D6C">
        <w:t xml:space="preserve"> </w:t>
      </w:r>
      <w:r w:rsidR="00155635">
        <w:t xml:space="preserve">the Commission </w:t>
      </w:r>
      <w:r w:rsidR="007A7B7F">
        <w:t xml:space="preserve">to </w:t>
      </w:r>
      <w:r w:rsidR="009F6675">
        <w:t>find</w:t>
      </w:r>
      <w:r w:rsidR="007A7B7F">
        <w:t xml:space="preserve"> that </w:t>
      </w:r>
      <w:r w:rsidR="002667A4">
        <w:t>submetering is outside the Commission’s jurisdiction</w:t>
      </w:r>
      <w:r w:rsidR="00155635">
        <w:t xml:space="preserve">.  </w:t>
      </w:r>
      <w:r w:rsidR="0023488C">
        <w:t xml:space="preserve">According to </w:t>
      </w:r>
      <w:r w:rsidR="004D731C">
        <w:t>NEP</w:t>
      </w:r>
      <w:r w:rsidR="0023488C">
        <w:t xml:space="preserve">, asserting jurisdiction over submetering would upend established law, create unnecessary regulation and confusion, and compromise the </w:t>
      </w:r>
      <w:r w:rsidR="00FC4707">
        <w:t xml:space="preserve">Commission’s </w:t>
      </w:r>
      <w:r w:rsidR="0023488C">
        <w:t xml:space="preserve">ability to operate effectively.  </w:t>
      </w:r>
      <w:r w:rsidR="00B93786">
        <w:t>NEP</w:t>
      </w:r>
      <w:r w:rsidR="0023488C">
        <w:t xml:space="preserve"> Comments at 8-10.</w:t>
      </w:r>
    </w:p>
    <w:p w14:paraId="2FF4503A" w14:textId="2972695A" w:rsidR="00EA40AF" w:rsidRDefault="00E74EDF" w:rsidP="00CA4AE3">
      <w:pPr>
        <w:spacing w:line="480" w:lineRule="auto"/>
        <w:ind w:firstLine="720"/>
        <w:jc w:val="both"/>
      </w:pPr>
      <w:r>
        <w:t xml:space="preserve">Neither argument conforms </w:t>
      </w:r>
      <w:r w:rsidR="005562CD">
        <w:t>to</w:t>
      </w:r>
      <w:r>
        <w:t xml:space="preserve"> Ohio law because both</w:t>
      </w:r>
      <w:r w:rsidR="000D118F">
        <w:t xml:space="preserve"> t</w:t>
      </w:r>
      <w:r w:rsidR="009156FD">
        <w:t>he OCC</w:t>
      </w:r>
      <w:r w:rsidR="00EE2413">
        <w:t>/</w:t>
      </w:r>
      <w:r w:rsidR="009156FD">
        <w:t xml:space="preserve">OPLC and NEP </w:t>
      </w:r>
      <w:r w:rsidR="00490E0F">
        <w:t xml:space="preserve">Comments </w:t>
      </w:r>
      <w:r w:rsidR="00BF04D6">
        <w:t>ignore</w:t>
      </w:r>
      <w:r w:rsidR="004105C8">
        <w:t xml:space="preserve"> </w:t>
      </w:r>
      <w:r w:rsidR="00820DB8">
        <w:t xml:space="preserve">that a determination of public utility status is </w:t>
      </w:r>
      <w:r w:rsidR="00285575">
        <w:t xml:space="preserve">a </w:t>
      </w:r>
      <w:r w:rsidR="004105C8">
        <w:t xml:space="preserve">mixed question of law and fact.  </w:t>
      </w:r>
      <w:r w:rsidR="00050ED1" w:rsidRPr="00BF2878">
        <w:rPr>
          <w:rFonts w:eastAsia="Times New Roman" w:cs="Arial"/>
          <w:i/>
          <w:iCs/>
          <w:szCs w:val="20"/>
        </w:rPr>
        <w:t>A &amp; B Refuse Disposers, Inc. v. Board of Ravenna Twp. Trustees</w:t>
      </w:r>
      <w:r w:rsidR="00050ED1" w:rsidRPr="00BF2878">
        <w:rPr>
          <w:rFonts w:eastAsia="Times New Roman" w:cs="Arial"/>
          <w:szCs w:val="20"/>
        </w:rPr>
        <w:t xml:space="preserve">, 64 Ohio </w:t>
      </w:r>
      <w:r w:rsidR="00050ED1" w:rsidRPr="00BF2878">
        <w:rPr>
          <w:rFonts w:eastAsia="Times New Roman" w:cs="Arial"/>
          <w:szCs w:val="20"/>
        </w:rPr>
        <w:lastRenderedPageBreak/>
        <w:t xml:space="preserve">St.3d 385, 387 (1992).  </w:t>
      </w:r>
      <w:r w:rsidR="00425CD6">
        <w:t xml:space="preserve">Thus, </w:t>
      </w:r>
      <w:r w:rsidR="00A35848">
        <w:t>the</w:t>
      </w:r>
      <w:r w:rsidR="005E5733">
        <w:t xml:space="preserve">re is no legal basis for </w:t>
      </w:r>
      <w:r w:rsidR="00732AC9">
        <w:t>a</w:t>
      </w:r>
      <w:r w:rsidR="005629B7">
        <w:t xml:space="preserve"> </w:t>
      </w:r>
      <w:r w:rsidR="00732AC9">
        <w:t>categorical test</w:t>
      </w:r>
      <w:r w:rsidR="005629B7">
        <w:t xml:space="preserve"> that submetering entities are subject to or not subject to Commission jurisdiction</w:t>
      </w:r>
      <w:r w:rsidR="00425CD6">
        <w:t>.</w:t>
      </w:r>
    </w:p>
    <w:p w14:paraId="4AB67CF0" w14:textId="2256FA7A" w:rsidR="0023488C" w:rsidRDefault="00CA7FBA" w:rsidP="00CA4AE3">
      <w:pPr>
        <w:spacing w:line="480" w:lineRule="auto"/>
        <w:ind w:firstLine="720"/>
        <w:jc w:val="both"/>
      </w:pPr>
      <w:r>
        <w:t>The</w:t>
      </w:r>
      <w:r w:rsidR="00955B93">
        <w:t xml:space="preserve"> comments critical of </w:t>
      </w:r>
      <w:r w:rsidR="004105C8">
        <w:t>NEP</w:t>
      </w:r>
      <w:r w:rsidR="00955B93">
        <w:t xml:space="preserve"> filed by the </w:t>
      </w:r>
      <w:r w:rsidR="00B31FCD">
        <w:t>Utility</w:t>
      </w:r>
      <w:r w:rsidR="00955B93">
        <w:t xml:space="preserve"> Management and Conservation Association</w:t>
      </w:r>
      <w:r w:rsidR="00AA5109">
        <w:t xml:space="preserve"> (“UMCA”)</w:t>
      </w:r>
      <w:r w:rsidR="00487212">
        <w:t xml:space="preserve"> </w:t>
      </w:r>
      <w:r w:rsidR="009527F6">
        <w:t xml:space="preserve">demonstrate why a categorical test is </w:t>
      </w:r>
      <w:r w:rsidR="001D122C">
        <w:t>unworkable under the applicable legal standard</w:t>
      </w:r>
      <w:r w:rsidR="00955B93">
        <w:t xml:space="preserve">.  </w:t>
      </w:r>
      <w:r w:rsidR="008E3013">
        <w:t>In its c</w:t>
      </w:r>
      <w:r w:rsidR="00035994">
        <w:t xml:space="preserve">omments, </w:t>
      </w:r>
      <w:r w:rsidR="00AA5109">
        <w:t>UMCA</w:t>
      </w:r>
      <w:r w:rsidR="0060231C">
        <w:t xml:space="preserve"> </w:t>
      </w:r>
      <w:r w:rsidR="00B31FCD">
        <w:t xml:space="preserve">distinguishes </w:t>
      </w:r>
      <w:r w:rsidR="0060231C">
        <w:t xml:space="preserve">the </w:t>
      </w:r>
      <w:r w:rsidR="00531DF3">
        <w:t xml:space="preserve">practices of its members from those </w:t>
      </w:r>
      <w:r w:rsidR="0060231C">
        <w:t xml:space="preserve">of </w:t>
      </w:r>
      <w:r w:rsidR="004105C8">
        <w:t>NEP</w:t>
      </w:r>
      <w:r w:rsidR="0060231C">
        <w:t>.</w:t>
      </w:r>
      <w:r w:rsidR="001A42C8">
        <w:t xml:space="preserve">  </w:t>
      </w:r>
      <w:r w:rsidR="00E52E59">
        <w:t>Comments of Utility Management and Conservation Association at 2 (Jan. 21, 2016)</w:t>
      </w:r>
      <w:r w:rsidR="00093116">
        <w:t>.</w:t>
      </w:r>
      <w:r w:rsidR="00E52E59">
        <w:t xml:space="preserve">  </w:t>
      </w:r>
      <w:r w:rsidR="009806AA">
        <w:t>As these comments demonstrate,</w:t>
      </w:r>
      <w:r w:rsidR="004F1D51">
        <w:t xml:space="preserve"> </w:t>
      </w:r>
      <w:r w:rsidR="004A1CE8">
        <w:t>business purpose</w:t>
      </w:r>
      <w:r w:rsidR="00DE190E">
        <w:t xml:space="preserve"> and o</w:t>
      </w:r>
      <w:r w:rsidR="00093116">
        <w:t>the</w:t>
      </w:r>
      <w:r w:rsidR="00DE190E">
        <w:t>r</w:t>
      </w:r>
      <w:r w:rsidR="00093116">
        <w:t xml:space="preserve"> practices </w:t>
      </w:r>
      <w:r w:rsidR="004A1CE8">
        <w:t xml:space="preserve">in addition to </w:t>
      </w:r>
      <w:r w:rsidR="00E808C2">
        <w:t xml:space="preserve">whether an entity engages in submetering </w:t>
      </w:r>
      <w:r w:rsidR="00093116">
        <w:t xml:space="preserve">are relevant to the </w:t>
      </w:r>
      <w:r w:rsidR="00CB4573">
        <w:t xml:space="preserve">determination of </w:t>
      </w:r>
      <w:r w:rsidR="004A1CE8">
        <w:t>an</w:t>
      </w:r>
      <w:r w:rsidR="00CB4573">
        <w:t xml:space="preserve"> </w:t>
      </w:r>
      <w:r w:rsidR="00093116">
        <w:t xml:space="preserve">entity’s status as a public utility.  </w:t>
      </w:r>
      <w:r w:rsidR="005D5F80">
        <w:t>If the Commission relied solely on a</w:t>
      </w:r>
      <w:r w:rsidR="00A432C0">
        <w:t xml:space="preserve"> categorical test</w:t>
      </w:r>
      <w:r w:rsidR="0052612E">
        <w:t>, however,</w:t>
      </w:r>
      <w:r w:rsidR="00A432C0">
        <w:t xml:space="preserve"> </w:t>
      </w:r>
      <w:r w:rsidR="005D5F80">
        <w:t xml:space="preserve">such a test </w:t>
      </w:r>
      <w:r w:rsidR="00A92ECC">
        <w:t xml:space="preserve">would prevent the Commission from </w:t>
      </w:r>
      <w:r w:rsidR="005D5F80">
        <w:t>inquiring into</w:t>
      </w:r>
      <w:r w:rsidR="00A92ECC">
        <w:t xml:space="preserve"> whether the entity</w:t>
      </w:r>
      <w:r w:rsidR="005D5F80">
        <w:t xml:space="preserve"> by its</w:t>
      </w:r>
      <w:r w:rsidR="00A92ECC">
        <w:t xml:space="preserve"> activities </w:t>
      </w:r>
      <w:r w:rsidR="005D5F80">
        <w:t>affects</w:t>
      </w:r>
      <w:r w:rsidR="00A92ECC">
        <w:t xml:space="preserve"> the public interest</w:t>
      </w:r>
      <w:r w:rsidR="005D5F80">
        <w:t xml:space="preserve"> and should be subject to Commission supervision</w:t>
      </w:r>
      <w:r w:rsidR="00A432C0">
        <w:t>.</w:t>
      </w:r>
      <w:r w:rsidR="005514D0" w:rsidRPr="005514D0">
        <w:rPr>
          <w:i/>
        </w:rPr>
        <w:t xml:space="preserve"> </w:t>
      </w:r>
      <w:r w:rsidR="005D5F80">
        <w:rPr>
          <w:i/>
        </w:rPr>
        <w:t xml:space="preserve"> </w:t>
      </w:r>
      <w:r w:rsidR="005514D0" w:rsidRPr="00686A01">
        <w:rPr>
          <w:i/>
        </w:rPr>
        <w:t>See</w:t>
      </w:r>
      <w:r w:rsidR="005514D0">
        <w:rPr>
          <w:i/>
        </w:rPr>
        <w:t xml:space="preserve"> </w:t>
      </w:r>
      <w:r w:rsidR="005514D0">
        <w:t xml:space="preserve">IEU-Ohio Comments at 8-10 and Whitt Comments at 4-5.  </w:t>
      </w:r>
      <w:r w:rsidR="00A579E1">
        <w:t>Because</w:t>
      </w:r>
      <w:r w:rsidR="006E3C14">
        <w:t xml:space="preserve"> such</w:t>
      </w:r>
      <w:r w:rsidR="00E20615">
        <w:t xml:space="preserve"> a test </w:t>
      </w:r>
      <w:r w:rsidR="00A579E1">
        <w:t xml:space="preserve">would </w:t>
      </w:r>
      <w:r w:rsidR="000A1484">
        <w:t xml:space="preserve">improperly </w:t>
      </w:r>
      <w:r w:rsidR="00A579E1">
        <w:t>narrow</w:t>
      </w:r>
      <w:r w:rsidR="006E3C14">
        <w:t xml:space="preserve"> the inquiry the Commission should make before it exercises its jurisdiction</w:t>
      </w:r>
      <w:r w:rsidR="000A1484">
        <w:t>, the Commission should reject it</w:t>
      </w:r>
      <w:r w:rsidR="00E20615">
        <w:t>.</w:t>
      </w:r>
    </w:p>
    <w:p w14:paraId="55E3EFAF" w14:textId="77777777" w:rsidR="00DE1C5B" w:rsidRPr="004C6BD4" w:rsidRDefault="00A75055" w:rsidP="004C6BD4">
      <w:pPr>
        <w:pStyle w:val="Heading1"/>
        <w:rPr>
          <w:rFonts w:ascii="Arial Bold" w:hAnsi="Arial Bold"/>
          <w:b/>
          <w:caps/>
        </w:rPr>
      </w:pPr>
      <w:r w:rsidRPr="004C6BD4">
        <w:rPr>
          <w:rFonts w:ascii="Arial Bold" w:hAnsi="Arial Bold"/>
          <w:b/>
          <w:caps/>
        </w:rPr>
        <w:t>Conclusion</w:t>
      </w:r>
      <w:r w:rsidR="00773C88" w:rsidRPr="004C6BD4">
        <w:rPr>
          <w:rFonts w:ascii="Arial Bold" w:hAnsi="Arial Bold"/>
          <w:b/>
          <w:caps/>
        </w:rPr>
        <w:t xml:space="preserve">  </w:t>
      </w:r>
    </w:p>
    <w:p w14:paraId="246EE704" w14:textId="74B0C002" w:rsidR="00EB23A6" w:rsidRPr="00AD7497" w:rsidRDefault="00A432C0" w:rsidP="00AD749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Arial"/>
        </w:rPr>
      </w:pPr>
      <w:r>
        <w:rPr>
          <w:rFonts w:eastAsia="Times New Roman" w:cs="Arial"/>
          <w:szCs w:val="20"/>
        </w:rPr>
        <w:tab/>
      </w:r>
      <w:r w:rsidRPr="00AD7497">
        <w:rPr>
          <w:rFonts w:eastAsia="Times New Roman" w:cs="Arial"/>
          <w:szCs w:val="20"/>
        </w:rPr>
        <w:t xml:space="preserve">“Simple” tests based on billing arrangements </w:t>
      </w:r>
      <w:r w:rsidR="000332D2">
        <w:rPr>
          <w:rFonts w:eastAsia="Times New Roman" w:cs="Arial"/>
          <w:szCs w:val="20"/>
        </w:rPr>
        <w:t xml:space="preserve">and </w:t>
      </w:r>
      <w:r>
        <w:rPr>
          <w:rFonts w:eastAsia="Times New Roman" w:cs="Arial"/>
          <w:szCs w:val="20"/>
        </w:rPr>
        <w:t xml:space="preserve">categorical inclusions (or exclusions) do not </w:t>
      </w:r>
      <w:r w:rsidR="000332D2">
        <w:rPr>
          <w:rFonts w:eastAsia="Times New Roman" w:cs="Arial"/>
          <w:szCs w:val="20"/>
        </w:rPr>
        <w:t xml:space="preserve">provide a lawful or </w:t>
      </w:r>
      <w:r w:rsidR="00D27128">
        <w:rPr>
          <w:rFonts w:eastAsia="Times New Roman" w:cs="Arial"/>
          <w:szCs w:val="20"/>
        </w:rPr>
        <w:t xml:space="preserve">reasoned </w:t>
      </w:r>
      <w:r w:rsidR="000332D2">
        <w:rPr>
          <w:rFonts w:eastAsia="Times New Roman" w:cs="Arial"/>
          <w:szCs w:val="20"/>
        </w:rPr>
        <w:t xml:space="preserve">answer to </w:t>
      </w:r>
      <w:r w:rsidR="008D6630" w:rsidRPr="00AD7497">
        <w:rPr>
          <w:rFonts w:eastAsia="Times New Roman" w:cs="Arial"/>
          <w:szCs w:val="20"/>
        </w:rPr>
        <w:t>the question</w:t>
      </w:r>
      <w:r w:rsidR="004D45D7">
        <w:rPr>
          <w:rFonts w:eastAsia="Times New Roman" w:cs="Arial"/>
          <w:szCs w:val="20"/>
        </w:rPr>
        <w:t>s the Commission presented in this investigation</w:t>
      </w:r>
      <w:r w:rsidR="008D6630" w:rsidRPr="00AD7497">
        <w:rPr>
          <w:rFonts w:eastAsia="Times New Roman" w:cs="Arial"/>
          <w:szCs w:val="20"/>
        </w:rPr>
        <w:t xml:space="preserve">.  </w:t>
      </w:r>
      <w:r w:rsidR="00B94F08">
        <w:rPr>
          <w:rFonts w:eastAsia="Times New Roman" w:cs="Arial"/>
          <w:szCs w:val="20"/>
        </w:rPr>
        <w:t>Accordingly</w:t>
      </w:r>
      <w:r w:rsidR="00EB23A6" w:rsidRPr="00AD7497">
        <w:rPr>
          <w:rFonts w:eastAsia="Times New Roman" w:cs="Arial"/>
          <w:szCs w:val="20"/>
        </w:rPr>
        <w:t xml:space="preserve">, the Commission should reject the various </w:t>
      </w:r>
      <w:r w:rsidR="000332D2">
        <w:rPr>
          <w:rFonts w:eastAsia="Times New Roman" w:cs="Arial"/>
          <w:szCs w:val="20"/>
        </w:rPr>
        <w:t>proposals</w:t>
      </w:r>
      <w:r w:rsidR="000332D2" w:rsidRPr="00AD7497">
        <w:rPr>
          <w:rFonts w:eastAsia="Times New Roman" w:cs="Arial"/>
          <w:szCs w:val="20"/>
        </w:rPr>
        <w:t xml:space="preserve"> </w:t>
      </w:r>
      <w:r w:rsidR="00237343">
        <w:rPr>
          <w:rFonts w:eastAsia="Times New Roman" w:cs="Arial"/>
          <w:szCs w:val="20"/>
        </w:rPr>
        <w:t>of</w:t>
      </w:r>
      <w:r w:rsidR="00EB23A6" w:rsidRPr="00AD7497">
        <w:rPr>
          <w:rFonts w:eastAsia="Times New Roman" w:cs="Arial"/>
          <w:szCs w:val="20"/>
        </w:rPr>
        <w:t xml:space="preserve"> </w:t>
      </w:r>
      <w:r w:rsidR="000D1C71" w:rsidRPr="00AD7497">
        <w:rPr>
          <w:rFonts w:eastAsia="Times New Roman" w:cs="Arial"/>
          <w:szCs w:val="20"/>
        </w:rPr>
        <w:t>AEP-Ohio/Duke</w:t>
      </w:r>
      <w:r w:rsidR="00EB23A6" w:rsidRPr="00AD7497">
        <w:rPr>
          <w:rFonts w:eastAsia="Times New Roman" w:cs="Arial"/>
          <w:szCs w:val="20"/>
        </w:rPr>
        <w:t xml:space="preserve">, </w:t>
      </w:r>
      <w:r w:rsidR="00AA52B3" w:rsidRPr="00AD7497">
        <w:rPr>
          <w:rFonts w:eastAsia="Times New Roman" w:cs="Arial"/>
          <w:szCs w:val="20"/>
        </w:rPr>
        <w:t>OCC/OPLC</w:t>
      </w:r>
      <w:r w:rsidR="00EB23A6" w:rsidRPr="00AD7497">
        <w:rPr>
          <w:rFonts w:eastAsia="Times New Roman" w:cs="Arial"/>
          <w:szCs w:val="20"/>
        </w:rPr>
        <w:t xml:space="preserve">, and </w:t>
      </w:r>
      <w:r w:rsidR="00AA52B3" w:rsidRPr="00AD7497">
        <w:rPr>
          <w:rFonts w:eastAsia="Times New Roman" w:cs="Arial"/>
          <w:szCs w:val="20"/>
        </w:rPr>
        <w:t>NEP</w:t>
      </w:r>
      <w:r w:rsidR="00AA52B3">
        <w:rPr>
          <w:rFonts w:eastAsia="Times New Roman" w:cs="Arial"/>
          <w:szCs w:val="20"/>
        </w:rPr>
        <w:t xml:space="preserve"> </w:t>
      </w:r>
      <w:r w:rsidR="00D27128">
        <w:rPr>
          <w:rFonts w:eastAsia="Times New Roman" w:cs="Arial"/>
          <w:szCs w:val="20"/>
        </w:rPr>
        <w:t xml:space="preserve">and instead continue to address the question of its jurisdiction over an entity, or its agent, by determining the mixed question of law and fact on a case by case basis.  </w:t>
      </w:r>
    </w:p>
    <w:p w14:paraId="4DA14125" w14:textId="77777777" w:rsidR="00EB23A6" w:rsidRPr="00EB23A6" w:rsidRDefault="00EB23A6" w:rsidP="00CA4AE3">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Arial"/>
          <w:szCs w:val="20"/>
        </w:rPr>
      </w:pPr>
      <w:r w:rsidRPr="00EB23A6">
        <w:rPr>
          <w:rFonts w:eastAsia="Times New Roman" w:cs="Arial"/>
          <w:szCs w:val="20"/>
        </w:rPr>
        <w:tab/>
      </w:r>
      <w:r w:rsidRPr="00EB23A6">
        <w:rPr>
          <w:rFonts w:eastAsia="Times New Roman" w:cs="Arial"/>
          <w:szCs w:val="20"/>
        </w:rPr>
        <w:tab/>
      </w:r>
      <w:r w:rsidRPr="00EB23A6">
        <w:rPr>
          <w:rFonts w:eastAsia="Times New Roman" w:cs="Arial"/>
          <w:szCs w:val="20"/>
        </w:rPr>
        <w:tab/>
      </w:r>
      <w:r w:rsidRPr="00EB23A6">
        <w:rPr>
          <w:rFonts w:eastAsia="Times New Roman" w:cs="Arial"/>
          <w:szCs w:val="20"/>
        </w:rPr>
        <w:tab/>
      </w:r>
      <w:r w:rsidRPr="00EB23A6">
        <w:rPr>
          <w:rFonts w:eastAsia="Times New Roman" w:cs="Arial"/>
          <w:szCs w:val="20"/>
        </w:rPr>
        <w:tab/>
        <w:t>Respectfully submitted,</w:t>
      </w:r>
    </w:p>
    <w:p w14:paraId="3E4D073A" w14:textId="77777777" w:rsidR="00EB23A6" w:rsidRPr="00EB23A6" w:rsidRDefault="00EB23A6" w:rsidP="00CA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jc w:val="both"/>
        <w:rPr>
          <w:rFonts w:eastAsia="Times New Roman" w:cs="Arial"/>
          <w:szCs w:val="20"/>
        </w:rPr>
      </w:pPr>
    </w:p>
    <w:p w14:paraId="2C1B0D4B" w14:textId="77777777" w:rsidR="00EB23A6" w:rsidRPr="00EB23A6" w:rsidRDefault="00EB23A6" w:rsidP="00CA4AE3">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Arial"/>
          <w:szCs w:val="20"/>
        </w:rPr>
      </w:pPr>
      <w:r w:rsidRPr="00EB23A6">
        <w:rPr>
          <w:rFonts w:eastAsia="Times New Roman" w:cs="Arial"/>
          <w:szCs w:val="20"/>
        </w:rPr>
        <w:tab/>
      </w:r>
      <w:r w:rsidRPr="00EB23A6">
        <w:rPr>
          <w:rFonts w:eastAsia="Times New Roman" w:cs="Arial"/>
          <w:szCs w:val="20"/>
        </w:rPr>
        <w:tab/>
      </w:r>
      <w:r w:rsidRPr="00EB23A6">
        <w:rPr>
          <w:rFonts w:eastAsia="Times New Roman" w:cs="Arial"/>
          <w:szCs w:val="20"/>
        </w:rPr>
        <w:tab/>
      </w:r>
      <w:r w:rsidRPr="00EB23A6">
        <w:rPr>
          <w:rFonts w:eastAsia="Times New Roman" w:cs="Arial"/>
          <w:szCs w:val="20"/>
        </w:rPr>
        <w:tab/>
      </w:r>
      <w:r w:rsidRPr="00EB23A6">
        <w:rPr>
          <w:rFonts w:eastAsia="Times New Roman" w:cs="Arial"/>
          <w:szCs w:val="20"/>
        </w:rPr>
        <w:tab/>
      </w:r>
      <w:r w:rsidRPr="00EB23A6">
        <w:rPr>
          <w:rFonts w:eastAsia="Times New Roman" w:cs="Arial"/>
          <w:szCs w:val="20"/>
          <w:u w:val="single"/>
        </w:rPr>
        <w:t xml:space="preserve">/s/ </w:t>
      </w:r>
      <w:r w:rsidRPr="00EB23A6">
        <w:rPr>
          <w:rFonts w:eastAsia="Times New Roman" w:cs="Arial"/>
          <w:i/>
          <w:szCs w:val="20"/>
          <w:u w:val="single"/>
        </w:rPr>
        <w:t>Frank P. Darr</w:t>
      </w:r>
      <w:r w:rsidRPr="00EB23A6">
        <w:rPr>
          <w:rFonts w:eastAsia="Times New Roman" w:cs="Arial"/>
          <w:szCs w:val="20"/>
          <w:u w:val="single"/>
        </w:rPr>
        <w:tab/>
      </w:r>
      <w:r w:rsidRPr="00EB23A6">
        <w:rPr>
          <w:rFonts w:eastAsia="Times New Roman" w:cs="Arial"/>
          <w:szCs w:val="20"/>
          <w:u w:val="single"/>
        </w:rPr>
        <w:tab/>
      </w:r>
      <w:r w:rsidRPr="00EB23A6">
        <w:rPr>
          <w:rFonts w:eastAsia="Times New Roman" w:cs="Arial"/>
          <w:szCs w:val="20"/>
          <w:u w:val="single"/>
        </w:rPr>
        <w:tab/>
      </w:r>
      <w:r w:rsidRPr="00EB23A6">
        <w:rPr>
          <w:rFonts w:eastAsia="Times New Roman" w:cs="Arial"/>
          <w:szCs w:val="20"/>
          <w:u w:val="single"/>
        </w:rPr>
        <w:tab/>
      </w:r>
    </w:p>
    <w:p w14:paraId="24D9CC31" w14:textId="77777777" w:rsidR="00EB23A6" w:rsidRPr="00EB23A6" w:rsidRDefault="00EB23A6" w:rsidP="00CA4AE3">
      <w:pPr>
        <w:widowControl w:val="0"/>
        <w:ind w:left="4320"/>
        <w:jc w:val="both"/>
        <w:rPr>
          <w:rFonts w:eastAsia="Calibri" w:cs="Arial"/>
          <w:bCs/>
        </w:rPr>
      </w:pPr>
      <w:r w:rsidRPr="00EB23A6">
        <w:rPr>
          <w:rFonts w:eastAsia="Calibri" w:cs="Arial"/>
          <w:bCs/>
        </w:rPr>
        <w:t>Frank P. Darr (Reg. No. 0025469)</w:t>
      </w:r>
    </w:p>
    <w:p w14:paraId="527B3463" w14:textId="77777777" w:rsidR="00EB23A6" w:rsidRPr="00EB23A6" w:rsidRDefault="00EB23A6" w:rsidP="00CA4AE3">
      <w:pPr>
        <w:widowControl w:val="0"/>
        <w:ind w:left="4320"/>
        <w:jc w:val="both"/>
        <w:rPr>
          <w:rFonts w:eastAsia="Calibri" w:cs="Arial"/>
          <w:bCs/>
        </w:rPr>
      </w:pPr>
      <w:r w:rsidRPr="00EB23A6">
        <w:rPr>
          <w:rFonts w:eastAsia="Calibri" w:cs="Arial"/>
          <w:bCs/>
        </w:rPr>
        <w:lastRenderedPageBreak/>
        <w:t>(Counsel of Record)</w:t>
      </w:r>
    </w:p>
    <w:p w14:paraId="5B95A9D5" w14:textId="77777777" w:rsidR="00EB23A6" w:rsidRPr="00EB23A6" w:rsidRDefault="00EB23A6" w:rsidP="00CA4AE3">
      <w:pPr>
        <w:widowControl w:val="0"/>
        <w:ind w:left="4320"/>
        <w:jc w:val="both"/>
        <w:rPr>
          <w:rFonts w:eastAsia="Calibri" w:cs="Arial"/>
          <w:b/>
          <w:bCs/>
        </w:rPr>
      </w:pPr>
      <w:r w:rsidRPr="00EB23A6">
        <w:rPr>
          <w:rFonts w:eastAsia="Calibri" w:cs="Arial"/>
          <w:bCs/>
        </w:rPr>
        <w:t>Matthew R. Pritchard (Reg. No. 0088070)</w:t>
      </w:r>
    </w:p>
    <w:p w14:paraId="17A1317D" w14:textId="77777777" w:rsidR="00EB23A6" w:rsidRPr="00EB23A6" w:rsidRDefault="00EB23A6" w:rsidP="00CA4AE3">
      <w:pPr>
        <w:widowControl w:val="0"/>
        <w:ind w:left="4320"/>
        <w:jc w:val="both"/>
        <w:rPr>
          <w:rFonts w:eastAsia="Calibri" w:cs="Arial"/>
          <w:b/>
          <w:bCs/>
          <w:smallCaps/>
        </w:rPr>
      </w:pPr>
      <w:r w:rsidRPr="00EB23A6">
        <w:rPr>
          <w:rFonts w:eastAsia="Calibri" w:cs="Arial"/>
          <w:bCs/>
          <w:smallCaps/>
        </w:rPr>
        <w:t>McNees Wallace &amp; Nurick LLC</w:t>
      </w:r>
    </w:p>
    <w:p w14:paraId="1DF44B79" w14:textId="77777777" w:rsidR="00EB23A6" w:rsidRPr="00EB23A6" w:rsidRDefault="00EB23A6" w:rsidP="00CA4AE3">
      <w:pPr>
        <w:widowControl w:val="0"/>
        <w:ind w:left="4320"/>
        <w:jc w:val="both"/>
        <w:rPr>
          <w:rFonts w:eastAsia="Calibri" w:cs="Arial"/>
          <w:b/>
          <w:bCs/>
        </w:rPr>
      </w:pPr>
      <w:r w:rsidRPr="00EB23A6">
        <w:rPr>
          <w:rFonts w:eastAsia="Calibri" w:cs="Arial"/>
          <w:bCs/>
        </w:rPr>
        <w:t>21 East State Street, 17</w:t>
      </w:r>
      <w:r w:rsidRPr="00EB23A6">
        <w:rPr>
          <w:rFonts w:eastAsia="Calibri" w:cs="Arial"/>
          <w:bCs/>
          <w:vertAlign w:val="superscript"/>
        </w:rPr>
        <w:t>TH</w:t>
      </w:r>
      <w:r w:rsidRPr="00EB23A6">
        <w:rPr>
          <w:rFonts w:eastAsia="Calibri" w:cs="Arial"/>
          <w:bCs/>
        </w:rPr>
        <w:t xml:space="preserve"> Floor</w:t>
      </w:r>
    </w:p>
    <w:p w14:paraId="40002A3D" w14:textId="77777777" w:rsidR="00EB23A6" w:rsidRPr="00EB23A6" w:rsidRDefault="00EB23A6" w:rsidP="00CA4AE3">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EB23A6">
        <w:rPr>
          <w:rFonts w:eastAsia="Calibri" w:cs="Arial"/>
        </w:rPr>
        <w:t>Columbus, OH  43215</w:t>
      </w:r>
    </w:p>
    <w:p w14:paraId="6161325C" w14:textId="77777777" w:rsidR="00EB23A6" w:rsidRPr="00EB23A6" w:rsidRDefault="00EB23A6" w:rsidP="00CA4AE3">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EB23A6">
        <w:rPr>
          <w:rFonts w:eastAsia="Calibri" w:cs="Arial"/>
        </w:rPr>
        <w:t>Telephone:  (614) 469-8000</w:t>
      </w:r>
    </w:p>
    <w:p w14:paraId="68D5E935" w14:textId="77777777" w:rsidR="00EB23A6" w:rsidRPr="00EB23A6" w:rsidRDefault="00EB23A6" w:rsidP="00CA4AE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B23A6">
        <w:rPr>
          <w:rFonts w:eastAsia="Calibri" w:cs="Arial"/>
          <w:color w:val="000000"/>
        </w:rPr>
        <w:t>Telecopier:  (614) 469-4653</w:t>
      </w:r>
    </w:p>
    <w:p w14:paraId="716084C5" w14:textId="77777777" w:rsidR="00EB23A6" w:rsidRPr="00EB23A6" w:rsidRDefault="00EB23A6" w:rsidP="00CA4AE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B23A6">
        <w:rPr>
          <w:rFonts w:eastAsia="Calibri" w:cs="Arial"/>
        </w:rPr>
        <w:t>fdarr@mwncmh.com</w:t>
      </w:r>
    </w:p>
    <w:p w14:paraId="1ED276B3" w14:textId="77777777" w:rsidR="00EB23A6" w:rsidRPr="00EB23A6" w:rsidRDefault="00EB23A6" w:rsidP="00CA4AE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B23A6">
        <w:rPr>
          <w:rFonts w:eastAsia="Calibri" w:cs="Arial"/>
          <w:color w:val="000000"/>
        </w:rPr>
        <w:t>(willing to accept service by e-mail)</w:t>
      </w:r>
    </w:p>
    <w:p w14:paraId="0B2071B2" w14:textId="77777777" w:rsidR="00EB23A6" w:rsidRPr="00EB23A6" w:rsidRDefault="00EB23A6" w:rsidP="00CA4AE3">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EB23A6">
        <w:rPr>
          <w:rFonts w:eastAsia="Calibri" w:cs="Arial"/>
          <w:color w:val="000000"/>
        </w:rPr>
        <w:t>mpritchard@mwncmh.com</w:t>
      </w:r>
    </w:p>
    <w:p w14:paraId="76B663C5" w14:textId="77777777" w:rsidR="00EB23A6" w:rsidRPr="00EB23A6" w:rsidRDefault="00EB23A6" w:rsidP="00CA4AE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B23A6">
        <w:rPr>
          <w:rFonts w:eastAsia="Calibri" w:cs="Arial"/>
          <w:color w:val="000000"/>
        </w:rPr>
        <w:t>(willing to accept service by e-mail)</w:t>
      </w:r>
    </w:p>
    <w:p w14:paraId="4E1E7FEA" w14:textId="77777777" w:rsidR="00EB23A6" w:rsidRPr="00EB23A6" w:rsidRDefault="00EB23A6" w:rsidP="00CA4AE3">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p>
    <w:p w14:paraId="031E1DE3" w14:textId="77777777" w:rsidR="00EB23A6" w:rsidRPr="00EB23A6" w:rsidRDefault="00EB23A6" w:rsidP="00CA4AE3">
      <w:pPr>
        <w:ind w:left="4320" w:hanging="4320"/>
        <w:jc w:val="both"/>
        <w:rPr>
          <w:rFonts w:cs="Arial"/>
          <w:b/>
          <w:smallCaps/>
          <w:color w:val="000000"/>
        </w:rPr>
        <w:sectPr w:rsidR="00EB23A6" w:rsidRPr="00EB23A6" w:rsidSect="00686A01">
          <w:pgSz w:w="12240" w:h="15840"/>
          <w:pgMar w:top="1440" w:right="1440" w:bottom="1440" w:left="1440" w:header="720" w:footer="720" w:gutter="0"/>
          <w:pgNumType w:start="1"/>
          <w:cols w:space="720"/>
          <w:titlePg/>
          <w:docGrid w:linePitch="326"/>
        </w:sectPr>
      </w:pPr>
      <w:r w:rsidRPr="00EB23A6">
        <w:rPr>
          <w:rFonts w:cs="Arial"/>
          <w:b/>
          <w:smallCaps/>
          <w:color w:val="000000"/>
        </w:rPr>
        <w:tab/>
        <w:t>On Behalf of Industrial Energy Users-Ohio</w:t>
      </w:r>
    </w:p>
    <w:p w14:paraId="356D33D4" w14:textId="77777777" w:rsidR="00EB23A6" w:rsidRPr="00EB23A6" w:rsidRDefault="00EB23A6" w:rsidP="00EB23A6">
      <w:pPr>
        <w:tabs>
          <w:tab w:val="left" w:pos="2160"/>
          <w:tab w:val="left" w:pos="2280"/>
        </w:tabs>
        <w:jc w:val="center"/>
        <w:rPr>
          <w:rFonts w:cs="Arial"/>
          <w:b/>
          <w:smallCaps/>
          <w:sz w:val="28"/>
          <w:u w:val="single"/>
        </w:rPr>
      </w:pPr>
      <w:r w:rsidRPr="00EB23A6">
        <w:rPr>
          <w:rFonts w:cs="Arial"/>
          <w:b/>
          <w:smallCaps/>
          <w:sz w:val="28"/>
          <w:u w:val="single"/>
        </w:rPr>
        <w:lastRenderedPageBreak/>
        <w:t>Certificate of Service</w:t>
      </w:r>
    </w:p>
    <w:p w14:paraId="396A25DC" w14:textId="77777777" w:rsidR="00EB23A6" w:rsidRPr="00EB23A6" w:rsidRDefault="00EB23A6" w:rsidP="00EB23A6">
      <w:pPr>
        <w:jc w:val="both"/>
        <w:rPr>
          <w:rFonts w:cs="Arial"/>
        </w:rPr>
      </w:pPr>
    </w:p>
    <w:p w14:paraId="383B2B3C" w14:textId="77777777" w:rsidR="00EB23A6" w:rsidRPr="00EB23A6" w:rsidRDefault="00EB23A6" w:rsidP="00EB23A6">
      <w:pPr>
        <w:spacing w:after="120" w:line="480" w:lineRule="auto"/>
        <w:ind w:firstLine="720"/>
        <w:jc w:val="both"/>
      </w:pPr>
      <w:r w:rsidRPr="00EB23A6">
        <w:t>In accordance with Rule 4901-1-05, Ohio Administrative Code, the Commission’s e</w:t>
      </w:r>
      <w:r w:rsidRPr="00EB23A6">
        <w:noBreakHyphen/>
        <w:t xml:space="preserve">filing system will electronically serve notice of the filing of this document.  In addition, I hereby certify that a service copy of the foregoing </w:t>
      </w:r>
      <w:r>
        <w:rPr>
          <w:i/>
        </w:rPr>
        <w:t>Reply</w:t>
      </w:r>
      <w:r w:rsidRPr="00EB23A6">
        <w:rPr>
          <w:i/>
        </w:rPr>
        <w:t xml:space="preserve"> Comments of Industrial Energy Users-Ohio </w:t>
      </w:r>
      <w:r w:rsidRPr="00EB23A6">
        <w:t xml:space="preserve">was sent by, or on behalf of, the undersigned counsel for IEU-Ohio to the parties of record this </w:t>
      </w:r>
      <w:r>
        <w:t>5th</w:t>
      </w:r>
      <w:r w:rsidRPr="00EB23A6">
        <w:t xml:space="preserve"> day of </w:t>
      </w:r>
      <w:r>
        <w:t>February</w:t>
      </w:r>
      <w:r w:rsidRPr="00EB23A6">
        <w:t xml:space="preserve"> 2016, </w:t>
      </w:r>
      <w:r w:rsidRPr="00EB23A6">
        <w:rPr>
          <w:i/>
        </w:rPr>
        <w:t>via</w:t>
      </w:r>
      <w:r w:rsidRPr="00EB23A6">
        <w:t xml:space="preserve"> electronic transmission in Case No. 15-697-EL-CSS.</w:t>
      </w:r>
    </w:p>
    <w:p w14:paraId="50F66D1F" w14:textId="77777777" w:rsidR="00EB23A6" w:rsidRPr="00EB23A6" w:rsidRDefault="00EB23A6" w:rsidP="00EB23A6">
      <w:pPr>
        <w:ind w:firstLine="720"/>
        <w:jc w:val="both"/>
        <w:rPr>
          <w:u w:val="single"/>
        </w:rPr>
      </w:pPr>
      <w:r w:rsidRPr="00EB23A6">
        <w:tab/>
      </w:r>
      <w:r w:rsidRPr="00EB23A6">
        <w:tab/>
      </w:r>
      <w:r w:rsidRPr="00EB23A6">
        <w:tab/>
      </w:r>
      <w:r w:rsidRPr="00EB23A6">
        <w:tab/>
      </w:r>
      <w:r w:rsidRPr="00EB23A6">
        <w:tab/>
      </w:r>
      <w:r w:rsidRPr="00EB23A6">
        <w:tab/>
      </w:r>
      <w:r w:rsidRPr="00EB23A6">
        <w:rPr>
          <w:u w:val="single"/>
        </w:rPr>
        <w:t xml:space="preserve">/s/ </w:t>
      </w:r>
      <w:r w:rsidRPr="00EB23A6">
        <w:rPr>
          <w:i/>
          <w:u w:val="single"/>
        </w:rPr>
        <w:t>Frank P. Darr</w:t>
      </w:r>
      <w:r w:rsidRPr="00EB23A6">
        <w:rPr>
          <w:u w:val="single"/>
        </w:rPr>
        <w:tab/>
      </w:r>
      <w:r w:rsidRPr="00EB23A6">
        <w:rPr>
          <w:u w:val="single"/>
        </w:rPr>
        <w:tab/>
      </w:r>
      <w:r w:rsidRPr="00EB23A6">
        <w:rPr>
          <w:u w:val="single"/>
        </w:rPr>
        <w:tab/>
      </w:r>
      <w:r w:rsidRPr="00EB23A6">
        <w:rPr>
          <w:u w:val="single"/>
        </w:rPr>
        <w:tab/>
      </w:r>
    </w:p>
    <w:p w14:paraId="18C50D50" w14:textId="77777777" w:rsidR="00CF1DFA" w:rsidRDefault="00EB23A6" w:rsidP="00EB23A6">
      <w:pPr>
        <w:jc w:val="both"/>
        <w:sectPr w:rsidR="00CF1DFA" w:rsidSect="00C0405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r w:rsidRPr="00EB23A6">
        <w:tab/>
      </w:r>
      <w:r w:rsidRPr="00EB23A6">
        <w:tab/>
      </w:r>
      <w:r w:rsidRPr="00EB23A6">
        <w:tab/>
      </w:r>
      <w:r w:rsidRPr="00EB23A6">
        <w:tab/>
      </w:r>
      <w:r w:rsidRPr="00EB23A6">
        <w:tab/>
      </w:r>
      <w:r w:rsidRPr="00EB23A6">
        <w:tab/>
      </w:r>
      <w:r w:rsidRPr="00EB23A6">
        <w:tab/>
      </w:r>
      <w:r w:rsidRPr="00EB23A6">
        <w:tab/>
      </w:r>
      <w:r w:rsidRPr="00EB23A6">
        <w:tab/>
        <w:t>Frank P. Darr</w:t>
      </w:r>
    </w:p>
    <w:p w14:paraId="5A9C81BD" w14:textId="77777777" w:rsidR="00EB23A6" w:rsidRPr="00EB23A6" w:rsidRDefault="00EB23A6" w:rsidP="00EB23A6">
      <w:pPr>
        <w:jc w:val="both"/>
      </w:pPr>
    </w:p>
    <w:p w14:paraId="412A1B08" w14:textId="77777777" w:rsidR="00EB23A6" w:rsidRPr="00EB23A6" w:rsidRDefault="00EB23A6" w:rsidP="00EB23A6">
      <w:pPr>
        <w:rPr>
          <w:rFonts w:eastAsia="Calibri" w:cs="Times New Roman"/>
          <w:smallCaps/>
          <w:sz w:val="22"/>
          <w:szCs w:val="22"/>
        </w:rPr>
      </w:pPr>
      <w:r w:rsidRPr="00EB23A6">
        <w:rPr>
          <w:rFonts w:eastAsia="Calibri" w:cs="Times New Roman"/>
          <w:sz w:val="22"/>
          <w:szCs w:val="22"/>
        </w:rPr>
        <w:t xml:space="preserve">Mark A. Whitt </w:t>
      </w:r>
      <w:r w:rsidRPr="00EB23A6">
        <w:rPr>
          <w:rFonts w:eastAsia="Calibri" w:cs="Times New Roman"/>
          <w:smallCaps/>
          <w:sz w:val="22"/>
          <w:szCs w:val="22"/>
        </w:rPr>
        <w:t>(0067996)</w:t>
      </w:r>
    </w:p>
    <w:p w14:paraId="075BE6EA" w14:textId="77777777" w:rsidR="00EB23A6" w:rsidRPr="00EB23A6" w:rsidRDefault="00EB23A6" w:rsidP="00EB23A6">
      <w:pPr>
        <w:rPr>
          <w:rFonts w:eastAsia="Calibri" w:cs="Times New Roman"/>
          <w:sz w:val="22"/>
          <w:szCs w:val="22"/>
        </w:rPr>
      </w:pPr>
      <w:r w:rsidRPr="00EB23A6">
        <w:rPr>
          <w:rFonts w:eastAsia="Calibri" w:cs="Times New Roman"/>
          <w:sz w:val="22"/>
          <w:szCs w:val="22"/>
        </w:rPr>
        <w:t>Whitt Sturtevant LLP</w:t>
      </w:r>
    </w:p>
    <w:p w14:paraId="6BB64CC9" w14:textId="77777777" w:rsidR="00EB23A6" w:rsidRPr="00EB23A6" w:rsidRDefault="00EB23A6" w:rsidP="00EB23A6">
      <w:pPr>
        <w:rPr>
          <w:rFonts w:eastAsia="Calibri" w:cs="Times New Roman"/>
          <w:sz w:val="22"/>
          <w:szCs w:val="22"/>
        </w:rPr>
      </w:pPr>
      <w:r w:rsidRPr="00EB23A6">
        <w:rPr>
          <w:rFonts w:eastAsia="Calibri" w:cs="Times New Roman"/>
          <w:sz w:val="22"/>
          <w:szCs w:val="22"/>
        </w:rPr>
        <w:t>The KeyBank Building</w:t>
      </w:r>
    </w:p>
    <w:p w14:paraId="4BACBA8C" w14:textId="77777777" w:rsidR="00EB23A6" w:rsidRPr="00EB23A6" w:rsidRDefault="00EB23A6" w:rsidP="00EB23A6">
      <w:pPr>
        <w:rPr>
          <w:rFonts w:eastAsia="Calibri" w:cs="Times New Roman"/>
          <w:sz w:val="22"/>
          <w:szCs w:val="22"/>
        </w:rPr>
      </w:pPr>
      <w:r w:rsidRPr="00EB23A6">
        <w:rPr>
          <w:rFonts w:eastAsia="Calibri" w:cs="Times New Roman"/>
          <w:sz w:val="22"/>
          <w:szCs w:val="22"/>
        </w:rPr>
        <w:t>88 East Broad Street, Suite 1590</w:t>
      </w:r>
    </w:p>
    <w:p w14:paraId="3C7D6CB1" w14:textId="77777777" w:rsidR="00EB23A6" w:rsidRPr="00EB23A6" w:rsidRDefault="00EB23A6" w:rsidP="00EB23A6">
      <w:pPr>
        <w:rPr>
          <w:rFonts w:eastAsia="Calibri" w:cs="Times New Roman"/>
          <w:sz w:val="22"/>
          <w:szCs w:val="22"/>
        </w:rPr>
      </w:pPr>
      <w:r w:rsidRPr="00EB23A6">
        <w:rPr>
          <w:rFonts w:eastAsia="Calibri" w:cs="Times New Roman"/>
          <w:sz w:val="22"/>
          <w:szCs w:val="22"/>
        </w:rPr>
        <w:t>Columbus, OH  43215</w:t>
      </w:r>
    </w:p>
    <w:p w14:paraId="32BFA85B" w14:textId="77777777" w:rsidR="00EB23A6" w:rsidRPr="00EB23A6" w:rsidRDefault="00E11479" w:rsidP="00EB23A6">
      <w:pPr>
        <w:rPr>
          <w:rFonts w:eastAsia="Calibri" w:cs="Times New Roman"/>
          <w:sz w:val="22"/>
          <w:szCs w:val="22"/>
        </w:rPr>
      </w:pPr>
      <w:hyperlink r:id="rId20" w:history="1">
        <w:r w:rsidR="00EB23A6" w:rsidRPr="00EB23A6">
          <w:rPr>
            <w:rFonts w:eastAsia="Calibri" w:cs="Times New Roman"/>
            <w:color w:val="0000FF" w:themeColor="hyperlink"/>
            <w:sz w:val="22"/>
            <w:szCs w:val="22"/>
            <w:u w:val="single"/>
          </w:rPr>
          <w:t>whitt@whitt-sturtevant.com</w:t>
        </w:r>
      </w:hyperlink>
    </w:p>
    <w:p w14:paraId="7DAA6DAB" w14:textId="77777777" w:rsidR="00EB23A6" w:rsidRPr="00EB23A6" w:rsidRDefault="00EB23A6" w:rsidP="00EB23A6">
      <w:pPr>
        <w:rPr>
          <w:rFonts w:eastAsia="Calibri" w:cs="Times New Roman"/>
          <w:sz w:val="22"/>
          <w:szCs w:val="22"/>
        </w:rPr>
      </w:pPr>
    </w:p>
    <w:p w14:paraId="0E3E2552" w14:textId="77777777" w:rsidR="00EB23A6" w:rsidRPr="00EB23A6" w:rsidRDefault="00EB23A6" w:rsidP="00EB23A6">
      <w:pPr>
        <w:rPr>
          <w:rFonts w:ascii="Arial Bold" w:eastAsia="Calibri" w:hAnsi="Arial Bold" w:cs="Times New Roman"/>
          <w:b/>
          <w:smallCaps/>
          <w:sz w:val="22"/>
          <w:szCs w:val="22"/>
        </w:rPr>
      </w:pPr>
      <w:r w:rsidRPr="00EB23A6">
        <w:rPr>
          <w:rFonts w:ascii="Arial Bold" w:eastAsia="Calibri" w:hAnsi="Arial Bold" w:cs="Times New Roman"/>
          <w:b/>
          <w:smallCaps/>
          <w:sz w:val="22"/>
          <w:szCs w:val="22"/>
        </w:rPr>
        <w:t>Complainant</w:t>
      </w:r>
    </w:p>
    <w:p w14:paraId="012A795C" w14:textId="77777777" w:rsidR="00EB23A6" w:rsidRPr="00EB23A6" w:rsidRDefault="00EB23A6" w:rsidP="00EB23A6">
      <w:pPr>
        <w:rPr>
          <w:rFonts w:eastAsia="Calibri" w:cs="Times New Roman"/>
          <w:sz w:val="22"/>
          <w:szCs w:val="22"/>
        </w:rPr>
      </w:pPr>
    </w:p>
    <w:p w14:paraId="557E653C" w14:textId="77777777" w:rsidR="00EB23A6" w:rsidRPr="00EB23A6" w:rsidRDefault="00EB23A6" w:rsidP="00EB23A6">
      <w:pPr>
        <w:rPr>
          <w:rFonts w:eastAsia="Calibri" w:cs="Times New Roman"/>
          <w:sz w:val="22"/>
          <w:szCs w:val="22"/>
        </w:rPr>
      </w:pPr>
    </w:p>
    <w:p w14:paraId="6CFE8C15" w14:textId="77777777" w:rsidR="00EB23A6" w:rsidRPr="00EB23A6" w:rsidRDefault="00EB23A6" w:rsidP="00EB23A6">
      <w:pPr>
        <w:rPr>
          <w:rFonts w:eastAsia="Calibri" w:cs="Times New Roman"/>
          <w:sz w:val="22"/>
          <w:szCs w:val="22"/>
        </w:rPr>
      </w:pPr>
      <w:r w:rsidRPr="00EB23A6">
        <w:rPr>
          <w:rFonts w:eastAsia="Calibri" w:cs="Times New Roman"/>
          <w:sz w:val="22"/>
          <w:szCs w:val="22"/>
        </w:rPr>
        <w:t>M. Howard Petricoff</w:t>
      </w:r>
    </w:p>
    <w:p w14:paraId="7C50EC66" w14:textId="77777777" w:rsidR="00EB23A6" w:rsidRPr="00EB23A6" w:rsidRDefault="00EB23A6" w:rsidP="00EB23A6">
      <w:pPr>
        <w:rPr>
          <w:rFonts w:eastAsia="Calibri" w:cs="Times New Roman"/>
          <w:sz w:val="22"/>
          <w:szCs w:val="22"/>
        </w:rPr>
      </w:pPr>
      <w:r w:rsidRPr="00EB23A6">
        <w:rPr>
          <w:rFonts w:eastAsia="Calibri" w:cs="Times New Roman"/>
          <w:sz w:val="22"/>
          <w:szCs w:val="22"/>
        </w:rPr>
        <w:t>Trial Attorney</w:t>
      </w:r>
    </w:p>
    <w:p w14:paraId="4789FF1D" w14:textId="77777777" w:rsidR="00EB23A6" w:rsidRPr="00EB23A6" w:rsidRDefault="00EB23A6" w:rsidP="00EB23A6">
      <w:pPr>
        <w:rPr>
          <w:rFonts w:eastAsia="Calibri" w:cs="Times New Roman"/>
          <w:sz w:val="22"/>
          <w:szCs w:val="22"/>
        </w:rPr>
      </w:pPr>
      <w:r w:rsidRPr="00EB23A6">
        <w:rPr>
          <w:rFonts w:eastAsia="Calibri" w:cs="Times New Roman"/>
          <w:sz w:val="22"/>
          <w:szCs w:val="22"/>
        </w:rPr>
        <w:t>Vorys, Sater, Seymour and Pease LLP</w:t>
      </w:r>
    </w:p>
    <w:p w14:paraId="140CD155" w14:textId="77777777" w:rsidR="00EB23A6" w:rsidRPr="00EB23A6" w:rsidRDefault="00EB23A6" w:rsidP="00EB23A6">
      <w:pPr>
        <w:rPr>
          <w:rFonts w:eastAsia="Calibri" w:cs="Times New Roman"/>
          <w:sz w:val="22"/>
          <w:szCs w:val="22"/>
        </w:rPr>
      </w:pPr>
      <w:r w:rsidRPr="00EB23A6">
        <w:rPr>
          <w:rFonts w:eastAsia="Calibri" w:cs="Times New Roman"/>
          <w:sz w:val="22"/>
          <w:szCs w:val="22"/>
        </w:rPr>
        <w:t>52 E. Gay Street</w:t>
      </w:r>
    </w:p>
    <w:p w14:paraId="4AC75C88" w14:textId="77777777" w:rsidR="00EB23A6" w:rsidRPr="00EB23A6" w:rsidRDefault="00EB23A6" w:rsidP="00EB23A6">
      <w:pPr>
        <w:rPr>
          <w:rFonts w:eastAsia="Calibri" w:cs="Times New Roman"/>
          <w:sz w:val="22"/>
          <w:szCs w:val="22"/>
        </w:rPr>
      </w:pPr>
      <w:r w:rsidRPr="00EB23A6">
        <w:rPr>
          <w:rFonts w:eastAsia="Calibri" w:cs="Times New Roman"/>
          <w:sz w:val="22"/>
          <w:szCs w:val="22"/>
        </w:rPr>
        <w:t>P.O. Box 1008</w:t>
      </w:r>
    </w:p>
    <w:p w14:paraId="5D359F27" w14:textId="77777777" w:rsidR="00EB23A6" w:rsidRPr="00EB23A6" w:rsidRDefault="00EB23A6" w:rsidP="00EB23A6">
      <w:pPr>
        <w:rPr>
          <w:rFonts w:eastAsia="Calibri" w:cs="Times New Roman"/>
          <w:sz w:val="22"/>
          <w:szCs w:val="22"/>
        </w:rPr>
      </w:pPr>
      <w:r w:rsidRPr="00EB23A6">
        <w:rPr>
          <w:rFonts w:eastAsia="Calibri" w:cs="Times New Roman"/>
          <w:sz w:val="22"/>
          <w:szCs w:val="22"/>
        </w:rPr>
        <w:t>Columbus, OH  43216-1008</w:t>
      </w:r>
    </w:p>
    <w:p w14:paraId="6D277B86" w14:textId="77777777" w:rsidR="00EB23A6" w:rsidRPr="00EB23A6" w:rsidRDefault="00E11479" w:rsidP="00EB23A6">
      <w:pPr>
        <w:rPr>
          <w:rFonts w:eastAsia="Calibri" w:cs="Times New Roman"/>
          <w:sz w:val="22"/>
          <w:szCs w:val="22"/>
        </w:rPr>
      </w:pPr>
      <w:hyperlink r:id="rId21" w:history="1">
        <w:r w:rsidR="00EB23A6" w:rsidRPr="00EB23A6">
          <w:rPr>
            <w:rFonts w:eastAsia="Calibri" w:cs="Times New Roman"/>
            <w:color w:val="0000FF" w:themeColor="hyperlink"/>
            <w:sz w:val="22"/>
            <w:szCs w:val="22"/>
            <w:u w:val="single"/>
          </w:rPr>
          <w:t>mhpetricoff@vorys.com</w:t>
        </w:r>
      </w:hyperlink>
    </w:p>
    <w:p w14:paraId="1EBAB426" w14:textId="77777777" w:rsidR="00EB23A6" w:rsidRPr="00EB23A6" w:rsidRDefault="00EB23A6" w:rsidP="00EB23A6">
      <w:pPr>
        <w:rPr>
          <w:rFonts w:eastAsia="Calibri" w:cs="Times New Roman"/>
          <w:sz w:val="22"/>
          <w:szCs w:val="22"/>
        </w:rPr>
      </w:pPr>
    </w:p>
    <w:p w14:paraId="7B9DE201" w14:textId="77777777" w:rsidR="00EB23A6" w:rsidRPr="00EB23A6" w:rsidRDefault="00EB23A6" w:rsidP="00EB23A6">
      <w:pPr>
        <w:rPr>
          <w:rFonts w:ascii="Arial Bold" w:eastAsia="Calibri" w:hAnsi="Arial Bold" w:cs="Times New Roman"/>
          <w:b/>
          <w:smallCaps/>
          <w:sz w:val="22"/>
          <w:szCs w:val="22"/>
        </w:rPr>
      </w:pPr>
      <w:r w:rsidRPr="00EB23A6">
        <w:rPr>
          <w:rFonts w:ascii="Arial Bold" w:eastAsia="Calibri" w:hAnsi="Arial Bold" w:cs="Times New Roman"/>
          <w:b/>
          <w:smallCaps/>
          <w:sz w:val="22"/>
          <w:szCs w:val="22"/>
        </w:rPr>
        <w:t>On Behalf of Respondent, Nationwide Energy Partners, LLC</w:t>
      </w:r>
    </w:p>
    <w:p w14:paraId="72F43626" w14:textId="77777777" w:rsidR="00EB23A6" w:rsidRPr="00EB23A6" w:rsidRDefault="00EB23A6" w:rsidP="00EB23A6">
      <w:pPr>
        <w:rPr>
          <w:rFonts w:eastAsia="Calibri" w:cs="Times New Roman"/>
          <w:sz w:val="22"/>
          <w:szCs w:val="22"/>
        </w:rPr>
      </w:pPr>
    </w:p>
    <w:p w14:paraId="1DCE3E54" w14:textId="77777777" w:rsidR="00EB23A6" w:rsidRPr="00EB23A6" w:rsidRDefault="00EB23A6" w:rsidP="00EB23A6">
      <w:pPr>
        <w:rPr>
          <w:rFonts w:eastAsia="Calibri" w:cs="Times New Roman"/>
          <w:sz w:val="22"/>
          <w:szCs w:val="22"/>
        </w:rPr>
      </w:pPr>
    </w:p>
    <w:p w14:paraId="0C39CCFF" w14:textId="77777777" w:rsidR="00EB23A6" w:rsidRPr="00EB23A6" w:rsidRDefault="00EB23A6" w:rsidP="00EB23A6">
      <w:pPr>
        <w:rPr>
          <w:rFonts w:eastAsia="Calibri" w:cs="Times New Roman"/>
          <w:sz w:val="22"/>
          <w:szCs w:val="22"/>
        </w:rPr>
      </w:pPr>
      <w:r w:rsidRPr="00EB23A6">
        <w:rPr>
          <w:rFonts w:eastAsia="Calibri" w:cs="Times New Roman"/>
          <w:sz w:val="22"/>
          <w:szCs w:val="22"/>
        </w:rPr>
        <w:t>Bruce J. Weston</w:t>
      </w:r>
    </w:p>
    <w:p w14:paraId="207A1A1F" w14:textId="77777777" w:rsidR="00EB23A6" w:rsidRPr="00EB23A6" w:rsidRDefault="00EB23A6" w:rsidP="00EB23A6">
      <w:pPr>
        <w:rPr>
          <w:rFonts w:eastAsia="Calibri" w:cs="Times New Roman"/>
          <w:sz w:val="22"/>
          <w:szCs w:val="22"/>
        </w:rPr>
      </w:pPr>
      <w:r w:rsidRPr="00EB23A6">
        <w:rPr>
          <w:rFonts w:eastAsia="Calibri" w:cs="Times New Roman"/>
          <w:sz w:val="22"/>
          <w:szCs w:val="22"/>
        </w:rPr>
        <w:t>Ohio Consumers’ Counsel</w:t>
      </w:r>
    </w:p>
    <w:p w14:paraId="0748D5AE" w14:textId="77777777" w:rsidR="00EB23A6" w:rsidRPr="00EB23A6" w:rsidRDefault="00EB23A6" w:rsidP="00EB23A6">
      <w:pPr>
        <w:rPr>
          <w:rFonts w:eastAsia="Calibri" w:cs="Times New Roman"/>
          <w:sz w:val="22"/>
          <w:szCs w:val="22"/>
        </w:rPr>
      </w:pPr>
    </w:p>
    <w:p w14:paraId="103A3374" w14:textId="77777777" w:rsidR="00EB23A6" w:rsidRPr="00EB23A6" w:rsidRDefault="00EB23A6" w:rsidP="00EB23A6">
      <w:pPr>
        <w:rPr>
          <w:rFonts w:eastAsia="Calibri" w:cs="Times New Roman"/>
          <w:sz w:val="22"/>
          <w:szCs w:val="22"/>
        </w:rPr>
      </w:pPr>
      <w:r w:rsidRPr="00EB23A6">
        <w:rPr>
          <w:rFonts w:eastAsia="Calibri" w:cs="Times New Roman"/>
          <w:sz w:val="22"/>
          <w:szCs w:val="22"/>
        </w:rPr>
        <w:br w:type="column"/>
      </w:r>
    </w:p>
    <w:p w14:paraId="23D4A84F" w14:textId="77777777" w:rsidR="00EB23A6" w:rsidRPr="00EB23A6" w:rsidRDefault="00EB23A6" w:rsidP="00EB23A6">
      <w:pPr>
        <w:rPr>
          <w:rFonts w:eastAsia="Calibri" w:cs="Times New Roman"/>
          <w:sz w:val="22"/>
          <w:szCs w:val="22"/>
        </w:rPr>
      </w:pPr>
      <w:r w:rsidRPr="00EB23A6">
        <w:rPr>
          <w:rFonts w:eastAsia="Calibri" w:cs="Times New Roman"/>
          <w:sz w:val="22"/>
          <w:szCs w:val="22"/>
        </w:rPr>
        <w:t>Kyle L. Kern (0084199)</w:t>
      </w:r>
    </w:p>
    <w:p w14:paraId="304996E6" w14:textId="77777777" w:rsidR="00EB23A6" w:rsidRPr="00EB23A6" w:rsidRDefault="00EB23A6" w:rsidP="00EB23A6">
      <w:pPr>
        <w:rPr>
          <w:rFonts w:eastAsia="Calibri" w:cs="Times New Roman"/>
          <w:sz w:val="22"/>
          <w:szCs w:val="22"/>
        </w:rPr>
      </w:pPr>
      <w:r w:rsidRPr="00EB23A6">
        <w:rPr>
          <w:rFonts w:eastAsia="Calibri" w:cs="Times New Roman"/>
          <w:sz w:val="22"/>
          <w:szCs w:val="22"/>
        </w:rPr>
        <w:t>Jodi Bair (0062921)</w:t>
      </w:r>
    </w:p>
    <w:p w14:paraId="122EB1E0" w14:textId="77777777" w:rsidR="00EB23A6" w:rsidRPr="00EB23A6" w:rsidRDefault="00EB23A6" w:rsidP="00EB23A6">
      <w:pPr>
        <w:rPr>
          <w:rFonts w:eastAsia="Calibri" w:cs="Times New Roman"/>
          <w:sz w:val="22"/>
          <w:szCs w:val="22"/>
        </w:rPr>
      </w:pPr>
      <w:r w:rsidRPr="00EB23A6">
        <w:rPr>
          <w:rFonts w:eastAsia="Calibri" w:cs="Times New Roman"/>
          <w:sz w:val="22"/>
          <w:szCs w:val="22"/>
        </w:rPr>
        <w:t>Assistant Consumers’ Counsel</w:t>
      </w:r>
    </w:p>
    <w:p w14:paraId="246A9A52" w14:textId="77777777" w:rsidR="00EB23A6" w:rsidRPr="00EB23A6" w:rsidRDefault="00EB23A6" w:rsidP="00EB23A6">
      <w:pPr>
        <w:rPr>
          <w:rFonts w:eastAsia="Calibri" w:cs="Times New Roman"/>
          <w:sz w:val="22"/>
          <w:szCs w:val="22"/>
        </w:rPr>
      </w:pPr>
      <w:r w:rsidRPr="00EB23A6">
        <w:rPr>
          <w:rFonts w:eastAsia="Calibri" w:cs="Times New Roman"/>
          <w:sz w:val="22"/>
          <w:szCs w:val="22"/>
        </w:rPr>
        <w:t>10 West Broad Street, Suite 1800</w:t>
      </w:r>
    </w:p>
    <w:p w14:paraId="28AEFB41" w14:textId="77777777" w:rsidR="00EB23A6" w:rsidRPr="00EB23A6" w:rsidRDefault="00EB23A6" w:rsidP="00EB23A6">
      <w:pPr>
        <w:rPr>
          <w:rFonts w:eastAsia="Calibri" w:cs="Times New Roman"/>
          <w:sz w:val="22"/>
          <w:szCs w:val="22"/>
        </w:rPr>
      </w:pPr>
      <w:r w:rsidRPr="00EB23A6">
        <w:rPr>
          <w:rFonts w:eastAsia="Calibri" w:cs="Times New Roman"/>
          <w:sz w:val="22"/>
          <w:szCs w:val="22"/>
        </w:rPr>
        <w:t>Columbus, OH  43215-3485</w:t>
      </w:r>
    </w:p>
    <w:p w14:paraId="5BE9C0AE" w14:textId="77777777" w:rsidR="00EB23A6" w:rsidRPr="00EB23A6" w:rsidRDefault="00E11479" w:rsidP="00EB23A6">
      <w:pPr>
        <w:rPr>
          <w:rFonts w:eastAsia="Calibri" w:cs="Times New Roman"/>
        </w:rPr>
      </w:pPr>
      <w:hyperlink r:id="rId22" w:history="1">
        <w:r w:rsidR="00EB23A6" w:rsidRPr="00EB23A6">
          <w:rPr>
            <w:rFonts w:eastAsia="Calibri" w:cs="Times New Roman"/>
            <w:color w:val="0000FF" w:themeColor="hyperlink"/>
            <w:sz w:val="22"/>
            <w:szCs w:val="22"/>
            <w:u w:val="single"/>
          </w:rPr>
          <w:t>Kyle.kern@occ.ohio.gov</w:t>
        </w:r>
      </w:hyperlink>
    </w:p>
    <w:p w14:paraId="3191CBC6" w14:textId="77777777" w:rsidR="00EB23A6" w:rsidRPr="00EB23A6" w:rsidRDefault="00E11479" w:rsidP="00EB23A6">
      <w:pPr>
        <w:rPr>
          <w:rFonts w:eastAsia="Calibri" w:cs="Times New Roman"/>
          <w:sz w:val="22"/>
          <w:szCs w:val="22"/>
        </w:rPr>
      </w:pPr>
      <w:hyperlink r:id="rId23" w:history="1">
        <w:r w:rsidR="00EB23A6" w:rsidRPr="00EB23A6">
          <w:rPr>
            <w:rFonts w:eastAsia="Calibri" w:cs="Times New Roman"/>
            <w:color w:val="0000FF" w:themeColor="hyperlink"/>
            <w:sz w:val="22"/>
            <w:szCs w:val="22"/>
            <w:u w:val="single"/>
          </w:rPr>
          <w:t>Jodi.bair@occ.ohio.gov</w:t>
        </w:r>
      </w:hyperlink>
    </w:p>
    <w:p w14:paraId="4143285F" w14:textId="77777777" w:rsidR="00EB23A6" w:rsidRPr="00EB23A6" w:rsidRDefault="00EB23A6" w:rsidP="00EB23A6">
      <w:pPr>
        <w:rPr>
          <w:rFonts w:eastAsia="Calibri" w:cs="Times New Roman"/>
          <w:sz w:val="22"/>
          <w:szCs w:val="22"/>
        </w:rPr>
      </w:pPr>
    </w:p>
    <w:p w14:paraId="48709C41" w14:textId="77777777" w:rsidR="00EB23A6" w:rsidRPr="00EB23A6" w:rsidRDefault="00EB23A6" w:rsidP="00EB23A6">
      <w:pPr>
        <w:rPr>
          <w:rFonts w:eastAsia="Calibri" w:cs="Times New Roman"/>
          <w:sz w:val="22"/>
          <w:szCs w:val="22"/>
        </w:rPr>
      </w:pPr>
      <w:r w:rsidRPr="00EB23A6">
        <w:rPr>
          <w:rFonts w:eastAsia="Calibri" w:cs="Times New Roman"/>
          <w:sz w:val="22"/>
          <w:szCs w:val="22"/>
        </w:rPr>
        <w:t>Kimberly W. Bojko (0069402)</w:t>
      </w:r>
    </w:p>
    <w:p w14:paraId="232737FE" w14:textId="77777777" w:rsidR="00EB23A6" w:rsidRPr="00EB23A6" w:rsidRDefault="00EB23A6" w:rsidP="00EB23A6">
      <w:pPr>
        <w:rPr>
          <w:rFonts w:eastAsia="Calibri" w:cs="Times New Roman"/>
          <w:sz w:val="22"/>
          <w:szCs w:val="22"/>
        </w:rPr>
      </w:pPr>
      <w:r w:rsidRPr="00EB23A6">
        <w:rPr>
          <w:rFonts w:eastAsia="Calibri" w:cs="Times New Roman"/>
          <w:sz w:val="22"/>
          <w:szCs w:val="22"/>
        </w:rPr>
        <w:t>Carpenter Lipps &amp; Leland LLP</w:t>
      </w:r>
    </w:p>
    <w:p w14:paraId="329BBE9A" w14:textId="77777777" w:rsidR="00EB23A6" w:rsidRPr="00EB23A6" w:rsidRDefault="00EB23A6" w:rsidP="00EB23A6">
      <w:pPr>
        <w:rPr>
          <w:rFonts w:eastAsia="Calibri" w:cs="Times New Roman"/>
          <w:sz w:val="22"/>
          <w:szCs w:val="22"/>
        </w:rPr>
      </w:pPr>
      <w:r w:rsidRPr="00EB23A6">
        <w:rPr>
          <w:rFonts w:eastAsia="Calibri" w:cs="Times New Roman"/>
          <w:sz w:val="22"/>
          <w:szCs w:val="22"/>
        </w:rPr>
        <w:t>280 Plaza, Suite 1300</w:t>
      </w:r>
    </w:p>
    <w:p w14:paraId="1BEBDDAF" w14:textId="77777777" w:rsidR="00EB23A6" w:rsidRPr="00EB23A6" w:rsidRDefault="00EB23A6" w:rsidP="00EB23A6">
      <w:pPr>
        <w:rPr>
          <w:rFonts w:eastAsia="Calibri" w:cs="Times New Roman"/>
          <w:sz w:val="22"/>
          <w:szCs w:val="22"/>
        </w:rPr>
      </w:pPr>
      <w:r w:rsidRPr="00EB23A6">
        <w:rPr>
          <w:rFonts w:eastAsia="Calibri" w:cs="Times New Roman"/>
          <w:sz w:val="22"/>
          <w:szCs w:val="22"/>
        </w:rPr>
        <w:t>280 North High Street</w:t>
      </w:r>
    </w:p>
    <w:p w14:paraId="42A43DD8" w14:textId="77777777" w:rsidR="00EB23A6" w:rsidRPr="00EB23A6" w:rsidRDefault="00EB23A6" w:rsidP="00EB23A6">
      <w:pPr>
        <w:rPr>
          <w:rFonts w:eastAsia="Calibri" w:cs="Times New Roman"/>
          <w:sz w:val="22"/>
          <w:szCs w:val="22"/>
        </w:rPr>
      </w:pPr>
      <w:r w:rsidRPr="00EB23A6">
        <w:rPr>
          <w:rFonts w:eastAsia="Calibri" w:cs="Times New Roman"/>
          <w:sz w:val="22"/>
          <w:szCs w:val="22"/>
        </w:rPr>
        <w:t>Columbus, OH  43215</w:t>
      </w:r>
    </w:p>
    <w:p w14:paraId="31E554F2" w14:textId="77777777" w:rsidR="00EB23A6" w:rsidRPr="00EB23A6" w:rsidRDefault="00E11479" w:rsidP="00EB23A6">
      <w:pPr>
        <w:rPr>
          <w:rFonts w:eastAsia="Calibri" w:cs="Times New Roman"/>
          <w:sz w:val="22"/>
          <w:szCs w:val="22"/>
        </w:rPr>
      </w:pPr>
      <w:hyperlink r:id="rId24" w:history="1">
        <w:r w:rsidR="00EB23A6" w:rsidRPr="00EB23A6">
          <w:rPr>
            <w:rFonts w:eastAsia="Calibri" w:cs="Times New Roman"/>
            <w:color w:val="0000FF" w:themeColor="hyperlink"/>
            <w:sz w:val="22"/>
            <w:szCs w:val="22"/>
            <w:u w:val="single"/>
          </w:rPr>
          <w:t>Bojko@carpenterlipps.com</w:t>
        </w:r>
      </w:hyperlink>
    </w:p>
    <w:p w14:paraId="45F89AB6" w14:textId="77777777" w:rsidR="00EB23A6" w:rsidRPr="00EB23A6" w:rsidRDefault="00EB23A6" w:rsidP="00EB23A6">
      <w:pPr>
        <w:rPr>
          <w:rFonts w:eastAsia="Calibri" w:cs="Times New Roman"/>
          <w:sz w:val="22"/>
          <w:szCs w:val="22"/>
        </w:rPr>
      </w:pPr>
    </w:p>
    <w:p w14:paraId="6D5406F0" w14:textId="77777777" w:rsidR="00EB23A6" w:rsidRPr="00EB23A6" w:rsidRDefault="00EB23A6" w:rsidP="00EB23A6">
      <w:pPr>
        <w:rPr>
          <w:rFonts w:ascii="Arial Bold" w:eastAsia="Calibri" w:hAnsi="Arial Bold" w:cs="Times New Roman"/>
          <w:b/>
          <w:smallCaps/>
          <w:sz w:val="22"/>
          <w:szCs w:val="22"/>
        </w:rPr>
      </w:pPr>
      <w:r w:rsidRPr="00EB23A6">
        <w:rPr>
          <w:rFonts w:ascii="Arial Bold" w:eastAsia="Calibri" w:hAnsi="Arial Bold" w:cs="Times New Roman"/>
          <w:b/>
          <w:smallCaps/>
          <w:sz w:val="22"/>
          <w:szCs w:val="22"/>
        </w:rPr>
        <w:t>On Behalf of the Office of the Ohio Consumers’ Counsel</w:t>
      </w:r>
    </w:p>
    <w:p w14:paraId="4B9B28B0" w14:textId="77777777" w:rsidR="00EB23A6" w:rsidRPr="00EB23A6" w:rsidRDefault="00EB23A6" w:rsidP="00EB23A6">
      <w:pPr>
        <w:rPr>
          <w:rFonts w:eastAsia="Calibri" w:cs="Times New Roman"/>
          <w:sz w:val="22"/>
          <w:szCs w:val="22"/>
        </w:rPr>
      </w:pPr>
    </w:p>
    <w:p w14:paraId="1A74B963" w14:textId="77777777" w:rsidR="00EB23A6" w:rsidRPr="00EB23A6" w:rsidRDefault="00EB23A6" w:rsidP="00EB23A6">
      <w:pPr>
        <w:rPr>
          <w:rFonts w:eastAsia="Calibri" w:cs="Times New Roman"/>
          <w:sz w:val="22"/>
          <w:szCs w:val="22"/>
        </w:rPr>
      </w:pPr>
    </w:p>
    <w:p w14:paraId="0AF8CF74" w14:textId="77777777" w:rsidR="00EB23A6" w:rsidRPr="00EB23A6" w:rsidRDefault="00EB23A6" w:rsidP="00EB23A6">
      <w:pPr>
        <w:rPr>
          <w:rFonts w:eastAsia="Calibri" w:cs="Times New Roman"/>
          <w:sz w:val="22"/>
          <w:szCs w:val="22"/>
        </w:rPr>
      </w:pPr>
      <w:r w:rsidRPr="00EB23A6">
        <w:rPr>
          <w:rFonts w:eastAsia="Calibri" w:cs="Times New Roman"/>
          <w:sz w:val="22"/>
          <w:szCs w:val="22"/>
        </w:rPr>
        <w:t>Colleen L. Mooney (0015668)</w:t>
      </w:r>
    </w:p>
    <w:p w14:paraId="063B495F" w14:textId="77777777" w:rsidR="00EB23A6" w:rsidRPr="00EB23A6" w:rsidRDefault="00EB23A6" w:rsidP="00EB23A6">
      <w:pPr>
        <w:rPr>
          <w:rFonts w:eastAsia="Calibri" w:cs="Times New Roman"/>
          <w:sz w:val="22"/>
          <w:szCs w:val="22"/>
        </w:rPr>
      </w:pPr>
      <w:r w:rsidRPr="00EB23A6">
        <w:rPr>
          <w:rFonts w:eastAsia="Calibri" w:cs="Times New Roman"/>
          <w:sz w:val="22"/>
          <w:szCs w:val="22"/>
        </w:rPr>
        <w:t>Ohio Partners for Affordable Energy</w:t>
      </w:r>
    </w:p>
    <w:p w14:paraId="2B7A65C7" w14:textId="77777777" w:rsidR="00EB23A6" w:rsidRPr="00EB23A6" w:rsidRDefault="00EB23A6" w:rsidP="00EB23A6">
      <w:pPr>
        <w:rPr>
          <w:rFonts w:eastAsia="Calibri" w:cs="Times New Roman"/>
          <w:sz w:val="22"/>
          <w:szCs w:val="22"/>
        </w:rPr>
      </w:pPr>
      <w:r w:rsidRPr="00EB23A6">
        <w:rPr>
          <w:rFonts w:eastAsia="Calibri" w:cs="Times New Roman"/>
          <w:sz w:val="22"/>
          <w:szCs w:val="22"/>
        </w:rPr>
        <w:t>231 West Lima Street</w:t>
      </w:r>
    </w:p>
    <w:p w14:paraId="119F59D7" w14:textId="77777777" w:rsidR="00EB23A6" w:rsidRPr="00EB23A6" w:rsidRDefault="00EB23A6" w:rsidP="00EB23A6">
      <w:pPr>
        <w:rPr>
          <w:rFonts w:eastAsia="Calibri" w:cs="Times New Roman"/>
          <w:sz w:val="22"/>
          <w:szCs w:val="22"/>
        </w:rPr>
      </w:pPr>
      <w:r w:rsidRPr="00EB23A6">
        <w:rPr>
          <w:rFonts w:eastAsia="Calibri" w:cs="Times New Roman"/>
          <w:sz w:val="22"/>
          <w:szCs w:val="22"/>
        </w:rPr>
        <w:t>Findlay, OH  45839-1793</w:t>
      </w:r>
    </w:p>
    <w:p w14:paraId="294638B7" w14:textId="77777777" w:rsidR="00EB23A6" w:rsidRPr="00EB23A6" w:rsidRDefault="00E11479" w:rsidP="00EB23A6">
      <w:pPr>
        <w:rPr>
          <w:rFonts w:eastAsia="Calibri" w:cs="Times New Roman"/>
          <w:sz w:val="22"/>
          <w:szCs w:val="22"/>
        </w:rPr>
      </w:pPr>
      <w:hyperlink r:id="rId25" w:history="1">
        <w:r w:rsidR="00EB23A6" w:rsidRPr="00EB23A6">
          <w:rPr>
            <w:rFonts w:eastAsia="Calibri" w:cs="Times New Roman"/>
            <w:color w:val="0000FF" w:themeColor="hyperlink"/>
            <w:sz w:val="22"/>
            <w:szCs w:val="22"/>
            <w:u w:val="single"/>
          </w:rPr>
          <w:t>cmooney@ohiopartners.org</w:t>
        </w:r>
      </w:hyperlink>
    </w:p>
    <w:p w14:paraId="05FA9362" w14:textId="77777777" w:rsidR="00EB23A6" w:rsidRPr="00EB23A6" w:rsidRDefault="00EB23A6" w:rsidP="00EB23A6">
      <w:pPr>
        <w:rPr>
          <w:rFonts w:eastAsia="Calibri" w:cs="Times New Roman"/>
          <w:sz w:val="22"/>
          <w:szCs w:val="22"/>
        </w:rPr>
      </w:pPr>
    </w:p>
    <w:p w14:paraId="78F4D457" w14:textId="77777777" w:rsidR="00EB23A6" w:rsidRPr="00EB23A6" w:rsidRDefault="00EB23A6" w:rsidP="00EB23A6">
      <w:pPr>
        <w:rPr>
          <w:rFonts w:ascii="Arial Bold" w:eastAsia="Calibri" w:hAnsi="Arial Bold" w:cs="Times New Roman"/>
          <w:b/>
          <w:smallCaps/>
          <w:sz w:val="22"/>
          <w:szCs w:val="22"/>
        </w:rPr>
      </w:pPr>
      <w:r w:rsidRPr="00EB23A6">
        <w:rPr>
          <w:rFonts w:ascii="Arial Bold" w:eastAsia="Calibri" w:hAnsi="Arial Bold" w:cs="Times New Roman"/>
          <w:b/>
          <w:smallCaps/>
          <w:sz w:val="22"/>
          <w:szCs w:val="22"/>
        </w:rPr>
        <w:t>On Behalf of Ohio Partners for Affordable Energy</w:t>
      </w:r>
    </w:p>
    <w:p w14:paraId="63830138" w14:textId="77777777" w:rsidR="00EB23A6" w:rsidRDefault="00EB23A6" w:rsidP="00EB23A6">
      <w:pPr>
        <w:rPr>
          <w:rFonts w:ascii="Arial Bold" w:eastAsia="Calibri" w:hAnsi="Arial Bold" w:cs="Times New Roman"/>
          <w:b/>
          <w:smallCaps/>
          <w:sz w:val="22"/>
          <w:szCs w:val="22"/>
        </w:rPr>
      </w:pPr>
    </w:p>
    <w:p w14:paraId="33D2A5AC" w14:textId="77777777" w:rsidR="00CF1DFA" w:rsidRPr="00EB23A6" w:rsidRDefault="00CF1DFA" w:rsidP="00EB23A6">
      <w:pPr>
        <w:rPr>
          <w:rFonts w:ascii="Arial Bold" w:eastAsia="Calibri" w:hAnsi="Arial Bold" w:cs="Times New Roman"/>
          <w:b/>
          <w:smallCaps/>
          <w:sz w:val="22"/>
          <w:szCs w:val="22"/>
        </w:rPr>
      </w:pPr>
    </w:p>
    <w:p w14:paraId="332A99A4" w14:textId="77777777" w:rsidR="005E059A" w:rsidRDefault="005E059A" w:rsidP="00EB23A6">
      <w:pPr>
        <w:rPr>
          <w:rFonts w:eastAsia="Calibri" w:cs="Times New Roman"/>
          <w:sz w:val="22"/>
          <w:szCs w:val="22"/>
        </w:rPr>
        <w:sectPr w:rsidR="005E059A" w:rsidSect="00CF1DFA">
          <w:type w:val="continuous"/>
          <w:pgSz w:w="12240" w:h="15840" w:code="1"/>
          <w:pgMar w:top="1440" w:right="1440" w:bottom="1440" w:left="1440" w:header="720" w:footer="720" w:gutter="0"/>
          <w:cols w:num="2" w:space="720"/>
          <w:titlePg/>
          <w:docGrid w:linePitch="360"/>
        </w:sectPr>
      </w:pPr>
    </w:p>
    <w:p w14:paraId="04550079" w14:textId="77777777" w:rsidR="00EB23A6" w:rsidRPr="00EB23A6" w:rsidRDefault="00EB23A6" w:rsidP="00EB23A6">
      <w:pPr>
        <w:rPr>
          <w:rFonts w:eastAsia="Calibri" w:cs="Times New Roman"/>
          <w:sz w:val="22"/>
          <w:szCs w:val="22"/>
        </w:rPr>
      </w:pPr>
      <w:r w:rsidRPr="00EB23A6">
        <w:rPr>
          <w:rFonts w:eastAsia="Calibri" w:cs="Times New Roman"/>
          <w:sz w:val="22"/>
          <w:szCs w:val="22"/>
        </w:rPr>
        <w:lastRenderedPageBreak/>
        <w:t>Steven T. Nourse</w:t>
      </w:r>
    </w:p>
    <w:p w14:paraId="4BFFD7E8" w14:textId="77777777" w:rsidR="00EB23A6" w:rsidRPr="00EB23A6" w:rsidRDefault="00EB23A6" w:rsidP="00EB23A6">
      <w:pPr>
        <w:rPr>
          <w:rFonts w:eastAsia="Calibri" w:cs="Times New Roman"/>
          <w:sz w:val="22"/>
          <w:szCs w:val="22"/>
        </w:rPr>
      </w:pPr>
      <w:r w:rsidRPr="00EB23A6">
        <w:rPr>
          <w:rFonts w:eastAsia="Calibri" w:cs="Times New Roman"/>
          <w:sz w:val="22"/>
          <w:szCs w:val="22"/>
        </w:rPr>
        <w:t>Matthew J. Satterwhite</w:t>
      </w:r>
    </w:p>
    <w:p w14:paraId="310AB0BB" w14:textId="77777777" w:rsidR="00EB23A6" w:rsidRPr="00EB23A6" w:rsidRDefault="00EB23A6" w:rsidP="00EB23A6">
      <w:pPr>
        <w:rPr>
          <w:rFonts w:eastAsia="Calibri" w:cs="Times New Roman"/>
          <w:sz w:val="22"/>
          <w:szCs w:val="22"/>
        </w:rPr>
      </w:pPr>
      <w:r w:rsidRPr="00EB23A6">
        <w:rPr>
          <w:rFonts w:eastAsia="Calibri" w:cs="Times New Roman"/>
          <w:sz w:val="22"/>
          <w:szCs w:val="22"/>
        </w:rPr>
        <w:t>Matthew S. McKenzie</w:t>
      </w:r>
    </w:p>
    <w:p w14:paraId="022ABA6C" w14:textId="77777777" w:rsidR="00EB23A6" w:rsidRPr="00EB23A6" w:rsidRDefault="00EB23A6" w:rsidP="00EB23A6">
      <w:pPr>
        <w:rPr>
          <w:rFonts w:eastAsia="Calibri" w:cs="Times New Roman"/>
          <w:sz w:val="22"/>
          <w:szCs w:val="22"/>
        </w:rPr>
      </w:pPr>
      <w:r w:rsidRPr="00EB23A6">
        <w:rPr>
          <w:rFonts w:eastAsia="Calibri" w:cs="Times New Roman"/>
          <w:sz w:val="22"/>
          <w:szCs w:val="22"/>
        </w:rPr>
        <w:t>American Electric Power Service Corporation</w:t>
      </w:r>
    </w:p>
    <w:p w14:paraId="3C3E7576" w14:textId="77777777" w:rsidR="00EB23A6" w:rsidRPr="00EB23A6" w:rsidRDefault="00EB23A6" w:rsidP="00EB23A6">
      <w:pPr>
        <w:rPr>
          <w:rFonts w:eastAsia="Calibri" w:cs="Times New Roman"/>
          <w:sz w:val="22"/>
          <w:szCs w:val="22"/>
        </w:rPr>
      </w:pPr>
      <w:r w:rsidRPr="00EB23A6">
        <w:rPr>
          <w:rFonts w:eastAsia="Calibri" w:cs="Times New Roman"/>
          <w:sz w:val="22"/>
          <w:szCs w:val="22"/>
        </w:rPr>
        <w:t>1 Riverside Plaza, 29</w:t>
      </w:r>
      <w:r w:rsidRPr="00EB23A6">
        <w:rPr>
          <w:rFonts w:eastAsia="Calibri" w:cs="Times New Roman"/>
          <w:sz w:val="22"/>
          <w:szCs w:val="22"/>
          <w:vertAlign w:val="superscript"/>
        </w:rPr>
        <w:t>th</w:t>
      </w:r>
      <w:r w:rsidRPr="00EB23A6">
        <w:rPr>
          <w:rFonts w:eastAsia="Calibri" w:cs="Times New Roman"/>
          <w:sz w:val="22"/>
          <w:szCs w:val="22"/>
        </w:rPr>
        <w:t xml:space="preserve"> Floor</w:t>
      </w:r>
    </w:p>
    <w:p w14:paraId="432CFA80" w14:textId="77777777" w:rsidR="00EB23A6" w:rsidRPr="00EB23A6" w:rsidRDefault="00EB23A6" w:rsidP="00EB23A6">
      <w:pPr>
        <w:rPr>
          <w:rFonts w:eastAsia="Calibri" w:cs="Times New Roman"/>
          <w:sz w:val="22"/>
          <w:szCs w:val="22"/>
        </w:rPr>
      </w:pPr>
      <w:r w:rsidRPr="00EB23A6">
        <w:rPr>
          <w:rFonts w:eastAsia="Calibri" w:cs="Times New Roman"/>
          <w:sz w:val="22"/>
          <w:szCs w:val="22"/>
        </w:rPr>
        <w:t>Columbus, OH  43215</w:t>
      </w:r>
    </w:p>
    <w:p w14:paraId="2F92C7AF" w14:textId="77777777" w:rsidR="00EB23A6" w:rsidRPr="00EB23A6" w:rsidRDefault="00E11479" w:rsidP="00EB23A6">
      <w:pPr>
        <w:rPr>
          <w:rFonts w:eastAsia="Calibri" w:cs="Times New Roman"/>
          <w:sz w:val="22"/>
          <w:szCs w:val="22"/>
        </w:rPr>
      </w:pPr>
      <w:hyperlink r:id="rId26" w:history="1">
        <w:r w:rsidR="00EB23A6" w:rsidRPr="00EB23A6">
          <w:rPr>
            <w:rFonts w:eastAsia="Calibri" w:cs="Times New Roman"/>
            <w:color w:val="0000FF" w:themeColor="hyperlink"/>
            <w:sz w:val="22"/>
            <w:szCs w:val="22"/>
            <w:u w:val="single"/>
          </w:rPr>
          <w:t>stnourse@aep.com</w:t>
        </w:r>
      </w:hyperlink>
    </w:p>
    <w:p w14:paraId="2D034D7B" w14:textId="77777777" w:rsidR="00EB23A6" w:rsidRPr="00EB23A6" w:rsidRDefault="00E11479" w:rsidP="00EB23A6">
      <w:pPr>
        <w:rPr>
          <w:rFonts w:eastAsia="Calibri" w:cs="Times New Roman"/>
          <w:sz w:val="22"/>
          <w:szCs w:val="22"/>
        </w:rPr>
      </w:pPr>
      <w:hyperlink r:id="rId27" w:history="1">
        <w:r w:rsidR="00EB23A6" w:rsidRPr="00EB23A6">
          <w:rPr>
            <w:rFonts w:eastAsia="Calibri" w:cs="Times New Roman"/>
            <w:color w:val="0000FF" w:themeColor="hyperlink"/>
            <w:sz w:val="22"/>
            <w:szCs w:val="22"/>
            <w:u w:val="single"/>
          </w:rPr>
          <w:t>mjsatterwhite@aep.com</w:t>
        </w:r>
      </w:hyperlink>
    </w:p>
    <w:p w14:paraId="72C03768" w14:textId="77777777" w:rsidR="00EB23A6" w:rsidRPr="00EB23A6" w:rsidRDefault="00E11479" w:rsidP="00EB23A6">
      <w:pPr>
        <w:rPr>
          <w:rFonts w:eastAsia="Calibri" w:cs="Times New Roman"/>
          <w:sz w:val="22"/>
          <w:szCs w:val="22"/>
        </w:rPr>
      </w:pPr>
      <w:hyperlink r:id="rId28" w:history="1">
        <w:r w:rsidR="00EB23A6" w:rsidRPr="00EB23A6">
          <w:rPr>
            <w:rFonts w:eastAsia="Calibri" w:cs="Times New Roman"/>
            <w:color w:val="0000FF" w:themeColor="hyperlink"/>
            <w:sz w:val="22"/>
            <w:szCs w:val="22"/>
            <w:u w:val="single"/>
          </w:rPr>
          <w:t>msmckenzie@aep.com</w:t>
        </w:r>
      </w:hyperlink>
    </w:p>
    <w:p w14:paraId="531A74CF" w14:textId="77777777" w:rsidR="00EB23A6" w:rsidRPr="00EB23A6" w:rsidRDefault="00EB23A6" w:rsidP="00EB23A6">
      <w:pPr>
        <w:rPr>
          <w:rFonts w:eastAsia="Calibri" w:cs="Times New Roman"/>
          <w:sz w:val="22"/>
          <w:szCs w:val="22"/>
        </w:rPr>
      </w:pPr>
    </w:p>
    <w:p w14:paraId="390015EC" w14:textId="77777777" w:rsidR="00EB23A6" w:rsidRPr="00EB23A6" w:rsidRDefault="00EB23A6" w:rsidP="00EB23A6">
      <w:pPr>
        <w:rPr>
          <w:rFonts w:ascii="Arial Bold" w:eastAsia="Calibri" w:hAnsi="Arial Bold" w:cs="Times New Roman"/>
          <w:b/>
          <w:smallCaps/>
          <w:sz w:val="22"/>
          <w:szCs w:val="22"/>
        </w:rPr>
      </w:pPr>
      <w:r w:rsidRPr="00EB23A6">
        <w:rPr>
          <w:rFonts w:ascii="Arial Bold" w:eastAsia="Calibri" w:hAnsi="Arial Bold" w:cs="Times New Roman"/>
          <w:b/>
          <w:smallCaps/>
          <w:sz w:val="22"/>
          <w:szCs w:val="22"/>
        </w:rPr>
        <w:t>On Behalf of Ohio Power Company</w:t>
      </w:r>
    </w:p>
    <w:p w14:paraId="5355C7B7" w14:textId="77777777" w:rsidR="00EB23A6" w:rsidRPr="00EB23A6" w:rsidRDefault="00EB23A6" w:rsidP="00EB23A6">
      <w:pPr>
        <w:rPr>
          <w:rFonts w:eastAsia="Calibri" w:cs="Times New Roman"/>
          <w:sz w:val="22"/>
          <w:szCs w:val="22"/>
        </w:rPr>
      </w:pPr>
    </w:p>
    <w:p w14:paraId="1CDB8E2D" w14:textId="77777777" w:rsidR="00EB23A6" w:rsidRPr="00EB23A6" w:rsidRDefault="00EB23A6" w:rsidP="00EB23A6">
      <w:pPr>
        <w:rPr>
          <w:rFonts w:eastAsia="Calibri" w:cs="Times New Roman"/>
          <w:sz w:val="22"/>
          <w:szCs w:val="22"/>
        </w:rPr>
      </w:pPr>
    </w:p>
    <w:p w14:paraId="2DEA0DE5"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Glenn S. Krassen</w:t>
      </w:r>
    </w:p>
    <w:p w14:paraId="0723D0DA"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BRICKER &amp; ECKLER LLP</w:t>
      </w:r>
    </w:p>
    <w:p w14:paraId="040FF9B1"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1001 Lakeside Avenue East, Suite 1350</w:t>
      </w:r>
    </w:p>
    <w:p w14:paraId="73EA9B24"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Cleveland, Ohio 44114</w:t>
      </w:r>
    </w:p>
    <w:p w14:paraId="0A4EBBDA" w14:textId="77777777" w:rsidR="00EB23A6" w:rsidRPr="00EB23A6" w:rsidRDefault="00EB23A6" w:rsidP="00EB23A6">
      <w:pPr>
        <w:autoSpaceDE w:val="0"/>
        <w:autoSpaceDN w:val="0"/>
        <w:adjustRightInd w:val="0"/>
        <w:rPr>
          <w:rFonts w:cs="Arial"/>
          <w:color w:val="0000FF"/>
          <w:sz w:val="22"/>
          <w:szCs w:val="22"/>
        </w:rPr>
      </w:pPr>
      <w:r w:rsidRPr="00EB23A6">
        <w:rPr>
          <w:rFonts w:cs="Arial"/>
          <w:color w:val="0000FF"/>
          <w:sz w:val="22"/>
          <w:szCs w:val="22"/>
        </w:rPr>
        <w:t>gkrassen@bricker.com</w:t>
      </w:r>
    </w:p>
    <w:p w14:paraId="098952C5" w14:textId="77777777" w:rsidR="00EB23A6" w:rsidRPr="00EB23A6" w:rsidRDefault="00EB23A6" w:rsidP="00EB23A6">
      <w:pPr>
        <w:autoSpaceDE w:val="0"/>
        <w:autoSpaceDN w:val="0"/>
        <w:adjustRightInd w:val="0"/>
        <w:rPr>
          <w:rFonts w:cs="Arial"/>
          <w:color w:val="000000"/>
          <w:sz w:val="22"/>
          <w:szCs w:val="22"/>
        </w:rPr>
      </w:pPr>
    </w:p>
    <w:p w14:paraId="7439085C"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Dane Stinson</w:t>
      </w:r>
    </w:p>
    <w:p w14:paraId="4B02A57C"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Dylan Borchers</w:t>
      </w:r>
    </w:p>
    <w:p w14:paraId="3F936DD3"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BRICKER &amp; ECKLER LLP</w:t>
      </w:r>
    </w:p>
    <w:p w14:paraId="15E90116"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100 South Third Street</w:t>
      </w:r>
    </w:p>
    <w:p w14:paraId="26DB5CC5" w14:textId="77777777" w:rsidR="00EB23A6" w:rsidRPr="00EB23A6" w:rsidRDefault="00EB23A6" w:rsidP="00EB23A6">
      <w:pPr>
        <w:autoSpaceDE w:val="0"/>
        <w:autoSpaceDN w:val="0"/>
        <w:adjustRightInd w:val="0"/>
        <w:rPr>
          <w:rFonts w:cs="Arial"/>
          <w:color w:val="000000"/>
          <w:sz w:val="22"/>
          <w:szCs w:val="22"/>
        </w:rPr>
      </w:pPr>
      <w:r w:rsidRPr="00EB23A6">
        <w:rPr>
          <w:rFonts w:cs="Arial"/>
          <w:color w:val="000000"/>
          <w:sz w:val="22"/>
          <w:szCs w:val="22"/>
        </w:rPr>
        <w:t>Columbus, Ohio 43215</w:t>
      </w:r>
    </w:p>
    <w:p w14:paraId="4882B8C0" w14:textId="77777777" w:rsidR="00EB23A6" w:rsidRPr="00EB23A6" w:rsidRDefault="00EB23A6" w:rsidP="00EB23A6">
      <w:pPr>
        <w:autoSpaceDE w:val="0"/>
        <w:autoSpaceDN w:val="0"/>
        <w:adjustRightInd w:val="0"/>
        <w:rPr>
          <w:rFonts w:cs="Arial"/>
          <w:color w:val="0000FF"/>
          <w:sz w:val="22"/>
          <w:szCs w:val="22"/>
        </w:rPr>
      </w:pPr>
      <w:r w:rsidRPr="00EB23A6">
        <w:rPr>
          <w:rFonts w:cs="Arial"/>
          <w:color w:val="0000FF"/>
          <w:sz w:val="22"/>
          <w:szCs w:val="22"/>
        </w:rPr>
        <w:t>dstinson@bricker.com</w:t>
      </w:r>
    </w:p>
    <w:p w14:paraId="59F666A7" w14:textId="77777777" w:rsidR="00EB23A6" w:rsidRPr="00EB23A6" w:rsidRDefault="00E11479" w:rsidP="00EB23A6">
      <w:pPr>
        <w:autoSpaceDE w:val="0"/>
        <w:autoSpaceDN w:val="0"/>
        <w:adjustRightInd w:val="0"/>
        <w:rPr>
          <w:rFonts w:cs="Arial"/>
          <w:color w:val="000000"/>
          <w:sz w:val="22"/>
          <w:szCs w:val="22"/>
        </w:rPr>
      </w:pPr>
      <w:hyperlink r:id="rId29" w:history="1">
        <w:r w:rsidR="00EB23A6" w:rsidRPr="00EB23A6">
          <w:rPr>
            <w:rFonts w:cs="Arial"/>
            <w:color w:val="0000FF" w:themeColor="hyperlink"/>
            <w:sz w:val="22"/>
            <w:szCs w:val="22"/>
            <w:u w:val="single"/>
          </w:rPr>
          <w:t>dborchers@bricker.com</w:t>
        </w:r>
      </w:hyperlink>
    </w:p>
    <w:p w14:paraId="5CCD0AC1" w14:textId="77777777" w:rsidR="00EB23A6" w:rsidRPr="00EB23A6" w:rsidRDefault="00EB23A6" w:rsidP="00EB23A6">
      <w:pPr>
        <w:autoSpaceDE w:val="0"/>
        <w:autoSpaceDN w:val="0"/>
        <w:adjustRightInd w:val="0"/>
        <w:rPr>
          <w:rFonts w:cs="Arial"/>
          <w:color w:val="000000"/>
          <w:sz w:val="22"/>
          <w:szCs w:val="22"/>
        </w:rPr>
      </w:pPr>
    </w:p>
    <w:p w14:paraId="41227225" w14:textId="77777777" w:rsidR="00EB23A6" w:rsidRPr="00EB23A6" w:rsidRDefault="00EB23A6" w:rsidP="00EB23A6">
      <w:pPr>
        <w:autoSpaceDE w:val="0"/>
        <w:autoSpaceDN w:val="0"/>
        <w:adjustRightInd w:val="0"/>
        <w:rPr>
          <w:rFonts w:ascii="Arial Bold" w:hAnsi="Arial Bold" w:cs="Arial"/>
          <w:b/>
          <w:smallCaps/>
          <w:color w:val="000000"/>
          <w:sz w:val="22"/>
          <w:szCs w:val="22"/>
        </w:rPr>
      </w:pPr>
      <w:r w:rsidRPr="00EB23A6">
        <w:rPr>
          <w:rFonts w:ascii="Arial Bold" w:hAnsi="Arial Bold" w:cs="Arial"/>
          <w:b/>
          <w:smallCaps/>
          <w:color w:val="000000"/>
          <w:sz w:val="22"/>
          <w:szCs w:val="22"/>
        </w:rPr>
        <w:t>Attorneys for Building Owners and Managers</w:t>
      </w:r>
    </w:p>
    <w:p w14:paraId="6181BBB9" w14:textId="77777777" w:rsidR="00EB23A6" w:rsidRPr="00EB23A6" w:rsidRDefault="00EB23A6" w:rsidP="00EB23A6">
      <w:pPr>
        <w:rPr>
          <w:rFonts w:ascii="Arial Bold" w:hAnsi="Arial Bold" w:cs="Arial"/>
          <w:b/>
          <w:smallCaps/>
          <w:color w:val="000000"/>
          <w:sz w:val="22"/>
          <w:szCs w:val="22"/>
        </w:rPr>
      </w:pPr>
      <w:r w:rsidRPr="00EB23A6">
        <w:rPr>
          <w:rFonts w:ascii="Arial Bold" w:hAnsi="Arial Bold" w:cs="Arial"/>
          <w:b/>
          <w:smallCaps/>
          <w:color w:val="000000"/>
          <w:sz w:val="22"/>
          <w:szCs w:val="22"/>
        </w:rPr>
        <w:t>Association of Greater Cleveland</w:t>
      </w:r>
    </w:p>
    <w:p w14:paraId="490B9095" w14:textId="77777777" w:rsidR="00EB23A6" w:rsidRPr="00EB23A6" w:rsidRDefault="00EB23A6" w:rsidP="00EB23A6">
      <w:pPr>
        <w:rPr>
          <w:rFonts w:cs="Arial"/>
          <w:color w:val="000000"/>
          <w:sz w:val="22"/>
          <w:szCs w:val="22"/>
        </w:rPr>
      </w:pPr>
    </w:p>
    <w:p w14:paraId="5BB67EF1" w14:textId="77777777" w:rsidR="00EB23A6" w:rsidRPr="00EB23A6" w:rsidRDefault="00EB23A6" w:rsidP="00EB23A6">
      <w:pPr>
        <w:rPr>
          <w:rFonts w:cs="Arial"/>
          <w:color w:val="000000"/>
          <w:sz w:val="22"/>
          <w:szCs w:val="22"/>
        </w:rPr>
      </w:pPr>
    </w:p>
    <w:p w14:paraId="0330C317"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Steven D. Lesser (0020242)</w:t>
      </w:r>
    </w:p>
    <w:p w14:paraId="00B8ED2D"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Maryellen K. Corbett (0080228)</w:t>
      </w:r>
    </w:p>
    <w:p w14:paraId="516F8415"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CALFEE, HALTER &amp; GRISWOLD LLP</w:t>
      </w:r>
    </w:p>
    <w:p w14:paraId="3E2AF4F6"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1200 Huntington Center</w:t>
      </w:r>
    </w:p>
    <w:p w14:paraId="11045836"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41 South High Street</w:t>
      </w:r>
    </w:p>
    <w:p w14:paraId="6EB8D719"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Columbus, OH 43215</w:t>
      </w:r>
    </w:p>
    <w:p w14:paraId="4420BEDC" w14:textId="77777777" w:rsidR="00EB23A6" w:rsidRPr="00EB23A6" w:rsidRDefault="00E11479" w:rsidP="00EB23A6">
      <w:pPr>
        <w:autoSpaceDE w:val="0"/>
        <w:autoSpaceDN w:val="0"/>
        <w:adjustRightInd w:val="0"/>
        <w:rPr>
          <w:rFonts w:cs="Arial"/>
          <w:sz w:val="22"/>
          <w:szCs w:val="22"/>
        </w:rPr>
      </w:pPr>
      <w:hyperlink r:id="rId30" w:history="1">
        <w:r w:rsidR="00EB23A6" w:rsidRPr="00EB23A6">
          <w:rPr>
            <w:rFonts w:cs="Arial"/>
            <w:color w:val="0000FF" w:themeColor="hyperlink"/>
            <w:sz w:val="22"/>
            <w:szCs w:val="22"/>
            <w:u w:val="single"/>
          </w:rPr>
          <w:t>slesser@calfee.com</w:t>
        </w:r>
      </w:hyperlink>
    </w:p>
    <w:p w14:paraId="3746E39A" w14:textId="77777777" w:rsidR="00EB23A6" w:rsidRPr="00EB23A6" w:rsidRDefault="00E11479" w:rsidP="00EB23A6">
      <w:pPr>
        <w:autoSpaceDE w:val="0"/>
        <w:autoSpaceDN w:val="0"/>
        <w:adjustRightInd w:val="0"/>
        <w:rPr>
          <w:rFonts w:cs="Arial"/>
          <w:sz w:val="22"/>
          <w:szCs w:val="22"/>
        </w:rPr>
      </w:pPr>
      <w:hyperlink r:id="rId31" w:history="1">
        <w:r w:rsidR="00EB23A6" w:rsidRPr="00EB23A6">
          <w:rPr>
            <w:rFonts w:cs="Arial"/>
            <w:color w:val="0000FF" w:themeColor="hyperlink"/>
            <w:sz w:val="22"/>
            <w:szCs w:val="22"/>
            <w:u w:val="single"/>
          </w:rPr>
          <w:t>mcorbett@calfee.com</w:t>
        </w:r>
      </w:hyperlink>
    </w:p>
    <w:p w14:paraId="35965114" w14:textId="77777777" w:rsidR="00EB23A6" w:rsidRPr="00EB23A6" w:rsidRDefault="00EB23A6" w:rsidP="00EB23A6">
      <w:pPr>
        <w:autoSpaceDE w:val="0"/>
        <w:autoSpaceDN w:val="0"/>
        <w:adjustRightInd w:val="0"/>
        <w:rPr>
          <w:rFonts w:cs="Arial"/>
          <w:i/>
          <w:iCs/>
          <w:sz w:val="22"/>
          <w:szCs w:val="22"/>
        </w:rPr>
      </w:pPr>
    </w:p>
    <w:p w14:paraId="62B146B4" w14:textId="77777777" w:rsidR="00EB23A6" w:rsidRPr="00EB23A6" w:rsidRDefault="00EB23A6" w:rsidP="00EB23A6">
      <w:pPr>
        <w:autoSpaceDE w:val="0"/>
        <w:autoSpaceDN w:val="0"/>
        <w:adjustRightInd w:val="0"/>
        <w:rPr>
          <w:rFonts w:cs="Arial"/>
          <w:b/>
          <w:iCs/>
          <w:smallCaps/>
          <w:sz w:val="22"/>
          <w:szCs w:val="22"/>
        </w:rPr>
      </w:pPr>
      <w:r w:rsidRPr="00EB23A6">
        <w:rPr>
          <w:rFonts w:cs="Arial"/>
          <w:b/>
          <w:iCs/>
          <w:smallCaps/>
          <w:sz w:val="22"/>
          <w:szCs w:val="22"/>
        </w:rPr>
        <w:t>Attorneys for the Ohio Apartment Association and the International Council of Shopping Centers</w:t>
      </w:r>
    </w:p>
    <w:p w14:paraId="45F24A72" w14:textId="77777777" w:rsidR="00EB23A6" w:rsidRPr="00EB23A6" w:rsidRDefault="00EB23A6" w:rsidP="00EB23A6">
      <w:pPr>
        <w:autoSpaceDE w:val="0"/>
        <w:autoSpaceDN w:val="0"/>
        <w:adjustRightInd w:val="0"/>
        <w:rPr>
          <w:rFonts w:cs="Arial"/>
          <w:b/>
          <w:iCs/>
          <w:smallCaps/>
          <w:sz w:val="22"/>
          <w:szCs w:val="22"/>
        </w:rPr>
      </w:pPr>
    </w:p>
    <w:p w14:paraId="7B1ED632" w14:textId="77777777" w:rsidR="00EB23A6" w:rsidRPr="00EB23A6" w:rsidRDefault="00EB23A6" w:rsidP="00EB23A6">
      <w:pPr>
        <w:rPr>
          <w:rFonts w:cs="Arial"/>
          <w:b/>
          <w:iCs/>
          <w:smallCaps/>
          <w:sz w:val="22"/>
          <w:szCs w:val="22"/>
        </w:rPr>
      </w:pPr>
    </w:p>
    <w:p w14:paraId="690C33BF"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br w:type="column"/>
      </w:r>
      <w:r w:rsidRPr="00EB23A6">
        <w:rPr>
          <w:rFonts w:cs="Arial"/>
          <w:sz w:val="22"/>
          <w:szCs w:val="22"/>
        </w:rPr>
        <w:lastRenderedPageBreak/>
        <w:t>Randall V. Griffin (0080499)</w:t>
      </w:r>
    </w:p>
    <w:p w14:paraId="142A22B2"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Dayton Power and Light Company</w:t>
      </w:r>
    </w:p>
    <w:p w14:paraId="2F81C741"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1065 Woodman Drive</w:t>
      </w:r>
    </w:p>
    <w:p w14:paraId="20C5D21F" w14:textId="77777777" w:rsidR="00EB23A6" w:rsidRPr="00EB23A6" w:rsidRDefault="00EB23A6" w:rsidP="00EB23A6">
      <w:pPr>
        <w:autoSpaceDE w:val="0"/>
        <w:autoSpaceDN w:val="0"/>
        <w:adjustRightInd w:val="0"/>
        <w:rPr>
          <w:rFonts w:cs="Arial"/>
          <w:sz w:val="22"/>
          <w:szCs w:val="22"/>
        </w:rPr>
      </w:pPr>
      <w:r w:rsidRPr="00EB23A6">
        <w:rPr>
          <w:rFonts w:cs="Arial"/>
          <w:sz w:val="22"/>
          <w:szCs w:val="22"/>
        </w:rPr>
        <w:t>Dayton, OH 45432</w:t>
      </w:r>
    </w:p>
    <w:p w14:paraId="601AAA01" w14:textId="77777777" w:rsidR="00EB23A6" w:rsidRPr="00EB23A6" w:rsidRDefault="00E11479" w:rsidP="00EB23A6">
      <w:pPr>
        <w:autoSpaceDE w:val="0"/>
        <w:autoSpaceDN w:val="0"/>
        <w:adjustRightInd w:val="0"/>
        <w:rPr>
          <w:rFonts w:cs="Arial"/>
          <w:sz w:val="22"/>
          <w:szCs w:val="22"/>
        </w:rPr>
      </w:pPr>
      <w:hyperlink r:id="rId32" w:history="1">
        <w:r w:rsidR="00EB23A6" w:rsidRPr="00EB23A6">
          <w:rPr>
            <w:rFonts w:cs="Arial"/>
            <w:color w:val="0000FF" w:themeColor="hyperlink"/>
            <w:sz w:val="22"/>
            <w:szCs w:val="22"/>
            <w:u w:val="single"/>
          </w:rPr>
          <w:t>Randall.Griffin@aes.com</w:t>
        </w:r>
      </w:hyperlink>
    </w:p>
    <w:p w14:paraId="79F8D1C9" w14:textId="77777777" w:rsidR="00EB23A6" w:rsidRPr="00EB23A6" w:rsidRDefault="00EB23A6" w:rsidP="00EB23A6">
      <w:pPr>
        <w:autoSpaceDE w:val="0"/>
        <w:autoSpaceDN w:val="0"/>
        <w:adjustRightInd w:val="0"/>
        <w:rPr>
          <w:rFonts w:cs="Arial"/>
          <w:sz w:val="22"/>
          <w:szCs w:val="22"/>
        </w:rPr>
      </w:pPr>
    </w:p>
    <w:p w14:paraId="5994FBA9" w14:textId="77777777" w:rsidR="00EB23A6" w:rsidRPr="00EB23A6" w:rsidRDefault="00EB23A6" w:rsidP="00EB23A6">
      <w:pPr>
        <w:rPr>
          <w:rFonts w:ascii="Arial Bold" w:eastAsia="Calibri" w:hAnsi="Arial Bold" w:cs="Arial"/>
          <w:b/>
          <w:smallCaps/>
          <w:sz w:val="22"/>
          <w:szCs w:val="22"/>
        </w:rPr>
      </w:pPr>
      <w:r w:rsidRPr="00EB23A6">
        <w:rPr>
          <w:rFonts w:ascii="Arial Bold" w:eastAsia="Calibri" w:hAnsi="Arial Bold" w:cs="Arial"/>
          <w:b/>
          <w:smallCaps/>
          <w:sz w:val="22"/>
          <w:szCs w:val="22"/>
        </w:rPr>
        <w:t>On Behalf Of The Dayton Power and Light Company</w:t>
      </w:r>
    </w:p>
    <w:p w14:paraId="4387751C" w14:textId="77777777" w:rsidR="00EB23A6" w:rsidRPr="00EB23A6" w:rsidRDefault="00EB23A6" w:rsidP="00EB23A6">
      <w:pPr>
        <w:rPr>
          <w:rFonts w:ascii="Arial Bold" w:eastAsia="Calibri" w:hAnsi="Arial Bold" w:cs="Arial"/>
          <w:b/>
          <w:smallCaps/>
          <w:sz w:val="22"/>
          <w:szCs w:val="22"/>
        </w:rPr>
      </w:pPr>
    </w:p>
    <w:p w14:paraId="3EA49088" w14:textId="77777777" w:rsidR="00EB23A6" w:rsidRPr="00EB23A6" w:rsidRDefault="00EB23A6" w:rsidP="00EB23A6">
      <w:pPr>
        <w:rPr>
          <w:rFonts w:ascii="Arial Bold" w:eastAsia="Calibri" w:hAnsi="Arial Bold" w:cs="Arial"/>
          <w:b/>
          <w:smallCaps/>
          <w:sz w:val="22"/>
          <w:szCs w:val="22"/>
        </w:rPr>
      </w:pPr>
    </w:p>
    <w:p w14:paraId="4A4997AF" w14:textId="77777777" w:rsidR="00EB23A6" w:rsidRPr="00EB23A6" w:rsidRDefault="00EB23A6" w:rsidP="00EB23A6">
      <w:pPr>
        <w:rPr>
          <w:rFonts w:eastAsia="Calibri" w:cs="Arial"/>
          <w:sz w:val="22"/>
          <w:szCs w:val="22"/>
        </w:rPr>
      </w:pPr>
      <w:r w:rsidRPr="00EB23A6">
        <w:rPr>
          <w:rFonts w:eastAsia="Calibri" w:cs="Arial"/>
          <w:sz w:val="22"/>
          <w:szCs w:val="22"/>
        </w:rPr>
        <w:t>William Wright</w:t>
      </w:r>
    </w:p>
    <w:p w14:paraId="044CEC18" w14:textId="77777777" w:rsidR="00EB23A6" w:rsidRPr="00EB23A6" w:rsidRDefault="00EB23A6" w:rsidP="00EB23A6">
      <w:pPr>
        <w:rPr>
          <w:rFonts w:eastAsia="Calibri" w:cs="Arial"/>
          <w:sz w:val="22"/>
          <w:szCs w:val="22"/>
        </w:rPr>
      </w:pPr>
      <w:r w:rsidRPr="00EB23A6">
        <w:rPr>
          <w:rFonts w:eastAsia="Calibri" w:cs="Arial"/>
          <w:sz w:val="22"/>
          <w:szCs w:val="22"/>
        </w:rPr>
        <w:t>Attorney General’s Office</w:t>
      </w:r>
    </w:p>
    <w:p w14:paraId="160A0E31" w14:textId="77777777" w:rsidR="00EB23A6" w:rsidRPr="00EB23A6" w:rsidRDefault="00EB23A6" w:rsidP="00EB23A6">
      <w:pPr>
        <w:rPr>
          <w:rFonts w:eastAsia="Calibri" w:cs="Arial"/>
          <w:sz w:val="22"/>
          <w:szCs w:val="22"/>
        </w:rPr>
      </w:pPr>
      <w:r w:rsidRPr="00EB23A6">
        <w:rPr>
          <w:rFonts w:eastAsia="Calibri" w:cs="Arial"/>
          <w:sz w:val="22"/>
          <w:szCs w:val="22"/>
        </w:rPr>
        <w:t>Public Utilities Commission of Ohio</w:t>
      </w:r>
    </w:p>
    <w:p w14:paraId="1ACF2D7E" w14:textId="77777777" w:rsidR="00EB23A6" w:rsidRPr="00EB23A6" w:rsidRDefault="00EB23A6" w:rsidP="00EB23A6">
      <w:pPr>
        <w:rPr>
          <w:rFonts w:eastAsia="Calibri" w:cs="Arial"/>
          <w:sz w:val="22"/>
          <w:szCs w:val="22"/>
        </w:rPr>
      </w:pPr>
      <w:r w:rsidRPr="00EB23A6">
        <w:rPr>
          <w:rFonts w:eastAsia="Calibri" w:cs="Arial"/>
          <w:sz w:val="22"/>
          <w:szCs w:val="22"/>
        </w:rPr>
        <w:t>180 E. Broad St., 6</w:t>
      </w:r>
      <w:r w:rsidRPr="00EB23A6">
        <w:rPr>
          <w:rFonts w:eastAsia="Calibri" w:cs="Arial"/>
          <w:sz w:val="22"/>
          <w:szCs w:val="22"/>
          <w:vertAlign w:val="superscript"/>
        </w:rPr>
        <w:t>th</w:t>
      </w:r>
      <w:r w:rsidRPr="00EB23A6">
        <w:rPr>
          <w:rFonts w:eastAsia="Calibri" w:cs="Arial"/>
          <w:sz w:val="22"/>
          <w:szCs w:val="22"/>
        </w:rPr>
        <w:t xml:space="preserve"> Floor</w:t>
      </w:r>
    </w:p>
    <w:p w14:paraId="1910FD63" w14:textId="77777777" w:rsidR="00EB23A6" w:rsidRPr="00EB23A6" w:rsidRDefault="00EB23A6" w:rsidP="00EB23A6">
      <w:pPr>
        <w:rPr>
          <w:rFonts w:eastAsia="Calibri" w:cs="Arial"/>
          <w:sz w:val="22"/>
          <w:szCs w:val="22"/>
        </w:rPr>
      </w:pPr>
      <w:r w:rsidRPr="00EB23A6">
        <w:rPr>
          <w:rFonts w:eastAsia="Calibri" w:cs="Arial"/>
          <w:sz w:val="22"/>
          <w:szCs w:val="22"/>
        </w:rPr>
        <w:t>Columbus, OH  43215</w:t>
      </w:r>
    </w:p>
    <w:p w14:paraId="3BD584CC" w14:textId="77777777" w:rsidR="00EB23A6" w:rsidRPr="00EB23A6" w:rsidRDefault="00E11479" w:rsidP="00EB23A6">
      <w:pPr>
        <w:rPr>
          <w:rFonts w:ascii="Arial Bold" w:eastAsia="Calibri" w:hAnsi="Arial Bold" w:cs="Times New Roman"/>
          <w:b/>
          <w:sz w:val="22"/>
          <w:szCs w:val="22"/>
        </w:rPr>
      </w:pPr>
      <w:hyperlink r:id="rId33" w:history="1">
        <w:r w:rsidR="00EB23A6" w:rsidRPr="00EB23A6">
          <w:rPr>
            <w:rFonts w:eastAsia="Calibri" w:cs="Arial"/>
            <w:color w:val="0000FF" w:themeColor="hyperlink"/>
            <w:sz w:val="22"/>
            <w:szCs w:val="22"/>
            <w:u w:val="single"/>
          </w:rPr>
          <w:t>William.wright@puc.state.oh.us</w:t>
        </w:r>
      </w:hyperlink>
    </w:p>
    <w:p w14:paraId="09546B0B" w14:textId="77777777" w:rsidR="00EB23A6" w:rsidRPr="00EB23A6" w:rsidRDefault="00EB23A6" w:rsidP="00EB23A6">
      <w:pPr>
        <w:rPr>
          <w:rFonts w:eastAsia="Calibri" w:cs="Times New Roman"/>
          <w:b/>
          <w:smallCaps/>
          <w:sz w:val="22"/>
          <w:szCs w:val="22"/>
        </w:rPr>
      </w:pPr>
    </w:p>
    <w:p w14:paraId="069B2BD0" w14:textId="77777777" w:rsidR="00EB23A6" w:rsidRPr="00EB23A6" w:rsidRDefault="00EB23A6" w:rsidP="00EB23A6">
      <w:pPr>
        <w:rPr>
          <w:rFonts w:ascii="Arial Bold" w:eastAsia="Calibri" w:hAnsi="Arial Bold" w:cs="Times New Roman"/>
          <w:b/>
          <w:smallCaps/>
          <w:sz w:val="22"/>
          <w:szCs w:val="22"/>
        </w:rPr>
      </w:pPr>
      <w:r w:rsidRPr="00EB23A6">
        <w:rPr>
          <w:rFonts w:ascii="Arial Bold" w:eastAsia="Calibri" w:hAnsi="Arial Bold" w:cs="Times New Roman"/>
          <w:b/>
          <w:smallCaps/>
          <w:sz w:val="22"/>
          <w:szCs w:val="22"/>
        </w:rPr>
        <w:t>On Behalf of the Public Utilities Commission of Ohio</w:t>
      </w:r>
    </w:p>
    <w:p w14:paraId="09EC817D" w14:textId="77777777" w:rsidR="00EB23A6" w:rsidRPr="00EB23A6" w:rsidRDefault="00EB23A6" w:rsidP="00EB23A6">
      <w:pPr>
        <w:rPr>
          <w:rFonts w:eastAsia="Calibri" w:cs="Times New Roman"/>
          <w:b/>
          <w:smallCaps/>
          <w:sz w:val="22"/>
          <w:szCs w:val="22"/>
        </w:rPr>
      </w:pPr>
    </w:p>
    <w:p w14:paraId="5130515B" w14:textId="77777777" w:rsidR="00EB23A6" w:rsidRPr="00EB23A6" w:rsidRDefault="00EB23A6" w:rsidP="00EB23A6">
      <w:pPr>
        <w:rPr>
          <w:rFonts w:eastAsia="Calibri" w:cs="Times New Roman"/>
          <w:b/>
          <w:smallCaps/>
          <w:sz w:val="22"/>
          <w:szCs w:val="22"/>
        </w:rPr>
      </w:pPr>
    </w:p>
    <w:p w14:paraId="67EE1A49" w14:textId="77777777" w:rsidR="00AA6C44" w:rsidRPr="00AD7497" w:rsidRDefault="00AA6C44" w:rsidP="00AA6C44">
      <w:pPr>
        <w:rPr>
          <w:rFonts w:eastAsia="Calibri" w:cs="Times New Roman"/>
          <w:bCs/>
          <w:sz w:val="22"/>
          <w:szCs w:val="22"/>
        </w:rPr>
      </w:pPr>
      <w:r w:rsidRPr="00AD7497">
        <w:rPr>
          <w:rFonts w:eastAsia="Calibri" w:cs="Times New Roman"/>
          <w:bCs/>
          <w:sz w:val="22"/>
          <w:szCs w:val="22"/>
        </w:rPr>
        <w:t>Jennifer L. Spinosi</w:t>
      </w:r>
    </w:p>
    <w:p w14:paraId="34735DB4" w14:textId="77777777" w:rsidR="00AA6C44" w:rsidRPr="00AA6C44" w:rsidRDefault="00AA6C44" w:rsidP="00AA6C44">
      <w:pPr>
        <w:rPr>
          <w:rFonts w:eastAsia="Calibri" w:cs="Times New Roman"/>
          <w:sz w:val="22"/>
          <w:szCs w:val="22"/>
        </w:rPr>
      </w:pPr>
      <w:r w:rsidRPr="00AA6C44">
        <w:rPr>
          <w:rFonts w:eastAsia="Calibri" w:cs="Times New Roman"/>
          <w:sz w:val="22"/>
          <w:szCs w:val="22"/>
        </w:rPr>
        <w:t>Direct Energy</w:t>
      </w:r>
    </w:p>
    <w:p w14:paraId="1CE8EE75" w14:textId="21EAC273" w:rsidR="00AA6C44" w:rsidRPr="00AA6C44" w:rsidRDefault="00AA6C44" w:rsidP="00AA6C44">
      <w:pPr>
        <w:rPr>
          <w:rFonts w:eastAsia="Calibri" w:cs="Times New Roman"/>
          <w:sz w:val="22"/>
          <w:szCs w:val="22"/>
        </w:rPr>
      </w:pPr>
      <w:r w:rsidRPr="00AA6C44">
        <w:rPr>
          <w:rFonts w:eastAsia="Calibri" w:cs="Times New Roman"/>
          <w:sz w:val="22"/>
          <w:szCs w:val="22"/>
        </w:rPr>
        <w:t>21 E</w:t>
      </w:r>
      <w:r>
        <w:rPr>
          <w:rFonts w:eastAsia="Calibri" w:cs="Times New Roman"/>
          <w:sz w:val="22"/>
          <w:szCs w:val="22"/>
        </w:rPr>
        <w:t>.</w:t>
      </w:r>
      <w:r w:rsidRPr="00AA6C44">
        <w:rPr>
          <w:rFonts w:eastAsia="Calibri" w:cs="Times New Roman"/>
          <w:sz w:val="22"/>
          <w:szCs w:val="22"/>
        </w:rPr>
        <w:t xml:space="preserve"> State Street</w:t>
      </w:r>
      <w:r>
        <w:rPr>
          <w:rFonts w:eastAsia="Calibri" w:cs="Times New Roman"/>
          <w:sz w:val="22"/>
          <w:szCs w:val="22"/>
        </w:rPr>
        <w:t xml:space="preserve">, </w:t>
      </w:r>
      <w:r w:rsidRPr="00AA6C44">
        <w:rPr>
          <w:rFonts w:eastAsia="Calibri" w:cs="Times New Roman"/>
          <w:sz w:val="22"/>
          <w:szCs w:val="22"/>
        </w:rPr>
        <w:t>19th Floor</w:t>
      </w:r>
    </w:p>
    <w:p w14:paraId="2F10B3A1" w14:textId="77777777" w:rsidR="00AA6C44" w:rsidRPr="00AA6C44" w:rsidRDefault="00AA6C44" w:rsidP="00AA6C44">
      <w:pPr>
        <w:rPr>
          <w:rFonts w:eastAsia="Calibri" w:cs="Times New Roman"/>
          <w:sz w:val="22"/>
          <w:szCs w:val="22"/>
        </w:rPr>
      </w:pPr>
      <w:r w:rsidRPr="00AA6C44">
        <w:rPr>
          <w:rFonts w:eastAsia="Calibri" w:cs="Times New Roman"/>
          <w:sz w:val="22"/>
          <w:szCs w:val="22"/>
        </w:rPr>
        <w:t>Columbus, OH 43215</w:t>
      </w:r>
    </w:p>
    <w:p w14:paraId="2EC7F903" w14:textId="77777777" w:rsidR="00AA6C44" w:rsidRPr="00AA6C44" w:rsidRDefault="00AA6C44" w:rsidP="00AA6C44">
      <w:pPr>
        <w:rPr>
          <w:rFonts w:eastAsia="Calibri" w:cs="Times New Roman"/>
          <w:sz w:val="22"/>
          <w:szCs w:val="22"/>
        </w:rPr>
      </w:pPr>
      <w:r w:rsidRPr="00AA6C44">
        <w:rPr>
          <w:rFonts w:eastAsia="Calibri" w:cs="Times New Roman"/>
          <w:sz w:val="22"/>
          <w:szCs w:val="22"/>
        </w:rPr>
        <w:t>Jennifer.Spinosi@directenergy.com</w:t>
      </w:r>
    </w:p>
    <w:p w14:paraId="588CD953" w14:textId="77777777" w:rsidR="006C5868" w:rsidRDefault="006C5868" w:rsidP="00AA6C44">
      <w:pPr>
        <w:rPr>
          <w:rFonts w:eastAsia="Calibri" w:cs="Times New Roman"/>
          <w:sz w:val="22"/>
          <w:szCs w:val="22"/>
        </w:rPr>
      </w:pPr>
    </w:p>
    <w:p w14:paraId="0AFCB1F8" w14:textId="3D3E0430" w:rsidR="00AA6C44" w:rsidRPr="00AD7497" w:rsidRDefault="00AA6C44" w:rsidP="00AA6C44">
      <w:pPr>
        <w:rPr>
          <w:rFonts w:eastAsia="Calibri" w:cs="Times New Roman"/>
          <w:b/>
          <w:smallCaps/>
          <w:sz w:val="22"/>
          <w:szCs w:val="22"/>
        </w:rPr>
      </w:pPr>
      <w:r w:rsidRPr="00AD7497">
        <w:rPr>
          <w:rFonts w:eastAsia="Calibri" w:cs="Times New Roman"/>
          <w:b/>
          <w:smallCaps/>
          <w:sz w:val="22"/>
          <w:szCs w:val="22"/>
        </w:rPr>
        <w:t>Attorney for Direct Energy Services, LLC</w:t>
      </w:r>
      <w:r w:rsidR="007045CB" w:rsidRPr="00AD7497">
        <w:rPr>
          <w:rFonts w:eastAsia="Calibri" w:cs="Times New Roman"/>
          <w:b/>
          <w:smallCaps/>
          <w:sz w:val="22"/>
          <w:szCs w:val="22"/>
        </w:rPr>
        <w:t xml:space="preserve"> </w:t>
      </w:r>
      <w:r w:rsidRPr="00AD7497">
        <w:rPr>
          <w:rFonts w:eastAsia="Calibri" w:cs="Times New Roman"/>
          <w:b/>
          <w:smallCaps/>
          <w:sz w:val="22"/>
          <w:szCs w:val="22"/>
        </w:rPr>
        <w:t>and Direct Energy Business, LLC</w:t>
      </w:r>
    </w:p>
    <w:p w14:paraId="2E7A3D6A" w14:textId="77777777" w:rsidR="006C5868" w:rsidRDefault="006C5868" w:rsidP="00AA6C44">
      <w:pPr>
        <w:rPr>
          <w:rFonts w:eastAsia="Calibri" w:cs="Times New Roman"/>
          <w:b/>
          <w:bCs/>
          <w:sz w:val="22"/>
          <w:szCs w:val="22"/>
        </w:rPr>
      </w:pPr>
    </w:p>
    <w:p w14:paraId="1B441BBC" w14:textId="77777777" w:rsidR="00AA6C44" w:rsidRPr="00AD7497" w:rsidRDefault="00AA6C44" w:rsidP="00AA6C44">
      <w:pPr>
        <w:rPr>
          <w:rFonts w:eastAsia="Calibri" w:cs="Times New Roman"/>
          <w:bCs/>
          <w:sz w:val="22"/>
          <w:szCs w:val="22"/>
        </w:rPr>
      </w:pPr>
      <w:r w:rsidRPr="00AD7497">
        <w:rPr>
          <w:rFonts w:eastAsia="Calibri" w:cs="Times New Roman"/>
          <w:bCs/>
          <w:sz w:val="22"/>
          <w:szCs w:val="22"/>
        </w:rPr>
        <w:t>Joseph Oliker</w:t>
      </w:r>
    </w:p>
    <w:p w14:paraId="643FDD27" w14:textId="77777777" w:rsidR="00AA6C44" w:rsidRPr="00AD7497" w:rsidRDefault="00AA6C44" w:rsidP="00AA6C44">
      <w:pPr>
        <w:rPr>
          <w:rFonts w:eastAsia="Calibri" w:cs="Times New Roman"/>
          <w:bCs/>
          <w:sz w:val="22"/>
          <w:szCs w:val="22"/>
        </w:rPr>
      </w:pPr>
      <w:r w:rsidRPr="00AD7497">
        <w:rPr>
          <w:rFonts w:eastAsia="Calibri" w:cs="Times New Roman"/>
          <w:bCs/>
          <w:sz w:val="22"/>
          <w:szCs w:val="22"/>
        </w:rPr>
        <w:t>Matthew White</w:t>
      </w:r>
    </w:p>
    <w:p w14:paraId="7AF53AD4" w14:textId="77777777" w:rsidR="00AA6C44" w:rsidRPr="00AA6C44" w:rsidRDefault="00AA6C44" w:rsidP="00AA6C44">
      <w:pPr>
        <w:rPr>
          <w:rFonts w:eastAsia="Calibri" w:cs="Times New Roman"/>
          <w:sz w:val="22"/>
          <w:szCs w:val="22"/>
        </w:rPr>
      </w:pPr>
      <w:r w:rsidRPr="00AA6C44">
        <w:rPr>
          <w:rFonts w:eastAsia="Calibri" w:cs="Times New Roman"/>
          <w:sz w:val="22"/>
          <w:szCs w:val="22"/>
        </w:rPr>
        <w:t>IGS Energy</w:t>
      </w:r>
    </w:p>
    <w:p w14:paraId="2CDED6B2" w14:textId="77777777" w:rsidR="00AA6C44" w:rsidRPr="00AA6C44" w:rsidRDefault="00AA6C44" w:rsidP="00AA6C44">
      <w:pPr>
        <w:rPr>
          <w:rFonts w:eastAsia="Calibri" w:cs="Times New Roman"/>
          <w:sz w:val="22"/>
          <w:szCs w:val="22"/>
        </w:rPr>
      </w:pPr>
      <w:r w:rsidRPr="00AA6C44">
        <w:rPr>
          <w:rFonts w:eastAsia="Calibri" w:cs="Times New Roman"/>
          <w:sz w:val="22"/>
          <w:szCs w:val="22"/>
        </w:rPr>
        <w:t>6100 Emerald Parkway</w:t>
      </w:r>
    </w:p>
    <w:p w14:paraId="7BDF3D75" w14:textId="77777777" w:rsidR="00AA6C44" w:rsidRPr="00AA6C44" w:rsidRDefault="00AA6C44" w:rsidP="00AA6C44">
      <w:pPr>
        <w:rPr>
          <w:rFonts w:eastAsia="Calibri" w:cs="Times New Roman"/>
          <w:sz w:val="22"/>
          <w:szCs w:val="22"/>
        </w:rPr>
      </w:pPr>
      <w:r w:rsidRPr="00AA6C44">
        <w:rPr>
          <w:rFonts w:eastAsia="Calibri" w:cs="Times New Roman"/>
          <w:sz w:val="22"/>
          <w:szCs w:val="22"/>
        </w:rPr>
        <w:t>Dublin, Ohio 43016</w:t>
      </w:r>
    </w:p>
    <w:p w14:paraId="740509E8" w14:textId="3B4DB949" w:rsidR="006C5868" w:rsidRDefault="00E11479" w:rsidP="00AA6C44">
      <w:pPr>
        <w:rPr>
          <w:rFonts w:eastAsia="Calibri" w:cs="Times New Roman"/>
          <w:sz w:val="22"/>
          <w:szCs w:val="22"/>
        </w:rPr>
      </w:pPr>
      <w:hyperlink r:id="rId34" w:history="1">
        <w:r w:rsidR="00165A1A" w:rsidRPr="00D751A3">
          <w:rPr>
            <w:rStyle w:val="Hyperlink"/>
            <w:rFonts w:eastAsia="Calibri" w:cs="Times New Roman"/>
            <w:sz w:val="22"/>
            <w:szCs w:val="22"/>
          </w:rPr>
          <w:t>joliker@igsenergy.com</w:t>
        </w:r>
      </w:hyperlink>
    </w:p>
    <w:p w14:paraId="5FFF8B0E" w14:textId="3C1446A4" w:rsidR="00165A1A" w:rsidRDefault="00E11479" w:rsidP="00AA6C44">
      <w:pPr>
        <w:rPr>
          <w:rFonts w:eastAsia="Calibri" w:cs="Times New Roman"/>
          <w:sz w:val="22"/>
          <w:szCs w:val="22"/>
        </w:rPr>
      </w:pPr>
      <w:hyperlink r:id="rId35" w:history="1">
        <w:r w:rsidR="00165A1A" w:rsidRPr="00D751A3">
          <w:rPr>
            <w:rStyle w:val="Hyperlink"/>
            <w:rFonts w:eastAsia="Calibri" w:cs="Times New Roman"/>
            <w:sz w:val="22"/>
            <w:szCs w:val="22"/>
          </w:rPr>
          <w:t>mswhite@igsenergy.com</w:t>
        </w:r>
      </w:hyperlink>
    </w:p>
    <w:p w14:paraId="0A08B839" w14:textId="77777777" w:rsidR="00165A1A" w:rsidRDefault="00165A1A" w:rsidP="00AA6C44">
      <w:pPr>
        <w:rPr>
          <w:rFonts w:eastAsia="Calibri" w:cs="Times New Roman"/>
          <w:sz w:val="22"/>
          <w:szCs w:val="22"/>
        </w:rPr>
      </w:pPr>
    </w:p>
    <w:p w14:paraId="392379C4" w14:textId="7B5BE70E" w:rsidR="00AA6C44" w:rsidRPr="00AD7497" w:rsidRDefault="00AA6C44" w:rsidP="00AA6C44">
      <w:pPr>
        <w:rPr>
          <w:rFonts w:eastAsia="Calibri" w:cs="Times New Roman"/>
          <w:b/>
          <w:smallCaps/>
          <w:sz w:val="22"/>
          <w:szCs w:val="22"/>
        </w:rPr>
      </w:pPr>
      <w:r w:rsidRPr="00AD7497">
        <w:rPr>
          <w:rFonts w:eastAsia="Calibri" w:cs="Times New Roman"/>
          <w:b/>
          <w:smallCaps/>
          <w:sz w:val="22"/>
          <w:szCs w:val="22"/>
        </w:rPr>
        <w:t>Attorneys for IGS Energy</w:t>
      </w:r>
    </w:p>
    <w:p w14:paraId="552778E2" w14:textId="77777777" w:rsidR="006C5868" w:rsidRDefault="006C5868" w:rsidP="00EB23A6">
      <w:pPr>
        <w:rPr>
          <w:rFonts w:eastAsia="Calibri" w:cs="Times New Roman"/>
          <w:sz w:val="22"/>
          <w:szCs w:val="22"/>
        </w:rPr>
      </w:pPr>
    </w:p>
    <w:p w14:paraId="66555E06" w14:textId="77777777" w:rsidR="006C5868" w:rsidRDefault="006C5868" w:rsidP="00EB23A6">
      <w:pPr>
        <w:rPr>
          <w:rFonts w:eastAsia="Calibri" w:cs="Times New Roman"/>
          <w:sz w:val="22"/>
          <w:szCs w:val="22"/>
        </w:rPr>
      </w:pPr>
    </w:p>
    <w:p w14:paraId="4285CA68" w14:textId="6A618BB7" w:rsidR="00790068" w:rsidRDefault="00434458" w:rsidP="00EB23A6">
      <w:pPr>
        <w:rPr>
          <w:rFonts w:eastAsia="Calibri" w:cs="Times New Roman"/>
          <w:sz w:val="22"/>
          <w:szCs w:val="22"/>
        </w:rPr>
      </w:pPr>
      <w:r>
        <w:rPr>
          <w:rFonts w:eastAsia="Calibri" w:cs="Times New Roman"/>
          <w:sz w:val="22"/>
          <w:szCs w:val="22"/>
        </w:rPr>
        <w:t>Andrew J. Campbell</w:t>
      </w:r>
    </w:p>
    <w:p w14:paraId="267179FC" w14:textId="35E5C356" w:rsidR="00434458" w:rsidRDefault="00434458" w:rsidP="00EB23A6">
      <w:pPr>
        <w:rPr>
          <w:rFonts w:eastAsia="Calibri" w:cs="Times New Roman"/>
          <w:sz w:val="22"/>
          <w:szCs w:val="22"/>
        </w:rPr>
      </w:pPr>
      <w:r>
        <w:rPr>
          <w:rFonts w:eastAsia="Calibri" w:cs="Times New Roman"/>
          <w:sz w:val="22"/>
          <w:szCs w:val="22"/>
        </w:rPr>
        <w:t>Whitt Sturtevant LLP</w:t>
      </w:r>
    </w:p>
    <w:p w14:paraId="3B39DD26" w14:textId="33D7C6AF" w:rsidR="00434458" w:rsidRDefault="00434458" w:rsidP="00EB23A6">
      <w:pPr>
        <w:rPr>
          <w:rFonts w:eastAsia="Calibri" w:cs="Times New Roman"/>
          <w:sz w:val="22"/>
          <w:szCs w:val="22"/>
        </w:rPr>
      </w:pPr>
      <w:r>
        <w:rPr>
          <w:rFonts w:eastAsia="Calibri" w:cs="Times New Roman"/>
          <w:sz w:val="22"/>
          <w:szCs w:val="22"/>
        </w:rPr>
        <w:t>The KeyBank Building</w:t>
      </w:r>
    </w:p>
    <w:p w14:paraId="1A82E18B" w14:textId="6E5B5C4D" w:rsidR="007C797E" w:rsidRDefault="007C797E" w:rsidP="00EB23A6">
      <w:pPr>
        <w:rPr>
          <w:rFonts w:eastAsia="Calibri" w:cs="Times New Roman"/>
          <w:sz w:val="22"/>
          <w:szCs w:val="22"/>
        </w:rPr>
      </w:pPr>
      <w:r>
        <w:rPr>
          <w:rFonts w:eastAsia="Calibri" w:cs="Times New Roman"/>
          <w:sz w:val="22"/>
          <w:szCs w:val="22"/>
        </w:rPr>
        <w:t>88 Broad Street, Suite 1590</w:t>
      </w:r>
    </w:p>
    <w:p w14:paraId="5722D53D" w14:textId="41F0D954" w:rsidR="007C797E" w:rsidRDefault="007C797E" w:rsidP="00EB23A6">
      <w:pPr>
        <w:rPr>
          <w:rFonts w:eastAsia="Calibri" w:cs="Times New Roman"/>
          <w:sz w:val="22"/>
          <w:szCs w:val="22"/>
        </w:rPr>
      </w:pPr>
      <w:r>
        <w:rPr>
          <w:rFonts w:eastAsia="Calibri" w:cs="Times New Roman"/>
          <w:sz w:val="22"/>
          <w:szCs w:val="22"/>
        </w:rPr>
        <w:t>Columbus, OH  43215</w:t>
      </w:r>
    </w:p>
    <w:p w14:paraId="4FCE3FF6" w14:textId="559795DA" w:rsidR="007C797E" w:rsidRDefault="00E11479" w:rsidP="00EB23A6">
      <w:pPr>
        <w:rPr>
          <w:rFonts w:eastAsia="Calibri" w:cs="Times New Roman"/>
          <w:sz w:val="22"/>
          <w:szCs w:val="22"/>
        </w:rPr>
      </w:pPr>
      <w:hyperlink r:id="rId36" w:history="1">
        <w:r w:rsidR="007C797E" w:rsidRPr="00D751A3">
          <w:rPr>
            <w:rStyle w:val="Hyperlink"/>
            <w:rFonts w:eastAsia="Calibri" w:cs="Times New Roman"/>
            <w:sz w:val="22"/>
            <w:szCs w:val="22"/>
          </w:rPr>
          <w:t>campbell@whitt-sturtevant.com</w:t>
        </w:r>
      </w:hyperlink>
    </w:p>
    <w:p w14:paraId="0BEE1FC8" w14:textId="77777777" w:rsidR="007C797E" w:rsidRDefault="007C797E" w:rsidP="00EB23A6">
      <w:pPr>
        <w:rPr>
          <w:rFonts w:eastAsia="Calibri" w:cs="Times New Roman"/>
          <w:sz w:val="22"/>
          <w:szCs w:val="22"/>
        </w:rPr>
      </w:pPr>
    </w:p>
    <w:p w14:paraId="686DDEC5" w14:textId="4A84C58B" w:rsidR="00613AD4" w:rsidRPr="00AD7497" w:rsidRDefault="00613AD4" w:rsidP="00EB23A6">
      <w:pPr>
        <w:rPr>
          <w:rFonts w:ascii="Arial Bold" w:eastAsia="Calibri" w:hAnsi="Arial Bold" w:cs="Times New Roman"/>
          <w:b/>
          <w:smallCaps/>
          <w:sz w:val="22"/>
          <w:szCs w:val="22"/>
        </w:rPr>
      </w:pPr>
      <w:r w:rsidRPr="00AD7497">
        <w:rPr>
          <w:rFonts w:ascii="Arial Bold" w:eastAsia="Calibri" w:hAnsi="Arial Bold" w:cs="Times New Roman"/>
          <w:b/>
          <w:smallCaps/>
          <w:sz w:val="22"/>
          <w:szCs w:val="22"/>
        </w:rPr>
        <w:t>Attorne</w:t>
      </w:r>
      <w:r w:rsidR="009E4527" w:rsidRPr="00BD1FDA">
        <w:rPr>
          <w:rFonts w:ascii="Arial Bold" w:eastAsia="Calibri" w:hAnsi="Arial Bold" w:cs="Times New Roman"/>
          <w:b/>
          <w:smallCaps/>
          <w:sz w:val="22"/>
          <w:szCs w:val="22"/>
        </w:rPr>
        <w:t>y for the East Ohio Gas Company</w:t>
      </w:r>
      <w:r w:rsidR="009E4527">
        <w:rPr>
          <w:rFonts w:ascii="Arial Bold" w:eastAsia="Calibri" w:hAnsi="Arial Bold" w:cs="Times New Roman"/>
          <w:b/>
          <w:smallCaps/>
          <w:sz w:val="22"/>
          <w:szCs w:val="22"/>
        </w:rPr>
        <w:t xml:space="preserve"> </w:t>
      </w:r>
      <w:r w:rsidRPr="00AD7497">
        <w:rPr>
          <w:rFonts w:ascii="Arial Bold" w:eastAsia="Calibri" w:hAnsi="Arial Bold" w:cs="Times New Roman"/>
          <w:b/>
          <w:smallCaps/>
          <w:sz w:val="22"/>
          <w:szCs w:val="22"/>
        </w:rPr>
        <w:t>d/b/a Dominion East Ohio</w:t>
      </w:r>
    </w:p>
    <w:p w14:paraId="013CF307" w14:textId="77777777" w:rsidR="00613AD4" w:rsidRDefault="00613AD4" w:rsidP="00EB23A6">
      <w:pPr>
        <w:rPr>
          <w:rFonts w:eastAsia="Calibri" w:cs="Times New Roman"/>
          <w:sz w:val="22"/>
          <w:szCs w:val="22"/>
        </w:rPr>
      </w:pPr>
    </w:p>
    <w:p w14:paraId="3BCBBF26" w14:textId="77777777" w:rsidR="00613AD4" w:rsidRDefault="00613AD4" w:rsidP="00EB23A6">
      <w:pPr>
        <w:rPr>
          <w:rFonts w:eastAsia="Calibri" w:cs="Times New Roman"/>
          <w:sz w:val="22"/>
          <w:szCs w:val="22"/>
        </w:rPr>
      </w:pPr>
    </w:p>
    <w:p w14:paraId="45ADEBB2" w14:textId="77777777" w:rsidR="00EB23A6" w:rsidRPr="00EB23A6" w:rsidRDefault="00EB23A6" w:rsidP="00EB23A6">
      <w:pPr>
        <w:rPr>
          <w:rFonts w:eastAsia="Calibri" w:cs="Times New Roman"/>
          <w:sz w:val="22"/>
          <w:szCs w:val="22"/>
        </w:rPr>
      </w:pPr>
      <w:r w:rsidRPr="00EB23A6">
        <w:rPr>
          <w:rFonts w:eastAsia="Calibri" w:cs="Times New Roman"/>
          <w:sz w:val="22"/>
          <w:szCs w:val="22"/>
        </w:rPr>
        <w:t>Bryce McKenney</w:t>
      </w:r>
    </w:p>
    <w:p w14:paraId="3C37EB20" w14:textId="77777777" w:rsidR="00EB23A6" w:rsidRPr="00EB23A6" w:rsidRDefault="00EB23A6" w:rsidP="00EB23A6">
      <w:pPr>
        <w:rPr>
          <w:rFonts w:eastAsia="Calibri" w:cs="Times New Roman"/>
          <w:sz w:val="22"/>
          <w:szCs w:val="22"/>
        </w:rPr>
      </w:pPr>
      <w:r w:rsidRPr="00EB23A6">
        <w:rPr>
          <w:rFonts w:eastAsia="Calibri" w:cs="Times New Roman"/>
          <w:sz w:val="22"/>
          <w:szCs w:val="22"/>
        </w:rPr>
        <w:t>Attorney Examiner</w:t>
      </w:r>
    </w:p>
    <w:p w14:paraId="4843EDD6" w14:textId="77777777" w:rsidR="00EB23A6" w:rsidRPr="00EB23A6" w:rsidRDefault="00EB23A6" w:rsidP="00EB23A6">
      <w:pPr>
        <w:rPr>
          <w:rFonts w:eastAsia="Calibri" w:cs="Times New Roman"/>
          <w:sz w:val="22"/>
          <w:szCs w:val="22"/>
        </w:rPr>
      </w:pPr>
      <w:r w:rsidRPr="00EB23A6">
        <w:rPr>
          <w:rFonts w:eastAsia="Calibri" w:cs="Times New Roman"/>
          <w:sz w:val="22"/>
          <w:szCs w:val="22"/>
        </w:rPr>
        <w:t>180 E. Broad St., 6</w:t>
      </w:r>
      <w:r w:rsidRPr="00EB23A6">
        <w:rPr>
          <w:rFonts w:eastAsia="Calibri" w:cs="Times New Roman"/>
          <w:sz w:val="22"/>
          <w:szCs w:val="22"/>
          <w:vertAlign w:val="superscript"/>
        </w:rPr>
        <w:t>th</w:t>
      </w:r>
      <w:r w:rsidRPr="00EB23A6">
        <w:rPr>
          <w:rFonts w:eastAsia="Calibri" w:cs="Times New Roman"/>
          <w:sz w:val="22"/>
          <w:szCs w:val="22"/>
        </w:rPr>
        <w:t xml:space="preserve"> Floor</w:t>
      </w:r>
    </w:p>
    <w:p w14:paraId="710801F5" w14:textId="77777777" w:rsidR="00EB23A6" w:rsidRPr="00EB23A6" w:rsidRDefault="00EB23A6" w:rsidP="00EB23A6">
      <w:pPr>
        <w:rPr>
          <w:rFonts w:eastAsia="Calibri" w:cs="Times New Roman"/>
          <w:sz w:val="22"/>
          <w:szCs w:val="22"/>
        </w:rPr>
      </w:pPr>
      <w:r w:rsidRPr="00EB23A6">
        <w:rPr>
          <w:rFonts w:eastAsia="Calibri" w:cs="Times New Roman"/>
          <w:sz w:val="22"/>
          <w:szCs w:val="22"/>
        </w:rPr>
        <w:t>Columbus, OH  43215</w:t>
      </w:r>
    </w:p>
    <w:p w14:paraId="5B3FFE53" w14:textId="77777777" w:rsidR="00EB23A6" w:rsidRPr="00EB23A6" w:rsidRDefault="00E11479" w:rsidP="00EB23A6">
      <w:pPr>
        <w:rPr>
          <w:rFonts w:eastAsia="Calibri" w:cs="Times New Roman"/>
          <w:sz w:val="22"/>
          <w:szCs w:val="22"/>
        </w:rPr>
      </w:pPr>
      <w:hyperlink r:id="rId37" w:history="1">
        <w:r w:rsidR="00EB23A6" w:rsidRPr="00EB23A6">
          <w:rPr>
            <w:rFonts w:eastAsia="Calibri" w:cs="Times New Roman"/>
            <w:color w:val="0000FF" w:themeColor="hyperlink"/>
            <w:sz w:val="22"/>
            <w:szCs w:val="22"/>
            <w:u w:val="single"/>
          </w:rPr>
          <w:t>Bryce.mckenney@puc.state.oh.us</w:t>
        </w:r>
      </w:hyperlink>
    </w:p>
    <w:p w14:paraId="410CACC4" w14:textId="77777777" w:rsidR="00EB23A6" w:rsidRPr="00EB23A6" w:rsidRDefault="00EB23A6" w:rsidP="00EB23A6">
      <w:pPr>
        <w:rPr>
          <w:rFonts w:eastAsia="Calibri" w:cs="Times New Roman"/>
          <w:sz w:val="22"/>
          <w:szCs w:val="22"/>
        </w:rPr>
      </w:pPr>
    </w:p>
    <w:p w14:paraId="1E4CA349" w14:textId="77777777" w:rsidR="00EB23A6" w:rsidRPr="00EB23A6" w:rsidRDefault="00EB23A6" w:rsidP="00EB23A6">
      <w:pPr>
        <w:rPr>
          <w:rFonts w:ascii="Arial Bold" w:eastAsia="Calibri" w:hAnsi="Arial Bold" w:cs="Times New Roman"/>
          <w:b/>
          <w:smallCaps/>
          <w:sz w:val="22"/>
          <w:szCs w:val="22"/>
        </w:rPr>
      </w:pPr>
      <w:r w:rsidRPr="00EB23A6">
        <w:rPr>
          <w:rFonts w:ascii="Arial Bold" w:eastAsia="Calibri" w:hAnsi="Arial Bold" w:cs="Times New Roman"/>
          <w:b/>
          <w:smallCaps/>
          <w:sz w:val="22"/>
          <w:szCs w:val="22"/>
        </w:rPr>
        <w:t>Attorney Examiner</w:t>
      </w:r>
    </w:p>
    <w:p w14:paraId="7D20F751" w14:textId="77777777" w:rsidR="00EB23A6" w:rsidRPr="00EB23A6" w:rsidRDefault="00EB23A6" w:rsidP="00EB23A6">
      <w:pPr>
        <w:rPr>
          <w:rFonts w:ascii="Arial Bold" w:eastAsia="Calibri" w:hAnsi="Arial Bold" w:cs="Times New Roman"/>
          <w:b/>
          <w:smallCaps/>
          <w:sz w:val="22"/>
          <w:szCs w:val="22"/>
        </w:rPr>
      </w:pPr>
    </w:p>
    <w:p w14:paraId="74BCC96C" w14:textId="77777777" w:rsidR="00EB23A6" w:rsidRPr="00EB23A6" w:rsidRDefault="00EB23A6" w:rsidP="00EB23A6">
      <w:pPr>
        <w:rPr>
          <w:rFonts w:ascii="Arial Bold" w:eastAsia="Calibri" w:hAnsi="Arial Bold" w:cs="Times New Roman"/>
          <w:b/>
          <w:smallCaps/>
          <w:sz w:val="22"/>
          <w:szCs w:val="22"/>
        </w:rPr>
      </w:pPr>
    </w:p>
    <w:p w14:paraId="09881CC3" w14:textId="77777777" w:rsidR="00A75055" w:rsidRDefault="00A75055" w:rsidP="00EB23A6">
      <w:pPr>
        <w:spacing w:line="480" w:lineRule="auto"/>
        <w:ind w:firstLine="720"/>
      </w:pPr>
    </w:p>
    <w:p w14:paraId="45C4274D" w14:textId="77777777" w:rsidR="00E374BB" w:rsidRDefault="00E374BB">
      <w:pPr>
        <w:spacing w:line="480" w:lineRule="auto"/>
        <w:ind w:firstLine="720"/>
      </w:pPr>
    </w:p>
    <w:sectPr w:rsidR="00E374BB" w:rsidSect="005E059A">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84318" w14:textId="77777777" w:rsidR="00686A01" w:rsidRDefault="00686A01" w:rsidP="001A5D44">
      <w:r>
        <w:separator/>
      </w:r>
    </w:p>
  </w:endnote>
  <w:endnote w:type="continuationSeparator" w:id="0">
    <w:p w14:paraId="0B1FC1FD" w14:textId="77777777" w:rsidR="00686A01" w:rsidRDefault="00686A01" w:rsidP="001A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DEE2" w14:textId="77777777" w:rsidR="00686A01" w:rsidRDefault="00686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5BEA" w14:textId="59700057" w:rsidR="00686A01" w:rsidRDefault="00E11479" w:rsidP="00686A01">
    <w:pPr>
      <w:pStyle w:val="Footer"/>
      <w:rPr>
        <w:noProof/>
        <w:sz w:val="16"/>
      </w:rPr>
    </w:pPr>
    <w:r w:rsidRPr="00E11479">
      <w:rPr>
        <w:noProof/>
        <w:sz w:val="16"/>
      </w:rPr>
      <w:t>{C49233: }</w:t>
    </w:r>
  </w:p>
  <w:p w14:paraId="5B221246" w14:textId="77777777" w:rsidR="00686A01" w:rsidRPr="00DD2063" w:rsidRDefault="00E11479" w:rsidP="00686A01">
    <w:pPr>
      <w:pStyle w:val="Footer"/>
      <w:jc w:val="center"/>
    </w:pPr>
    <w:sdt>
      <w:sdtPr>
        <w:id w:val="-1790115368"/>
        <w:docPartObj>
          <w:docPartGallery w:val="Page Numbers (Bottom of Page)"/>
          <w:docPartUnique/>
        </w:docPartObj>
      </w:sdtPr>
      <w:sdtEndPr>
        <w:rPr>
          <w:noProof/>
        </w:rPr>
      </w:sdtEndPr>
      <w:sdtContent>
        <w:r w:rsidR="00686A01" w:rsidRPr="00DD2063">
          <w:fldChar w:fldCharType="begin"/>
        </w:r>
        <w:r w:rsidR="00686A01" w:rsidRPr="00DD2063">
          <w:instrText xml:space="preserve"> PAGE   \* MERGEFORMAT </w:instrText>
        </w:r>
        <w:r w:rsidR="00686A01" w:rsidRPr="00DD2063">
          <w:fldChar w:fldCharType="separate"/>
        </w:r>
        <w:r>
          <w:rPr>
            <w:noProof/>
          </w:rPr>
          <w:t>2</w:t>
        </w:r>
        <w:r w:rsidR="00686A01" w:rsidRPr="00DD206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DA27" w14:textId="34CE1696" w:rsidR="00686A01" w:rsidRPr="00DD2063" w:rsidRDefault="00E11479">
    <w:pPr>
      <w:pStyle w:val="Footer"/>
    </w:pPr>
    <w:r w:rsidRPr="00E11479">
      <w:rPr>
        <w:noProof/>
        <w:sz w:val="16"/>
      </w:rPr>
      <w:t>{C49233: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6641" w14:textId="77777777" w:rsidR="00686A01" w:rsidRDefault="00686A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5DB7" w14:textId="500569F6" w:rsidR="00686A01" w:rsidRPr="001A5D44" w:rsidRDefault="00E11479">
    <w:pPr>
      <w:pStyle w:val="Footer"/>
    </w:pPr>
    <w:r w:rsidRPr="00E11479">
      <w:rPr>
        <w:noProof/>
        <w:sz w:val="16"/>
      </w:rPr>
      <w:t>{C49233: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F2F7" w14:textId="08D5FAA0" w:rsidR="00686A01" w:rsidRPr="001A5D44" w:rsidRDefault="00E11479">
    <w:pPr>
      <w:pStyle w:val="Footer"/>
    </w:pPr>
    <w:r w:rsidRPr="00E11479">
      <w:rPr>
        <w:noProof/>
        <w:sz w:val="16"/>
      </w:rPr>
      <w:t>{C49233: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D549" w14:textId="77777777" w:rsidR="00686A01" w:rsidRDefault="00686A01" w:rsidP="001A5D44">
      <w:pPr>
        <w:rPr>
          <w:noProof/>
        </w:rPr>
      </w:pPr>
      <w:r>
        <w:rPr>
          <w:noProof/>
        </w:rPr>
        <w:separator/>
      </w:r>
    </w:p>
  </w:footnote>
  <w:footnote w:type="continuationSeparator" w:id="0">
    <w:p w14:paraId="3E7A9DB3" w14:textId="77777777" w:rsidR="00686A01" w:rsidRDefault="00686A01" w:rsidP="001A5D44">
      <w:r>
        <w:continuationSeparator/>
      </w:r>
    </w:p>
  </w:footnote>
  <w:footnote w:id="1">
    <w:p w14:paraId="4472D2A6" w14:textId="3EAABCD7" w:rsidR="00686A01" w:rsidRPr="002E3A3A" w:rsidRDefault="00686A01" w:rsidP="002E3A3A">
      <w:pPr>
        <w:pStyle w:val="FootnoteText"/>
      </w:pPr>
      <w:r>
        <w:rPr>
          <w:rStyle w:val="FootnoteReference"/>
        </w:rPr>
        <w:footnoteRef/>
      </w:r>
      <w:r>
        <w:t xml:space="preserve"> </w:t>
      </w:r>
      <w:r w:rsidRPr="002E3A3A">
        <w:t xml:space="preserve">The </w:t>
      </w:r>
      <w:r w:rsidR="003D3222">
        <w:t>interest of customers in</w:t>
      </w:r>
      <w:r w:rsidRPr="002E3A3A">
        <w:t xml:space="preserve"> predictable application of existing law is not limited to industrial customers.  As the comments of Building Owners and Managers Association of Greater Cleveland (“BOMA Comments”) explain:</w:t>
      </w:r>
    </w:p>
    <w:p w14:paraId="04081096" w14:textId="651083B9" w:rsidR="00686A01" w:rsidRPr="002E3A3A" w:rsidRDefault="00686A01" w:rsidP="00AD7497">
      <w:pPr>
        <w:pStyle w:val="FootnoteText"/>
        <w:ind w:left="720" w:right="720"/>
      </w:pPr>
      <w:r w:rsidRPr="002E3A3A">
        <w:t xml:space="preserve">The cost associated with changing internal electrical distribution will reduce the ability for landlords and commercial building owners to make other investments, such as energy efficiency improvements or new infrastructure buildout. </w:t>
      </w:r>
      <w:r>
        <w:t xml:space="preserve"> </w:t>
      </w:r>
      <w:r w:rsidRPr="002E3A3A">
        <w:t>Moreover, Commission jurisdiction over landlord submetering could result in significant interference with the existing negotiated contracts between the landlord and tenant.</w:t>
      </w:r>
    </w:p>
    <w:p w14:paraId="47294088" w14:textId="459A489E" w:rsidR="00686A01" w:rsidRDefault="00686A01" w:rsidP="00AD7497">
      <w:pPr>
        <w:pStyle w:val="FootnoteText"/>
        <w:spacing w:after="120"/>
      </w:pPr>
      <w:r w:rsidRPr="002E3A3A">
        <w:t xml:space="preserve">BOMA Comments at 1.  </w:t>
      </w:r>
    </w:p>
  </w:footnote>
  <w:footnote w:id="2">
    <w:p w14:paraId="5A0A1B83" w14:textId="77777777" w:rsidR="00686A01" w:rsidRDefault="00686A01" w:rsidP="00CA4AE3">
      <w:pPr>
        <w:pStyle w:val="FootnoteText"/>
        <w:spacing w:after="120"/>
      </w:pPr>
      <w:r>
        <w:rPr>
          <w:rStyle w:val="FootnoteReference"/>
        </w:rPr>
        <w:footnoteRef/>
      </w:r>
      <w:r>
        <w:t xml:space="preserve"> Initial Comments of Ohio Power Company and Duke Energy Ohio, Inc. (Jan. 21, 2016) (“AEP-Ohio/Duke Comments”).</w:t>
      </w:r>
    </w:p>
  </w:footnote>
  <w:footnote w:id="3">
    <w:p w14:paraId="50CE50DF" w14:textId="77777777" w:rsidR="00686A01" w:rsidRDefault="00686A01" w:rsidP="00CA4AE3">
      <w:pPr>
        <w:pStyle w:val="FootnoteText"/>
        <w:spacing w:after="120"/>
      </w:pPr>
      <w:r>
        <w:rPr>
          <w:rStyle w:val="FootnoteReference"/>
        </w:rPr>
        <w:footnoteRef/>
      </w:r>
      <w:r>
        <w:t xml:space="preserve"> </w:t>
      </w:r>
      <w:r>
        <w:rPr>
          <w:rFonts w:cs="Arial"/>
          <w:color w:val="000000"/>
        </w:rPr>
        <w:t>Joint Comments On Protecting Ohioans From Excessive Charges From Utility Submeterers By The Office Of The Ohio Consumers' Counsel And The Ohio Poverty Law Center (Jan. 21, 2016) (“OCC/OPLC Comments”).</w:t>
      </w:r>
    </w:p>
  </w:footnote>
  <w:footnote w:id="4">
    <w:p w14:paraId="16016483" w14:textId="77777777" w:rsidR="00686A01" w:rsidRDefault="00686A01" w:rsidP="00CA4AE3">
      <w:pPr>
        <w:pStyle w:val="FootnoteText"/>
        <w:spacing w:after="120"/>
      </w:pPr>
      <w:r>
        <w:rPr>
          <w:rStyle w:val="FootnoteReference"/>
        </w:rPr>
        <w:footnoteRef/>
      </w:r>
      <w:r>
        <w:t xml:space="preserve"> Initial Comments of Nationwide Energy Partners, LLC (Jan. 21, 2016) (“NEP Comments”).</w:t>
      </w:r>
    </w:p>
  </w:footnote>
  <w:footnote w:id="5">
    <w:p w14:paraId="57A55427" w14:textId="5C21F8BF" w:rsidR="00686A01" w:rsidRDefault="00686A01">
      <w:pPr>
        <w:pStyle w:val="FootnoteText"/>
      </w:pPr>
      <w:r>
        <w:rPr>
          <w:rStyle w:val="FootnoteReference"/>
        </w:rPr>
        <w:footnoteRef/>
      </w:r>
      <w:r>
        <w:t xml:space="preserve"> </w:t>
      </w:r>
      <w:r w:rsidR="00EC04EA">
        <w:t>The AEP-Ohio/Duke Comments demonstrate that the proposal lacks any well-defined concept of what is the centerpiece of the exception.  In a footnote, t</w:t>
      </w:r>
      <w:r>
        <w:t>he Comments recognize that the Commission would have t</w:t>
      </w:r>
      <w:r w:rsidR="00EC04EA">
        <w:t>o define “exactly” what is</w:t>
      </w:r>
      <w:r>
        <w:t xml:space="preserve"> a pass</w:t>
      </w:r>
      <w:r w:rsidR="003B44FA">
        <w:t>-</w:t>
      </w:r>
      <w:r>
        <w:t>through.  Then the Comments</w:t>
      </w:r>
      <w:r w:rsidR="00B1018F">
        <w:t xml:space="preserve"> add</w:t>
      </w:r>
      <w:r>
        <w:t xml:space="preserve"> that additional rules would be needed to avoid “gaming” if the landlord shops for competitive generation service</w:t>
      </w:r>
      <w:r w:rsidR="00EC04EA">
        <w:t xml:space="preserve">. </w:t>
      </w:r>
      <w:r>
        <w:t xml:space="preserve"> AEP-Ohio/Duke Comments at 28, n.1.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6111" w14:textId="77777777" w:rsidR="00686A01" w:rsidRDefault="00686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FBE0F" w14:textId="77777777" w:rsidR="00686A01" w:rsidRDefault="00686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C59D" w14:textId="77777777" w:rsidR="00686A01" w:rsidRDefault="00686A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150AA" w14:textId="77777777" w:rsidR="00686A01" w:rsidRDefault="00686A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1F032" w14:textId="77777777" w:rsidR="00686A01" w:rsidRDefault="00686A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FD64" w14:textId="77777777" w:rsidR="00686A01" w:rsidRDefault="00686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393F"/>
    <w:multiLevelType w:val="multilevel"/>
    <w:tmpl w:val="DE8E692E"/>
    <w:name w:val="Outline - Traditional Harvard"/>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Roman"/>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abstractNum w:abstractNumId="1" w15:restartNumberingAfterBreak="0">
    <w:nsid w:val="189716C4"/>
    <w:multiLevelType w:val="hybridMultilevel"/>
    <w:tmpl w:val="16BA5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5:33:39&lt;/LastUpdated&gt;&lt;NumberingSchemeID&gt;154&lt;/NumberingSchemeID&gt;&lt;SortOrder&gt;0&lt;/SortOrder&gt;&lt;Name&gt;Outline - Traditional Harvard&lt;/Name&gt;&lt;NameFrench&gt;Plan – Harvard traditionnel&lt;/NameFrench&gt;&lt;Description&gt;Follows traditional outline numbering format, with first level beginning at the left margin.&lt;/Description&gt;&lt;DescriptionFrench&gt;Respecte le format de numérotation de plan traditionnel, avec le premier numéro apparaissant au niveau de la marge de gauche.&lt;/DescriptionFrench&gt;&lt;FilterID&gt;4&lt;/FilterID&gt;&lt;FilterArray&gt;4&lt;/FilterArray&gt;&lt;DefaultNumberOfLevelsInTOC&gt;3&lt;/DefaultNumberOfLevelsInTOC&gt;&lt;CustomTOCAttached&gt;false&lt;/CustomTOCAttached&gt;&lt;DefaultTOCSchemeID&gt;0&lt;/DefaultTOCSchemeID&gt;&lt;BitMapID&gt;523&lt;/BitMapID&gt;&lt;Hidden&gt;false&lt;/Hidden&gt;&lt;ListIndexUsed&gt;0&lt;/ListIndexUsed&gt;&lt;CapturedDocument&gt;\\pcgserver\PcgStaff\MichelleGuyot\Numbering Assistant\2013\New Scheme\Outline Traditional Harvard.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EnforceSchemeFont" w:val="False"/>
    <w:docVar w:name="LastSchemeChoice" w:val="Outline - Traditional Harvard"/>
    <w:docVar w:name="LastSchemeUniqueID" w:val="154"/>
    <w:docVar w:name="LegacyNa" w:val="False"/>
  </w:docVars>
  <w:rsids>
    <w:rsidRoot w:val="004C71D0"/>
    <w:rsid w:val="00005BBF"/>
    <w:rsid w:val="00020632"/>
    <w:rsid w:val="00026AF1"/>
    <w:rsid w:val="0002705C"/>
    <w:rsid w:val="000328C3"/>
    <w:rsid w:val="000332D2"/>
    <w:rsid w:val="00035994"/>
    <w:rsid w:val="00042D6C"/>
    <w:rsid w:val="00044666"/>
    <w:rsid w:val="00050ED1"/>
    <w:rsid w:val="0007397B"/>
    <w:rsid w:val="00083B54"/>
    <w:rsid w:val="00083DF8"/>
    <w:rsid w:val="00086B5D"/>
    <w:rsid w:val="00087547"/>
    <w:rsid w:val="00093116"/>
    <w:rsid w:val="000A1484"/>
    <w:rsid w:val="000A6BD6"/>
    <w:rsid w:val="000B0194"/>
    <w:rsid w:val="000B03BD"/>
    <w:rsid w:val="000B46D4"/>
    <w:rsid w:val="000C166C"/>
    <w:rsid w:val="000C570A"/>
    <w:rsid w:val="000C7CD5"/>
    <w:rsid w:val="000D118F"/>
    <w:rsid w:val="000D1C71"/>
    <w:rsid w:val="000D35C8"/>
    <w:rsid w:val="000D3BF9"/>
    <w:rsid w:val="000D6A4A"/>
    <w:rsid w:val="000E1B4E"/>
    <w:rsid w:val="000E274E"/>
    <w:rsid w:val="000E3A84"/>
    <w:rsid w:val="00102BEA"/>
    <w:rsid w:val="0010617E"/>
    <w:rsid w:val="0010754F"/>
    <w:rsid w:val="00113C94"/>
    <w:rsid w:val="001267C0"/>
    <w:rsid w:val="00135791"/>
    <w:rsid w:val="00137C75"/>
    <w:rsid w:val="00141C2E"/>
    <w:rsid w:val="00142261"/>
    <w:rsid w:val="00143A73"/>
    <w:rsid w:val="00155635"/>
    <w:rsid w:val="00157430"/>
    <w:rsid w:val="00165A1A"/>
    <w:rsid w:val="00166359"/>
    <w:rsid w:val="00175B48"/>
    <w:rsid w:val="00187F57"/>
    <w:rsid w:val="00190537"/>
    <w:rsid w:val="001929F8"/>
    <w:rsid w:val="001964E1"/>
    <w:rsid w:val="0019662E"/>
    <w:rsid w:val="001A3269"/>
    <w:rsid w:val="001A42C8"/>
    <w:rsid w:val="001A5D44"/>
    <w:rsid w:val="001C08E9"/>
    <w:rsid w:val="001C3D85"/>
    <w:rsid w:val="001C3EF3"/>
    <w:rsid w:val="001D122C"/>
    <w:rsid w:val="001D1490"/>
    <w:rsid w:val="001D1A8F"/>
    <w:rsid w:val="001D227D"/>
    <w:rsid w:val="001E0747"/>
    <w:rsid w:val="001F1367"/>
    <w:rsid w:val="001F23D5"/>
    <w:rsid w:val="001F791B"/>
    <w:rsid w:val="00212FD3"/>
    <w:rsid w:val="00217078"/>
    <w:rsid w:val="00217E3F"/>
    <w:rsid w:val="00231EEE"/>
    <w:rsid w:val="0023488C"/>
    <w:rsid w:val="00234A4C"/>
    <w:rsid w:val="00237343"/>
    <w:rsid w:val="0024274E"/>
    <w:rsid w:val="00242BE7"/>
    <w:rsid w:val="002446C5"/>
    <w:rsid w:val="00244A81"/>
    <w:rsid w:val="002457A5"/>
    <w:rsid w:val="00251C60"/>
    <w:rsid w:val="002661C8"/>
    <w:rsid w:val="002667A4"/>
    <w:rsid w:val="00270B2A"/>
    <w:rsid w:val="00271F15"/>
    <w:rsid w:val="00274492"/>
    <w:rsid w:val="0028019A"/>
    <w:rsid w:val="00285575"/>
    <w:rsid w:val="00290640"/>
    <w:rsid w:val="00290F07"/>
    <w:rsid w:val="0029278F"/>
    <w:rsid w:val="00294E64"/>
    <w:rsid w:val="002A12C2"/>
    <w:rsid w:val="002A2BA7"/>
    <w:rsid w:val="002B030F"/>
    <w:rsid w:val="002C4A36"/>
    <w:rsid w:val="002C6167"/>
    <w:rsid w:val="002C7FCD"/>
    <w:rsid w:val="002D4B8F"/>
    <w:rsid w:val="002D70F6"/>
    <w:rsid w:val="002E3A3A"/>
    <w:rsid w:val="0030000E"/>
    <w:rsid w:val="00310D0C"/>
    <w:rsid w:val="00311610"/>
    <w:rsid w:val="00315BE1"/>
    <w:rsid w:val="00316A51"/>
    <w:rsid w:val="00333439"/>
    <w:rsid w:val="00336F34"/>
    <w:rsid w:val="0034303D"/>
    <w:rsid w:val="003437D0"/>
    <w:rsid w:val="003537EE"/>
    <w:rsid w:val="00354BE1"/>
    <w:rsid w:val="00365A64"/>
    <w:rsid w:val="00372338"/>
    <w:rsid w:val="003739F1"/>
    <w:rsid w:val="00373B00"/>
    <w:rsid w:val="00381E46"/>
    <w:rsid w:val="00383158"/>
    <w:rsid w:val="00395524"/>
    <w:rsid w:val="00395B26"/>
    <w:rsid w:val="003A0271"/>
    <w:rsid w:val="003A2D5C"/>
    <w:rsid w:val="003A5460"/>
    <w:rsid w:val="003A683D"/>
    <w:rsid w:val="003B160C"/>
    <w:rsid w:val="003B44FA"/>
    <w:rsid w:val="003C3CB1"/>
    <w:rsid w:val="003C522A"/>
    <w:rsid w:val="003D0B44"/>
    <w:rsid w:val="003D313D"/>
    <w:rsid w:val="003D3222"/>
    <w:rsid w:val="003D35F1"/>
    <w:rsid w:val="003D76D4"/>
    <w:rsid w:val="003E12C8"/>
    <w:rsid w:val="003E2B7A"/>
    <w:rsid w:val="003E2FA6"/>
    <w:rsid w:val="003F33EB"/>
    <w:rsid w:val="00402FDF"/>
    <w:rsid w:val="004078A2"/>
    <w:rsid w:val="004105C8"/>
    <w:rsid w:val="00421F3A"/>
    <w:rsid w:val="00425CD6"/>
    <w:rsid w:val="00434458"/>
    <w:rsid w:val="00442418"/>
    <w:rsid w:val="00455F76"/>
    <w:rsid w:val="00461CDF"/>
    <w:rsid w:val="00463BF7"/>
    <w:rsid w:val="00472F19"/>
    <w:rsid w:val="00473335"/>
    <w:rsid w:val="004766D2"/>
    <w:rsid w:val="004850A4"/>
    <w:rsid w:val="00485E04"/>
    <w:rsid w:val="00487212"/>
    <w:rsid w:val="00490E0F"/>
    <w:rsid w:val="004A1517"/>
    <w:rsid w:val="004A1CE8"/>
    <w:rsid w:val="004B45F0"/>
    <w:rsid w:val="004C45DF"/>
    <w:rsid w:val="004C6BD4"/>
    <w:rsid w:val="004C71D0"/>
    <w:rsid w:val="004D24ED"/>
    <w:rsid w:val="004D45D7"/>
    <w:rsid w:val="004D7279"/>
    <w:rsid w:val="004D731C"/>
    <w:rsid w:val="004E0941"/>
    <w:rsid w:val="004E17C6"/>
    <w:rsid w:val="004E2B25"/>
    <w:rsid w:val="004F063E"/>
    <w:rsid w:val="004F1D51"/>
    <w:rsid w:val="004F6CE9"/>
    <w:rsid w:val="00502AE2"/>
    <w:rsid w:val="00502F85"/>
    <w:rsid w:val="00504B0B"/>
    <w:rsid w:val="00511F0B"/>
    <w:rsid w:val="005122B6"/>
    <w:rsid w:val="0052612E"/>
    <w:rsid w:val="00531DF3"/>
    <w:rsid w:val="00540E9B"/>
    <w:rsid w:val="00546A96"/>
    <w:rsid w:val="005514D0"/>
    <w:rsid w:val="005562CD"/>
    <w:rsid w:val="0055727E"/>
    <w:rsid w:val="005629B7"/>
    <w:rsid w:val="0058413C"/>
    <w:rsid w:val="005B0F04"/>
    <w:rsid w:val="005D5F80"/>
    <w:rsid w:val="005D612D"/>
    <w:rsid w:val="005E059A"/>
    <w:rsid w:val="005E5733"/>
    <w:rsid w:val="005F2163"/>
    <w:rsid w:val="005F4A6A"/>
    <w:rsid w:val="0060231C"/>
    <w:rsid w:val="00611687"/>
    <w:rsid w:val="006124AE"/>
    <w:rsid w:val="00613928"/>
    <w:rsid w:val="00613AD4"/>
    <w:rsid w:val="00617DF3"/>
    <w:rsid w:val="006339A0"/>
    <w:rsid w:val="00634A03"/>
    <w:rsid w:val="006350CB"/>
    <w:rsid w:val="00647837"/>
    <w:rsid w:val="006478E9"/>
    <w:rsid w:val="00655849"/>
    <w:rsid w:val="00664F13"/>
    <w:rsid w:val="00670296"/>
    <w:rsid w:val="006743AF"/>
    <w:rsid w:val="00686A01"/>
    <w:rsid w:val="006B0889"/>
    <w:rsid w:val="006B3CE6"/>
    <w:rsid w:val="006C5868"/>
    <w:rsid w:val="006D4990"/>
    <w:rsid w:val="006E171A"/>
    <w:rsid w:val="006E2D10"/>
    <w:rsid w:val="006E34AE"/>
    <w:rsid w:val="006E3C14"/>
    <w:rsid w:val="006E7015"/>
    <w:rsid w:val="006F142C"/>
    <w:rsid w:val="006F46BA"/>
    <w:rsid w:val="006F6707"/>
    <w:rsid w:val="00703610"/>
    <w:rsid w:val="007045CB"/>
    <w:rsid w:val="007170AC"/>
    <w:rsid w:val="007222C5"/>
    <w:rsid w:val="00732AC9"/>
    <w:rsid w:val="00734570"/>
    <w:rsid w:val="0074696C"/>
    <w:rsid w:val="00747DF2"/>
    <w:rsid w:val="00761E22"/>
    <w:rsid w:val="007723C1"/>
    <w:rsid w:val="00773C88"/>
    <w:rsid w:val="007770E6"/>
    <w:rsid w:val="00782126"/>
    <w:rsid w:val="00783AF3"/>
    <w:rsid w:val="00790068"/>
    <w:rsid w:val="007922A3"/>
    <w:rsid w:val="00796A4C"/>
    <w:rsid w:val="00797C41"/>
    <w:rsid w:val="007A42CD"/>
    <w:rsid w:val="007A467C"/>
    <w:rsid w:val="007A49A1"/>
    <w:rsid w:val="007A67F4"/>
    <w:rsid w:val="007A7B7F"/>
    <w:rsid w:val="007B300D"/>
    <w:rsid w:val="007B5AF3"/>
    <w:rsid w:val="007C0BB2"/>
    <w:rsid w:val="007C797E"/>
    <w:rsid w:val="007D3D20"/>
    <w:rsid w:val="007E2080"/>
    <w:rsid w:val="007E21AC"/>
    <w:rsid w:val="007F390E"/>
    <w:rsid w:val="007F594E"/>
    <w:rsid w:val="007F7E45"/>
    <w:rsid w:val="0080080D"/>
    <w:rsid w:val="00806CCE"/>
    <w:rsid w:val="00815F18"/>
    <w:rsid w:val="00820DB8"/>
    <w:rsid w:val="00821225"/>
    <w:rsid w:val="00827F30"/>
    <w:rsid w:val="00832823"/>
    <w:rsid w:val="00834396"/>
    <w:rsid w:val="008369DB"/>
    <w:rsid w:val="00837A15"/>
    <w:rsid w:val="00840C93"/>
    <w:rsid w:val="00840D73"/>
    <w:rsid w:val="008451D8"/>
    <w:rsid w:val="00845BF1"/>
    <w:rsid w:val="00850F59"/>
    <w:rsid w:val="00855CEA"/>
    <w:rsid w:val="008665AC"/>
    <w:rsid w:val="0086724A"/>
    <w:rsid w:val="0087431E"/>
    <w:rsid w:val="008752D6"/>
    <w:rsid w:val="00875E0D"/>
    <w:rsid w:val="008820A5"/>
    <w:rsid w:val="008A2683"/>
    <w:rsid w:val="008A4FAC"/>
    <w:rsid w:val="008A7859"/>
    <w:rsid w:val="008B29FD"/>
    <w:rsid w:val="008D2246"/>
    <w:rsid w:val="008D51CB"/>
    <w:rsid w:val="008D5322"/>
    <w:rsid w:val="008D6630"/>
    <w:rsid w:val="008E3013"/>
    <w:rsid w:val="008E3BF4"/>
    <w:rsid w:val="008E4399"/>
    <w:rsid w:val="008F5EC7"/>
    <w:rsid w:val="009003BD"/>
    <w:rsid w:val="00902EB9"/>
    <w:rsid w:val="00910722"/>
    <w:rsid w:val="009156FD"/>
    <w:rsid w:val="009179AB"/>
    <w:rsid w:val="0093172A"/>
    <w:rsid w:val="00936E58"/>
    <w:rsid w:val="00943CA8"/>
    <w:rsid w:val="009462EC"/>
    <w:rsid w:val="00947D28"/>
    <w:rsid w:val="009527F6"/>
    <w:rsid w:val="00955B93"/>
    <w:rsid w:val="00955CEB"/>
    <w:rsid w:val="00966D22"/>
    <w:rsid w:val="00967F4E"/>
    <w:rsid w:val="00974F5C"/>
    <w:rsid w:val="00976B63"/>
    <w:rsid w:val="009806AA"/>
    <w:rsid w:val="0098442B"/>
    <w:rsid w:val="00992F42"/>
    <w:rsid w:val="0099571A"/>
    <w:rsid w:val="009A4E5B"/>
    <w:rsid w:val="009A77B8"/>
    <w:rsid w:val="009B56A4"/>
    <w:rsid w:val="009C37A2"/>
    <w:rsid w:val="009D6C25"/>
    <w:rsid w:val="009E2D0F"/>
    <w:rsid w:val="009E4527"/>
    <w:rsid w:val="009E7721"/>
    <w:rsid w:val="009F0E93"/>
    <w:rsid w:val="009F24FE"/>
    <w:rsid w:val="009F6675"/>
    <w:rsid w:val="00A2691A"/>
    <w:rsid w:val="00A33875"/>
    <w:rsid w:val="00A35848"/>
    <w:rsid w:val="00A432C0"/>
    <w:rsid w:val="00A43D6F"/>
    <w:rsid w:val="00A57477"/>
    <w:rsid w:val="00A579E1"/>
    <w:rsid w:val="00A60401"/>
    <w:rsid w:val="00A614DC"/>
    <w:rsid w:val="00A6261C"/>
    <w:rsid w:val="00A64E0F"/>
    <w:rsid w:val="00A75055"/>
    <w:rsid w:val="00A772C4"/>
    <w:rsid w:val="00A8326F"/>
    <w:rsid w:val="00A8352D"/>
    <w:rsid w:val="00A86815"/>
    <w:rsid w:val="00A87789"/>
    <w:rsid w:val="00A92ECC"/>
    <w:rsid w:val="00A95655"/>
    <w:rsid w:val="00AA5109"/>
    <w:rsid w:val="00AA52B3"/>
    <w:rsid w:val="00AA6062"/>
    <w:rsid w:val="00AA6C44"/>
    <w:rsid w:val="00AC3BFA"/>
    <w:rsid w:val="00AD511E"/>
    <w:rsid w:val="00AD5D77"/>
    <w:rsid w:val="00AD7497"/>
    <w:rsid w:val="00AD79FA"/>
    <w:rsid w:val="00AE18CE"/>
    <w:rsid w:val="00AE5D26"/>
    <w:rsid w:val="00AF0FEB"/>
    <w:rsid w:val="00AF1847"/>
    <w:rsid w:val="00B01C2B"/>
    <w:rsid w:val="00B1018F"/>
    <w:rsid w:val="00B13DF8"/>
    <w:rsid w:val="00B14403"/>
    <w:rsid w:val="00B14D9C"/>
    <w:rsid w:val="00B23C87"/>
    <w:rsid w:val="00B31FCD"/>
    <w:rsid w:val="00B32B40"/>
    <w:rsid w:val="00B467A6"/>
    <w:rsid w:val="00B4752F"/>
    <w:rsid w:val="00B51CA9"/>
    <w:rsid w:val="00B56F92"/>
    <w:rsid w:val="00B575AD"/>
    <w:rsid w:val="00B61C21"/>
    <w:rsid w:val="00B63EE2"/>
    <w:rsid w:val="00B713A7"/>
    <w:rsid w:val="00B719CB"/>
    <w:rsid w:val="00B76238"/>
    <w:rsid w:val="00B8283C"/>
    <w:rsid w:val="00B83E9B"/>
    <w:rsid w:val="00B93456"/>
    <w:rsid w:val="00B93786"/>
    <w:rsid w:val="00B94F08"/>
    <w:rsid w:val="00B950B7"/>
    <w:rsid w:val="00B9631A"/>
    <w:rsid w:val="00BA38D3"/>
    <w:rsid w:val="00BA7D93"/>
    <w:rsid w:val="00BC3333"/>
    <w:rsid w:val="00BC617A"/>
    <w:rsid w:val="00BD1ACD"/>
    <w:rsid w:val="00BD1FDA"/>
    <w:rsid w:val="00BD5680"/>
    <w:rsid w:val="00BE449B"/>
    <w:rsid w:val="00BE6448"/>
    <w:rsid w:val="00BF04D6"/>
    <w:rsid w:val="00BF051A"/>
    <w:rsid w:val="00BF513C"/>
    <w:rsid w:val="00C0405A"/>
    <w:rsid w:val="00C05D44"/>
    <w:rsid w:val="00C216BB"/>
    <w:rsid w:val="00C379EE"/>
    <w:rsid w:val="00C426A4"/>
    <w:rsid w:val="00C452BC"/>
    <w:rsid w:val="00C548F3"/>
    <w:rsid w:val="00C64EFB"/>
    <w:rsid w:val="00C67139"/>
    <w:rsid w:val="00C80442"/>
    <w:rsid w:val="00C81FD4"/>
    <w:rsid w:val="00C83091"/>
    <w:rsid w:val="00C87901"/>
    <w:rsid w:val="00C87C16"/>
    <w:rsid w:val="00C92418"/>
    <w:rsid w:val="00C93FD1"/>
    <w:rsid w:val="00CA033A"/>
    <w:rsid w:val="00CA4AE3"/>
    <w:rsid w:val="00CA7FBA"/>
    <w:rsid w:val="00CB2CB2"/>
    <w:rsid w:val="00CB3439"/>
    <w:rsid w:val="00CB4573"/>
    <w:rsid w:val="00CC3846"/>
    <w:rsid w:val="00CD559B"/>
    <w:rsid w:val="00CE333A"/>
    <w:rsid w:val="00CE5561"/>
    <w:rsid w:val="00CF1DFA"/>
    <w:rsid w:val="00CF221D"/>
    <w:rsid w:val="00CF3556"/>
    <w:rsid w:val="00D2123D"/>
    <w:rsid w:val="00D27128"/>
    <w:rsid w:val="00D43A5D"/>
    <w:rsid w:val="00D63FF6"/>
    <w:rsid w:val="00D6530C"/>
    <w:rsid w:val="00D74D60"/>
    <w:rsid w:val="00D75237"/>
    <w:rsid w:val="00D75E88"/>
    <w:rsid w:val="00D80A95"/>
    <w:rsid w:val="00D832E0"/>
    <w:rsid w:val="00DB50F1"/>
    <w:rsid w:val="00DC00DA"/>
    <w:rsid w:val="00DC4D24"/>
    <w:rsid w:val="00DC5707"/>
    <w:rsid w:val="00DC6723"/>
    <w:rsid w:val="00DD39CF"/>
    <w:rsid w:val="00DD4ABF"/>
    <w:rsid w:val="00DD7D69"/>
    <w:rsid w:val="00DE012A"/>
    <w:rsid w:val="00DE190E"/>
    <w:rsid w:val="00DE1C5B"/>
    <w:rsid w:val="00DF3EE3"/>
    <w:rsid w:val="00DF4D63"/>
    <w:rsid w:val="00E03A80"/>
    <w:rsid w:val="00E10CBE"/>
    <w:rsid w:val="00E11479"/>
    <w:rsid w:val="00E20615"/>
    <w:rsid w:val="00E22D5E"/>
    <w:rsid w:val="00E333CA"/>
    <w:rsid w:val="00E373CC"/>
    <w:rsid w:val="00E374BB"/>
    <w:rsid w:val="00E429C3"/>
    <w:rsid w:val="00E52346"/>
    <w:rsid w:val="00E52E59"/>
    <w:rsid w:val="00E54B25"/>
    <w:rsid w:val="00E610B1"/>
    <w:rsid w:val="00E64276"/>
    <w:rsid w:val="00E66B4D"/>
    <w:rsid w:val="00E74EDF"/>
    <w:rsid w:val="00E75326"/>
    <w:rsid w:val="00E808C2"/>
    <w:rsid w:val="00E87A5F"/>
    <w:rsid w:val="00E9095E"/>
    <w:rsid w:val="00E94DD3"/>
    <w:rsid w:val="00EA40AF"/>
    <w:rsid w:val="00EA4AF8"/>
    <w:rsid w:val="00EA5A89"/>
    <w:rsid w:val="00EB23A6"/>
    <w:rsid w:val="00EC04EA"/>
    <w:rsid w:val="00EC3A34"/>
    <w:rsid w:val="00EC5477"/>
    <w:rsid w:val="00ED16DE"/>
    <w:rsid w:val="00ED221F"/>
    <w:rsid w:val="00ED2FE4"/>
    <w:rsid w:val="00ED34AD"/>
    <w:rsid w:val="00ED41AB"/>
    <w:rsid w:val="00ED7CC6"/>
    <w:rsid w:val="00EE025D"/>
    <w:rsid w:val="00EE12C8"/>
    <w:rsid w:val="00EE2413"/>
    <w:rsid w:val="00EE3739"/>
    <w:rsid w:val="00EF0F3A"/>
    <w:rsid w:val="00F035C9"/>
    <w:rsid w:val="00F03F57"/>
    <w:rsid w:val="00F046B1"/>
    <w:rsid w:val="00F10753"/>
    <w:rsid w:val="00F11C76"/>
    <w:rsid w:val="00F14FE5"/>
    <w:rsid w:val="00F34A26"/>
    <w:rsid w:val="00F356A1"/>
    <w:rsid w:val="00F43E95"/>
    <w:rsid w:val="00F45FA2"/>
    <w:rsid w:val="00F46A93"/>
    <w:rsid w:val="00F66382"/>
    <w:rsid w:val="00F677B2"/>
    <w:rsid w:val="00F90639"/>
    <w:rsid w:val="00FA4F96"/>
    <w:rsid w:val="00FB1903"/>
    <w:rsid w:val="00FB7086"/>
    <w:rsid w:val="00FC2616"/>
    <w:rsid w:val="00FC4707"/>
    <w:rsid w:val="00FD061E"/>
    <w:rsid w:val="00FF5BDF"/>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3A45"/>
  <w15:chartTrackingRefBased/>
  <w15:docId w15:val="{A27956AB-0202-48E3-9B02-FAA8825B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B93786"/>
    <w:pPr>
      <w:numPr>
        <w:numId w:val="2"/>
      </w:numPr>
      <w:spacing w:after="240"/>
      <w:outlineLvl w:val="0"/>
    </w:pPr>
    <w:rPr>
      <w:rFonts w:eastAsiaTheme="majorEastAsia" w:cs="Arial"/>
      <w:szCs w:val="32"/>
    </w:rPr>
  </w:style>
  <w:style w:type="paragraph" w:styleId="Heading2">
    <w:name w:val="heading 2"/>
    <w:basedOn w:val="Normal"/>
    <w:next w:val="BodyText"/>
    <w:link w:val="Heading2Char"/>
    <w:uiPriority w:val="9"/>
    <w:unhideWhenUsed/>
    <w:qFormat/>
    <w:rsid w:val="00B93786"/>
    <w:pPr>
      <w:numPr>
        <w:ilvl w:val="1"/>
        <w:numId w:val="2"/>
      </w:numPr>
      <w:tabs>
        <w:tab w:val="left" w:pos="1440"/>
      </w:tabs>
      <w:spacing w:after="240"/>
      <w:outlineLvl w:val="1"/>
    </w:pPr>
    <w:rPr>
      <w:rFonts w:eastAsiaTheme="majorEastAsia" w:cs="Arial"/>
      <w:szCs w:val="26"/>
    </w:rPr>
  </w:style>
  <w:style w:type="paragraph" w:styleId="Heading3">
    <w:name w:val="heading 3"/>
    <w:basedOn w:val="Normal"/>
    <w:next w:val="BodyText"/>
    <w:link w:val="Heading3Char"/>
    <w:uiPriority w:val="9"/>
    <w:semiHidden/>
    <w:unhideWhenUsed/>
    <w:qFormat/>
    <w:rsid w:val="00B93786"/>
    <w:pPr>
      <w:numPr>
        <w:ilvl w:val="2"/>
        <w:numId w:val="2"/>
      </w:numPr>
      <w:tabs>
        <w:tab w:val="left" w:pos="2160"/>
      </w:tabs>
      <w:spacing w:after="240"/>
      <w:outlineLvl w:val="2"/>
    </w:pPr>
    <w:rPr>
      <w:rFonts w:eastAsiaTheme="majorEastAsia" w:cs="Arial"/>
    </w:rPr>
  </w:style>
  <w:style w:type="paragraph" w:styleId="Heading4">
    <w:name w:val="heading 4"/>
    <w:basedOn w:val="Normal"/>
    <w:next w:val="BodyText"/>
    <w:link w:val="Heading4Char"/>
    <w:uiPriority w:val="9"/>
    <w:semiHidden/>
    <w:unhideWhenUsed/>
    <w:qFormat/>
    <w:rsid w:val="00B93786"/>
    <w:pPr>
      <w:numPr>
        <w:ilvl w:val="3"/>
        <w:numId w:val="2"/>
      </w:numPr>
      <w:tabs>
        <w:tab w:val="left" w:pos="2880"/>
      </w:tabs>
      <w:spacing w:after="240"/>
      <w:outlineLvl w:val="3"/>
    </w:pPr>
    <w:rPr>
      <w:rFonts w:eastAsiaTheme="majorEastAsia" w:cs="Arial"/>
      <w:iCs/>
    </w:rPr>
  </w:style>
  <w:style w:type="paragraph" w:styleId="Heading5">
    <w:name w:val="heading 5"/>
    <w:basedOn w:val="Normal"/>
    <w:next w:val="BodyText"/>
    <w:link w:val="Heading5Char"/>
    <w:uiPriority w:val="9"/>
    <w:semiHidden/>
    <w:unhideWhenUsed/>
    <w:qFormat/>
    <w:rsid w:val="00B93786"/>
    <w:pPr>
      <w:numPr>
        <w:ilvl w:val="4"/>
        <w:numId w:val="2"/>
      </w:numPr>
      <w:tabs>
        <w:tab w:val="left" w:pos="3600"/>
      </w:tabs>
      <w:spacing w:after="240"/>
      <w:outlineLvl w:val="4"/>
    </w:pPr>
    <w:rPr>
      <w:rFonts w:eastAsiaTheme="majorEastAsia" w:cs="Arial"/>
    </w:rPr>
  </w:style>
  <w:style w:type="paragraph" w:styleId="Heading6">
    <w:name w:val="heading 6"/>
    <w:basedOn w:val="Normal"/>
    <w:next w:val="BodyText"/>
    <w:link w:val="Heading6Char"/>
    <w:uiPriority w:val="9"/>
    <w:semiHidden/>
    <w:unhideWhenUsed/>
    <w:qFormat/>
    <w:rsid w:val="00B93786"/>
    <w:pPr>
      <w:numPr>
        <w:ilvl w:val="5"/>
        <w:numId w:val="2"/>
      </w:numPr>
      <w:tabs>
        <w:tab w:val="left" w:pos="4320"/>
      </w:tabs>
      <w:spacing w:after="240"/>
      <w:outlineLvl w:val="5"/>
    </w:pPr>
    <w:rPr>
      <w:rFonts w:eastAsiaTheme="majorEastAsia" w:cs="Arial"/>
    </w:rPr>
  </w:style>
  <w:style w:type="paragraph" w:styleId="Heading7">
    <w:name w:val="heading 7"/>
    <w:basedOn w:val="Normal"/>
    <w:next w:val="BodyText"/>
    <w:link w:val="Heading7Char"/>
    <w:uiPriority w:val="9"/>
    <w:semiHidden/>
    <w:unhideWhenUsed/>
    <w:qFormat/>
    <w:rsid w:val="00B93786"/>
    <w:pPr>
      <w:numPr>
        <w:ilvl w:val="6"/>
        <w:numId w:val="2"/>
      </w:numPr>
      <w:tabs>
        <w:tab w:val="left" w:pos="5040"/>
      </w:tabs>
      <w:spacing w:after="240"/>
      <w:outlineLvl w:val="6"/>
    </w:pPr>
    <w:rPr>
      <w:rFonts w:eastAsiaTheme="majorEastAsia" w:cs="Arial"/>
      <w:iCs/>
    </w:rPr>
  </w:style>
  <w:style w:type="paragraph" w:styleId="Heading8">
    <w:name w:val="heading 8"/>
    <w:basedOn w:val="Normal"/>
    <w:next w:val="BodyText"/>
    <w:link w:val="Heading8Char"/>
    <w:uiPriority w:val="9"/>
    <w:semiHidden/>
    <w:unhideWhenUsed/>
    <w:qFormat/>
    <w:rsid w:val="00B93786"/>
    <w:pPr>
      <w:numPr>
        <w:ilvl w:val="7"/>
        <w:numId w:val="2"/>
      </w:numPr>
      <w:tabs>
        <w:tab w:val="left" w:pos="5760"/>
      </w:tabs>
      <w:spacing w:after="240"/>
      <w:outlineLvl w:val="7"/>
    </w:pPr>
    <w:rPr>
      <w:rFonts w:eastAsiaTheme="majorEastAsia" w:cs="Arial"/>
      <w:szCs w:val="21"/>
    </w:rPr>
  </w:style>
  <w:style w:type="paragraph" w:styleId="Heading9">
    <w:name w:val="heading 9"/>
    <w:basedOn w:val="Normal"/>
    <w:next w:val="BodyText"/>
    <w:link w:val="Heading9Char"/>
    <w:uiPriority w:val="9"/>
    <w:semiHidden/>
    <w:unhideWhenUsed/>
    <w:qFormat/>
    <w:rsid w:val="00B93786"/>
    <w:pPr>
      <w:numPr>
        <w:ilvl w:val="8"/>
        <w:numId w:val="2"/>
      </w:numPr>
      <w:tabs>
        <w:tab w:val="left" w:pos="6480"/>
      </w:tabs>
      <w:spacing w:after="240"/>
      <w:outlineLvl w:val="8"/>
    </w:pPr>
    <w:rPr>
      <w:rFonts w:eastAsiaTheme="majorEastAsia" w:cs="Arial"/>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D44"/>
    <w:pPr>
      <w:tabs>
        <w:tab w:val="center" w:pos="4680"/>
        <w:tab w:val="right" w:pos="9360"/>
      </w:tabs>
    </w:pPr>
  </w:style>
  <w:style w:type="character" w:customStyle="1" w:styleId="HeaderChar">
    <w:name w:val="Header Char"/>
    <w:basedOn w:val="DefaultParagraphFont"/>
    <w:link w:val="Header"/>
    <w:uiPriority w:val="99"/>
    <w:rsid w:val="001A5D44"/>
  </w:style>
  <w:style w:type="paragraph" w:styleId="Footer">
    <w:name w:val="footer"/>
    <w:basedOn w:val="Normal"/>
    <w:link w:val="FooterChar"/>
    <w:uiPriority w:val="99"/>
    <w:unhideWhenUsed/>
    <w:rsid w:val="001A5D44"/>
    <w:pPr>
      <w:tabs>
        <w:tab w:val="center" w:pos="4680"/>
        <w:tab w:val="right" w:pos="9360"/>
      </w:tabs>
    </w:pPr>
  </w:style>
  <w:style w:type="character" w:customStyle="1" w:styleId="FooterChar">
    <w:name w:val="Footer Char"/>
    <w:basedOn w:val="DefaultParagraphFont"/>
    <w:link w:val="Footer"/>
    <w:uiPriority w:val="99"/>
    <w:rsid w:val="001A5D44"/>
  </w:style>
  <w:style w:type="table" w:styleId="TableGrid">
    <w:name w:val="Table Grid"/>
    <w:basedOn w:val="TableNormal"/>
    <w:uiPriority w:val="39"/>
    <w:rsid w:val="0002705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6B63"/>
    <w:pPr>
      <w:jc w:val="both"/>
    </w:pPr>
    <w:rPr>
      <w:sz w:val="20"/>
      <w:szCs w:val="20"/>
    </w:rPr>
  </w:style>
  <w:style w:type="character" w:customStyle="1" w:styleId="FootnoteTextChar">
    <w:name w:val="Footnote Text Char"/>
    <w:basedOn w:val="DefaultParagraphFont"/>
    <w:link w:val="FootnoteText"/>
    <w:uiPriority w:val="99"/>
    <w:semiHidden/>
    <w:rsid w:val="00976B63"/>
    <w:rPr>
      <w:sz w:val="20"/>
      <w:szCs w:val="20"/>
    </w:rPr>
  </w:style>
  <w:style w:type="character" w:styleId="FootnoteReference">
    <w:name w:val="footnote reference"/>
    <w:aliases w:val="o,fr,(NECG) Footnote Reference,Style 17,Style 20,Style 13,Style 12,o1,fr1,o2,fr2,o3,fr3,Style 15,Style 8,Style 9,Style 18,Style 7,Style 19,Style 28,Style 42"/>
    <w:unhideWhenUsed/>
    <w:rsid w:val="00976B63"/>
    <w:rPr>
      <w:vertAlign w:val="superscript"/>
    </w:rPr>
  </w:style>
  <w:style w:type="character" w:customStyle="1" w:styleId="Heading1Char">
    <w:name w:val="Heading 1 Char"/>
    <w:basedOn w:val="DefaultParagraphFont"/>
    <w:link w:val="Heading1"/>
    <w:uiPriority w:val="9"/>
    <w:rsid w:val="007C0BB2"/>
    <w:rPr>
      <w:rFonts w:eastAsiaTheme="majorEastAsia" w:cs="Arial"/>
      <w:szCs w:val="32"/>
    </w:rPr>
  </w:style>
  <w:style w:type="character" w:customStyle="1" w:styleId="Heading2Char">
    <w:name w:val="Heading 2 Char"/>
    <w:basedOn w:val="DefaultParagraphFont"/>
    <w:link w:val="Heading2"/>
    <w:uiPriority w:val="9"/>
    <w:rsid w:val="00B93786"/>
    <w:rPr>
      <w:rFonts w:eastAsiaTheme="majorEastAsia" w:cs="Arial"/>
      <w:szCs w:val="26"/>
    </w:rPr>
  </w:style>
  <w:style w:type="character" w:customStyle="1" w:styleId="Heading3Char">
    <w:name w:val="Heading 3 Char"/>
    <w:basedOn w:val="DefaultParagraphFont"/>
    <w:link w:val="Heading3"/>
    <w:uiPriority w:val="9"/>
    <w:semiHidden/>
    <w:rsid w:val="00B93786"/>
    <w:rPr>
      <w:rFonts w:eastAsiaTheme="majorEastAsia" w:cs="Arial"/>
    </w:rPr>
  </w:style>
  <w:style w:type="character" w:customStyle="1" w:styleId="Heading4Char">
    <w:name w:val="Heading 4 Char"/>
    <w:basedOn w:val="DefaultParagraphFont"/>
    <w:link w:val="Heading4"/>
    <w:uiPriority w:val="9"/>
    <w:semiHidden/>
    <w:rsid w:val="00B93786"/>
    <w:rPr>
      <w:rFonts w:eastAsiaTheme="majorEastAsia" w:cs="Arial"/>
      <w:iCs/>
    </w:rPr>
  </w:style>
  <w:style w:type="character" w:customStyle="1" w:styleId="Heading5Char">
    <w:name w:val="Heading 5 Char"/>
    <w:basedOn w:val="DefaultParagraphFont"/>
    <w:link w:val="Heading5"/>
    <w:uiPriority w:val="9"/>
    <w:semiHidden/>
    <w:rsid w:val="00B93786"/>
    <w:rPr>
      <w:rFonts w:eastAsiaTheme="majorEastAsia" w:cs="Arial"/>
    </w:rPr>
  </w:style>
  <w:style w:type="character" w:customStyle="1" w:styleId="Heading6Char">
    <w:name w:val="Heading 6 Char"/>
    <w:basedOn w:val="DefaultParagraphFont"/>
    <w:link w:val="Heading6"/>
    <w:uiPriority w:val="9"/>
    <w:semiHidden/>
    <w:rsid w:val="00B93786"/>
    <w:rPr>
      <w:rFonts w:eastAsiaTheme="majorEastAsia" w:cs="Arial"/>
    </w:rPr>
  </w:style>
  <w:style w:type="character" w:customStyle="1" w:styleId="Heading7Char">
    <w:name w:val="Heading 7 Char"/>
    <w:basedOn w:val="DefaultParagraphFont"/>
    <w:link w:val="Heading7"/>
    <w:uiPriority w:val="9"/>
    <w:semiHidden/>
    <w:rsid w:val="00B93786"/>
    <w:rPr>
      <w:rFonts w:eastAsiaTheme="majorEastAsia" w:cs="Arial"/>
      <w:iCs/>
    </w:rPr>
  </w:style>
  <w:style w:type="character" w:customStyle="1" w:styleId="Heading8Char">
    <w:name w:val="Heading 8 Char"/>
    <w:basedOn w:val="DefaultParagraphFont"/>
    <w:link w:val="Heading8"/>
    <w:uiPriority w:val="9"/>
    <w:semiHidden/>
    <w:rsid w:val="00B93786"/>
    <w:rPr>
      <w:rFonts w:eastAsiaTheme="majorEastAsia" w:cs="Arial"/>
      <w:szCs w:val="21"/>
    </w:rPr>
  </w:style>
  <w:style w:type="character" w:customStyle="1" w:styleId="Heading9Char">
    <w:name w:val="Heading 9 Char"/>
    <w:basedOn w:val="DefaultParagraphFont"/>
    <w:link w:val="Heading9"/>
    <w:uiPriority w:val="9"/>
    <w:semiHidden/>
    <w:rsid w:val="00B93786"/>
    <w:rPr>
      <w:rFonts w:eastAsiaTheme="majorEastAsia" w:cs="Arial"/>
      <w:iCs/>
      <w:szCs w:val="21"/>
    </w:rPr>
  </w:style>
  <w:style w:type="paragraph" w:styleId="BodyText">
    <w:name w:val="Body Text"/>
    <w:basedOn w:val="Normal"/>
    <w:link w:val="BodyTextChar"/>
    <w:uiPriority w:val="99"/>
    <w:semiHidden/>
    <w:unhideWhenUsed/>
    <w:rsid w:val="00B93786"/>
    <w:pPr>
      <w:spacing w:after="120"/>
    </w:pPr>
  </w:style>
  <w:style w:type="character" w:customStyle="1" w:styleId="BodyTextChar">
    <w:name w:val="Body Text Char"/>
    <w:basedOn w:val="DefaultParagraphFont"/>
    <w:link w:val="BodyText"/>
    <w:uiPriority w:val="99"/>
    <w:semiHidden/>
    <w:rsid w:val="00B93786"/>
  </w:style>
  <w:style w:type="paragraph" w:styleId="ListParagraph">
    <w:name w:val="List Paragraph"/>
    <w:basedOn w:val="Normal"/>
    <w:uiPriority w:val="34"/>
    <w:qFormat/>
    <w:rsid w:val="00EB23A6"/>
    <w:pPr>
      <w:ind w:left="720"/>
      <w:contextualSpacing/>
      <w:jc w:val="both"/>
    </w:pPr>
  </w:style>
  <w:style w:type="paragraph" w:styleId="BalloonText">
    <w:name w:val="Balloon Text"/>
    <w:basedOn w:val="Normal"/>
    <w:link w:val="BalloonTextChar"/>
    <w:uiPriority w:val="99"/>
    <w:semiHidden/>
    <w:unhideWhenUsed/>
    <w:rsid w:val="001D1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8F"/>
    <w:rPr>
      <w:rFonts w:ascii="Segoe UI" w:hAnsi="Segoe UI" w:cs="Segoe UI"/>
      <w:sz w:val="18"/>
      <w:szCs w:val="18"/>
    </w:rPr>
  </w:style>
  <w:style w:type="character" w:styleId="CommentReference">
    <w:name w:val="annotation reference"/>
    <w:basedOn w:val="DefaultParagraphFont"/>
    <w:uiPriority w:val="99"/>
    <w:semiHidden/>
    <w:unhideWhenUsed/>
    <w:rsid w:val="000D3BF9"/>
    <w:rPr>
      <w:sz w:val="16"/>
      <w:szCs w:val="16"/>
    </w:rPr>
  </w:style>
  <w:style w:type="paragraph" w:styleId="CommentText">
    <w:name w:val="annotation text"/>
    <w:basedOn w:val="Normal"/>
    <w:link w:val="CommentTextChar"/>
    <w:uiPriority w:val="99"/>
    <w:semiHidden/>
    <w:unhideWhenUsed/>
    <w:rsid w:val="000D3BF9"/>
    <w:rPr>
      <w:sz w:val="20"/>
      <w:szCs w:val="20"/>
    </w:rPr>
  </w:style>
  <w:style w:type="character" w:customStyle="1" w:styleId="CommentTextChar">
    <w:name w:val="Comment Text Char"/>
    <w:basedOn w:val="DefaultParagraphFont"/>
    <w:link w:val="CommentText"/>
    <w:uiPriority w:val="99"/>
    <w:semiHidden/>
    <w:rsid w:val="000D3BF9"/>
    <w:rPr>
      <w:sz w:val="20"/>
      <w:szCs w:val="20"/>
    </w:rPr>
  </w:style>
  <w:style w:type="paragraph" w:styleId="CommentSubject">
    <w:name w:val="annotation subject"/>
    <w:basedOn w:val="CommentText"/>
    <w:next w:val="CommentText"/>
    <w:link w:val="CommentSubjectChar"/>
    <w:uiPriority w:val="99"/>
    <w:semiHidden/>
    <w:unhideWhenUsed/>
    <w:rsid w:val="000D3BF9"/>
    <w:rPr>
      <w:b/>
      <w:bCs/>
    </w:rPr>
  </w:style>
  <w:style w:type="character" w:customStyle="1" w:styleId="CommentSubjectChar">
    <w:name w:val="Comment Subject Char"/>
    <w:basedOn w:val="CommentTextChar"/>
    <w:link w:val="CommentSubject"/>
    <w:uiPriority w:val="99"/>
    <w:semiHidden/>
    <w:rsid w:val="000D3BF9"/>
    <w:rPr>
      <w:b/>
      <w:bCs/>
      <w:sz w:val="20"/>
      <w:szCs w:val="20"/>
    </w:rPr>
  </w:style>
  <w:style w:type="character" w:styleId="Hyperlink">
    <w:name w:val="Hyperlink"/>
    <w:basedOn w:val="DefaultParagraphFont"/>
    <w:uiPriority w:val="99"/>
    <w:unhideWhenUsed/>
    <w:rsid w:val="00165A1A"/>
    <w:rPr>
      <w:color w:val="0000FF" w:themeColor="hyperlink"/>
      <w:u w:val="single"/>
    </w:rPr>
  </w:style>
  <w:style w:type="paragraph" w:styleId="Revision">
    <w:name w:val="Revision"/>
    <w:hidden/>
    <w:uiPriority w:val="99"/>
    <w:semiHidden/>
    <w:rsid w:val="0068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stnourse@ae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hpetricoff@vorys.com" TargetMode="External"/><Relationship Id="rId34" Type="http://schemas.openxmlformats.org/officeDocument/2006/relationships/hyperlink" Target="mailto:joliker@igsenergy.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cmooney@ohiopartners.org" TargetMode="External"/><Relationship Id="rId33" Type="http://schemas.openxmlformats.org/officeDocument/2006/relationships/hyperlink" Target="mailto:William.wright@puc.state.oh.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whitt@whitt-sturtevant.com" TargetMode="External"/><Relationship Id="rId29" Type="http://schemas.openxmlformats.org/officeDocument/2006/relationships/hyperlink" Target="mailto:dborchers@brick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ojko@carpenterlipps.com" TargetMode="External"/><Relationship Id="rId32" Type="http://schemas.openxmlformats.org/officeDocument/2006/relationships/hyperlink" Target="mailto:Randall.Griffin@aes.com" TargetMode="External"/><Relationship Id="rId37" Type="http://schemas.openxmlformats.org/officeDocument/2006/relationships/hyperlink" Target="mailto:Bryce.mckenney@puc.state.oh.u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Jodi.bair@occ.ohio.gov" TargetMode="External"/><Relationship Id="rId28" Type="http://schemas.openxmlformats.org/officeDocument/2006/relationships/hyperlink" Target="mailto:msmckenzie@aep.com" TargetMode="External"/><Relationship Id="rId36" Type="http://schemas.openxmlformats.org/officeDocument/2006/relationships/hyperlink" Target="mailto:campbell@whitt-sturtevant.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mcorbett@calfe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ichael.schuler@occ.ohio.gov" TargetMode="External"/><Relationship Id="rId27" Type="http://schemas.openxmlformats.org/officeDocument/2006/relationships/hyperlink" Target="mailto:mjsatterwhite@aep.com" TargetMode="External"/><Relationship Id="rId30" Type="http://schemas.openxmlformats.org/officeDocument/2006/relationships/hyperlink" Target="mailto:slesser@calfee.com" TargetMode="External"/><Relationship Id="rId35" Type="http://schemas.openxmlformats.org/officeDocument/2006/relationships/hyperlink" Target="mailto:mswhite@ig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D809-1E9E-4802-9B21-8078DCC1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12</Pages>
  <Words>2262</Words>
  <Characters>13409</Characters>
  <Application>Microsoft Office Word</Application>
  <DocSecurity>0</DocSecurity>
  <PresentationFormat/>
  <Lines>398</Lines>
  <Paragraphs>182</Paragraphs>
  <ScaleCrop>false</ScaleCrop>
  <HeadingPairs>
    <vt:vector size="2" baseType="variant">
      <vt:variant>
        <vt:lpstr>Title</vt:lpstr>
      </vt:variant>
      <vt:variant>
        <vt:i4>1</vt:i4>
      </vt:variant>
    </vt:vector>
  </HeadingPairs>
  <TitlesOfParts>
    <vt:vector size="1" baseType="lpstr">
      <vt:lpstr>submetering reply comments (C49233).DOCX</vt:lpstr>
    </vt:vector>
  </TitlesOfParts>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submetering reply comments (C49233).DOCX</dc:title>
  <dc:subject>C49233: /font=8</dc:subject>
  <dc:creator>Frank Darr</dc:creator>
  <cp:keywords/>
  <dc:description/>
  <cp:lastModifiedBy>Karen Bowman</cp:lastModifiedBy>
  <cp:revision>44</cp:revision>
  <cp:lastPrinted>2016-02-05T13:36:00Z</cp:lastPrinted>
  <dcterms:created xsi:type="dcterms:W3CDTF">2016-01-25T19:51:00Z</dcterms:created>
  <dcterms:modified xsi:type="dcterms:W3CDTF">2016-02-05T16:17:00Z</dcterms:modified>
</cp:coreProperties>
</file>