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CE0DD0" w:rsidP="00385757">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CE0DD0" w:rsidP="00CE0DD0">
      <w:pPr>
        <w:pStyle w:val="HTMLPreformatted"/>
        <w:jc w:val="center"/>
        <w:rPr>
          <w:rFonts w:ascii="Times New Roman" w:hAnsi="Times New Roman"/>
          <w:sz w:val="24"/>
        </w:rPr>
      </w:pPr>
      <w:r>
        <w:rPr>
          <w:rFonts w:ascii="Times New Roman" w:hAnsi="Times New Roman"/>
          <w:b/>
          <w:bCs/>
          <w:sz w:val="24"/>
        </w:rPr>
        <w:t>THE PUBLIC UTILITIES COMMISSION OF OHIO</w:t>
      </w:r>
    </w:p>
    <w:p w:rsidR="00CE0DD0" w:rsidP="00CE0DD0">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EB166D">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CE0DD0" w:rsidRPr="00600521" w:rsidP="00EB166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w:t>
            </w:r>
            <w:r>
              <w:rPr>
                <w:rFonts w:ascii="Times New Roman" w:eastAsia="Courier New" w:hAnsi="Times New Roman" w:cs="Courier New"/>
                <w:sz w:val="24"/>
                <w:szCs w:val="24"/>
                <w:lang w:val="en-US" w:eastAsia="en-US" w:bidi="ar-SA"/>
              </w:rPr>
              <w:t>he PowerForward Collaborative.</w:t>
            </w:r>
          </w:p>
          <w:p w:rsidR="00CE0DD0" w:rsidP="00EB166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p>
          <w:p w:rsidR="00CE0DD0" w:rsidRPr="00600521" w:rsidP="00EB166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w:t>
            </w:r>
            <w:r>
              <w:rPr>
                <w:rFonts w:ascii="Times New Roman" w:eastAsia="Courier New" w:hAnsi="Times New Roman" w:cs="Courier New"/>
                <w:sz w:val="24"/>
                <w:szCs w:val="24"/>
                <w:lang w:val="en-US" w:eastAsia="en-US" w:bidi="ar-SA"/>
              </w:rPr>
              <w:t>he PowerForward Distribution System Planning Working Group.</w:t>
            </w:r>
          </w:p>
        </w:tc>
        <w:tc>
          <w:tcPr>
            <w:tcW w:w="360" w:type="dxa"/>
            <w:shd w:val="clear" w:color="auto" w:fill="auto"/>
          </w:tcPr>
          <w:p w:rsidR="00CE0DD0" w:rsidRPr="00A044B5" w:rsidP="00EB166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CE0DD0" w:rsidRPr="00A044B5" w:rsidP="00EB166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CE0DD0" w:rsidRPr="00A044B5" w:rsidP="00EB166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p>
          <w:p w:rsidR="00CE0DD0" w:rsidRPr="00A044B5" w:rsidP="00EB166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CE0DD0" w:rsidRPr="00A044B5" w:rsidP="00EB166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CE0DD0" w:rsidRPr="00A044B5" w:rsidP="00CE0D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tc>
        <w:tc>
          <w:tcPr>
            <w:tcW w:w="4400" w:type="dxa"/>
            <w:shd w:val="clear" w:color="auto" w:fill="auto"/>
          </w:tcPr>
          <w:p w:rsidR="00CE0DD0" w:rsidP="00EB166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p>
          <w:p w:rsidR="00CE0DD0" w:rsidRPr="00A044B5" w:rsidP="00EB166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Case No. 18-1595-EL-GRD</w:t>
            </w:r>
          </w:p>
          <w:p w:rsidR="00CE0DD0" w:rsidP="00EB166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p>
          <w:p w:rsidR="00CE0DD0" w:rsidP="00EB166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p>
          <w:p w:rsidR="00CE0DD0" w:rsidP="00EB166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 xml:space="preserve">Case No. </w:t>
            </w:r>
            <w:r>
              <w:rPr>
                <w:rFonts w:ascii="Times New Roman" w:eastAsia="Courier New" w:hAnsi="Times New Roman" w:cs="Courier New"/>
                <w:sz w:val="24"/>
                <w:szCs w:val="20"/>
                <w:lang w:val="en-US" w:eastAsia="en-US" w:bidi="ar-SA"/>
              </w:rPr>
              <w:t>18-1596-EL-GRD</w:t>
            </w:r>
          </w:p>
          <w:p w:rsidR="00CE0DD0" w:rsidRPr="00A044B5" w:rsidP="00EB166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p>
        </w:tc>
      </w:tr>
    </w:tbl>
    <w:p w:rsidR="00CE0DD0" w:rsidP="00CE0DD0">
      <w:pPr>
        <w:pStyle w:val="HTMLPreformatted"/>
        <w:rPr>
          <w:rFonts w:ascii="Times New Roman" w:hAnsi="Times New Roman"/>
          <w:sz w:val="24"/>
        </w:rPr>
      </w:pPr>
    </w:p>
    <w:p w:rsidR="00CE0DD0" w:rsidP="00CE0DD0">
      <w:pPr>
        <w:pStyle w:val="HTMLPreformatted"/>
        <w:pBdr>
          <w:top w:val="single" w:sz="12" w:space="1" w:color="auto"/>
        </w:pBdr>
        <w:rPr>
          <w:rFonts w:ascii="Times New Roman" w:hAnsi="Times New Roman"/>
          <w:sz w:val="24"/>
        </w:rPr>
      </w:pPr>
    </w:p>
    <w:p w:rsidR="00CE0DD0" w:rsidP="00CE0DD0">
      <w:pPr>
        <w:jc w:val="center"/>
        <w:rPr>
          <w:b/>
          <w:bCs/>
        </w:rPr>
      </w:pPr>
      <w:r>
        <w:rPr>
          <w:b/>
          <w:bCs/>
        </w:rPr>
        <w:t>COMMENTS</w:t>
      </w:r>
    </w:p>
    <w:p w:rsidR="00CE0DD0" w:rsidP="00CE0DD0">
      <w:pPr>
        <w:jc w:val="center"/>
        <w:rPr>
          <w:b/>
          <w:bCs/>
        </w:rPr>
      </w:pPr>
      <w:r>
        <w:rPr>
          <w:b/>
          <w:bCs/>
        </w:rPr>
        <w:t>BY</w:t>
      </w:r>
    </w:p>
    <w:p w:rsidR="00CE0DD0" w:rsidP="00CE0DD0">
      <w:pPr>
        <w:jc w:val="center"/>
        <w:rPr>
          <w:b/>
          <w:bCs/>
        </w:rPr>
      </w:pPr>
      <w:r>
        <w:rPr>
          <w:b/>
          <w:bCs/>
        </w:rPr>
        <w:t>THE OFFICE OF THE OHIO CONSUMERS’ COUNSEL</w:t>
      </w:r>
    </w:p>
    <w:p w:rsidR="00CE0DD0" w:rsidP="00CE0DD0">
      <w:pPr>
        <w:pBdr>
          <w:bottom w:val="single" w:sz="12" w:space="1" w:color="auto"/>
        </w:pBdr>
        <w:tabs>
          <w:tab w:val="left" w:pos="4320"/>
        </w:tabs>
      </w:pPr>
    </w:p>
    <w:p w:rsidR="009C37D8" w:rsidRPr="009C37D8" w:rsidP="009C37D8">
      <w:pPr>
        <w:spacing w:before="240" w:line="480" w:lineRule="auto"/>
        <w:rPr>
          <w:b/>
        </w:rPr>
      </w:pPr>
      <w:r>
        <w:rPr>
          <w:b/>
        </w:rPr>
        <w:t>I.</w:t>
      </w:r>
      <w:r>
        <w:rPr>
          <w:b/>
        </w:rPr>
        <w:tab/>
        <w:t>INTRODUCTION</w:t>
      </w:r>
    </w:p>
    <w:p w:rsidR="002956E9" w:rsidP="00CE0DD0">
      <w:pPr>
        <w:spacing w:line="480" w:lineRule="auto"/>
        <w:ind w:firstLine="720"/>
      </w:pPr>
      <w:r>
        <w:t xml:space="preserve">The Public Utilities Commission of Ohio’s (“PUCO”) PowerForward initiative </w:t>
      </w:r>
      <w:r w:rsidR="00BE4063">
        <w:t>is an opportunity to</w:t>
      </w:r>
      <w:r>
        <w:t xml:space="preserve"> focus on maximizing the benefits that customers receive from investments in the electric grid and minimizing the costs that they pay for those investments. More importantly, the PUCO should </w:t>
      </w:r>
      <w:r w:rsidR="006E1C30">
        <w:t xml:space="preserve">give </w:t>
      </w:r>
      <w:r>
        <w:t>consumers</w:t>
      </w:r>
      <w:r w:rsidR="006E1C30">
        <w:t xml:space="preserve"> the protection of Ohio law</w:t>
      </w:r>
      <w:r>
        <w:t xml:space="preserve"> </w:t>
      </w:r>
      <w:r w:rsidR="006E1C30">
        <w:t xml:space="preserve">that </w:t>
      </w:r>
      <w:r>
        <w:t>requir</w:t>
      </w:r>
      <w:r w:rsidR="006E1C30">
        <w:t>es</w:t>
      </w:r>
      <w:r>
        <w:t xml:space="preserve"> utilities to provide safe, reliable, and affordable service. </w:t>
      </w:r>
    </w:p>
    <w:p w:rsidR="00EC748F" w:rsidP="00CE0DD0">
      <w:pPr>
        <w:spacing w:line="480" w:lineRule="auto"/>
        <w:ind w:firstLine="720"/>
      </w:pPr>
      <w:r>
        <w:t xml:space="preserve">The PUCO’s recently-published </w:t>
      </w:r>
      <w:r>
        <w:rPr>
          <w:i/>
        </w:rPr>
        <w:t>PowerForward: A Roadmap to Ohio’s Electricity Future</w:t>
      </w:r>
      <w:r>
        <w:t xml:space="preserve"> (the “PowerForward Roadmap”)</w:t>
      </w:r>
      <w:r>
        <w:rPr>
          <w:rStyle w:val="FootnoteReference"/>
        </w:rPr>
        <w:footnoteReference w:id="2"/>
      </w:r>
      <w:r>
        <w:t xml:space="preserve"> provides a starting point for </w:t>
      </w:r>
      <w:r w:rsidR="00D67FC2">
        <w:t>Ohio utilities that are investing in grid-modernization. But there is more work to be done before utilities invest in—and charge customers for—</w:t>
      </w:r>
      <w:r w:rsidR="000F11E8">
        <w:t xml:space="preserve">hundreds of millions (if not </w:t>
      </w:r>
      <w:r w:rsidR="00D67FC2">
        <w:t>billions</w:t>
      </w:r>
      <w:r w:rsidR="000F11E8">
        <w:t>)</w:t>
      </w:r>
      <w:r w:rsidR="00D67FC2">
        <w:t xml:space="preserve"> of dollars of utility infrastructure. Recognizing this, the PUCO </w:t>
      </w:r>
      <w:r w:rsidR="00AA7603">
        <w:t xml:space="preserve">established </w:t>
      </w:r>
      <w:r w:rsidR="00D67FC2">
        <w:t xml:space="preserve">three stakeholder groups: </w:t>
      </w:r>
      <w:r w:rsidR="00AA7603">
        <w:t>a PowerForward Collaborative</w:t>
      </w:r>
      <w:r w:rsidR="00E0182D">
        <w:t>,</w:t>
      </w:r>
      <w:r w:rsidR="00AA7603">
        <w:t xml:space="preserve"> a Distribution System Planning Workgroup</w:t>
      </w:r>
      <w:r w:rsidR="00E0182D">
        <w:t>,</w:t>
      </w:r>
      <w:r w:rsidR="00AA7603">
        <w:t xml:space="preserve"> and a Data and Modern Grid Workgroup.</w:t>
      </w:r>
    </w:p>
    <w:p w:rsidR="001411F9" w:rsidP="00302E4D">
      <w:pPr>
        <w:spacing w:line="480" w:lineRule="auto"/>
        <w:ind w:firstLine="720"/>
      </w:pPr>
      <w:r>
        <w:t xml:space="preserve">The PUCO also </w:t>
      </w:r>
      <w:r w:rsidR="00AA7603">
        <w:t xml:space="preserve">directed each electric distribution utility </w:t>
      </w:r>
      <w:r w:rsidR="005223AB">
        <w:t xml:space="preserve">(“EDU”) </w:t>
      </w:r>
      <w:r w:rsidR="00AA7603">
        <w:t xml:space="preserve">in Ohio to </w:t>
      </w:r>
      <w:r w:rsidR="00EC748F">
        <w:t xml:space="preserve">prepare and publicly file </w:t>
      </w:r>
      <w:r w:rsidR="00302E4D">
        <w:t>two</w:t>
      </w:r>
      <w:r w:rsidR="00EC748F">
        <w:t xml:space="preserve"> reports regarding their current capabilities</w:t>
      </w:r>
      <w:r w:rsidR="00302E4D">
        <w:t xml:space="preserve"> by April 1, 2019: (i) </w:t>
      </w:r>
      <w:r w:rsidR="00AA7603">
        <w:t>the status of the utility’s grid architecture</w:t>
      </w:r>
      <w:r w:rsidR="00E474B3">
        <w:t>,</w:t>
      </w:r>
      <w:r w:rsidR="00302E4D">
        <w:t xml:space="preserve"> and (ii) </w:t>
      </w:r>
      <w:r w:rsidRPr="000500EE">
        <w:rPr>
          <w:szCs w:val="24"/>
        </w:rPr>
        <w:t xml:space="preserve">a current-state assessment of </w:t>
      </w:r>
      <w:r w:rsidR="005223AB">
        <w:rPr>
          <w:szCs w:val="24"/>
        </w:rPr>
        <w:t>its</w:t>
      </w:r>
      <w:r w:rsidRPr="000500EE">
        <w:rPr>
          <w:szCs w:val="24"/>
        </w:rPr>
        <w:t xml:space="preserve"> distribution system</w:t>
      </w:r>
      <w:r w:rsidR="00EC748F">
        <w:rPr>
          <w:szCs w:val="24"/>
        </w:rPr>
        <w:t>, which will address the utility’s ability to safely integrate distributed energy resources and other new technology.</w:t>
      </w:r>
      <w:r>
        <w:rPr>
          <w:rStyle w:val="FootnoteReference"/>
        </w:rPr>
        <w:footnoteReference w:id="3"/>
      </w:r>
      <w:r w:rsidRPr="000500EE">
        <w:rPr>
          <w:szCs w:val="24"/>
        </w:rPr>
        <w:t xml:space="preserve"> </w:t>
      </w:r>
    </w:p>
    <w:p w:rsidR="00302E4D" w:rsidP="001A02C4">
      <w:pPr>
        <w:spacing w:line="480" w:lineRule="auto"/>
        <w:ind w:firstLine="720"/>
      </w:pPr>
      <w:r>
        <w:t xml:space="preserve">The Office of the Ohio Consumers’ Counsel (“OCC”) </w:t>
      </w:r>
      <w:r w:rsidR="00EC748F">
        <w:t>represents</w:t>
      </w:r>
      <w:r w:rsidR="00F92EB6">
        <w:t xml:space="preserve"> 4.5 million residential customers</w:t>
      </w:r>
      <w:r w:rsidR="00EC748F">
        <w:t xml:space="preserve"> of Ohio’s electric distribution utilities</w:t>
      </w:r>
      <w:r>
        <w:t>.</w:t>
      </w:r>
      <w:r w:rsidR="001A02C4">
        <w:t xml:space="preserve"> OCC </w:t>
      </w:r>
      <w:r w:rsidR="000F11E8">
        <w:t xml:space="preserve">appreciates the opportunity to share </w:t>
      </w:r>
      <w:r w:rsidR="00F97982">
        <w:t>comments</w:t>
      </w:r>
      <w:r w:rsidR="000F11E8">
        <w:t xml:space="preserve"> on this important initiative and </w:t>
      </w:r>
      <w:r w:rsidR="001A02C4">
        <w:t xml:space="preserve">recommends that the PUCO adopt the consumer-protection recommendations below. OCC </w:t>
      </w:r>
      <w:r>
        <w:t>looks forward to continuing to work with the PUCO Staff and other parties through the various PowerForward workgroups created in these cases.</w:t>
      </w:r>
    </w:p>
    <w:p w:rsidR="00B70919" w:rsidP="00B70919">
      <w:pPr>
        <w:spacing w:before="240" w:line="480" w:lineRule="auto"/>
        <w:rPr>
          <w:b/>
        </w:rPr>
      </w:pPr>
      <w:r>
        <w:rPr>
          <w:b/>
        </w:rPr>
        <w:t>II.</w:t>
      </w:r>
      <w:r>
        <w:rPr>
          <w:b/>
        </w:rPr>
        <w:tab/>
        <w:t>RECOMMENDATIONS</w:t>
      </w:r>
    </w:p>
    <w:p w:rsidR="000878AA" w:rsidRPr="00F27CC6" w:rsidP="006B3862">
      <w:pPr>
        <w:pStyle w:val="ListParagraph"/>
        <w:numPr>
          <w:ilvl w:val="0"/>
          <w:numId w:val="1"/>
        </w:numPr>
        <w:spacing w:after="240"/>
        <w:ind w:left="1440" w:right="720" w:hanging="720"/>
        <w:contextualSpacing w:val="0"/>
        <w:rPr>
          <w:b/>
        </w:rPr>
      </w:pPr>
      <w:r w:rsidRPr="00F27CC6">
        <w:rPr>
          <w:b/>
        </w:rPr>
        <w:t xml:space="preserve">The </w:t>
      </w:r>
      <w:r w:rsidR="001A02C4">
        <w:rPr>
          <w:b/>
        </w:rPr>
        <w:t xml:space="preserve">EDUs’ </w:t>
      </w:r>
      <w:r>
        <w:rPr>
          <w:b/>
        </w:rPr>
        <w:t>g</w:t>
      </w:r>
      <w:r w:rsidRPr="00F27CC6">
        <w:rPr>
          <w:b/>
        </w:rPr>
        <w:t xml:space="preserve">rid </w:t>
      </w:r>
      <w:r>
        <w:rPr>
          <w:b/>
        </w:rPr>
        <w:t>a</w:t>
      </w:r>
      <w:r w:rsidRPr="00F27CC6">
        <w:rPr>
          <w:b/>
        </w:rPr>
        <w:t xml:space="preserve">rchitecture reports must be sufficiently detailed to enable a thorough examination </w:t>
      </w:r>
      <w:r w:rsidR="00BC1181">
        <w:rPr>
          <w:b/>
        </w:rPr>
        <w:t>and assessment</w:t>
      </w:r>
      <w:r w:rsidR="00575AD2">
        <w:rPr>
          <w:b/>
        </w:rPr>
        <w:t xml:space="preserve"> of customer benefits and costs</w:t>
      </w:r>
      <w:r w:rsidR="00BC1181">
        <w:rPr>
          <w:b/>
        </w:rPr>
        <w:t xml:space="preserve"> </w:t>
      </w:r>
      <w:r w:rsidRPr="00F27CC6">
        <w:rPr>
          <w:b/>
        </w:rPr>
        <w:t>by the PUCO and other stakeholders.</w:t>
      </w:r>
    </w:p>
    <w:p w:rsidR="00AA5218" w:rsidP="00C27183">
      <w:pPr>
        <w:spacing w:line="480" w:lineRule="auto"/>
        <w:ind w:firstLine="720"/>
      </w:pPr>
      <w:r>
        <w:t xml:space="preserve">The </w:t>
      </w:r>
      <w:r w:rsidR="000878AA">
        <w:t xml:space="preserve">utilities’ </w:t>
      </w:r>
      <w:r>
        <w:t xml:space="preserve">grid architecture status reports need to contain sufficient detail to enable </w:t>
      </w:r>
      <w:r w:rsidR="00482C94">
        <w:t xml:space="preserve">parties to understand </w:t>
      </w:r>
      <w:r>
        <w:t>the grid capabilities that exist today</w:t>
      </w:r>
      <w:r w:rsidR="00D129F6">
        <w:t xml:space="preserve"> for at least the </w:t>
      </w:r>
      <w:r w:rsidR="00081971">
        <w:t xml:space="preserve">five </w:t>
      </w:r>
      <w:r w:rsidR="00D129F6">
        <w:t>major categories</w:t>
      </w:r>
      <w:r w:rsidR="00D425CF">
        <w:t xml:space="preserve"> (Field Automation, Substation Automation, Operational Communications Infrastructure, Sensing and Measurement, and Operational Analytics)</w:t>
      </w:r>
      <w:r w:rsidR="00D129F6">
        <w:t xml:space="preserve"> identified in the PowerForward Roadmap.</w:t>
      </w:r>
      <w:r>
        <w:rPr>
          <w:rStyle w:val="FootnoteReference"/>
        </w:rPr>
        <w:footnoteReference w:id="4"/>
      </w:r>
      <w:r w:rsidR="00D129F6">
        <w:t xml:space="preserve"> </w:t>
      </w:r>
      <w:r w:rsidR="00482C94">
        <w:t>Understanding today’s capabilities is essential before moving forward with plans to enhance or expand the utilities</w:t>
      </w:r>
      <w:r w:rsidR="00AE292A">
        <w:t>’</w:t>
      </w:r>
      <w:r w:rsidR="00482C94">
        <w:t xml:space="preserve"> grid that may </w:t>
      </w:r>
      <w:r w:rsidR="00482C94">
        <w:t xml:space="preserve">require customers to </w:t>
      </w:r>
      <w:r w:rsidR="00132BB2">
        <w:t>pay</w:t>
      </w:r>
      <w:r w:rsidR="00482C94">
        <w:t xml:space="preserve"> hundreds of millions of dollar</w:t>
      </w:r>
      <w:r w:rsidR="00132BB2">
        <w:t>s</w:t>
      </w:r>
      <w:r w:rsidR="00482C94">
        <w:t>. For instance, m</w:t>
      </w:r>
      <w:r w:rsidR="000878AA">
        <w:t>any of Ohio’s electric utilities</w:t>
      </w:r>
      <w:r w:rsidR="00CC15ED">
        <w:t xml:space="preserve"> have implemented technologies such as</w:t>
      </w:r>
      <w:r w:rsidR="00B53D2F">
        <w:t xml:space="preserve"> supervisory control and data acquisition</w:t>
      </w:r>
      <w:r w:rsidR="000878AA">
        <w:t xml:space="preserve"> (SCADA)</w:t>
      </w:r>
      <w:r w:rsidR="00CC15ED">
        <w:t xml:space="preserve">, outage management systems, and asset management programs </w:t>
      </w:r>
      <w:r w:rsidR="000878AA">
        <w:t>in recent</w:t>
      </w:r>
      <w:r w:rsidR="00CC15ED">
        <w:t xml:space="preserve"> years. </w:t>
      </w:r>
      <w:r>
        <w:t>A thorough understanding of the</w:t>
      </w:r>
      <w:r w:rsidR="0020445A">
        <w:t xml:space="preserve">se </w:t>
      </w:r>
      <w:r>
        <w:t>capabilities as they exist today</w:t>
      </w:r>
      <w:r w:rsidR="00BC1181">
        <w:t>, to be provided in the grid architecture report,</w:t>
      </w:r>
      <w:r>
        <w:t xml:space="preserve"> is necessary </w:t>
      </w:r>
      <w:r w:rsidR="00C7213F">
        <w:t xml:space="preserve">to </w:t>
      </w:r>
      <w:r w:rsidR="0020445A">
        <w:t>evaluat</w:t>
      </w:r>
      <w:r w:rsidR="000878AA">
        <w:t>e</w:t>
      </w:r>
      <w:r w:rsidR="0020445A">
        <w:t xml:space="preserve"> </w:t>
      </w:r>
      <w:r w:rsidR="00557022">
        <w:t xml:space="preserve">the benefits and costs of future enhancements </w:t>
      </w:r>
      <w:r w:rsidR="00524032">
        <w:t xml:space="preserve">that may be </w:t>
      </w:r>
      <w:r w:rsidR="00972FBE">
        <w:t xml:space="preserve">proposed </w:t>
      </w:r>
      <w:r w:rsidR="00557022">
        <w:t>i</w:t>
      </w:r>
      <w:r w:rsidR="0020445A">
        <w:t xml:space="preserve">n the </w:t>
      </w:r>
      <w:r w:rsidR="00D425CF">
        <w:t xml:space="preserve">utilities’ </w:t>
      </w:r>
      <w:r>
        <w:t>grid</w:t>
      </w:r>
      <w:r w:rsidR="0020445A">
        <w:t xml:space="preserve"> architecture</w:t>
      </w:r>
      <w:r w:rsidR="00D425CF">
        <w:t xml:space="preserve"> </w:t>
      </w:r>
      <w:r w:rsidR="00BC1181">
        <w:t>initiatives</w:t>
      </w:r>
      <w:r w:rsidR="0020445A">
        <w:t>.</w:t>
      </w:r>
    </w:p>
    <w:p w:rsidR="00C7213F" w:rsidP="00C27183">
      <w:pPr>
        <w:spacing w:line="480" w:lineRule="auto"/>
        <w:ind w:firstLine="720"/>
      </w:pPr>
      <w:r>
        <w:t>Further, t</w:t>
      </w:r>
      <w:r w:rsidR="00CC15ED">
        <w:t xml:space="preserve">he </w:t>
      </w:r>
      <w:r w:rsidR="00557022">
        <w:t>PUCO has approved riders that result in customers paying for smart grid capabilities such as distribution automation, smart meters, volt-var optimization, and associated analytics</w:t>
      </w:r>
      <w:r w:rsidR="000878AA">
        <w:t>, among other things</w:t>
      </w:r>
      <w:r w:rsidR="00557022">
        <w:t>.</w:t>
      </w:r>
      <w:r>
        <w:rPr>
          <w:rStyle w:val="FootnoteReference"/>
        </w:rPr>
        <w:footnoteReference w:id="5"/>
      </w:r>
      <w:r w:rsidR="00557022">
        <w:t xml:space="preserve"> </w:t>
      </w:r>
      <w:r w:rsidR="009D0095">
        <w:t>T</w:t>
      </w:r>
      <w:r w:rsidR="00557022">
        <w:t xml:space="preserve">he grid architecture status reports </w:t>
      </w:r>
      <w:r w:rsidR="00972FBE">
        <w:t xml:space="preserve">need to identify and describe how </w:t>
      </w:r>
      <w:r w:rsidR="00905ED8">
        <w:t xml:space="preserve">and when </w:t>
      </w:r>
      <w:r w:rsidR="00972FBE">
        <w:t xml:space="preserve">these programs </w:t>
      </w:r>
      <w:r w:rsidR="00905ED8">
        <w:t xml:space="preserve">will </w:t>
      </w:r>
      <w:r w:rsidR="00972FBE">
        <w:t xml:space="preserve">be integrated into the existing </w:t>
      </w:r>
      <w:r w:rsidR="009D2102">
        <w:t xml:space="preserve">electric </w:t>
      </w:r>
      <w:r w:rsidR="00972FBE">
        <w:t xml:space="preserve">distribution grid over the next several years. </w:t>
      </w:r>
      <w:r w:rsidR="000F11E8">
        <w:t>And consumers should be protected from redundant investments or planned obsolescence.</w:t>
      </w:r>
    </w:p>
    <w:p w:rsidR="00006311" w:rsidRPr="00006311" w:rsidP="00C27183">
      <w:pPr>
        <w:spacing w:line="480" w:lineRule="auto"/>
        <w:ind w:firstLine="720"/>
      </w:pPr>
      <w:r>
        <w:t>In the PowerForward Roadmap, t</w:t>
      </w:r>
      <w:r w:rsidR="00972FBE">
        <w:t xml:space="preserve">he </w:t>
      </w:r>
      <w:r w:rsidR="00C7213F">
        <w:t xml:space="preserve">PUCO </w:t>
      </w:r>
      <w:r>
        <w:t>expressed a desire</w:t>
      </w:r>
      <w:r w:rsidR="00905DAE">
        <w:t xml:space="preserve"> to </w:t>
      </w:r>
      <w:r w:rsidR="00972FBE">
        <w:t xml:space="preserve">implement performance based ratemaking </w:t>
      </w:r>
      <w:r w:rsidR="007451B1">
        <w:t xml:space="preserve">in approving </w:t>
      </w:r>
      <w:r w:rsidR="00D425CF">
        <w:t xml:space="preserve">charges to customers for </w:t>
      </w:r>
      <w:r w:rsidR="007451B1">
        <w:t>grid modernization</w:t>
      </w:r>
      <w:r w:rsidR="009D2102">
        <w:t>.</w:t>
      </w:r>
      <w:r>
        <w:rPr>
          <w:rStyle w:val="FootnoteReference"/>
        </w:rPr>
        <w:footnoteReference w:id="6"/>
      </w:r>
      <w:r w:rsidR="009D2102">
        <w:t xml:space="preserve"> Hence</w:t>
      </w:r>
      <w:r w:rsidR="007451B1">
        <w:t xml:space="preserve">, </w:t>
      </w:r>
      <w:r w:rsidR="00972FBE">
        <w:t xml:space="preserve">the grid architecture status reports should identify specific performance measures </w:t>
      </w:r>
      <w:r w:rsidR="00132BB2">
        <w:t>to be</w:t>
      </w:r>
      <w:r w:rsidR="009D2102">
        <w:t xml:space="preserve"> </w:t>
      </w:r>
      <w:r w:rsidR="007451B1">
        <w:t xml:space="preserve">used </w:t>
      </w:r>
      <w:r w:rsidR="009D2102">
        <w:t xml:space="preserve">in </w:t>
      </w:r>
      <w:r w:rsidR="00972FBE">
        <w:t>evaluat</w:t>
      </w:r>
      <w:r w:rsidR="009D2102">
        <w:t>ing</w:t>
      </w:r>
      <w:r w:rsidR="00972FBE">
        <w:t xml:space="preserve"> the effectiveness </w:t>
      </w:r>
      <w:r w:rsidR="007451B1">
        <w:t>of the investments that</w:t>
      </w:r>
      <w:r w:rsidR="00132BB2">
        <w:t xml:space="preserve"> have been and could be made to the grid</w:t>
      </w:r>
      <w:r w:rsidR="007451B1">
        <w:t>. To the extent that the PUCO has approved an EDU</w:t>
      </w:r>
      <w:r w:rsidR="009D2102">
        <w:t>’s</w:t>
      </w:r>
      <w:r w:rsidR="007451B1">
        <w:t xml:space="preserve"> grid modernization rider that do</w:t>
      </w:r>
      <w:r w:rsidR="00105643">
        <w:t xml:space="preserve">es </w:t>
      </w:r>
      <w:r w:rsidR="007451B1">
        <w:t>not include</w:t>
      </w:r>
      <w:r w:rsidR="00105643">
        <w:t xml:space="preserve"> </w:t>
      </w:r>
      <w:r w:rsidR="007451B1">
        <w:t xml:space="preserve">specific performance measures, the </w:t>
      </w:r>
      <w:r w:rsidR="009D2102">
        <w:t xml:space="preserve">PUCO </w:t>
      </w:r>
      <w:r w:rsidR="007451B1">
        <w:t xml:space="preserve">should </w:t>
      </w:r>
      <w:r w:rsidR="009D2102">
        <w:t xml:space="preserve">adopt </w:t>
      </w:r>
      <w:r w:rsidR="00596213">
        <w:t xml:space="preserve">appropriate </w:t>
      </w:r>
      <w:r w:rsidR="007451B1">
        <w:t>performance measures</w:t>
      </w:r>
      <w:r w:rsidR="00BC1181">
        <w:t>,</w:t>
      </w:r>
      <w:r w:rsidR="007451B1">
        <w:t xml:space="preserve"> </w:t>
      </w:r>
      <w:r w:rsidR="00BC1181">
        <w:t xml:space="preserve">as part of the rider, </w:t>
      </w:r>
      <w:r w:rsidR="00596213">
        <w:t xml:space="preserve">that will be used to evaluate the effectiveness of </w:t>
      </w:r>
      <w:r w:rsidR="009D2102">
        <w:t xml:space="preserve">the EDU’s </w:t>
      </w:r>
      <w:r w:rsidR="00596213">
        <w:t>grid modernization programs.</w:t>
      </w:r>
      <w:r w:rsidR="00BC1181">
        <w:t xml:space="preserve"> The effectiveness of the grid modernization programs should be used in deciding if the existing</w:t>
      </w:r>
      <w:r w:rsidR="00A95577">
        <w:t xml:space="preserve"> or new riders </w:t>
      </w:r>
      <w:r w:rsidR="000F11E8">
        <w:t xml:space="preserve">should </w:t>
      </w:r>
      <w:r w:rsidR="00A95577">
        <w:t>be abolished, modified</w:t>
      </w:r>
      <w:r w:rsidR="00E474B3">
        <w:t>,</w:t>
      </w:r>
      <w:r w:rsidR="00A95577">
        <w:t xml:space="preserve"> or continued. </w:t>
      </w:r>
      <w:r w:rsidR="000F11E8">
        <w:t>And all grid modernization investments should remain subject to traditional ratemaking principles</w:t>
      </w:r>
      <w:r w:rsidR="00575AD2">
        <w:t>,</w:t>
      </w:r>
      <w:r w:rsidR="000F11E8">
        <w:t xml:space="preserve"> </w:t>
      </w:r>
      <w:r w:rsidR="00575AD2">
        <w:t>such as the used and useful standard and prudence, for determining whether consumers should pay costs</w:t>
      </w:r>
      <w:r w:rsidR="000F11E8">
        <w:t>.</w:t>
      </w:r>
    </w:p>
    <w:p w:rsidR="007C3F13" w:rsidRPr="00F27CC6" w:rsidP="006B3862">
      <w:pPr>
        <w:pStyle w:val="ListParagraph"/>
        <w:numPr>
          <w:ilvl w:val="0"/>
          <w:numId w:val="1"/>
        </w:numPr>
        <w:spacing w:after="240"/>
        <w:ind w:left="1440" w:right="720" w:hanging="720"/>
        <w:contextualSpacing w:val="0"/>
        <w:rPr>
          <w:b/>
        </w:rPr>
      </w:pPr>
      <w:r w:rsidRPr="00F27CC6">
        <w:rPr>
          <w:b/>
        </w:rPr>
        <w:t xml:space="preserve">The </w:t>
      </w:r>
      <w:r w:rsidR="00C15ECA">
        <w:rPr>
          <w:b/>
        </w:rPr>
        <w:t xml:space="preserve">EDUs’ </w:t>
      </w:r>
      <w:r w:rsidRPr="00F27CC6">
        <w:rPr>
          <w:b/>
        </w:rPr>
        <w:t xml:space="preserve">grid architecture </w:t>
      </w:r>
      <w:r w:rsidRPr="00F27CC6" w:rsidR="004636B6">
        <w:rPr>
          <w:b/>
        </w:rPr>
        <w:t xml:space="preserve">status </w:t>
      </w:r>
      <w:r w:rsidRPr="00F27CC6">
        <w:rPr>
          <w:b/>
        </w:rPr>
        <w:t>reports</w:t>
      </w:r>
      <w:r w:rsidR="008D4184">
        <w:rPr>
          <w:b/>
        </w:rPr>
        <w:t xml:space="preserve"> should</w:t>
      </w:r>
      <w:r w:rsidRPr="00F27CC6">
        <w:rPr>
          <w:b/>
        </w:rPr>
        <w:t xml:space="preserve"> </w:t>
      </w:r>
      <w:r w:rsidRPr="00F27CC6" w:rsidR="001C3C33">
        <w:rPr>
          <w:b/>
        </w:rPr>
        <w:t xml:space="preserve">include information about </w:t>
      </w:r>
      <w:r w:rsidRPr="00F27CC6" w:rsidR="00C5167C">
        <w:rPr>
          <w:b/>
        </w:rPr>
        <w:t>the impact that</w:t>
      </w:r>
      <w:r w:rsidR="00482C94">
        <w:rPr>
          <w:b/>
        </w:rPr>
        <w:t xml:space="preserve"> customer-funded </w:t>
      </w:r>
      <w:r w:rsidRPr="00F27CC6">
        <w:rPr>
          <w:b/>
        </w:rPr>
        <w:t xml:space="preserve">distribution </w:t>
      </w:r>
      <w:r w:rsidRPr="00F27CC6" w:rsidR="00533E11">
        <w:rPr>
          <w:b/>
        </w:rPr>
        <w:t xml:space="preserve">system capital investment riders </w:t>
      </w:r>
      <w:r w:rsidRPr="00F27CC6" w:rsidR="006A407D">
        <w:rPr>
          <w:b/>
        </w:rPr>
        <w:t>a</w:t>
      </w:r>
      <w:r w:rsidRPr="00F27CC6" w:rsidR="00C5167C">
        <w:rPr>
          <w:b/>
        </w:rPr>
        <w:t xml:space="preserve">re having </w:t>
      </w:r>
      <w:r w:rsidRPr="00F27CC6">
        <w:rPr>
          <w:b/>
        </w:rPr>
        <w:t>on grid modernization</w:t>
      </w:r>
      <w:r w:rsidR="00575AD2">
        <w:rPr>
          <w:b/>
        </w:rPr>
        <w:t xml:space="preserve"> and the customers served by grid modernization</w:t>
      </w:r>
      <w:r w:rsidRPr="00F27CC6">
        <w:rPr>
          <w:b/>
        </w:rPr>
        <w:t>.</w:t>
      </w:r>
    </w:p>
    <w:p w:rsidR="008146C5" w:rsidP="00C27183">
      <w:pPr>
        <w:spacing w:line="480" w:lineRule="auto"/>
        <w:ind w:firstLine="720"/>
      </w:pPr>
      <w:r>
        <w:t xml:space="preserve">The PUCO has approved </w:t>
      </w:r>
      <w:r w:rsidR="00533E11">
        <w:t>distribution system capital investment riders</w:t>
      </w:r>
      <w:r w:rsidR="00575AD2">
        <w:t>, for utilities to charge costs to customers,</w:t>
      </w:r>
      <w:r w:rsidR="00533E11">
        <w:t xml:space="preserve"> for each of the EDUs</w:t>
      </w:r>
      <w:r w:rsidR="00726470">
        <w:t>,</w:t>
      </w:r>
      <w:r w:rsidR="00533E11">
        <w:t xml:space="preserve"> as reflected in the PowerForward Roadmap.</w:t>
      </w:r>
      <w:r>
        <w:rPr>
          <w:rStyle w:val="FootnoteReference"/>
        </w:rPr>
        <w:footnoteReference w:id="7"/>
      </w:r>
      <w:r w:rsidR="00533E11">
        <w:t xml:space="preserve"> </w:t>
      </w:r>
      <w:r w:rsidR="00696CA3">
        <w:t>Under these</w:t>
      </w:r>
      <w:r w:rsidR="00533E11">
        <w:t xml:space="preserve"> riders</w:t>
      </w:r>
      <w:r w:rsidR="00E474B3">
        <w:t>,</w:t>
      </w:r>
      <w:r w:rsidR="004F4E4D">
        <w:t xml:space="preserve"> </w:t>
      </w:r>
      <w:r w:rsidR="00E474B3">
        <w:t>which</w:t>
      </w:r>
      <w:r w:rsidR="004F4E4D">
        <w:t xml:space="preserve"> are favorable to utilities</w:t>
      </w:r>
      <w:r w:rsidR="00696CA3">
        <w:t xml:space="preserve">, utilities charge </w:t>
      </w:r>
      <w:r w:rsidR="00533E11">
        <w:t>customers</w:t>
      </w:r>
      <w:r w:rsidR="00575AD2">
        <w:t xml:space="preserve"> for grid expenditures</w:t>
      </w:r>
      <w:r w:rsidR="00696CA3">
        <w:t xml:space="preserve"> on an </w:t>
      </w:r>
      <w:r w:rsidR="00A95577">
        <w:t xml:space="preserve">accelerated and </w:t>
      </w:r>
      <w:r w:rsidR="00696CA3">
        <w:t>expedited basis</w:t>
      </w:r>
      <w:r w:rsidR="00A95577">
        <w:t xml:space="preserve"> and</w:t>
      </w:r>
      <w:r w:rsidR="00575AD2">
        <w:t>,</w:t>
      </w:r>
      <w:r w:rsidR="00A95577">
        <w:t xml:space="preserve"> in many instance</w:t>
      </w:r>
      <w:r w:rsidR="00132BB2">
        <w:t>s</w:t>
      </w:r>
      <w:r w:rsidR="00575AD2">
        <w:t>,</w:t>
      </w:r>
      <w:r w:rsidR="00A95577">
        <w:t xml:space="preserve"> before the prudence and used and useful standards are being met</w:t>
      </w:r>
      <w:r w:rsidR="00575AD2">
        <w:t xml:space="preserve"> for determining whether customers should pay.</w:t>
      </w:r>
      <w:r>
        <w:rPr>
          <w:rStyle w:val="FootnoteReference"/>
        </w:rPr>
        <w:footnoteReference w:id="8"/>
      </w:r>
      <w:r w:rsidR="00533E11">
        <w:t xml:space="preserve"> </w:t>
      </w:r>
      <w:r w:rsidR="00482C94">
        <w:t>Customers have paid hundreds of millions of dollars</w:t>
      </w:r>
      <w:r w:rsidR="004F4E4D">
        <w:t xml:space="preserve"> to utilities</w:t>
      </w:r>
      <w:r w:rsidR="00482C94">
        <w:t xml:space="preserve"> under these riders. Customer</w:t>
      </w:r>
      <w:r w:rsidR="00132BB2">
        <w:t>s generally</w:t>
      </w:r>
      <w:r w:rsidR="00482C94">
        <w:t xml:space="preserve"> fund </w:t>
      </w:r>
      <w:r w:rsidR="00F27CC6">
        <w:t xml:space="preserve">a return on and of </w:t>
      </w:r>
      <w:r w:rsidR="00696CA3">
        <w:t xml:space="preserve">these </w:t>
      </w:r>
      <w:r w:rsidR="00F27CC6">
        <w:t>distribution infrastructure modernization investments</w:t>
      </w:r>
      <w:r w:rsidR="00A95577">
        <w:t xml:space="preserve"> through </w:t>
      </w:r>
      <w:r w:rsidR="00482C94">
        <w:t xml:space="preserve">this </w:t>
      </w:r>
      <w:r w:rsidR="00A95577">
        <w:t>single-issue ratemaking</w:t>
      </w:r>
      <w:r w:rsidR="00F27CC6">
        <w:t>.</w:t>
      </w:r>
    </w:p>
    <w:p w:rsidR="00205B9D" w:rsidP="00C27183">
      <w:pPr>
        <w:spacing w:line="480" w:lineRule="auto"/>
        <w:ind w:firstLine="720"/>
      </w:pPr>
      <w:r>
        <w:t xml:space="preserve">Despite the </w:t>
      </w:r>
      <w:r w:rsidR="00696CA3">
        <w:t xml:space="preserve">money that utilities charge </w:t>
      </w:r>
      <w:r>
        <w:t>customer</w:t>
      </w:r>
      <w:r w:rsidR="00696CA3">
        <w:t>s</w:t>
      </w:r>
      <w:r>
        <w:t xml:space="preserve"> </w:t>
      </w:r>
      <w:r w:rsidR="008146C5">
        <w:t xml:space="preserve">through </w:t>
      </w:r>
      <w:r>
        <w:t xml:space="preserve">these riders, there are </w:t>
      </w:r>
      <w:r w:rsidR="00726470">
        <w:t xml:space="preserve">often </w:t>
      </w:r>
      <w:r>
        <w:t xml:space="preserve">few </w:t>
      </w:r>
      <w:r w:rsidR="00F27CC6">
        <w:t xml:space="preserve">(if any) </w:t>
      </w:r>
      <w:r>
        <w:t xml:space="preserve">details about </w:t>
      </w:r>
      <w:r w:rsidR="00A95577">
        <w:t xml:space="preserve">the </w:t>
      </w:r>
      <w:r>
        <w:t xml:space="preserve">specific programs </w:t>
      </w:r>
      <w:r w:rsidR="00F27CC6">
        <w:t xml:space="preserve">that </w:t>
      </w:r>
      <w:r w:rsidR="003F2ECC">
        <w:t xml:space="preserve">customers are </w:t>
      </w:r>
      <w:r w:rsidR="00F27CC6">
        <w:t>fund</w:t>
      </w:r>
      <w:r w:rsidR="003F2ECC">
        <w:t>ing</w:t>
      </w:r>
      <w:r w:rsidR="008146C5">
        <w:t>. Little is known about</w:t>
      </w:r>
      <w:r w:rsidR="00F27CC6">
        <w:t xml:space="preserve"> </w:t>
      </w:r>
      <w:r w:rsidR="00F23474">
        <w:t xml:space="preserve">how </w:t>
      </w:r>
      <w:r w:rsidR="009822C7">
        <w:t xml:space="preserve">these programs are </w:t>
      </w:r>
      <w:r w:rsidR="00F23474">
        <w:t xml:space="preserve">helping customers. </w:t>
      </w:r>
      <w:r w:rsidR="008146C5">
        <w:t>For the PUCO to better determine the status of the grid architecture</w:t>
      </w:r>
      <w:r>
        <w:t>,</w:t>
      </w:r>
      <w:r w:rsidR="008146C5">
        <w:t xml:space="preserve"> </w:t>
      </w:r>
      <w:r>
        <w:t xml:space="preserve">the grid architecture status reports should </w:t>
      </w:r>
      <w:r w:rsidR="00696CA3">
        <w:t xml:space="preserve">include </w:t>
      </w:r>
      <w:r>
        <w:t xml:space="preserve">a </w:t>
      </w:r>
      <w:r w:rsidR="00C5167C">
        <w:t xml:space="preserve">description of the programs that </w:t>
      </w:r>
      <w:r w:rsidR="003F2ECC">
        <w:t xml:space="preserve">customers </w:t>
      </w:r>
      <w:r w:rsidR="00C5167C">
        <w:t>are fund</w:t>
      </w:r>
      <w:r w:rsidR="003F2ECC">
        <w:t>ing</w:t>
      </w:r>
      <w:r w:rsidR="00C5167C">
        <w:t xml:space="preserve"> through the capital </w:t>
      </w:r>
      <w:r w:rsidR="00F27CC6">
        <w:t xml:space="preserve">investment </w:t>
      </w:r>
      <w:r w:rsidR="00C5167C">
        <w:t>riders</w:t>
      </w:r>
      <w:r w:rsidR="003F2ECC">
        <w:t>. And the reports should describe</w:t>
      </w:r>
      <w:r>
        <w:t xml:space="preserve"> the </w:t>
      </w:r>
      <w:r w:rsidR="00696CA3">
        <w:t>impact</w:t>
      </w:r>
      <w:r w:rsidR="00F23474">
        <w:t xml:space="preserve">s of </w:t>
      </w:r>
      <w:r>
        <w:t>such</w:t>
      </w:r>
      <w:r w:rsidR="003F2ECC">
        <w:t xml:space="preserve"> customer</w:t>
      </w:r>
      <w:r>
        <w:t xml:space="preserve"> funding</w:t>
      </w:r>
      <w:r w:rsidR="00211A0F">
        <w:t xml:space="preserve"> on distribution grid modernization, as well as</w:t>
      </w:r>
      <w:r w:rsidR="00F23474">
        <w:t xml:space="preserve"> issues that concern customers, including reliability of the grid.</w:t>
      </w:r>
    </w:p>
    <w:p w:rsidR="005F775E" w:rsidP="00C27183">
      <w:pPr>
        <w:spacing w:line="480" w:lineRule="auto"/>
        <w:ind w:firstLine="720"/>
      </w:pPr>
      <w:r>
        <w:t xml:space="preserve">Further, </w:t>
      </w:r>
      <w:r w:rsidR="00696CA3">
        <w:t>these riders should be subject to the PowerForward Roadmap’s policy that electric utilities investing in grid modernization “will have to bear some risk for their failure to either hit performance benchmarks or contain costs within approved levels.”</w:t>
      </w:r>
      <w:r>
        <w:rPr>
          <w:rStyle w:val="FootnoteReference"/>
        </w:rPr>
        <w:footnoteReference w:id="9"/>
      </w:r>
      <w:r>
        <w:t xml:space="preserve"> These </w:t>
      </w:r>
      <w:r w:rsidR="00696CA3">
        <w:t>benchmarks</w:t>
      </w:r>
      <w:r>
        <w:t xml:space="preserve"> should</w:t>
      </w:r>
      <w:r w:rsidR="00F27CC6">
        <w:t xml:space="preserve"> be </w:t>
      </w:r>
      <w:r w:rsidR="00EE6EF5">
        <w:t xml:space="preserve">monitored and measured on a </w:t>
      </w:r>
      <w:r w:rsidR="00386284">
        <w:t>going</w:t>
      </w:r>
      <w:r w:rsidR="00A45F8F">
        <w:t>-</w:t>
      </w:r>
      <w:r w:rsidR="00386284">
        <w:t xml:space="preserve">forward basis to evaluate the effectiveness of </w:t>
      </w:r>
      <w:r w:rsidR="00EE6EF5">
        <w:t>each EDU</w:t>
      </w:r>
      <w:r>
        <w:t>’s</w:t>
      </w:r>
      <w:r w:rsidR="00EE6EF5">
        <w:t xml:space="preserve"> </w:t>
      </w:r>
      <w:r w:rsidR="00386284">
        <w:t xml:space="preserve">capital </w:t>
      </w:r>
      <w:r w:rsidR="00F27CC6">
        <w:t xml:space="preserve">investment </w:t>
      </w:r>
      <w:r w:rsidR="00386284">
        <w:t xml:space="preserve">rider in </w:t>
      </w:r>
      <w:r w:rsidR="00F27CC6">
        <w:t xml:space="preserve">fulfilling </w:t>
      </w:r>
      <w:r w:rsidR="00386284">
        <w:t>PowerForward objectives</w:t>
      </w:r>
      <w:r w:rsidR="003F2ECC">
        <w:t xml:space="preserve"> for utility customers</w:t>
      </w:r>
      <w:r w:rsidR="00386284">
        <w:t>.</w:t>
      </w:r>
    </w:p>
    <w:p w:rsidR="008742C6" w:rsidRPr="00672357" w:rsidP="006B3862">
      <w:pPr>
        <w:pStyle w:val="ListParagraph"/>
        <w:numPr>
          <w:ilvl w:val="0"/>
          <w:numId w:val="1"/>
        </w:numPr>
        <w:spacing w:after="240"/>
        <w:ind w:left="1440" w:right="720" w:hanging="720"/>
        <w:contextualSpacing w:val="0"/>
        <w:rPr>
          <w:b/>
        </w:rPr>
      </w:pPr>
      <w:r w:rsidRPr="00672357">
        <w:rPr>
          <w:b/>
        </w:rPr>
        <w:t xml:space="preserve">In addition to </w:t>
      </w:r>
      <w:r w:rsidR="00E7363A">
        <w:rPr>
          <w:b/>
        </w:rPr>
        <w:t xml:space="preserve">requiring EDUs to describe their involvement in </w:t>
      </w:r>
      <w:r w:rsidR="00726470">
        <w:rPr>
          <w:b/>
        </w:rPr>
        <w:t>distributed energy resources</w:t>
      </w:r>
      <w:r w:rsidR="00E7363A">
        <w:rPr>
          <w:b/>
        </w:rPr>
        <w:t xml:space="preserve"> in </w:t>
      </w:r>
      <w:r w:rsidRPr="00672357">
        <w:rPr>
          <w:b/>
        </w:rPr>
        <w:t xml:space="preserve">the </w:t>
      </w:r>
      <w:r w:rsidRPr="00672357" w:rsidR="005B444E">
        <w:rPr>
          <w:b/>
        </w:rPr>
        <w:t>current state assessment reports</w:t>
      </w:r>
      <w:r w:rsidRPr="00672357">
        <w:rPr>
          <w:b/>
        </w:rPr>
        <w:t xml:space="preserve">, the PUCO must ensure that sufficient </w:t>
      </w:r>
      <w:r w:rsidR="00A1507E">
        <w:rPr>
          <w:b/>
        </w:rPr>
        <w:t xml:space="preserve">consumer </w:t>
      </w:r>
      <w:r w:rsidRPr="00672357">
        <w:rPr>
          <w:b/>
        </w:rPr>
        <w:t xml:space="preserve">protections exist as </w:t>
      </w:r>
      <w:r w:rsidRPr="00672357" w:rsidR="005B444E">
        <w:rPr>
          <w:b/>
        </w:rPr>
        <w:t xml:space="preserve">distributed energy resources and behind-the-meter services are being considered. </w:t>
      </w:r>
    </w:p>
    <w:p w:rsidR="00672357" w:rsidP="00C27183">
      <w:pPr>
        <w:spacing w:line="480" w:lineRule="auto"/>
        <w:ind w:firstLine="720"/>
      </w:pPr>
      <w:r>
        <w:t>T</w:t>
      </w:r>
      <w:r w:rsidR="008742C6">
        <w:t xml:space="preserve">he PowerForward </w:t>
      </w:r>
      <w:r w:rsidR="00282F6C">
        <w:t>R</w:t>
      </w:r>
      <w:r w:rsidR="008742C6">
        <w:t>oadmap</w:t>
      </w:r>
      <w:r>
        <w:t xml:space="preserve"> provides that the pursuit of an enhanced customer experience through innovation is more likely to succeed in the competitive marketplace than in a regulated environment.</w:t>
      </w:r>
      <w:r>
        <w:rPr>
          <w:rStyle w:val="FootnoteReference"/>
        </w:rPr>
        <w:footnoteReference w:id="10"/>
      </w:r>
      <w:r>
        <w:t xml:space="preserve"> OCC recommends that the </w:t>
      </w:r>
      <w:r w:rsidR="00C37892">
        <w:t>c</w:t>
      </w:r>
      <w:r>
        <w:t xml:space="preserve">ollaborative </w:t>
      </w:r>
      <w:r w:rsidR="00C37892">
        <w:t xml:space="preserve">and working group </w:t>
      </w:r>
      <w:r>
        <w:t>process</w:t>
      </w:r>
      <w:r w:rsidR="00C37892">
        <w:t>es</w:t>
      </w:r>
      <w:r>
        <w:t xml:space="preserve"> </w:t>
      </w:r>
      <w:r w:rsidR="008742C6">
        <w:t xml:space="preserve">safeguard a level competitive playing field for net metering and distributed energy resources (“DER”) customers. </w:t>
      </w:r>
      <w:r w:rsidR="00C37892">
        <w:t>C</w:t>
      </w:r>
      <w:r w:rsidR="008742C6">
        <w:t xml:space="preserve">aptive monopoly local distribution customers should not be required to fund any renewable or storage service located on a customer’s premise after the meter. </w:t>
      </w:r>
    </w:p>
    <w:p w:rsidR="008742C6" w:rsidP="00C27183">
      <w:pPr>
        <w:spacing w:line="480" w:lineRule="auto"/>
        <w:ind w:firstLine="720"/>
      </w:pPr>
      <w:r>
        <w:t xml:space="preserve">If storage services are permitted and deployed on the utility’s side of the meter to enhance service reliability, the </w:t>
      </w:r>
      <w:r w:rsidR="00C37892">
        <w:t xml:space="preserve">PUCO should establish </w:t>
      </w:r>
      <w:r w:rsidR="00F53078">
        <w:t>guidelines</w:t>
      </w:r>
      <w:r w:rsidR="00C37892">
        <w:t xml:space="preserve"> or</w:t>
      </w:r>
      <w:r>
        <w:t xml:space="preserve"> rules t</w:t>
      </w:r>
      <w:r w:rsidR="00F53078">
        <w:t>hat</w:t>
      </w:r>
      <w:r>
        <w:t xml:space="preserve"> prevent these services from participating in wholesale markets beyond any level needed to enhance local distribution reliability. That is, these captive-customer funded generation-like services should not be permitted to participate in wholesale markets for the sole purpose for producing revenues and profits because this captive customer subsidized generation will adversely impact wholesale markets to the detriment of consumers. Likewise, to the extent EDU storage services result in wholesale market revenues, such monies should be used to defray the cost of the storage facilities that the captive EDU customers </w:t>
      </w:r>
      <w:r w:rsidR="00F23474">
        <w:t xml:space="preserve">have </w:t>
      </w:r>
      <w:r>
        <w:t>funded.</w:t>
      </w:r>
    </w:p>
    <w:p w:rsidR="00B70919" w:rsidP="00C27183">
      <w:pPr>
        <w:spacing w:line="480" w:lineRule="auto"/>
        <w:ind w:firstLine="720"/>
      </w:pPr>
      <w:r>
        <w:t>C</w:t>
      </w:r>
      <w:r w:rsidR="008742C6">
        <w:t>onsistent with the PowerForward Roadmap, the PUCO should endeavor to promote a fair, open, and transparent marketplace for the provision of unregulated DER services.</w:t>
      </w:r>
    </w:p>
    <w:p w:rsidR="00282F6C" w:rsidP="006B3862">
      <w:pPr>
        <w:pStyle w:val="ListParagraph"/>
        <w:numPr>
          <w:ilvl w:val="0"/>
          <w:numId w:val="1"/>
        </w:numPr>
        <w:ind w:left="1440" w:right="720" w:hanging="720"/>
        <w:rPr>
          <w:b/>
        </w:rPr>
      </w:pPr>
      <w:r w:rsidRPr="00BC272D">
        <w:rPr>
          <w:b/>
        </w:rPr>
        <w:t>In addition to the grid architecture status reports</w:t>
      </w:r>
      <w:r>
        <w:rPr>
          <w:b/>
        </w:rPr>
        <w:t xml:space="preserve"> and current state assessments</w:t>
      </w:r>
      <w:r w:rsidRPr="00BC272D">
        <w:rPr>
          <w:b/>
        </w:rPr>
        <w:t>, the PUCO should</w:t>
      </w:r>
      <w:r w:rsidR="003F2ECC">
        <w:rPr>
          <w:b/>
        </w:rPr>
        <w:t xml:space="preserve"> protect consumers by</w:t>
      </w:r>
      <w:r w:rsidRPr="00BC272D">
        <w:rPr>
          <w:b/>
        </w:rPr>
        <w:t xml:space="preserve"> initiat</w:t>
      </w:r>
      <w:r w:rsidR="003F2ECC">
        <w:rPr>
          <w:b/>
        </w:rPr>
        <w:t>ing</w:t>
      </w:r>
      <w:r w:rsidRPr="00BC272D">
        <w:rPr>
          <w:b/>
        </w:rPr>
        <w:t xml:space="preserve"> rules </w:t>
      </w:r>
      <w:r w:rsidR="003F2ECC">
        <w:rPr>
          <w:b/>
        </w:rPr>
        <w:t xml:space="preserve">to </w:t>
      </w:r>
      <w:r w:rsidRPr="00BC272D">
        <w:rPr>
          <w:b/>
        </w:rPr>
        <w:t>establish minimum content for future grid modernization proposals.</w:t>
      </w:r>
    </w:p>
    <w:p w:rsidR="00282F6C" w:rsidP="00282F6C">
      <w:pPr>
        <w:rPr>
          <w:b/>
        </w:rPr>
      </w:pPr>
    </w:p>
    <w:p w:rsidR="00282F6C" w:rsidP="001A02C4">
      <w:pPr>
        <w:spacing w:line="480" w:lineRule="auto"/>
        <w:ind w:firstLine="720"/>
      </w:pPr>
      <w:r w:rsidRPr="00BC272D">
        <w:t xml:space="preserve">The </w:t>
      </w:r>
      <w:r w:rsidR="00DC1573">
        <w:t>A</w:t>
      </w:r>
      <w:r w:rsidRPr="00BC272D">
        <w:t xml:space="preserve">ttorney </w:t>
      </w:r>
      <w:r w:rsidR="00DC1573">
        <w:t>E</w:t>
      </w:r>
      <w:r w:rsidRPr="00BC272D">
        <w:t xml:space="preserve">xaminer </w:t>
      </w:r>
      <w:r w:rsidR="00726470">
        <w:t>found</w:t>
      </w:r>
      <w:r w:rsidRPr="00BC272D">
        <w:t xml:space="preserve"> that any applications for future investment should include at the onset all infrastructure required to support future functionality.</w:t>
      </w:r>
      <w:r>
        <w:rPr>
          <w:rStyle w:val="FootnoteReference"/>
        </w:rPr>
        <w:footnoteReference w:id="11"/>
      </w:r>
      <w:r w:rsidR="00726470">
        <w:t xml:space="preserve"> </w:t>
      </w:r>
      <w:r w:rsidR="006010F7">
        <w:t xml:space="preserve">In this regard, </w:t>
      </w:r>
      <w:r>
        <w:t xml:space="preserve">all costs </w:t>
      </w:r>
      <w:r w:rsidR="006010F7">
        <w:t>that the utility wants consumers to pay for</w:t>
      </w:r>
      <w:r>
        <w:t xml:space="preserve"> implementing grid modernization proposals should be </w:t>
      </w:r>
      <w:r w:rsidR="00F23474">
        <w:t xml:space="preserve">identified </w:t>
      </w:r>
      <w:r>
        <w:t xml:space="preserve">upfront in the application. This is especially important </w:t>
      </w:r>
      <w:r w:rsidR="00DC1573">
        <w:t>because for some Ohio</w:t>
      </w:r>
      <w:r>
        <w:t xml:space="preserve"> EDUs</w:t>
      </w:r>
      <w:r w:rsidR="00DC1573">
        <w:t>, grid modernization to date has been charged to customers through multiple riders, thus making it very difficult</w:t>
      </w:r>
      <w:r w:rsidR="00EE5DCD">
        <w:t>, if not impossible,</w:t>
      </w:r>
      <w:r w:rsidR="00DC1573">
        <w:t xml:space="preserve"> for stakeholders (and the PUCO) to know what customers are actually being charged for grid modernization</w:t>
      </w:r>
      <w:r w:rsidR="006010F7">
        <w:t xml:space="preserve">. And such an approach to date has been a hurdle to know </w:t>
      </w:r>
      <w:r w:rsidR="00132BB2">
        <w:t>what benefits (if any) are being delivered to consumers from these investments</w:t>
      </w:r>
      <w:r w:rsidR="00DC1573">
        <w:t>.</w:t>
      </w:r>
      <w:r w:rsidR="00132BB2">
        <w:t xml:space="preserve"> Transparency in reporting of grid modernization costs and benefits is essential to protect customers from being charged twice for the same or similar investments and to make sure that customers receive the benefits of grid modernization.</w:t>
      </w:r>
    </w:p>
    <w:p w:rsidR="00282F6C" w:rsidP="00282F6C">
      <w:pPr>
        <w:spacing w:line="480" w:lineRule="auto"/>
        <w:ind w:firstLine="720"/>
      </w:pPr>
      <w:r>
        <w:t>C</w:t>
      </w:r>
      <w:r>
        <w:t xml:space="preserve">onsistent with the PowerForward </w:t>
      </w:r>
      <w:r w:rsidR="00EE5DCD">
        <w:t>R</w:t>
      </w:r>
      <w:r>
        <w:t xml:space="preserve">oadmap, the PUCO should consider </w:t>
      </w:r>
      <w:r>
        <w:t>adopting</w:t>
      </w:r>
      <w:r>
        <w:t xml:space="preserve"> rules th</w:t>
      </w:r>
      <w:r>
        <w:t>at</w:t>
      </w:r>
      <w:r>
        <w:t xml:space="preserve"> describe the minimum content for future grid modernization proposals and that help ensure </w:t>
      </w:r>
      <w:r>
        <w:t xml:space="preserve">that </w:t>
      </w:r>
      <w:r>
        <w:t xml:space="preserve">customers actually receive the promised benefits. The proposed rules should </w:t>
      </w:r>
      <w:r w:rsidR="00E474B3">
        <w:t>require</w:t>
      </w:r>
      <w:r>
        <w:t xml:space="preserve"> detailed program descriptions similar to the requirements for </w:t>
      </w:r>
      <w:r w:rsidR="00EE5DCD">
        <w:t>electric security plan</w:t>
      </w:r>
      <w:r>
        <w:t xml:space="preserve"> distribution infrastructure modernization proposals in O</w:t>
      </w:r>
      <w:r w:rsidR="00EE5DCD">
        <w:t xml:space="preserve">hio Adm. Code </w:t>
      </w:r>
      <w:r>
        <w:t>4901:1-35</w:t>
      </w:r>
      <w:r w:rsidR="00E474B3">
        <w:t>. This would include, but not be limited to</w:t>
      </w:r>
      <w:r>
        <w:t>, cost</w:t>
      </w:r>
      <w:r w:rsidR="00EE5DCD">
        <w:t>-</w:t>
      </w:r>
      <w:r>
        <w:t>benefit analysis, performance measures based on actual quantifiable benefits, and prudence reviews to validate that the benefits actually exceed the costs.</w:t>
      </w:r>
    </w:p>
    <w:p w:rsidR="00282F6C" w:rsidRPr="00F27CC6" w:rsidP="006B3862">
      <w:pPr>
        <w:pStyle w:val="ListParagraph"/>
        <w:numPr>
          <w:ilvl w:val="0"/>
          <w:numId w:val="1"/>
        </w:numPr>
        <w:spacing w:after="240"/>
        <w:ind w:left="1440" w:right="720" w:hanging="720"/>
        <w:contextualSpacing w:val="0"/>
        <w:rPr>
          <w:b/>
        </w:rPr>
      </w:pPr>
      <w:r w:rsidRPr="00F27CC6">
        <w:rPr>
          <w:b/>
        </w:rPr>
        <w:t>T</w:t>
      </w:r>
      <w:r>
        <w:rPr>
          <w:b/>
        </w:rPr>
        <w:t>o protect consumers, t</w:t>
      </w:r>
      <w:r w:rsidRPr="00F27CC6">
        <w:rPr>
          <w:b/>
        </w:rPr>
        <w:t xml:space="preserve">he PUCO should </w:t>
      </w:r>
      <w:r>
        <w:rPr>
          <w:b/>
        </w:rPr>
        <w:t xml:space="preserve">require </w:t>
      </w:r>
      <w:r w:rsidRPr="00F27CC6">
        <w:rPr>
          <w:b/>
        </w:rPr>
        <w:t xml:space="preserve">an open and transparent review process of the grid architecture status reports </w:t>
      </w:r>
      <w:r>
        <w:rPr>
          <w:b/>
        </w:rPr>
        <w:t xml:space="preserve">and the current assessment reports after they are filed </w:t>
      </w:r>
      <w:r w:rsidRPr="00F27CC6">
        <w:rPr>
          <w:b/>
        </w:rPr>
        <w:t>includ</w:t>
      </w:r>
      <w:r>
        <w:rPr>
          <w:b/>
        </w:rPr>
        <w:t xml:space="preserve">ing </w:t>
      </w:r>
      <w:r w:rsidRPr="00F27CC6">
        <w:rPr>
          <w:b/>
        </w:rPr>
        <w:t>an opportunity for comments, discovery, and</w:t>
      </w:r>
      <w:r w:rsidR="00DC1573">
        <w:rPr>
          <w:b/>
        </w:rPr>
        <w:t xml:space="preserve"> an evidentiary hearing, </w:t>
      </w:r>
      <w:r w:rsidRPr="00F27CC6">
        <w:rPr>
          <w:b/>
        </w:rPr>
        <w:t>if necessary</w:t>
      </w:r>
      <w:r w:rsidR="00DC1573">
        <w:rPr>
          <w:b/>
        </w:rPr>
        <w:t>,</w:t>
      </w:r>
      <w:r w:rsidRPr="00F27CC6">
        <w:rPr>
          <w:b/>
        </w:rPr>
        <w:t xml:space="preserve"> to resolve </w:t>
      </w:r>
      <w:r>
        <w:rPr>
          <w:b/>
        </w:rPr>
        <w:t xml:space="preserve">any </w:t>
      </w:r>
      <w:r w:rsidRPr="00F27CC6">
        <w:rPr>
          <w:b/>
        </w:rPr>
        <w:t>issues</w:t>
      </w:r>
      <w:r w:rsidR="00211FD3">
        <w:rPr>
          <w:b/>
        </w:rPr>
        <w:t xml:space="preserve"> for consumers</w:t>
      </w:r>
      <w:r>
        <w:rPr>
          <w:b/>
        </w:rPr>
        <w:t>.</w:t>
      </w:r>
    </w:p>
    <w:p w:rsidR="00282F6C" w:rsidP="00282F6C">
      <w:pPr>
        <w:spacing w:line="480" w:lineRule="auto"/>
        <w:ind w:firstLine="720"/>
      </w:pPr>
      <w:r>
        <w:t>The roadmap provides that requests for grid modernization investment should include a cost</w:t>
      </w:r>
      <w:r w:rsidR="00EE5DCD">
        <w:t>-</w:t>
      </w:r>
      <w:r>
        <w:t xml:space="preserve">benefit analysis with the application so that the </w:t>
      </w:r>
      <w:r w:rsidR="00EE5DCD">
        <w:t>PUCO</w:t>
      </w:r>
      <w:r>
        <w:t xml:space="preserve"> and stakeholders can transparently evaluate whether a grid modernization investment should be made in the first place.</w:t>
      </w:r>
      <w:r>
        <w:rPr>
          <w:rStyle w:val="FootnoteReference"/>
        </w:rPr>
        <w:footnoteReference w:id="12"/>
      </w:r>
      <w:r>
        <w:t xml:space="preserve"> Transparency and evaluation by the </w:t>
      </w:r>
      <w:r w:rsidR="00DC1573">
        <w:t>PUCO</w:t>
      </w:r>
      <w:r>
        <w:t xml:space="preserve"> and stakeholders should be extended to both reports. The grid architecture status reports are intended to inform where each EDU stands in terms of advancing a modern grid architecture based on the PowerForward Roadmap. This baseline capability documentation might be used for the purpose of determining where there are needs and priorities for additional investment that could cost consumers </w:t>
      </w:r>
      <w:r w:rsidR="00132BB2">
        <w:t xml:space="preserve">hundreds of millions, (if not </w:t>
      </w:r>
      <w:r>
        <w:t>billions</w:t>
      </w:r>
      <w:r w:rsidR="00132BB2">
        <w:t>)</w:t>
      </w:r>
      <w:r>
        <w:t xml:space="preserve"> of dollars. </w:t>
      </w:r>
    </w:p>
    <w:p w:rsidR="00282F6C" w:rsidP="00282F6C">
      <w:pPr>
        <w:spacing w:line="480" w:lineRule="auto"/>
        <w:ind w:firstLine="720"/>
      </w:pPr>
      <w:r>
        <w:t>Further, w</w:t>
      </w:r>
      <w:r>
        <w:t>hile the reports are supposed to be filed by each EDU by April 1, 2019, there is not an established procedural process where stakeholders can share concerns or recommendations with the PUCO. Quite possibly, the status reports could initiate as many questions as answers.</w:t>
      </w:r>
    </w:p>
    <w:p w:rsidR="00282F6C" w:rsidP="00282F6C">
      <w:pPr>
        <w:spacing w:line="480" w:lineRule="auto"/>
        <w:ind w:firstLine="720"/>
      </w:pPr>
      <w:r>
        <w:t>The PUCO should establish a procedural process for the review of the grid architecture status reports and the current assessment reports</w:t>
      </w:r>
      <w:r w:rsidR="00132BB2">
        <w:t xml:space="preserve"> that is open and transparent</w:t>
      </w:r>
      <w:r>
        <w:t xml:space="preserve">. To facilitate the examination of the reports by stakeholders, the PUCO should </w:t>
      </w:r>
      <w:r w:rsidR="00F23474">
        <w:t>give parties the ample rights of discovery that they are entitled to by law and PUCO rules.</w:t>
      </w:r>
      <w:r>
        <w:rPr>
          <w:rStyle w:val="FootnoteReference"/>
        </w:rPr>
        <w:footnoteReference w:id="13"/>
      </w:r>
      <w:r w:rsidR="00F23474">
        <w:t xml:space="preserve"> </w:t>
      </w:r>
      <w:r>
        <w:t xml:space="preserve">In addition, the PUCO should provide parties with </w:t>
      </w:r>
      <w:r w:rsidR="00132BB2">
        <w:t xml:space="preserve">adequate time for a thorough review and </w:t>
      </w:r>
      <w:r>
        <w:t>the opportunity to file comments on the reports. There should be a separate</w:t>
      </w:r>
      <w:r w:rsidR="00211FD3">
        <w:t>, staggered</w:t>
      </w:r>
      <w:r>
        <w:t xml:space="preserve"> deadline for filing comments on each EDU’s assessment report so that comments on all the reports are not due on </w:t>
      </w:r>
      <w:r w:rsidR="00132BB2">
        <w:t xml:space="preserve">or around </w:t>
      </w:r>
      <w:r>
        <w:t>the same day. The PUCO should also consider the possibility of further proceedings</w:t>
      </w:r>
      <w:r w:rsidR="00DC1573">
        <w:t>, including evidentiary hearings if necessary,</w:t>
      </w:r>
      <w:r>
        <w:t xml:space="preserve"> to address any unresolved </w:t>
      </w:r>
      <w:r w:rsidR="00132BB2">
        <w:t xml:space="preserve">or </w:t>
      </w:r>
      <w:r>
        <w:t>matters</w:t>
      </w:r>
      <w:r w:rsidR="00132BB2">
        <w:t xml:space="preserve"> in controversy</w:t>
      </w:r>
      <w:r>
        <w:t>.</w:t>
      </w:r>
    </w:p>
    <w:p w:rsidR="00B70919" w:rsidRPr="00B70919" w:rsidP="00B70919">
      <w:pPr>
        <w:spacing w:before="240" w:line="480" w:lineRule="auto"/>
        <w:rPr>
          <w:b/>
        </w:rPr>
      </w:pPr>
      <w:r>
        <w:rPr>
          <w:b/>
        </w:rPr>
        <w:t>III.</w:t>
      </w:r>
      <w:r>
        <w:rPr>
          <w:b/>
        </w:rPr>
        <w:tab/>
        <w:t>CONCLUSION</w:t>
      </w:r>
    </w:p>
    <w:p w:rsidR="00B70919" w:rsidP="00010907">
      <w:pPr>
        <w:spacing w:line="480" w:lineRule="auto"/>
        <w:ind w:firstLine="720"/>
      </w:pPr>
      <w:r>
        <w:t xml:space="preserve">Consumers can benefit from grid modernization, but only if it is done right. These cases </w:t>
      </w:r>
      <w:r w:rsidR="00010907">
        <w:t>offer hope that utility investments in grid modernization</w:t>
      </w:r>
      <w:r w:rsidR="001A02C4">
        <w:t>,</w:t>
      </w:r>
      <w:r w:rsidR="00010907">
        <w:t xml:space="preserve"> </w:t>
      </w:r>
      <w:r w:rsidR="00E7363A">
        <w:t xml:space="preserve">when properly planned and with sufficient oversight and </w:t>
      </w:r>
      <w:r w:rsidR="00211FD3">
        <w:t xml:space="preserve">consumer </w:t>
      </w:r>
      <w:r w:rsidR="00E7363A">
        <w:t>safeguards</w:t>
      </w:r>
      <w:r w:rsidR="001A02C4">
        <w:t>,</w:t>
      </w:r>
      <w:r w:rsidR="00E7363A">
        <w:t xml:space="preserve"> can </w:t>
      </w:r>
      <w:r w:rsidR="00010907">
        <w:t xml:space="preserve">actually deliver to customers the most benefits for the least cost. </w:t>
      </w:r>
      <w:r w:rsidR="00F2181F">
        <w:t xml:space="preserve">These comments provide suggestions for much-needed consumer protections regarding the grid architecture and current state assessment reports to be filed by </w:t>
      </w:r>
      <w:r w:rsidR="00EE5DCD">
        <w:t>Ohio’s electric utilities</w:t>
      </w:r>
      <w:r w:rsidR="00F2181F">
        <w:t>.</w:t>
      </w:r>
    </w:p>
    <w:p w:rsidR="009C37D8" w:rsidP="00385757">
      <w:pPr>
        <w:spacing w:after="200" w:line="276" w:lineRule="auto"/>
        <w:ind w:left="3600" w:firstLine="720"/>
        <w:rPr>
          <w:szCs w:val="24"/>
        </w:rPr>
      </w:pPr>
      <w:r>
        <w:rPr>
          <w:szCs w:val="24"/>
        </w:rPr>
        <w:t>Respectfully submitted,</w:t>
      </w:r>
    </w:p>
    <w:p w:rsidR="009C37D8" w:rsidP="009C37D8">
      <w:pPr>
        <w:pStyle w:val="Footer"/>
        <w:tabs>
          <w:tab w:val="left" w:pos="4320"/>
        </w:tabs>
        <w:spacing w:before="240"/>
        <w:rPr>
          <w:szCs w:val="24"/>
        </w:rPr>
      </w:pPr>
      <w:r>
        <w:rPr>
          <w:szCs w:val="24"/>
        </w:rPr>
        <w:tab/>
      </w:r>
      <w:r w:rsidR="00385757">
        <w:rPr>
          <w:szCs w:val="24"/>
        </w:rPr>
        <w:t>Bruce Weston (0016973)</w:t>
      </w:r>
    </w:p>
    <w:p w:rsidR="009C37D8" w:rsidP="009C37D8">
      <w:pPr>
        <w:tabs>
          <w:tab w:val="left" w:pos="4320"/>
        </w:tabs>
        <w:rPr>
          <w:szCs w:val="24"/>
        </w:rPr>
      </w:pPr>
      <w:r>
        <w:rPr>
          <w:szCs w:val="24"/>
        </w:rPr>
        <w:tab/>
        <w:t>Ohio Consumers’ Counsel</w:t>
      </w:r>
    </w:p>
    <w:p w:rsidR="009C37D8" w:rsidP="009C37D8">
      <w:pPr>
        <w:tabs>
          <w:tab w:val="left" w:pos="4320"/>
        </w:tabs>
        <w:rPr>
          <w:szCs w:val="24"/>
        </w:rPr>
      </w:pPr>
      <w:r>
        <w:rPr>
          <w:szCs w:val="24"/>
        </w:rPr>
        <w:tab/>
      </w:r>
    </w:p>
    <w:p w:rsidR="00385757" w:rsidP="00385757">
      <w:pPr>
        <w:tabs>
          <w:tab w:val="left" w:pos="4320"/>
        </w:tabs>
        <w:rPr>
          <w:i/>
          <w:szCs w:val="24"/>
          <w:u w:val="single"/>
        </w:rPr>
      </w:pPr>
      <w:r>
        <w:rPr>
          <w:szCs w:val="24"/>
        </w:rPr>
        <w:tab/>
      </w:r>
      <w:r w:rsidRPr="001A02C4" w:rsidR="001A02C4">
        <w:rPr>
          <w:szCs w:val="24"/>
          <w:u w:val="single"/>
        </w:rPr>
        <w:t xml:space="preserve">/s/ </w:t>
      </w:r>
      <w:r w:rsidRPr="001A02C4" w:rsidR="001A02C4">
        <w:rPr>
          <w:i/>
          <w:szCs w:val="24"/>
          <w:u w:val="single"/>
        </w:rPr>
        <w:t>Christopher Healey</w:t>
      </w:r>
      <w:r w:rsidR="001A02C4">
        <w:rPr>
          <w:i/>
          <w:szCs w:val="24"/>
          <w:u w:val="single"/>
        </w:rPr>
        <w:tab/>
      </w:r>
    </w:p>
    <w:p w:rsidR="009C37D8" w:rsidP="00385757">
      <w:pPr>
        <w:tabs>
          <w:tab w:val="left" w:pos="4320"/>
        </w:tabs>
        <w:ind w:left="4320"/>
        <w:rPr>
          <w:szCs w:val="24"/>
        </w:rPr>
      </w:pPr>
      <w:r>
        <w:rPr>
          <w:szCs w:val="24"/>
        </w:rPr>
        <w:t xml:space="preserve">Christopher Healey (0086027), Counsel of Record for </w:t>
      </w:r>
      <w:r>
        <w:t>Case No. 18-1595-EL-GRD</w:t>
      </w:r>
    </w:p>
    <w:p w:rsidR="00385757" w:rsidP="009C37D8">
      <w:pPr>
        <w:tabs>
          <w:tab w:val="left" w:pos="4320"/>
        </w:tabs>
        <w:ind w:left="4680" w:hanging="360"/>
        <w:rPr>
          <w:szCs w:val="24"/>
        </w:rPr>
      </w:pPr>
      <w:r>
        <w:rPr>
          <w:szCs w:val="24"/>
        </w:rPr>
        <w:t>Terry L. Etter (0067445),</w:t>
      </w:r>
      <w:r w:rsidRPr="00924078">
        <w:rPr>
          <w:szCs w:val="24"/>
        </w:rPr>
        <w:t xml:space="preserve"> </w:t>
      </w:r>
      <w:r>
        <w:rPr>
          <w:szCs w:val="24"/>
        </w:rPr>
        <w:t>Counsel of Record</w:t>
      </w:r>
    </w:p>
    <w:p w:rsidR="009C37D8" w:rsidRPr="00924078" w:rsidP="009C37D8">
      <w:pPr>
        <w:tabs>
          <w:tab w:val="left" w:pos="4320"/>
        </w:tabs>
        <w:ind w:left="4680" w:hanging="360"/>
      </w:pPr>
      <w:r>
        <w:rPr>
          <w:szCs w:val="24"/>
        </w:rPr>
        <w:t xml:space="preserve">for </w:t>
      </w:r>
      <w:r>
        <w:t>Case No. 18-1596-EL-GRD</w:t>
      </w:r>
    </w:p>
    <w:p w:rsidR="009C37D8" w:rsidP="009C37D8">
      <w:pPr>
        <w:tabs>
          <w:tab w:val="left" w:pos="4320"/>
        </w:tabs>
        <w:rPr>
          <w:szCs w:val="24"/>
        </w:rPr>
      </w:pPr>
      <w:r>
        <w:rPr>
          <w:szCs w:val="24"/>
        </w:rPr>
        <w:tab/>
        <w:t>Ambrosia Logsdon (0096598)</w:t>
      </w:r>
    </w:p>
    <w:p w:rsidR="009C37D8" w:rsidP="009C37D8">
      <w:pPr>
        <w:tabs>
          <w:tab w:val="left" w:pos="4320"/>
        </w:tabs>
        <w:rPr>
          <w:szCs w:val="24"/>
        </w:rPr>
      </w:pPr>
      <w:r>
        <w:rPr>
          <w:szCs w:val="24"/>
        </w:rPr>
        <w:tab/>
        <w:t>Assistant Consumers’ Counsel</w:t>
      </w:r>
    </w:p>
    <w:p w:rsidR="009C37D8" w:rsidP="009C37D8">
      <w:pPr>
        <w:tabs>
          <w:tab w:val="left" w:pos="4320"/>
        </w:tabs>
      </w:pPr>
      <w:r>
        <w:rPr>
          <w:szCs w:val="24"/>
        </w:rPr>
        <w:tab/>
      </w:r>
      <w:r>
        <w:tab/>
      </w:r>
    </w:p>
    <w:p w:rsidR="009C37D8" w:rsidP="009C37D8">
      <w:pPr>
        <w:pStyle w:val="Heading1"/>
        <w:ind w:left="3240" w:right="-648" w:firstLine="720"/>
        <w:rPr>
          <w:u w:val="none"/>
        </w:rPr>
      </w:pPr>
      <w:r>
        <w:rPr>
          <w:u w:val="none"/>
        </w:rPr>
        <w:tab/>
        <w:t>Office of the Ohio Consumers’ Counsel</w:t>
      </w:r>
    </w:p>
    <w:p w:rsidR="009C37D8" w:rsidP="009C37D8">
      <w:pPr>
        <w:pStyle w:val="Heading1"/>
        <w:ind w:left="3240" w:right="-648" w:firstLine="720"/>
        <w:rPr>
          <w:b w:val="0"/>
          <w:u w:val="none"/>
        </w:rPr>
      </w:pPr>
      <w:r>
        <w:rPr>
          <w:b w:val="0"/>
          <w:u w:val="none"/>
        </w:rPr>
        <w:tab/>
        <w:t>65 East State Street, 7</w:t>
      </w:r>
      <w:r w:rsidRPr="006C5841">
        <w:rPr>
          <w:b w:val="0"/>
          <w:u w:val="none"/>
          <w:vertAlign w:val="superscript"/>
        </w:rPr>
        <w:t>th</w:t>
      </w:r>
      <w:r>
        <w:rPr>
          <w:b w:val="0"/>
          <w:u w:val="none"/>
        </w:rPr>
        <w:t xml:space="preserve"> Floor</w:t>
      </w:r>
    </w:p>
    <w:p w:rsidR="009C37D8" w:rsidP="009C37D8">
      <w:pPr>
        <w:pStyle w:val="Heading1"/>
        <w:ind w:left="3240" w:right="-648" w:firstLine="720"/>
        <w:rPr>
          <w:b w:val="0"/>
          <w:u w:val="none"/>
        </w:rPr>
      </w:pPr>
      <w:r>
        <w:rPr>
          <w:b w:val="0"/>
          <w:u w:val="none"/>
        </w:rPr>
        <w:tab/>
        <w:t>Columbus, Ohio 43215</w:t>
      </w:r>
    </w:p>
    <w:p w:rsidR="009C37D8" w:rsidP="009C37D8">
      <w:pPr>
        <w:autoSpaceDE w:val="0"/>
        <w:autoSpaceDN w:val="0"/>
        <w:adjustRightInd w:val="0"/>
        <w:ind w:left="3600" w:firstLine="720"/>
        <w:rPr>
          <w:szCs w:val="24"/>
        </w:rPr>
      </w:pPr>
      <w:r>
        <w:rPr>
          <w:szCs w:val="24"/>
        </w:rPr>
        <w:t>Telephone [Healey]: (614) 466-9571</w:t>
      </w:r>
    </w:p>
    <w:p w:rsidR="009C37D8" w:rsidP="009C37D8">
      <w:pPr>
        <w:autoSpaceDE w:val="0"/>
        <w:autoSpaceDN w:val="0"/>
        <w:adjustRightInd w:val="0"/>
        <w:ind w:left="3600" w:firstLine="720"/>
        <w:rPr>
          <w:szCs w:val="24"/>
        </w:rPr>
      </w:pPr>
      <w:r>
        <w:rPr>
          <w:szCs w:val="24"/>
        </w:rPr>
        <w:t>Telephone [Etter]: (614) 466-7964</w:t>
      </w:r>
    </w:p>
    <w:p w:rsidR="009C37D8" w:rsidP="009C37D8">
      <w:pPr>
        <w:autoSpaceDE w:val="0"/>
        <w:autoSpaceDN w:val="0"/>
        <w:adjustRightInd w:val="0"/>
        <w:ind w:left="3600" w:firstLine="720"/>
        <w:rPr>
          <w:szCs w:val="24"/>
        </w:rPr>
      </w:pPr>
      <w:r>
        <w:rPr>
          <w:szCs w:val="24"/>
        </w:rPr>
        <w:t>Telephone [Logsdon]: (614) 466-1292</w:t>
      </w:r>
    </w:p>
    <w:p w:rsidR="009C37D8" w:rsidP="009C37D8">
      <w:pPr>
        <w:autoSpaceDE w:val="0"/>
        <w:autoSpaceDN w:val="0"/>
        <w:adjustRightInd w:val="0"/>
        <w:ind w:left="3600" w:firstLine="720"/>
        <w:rPr>
          <w:szCs w:val="24"/>
        </w:rPr>
      </w:pPr>
      <w:r>
        <w:fldChar w:fldCharType="begin"/>
      </w:r>
      <w:r>
        <w:instrText xml:space="preserve"> HYPERLINK "mailto:Christopher.Healey@occ.ohio.gov" </w:instrText>
      </w:r>
      <w:r>
        <w:fldChar w:fldCharType="separate"/>
      </w:r>
      <w:r w:rsidRPr="003D28FA">
        <w:rPr>
          <w:rStyle w:val="Hyperlink"/>
          <w:szCs w:val="24"/>
        </w:rPr>
        <w:t>Christopher.Healey@occ.ohio.gov</w:t>
      </w:r>
      <w:r>
        <w:fldChar w:fldCharType="end"/>
      </w:r>
    </w:p>
    <w:p w:rsidR="009C37D8" w:rsidP="009C37D8">
      <w:pPr>
        <w:rPr>
          <w:szCs w:val="24"/>
        </w:rPr>
      </w:pPr>
      <w:r>
        <w:rPr>
          <w:szCs w:val="24"/>
        </w:rPr>
        <w:tab/>
      </w:r>
      <w:r>
        <w:rPr>
          <w:szCs w:val="24"/>
        </w:rPr>
        <w:tab/>
      </w:r>
      <w:r>
        <w:rPr>
          <w:szCs w:val="24"/>
        </w:rPr>
        <w:tab/>
      </w:r>
      <w:r>
        <w:rPr>
          <w:szCs w:val="24"/>
        </w:rPr>
        <w:tab/>
      </w:r>
      <w:r>
        <w:rPr>
          <w:szCs w:val="24"/>
        </w:rPr>
        <w:tab/>
      </w:r>
      <w:r>
        <w:rPr>
          <w:szCs w:val="24"/>
        </w:rPr>
        <w:tab/>
      </w:r>
      <w:r>
        <w:fldChar w:fldCharType="begin"/>
      </w:r>
      <w:r>
        <w:instrText xml:space="preserve"> HYPERLINK "mailto:Terry.Etter@occ.ohio.gov" </w:instrText>
      </w:r>
      <w:r>
        <w:fldChar w:fldCharType="separate"/>
      </w:r>
      <w:r w:rsidRPr="00463D28">
        <w:rPr>
          <w:rStyle w:val="Hyperlink"/>
          <w:szCs w:val="24"/>
        </w:rPr>
        <w:t>Terry.Etter@occ.ohio.gov</w:t>
      </w:r>
      <w:r>
        <w:fldChar w:fldCharType="end"/>
      </w:r>
    </w:p>
    <w:p w:rsidR="009C37D8" w:rsidP="009C37D8">
      <w:pPr>
        <w:ind w:left="4320"/>
        <w:rPr>
          <w:szCs w:val="24"/>
        </w:rPr>
      </w:pPr>
      <w:r>
        <w:fldChar w:fldCharType="begin"/>
      </w:r>
      <w:r>
        <w:instrText xml:space="preserve"> HYPERLINK "mailto:Ambrosia.logsdon@occ.ohio.gov" </w:instrText>
      </w:r>
      <w:r>
        <w:fldChar w:fldCharType="separate"/>
      </w:r>
      <w:r w:rsidRPr="00FB7075">
        <w:rPr>
          <w:rStyle w:val="Hyperlink"/>
          <w:szCs w:val="24"/>
        </w:rPr>
        <w:t>Ambrosia.logsdon@occ.ohio.gov</w:t>
      </w:r>
      <w:r>
        <w:fldChar w:fldCharType="end"/>
      </w:r>
      <w:r>
        <w:rPr>
          <w:szCs w:val="24"/>
        </w:rPr>
        <w:t xml:space="preserve"> </w:t>
      </w:r>
    </w:p>
    <w:p w:rsidR="009C37D8" w:rsidP="009C37D8">
      <w:pPr>
        <w:ind w:left="4320"/>
        <w:rPr>
          <w:szCs w:val="24"/>
        </w:rPr>
      </w:pPr>
      <w:r>
        <w:rPr>
          <w:szCs w:val="24"/>
        </w:rPr>
        <w:t>(All willing to accept service via email)</w:t>
      </w:r>
    </w:p>
    <w:p w:rsidR="00385757" w:rsidP="009C37D8">
      <w:pPr>
        <w:ind w:left="4320"/>
        <w:rPr>
          <w:szCs w:val="24"/>
        </w:rPr>
        <w:sectPr w:rsidSect="00385757">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360"/>
        </w:sectPr>
      </w:pPr>
    </w:p>
    <w:p w:rsidR="00385757" w:rsidRPr="004D5EE3" w:rsidP="00385757">
      <w:pPr>
        <w:pStyle w:val="ListParagraph"/>
        <w:spacing w:line="480" w:lineRule="auto"/>
        <w:ind w:left="0"/>
        <w:jc w:val="center"/>
        <w:rPr>
          <w:szCs w:val="24"/>
        </w:rPr>
      </w:pPr>
      <w:r w:rsidRPr="004D5EE3">
        <w:rPr>
          <w:b/>
          <w:bCs/>
          <w:szCs w:val="24"/>
          <w:u w:val="single"/>
        </w:rPr>
        <w:t>CERTIFICATE OF SERVICE</w:t>
      </w:r>
    </w:p>
    <w:p w:rsidR="00385757" w:rsidRPr="004D5EE3" w:rsidP="00385757">
      <w:pPr>
        <w:suppressAutoHyphens/>
        <w:spacing w:line="480" w:lineRule="auto"/>
        <w:ind w:firstLine="720"/>
      </w:pPr>
      <w:r w:rsidRPr="004D5EE3">
        <w:t xml:space="preserve">It is hereby certified that a true copy of the </w:t>
      </w:r>
      <w:r>
        <w:t xml:space="preserve">Comments were </w:t>
      </w:r>
      <w:r w:rsidRPr="004D5EE3">
        <w:t xml:space="preserve">served upon the persons listed below via electronic transmission this </w:t>
      </w:r>
      <w:r>
        <w:t>4</w:t>
      </w:r>
      <w:r w:rsidR="00E916BE">
        <w:t>th</w:t>
      </w:r>
      <w:r>
        <w:t xml:space="preserve"> </w:t>
      </w:r>
      <w:r w:rsidRPr="004D5EE3">
        <w:t xml:space="preserve">day of </w:t>
      </w:r>
      <w:r>
        <w:t>December 2018.</w:t>
      </w:r>
    </w:p>
    <w:p w:rsidR="00385757" w:rsidRPr="004D5EE3" w:rsidP="00385757">
      <w:pPr>
        <w:suppressAutoHyphens/>
        <w:ind w:firstLine="720"/>
        <w:rPr>
          <w:u w:val="single"/>
        </w:rPr>
      </w:pPr>
      <w:r w:rsidRPr="004D5EE3">
        <w:tab/>
      </w:r>
      <w:r>
        <w:tab/>
      </w:r>
      <w:r>
        <w:tab/>
      </w:r>
      <w:r>
        <w:tab/>
      </w:r>
      <w:r w:rsidRPr="004D5EE3">
        <w:tab/>
      </w:r>
      <w:r w:rsidRPr="004D5EE3">
        <w:rPr>
          <w:i/>
          <w:iCs/>
          <w:u w:val="single"/>
        </w:rPr>
        <w:t xml:space="preserve">/s/ </w:t>
      </w:r>
      <w:r>
        <w:rPr>
          <w:i/>
          <w:iCs/>
          <w:u w:val="single"/>
        </w:rPr>
        <w:t>Christopher Healey</w:t>
      </w:r>
    </w:p>
    <w:p w:rsidR="00385757" w:rsidP="00385757">
      <w:pPr>
        <w:tabs>
          <w:tab w:val="left" w:pos="4320"/>
        </w:tabs>
      </w:pPr>
      <w:r w:rsidRPr="004D5EE3">
        <w:tab/>
      </w:r>
      <w:r>
        <w:t>Christopher Healey</w:t>
      </w:r>
    </w:p>
    <w:p w:rsidR="00385757" w:rsidRPr="004D5EE3" w:rsidP="00385757">
      <w:pPr>
        <w:tabs>
          <w:tab w:val="left" w:pos="4320"/>
        </w:tabs>
      </w:pPr>
      <w:r>
        <w:tab/>
        <w:t>Assistant Consumers’ Counsel</w:t>
      </w:r>
    </w:p>
    <w:p w:rsidR="00385757" w:rsidRPr="004D5EE3" w:rsidP="00385757">
      <w:pPr>
        <w:tabs>
          <w:tab w:val="left" w:pos="4320"/>
        </w:tabs>
      </w:pPr>
    </w:p>
    <w:p w:rsidR="00385757" w:rsidP="00385757">
      <w:pPr>
        <w:pStyle w:val="CommentText"/>
        <w:jc w:val="center"/>
        <w:rPr>
          <w:b/>
          <w:sz w:val="24"/>
          <w:szCs w:val="24"/>
          <w:u w:val="single"/>
        </w:rPr>
      </w:pPr>
      <w:r w:rsidRPr="004D5EE3">
        <w:rPr>
          <w:b/>
          <w:sz w:val="24"/>
          <w:szCs w:val="24"/>
          <w:u w:val="single"/>
        </w:rPr>
        <w:t>SERVICE LIST</w:t>
      </w:r>
    </w:p>
    <w:p w:rsidR="006B3862" w:rsidP="00385757">
      <w:pPr>
        <w:pStyle w:val="CommentText"/>
        <w:jc w:val="center"/>
        <w:rPr>
          <w:b/>
          <w:sz w:val="24"/>
          <w:szCs w:val="24"/>
          <w:u w:val="single"/>
        </w:rPr>
      </w:pPr>
    </w:p>
    <w:tbl>
      <w:tblPr>
        <w:tblW w:w="0" w:type="auto"/>
        <w:tblInd w:w="0" w:type="dxa"/>
        <w:tblCellMar>
          <w:top w:w="0" w:type="dxa"/>
          <w:left w:w="108" w:type="dxa"/>
          <w:bottom w:w="0" w:type="dxa"/>
          <w:right w:w="108" w:type="dxa"/>
        </w:tblCellMar>
        <w:tblLook w:val="04A0"/>
      </w:tblPr>
      <w:tblGrid>
        <w:gridCol w:w="4401"/>
        <w:gridCol w:w="4239"/>
      </w:tblGrid>
      <w:tr w:rsidTr="006B3862">
        <w:tblPrEx>
          <w:tblW w:w="0" w:type="auto"/>
          <w:tblInd w:w="0" w:type="dxa"/>
          <w:tblCellMar>
            <w:top w:w="0" w:type="dxa"/>
            <w:left w:w="108" w:type="dxa"/>
            <w:bottom w:w="0" w:type="dxa"/>
            <w:right w:w="108" w:type="dxa"/>
          </w:tblCellMar>
          <w:tblLook w:val="04A0"/>
        </w:tblPrEx>
        <w:tc>
          <w:tcPr>
            <w:tcW w:w="4401" w:type="dxa"/>
          </w:tcPr>
          <w:p w:rsidR="006B3862">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"mailto:William.wright@ohioattorneygeneral.gov" </w:instrText>
            </w:r>
            <w:r>
              <w:fldChar w:fldCharType="separate"/>
            </w:r>
            <w:r>
              <w:rPr>
                <w:rStyle w:val="Hyperlink"/>
                <w:rFonts w:ascii="Times New Roman" w:eastAsia="Times New Roman" w:hAnsi="Times New Roman" w:cs="Times New Roman"/>
                <w:bCs/>
                <w:color w:val="0000FF"/>
                <w:sz w:val="24"/>
                <w:szCs w:val="24"/>
                <w:u w:val="single"/>
                <w:lang w:val="en-US" w:eastAsia="en-US" w:bidi="ar-SA"/>
              </w:rPr>
              <w:t>William.wright@ohioattorneygeneral.gov</w:t>
            </w:r>
            <w:r>
              <w:fldChar w:fldCharType="end"/>
            </w:r>
          </w:p>
          <w:p w:rsidR="006B3862">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"mailto:mpritchard@mwncmh.com"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mpritchard@mwncmh.com</w:t>
            </w:r>
            <w:r>
              <w:fldChar w:fldCharType="end"/>
            </w:r>
          </w:p>
          <w:p w:rsidR="006B3862">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"mailto:fdarr@mwncmh.com"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fdarr@mwncmh.com</w:t>
            </w:r>
            <w:r>
              <w:fldChar w:fldCharType="end"/>
            </w:r>
          </w:p>
          <w:p w:rsidR="006B3862">
            <w:pPr>
              <w:autoSpaceDE w:val="0"/>
              <w:autoSpaceDN w:val="0"/>
              <w:adjustRightInd w:val="0"/>
              <w:spacing w:after="0" w:line="240" w:lineRule="auto"/>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"mailto:mfleisher@elpc.org" </w:instrText>
            </w:r>
            <w:r>
              <w:fldChar w:fldCharType="separate"/>
            </w:r>
            <w:r>
              <w:rPr>
                <w:rStyle w:val="Hyperlink"/>
                <w:rFonts w:ascii="Times New Roman" w:eastAsia="Times New Roman" w:hAnsi="Times New Roman" w:cs="Times New Roman"/>
                <w:color w:val="0000FF"/>
                <w:sz w:val="24"/>
                <w:szCs w:val="24"/>
                <w:u w:val="single"/>
                <w:lang w:val="en-US" w:eastAsia="en-US" w:bidi="ar-SA"/>
              </w:rPr>
              <w:t>mfleisher@elpc.org</w:t>
            </w:r>
            <w:r>
              <w:fldChar w:fldCharType="end"/>
            </w:r>
          </w:p>
          <w:p w:rsidR="00330EE8" w:rsidP="00330EE8">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rPr>
                <w:rFonts w:ascii="Times New Roman" w:hAnsi="Times New Roman" w:eastAsiaTheme="minorHAnsi" w:cs="Times New Roman"/>
                <w:color w:val="0000FF"/>
                <w:sz w:val="24"/>
                <w:szCs w:val="24"/>
                <w:lang w:val="en-US" w:eastAsia="en-US" w:bidi="ar-SA"/>
              </w:rPr>
              <w:t>Rocco.DAscenzo@duke-energy.com</w:t>
            </w:r>
          </w:p>
          <w:p w:rsidR="00330EE8" w:rsidRPr="00330EE8" w:rsidP="00330EE8">
            <w:pPr>
              <w:autoSpaceDE w:val="0"/>
              <w:autoSpaceDN w:val="0"/>
              <w:adjustRightInd w:val="0"/>
              <w:spacing w:after="0" w:line="240" w:lineRule="auto"/>
              <w:rPr>
                <w:rStyle w:val="DefaultParagraphFont"/>
                <w:rFonts w:ascii="Times New Roman" w:eastAsia="Times New Roman" w:hAnsi="Times New Roman" w:cs="Times New Roman"/>
                <w:b/>
                <w:color w:val="0000FF"/>
                <w:sz w:val="24"/>
                <w:szCs w:val="24"/>
                <w:lang w:val="en-US" w:eastAsia="en-US" w:bidi="ar-SA"/>
              </w:rPr>
            </w:pPr>
            <w:r>
              <w:rPr>
                <w:rFonts w:ascii="Times New Roman" w:hAnsi="Times New Roman" w:eastAsiaTheme="minorHAnsi" w:cs="Times New Roman"/>
                <w:color w:val="0000FF"/>
                <w:sz w:val="24"/>
                <w:szCs w:val="24"/>
                <w:lang w:val="en-US" w:eastAsia="en-US" w:bidi="ar-SA"/>
              </w:rPr>
              <w:t>Elizabeth.Watts@duke-energy.com</w:t>
            </w:r>
          </w:p>
          <w:p w:rsidR="006B3862">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p>
          <w:p w:rsidR="006B3862">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r>
              <w:rPr>
                <w:rFonts w:ascii="Times New Roman" w:eastAsia="Times New Roman" w:hAnsi="Times New Roman" w:cs="Times New Roman"/>
                <w:bCs/>
                <w:sz w:val="24"/>
                <w:szCs w:val="24"/>
                <w:lang w:val="en-US" w:eastAsia="en-US" w:bidi="ar-SA"/>
              </w:rPr>
              <w:t>Attorney Examiner:</w:t>
            </w:r>
          </w:p>
          <w:p w:rsidR="006B3862">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p>
          <w:p w:rsidR="006B3862">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"mailto:Gregory.price@puc.state.oh.us" </w:instrText>
            </w:r>
            <w:r>
              <w:fldChar w:fldCharType="separate"/>
            </w:r>
            <w:r>
              <w:rPr>
                <w:rStyle w:val="Hyperlink"/>
                <w:rFonts w:ascii="Times New Roman" w:eastAsia="Times New Roman" w:hAnsi="Times New Roman" w:cs="Times New Roman"/>
                <w:bCs/>
                <w:color w:val="0000FF"/>
                <w:sz w:val="24"/>
                <w:szCs w:val="24"/>
                <w:u w:val="single"/>
                <w:lang w:val="en-US" w:eastAsia="en-US" w:bidi="ar-SA"/>
              </w:rPr>
              <w:t>Gregory.price@puc.state.oh.us</w:t>
            </w:r>
            <w:r>
              <w:fldChar w:fldCharType="end"/>
            </w:r>
          </w:p>
          <w:p w:rsidR="006B3862">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p>
        </w:tc>
        <w:tc>
          <w:tcPr>
            <w:tcW w:w="4239" w:type="dxa"/>
          </w:tcPr>
          <w:p w:rsidR="006B3862" w:rsidP="006B3862">
            <w:pPr>
              <w:autoSpaceDE w:val="0"/>
              <w:autoSpaceDN w:val="0"/>
              <w:adjustRightInd w:val="0"/>
              <w:spacing w:after="0" w:line="240" w:lineRule="auto"/>
              <w:rPr>
                <w:rStyle w:val="DefaultParagraphFont"/>
                <w:rFonts w:ascii="Times New Roman" w:eastAsia="Times New Roman" w:hAnsi="Times New Roman" w:cs="Times New Roman"/>
                <w:color w:val="0000FF"/>
                <w:sz w:val="24"/>
                <w:szCs w:val="24"/>
                <w:lang w:val="en-US" w:eastAsia="en-US" w:bidi="ar-SA"/>
              </w:rPr>
            </w:pPr>
            <w:r>
              <w:rPr>
                <w:rFonts w:ascii="Times New Roman" w:eastAsia="Times New Roman" w:hAnsi="Times New Roman" w:cs="Times New Roman"/>
                <w:color w:val="0000FF"/>
                <w:sz w:val="24"/>
                <w:szCs w:val="24"/>
                <w:lang w:val="en-US" w:eastAsia="en-US" w:bidi="ar-SA"/>
              </w:rPr>
              <w:t>cmooney@opae.org</w:t>
            </w:r>
          </w:p>
          <w:p w:rsidR="006B3862" w:rsidP="006B3862">
            <w:pPr>
              <w:pStyle w:val="BodyText"/>
              <w:spacing w:after="0" w:line="240" w:lineRule="auto"/>
              <w:rPr>
                <w:rStyle w:val="DefaultParagraphFont"/>
                <w:rFonts w:ascii="Times New Roman" w:eastAsia="Times New Roman" w:hAnsi="Times New Roman" w:cs="Times New Roman"/>
                <w:color w:val="0000FF"/>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"mailto:callwein@opae.org" </w:instrText>
            </w:r>
            <w:r>
              <w:fldChar w:fldCharType="separate"/>
            </w:r>
            <w:r>
              <w:rPr>
                <w:rStyle w:val="Hyperlink"/>
                <w:rFonts w:ascii="Times New Roman" w:eastAsia="Times New Roman" w:hAnsi="Times New Roman" w:cs="Times New Roman"/>
                <w:color w:val="0000FF"/>
                <w:sz w:val="24"/>
                <w:szCs w:val="24"/>
                <w:u w:val="single"/>
                <w:lang w:val="en-US" w:eastAsia="en-US" w:bidi="ar-SA"/>
              </w:rPr>
              <w:t>callwein@opae.org</w:t>
            </w:r>
            <w:r>
              <w:fldChar w:fldCharType="end"/>
            </w:r>
          </w:p>
          <w:p w:rsidR="006B3862" w:rsidP="006B3862">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"mailto:mkurtz@BKLlawfirm.com"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mkurtz@BKLlawfirm.com</w:t>
            </w:r>
            <w:r>
              <w:fldChar w:fldCharType="end"/>
            </w:r>
          </w:p>
          <w:p w:rsidR="006B3862" w:rsidP="006B3862">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"mailto:kboehm@BKLlawfirm.com"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kboehm@BKLlawfirm.com</w:t>
            </w:r>
            <w:r>
              <w:fldChar w:fldCharType="end"/>
            </w:r>
          </w:p>
          <w:p w:rsidR="006B3862" w:rsidP="006B3862">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"mailto:jkylercohn@BKLlawfirm.com" </w:instrText>
            </w:r>
            <w:r>
              <w:fldChar w:fldCharType="separate"/>
            </w:r>
            <w:r>
              <w:rPr>
                <w:rStyle w:val="Hyperlink"/>
                <w:rFonts w:ascii="Times New Roman" w:eastAsia="Times New Roman" w:hAnsi="Times New Roman" w:cs="Times New Roman"/>
                <w:color w:val="0000FF"/>
                <w:sz w:val="24"/>
                <w:szCs w:val="24"/>
                <w:u w:val="single"/>
                <w:lang w:val="en-US" w:eastAsia="en-US" w:bidi="ar-SA"/>
              </w:rPr>
              <w:t>jkylercohn@BKLlawfirm.com</w:t>
            </w:r>
            <w:r>
              <w:fldChar w:fldCharType="end"/>
            </w:r>
          </w:p>
          <w:p w:rsidR="006B3862" w:rsidP="006B3862">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p w:rsidR="006B3862" w:rsidP="006B3862">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p>
        </w:tc>
      </w:tr>
    </w:tbl>
    <w:p w:rsidR="009C37D8" w:rsidP="00CE0DD0">
      <w:pPr>
        <w:spacing w:line="480" w:lineRule="auto"/>
        <w:ind w:firstLine="720"/>
      </w:pPr>
    </w:p>
    <w:sectPr w:rsidSect="00385757">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C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85980855"/>
      <w:docPartObj>
        <w:docPartGallery w:val="Page Numbers (Bottom of Page)"/>
        <w:docPartUnique/>
      </w:docPartObj>
    </w:sdtPr>
    <w:sdtEndPr>
      <w:rPr>
        <w:noProof/>
      </w:rPr>
    </w:sdtEndPr>
    <w:sdtContent>
      <w:p w:rsidR="009C37D8">
        <w:pPr>
          <w:pStyle w:val="Footer"/>
          <w:jc w:val="center"/>
        </w:pPr>
        <w:r>
          <w:fldChar w:fldCharType="begin"/>
        </w:r>
        <w:r>
          <w:instrText xml:space="preserve"> PAGE   \* MERGEFORMAT </w:instrText>
        </w:r>
        <w:r>
          <w:fldChar w:fldCharType="separate"/>
        </w:r>
        <w:r w:rsidR="007147B6">
          <w:rPr>
            <w:noProof/>
          </w:rPr>
          <w:t>2</w:t>
        </w:r>
        <w:r>
          <w:rPr>
            <w:noProof/>
          </w:rPr>
          <w:fldChar w:fldCharType="end"/>
        </w:r>
      </w:p>
    </w:sdtContent>
  </w:sdt>
  <w:p w:rsidR="009C37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3735" w:rsidP="00576FCB">
      <w:r>
        <w:separator/>
      </w:r>
    </w:p>
  </w:footnote>
  <w:footnote w:type="continuationSeparator" w:id="1">
    <w:p w:rsidR="003D3735" w:rsidP="00576FCB">
      <w:r>
        <w:continuationSeparator/>
      </w:r>
    </w:p>
  </w:footnote>
  <w:footnote w:id="2">
    <w:p w:rsidR="002956E9">
      <w:pPr>
        <w:pStyle w:val="FootnoteText"/>
      </w:pPr>
      <w:r>
        <w:rPr>
          <w:rStyle w:val="FootnoteReference"/>
        </w:rPr>
        <w:footnoteRef/>
      </w:r>
      <w:r>
        <w:t xml:space="preserve"> Available at </w:t>
      </w:r>
      <w:r>
        <w:fldChar w:fldCharType="begin"/>
      </w:r>
      <w:r>
        <w:instrText xml:space="preserve"> HYPERLINK "https://www.puco.ohio.gov/industry-information/industry-topics/powerforward/powerforward-a-roadmap-to-ohios-electricity-future/" </w:instrText>
      </w:r>
      <w:r>
        <w:fldChar w:fldCharType="separate"/>
      </w:r>
      <w:r w:rsidRPr="00D0152E">
        <w:rPr>
          <w:rStyle w:val="Hyperlink"/>
        </w:rPr>
        <w:t>https://www.puco.ohio.gov/industry-information/industry-topics/powerforward/powerforward-a-roadmap-to-ohios-electricity-future/</w:t>
      </w:r>
      <w:r>
        <w:fldChar w:fldCharType="end"/>
      </w:r>
      <w:r>
        <w:t xml:space="preserve">. </w:t>
      </w:r>
    </w:p>
  </w:footnote>
  <w:footnote w:id="3">
    <w:p w:rsidR="00302E4D" w:rsidP="00302E4D">
      <w:pPr>
        <w:pStyle w:val="FootnoteText"/>
      </w:pPr>
      <w:r>
        <w:rPr>
          <w:rStyle w:val="FootnoteReference"/>
        </w:rPr>
        <w:footnoteRef/>
      </w:r>
      <w:r>
        <w:t xml:space="preserve"> Case No. 18-1595-EL-GRD, Entry (November 14, 2018), ¶¶5-6; </w:t>
      </w:r>
      <w:r w:rsidRPr="00265C5E">
        <w:t>Case No. 18-1596-EL-GRD</w:t>
      </w:r>
      <w:r>
        <w:t>, Entry (November 14, 2018), ¶5.</w:t>
      </w:r>
    </w:p>
  </w:footnote>
  <w:footnote w:id="4">
    <w:p w:rsidR="00D425CF">
      <w:pPr>
        <w:pStyle w:val="FootnoteText"/>
      </w:pPr>
      <w:r>
        <w:rPr>
          <w:rStyle w:val="FootnoteReference"/>
        </w:rPr>
        <w:footnoteRef/>
      </w:r>
      <w:r>
        <w:t xml:space="preserve"> PowerForward Roadmap at 16.</w:t>
      </w:r>
    </w:p>
  </w:footnote>
  <w:footnote w:id="5">
    <w:p w:rsidR="00557022">
      <w:pPr>
        <w:pStyle w:val="FootnoteText"/>
      </w:pPr>
      <w:r>
        <w:rPr>
          <w:rStyle w:val="FootnoteReference"/>
        </w:rPr>
        <w:footnoteRef/>
      </w:r>
      <w:r>
        <w:t xml:space="preserve"> </w:t>
      </w:r>
      <w:r w:rsidR="000878AA">
        <w:rPr>
          <w:i/>
        </w:rPr>
        <w:t>See, e.g.,</w:t>
      </w:r>
      <w:r w:rsidR="000878AA">
        <w:t xml:space="preserve"> </w:t>
      </w:r>
      <w:r>
        <w:t xml:space="preserve">AEP Ohio gridSMART I and II riders, Duke Energy Ohio DR-IM rider, and FirstEnergy AMI rider. </w:t>
      </w:r>
    </w:p>
  </w:footnote>
  <w:footnote w:id="6">
    <w:p w:rsidR="009D2102">
      <w:pPr>
        <w:pStyle w:val="FootnoteText"/>
      </w:pPr>
      <w:r>
        <w:rPr>
          <w:rStyle w:val="FootnoteReference"/>
        </w:rPr>
        <w:footnoteRef/>
      </w:r>
      <w:r>
        <w:t xml:space="preserve"> </w:t>
      </w:r>
      <w:r w:rsidR="00905DAE">
        <w:t>PowerForward Roadmap at 27.</w:t>
      </w:r>
    </w:p>
  </w:footnote>
  <w:footnote w:id="7">
    <w:p w:rsidR="00533E11">
      <w:pPr>
        <w:pStyle w:val="FootnoteText"/>
      </w:pPr>
      <w:r>
        <w:rPr>
          <w:rStyle w:val="FootnoteReference"/>
        </w:rPr>
        <w:footnoteRef/>
      </w:r>
      <w:r>
        <w:t xml:space="preserve"> PowerForward Roadmap </w:t>
      </w:r>
      <w:r w:rsidR="00905DAE">
        <w:t>at</w:t>
      </w:r>
      <w:r>
        <w:t xml:space="preserve"> 26.</w:t>
      </w:r>
    </w:p>
  </w:footnote>
  <w:footnote w:id="8">
    <w:p w:rsidR="00F27CC6">
      <w:pPr>
        <w:pStyle w:val="FootnoteText"/>
      </w:pPr>
      <w:r>
        <w:rPr>
          <w:rStyle w:val="FootnoteReference"/>
        </w:rPr>
        <w:footnoteRef/>
      </w:r>
      <w:r>
        <w:t xml:space="preserve"> </w:t>
      </w:r>
      <w:r w:rsidR="008146C5">
        <w:t xml:space="preserve">R.C. </w:t>
      </w:r>
      <w:r>
        <w:t>4928.143(B)(2)(h).</w:t>
      </w:r>
    </w:p>
  </w:footnote>
  <w:footnote w:id="9">
    <w:p w:rsidR="00696CA3">
      <w:pPr>
        <w:pStyle w:val="FootnoteText"/>
      </w:pPr>
      <w:r>
        <w:rPr>
          <w:rStyle w:val="FootnoteReference"/>
        </w:rPr>
        <w:footnoteRef/>
      </w:r>
      <w:r>
        <w:t xml:space="preserve"> </w:t>
      </w:r>
      <w:r w:rsidR="00726470">
        <w:t>PowerForward Roadmap at 27.</w:t>
      </w:r>
    </w:p>
  </w:footnote>
  <w:footnote w:id="10">
    <w:p w:rsidR="00573F87">
      <w:pPr>
        <w:pStyle w:val="FootnoteText"/>
      </w:pPr>
      <w:r>
        <w:rPr>
          <w:rStyle w:val="FootnoteReference"/>
        </w:rPr>
        <w:footnoteRef/>
      </w:r>
      <w:r>
        <w:t xml:space="preserve"> </w:t>
      </w:r>
      <w:r w:rsidR="00282F6C">
        <w:t xml:space="preserve">PowerForward </w:t>
      </w:r>
      <w:r>
        <w:t>Roadmap at 23</w:t>
      </w:r>
      <w:r w:rsidR="00385757">
        <w:t>.</w:t>
      </w:r>
    </w:p>
  </w:footnote>
  <w:footnote w:id="11">
    <w:p w:rsidR="00282F6C" w:rsidP="00282F6C">
      <w:pPr>
        <w:pStyle w:val="FootnoteText"/>
      </w:pPr>
      <w:r>
        <w:rPr>
          <w:rStyle w:val="FootnoteReference"/>
        </w:rPr>
        <w:footnoteRef/>
      </w:r>
      <w:r>
        <w:t xml:space="preserve"> Case 18-1595-EL-GRD, AE Entry (November 14, 2018 at 3).</w:t>
      </w:r>
    </w:p>
  </w:footnote>
  <w:footnote w:id="12">
    <w:p w:rsidR="00282F6C" w:rsidP="00282F6C">
      <w:pPr>
        <w:pStyle w:val="FootnoteText"/>
      </w:pPr>
      <w:r>
        <w:rPr>
          <w:rStyle w:val="FootnoteReference"/>
        </w:rPr>
        <w:footnoteRef/>
      </w:r>
      <w:r>
        <w:t xml:space="preserve"> </w:t>
      </w:r>
      <w:r w:rsidR="00EE5DCD">
        <w:t xml:space="preserve">PowerForward </w:t>
      </w:r>
      <w:r>
        <w:t>Roadmap at 27</w:t>
      </w:r>
      <w:r w:rsidR="006B3862">
        <w:t>.</w:t>
      </w:r>
    </w:p>
  </w:footnote>
  <w:footnote w:id="13">
    <w:p w:rsidR="00E474B3">
      <w:pPr>
        <w:pStyle w:val="FootnoteText"/>
      </w:pPr>
      <w:r>
        <w:rPr>
          <w:rStyle w:val="FootnoteReference"/>
        </w:rPr>
        <w:footnoteRef/>
      </w:r>
      <w:r>
        <w:t xml:space="preserve"> R.C. 4903.082; Ohio Adm. Code 4901-1-16.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C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C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CB961C7"/>
    <w:multiLevelType w:val="hybridMultilevel"/>
    <w:tmpl w:val="E7788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DD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C37D8"/>
    <w:pPr>
      <w:keepNext/>
      <w:outlineLvl w:val="0"/>
    </w:pPr>
    <w:rPr>
      <w:b/>
      <w:szCs w:val="24"/>
      <w:u w:val="single"/>
    </w:rPr>
  </w:style>
  <w:style w:type="paragraph" w:styleId="Heading2">
    <w:name w:val="heading 2"/>
    <w:basedOn w:val="Normal"/>
    <w:next w:val="Normal"/>
    <w:link w:val="Heading2Char"/>
    <w:uiPriority w:val="9"/>
    <w:semiHidden/>
    <w:unhideWhenUsed/>
    <w:qFormat/>
    <w:rsid w:val="008742C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576FCB"/>
    <w:pPr>
      <w:spacing w:after="120"/>
    </w:pPr>
    <w:rPr>
      <w:sz w:val="20"/>
    </w:rPr>
  </w:style>
  <w:style w:type="character" w:customStyle="1" w:styleId="FootnoteTextChar">
    <w:name w:val="Footnote Text Char"/>
    <w:link w:val="FootnoteText"/>
    <w:rsid w:val="00576FCB"/>
    <w:rPr>
      <w:rFonts w:ascii="Times New Roman" w:eastAsia="Times New Roman" w:hAnsi="Times New Roman" w:cs="Times New Roman"/>
      <w:sz w:val="20"/>
      <w:szCs w:val="20"/>
    </w:rPr>
  </w:style>
  <w:style w:type="paragraph" w:customStyle="1" w:styleId="FootnoteText1">
    <w:name w:val="Footnote Text1"/>
    <w:basedOn w:val="Normal"/>
    <w:qFormat/>
    <w:rsid w:val="00F67600"/>
    <w:pPr>
      <w:spacing w:after="120"/>
    </w:pPr>
    <w:rPr>
      <w:rFonts w:eastAsia="Calibri"/>
      <w:sz w:val="20"/>
    </w:rPr>
  </w:style>
  <w:style w:type="character" w:customStyle="1" w:styleId="FootnoteTextChar1">
    <w:name w:val="Footnote Text Char1"/>
    <w:aliases w:val="Footnote Text Char Char Char Char,Footnote Text Char Char4 Char Char Char Char,Footnote Text Char1 Char Char,Footnote Text Char4 Char Char,Footnote Text Char4 Char Char Char Char,Footnote Text Char4 Char1 Char Char Char Char Char"/>
    <w:rsid w:val="00D95CC4"/>
  </w:style>
  <w:style w:type="paragraph" w:styleId="HTMLPreformatted">
    <w:name w:val="HTML Preformatted"/>
    <w:basedOn w:val="Normal"/>
    <w:link w:val="HTMLPreformattedChar"/>
    <w:rsid w:val="00CE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CE0DD0"/>
    <w:rPr>
      <w:rFonts w:ascii="Courier New" w:eastAsia="Courier New" w:hAnsi="Courier New" w:cs="Courier New"/>
      <w:sz w:val="20"/>
      <w:szCs w:val="20"/>
    </w:rPr>
  </w:style>
  <w:style w:type="character" w:styleId="FootnoteReference">
    <w:name w:val="footnote reference"/>
    <w:basedOn w:val="DefaultParagraphFont"/>
    <w:uiPriority w:val="99"/>
    <w:semiHidden/>
    <w:unhideWhenUsed/>
    <w:rsid w:val="00576FCB"/>
    <w:rPr>
      <w:vertAlign w:val="superscript"/>
    </w:rPr>
  </w:style>
  <w:style w:type="paragraph" w:styleId="Header">
    <w:name w:val="header"/>
    <w:basedOn w:val="Normal"/>
    <w:link w:val="HeaderChar"/>
    <w:uiPriority w:val="99"/>
    <w:unhideWhenUsed/>
    <w:rsid w:val="009C37D8"/>
    <w:pPr>
      <w:tabs>
        <w:tab w:val="center" w:pos="4680"/>
        <w:tab w:val="right" w:pos="9360"/>
      </w:tabs>
    </w:pPr>
  </w:style>
  <w:style w:type="character" w:customStyle="1" w:styleId="HeaderChar">
    <w:name w:val="Header Char"/>
    <w:basedOn w:val="DefaultParagraphFont"/>
    <w:link w:val="Header"/>
    <w:uiPriority w:val="99"/>
    <w:rsid w:val="009C37D8"/>
    <w:rPr>
      <w:rFonts w:ascii="Times New Roman" w:eastAsia="Times New Roman" w:hAnsi="Times New Roman" w:cs="Times New Roman"/>
      <w:sz w:val="24"/>
      <w:szCs w:val="20"/>
    </w:rPr>
  </w:style>
  <w:style w:type="paragraph" w:styleId="Footer">
    <w:name w:val="footer"/>
    <w:basedOn w:val="Normal"/>
    <w:link w:val="FooterChar"/>
    <w:unhideWhenUsed/>
    <w:rsid w:val="009C37D8"/>
    <w:pPr>
      <w:tabs>
        <w:tab w:val="center" w:pos="4680"/>
        <w:tab w:val="right" w:pos="9360"/>
      </w:tabs>
    </w:pPr>
  </w:style>
  <w:style w:type="character" w:customStyle="1" w:styleId="FooterChar">
    <w:name w:val="Footer Char"/>
    <w:basedOn w:val="DefaultParagraphFont"/>
    <w:link w:val="Footer"/>
    <w:uiPriority w:val="99"/>
    <w:rsid w:val="009C37D8"/>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9C37D8"/>
    <w:rPr>
      <w:rFonts w:ascii="Times New Roman" w:eastAsia="Times New Roman" w:hAnsi="Times New Roman" w:cs="Times New Roman"/>
      <w:b/>
      <w:sz w:val="24"/>
      <w:szCs w:val="24"/>
      <w:u w:val="single"/>
    </w:rPr>
  </w:style>
  <w:style w:type="character" w:styleId="Hyperlink">
    <w:name w:val="Hyperlink"/>
    <w:rsid w:val="009C37D8"/>
    <w:rPr>
      <w:color w:val="0000FF"/>
      <w:u w:val="single"/>
    </w:rPr>
  </w:style>
  <w:style w:type="paragraph" w:styleId="BodyTextIndent3">
    <w:name w:val="Body Text Indent 3"/>
    <w:basedOn w:val="Normal"/>
    <w:link w:val="BodyTextIndent3Char"/>
    <w:rsid w:val="009C37D8"/>
    <w:pPr>
      <w:spacing w:line="480" w:lineRule="atLeast"/>
      <w:ind w:firstLine="720"/>
    </w:pPr>
  </w:style>
  <w:style w:type="character" w:customStyle="1" w:styleId="BodyTextIndent3Char">
    <w:name w:val="Body Text Indent 3 Char"/>
    <w:basedOn w:val="DefaultParagraphFont"/>
    <w:link w:val="BodyTextIndent3"/>
    <w:rsid w:val="009C37D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C37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D8"/>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9C37D8"/>
    <w:rPr>
      <w:color w:val="605E5C"/>
      <w:shd w:val="clear" w:color="auto" w:fill="E1DFDD"/>
    </w:rPr>
  </w:style>
  <w:style w:type="paragraph" w:styleId="ListParagraph">
    <w:name w:val="List Paragraph"/>
    <w:basedOn w:val="Normal"/>
    <w:uiPriority w:val="34"/>
    <w:qFormat/>
    <w:rsid w:val="00D46407"/>
    <w:pPr>
      <w:ind w:left="720"/>
      <w:contextualSpacing/>
    </w:pPr>
  </w:style>
  <w:style w:type="character" w:customStyle="1" w:styleId="Heading2Char">
    <w:name w:val="Heading 2 Char"/>
    <w:basedOn w:val="DefaultParagraphFont"/>
    <w:link w:val="Heading2"/>
    <w:uiPriority w:val="9"/>
    <w:semiHidden/>
    <w:rsid w:val="008742C6"/>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F92EB6"/>
    <w:rPr>
      <w:sz w:val="16"/>
      <w:szCs w:val="16"/>
    </w:rPr>
  </w:style>
  <w:style w:type="paragraph" w:styleId="CommentText">
    <w:name w:val="annotation text"/>
    <w:basedOn w:val="Normal"/>
    <w:link w:val="CommentTextChar"/>
    <w:semiHidden/>
    <w:unhideWhenUsed/>
    <w:rsid w:val="00F92EB6"/>
    <w:rPr>
      <w:sz w:val="20"/>
    </w:rPr>
  </w:style>
  <w:style w:type="character" w:customStyle="1" w:styleId="CommentTextChar">
    <w:name w:val="Comment Text Char"/>
    <w:basedOn w:val="DefaultParagraphFont"/>
    <w:link w:val="CommentText"/>
    <w:semiHidden/>
    <w:rsid w:val="00F92E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2EB6"/>
    <w:rPr>
      <w:b/>
      <w:bCs/>
    </w:rPr>
  </w:style>
  <w:style w:type="character" w:customStyle="1" w:styleId="CommentSubjectChar">
    <w:name w:val="Comment Subject Char"/>
    <w:basedOn w:val="CommentTextChar"/>
    <w:link w:val="CommentSubject"/>
    <w:uiPriority w:val="99"/>
    <w:semiHidden/>
    <w:rsid w:val="00F92EB6"/>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2956E9"/>
    <w:rPr>
      <w:color w:val="605E5C"/>
      <w:shd w:val="clear" w:color="auto" w:fill="E1DFDD"/>
    </w:rPr>
  </w:style>
  <w:style w:type="table" w:styleId="TableGrid">
    <w:name w:val="Table Grid"/>
    <w:basedOn w:val="TableNormal"/>
    <w:uiPriority w:val="59"/>
    <w:rsid w:val="00385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6B3862"/>
    <w:pPr>
      <w:spacing w:after="120"/>
    </w:pPr>
  </w:style>
  <w:style w:type="character" w:customStyle="1" w:styleId="BodyTextChar">
    <w:name w:val="Body Text Char"/>
    <w:basedOn w:val="DefaultParagraphFont"/>
    <w:link w:val="BodyText"/>
    <w:uiPriority w:val="99"/>
    <w:semiHidden/>
    <w:rsid w:val="006B386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2227</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18-1595 - OCC PowerForward Comments  (00062417.DOCX;2)</vt:lpstr>
    </vt:vector>
  </TitlesOfParts>
  <Company/>
  <LinksUpToDate>false</LinksUpToDate>
  <CharactersWithSpaces>14898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2018-12-04T19:52:57Z</dcterms:created>
  <dcterms:modified xsi:type="dcterms:W3CDTF">2018-12-04T19:52:57Z</dcterms:modified>
</cp:coreProperties>
</file>