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2A" w:rsidRDefault="003F382A">
      <w:pPr>
        <w:jc w:val="center"/>
        <w:rPr>
          <w:b/>
        </w:rPr>
      </w:pPr>
      <w:bookmarkStart w:id="0" w:name="_GoBack"/>
      <w:bookmarkEnd w:id="0"/>
      <w:r>
        <w:rPr>
          <w:b/>
        </w:rPr>
        <w:t>BEFORE</w:t>
      </w:r>
    </w:p>
    <w:p w:rsidR="003F382A" w:rsidRDefault="003F382A">
      <w:pPr>
        <w:jc w:val="center"/>
        <w:rPr>
          <w:b/>
        </w:rPr>
      </w:pPr>
      <w:r>
        <w:rPr>
          <w:b/>
        </w:rPr>
        <w:t xml:space="preserve">THE PUBLIC UTILITIES COMMISSION OF </w:t>
      </w:r>
      <w:smartTag w:uri="urn:schemas-microsoft-com:office:smarttags" w:element="place">
        <w:smartTag w:uri="urn:schemas-microsoft-com:office:smarttags" w:element="State">
          <w:r>
            <w:rPr>
              <w:b/>
            </w:rPr>
            <w:t>OHIO</w:t>
          </w:r>
        </w:smartTag>
      </w:smartTag>
    </w:p>
    <w:p w:rsidR="003F382A" w:rsidRDefault="003F382A"/>
    <w:tbl>
      <w:tblPr>
        <w:tblW w:w="0" w:type="auto"/>
        <w:tblLook w:val="00A0" w:firstRow="1" w:lastRow="0" w:firstColumn="1" w:lastColumn="0" w:noHBand="0" w:noVBand="0"/>
      </w:tblPr>
      <w:tblGrid>
        <w:gridCol w:w="4668"/>
        <w:gridCol w:w="480"/>
        <w:gridCol w:w="3708"/>
      </w:tblGrid>
      <w:tr w:rsidR="003F382A">
        <w:tc>
          <w:tcPr>
            <w:tcW w:w="4668" w:type="dxa"/>
            <w:shd w:val="clear" w:color="auto" w:fill="auto"/>
          </w:tcPr>
          <w:p w:rsidR="003F382A" w:rsidRDefault="003F382A">
            <w:r>
              <w:t xml:space="preserve">In the Matter of the Commission’s Review of Chapter 4901:1-10, </w:t>
            </w:r>
            <w:smartTag w:uri="urn:schemas-microsoft-com:office:smarttags" w:element="place">
              <w:smartTag w:uri="urn:schemas-microsoft-com:office:smarttags" w:element="State">
                <w:r>
                  <w:t>Ohio</w:t>
                </w:r>
              </w:smartTag>
            </w:smartTag>
            <w:r>
              <w:t xml:space="preserve"> Administrative Code, Regarding Electric Companies.</w:t>
            </w:r>
          </w:p>
        </w:tc>
        <w:tc>
          <w:tcPr>
            <w:tcW w:w="480" w:type="dxa"/>
            <w:shd w:val="clear" w:color="auto" w:fill="auto"/>
          </w:tcPr>
          <w:p w:rsidR="003F382A" w:rsidRDefault="003F382A" w:rsidP="0028108E">
            <w:r>
              <w:t>)</w:t>
            </w:r>
            <w:r>
              <w:br/>
              <w:t>)</w:t>
            </w:r>
            <w:r>
              <w:br/>
              <w:t>)</w:t>
            </w:r>
          </w:p>
        </w:tc>
        <w:tc>
          <w:tcPr>
            <w:tcW w:w="3708" w:type="dxa"/>
            <w:shd w:val="clear" w:color="auto" w:fill="auto"/>
          </w:tcPr>
          <w:p w:rsidR="003F382A" w:rsidRDefault="003F382A"/>
          <w:p w:rsidR="003F382A" w:rsidRDefault="003F382A">
            <w:r>
              <w:t>Case No. 12-2050-EL-ORD</w:t>
            </w:r>
          </w:p>
          <w:p w:rsidR="003F382A" w:rsidRDefault="003F382A"/>
        </w:tc>
      </w:tr>
    </w:tbl>
    <w:p w:rsidR="003F382A" w:rsidRDefault="003F382A">
      <w:pPr>
        <w:pBdr>
          <w:bottom w:val="single" w:sz="12" w:space="1" w:color="auto"/>
        </w:pBdr>
      </w:pPr>
    </w:p>
    <w:p w:rsidR="003F382A" w:rsidRDefault="003F382A"/>
    <w:p w:rsidR="003F382A" w:rsidRDefault="003F382A">
      <w:pPr>
        <w:jc w:val="center"/>
        <w:rPr>
          <w:b/>
        </w:rPr>
      </w:pPr>
      <w:r>
        <w:rPr>
          <w:b/>
        </w:rPr>
        <w:t>REPLY COMMENTS</w:t>
      </w:r>
    </w:p>
    <w:p w:rsidR="003F382A" w:rsidRDefault="003F382A">
      <w:pPr>
        <w:jc w:val="center"/>
        <w:rPr>
          <w:b/>
        </w:rPr>
      </w:pPr>
      <w:r>
        <w:rPr>
          <w:b/>
        </w:rPr>
        <w:t xml:space="preserve">BY </w:t>
      </w:r>
    </w:p>
    <w:p w:rsidR="003F382A" w:rsidRDefault="003F382A">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w:t>
      </w:r>
    </w:p>
    <w:p w:rsidR="003F382A" w:rsidRDefault="003F382A">
      <w:pPr>
        <w:pBdr>
          <w:bottom w:val="single" w:sz="12" w:space="1" w:color="auto"/>
        </w:pBdr>
      </w:pPr>
    </w:p>
    <w:p w:rsidR="003F382A" w:rsidRDefault="003F382A"/>
    <w:p w:rsidR="003F382A" w:rsidRPr="00562EE7" w:rsidRDefault="003F382A" w:rsidP="00935AC3">
      <w:pPr>
        <w:pStyle w:val="Heading1"/>
      </w:pPr>
      <w:bookmarkStart w:id="1" w:name="_Toc203805651"/>
      <w:bookmarkStart w:id="2" w:name="_Toc206318173"/>
      <w:bookmarkStart w:id="3" w:name="_Toc347932511"/>
      <w:r w:rsidRPr="00562EE7">
        <w:t>I.</w:t>
      </w:r>
      <w:r w:rsidRPr="00562EE7">
        <w:tab/>
        <w:t>INTRODUCTION</w:t>
      </w:r>
      <w:bookmarkEnd w:id="1"/>
      <w:bookmarkEnd w:id="2"/>
      <w:bookmarkEnd w:id="3"/>
    </w:p>
    <w:p w:rsidR="00E7181D" w:rsidRDefault="00E7181D" w:rsidP="00E7181D">
      <w:pPr>
        <w:autoSpaceDE w:val="0"/>
        <w:autoSpaceDN w:val="0"/>
        <w:adjustRightInd w:val="0"/>
        <w:spacing w:line="480" w:lineRule="auto"/>
        <w:ind w:firstLine="720"/>
      </w:pPr>
      <w:r>
        <w:t>The Office of the Ohio Consumers’ Counsel (“OCC”) files these Reply Comments on net metering rules</w:t>
      </w:r>
      <w:r w:rsidR="00F90B00">
        <w:t>.  Under</w:t>
      </w:r>
      <w:r w:rsidR="00335F10">
        <w:t xml:space="preserve"> </w:t>
      </w:r>
      <w:r w:rsidR="00F90B00">
        <w:t>these rules</w:t>
      </w:r>
      <w:r>
        <w:t xml:space="preserve"> consumers can install renewable energy generation on their property and are connected to a public-utility power grid, mainly to reduce the electricity needed from the utility.  The net metering rules also allow customers who produce more electricity than they need to sell back to the utility the </w:t>
      </w:r>
      <w:r w:rsidR="006865F3">
        <w:t>su</w:t>
      </w:r>
      <w:r w:rsidR="00CD5D98">
        <w:t>r</w:t>
      </w:r>
      <w:r w:rsidR="006865F3">
        <w:t xml:space="preserve">plus </w:t>
      </w:r>
      <w:r w:rsidR="00F90B00">
        <w:t xml:space="preserve">electricity </w:t>
      </w:r>
      <w:r w:rsidR="00843209">
        <w:t>generated.</w:t>
      </w:r>
      <w:r>
        <w:t xml:space="preserve">  Net metering is critical to consumer</w:t>
      </w:r>
      <w:r w:rsidR="00335F10">
        <w:t xml:space="preserve"> distributed generation economics.  Renewable distributed generation </w:t>
      </w:r>
      <w:r w:rsidR="008E0CAB">
        <w:t xml:space="preserve">facilitated by </w:t>
      </w:r>
      <w:r w:rsidR="00056EDC">
        <w:t>an</w:t>
      </w:r>
      <w:r w:rsidR="008E0CAB">
        <w:t xml:space="preserve"> air net metering regime will</w:t>
      </w:r>
      <w:r>
        <w:t xml:space="preserve"> </w:t>
      </w:r>
      <w:r w:rsidR="00F90B00">
        <w:t xml:space="preserve">contributing to </w:t>
      </w:r>
      <w:r w:rsidR="008E0CAB">
        <w:t xml:space="preserve"> meeting </w:t>
      </w:r>
      <w:r>
        <w:t>Ohio’s renewable energy requirements and developing an</w:t>
      </w:r>
      <w:r w:rsidRPr="00E26B85">
        <w:t xml:space="preserve"> advanced energy industry</w:t>
      </w:r>
      <w:r>
        <w:t xml:space="preserve"> in the state</w:t>
      </w:r>
      <w:r w:rsidR="00F90B00">
        <w:t xml:space="preserve">.  Net metering is also </w:t>
      </w:r>
      <w:r>
        <w:t>an important tenet of Ohio’s State Energy Policy.</w:t>
      </w:r>
      <w:r>
        <w:rPr>
          <w:rStyle w:val="FootnoteReference"/>
        </w:rPr>
        <w:footnoteReference w:id="1"/>
      </w:r>
    </w:p>
    <w:p w:rsidR="0023723E" w:rsidRDefault="00E7181D" w:rsidP="00E7181D">
      <w:pPr>
        <w:autoSpaceDE w:val="0"/>
        <w:autoSpaceDN w:val="0"/>
        <w:adjustRightInd w:val="0"/>
        <w:spacing w:line="480" w:lineRule="auto"/>
        <w:ind w:firstLine="720"/>
        <w:sectPr w:rsidR="0023723E" w:rsidSect="00456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r w:rsidRPr="00606859">
        <w:t xml:space="preserve">The Public Utilities Commission of Ohio (“PUCO” or “the Commission”) invited interested persons to file comments and reply comments concerning proposed  changes </w:t>
      </w:r>
      <w:r>
        <w:t>to the net metering rules contained in Ohio Adm. Code 4901:1-10-28.</w:t>
      </w:r>
      <w:r>
        <w:rPr>
          <w:rStyle w:val="FootnoteReference"/>
        </w:rPr>
        <w:footnoteReference w:id="2"/>
      </w:r>
      <w:r w:rsidRPr="00606859">
        <w:t xml:space="preserve"> </w:t>
      </w:r>
    </w:p>
    <w:p w:rsidR="003F382A" w:rsidRDefault="003F382A" w:rsidP="004D138C">
      <w:pPr>
        <w:tabs>
          <w:tab w:val="left" w:pos="720"/>
          <w:tab w:val="left" w:pos="1440"/>
          <w:tab w:val="left" w:pos="2160"/>
          <w:tab w:val="decimal" w:leader="dot" w:pos="8640"/>
        </w:tabs>
        <w:spacing w:line="480" w:lineRule="auto"/>
      </w:pPr>
      <w:r>
        <w:lastRenderedPageBreak/>
        <w:t>Initial comments were filed b</w:t>
      </w:r>
      <w:r w:rsidR="00E7181D">
        <w:t>y several parties including the OCC on December 18, 2015</w:t>
      </w:r>
      <w:r>
        <w:t xml:space="preserve">.  </w:t>
      </w:r>
      <w:r w:rsidR="00E7181D">
        <w:t xml:space="preserve">Representing the interests of all Ohio residential electric consumers in the state, the OCC generally supports the proposed net metering rules and welcomes the opportunity to file these reply comments.  The PUCO should adopt the recommendations in these </w:t>
      </w:r>
      <w:r w:rsidR="00056EDC">
        <w:t xml:space="preserve">reply </w:t>
      </w:r>
      <w:r w:rsidR="00E7181D">
        <w:t>comments, in order to protect consumers.</w:t>
      </w:r>
    </w:p>
    <w:p w:rsidR="004D138C" w:rsidRDefault="004D138C" w:rsidP="004D138C">
      <w:pPr>
        <w:tabs>
          <w:tab w:val="left" w:pos="720"/>
          <w:tab w:val="left" w:pos="1440"/>
          <w:tab w:val="left" w:pos="2160"/>
          <w:tab w:val="decimal" w:leader="dot" w:pos="8640"/>
        </w:tabs>
      </w:pPr>
    </w:p>
    <w:p w:rsidR="003F382A" w:rsidRDefault="003F382A" w:rsidP="00935AC3">
      <w:pPr>
        <w:pStyle w:val="Heading1"/>
      </w:pPr>
      <w:bookmarkStart w:id="4" w:name="_Toc347932512"/>
      <w:bookmarkStart w:id="5" w:name="_Toc206318180"/>
      <w:r>
        <w:t>II.</w:t>
      </w:r>
      <w:r w:rsidRPr="00562EE7">
        <w:tab/>
        <w:t>SPECIFIC REPLY Comments</w:t>
      </w:r>
      <w:bookmarkEnd w:id="4"/>
      <w:r>
        <w:t xml:space="preserve"> </w:t>
      </w:r>
      <w:bookmarkEnd w:id="5"/>
    </w:p>
    <w:p w:rsidR="00E7181D" w:rsidRPr="00935AC3" w:rsidRDefault="00935AC3" w:rsidP="00935AC3">
      <w:pPr>
        <w:pStyle w:val="Heading2"/>
        <w:ind w:right="720"/>
      </w:pPr>
      <w:r>
        <w:t>A.</w:t>
      </w:r>
      <w:r>
        <w:tab/>
      </w:r>
      <w:r w:rsidR="00750D90" w:rsidRPr="00935AC3">
        <w:t xml:space="preserve">The 120 percent of customer consumption </w:t>
      </w:r>
      <w:r w:rsidR="00056EDC">
        <w:t>n</w:t>
      </w:r>
      <w:r w:rsidR="00750D90" w:rsidRPr="00935AC3">
        <w:t xml:space="preserve">et </w:t>
      </w:r>
      <w:r w:rsidR="00056EDC">
        <w:t>m</w:t>
      </w:r>
      <w:r>
        <w:t xml:space="preserve">etering </w:t>
      </w:r>
      <w:r w:rsidR="00750D90" w:rsidRPr="00935AC3">
        <w:t>sizing p</w:t>
      </w:r>
      <w:r w:rsidR="00E7181D" w:rsidRPr="00935AC3">
        <w:t xml:space="preserve">rovision of the </w:t>
      </w:r>
      <w:r w:rsidR="00750D90" w:rsidRPr="00935AC3">
        <w:t>p</w:t>
      </w:r>
      <w:r w:rsidR="007F214D" w:rsidRPr="00935AC3">
        <w:t>roposed</w:t>
      </w:r>
      <w:r w:rsidR="00750D90" w:rsidRPr="00935AC3">
        <w:t xml:space="preserve"> rules s</w:t>
      </w:r>
      <w:r w:rsidR="00E7181D" w:rsidRPr="00935AC3">
        <w:t>trikes a</w:t>
      </w:r>
      <w:r w:rsidR="00750D90" w:rsidRPr="00935AC3">
        <w:t xml:space="preserve"> f</w:t>
      </w:r>
      <w:r w:rsidR="006A51B6" w:rsidRPr="00935AC3">
        <w:t>air</w:t>
      </w:r>
      <w:r w:rsidR="00750D90" w:rsidRPr="00935AC3">
        <w:t xml:space="preserve"> b</w:t>
      </w:r>
      <w:r w:rsidR="00E7181D" w:rsidRPr="00935AC3">
        <w:t xml:space="preserve">alance </w:t>
      </w:r>
      <w:r w:rsidR="00750D90" w:rsidRPr="00935AC3">
        <w:t>for c</w:t>
      </w:r>
      <w:r w:rsidR="00F90B00" w:rsidRPr="00935AC3">
        <w:t xml:space="preserve">ustomers </w:t>
      </w:r>
      <w:r w:rsidR="00750D90" w:rsidRPr="00935AC3">
        <w:t>and should be maintained.  No additional net metering energy or c</w:t>
      </w:r>
      <w:r w:rsidR="00E7181D" w:rsidRPr="00935AC3">
        <w:t>apaci</w:t>
      </w:r>
      <w:r w:rsidR="00750D90" w:rsidRPr="00935AC3">
        <w:t>ty limits should be i</w:t>
      </w:r>
      <w:r w:rsidR="00E7181D" w:rsidRPr="00935AC3">
        <w:t>mposed.</w:t>
      </w:r>
    </w:p>
    <w:p w:rsidR="00E7181D" w:rsidRPr="00E7181D" w:rsidRDefault="00E7181D" w:rsidP="0023723E">
      <w:pPr>
        <w:spacing w:line="480" w:lineRule="auto"/>
        <w:ind w:firstLine="720"/>
      </w:pPr>
      <w:r w:rsidRPr="00E7181D">
        <w:t>The draft rule (</w:t>
      </w:r>
      <w:r w:rsidR="006A51B6">
        <w:t xml:space="preserve">specifically, </w:t>
      </w:r>
      <w:r w:rsidRPr="00E7181D">
        <w:t>4901:1-10-28(B)(7)(b))</w:t>
      </w:r>
      <w:r w:rsidR="006A51B6">
        <w:t xml:space="preserve"> </w:t>
      </w:r>
      <w:r w:rsidRPr="00E7181D">
        <w:t xml:space="preserve">proposes to establish a limit on the size of a net metering generator to 120 percent of </w:t>
      </w:r>
      <w:r w:rsidR="005F437D">
        <w:t>a</w:t>
      </w:r>
      <w:r w:rsidR="005F437D" w:rsidRPr="00E7181D">
        <w:t xml:space="preserve"> </w:t>
      </w:r>
      <w:r w:rsidR="006865F3">
        <w:t xml:space="preserve">customer’s </w:t>
      </w:r>
      <w:r w:rsidRPr="00E7181D">
        <w:t>three</w:t>
      </w:r>
      <w:r w:rsidR="005F437D">
        <w:t>-</w:t>
      </w:r>
      <w:r w:rsidRPr="00E7181D">
        <w:t xml:space="preserve">year average consumption at </w:t>
      </w:r>
      <w:r w:rsidR="008E0CAB">
        <w:t xml:space="preserve">a </w:t>
      </w:r>
      <w:r w:rsidR="005F437D">
        <w:t xml:space="preserve">particular </w:t>
      </w:r>
      <w:r w:rsidRPr="00E7181D">
        <w:t>ins</w:t>
      </w:r>
      <w:r w:rsidR="006A51B6">
        <w:t>tallation.  This provision provides</w:t>
      </w:r>
      <w:r w:rsidRPr="00E7181D">
        <w:t xml:space="preserve"> </w:t>
      </w:r>
      <w:r w:rsidR="006A51B6">
        <w:t>parameters to the net metering</w:t>
      </w:r>
      <w:r w:rsidRPr="00E7181D">
        <w:t xml:space="preserve"> language</w:t>
      </w:r>
      <w:r w:rsidR="006A51B6">
        <w:t xml:space="preserve"> in the R.C. 4928.01(31)(d)</w:t>
      </w:r>
      <w:r w:rsidRPr="00E7181D">
        <w:t xml:space="preserve"> that “</w:t>
      </w:r>
      <w:r w:rsidR="006A51B6">
        <w:t>[i]</w:t>
      </w:r>
      <w:r w:rsidRPr="00E7181D">
        <w:t>s intended primarily to offset part or all of the customer-generator's requirements for electricity.”</w:t>
      </w:r>
      <w:r w:rsidRPr="00E7181D">
        <w:rPr>
          <w:vertAlign w:val="superscript"/>
        </w:rPr>
        <w:footnoteReference w:id="3"/>
      </w:r>
      <w:r w:rsidR="006A51B6">
        <w:t xml:space="preserve"> </w:t>
      </w:r>
      <w:r w:rsidRPr="00E7181D">
        <w:t xml:space="preserve">The 120 percent provision generated </w:t>
      </w:r>
      <w:r w:rsidR="005F437D">
        <w:t>significant</w:t>
      </w:r>
      <w:r w:rsidRPr="00E7181D">
        <w:t xml:space="preserve"> </w:t>
      </w:r>
      <w:r w:rsidR="006865F3">
        <w:t xml:space="preserve">interest </w:t>
      </w:r>
      <w:r w:rsidRPr="00E7181D">
        <w:t xml:space="preserve">in the </w:t>
      </w:r>
      <w:r w:rsidR="007F214D">
        <w:t>previous</w:t>
      </w:r>
      <w:r w:rsidR="007F214D" w:rsidRPr="00E7181D">
        <w:t xml:space="preserve"> </w:t>
      </w:r>
      <w:r w:rsidRPr="00E7181D">
        <w:t>round of comments</w:t>
      </w:r>
      <w:r w:rsidR="006A51B6">
        <w:t xml:space="preserve"> in this </w:t>
      </w:r>
      <w:r w:rsidR="005F437D">
        <w:t xml:space="preserve">proceeding, which </w:t>
      </w:r>
      <w:r w:rsidR="006A51B6">
        <w:t xml:space="preserve">has </w:t>
      </w:r>
      <w:r w:rsidR="007F214D">
        <w:t>continued</w:t>
      </w:r>
      <w:r w:rsidR="007F214D" w:rsidRPr="00E7181D">
        <w:t xml:space="preserve"> </w:t>
      </w:r>
      <w:r w:rsidRPr="00E7181D">
        <w:t>into the current round</w:t>
      </w:r>
      <w:r w:rsidR="005F437D">
        <w:t>.</w:t>
      </w:r>
      <w:r w:rsidRPr="00E7181D">
        <w:t xml:space="preserve">  </w:t>
      </w:r>
    </w:p>
    <w:p w:rsidR="00E7181D" w:rsidRPr="00E7181D" w:rsidRDefault="005F437D" w:rsidP="0023723E">
      <w:pPr>
        <w:spacing w:line="480" w:lineRule="auto"/>
        <w:ind w:firstLine="720"/>
      </w:pPr>
      <w:r>
        <w:t>Specifically</w:t>
      </w:r>
      <w:r w:rsidR="006A51B6">
        <w:t xml:space="preserve">, </w:t>
      </w:r>
      <w:r w:rsidR="00E7181D" w:rsidRPr="00E7181D">
        <w:t>AEP Ohio, Dayton Power and Light (“DP</w:t>
      </w:r>
      <w:r w:rsidR="006A51B6">
        <w:t>&amp;</w:t>
      </w:r>
      <w:r w:rsidR="00E7181D" w:rsidRPr="00E7181D">
        <w:t>L”)</w:t>
      </w:r>
      <w:r>
        <w:t>,</w:t>
      </w:r>
      <w:r w:rsidR="00E7181D" w:rsidRPr="00E7181D">
        <w:t xml:space="preserve"> and </w:t>
      </w:r>
      <w:r w:rsidR="006A51B6">
        <w:t>the First Energy Companies (“FirstEnergy”</w:t>
      </w:r>
      <w:r w:rsidR="00E7181D" w:rsidRPr="00E7181D">
        <w:t xml:space="preserve">) all continue to seek </w:t>
      </w:r>
      <w:r w:rsidR="00F90B00">
        <w:t xml:space="preserve">revisions </w:t>
      </w:r>
      <w:r w:rsidR="00E7181D" w:rsidRPr="00E7181D">
        <w:t>to reduce the 120 percent</w:t>
      </w:r>
      <w:r w:rsidR="006A51B6">
        <w:t xml:space="preserve"> requirement</w:t>
      </w:r>
      <w:r w:rsidR="00F90B00">
        <w:t xml:space="preserve">.  These revisions </w:t>
      </w:r>
      <w:r w:rsidR="008E0CAB">
        <w:t xml:space="preserve">also </w:t>
      </w:r>
      <w:r w:rsidR="00E7181D" w:rsidRPr="00E7181D">
        <w:t>allow less flexibility for net metering customers.</w:t>
      </w:r>
      <w:r w:rsidR="00E7181D" w:rsidRPr="00E7181D">
        <w:rPr>
          <w:vertAlign w:val="superscript"/>
        </w:rPr>
        <w:footnoteReference w:id="4"/>
      </w:r>
      <w:r w:rsidR="00E7181D" w:rsidRPr="00E7181D">
        <w:t xml:space="preserve"> Duke Energy Ohio </w:t>
      </w:r>
      <w:r w:rsidR="006A51B6">
        <w:t xml:space="preserve">(“Duke”) </w:t>
      </w:r>
      <w:r w:rsidR="00E7181D" w:rsidRPr="00E7181D">
        <w:t>proposes both an energy and capacity limi</w:t>
      </w:r>
      <w:r w:rsidR="006A51B6">
        <w:t>t.  For residential customers Duke</w:t>
      </w:r>
      <w:r w:rsidR="00E7181D" w:rsidRPr="00E7181D">
        <w:t xml:space="preserve"> proposes a 10 kW limit.</w:t>
      </w:r>
      <w:r w:rsidR="00E7181D" w:rsidRPr="00E7181D">
        <w:rPr>
          <w:vertAlign w:val="superscript"/>
        </w:rPr>
        <w:footnoteReference w:id="5"/>
      </w:r>
      <w:r w:rsidR="00E7181D" w:rsidRPr="00E7181D">
        <w:t xml:space="preserve"> The </w:t>
      </w:r>
      <w:r w:rsidR="00F90B00">
        <w:t xml:space="preserve">10 kW limit </w:t>
      </w:r>
      <w:r w:rsidR="00E7181D" w:rsidRPr="00E7181D">
        <w:t xml:space="preserve">is capricious, </w:t>
      </w:r>
      <w:r w:rsidR="00F90B00">
        <w:t xml:space="preserve">and has no </w:t>
      </w:r>
      <w:r w:rsidR="00F90B00">
        <w:lastRenderedPageBreak/>
        <w:t>basis.  Add</w:t>
      </w:r>
      <w:r w:rsidR="008E0CAB">
        <w:t>iti</w:t>
      </w:r>
      <w:r w:rsidR="00F90B00">
        <w:t xml:space="preserve">onally it </w:t>
      </w:r>
      <w:r w:rsidR="008E0CAB">
        <w:t xml:space="preserve">is </w:t>
      </w:r>
      <w:r w:rsidR="00F90B00">
        <w:t xml:space="preserve">not </w:t>
      </w:r>
      <w:r w:rsidR="00E7181D" w:rsidRPr="00E7181D">
        <w:t>tied to a net metering customer’s consumption</w:t>
      </w:r>
      <w:r w:rsidR="008E0CAB">
        <w:t xml:space="preserve"> level provision of the law </w:t>
      </w:r>
      <w:r w:rsidR="00843209">
        <w:t xml:space="preserve">(R.C. 4928.01(31)(d)), and thus, </w:t>
      </w:r>
      <w:r w:rsidR="00056EDC">
        <w:t xml:space="preserve">is </w:t>
      </w:r>
      <w:r w:rsidR="00056EDC" w:rsidRPr="00E7181D">
        <w:t>inconsistent</w:t>
      </w:r>
      <w:r w:rsidR="00843209">
        <w:t xml:space="preserve"> with the law</w:t>
      </w:r>
      <w:r w:rsidR="008E0CAB">
        <w:t>.</w:t>
      </w:r>
    </w:p>
    <w:p w:rsidR="00E7181D" w:rsidRPr="00E7181D" w:rsidRDefault="006A51B6" w:rsidP="0023723E">
      <w:pPr>
        <w:spacing w:line="480" w:lineRule="auto"/>
        <w:ind w:firstLine="720"/>
      </w:pPr>
      <w:r>
        <w:t xml:space="preserve">Other commenters (the Environmental </w:t>
      </w:r>
      <w:r w:rsidR="00E7181D" w:rsidRPr="00E7181D">
        <w:t>L</w:t>
      </w:r>
      <w:r>
        <w:t xml:space="preserve">aw and </w:t>
      </w:r>
      <w:r w:rsidR="00E7181D" w:rsidRPr="00E7181D">
        <w:t>P</w:t>
      </w:r>
      <w:r>
        <w:t xml:space="preserve">olicy </w:t>
      </w:r>
      <w:r w:rsidR="00E7181D" w:rsidRPr="00E7181D">
        <w:t>C</w:t>
      </w:r>
      <w:r>
        <w:t>enter</w:t>
      </w:r>
      <w:r w:rsidR="00E7181D" w:rsidRPr="00E7181D">
        <w:t>, O</w:t>
      </w:r>
      <w:r>
        <w:t xml:space="preserve">hio </w:t>
      </w:r>
      <w:r w:rsidR="00E7181D" w:rsidRPr="00E7181D">
        <w:t>E</w:t>
      </w:r>
      <w:r>
        <w:t xml:space="preserve">nvironmental </w:t>
      </w:r>
      <w:r w:rsidR="00E7181D" w:rsidRPr="00E7181D">
        <w:t>C</w:t>
      </w:r>
      <w:r>
        <w:t>ouncil</w:t>
      </w:r>
      <w:r w:rsidR="00E7181D" w:rsidRPr="00E7181D">
        <w:t>, N</w:t>
      </w:r>
      <w:r>
        <w:t xml:space="preserve">atural </w:t>
      </w:r>
      <w:r w:rsidR="00E7181D" w:rsidRPr="00E7181D">
        <w:t>R</w:t>
      </w:r>
      <w:r>
        <w:t xml:space="preserve">esources </w:t>
      </w:r>
      <w:r w:rsidR="00E7181D" w:rsidRPr="00E7181D">
        <w:t>D</w:t>
      </w:r>
      <w:r>
        <w:t xml:space="preserve">efense </w:t>
      </w:r>
      <w:r w:rsidR="00E7181D" w:rsidRPr="00E7181D">
        <w:t>C</w:t>
      </w:r>
      <w:r>
        <w:t>ouncil</w:t>
      </w:r>
      <w:r w:rsidR="00E7181D" w:rsidRPr="00E7181D">
        <w:t>, E</w:t>
      </w:r>
      <w:r>
        <w:t xml:space="preserve">nvironmental </w:t>
      </w:r>
      <w:r w:rsidR="00E7181D" w:rsidRPr="00E7181D">
        <w:t>D</w:t>
      </w:r>
      <w:r>
        <w:t xml:space="preserve">efense </w:t>
      </w:r>
      <w:r w:rsidR="00E7181D" w:rsidRPr="00E7181D">
        <w:t>F</w:t>
      </w:r>
      <w:r>
        <w:t>und</w:t>
      </w:r>
      <w:r w:rsidR="00E7181D" w:rsidRPr="00E7181D">
        <w:t xml:space="preserve"> and Vote Solar </w:t>
      </w:r>
      <w:r w:rsidR="005F437D">
        <w:t>[</w:t>
      </w:r>
      <w:r>
        <w:t xml:space="preserve">collectively, </w:t>
      </w:r>
      <w:r w:rsidR="00E7181D" w:rsidRPr="00E7181D">
        <w:t>“</w:t>
      </w:r>
      <w:r>
        <w:t>Environmental A</w:t>
      </w:r>
      <w:r w:rsidR="00E7181D" w:rsidRPr="00E7181D">
        <w:t>dvocates”</w:t>
      </w:r>
      <w:r w:rsidR="005F437D">
        <w:t>]</w:t>
      </w:r>
      <w:r>
        <w:t>)</w:t>
      </w:r>
      <w:r w:rsidR="00E7181D" w:rsidRPr="00E7181D">
        <w:t xml:space="preserve"> argue that t</w:t>
      </w:r>
      <w:r>
        <w:t>he PUCO</w:t>
      </w:r>
      <w:r w:rsidR="00E7181D" w:rsidRPr="00E7181D">
        <w:t xml:space="preserve"> should not establish an absolute limit on the size of a net metering system</w:t>
      </w:r>
      <w:r>
        <w:t>.</w:t>
      </w:r>
      <w:r w:rsidR="007F214D" w:rsidRPr="007F214D">
        <w:rPr>
          <w:vertAlign w:val="superscript"/>
        </w:rPr>
        <w:t xml:space="preserve"> </w:t>
      </w:r>
      <w:r w:rsidR="007F214D" w:rsidRPr="00E7181D">
        <w:rPr>
          <w:vertAlign w:val="superscript"/>
        </w:rPr>
        <w:footnoteReference w:id="6"/>
      </w:r>
      <w:r>
        <w:t xml:space="preserve"> The Environmental Advocates point out that </w:t>
      </w:r>
      <w:r w:rsidR="00E7181D" w:rsidRPr="00E7181D">
        <w:t>Ohio law allows customers to receive net metering service based on the intent to offset their own electricity requirements, and “codifying a bright-line limit on the size of a system does not allow for unique circumstances where the customer may have such intent but the system falls outside the bounds of the proposed quantitative limit.”</w:t>
      </w:r>
      <w:r w:rsidR="00E7181D" w:rsidRPr="00E7181D">
        <w:rPr>
          <w:vertAlign w:val="superscript"/>
        </w:rPr>
        <w:footnoteReference w:id="7"/>
      </w:r>
      <w:r w:rsidR="00E7181D" w:rsidRPr="00E7181D">
        <w:t xml:space="preserve">  OCC voiced similar concerns in earlier comments.</w:t>
      </w:r>
      <w:r w:rsidR="00E7181D" w:rsidRPr="00E7181D">
        <w:rPr>
          <w:vertAlign w:val="superscript"/>
        </w:rPr>
        <w:footnoteReference w:id="8"/>
      </w:r>
    </w:p>
    <w:p w:rsidR="00750D90" w:rsidRDefault="00E7181D" w:rsidP="0023723E">
      <w:pPr>
        <w:spacing w:line="480" w:lineRule="auto"/>
        <w:ind w:firstLine="720"/>
      </w:pPr>
      <w:r w:rsidRPr="00E7181D">
        <w:t>At this time, OCC supports the 120 percent rule as a way of adding more clarity for net metering customers on the siz</w:t>
      </w:r>
      <w:r w:rsidR="005F437D">
        <w:t>e</w:t>
      </w:r>
      <w:r w:rsidRPr="00E7181D">
        <w:t xml:space="preserve"> of </w:t>
      </w:r>
      <w:r w:rsidR="005F437D">
        <w:t xml:space="preserve">permitted </w:t>
      </w:r>
      <w:r w:rsidRPr="00E7181D">
        <w:t>generation equipment</w:t>
      </w:r>
      <w:r w:rsidR="006A51B6">
        <w:t xml:space="preserve">.  The requirement </w:t>
      </w:r>
      <w:r w:rsidRPr="00E7181D">
        <w:t xml:space="preserve">should </w:t>
      </w:r>
      <w:r w:rsidR="006A51B6">
        <w:t xml:space="preserve">also serve to </w:t>
      </w:r>
      <w:r w:rsidRPr="00E7181D">
        <w:t>lessen future individual customer and utility litigation</w:t>
      </w:r>
      <w:r w:rsidR="005F437D">
        <w:t>.</w:t>
      </w:r>
      <w:r w:rsidRPr="00E7181D">
        <w:t xml:space="preserve">   For residential customers, most applications will involve solar photovoltaic systems.</w:t>
      </w:r>
      <w:r w:rsidR="006A51B6">
        <w:rPr>
          <w:rStyle w:val="FootnoteReference"/>
        </w:rPr>
        <w:footnoteReference w:id="9"/>
      </w:r>
      <w:r w:rsidRPr="00E7181D">
        <w:t xml:space="preserve">  </w:t>
      </w:r>
      <w:r w:rsidR="008B1667">
        <w:t xml:space="preserve">The 120 percent proposed rule should not disrupt the development of this valuable resource.  </w:t>
      </w:r>
      <w:r w:rsidRPr="00E7181D">
        <w:t>The solar custo</w:t>
      </w:r>
      <w:r w:rsidR="006A51B6">
        <w:t xml:space="preserve">mer is bringing a new </w:t>
      </w:r>
      <w:r w:rsidR="005F437D">
        <w:t xml:space="preserve">daytime generation </w:t>
      </w:r>
      <w:r w:rsidR="006A51B6">
        <w:t xml:space="preserve">resource </w:t>
      </w:r>
      <w:r w:rsidRPr="00E7181D">
        <w:t xml:space="preserve">delivered at the </w:t>
      </w:r>
      <w:r w:rsidR="005F437D">
        <w:t xml:space="preserve">local </w:t>
      </w:r>
      <w:r w:rsidRPr="00E7181D">
        <w:t xml:space="preserve">distribution level, a </w:t>
      </w:r>
      <w:r w:rsidR="005F437D">
        <w:t xml:space="preserve">more clean </w:t>
      </w:r>
      <w:r w:rsidRPr="00E7181D">
        <w:t>resource</w:t>
      </w:r>
      <w:r w:rsidR="005F437D">
        <w:t xml:space="preserve"> than typical generation units</w:t>
      </w:r>
      <w:r w:rsidRPr="00E7181D">
        <w:t xml:space="preserve">, and a resource that avoids fuel cost risk and fuel supply risk.  </w:t>
      </w:r>
    </w:p>
    <w:p w:rsidR="00935AC3" w:rsidRDefault="00E7181D" w:rsidP="00935AC3">
      <w:pPr>
        <w:spacing w:line="480" w:lineRule="auto"/>
      </w:pPr>
      <w:r w:rsidRPr="00E7181D">
        <w:t xml:space="preserve">All of these attributes add value to the </w:t>
      </w:r>
      <w:r w:rsidR="008B1667">
        <w:t xml:space="preserve">electric </w:t>
      </w:r>
      <w:r w:rsidRPr="00E7181D">
        <w:t>system and should not be discouraged.</w:t>
      </w:r>
      <w:r w:rsidR="00843209">
        <w:t xml:space="preserve">  The 120 percent rule will is likely to cover solar customers’ needs, and thus will not interfere with such development.</w:t>
      </w:r>
    </w:p>
    <w:p w:rsidR="00E7181D" w:rsidRPr="00935AC3" w:rsidRDefault="00935AC3" w:rsidP="00935AC3">
      <w:pPr>
        <w:pStyle w:val="Heading2"/>
        <w:ind w:right="720"/>
      </w:pPr>
      <w:r>
        <w:t>B.</w:t>
      </w:r>
      <w:r>
        <w:tab/>
      </w:r>
      <w:r w:rsidR="00F90B00" w:rsidRPr="00935AC3">
        <w:t>To assist</w:t>
      </w:r>
      <w:r w:rsidR="00056EDC">
        <w:t xml:space="preserve"> customers who are considering net m</w:t>
      </w:r>
      <w:r w:rsidR="00F90B00" w:rsidRPr="00935AC3">
        <w:t xml:space="preserve">etering, the </w:t>
      </w:r>
      <w:r w:rsidR="00750D90" w:rsidRPr="00935AC3">
        <w:t xml:space="preserve">Ohio utilities should provide an estimated premise consumption level for </w:t>
      </w:r>
      <w:r w:rsidR="00056EDC">
        <w:t>n</w:t>
      </w:r>
      <w:r w:rsidR="00750D90" w:rsidRPr="00935AC3">
        <w:t xml:space="preserve">et </w:t>
      </w:r>
      <w:r w:rsidR="00056EDC">
        <w:t>m</w:t>
      </w:r>
      <w:r w:rsidR="00750D90" w:rsidRPr="00935AC3">
        <w:t>etering p</w:t>
      </w:r>
      <w:r w:rsidR="00E7181D" w:rsidRPr="00935AC3">
        <w:t>urposes.</w:t>
      </w:r>
    </w:p>
    <w:p w:rsidR="0032723A" w:rsidRDefault="00E7181D" w:rsidP="0023723E">
      <w:pPr>
        <w:spacing w:line="480" w:lineRule="auto"/>
        <w:ind w:firstLine="720"/>
      </w:pPr>
      <w:r w:rsidRPr="00E7181D">
        <w:t>AEP</w:t>
      </w:r>
      <w:r w:rsidR="006A51B6">
        <w:t xml:space="preserve"> Ohio, FirstEnergy</w:t>
      </w:r>
      <w:r w:rsidR="005F437D">
        <w:t>,</w:t>
      </w:r>
      <w:r w:rsidRPr="00E7181D">
        <w:t xml:space="preserve"> and DP</w:t>
      </w:r>
      <w:r w:rsidR="006A51B6">
        <w:t>&amp;</w:t>
      </w:r>
      <w:r w:rsidRPr="00E7181D">
        <w:t>L</w:t>
      </w:r>
      <w:r w:rsidRPr="00E7181D">
        <w:rPr>
          <w:vertAlign w:val="superscript"/>
        </w:rPr>
        <w:footnoteReference w:id="10"/>
      </w:r>
      <w:r w:rsidR="006A51B6">
        <w:t xml:space="preserve"> all</w:t>
      </w:r>
      <w:r w:rsidRPr="00E7181D">
        <w:t xml:space="preserve"> balk at having to provide new customers estimated consumption (</w:t>
      </w:r>
      <w:r w:rsidR="006A51B6">
        <w:t xml:space="preserve">as detailed in </w:t>
      </w:r>
      <w:r w:rsidRPr="00E7181D">
        <w:t>4901:1-10-28(B)(7)(a)).</w:t>
      </w:r>
      <w:r w:rsidRPr="00E7181D">
        <w:rPr>
          <w:vertAlign w:val="superscript"/>
        </w:rPr>
        <w:footnoteReference w:id="11"/>
      </w:r>
      <w:r w:rsidR="006A51B6">
        <w:t xml:space="preserve"> These utilities</w:t>
      </w:r>
      <w:r w:rsidRPr="00E7181D">
        <w:t xml:space="preserve"> instead propose that the consumption estimate be the responsibility of the new customer.</w:t>
      </w:r>
      <w:r w:rsidR="006A51B6">
        <w:t xml:space="preserve">  </w:t>
      </w:r>
    </w:p>
    <w:p w:rsidR="0032723A" w:rsidRDefault="00E7181D" w:rsidP="0023723E">
      <w:pPr>
        <w:spacing w:line="480" w:lineRule="auto"/>
        <w:ind w:firstLine="720"/>
      </w:pPr>
      <w:r w:rsidRPr="00E7181D">
        <w:t>This position would make sense if most of the prospective net metering customers were energy experts and proficient at running D</w:t>
      </w:r>
      <w:r w:rsidR="006A51B6">
        <w:t xml:space="preserve">epartment of </w:t>
      </w:r>
      <w:r w:rsidRPr="00E7181D">
        <w:t>E</w:t>
      </w:r>
      <w:r w:rsidR="006A51B6">
        <w:t>nergy</w:t>
      </w:r>
      <w:r w:rsidRPr="00E7181D">
        <w:t>-2 energy simulation models</w:t>
      </w:r>
      <w:r w:rsidR="000D2FBE">
        <w:rPr>
          <w:rStyle w:val="FootnoteReference"/>
        </w:rPr>
        <w:footnoteReference w:id="12"/>
      </w:r>
      <w:r w:rsidRPr="00E7181D">
        <w:t xml:space="preserve"> on their home computers.  </w:t>
      </w:r>
      <w:r w:rsidR="006A51B6">
        <w:t xml:space="preserve">But that is not the case. </w:t>
      </w:r>
      <w:r w:rsidRPr="00E7181D">
        <w:t>Utilities are better positioned to provide consumption estimate</w:t>
      </w:r>
      <w:r w:rsidR="005F437D">
        <w:t>s</w:t>
      </w:r>
      <w:r w:rsidRPr="00E7181D">
        <w:t xml:space="preserve"> </w:t>
      </w:r>
      <w:r w:rsidR="006A51B6">
        <w:t xml:space="preserve">to the </w:t>
      </w:r>
      <w:r w:rsidR="005F437D">
        <w:t xml:space="preserve">potential </w:t>
      </w:r>
      <w:r w:rsidR="006A51B6">
        <w:t>net metering customer.</w:t>
      </w:r>
      <w:r w:rsidR="007F214D">
        <w:t xml:space="preserve"> </w:t>
      </w:r>
      <w:r w:rsidR="005F437D">
        <w:t>That is</w:t>
      </w:r>
      <w:r w:rsidR="007F214D">
        <w:t>, u</w:t>
      </w:r>
      <w:r w:rsidR="006A51B6">
        <w:t>tilities</w:t>
      </w:r>
      <w:r w:rsidRPr="00E7181D">
        <w:t xml:space="preserve"> have the previous customers’ consumption data and/or analytical tools to provide a </w:t>
      </w:r>
      <w:r w:rsidR="005F437D">
        <w:t>re</w:t>
      </w:r>
      <w:r w:rsidR="00843209">
        <w:t>a</w:t>
      </w:r>
      <w:r w:rsidR="005F437D">
        <w:t>sonable</w:t>
      </w:r>
      <w:r w:rsidRPr="00E7181D">
        <w:t xml:space="preserve"> estimate.  </w:t>
      </w:r>
      <w:r w:rsidR="005F437D">
        <w:t xml:space="preserve">In addition, </w:t>
      </w:r>
      <w:r w:rsidRPr="00E7181D">
        <w:t>Ohio utilities (and their consultants) have been</w:t>
      </w:r>
      <w:r w:rsidR="0032723A">
        <w:t xml:space="preserve"> for years</w:t>
      </w:r>
      <w:r w:rsidR="00843209">
        <w:t xml:space="preserve"> </w:t>
      </w:r>
      <w:r w:rsidRPr="00E7181D">
        <w:t xml:space="preserve">estimating consumer consumption in developing and modeling their </w:t>
      </w:r>
      <w:r w:rsidR="005F437D">
        <w:t xml:space="preserve">respective </w:t>
      </w:r>
      <w:r w:rsidRPr="00E7181D">
        <w:t xml:space="preserve">energy efficiency programs.  Some have also run information programs that model average customer usage based on similar home vintage and square footage. </w:t>
      </w:r>
    </w:p>
    <w:p w:rsidR="00935AC3" w:rsidRDefault="00E7181D" w:rsidP="00935AC3">
      <w:pPr>
        <w:spacing w:line="480" w:lineRule="auto"/>
        <w:ind w:firstLine="720"/>
      </w:pPr>
      <w:r w:rsidRPr="00E7181D">
        <w:t xml:space="preserve"> </w:t>
      </w:r>
      <w:r w:rsidR="0032723A">
        <w:t xml:space="preserve">It makes sense for </w:t>
      </w:r>
      <w:r w:rsidRPr="00E7181D">
        <w:t xml:space="preserve">Ohio utilities </w:t>
      </w:r>
      <w:r w:rsidR="0032723A">
        <w:t xml:space="preserve">to be </w:t>
      </w:r>
      <w:r w:rsidRPr="00E7181D">
        <w:t>responsible for providing a premise consumption estimate</w:t>
      </w:r>
      <w:r w:rsidR="0032723A">
        <w:t xml:space="preserve">. The </w:t>
      </w:r>
      <w:r w:rsidRPr="00E7181D">
        <w:t>utilit</w:t>
      </w:r>
      <w:r w:rsidR="005F437D">
        <w:t>ies’ propo</w:t>
      </w:r>
      <w:r w:rsidR="0032723A">
        <w:t>s</w:t>
      </w:r>
      <w:r w:rsidR="005F437D">
        <w:t>ed</w:t>
      </w:r>
      <w:r w:rsidRPr="00E7181D">
        <w:t xml:space="preserve"> modifications to t</w:t>
      </w:r>
      <w:r w:rsidR="00935AC3">
        <w:t>his section should be rejected.</w:t>
      </w:r>
    </w:p>
    <w:p w:rsidR="00E7181D" w:rsidRPr="00E7181D" w:rsidRDefault="00935AC3" w:rsidP="00935AC3">
      <w:pPr>
        <w:pStyle w:val="Heading2"/>
        <w:ind w:right="720"/>
      </w:pPr>
      <w:r>
        <w:t xml:space="preserve">C. </w:t>
      </w:r>
      <w:r>
        <w:tab/>
      </w:r>
      <w:r w:rsidR="00750D90">
        <w:t xml:space="preserve">The payment to a </w:t>
      </w:r>
      <w:r w:rsidR="00056EDC">
        <w:t>n</w:t>
      </w:r>
      <w:r w:rsidR="00750D90">
        <w:t xml:space="preserve">et </w:t>
      </w:r>
      <w:r w:rsidR="00056EDC">
        <w:t>m</w:t>
      </w:r>
      <w:r w:rsidR="00750D90">
        <w:t>etering customer w</w:t>
      </w:r>
      <w:r w:rsidR="00E7181D" w:rsidRPr="00E7181D">
        <w:t>ho</w:t>
      </w:r>
      <w:r w:rsidR="00750D90">
        <w:t xml:space="preserve"> exceeds t</w:t>
      </w:r>
      <w:r w:rsidR="006A51B6">
        <w:t xml:space="preserve">heir </w:t>
      </w:r>
      <w:r w:rsidR="00750D90">
        <w:t>m</w:t>
      </w:r>
      <w:r w:rsidR="00562EE7">
        <w:t>onthly e</w:t>
      </w:r>
      <w:r w:rsidR="00E7181D" w:rsidRPr="00E7181D">
        <w:t>lectricity</w:t>
      </w:r>
      <w:r w:rsidR="00562EE7">
        <w:t xml:space="preserve"> u</w:t>
      </w:r>
      <w:r w:rsidR="006A51B6">
        <w:t>sage</w:t>
      </w:r>
      <w:r w:rsidR="00562EE7">
        <w:t xml:space="preserve"> should b</w:t>
      </w:r>
      <w:r w:rsidR="00E7181D" w:rsidRPr="00E7181D">
        <w:t xml:space="preserve">e the </w:t>
      </w:r>
      <w:r w:rsidR="00562EE7">
        <w:t>f</w:t>
      </w:r>
      <w:r w:rsidR="007F214D" w:rsidRPr="00E7181D">
        <w:t xml:space="preserve">ull </w:t>
      </w:r>
      <w:r w:rsidR="00562EE7">
        <w:t>u</w:t>
      </w:r>
      <w:r w:rsidR="007F214D" w:rsidRPr="00E7181D">
        <w:t>tility</w:t>
      </w:r>
      <w:r w:rsidR="00562EE7">
        <w:t xml:space="preserve"> generation cost [utility g</w:t>
      </w:r>
      <w:r w:rsidR="00E7181D" w:rsidRPr="00E7181D">
        <w:t>enera</w:t>
      </w:r>
      <w:r w:rsidR="00562EE7">
        <w:t>tion SSO (energy and capacity) plus any n</w:t>
      </w:r>
      <w:r w:rsidR="00E7181D" w:rsidRPr="00E7181D">
        <w:t>on</w:t>
      </w:r>
      <w:r w:rsidR="005F437D">
        <w:t>-</w:t>
      </w:r>
      <w:r w:rsidR="00562EE7">
        <w:t>bypassable generation r</w:t>
      </w:r>
      <w:r w:rsidR="00E7181D" w:rsidRPr="00E7181D">
        <w:t xml:space="preserve">iders].  </w:t>
      </w:r>
    </w:p>
    <w:p w:rsidR="00E7181D" w:rsidRPr="00E7181D" w:rsidRDefault="006A51B6" w:rsidP="0023723E">
      <w:pPr>
        <w:spacing w:line="480" w:lineRule="auto"/>
        <w:ind w:firstLine="720"/>
      </w:pPr>
      <w:r>
        <w:t>AEP Ohio and FirstEnergy</w:t>
      </w:r>
      <w:r w:rsidR="00E7181D" w:rsidRPr="00E7181D">
        <w:t xml:space="preserve"> continue to argue that </w:t>
      </w:r>
      <w:r w:rsidR="0032723A">
        <w:t xml:space="preserve">under the </w:t>
      </w:r>
      <w:r w:rsidR="00E7181D" w:rsidRPr="00E7181D">
        <w:t>(4901:1-10-28(B)(9)(b))</w:t>
      </w:r>
      <w:r>
        <w:t xml:space="preserve"> </w:t>
      </w:r>
      <w:r w:rsidR="0032723A">
        <w:t xml:space="preserve">payments </w:t>
      </w:r>
      <w:r w:rsidR="00E7181D" w:rsidRPr="00E7181D">
        <w:t>for net metering customer excess generation, the S</w:t>
      </w:r>
      <w:r>
        <w:t xml:space="preserve">tandard </w:t>
      </w:r>
      <w:r w:rsidR="00E7181D" w:rsidRPr="00E7181D">
        <w:t>S</w:t>
      </w:r>
      <w:r>
        <w:t xml:space="preserve">ervice </w:t>
      </w:r>
      <w:r w:rsidR="00E7181D" w:rsidRPr="00E7181D">
        <w:t>O</w:t>
      </w:r>
      <w:r>
        <w:t>ffer (“SSO”)</w:t>
      </w:r>
      <w:r w:rsidR="00E7181D" w:rsidRPr="00E7181D">
        <w:t xml:space="preserve"> price, is too generous and should be reduced.</w:t>
      </w:r>
      <w:r w:rsidR="00E7181D" w:rsidRPr="00E7181D">
        <w:rPr>
          <w:vertAlign w:val="superscript"/>
        </w:rPr>
        <w:footnoteReference w:id="13"/>
      </w:r>
      <w:r w:rsidR="00E7181D" w:rsidRPr="00E7181D">
        <w:t xml:space="preserve">   </w:t>
      </w:r>
      <w:r w:rsidR="009900D1">
        <w:t xml:space="preserve">To this end, </w:t>
      </w:r>
      <w:r>
        <w:t xml:space="preserve">AEP Ohio and FirstEnergy </w:t>
      </w:r>
      <w:r w:rsidR="00E7181D" w:rsidRPr="00E7181D">
        <w:t xml:space="preserve">oppose the </w:t>
      </w:r>
      <w:r>
        <w:t xml:space="preserve">PUCO Staff’s </w:t>
      </w:r>
      <w:r w:rsidR="00E7181D" w:rsidRPr="00E7181D">
        <w:t xml:space="preserve">proposed revision to require </w:t>
      </w:r>
      <w:r>
        <w:t>electric utilities</w:t>
      </w:r>
      <w:r w:rsidR="00E7181D" w:rsidRPr="00E7181D">
        <w:t xml:space="preserve"> to credit excessive generation by customer-generators at the </w:t>
      </w:r>
      <w:r>
        <w:t>utilities</w:t>
      </w:r>
      <w:r w:rsidR="00E7181D" w:rsidRPr="00E7181D">
        <w:t xml:space="preserve">’ </w:t>
      </w:r>
      <w:r>
        <w:t>SSO</w:t>
      </w:r>
      <w:r w:rsidR="00E7181D" w:rsidRPr="00E7181D">
        <w:t xml:space="preserve"> </w:t>
      </w:r>
      <w:r w:rsidR="00056EDC" w:rsidRPr="00E7181D">
        <w:t>rate;</w:t>
      </w:r>
      <w:r w:rsidR="00E7181D" w:rsidRPr="00E7181D">
        <w:t xml:space="preserve"> to the extent t</w:t>
      </w:r>
      <w:r>
        <w:t xml:space="preserve">his would require electric utilities </w:t>
      </w:r>
      <w:r w:rsidR="00E7181D" w:rsidRPr="00E7181D">
        <w:t>to pay net metering customers for the capacity component of the SSO rate.</w:t>
      </w:r>
      <w:r>
        <w:t xml:space="preserve">  AEP Ohio and FirstEnergy</w:t>
      </w:r>
      <w:r w:rsidR="00E7181D" w:rsidRPr="00E7181D">
        <w:t xml:space="preserve"> comment that the excess generation credit should be set at the utility’s energy rate.</w:t>
      </w:r>
      <w:r w:rsidR="00E7181D" w:rsidRPr="00E7181D">
        <w:rPr>
          <w:vertAlign w:val="superscript"/>
        </w:rPr>
        <w:footnoteReference w:id="14"/>
      </w:r>
      <w:r w:rsidR="00E7181D" w:rsidRPr="00E7181D">
        <w:t xml:space="preserve">  AEP Ohio’s </w:t>
      </w:r>
      <w:r w:rsidR="009900D1">
        <w:t>main concern</w:t>
      </w:r>
      <w:r>
        <w:t xml:space="preserve"> with</w:t>
      </w:r>
      <w:r w:rsidR="00E7181D" w:rsidRPr="00E7181D">
        <w:t xml:space="preserve"> the Proposed</w:t>
      </w:r>
      <w:r>
        <w:t xml:space="preserve"> Net Metering</w:t>
      </w:r>
      <w:r w:rsidR="00E7181D" w:rsidRPr="00E7181D">
        <w:t xml:space="preserve"> Rules </w:t>
      </w:r>
      <w:r w:rsidR="009900D1">
        <w:t>appears to be</w:t>
      </w:r>
      <w:r w:rsidR="00E7181D" w:rsidRPr="00E7181D">
        <w:t xml:space="preserve"> the proposed rate at which utilities must issue monetary credits for excess generation of </w:t>
      </w:r>
      <w:r w:rsidR="000E7625">
        <w:t>electricity</w:t>
      </w:r>
      <w:r w:rsidR="00E7181D" w:rsidRPr="00E7181D">
        <w:t xml:space="preserve">. </w:t>
      </w:r>
      <w:r w:rsidR="000E7625">
        <w:t>AEP maintains that r</w:t>
      </w:r>
      <w:r w:rsidR="00E7181D" w:rsidRPr="00E7181D">
        <w:t>equiring a utility to provide an excess generation credit “at the utility’s standard service offer rate” is improper</w:t>
      </w:r>
      <w:r w:rsidR="000E7625">
        <w:t>.</w:t>
      </w:r>
      <w:r w:rsidR="00E7181D" w:rsidRPr="00E7181D">
        <w:rPr>
          <w:vertAlign w:val="superscript"/>
        </w:rPr>
        <w:footnoteReference w:id="15"/>
      </w:r>
    </w:p>
    <w:p w:rsidR="00562EE7" w:rsidRDefault="00562EE7" w:rsidP="0023723E">
      <w:pPr>
        <w:spacing w:line="480" w:lineRule="auto"/>
        <w:ind w:firstLine="720"/>
      </w:pPr>
    </w:p>
    <w:p w:rsidR="00562EE7" w:rsidRDefault="00562EE7" w:rsidP="0023723E">
      <w:pPr>
        <w:spacing w:line="480" w:lineRule="auto"/>
        <w:ind w:firstLine="720"/>
      </w:pPr>
    </w:p>
    <w:p w:rsidR="00E7181D" w:rsidRPr="00E7181D" w:rsidRDefault="008D1EF6" w:rsidP="0023723E">
      <w:pPr>
        <w:spacing w:line="480" w:lineRule="auto"/>
        <w:ind w:firstLine="720"/>
      </w:pPr>
      <w:r>
        <w:t>The Environmental A</w:t>
      </w:r>
      <w:r w:rsidR="00E7181D" w:rsidRPr="00E7181D">
        <w:t>dvocates comment that the monthly excess generation credit should be a kWh credit that rolls over month to month indefinitely or, alternatively, until the end of the year. A true kWh credit, as opposed to a monetary credit they argue, is consistent with the statutory definition of “net metering.”</w:t>
      </w:r>
      <w:r w:rsidR="00E7181D" w:rsidRPr="00E7181D">
        <w:rPr>
          <w:vertAlign w:val="superscript"/>
        </w:rPr>
        <w:footnoteReference w:id="16"/>
      </w:r>
      <w:r>
        <w:tab/>
      </w:r>
    </w:p>
    <w:p w:rsidR="00E7181D" w:rsidRDefault="000B1208" w:rsidP="0023723E">
      <w:pPr>
        <w:spacing w:line="480" w:lineRule="auto"/>
        <w:ind w:firstLine="720"/>
        <w:rPr>
          <w:b/>
        </w:rPr>
      </w:pPr>
      <w:r>
        <w:t>OCC submits</w:t>
      </w:r>
      <w:r w:rsidR="00E7181D" w:rsidRPr="00E7181D">
        <w:t xml:space="preserve"> that limiting the excess generation payment to the </w:t>
      </w:r>
      <w:r w:rsidR="000E7625">
        <w:t xml:space="preserve">energy charge portion of </w:t>
      </w:r>
      <w:r w:rsidR="00E7181D" w:rsidRPr="00E7181D">
        <w:t>SSO charge would short change the net metering customer</w:t>
      </w:r>
      <w:r w:rsidR="000E7625">
        <w:t>s</w:t>
      </w:r>
      <w:r w:rsidR="008D1EF6">
        <w:t>.</w:t>
      </w:r>
      <w:r w:rsidR="009900D1">
        <w:t xml:space="preserve">  This is </w:t>
      </w:r>
      <w:r w:rsidR="000E7625">
        <w:t xml:space="preserve">simply </w:t>
      </w:r>
      <w:r w:rsidR="009900D1">
        <w:t>wrong.</w:t>
      </w:r>
      <w:r w:rsidR="008D1EF6">
        <w:t xml:space="preserve">  </w:t>
      </w:r>
      <w:r w:rsidR="00E7181D" w:rsidRPr="00E7181D">
        <w:t xml:space="preserve">Solar and wind resources </w:t>
      </w:r>
      <w:r w:rsidR="000E7625" w:rsidRPr="00E7181D">
        <w:t>are</w:t>
      </w:r>
      <w:r w:rsidR="000E7625">
        <w:t xml:space="preserve"> currently </w:t>
      </w:r>
      <w:r w:rsidR="00E7181D" w:rsidRPr="00E7181D">
        <w:t>eligible for a discounted capacity credit at PJM.</w:t>
      </w:r>
      <w:r w:rsidR="00E7181D" w:rsidRPr="00E7181D">
        <w:rPr>
          <w:vertAlign w:val="superscript"/>
        </w:rPr>
        <w:footnoteReference w:id="17"/>
      </w:r>
      <w:r w:rsidR="00E7181D" w:rsidRPr="00E7181D">
        <w:t xml:space="preserve">   With residential battery technology improving and </w:t>
      </w:r>
      <w:r w:rsidR="00562EE7">
        <w:t>becoming more economical,</w:t>
      </w:r>
      <w:r w:rsidR="00E7181D" w:rsidRPr="00E7181D">
        <w:t xml:space="preserve"> solar and wind systems </w:t>
      </w:r>
      <w:r w:rsidR="000E7625">
        <w:t xml:space="preserve">combined </w:t>
      </w:r>
      <w:r w:rsidR="00E7181D" w:rsidRPr="00E7181D">
        <w:t xml:space="preserve">with battery </w:t>
      </w:r>
      <w:r w:rsidR="000E7625">
        <w:t>storage</w:t>
      </w:r>
      <w:r w:rsidR="00E7181D" w:rsidRPr="00E7181D">
        <w:t xml:space="preserve"> could in </w:t>
      </w:r>
      <w:r w:rsidR="000E7625">
        <w:t xml:space="preserve">a </w:t>
      </w:r>
      <w:r w:rsidR="00E7181D" w:rsidRPr="00E7181D">
        <w:t xml:space="preserve">short time provide </w:t>
      </w:r>
      <w:r w:rsidR="00F61890">
        <w:t xml:space="preserve">a </w:t>
      </w:r>
      <w:r w:rsidR="00E7181D" w:rsidRPr="00E7181D">
        <w:t xml:space="preserve">very reliable </w:t>
      </w:r>
      <w:r w:rsidR="000E7625">
        <w:t xml:space="preserve">form of </w:t>
      </w:r>
      <w:r w:rsidR="00E7181D" w:rsidRPr="00E7181D">
        <w:t>capacity.</w:t>
      </w:r>
      <w:r w:rsidR="00E7181D" w:rsidRPr="00E7181D">
        <w:rPr>
          <w:vertAlign w:val="superscript"/>
        </w:rPr>
        <w:footnoteReference w:id="18"/>
      </w:r>
      <w:r w:rsidR="00E7181D" w:rsidRPr="00E7181D">
        <w:t xml:space="preserve">  Furthermore, while the full SSO generation payment appears appropriate for a restructured state like Ohio, it does not comprise the full generation payment in instances where there are non</w:t>
      </w:r>
      <w:r w:rsidR="000E7625">
        <w:t>-</w:t>
      </w:r>
      <w:r w:rsidR="00E7181D" w:rsidRPr="00E7181D">
        <w:t>bypassable generation charges on customer tariffs.</w:t>
      </w:r>
      <w:r w:rsidR="00E7181D" w:rsidRPr="00E7181D">
        <w:rPr>
          <w:vertAlign w:val="superscript"/>
        </w:rPr>
        <w:footnoteReference w:id="19"/>
      </w:r>
      <w:r w:rsidR="00E7181D" w:rsidRPr="00E7181D">
        <w:t xml:space="preserve"> Therefore, the payment to a net metering customer who produces excess monthly electricity should be the full utility generation SSO (capacity and energy) plus any non</w:t>
      </w:r>
      <w:r w:rsidR="000E7625">
        <w:t>-</w:t>
      </w:r>
      <w:r w:rsidR="00E7181D" w:rsidRPr="00E7181D">
        <w:t>bypassable generation riders.</w:t>
      </w:r>
      <w:r w:rsidR="00E7181D" w:rsidRPr="00E7181D">
        <w:rPr>
          <w:b/>
        </w:rPr>
        <w:t xml:space="preserve">  </w:t>
      </w:r>
    </w:p>
    <w:p w:rsidR="00562EE7" w:rsidRPr="00E7181D" w:rsidRDefault="00562EE7" w:rsidP="0023723E">
      <w:pPr>
        <w:spacing w:line="480" w:lineRule="auto"/>
        <w:ind w:firstLine="720"/>
      </w:pPr>
    </w:p>
    <w:p w:rsidR="00E7181D" w:rsidRDefault="00935AC3" w:rsidP="002F63AD">
      <w:pPr>
        <w:pStyle w:val="Heading2"/>
        <w:ind w:right="720"/>
      </w:pPr>
      <w:r>
        <w:t>D.</w:t>
      </w:r>
      <w:r>
        <w:tab/>
      </w:r>
      <w:r w:rsidR="00562EE7">
        <w:t>The prov</w:t>
      </w:r>
      <w:r w:rsidR="00056EDC">
        <w:t>ision concerning the losing of net m</w:t>
      </w:r>
      <w:r w:rsidR="00562EE7">
        <w:t>etering customer credit if not used within 36 months should be clarified to mean the c</w:t>
      </w:r>
      <w:r w:rsidR="00E7181D" w:rsidRPr="00E7181D">
        <w:t xml:space="preserve">redits </w:t>
      </w:r>
      <w:r w:rsidR="00562EE7">
        <w:t>t</w:t>
      </w:r>
      <w:r w:rsidR="0032723A">
        <w:t xml:space="preserve">o customers </w:t>
      </w:r>
      <w:r w:rsidR="004D138C">
        <w:t xml:space="preserve">are not all lost. </w:t>
      </w:r>
      <w:r w:rsidR="00562EE7">
        <w:t>The PUCO</w:t>
      </w:r>
      <w:r w:rsidR="00056EDC">
        <w:t xml:space="preserve"> staff should clarify that any net m</w:t>
      </w:r>
      <w:r w:rsidR="00562EE7">
        <w:t>etering customer credit for excess e</w:t>
      </w:r>
      <w:r w:rsidR="00E7181D" w:rsidRPr="00E7181D">
        <w:t>lectr</w:t>
      </w:r>
      <w:r w:rsidR="00562EE7">
        <w:t>icity production operates on a rolling monthly b</w:t>
      </w:r>
      <w:r w:rsidR="00E7181D" w:rsidRPr="00E7181D">
        <w:t>asis.</w:t>
      </w:r>
    </w:p>
    <w:p w:rsidR="00E7181D" w:rsidRDefault="00E7181D" w:rsidP="002F63AD">
      <w:pPr>
        <w:spacing w:line="480" w:lineRule="auto"/>
        <w:ind w:firstLine="720"/>
      </w:pPr>
      <w:r w:rsidRPr="00E7181D">
        <w:t>Duke comments that the provision in 4901:1-10-28(B)(9) that a monetary credit may be lost if the customer generator does not use the credit within thirty-six months needs clarification.</w:t>
      </w:r>
      <w:r w:rsidR="00A42F1E">
        <w:rPr>
          <w:rStyle w:val="FootnoteReference"/>
        </w:rPr>
        <w:footnoteReference w:id="20"/>
      </w:r>
      <w:r w:rsidR="00A42F1E">
        <w:t xml:space="preserve">  Duke asks that</w:t>
      </w:r>
      <w:r w:rsidRPr="00E7181D">
        <w:t xml:space="preserve"> this language should be clarified to explain whether the credits are to roll off on a rolling basis, or all credits within the immediate past thirty-six months are lost.</w:t>
      </w:r>
      <w:r w:rsidRPr="00E7181D">
        <w:rPr>
          <w:vertAlign w:val="superscript"/>
        </w:rPr>
        <w:footnoteReference w:id="21"/>
      </w:r>
      <w:r w:rsidRPr="00E7181D">
        <w:t xml:space="preserve"> OCC’s understanding is the former</w:t>
      </w:r>
      <w:r w:rsidR="00A42F1E">
        <w:t>,</w:t>
      </w:r>
      <w:r w:rsidRPr="00E7181D">
        <w:t xml:space="preserve"> and the language should be clarified</w:t>
      </w:r>
      <w:r w:rsidR="00A42F1E">
        <w:t xml:space="preserve"> by the PUCO to state that any net metering customer credit for excess electricity production operates on a rolling monthly basis</w:t>
      </w:r>
      <w:r w:rsidRPr="00E7181D">
        <w:t>.</w:t>
      </w:r>
    </w:p>
    <w:p w:rsidR="00E7181D" w:rsidRPr="00935AC3" w:rsidRDefault="00935AC3" w:rsidP="004D138C">
      <w:pPr>
        <w:pStyle w:val="Heading2"/>
        <w:ind w:right="720"/>
      </w:pPr>
      <w:r>
        <w:t xml:space="preserve">E. </w:t>
      </w:r>
      <w:r>
        <w:tab/>
      </w:r>
      <w:r w:rsidR="00562EE7" w:rsidRPr="00935AC3">
        <w:t>No additional customer liability should be imposed on net metering c</w:t>
      </w:r>
      <w:r w:rsidR="00E7181D" w:rsidRPr="00935AC3">
        <w:t>ustomers.</w:t>
      </w:r>
    </w:p>
    <w:p w:rsidR="00935AC3" w:rsidRDefault="00E7181D" w:rsidP="00935AC3">
      <w:pPr>
        <w:spacing w:line="480" w:lineRule="auto"/>
        <w:ind w:firstLine="720"/>
      </w:pPr>
      <w:r w:rsidRPr="00E7181D">
        <w:t>DP</w:t>
      </w:r>
      <w:r w:rsidR="00A42F1E">
        <w:t>&amp;</w:t>
      </w:r>
      <w:r w:rsidRPr="00E7181D">
        <w:t>L suggests the Commission clarify that section 4901:1:-10-28(B)(10) does not prohibit an E</w:t>
      </w:r>
      <w:r w:rsidR="00A42F1E">
        <w:t xml:space="preserve">lectric </w:t>
      </w:r>
      <w:r w:rsidR="00A42F1E" w:rsidRPr="00E7181D">
        <w:t>D</w:t>
      </w:r>
      <w:r w:rsidR="00A42F1E">
        <w:t xml:space="preserve">istribution </w:t>
      </w:r>
      <w:r w:rsidRPr="00E7181D">
        <w:t>U</w:t>
      </w:r>
      <w:r w:rsidR="00A42F1E">
        <w:t>tility</w:t>
      </w:r>
      <w:r w:rsidRPr="00E7181D">
        <w:t xml:space="preserve"> from filing liability claims against a customer generator if </w:t>
      </w:r>
      <w:r w:rsidR="000E7625">
        <w:t>that</w:t>
      </w:r>
      <w:r w:rsidR="000E7625" w:rsidRPr="00E7181D">
        <w:t xml:space="preserve"> </w:t>
      </w:r>
      <w:r w:rsidRPr="00E7181D">
        <w:t>customer causes physical interruption of service to other customers served from that same distribution line.</w:t>
      </w:r>
      <w:r w:rsidRPr="00E7181D">
        <w:rPr>
          <w:vertAlign w:val="superscript"/>
        </w:rPr>
        <w:footnoteReference w:id="22"/>
      </w:r>
      <w:r w:rsidRPr="00E7181D">
        <w:t xml:space="preserve"> Issues related to net metering system safety and reliability concerns are contained in the utility distribution system interconnection agreement with a net metering customer.  This agreement governs the technical specifications that must be met by a customer generator based on IEEE’s 1547 (and UL’s 1741) standard.</w:t>
      </w:r>
      <w:r w:rsidRPr="00E7181D">
        <w:rPr>
          <w:vertAlign w:val="superscript"/>
        </w:rPr>
        <w:footnoteReference w:id="23"/>
      </w:r>
      <w:r w:rsidRPr="00E7181D">
        <w:t xml:space="preserve">  The interconnection agreement also contains detailed distribution system protection and liability language</w:t>
      </w:r>
      <w:r w:rsidR="00A42F1E">
        <w:t xml:space="preserve">. </w:t>
      </w:r>
      <w:r w:rsidRPr="00E7181D">
        <w:t>DP</w:t>
      </w:r>
      <w:r w:rsidR="00A42F1E">
        <w:t>&amp;</w:t>
      </w:r>
      <w:r w:rsidRPr="00E7181D">
        <w:t>L’s concern falls within the purview of Ohio’s interconnection rules and therefore, no new liability conditions should be imposed on net metering customers in this rulemaking.</w:t>
      </w:r>
      <w:r w:rsidR="00A42F1E">
        <w:t xml:space="preserve">  DP&amp;L’s comment should be rejected.</w:t>
      </w:r>
    </w:p>
    <w:p w:rsidR="00E7181D" w:rsidRPr="00935AC3" w:rsidRDefault="00935AC3" w:rsidP="004D138C">
      <w:pPr>
        <w:pStyle w:val="Heading2"/>
        <w:ind w:right="720"/>
      </w:pPr>
      <w:r>
        <w:t>F.</w:t>
      </w:r>
      <w:r>
        <w:tab/>
      </w:r>
      <w:r w:rsidR="00562EE7" w:rsidRPr="00935AC3">
        <w:t>Net metering customers who request a smart meter should not be charged any additional c</w:t>
      </w:r>
      <w:r w:rsidR="00E7181D" w:rsidRPr="00935AC3">
        <w:t>ost.</w:t>
      </w:r>
    </w:p>
    <w:p w:rsidR="00E7181D" w:rsidRPr="00E7181D" w:rsidRDefault="00E7181D" w:rsidP="00B66E04">
      <w:pPr>
        <w:spacing w:line="480" w:lineRule="auto"/>
        <w:ind w:firstLine="720"/>
      </w:pPr>
      <w:r w:rsidRPr="00E7181D">
        <w:t>I</w:t>
      </w:r>
      <w:r w:rsidR="00A42F1E">
        <w:t xml:space="preserve">nterstate </w:t>
      </w:r>
      <w:r w:rsidRPr="00E7181D">
        <w:t>G</w:t>
      </w:r>
      <w:r w:rsidR="00A42F1E">
        <w:t xml:space="preserve">as </w:t>
      </w:r>
      <w:r w:rsidRPr="00E7181D">
        <w:t>S</w:t>
      </w:r>
      <w:r w:rsidR="00A42F1E">
        <w:t>upply, Inc. (“IGS”)</w:t>
      </w:r>
      <w:r w:rsidRPr="00E7181D">
        <w:t xml:space="preserve"> states that </w:t>
      </w:r>
      <w:r w:rsidR="00A42F1E">
        <w:t>n</w:t>
      </w:r>
      <w:r w:rsidRPr="00E7181D">
        <w:t>et metered customers that install advanced interval meters should be exempt from the cost of future advanced meter riders.</w:t>
      </w:r>
      <w:r w:rsidRPr="00E7181D">
        <w:rPr>
          <w:vertAlign w:val="superscript"/>
        </w:rPr>
        <w:footnoteReference w:id="24"/>
      </w:r>
      <w:r w:rsidRPr="00E7181D">
        <w:t xml:space="preserve">  While this is a good idea, not charging the net metering customer any additional cost is preferable because:</w:t>
      </w:r>
    </w:p>
    <w:p w:rsidR="00E7181D" w:rsidRPr="00E7181D" w:rsidRDefault="00E7181D" w:rsidP="0023723E">
      <w:pPr>
        <w:numPr>
          <w:ilvl w:val="0"/>
          <w:numId w:val="32"/>
        </w:numPr>
        <w:spacing w:line="480" w:lineRule="auto"/>
        <w:ind w:right="720" w:hanging="720"/>
        <w:rPr>
          <w:b/>
          <w:u w:val="single"/>
        </w:rPr>
      </w:pPr>
      <w:r w:rsidRPr="00E7181D">
        <w:t>Customers in the AEP Ohio, Duke</w:t>
      </w:r>
      <w:r w:rsidR="00A42F1E">
        <w:t>,</w:t>
      </w:r>
      <w:r w:rsidRPr="00E7181D">
        <w:t xml:space="preserve"> and F</w:t>
      </w:r>
      <w:r w:rsidR="00A42F1E">
        <w:t xml:space="preserve">irstEnergy service territories have been paying for </w:t>
      </w:r>
      <w:r w:rsidRPr="00E7181D">
        <w:t>smart meter riders whether they have a smart meter installed</w:t>
      </w:r>
      <w:r w:rsidR="000E7625">
        <w:t>.</w:t>
      </w:r>
      <w:r w:rsidRPr="00E7181D">
        <w:t xml:space="preserve">  </w:t>
      </w:r>
      <w:r w:rsidR="0032723A">
        <w:t xml:space="preserve">Essentially </w:t>
      </w:r>
      <w:r w:rsidR="00A42F1E">
        <w:t>t</w:t>
      </w:r>
      <w:r w:rsidRPr="00E7181D">
        <w:t>he costs of smart grid have been socialized in Ohio.  Furthermore, the A</w:t>
      </w:r>
      <w:r w:rsidR="00A42F1E">
        <w:t xml:space="preserve">merican </w:t>
      </w:r>
      <w:r w:rsidRPr="00E7181D">
        <w:t>R</w:t>
      </w:r>
      <w:r w:rsidR="00A42F1E">
        <w:t xml:space="preserve">ecovery and </w:t>
      </w:r>
      <w:r w:rsidRPr="00E7181D">
        <w:t>R</w:t>
      </w:r>
      <w:r w:rsidR="00A42F1E">
        <w:t xml:space="preserve">einvestment </w:t>
      </w:r>
      <w:r w:rsidRPr="00E7181D">
        <w:t>A</w:t>
      </w:r>
      <w:r w:rsidR="00A42F1E">
        <w:t>ct of 2009</w:t>
      </w:r>
      <w:r w:rsidRPr="00E7181D">
        <w:t xml:space="preserve"> federal stimulus that hel</w:t>
      </w:r>
      <w:r w:rsidR="00A42F1E">
        <w:t>ped fund half the costs of these three</w:t>
      </w:r>
      <w:r w:rsidRPr="00E7181D">
        <w:t xml:space="preserve"> </w:t>
      </w:r>
      <w:r w:rsidR="00A42F1E">
        <w:t>utilities’</w:t>
      </w:r>
      <w:r w:rsidRPr="00E7181D">
        <w:t xml:space="preserve"> initial smart grid deployments were paid for by all of Ohio’s taxpayers. </w:t>
      </w:r>
    </w:p>
    <w:p w:rsidR="00E7181D" w:rsidRPr="00E7181D" w:rsidRDefault="00E7181D" w:rsidP="0023723E">
      <w:pPr>
        <w:numPr>
          <w:ilvl w:val="0"/>
          <w:numId w:val="32"/>
        </w:numPr>
        <w:spacing w:line="480" w:lineRule="auto"/>
        <w:ind w:right="720" w:hanging="720"/>
        <w:rPr>
          <w:b/>
          <w:u w:val="single"/>
        </w:rPr>
      </w:pPr>
      <w:r w:rsidRPr="00E7181D">
        <w:t>As of July 2014 over 50 million smart meters had been installed in the U.S., representing 43</w:t>
      </w:r>
      <w:r w:rsidR="000E7625">
        <w:t xml:space="preserve"> percent</w:t>
      </w:r>
      <w:r w:rsidRPr="00E7181D">
        <w:t xml:space="preserve"> of all U.S. homes.</w:t>
      </w:r>
      <w:r w:rsidRPr="00E7181D">
        <w:rPr>
          <w:vertAlign w:val="superscript"/>
        </w:rPr>
        <w:footnoteReference w:id="25"/>
      </w:r>
      <w:r w:rsidRPr="00E7181D">
        <w:t xml:space="preserve">  Over one million of these meters have been installed in the State of Ohio</w:t>
      </w:r>
      <w:r w:rsidR="000E7625">
        <w:t>.</w:t>
      </w:r>
      <w:r w:rsidRPr="00E7181D">
        <w:t xml:space="preserve">   </w:t>
      </w:r>
    </w:p>
    <w:p w:rsidR="00E7181D" w:rsidRPr="00E7181D" w:rsidRDefault="00E7181D" w:rsidP="0023723E">
      <w:pPr>
        <w:numPr>
          <w:ilvl w:val="0"/>
          <w:numId w:val="32"/>
        </w:numPr>
        <w:spacing w:line="480" w:lineRule="auto"/>
        <w:ind w:right="720" w:hanging="720"/>
        <w:rPr>
          <w:b/>
          <w:u w:val="single"/>
        </w:rPr>
      </w:pPr>
      <w:r w:rsidRPr="00E7181D">
        <w:t xml:space="preserve">Expanded smart meter deployments are </w:t>
      </w:r>
      <w:r w:rsidR="00A42F1E">
        <w:t>proposed in the recent AEP Ohio and FirstEnergy</w:t>
      </w:r>
      <w:r w:rsidRPr="00E7181D">
        <w:t xml:space="preserve"> settlements.</w:t>
      </w:r>
      <w:r w:rsidRPr="00E7181D">
        <w:rPr>
          <w:vertAlign w:val="superscript"/>
        </w:rPr>
        <w:footnoteReference w:id="26"/>
      </w:r>
      <w:r w:rsidRPr="00E7181D">
        <w:t xml:space="preserve"> </w:t>
      </w:r>
    </w:p>
    <w:p w:rsidR="00562EE7" w:rsidRDefault="006865F3" w:rsidP="00562EE7">
      <w:pPr>
        <w:spacing w:line="480" w:lineRule="auto"/>
        <w:ind w:firstLine="720"/>
        <w:rPr>
          <w:b/>
          <w:u w:val="single"/>
        </w:rPr>
      </w:pPr>
      <w:r>
        <w:t>Because</w:t>
      </w:r>
      <w:r w:rsidRPr="00E7181D">
        <w:t xml:space="preserve"> </w:t>
      </w:r>
      <w:r w:rsidR="00E7181D" w:rsidRPr="00E7181D">
        <w:t>all customers have paid for Ohio’s smart grid deployment</w:t>
      </w:r>
      <w:r w:rsidR="004D4FD7">
        <w:t>,</w:t>
      </w:r>
      <w:r w:rsidR="00E7181D" w:rsidRPr="00E7181D">
        <w:t xml:space="preserve"> and will continue to pay as more smart meters are deployed, no net metering customer should be charged separately for a smart meter.</w:t>
      </w:r>
      <w:r w:rsidR="00397445">
        <w:rPr>
          <w:rStyle w:val="FootnoteReference"/>
        </w:rPr>
        <w:footnoteReference w:id="27"/>
      </w:r>
      <w:r w:rsidR="0032723A">
        <w:t xml:space="preserve">  Otherwise the Utilities </w:t>
      </w:r>
      <w:r w:rsidR="00F61890">
        <w:t>c</w:t>
      </w:r>
      <w:r w:rsidR="0032723A">
        <w:t>ould be collecting twice for the same service</w:t>
      </w:r>
      <w:r w:rsidR="00F61890">
        <w:t>.</w:t>
      </w:r>
    </w:p>
    <w:p w:rsidR="00B66E04" w:rsidRDefault="00397445" w:rsidP="00B66E04">
      <w:pPr>
        <w:spacing w:line="480" w:lineRule="auto"/>
        <w:ind w:firstLine="720"/>
      </w:pPr>
      <w:r>
        <w:t xml:space="preserve">Finally, </w:t>
      </w:r>
      <w:r w:rsidR="004C3EB3">
        <w:t>a smart meter will enable the net-metering customer to take service with a time-differentiated rate.  The</w:t>
      </w:r>
      <w:r w:rsidR="00B05652">
        <w:t xml:space="preserve"> benefit of </w:t>
      </w:r>
      <w:r>
        <w:t>h</w:t>
      </w:r>
      <w:r w:rsidR="00E7181D" w:rsidRPr="00E7181D">
        <w:t>aving a net metering customer on a</w:t>
      </w:r>
      <w:r w:rsidR="00B05652">
        <w:t xml:space="preserve"> smart meter and a</w:t>
      </w:r>
      <w:r w:rsidR="00E7181D" w:rsidRPr="00E7181D">
        <w:t xml:space="preserve"> time-differentiated generation rate </w:t>
      </w:r>
      <w:r w:rsidR="00B05652">
        <w:t xml:space="preserve">is that such a rate </w:t>
      </w:r>
      <w:r w:rsidR="00E7181D" w:rsidRPr="00E7181D">
        <w:t xml:space="preserve">will more approximate the value of their production (lower remuneration for generation </w:t>
      </w:r>
      <w:r w:rsidR="00B05652">
        <w:t xml:space="preserve">predominant </w:t>
      </w:r>
      <w:r w:rsidR="00E7181D" w:rsidRPr="00E7181D">
        <w:t xml:space="preserve">during off-peak periods and higher payments for </w:t>
      </w:r>
      <w:r w:rsidR="00B05652">
        <w:t xml:space="preserve">the </w:t>
      </w:r>
      <w:r w:rsidR="00E7181D" w:rsidRPr="00E7181D">
        <w:t>on-peak production</w:t>
      </w:r>
      <w:r w:rsidR="00B05652">
        <w:t xml:space="preserve"> of solar PV</w:t>
      </w:r>
      <w:r w:rsidR="00E7181D" w:rsidRPr="00E7181D">
        <w:t>)</w:t>
      </w:r>
      <w:r w:rsidR="004C3EB3">
        <w:t xml:space="preserve"> and therefore provides a fairer compensation mechanism</w:t>
      </w:r>
      <w:r w:rsidR="00E7181D" w:rsidRPr="00E7181D">
        <w:t>.</w:t>
      </w:r>
      <w:r w:rsidR="0032723A">
        <w:t xml:space="preserve">  </w:t>
      </w:r>
    </w:p>
    <w:p w:rsidR="00E7181D" w:rsidRPr="00B66E04" w:rsidRDefault="00B66E04" w:rsidP="00B66E04">
      <w:pPr>
        <w:pStyle w:val="Heading2"/>
        <w:ind w:right="720"/>
        <w:rPr>
          <w:u w:val="single"/>
        </w:rPr>
      </w:pPr>
      <w:r>
        <w:t xml:space="preserve">G. </w:t>
      </w:r>
      <w:r>
        <w:tab/>
      </w:r>
      <w:r w:rsidR="00562EE7">
        <w:t>OCC supports the o</w:t>
      </w:r>
      <w:r w:rsidR="00E7181D" w:rsidRPr="00E7181D">
        <w:t xml:space="preserve">pening of an </w:t>
      </w:r>
      <w:r w:rsidR="00056EDC">
        <w:t>aggregate and virtual n</w:t>
      </w:r>
      <w:r w:rsidR="00562EE7">
        <w:t>et</w:t>
      </w:r>
      <w:r w:rsidR="00056EDC">
        <w:t xml:space="preserve"> m</w:t>
      </w:r>
      <w:r w:rsidR="00E7181D" w:rsidRPr="00E7181D">
        <w:t>etering</w:t>
      </w:r>
      <w:r w:rsidR="00E7181D" w:rsidRPr="00E7181D">
        <w:rPr>
          <w:vertAlign w:val="superscript"/>
        </w:rPr>
        <w:footnoteReference w:id="28"/>
      </w:r>
      <w:r w:rsidR="00562EE7">
        <w:t xml:space="preserve"> d</w:t>
      </w:r>
      <w:r w:rsidR="00E7181D" w:rsidRPr="00E7181D">
        <w:t>ocket</w:t>
      </w:r>
      <w:r w:rsidR="00562EE7">
        <w:t xml:space="preserve"> t</w:t>
      </w:r>
      <w:r w:rsidR="00143BD8">
        <w:t xml:space="preserve">o </w:t>
      </w:r>
      <w:r w:rsidR="00562EE7">
        <w:t>p</w:t>
      </w:r>
      <w:r w:rsidR="00143BD8">
        <w:t xml:space="preserve">rotect </w:t>
      </w:r>
      <w:r w:rsidR="00562EE7">
        <w:t>customers</w:t>
      </w:r>
      <w:r w:rsidR="00E7181D" w:rsidRPr="00E7181D">
        <w:t>.</w:t>
      </w:r>
    </w:p>
    <w:p w:rsidR="00E7181D" w:rsidRPr="00E7181D" w:rsidRDefault="00E7181D" w:rsidP="0023723E">
      <w:pPr>
        <w:spacing w:line="480" w:lineRule="auto"/>
        <w:ind w:firstLine="720"/>
      </w:pPr>
      <w:r w:rsidRPr="00E7181D">
        <w:t xml:space="preserve">Several </w:t>
      </w:r>
      <w:r w:rsidR="00A42F1E">
        <w:t>commenters</w:t>
      </w:r>
      <w:r w:rsidRPr="00E7181D">
        <w:t xml:space="preserve"> reques</w:t>
      </w:r>
      <w:r w:rsidR="00A42F1E">
        <w:t xml:space="preserve">ted that the </w:t>
      </w:r>
      <w:r w:rsidR="009900D1">
        <w:t xml:space="preserve">PUCO </w:t>
      </w:r>
      <w:r w:rsidR="00A42F1E">
        <w:t xml:space="preserve">open </w:t>
      </w:r>
      <w:r w:rsidRPr="00E7181D">
        <w:t>a separate docket concerning Aggregate and Virtual Net Metering.</w:t>
      </w:r>
      <w:r w:rsidRPr="00E7181D">
        <w:rPr>
          <w:vertAlign w:val="superscript"/>
        </w:rPr>
        <w:footnoteReference w:id="29"/>
      </w:r>
      <w:r w:rsidR="004D4FD7">
        <w:t xml:space="preserve"> These commenters</w:t>
      </w:r>
      <w:r w:rsidRPr="00E7181D">
        <w:t xml:space="preserve"> point out that in its January 2014 Order, the Commission indicated that, although it had solicited comments on whether aggregate net metering and virtual net metering could be implemented under Ohio law, it would defer the issue to a separate docket.  OCC supports the </w:t>
      </w:r>
      <w:r w:rsidR="009900D1">
        <w:t xml:space="preserve">recommendation to </w:t>
      </w:r>
      <w:r w:rsidRPr="00E7181D">
        <w:t>open of an Aggregate and Virtual Net Metering Docket</w:t>
      </w:r>
      <w:r w:rsidR="004C3EB3">
        <w:t xml:space="preserve"> to promote more net metering </w:t>
      </w:r>
      <w:r w:rsidR="0040284B">
        <w:t xml:space="preserve">in </w:t>
      </w:r>
      <w:r w:rsidR="004C3EB3">
        <w:t>support of state energy policy cited earlier</w:t>
      </w:r>
      <w:r w:rsidRPr="00E7181D">
        <w:t>.</w:t>
      </w:r>
    </w:p>
    <w:p w:rsidR="003F382A" w:rsidRDefault="003F382A" w:rsidP="00B66E04"/>
    <w:p w:rsidR="003F382A" w:rsidRDefault="003F382A" w:rsidP="002F63AD">
      <w:pPr>
        <w:pStyle w:val="Heading1"/>
      </w:pPr>
      <w:bookmarkStart w:id="6" w:name="_Toc347932531"/>
      <w:r>
        <w:t>III.</w:t>
      </w:r>
      <w:r>
        <w:tab/>
        <w:t>CONCLUSION</w:t>
      </w:r>
      <w:bookmarkEnd w:id="6"/>
    </w:p>
    <w:p w:rsidR="003F382A" w:rsidRDefault="003F382A" w:rsidP="002F63AD">
      <w:pPr>
        <w:spacing w:line="480" w:lineRule="auto"/>
      </w:pPr>
      <w:r>
        <w:rPr>
          <w:b/>
        </w:rPr>
        <w:tab/>
      </w:r>
      <w:r>
        <w:t xml:space="preserve">OCC appreciates the opportunity to provide these reply comments regarding the proposed changes to the rules about electric service in Ohio Adm. Code Chapter 4901:1-10.  The Commission’s adoption of OCC’s recommendations in these reply comments and OCC’s initial comments will help to 1) ensure more reliable electric service being provided to residential consumers, 2) ensure that necessary consumer protections are defined to protect customer privacy as more advanced metering data becomes available, and 3) ensure that net metering is implemented in a fair and reasonable manner in Ohio.  </w:t>
      </w:r>
    </w:p>
    <w:p w:rsidR="0028108E" w:rsidRDefault="0028108E">
      <w:pPr>
        <w:pStyle w:val="Default"/>
        <w:ind w:left="3600" w:firstLine="720"/>
      </w:pPr>
    </w:p>
    <w:p w:rsidR="00A829B9" w:rsidRDefault="00A829B9" w:rsidP="004D4FD7">
      <w:pPr>
        <w:spacing w:line="480" w:lineRule="auto"/>
        <w:ind w:left="3600" w:firstLine="720"/>
      </w:pPr>
      <w:r>
        <w:t>Respectfully submitted,</w:t>
      </w:r>
    </w:p>
    <w:p w:rsidR="00A829B9" w:rsidRPr="003D0923" w:rsidRDefault="00A829B9" w:rsidP="00A829B9">
      <w:pPr>
        <w:tabs>
          <w:tab w:val="left" w:pos="4320"/>
        </w:tabs>
        <w:spacing w:before="240"/>
      </w:pPr>
      <w:r>
        <w:tab/>
      </w:r>
      <w:r w:rsidRPr="003D0923">
        <w:t>BRUCE J. WESTON</w:t>
      </w:r>
      <w:r>
        <w:t xml:space="preserve"> (0016973)</w:t>
      </w:r>
    </w:p>
    <w:p w:rsidR="00A829B9" w:rsidRPr="003D0923" w:rsidRDefault="00A829B9" w:rsidP="00A829B9">
      <w:pPr>
        <w:tabs>
          <w:tab w:val="left" w:pos="4320"/>
        </w:tabs>
      </w:pPr>
      <w:r w:rsidRPr="003D0923">
        <w:tab/>
        <w:t>OHIO CONSUMERS’ COUNSEL</w:t>
      </w:r>
    </w:p>
    <w:p w:rsidR="00A829B9" w:rsidRDefault="00A829B9" w:rsidP="00A829B9">
      <w:pPr>
        <w:tabs>
          <w:tab w:val="left" w:pos="4320"/>
        </w:tabs>
      </w:pPr>
      <w:r w:rsidRPr="003D0923">
        <w:tab/>
      </w:r>
    </w:p>
    <w:p w:rsidR="00A829B9" w:rsidRPr="000D3703" w:rsidRDefault="00A829B9" w:rsidP="00A829B9">
      <w:pPr>
        <w:tabs>
          <w:tab w:val="left" w:pos="4320"/>
        </w:tabs>
        <w:rPr>
          <w:i/>
          <w:u w:val="single"/>
        </w:rPr>
      </w:pPr>
      <w:r>
        <w:tab/>
      </w:r>
      <w:r>
        <w:rPr>
          <w:i/>
          <w:u w:val="single"/>
        </w:rPr>
        <w:t>/s/ Kyle L. Kern</w:t>
      </w:r>
    </w:p>
    <w:p w:rsidR="00A829B9" w:rsidRPr="003D0923" w:rsidRDefault="00A829B9" w:rsidP="00A829B9">
      <w:pPr>
        <w:tabs>
          <w:tab w:val="left" w:pos="4320"/>
        </w:tabs>
      </w:pPr>
      <w:r w:rsidRPr="003D0923">
        <w:tab/>
        <w:t>Kyle L. Kern, Counsel of Record</w:t>
      </w:r>
    </w:p>
    <w:p w:rsidR="00A829B9" w:rsidRPr="003D0923" w:rsidRDefault="00A829B9" w:rsidP="00A829B9">
      <w:pPr>
        <w:tabs>
          <w:tab w:val="left" w:pos="4320"/>
        </w:tabs>
      </w:pPr>
      <w:r w:rsidRPr="003D0923">
        <w:tab/>
        <w:t>(0084199)</w:t>
      </w:r>
    </w:p>
    <w:p w:rsidR="00A829B9" w:rsidRPr="003D0923" w:rsidRDefault="00A829B9" w:rsidP="00A829B9">
      <w:pPr>
        <w:tabs>
          <w:tab w:val="left" w:pos="4320"/>
        </w:tabs>
      </w:pPr>
      <w:r w:rsidRPr="003D0923">
        <w:tab/>
        <w:t>Assistant Consumers’ Counsel</w:t>
      </w:r>
    </w:p>
    <w:p w:rsidR="00A829B9" w:rsidRPr="003D0923" w:rsidRDefault="00A829B9" w:rsidP="00A829B9">
      <w:pPr>
        <w:keepNext/>
        <w:ind w:left="3240" w:right="-648" w:firstLine="720"/>
        <w:outlineLvl w:val="0"/>
        <w:rPr>
          <w:b/>
        </w:rPr>
      </w:pPr>
      <w:r w:rsidRPr="003D0923">
        <w:rPr>
          <w:b/>
        </w:rPr>
        <w:tab/>
      </w:r>
    </w:p>
    <w:p w:rsidR="00A829B9" w:rsidRPr="003D0923" w:rsidRDefault="00A829B9" w:rsidP="00A829B9">
      <w:pPr>
        <w:rPr>
          <w:b/>
          <w:szCs w:val="20"/>
        </w:rPr>
      </w:pPr>
      <w:r w:rsidRPr="003D0923">
        <w:rPr>
          <w:szCs w:val="20"/>
        </w:rPr>
        <w:tab/>
      </w:r>
      <w:r w:rsidRPr="003D0923">
        <w:rPr>
          <w:szCs w:val="20"/>
        </w:rPr>
        <w:tab/>
      </w:r>
      <w:r w:rsidRPr="003D0923">
        <w:rPr>
          <w:szCs w:val="20"/>
        </w:rPr>
        <w:tab/>
      </w:r>
      <w:r w:rsidRPr="003D0923">
        <w:rPr>
          <w:szCs w:val="20"/>
        </w:rPr>
        <w:tab/>
      </w:r>
      <w:r w:rsidRPr="003D0923">
        <w:rPr>
          <w:szCs w:val="20"/>
        </w:rPr>
        <w:tab/>
      </w:r>
      <w:r w:rsidRPr="003D0923">
        <w:rPr>
          <w:szCs w:val="20"/>
        </w:rPr>
        <w:tab/>
      </w:r>
      <w:r w:rsidRPr="003D0923">
        <w:rPr>
          <w:b/>
          <w:szCs w:val="20"/>
        </w:rPr>
        <w:t>Office of the Ohio Consumers’ Counsel</w:t>
      </w:r>
    </w:p>
    <w:p w:rsidR="00A829B9" w:rsidRPr="003D0923" w:rsidRDefault="00A829B9" w:rsidP="00A829B9">
      <w:pPr>
        <w:ind w:left="4320"/>
      </w:pPr>
      <w:r w:rsidRPr="003D0923">
        <w:t>10 West Broad Street, Suite 1800</w:t>
      </w:r>
    </w:p>
    <w:p w:rsidR="00A829B9" w:rsidRPr="003D0923" w:rsidRDefault="00A829B9" w:rsidP="00A829B9">
      <w:pPr>
        <w:ind w:left="4320"/>
      </w:pPr>
      <w:r w:rsidRPr="003D0923">
        <w:t>Columbus, Ohio 43215-3485</w:t>
      </w:r>
    </w:p>
    <w:p w:rsidR="00A829B9" w:rsidRPr="003D0923" w:rsidRDefault="00562EE7" w:rsidP="00A829B9">
      <w:pPr>
        <w:autoSpaceDE w:val="0"/>
        <w:autoSpaceDN w:val="0"/>
        <w:adjustRightInd w:val="0"/>
        <w:ind w:left="3600" w:firstLine="720"/>
      </w:pPr>
      <w:r>
        <w:t>Telephone:  [Kern]</w:t>
      </w:r>
      <w:r w:rsidR="00A829B9" w:rsidRPr="003D0923">
        <w:t xml:space="preserve"> 614-466-9585</w:t>
      </w:r>
    </w:p>
    <w:p w:rsidR="00A829B9" w:rsidRPr="001B41EC" w:rsidRDefault="00A829B9" w:rsidP="00A829B9">
      <w:pPr>
        <w:autoSpaceDE w:val="0"/>
        <w:autoSpaceDN w:val="0"/>
        <w:adjustRightInd w:val="0"/>
      </w:pPr>
      <w:r>
        <w:tab/>
      </w:r>
      <w:r>
        <w:tab/>
      </w:r>
      <w:r>
        <w:tab/>
      </w:r>
      <w:r>
        <w:tab/>
      </w:r>
      <w:r>
        <w:tab/>
      </w:r>
      <w:r>
        <w:tab/>
      </w:r>
      <w:r w:rsidRPr="001B41EC">
        <w:rPr>
          <w:color w:val="0000FF"/>
          <w:u w:val="single"/>
        </w:rPr>
        <w:t>Kyle.kern@occ.ohio.gov</w:t>
      </w:r>
    </w:p>
    <w:p w:rsidR="00A829B9" w:rsidRPr="00F214B0" w:rsidRDefault="00A829B9" w:rsidP="00A829B9">
      <w:pPr>
        <w:autoSpaceDE w:val="0"/>
        <w:autoSpaceDN w:val="0"/>
        <w:adjustRightInd w:val="0"/>
        <w:sectPr w:rsidR="00A829B9" w:rsidRPr="00F214B0" w:rsidSect="0023723E">
          <w:headerReference w:type="default" r:id="rId14"/>
          <w:footerReference w:type="default" r:id="rId15"/>
          <w:pgSz w:w="12240" w:h="15840"/>
          <w:pgMar w:top="1440" w:right="1800" w:bottom="1440" w:left="1800" w:header="720" w:footer="720" w:gutter="0"/>
          <w:pgNumType w:start="2"/>
          <w:cols w:space="720"/>
          <w:docGrid w:linePitch="360"/>
        </w:sectPr>
      </w:pPr>
      <w:r>
        <w:tab/>
      </w:r>
      <w:r>
        <w:tab/>
      </w:r>
      <w:r>
        <w:tab/>
      </w:r>
      <w:r>
        <w:tab/>
      </w:r>
      <w:r w:rsidR="00562EE7">
        <w:tab/>
      </w:r>
      <w:r w:rsidR="00562EE7">
        <w:tab/>
        <w:t>(will accept service via email)</w:t>
      </w:r>
    </w:p>
    <w:p w:rsidR="00A829B9" w:rsidRPr="008240D2" w:rsidRDefault="00A829B9" w:rsidP="00A829B9">
      <w:pPr>
        <w:autoSpaceDE w:val="0"/>
        <w:autoSpaceDN w:val="0"/>
        <w:adjustRightInd w:val="0"/>
        <w:jc w:val="center"/>
      </w:pPr>
      <w:r w:rsidRPr="008240D2">
        <w:rPr>
          <w:b/>
          <w:u w:val="single"/>
        </w:rPr>
        <w:t>CERTIFICATE OF SERVICE</w:t>
      </w:r>
    </w:p>
    <w:p w:rsidR="00A829B9" w:rsidRPr="008240D2" w:rsidRDefault="00A829B9" w:rsidP="00A829B9">
      <w:pPr>
        <w:autoSpaceDE w:val="0"/>
        <w:autoSpaceDN w:val="0"/>
        <w:adjustRightInd w:val="0"/>
        <w:ind w:firstLine="4320"/>
        <w:jc w:val="center"/>
        <w:rPr>
          <w:u w:val="single"/>
        </w:rPr>
      </w:pPr>
    </w:p>
    <w:p w:rsidR="00A829B9" w:rsidRPr="008240D2" w:rsidRDefault="00A829B9" w:rsidP="00A829B9">
      <w:pPr>
        <w:spacing w:line="480" w:lineRule="auto"/>
        <w:ind w:firstLine="720"/>
      </w:pPr>
      <w:r w:rsidRPr="008240D2">
        <w:t xml:space="preserve">I hereby certify that a copy of the </w:t>
      </w:r>
      <w:r>
        <w:t xml:space="preserve">Comments </w:t>
      </w:r>
      <w:r w:rsidRPr="008240D2">
        <w:t>ha</w:t>
      </w:r>
      <w:r>
        <w:t>ve</w:t>
      </w:r>
      <w:r w:rsidRPr="008240D2">
        <w:t xml:space="preserve"> been served via electronic service upon the fo</w:t>
      </w:r>
      <w:r>
        <w:t xml:space="preserve">llowing parties of record this </w:t>
      </w:r>
      <w:r w:rsidRPr="008240D2">
        <w:t>8</w:t>
      </w:r>
      <w:r w:rsidRPr="008240D2">
        <w:rPr>
          <w:vertAlign w:val="superscript"/>
        </w:rPr>
        <w:t>th</w:t>
      </w:r>
      <w:r w:rsidRPr="008240D2">
        <w:t xml:space="preserve"> day of </w:t>
      </w:r>
      <w:r>
        <w:t>January</w:t>
      </w:r>
      <w:r w:rsidRPr="008240D2">
        <w:t>, 201</w:t>
      </w:r>
      <w:r>
        <w:t>6</w:t>
      </w:r>
      <w:r w:rsidRPr="008240D2">
        <w:t>.</w:t>
      </w:r>
    </w:p>
    <w:p w:rsidR="00A829B9" w:rsidRPr="008240D2" w:rsidRDefault="00A829B9" w:rsidP="00A829B9"/>
    <w:p w:rsidR="00A829B9" w:rsidRPr="008240D2" w:rsidRDefault="00A829B9" w:rsidP="00A829B9">
      <w:pPr>
        <w:tabs>
          <w:tab w:val="left" w:pos="4320"/>
        </w:tabs>
      </w:pPr>
      <w:r w:rsidRPr="008240D2">
        <w:tab/>
      </w:r>
      <w:r w:rsidRPr="008240D2">
        <w:rPr>
          <w:i/>
          <w:u w:val="single"/>
        </w:rPr>
        <w:t>/s/ Kyle L. Kern</w:t>
      </w:r>
      <w:r w:rsidRPr="008240D2">
        <w:t>__________________</w:t>
      </w:r>
    </w:p>
    <w:p w:rsidR="00A829B9" w:rsidRPr="008240D2" w:rsidRDefault="00A829B9" w:rsidP="00A829B9">
      <w:pPr>
        <w:tabs>
          <w:tab w:val="left" w:pos="4320"/>
        </w:tabs>
      </w:pPr>
      <w:r w:rsidRPr="008240D2">
        <w:tab/>
        <w:t>Kyle L. Kern</w:t>
      </w:r>
    </w:p>
    <w:p w:rsidR="00A829B9" w:rsidRPr="008240D2" w:rsidRDefault="00A829B9" w:rsidP="00A829B9">
      <w:pPr>
        <w:tabs>
          <w:tab w:val="left" w:pos="4320"/>
        </w:tabs>
      </w:pPr>
      <w:r w:rsidRPr="008240D2">
        <w:tab/>
        <w:t>Assistant Consumers’ Counsel</w:t>
      </w:r>
    </w:p>
    <w:p w:rsidR="00A829B9" w:rsidRPr="008240D2" w:rsidRDefault="00A829B9" w:rsidP="00A829B9">
      <w:pPr>
        <w:pStyle w:val="CommentText"/>
        <w:jc w:val="center"/>
        <w:rPr>
          <w:b/>
          <w:sz w:val="24"/>
          <w:szCs w:val="24"/>
          <w:u w:val="single"/>
        </w:rPr>
      </w:pPr>
    </w:p>
    <w:p w:rsidR="00A829B9" w:rsidRPr="008240D2" w:rsidRDefault="00A829B9" w:rsidP="00A829B9">
      <w:pPr>
        <w:pStyle w:val="CommentText"/>
        <w:jc w:val="center"/>
        <w:rPr>
          <w:b/>
          <w:sz w:val="24"/>
          <w:szCs w:val="24"/>
          <w:u w:val="single"/>
        </w:rPr>
      </w:pPr>
      <w:r w:rsidRPr="008240D2">
        <w:rPr>
          <w:b/>
          <w:sz w:val="24"/>
          <w:szCs w:val="24"/>
          <w:u w:val="single"/>
        </w:rPr>
        <w:t>SERVICE LIST</w:t>
      </w:r>
    </w:p>
    <w:p w:rsidR="00A829B9" w:rsidRPr="008240D2" w:rsidRDefault="00A829B9" w:rsidP="00A829B9">
      <w:pPr>
        <w:pStyle w:val="CommentText"/>
        <w:jc w:val="center"/>
        <w:rPr>
          <w:b/>
          <w:sz w:val="24"/>
          <w:szCs w:val="24"/>
          <w:u w:val="single"/>
        </w:rPr>
      </w:pPr>
    </w:p>
    <w:p w:rsidR="00A829B9" w:rsidRPr="008240D2" w:rsidRDefault="00A829B9" w:rsidP="00A829B9"/>
    <w:tbl>
      <w:tblPr>
        <w:tblW w:w="0" w:type="auto"/>
        <w:tblLook w:val="04A0" w:firstRow="1" w:lastRow="0" w:firstColumn="1" w:lastColumn="0" w:noHBand="0" w:noVBand="1"/>
      </w:tblPr>
      <w:tblGrid>
        <w:gridCol w:w="4428"/>
        <w:gridCol w:w="4428"/>
      </w:tblGrid>
      <w:tr w:rsidR="00A829B9" w:rsidRPr="008240D2" w:rsidTr="00456653">
        <w:tc>
          <w:tcPr>
            <w:tcW w:w="4428" w:type="dxa"/>
            <w:shd w:val="clear" w:color="auto" w:fill="auto"/>
          </w:tcPr>
          <w:p w:rsidR="00A829B9" w:rsidRPr="00A17583" w:rsidRDefault="00F30A86" w:rsidP="00456653">
            <w:hyperlink r:id="rId16" w:history="1">
              <w:r w:rsidR="00562EE7" w:rsidRPr="003A6439">
                <w:rPr>
                  <w:rStyle w:val="Hyperlink"/>
                </w:rPr>
                <w:t>William.wright@puc.state.oh.us</w:t>
              </w:r>
            </w:hyperlink>
            <w:r w:rsidR="00562EE7">
              <w:rPr>
                <w:u w:val="single"/>
              </w:rPr>
              <w:t xml:space="preserve"> </w:t>
            </w:r>
          </w:p>
          <w:p w:rsidR="00A829B9" w:rsidRPr="00A17583" w:rsidRDefault="00F30A86" w:rsidP="00456653">
            <w:pPr>
              <w:tabs>
                <w:tab w:val="left" w:pos="1065"/>
              </w:tabs>
              <w:rPr>
                <w:u w:val="single"/>
              </w:rPr>
            </w:pPr>
            <w:hyperlink r:id="rId17" w:history="1">
              <w:r w:rsidR="00562EE7" w:rsidRPr="003A6439">
                <w:rPr>
                  <w:rStyle w:val="Hyperlink"/>
                </w:rPr>
                <w:t>callwein@keglerbrown.com</w:t>
              </w:r>
            </w:hyperlink>
            <w:r w:rsidR="00562EE7">
              <w:rPr>
                <w:u w:val="single"/>
              </w:rPr>
              <w:t xml:space="preserve"> </w:t>
            </w:r>
          </w:p>
          <w:p w:rsidR="00A829B9" w:rsidRPr="00A17583" w:rsidRDefault="00F30A86" w:rsidP="00456653">
            <w:pPr>
              <w:tabs>
                <w:tab w:val="left" w:pos="1065"/>
              </w:tabs>
            </w:pPr>
            <w:hyperlink r:id="rId18" w:history="1">
              <w:r w:rsidR="00562EE7" w:rsidRPr="003A6439">
                <w:rPr>
                  <w:rStyle w:val="Hyperlink"/>
                </w:rPr>
                <w:t>Nolan@theoec.org</w:t>
              </w:r>
            </w:hyperlink>
            <w:r w:rsidR="00562EE7">
              <w:rPr>
                <w:u w:val="single"/>
              </w:rPr>
              <w:t xml:space="preserve"> </w:t>
            </w:r>
          </w:p>
          <w:p w:rsidR="00A829B9" w:rsidRPr="00A17583" w:rsidRDefault="00F30A86" w:rsidP="00456653">
            <w:pPr>
              <w:autoSpaceDE w:val="0"/>
              <w:autoSpaceDN w:val="0"/>
              <w:adjustRightInd w:val="0"/>
            </w:pPr>
            <w:hyperlink r:id="rId19" w:history="1">
              <w:r w:rsidR="00562EE7" w:rsidRPr="003A6439">
                <w:rPr>
                  <w:rStyle w:val="Hyperlink"/>
                </w:rPr>
                <w:t>bojko@carpenterlipps.com</w:t>
              </w:r>
            </w:hyperlink>
            <w:r w:rsidR="00562EE7">
              <w:rPr>
                <w:u w:val="single"/>
              </w:rPr>
              <w:t xml:space="preserve"> </w:t>
            </w:r>
          </w:p>
          <w:p w:rsidR="00A829B9" w:rsidRPr="00A17583" w:rsidRDefault="00F30A86" w:rsidP="00456653">
            <w:pPr>
              <w:autoSpaceDE w:val="0"/>
              <w:autoSpaceDN w:val="0"/>
              <w:adjustRightInd w:val="0"/>
            </w:pPr>
            <w:hyperlink r:id="rId20" w:history="1">
              <w:r w:rsidR="00562EE7" w:rsidRPr="003A6439">
                <w:rPr>
                  <w:rStyle w:val="Hyperlink"/>
                </w:rPr>
                <w:t>annie@votesolar.org</w:t>
              </w:r>
            </w:hyperlink>
            <w:r w:rsidR="00562EE7">
              <w:rPr>
                <w:u w:val="single"/>
              </w:rPr>
              <w:t xml:space="preserve"> </w:t>
            </w:r>
          </w:p>
          <w:p w:rsidR="00A829B9" w:rsidRPr="00A17583" w:rsidRDefault="00F30A86" w:rsidP="00456653">
            <w:pPr>
              <w:autoSpaceDE w:val="0"/>
              <w:autoSpaceDN w:val="0"/>
              <w:adjustRightInd w:val="0"/>
            </w:pPr>
            <w:hyperlink r:id="rId21" w:history="1">
              <w:r w:rsidR="00562EE7" w:rsidRPr="003A6439">
                <w:rPr>
                  <w:rStyle w:val="Hyperlink"/>
                </w:rPr>
                <w:t>nathan@buckeyeforestcouncil.org</w:t>
              </w:r>
            </w:hyperlink>
            <w:r w:rsidR="00562EE7">
              <w:rPr>
                <w:u w:val="single"/>
              </w:rPr>
              <w:t xml:space="preserve"> </w:t>
            </w:r>
          </w:p>
          <w:p w:rsidR="00A829B9" w:rsidRPr="00A17583" w:rsidRDefault="00F30A86" w:rsidP="00456653">
            <w:pPr>
              <w:autoSpaceDE w:val="0"/>
              <w:autoSpaceDN w:val="0"/>
              <w:adjustRightInd w:val="0"/>
            </w:pPr>
            <w:hyperlink r:id="rId22" w:history="1">
              <w:r w:rsidR="00562EE7" w:rsidRPr="003A6439">
                <w:rPr>
                  <w:rStyle w:val="Hyperlink"/>
                </w:rPr>
                <w:t>mhpetricoff@vorys.com</w:t>
              </w:r>
            </w:hyperlink>
            <w:r w:rsidR="00562EE7">
              <w:rPr>
                <w:u w:val="single"/>
              </w:rPr>
              <w:t xml:space="preserve"> </w:t>
            </w:r>
          </w:p>
          <w:p w:rsidR="00A829B9" w:rsidRPr="00A17583" w:rsidRDefault="00F30A86" w:rsidP="00456653">
            <w:pPr>
              <w:autoSpaceDE w:val="0"/>
              <w:autoSpaceDN w:val="0"/>
              <w:adjustRightInd w:val="0"/>
            </w:pPr>
            <w:hyperlink r:id="rId23" w:history="1">
              <w:r w:rsidR="00562EE7" w:rsidRPr="003A6439">
                <w:rPr>
                  <w:rStyle w:val="Hyperlink"/>
                </w:rPr>
                <w:t>smhoward@vorys.com</w:t>
              </w:r>
            </w:hyperlink>
            <w:r w:rsidR="00562EE7">
              <w:rPr>
                <w:u w:val="single"/>
              </w:rPr>
              <w:t xml:space="preserve"> </w:t>
            </w:r>
          </w:p>
          <w:p w:rsidR="00A829B9" w:rsidRPr="00A17583" w:rsidRDefault="00F30A86" w:rsidP="00456653">
            <w:pPr>
              <w:autoSpaceDE w:val="0"/>
              <w:autoSpaceDN w:val="0"/>
              <w:adjustRightInd w:val="0"/>
            </w:pPr>
            <w:hyperlink r:id="rId24" w:history="1">
              <w:r w:rsidR="00562EE7" w:rsidRPr="003A6439">
                <w:rPr>
                  <w:rStyle w:val="Hyperlink"/>
                </w:rPr>
                <w:t>Judi.sobecki@dplinc.com</w:t>
              </w:r>
            </w:hyperlink>
            <w:r w:rsidR="00562EE7">
              <w:rPr>
                <w:u w:val="single"/>
              </w:rPr>
              <w:t xml:space="preserve"> </w:t>
            </w:r>
          </w:p>
          <w:p w:rsidR="00A829B9" w:rsidRPr="00A17583" w:rsidRDefault="00F30A86" w:rsidP="00456653">
            <w:pPr>
              <w:autoSpaceDE w:val="0"/>
              <w:autoSpaceDN w:val="0"/>
              <w:adjustRightInd w:val="0"/>
            </w:pPr>
            <w:hyperlink r:id="rId25" w:history="1">
              <w:r w:rsidR="00562EE7" w:rsidRPr="003A6439">
                <w:rPr>
                  <w:rStyle w:val="Hyperlink"/>
                </w:rPr>
                <w:t>mswhite@igsenergy.com</w:t>
              </w:r>
            </w:hyperlink>
            <w:r w:rsidR="00562EE7">
              <w:rPr>
                <w:u w:val="single"/>
              </w:rPr>
              <w:t xml:space="preserve"> </w:t>
            </w:r>
          </w:p>
          <w:p w:rsidR="00A829B9" w:rsidRPr="00A17583" w:rsidRDefault="00F30A86" w:rsidP="00456653">
            <w:pPr>
              <w:autoSpaceDE w:val="0"/>
              <w:autoSpaceDN w:val="0"/>
              <w:adjustRightInd w:val="0"/>
            </w:pPr>
            <w:hyperlink r:id="rId26" w:history="1">
              <w:r w:rsidR="00562EE7" w:rsidRPr="003A6439">
                <w:rPr>
                  <w:rStyle w:val="Hyperlink"/>
                </w:rPr>
                <w:t>joliker@igsenergy.com</w:t>
              </w:r>
            </w:hyperlink>
            <w:r w:rsidR="00562EE7">
              <w:t xml:space="preserve"> </w:t>
            </w:r>
          </w:p>
          <w:p w:rsidR="00A829B9" w:rsidRPr="00A17583" w:rsidRDefault="00F30A86" w:rsidP="00456653">
            <w:pPr>
              <w:autoSpaceDE w:val="0"/>
              <w:autoSpaceDN w:val="0"/>
              <w:adjustRightInd w:val="0"/>
            </w:pPr>
            <w:hyperlink r:id="rId27" w:history="1">
              <w:r w:rsidR="00562EE7" w:rsidRPr="003A6439">
                <w:rPr>
                  <w:rStyle w:val="Hyperlink"/>
                </w:rPr>
                <w:t>vparisi@igsenergy.com</w:t>
              </w:r>
            </w:hyperlink>
            <w:r w:rsidR="00562EE7">
              <w:rPr>
                <w:u w:val="single"/>
              </w:rPr>
              <w:t xml:space="preserve"> </w:t>
            </w:r>
          </w:p>
          <w:p w:rsidR="00A829B9" w:rsidRPr="00A17583" w:rsidRDefault="00F30A86" w:rsidP="00456653">
            <w:pPr>
              <w:autoSpaceDE w:val="0"/>
              <w:autoSpaceDN w:val="0"/>
              <w:adjustRightInd w:val="0"/>
            </w:pPr>
            <w:hyperlink r:id="rId28" w:history="1">
              <w:r w:rsidR="00562EE7" w:rsidRPr="003A6439">
                <w:rPr>
                  <w:rStyle w:val="Hyperlink"/>
                </w:rPr>
                <w:t>mjstatterwhite@aep.com</w:t>
              </w:r>
            </w:hyperlink>
            <w:r w:rsidR="00562EE7">
              <w:rPr>
                <w:u w:val="single"/>
              </w:rPr>
              <w:t xml:space="preserve"> </w:t>
            </w:r>
          </w:p>
          <w:p w:rsidR="00A829B9" w:rsidRPr="00A17583" w:rsidRDefault="00F30A86" w:rsidP="00456653">
            <w:pPr>
              <w:autoSpaceDE w:val="0"/>
              <w:autoSpaceDN w:val="0"/>
              <w:adjustRightInd w:val="0"/>
            </w:pPr>
            <w:hyperlink r:id="rId29" w:history="1">
              <w:r w:rsidR="00562EE7" w:rsidRPr="003A6439">
                <w:rPr>
                  <w:rStyle w:val="Hyperlink"/>
                </w:rPr>
                <w:t>stnourse@aep.com</w:t>
              </w:r>
            </w:hyperlink>
            <w:r w:rsidR="00562EE7">
              <w:rPr>
                <w:u w:val="single"/>
              </w:rPr>
              <w:t xml:space="preserve"> </w:t>
            </w:r>
          </w:p>
          <w:p w:rsidR="00A829B9" w:rsidRPr="00A17583" w:rsidRDefault="00F30A86" w:rsidP="00456653">
            <w:pPr>
              <w:autoSpaceDE w:val="0"/>
              <w:autoSpaceDN w:val="0"/>
              <w:adjustRightInd w:val="0"/>
            </w:pPr>
            <w:hyperlink r:id="rId30" w:history="1">
              <w:r w:rsidR="00562EE7" w:rsidRPr="003A6439">
                <w:rPr>
                  <w:rStyle w:val="Hyperlink"/>
                </w:rPr>
                <w:t>msmckenzie@aep.com</w:t>
              </w:r>
            </w:hyperlink>
            <w:r w:rsidR="00562EE7">
              <w:t xml:space="preserve"> </w:t>
            </w:r>
          </w:p>
          <w:p w:rsidR="00A829B9" w:rsidRPr="00A17583" w:rsidRDefault="00F30A86" w:rsidP="00456653">
            <w:pPr>
              <w:autoSpaceDE w:val="0"/>
              <w:autoSpaceDN w:val="0"/>
              <w:adjustRightInd w:val="0"/>
            </w:pPr>
            <w:hyperlink r:id="rId31" w:history="1">
              <w:r w:rsidR="00562EE7" w:rsidRPr="003A6439">
                <w:rPr>
                  <w:rStyle w:val="Hyperlink"/>
                </w:rPr>
                <w:t>mswhite@igsenergy.com</w:t>
              </w:r>
            </w:hyperlink>
            <w:r w:rsidR="00562EE7">
              <w:rPr>
                <w:u w:val="single"/>
              </w:rPr>
              <w:t xml:space="preserve"> </w:t>
            </w:r>
          </w:p>
          <w:p w:rsidR="00A829B9" w:rsidRPr="00A17583" w:rsidRDefault="00F30A86" w:rsidP="00456653">
            <w:pPr>
              <w:autoSpaceDE w:val="0"/>
              <w:autoSpaceDN w:val="0"/>
              <w:adjustRightInd w:val="0"/>
            </w:pPr>
            <w:hyperlink r:id="rId32" w:history="1">
              <w:r w:rsidR="00562EE7" w:rsidRPr="003A6439">
                <w:rPr>
                  <w:rStyle w:val="Hyperlink"/>
                </w:rPr>
                <w:t>sgiles@hullinc.com</w:t>
              </w:r>
            </w:hyperlink>
            <w:r w:rsidR="00562EE7">
              <w:rPr>
                <w:u w:val="single"/>
              </w:rPr>
              <w:t xml:space="preserve"> </w:t>
            </w:r>
          </w:p>
          <w:p w:rsidR="00A829B9" w:rsidRPr="00A17583" w:rsidRDefault="00F30A86" w:rsidP="00456653">
            <w:pPr>
              <w:autoSpaceDE w:val="0"/>
              <w:autoSpaceDN w:val="0"/>
              <w:adjustRightInd w:val="0"/>
            </w:pPr>
            <w:hyperlink r:id="rId33" w:history="1">
              <w:r w:rsidR="00562EE7" w:rsidRPr="003A6439">
                <w:rPr>
                  <w:rStyle w:val="Hyperlink"/>
                </w:rPr>
                <w:t>Emma.berndt@opower.com</w:t>
              </w:r>
            </w:hyperlink>
            <w:r w:rsidR="00562EE7">
              <w:rPr>
                <w:u w:val="single"/>
              </w:rPr>
              <w:t xml:space="preserve"> </w:t>
            </w:r>
          </w:p>
          <w:p w:rsidR="00A829B9" w:rsidRPr="00A17583" w:rsidRDefault="00F30A86" w:rsidP="00456653">
            <w:pPr>
              <w:autoSpaceDE w:val="0"/>
              <w:autoSpaceDN w:val="0"/>
              <w:adjustRightInd w:val="0"/>
            </w:pPr>
            <w:hyperlink r:id="rId34" w:history="1">
              <w:r w:rsidR="00562EE7" w:rsidRPr="003A6439">
                <w:rPr>
                  <w:rStyle w:val="Hyperlink"/>
                </w:rPr>
                <w:t>jnice@energy-avenue.com</w:t>
              </w:r>
            </w:hyperlink>
            <w:r w:rsidR="00562EE7">
              <w:rPr>
                <w:u w:val="single"/>
              </w:rPr>
              <w:t xml:space="preserve"> </w:t>
            </w:r>
          </w:p>
          <w:p w:rsidR="00A829B9" w:rsidRPr="00A17583" w:rsidRDefault="00F30A86" w:rsidP="00456653">
            <w:pPr>
              <w:autoSpaceDE w:val="0"/>
              <w:autoSpaceDN w:val="0"/>
              <w:adjustRightInd w:val="0"/>
            </w:pPr>
            <w:hyperlink r:id="rId35" w:history="1">
              <w:r w:rsidR="00562EE7" w:rsidRPr="003A6439">
                <w:rPr>
                  <w:rStyle w:val="Hyperlink"/>
                </w:rPr>
                <w:t>sechler@carpenterlipps.com</w:t>
              </w:r>
            </w:hyperlink>
            <w:r w:rsidR="00562EE7">
              <w:t xml:space="preserve"> </w:t>
            </w:r>
          </w:p>
          <w:p w:rsidR="00A829B9" w:rsidRPr="00A17583" w:rsidRDefault="00A829B9" w:rsidP="00456653">
            <w:pPr>
              <w:autoSpaceDE w:val="0"/>
              <w:autoSpaceDN w:val="0"/>
              <w:adjustRightInd w:val="0"/>
            </w:pPr>
          </w:p>
          <w:p w:rsidR="00A829B9" w:rsidRPr="00A17583" w:rsidRDefault="00A829B9" w:rsidP="00456653">
            <w:pPr>
              <w:autoSpaceDE w:val="0"/>
              <w:autoSpaceDN w:val="0"/>
              <w:adjustRightInd w:val="0"/>
            </w:pPr>
            <w:r w:rsidRPr="00A17583">
              <w:t>Attorney Examiner:</w:t>
            </w:r>
          </w:p>
          <w:p w:rsidR="00A829B9" w:rsidRPr="00A17583" w:rsidRDefault="00A829B9" w:rsidP="00456653">
            <w:pPr>
              <w:autoSpaceDE w:val="0"/>
              <w:autoSpaceDN w:val="0"/>
              <w:adjustRightInd w:val="0"/>
            </w:pPr>
          </w:p>
          <w:p w:rsidR="00A829B9" w:rsidRPr="00A17583" w:rsidRDefault="00F30A86" w:rsidP="00456653">
            <w:hyperlink r:id="rId36" w:history="1">
              <w:r w:rsidR="00562EE7" w:rsidRPr="003A6439">
                <w:rPr>
                  <w:rStyle w:val="Hyperlink"/>
                </w:rPr>
                <w:t>Bryce.mckenney@puc.state.oh.us</w:t>
              </w:r>
            </w:hyperlink>
            <w:r w:rsidR="00562EE7">
              <w:rPr>
                <w:u w:val="single"/>
              </w:rPr>
              <w:t xml:space="preserve"> </w:t>
            </w:r>
          </w:p>
          <w:p w:rsidR="00A829B9" w:rsidRPr="00A17583" w:rsidRDefault="00A829B9" w:rsidP="00456653"/>
        </w:tc>
        <w:tc>
          <w:tcPr>
            <w:tcW w:w="4428" w:type="dxa"/>
            <w:shd w:val="clear" w:color="auto" w:fill="auto"/>
          </w:tcPr>
          <w:p w:rsidR="00A829B9" w:rsidRPr="00A17583" w:rsidRDefault="00F30A86" w:rsidP="00456653">
            <w:pPr>
              <w:autoSpaceDE w:val="0"/>
              <w:autoSpaceDN w:val="0"/>
              <w:adjustRightInd w:val="0"/>
            </w:pPr>
            <w:hyperlink r:id="rId37" w:history="1">
              <w:r w:rsidR="00562EE7" w:rsidRPr="003A6439">
                <w:rPr>
                  <w:rStyle w:val="Hyperlink"/>
                </w:rPr>
                <w:t>jkeyes@kfwlaw.com</w:t>
              </w:r>
            </w:hyperlink>
            <w:r w:rsidR="00562EE7">
              <w:rPr>
                <w:u w:val="single"/>
              </w:rPr>
              <w:t xml:space="preserve"> </w:t>
            </w:r>
          </w:p>
          <w:p w:rsidR="00A829B9" w:rsidRPr="00A17583" w:rsidRDefault="00F30A86" w:rsidP="00456653">
            <w:hyperlink r:id="rId38" w:history="1">
              <w:r w:rsidR="00562EE7" w:rsidRPr="003A6439">
                <w:rPr>
                  <w:rStyle w:val="Hyperlink"/>
                </w:rPr>
                <w:t>tculley@kfwlaw.com</w:t>
              </w:r>
            </w:hyperlink>
            <w:r w:rsidR="00562EE7">
              <w:rPr>
                <w:u w:val="single"/>
              </w:rPr>
              <w:t xml:space="preserve"> </w:t>
            </w:r>
          </w:p>
          <w:p w:rsidR="00A829B9" w:rsidRPr="00A17583" w:rsidRDefault="00F30A86" w:rsidP="00456653">
            <w:pPr>
              <w:autoSpaceDE w:val="0"/>
              <w:autoSpaceDN w:val="0"/>
              <w:adjustRightInd w:val="0"/>
            </w:pPr>
            <w:hyperlink r:id="rId39" w:history="1">
              <w:r w:rsidR="00562EE7" w:rsidRPr="003A6439">
                <w:rPr>
                  <w:rStyle w:val="Hyperlink"/>
                </w:rPr>
                <w:t>Amy.spiller@duke-energy.com</w:t>
              </w:r>
            </w:hyperlink>
            <w:r w:rsidR="00562EE7">
              <w:rPr>
                <w:u w:val="single"/>
              </w:rPr>
              <w:t xml:space="preserve"> </w:t>
            </w:r>
          </w:p>
          <w:p w:rsidR="00A829B9" w:rsidRPr="00A17583" w:rsidRDefault="00F30A86" w:rsidP="00456653">
            <w:pPr>
              <w:autoSpaceDE w:val="0"/>
              <w:autoSpaceDN w:val="0"/>
              <w:adjustRightInd w:val="0"/>
            </w:pPr>
            <w:hyperlink r:id="rId40" w:history="1">
              <w:r w:rsidR="00562EE7" w:rsidRPr="003A6439">
                <w:rPr>
                  <w:rStyle w:val="Hyperlink"/>
                </w:rPr>
                <w:t>Jeanne.kingery@duke-energy.com</w:t>
              </w:r>
            </w:hyperlink>
            <w:r w:rsidR="00562EE7">
              <w:rPr>
                <w:u w:val="single"/>
              </w:rPr>
              <w:t xml:space="preserve"> </w:t>
            </w:r>
          </w:p>
          <w:p w:rsidR="00A829B9" w:rsidRPr="00A17583" w:rsidRDefault="00F30A86" w:rsidP="00456653">
            <w:hyperlink r:id="rId41" w:history="1">
              <w:r w:rsidR="00562EE7" w:rsidRPr="003A6439">
                <w:rPr>
                  <w:rStyle w:val="Hyperlink"/>
                </w:rPr>
                <w:t>Elizabeth.watts@duke-energy.com</w:t>
              </w:r>
            </w:hyperlink>
            <w:r w:rsidR="00562EE7">
              <w:rPr>
                <w:u w:val="single"/>
              </w:rPr>
              <w:t xml:space="preserve"> </w:t>
            </w:r>
          </w:p>
          <w:p w:rsidR="00A829B9" w:rsidRPr="00A17583" w:rsidRDefault="00F30A86" w:rsidP="00456653">
            <w:pPr>
              <w:autoSpaceDE w:val="0"/>
              <w:autoSpaceDN w:val="0"/>
              <w:adjustRightInd w:val="0"/>
            </w:pPr>
            <w:hyperlink r:id="rId42" w:history="1">
              <w:r w:rsidR="00562EE7" w:rsidRPr="003A6439">
                <w:rPr>
                  <w:rStyle w:val="Hyperlink"/>
                </w:rPr>
                <w:t>trent@theoec.org</w:t>
              </w:r>
            </w:hyperlink>
            <w:r w:rsidR="00562EE7">
              <w:rPr>
                <w:u w:val="single"/>
              </w:rPr>
              <w:t xml:space="preserve"> </w:t>
            </w:r>
          </w:p>
          <w:p w:rsidR="00A829B9" w:rsidRPr="00A17583" w:rsidRDefault="00F30A86" w:rsidP="00456653">
            <w:pPr>
              <w:autoSpaceDE w:val="0"/>
              <w:autoSpaceDN w:val="0"/>
              <w:adjustRightInd w:val="0"/>
            </w:pPr>
            <w:hyperlink r:id="rId43" w:history="1">
              <w:r w:rsidR="00562EE7" w:rsidRPr="003A6439">
                <w:rPr>
                  <w:rStyle w:val="Hyperlink"/>
                </w:rPr>
                <w:t>selliott@metrocdengineering.com</w:t>
              </w:r>
            </w:hyperlink>
            <w:r w:rsidR="00562EE7">
              <w:rPr>
                <w:u w:val="single"/>
              </w:rPr>
              <w:t xml:space="preserve"> </w:t>
            </w:r>
          </w:p>
          <w:p w:rsidR="00A829B9" w:rsidRPr="00A17583" w:rsidRDefault="00F30A86" w:rsidP="00456653">
            <w:pPr>
              <w:autoSpaceDE w:val="0"/>
              <w:autoSpaceDN w:val="0"/>
              <w:adjustRightInd w:val="0"/>
            </w:pPr>
            <w:hyperlink r:id="rId44" w:history="1">
              <w:r w:rsidR="00562EE7" w:rsidRPr="003A6439">
                <w:rPr>
                  <w:rStyle w:val="Hyperlink"/>
                </w:rPr>
                <w:t>haydenm@firstenergycorp.com</w:t>
              </w:r>
            </w:hyperlink>
            <w:r w:rsidR="00562EE7">
              <w:rPr>
                <w:u w:val="single"/>
              </w:rPr>
              <w:t xml:space="preserve"> </w:t>
            </w:r>
          </w:p>
          <w:p w:rsidR="00A829B9" w:rsidRPr="00A17583" w:rsidRDefault="00F30A86" w:rsidP="00456653">
            <w:pPr>
              <w:autoSpaceDE w:val="0"/>
              <w:autoSpaceDN w:val="0"/>
              <w:adjustRightInd w:val="0"/>
            </w:pPr>
            <w:hyperlink r:id="rId45" w:history="1">
              <w:r w:rsidR="00562EE7" w:rsidRPr="003A6439">
                <w:rPr>
                  <w:rStyle w:val="Hyperlink"/>
                </w:rPr>
                <w:t>scasto@firstenergycorp.com</w:t>
              </w:r>
            </w:hyperlink>
            <w:r w:rsidR="00562EE7">
              <w:rPr>
                <w:u w:val="single"/>
              </w:rPr>
              <w:t xml:space="preserve"> </w:t>
            </w:r>
          </w:p>
          <w:p w:rsidR="00A829B9" w:rsidRPr="00A17583" w:rsidRDefault="00F30A86" w:rsidP="00456653">
            <w:pPr>
              <w:autoSpaceDE w:val="0"/>
              <w:autoSpaceDN w:val="0"/>
              <w:adjustRightInd w:val="0"/>
            </w:pPr>
            <w:hyperlink r:id="rId46" w:history="1">
              <w:r w:rsidR="00562EE7" w:rsidRPr="003A6439">
                <w:rPr>
                  <w:rStyle w:val="Hyperlink"/>
                </w:rPr>
                <w:t>burkj@firstenergycorp.com</w:t>
              </w:r>
            </w:hyperlink>
            <w:r w:rsidR="00562EE7">
              <w:rPr>
                <w:u w:val="single"/>
              </w:rPr>
              <w:t xml:space="preserve"> </w:t>
            </w:r>
          </w:p>
          <w:p w:rsidR="00A829B9" w:rsidRPr="00A17583" w:rsidRDefault="00F30A86" w:rsidP="00456653">
            <w:pPr>
              <w:autoSpaceDE w:val="0"/>
              <w:autoSpaceDN w:val="0"/>
              <w:adjustRightInd w:val="0"/>
            </w:pPr>
            <w:hyperlink r:id="rId47" w:history="1">
              <w:r w:rsidR="00562EE7" w:rsidRPr="003A6439">
                <w:rPr>
                  <w:rStyle w:val="Hyperlink"/>
                </w:rPr>
                <w:t>cdunn@firstenergycorp.com</w:t>
              </w:r>
            </w:hyperlink>
            <w:r w:rsidR="00562EE7">
              <w:rPr>
                <w:u w:val="single"/>
              </w:rPr>
              <w:t xml:space="preserve"> </w:t>
            </w:r>
          </w:p>
          <w:p w:rsidR="00A829B9" w:rsidRPr="00A17583" w:rsidRDefault="00F30A86" w:rsidP="00456653">
            <w:pPr>
              <w:autoSpaceDE w:val="0"/>
              <w:autoSpaceDN w:val="0"/>
              <w:adjustRightInd w:val="0"/>
            </w:pPr>
            <w:hyperlink r:id="rId48" w:history="1">
              <w:r w:rsidR="00562EE7" w:rsidRPr="003A6439">
                <w:rPr>
                  <w:rStyle w:val="Hyperlink"/>
                </w:rPr>
                <w:t>cmooney@ohiopartners.org</w:t>
              </w:r>
            </w:hyperlink>
            <w:r w:rsidR="00562EE7">
              <w:rPr>
                <w:u w:val="single"/>
              </w:rPr>
              <w:t xml:space="preserve"> </w:t>
            </w:r>
          </w:p>
          <w:p w:rsidR="00A829B9" w:rsidRPr="00A17583" w:rsidRDefault="00F30A86" w:rsidP="00456653">
            <w:pPr>
              <w:autoSpaceDE w:val="0"/>
              <w:autoSpaceDN w:val="0"/>
              <w:adjustRightInd w:val="0"/>
            </w:pPr>
            <w:hyperlink r:id="rId49" w:history="1">
              <w:r w:rsidR="00562EE7" w:rsidRPr="003A6439">
                <w:rPr>
                  <w:rStyle w:val="Hyperlink"/>
                </w:rPr>
                <w:t>cloucas@ohiopartners.org</w:t>
              </w:r>
            </w:hyperlink>
            <w:r w:rsidR="00562EE7">
              <w:rPr>
                <w:u w:val="single"/>
              </w:rPr>
              <w:t xml:space="preserve"> </w:t>
            </w:r>
          </w:p>
          <w:p w:rsidR="00A829B9" w:rsidRPr="00A17583" w:rsidRDefault="00F30A86" w:rsidP="00456653">
            <w:pPr>
              <w:autoSpaceDE w:val="0"/>
              <w:autoSpaceDN w:val="0"/>
              <w:adjustRightInd w:val="0"/>
            </w:pPr>
            <w:hyperlink r:id="rId50" w:history="1">
              <w:r w:rsidR="00562EE7" w:rsidRPr="003A6439">
                <w:rPr>
                  <w:rStyle w:val="Hyperlink"/>
                </w:rPr>
                <w:t>ricks@OHANET.org</w:t>
              </w:r>
            </w:hyperlink>
            <w:r w:rsidR="00562EE7">
              <w:rPr>
                <w:u w:val="single"/>
              </w:rPr>
              <w:t xml:space="preserve"> </w:t>
            </w:r>
          </w:p>
          <w:p w:rsidR="00A829B9" w:rsidRPr="00A17583" w:rsidRDefault="00F30A86" w:rsidP="00456653">
            <w:pPr>
              <w:autoSpaceDE w:val="0"/>
              <w:autoSpaceDN w:val="0"/>
              <w:adjustRightInd w:val="0"/>
            </w:pPr>
            <w:hyperlink r:id="rId51" w:history="1">
              <w:r w:rsidR="00562EE7" w:rsidRPr="003A6439">
                <w:rPr>
                  <w:rStyle w:val="Hyperlink"/>
                </w:rPr>
                <w:t>tobrien@bricker.com</w:t>
              </w:r>
            </w:hyperlink>
            <w:r w:rsidR="00562EE7">
              <w:rPr>
                <w:u w:val="single"/>
              </w:rPr>
              <w:t xml:space="preserve"> </w:t>
            </w:r>
          </w:p>
          <w:p w:rsidR="00A829B9" w:rsidRPr="00A17583" w:rsidRDefault="00F30A86" w:rsidP="00456653">
            <w:pPr>
              <w:autoSpaceDE w:val="0"/>
              <w:autoSpaceDN w:val="0"/>
              <w:adjustRightInd w:val="0"/>
            </w:pPr>
            <w:hyperlink r:id="rId52" w:history="1">
              <w:r w:rsidR="00562EE7" w:rsidRPr="003A6439">
                <w:rPr>
                  <w:rStyle w:val="Hyperlink"/>
                </w:rPr>
                <w:t>joseph.clark@directenergy.com</w:t>
              </w:r>
            </w:hyperlink>
            <w:r w:rsidR="00562EE7">
              <w:rPr>
                <w:u w:val="single"/>
              </w:rPr>
              <w:t xml:space="preserve"> </w:t>
            </w:r>
          </w:p>
          <w:p w:rsidR="00A829B9" w:rsidRPr="00A17583" w:rsidRDefault="00F30A86" w:rsidP="00456653">
            <w:pPr>
              <w:autoSpaceDE w:val="0"/>
              <w:autoSpaceDN w:val="0"/>
              <w:adjustRightInd w:val="0"/>
            </w:pPr>
            <w:hyperlink r:id="rId53" w:history="1">
              <w:r w:rsidR="00562EE7" w:rsidRPr="003A6439">
                <w:rPr>
                  <w:rStyle w:val="Hyperlink"/>
                </w:rPr>
                <w:t>jennifer.lause@directenergy.com</w:t>
              </w:r>
            </w:hyperlink>
            <w:r w:rsidR="00562EE7">
              <w:rPr>
                <w:u w:val="single"/>
              </w:rPr>
              <w:t xml:space="preserve"> </w:t>
            </w:r>
          </w:p>
          <w:p w:rsidR="00A829B9" w:rsidRPr="00A17583" w:rsidRDefault="00F30A86" w:rsidP="00456653">
            <w:pPr>
              <w:autoSpaceDE w:val="0"/>
              <w:autoSpaceDN w:val="0"/>
              <w:adjustRightInd w:val="0"/>
            </w:pPr>
            <w:hyperlink r:id="rId54" w:history="1">
              <w:r w:rsidR="00562EE7" w:rsidRPr="003A6439">
                <w:rPr>
                  <w:rStyle w:val="Hyperlink"/>
                </w:rPr>
                <w:t>rdove@attorneydove.com</w:t>
              </w:r>
            </w:hyperlink>
            <w:r w:rsidR="00562EE7">
              <w:t xml:space="preserve"> </w:t>
            </w:r>
          </w:p>
          <w:p w:rsidR="00A829B9" w:rsidRPr="00A17583" w:rsidRDefault="00A829B9" w:rsidP="00456653">
            <w:pPr>
              <w:autoSpaceDE w:val="0"/>
              <w:autoSpaceDN w:val="0"/>
              <w:adjustRightInd w:val="0"/>
            </w:pPr>
          </w:p>
          <w:p w:rsidR="00A829B9" w:rsidRPr="00A17583" w:rsidRDefault="00A829B9" w:rsidP="00456653"/>
        </w:tc>
      </w:tr>
    </w:tbl>
    <w:p w:rsidR="00A829B9" w:rsidRPr="008240D2" w:rsidRDefault="00A829B9" w:rsidP="00A829B9"/>
    <w:sectPr w:rsidR="00A829B9" w:rsidRPr="008240D2">
      <w:headerReference w:type="even" r:id="rId55"/>
      <w:headerReference w:type="default" r:id="rId56"/>
      <w:footerReference w:type="default" r:id="rId57"/>
      <w:headerReference w:type="first" r:id="rId5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24" w:rsidRDefault="00EC3B24">
      <w:r>
        <w:separator/>
      </w:r>
    </w:p>
  </w:endnote>
  <w:endnote w:type="continuationSeparator" w:id="0">
    <w:p w:rsidR="00EC3B24" w:rsidRDefault="00EC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A8" w:rsidRDefault="005E4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A8" w:rsidRDefault="005E4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A8" w:rsidRDefault="005E40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E7" w:rsidRDefault="00562EE7">
    <w:pPr>
      <w:pStyle w:val="Footer"/>
      <w:jc w:val="center"/>
    </w:pPr>
    <w:r>
      <w:fldChar w:fldCharType="begin"/>
    </w:r>
    <w:r>
      <w:instrText xml:space="preserve"> PAGE   \* MERGEFORMAT </w:instrText>
    </w:r>
    <w:r>
      <w:fldChar w:fldCharType="separate"/>
    </w:r>
    <w:r w:rsidR="00F30A86">
      <w:rPr>
        <w:noProof/>
      </w:rPr>
      <w:t>2</w:t>
    </w:r>
    <w:r>
      <w:rPr>
        <w:noProof/>
      </w:rPr>
      <w:fldChar w:fldCharType="end"/>
    </w:r>
  </w:p>
  <w:p w:rsidR="00562EE7" w:rsidRDefault="00562E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CE" w:rsidRDefault="00AE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24" w:rsidRDefault="00EC3B24">
      <w:r>
        <w:separator/>
      </w:r>
    </w:p>
  </w:footnote>
  <w:footnote w:type="continuationSeparator" w:id="0">
    <w:p w:rsidR="00EC3B24" w:rsidRDefault="00EC3B24">
      <w:r>
        <w:continuationSeparator/>
      </w:r>
    </w:p>
  </w:footnote>
  <w:footnote w:id="1">
    <w:p w:rsidR="00562EE7" w:rsidRPr="001B41EC" w:rsidRDefault="00562EE7" w:rsidP="00E7181D">
      <w:pPr>
        <w:pStyle w:val="FootnoteText"/>
        <w:spacing w:after="120"/>
      </w:pPr>
      <w:r w:rsidRPr="001B41EC">
        <w:rPr>
          <w:rStyle w:val="FootnoteReference"/>
        </w:rPr>
        <w:footnoteRef/>
      </w:r>
      <w:r w:rsidRPr="001B41EC">
        <w:t xml:space="preserve"> </w:t>
      </w:r>
      <w:r w:rsidRPr="001B41EC">
        <w:rPr>
          <w:i/>
        </w:rPr>
        <w:t>See</w:t>
      </w:r>
      <w:r w:rsidRPr="001B41EC">
        <w:t xml:space="preserve"> R.C. 4928.02(k), “Encourage implementation of distributed generation across customer classes through regular review and updating of administrative rules governing critical issues such as, but not limited to, interconnection standards, standby charges, and net metering;”</w:t>
      </w:r>
    </w:p>
  </w:footnote>
  <w:footnote w:id="2">
    <w:p w:rsidR="00562EE7" w:rsidRPr="001B41EC" w:rsidRDefault="00562EE7" w:rsidP="00E7181D">
      <w:pPr>
        <w:pStyle w:val="FootnoteText"/>
        <w:spacing w:after="120"/>
      </w:pPr>
      <w:r w:rsidRPr="001B41EC">
        <w:rPr>
          <w:rStyle w:val="FootnoteReference"/>
        </w:rPr>
        <w:footnoteRef/>
      </w:r>
      <w:r w:rsidR="004D138C">
        <w:t xml:space="preserve"> </w:t>
      </w:r>
      <w:r>
        <w:t xml:space="preserve">Case No. 12-2050-EL-ORD, </w:t>
      </w:r>
      <w:r w:rsidRPr="001B41EC">
        <w:t>Entry at 10</w:t>
      </w:r>
      <w:r>
        <w:t xml:space="preserve"> (November 18, 2015)</w:t>
      </w:r>
      <w:r w:rsidRPr="001B41EC">
        <w:t>.</w:t>
      </w:r>
    </w:p>
  </w:footnote>
  <w:footnote w:id="3">
    <w:p w:rsidR="00562EE7" w:rsidRDefault="00562EE7" w:rsidP="006A51B6">
      <w:pPr>
        <w:pStyle w:val="FootnoteText"/>
        <w:spacing w:after="120"/>
      </w:pPr>
      <w:r>
        <w:rPr>
          <w:rStyle w:val="FootnoteReference"/>
        </w:rPr>
        <w:footnoteRef/>
      </w:r>
      <w:r>
        <w:t xml:space="preserve"> R.C. 4928.01(31)(d).</w:t>
      </w:r>
    </w:p>
  </w:footnote>
  <w:footnote w:id="4">
    <w:p w:rsidR="00562EE7" w:rsidRDefault="00562EE7" w:rsidP="006A51B6">
      <w:pPr>
        <w:pStyle w:val="FootnoteText"/>
        <w:spacing w:after="120"/>
      </w:pPr>
      <w:r>
        <w:rPr>
          <w:rStyle w:val="FootnoteReference"/>
        </w:rPr>
        <w:footnoteRef/>
      </w:r>
      <w:r>
        <w:t xml:space="preserve"> Case No. 12-2050-EL-ORD, DP&amp;L Comments at 3-5, FirstEnergy at 6-8, AEP Ohio at 13-17 (December 18, 2015).</w:t>
      </w:r>
    </w:p>
  </w:footnote>
  <w:footnote w:id="5">
    <w:p w:rsidR="00562EE7" w:rsidRDefault="00562EE7" w:rsidP="006A51B6">
      <w:pPr>
        <w:pStyle w:val="FootnoteText"/>
        <w:spacing w:after="120"/>
      </w:pPr>
      <w:r>
        <w:rPr>
          <w:rStyle w:val="FootnoteReference"/>
        </w:rPr>
        <w:footnoteRef/>
      </w:r>
      <w:r>
        <w:t xml:space="preserve"> Case No. 12-2050-EL-ORD, Duke Energy Ohio Comments at 2-3 (December 18, 2015).</w:t>
      </w:r>
    </w:p>
  </w:footnote>
  <w:footnote w:id="6">
    <w:p w:rsidR="00562EE7" w:rsidRDefault="00562EE7" w:rsidP="007F214D">
      <w:pPr>
        <w:pStyle w:val="FootnoteText"/>
        <w:spacing w:after="120"/>
      </w:pPr>
      <w:r>
        <w:rPr>
          <w:rStyle w:val="FootnoteReference"/>
        </w:rPr>
        <w:footnoteRef/>
      </w:r>
      <w:r>
        <w:t xml:space="preserve"> Case No. 12-2050-EL-ORD, Environmental Advocates Comments at 2 (December 18, 2015).</w:t>
      </w:r>
    </w:p>
  </w:footnote>
  <w:footnote w:id="7">
    <w:p w:rsidR="00562EE7" w:rsidRDefault="00562EE7" w:rsidP="006A51B6">
      <w:pPr>
        <w:pStyle w:val="FootnoteText"/>
        <w:spacing w:after="120"/>
      </w:pPr>
      <w:r>
        <w:rPr>
          <w:rStyle w:val="FootnoteReference"/>
        </w:rPr>
        <w:footnoteRef/>
      </w:r>
      <w:r>
        <w:t xml:space="preserve"> Id. at 2.</w:t>
      </w:r>
    </w:p>
  </w:footnote>
  <w:footnote w:id="8">
    <w:p w:rsidR="00562EE7" w:rsidRDefault="00562EE7" w:rsidP="006A51B6">
      <w:pPr>
        <w:pStyle w:val="FootnoteText"/>
        <w:spacing w:after="120"/>
      </w:pPr>
      <w:r>
        <w:rPr>
          <w:rStyle w:val="FootnoteReference"/>
        </w:rPr>
        <w:footnoteRef/>
      </w:r>
      <w:r>
        <w:t xml:space="preserve"> See OCC Comments in this docket (12-2050-EL-ORD) on January 7, 2013 at 31-34.</w:t>
      </w:r>
    </w:p>
  </w:footnote>
  <w:footnote w:id="9">
    <w:p w:rsidR="00562EE7" w:rsidRDefault="00562EE7" w:rsidP="006A51B6">
      <w:pPr>
        <w:pStyle w:val="FootnoteText"/>
        <w:spacing w:after="120"/>
      </w:pPr>
      <w:r>
        <w:rPr>
          <w:rStyle w:val="FootnoteReference"/>
        </w:rPr>
        <w:footnoteRef/>
      </w:r>
      <w:r>
        <w:t xml:space="preserve"> </w:t>
      </w:r>
      <w:r w:rsidRPr="001B41EC">
        <w:t>Solar photovoltaic panels convert sunlight into electricity in a chemical process and are a prevalent form of distributive generation that can be placed on customer rooftops or on their land.</w:t>
      </w:r>
    </w:p>
  </w:footnote>
  <w:footnote w:id="10">
    <w:p w:rsidR="00562EE7" w:rsidRDefault="00562EE7" w:rsidP="008D1EF6">
      <w:pPr>
        <w:pStyle w:val="FootnoteText"/>
        <w:spacing w:after="120"/>
      </w:pPr>
      <w:r>
        <w:rPr>
          <w:rStyle w:val="FootnoteReference"/>
        </w:rPr>
        <w:footnoteRef/>
      </w:r>
      <w:r>
        <w:t xml:space="preserve"> Case No. 12-2050-EL-ORD DP&amp;L Comments at 2-3 (December 18, 2015), objects to being responsible to calculate a customer’s consumption for net metering customers, period.  The proposed FirstEnergy language supplanting the previous 36 months language in the proposed rules is more stringent and less robust than the existing language. FirstEnergy at 5 (December 18, 2015).</w:t>
      </w:r>
    </w:p>
  </w:footnote>
  <w:footnote w:id="11">
    <w:p w:rsidR="00562EE7" w:rsidRDefault="00562EE7" w:rsidP="008D1EF6">
      <w:pPr>
        <w:pStyle w:val="FootnoteText"/>
        <w:spacing w:after="120"/>
      </w:pPr>
      <w:r>
        <w:rPr>
          <w:rStyle w:val="FootnoteReference"/>
        </w:rPr>
        <w:footnoteRef/>
      </w:r>
      <w:r>
        <w:t xml:space="preserve"> Case No. 12-2050-EL-ORD , DP&amp;L Comments at 2-3, AEP at 10-11, FirstEnergy at 4-5 (December 18, 2015).</w:t>
      </w:r>
    </w:p>
  </w:footnote>
  <w:footnote w:id="12">
    <w:p w:rsidR="00562EE7" w:rsidRDefault="00562EE7">
      <w:pPr>
        <w:pStyle w:val="FootnoteText"/>
      </w:pPr>
      <w:r>
        <w:rPr>
          <w:rStyle w:val="FootnoteReference"/>
        </w:rPr>
        <w:footnoteRef/>
      </w:r>
      <w:r>
        <w:t xml:space="preserve"> </w:t>
      </w:r>
      <w:r w:rsidRPr="009900D1">
        <w:rPr>
          <w:bCs/>
        </w:rPr>
        <w:t>DOE-2</w:t>
      </w:r>
      <w:r>
        <w:t xml:space="preserve"> is a widely used and sophisticated building </w:t>
      </w:r>
      <w:r>
        <w:rPr>
          <w:b/>
          <w:bCs/>
        </w:rPr>
        <w:t>energy</w:t>
      </w:r>
      <w:r>
        <w:t xml:space="preserve"> analysis software program that can predict the </w:t>
      </w:r>
      <w:r w:rsidRPr="009900D1">
        <w:rPr>
          <w:bCs/>
        </w:rPr>
        <w:t>energy</w:t>
      </w:r>
      <w:r>
        <w:t xml:space="preserve"> use and cost for all types of buildings. See </w:t>
      </w:r>
      <w:r w:rsidRPr="000D2FBE">
        <w:t>http://www.doe2.com/</w:t>
      </w:r>
      <w:r>
        <w:t>.</w:t>
      </w:r>
    </w:p>
  </w:footnote>
  <w:footnote w:id="13">
    <w:p w:rsidR="00562EE7" w:rsidRDefault="00562EE7" w:rsidP="008D1EF6">
      <w:pPr>
        <w:pStyle w:val="FootnoteText"/>
        <w:spacing w:after="120"/>
      </w:pPr>
      <w:r>
        <w:rPr>
          <w:rStyle w:val="FootnoteReference"/>
        </w:rPr>
        <w:footnoteRef/>
      </w:r>
      <w:r>
        <w:t xml:space="preserve"> See Case No. 12-2050-EL-ORD, May 28, 2014 Second Entry on Rehearing at 15.</w:t>
      </w:r>
    </w:p>
  </w:footnote>
  <w:footnote w:id="14">
    <w:p w:rsidR="00562EE7" w:rsidRDefault="00562EE7" w:rsidP="008D1EF6">
      <w:pPr>
        <w:pStyle w:val="FootnoteText"/>
        <w:spacing w:after="120"/>
      </w:pPr>
      <w:r>
        <w:rPr>
          <w:rStyle w:val="FootnoteReference"/>
        </w:rPr>
        <w:footnoteRef/>
      </w:r>
      <w:r>
        <w:t xml:space="preserve"> Case No. 12-2050-EL-ORD, FirstEnergy Comments at 9 (December 18, 2015).</w:t>
      </w:r>
    </w:p>
  </w:footnote>
  <w:footnote w:id="15">
    <w:p w:rsidR="00562EE7" w:rsidRDefault="00562EE7" w:rsidP="008D1EF6">
      <w:pPr>
        <w:pStyle w:val="FootnoteText"/>
        <w:spacing w:after="120"/>
      </w:pPr>
      <w:r>
        <w:rPr>
          <w:rStyle w:val="FootnoteReference"/>
        </w:rPr>
        <w:footnoteRef/>
      </w:r>
      <w:r>
        <w:t xml:space="preserve"> Case No. 12-2050-EL-ORD, AEP Ohio Comments at 3-9 (December 18, 2015). AEP Ohio also mentions that the SSO rate can contain non-generation components.</w:t>
      </w:r>
    </w:p>
  </w:footnote>
  <w:footnote w:id="16">
    <w:p w:rsidR="00562EE7" w:rsidRDefault="00562EE7" w:rsidP="008D1EF6">
      <w:pPr>
        <w:pStyle w:val="FootnoteText"/>
        <w:spacing w:after="120"/>
      </w:pPr>
      <w:r>
        <w:rPr>
          <w:rStyle w:val="FootnoteReference"/>
        </w:rPr>
        <w:footnoteRef/>
      </w:r>
      <w:r>
        <w:t xml:space="preserve"> Case No. 12-2050-EL-ORD, Environmental Advocates Comments at 1-2 (December 18, 2015).</w:t>
      </w:r>
    </w:p>
  </w:footnote>
  <w:footnote w:id="17">
    <w:p w:rsidR="00562EE7" w:rsidRPr="00A42F1E" w:rsidRDefault="00562EE7" w:rsidP="00A42F1E">
      <w:pPr>
        <w:spacing w:after="120"/>
        <w:rPr>
          <w:sz w:val="20"/>
          <w:szCs w:val="20"/>
        </w:rPr>
      </w:pPr>
      <w:r w:rsidRPr="00A42F1E">
        <w:rPr>
          <w:rStyle w:val="FootnoteReference"/>
          <w:sz w:val="20"/>
          <w:szCs w:val="20"/>
        </w:rPr>
        <w:footnoteRef/>
      </w:r>
      <w:r w:rsidRPr="00A42F1E">
        <w:rPr>
          <w:sz w:val="20"/>
          <w:szCs w:val="20"/>
        </w:rPr>
        <w:t xml:space="preserve"> </w:t>
      </w:r>
      <w:r>
        <w:rPr>
          <w:sz w:val="20"/>
          <w:szCs w:val="20"/>
        </w:rPr>
        <w:t xml:space="preserve">See March 31, </w:t>
      </w:r>
      <w:r w:rsidRPr="00A42F1E">
        <w:rPr>
          <w:sz w:val="20"/>
          <w:szCs w:val="20"/>
        </w:rPr>
        <w:t xml:space="preserve">2014 </w:t>
      </w:r>
      <w:r w:rsidRPr="00A42F1E">
        <w:rPr>
          <w:rFonts w:cs="Arial"/>
          <w:sz w:val="20"/>
          <w:szCs w:val="20"/>
        </w:rPr>
        <w:t>PJM Renewable Integration Study Task 3 A Part F Capacity Valuation at</w:t>
      </w:r>
      <w:r w:rsidRPr="00A42F1E">
        <w:rPr>
          <w:sz w:val="20"/>
          <w:szCs w:val="20"/>
        </w:rPr>
        <w:t xml:space="preserve"> http://www.pjm.com/~/media/committees-groups/subcommittees/irs/postings/pjm-pris-task-3a-part-f-capacity-valuation.ashx.</w:t>
      </w:r>
    </w:p>
  </w:footnote>
  <w:footnote w:id="18">
    <w:p w:rsidR="00562EE7" w:rsidRPr="00A42F1E" w:rsidRDefault="00562EE7" w:rsidP="00A42F1E">
      <w:pPr>
        <w:pStyle w:val="FootnoteText"/>
        <w:spacing w:after="120"/>
      </w:pPr>
      <w:r w:rsidRPr="00A42F1E">
        <w:rPr>
          <w:rStyle w:val="FootnoteReference"/>
        </w:rPr>
        <w:footnoteRef/>
      </w:r>
      <w:r w:rsidRPr="00A42F1E">
        <w:t xml:space="preserve"> </w:t>
      </w:r>
      <w:r w:rsidRPr="00A42F1E">
        <w:rPr>
          <w:rFonts w:cs="ITC Berkeley Oldstyle Std Bk"/>
          <w:color w:val="000000"/>
        </w:rPr>
        <w:t>In 2014, about one out of five household PV systems in Germany was sold with a battery pack, and that is projected to be one in three in 2015.</w:t>
      </w:r>
      <w:r w:rsidRPr="00A42F1E">
        <w:t xml:space="preserve">  </w:t>
      </w:r>
      <w:r w:rsidRPr="00A42F1E">
        <w:rPr>
          <w:rFonts w:cs="ITC Berkeley Oldstyle Std Bk"/>
          <w:color w:val="000000"/>
        </w:rPr>
        <w:t xml:space="preserve">Deign, J. (2015). German Energy Storage: Not for the Fainthearted. </w:t>
      </w:r>
      <w:r w:rsidRPr="00A42F1E">
        <w:rPr>
          <w:rFonts w:cs="ITC Berkeley Oldstyle Std Bk"/>
          <w:i/>
          <w:iCs/>
          <w:color w:val="000000"/>
        </w:rPr>
        <w:t xml:space="preserve">Greentech Media, </w:t>
      </w:r>
      <w:r w:rsidRPr="00A42F1E">
        <w:rPr>
          <w:rFonts w:cs="ITC Berkeley Oldstyle Std Bk"/>
          <w:color w:val="000000"/>
        </w:rPr>
        <w:t xml:space="preserve">March 13, 2015. Available at </w:t>
      </w:r>
      <w:hyperlink r:id="rId1" w:history="1">
        <w:r w:rsidRPr="006D5D56">
          <w:rPr>
            <w:rStyle w:val="Hyperlink"/>
            <w:rFonts w:cs="ITC Berkeley Oldstyle Std Bk"/>
          </w:rPr>
          <w:t>http://www.greentechmedia.com/articles/read/german-ener</w:t>
        </w:r>
        <w:r w:rsidRPr="006D5D56">
          <w:rPr>
            <w:rStyle w:val="Hyperlink"/>
            <w:rFonts w:cs="ITC Berkeley Oldstyle Std Bk"/>
          </w:rPr>
          <w:softHyphen/>
          <w:t>gy-storage-not-for-the-faint-hearted</w:t>
        </w:r>
      </w:hyperlink>
      <w:r w:rsidRPr="00A42F1E">
        <w:rPr>
          <w:rFonts w:cs="ITC Berkeley Oldstyle Std Bk"/>
          <w:color w:val="000000"/>
        </w:rPr>
        <w:t>.</w:t>
      </w:r>
      <w:r>
        <w:rPr>
          <w:rFonts w:cs="ITC Berkeley Oldstyle Std Bk"/>
          <w:color w:val="000000"/>
        </w:rPr>
        <w:t xml:space="preserve">   Also, net metering customers with smart inverters can also provide ancillary services such as voltage control.  See “Inverters to provide grid support (DG and Storage),” Tom Key and Brian Seal, EPRI December 3, 2012. </w:t>
      </w:r>
      <w:r w:rsidRPr="00397445">
        <w:rPr>
          <w:rFonts w:cs="ITC Berkeley Oldstyle Std Bk"/>
          <w:color w:val="000000"/>
        </w:rPr>
        <w:t>http://www.conference-on-integration-2012.com/fileadmin/user_upload_COI-2012/WS/6-_Tom_Key_EPRI_Inverter_Communication_and_DERMS.pdf</w:t>
      </w:r>
    </w:p>
  </w:footnote>
  <w:footnote w:id="19">
    <w:p w:rsidR="00562EE7" w:rsidRPr="00A42F1E" w:rsidRDefault="00562EE7" w:rsidP="00A42F1E">
      <w:pPr>
        <w:pStyle w:val="FootnoteText"/>
        <w:spacing w:after="120"/>
      </w:pPr>
      <w:r w:rsidRPr="00A42F1E">
        <w:rPr>
          <w:rStyle w:val="FootnoteReference"/>
        </w:rPr>
        <w:footnoteRef/>
      </w:r>
      <w:r w:rsidRPr="00A42F1E">
        <w:t xml:space="preserve"> For example, see the </w:t>
      </w:r>
      <w:r>
        <w:t>proposed Power Purchase Agreement</w:t>
      </w:r>
      <w:r w:rsidRPr="00A42F1E">
        <w:t xml:space="preserve"> riders in </w:t>
      </w:r>
      <w:r>
        <w:t>both the AEP Ohio and FirstEnergy</w:t>
      </w:r>
      <w:r w:rsidRPr="00A42F1E">
        <w:t xml:space="preserve"> settlements in Cases </w:t>
      </w:r>
      <w:r>
        <w:t>14-1693-EL-RDR</w:t>
      </w:r>
      <w:r w:rsidRPr="00A42F1E">
        <w:t xml:space="preserve">  and </w:t>
      </w:r>
      <w:r>
        <w:t>14-1297-EL-SSO</w:t>
      </w:r>
      <w:r w:rsidRPr="00A42F1E">
        <w:t>.</w:t>
      </w:r>
    </w:p>
  </w:footnote>
  <w:footnote w:id="20">
    <w:p w:rsidR="00562EE7" w:rsidRPr="00A42F1E" w:rsidRDefault="00562EE7" w:rsidP="00A42F1E">
      <w:pPr>
        <w:pStyle w:val="FootnoteText"/>
        <w:spacing w:after="120"/>
      </w:pPr>
      <w:r w:rsidRPr="009900D1">
        <w:rPr>
          <w:rStyle w:val="FootnoteReference"/>
        </w:rPr>
        <w:footnoteRef/>
      </w:r>
      <w:r w:rsidRPr="009900D1">
        <w:t xml:space="preserve"> </w:t>
      </w:r>
      <w:r>
        <w:t xml:space="preserve">Case No. 12-2050-EL-ORD, </w:t>
      </w:r>
      <w:r w:rsidRPr="00A42F1E">
        <w:t>Duke</w:t>
      </w:r>
      <w:r>
        <w:t xml:space="preserve"> Comments</w:t>
      </w:r>
      <w:r w:rsidRPr="00A42F1E">
        <w:t xml:space="preserve"> at 4-5</w:t>
      </w:r>
      <w:r>
        <w:t xml:space="preserve"> (December 18, 2015).</w:t>
      </w:r>
    </w:p>
  </w:footnote>
  <w:footnote w:id="21">
    <w:p w:rsidR="00562EE7" w:rsidRDefault="00562EE7" w:rsidP="00A42F1E">
      <w:pPr>
        <w:pStyle w:val="FootnoteText"/>
        <w:spacing w:after="120"/>
      </w:pPr>
      <w:r w:rsidRPr="00A42F1E">
        <w:rPr>
          <w:rStyle w:val="FootnoteReference"/>
        </w:rPr>
        <w:footnoteRef/>
      </w:r>
      <w:r w:rsidRPr="00A42F1E">
        <w:t xml:space="preserve"> </w:t>
      </w:r>
      <w:r>
        <w:t>Id.</w:t>
      </w:r>
    </w:p>
  </w:footnote>
  <w:footnote w:id="22">
    <w:p w:rsidR="00562EE7" w:rsidRDefault="00562EE7" w:rsidP="00A42F1E">
      <w:pPr>
        <w:pStyle w:val="FootnoteText"/>
        <w:spacing w:after="120"/>
      </w:pPr>
      <w:r>
        <w:rPr>
          <w:rStyle w:val="FootnoteReference"/>
        </w:rPr>
        <w:footnoteRef/>
      </w:r>
      <w:r>
        <w:t xml:space="preserve"> Case No. 12-2050-EL-ORD, DP&amp;L at 7 (December 18, 2015).</w:t>
      </w:r>
    </w:p>
  </w:footnote>
  <w:footnote w:id="23">
    <w:p w:rsidR="00562EE7" w:rsidRDefault="00562EE7" w:rsidP="00A42F1E">
      <w:pPr>
        <w:pStyle w:val="FootnoteText"/>
        <w:spacing w:after="120"/>
      </w:pPr>
      <w:r>
        <w:rPr>
          <w:rStyle w:val="FootnoteReference"/>
        </w:rPr>
        <w:footnoteRef/>
      </w:r>
      <w:r>
        <w:t xml:space="preserve"> Chapter 4901:1-22 Interconnection Services in the Ohio Administrative Code. IEEE stands for Institute of Electrical and Electronics Engineers and UL stands for Underwriters Laboratories.</w:t>
      </w:r>
    </w:p>
  </w:footnote>
  <w:footnote w:id="24">
    <w:p w:rsidR="00562EE7" w:rsidRDefault="00562EE7" w:rsidP="00A42F1E">
      <w:pPr>
        <w:pStyle w:val="FootnoteText"/>
        <w:spacing w:after="120"/>
      </w:pPr>
      <w:r>
        <w:rPr>
          <w:rStyle w:val="FootnoteReference"/>
        </w:rPr>
        <w:footnoteRef/>
      </w:r>
      <w:r>
        <w:t xml:space="preserve"> Case No. 12-2050-EL-ORD, IGS Comments at 4-5 (December 18, 2015).</w:t>
      </w:r>
    </w:p>
  </w:footnote>
  <w:footnote w:id="25">
    <w:p w:rsidR="00562EE7" w:rsidRPr="00EC31D3" w:rsidRDefault="00562EE7" w:rsidP="00A42F1E">
      <w:pPr>
        <w:pStyle w:val="FootnoteText"/>
        <w:spacing w:after="120"/>
      </w:pPr>
      <w:r w:rsidRPr="00EC31D3">
        <w:rPr>
          <w:rStyle w:val="FootnoteReference"/>
        </w:rPr>
        <w:footnoteRef/>
      </w:r>
      <w:r w:rsidRPr="00EC31D3">
        <w:t xml:space="preserve"> </w:t>
      </w:r>
      <w:r>
        <w:t>Institute f</w:t>
      </w:r>
      <w:r w:rsidRPr="00EC31D3">
        <w:t xml:space="preserve">or Electric Innovation, Utility-Scale Smart Meter Deployments - September 2014, </w:t>
      </w:r>
      <w:r>
        <w:t>at</w:t>
      </w:r>
      <w:r w:rsidRPr="00EC31D3">
        <w:t xml:space="preserve"> 1.</w:t>
      </w:r>
    </w:p>
  </w:footnote>
  <w:footnote w:id="26">
    <w:p w:rsidR="00562EE7" w:rsidRDefault="00562EE7" w:rsidP="00A42F1E">
      <w:pPr>
        <w:pStyle w:val="FootnoteText"/>
        <w:spacing w:after="120"/>
      </w:pPr>
      <w:r>
        <w:rPr>
          <w:rStyle w:val="FootnoteReference"/>
        </w:rPr>
        <w:footnoteRef/>
      </w:r>
      <w:r>
        <w:t xml:space="preserve"> S</w:t>
      </w:r>
      <w:r w:rsidRPr="00A42F1E">
        <w:t xml:space="preserve">ee the </w:t>
      </w:r>
      <w:r>
        <w:t>proposed Power Purchase Agreement</w:t>
      </w:r>
      <w:r w:rsidRPr="00A42F1E">
        <w:t xml:space="preserve"> riders in </w:t>
      </w:r>
      <w:r>
        <w:t>both the AEP Ohio and FirstEnergy</w:t>
      </w:r>
      <w:r w:rsidRPr="00A42F1E">
        <w:t xml:space="preserve"> settlements in Cases </w:t>
      </w:r>
      <w:r>
        <w:t>14-1693-EL-RDR</w:t>
      </w:r>
      <w:r w:rsidRPr="00A42F1E">
        <w:t xml:space="preserve"> and </w:t>
      </w:r>
      <w:r>
        <w:t>14-1297-EL-SSO</w:t>
      </w:r>
      <w:r w:rsidRPr="00A42F1E">
        <w:t>.</w:t>
      </w:r>
    </w:p>
  </w:footnote>
  <w:footnote w:id="27">
    <w:p w:rsidR="00562EE7" w:rsidRDefault="00562EE7" w:rsidP="00766C2C">
      <w:pPr>
        <w:pStyle w:val="FootnoteText"/>
        <w:spacing w:after="120"/>
      </w:pPr>
      <w:r>
        <w:rPr>
          <w:rStyle w:val="FootnoteReference"/>
        </w:rPr>
        <w:footnoteRef/>
      </w:r>
      <w:r>
        <w:t xml:space="preserve"> </w:t>
      </w:r>
      <w:r w:rsidRPr="00E7181D">
        <w:t>The Commission Order in DP</w:t>
      </w:r>
      <w:r>
        <w:t>&amp;</w:t>
      </w:r>
      <w:r w:rsidRPr="00E7181D">
        <w:t>L Case No. 12-246-EL-SSO stated that the Company should file a smart grid application.</w:t>
      </w:r>
      <w:r>
        <w:t xml:space="preserve"> September 4, </w:t>
      </w:r>
      <w:r w:rsidRPr="0032321F">
        <w:t>2013 Opinion and Order in Case No. 12-426-EL-SSO at 28.  “Additionally, for the Commission to authorize the SSR-E, DP&amp;L must also file an</w:t>
      </w:r>
      <w:r>
        <w:t xml:space="preserve"> </w:t>
      </w:r>
      <w:r w:rsidRPr="0032321F">
        <w:t>application to modernize its electric distribution infrastructure through implementation</w:t>
      </w:r>
      <w:r>
        <w:t xml:space="preserve"> </w:t>
      </w:r>
      <w:r w:rsidRPr="0032321F">
        <w:t>of a smart grid plan and advanced metering infrastructure (AMI).”</w:t>
      </w:r>
      <w:r>
        <w:t xml:space="preserve">  Therefore, there is a likelihood that DP&amp;L customers will have access to smart meters in the future.</w:t>
      </w:r>
    </w:p>
  </w:footnote>
  <w:footnote w:id="28">
    <w:p w:rsidR="00562EE7" w:rsidRPr="008419E0" w:rsidRDefault="00562EE7" w:rsidP="00766C2C">
      <w:pPr>
        <w:spacing w:after="120"/>
        <w:rPr>
          <w:sz w:val="20"/>
          <w:szCs w:val="20"/>
        </w:rPr>
      </w:pPr>
      <w:r w:rsidRPr="008419E0">
        <w:rPr>
          <w:rStyle w:val="FootnoteReference"/>
          <w:sz w:val="20"/>
          <w:szCs w:val="20"/>
        </w:rPr>
        <w:footnoteRef/>
      </w:r>
      <w:r w:rsidRPr="008419E0">
        <w:rPr>
          <w:sz w:val="20"/>
          <w:szCs w:val="20"/>
        </w:rPr>
        <w:t xml:space="preserve"> Aggregate net meteri</w:t>
      </w:r>
      <w:r w:rsidRPr="00E7141F">
        <w:rPr>
          <w:sz w:val="20"/>
          <w:szCs w:val="20"/>
        </w:rPr>
        <w:t xml:space="preserve">ng is when a customer-generator with multiple meters in different locations can aggregate their total usage for net metering purposes. </w:t>
      </w:r>
      <w:r w:rsidRPr="008419E0">
        <w:rPr>
          <w:sz w:val="20"/>
          <w:szCs w:val="20"/>
        </w:rPr>
        <w:t>An example of v</w:t>
      </w:r>
      <w:r w:rsidRPr="00E7141F">
        <w:rPr>
          <w:sz w:val="20"/>
          <w:szCs w:val="20"/>
        </w:rPr>
        <w:t>irtual net metering is when a shopping mall owner with multiple tenants, each with their own meter, or people who rent in a multi-tenant complex are allowed to net</w:t>
      </w:r>
      <w:r w:rsidRPr="008419E0">
        <w:rPr>
          <w:sz w:val="20"/>
          <w:szCs w:val="20"/>
        </w:rPr>
        <w:t xml:space="preserve"> </w:t>
      </w:r>
      <w:r w:rsidRPr="00E7141F">
        <w:rPr>
          <w:sz w:val="20"/>
          <w:szCs w:val="20"/>
        </w:rPr>
        <w:t>meter. Expanding net metering—under headings of ‘virtual’ or ‘aggregate’ net metering</w:t>
      </w:r>
      <w:r w:rsidRPr="008419E0">
        <w:rPr>
          <w:sz w:val="20"/>
          <w:szCs w:val="20"/>
        </w:rPr>
        <w:t xml:space="preserve"> </w:t>
      </w:r>
      <w:r w:rsidRPr="00E7141F">
        <w:rPr>
          <w:sz w:val="20"/>
          <w:szCs w:val="20"/>
        </w:rPr>
        <w:t>or community solar—have been undertaken in several states to share benefits of clean</w:t>
      </w:r>
      <w:r w:rsidRPr="008419E0">
        <w:rPr>
          <w:sz w:val="20"/>
          <w:szCs w:val="20"/>
        </w:rPr>
        <w:t xml:space="preserve"> </w:t>
      </w:r>
      <w:r w:rsidRPr="00E7141F">
        <w:rPr>
          <w:sz w:val="20"/>
          <w:szCs w:val="20"/>
        </w:rPr>
        <w:t xml:space="preserve">energy production with a broader base. </w:t>
      </w:r>
    </w:p>
  </w:footnote>
  <w:footnote w:id="29">
    <w:p w:rsidR="00562EE7" w:rsidRDefault="00562EE7" w:rsidP="004D4FD7">
      <w:pPr>
        <w:pStyle w:val="FootnoteText"/>
        <w:spacing w:after="120"/>
      </w:pPr>
      <w:r>
        <w:rPr>
          <w:rStyle w:val="FootnoteReference"/>
        </w:rPr>
        <w:footnoteRef/>
      </w:r>
      <w:r>
        <w:t xml:space="preserve"> Case No. 12-2050-EL-ORD, IGS at 5-6, ELPC, OEC, NRDC, EDF and Vote Solar at 2 (December 18,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A8" w:rsidRDefault="005E4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A8" w:rsidRDefault="005E4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A8" w:rsidRDefault="005E4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E7" w:rsidRDefault="00562E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E7" w:rsidRDefault="00562E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E7" w:rsidRDefault="00562E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E7" w:rsidRDefault="00562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C25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D00C5A"/>
    <w:lvl w:ilvl="0">
      <w:start w:val="1"/>
      <w:numFmt w:val="decimal"/>
      <w:lvlText w:val="%1."/>
      <w:lvlJc w:val="left"/>
      <w:pPr>
        <w:tabs>
          <w:tab w:val="num" w:pos="1800"/>
        </w:tabs>
        <w:ind w:left="1800" w:hanging="360"/>
      </w:pPr>
    </w:lvl>
  </w:abstractNum>
  <w:abstractNum w:abstractNumId="2">
    <w:nsid w:val="FFFFFF7D"/>
    <w:multiLevelType w:val="singleLevel"/>
    <w:tmpl w:val="B096FF5E"/>
    <w:lvl w:ilvl="0">
      <w:start w:val="1"/>
      <w:numFmt w:val="decimal"/>
      <w:lvlText w:val="%1."/>
      <w:lvlJc w:val="left"/>
      <w:pPr>
        <w:tabs>
          <w:tab w:val="num" w:pos="1440"/>
        </w:tabs>
        <w:ind w:left="1440" w:hanging="360"/>
      </w:pPr>
    </w:lvl>
  </w:abstractNum>
  <w:abstractNum w:abstractNumId="3">
    <w:nsid w:val="FFFFFF7E"/>
    <w:multiLevelType w:val="singleLevel"/>
    <w:tmpl w:val="7DC20450"/>
    <w:lvl w:ilvl="0">
      <w:start w:val="1"/>
      <w:numFmt w:val="decimal"/>
      <w:lvlText w:val="%1."/>
      <w:lvlJc w:val="left"/>
      <w:pPr>
        <w:tabs>
          <w:tab w:val="num" w:pos="1080"/>
        </w:tabs>
        <w:ind w:left="1080" w:hanging="360"/>
      </w:pPr>
    </w:lvl>
  </w:abstractNum>
  <w:abstractNum w:abstractNumId="4">
    <w:nsid w:val="FFFFFF7F"/>
    <w:multiLevelType w:val="singleLevel"/>
    <w:tmpl w:val="D826B078"/>
    <w:lvl w:ilvl="0">
      <w:start w:val="1"/>
      <w:numFmt w:val="decimal"/>
      <w:lvlText w:val="%1."/>
      <w:lvlJc w:val="left"/>
      <w:pPr>
        <w:tabs>
          <w:tab w:val="num" w:pos="720"/>
        </w:tabs>
        <w:ind w:left="720" w:hanging="360"/>
      </w:pPr>
    </w:lvl>
  </w:abstractNum>
  <w:abstractNum w:abstractNumId="5">
    <w:nsid w:val="FFFFFF80"/>
    <w:multiLevelType w:val="singleLevel"/>
    <w:tmpl w:val="513240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F6A45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DF282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C4A89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ECBCA6"/>
    <w:lvl w:ilvl="0">
      <w:start w:val="1"/>
      <w:numFmt w:val="decimal"/>
      <w:lvlText w:val="%1."/>
      <w:lvlJc w:val="left"/>
      <w:pPr>
        <w:tabs>
          <w:tab w:val="num" w:pos="360"/>
        </w:tabs>
        <w:ind w:left="360" w:hanging="360"/>
      </w:pPr>
    </w:lvl>
  </w:abstractNum>
  <w:abstractNum w:abstractNumId="10">
    <w:nsid w:val="FFFFFF89"/>
    <w:multiLevelType w:val="singleLevel"/>
    <w:tmpl w:val="2D8E03B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decimal"/>
      <w:lvlText w:val="(%1)"/>
      <w:lvlJc w:val="left"/>
      <w:pPr>
        <w:tabs>
          <w:tab w:val="num" w:pos="1440"/>
        </w:tabs>
        <w:ind w:left="1440" w:hanging="720"/>
      </w:pPr>
    </w:lvl>
  </w:abstractNum>
  <w:abstractNum w:abstractNumId="12">
    <w:nsid w:val="0187550B"/>
    <w:multiLevelType w:val="hybridMultilevel"/>
    <w:tmpl w:val="90CAF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23176"/>
    <w:multiLevelType w:val="hybridMultilevel"/>
    <w:tmpl w:val="52EA6F58"/>
    <w:lvl w:ilvl="0" w:tplc="FBD4A91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C90184"/>
    <w:multiLevelType w:val="hybridMultilevel"/>
    <w:tmpl w:val="11EE37E6"/>
    <w:lvl w:ilvl="0" w:tplc="4544CC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2C0DAA"/>
    <w:multiLevelType w:val="hybridMultilevel"/>
    <w:tmpl w:val="F8103552"/>
    <w:lvl w:ilvl="0" w:tplc="FFFFFFFF">
      <w:start w:val="1"/>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1A4F0B"/>
    <w:multiLevelType w:val="hybridMultilevel"/>
    <w:tmpl w:val="28FC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D30E4"/>
    <w:multiLevelType w:val="hybridMultilevel"/>
    <w:tmpl w:val="8CA6289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20AA5886"/>
    <w:multiLevelType w:val="hybridMultilevel"/>
    <w:tmpl w:val="9852FA08"/>
    <w:lvl w:ilvl="0" w:tplc="ABA0C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C11A77"/>
    <w:multiLevelType w:val="hybridMultilevel"/>
    <w:tmpl w:val="809E9AC6"/>
    <w:lvl w:ilvl="0" w:tplc="276CB12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EE43F2"/>
    <w:multiLevelType w:val="hybridMultilevel"/>
    <w:tmpl w:val="4D1A3C0E"/>
    <w:lvl w:ilvl="0" w:tplc="FFFFFFFF">
      <w:start w:val="1"/>
      <w:numFmt w:val="upperLetter"/>
      <w:lvlText w:val="(%1)"/>
      <w:lvlJc w:val="left"/>
      <w:pPr>
        <w:tabs>
          <w:tab w:val="num" w:pos="1800"/>
        </w:tabs>
        <w:ind w:left="1800" w:hanging="720"/>
      </w:pPr>
      <w:rPr>
        <w:rFonts w:hint="default"/>
      </w:rPr>
    </w:lvl>
    <w:lvl w:ilvl="1" w:tplc="FFFFFFFF">
      <w:start w:val="1"/>
      <w:numFmt w:val="lowerLetter"/>
      <w:lvlText w:val="%2."/>
      <w:lvlJc w:val="left"/>
      <w:pPr>
        <w:tabs>
          <w:tab w:val="num" w:pos="2160"/>
        </w:tabs>
        <w:ind w:left="2160" w:hanging="360"/>
      </w:pPr>
    </w:lvl>
    <w:lvl w:ilvl="2" w:tplc="FFFFFFFF">
      <w:start w:val="1"/>
      <w:numFmt w:val="lowerLetter"/>
      <w:lvlText w:val="%3."/>
      <w:lvlJc w:val="left"/>
      <w:pPr>
        <w:tabs>
          <w:tab w:val="num" w:pos="2160"/>
        </w:tabs>
        <w:ind w:left="2160" w:hanging="360"/>
      </w:pPr>
      <w:rPr>
        <w:rFonts w:hint="default"/>
      </w:rPr>
    </w:lvl>
    <w:lvl w:ilvl="3" w:tplc="FFFFFFFF">
      <w:start w:val="1"/>
      <w:numFmt w:val="decimal"/>
      <w:lvlText w:val="(%4)"/>
      <w:lvlJc w:val="left"/>
      <w:pPr>
        <w:tabs>
          <w:tab w:val="num" w:pos="3648"/>
        </w:tabs>
        <w:ind w:left="3648" w:hanging="408"/>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331E5452"/>
    <w:multiLevelType w:val="hybridMultilevel"/>
    <w:tmpl w:val="7DAA7BB2"/>
    <w:lvl w:ilvl="0" w:tplc="FFFFFFFF">
      <w:start w:val="2"/>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B526AAF"/>
    <w:multiLevelType w:val="hybridMultilevel"/>
    <w:tmpl w:val="34F4D3C0"/>
    <w:lvl w:ilvl="0" w:tplc="EE6E7AFA">
      <w:start w:val="2"/>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FC0CCD"/>
    <w:multiLevelType w:val="hybridMultilevel"/>
    <w:tmpl w:val="7C623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DE06D8"/>
    <w:multiLevelType w:val="hybridMultilevel"/>
    <w:tmpl w:val="86526B7A"/>
    <w:lvl w:ilvl="0" w:tplc="95A8E54C">
      <w:start w:val="1"/>
      <w:numFmt w:val="upperLetter"/>
      <w:lvlText w:val="(%1)"/>
      <w:lvlJc w:val="left"/>
      <w:pPr>
        <w:tabs>
          <w:tab w:val="num" w:pos="1080"/>
        </w:tabs>
        <w:ind w:left="1080" w:hanging="720"/>
      </w:pPr>
      <w:rPr>
        <w:rFonts w:hint="default"/>
      </w:rPr>
    </w:lvl>
    <w:lvl w:ilvl="1" w:tplc="BE6E110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0A5B44"/>
    <w:multiLevelType w:val="hybridMultilevel"/>
    <w:tmpl w:val="67C4400C"/>
    <w:lvl w:ilvl="0" w:tplc="EC1C7B9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3873676"/>
    <w:multiLevelType w:val="hybridMultilevel"/>
    <w:tmpl w:val="FDE00A4C"/>
    <w:lvl w:ilvl="0" w:tplc="59B04A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6C3557"/>
    <w:multiLevelType w:val="hybridMultilevel"/>
    <w:tmpl w:val="1AAECA7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8876F0F"/>
    <w:multiLevelType w:val="hybridMultilevel"/>
    <w:tmpl w:val="738E6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E2FF4"/>
    <w:multiLevelType w:val="hybridMultilevel"/>
    <w:tmpl w:val="18B07E86"/>
    <w:lvl w:ilvl="0" w:tplc="5C00037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53706"/>
    <w:multiLevelType w:val="hybridMultilevel"/>
    <w:tmpl w:val="7EB2075C"/>
    <w:lvl w:ilvl="0" w:tplc="FFFFFFFF">
      <w:start w:val="1"/>
      <w:numFmt w:val="lowerLetter"/>
      <w:pStyle w:val="pFul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1">
    <w:nsid w:val="6EA578AC"/>
    <w:multiLevelType w:val="hybridMultilevel"/>
    <w:tmpl w:val="25161112"/>
    <w:lvl w:ilvl="0" w:tplc="FFFFFFFF">
      <w:start w:val="2"/>
      <w:numFmt w:val="upperRoman"/>
      <w:pStyle w:val="finding-subparagraph"/>
      <w:lvlText w:val="%1."/>
      <w:lvlJc w:val="left"/>
      <w:pPr>
        <w:tabs>
          <w:tab w:val="num" w:pos="1080"/>
        </w:tabs>
        <w:ind w:left="1080" w:hanging="720"/>
      </w:pPr>
      <w:rPr>
        <w:rFonts w:hint="default"/>
      </w:rPr>
    </w:lvl>
    <w:lvl w:ilvl="1" w:tplc="FFFFFFFF">
      <w:start w:val="1"/>
      <w:numFmt w:val="bullet"/>
      <w:lvlText w:val=""/>
      <w:lvlJc w:val="left"/>
      <w:pPr>
        <w:tabs>
          <w:tab w:val="num" w:pos="1080"/>
        </w:tabs>
        <w:ind w:left="1224" w:hanging="144"/>
      </w:pPr>
      <w:rPr>
        <w:rFonts w:ascii="Symbol" w:hAnsi="Symbol" w:hint="default"/>
      </w:rPr>
    </w:lvl>
    <w:lvl w:ilvl="2" w:tplc="FFFFFFFF">
      <w:start w:val="6"/>
      <w:numFmt w:val="decimal"/>
      <w:lvlText w:val="(%3)"/>
      <w:lvlJc w:val="left"/>
      <w:pPr>
        <w:tabs>
          <w:tab w:val="num" w:pos="2580"/>
        </w:tabs>
        <w:ind w:left="2580" w:hanging="60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EEC13AD"/>
    <w:multiLevelType w:val="hybridMultilevel"/>
    <w:tmpl w:val="445266B8"/>
    <w:lvl w:ilvl="0" w:tplc="1A8E174E">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026EEA"/>
    <w:multiLevelType w:val="hybridMultilevel"/>
    <w:tmpl w:val="70C6CCD6"/>
    <w:lvl w:ilvl="0" w:tplc="FFFFFFFF">
      <w:start w:val="1"/>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0"/>
  </w:num>
  <w:num w:numId="4">
    <w:abstractNumId w:val="27"/>
  </w:num>
  <w:num w:numId="5">
    <w:abstractNumId w:val="17"/>
  </w:num>
  <w:num w:numId="6">
    <w:abstractNumId w:val="15"/>
  </w:num>
  <w:num w:numId="7">
    <w:abstractNumId w:val="33"/>
  </w:num>
  <w:num w:numId="8">
    <w:abstractNumId w:val="21"/>
  </w:num>
  <w:num w:numId="9">
    <w:abstractNumId w:val="20"/>
  </w:num>
  <w:num w:numId="10">
    <w:abstractNumId w:val="11"/>
  </w:num>
  <w:num w:numId="11">
    <w:abstractNumId w:val="26"/>
  </w:num>
  <w:num w:numId="12">
    <w:abstractNumId w:val="19"/>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8"/>
  </w:num>
  <w:num w:numId="25">
    <w:abstractNumId w:val="13"/>
  </w:num>
  <w:num w:numId="26">
    <w:abstractNumId w:val="18"/>
  </w:num>
  <w:num w:numId="27">
    <w:abstractNumId w:val="14"/>
  </w:num>
  <w:num w:numId="28">
    <w:abstractNumId w:val="0"/>
  </w:num>
  <w:num w:numId="29">
    <w:abstractNumId w:val="32"/>
  </w:num>
  <w:num w:numId="30">
    <w:abstractNumId w:val="25"/>
  </w:num>
  <w:num w:numId="31">
    <w:abstractNumId w:val="16"/>
  </w:num>
  <w:num w:numId="32">
    <w:abstractNumId w:val="23"/>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09"/>
    <w:rsid w:val="00022124"/>
    <w:rsid w:val="00056EDC"/>
    <w:rsid w:val="000B1208"/>
    <w:rsid w:val="000D2FBE"/>
    <w:rsid w:val="000E6C20"/>
    <w:rsid w:val="000E7625"/>
    <w:rsid w:val="001321DF"/>
    <w:rsid w:val="00143BD8"/>
    <w:rsid w:val="00163CDA"/>
    <w:rsid w:val="0023313A"/>
    <w:rsid w:val="0023723E"/>
    <w:rsid w:val="0028108E"/>
    <w:rsid w:val="002A5497"/>
    <w:rsid w:val="002F63AD"/>
    <w:rsid w:val="0032723A"/>
    <w:rsid w:val="00335F10"/>
    <w:rsid w:val="003861B5"/>
    <w:rsid w:val="00397445"/>
    <w:rsid w:val="003F382A"/>
    <w:rsid w:val="0040284B"/>
    <w:rsid w:val="00444A47"/>
    <w:rsid w:val="00456653"/>
    <w:rsid w:val="00491556"/>
    <w:rsid w:val="004C3EB3"/>
    <w:rsid w:val="004D138C"/>
    <w:rsid w:val="004D4FD7"/>
    <w:rsid w:val="00562504"/>
    <w:rsid w:val="00562EE7"/>
    <w:rsid w:val="0056509C"/>
    <w:rsid w:val="005763D6"/>
    <w:rsid w:val="005D51A2"/>
    <w:rsid w:val="005E40A8"/>
    <w:rsid w:val="005F437D"/>
    <w:rsid w:val="006865F3"/>
    <w:rsid w:val="006A51B6"/>
    <w:rsid w:val="006A7214"/>
    <w:rsid w:val="0072062F"/>
    <w:rsid w:val="00750D90"/>
    <w:rsid w:val="00766C2C"/>
    <w:rsid w:val="007C4931"/>
    <w:rsid w:val="007F214D"/>
    <w:rsid w:val="00802926"/>
    <w:rsid w:val="00805838"/>
    <w:rsid w:val="00807404"/>
    <w:rsid w:val="00842085"/>
    <w:rsid w:val="00843209"/>
    <w:rsid w:val="00875F96"/>
    <w:rsid w:val="008A7E00"/>
    <w:rsid w:val="008B1667"/>
    <w:rsid w:val="008D1EF6"/>
    <w:rsid w:val="008E0CAB"/>
    <w:rsid w:val="008E0D31"/>
    <w:rsid w:val="0092660F"/>
    <w:rsid w:val="00935AC3"/>
    <w:rsid w:val="009900D1"/>
    <w:rsid w:val="00A41AB5"/>
    <w:rsid w:val="00A42F1E"/>
    <w:rsid w:val="00A829B9"/>
    <w:rsid w:val="00AC09AC"/>
    <w:rsid w:val="00AE5BCE"/>
    <w:rsid w:val="00B05652"/>
    <w:rsid w:val="00B340D6"/>
    <w:rsid w:val="00B37ED6"/>
    <w:rsid w:val="00B66E04"/>
    <w:rsid w:val="00BC36B6"/>
    <w:rsid w:val="00C140CD"/>
    <w:rsid w:val="00C1795F"/>
    <w:rsid w:val="00CD5D98"/>
    <w:rsid w:val="00D20F9A"/>
    <w:rsid w:val="00D4584C"/>
    <w:rsid w:val="00D96E4B"/>
    <w:rsid w:val="00DE34F9"/>
    <w:rsid w:val="00E41C0E"/>
    <w:rsid w:val="00E6716C"/>
    <w:rsid w:val="00E7181D"/>
    <w:rsid w:val="00E80EF9"/>
    <w:rsid w:val="00EC3B24"/>
    <w:rsid w:val="00F30A86"/>
    <w:rsid w:val="00F44CA7"/>
    <w:rsid w:val="00F61890"/>
    <w:rsid w:val="00F6709E"/>
    <w:rsid w:val="00F727A8"/>
    <w:rsid w:val="00F9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935AC3"/>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qFormat/>
    <w:rsid w:val="00935AC3"/>
    <w:pPr>
      <w:keepNext/>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qFormat/>
    <w:rsid w:val="00935AC3"/>
    <w:pPr>
      <w:keepNext/>
      <w:spacing w:after="240"/>
      <w:ind w:left="2160" w:hanging="720"/>
      <w:outlineLvl w:val="2"/>
    </w:pPr>
    <w:rPr>
      <w:rFonts w:ascii="Times New Roman Bold" w:hAnsi="Times New Roman Bold"/>
      <w:b/>
      <w:bCs/>
    </w:rPr>
  </w:style>
  <w:style w:type="paragraph" w:styleId="Heading4">
    <w:name w:val="heading 4"/>
    <w:basedOn w:val="Normal"/>
    <w:next w:val="Normal"/>
    <w:qFormat/>
    <w:pPr>
      <w:keepNext/>
      <w:spacing w:after="240"/>
      <w:ind w:left="2160" w:hanging="2160"/>
      <w:outlineLvl w:val="3"/>
    </w:pPr>
    <w:rPr>
      <w:rFonts w:ascii="Times New Roman Bold" w:hAnsi="Times New Roman Bold"/>
      <w:b/>
    </w:rPr>
  </w:style>
  <w:style w:type="paragraph" w:styleId="Heading5">
    <w:name w:val="heading 5"/>
    <w:basedOn w:val="Normal"/>
    <w:next w:val="Normal"/>
    <w:qFormat/>
    <w:pPr>
      <w:spacing w:after="240"/>
      <w:ind w:left="3600" w:hanging="720"/>
      <w:outlineLvl w:val="4"/>
    </w:pPr>
    <w:rPr>
      <w:rFonts w:ascii="Times New Roman Bold" w:hAnsi="Times New Roman Bold"/>
      <w:b/>
      <w:bCs/>
      <w:iCs/>
      <w:sz w:val="26"/>
      <w:szCs w:val="26"/>
    </w:rPr>
  </w:style>
  <w:style w:type="paragraph" w:styleId="Heading6">
    <w:name w:val="heading 6"/>
    <w:basedOn w:val="Heading5"/>
    <w:next w:val="Normal"/>
    <w:qFormat/>
    <w:pPr>
      <w:keepNext/>
      <w:widowControl w:val="0"/>
      <w:tabs>
        <w:tab w:val="left" w:pos="0"/>
        <w:tab w:val="num" w:pos="3960"/>
      </w:tabs>
      <w:suppressAutoHyphens/>
      <w:ind w:firstLine="0"/>
      <w:jc w:val="both"/>
      <w:outlineLvl w:val="5"/>
    </w:pPr>
    <w:rPr>
      <w:rFonts w:ascii="Book Antiqua" w:hAnsi="Book Antiqua"/>
      <w:b w:val="0"/>
      <w:bCs w:val="0"/>
      <w:iCs w:val="0"/>
      <w:sz w:val="24"/>
      <w:szCs w:val="24"/>
      <w:u w:val="single"/>
    </w:rPr>
  </w:style>
  <w:style w:type="paragraph" w:styleId="Heading7">
    <w:name w:val="heading 7"/>
    <w:basedOn w:val="Heading6"/>
    <w:next w:val="Normal"/>
    <w:qFormat/>
    <w:pPr>
      <w:tabs>
        <w:tab w:val="clear" w:pos="3960"/>
        <w:tab w:val="num" w:pos="4680"/>
      </w:tabs>
      <w:ind w:left="4320"/>
      <w:outlineLvl w:val="6"/>
    </w:pPr>
  </w:style>
  <w:style w:type="paragraph" w:styleId="Heading8">
    <w:name w:val="heading 8"/>
    <w:basedOn w:val="Heading7"/>
    <w:next w:val="Normal"/>
    <w:qFormat/>
    <w:pPr>
      <w:tabs>
        <w:tab w:val="clear" w:pos="4680"/>
        <w:tab w:val="num" w:pos="5400"/>
      </w:tabs>
      <w:ind w:left="5040"/>
      <w:outlineLvl w:val="7"/>
    </w:pPr>
  </w:style>
  <w:style w:type="paragraph" w:styleId="Heading9">
    <w:name w:val="heading 9"/>
    <w:basedOn w:val="Heading8"/>
    <w:next w:val="Normal"/>
    <w:qFormat/>
    <w:pPr>
      <w:tabs>
        <w:tab w:val="clear" w:pos="5400"/>
        <w:tab w:val="num" w:pos="612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
    <w:uiPriority w:val="99"/>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Pr>
      <w:sz w:val="20"/>
      <w:szCs w:val="20"/>
    </w:rPr>
  </w:style>
  <w:style w:type="character" w:customStyle="1" w:styleId="FootnoteTextChar1">
    <w:name w:val="Footnote Text Char1"/>
    <w:aliases w:val="Footnote Text Char Char,Footnote Text Char4 Char Char,Footnote Text Char Char4 Char Char,Footnote Text Char4 Char1 Char Char Char,Footnote Text Char Char4 Char1 Char Char Char,Footnote Text Char5 Char1 Char Char Char Char Char Char"/>
    <w:link w:val="FootnoteText"/>
    <w:semiHidden/>
    <w:rPr>
      <w:lang w:val="en-US" w:eastAsia="en-US" w:bidi="ar-SA"/>
    </w:rPr>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lang w:val="en-US" w:eastAsia="en-US" w:bidi="ar-SA"/>
    </w:rPr>
  </w:style>
  <w:style w:type="character" w:customStyle="1" w:styleId="TagStyle">
    <w:name w:val="TagStyle"/>
    <w:rPr>
      <w:rFonts w:ascii="Times New Roman" w:hAnsi="Times New Roman"/>
      <w:color w:val="FF00FF"/>
      <w:sz w:val="24"/>
    </w:rPr>
  </w:style>
  <w:style w:type="character" w:customStyle="1" w:styleId="Bold">
    <w:name w:val="Bold"/>
    <w:rPr>
      <w:b/>
    </w:rPr>
  </w:style>
  <w:style w:type="character" w:customStyle="1" w:styleId="cNewTag">
    <w:name w:val="cNewTag"/>
    <w:rPr>
      <w:rFonts w:ascii="Times New Roman" w:hAnsi="Times New Roman"/>
      <w:color w:val="3366FF"/>
      <w:sz w:val="24"/>
      <w:u w:val="single"/>
    </w:rPr>
  </w:style>
  <w:style w:type="paragraph" w:customStyle="1" w:styleId="pRuleNumber">
    <w:name w:val="pRuleNumber"/>
    <w:basedOn w:val="Normal"/>
    <w:pPr>
      <w:ind w:left="1728" w:hanging="1728"/>
    </w:pPr>
    <w:rPr>
      <w:szCs w:val="20"/>
    </w:rPr>
  </w:style>
  <w:style w:type="character" w:customStyle="1" w:styleId="cTaglineNew">
    <w:name w:val="cTaglineNew"/>
    <w:rPr>
      <w:b/>
      <w:color w:val="3366FF"/>
      <w:u w:val="single"/>
    </w:rPr>
  </w:style>
  <w:style w:type="character" w:customStyle="1" w:styleId="S4Default">
    <w:name w:val="S4Default"/>
    <w:rPr>
      <w:rFonts w:ascii="Times New Roman" w:hAnsi="Times New Roman"/>
      <w:sz w:val="24"/>
    </w:rPr>
  </w:style>
  <w:style w:type="paragraph" w:customStyle="1" w:styleId="pHang1New">
    <w:name w:val="pHang1New"/>
    <w:basedOn w:val="Normal"/>
    <w:pPr>
      <w:ind w:left="432" w:hanging="432"/>
      <w:jc w:val="both"/>
      <w:outlineLvl w:val="0"/>
    </w:pPr>
    <w:rPr>
      <w:color w:val="3366FF"/>
      <w:szCs w:val="20"/>
      <w:u w:val="single"/>
    </w:rPr>
  </w:style>
  <w:style w:type="character" w:customStyle="1" w:styleId="ShowTagStyle">
    <w:name w:val="ShowTagStyle"/>
    <w:rPr>
      <w:rFonts w:ascii="Times New Roman" w:hAnsi="Times New Roman"/>
      <w:vanish/>
      <w:color w:val="FF00FF"/>
      <w:sz w:val="24"/>
    </w:rPr>
  </w:style>
  <w:style w:type="paragraph" w:customStyle="1" w:styleId="pTab1New">
    <w:name w:val="pTab1New"/>
    <w:basedOn w:val="Normal"/>
    <w:pPr>
      <w:ind w:left="432"/>
      <w:jc w:val="both"/>
      <w:outlineLvl w:val="0"/>
    </w:pPr>
    <w:rPr>
      <w:color w:val="3366FF"/>
      <w:szCs w:val="20"/>
      <w:u w:val="single"/>
    </w:rPr>
  </w:style>
  <w:style w:type="character" w:customStyle="1" w:styleId="cEntity">
    <w:name w:val="cEntity"/>
    <w:rPr>
      <w:rFonts w:ascii="Times New Roman" w:hAnsi="Times New Roman"/>
      <w:color w:val="FF6600"/>
      <w:sz w:val="24"/>
    </w:rPr>
  </w:style>
  <w:style w:type="paragraph" w:customStyle="1" w:styleId="pHang2New">
    <w:name w:val="pHang2New"/>
    <w:basedOn w:val="Normal"/>
    <w:pPr>
      <w:ind w:left="864" w:hanging="432"/>
      <w:jc w:val="both"/>
      <w:outlineLvl w:val="1"/>
    </w:pPr>
    <w:rPr>
      <w:color w:val="3366FF"/>
      <w:szCs w:val="20"/>
      <w:u w:val="single"/>
    </w:rPr>
  </w:style>
  <w:style w:type="paragraph" w:customStyle="1" w:styleId="pHang3New">
    <w:name w:val="pHang3New"/>
    <w:basedOn w:val="Normal"/>
    <w:pPr>
      <w:ind w:left="1296" w:hanging="432"/>
      <w:jc w:val="both"/>
      <w:outlineLvl w:val="2"/>
    </w:pPr>
    <w:rPr>
      <w:color w:val="3366FF"/>
      <w:szCs w:val="2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qFormat/>
    <w:pPr>
      <w:tabs>
        <w:tab w:val="left" w:pos="720"/>
        <w:tab w:val="left" w:pos="1440"/>
        <w:tab w:val="decimal" w:leader="dot" w:pos="8640"/>
      </w:tabs>
      <w:spacing w:after="240"/>
      <w:ind w:left="720" w:hanging="720"/>
    </w:pPr>
    <w:rPr>
      <w:caps/>
    </w:rPr>
  </w:style>
  <w:style w:type="paragraph" w:customStyle="1" w:styleId="Style1">
    <w:name w:val="Style1"/>
    <w:basedOn w:val="Heading5"/>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pPr>
      <w:tabs>
        <w:tab w:val="left" w:pos="0"/>
        <w:tab w:val="left" w:pos="720"/>
      </w:tabs>
    </w:pPr>
    <w:rPr>
      <w:bCs/>
    </w:rPr>
  </w:style>
  <w:style w:type="paragraph" w:styleId="TOC3">
    <w:name w:val="toc 3"/>
    <w:basedOn w:val="Normal"/>
    <w:next w:val="Normal"/>
    <w:autoRedefine/>
    <w:semiHidden/>
    <w:pPr>
      <w:tabs>
        <w:tab w:val="left" w:pos="1440"/>
        <w:tab w:val="left" w:pos="2160"/>
        <w:tab w:val="decimal" w:leader="dot" w:pos="8640"/>
      </w:tabs>
      <w:spacing w:after="240"/>
      <w:ind w:left="2160" w:hanging="720"/>
    </w:pPr>
  </w:style>
  <w:style w:type="paragraph" w:styleId="TOC5">
    <w:name w:val="toc 5"/>
    <w:basedOn w:val="Normal"/>
    <w:next w:val="Normal"/>
    <w:autoRedefine/>
    <w:semiHidden/>
    <w:pPr>
      <w:spacing w:after="240"/>
      <w:ind w:left="3600" w:hanging="720"/>
    </w:pPr>
    <w:rPr>
      <w:szCs w:val="20"/>
    </w:rPr>
  </w:style>
  <w:style w:type="paragraph" w:customStyle="1" w:styleId="StyleHeading1NounderlineLeft3">
    <w:name w:val="Style Heading 1 + No underline Left:  3&quot;"/>
    <w:basedOn w:val="Heading1"/>
    <w:rPr>
      <w:bCs/>
      <w:szCs w:val="20"/>
    </w:rPr>
  </w:style>
  <w:style w:type="paragraph" w:customStyle="1" w:styleId="StyleHeading5TimesNewRoman12pt">
    <w:name w:val="Style Heading 5 + Times New Roman 12 pt"/>
    <w:basedOn w:val="Heading5"/>
    <w:rPr>
      <w:iCs w:val="0"/>
      <w:sz w:val="24"/>
      <w:szCs w:val="24"/>
    </w:rPr>
  </w:style>
  <w:style w:type="character" w:customStyle="1" w:styleId="Style">
    <w:name w:val="Style"/>
    <w:rPr>
      <w:rFonts w:ascii="Times New Roman" w:hAnsi="Times New Roman"/>
      <w:dstrike w:val="0"/>
      <w:spacing w:val="-1"/>
      <w:sz w:val="20"/>
      <w:szCs w:val="20"/>
      <w:vertAlign w:val="baseline"/>
    </w:r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semiHidden/>
    <w:rPr>
      <w:b/>
      <w:bCs/>
    </w:rPr>
  </w:style>
  <w:style w:type="paragraph" w:customStyle="1" w:styleId="ColorfulList-Accent11">
    <w:name w:val="Colorful List - Accent 11"/>
    <w:basedOn w:val="Normal"/>
    <w:qFormat/>
    <w:pPr>
      <w:ind w:left="720"/>
      <w:contextualSpacing/>
    </w:pPr>
  </w:style>
  <w:style w:type="paragraph" w:customStyle="1" w:styleId="Style10">
    <w:name w:val="Style 1"/>
    <w:pPr>
      <w:widowControl w:val="0"/>
      <w:autoSpaceDE w:val="0"/>
      <w:autoSpaceDN w:val="0"/>
      <w:adjustRightInd w:val="0"/>
    </w:pPr>
  </w:style>
  <w:style w:type="paragraph" w:customStyle="1" w:styleId="Style2">
    <w:name w:val="Style 2"/>
    <w:pPr>
      <w:widowControl w:val="0"/>
      <w:autoSpaceDE w:val="0"/>
      <w:autoSpaceDN w:val="0"/>
      <w:ind w:firstLine="216"/>
      <w:jc w:val="both"/>
    </w:pPr>
    <w:rPr>
      <w:rFonts w:ascii="Tahoma" w:hAnsi="Tahoma" w:cs="Tahoma"/>
      <w:sz w:val="16"/>
      <w:szCs w:val="16"/>
    </w:rPr>
  </w:style>
  <w:style w:type="paragraph" w:customStyle="1" w:styleId="Style4">
    <w:name w:val="Style 4"/>
    <w:pPr>
      <w:widowControl w:val="0"/>
      <w:autoSpaceDE w:val="0"/>
      <w:autoSpaceDN w:val="0"/>
      <w:spacing w:before="36"/>
      <w:ind w:firstLine="216"/>
      <w:jc w:val="both"/>
    </w:pPr>
    <w:rPr>
      <w:rFonts w:ascii="Arial" w:hAnsi="Arial" w:cs="Arial"/>
      <w:sz w:val="16"/>
      <w:szCs w:val="16"/>
    </w:rPr>
  </w:style>
  <w:style w:type="character" w:customStyle="1" w:styleId="CharacterStyle1">
    <w:name w:val="Character Style 1"/>
    <w:rPr>
      <w:rFonts w:ascii="Tahoma" w:hAnsi="Tahoma" w:cs="Tahoma"/>
      <w:sz w:val="16"/>
      <w:szCs w:val="16"/>
    </w:rPr>
  </w:style>
  <w:style w:type="character" w:customStyle="1" w:styleId="CharacterStyle2">
    <w:name w:val="Character Style 2"/>
    <w:rPr>
      <w:rFonts w:ascii="Arial" w:hAnsi="Arial" w:cs="Arial"/>
      <w:sz w:val="16"/>
      <w:szCs w:val="16"/>
    </w:rPr>
  </w:style>
  <w:style w:type="paragraph" w:styleId="BodyText">
    <w:name w:val="Body Text"/>
    <w:basedOn w:val="Normal"/>
    <w:link w:val="BodyTextChar"/>
    <w:pPr>
      <w:spacing w:after="220" w:line="180" w:lineRule="atLeast"/>
      <w:jc w:val="both"/>
    </w:pPr>
    <w:rPr>
      <w:rFonts w:ascii="Arial" w:hAnsi="Arial"/>
      <w:spacing w:val="-5"/>
      <w:sz w:val="20"/>
      <w:szCs w:val="20"/>
      <w:lang w:val="x-none" w:eastAsia="x-none"/>
    </w:rPr>
  </w:style>
  <w:style w:type="paragraph" w:styleId="NormalWeb">
    <w:name w:val="Normal (Web)"/>
    <w:basedOn w:val="Normal"/>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ALTS FOOTNOTE Char,fn Char"/>
    <w:locked/>
    <w:rPr>
      <w:rFonts w:ascii="Book Antiqua" w:hAnsi="Book Antiqua"/>
      <w:lang w:val="en-US" w:eastAsia="en-US" w:bidi="ar-SA"/>
    </w:rPr>
  </w:style>
  <w:style w:type="character" w:customStyle="1" w:styleId="boldsmallcaps">
    <w:name w:val="bold/small caps"/>
    <w:rPr>
      <w:b/>
      <w:smallCaps/>
    </w:rPr>
  </w:style>
  <w:style w:type="character" w:customStyle="1" w:styleId="boldstrikethru">
    <w:name w:val="bold/strikethru"/>
    <w:rPr>
      <w:b/>
      <w:strike/>
    </w:rPr>
  </w:style>
  <w:style w:type="paragraph" w:customStyle="1" w:styleId="centeredcaps">
    <w:name w:val="centered caps"/>
    <w:basedOn w:val="Normal"/>
    <w:pPr>
      <w:jc w:val="center"/>
    </w:pPr>
    <w:rPr>
      <w:rFonts w:ascii="Book Antiqua" w:hAnsi="Book Antiqua"/>
      <w:caps/>
    </w:rPr>
  </w:style>
  <w:style w:type="paragraph" w:customStyle="1" w:styleId="findings">
    <w:name w:val="findings"/>
    <w:basedOn w:val="Normal"/>
    <w:pPr>
      <w:ind w:left="1440" w:right="1152" w:hanging="720"/>
      <w:jc w:val="both"/>
    </w:pPr>
    <w:rPr>
      <w:rFonts w:ascii="Book Antiqua" w:hAnsi="Book Antiqua"/>
      <w:szCs w:val="20"/>
    </w:rPr>
  </w:style>
  <w:style w:type="paragraph" w:customStyle="1" w:styleId="appearances">
    <w:name w:val="appearances"/>
    <w:basedOn w:val="Heading1"/>
    <w:pPr>
      <w:ind w:left="0" w:firstLine="0"/>
    </w:pPr>
    <w:rPr>
      <w:rFonts w:ascii="Book Antiqua" w:hAnsi="Book Antiqua"/>
      <w:b w:val="0"/>
      <w:u w:val="single"/>
    </w:rPr>
  </w:style>
  <w:style w:type="paragraph" w:customStyle="1" w:styleId="furtherindent">
    <w:name w:val="further indent"/>
    <w:basedOn w:val="findings"/>
    <w:pPr>
      <w:tabs>
        <w:tab w:val="num" w:pos="1440"/>
      </w:tabs>
      <w:spacing w:after="240"/>
      <w:ind w:left="2160" w:right="2160"/>
    </w:pPr>
    <w:rPr>
      <w:szCs w:val="24"/>
    </w:rPr>
  </w:style>
  <w:style w:type="paragraph" w:customStyle="1" w:styleId="noindent">
    <w:name w:val="no indent"/>
    <w:basedOn w:val="Normal"/>
    <w:pPr>
      <w:jc w:val="both"/>
    </w:pPr>
    <w:rPr>
      <w:rFonts w:ascii="Book Antiqua" w:hAnsi="Book Antiqua"/>
    </w:rPr>
  </w:style>
  <w:style w:type="paragraph" w:customStyle="1" w:styleId="section">
    <w:name w:val="section"/>
    <w:basedOn w:val="Normal"/>
    <w:next w:val="Normal"/>
    <w:rPr>
      <w:rFonts w:ascii="Book Antiqua" w:hAnsi="Book Antiqua"/>
      <w:caps/>
      <w:u w:val="single"/>
    </w:rPr>
  </w:style>
  <w:style w:type="paragraph" w:customStyle="1" w:styleId="text">
    <w:name w:val="text"/>
    <w:basedOn w:val="Normal"/>
    <w:pPr>
      <w:ind w:firstLine="720"/>
      <w:jc w:val="both"/>
    </w:pPr>
    <w:rPr>
      <w:rFonts w:ascii="Book Antiqua" w:hAnsi="Book Antiqua"/>
    </w:rPr>
  </w:style>
  <w:style w:type="paragraph" w:customStyle="1" w:styleId="Title1">
    <w:name w:val="Title1"/>
    <w:basedOn w:val="Normal"/>
    <w:next w:val="text"/>
    <w:pPr>
      <w:keepNext/>
      <w:jc w:val="center"/>
    </w:pPr>
    <w:rPr>
      <w:rFonts w:ascii="Book Antiqua" w:hAnsi="Book Antiqua"/>
      <w:caps/>
      <w:u w:val="single"/>
    </w:rPr>
  </w:style>
  <w:style w:type="paragraph" w:customStyle="1" w:styleId="findings-no">
    <w:name w:val="findings-no#"/>
    <w:basedOn w:val="findings"/>
    <w:pPr>
      <w:ind w:left="0" w:firstLine="0"/>
    </w:pPr>
  </w:style>
  <w:style w:type="paragraph" w:customStyle="1" w:styleId="notTOCSectionHeader">
    <w:name w:val="not TOC Section Header"/>
    <w:basedOn w:val="Normal"/>
    <w:pPr>
      <w:spacing w:after="240"/>
      <w:jc w:val="center"/>
      <w:outlineLvl w:val="4"/>
    </w:pPr>
    <w:rPr>
      <w:rFonts w:ascii="Book Antiqua" w:hAnsi="Book Antiqua"/>
      <w:u w:val="single"/>
    </w:rPr>
  </w:style>
  <w:style w:type="paragraph" w:customStyle="1" w:styleId="finding-subparagraph">
    <w:name w:val="finding - subparagraph"/>
    <w:basedOn w:val="findings"/>
    <w:pPr>
      <w:numPr>
        <w:numId w:val="2"/>
      </w:numPr>
      <w:ind w:right="2160"/>
    </w:pPr>
  </w:style>
  <w:style w:type="paragraph" w:customStyle="1" w:styleId="finding-subparagraphno">
    <w:name w:val="finding - subparagraph no#"/>
    <w:basedOn w:val="finding-subparagraph"/>
    <w:pPr>
      <w:numPr>
        <w:numId w:val="0"/>
      </w:numPr>
      <w:ind w:left="2160"/>
    </w:pPr>
  </w:style>
  <w:style w:type="paragraph" w:styleId="NormalIndent">
    <w:name w:val="Normal Indent"/>
    <w:basedOn w:val="Normal"/>
    <w:semiHidden/>
    <w:pPr>
      <w:ind w:left="720"/>
    </w:pPr>
    <w:rPr>
      <w:rFonts w:ascii="Book Antiqua" w:hAnsi="Book Antiqua"/>
    </w:rPr>
  </w:style>
  <w:style w:type="paragraph" w:customStyle="1" w:styleId="text-noindent">
    <w:name w:val="text - no indent"/>
    <w:basedOn w:val="text"/>
    <w:pPr>
      <w:ind w:firstLine="0"/>
    </w:pPr>
  </w:style>
  <w:style w:type="character" w:customStyle="1" w:styleId="cOldTag">
    <w:name w:val="cOldTag"/>
    <w:rPr>
      <w:rFonts w:ascii="Times New Roman" w:hAnsi="Times New Roman"/>
      <w:strike/>
      <w:dstrike w:val="0"/>
      <w:color w:val="FF0000"/>
      <w:sz w:val="24"/>
      <w:szCs w:val="20"/>
    </w:rPr>
  </w:style>
  <w:style w:type="paragraph" w:customStyle="1" w:styleId="pFull">
    <w:name w:val="pFull"/>
    <w:basedOn w:val="Normal"/>
    <w:pPr>
      <w:numPr>
        <w:numId w:val="3"/>
      </w:numPr>
      <w:tabs>
        <w:tab w:val="clear" w:pos="2160"/>
      </w:tabs>
      <w:ind w:left="0" w:firstLine="0"/>
      <w:jc w:val="both"/>
    </w:pPr>
    <w:rPr>
      <w:szCs w:val="20"/>
    </w:rPr>
  </w:style>
  <w:style w:type="paragraph" w:customStyle="1" w:styleId="pHang1">
    <w:name w:val="pHang1"/>
    <w:basedOn w:val="Normal"/>
    <w:pPr>
      <w:ind w:left="432" w:hanging="432"/>
      <w:jc w:val="both"/>
      <w:outlineLvl w:val="0"/>
    </w:pPr>
    <w:rPr>
      <w:szCs w:val="20"/>
    </w:rPr>
  </w:style>
  <w:style w:type="paragraph" w:customStyle="1" w:styleId="pHang2">
    <w:name w:val="pHang2"/>
    <w:basedOn w:val="Normal"/>
    <w:pPr>
      <w:ind w:left="864" w:hanging="432"/>
      <w:jc w:val="both"/>
      <w:outlineLvl w:val="1"/>
    </w:pPr>
    <w:rPr>
      <w:szCs w:val="20"/>
    </w:rPr>
  </w:style>
  <w:style w:type="paragraph" w:customStyle="1" w:styleId="pHang1Old">
    <w:name w:val="pHang1Old"/>
    <w:basedOn w:val="pHang1"/>
    <w:rPr>
      <w:strike/>
      <w:color w:val="FF0000"/>
    </w:rPr>
  </w:style>
  <w:style w:type="character" w:customStyle="1" w:styleId="cOldTagpf">
    <w:name w:val="cOldTagpf"/>
    <w:rPr>
      <w:rFonts w:ascii="Times New Roman" w:hAnsi="Times New Roman"/>
      <w:color w:val="FF0000"/>
      <w:sz w:val="24"/>
      <w:szCs w:val="20"/>
    </w:rPr>
  </w:style>
  <w:style w:type="character" w:customStyle="1" w:styleId="cTaglineOld">
    <w:name w:val="cTaglineOld"/>
    <w:rPr>
      <w:rFonts w:ascii="Times New Roman" w:hAnsi="Times New Roman"/>
      <w:strike/>
      <w:dstrike w:val="0"/>
      <w:color w:val="FF0000"/>
      <w:sz w:val="24"/>
      <w:szCs w:val="20"/>
    </w:rPr>
  </w:style>
  <w:style w:type="paragraph" w:customStyle="1" w:styleId="pTab1">
    <w:name w:val="pTab1"/>
    <w:basedOn w:val="Normal"/>
    <w:pPr>
      <w:ind w:left="432"/>
      <w:jc w:val="both"/>
      <w:outlineLvl w:val="0"/>
    </w:pPr>
    <w:rPr>
      <w:szCs w:val="20"/>
    </w:rPr>
  </w:style>
  <w:style w:type="paragraph" w:customStyle="1" w:styleId="pTab2">
    <w:name w:val="pTab2"/>
    <w:basedOn w:val="Normal"/>
    <w:pPr>
      <w:ind w:left="864"/>
      <w:jc w:val="both"/>
      <w:outlineLvl w:val="1"/>
    </w:pPr>
    <w:rPr>
      <w:szCs w:val="20"/>
    </w:rPr>
  </w:style>
  <w:style w:type="paragraph" w:customStyle="1" w:styleId="pHang3">
    <w:name w:val="pHang3"/>
    <w:basedOn w:val="Normal"/>
    <w:pPr>
      <w:ind w:left="1296" w:hanging="432"/>
      <w:jc w:val="both"/>
      <w:outlineLvl w:val="2"/>
    </w:pPr>
    <w:rPr>
      <w:szCs w:val="20"/>
    </w:rPr>
  </w:style>
  <w:style w:type="paragraph" w:customStyle="1" w:styleId="pHang4">
    <w:name w:val="pHang4"/>
    <w:basedOn w:val="Normal"/>
    <w:pPr>
      <w:ind w:left="1728" w:hanging="432"/>
      <w:jc w:val="both"/>
      <w:outlineLvl w:val="3"/>
    </w:pPr>
    <w:rPr>
      <w:szCs w:val="20"/>
    </w:rPr>
  </w:style>
  <w:style w:type="paragraph" w:customStyle="1" w:styleId="pTab3">
    <w:name w:val="pTab3"/>
    <w:basedOn w:val="Normal"/>
    <w:pPr>
      <w:ind w:left="1296"/>
      <w:jc w:val="both"/>
      <w:outlineLvl w:val="2"/>
    </w:pPr>
    <w:rPr>
      <w:szCs w:val="20"/>
    </w:rPr>
  </w:style>
  <w:style w:type="paragraph" w:customStyle="1" w:styleId="pHang2Old">
    <w:name w:val="pHang2Old"/>
    <w:basedOn w:val="pHang2"/>
    <w:rPr>
      <w:strike/>
      <w:color w:val="FF0000"/>
    </w:rPr>
  </w:style>
  <w:style w:type="paragraph" w:customStyle="1" w:styleId="pHang3Old">
    <w:name w:val="pHang3Old"/>
    <w:basedOn w:val="pHang3"/>
    <w:rPr>
      <w:strike/>
      <w:color w:val="FF0000"/>
    </w:rPr>
  </w:style>
  <w:style w:type="paragraph" w:customStyle="1" w:styleId="CenterAlgn">
    <w:name w:val="CenterAlgn"/>
    <w:basedOn w:val="Normal"/>
    <w:pPr>
      <w:jc w:val="center"/>
    </w:pPr>
    <w:rPr>
      <w:szCs w:val="20"/>
    </w:rPr>
  </w:style>
  <w:style w:type="paragraph" w:customStyle="1" w:styleId="pTab2New">
    <w:name w:val="pTab2New"/>
    <w:basedOn w:val="pTab2"/>
    <w:rPr>
      <w:color w:val="3366FF"/>
      <w:u w:val="single"/>
    </w:rPr>
  </w:style>
  <w:style w:type="paragraph" w:customStyle="1" w:styleId="pTab1Old">
    <w:name w:val="pTab1Old"/>
    <w:basedOn w:val="pTab1"/>
    <w:rPr>
      <w:strike/>
      <w:color w:val="FF0000"/>
    </w:rPr>
  </w:style>
  <w:style w:type="paragraph" w:customStyle="1" w:styleId="pTab3Old">
    <w:name w:val="pTab3Old"/>
    <w:basedOn w:val="pTab3"/>
    <w:rPr>
      <w:strike/>
      <w:color w:val="FF0000"/>
    </w:rPr>
  </w:style>
  <w:style w:type="paragraph" w:customStyle="1" w:styleId="pHang4New">
    <w:name w:val="pHang4New"/>
    <w:basedOn w:val="pHang4"/>
    <w:rPr>
      <w:color w:val="3366FF"/>
      <w:u w:val="single"/>
    </w:rPr>
  </w:style>
  <w:style w:type="paragraph" w:customStyle="1" w:styleId="pHang4Old">
    <w:name w:val="pHang4Old"/>
    <w:basedOn w:val="pHang4"/>
    <w:rPr>
      <w:strike/>
      <w:color w:val="FF0000"/>
    </w:rPr>
  </w:style>
  <w:style w:type="character" w:styleId="Strong">
    <w:name w:val="Strong"/>
    <w:qFormat/>
    <w:rPr>
      <w:b/>
      <w:bCs/>
    </w:rPr>
  </w:style>
  <w:style w:type="character" w:customStyle="1" w:styleId="rulechar">
    <w:name w:val="rulechar"/>
    <w:basedOn w:val="DefaultParagraphFont"/>
  </w:style>
  <w:style w:type="paragraph" w:customStyle="1" w:styleId="Inserted">
    <w:name w:val="Inserted"/>
    <w:basedOn w:val="Normal"/>
    <w:link w:val="InsertedChar"/>
    <w:qFormat/>
    <w:rPr>
      <w:rFonts w:ascii="Book Antiqua" w:hAnsi="Book Antiqua"/>
      <w:b/>
      <w:smallCaps/>
    </w:rPr>
  </w:style>
  <w:style w:type="character" w:customStyle="1" w:styleId="InsertedChar">
    <w:name w:val="Inserted Char"/>
    <w:link w:val="Inserted"/>
    <w:rPr>
      <w:rFonts w:ascii="Book Antiqua" w:hAnsi="Book Antiqua"/>
      <w:b/>
      <w:smallCaps/>
      <w:sz w:val="24"/>
      <w:szCs w:val="24"/>
      <w:lang w:val="en-US" w:eastAsia="en-US" w:bidi="ar-SA"/>
    </w:rPr>
  </w:style>
  <w:style w:type="paragraph" w:styleId="BodyTextIndent2">
    <w:name w:val="Body Text Indent 2"/>
    <w:basedOn w:val="Normal"/>
    <w:pPr>
      <w:spacing w:after="120" w:line="480" w:lineRule="auto"/>
      <w:ind w:left="360"/>
    </w:pPr>
    <w:rPr>
      <w:szCs w:val="20"/>
    </w:rPr>
  </w:style>
  <w:style w:type="paragraph" w:customStyle="1" w:styleId="prulenumber0">
    <w:name w:val="prulenumber"/>
    <w:basedOn w:val="Normal"/>
    <w:pPr>
      <w:spacing w:before="100" w:beforeAutospacing="1" w:after="100" w:afterAutospacing="1"/>
    </w:pPr>
    <w:rPr>
      <w:color w:val="000000"/>
    </w:rPr>
  </w:style>
  <w:style w:type="character" w:customStyle="1" w:styleId="bold0">
    <w:name w:val="bold"/>
    <w:basedOn w:val="DefaultParagraphFont"/>
  </w:style>
  <w:style w:type="paragraph" w:customStyle="1" w:styleId="StyleHeading2">
    <w:name w:val="Style Heading 2"/>
    <w:basedOn w:val="Heading2"/>
    <w:link w:val="StyleHeading2Char"/>
    <w:rPr>
      <w:bCs/>
    </w:rPr>
  </w:style>
  <w:style w:type="character" w:customStyle="1" w:styleId="Heading2Char">
    <w:name w:val="Heading 2 Char"/>
    <w:link w:val="Heading2"/>
    <w:rsid w:val="00935AC3"/>
    <w:rPr>
      <w:rFonts w:ascii="Times New Roman Bold" w:hAnsi="Times New Roman Bold"/>
      <w:b/>
      <w:sz w:val="24"/>
      <w:szCs w:val="24"/>
    </w:rPr>
  </w:style>
  <w:style w:type="character" w:customStyle="1" w:styleId="StyleHeading2Char">
    <w:name w:val="Style Heading 2 Char"/>
    <w:link w:val="StyleHeading2"/>
    <w:rPr>
      <w:rFonts w:ascii="Times New Roman Bold" w:hAnsi="Times New Roman Bold"/>
      <w:b/>
      <w:bCs/>
      <w:sz w:val="24"/>
      <w:szCs w:val="24"/>
      <w:lang w:val="en-US" w:eastAsia="en-US" w:bidi="ar-SA"/>
    </w:rPr>
  </w:style>
  <w:style w:type="paragraph" w:styleId="TOC6">
    <w:name w:val="toc 6"/>
    <w:basedOn w:val="Normal"/>
    <w:next w:val="Normal"/>
    <w:autoRedefine/>
    <w:semiHidden/>
    <w:pPr>
      <w:ind w:left="1200"/>
    </w:pPr>
  </w:style>
  <w:style w:type="paragraph" w:styleId="TOC2">
    <w:name w:val="toc 2"/>
    <w:basedOn w:val="Normal"/>
    <w:next w:val="Normal"/>
    <w:autoRedefine/>
    <w:uiPriority w:val="39"/>
    <w:qFormat/>
    <w:pPr>
      <w:tabs>
        <w:tab w:val="left" w:pos="2160"/>
        <w:tab w:val="decimal" w:leader="dot" w:pos="8640"/>
      </w:tabs>
      <w:spacing w:after="240"/>
      <w:ind w:left="1440" w:hanging="720"/>
    </w:pPr>
  </w:style>
  <w:style w:type="paragraph" w:styleId="TOC4">
    <w:name w:val="toc 4"/>
    <w:basedOn w:val="Normal"/>
    <w:next w:val="Normal"/>
    <w:autoRedefine/>
    <w:semiHidden/>
    <w:pPr>
      <w:tabs>
        <w:tab w:val="left" w:pos="720"/>
        <w:tab w:val="decimal" w:leader="dot" w:pos="8640"/>
      </w:tabs>
      <w:spacing w:after="2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rb">
    <w:name w:val="frb"/>
    <w:rPr>
      <w:rFonts w:cs="Times New Roman"/>
    </w:rPr>
  </w:style>
  <w:style w:type="paragraph" w:customStyle="1" w:styleId="Default">
    <w:name w:val="Default"/>
    <w:pPr>
      <w:autoSpaceDE w:val="0"/>
      <w:autoSpaceDN w:val="0"/>
      <w:adjustRightInd w:val="0"/>
    </w:pPr>
    <w:rPr>
      <w:rFonts w:eastAsia="Calibri"/>
      <w:color w:val="000000"/>
      <w:sz w:val="24"/>
      <w:szCs w:val="24"/>
    </w:rPr>
  </w:style>
  <w:style w:type="character" w:customStyle="1" w:styleId="FooterChar">
    <w:name w:val="Footer Char"/>
    <w:link w:val="Footer"/>
    <w:uiPriority w:val="99"/>
    <w:rPr>
      <w:sz w:val="24"/>
      <w:szCs w:val="24"/>
    </w:rPr>
  </w:style>
  <w:style w:type="character" w:styleId="FollowedHyperlink">
    <w:name w:val="FollowedHyperlink"/>
    <w:rPr>
      <w:color w:val="800080"/>
      <w:u w:val="single"/>
    </w:rPr>
  </w:style>
  <w:style w:type="paragraph" w:customStyle="1" w:styleId="ColorfulList-Accent12">
    <w:name w:val="Colorful List - Accent 12"/>
    <w:basedOn w:val="Normal"/>
    <w:qFormat/>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A829B9"/>
    <w:rPr>
      <w:sz w:val="24"/>
      <w:szCs w:val="24"/>
    </w:rPr>
  </w:style>
  <w:style w:type="character" w:customStyle="1" w:styleId="BodyTextChar">
    <w:name w:val="Body Text Char"/>
    <w:link w:val="BodyText"/>
    <w:rPr>
      <w:rFonts w:ascii="Arial" w:hAnsi="Arial"/>
      <w:spacing w:val="-5"/>
    </w:rPr>
  </w:style>
  <w:style w:type="character" w:customStyle="1" w:styleId="Heading1Char">
    <w:name w:val="Heading 1 Char"/>
    <w:basedOn w:val="DefaultParagraphFont"/>
    <w:link w:val="Heading1"/>
    <w:rsid w:val="00935AC3"/>
    <w:rPr>
      <w:rFonts w:ascii="Times New Roman Bold" w:hAnsi="Times New Roman Bold"/>
      <w:b/>
      <w:caps/>
      <w:sz w:val="24"/>
      <w:szCs w:val="24"/>
    </w:rPr>
  </w:style>
  <w:style w:type="character" w:customStyle="1" w:styleId="Heading3Char">
    <w:name w:val="Heading 3 Char"/>
    <w:basedOn w:val="DefaultParagraphFont"/>
    <w:link w:val="Heading3"/>
    <w:rsid w:val="00935AC3"/>
    <w:rPr>
      <w:rFonts w:ascii="Times New Roman Bold" w:hAnsi="Times New Roman Bol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935AC3"/>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qFormat/>
    <w:rsid w:val="00935AC3"/>
    <w:pPr>
      <w:keepNext/>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qFormat/>
    <w:rsid w:val="00935AC3"/>
    <w:pPr>
      <w:keepNext/>
      <w:spacing w:after="240"/>
      <w:ind w:left="2160" w:hanging="720"/>
      <w:outlineLvl w:val="2"/>
    </w:pPr>
    <w:rPr>
      <w:rFonts w:ascii="Times New Roman Bold" w:hAnsi="Times New Roman Bold"/>
      <w:b/>
      <w:bCs/>
    </w:rPr>
  </w:style>
  <w:style w:type="paragraph" w:styleId="Heading4">
    <w:name w:val="heading 4"/>
    <w:basedOn w:val="Normal"/>
    <w:next w:val="Normal"/>
    <w:qFormat/>
    <w:pPr>
      <w:keepNext/>
      <w:spacing w:after="240"/>
      <w:ind w:left="2160" w:hanging="2160"/>
      <w:outlineLvl w:val="3"/>
    </w:pPr>
    <w:rPr>
      <w:rFonts w:ascii="Times New Roman Bold" w:hAnsi="Times New Roman Bold"/>
      <w:b/>
    </w:rPr>
  </w:style>
  <w:style w:type="paragraph" w:styleId="Heading5">
    <w:name w:val="heading 5"/>
    <w:basedOn w:val="Normal"/>
    <w:next w:val="Normal"/>
    <w:qFormat/>
    <w:pPr>
      <w:spacing w:after="240"/>
      <w:ind w:left="3600" w:hanging="720"/>
      <w:outlineLvl w:val="4"/>
    </w:pPr>
    <w:rPr>
      <w:rFonts w:ascii="Times New Roman Bold" w:hAnsi="Times New Roman Bold"/>
      <w:b/>
      <w:bCs/>
      <w:iCs/>
      <w:sz w:val="26"/>
      <w:szCs w:val="26"/>
    </w:rPr>
  </w:style>
  <w:style w:type="paragraph" w:styleId="Heading6">
    <w:name w:val="heading 6"/>
    <w:basedOn w:val="Heading5"/>
    <w:next w:val="Normal"/>
    <w:qFormat/>
    <w:pPr>
      <w:keepNext/>
      <w:widowControl w:val="0"/>
      <w:tabs>
        <w:tab w:val="left" w:pos="0"/>
        <w:tab w:val="num" w:pos="3960"/>
      </w:tabs>
      <w:suppressAutoHyphens/>
      <w:ind w:firstLine="0"/>
      <w:jc w:val="both"/>
      <w:outlineLvl w:val="5"/>
    </w:pPr>
    <w:rPr>
      <w:rFonts w:ascii="Book Antiqua" w:hAnsi="Book Antiqua"/>
      <w:b w:val="0"/>
      <w:bCs w:val="0"/>
      <w:iCs w:val="0"/>
      <w:sz w:val="24"/>
      <w:szCs w:val="24"/>
      <w:u w:val="single"/>
    </w:rPr>
  </w:style>
  <w:style w:type="paragraph" w:styleId="Heading7">
    <w:name w:val="heading 7"/>
    <w:basedOn w:val="Heading6"/>
    <w:next w:val="Normal"/>
    <w:qFormat/>
    <w:pPr>
      <w:tabs>
        <w:tab w:val="clear" w:pos="3960"/>
        <w:tab w:val="num" w:pos="4680"/>
      </w:tabs>
      <w:ind w:left="4320"/>
      <w:outlineLvl w:val="6"/>
    </w:pPr>
  </w:style>
  <w:style w:type="paragraph" w:styleId="Heading8">
    <w:name w:val="heading 8"/>
    <w:basedOn w:val="Heading7"/>
    <w:next w:val="Normal"/>
    <w:qFormat/>
    <w:pPr>
      <w:tabs>
        <w:tab w:val="clear" w:pos="4680"/>
        <w:tab w:val="num" w:pos="5400"/>
      </w:tabs>
      <w:ind w:left="5040"/>
      <w:outlineLvl w:val="7"/>
    </w:pPr>
  </w:style>
  <w:style w:type="paragraph" w:styleId="Heading9">
    <w:name w:val="heading 9"/>
    <w:basedOn w:val="Heading8"/>
    <w:next w:val="Normal"/>
    <w:qFormat/>
    <w:pPr>
      <w:tabs>
        <w:tab w:val="clear" w:pos="5400"/>
        <w:tab w:val="num" w:pos="612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
    <w:uiPriority w:val="99"/>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Pr>
      <w:sz w:val="20"/>
      <w:szCs w:val="20"/>
    </w:rPr>
  </w:style>
  <w:style w:type="character" w:customStyle="1" w:styleId="FootnoteTextChar1">
    <w:name w:val="Footnote Text Char1"/>
    <w:aliases w:val="Footnote Text Char Char,Footnote Text Char4 Char Char,Footnote Text Char Char4 Char Char,Footnote Text Char4 Char1 Char Char Char,Footnote Text Char Char4 Char1 Char Char Char,Footnote Text Char5 Char1 Char Char Char Char Char Char"/>
    <w:link w:val="FootnoteText"/>
    <w:semiHidden/>
    <w:rPr>
      <w:lang w:val="en-US" w:eastAsia="en-US" w:bidi="ar-SA"/>
    </w:rPr>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lang w:val="en-US" w:eastAsia="en-US" w:bidi="ar-SA"/>
    </w:rPr>
  </w:style>
  <w:style w:type="character" w:customStyle="1" w:styleId="TagStyle">
    <w:name w:val="TagStyle"/>
    <w:rPr>
      <w:rFonts w:ascii="Times New Roman" w:hAnsi="Times New Roman"/>
      <w:color w:val="FF00FF"/>
      <w:sz w:val="24"/>
    </w:rPr>
  </w:style>
  <w:style w:type="character" w:customStyle="1" w:styleId="Bold">
    <w:name w:val="Bold"/>
    <w:rPr>
      <w:b/>
    </w:rPr>
  </w:style>
  <w:style w:type="character" w:customStyle="1" w:styleId="cNewTag">
    <w:name w:val="cNewTag"/>
    <w:rPr>
      <w:rFonts w:ascii="Times New Roman" w:hAnsi="Times New Roman"/>
      <w:color w:val="3366FF"/>
      <w:sz w:val="24"/>
      <w:u w:val="single"/>
    </w:rPr>
  </w:style>
  <w:style w:type="paragraph" w:customStyle="1" w:styleId="pRuleNumber">
    <w:name w:val="pRuleNumber"/>
    <w:basedOn w:val="Normal"/>
    <w:pPr>
      <w:ind w:left="1728" w:hanging="1728"/>
    </w:pPr>
    <w:rPr>
      <w:szCs w:val="20"/>
    </w:rPr>
  </w:style>
  <w:style w:type="character" w:customStyle="1" w:styleId="cTaglineNew">
    <w:name w:val="cTaglineNew"/>
    <w:rPr>
      <w:b/>
      <w:color w:val="3366FF"/>
      <w:u w:val="single"/>
    </w:rPr>
  </w:style>
  <w:style w:type="character" w:customStyle="1" w:styleId="S4Default">
    <w:name w:val="S4Default"/>
    <w:rPr>
      <w:rFonts w:ascii="Times New Roman" w:hAnsi="Times New Roman"/>
      <w:sz w:val="24"/>
    </w:rPr>
  </w:style>
  <w:style w:type="paragraph" w:customStyle="1" w:styleId="pHang1New">
    <w:name w:val="pHang1New"/>
    <w:basedOn w:val="Normal"/>
    <w:pPr>
      <w:ind w:left="432" w:hanging="432"/>
      <w:jc w:val="both"/>
      <w:outlineLvl w:val="0"/>
    </w:pPr>
    <w:rPr>
      <w:color w:val="3366FF"/>
      <w:szCs w:val="20"/>
      <w:u w:val="single"/>
    </w:rPr>
  </w:style>
  <w:style w:type="character" w:customStyle="1" w:styleId="ShowTagStyle">
    <w:name w:val="ShowTagStyle"/>
    <w:rPr>
      <w:rFonts w:ascii="Times New Roman" w:hAnsi="Times New Roman"/>
      <w:vanish/>
      <w:color w:val="FF00FF"/>
      <w:sz w:val="24"/>
    </w:rPr>
  </w:style>
  <w:style w:type="paragraph" w:customStyle="1" w:styleId="pTab1New">
    <w:name w:val="pTab1New"/>
    <w:basedOn w:val="Normal"/>
    <w:pPr>
      <w:ind w:left="432"/>
      <w:jc w:val="both"/>
      <w:outlineLvl w:val="0"/>
    </w:pPr>
    <w:rPr>
      <w:color w:val="3366FF"/>
      <w:szCs w:val="20"/>
      <w:u w:val="single"/>
    </w:rPr>
  </w:style>
  <w:style w:type="character" w:customStyle="1" w:styleId="cEntity">
    <w:name w:val="cEntity"/>
    <w:rPr>
      <w:rFonts w:ascii="Times New Roman" w:hAnsi="Times New Roman"/>
      <w:color w:val="FF6600"/>
      <w:sz w:val="24"/>
    </w:rPr>
  </w:style>
  <w:style w:type="paragraph" w:customStyle="1" w:styleId="pHang2New">
    <w:name w:val="pHang2New"/>
    <w:basedOn w:val="Normal"/>
    <w:pPr>
      <w:ind w:left="864" w:hanging="432"/>
      <w:jc w:val="both"/>
      <w:outlineLvl w:val="1"/>
    </w:pPr>
    <w:rPr>
      <w:color w:val="3366FF"/>
      <w:szCs w:val="20"/>
      <w:u w:val="single"/>
    </w:rPr>
  </w:style>
  <w:style w:type="paragraph" w:customStyle="1" w:styleId="pHang3New">
    <w:name w:val="pHang3New"/>
    <w:basedOn w:val="Normal"/>
    <w:pPr>
      <w:ind w:left="1296" w:hanging="432"/>
      <w:jc w:val="both"/>
      <w:outlineLvl w:val="2"/>
    </w:pPr>
    <w:rPr>
      <w:color w:val="3366FF"/>
      <w:szCs w:val="2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qFormat/>
    <w:pPr>
      <w:tabs>
        <w:tab w:val="left" w:pos="720"/>
        <w:tab w:val="left" w:pos="1440"/>
        <w:tab w:val="decimal" w:leader="dot" w:pos="8640"/>
      </w:tabs>
      <w:spacing w:after="240"/>
      <w:ind w:left="720" w:hanging="720"/>
    </w:pPr>
    <w:rPr>
      <w:caps/>
    </w:rPr>
  </w:style>
  <w:style w:type="paragraph" w:customStyle="1" w:styleId="Style1">
    <w:name w:val="Style1"/>
    <w:basedOn w:val="Heading5"/>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pPr>
      <w:tabs>
        <w:tab w:val="left" w:pos="0"/>
        <w:tab w:val="left" w:pos="720"/>
      </w:tabs>
    </w:pPr>
    <w:rPr>
      <w:bCs/>
    </w:rPr>
  </w:style>
  <w:style w:type="paragraph" w:styleId="TOC3">
    <w:name w:val="toc 3"/>
    <w:basedOn w:val="Normal"/>
    <w:next w:val="Normal"/>
    <w:autoRedefine/>
    <w:semiHidden/>
    <w:pPr>
      <w:tabs>
        <w:tab w:val="left" w:pos="1440"/>
        <w:tab w:val="left" w:pos="2160"/>
        <w:tab w:val="decimal" w:leader="dot" w:pos="8640"/>
      </w:tabs>
      <w:spacing w:after="240"/>
      <w:ind w:left="2160" w:hanging="720"/>
    </w:pPr>
  </w:style>
  <w:style w:type="paragraph" w:styleId="TOC5">
    <w:name w:val="toc 5"/>
    <w:basedOn w:val="Normal"/>
    <w:next w:val="Normal"/>
    <w:autoRedefine/>
    <w:semiHidden/>
    <w:pPr>
      <w:spacing w:after="240"/>
      <w:ind w:left="3600" w:hanging="720"/>
    </w:pPr>
    <w:rPr>
      <w:szCs w:val="20"/>
    </w:rPr>
  </w:style>
  <w:style w:type="paragraph" w:customStyle="1" w:styleId="StyleHeading1NounderlineLeft3">
    <w:name w:val="Style Heading 1 + No underline Left:  3&quot;"/>
    <w:basedOn w:val="Heading1"/>
    <w:rPr>
      <w:bCs/>
      <w:szCs w:val="20"/>
    </w:rPr>
  </w:style>
  <w:style w:type="paragraph" w:customStyle="1" w:styleId="StyleHeading5TimesNewRoman12pt">
    <w:name w:val="Style Heading 5 + Times New Roman 12 pt"/>
    <w:basedOn w:val="Heading5"/>
    <w:rPr>
      <w:iCs w:val="0"/>
      <w:sz w:val="24"/>
      <w:szCs w:val="24"/>
    </w:rPr>
  </w:style>
  <w:style w:type="character" w:customStyle="1" w:styleId="Style">
    <w:name w:val="Style"/>
    <w:rPr>
      <w:rFonts w:ascii="Times New Roman" w:hAnsi="Times New Roman"/>
      <w:dstrike w:val="0"/>
      <w:spacing w:val="-1"/>
      <w:sz w:val="20"/>
      <w:szCs w:val="20"/>
      <w:vertAlign w:val="baseline"/>
    </w:r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semiHidden/>
    <w:rPr>
      <w:b/>
      <w:bCs/>
    </w:rPr>
  </w:style>
  <w:style w:type="paragraph" w:customStyle="1" w:styleId="ColorfulList-Accent11">
    <w:name w:val="Colorful List - Accent 11"/>
    <w:basedOn w:val="Normal"/>
    <w:qFormat/>
    <w:pPr>
      <w:ind w:left="720"/>
      <w:contextualSpacing/>
    </w:pPr>
  </w:style>
  <w:style w:type="paragraph" w:customStyle="1" w:styleId="Style10">
    <w:name w:val="Style 1"/>
    <w:pPr>
      <w:widowControl w:val="0"/>
      <w:autoSpaceDE w:val="0"/>
      <w:autoSpaceDN w:val="0"/>
      <w:adjustRightInd w:val="0"/>
    </w:pPr>
  </w:style>
  <w:style w:type="paragraph" w:customStyle="1" w:styleId="Style2">
    <w:name w:val="Style 2"/>
    <w:pPr>
      <w:widowControl w:val="0"/>
      <w:autoSpaceDE w:val="0"/>
      <w:autoSpaceDN w:val="0"/>
      <w:ind w:firstLine="216"/>
      <w:jc w:val="both"/>
    </w:pPr>
    <w:rPr>
      <w:rFonts w:ascii="Tahoma" w:hAnsi="Tahoma" w:cs="Tahoma"/>
      <w:sz w:val="16"/>
      <w:szCs w:val="16"/>
    </w:rPr>
  </w:style>
  <w:style w:type="paragraph" w:customStyle="1" w:styleId="Style4">
    <w:name w:val="Style 4"/>
    <w:pPr>
      <w:widowControl w:val="0"/>
      <w:autoSpaceDE w:val="0"/>
      <w:autoSpaceDN w:val="0"/>
      <w:spacing w:before="36"/>
      <w:ind w:firstLine="216"/>
      <w:jc w:val="both"/>
    </w:pPr>
    <w:rPr>
      <w:rFonts w:ascii="Arial" w:hAnsi="Arial" w:cs="Arial"/>
      <w:sz w:val="16"/>
      <w:szCs w:val="16"/>
    </w:rPr>
  </w:style>
  <w:style w:type="character" w:customStyle="1" w:styleId="CharacterStyle1">
    <w:name w:val="Character Style 1"/>
    <w:rPr>
      <w:rFonts w:ascii="Tahoma" w:hAnsi="Tahoma" w:cs="Tahoma"/>
      <w:sz w:val="16"/>
      <w:szCs w:val="16"/>
    </w:rPr>
  </w:style>
  <w:style w:type="character" w:customStyle="1" w:styleId="CharacterStyle2">
    <w:name w:val="Character Style 2"/>
    <w:rPr>
      <w:rFonts w:ascii="Arial" w:hAnsi="Arial" w:cs="Arial"/>
      <w:sz w:val="16"/>
      <w:szCs w:val="16"/>
    </w:rPr>
  </w:style>
  <w:style w:type="paragraph" w:styleId="BodyText">
    <w:name w:val="Body Text"/>
    <w:basedOn w:val="Normal"/>
    <w:link w:val="BodyTextChar"/>
    <w:pPr>
      <w:spacing w:after="220" w:line="180" w:lineRule="atLeast"/>
      <w:jc w:val="both"/>
    </w:pPr>
    <w:rPr>
      <w:rFonts w:ascii="Arial" w:hAnsi="Arial"/>
      <w:spacing w:val="-5"/>
      <w:sz w:val="20"/>
      <w:szCs w:val="20"/>
      <w:lang w:val="x-none" w:eastAsia="x-none"/>
    </w:rPr>
  </w:style>
  <w:style w:type="paragraph" w:styleId="NormalWeb">
    <w:name w:val="Normal (Web)"/>
    <w:basedOn w:val="Normal"/>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ALTS FOOTNOTE Char,fn Char"/>
    <w:locked/>
    <w:rPr>
      <w:rFonts w:ascii="Book Antiqua" w:hAnsi="Book Antiqua"/>
      <w:lang w:val="en-US" w:eastAsia="en-US" w:bidi="ar-SA"/>
    </w:rPr>
  </w:style>
  <w:style w:type="character" w:customStyle="1" w:styleId="boldsmallcaps">
    <w:name w:val="bold/small caps"/>
    <w:rPr>
      <w:b/>
      <w:smallCaps/>
    </w:rPr>
  </w:style>
  <w:style w:type="character" w:customStyle="1" w:styleId="boldstrikethru">
    <w:name w:val="bold/strikethru"/>
    <w:rPr>
      <w:b/>
      <w:strike/>
    </w:rPr>
  </w:style>
  <w:style w:type="paragraph" w:customStyle="1" w:styleId="centeredcaps">
    <w:name w:val="centered caps"/>
    <w:basedOn w:val="Normal"/>
    <w:pPr>
      <w:jc w:val="center"/>
    </w:pPr>
    <w:rPr>
      <w:rFonts w:ascii="Book Antiqua" w:hAnsi="Book Antiqua"/>
      <w:caps/>
    </w:rPr>
  </w:style>
  <w:style w:type="paragraph" w:customStyle="1" w:styleId="findings">
    <w:name w:val="findings"/>
    <w:basedOn w:val="Normal"/>
    <w:pPr>
      <w:ind w:left="1440" w:right="1152" w:hanging="720"/>
      <w:jc w:val="both"/>
    </w:pPr>
    <w:rPr>
      <w:rFonts w:ascii="Book Antiqua" w:hAnsi="Book Antiqua"/>
      <w:szCs w:val="20"/>
    </w:rPr>
  </w:style>
  <w:style w:type="paragraph" w:customStyle="1" w:styleId="appearances">
    <w:name w:val="appearances"/>
    <w:basedOn w:val="Heading1"/>
    <w:pPr>
      <w:ind w:left="0" w:firstLine="0"/>
    </w:pPr>
    <w:rPr>
      <w:rFonts w:ascii="Book Antiqua" w:hAnsi="Book Antiqua"/>
      <w:b w:val="0"/>
      <w:u w:val="single"/>
    </w:rPr>
  </w:style>
  <w:style w:type="paragraph" w:customStyle="1" w:styleId="furtherindent">
    <w:name w:val="further indent"/>
    <w:basedOn w:val="findings"/>
    <w:pPr>
      <w:tabs>
        <w:tab w:val="num" w:pos="1440"/>
      </w:tabs>
      <w:spacing w:after="240"/>
      <w:ind w:left="2160" w:right="2160"/>
    </w:pPr>
    <w:rPr>
      <w:szCs w:val="24"/>
    </w:rPr>
  </w:style>
  <w:style w:type="paragraph" w:customStyle="1" w:styleId="noindent">
    <w:name w:val="no indent"/>
    <w:basedOn w:val="Normal"/>
    <w:pPr>
      <w:jc w:val="both"/>
    </w:pPr>
    <w:rPr>
      <w:rFonts w:ascii="Book Antiqua" w:hAnsi="Book Antiqua"/>
    </w:rPr>
  </w:style>
  <w:style w:type="paragraph" w:customStyle="1" w:styleId="section">
    <w:name w:val="section"/>
    <w:basedOn w:val="Normal"/>
    <w:next w:val="Normal"/>
    <w:rPr>
      <w:rFonts w:ascii="Book Antiqua" w:hAnsi="Book Antiqua"/>
      <w:caps/>
      <w:u w:val="single"/>
    </w:rPr>
  </w:style>
  <w:style w:type="paragraph" w:customStyle="1" w:styleId="text">
    <w:name w:val="text"/>
    <w:basedOn w:val="Normal"/>
    <w:pPr>
      <w:ind w:firstLine="720"/>
      <w:jc w:val="both"/>
    </w:pPr>
    <w:rPr>
      <w:rFonts w:ascii="Book Antiqua" w:hAnsi="Book Antiqua"/>
    </w:rPr>
  </w:style>
  <w:style w:type="paragraph" w:customStyle="1" w:styleId="Title1">
    <w:name w:val="Title1"/>
    <w:basedOn w:val="Normal"/>
    <w:next w:val="text"/>
    <w:pPr>
      <w:keepNext/>
      <w:jc w:val="center"/>
    </w:pPr>
    <w:rPr>
      <w:rFonts w:ascii="Book Antiqua" w:hAnsi="Book Antiqua"/>
      <w:caps/>
      <w:u w:val="single"/>
    </w:rPr>
  </w:style>
  <w:style w:type="paragraph" w:customStyle="1" w:styleId="findings-no">
    <w:name w:val="findings-no#"/>
    <w:basedOn w:val="findings"/>
    <w:pPr>
      <w:ind w:left="0" w:firstLine="0"/>
    </w:pPr>
  </w:style>
  <w:style w:type="paragraph" w:customStyle="1" w:styleId="notTOCSectionHeader">
    <w:name w:val="not TOC Section Header"/>
    <w:basedOn w:val="Normal"/>
    <w:pPr>
      <w:spacing w:after="240"/>
      <w:jc w:val="center"/>
      <w:outlineLvl w:val="4"/>
    </w:pPr>
    <w:rPr>
      <w:rFonts w:ascii="Book Antiqua" w:hAnsi="Book Antiqua"/>
      <w:u w:val="single"/>
    </w:rPr>
  </w:style>
  <w:style w:type="paragraph" w:customStyle="1" w:styleId="finding-subparagraph">
    <w:name w:val="finding - subparagraph"/>
    <w:basedOn w:val="findings"/>
    <w:pPr>
      <w:numPr>
        <w:numId w:val="2"/>
      </w:numPr>
      <w:ind w:right="2160"/>
    </w:pPr>
  </w:style>
  <w:style w:type="paragraph" w:customStyle="1" w:styleId="finding-subparagraphno">
    <w:name w:val="finding - subparagraph no#"/>
    <w:basedOn w:val="finding-subparagraph"/>
    <w:pPr>
      <w:numPr>
        <w:numId w:val="0"/>
      </w:numPr>
      <w:ind w:left="2160"/>
    </w:pPr>
  </w:style>
  <w:style w:type="paragraph" w:styleId="NormalIndent">
    <w:name w:val="Normal Indent"/>
    <w:basedOn w:val="Normal"/>
    <w:semiHidden/>
    <w:pPr>
      <w:ind w:left="720"/>
    </w:pPr>
    <w:rPr>
      <w:rFonts w:ascii="Book Antiqua" w:hAnsi="Book Antiqua"/>
    </w:rPr>
  </w:style>
  <w:style w:type="paragraph" w:customStyle="1" w:styleId="text-noindent">
    <w:name w:val="text - no indent"/>
    <w:basedOn w:val="text"/>
    <w:pPr>
      <w:ind w:firstLine="0"/>
    </w:pPr>
  </w:style>
  <w:style w:type="character" w:customStyle="1" w:styleId="cOldTag">
    <w:name w:val="cOldTag"/>
    <w:rPr>
      <w:rFonts w:ascii="Times New Roman" w:hAnsi="Times New Roman"/>
      <w:strike/>
      <w:dstrike w:val="0"/>
      <w:color w:val="FF0000"/>
      <w:sz w:val="24"/>
      <w:szCs w:val="20"/>
    </w:rPr>
  </w:style>
  <w:style w:type="paragraph" w:customStyle="1" w:styleId="pFull">
    <w:name w:val="pFull"/>
    <w:basedOn w:val="Normal"/>
    <w:pPr>
      <w:numPr>
        <w:numId w:val="3"/>
      </w:numPr>
      <w:tabs>
        <w:tab w:val="clear" w:pos="2160"/>
      </w:tabs>
      <w:ind w:left="0" w:firstLine="0"/>
      <w:jc w:val="both"/>
    </w:pPr>
    <w:rPr>
      <w:szCs w:val="20"/>
    </w:rPr>
  </w:style>
  <w:style w:type="paragraph" w:customStyle="1" w:styleId="pHang1">
    <w:name w:val="pHang1"/>
    <w:basedOn w:val="Normal"/>
    <w:pPr>
      <w:ind w:left="432" w:hanging="432"/>
      <w:jc w:val="both"/>
      <w:outlineLvl w:val="0"/>
    </w:pPr>
    <w:rPr>
      <w:szCs w:val="20"/>
    </w:rPr>
  </w:style>
  <w:style w:type="paragraph" w:customStyle="1" w:styleId="pHang2">
    <w:name w:val="pHang2"/>
    <w:basedOn w:val="Normal"/>
    <w:pPr>
      <w:ind w:left="864" w:hanging="432"/>
      <w:jc w:val="both"/>
      <w:outlineLvl w:val="1"/>
    </w:pPr>
    <w:rPr>
      <w:szCs w:val="20"/>
    </w:rPr>
  </w:style>
  <w:style w:type="paragraph" w:customStyle="1" w:styleId="pHang1Old">
    <w:name w:val="pHang1Old"/>
    <w:basedOn w:val="pHang1"/>
    <w:rPr>
      <w:strike/>
      <w:color w:val="FF0000"/>
    </w:rPr>
  </w:style>
  <w:style w:type="character" w:customStyle="1" w:styleId="cOldTagpf">
    <w:name w:val="cOldTagpf"/>
    <w:rPr>
      <w:rFonts w:ascii="Times New Roman" w:hAnsi="Times New Roman"/>
      <w:color w:val="FF0000"/>
      <w:sz w:val="24"/>
      <w:szCs w:val="20"/>
    </w:rPr>
  </w:style>
  <w:style w:type="character" w:customStyle="1" w:styleId="cTaglineOld">
    <w:name w:val="cTaglineOld"/>
    <w:rPr>
      <w:rFonts w:ascii="Times New Roman" w:hAnsi="Times New Roman"/>
      <w:strike/>
      <w:dstrike w:val="0"/>
      <w:color w:val="FF0000"/>
      <w:sz w:val="24"/>
      <w:szCs w:val="20"/>
    </w:rPr>
  </w:style>
  <w:style w:type="paragraph" w:customStyle="1" w:styleId="pTab1">
    <w:name w:val="pTab1"/>
    <w:basedOn w:val="Normal"/>
    <w:pPr>
      <w:ind w:left="432"/>
      <w:jc w:val="both"/>
      <w:outlineLvl w:val="0"/>
    </w:pPr>
    <w:rPr>
      <w:szCs w:val="20"/>
    </w:rPr>
  </w:style>
  <w:style w:type="paragraph" w:customStyle="1" w:styleId="pTab2">
    <w:name w:val="pTab2"/>
    <w:basedOn w:val="Normal"/>
    <w:pPr>
      <w:ind w:left="864"/>
      <w:jc w:val="both"/>
      <w:outlineLvl w:val="1"/>
    </w:pPr>
    <w:rPr>
      <w:szCs w:val="20"/>
    </w:rPr>
  </w:style>
  <w:style w:type="paragraph" w:customStyle="1" w:styleId="pHang3">
    <w:name w:val="pHang3"/>
    <w:basedOn w:val="Normal"/>
    <w:pPr>
      <w:ind w:left="1296" w:hanging="432"/>
      <w:jc w:val="both"/>
      <w:outlineLvl w:val="2"/>
    </w:pPr>
    <w:rPr>
      <w:szCs w:val="20"/>
    </w:rPr>
  </w:style>
  <w:style w:type="paragraph" w:customStyle="1" w:styleId="pHang4">
    <w:name w:val="pHang4"/>
    <w:basedOn w:val="Normal"/>
    <w:pPr>
      <w:ind w:left="1728" w:hanging="432"/>
      <w:jc w:val="both"/>
      <w:outlineLvl w:val="3"/>
    </w:pPr>
    <w:rPr>
      <w:szCs w:val="20"/>
    </w:rPr>
  </w:style>
  <w:style w:type="paragraph" w:customStyle="1" w:styleId="pTab3">
    <w:name w:val="pTab3"/>
    <w:basedOn w:val="Normal"/>
    <w:pPr>
      <w:ind w:left="1296"/>
      <w:jc w:val="both"/>
      <w:outlineLvl w:val="2"/>
    </w:pPr>
    <w:rPr>
      <w:szCs w:val="20"/>
    </w:rPr>
  </w:style>
  <w:style w:type="paragraph" w:customStyle="1" w:styleId="pHang2Old">
    <w:name w:val="pHang2Old"/>
    <w:basedOn w:val="pHang2"/>
    <w:rPr>
      <w:strike/>
      <w:color w:val="FF0000"/>
    </w:rPr>
  </w:style>
  <w:style w:type="paragraph" w:customStyle="1" w:styleId="pHang3Old">
    <w:name w:val="pHang3Old"/>
    <w:basedOn w:val="pHang3"/>
    <w:rPr>
      <w:strike/>
      <w:color w:val="FF0000"/>
    </w:rPr>
  </w:style>
  <w:style w:type="paragraph" w:customStyle="1" w:styleId="CenterAlgn">
    <w:name w:val="CenterAlgn"/>
    <w:basedOn w:val="Normal"/>
    <w:pPr>
      <w:jc w:val="center"/>
    </w:pPr>
    <w:rPr>
      <w:szCs w:val="20"/>
    </w:rPr>
  </w:style>
  <w:style w:type="paragraph" w:customStyle="1" w:styleId="pTab2New">
    <w:name w:val="pTab2New"/>
    <w:basedOn w:val="pTab2"/>
    <w:rPr>
      <w:color w:val="3366FF"/>
      <w:u w:val="single"/>
    </w:rPr>
  </w:style>
  <w:style w:type="paragraph" w:customStyle="1" w:styleId="pTab1Old">
    <w:name w:val="pTab1Old"/>
    <w:basedOn w:val="pTab1"/>
    <w:rPr>
      <w:strike/>
      <w:color w:val="FF0000"/>
    </w:rPr>
  </w:style>
  <w:style w:type="paragraph" w:customStyle="1" w:styleId="pTab3Old">
    <w:name w:val="pTab3Old"/>
    <w:basedOn w:val="pTab3"/>
    <w:rPr>
      <w:strike/>
      <w:color w:val="FF0000"/>
    </w:rPr>
  </w:style>
  <w:style w:type="paragraph" w:customStyle="1" w:styleId="pHang4New">
    <w:name w:val="pHang4New"/>
    <w:basedOn w:val="pHang4"/>
    <w:rPr>
      <w:color w:val="3366FF"/>
      <w:u w:val="single"/>
    </w:rPr>
  </w:style>
  <w:style w:type="paragraph" w:customStyle="1" w:styleId="pHang4Old">
    <w:name w:val="pHang4Old"/>
    <w:basedOn w:val="pHang4"/>
    <w:rPr>
      <w:strike/>
      <w:color w:val="FF0000"/>
    </w:rPr>
  </w:style>
  <w:style w:type="character" w:styleId="Strong">
    <w:name w:val="Strong"/>
    <w:qFormat/>
    <w:rPr>
      <w:b/>
      <w:bCs/>
    </w:rPr>
  </w:style>
  <w:style w:type="character" w:customStyle="1" w:styleId="rulechar">
    <w:name w:val="rulechar"/>
    <w:basedOn w:val="DefaultParagraphFont"/>
  </w:style>
  <w:style w:type="paragraph" w:customStyle="1" w:styleId="Inserted">
    <w:name w:val="Inserted"/>
    <w:basedOn w:val="Normal"/>
    <w:link w:val="InsertedChar"/>
    <w:qFormat/>
    <w:rPr>
      <w:rFonts w:ascii="Book Antiqua" w:hAnsi="Book Antiqua"/>
      <w:b/>
      <w:smallCaps/>
    </w:rPr>
  </w:style>
  <w:style w:type="character" w:customStyle="1" w:styleId="InsertedChar">
    <w:name w:val="Inserted Char"/>
    <w:link w:val="Inserted"/>
    <w:rPr>
      <w:rFonts w:ascii="Book Antiqua" w:hAnsi="Book Antiqua"/>
      <w:b/>
      <w:smallCaps/>
      <w:sz w:val="24"/>
      <w:szCs w:val="24"/>
      <w:lang w:val="en-US" w:eastAsia="en-US" w:bidi="ar-SA"/>
    </w:rPr>
  </w:style>
  <w:style w:type="paragraph" w:styleId="BodyTextIndent2">
    <w:name w:val="Body Text Indent 2"/>
    <w:basedOn w:val="Normal"/>
    <w:pPr>
      <w:spacing w:after="120" w:line="480" w:lineRule="auto"/>
      <w:ind w:left="360"/>
    </w:pPr>
    <w:rPr>
      <w:szCs w:val="20"/>
    </w:rPr>
  </w:style>
  <w:style w:type="paragraph" w:customStyle="1" w:styleId="prulenumber0">
    <w:name w:val="prulenumber"/>
    <w:basedOn w:val="Normal"/>
    <w:pPr>
      <w:spacing w:before="100" w:beforeAutospacing="1" w:after="100" w:afterAutospacing="1"/>
    </w:pPr>
    <w:rPr>
      <w:color w:val="000000"/>
    </w:rPr>
  </w:style>
  <w:style w:type="character" w:customStyle="1" w:styleId="bold0">
    <w:name w:val="bold"/>
    <w:basedOn w:val="DefaultParagraphFont"/>
  </w:style>
  <w:style w:type="paragraph" w:customStyle="1" w:styleId="StyleHeading2">
    <w:name w:val="Style Heading 2"/>
    <w:basedOn w:val="Heading2"/>
    <w:link w:val="StyleHeading2Char"/>
    <w:rPr>
      <w:bCs/>
    </w:rPr>
  </w:style>
  <w:style w:type="character" w:customStyle="1" w:styleId="Heading2Char">
    <w:name w:val="Heading 2 Char"/>
    <w:link w:val="Heading2"/>
    <w:rsid w:val="00935AC3"/>
    <w:rPr>
      <w:rFonts w:ascii="Times New Roman Bold" w:hAnsi="Times New Roman Bold"/>
      <w:b/>
      <w:sz w:val="24"/>
      <w:szCs w:val="24"/>
    </w:rPr>
  </w:style>
  <w:style w:type="character" w:customStyle="1" w:styleId="StyleHeading2Char">
    <w:name w:val="Style Heading 2 Char"/>
    <w:link w:val="StyleHeading2"/>
    <w:rPr>
      <w:rFonts w:ascii="Times New Roman Bold" w:hAnsi="Times New Roman Bold"/>
      <w:b/>
      <w:bCs/>
      <w:sz w:val="24"/>
      <w:szCs w:val="24"/>
      <w:lang w:val="en-US" w:eastAsia="en-US" w:bidi="ar-SA"/>
    </w:rPr>
  </w:style>
  <w:style w:type="paragraph" w:styleId="TOC6">
    <w:name w:val="toc 6"/>
    <w:basedOn w:val="Normal"/>
    <w:next w:val="Normal"/>
    <w:autoRedefine/>
    <w:semiHidden/>
    <w:pPr>
      <w:ind w:left="1200"/>
    </w:pPr>
  </w:style>
  <w:style w:type="paragraph" w:styleId="TOC2">
    <w:name w:val="toc 2"/>
    <w:basedOn w:val="Normal"/>
    <w:next w:val="Normal"/>
    <w:autoRedefine/>
    <w:uiPriority w:val="39"/>
    <w:qFormat/>
    <w:pPr>
      <w:tabs>
        <w:tab w:val="left" w:pos="2160"/>
        <w:tab w:val="decimal" w:leader="dot" w:pos="8640"/>
      </w:tabs>
      <w:spacing w:after="240"/>
      <w:ind w:left="1440" w:hanging="720"/>
    </w:pPr>
  </w:style>
  <w:style w:type="paragraph" w:styleId="TOC4">
    <w:name w:val="toc 4"/>
    <w:basedOn w:val="Normal"/>
    <w:next w:val="Normal"/>
    <w:autoRedefine/>
    <w:semiHidden/>
    <w:pPr>
      <w:tabs>
        <w:tab w:val="left" w:pos="720"/>
        <w:tab w:val="decimal" w:leader="dot" w:pos="8640"/>
      </w:tabs>
      <w:spacing w:after="2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rb">
    <w:name w:val="frb"/>
    <w:rPr>
      <w:rFonts w:cs="Times New Roman"/>
    </w:rPr>
  </w:style>
  <w:style w:type="paragraph" w:customStyle="1" w:styleId="Default">
    <w:name w:val="Default"/>
    <w:pPr>
      <w:autoSpaceDE w:val="0"/>
      <w:autoSpaceDN w:val="0"/>
      <w:adjustRightInd w:val="0"/>
    </w:pPr>
    <w:rPr>
      <w:rFonts w:eastAsia="Calibri"/>
      <w:color w:val="000000"/>
      <w:sz w:val="24"/>
      <w:szCs w:val="24"/>
    </w:rPr>
  </w:style>
  <w:style w:type="character" w:customStyle="1" w:styleId="FooterChar">
    <w:name w:val="Footer Char"/>
    <w:link w:val="Footer"/>
    <w:uiPriority w:val="99"/>
    <w:rPr>
      <w:sz w:val="24"/>
      <w:szCs w:val="24"/>
    </w:rPr>
  </w:style>
  <w:style w:type="character" w:styleId="FollowedHyperlink">
    <w:name w:val="FollowedHyperlink"/>
    <w:rPr>
      <w:color w:val="800080"/>
      <w:u w:val="single"/>
    </w:rPr>
  </w:style>
  <w:style w:type="paragraph" w:customStyle="1" w:styleId="ColorfulList-Accent12">
    <w:name w:val="Colorful List - Accent 12"/>
    <w:basedOn w:val="Normal"/>
    <w:qFormat/>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A829B9"/>
    <w:rPr>
      <w:sz w:val="24"/>
      <w:szCs w:val="24"/>
    </w:rPr>
  </w:style>
  <w:style w:type="character" w:customStyle="1" w:styleId="BodyTextChar">
    <w:name w:val="Body Text Char"/>
    <w:link w:val="BodyText"/>
    <w:rPr>
      <w:rFonts w:ascii="Arial" w:hAnsi="Arial"/>
      <w:spacing w:val="-5"/>
    </w:rPr>
  </w:style>
  <w:style w:type="character" w:customStyle="1" w:styleId="Heading1Char">
    <w:name w:val="Heading 1 Char"/>
    <w:basedOn w:val="DefaultParagraphFont"/>
    <w:link w:val="Heading1"/>
    <w:rsid w:val="00935AC3"/>
    <w:rPr>
      <w:rFonts w:ascii="Times New Roman Bold" w:hAnsi="Times New Roman Bold"/>
      <w:b/>
      <w:caps/>
      <w:sz w:val="24"/>
      <w:szCs w:val="24"/>
    </w:rPr>
  </w:style>
  <w:style w:type="character" w:customStyle="1" w:styleId="Heading3Char">
    <w:name w:val="Heading 3 Char"/>
    <w:basedOn w:val="DefaultParagraphFont"/>
    <w:link w:val="Heading3"/>
    <w:rsid w:val="00935AC3"/>
    <w:rPr>
      <w:rFonts w:ascii="Times New Roman Bold" w:hAnsi="Times New Roman 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423">
      <w:bodyDiv w:val="1"/>
      <w:marLeft w:val="0"/>
      <w:marRight w:val="0"/>
      <w:marTop w:val="0"/>
      <w:marBottom w:val="0"/>
      <w:divBdr>
        <w:top w:val="none" w:sz="0" w:space="0" w:color="auto"/>
        <w:left w:val="none" w:sz="0" w:space="0" w:color="auto"/>
        <w:bottom w:val="none" w:sz="0" w:space="0" w:color="auto"/>
        <w:right w:val="none" w:sz="0" w:space="0" w:color="auto"/>
      </w:divBdr>
    </w:div>
    <w:div w:id="461189164">
      <w:bodyDiv w:val="1"/>
      <w:marLeft w:val="60"/>
      <w:marRight w:val="60"/>
      <w:marTop w:val="60"/>
      <w:marBottom w:val="15"/>
      <w:divBdr>
        <w:top w:val="none" w:sz="0" w:space="0" w:color="auto"/>
        <w:left w:val="none" w:sz="0" w:space="0" w:color="auto"/>
        <w:bottom w:val="none" w:sz="0" w:space="0" w:color="auto"/>
        <w:right w:val="none" w:sz="0" w:space="0" w:color="auto"/>
      </w:divBdr>
      <w:divsChild>
        <w:div w:id="1398474429">
          <w:marLeft w:val="0"/>
          <w:marRight w:val="0"/>
          <w:marTop w:val="0"/>
          <w:marBottom w:val="0"/>
          <w:divBdr>
            <w:top w:val="none" w:sz="0" w:space="0" w:color="auto"/>
            <w:left w:val="none" w:sz="0" w:space="0" w:color="auto"/>
            <w:bottom w:val="none" w:sz="0" w:space="0" w:color="auto"/>
            <w:right w:val="none" w:sz="0" w:space="0" w:color="auto"/>
          </w:divBdr>
        </w:div>
      </w:divsChild>
    </w:div>
    <w:div w:id="975643849">
      <w:bodyDiv w:val="1"/>
      <w:marLeft w:val="60"/>
      <w:marRight w:val="60"/>
      <w:marTop w:val="60"/>
      <w:marBottom w:val="15"/>
      <w:divBdr>
        <w:top w:val="none" w:sz="0" w:space="0" w:color="auto"/>
        <w:left w:val="none" w:sz="0" w:space="0" w:color="auto"/>
        <w:bottom w:val="none" w:sz="0" w:space="0" w:color="auto"/>
        <w:right w:val="none" w:sz="0" w:space="0" w:color="auto"/>
      </w:divBdr>
      <w:divsChild>
        <w:div w:id="914514162">
          <w:marLeft w:val="0"/>
          <w:marRight w:val="0"/>
          <w:marTop w:val="0"/>
          <w:marBottom w:val="0"/>
          <w:divBdr>
            <w:top w:val="none" w:sz="0" w:space="0" w:color="auto"/>
            <w:left w:val="none" w:sz="0" w:space="0" w:color="auto"/>
            <w:bottom w:val="none" w:sz="0" w:space="0" w:color="auto"/>
            <w:right w:val="none" w:sz="0" w:space="0" w:color="auto"/>
          </w:divBdr>
        </w:div>
      </w:divsChild>
    </w:div>
    <w:div w:id="1594821209">
      <w:bodyDiv w:val="1"/>
      <w:marLeft w:val="0"/>
      <w:marRight w:val="0"/>
      <w:marTop w:val="0"/>
      <w:marBottom w:val="0"/>
      <w:divBdr>
        <w:top w:val="none" w:sz="0" w:space="0" w:color="auto"/>
        <w:left w:val="none" w:sz="0" w:space="0" w:color="auto"/>
        <w:bottom w:val="none" w:sz="0" w:space="0" w:color="auto"/>
        <w:right w:val="none" w:sz="0" w:space="0" w:color="auto"/>
      </w:divBdr>
    </w:div>
    <w:div w:id="16841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Nolan@theoec.org" TargetMode="External"/><Relationship Id="rId26" Type="http://schemas.openxmlformats.org/officeDocument/2006/relationships/hyperlink" Target="mailto:joliker@igsenergy.com" TargetMode="External"/><Relationship Id="rId39" Type="http://schemas.openxmlformats.org/officeDocument/2006/relationships/hyperlink" Target="mailto:Amy.spiller@duke-energy.com" TargetMode="External"/><Relationship Id="rId21" Type="http://schemas.openxmlformats.org/officeDocument/2006/relationships/hyperlink" Target="mailto:nathan@buckeyeforestcouncil.org" TargetMode="External"/><Relationship Id="rId34" Type="http://schemas.openxmlformats.org/officeDocument/2006/relationships/hyperlink" Target="mailto:jnice@energy-avenue.com" TargetMode="External"/><Relationship Id="rId42" Type="http://schemas.openxmlformats.org/officeDocument/2006/relationships/hyperlink" Target="mailto:trent@theoec.org" TargetMode="External"/><Relationship Id="rId47" Type="http://schemas.openxmlformats.org/officeDocument/2006/relationships/hyperlink" Target="mailto:cdunn@firstenergycorp.com" TargetMode="External"/><Relationship Id="rId50" Type="http://schemas.openxmlformats.org/officeDocument/2006/relationships/hyperlink" Target="mailto:ricks@OHANET.org"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llwein@keglerbrown.com" TargetMode="External"/><Relationship Id="rId25" Type="http://schemas.openxmlformats.org/officeDocument/2006/relationships/hyperlink" Target="mailto:mswhite@igsenergy.com" TargetMode="External"/><Relationship Id="rId33" Type="http://schemas.openxmlformats.org/officeDocument/2006/relationships/hyperlink" Target="mailto:Emma.berndt@opower.com" TargetMode="External"/><Relationship Id="rId38" Type="http://schemas.openxmlformats.org/officeDocument/2006/relationships/hyperlink" Target="mailto:tculley@kfwlaw.com" TargetMode="External"/><Relationship Id="rId46" Type="http://schemas.openxmlformats.org/officeDocument/2006/relationships/hyperlink" Target="mailto:burkj@firstenergycorp.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lliam.wright@puc.state.oh.us" TargetMode="External"/><Relationship Id="rId20" Type="http://schemas.openxmlformats.org/officeDocument/2006/relationships/hyperlink" Target="mailto:annie@votesolar.org" TargetMode="External"/><Relationship Id="rId29" Type="http://schemas.openxmlformats.org/officeDocument/2006/relationships/hyperlink" Target="mailto:stnourse@aep.com" TargetMode="External"/><Relationship Id="rId41" Type="http://schemas.openxmlformats.org/officeDocument/2006/relationships/hyperlink" Target="mailto:Elizabeth.watts@duke-energy.com" TargetMode="External"/><Relationship Id="rId54" Type="http://schemas.openxmlformats.org/officeDocument/2006/relationships/hyperlink" Target="mailto:rdove@attorneydov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udi.sobecki@dplinc.com" TargetMode="External"/><Relationship Id="rId32" Type="http://schemas.openxmlformats.org/officeDocument/2006/relationships/hyperlink" Target="mailto:sgiles@hullinc.com" TargetMode="External"/><Relationship Id="rId37" Type="http://schemas.openxmlformats.org/officeDocument/2006/relationships/hyperlink" Target="mailto:jkeyes@kfwlaw.com" TargetMode="External"/><Relationship Id="rId40" Type="http://schemas.openxmlformats.org/officeDocument/2006/relationships/hyperlink" Target="mailto:Jeanne.kingery@duke-energy.com" TargetMode="External"/><Relationship Id="rId45" Type="http://schemas.openxmlformats.org/officeDocument/2006/relationships/hyperlink" Target="mailto:scasto@firstenergycorp.com" TargetMode="External"/><Relationship Id="rId53" Type="http://schemas.openxmlformats.org/officeDocument/2006/relationships/hyperlink" Target="mailto:jennifer.lause@directenergy.com"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smhoward@vorys.com" TargetMode="External"/><Relationship Id="rId28" Type="http://schemas.openxmlformats.org/officeDocument/2006/relationships/hyperlink" Target="mailto:mjstatterwhite@aep.com" TargetMode="External"/><Relationship Id="rId36" Type="http://schemas.openxmlformats.org/officeDocument/2006/relationships/hyperlink" Target="mailto:Bryce.mckenney@puc.state.oh.us" TargetMode="External"/><Relationship Id="rId49" Type="http://schemas.openxmlformats.org/officeDocument/2006/relationships/hyperlink" Target="mailto:cloucas@ohiopartners.org" TargetMode="External"/><Relationship Id="rId57"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bojko@carpenterlipps.com" TargetMode="External"/><Relationship Id="rId31" Type="http://schemas.openxmlformats.org/officeDocument/2006/relationships/hyperlink" Target="mailto:mswhite@igsenergy.com" TargetMode="External"/><Relationship Id="rId44" Type="http://schemas.openxmlformats.org/officeDocument/2006/relationships/hyperlink" Target="mailto:haydenm@firstenergycorp.com" TargetMode="External"/><Relationship Id="rId52" Type="http://schemas.openxmlformats.org/officeDocument/2006/relationships/hyperlink" Target="mailto:joseph.clark@directenergy.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hpetricoff@vorys.com" TargetMode="External"/><Relationship Id="rId27" Type="http://schemas.openxmlformats.org/officeDocument/2006/relationships/hyperlink" Target="mailto:vparisi@igsenergy.com" TargetMode="External"/><Relationship Id="rId30" Type="http://schemas.openxmlformats.org/officeDocument/2006/relationships/hyperlink" Target="mailto:msmckenzie@aep.com" TargetMode="External"/><Relationship Id="rId35" Type="http://schemas.openxmlformats.org/officeDocument/2006/relationships/hyperlink" Target="mailto:sechler@carpenterlipps.com" TargetMode="External"/><Relationship Id="rId43" Type="http://schemas.openxmlformats.org/officeDocument/2006/relationships/hyperlink" Target="mailto:selliott@metrocdengineering.com" TargetMode="External"/><Relationship Id="rId48" Type="http://schemas.openxmlformats.org/officeDocument/2006/relationships/hyperlink" Target="mailto:cmooney@ohiopartners.org"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mailto:tobrien@bricker.co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greentechmedia.com/articles/read/german-energy-storage-not-for-the-faint-he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2159</Words>
  <Characters>12825</Characters>
  <Application>Microsoft Office Word</Application>
  <DocSecurity>0</DocSecurity>
  <Lines>277</Lines>
  <Paragraphs>101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15028</CharactersWithSpaces>
  <SharedDoc>false</SharedDoc>
  <HyperlinkBase> </HyperlinkBase>
  <HLinks>
    <vt:vector size="6" baseType="variant">
      <vt:variant>
        <vt:i4>7667805</vt:i4>
      </vt:variant>
      <vt:variant>
        <vt:i4>0</vt:i4>
      </vt:variant>
      <vt:variant>
        <vt:i4>0</vt:i4>
      </vt:variant>
      <vt:variant>
        <vt:i4>5</vt:i4>
      </vt:variant>
      <vt:variant>
        <vt:lpwstr>http://www.greentechmedia.com/articles/read/german-ener_x001f_gy-storage-not-for-the-faint-hearted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2013-01-07T19:53:00Z</cp:lastPrinted>
  <dcterms:created xsi:type="dcterms:W3CDTF">2016-01-08T19:46:00Z</dcterms:created>
  <dcterms:modified xsi:type="dcterms:W3CDTF">2016-01-08T19:46:00Z</dcterms:modified>
  <cp:category> </cp:category>
  <cp:contentStatus> </cp:contentStatus>
</cp:coreProperties>
</file>