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6A5C8E" w:rsidRPr="00A561A5" w:rsidP="006A5C8E">
      <w:pPr>
        <w:pStyle w:val="BodyText"/>
        <w:spacing w:line="240" w:lineRule="auto"/>
        <w:jc w:val="right"/>
        <w:rPr>
          <w:b/>
          <w:i/>
        </w:rPr>
      </w:pPr>
      <w:bookmarkStart w:id="0" w:name="_Toc249780366"/>
      <w:bookmarkStart w:id="1" w:name="_Toc249782093"/>
      <w:bookmarkStart w:id="2" w:name="_GoBack"/>
      <w:bookmarkEnd w:id="2"/>
      <w:r w:rsidRPr="00A561A5">
        <w:rPr>
          <w:b/>
          <w:i/>
        </w:rPr>
        <w:t>OCC EXHIBIT NO. ______</w:t>
      </w:r>
      <w:bookmarkEnd w:id="0"/>
      <w:bookmarkEnd w:id="1"/>
    </w:p>
    <w:p w:rsidR="006A5C8E" w:rsidRPr="00A561A5" w:rsidP="001642E5">
      <w:pPr>
        <w:jc w:val="center"/>
        <w:rPr>
          <w:rFonts w:ascii="Times New Roman" w:hAnsi="Times New Roman" w:cs="Times New Roman"/>
          <w:b/>
          <w:bCs/>
        </w:rPr>
      </w:pPr>
    </w:p>
    <w:p w:rsidR="00A561A5" w:rsidP="001642E5">
      <w:pPr>
        <w:jc w:val="center"/>
        <w:rPr>
          <w:rFonts w:ascii="Times New Roman" w:hAnsi="Times New Roman" w:cs="Times New Roman"/>
          <w:b/>
          <w:bCs/>
        </w:rPr>
      </w:pPr>
      <w:r w:rsidRPr="00A561A5">
        <w:rPr>
          <w:rFonts w:ascii="Times New Roman" w:hAnsi="Times New Roman" w:cs="Times New Roman"/>
          <w:b/>
          <w:bCs/>
        </w:rPr>
        <w:t xml:space="preserve">BEFORE </w:t>
      </w:r>
    </w:p>
    <w:p w:rsidR="000F0EEC" w:rsidRPr="00A561A5" w:rsidP="001642E5">
      <w:pPr>
        <w:jc w:val="center"/>
        <w:rPr>
          <w:rFonts w:ascii="Times New Roman" w:hAnsi="Times New Roman" w:cs="Times New Roman"/>
          <w:b/>
          <w:bCs/>
        </w:rPr>
      </w:pPr>
      <w:r w:rsidRPr="00A561A5">
        <w:rPr>
          <w:rFonts w:ascii="Times New Roman" w:hAnsi="Times New Roman" w:cs="Times New Roman"/>
          <w:b/>
          <w:bCs/>
        </w:rPr>
        <w:t>THE</w:t>
      </w:r>
      <w:r w:rsidR="00A561A5">
        <w:rPr>
          <w:rFonts w:ascii="Times New Roman" w:hAnsi="Times New Roman" w:cs="Times New Roman"/>
          <w:b/>
          <w:bCs/>
        </w:rPr>
        <w:t xml:space="preserve"> </w:t>
      </w:r>
      <w:r w:rsidRPr="00A561A5">
        <w:rPr>
          <w:rFonts w:ascii="Times New Roman" w:hAnsi="Times New Roman" w:cs="Times New Roman"/>
          <w:b/>
          <w:bCs/>
        </w:rPr>
        <w:t>PUBLIC UTILITIES COMMISSION OF OHIO</w:t>
      </w:r>
    </w:p>
    <w:p w:rsidR="006A5C8E" w:rsidRPr="00A561A5" w:rsidP="006A5C8E">
      <w:pPr>
        <w:jc w:val="center"/>
        <w:rPr>
          <w:rFonts w:ascii="Times New Roman" w:hAnsi="Times New Roman" w:cs="Times New Roman"/>
          <w:b/>
          <w:bCs/>
        </w:rPr>
      </w:pPr>
    </w:p>
    <w:tbl>
      <w:tblPr>
        <w:tblW w:w="9092" w:type="dxa"/>
        <w:tblLook w:val="01E0"/>
      </w:tblPr>
      <w:tblGrid>
        <w:gridCol w:w="4332"/>
        <w:gridCol w:w="360"/>
        <w:gridCol w:w="4400"/>
      </w:tblGrid>
      <w:tr w:rsidTr="006A5C8E">
        <w:tblPrEx>
          <w:tblW w:w="9092" w:type="dxa"/>
          <w:tblLook w:val="01E0"/>
        </w:tblPrEx>
        <w:trPr>
          <w:trHeight w:val="807"/>
        </w:trPr>
        <w:tc>
          <w:tcPr>
            <w:tcW w:w="4332" w:type="dxa"/>
            <w:shd w:val="clear" w:color="auto" w:fill="auto"/>
          </w:tcPr>
          <w:p w:rsidR="006A5C8E" w:rsidRPr="00A561A5" w:rsidP="005E53DA">
            <w:pPr>
              <w:autoSpaceDE w:val="0"/>
              <w:autoSpaceDN w:val="0"/>
              <w:adjustRightInd w:val="0"/>
              <w:rPr>
                <w:rFonts w:ascii="Times New Roman" w:hAnsi="Times New Roman" w:cs="Times New Roman"/>
              </w:rPr>
            </w:pPr>
            <w:r w:rsidRPr="00A561A5">
              <w:rPr>
                <w:rFonts w:ascii="Times New Roman" w:hAnsi="Times New Roman" w:cs="Times New Roman"/>
              </w:rPr>
              <w:t xml:space="preserve">In the Matter of the Application of the Application of Dayton Power and Light Company for Approval of Its Plan to Modernize Its Distribution Grid. </w:t>
            </w:r>
          </w:p>
        </w:tc>
        <w:tc>
          <w:tcPr>
            <w:tcW w:w="360" w:type="dxa"/>
            <w:shd w:val="clear" w:color="auto" w:fill="auto"/>
          </w:tcPr>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p>
        </w:tc>
        <w:tc>
          <w:tcPr>
            <w:tcW w:w="4400" w:type="dxa"/>
            <w:shd w:val="clear" w:color="auto" w:fill="auto"/>
          </w:tcPr>
          <w:p w:rsidR="006A5C8E" w:rsidRPr="00A561A5" w:rsidP="005E53DA">
            <w:pPr>
              <w:pStyle w:val="HTMLPreformatted"/>
              <w:rPr>
                <w:rFonts w:ascii="Times New Roman" w:eastAsia="Courier New" w:hAnsi="Times New Roman"/>
                <w:sz w:val="24"/>
                <w:szCs w:val="24"/>
              </w:rPr>
            </w:pP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Case No. 18-1875-EL-GRD</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 xml:space="preserve"> </w:t>
            </w:r>
          </w:p>
          <w:p w:rsidR="006A5C8E" w:rsidRPr="00A561A5" w:rsidP="005E53DA">
            <w:pPr>
              <w:autoSpaceDE w:val="0"/>
              <w:autoSpaceDN w:val="0"/>
              <w:adjustRightInd w:val="0"/>
              <w:rPr>
                <w:rFonts w:ascii="Times New Roman" w:hAnsi="Times New Roman" w:cs="Times New Roman"/>
              </w:rPr>
            </w:pPr>
          </w:p>
        </w:tc>
      </w:tr>
    </w:tbl>
    <w:p w:rsidR="006A5C8E" w:rsidRPr="00A561A5" w:rsidP="006A5C8E">
      <w:pPr>
        <w:pStyle w:val="BodyText"/>
        <w:spacing w:line="240" w:lineRule="auto"/>
        <w:ind w:left="0"/>
        <w:jc w:val="center"/>
        <w:rPr>
          <w:b/>
        </w:rPr>
      </w:pPr>
    </w:p>
    <w:tbl>
      <w:tblPr>
        <w:tblW w:w="9092" w:type="dxa"/>
        <w:tblLook w:val="01E0"/>
      </w:tblPr>
      <w:tblGrid>
        <w:gridCol w:w="4332"/>
        <w:gridCol w:w="360"/>
        <w:gridCol w:w="4400"/>
      </w:tblGrid>
      <w:tr w:rsidTr="005E53DA">
        <w:tblPrEx>
          <w:tblW w:w="9092" w:type="dxa"/>
          <w:tblLook w:val="01E0"/>
        </w:tblPrEx>
        <w:trPr>
          <w:trHeight w:val="807"/>
        </w:trPr>
        <w:tc>
          <w:tcPr>
            <w:tcW w:w="4332" w:type="dxa"/>
            <w:shd w:val="clear" w:color="auto" w:fill="auto"/>
          </w:tcPr>
          <w:p w:rsidR="006A5C8E" w:rsidRPr="00A561A5" w:rsidP="005E53DA">
            <w:pPr>
              <w:autoSpaceDE w:val="0"/>
              <w:autoSpaceDN w:val="0"/>
              <w:adjustRightInd w:val="0"/>
              <w:rPr>
                <w:rFonts w:ascii="Times New Roman" w:hAnsi="Times New Roman" w:cs="Times New Roman"/>
              </w:rPr>
            </w:pPr>
            <w:r w:rsidRPr="00A561A5">
              <w:rPr>
                <w:rFonts w:ascii="Times New Roman" w:hAnsi="Times New Roman" w:cs="Times New Roman"/>
              </w:rPr>
              <w:t xml:space="preserve">In the Matter of the Application of the Dayton Power and Light Company for Approval of A Limited Waiver of Ohio Adm. Code 4901:1-18-06(A)(2). </w:t>
            </w:r>
          </w:p>
        </w:tc>
        <w:tc>
          <w:tcPr>
            <w:tcW w:w="360" w:type="dxa"/>
            <w:shd w:val="clear" w:color="auto" w:fill="auto"/>
          </w:tcPr>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p>
        </w:tc>
        <w:tc>
          <w:tcPr>
            <w:tcW w:w="4400" w:type="dxa"/>
            <w:shd w:val="clear" w:color="auto" w:fill="auto"/>
          </w:tcPr>
          <w:p w:rsidR="006A5C8E" w:rsidRPr="00A561A5" w:rsidP="005E53DA">
            <w:pPr>
              <w:pStyle w:val="HTMLPreformatted"/>
              <w:rPr>
                <w:rFonts w:ascii="Times New Roman" w:eastAsia="Courier New" w:hAnsi="Times New Roman"/>
                <w:sz w:val="24"/>
                <w:szCs w:val="24"/>
              </w:rPr>
            </w:pP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 xml:space="preserve">Case No. 18-1876-EL-WVR </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 xml:space="preserve"> </w:t>
            </w:r>
          </w:p>
          <w:p w:rsidR="006A5C8E" w:rsidRPr="00A561A5" w:rsidP="005E53DA">
            <w:pPr>
              <w:autoSpaceDE w:val="0"/>
              <w:autoSpaceDN w:val="0"/>
              <w:adjustRightInd w:val="0"/>
              <w:rPr>
                <w:rFonts w:ascii="Times New Roman" w:hAnsi="Times New Roman" w:cs="Times New Roman"/>
              </w:rPr>
            </w:pPr>
          </w:p>
        </w:tc>
      </w:tr>
    </w:tbl>
    <w:p w:rsidR="006A5C8E" w:rsidRPr="00A561A5" w:rsidP="006A5C8E">
      <w:pPr>
        <w:jc w:val="center"/>
        <w:rPr>
          <w:rFonts w:ascii="Times New Roman" w:hAnsi="Times New Roman" w:cs="Times New Roman"/>
        </w:rPr>
      </w:pPr>
    </w:p>
    <w:tbl>
      <w:tblPr>
        <w:tblW w:w="9092" w:type="dxa"/>
        <w:tblLook w:val="01E0"/>
      </w:tblPr>
      <w:tblGrid>
        <w:gridCol w:w="4332"/>
        <w:gridCol w:w="360"/>
        <w:gridCol w:w="4400"/>
      </w:tblGrid>
      <w:tr w:rsidTr="005E53DA">
        <w:tblPrEx>
          <w:tblW w:w="9092" w:type="dxa"/>
          <w:tblLook w:val="01E0"/>
        </w:tblPrEx>
        <w:trPr>
          <w:trHeight w:val="807"/>
        </w:trPr>
        <w:tc>
          <w:tcPr>
            <w:tcW w:w="4332" w:type="dxa"/>
            <w:shd w:val="clear" w:color="auto" w:fill="auto"/>
          </w:tcPr>
          <w:p w:rsidR="006A5C8E" w:rsidRPr="00A561A5" w:rsidP="005E53DA">
            <w:pPr>
              <w:autoSpaceDE w:val="0"/>
              <w:autoSpaceDN w:val="0"/>
              <w:adjustRightInd w:val="0"/>
              <w:rPr>
                <w:rFonts w:ascii="Times New Roman" w:hAnsi="Times New Roman" w:cs="Times New Roman"/>
              </w:rPr>
            </w:pPr>
            <w:r w:rsidRPr="00A561A5">
              <w:rPr>
                <w:rFonts w:ascii="Times New Roman" w:hAnsi="Times New Roman" w:cs="Times New Roman"/>
              </w:rPr>
              <w:t xml:space="preserve">In the Matter of the Application of the Dayton Power and Light Company for Approval of Certain Accounting Methods. </w:t>
            </w:r>
          </w:p>
        </w:tc>
        <w:tc>
          <w:tcPr>
            <w:tcW w:w="360" w:type="dxa"/>
            <w:shd w:val="clear" w:color="auto" w:fill="auto"/>
          </w:tcPr>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p>
        </w:tc>
        <w:tc>
          <w:tcPr>
            <w:tcW w:w="4400" w:type="dxa"/>
            <w:shd w:val="clear" w:color="auto" w:fill="auto"/>
          </w:tcPr>
          <w:p w:rsidR="006A5C8E" w:rsidRPr="00A561A5" w:rsidP="005E53DA">
            <w:pPr>
              <w:pStyle w:val="HTMLPreformatted"/>
              <w:rPr>
                <w:rFonts w:ascii="Times New Roman" w:eastAsia="Courier New" w:hAnsi="Times New Roman"/>
                <w:sz w:val="24"/>
                <w:szCs w:val="24"/>
              </w:rPr>
            </w:pP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Case No. 18-1877-EL-AAM</w:t>
            </w:r>
          </w:p>
          <w:p w:rsidR="006A5C8E" w:rsidRPr="00A561A5" w:rsidP="005E53DA">
            <w:pPr>
              <w:pStyle w:val="HTMLPreformatted"/>
              <w:rPr>
                <w:rFonts w:ascii="Times New Roman" w:eastAsia="Courier New" w:hAnsi="Times New Roman"/>
                <w:sz w:val="24"/>
                <w:szCs w:val="24"/>
              </w:rPr>
            </w:pPr>
          </w:p>
          <w:p w:rsidR="006A5C8E" w:rsidRPr="00A561A5" w:rsidP="005E53DA">
            <w:pPr>
              <w:autoSpaceDE w:val="0"/>
              <w:autoSpaceDN w:val="0"/>
              <w:adjustRightInd w:val="0"/>
              <w:rPr>
                <w:rFonts w:ascii="Times New Roman" w:hAnsi="Times New Roman" w:cs="Times New Roman"/>
              </w:rPr>
            </w:pPr>
          </w:p>
        </w:tc>
      </w:tr>
    </w:tbl>
    <w:p w:rsidR="006A5C8E" w:rsidRPr="00A561A5" w:rsidP="006A5C8E">
      <w:pPr>
        <w:pStyle w:val="BodyText"/>
        <w:spacing w:line="240" w:lineRule="auto"/>
        <w:ind w:left="0"/>
        <w:jc w:val="center"/>
        <w:rPr>
          <w:b/>
        </w:rPr>
      </w:pPr>
    </w:p>
    <w:tbl>
      <w:tblPr>
        <w:tblW w:w="9092" w:type="dxa"/>
        <w:tblLook w:val="01E0"/>
      </w:tblPr>
      <w:tblGrid>
        <w:gridCol w:w="4332"/>
        <w:gridCol w:w="360"/>
        <w:gridCol w:w="4400"/>
      </w:tblGrid>
      <w:tr w:rsidTr="005E53DA">
        <w:tblPrEx>
          <w:tblW w:w="9092" w:type="dxa"/>
          <w:tblLook w:val="01E0"/>
        </w:tblPrEx>
        <w:trPr>
          <w:trHeight w:val="807"/>
        </w:trPr>
        <w:tc>
          <w:tcPr>
            <w:tcW w:w="4332" w:type="dxa"/>
            <w:shd w:val="clear" w:color="auto" w:fill="auto"/>
          </w:tcPr>
          <w:p w:rsidR="006A5C8E" w:rsidRPr="00A561A5" w:rsidP="005E53DA">
            <w:pPr>
              <w:autoSpaceDE w:val="0"/>
              <w:autoSpaceDN w:val="0"/>
              <w:adjustRightInd w:val="0"/>
              <w:rPr>
                <w:rFonts w:ascii="Times New Roman" w:hAnsi="Times New Roman" w:cs="Times New Roman"/>
              </w:rPr>
            </w:pPr>
            <w:r w:rsidRPr="00A561A5">
              <w:rPr>
                <w:rFonts w:ascii="Times New Roman" w:hAnsi="Times New Roman" w:cs="Times New Roman"/>
              </w:rPr>
              <w:t xml:space="preserve">In the Matter of the Application of the Dayton Power and Light Company for Administration of the Significantly Excessive Earnings Test under R.C. 4928.143(F) and Ohio Adm. Code 4901:1-35-10 for 2018. </w:t>
            </w:r>
          </w:p>
        </w:tc>
        <w:tc>
          <w:tcPr>
            <w:tcW w:w="360" w:type="dxa"/>
            <w:shd w:val="clear" w:color="auto" w:fill="auto"/>
          </w:tcPr>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tc>
        <w:tc>
          <w:tcPr>
            <w:tcW w:w="4400" w:type="dxa"/>
            <w:shd w:val="clear" w:color="auto" w:fill="auto"/>
          </w:tcPr>
          <w:p w:rsidR="006A5C8E" w:rsidRPr="00A561A5" w:rsidP="005E53DA">
            <w:pPr>
              <w:pStyle w:val="HTMLPreformatted"/>
              <w:rPr>
                <w:rFonts w:ascii="Times New Roman" w:eastAsia="Courier New" w:hAnsi="Times New Roman"/>
                <w:sz w:val="24"/>
                <w:szCs w:val="24"/>
              </w:rPr>
            </w:pPr>
          </w:p>
          <w:p w:rsidR="006A5C8E" w:rsidRPr="00A561A5" w:rsidP="005E53DA">
            <w:pPr>
              <w:pStyle w:val="HTMLPreformatted"/>
              <w:rPr>
                <w:rFonts w:ascii="Times New Roman" w:eastAsia="Courier New" w:hAnsi="Times New Roman"/>
                <w:sz w:val="24"/>
                <w:szCs w:val="24"/>
              </w:rPr>
            </w:pP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 xml:space="preserve">Case No. 19-1121-EL-UNC </w:t>
            </w:r>
          </w:p>
          <w:p w:rsidR="006A5C8E" w:rsidRPr="00A561A5" w:rsidP="005E53DA">
            <w:pPr>
              <w:pStyle w:val="HTMLPreformatted"/>
              <w:rPr>
                <w:rFonts w:ascii="Times New Roman" w:eastAsia="Courier New" w:hAnsi="Times New Roman"/>
                <w:sz w:val="24"/>
                <w:szCs w:val="24"/>
              </w:rPr>
            </w:pPr>
          </w:p>
          <w:p w:rsidR="006A5C8E" w:rsidRPr="00A561A5" w:rsidP="005E53DA">
            <w:pPr>
              <w:pStyle w:val="HTMLPreformatted"/>
              <w:rPr>
                <w:rFonts w:ascii="Times New Roman" w:eastAsia="Courier New" w:hAnsi="Times New Roman"/>
                <w:sz w:val="24"/>
                <w:szCs w:val="24"/>
              </w:rPr>
            </w:pPr>
          </w:p>
          <w:p w:rsidR="006A5C8E" w:rsidRPr="00A561A5" w:rsidP="005E53DA">
            <w:pPr>
              <w:autoSpaceDE w:val="0"/>
              <w:autoSpaceDN w:val="0"/>
              <w:adjustRightInd w:val="0"/>
              <w:rPr>
                <w:rFonts w:ascii="Times New Roman" w:hAnsi="Times New Roman" w:cs="Times New Roman"/>
              </w:rPr>
            </w:pPr>
          </w:p>
        </w:tc>
      </w:tr>
    </w:tbl>
    <w:p w:rsidR="006A5C8E" w:rsidRPr="00A561A5" w:rsidP="006A5C8E">
      <w:pPr>
        <w:jc w:val="center"/>
        <w:rPr>
          <w:rFonts w:ascii="Times New Roman" w:hAnsi="Times New Roman" w:cs="Times New Roman"/>
        </w:rPr>
      </w:pPr>
    </w:p>
    <w:tbl>
      <w:tblPr>
        <w:tblW w:w="9092" w:type="dxa"/>
        <w:tblLook w:val="01E0"/>
      </w:tblPr>
      <w:tblGrid>
        <w:gridCol w:w="4332"/>
        <w:gridCol w:w="360"/>
        <w:gridCol w:w="4400"/>
      </w:tblGrid>
      <w:tr w:rsidTr="005E53DA">
        <w:tblPrEx>
          <w:tblW w:w="9092" w:type="dxa"/>
          <w:tblLook w:val="01E0"/>
        </w:tblPrEx>
        <w:trPr>
          <w:trHeight w:val="807"/>
        </w:trPr>
        <w:tc>
          <w:tcPr>
            <w:tcW w:w="4332" w:type="dxa"/>
            <w:shd w:val="clear" w:color="auto" w:fill="auto"/>
          </w:tcPr>
          <w:p w:rsidR="006A5C8E" w:rsidRPr="00A561A5" w:rsidP="005E53DA">
            <w:pPr>
              <w:autoSpaceDE w:val="0"/>
              <w:autoSpaceDN w:val="0"/>
              <w:adjustRightInd w:val="0"/>
              <w:rPr>
                <w:rFonts w:ascii="Times New Roman" w:hAnsi="Times New Roman" w:cs="Times New Roman"/>
              </w:rPr>
            </w:pPr>
            <w:r w:rsidRPr="00A561A5">
              <w:rPr>
                <w:rFonts w:ascii="Times New Roman" w:hAnsi="Times New Roman" w:cs="Times New Roman"/>
              </w:rPr>
              <w:t xml:space="preserve">In the Matter of the Application of the Dayton Power and Light Company for A Finding That Its Current Electric Security Plan Passes the Significantly Excessive Earnings Test and More Favorable in the Aggregate Test in R.C. 4928.143(E). </w:t>
            </w:r>
          </w:p>
        </w:tc>
        <w:tc>
          <w:tcPr>
            <w:tcW w:w="360" w:type="dxa"/>
            <w:shd w:val="clear" w:color="auto" w:fill="auto"/>
          </w:tcPr>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tc>
        <w:tc>
          <w:tcPr>
            <w:tcW w:w="4400" w:type="dxa"/>
            <w:shd w:val="clear" w:color="auto" w:fill="auto"/>
          </w:tcPr>
          <w:p w:rsidR="006A5C8E" w:rsidRPr="00A561A5" w:rsidP="005E53DA">
            <w:pPr>
              <w:pStyle w:val="HTMLPreformatted"/>
              <w:rPr>
                <w:rFonts w:ascii="Times New Roman" w:eastAsia="Courier New" w:hAnsi="Times New Roman"/>
                <w:sz w:val="24"/>
                <w:szCs w:val="24"/>
              </w:rPr>
            </w:pPr>
          </w:p>
          <w:p w:rsidR="006A5C8E" w:rsidRPr="00A561A5" w:rsidP="005E53DA">
            <w:pPr>
              <w:pStyle w:val="HTMLPreformatted"/>
              <w:rPr>
                <w:rFonts w:ascii="Times New Roman" w:eastAsia="Courier New" w:hAnsi="Times New Roman"/>
                <w:sz w:val="24"/>
                <w:szCs w:val="24"/>
              </w:rPr>
            </w:pP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 xml:space="preserve">Case No. 20-680-EL-UNC </w:t>
            </w:r>
          </w:p>
          <w:p w:rsidR="006A5C8E" w:rsidRPr="00A561A5" w:rsidP="005E53DA">
            <w:pPr>
              <w:pStyle w:val="HTMLPreformatted"/>
              <w:rPr>
                <w:rFonts w:ascii="Times New Roman" w:eastAsia="Courier New" w:hAnsi="Times New Roman"/>
                <w:sz w:val="24"/>
                <w:szCs w:val="24"/>
              </w:rPr>
            </w:pPr>
          </w:p>
          <w:p w:rsidR="006A5C8E" w:rsidRPr="00A561A5" w:rsidP="005E53DA">
            <w:pPr>
              <w:pStyle w:val="HTMLPreformatted"/>
              <w:rPr>
                <w:rFonts w:ascii="Times New Roman" w:eastAsia="Courier New" w:hAnsi="Times New Roman"/>
                <w:sz w:val="24"/>
                <w:szCs w:val="24"/>
              </w:rPr>
            </w:pPr>
          </w:p>
          <w:p w:rsidR="006A5C8E" w:rsidRPr="00A561A5" w:rsidP="005E53DA">
            <w:pPr>
              <w:autoSpaceDE w:val="0"/>
              <w:autoSpaceDN w:val="0"/>
              <w:adjustRightInd w:val="0"/>
              <w:rPr>
                <w:rFonts w:ascii="Times New Roman" w:hAnsi="Times New Roman" w:cs="Times New Roman"/>
              </w:rPr>
            </w:pPr>
          </w:p>
        </w:tc>
      </w:tr>
    </w:tbl>
    <w:p w:rsidR="006A5C8E" w:rsidRPr="00A561A5" w:rsidP="006A5C8E">
      <w:pPr>
        <w:pStyle w:val="BodyText"/>
        <w:spacing w:line="240" w:lineRule="auto"/>
        <w:ind w:left="0"/>
        <w:jc w:val="center"/>
        <w:rPr>
          <w:b/>
        </w:rPr>
      </w:pPr>
    </w:p>
    <w:tbl>
      <w:tblPr>
        <w:tblW w:w="9092" w:type="dxa"/>
        <w:tblLook w:val="01E0"/>
      </w:tblPr>
      <w:tblGrid>
        <w:gridCol w:w="4332"/>
        <w:gridCol w:w="360"/>
        <w:gridCol w:w="4400"/>
      </w:tblGrid>
      <w:tr w:rsidTr="005E53DA">
        <w:tblPrEx>
          <w:tblW w:w="9092" w:type="dxa"/>
          <w:tblLook w:val="01E0"/>
        </w:tblPrEx>
        <w:trPr>
          <w:trHeight w:val="807"/>
        </w:trPr>
        <w:tc>
          <w:tcPr>
            <w:tcW w:w="4332" w:type="dxa"/>
            <w:shd w:val="clear" w:color="auto" w:fill="auto"/>
          </w:tcPr>
          <w:p w:rsidR="006A5C8E" w:rsidRPr="00A561A5" w:rsidP="005E53DA">
            <w:pPr>
              <w:autoSpaceDE w:val="0"/>
              <w:autoSpaceDN w:val="0"/>
              <w:adjustRightInd w:val="0"/>
              <w:rPr>
                <w:rFonts w:ascii="Times New Roman" w:hAnsi="Times New Roman" w:cs="Times New Roman"/>
              </w:rPr>
            </w:pPr>
            <w:r w:rsidRPr="00A561A5">
              <w:rPr>
                <w:rFonts w:ascii="Times New Roman" w:hAnsi="Times New Roman" w:cs="Times New Roman"/>
              </w:rPr>
              <w:t xml:space="preserve">In the Matter of the Application of the Dayton Power and Light Company for Administration of the Significantly Excessive Earnings Test under R.C. 4928.143(F) and Ohio Adm. Code 4901:1-35-10 for 2019. </w:t>
            </w:r>
          </w:p>
        </w:tc>
        <w:tc>
          <w:tcPr>
            <w:tcW w:w="360" w:type="dxa"/>
            <w:shd w:val="clear" w:color="auto" w:fill="auto"/>
          </w:tcPr>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w:t>
            </w:r>
          </w:p>
        </w:tc>
        <w:tc>
          <w:tcPr>
            <w:tcW w:w="4400" w:type="dxa"/>
            <w:shd w:val="clear" w:color="auto" w:fill="auto"/>
          </w:tcPr>
          <w:p w:rsidR="006A5C8E" w:rsidRPr="00A561A5" w:rsidP="005E53DA">
            <w:pPr>
              <w:pStyle w:val="HTMLPreformatted"/>
              <w:rPr>
                <w:rFonts w:ascii="Times New Roman" w:eastAsia="Courier New" w:hAnsi="Times New Roman"/>
                <w:sz w:val="24"/>
                <w:szCs w:val="24"/>
              </w:rPr>
            </w:pPr>
          </w:p>
          <w:p w:rsidR="006A5C8E" w:rsidRPr="00A561A5" w:rsidP="005E53DA">
            <w:pPr>
              <w:pStyle w:val="HTMLPreformatted"/>
              <w:rPr>
                <w:rFonts w:ascii="Times New Roman" w:eastAsia="Courier New" w:hAnsi="Times New Roman"/>
                <w:sz w:val="24"/>
                <w:szCs w:val="24"/>
              </w:rPr>
            </w:pPr>
          </w:p>
          <w:p w:rsidR="006A5C8E" w:rsidRPr="00A561A5" w:rsidP="005E53DA">
            <w:pPr>
              <w:pStyle w:val="HTMLPreformatted"/>
              <w:rPr>
                <w:rFonts w:ascii="Times New Roman" w:eastAsia="Courier New" w:hAnsi="Times New Roman"/>
                <w:sz w:val="24"/>
                <w:szCs w:val="24"/>
              </w:rPr>
            </w:pPr>
            <w:r w:rsidRPr="00A561A5">
              <w:rPr>
                <w:rFonts w:ascii="Times New Roman" w:eastAsia="Courier New" w:hAnsi="Times New Roman"/>
                <w:sz w:val="24"/>
                <w:szCs w:val="24"/>
              </w:rPr>
              <w:t xml:space="preserve">Case No. 20-1041-EL-UNC </w:t>
            </w:r>
          </w:p>
          <w:p w:rsidR="006A5C8E" w:rsidRPr="00A561A5" w:rsidP="005E53DA">
            <w:pPr>
              <w:pStyle w:val="HTMLPreformatted"/>
              <w:rPr>
                <w:rFonts w:ascii="Times New Roman" w:eastAsia="Courier New" w:hAnsi="Times New Roman"/>
                <w:sz w:val="24"/>
                <w:szCs w:val="24"/>
              </w:rPr>
            </w:pPr>
          </w:p>
          <w:p w:rsidR="006A5C8E" w:rsidRPr="00A561A5" w:rsidP="005E53DA">
            <w:pPr>
              <w:pStyle w:val="HTMLPreformatted"/>
              <w:rPr>
                <w:rFonts w:ascii="Times New Roman" w:eastAsia="Courier New" w:hAnsi="Times New Roman"/>
                <w:sz w:val="24"/>
                <w:szCs w:val="24"/>
              </w:rPr>
            </w:pPr>
          </w:p>
          <w:p w:rsidR="006A5C8E" w:rsidRPr="00A561A5" w:rsidP="005E53DA">
            <w:pPr>
              <w:autoSpaceDE w:val="0"/>
              <w:autoSpaceDN w:val="0"/>
              <w:adjustRightInd w:val="0"/>
              <w:rPr>
                <w:rFonts w:ascii="Times New Roman" w:hAnsi="Times New Roman" w:cs="Times New Roman"/>
              </w:rPr>
            </w:pPr>
          </w:p>
        </w:tc>
      </w:tr>
    </w:tbl>
    <w:p w:rsidR="000F0EEC" w:rsidRPr="00A561A5" w:rsidP="001642E5">
      <w:pPr>
        <w:rPr>
          <w:rFonts w:ascii="Times New Roman" w:hAnsi="Times New Roman" w:cs="Times New Roman"/>
        </w:rPr>
      </w:pPr>
    </w:p>
    <w:p w:rsidR="00784CD9" w:rsidRPr="00A561A5" w:rsidP="001642E5">
      <w:pPr>
        <w:jc w:val="center"/>
        <w:rPr>
          <w:rFonts w:ascii="Times New Roman" w:hAnsi="Times New Roman" w:cs="Times New Roman"/>
        </w:rPr>
      </w:pPr>
    </w:p>
    <w:p w:rsidR="00784CD9" w:rsidRPr="00A561A5" w:rsidP="001642E5">
      <w:pPr>
        <w:jc w:val="center"/>
        <w:rPr>
          <w:rFonts w:ascii="Times New Roman" w:hAnsi="Times New Roman" w:cs="Times New Roman"/>
        </w:rPr>
      </w:pPr>
    </w:p>
    <w:p w:rsidR="00784CD9" w:rsidRPr="00A561A5" w:rsidP="001642E5">
      <w:pPr>
        <w:jc w:val="center"/>
        <w:rPr>
          <w:rFonts w:ascii="Times New Roman" w:hAnsi="Times New Roman" w:cs="Times New Roman"/>
        </w:rPr>
      </w:pPr>
    </w:p>
    <w:p w:rsidR="006262D8" w:rsidRPr="00A561A5" w:rsidP="001642E5">
      <w:pPr>
        <w:jc w:val="center"/>
        <w:rPr>
          <w:rFonts w:ascii="Times New Roman" w:hAnsi="Times New Roman" w:cs="Times New Roman"/>
        </w:rPr>
      </w:pPr>
    </w:p>
    <w:p w:rsidR="00806702" w:rsidRPr="00A561A5" w:rsidP="001642E5">
      <w:pPr>
        <w:jc w:val="center"/>
        <w:rPr>
          <w:rFonts w:ascii="Times New Roman" w:hAnsi="Times New Roman" w:cs="Times New Roman"/>
        </w:rPr>
      </w:pPr>
    </w:p>
    <w:p w:rsidR="00806702" w:rsidRPr="00A561A5" w:rsidP="001642E5">
      <w:pPr>
        <w:jc w:val="center"/>
        <w:rPr>
          <w:rFonts w:ascii="Times New Roman" w:hAnsi="Times New Roman" w:cs="Times New Roman"/>
        </w:rPr>
      </w:pPr>
    </w:p>
    <w:p w:rsidR="00806702" w:rsidRPr="00A561A5" w:rsidP="001642E5">
      <w:pPr>
        <w:jc w:val="center"/>
        <w:rPr>
          <w:rFonts w:ascii="Times New Roman" w:hAnsi="Times New Roman" w:cs="Times New Roman"/>
        </w:rPr>
      </w:pPr>
    </w:p>
    <w:p w:rsidR="006262D8" w:rsidRPr="00A561A5" w:rsidP="001642E5">
      <w:pPr>
        <w:jc w:val="center"/>
        <w:rPr>
          <w:rFonts w:ascii="Times New Roman" w:hAnsi="Times New Roman" w:cs="Times New Roman"/>
        </w:rPr>
      </w:pPr>
    </w:p>
    <w:p w:rsidR="006262D8" w:rsidRPr="00A561A5" w:rsidP="001642E5">
      <w:pPr>
        <w:jc w:val="center"/>
        <w:rPr>
          <w:rFonts w:ascii="Times New Roman" w:hAnsi="Times New Roman" w:cs="Times New Roman"/>
        </w:rPr>
      </w:pPr>
    </w:p>
    <w:p w:rsidR="00770491" w:rsidRPr="00A561A5" w:rsidP="001642E5">
      <w:pPr>
        <w:jc w:val="center"/>
        <w:rPr>
          <w:rFonts w:ascii="Times New Roman" w:hAnsi="Times New Roman" w:cs="Times New Roman"/>
          <w:b/>
          <w:bCs/>
        </w:rPr>
      </w:pPr>
      <w:r w:rsidRPr="00A561A5">
        <w:rPr>
          <w:rFonts w:ascii="Times New Roman" w:hAnsi="Times New Roman" w:cs="Times New Roman"/>
          <w:b/>
          <w:bCs/>
        </w:rPr>
        <w:t xml:space="preserve">TESTIMONY </w:t>
      </w:r>
    </w:p>
    <w:p w:rsidR="006A5C8E" w:rsidRPr="00A561A5" w:rsidP="001642E5">
      <w:pPr>
        <w:jc w:val="center"/>
        <w:rPr>
          <w:rFonts w:ascii="Times New Roman" w:hAnsi="Times New Roman" w:cs="Times New Roman"/>
          <w:b/>
          <w:bCs/>
        </w:rPr>
      </w:pPr>
      <w:r w:rsidRPr="00A561A5">
        <w:rPr>
          <w:rFonts w:ascii="Times New Roman" w:hAnsi="Times New Roman" w:cs="Times New Roman"/>
          <w:b/>
          <w:bCs/>
        </w:rPr>
        <w:t>OPPOSING</w:t>
      </w:r>
      <w:r w:rsidRPr="00A561A5" w:rsidR="00770491">
        <w:rPr>
          <w:rFonts w:ascii="Times New Roman" w:hAnsi="Times New Roman" w:cs="Times New Roman"/>
          <w:b/>
          <w:bCs/>
        </w:rPr>
        <w:t xml:space="preserve"> THE SETTLEMENT AND MAKING CONSUMER RECOMMENDATIONS</w:t>
      </w:r>
    </w:p>
    <w:p w:rsidR="000F0EEC" w:rsidRPr="00A561A5" w:rsidP="001642E5">
      <w:pPr>
        <w:jc w:val="center"/>
        <w:rPr>
          <w:rFonts w:ascii="Times New Roman" w:hAnsi="Times New Roman" w:cs="Times New Roman"/>
          <w:b/>
          <w:bCs/>
        </w:rPr>
      </w:pPr>
      <w:r w:rsidRPr="00A561A5">
        <w:rPr>
          <w:rFonts w:ascii="Times New Roman" w:hAnsi="Times New Roman" w:cs="Times New Roman"/>
          <w:b/>
          <w:bCs/>
        </w:rPr>
        <w:t>OF</w:t>
      </w:r>
    </w:p>
    <w:p w:rsidR="000F0EEC" w:rsidRPr="00A561A5" w:rsidP="001642E5">
      <w:pPr>
        <w:jc w:val="center"/>
        <w:rPr>
          <w:rFonts w:ascii="Times New Roman" w:hAnsi="Times New Roman" w:cs="Times New Roman"/>
          <w:b/>
          <w:bCs/>
        </w:rPr>
      </w:pPr>
      <w:r w:rsidRPr="00A561A5">
        <w:rPr>
          <w:rFonts w:ascii="Times New Roman" w:hAnsi="Times New Roman" w:cs="Times New Roman"/>
          <w:b/>
          <w:bCs/>
        </w:rPr>
        <w:t>EDWARD W. HILL, Ph.D.</w:t>
      </w:r>
    </w:p>
    <w:p w:rsidR="00AD2FEB" w:rsidRPr="00A561A5" w:rsidP="001642E5">
      <w:pPr>
        <w:jc w:val="center"/>
        <w:rPr>
          <w:rFonts w:ascii="Times New Roman" w:hAnsi="Times New Roman" w:cs="Times New Roman"/>
          <w:b/>
          <w:bCs/>
        </w:rPr>
      </w:pPr>
    </w:p>
    <w:p w:rsidR="006A5C8E" w:rsidRPr="00A561A5" w:rsidP="001642E5">
      <w:pPr>
        <w:jc w:val="center"/>
        <w:rPr>
          <w:rFonts w:ascii="Times New Roman" w:hAnsi="Times New Roman" w:cs="Times New Roman"/>
          <w:b/>
          <w:bCs/>
        </w:rPr>
      </w:pPr>
    </w:p>
    <w:p w:rsidR="006A5C8E" w:rsidRPr="00A561A5" w:rsidP="001642E5">
      <w:pPr>
        <w:jc w:val="center"/>
        <w:rPr>
          <w:rFonts w:ascii="Times New Roman" w:hAnsi="Times New Roman" w:cs="Times New Roman"/>
          <w:b/>
          <w:bCs/>
        </w:rPr>
      </w:pPr>
    </w:p>
    <w:p w:rsidR="006A5C8E" w:rsidRPr="00A561A5" w:rsidP="001642E5">
      <w:pPr>
        <w:jc w:val="center"/>
        <w:rPr>
          <w:rFonts w:ascii="Times New Roman" w:hAnsi="Times New Roman" w:cs="Times New Roman"/>
          <w:b/>
          <w:bCs/>
        </w:rPr>
      </w:pPr>
      <w:r w:rsidRPr="00A561A5">
        <w:rPr>
          <w:rFonts w:ascii="Times New Roman" w:hAnsi="Times New Roman" w:cs="Times New Roman"/>
          <w:b/>
          <w:bCs/>
        </w:rPr>
        <w:t>On Behalf of</w:t>
      </w:r>
    </w:p>
    <w:p w:rsidR="000F0EEC" w:rsidRPr="00A561A5" w:rsidP="001642E5">
      <w:pPr>
        <w:jc w:val="center"/>
        <w:rPr>
          <w:rFonts w:ascii="Times New Roman" w:hAnsi="Times New Roman" w:cs="Times New Roman"/>
          <w:b/>
          <w:bCs/>
        </w:rPr>
      </w:pPr>
      <w:r w:rsidRPr="00A561A5">
        <w:rPr>
          <w:rFonts w:ascii="Times New Roman" w:hAnsi="Times New Roman" w:cs="Times New Roman"/>
          <w:b/>
          <w:bCs/>
        </w:rPr>
        <w:t>The Office of the Ohio Consumer’s Counsel</w:t>
      </w:r>
    </w:p>
    <w:p w:rsidR="006A5C8E" w:rsidRPr="00A561A5" w:rsidP="006A5C8E">
      <w:pPr>
        <w:jc w:val="center"/>
        <w:rPr>
          <w:rFonts w:ascii="Times New Roman" w:hAnsi="Times New Roman" w:cs="Times New Roman"/>
          <w:i/>
          <w:iCs/>
        </w:rPr>
      </w:pPr>
      <w:r w:rsidRPr="00A561A5">
        <w:rPr>
          <w:rFonts w:ascii="Times New Roman" w:hAnsi="Times New Roman" w:cs="Times New Roman"/>
          <w:i/>
          <w:iCs/>
        </w:rPr>
        <w:t>65 East State Street, 7th Floor</w:t>
      </w:r>
    </w:p>
    <w:p w:rsidR="006A5C8E" w:rsidRPr="00A561A5" w:rsidP="006A5C8E">
      <w:pPr>
        <w:jc w:val="center"/>
        <w:rPr>
          <w:rFonts w:ascii="Times New Roman" w:hAnsi="Times New Roman" w:cs="Times New Roman"/>
          <w:i/>
          <w:iCs/>
        </w:rPr>
      </w:pPr>
      <w:r w:rsidRPr="00A561A5">
        <w:rPr>
          <w:rFonts w:ascii="Times New Roman" w:hAnsi="Times New Roman" w:cs="Times New Roman"/>
          <w:i/>
          <w:iCs/>
        </w:rPr>
        <w:t>Columbus, Ohio 43215</w:t>
      </w:r>
    </w:p>
    <w:p w:rsidR="006A5C8E" w:rsidRPr="00A561A5" w:rsidP="006A5C8E">
      <w:pPr>
        <w:jc w:val="center"/>
        <w:rPr>
          <w:rFonts w:ascii="Times New Roman" w:hAnsi="Times New Roman" w:cs="Times New Roman"/>
        </w:rPr>
      </w:pPr>
    </w:p>
    <w:p w:rsidR="006A5C8E" w:rsidRPr="00A561A5" w:rsidP="006A5C8E">
      <w:pPr>
        <w:jc w:val="center"/>
        <w:rPr>
          <w:rFonts w:ascii="Times New Roman" w:hAnsi="Times New Roman" w:cs="Times New Roman"/>
        </w:rPr>
      </w:pPr>
    </w:p>
    <w:p w:rsidR="006A5C8E" w:rsidRPr="00A561A5" w:rsidP="001642E5">
      <w:pPr>
        <w:jc w:val="center"/>
        <w:rPr>
          <w:rFonts w:ascii="Times New Roman" w:hAnsi="Times New Roman" w:cs="Times New Roman"/>
          <w:b/>
          <w:bCs/>
        </w:rPr>
      </w:pPr>
    </w:p>
    <w:p w:rsidR="000F0EEC" w:rsidRPr="00A561A5" w:rsidP="001642E5">
      <w:pPr>
        <w:jc w:val="center"/>
        <w:rPr>
          <w:rFonts w:ascii="Times New Roman" w:hAnsi="Times New Roman" w:cs="Times New Roman"/>
          <w:b/>
          <w:bCs/>
        </w:rPr>
      </w:pPr>
      <w:r w:rsidRPr="00A561A5">
        <w:rPr>
          <w:rFonts w:ascii="Times New Roman" w:hAnsi="Times New Roman" w:cs="Times New Roman"/>
          <w:b/>
          <w:bCs/>
        </w:rPr>
        <w:t>DECEMBER 1</w:t>
      </w:r>
      <w:r w:rsidRPr="00A561A5" w:rsidR="00811468">
        <w:rPr>
          <w:rFonts w:ascii="Times New Roman" w:hAnsi="Times New Roman" w:cs="Times New Roman"/>
          <w:b/>
          <w:bCs/>
        </w:rPr>
        <w:t>7</w:t>
      </w:r>
      <w:r w:rsidRPr="00A561A5">
        <w:rPr>
          <w:rFonts w:ascii="Times New Roman" w:hAnsi="Times New Roman" w:cs="Times New Roman"/>
          <w:b/>
          <w:bCs/>
        </w:rPr>
        <w:t>, 2020</w:t>
      </w:r>
    </w:p>
    <w:p w:rsidR="000F0EEC" w:rsidRPr="00A561A5" w:rsidP="001642E5">
      <w:pPr>
        <w:spacing w:line="480" w:lineRule="auto"/>
        <w:rPr>
          <w:rFonts w:ascii="Times New Roman" w:hAnsi="Times New Roman" w:cs="Times New Roman"/>
        </w:rPr>
      </w:pPr>
    </w:p>
    <w:p w:rsidR="00784CD9" w:rsidRPr="00A561A5" w:rsidP="001642E5">
      <w:pPr>
        <w:spacing w:line="480" w:lineRule="auto"/>
        <w:rPr>
          <w:rFonts w:ascii="Times New Roman" w:hAnsi="Times New Roman" w:cs="Times New Roman"/>
        </w:rPr>
      </w:pPr>
    </w:p>
    <w:p w:rsidR="00784CD9" w:rsidRPr="00A561A5" w:rsidP="001642E5">
      <w:pPr>
        <w:spacing w:line="480" w:lineRule="auto"/>
        <w:rPr>
          <w:rFonts w:ascii="Times New Roman" w:hAnsi="Times New Roman" w:cs="Times New Roman"/>
        </w:rPr>
      </w:pPr>
    </w:p>
    <w:p w:rsidR="000F0EEC" w:rsidRPr="00A561A5" w:rsidP="001642E5">
      <w:pPr>
        <w:spacing w:line="480" w:lineRule="auto"/>
        <w:jc w:val="center"/>
        <w:rPr>
          <w:rFonts w:ascii="Times New Roman" w:hAnsi="Times New Roman" w:cs="Times New Roman"/>
        </w:rPr>
      </w:pPr>
    </w:p>
    <w:p w:rsidR="00784CD9" w:rsidRPr="00A561A5" w:rsidP="001642E5">
      <w:pPr>
        <w:spacing w:line="480" w:lineRule="auto"/>
        <w:rPr>
          <w:rFonts w:ascii="Times New Roman" w:hAnsi="Times New Roman" w:cs="Times New Roman"/>
        </w:rPr>
      </w:pPr>
    </w:p>
    <w:p w:rsidR="00784CD9" w:rsidRPr="00A561A5" w:rsidP="001642E5">
      <w:pPr>
        <w:spacing w:line="480" w:lineRule="auto"/>
        <w:rPr>
          <w:rFonts w:ascii="Times New Roman" w:hAnsi="Times New Roman" w:cs="Times New Roman"/>
        </w:rPr>
      </w:pPr>
    </w:p>
    <w:p w:rsidR="009A4993" w:rsidRPr="00A561A5" w:rsidP="001642E5">
      <w:pPr>
        <w:spacing w:line="480" w:lineRule="auto"/>
        <w:rPr>
          <w:rFonts w:ascii="Times New Roman" w:hAnsi="Times New Roman" w:cs="Times New Roman"/>
        </w:rPr>
        <w:sectPr w:rsidSect="009977A4">
          <w:footerReference w:type="even" r:id="rId6"/>
          <w:footerReference w:type="default" r:id="rId7"/>
          <w:pgSz w:w="12240" w:h="15840"/>
          <w:pgMar w:top="1440" w:right="1440" w:bottom="1440" w:left="1440" w:header="720" w:footer="720" w:gutter="0"/>
          <w:cols w:space="720"/>
          <w:docGrid w:linePitch="360"/>
        </w:sectPr>
      </w:pPr>
    </w:p>
    <w:p w:rsidR="006A5C8E" w:rsidRPr="00A561A5" w:rsidP="006A5C8E">
      <w:pPr>
        <w:pStyle w:val="BodyText"/>
        <w:spacing w:line="240" w:lineRule="auto"/>
        <w:ind w:left="0"/>
        <w:jc w:val="center"/>
        <w:rPr>
          <w:b/>
          <w:u w:val="single"/>
        </w:rPr>
      </w:pPr>
      <w:r w:rsidRPr="00A561A5">
        <w:rPr>
          <w:b/>
          <w:u w:val="single"/>
        </w:rPr>
        <w:t>TABLE OF CONTENTS</w:t>
      </w:r>
    </w:p>
    <w:p w:rsidR="006A5C8E" w:rsidRPr="00A561A5" w:rsidP="006A5C8E">
      <w:pPr>
        <w:pStyle w:val="BodyText"/>
        <w:spacing w:line="240" w:lineRule="auto"/>
        <w:ind w:left="0"/>
        <w:jc w:val="right"/>
        <w:rPr>
          <w:b/>
        </w:rPr>
      </w:pPr>
      <w:r w:rsidRPr="00A561A5">
        <w:rPr>
          <w:b/>
        </w:rPr>
        <w:t>PAGE</w:t>
      </w:r>
    </w:p>
    <w:p w:rsidR="00806702" w:rsidRPr="00A561A5" w:rsidP="006A5C8E">
      <w:pPr>
        <w:pStyle w:val="BodyText"/>
        <w:spacing w:line="240" w:lineRule="auto"/>
        <w:ind w:left="0"/>
        <w:jc w:val="right"/>
        <w:rPr>
          <w:b/>
        </w:rPr>
      </w:pPr>
    </w:p>
    <w:p w:rsidR="00136D85">
      <w:pPr>
        <w:pStyle w:val="TOC1"/>
        <w:rPr>
          <w:rFonts w:asciiTheme="minorHAnsi" w:eastAsiaTheme="minorEastAsia" w:hAnsiTheme="minorHAnsi"/>
          <w:noProof/>
          <w:sz w:val="22"/>
          <w:szCs w:val="22"/>
        </w:rPr>
      </w:pPr>
      <w:r w:rsidRPr="00A561A5">
        <w:rPr>
          <w:rFonts w:cs="Times New Roman"/>
          <w:b/>
          <w:bCs/>
          <w:u w:val="single"/>
        </w:rPr>
        <w:fldChar w:fldCharType="begin"/>
      </w:r>
      <w:r w:rsidRPr="00A561A5" w:rsidR="00806702">
        <w:rPr>
          <w:rFonts w:cs="Times New Roman"/>
          <w:b/>
          <w:bCs/>
          <w:u w:val="single"/>
        </w:rPr>
        <w:instrText xml:space="preserve"> TOC \o "1-3" \h \z \u </w:instrText>
      </w:r>
      <w:r w:rsidRPr="00A561A5">
        <w:rPr>
          <w:rFonts w:cs="Times New Roman"/>
          <w:b/>
          <w:bCs/>
          <w:u w:val="single"/>
        </w:rPr>
        <w:fldChar w:fldCharType="separate"/>
      </w:r>
      <w:hyperlink w:anchor="_Toc59115785" w:history="1">
        <w:r w:rsidRPr="00E9666E">
          <w:rPr>
            <w:rStyle w:val="Hyperlink"/>
            <w:rFonts w:cs="Times New Roman"/>
            <w:noProof/>
          </w:rPr>
          <w:t>I.</w:t>
        </w:r>
        <w:r>
          <w:rPr>
            <w:rFonts w:asciiTheme="minorHAnsi" w:eastAsiaTheme="minorEastAsia" w:hAnsiTheme="minorHAnsi"/>
            <w:noProof/>
            <w:sz w:val="22"/>
            <w:szCs w:val="22"/>
          </w:rPr>
          <w:tab/>
        </w:r>
        <w:r w:rsidRPr="00E9666E">
          <w:rPr>
            <w:rStyle w:val="Hyperlink"/>
            <w:rFonts w:cs="Times New Roman"/>
            <w:noProof/>
          </w:rPr>
          <w:t>INTRODUCTION</w:t>
        </w:r>
        <w:r>
          <w:rPr>
            <w:noProof/>
            <w:webHidden/>
          </w:rPr>
          <w:tab/>
        </w:r>
        <w:r>
          <w:rPr>
            <w:noProof/>
            <w:webHidden/>
          </w:rPr>
          <w:fldChar w:fldCharType="begin"/>
        </w:r>
        <w:r>
          <w:rPr>
            <w:noProof/>
            <w:webHidden/>
          </w:rPr>
          <w:instrText xml:space="preserve"> PAGEREF _Toc59115785 \h </w:instrText>
        </w:r>
        <w:r>
          <w:rPr>
            <w:noProof/>
            <w:webHidden/>
          </w:rPr>
          <w:fldChar w:fldCharType="separate"/>
        </w:r>
        <w:r>
          <w:rPr>
            <w:noProof/>
            <w:webHidden/>
          </w:rPr>
          <w:t>1</w:t>
        </w:r>
        <w:r>
          <w:rPr>
            <w:noProof/>
            <w:webHidden/>
          </w:rPr>
          <w:fldChar w:fldCharType="end"/>
        </w:r>
      </w:hyperlink>
    </w:p>
    <w:p w:rsidR="00136D85">
      <w:pPr>
        <w:pStyle w:val="TOC1"/>
        <w:rPr>
          <w:rFonts w:asciiTheme="minorHAnsi" w:eastAsiaTheme="minorEastAsia" w:hAnsiTheme="minorHAnsi"/>
          <w:noProof/>
          <w:sz w:val="22"/>
          <w:szCs w:val="22"/>
        </w:rPr>
      </w:pPr>
      <w:hyperlink w:anchor="_Toc59115786" w:history="1">
        <w:r w:rsidRPr="00E9666E">
          <w:rPr>
            <w:rStyle w:val="Hyperlink"/>
            <w:rFonts w:cs="Times New Roman"/>
            <w:noProof/>
          </w:rPr>
          <w:t>II.</w:t>
        </w:r>
        <w:r>
          <w:rPr>
            <w:rFonts w:asciiTheme="minorHAnsi" w:eastAsiaTheme="minorEastAsia" w:hAnsiTheme="minorHAnsi"/>
            <w:noProof/>
            <w:sz w:val="22"/>
            <w:szCs w:val="22"/>
          </w:rPr>
          <w:tab/>
        </w:r>
        <w:r w:rsidRPr="00E9666E">
          <w:rPr>
            <w:rStyle w:val="Hyperlink"/>
            <w:rFonts w:cs="Times New Roman"/>
            <w:noProof/>
          </w:rPr>
          <w:t>PURPOSE AND ARGUMENT</w:t>
        </w:r>
        <w:r>
          <w:rPr>
            <w:noProof/>
            <w:webHidden/>
          </w:rPr>
          <w:tab/>
        </w:r>
        <w:r>
          <w:rPr>
            <w:noProof/>
            <w:webHidden/>
          </w:rPr>
          <w:fldChar w:fldCharType="begin"/>
        </w:r>
        <w:r>
          <w:rPr>
            <w:noProof/>
            <w:webHidden/>
          </w:rPr>
          <w:instrText xml:space="preserve"> PAGEREF _Toc59115786 \h </w:instrText>
        </w:r>
        <w:r>
          <w:rPr>
            <w:noProof/>
            <w:webHidden/>
          </w:rPr>
          <w:fldChar w:fldCharType="separate"/>
        </w:r>
        <w:r>
          <w:rPr>
            <w:noProof/>
            <w:webHidden/>
          </w:rPr>
          <w:t>4</w:t>
        </w:r>
        <w:r>
          <w:rPr>
            <w:noProof/>
            <w:webHidden/>
          </w:rPr>
          <w:fldChar w:fldCharType="end"/>
        </w:r>
      </w:hyperlink>
    </w:p>
    <w:p w:rsidR="00136D85">
      <w:pPr>
        <w:pStyle w:val="TOC1"/>
        <w:rPr>
          <w:rFonts w:asciiTheme="minorHAnsi" w:eastAsiaTheme="minorEastAsia" w:hAnsiTheme="minorHAnsi"/>
          <w:noProof/>
          <w:sz w:val="22"/>
          <w:szCs w:val="22"/>
        </w:rPr>
      </w:pPr>
      <w:hyperlink w:anchor="_Toc59115787" w:history="1">
        <w:r w:rsidRPr="00E9666E">
          <w:rPr>
            <w:rStyle w:val="Hyperlink"/>
            <w:rFonts w:cs="Times New Roman"/>
            <w:noProof/>
          </w:rPr>
          <w:t>III.</w:t>
        </w:r>
        <w:r>
          <w:rPr>
            <w:rFonts w:asciiTheme="minorHAnsi" w:eastAsiaTheme="minorEastAsia" w:hAnsiTheme="minorHAnsi"/>
            <w:noProof/>
            <w:sz w:val="22"/>
            <w:szCs w:val="22"/>
          </w:rPr>
          <w:tab/>
        </w:r>
        <w:r w:rsidRPr="00E9666E">
          <w:rPr>
            <w:rStyle w:val="Hyperlink"/>
            <w:rFonts w:cs="Times New Roman"/>
            <w:noProof/>
          </w:rPr>
          <w:t>EVIDENCE OF THE EXISTENCE OF REDISTRIBUTIVE COALITIONS</w:t>
        </w:r>
        <w:r>
          <w:rPr>
            <w:noProof/>
            <w:webHidden/>
          </w:rPr>
          <w:tab/>
        </w:r>
        <w:r>
          <w:rPr>
            <w:noProof/>
            <w:webHidden/>
          </w:rPr>
          <w:fldChar w:fldCharType="begin"/>
        </w:r>
        <w:r>
          <w:rPr>
            <w:noProof/>
            <w:webHidden/>
          </w:rPr>
          <w:instrText xml:space="preserve"> PAGEREF _Toc59115787 \h </w:instrText>
        </w:r>
        <w:r>
          <w:rPr>
            <w:noProof/>
            <w:webHidden/>
          </w:rPr>
          <w:fldChar w:fldCharType="separate"/>
        </w:r>
        <w:r>
          <w:rPr>
            <w:noProof/>
            <w:webHidden/>
          </w:rPr>
          <w:t>14</w:t>
        </w:r>
        <w:r>
          <w:rPr>
            <w:noProof/>
            <w:webHidden/>
          </w:rPr>
          <w:fldChar w:fldCharType="end"/>
        </w:r>
      </w:hyperlink>
    </w:p>
    <w:p w:rsidR="006A5C8E" w:rsidRPr="00A561A5" w:rsidP="001642E5">
      <w:pPr>
        <w:spacing w:after="120" w:line="480" w:lineRule="auto"/>
        <w:rPr>
          <w:rFonts w:ascii="Times New Roman" w:hAnsi="Times New Roman" w:cs="Times New Roman"/>
          <w:b/>
          <w:bCs/>
          <w:u w:val="single"/>
        </w:rPr>
      </w:pPr>
      <w:r w:rsidRPr="00A561A5">
        <w:rPr>
          <w:rFonts w:ascii="Times New Roman" w:hAnsi="Times New Roman" w:cs="Times New Roman"/>
          <w:b/>
          <w:bCs/>
          <w:u w:val="single"/>
        </w:rPr>
        <w:fldChar w:fldCharType="end"/>
      </w:r>
    </w:p>
    <w:p w:rsidR="006A5C8E" w:rsidRPr="00A561A5" w:rsidP="001642E5">
      <w:pPr>
        <w:spacing w:after="120" w:line="480" w:lineRule="auto"/>
        <w:rPr>
          <w:rFonts w:ascii="Times New Roman" w:hAnsi="Times New Roman" w:cs="Times New Roman"/>
          <w:b/>
          <w:bCs/>
          <w:u w:val="single"/>
        </w:rPr>
      </w:pPr>
    </w:p>
    <w:p w:rsidR="008133A9" w:rsidRPr="00A561A5" w:rsidP="001642E5">
      <w:pPr>
        <w:spacing w:after="120" w:line="480" w:lineRule="auto"/>
        <w:rPr>
          <w:rFonts w:ascii="Times New Roman" w:hAnsi="Times New Roman" w:cs="Times New Roman"/>
          <w:b/>
          <w:bCs/>
          <w:u w:val="single"/>
        </w:rPr>
        <w:sectPr w:rsidSect="006A5C8E">
          <w:footerReference w:type="default" r:id="rId8"/>
          <w:pgSz w:w="12240" w:h="15840"/>
          <w:pgMar w:top="1440" w:right="1440" w:bottom="1440" w:left="1440" w:header="720" w:footer="720" w:gutter="0"/>
          <w:pgNumType w:fmt="lowerRoman" w:start="1"/>
          <w:cols w:space="720"/>
          <w:docGrid w:linePitch="360"/>
        </w:sectPr>
      </w:pPr>
    </w:p>
    <w:p w:rsidR="00BB247E" w:rsidRPr="00A561A5" w:rsidP="00C001C5">
      <w:pPr>
        <w:pStyle w:val="Heading1"/>
        <w:numPr>
          <w:ilvl w:val="0"/>
          <w:numId w:val="11"/>
        </w:numPr>
        <w:ind w:left="720"/>
        <w:rPr>
          <w:rFonts w:ascii="Times New Roman" w:hAnsi="Times New Roman" w:cs="Times New Roman"/>
          <w:szCs w:val="24"/>
        </w:rPr>
      </w:pPr>
      <w:bookmarkStart w:id="3" w:name="_Toc59115785"/>
      <w:r w:rsidRPr="00A561A5">
        <w:rPr>
          <w:rFonts w:ascii="Times New Roman" w:hAnsi="Times New Roman" w:cs="Times New Roman"/>
          <w:szCs w:val="24"/>
        </w:rPr>
        <w:t>INTRODUCTION</w:t>
      </w:r>
      <w:bookmarkEnd w:id="3"/>
    </w:p>
    <w:p w:rsidR="00C001C5" w:rsidRPr="00A561A5" w:rsidP="00C001C5">
      <w:pPr>
        <w:spacing w:line="480" w:lineRule="auto"/>
        <w:rPr>
          <w:rFonts w:ascii="Times New Roman" w:hAnsi="Times New Roman" w:cs="Times New Roman"/>
        </w:rPr>
      </w:pPr>
    </w:p>
    <w:p w:rsidR="002D7364" w:rsidRPr="00A561A5" w:rsidP="001642E5">
      <w:pPr>
        <w:spacing w:after="120" w:line="480" w:lineRule="auto"/>
        <w:rPr>
          <w:rFonts w:ascii="Times New Roman" w:hAnsi="Times New Roman" w:cs="Times New Roman"/>
          <w:b/>
          <w:bCs/>
          <w:i/>
          <w:iCs/>
        </w:rPr>
      </w:pPr>
      <w:r w:rsidRPr="00A561A5">
        <w:rPr>
          <w:rFonts w:ascii="Times New Roman" w:hAnsi="Times New Roman" w:cs="Times New Roman"/>
          <w:b/>
          <w:bCs/>
          <w:i/>
          <w:iCs/>
        </w:rPr>
        <w:t xml:space="preserve">Q1. </w:t>
      </w:r>
      <w:r w:rsidRPr="00A561A5">
        <w:rPr>
          <w:rFonts w:ascii="Times New Roman" w:hAnsi="Times New Roman" w:cs="Times New Roman"/>
          <w:b/>
          <w:bCs/>
          <w:i/>
          <w:iCs/>
        </w:rPr>
        <w:tab/>
        <w:t>PLEASE STATE YOUR NAME, TITLE AND BUSINESS ADDRESS.</w:t>
      </w:r>
    </w:p>
    <w:p w:rsidR="002D7364" w:rsidRPr="00A561A5" w:rsidP="00C001C5">
      <w:pPr>
        <w:spacing w:after="120" w:line="480" w:lineRule="auto"/>
        <w:ind w:left="720" w:hanging="720"/>
        <w:rPr>
          <w:rFonts w:ascii="Times New Roman" w:hAnsi="Times New Roman" w:cs="Times New Roman"/>
        </w:rPr>
      </w:pPr>
      <w:r w:rsidRPr="00A561A5">
        <w:rPr>
          <w:rFonts w:ascii="Times New Roman" w:hAnsi="Times New Roman" w:cs="Times New Roman"/>
          <w:b/>
          <w:bCs/>
          <w:i/>
          <w:iCs/>
        </w:rPr>
        <w:t>A</w:t>
      </w:r>
      <w:r w:rsidRPr="00A561A5" w:rsidR="00C001C5">
        <w:rPr>
          <w:rFonts w:ascii="Times New Roman" w:hAnsi="Times New Roman" w:cs="Times New Roman"/>
          <w:b/>
          <w:bCs/>
          <w:i/>
          <w:iCs/>
        </w:rPr>
        <w:t>1</w:t>
      </w:r>
      <w:r w:rsidRPr="00A561A5">
        <w:rPr>
          <w:rFonts w:ascii="Times New Roman" w:hAnsi="Times New Roman" w:cs="Times New Roman"/>
          <w:b/>
          <w:bCs/>
          <w:i/>
          <w:iCs/>
        </w:rPr>
        <w:t>.</w:t>
      </w:r>
      <w:r w:rsidRPr="00A561A5">
        <w:rPr>
          <w:rFonts w:ascii="Times New Roman" w:hAnsi="Times New Roman" w:cs="Times New Roman"/>
        </w:rPr>
        <w:t xml:space="preserve"> </w:t>
      </w:r>
      <w:r w:rsidRPr="00A561A5" w:rsidR="00C001C5">
        <w:rPr>
          <w:rFonts w:ascii="Times New Roman" w:hAnsi="Times New Roman" w:cs="Times New Roman"/>
        </w:rPr>
        <w:tab/>
      </w:r>
      <w:r w:rsidRPr="00A561A5">
        <w:rPr>
          <w:rFonts w:ascii="Times New Roman" w:hAnsi="Times New Roman" w:cs="Times New Roman"/>
        </w:rPr>
        <w:t>My name is Edward W. Hill</w:t>
      </w:r>
      <w:r w:rsidRPr="00A561A5" w:rsidR="00811468">
        <w:rPr>
          <w:rFonts w:ascii="Times New Roman" w:hAnsi="Times New Roman" w:cs="Times New Roman"/>
        </w:rPr>
        <w:t xml:space="preserve">; I am also referred to as Ned Hill. </w:t>
      </w:r>
      <w:r w:rsidRPr="00A561A5">
        <w:rPr>
          <w:rFonts w:ascii="Times New Roman" w:hAnsi="Times New Roman" w:cs="Times New Roman"/>
        </w:rPr>
        <w:t>I am Professor of Economic Development at the John Glenn College of Public Affairs and the section on City and Regional Planning at The Ohio State University. I am also Senior Research Associate of OSU’s Ohio Manufacturing Institute. My business address is Page Hall, 1810 College Road, Columbus, Ohio 43214.</w:t>
      </w:r>
    </w:p>
    <w:p w:rsidR="00313180" w:rsidRPr="00A561A5" w:rsidP="00B41660">
      <w:pPr>
        <w:spacing w:line="480" w:lineRule="auto"/>
        <w:rPr>
          <w:rFonts w:ascii="Times New Roman" w:hAnsi="Times New Roman" w:cs="Times New Roman"/>
          <w:b/>
          <w:bCs/>
        </w:rPr>
      </w:pPr>
    </w:p>
    <w:p w:rsidR="002D7364" w:rsidRPr="00A561A5" w:rsidP="001642E5">
      <w:pPr>
        <w:spacing w:after="120" w:line="480" w:lineRule="auto"/>
        <w:rPr>
          <w:rFonts w:ascii="Times New Roman" w:hAnsi="Times New Roman" w:cs="Times New Roman"/>
          <w:b/>
          <w:bCs/>
          <w:i/>
          <w:iCs/>
        </w:rPr>
      </w:pPr>
      <w:r w:rsidRPr="00A561A5">
        <w:rPr>
          <w:rFonts w:ascii="Times New Roman" w:hAnsi="Times New Roman" w:cs="Times New Roman"/>
          <w:b/>
          <w:bCs/>
          <w:i/>
          <w:iCs/>
        </w:rPr>
        <w:t>Q2.</w:t>
      </w:r>
      <w:r w:rsidRPr="00A561A5">
        <w:rPr>
          <w:rFonts w:ascii="Times New Roman" w:hAnsi="Times New Roman" w:cs="Times New Roman"/>
          <w:b/>
          <w:bCs/>
          <w:i/>
          <w:iCs/>
        </w:rPr>
        <w:tab/>
        <w:t xml:space="preserve"> ON WHOSE BEHALF AND IN WHAT CAPACITY ARE YOU TESTIFYING?</w:t>
      </w:r>
    </w:p>
    <w:p w:rsidR="002D7364" w:rsidRPr="00A561A5" w:rsidP="00B41660">
      <w:pPr>
        <w:spacing w:after="120" w:line="480" w:lineRule="auto"/>
        <w:ind w:left="720" w:hanging="720"/>
        <w:rPr>
          <w:rFonts w:ascii="Times New Roman" w:hAnsi="Times New Roman" w:cs="Times New Roman"/>
        </w:rPr>
      </w:pPr>
      <w:r w:rsidRPr="00A561A5">
        <w:rPr>
          <w:rFonts w:ascii="Times New Roman" w:hAnsi="Times New Roman" w:cs="Times New Roman"/>
          <w:b/>
          <w:bCs/>
          <w:i/>
          <w:iCs/>
        </w:rPr>
        <w:t>A</w:t>
      </w:r>
      <w:r w:rsidRPr="00A561A5" w:rsidR="00B41660">
        <w:rPr>
          <w:rFonts w:ascii="Times New Roman" w:hAnsi="Times New Roman" w:cs="Times New Roman"/>
          <w:b/>
          <w:bCs/>
          <w:i/>
          <w:iCs/>
        </w:rPr>
        <w:t>2.</w:t>
      </w:r>
      <w:r w:rsidRPr="00A561A5" w:rsidR="00B41660">
        <w:rPr>
          <w:rFonts w:ascii="Times New Roman" w:hAnsi="Times New Roman" w:cs="Times New Roman"/>
        </w:rPr>
        <w:tab/>
      </w:r>
      <w:r w:rsidRPr="00A561A5">
        <w:rPr>
          <w:rFonts w:ascii="Times New Roman" w:hAnsi="Times New Roman" w:cs="Times New Roman"/>
        </w:rPr>
        <w:t xml:space="preserve">I am testifying on behalf of </w:t>
      </w:r>
      <w:r w:rsidRPr="00A561A5" w:rsidR="00AD2FEB">
        <w:rPr>
          <w:rFonts w:ascii="Times New Roman" w:hAnsi="Times New Roman" w:cs="Times New Roman"/>
        </w:rPr>
        <w:t xml:space="preserve">the Office of the </w:t>
      </w:r>
      <w:r w:rsidRPr="00A561A5">
        <w:rPr>
          <w:rFonts w:ascii="Times New Roman" w:hAnsi="Times New Roman" w:cs="Times New Roman"/>
        </w:rPr>
        <w:t>Ohio Consumer’s Counsel</w:t>
      </w:r>
      <w:r w:rsidRPr="00A561A5" w:rsidR="00AD2FEB">
        <w:rPr>
          <w:rFonts w:ascii="Times New Roman" w:hAnsi="Times New Roman" w:cs="Times New Roman"/>
        </w:rPr>
        <w:t xml:space="preserve"> (“OCC”)</w:t>
      </w:r>
      <w:r w:rsidRPr="00A561A5">
        <w:rPr>
          <w:rFonts w:ascii="Times New Roman" w:hAnsi="Times New Roman" w:cs="Times New Roman"/>
        </w:rPr>
        <w:t xml:space="preserve">.  My testimony is my own and does not represent the positions or views of The Ohio State University, The Ohio Manufacturing Institute, The John Glenn College of Public Affairs, or the College of Engineering. I am testifying </w:t>
      </w:r>
      <w:r w:rsidRPr="00A561A5" w:rsidR="00811468">
        <w:rPr>
          <w:rFonts w:ascii="Times New Roman" w:hAnsi="Times New Roman" w:cs="Times New Roman"/>
        </w:rPr>
        <w:t xml:space="preserve">on behalf of </w:t>
      </w:r>
      <w:r w:rsidRPr="00A561A5" w:rsidR="00AD2FEB">
        <w:rPr>
          <w:rFonts w:ascii="Times New Roman" w:hAnsi="Times New Roman" w:cs="Times New Roman"/>
        </w:rPr>
        <w:t>OCC</w:t>
      </w:r>
      <w:r w:rsidRPr="00A561A5" w:rsidR="00000103">
        <w:rPr>
          <w:rFonts w:ascii="Times New Roman" w:hAnsi="Times New Roman" w:cs="Times New Roman"/>
        </w:rPr>
        <w:t>, without remuneration</w:t>
      </w:r>
      <w:r w:rsidRPr="00A561A5" w:rsidR="00811468">
        <w:rPr>
          <w:rFonts w:ascii="Times New Roman" w:hAnsi="Times New Roman" w:cs="Times New Roman"/>
        </w:rPr>
        <w:t xml:space="preserve">. </w:t>
      </w:r>
      <w:r w:rsidRPr="00A561A5">
        <w:rPr>
          <w:rFonts w:ascii="Times New Roman" w:hAnsi="Times New Roman" w:cs="Times New Roman"/>
        </w:rPr>
        <w:t xml:space="preserve"> </w:t>
      </w:r>
    </w:p>
    <w:p w:rsidR="00313180" w:rsidRPr="00A561A5" w:rsidP="00B41660">
      <w:pPr>
        <w:spacing w:line="480" w:lineRule="auto"/>
        <w:rPr>
          <w:rFonts w:ascii="Times New Roman" w:hAnsi="Times New Roman" w:cs="Times New Roman"/>
        </w:rPr>
      </w:pPr>
    </w:p>
    <w:p w:rsidR="0064325A" w:rsidRPr="00A561A5" w:rsidP="00B41660">
      <w:pPr>
        <w:spacing w:after="120" w:line="480" w:lineRule="auto"/>
        <w:ind w:left="720" w:hanging="720"/>
        <w:rPr>
          <w:rFonts w:ascii="Times New Roman" w:hAnsi="Times New Roman" w:cs="Times New Roman"/>
          <w:b/>
          <w:bCs/>
          <w:i/>
          <w:iCs/>
        </w:rPr>
      </w:pPr>
      <w:r w:rsidRPr="00A561A5">
        <w:rPr>
          <w:rFonts w:ascii="Times New Roman" w:hAnsi="Times New Roman" w:cs="Times New Roman"/>
          <w:b/>
          <w:bCs/>
          <w:i/>
          <w:iCs/>
        </w:rPr>
        <w:t xml:space="preserve">Q3. </w:t>
      </w:r>
      <w:r w:rsidRPr="00A561A5">
        <w:rPr>
          <w:rFonts w:ascii="Times New Roman" w:hAnsi="Times New Roman" w:cs="Times New Roman"/>
          <w:b/>
          <w:bCs/>
          <w:i/>
          <w:iCs/>
        </w:rPr>
        <w:tab/>
        <w:t>PLEASE DESCRIBE YOUR EDUCATIONAL BACKGROUND, PROFESSIONAL QUALIFICATIONS, AND EMPLOYMENT EXPERIENCE.</w:t>
      </w:r>
    </w:p>
    <w:p w:rsidR="00811468" w:rsidRPr="00A561A5" w:rsidP="00B41660">
      <w:pPr>
        <w:spacing w:line="480" w:lineRule="auto"/>
        <w:ind w:left="720" w:hanging="720"/>
        <w:rPr>
          <w:rFonts w:ascii="Times New Roman" w:hAnsi="Times New Roman" w:cs="Times New Roman"/>
        </w:rPr>
      </w:pPr>
      <w:r w:rsidRPr="00A561A5">
        <w:rPr>
          <w:rFonts w:ascii="Times New Roman" w:hAnsi="Times New Roman" w:cs="Times New Roman"/>
          <w:b/>
          <w:bCs/>
          <w:i/>
          <w:iCs/>
        </w:rPr>
        <w:t>A</w:t>
      </w:r>
      <w:r w:rsidRPr="00A561A5" w:rsidR="00B41660">
        <w:rPr>
          <w:rFonts w:ascii="Times New Roman" w:hAnsi="Times New Roman" w:cs="Times New Roman"/>
          <w:b/>
          <w:bCs/>
          <w:i/>
          <w:iCs/>
        </w:rPr>
        <w:t>3</w:t>
      </w:r>
      <w:r w:rsidRPr="00A561A5">
        <w:rPr>
          <w:rFonts w:ascii="Times New Roman" w:hAnsi="Times New Roman" w:cs="Times New Roman"/>
          <w:b/>
          <w:bCs/>
          <w:i/>
          <w:iCs/>
        </w:rPr>
        <w:t>.</w:t>
      </w:r>
      <w:r w:rsidRPr="00A561A5">
        <w:rPr>
          <w:rFonts w:ascii="Times New Roman" w:hAnsi="Times New Roman" w:cs="Times New Roman"/>
        </w:rPr>
        <w:t xml:space="preserve">  </w:t>
      </w:r>
      <w:r w:rsidRPr="00A561A5" w:rsidR="00B41660">
        <w:rPr>
          <w:rFonts w:ascii="Times New Roman" w:hAnsi="Times New Roman" w:cs="Times New Roman"/>
        </w:rPr>
        <w:tab/>
      </w:r>
      <w:r w:rsidRPr="00A561A5">
        <w:rPr>
          <w:rFonts w:ascii="Times New Roman" w:hAnsi="Times New Roman" w:cs="Times New Roman"/>
        </w:rPr>
        <w:t>I graduated from the University of Pennsylvania with a bachelor’s degree in economics and urban studies</w:t>
      </w:r>
      <w:r w:rsidRPr="00A561A5" w:rsidR="002D7364">
        <w:rPr>
          <w:rFonts w:ascii="Times New Roman" w:hAnsi="Times New Roman" w:cs="Times New Roman"/>
        </w:rPr>
        <w:t xml:space="preserve"> in 1973</w:t>
      </w:r>
      <w:r w:rsidRPr="00A561A5">
        <w:rPr>
          <w:rFonts w:ascii="Times New Roman" w:hAnsi="Times New Roman" w:cs="Times New Roman"/>
        </w:rPr>
        <w:t xml:space="preserve">. </w:t>
      </w:r>
      <w:r w:rsidRPr="00A561A5" w:rsidR="00E05418">
        <w:rPr>
          <w:rFonts w:ascii="Times New Roman" w:hAnsi="Times New Roman" w:cs="Times New Roman"/>
        </w:rPr>
        <w:t xml:space="preserve">After spending a year in a doctoral program at the University of Chicago, </w:t>
      </w:r>
      <w:r w:rsidRPr="00A561A5">
        <w:rPr>
          <w:rFonts w:ascii="Times New Roman" w:hAnsi="Times New Roman" w:cs="Times New Roman"/>
        </w:rPr>
        <w:t>I attended the Massachusetts Institute of Technology</w:t>
      </w:r>
      <w:r w:rsidRPr="00A561A5" w:rsidR="00E05418">
        <w:rPr>
          <w:rFonts w:ascii="Times New Roman" w:hAnsi="Times New Roman" w:cs="Times New Roman"/>
        </w:rPr>
        <w:t xml:space="preserve"> where I </w:t>
      </w:r>
      <w:r w:rsidRPr="00A561A5">
        <w:rPr>
          <w:rFonts w:ascii="Times New Roman" w:hAnsi="Times New Roman" w:cs="Times New Roman"/>
        </w:rPr>
        <w:t xml:space="preserve">earned a master's degree in City and Regional Planning and a Ph.D. in </w:t>
      </w:r>
      <w:r w:rsidRPr="00A561A5" w:rsidR="002D7364">
        <w:rPr>
          <w:rFonts w:ascii="Times New Roman" w:hAnsi="Times New Roman" w:cs="Times New Roman"/>
        </w:rPr>
        <w:t xml:space="preserve">Urban and </w:t>
      </w:r>
      <w:r w:rsidRPr="00A561A5">
        <w:rPr>
          <w:rFonts w:ascii="Times New Roman" w:hAnsi="Times New Roman" w:cs="Times New Roman"/>
        </w:rPr>
        <w:t>Regional Planning</w:t>
      </w:r>
      <w:r w:rsidRPr="00A561A5" w:rsidR="002D7364">
        <w:rPr>
          <w:rFonts w:ascii="Times New Roman" w:hAnsi="Times New Roman" w:cs="Times New Roman"/>
        </w:rPr>
        <w:t xml:space="preserve"> and Economics in 1981</w:t>
      </w:r>
      <w:r w:rsidRPr="00A561A5">
        <w:rPr>
          <w:rFonts w:ascii="Times New Roman" w:hAnsi="Times New Roman" w:cs="Times New Roman"/>
        </w:rPr>
        <w:t xml:space="preserve">.   </w:t>
      </w:r>
      <w:r w:rsidRPr="00A561A5" w:rsidR="003E5396">
        <w:rPr>
          <w:rFonts w:ascii="Times New Roman" w:hAnsi="Times New Roman" w:cs="Times New Roman"/>
        </w:rPr>
        <w:t xml:space="preserve">The doctoral program was a </w:t>
      </w:r>
      <w:r w:rsidRPr="00A561A5" w:rsidR="00325C72">
        <w:rPr>
          <w:rFonts w:ascii="Times New Roman" w:hAnsi="Times New Roman" w:cs="Times New Roman"/>
        </w:rPr>
        <w:t>collaboration between</w:t>
      </w:r>
      <w:r w:rsidRPr="00A561A5" w:rsidR="003E5396">
        <w:rPr>
          <w:rFonts w:ascii="Times New Roman" w:hAnsi="Times New Roman" w:cs="Times New Roman"/>
        </w:rPr>
        <w:t xml:space="preserve"> the two departments. </w:t>
      </w:r>
      <w:r w:rsidRPr="00A561A5">
        <w:rPr>
          <w:rFonts w:ascii="Times New Roman" w:hAnsi="Times New Roman" w:cs="Times New Roman"/>
        </w:rPr>
        <w:t>My doctoral field examinations in economics were in industrial organization and regulation, labor economics, and urban and regional economics.  In the Department of Urban Studies and Planning my examinations were in regional economic development.</w:t>
      </w:r>
      <w:r w:rsidRPr="00A561A5" w:rsidR="00325C72">
        <w:rPr>
          <w:rFonts w:ascii="Times New Roman" w:hAnsi="Times New Roman" w:cs="Times New Roman"/>
        </w:rPr>
        <w:t xml:space="preserve"> </w:t>
      </w:r>
    </w:p>
    <w:p w:rsidR="0064325A" w:rsidRPr="00A561A5" w:rsidP="00B41660">
      <w:pPr>
        <w:spacing w:line="480" w:lineRule="auto"/>
        <w:rPr>
          <w:rFonts w:ascii="Times New Roman" w:hAnsi="Times New Roman" w:cs="Times New Roman"/>
        </w:rPr>
      </w:pPr>
    </w:p>
    <w:p w:rsidR="0064325A" w:rsidRPr="00A561A5" w:rsidP="00B41660">
      <w:pPr>
        <w:spacing w:line="480" w:lineRule="auto"/>
        <w:ind w:left="720"/>
        <w:rPr>
          <w:rFonts w:ascii="Times New Roman" w:hAnsi="Times New Roman" w:cs="Times New Roman"/>
        </w:rPr>
      </w:pPr>
      <w:r w:rsidRPr="00A561A5">
        <w:rPr>
          <w:rFonts w:ascii="Times New Roman" w:hAnsi="Times New Roman" w:cs="Times New Roman"/>
        </w:rPr>
        <w:t xml:space="preserve">I was a member of the Cleveland State University faculty from 1985 </w:t>
      </w:r>
      <w:r w:rsidRPr="00A561A5" w:rsidR="00811468">
        <w:rPr>
          <w:rFonts w:ascii="Times New Roman" w:hAnsi="Times New Roman" w:cs="Times New Roman"/>
        </w:rPr>
        <w:t>until</w:t>
      </w:r>
      <w:r w:rsidRPr="00A561A5">
        <w:rPr>
          <w:rFonts w:ascii="Times New Roman" w:hAnsi="Times New Roman" w:cs="Times New Roman"/>
        </w:rPr>
        <w:t xml:space="preserve"> the end of June 2015.  During my 30 years at Cleveland State</w:t>
      </w:r>
      <w:r w:rsidRPr="00A561A5" w:rsidR="00AD2FEB">
        <w:rPr>
          <w:rFonts w:ascii="Times New Roman" w:hAnsi="Times New Roman" w:cs="Times New Roman"/>
        </w:rPr>
        <w:t>,</w:t>
      </w:r>
      <w:r w:rsidRPr="00A561A5">
        <w:rPr>
          <w:rFonts w:ascii="Times New Roman" w:hAnsi="Times New Roman" w:cs="Times New Roman"/>
        </w:rPr>
        <w:t xml:space="preserve"> I rose through the academic ranks: Assistant Professor, Associate Professor, Professor and Distinguished Scholar of Economic Development, and then Dean</w:t>
      </w:r>
      <w:r w:rsidRPr="00A561A5" w:rsidR="00811468">
        <w:rPr>
          <w:rFonts w:ascii="Times New Roman" w:hAnsi="Times New Roman" w:cs="Times New Roman"/>
        </w:rPr>
        <w:t xml:space="preserve">. All of these positions were in the Maxine Goodman Levin </w:t>
      </w:r>
      <w:r w:rsidRPr="00A561A5">
        <w:rPr>
          <w:rFonts w:ascii="Times New Roman" w:hAnsi="Times New Roman" w:cs="Times New Roman"/>
        </w:rPr>
        <w:t xml:space="preserve">College of Urban Affairs. </w:t>
      </w:r>
      <w:r w:rsidRPr="00A561A5" w:rsidR="00811468">
        <w:rPr>
          <w:rFonts w:ascii="Times New Roman" w:hAnsi="Times New Roman" w:cs="Times New Roman"/>
        </w:rPr>
        <w:t>I was Cleveland State University’s Vice President of Economic Development and a member of the cabinet of Presidents Schwartz and Ber</w:t>
      </w:r>
      <w:r w:rsidRPr="00A561A5" w:rsidR="00A43541">
        <w:rPr>
          <w:rFonts w:ascii="Times New Roman" w:hAnsi="Times New Roman" w:cs="Times New Roman"/>
        </w:rPr>
        <w:t>g</w:t>
      </w:r>
      <w:r w:rsidRPr="00A561A5" w:rsidR="00811468">
        <w:rPr>
          <w:rFonts w:ascii="Times New Roman" w:hAnsi="Times New Roman" w:cs="Times New Roman"/>
        </w:rPr>
        <w:t>man.</w:t>
      </w:r>
    </w:p>
    <w:p w:rsidR="00B41660" w:rsidRPr="00A561A5" w:rsidP="00B41660">
      <w:pPr>
        <w:spacing w:line="480" w:lineRule="auto"/>
        <w:ind w:left="720"/>
        <w:rPr>
          <w:rFonts w:ascii="Times New Roman" w:hAnsi="Times New Roman" w:cs="Times New Roman"/>
        </w:rPr>
      </w:pPr>
    </w:p>
    <w:p w:rsidR="00325C72" w:rsidRPr="00A561A5" w:rsidP="00B41660">
      <w:pPr>
        <w:spacing w:line="480" w:lineRule="auto"/>
        <w:ind w:left="720"/>
        <w:rPr>
          <w:rFonts w:ascii="Times New Roman" w:hAnsi="Times New Roman" w:cs="Times New Roman"/>
        </w:rPr>
      </w:pPr>
      <w:r w:rsidRPr="00A561A5">
        <w:rPr>
          <w:rFonts w:ascii="Times New Roman" w:hAnsi="Times New Roman" w:cs="Times New Roman"/>
        </w:rPr>
        <w:t xml:space="preserve">The Ohio State University </w:t>
      </w:r>
      <w:r w:rsidRPr="00A561A5" w:rsidR="002D7364">
        <w:rPr>
          <w:rFonts w:ascii="Times New Roman" w:hAnsi="Times New Roman" w:cs="Times New Roman"/>
        </w:rPr>
        <w:t xml:space="preserve">invited </w:t>
      </w:r>
      <w:r w:rsidRPr="00A561A5">
        <w:rPr>
          <w:rFonts w:ascii="Times New Roman" w:hAnsi="Times New Roman" w:cs="Times New Roman"/>
        </w:rPr>
        <w:t xml:space="preserve">me to join </w:t>
      </w:r>
      <w:r w:rsidRPr="00A561A5" w:rsidR="002D7364">
        <w:rPr>
          <w:rFonts w:ascii="Times New Roman" w:hAnsi="Times New Roman" w:cs="Times New Roman"/>
        </w:rPr>
        <w:t xml:space="preserve">its </w:t>
      </w:r>
      <w:r w:rsidRPr="00A561A5">
        <w:rPr>
          <w:rFonts w:ascii="Times New Roman" w:hAnsi="Times New Roman" w:cs="Times New Roman"/>
        </w:rPr>
        <w:t>interdisciplinary Discovery Theme in Materials and Manufacturing for a Sustainable World beginning in the 2015-16 academic year.</w:t>
      </w:r>
    </w:p>
    <w:p w:rsidR="00B41660" w:rsidRPr="00A561A5" w:rsidP="00B41660">
      <w:pPr>
        <w:spacing w:line="480" w:lineRule="auto"/>
        <w:ind w:left="720"/>
        <w:rPr>
          <w:rFonts w:ascii="Times New Roman" w:hAnsi="Times New Roman" w:cs="Times New Roman"/>
        </w:rPr>
      </w:pPr>
    </w:p>
    <w:p w:rsidR="002D7364" w:rsidRPr="00A561A5" w:rsidP="00B41660">
      <w:pPr>
        <w:spacing w:after="120" w:line="480" w:lineRule="auto"/>
        <w:ind w:left="720"/>
        <w:rPr>
          <w:rFonts w:ascii="Times New Roman" w:hAnsi="Times New Roman" w:cs="Times New Roman"/>
        </w:rPr>
      </w:pPr>
      <w:r w:rsidRPr="00A561A5">
        <w:rPr>
          <w:rFonts w:ascii="Times New Roman" w:hAnsi="Times New Roman" w:cs="Times New Roman"/>
        </w:rPr>
        <w:t xml:space="preserve">I </w:t>
      </w:r>
      <w:r w:rsidRPr="00A561A5" w:rsidR="00811468">
        <w:rPr>
          <w:rFonts w:ascii="Times New Roman" w:hAnsi="Times New Roman" w:cs="Times New Roman"/>
        </w:rPr>
        <w:t>u</w:t>
      </w:r>
      <w:r w:rsidRPr="00A561A5">
        <w:rPr>
          <w:rFonts w:ascii="Times New Roman" w:hAnsi="Times New Roman" w:cs="Times New Roman"/>
        </w:rPr>
        <w:t>se</w:t>
      </w:r>
      <w:r w:rsidRPr="00A561A5" w:rsidR="00811468">
        <w:rPr>
          <w:rFonts w:ascii="Times New Roman" w:hAnsi="Times New Roman" w:cs="Times New Roman"/>
        </w:rPr>
        <w:t xml:space="preserve"> </w:t>
      </w:r>
      <w:r w:rsidRPr="00A561A5">
        <w:rPr>
          <w:rFonts w:ascii="Times New Roman" w:hAnsi="Times New Roman" w:cs="Times New Roman"/>
        </w:rPr>
        <w:t>public choice economic concepts extensively in my public policy work</w:t>
      </w:r>
      <w:r w:rsidRPr="00A561A5" w:rsidR="00811468">
        <w:rPr>
          <w:rFonts w:ascii="Times New Roman" w:hAnsi="Times New Roman" w:cs="Times New Roman"/>
        </w:rPr>
        <w:t xml:space="preserve">, my work in economic development, </w:t>
      </w:r>
      <w:r w:rsidRPr="00A561A5">
        <w:rPr>
          <w:rFonts w:ascii="Times New Roman" w:hAnsi="Times New Roman" w:cs="Times New Roman"/>
        </w:rPr>
        <w:t xml:space="preserve">and in my teaching.  </w:t>
      </w:r>
      <w:r w:rsidRPr="00A561A5" w:rsidR="00D5413B">
        <w:rPr>
          <w:rFonts w:ascii="Times New Roman" w:hAnsi="Times New Roman" w:cs="Times New Roman"/>
        </w:rPr>
        <w:t>This spring I</w:t>
      </w:r>
      <w:r w:rsidRPr="00A561A5">
        <w:rPr>
          <w:rFonts w:ascii="Times New Roman" w:hAnsi="Times New Roman" w:cs="Times New Roman"/>
        </w:rPr>
        <w:t xml:space="preserve"> </w:t>
      </w:r>
      <w:r w:rsidRPr="00A561A5" w:rsidR="00811468">
        <w:rPr>
          <w:rFonts w:ascii="Times New Roman" w:hAnsi="Times New Roman" w:cs="Times New Roman"/>
        </w:rPr>
        <w:t xml:space="preserve">will </w:t>
      </w:r>
      <w:r w:rsidRPr="00A561A5" w:rsidR="00D5413B">
        <w:rPr>
          <w:rFonts w:ascii="Times New Roman" w:hAnsi="Times New Roman" w:cs="Times New Roman"/>
        </w:rPr>
        <w:t xml:space="preserve">teach a graduate seminar in the Glenn College of Public Affairs titled </w:t>
      </w:r>
      <w:r w:rsidRPr="00A561A5" w:rsidR="00D5413B">
        <w:rPr>
          <w:rFonts w:ascii="Times New Roman" w:hAnsi="Times New Roman" w:cs="Times New Roman"/>
          <w:i/>
          <w:iCs/>
        </w:rPr>
        <w:t>Public Affairs and Public Choice</w:t>
      </w:r>
      <w:r w:rsidRPr="00A561A5" w:rsidR="003E5396">
        <w:rPr>
          <w:rFonts w:ascii="Times New Roman" w:hAnsi="Times New Roman" w:cs="Times New Roman"/>
        </w:rPr>
        <w:t xml:space="preserve">. I also introduce students to public choice </w:t>
      </w:r>
      <w:r w:rsidRPr="00A561A5" w:rsidR="00811468">
        <w:rPr>
          <w:rFonts w:ascii="Times New Roman" w:hAnsi="Times New Roman" w:cs="Times New Roman"/>
        </w:rPr>
        <w:t xml:space="preserve">concepts and </w:t>
      </w:r>
      <w:r w:rsidRPr="00A561A5" w:rsidR="003E5396">
        <w:rPr>
          <w:rFonts w:ascii="Times New Roman" w:hAnsi="Times New Roman" w:cs="Times New Roman"/>
        </w:rPr>
        <w:t xml:space="preserve">theory in my </w:t>
      </w:r>
      <w:r w:rsidRPr="00A561A5">
        <w:rPr>
          <w:rFonts w:ascii="Times New Roman" w:hAnsi="Times New Roman" w:cs="Times New Roman"/>
        </w:rPr>
        <w:t xml:space="preserve">undergraduate </w:t>
      </w:r>
      <w:r w:rsidRPr="00A561A5" w:rsidR="003E5396">
        <w:rPr>
          <w:rFonts w:ascii="Times New Roman" w:hAnsi="Times New Roman" w:cs="Times New Roman"/>
        </w:rPr>
        <w:t>fall course, Introduction to Public Affairs.</w:t>
      </w:r>
    </w:p>
    <w:p w:rsidR="00E05418" w:rsidRPr="00A561A5" w:rsidP="0097451E">
      <w:pPr>
        <w:spacing w:after="120" w:line="480" w:lineRule="auto"/>
        <w:ind w:left="720"/>
        <w:rPr>
          <w:rFonts w:ascii="Times New Roman" w:hAnsi="Times New Roman" w:cs="Times New Roman"/>
        </w:rPr>
      </w:pPr>
      <w:r w:rsidRPr="00A561A5">
        <w:rPr>
          <w:rFonts w:ascii="Times New Roman" w:hAnsi="Times New Roman" w:cs="Times New Roman"/>
        </w:rPr>
        <w:t xml:space="preserve">Ohio Governors Taft, Strickland, Kasich, and DeWine, as well as former Ohio Speaker of the House of Representative Batchelder, have appointed me to </w:t>
      </w:r>
      <w:r w:rsidRPr="00A561A5" w:rsidR="003E5396">
        <w:rPr>
          <w:rFonts w:ascii="Times New Roman" w:hAnsi="Times New Roman" w:cs="Times New Roman"/>
        </w:rPr>
        <w:t>various state c</w:t>
      </w:r>
      <w:r w:rsidRPr="00A561A5">
        <w:rPr>
          <w:rFonts w:ascii="Times New Roman" w:hAnsi="Times New Roman" w:cs="Times New Roman"/>
        </w:rPr>
        <w:t>ommissions and boards</w:t>
      </w:r>
      <w:r w:rsidRPr="00A561A5" w:rsidR="00325C72">
        <w:rPr>
          <w:rFonts w:ascii="Times New Roman" w:hAnsi="Times New Roman" w:cs="Times New Roman"/>
        </w:rPr>
        <w:t xml:space="preserve"> dealing with economic and workforce development and public finance</w:t>
      </w:r>
      <w:r w:rsidRPr="00A561A5">
        <w:rPr>
          <w:rFonts w:ascii="Times New Roman" w:hAnsi="Times New Roman" w:cs="Times New Roman"/>
        </w:rPr>
        <w:t>. The Cuyahoga County Mayors and Managers Association recognized my service to the communities of Northeast Ohio in 2016 with its George V. Voinovich Municipal Service Award. And the Ohio Manufacturers Association’s Board of Directors presented me with its Legacy Award in 2005</w:t>
      </w:r>
      <w:r w:rsidRPr="00A561A5" w:rsidR="00325C72">
        <w:rPr>
          <w:rFonts w:ascii="Times New Roman" w:hAnsi="Times New Roman" w:cs="Times New Roman"/>
        </w:rPr>
        <w:t>,</w:t>
      </w:r>
      <w:r w:rsidRPr="00A561A5">
        <w:rPr>
          <w:rFonts w:ascii="Times New Roman" w:hAnsi="Times New Roman" w:cs="Times New Roman"/>
        </w:rPr>
        <w:t xml:space="preserve"> and again in 2016</w:t>
      </w:r>
      <w:r w:rsidRPr="00A561A5" w:rsidR="00325C72">
        <w:rPr>
          <w:rFonts w:ascii="Times New Roman" w:hAnsi="Times New Roman" w:cs="Times New Roman"/>
        </w:rPr>
        <w:t xml:space="preserve">, </w:t>
      </w:r>
      <w:r w:rsidRPr="00A561A5">
        <w:rPr>
          <w:rFonts w:ascii="Times New Roman" w:hAnsi="Times New Roman" w:cs="Times New Roman"/>
        </w:rPr>
        <w:t>for my work on behalf of Ohio’s manufacturers. The 2005 award was for my work associated with business tax reform</w:t>
      </w:r>
      <w:r w:rsidRPr="00A561A5" w:rsidR="00AD2FEB">
        <w:rPr>
          <w:rFonts w:ascii="Times New Roman" w:hAnsi="Times New Roman" w:cs="Times New Roman"/>
        </w:rPr>
        <w:t>,</w:t>
      </w:r>
      <w:r w:rsidRPr="00A561A5">
        <w:rPr>
          <w:rFonts w:ascii="Times New Roman" w:hAnsi="Times New Roman" w:cs="Times New Roman"/>
        </w:rPr>
        <w:t xml:space="preserve"> and the 2016 award was for my work </w:t>
      </w:r>
      <w:r w:rsidRPr="00A561A5" w:rsidR="00325C72">
        <w:rPr>
          <w:rFonts w:ascii="Times New Roman" w:hAnsi="Times New Roman" w:cs="Times New Roman"/>
        </w:rPr>
        <w:t xml:space="preserve">to protect </w:t>
      </w:r>
      <w:r w:rsidRPr="00A561A5">
        <w:rPr>
          <w:rFonts w:ascii="Times New Roman" w:hAnsi="Times New Roman" w:cs="Times New Roman"/>
        </w:rPr>
        <w:t>electricity deregulation.</w:t>
      </w:r>
    </w:p>
    <w:p w:rsidR="002B3566" w:rsidRPr="00A561A5" w:rsidP="001642E5">
      <w:pPr>
        <w:spacing w:after="120" w:line="480" w:lineRule="auto"/>
        <w:rPr>
          <w:rFonts w:ascii="Times New Roman" w:hAnsi="Times New Roman" w:cs="Times New Roman"/>
        </w:rPr>
      </w:pPr>
      <w:r w:rsidRPr="00A561A5">
        <w:rPr>
          <w:rFonts w:ascii="Times New Roman" w:hAnsi="Times New Roman" w:cs="Times New Roman"/>
        </w:rPr>
        <w:t xml:space="preserve"> </w:t>
      </w:r>
    </w:p>
    <w:p w:rsidR="002B3566" w:rsidRPr="00A561A5" w:rsidP="0097451E">
      <w:pPr>
        <w:spacing w:line="480" w:lineRule="auto"/>
        <w:ind w:left="720"/>
        <w:rPr>
          <w:rFonts w:ascii="Times New Roman" w:hAnsi="Times New Roman" w:cs="Times New Roman"/>
        </w:rPr>
      </w:pPr>
      <w:r w:rsidRPr="00A561A5">
        <w:rPr>
          <w:rFonts w:ascii="Times New Roman" w:hAnsi="Times New Roman" w:cs="Times New Roman"/>
        </w:rPr>
        <w:t xml:space="preserve">My </w:t>
      </w:r>
      <w:r w:rsidRPr="00A561A5" w:rsidR="003E5396">
        <w:rPr>
          <w:rFonts w:ascii="Times New Roman" w:hAnsi="Times New Roman" w:cs="Times New Roman"/>
        </w:rPr>
        <w:t xml:space="preserve">academic </w:t>
      </w:r>
      <w:r w:rsidRPr="00A561A5">
        <w:rPr>
          <w:rFonts w:ascii="Times New Roman" w:hAnsi="Times New Roman" w:cs="Times New Roman"/>
        </w:rPr>
        <w:t xml:space="preserve">research </w:t>
      </w:r>
      <w:r w:rsidRPr="00A561A5" w:rsidR="003E5396">
        <w:rPr>
          <w:rFonts w:ascii="Times New Roman" w:hAnsi="Times New Roman" w:cs="Times New Roman"/>
        </w:rPr>
        <w:t>focuses</w:t>
      </w:r>
      <w:r w:rsidRPr="00A561A5">
        <w:rPr>
          <w:rFonts w:ascii="Times New Roman" w:hAnsi="Times New Roman" w:cs="Times New Roman"/>
        </w:rPr>
        <w:t xml:space="preserve"> on the areas of urban and regional economic development policy, the operation of regional labor markets, </w:t>
      </w:r>
      <w:r w:rsidRPr="00A561A5" w:rsidR="003E5396">
        <w:rPr>
          <w:rFonts w:ascii="Times New Roman" w:hAnsi="Times New Roman" w:cs="Times New Roman"/>
        </w:rPr>
        <w:t xml:space="preserve">regional economic resilience, </w:t>
      </w:r>
      <w:r w:rsidRPr="00A561A5">
        <w:rPr>
          <w:rFonts w:ascii="Times New Roman" w:hAnsi="Times New Roman" w:cs="Times New Roman"/>
        </w:rPr>
        <w:t xml:space="preserve">and industry studies with an emphasis on manufacturing. </w:t>
      </w:r>
      <w:r w:rsidRPr="00A561A5" w:rsidR="00325C72">
        <w:rPr>
          <w:rFonts w:ascii="Times New Roman" w:hAnsi="Times New Roman" w:cs="Times New Roman"/>
        </w:rPr>
        <w:t>This r</w:t>
      </w:r>
      <w:r w:rsidRPr="00A561A5">
        <w:rPr>
          <w:rFonts w:ascii="Times New Roman" w:hAnsi="Times New Roman" w:cs="Times New Roman"/>
        </w:rPr>
        <w:t xml:space="preserve">esearch </w:t>
      </w:r>
      <w:r w:rsidRPr="00A561A5" w:rsidR="003E5396">
        <w:rPr>
          <w:rFonts w:ascii="Times New Roman" w:hAnsi="Times New Roman" w:cs="Times New Roman"/>
        </w:rPr>
        <w:t xml:space="preserve">emphasizes </w:t>
      </w:r>
      <w:r w:rsidRPr="00A561A5">
        <w:rPr>
          <w:rFonts w:ascii="Times New Roman" w:hAnsi="Times New Roman" w:cs="Times New Roman"/>
        </w:rPr>
        <w:t>issues that are important to the state of Ohio’s economy</w:t>
      </w:r>
      <w:r w:rsidRPr="00A561A5" w:rsidR="00325C72">
        <w:rPr>
          <w:rFonts w:ascii="Times New Roman" w:hAnsi="Times New Roman" w:cs="Times New Roman"/>
        </w:rPr>
        <w:t>;</w:t>
      </w:r>
      <w:r w:rsidRPr="00A561A5" w:rsidR="00B10C1D">
        <w:rPr>
          <w:rFonts w:ascii="Times New Roman" w:hAnsi="Times New Roman" w:cs="Times New Roman"/>
        </w:rPr>
        <w:t xml:space="preserve"> that </w:t>
      </w:r>
      <w:r w:rsidRPr="00A561A5" w:rsidR="003E5396">
        <w:rPr>
          <w:rFonts w:ascii="Times New Roman" w:hAnsi="Times New Roman" w:cs="Times New Roman"/>
        </w:rPr>
        <w:t xml:space="preserve">is what </w:t>
      </w:r>
      <w:r w:rsidRPr="00A561A5" w:rsidR="00D60CA7">
        <w:rPr>
          <w:rFonts w:ascii="Times New Roman" w:hAnsi="Times New Roman" w:cs="Times New Roman"/>
        </w:rPr>
        <w:t xml:space="preserve">interested me </w:t>
      </w:r>
      <w:r w:rsidRPr="00A561A5" w:rsidR="003E5396">
        <w:rPr>
          <w:rFonts w:ascii="Times New Roman" w:hAnsi="Times New Roman" w:cs="Times New Roman"/>
        </w:rPr>
        <w:t>in energy economics in 2010.</w:t>
      </w:r>
    </w:p>
    <w:p w:rsidR="0097451E" w:rsidRPr="00A561A5" w:rsidP="0097451E">
      <w:pPr>
        <w:spacing w:line="480" w:lineRule="auto"/>
        <w:ind w:left="720"/>
        <w:rPr>
          <w:rFonts w:ascii="Times New Roman" w:hAnsi="Times New Roman" w:cs="Times New Roman"/>
        </w:rPr>
      </w:pPr>
    </w:p>
    <w:p w:rsidR="0064325A" w:rsidRPr="00A561A5" w:rsidP="0097451E">
      <w:pPr>
        <w:spacing w:line="480" w:lineRule="auto"/>
        <w:ind w:left="720"/>
        <w:rPr>
          <w:rFonts w:ascii="Times New Roman" w:hAnsi="Times New Roman" w:cs="Times New Roman"/>
        </w:rPr>
      </w:pPr>
      <w:r w:rsidRPr="00A561A5">
        <w:rPr>
          <w:rFonts w:ascii="Times New Roman" w:hAnsi="Times New Roman" w:cs="Times New Roman"/>
        </w:rPr>
        <w:t xml:space="preserve">I participated in much of the energy research conducted at </w:t>
      </w:r>
      <w:r w:rsidRPr="00A561A5" w:rsidR="00E05418">
        <w:rPr>
          <w:rFonts w:ascii="Times New Roman" w:hAnsi="Times New Roman" w:cs="Times New Roman"/>
        </w:rPr>
        <w:t xml:space="preserve">Cleveland State University’s </w:t>
      </w:r>
      <w:r w:rsidRPr="00A561A5">
        <w:rPr>
          <w:rFonts w:ascii="Times New Roman" w:hAnsi="Times New Roman" w:cs="Times New Roman"/>
        </w:rPr>
        <w:t xml:space="preserve">Levin College. I led the research and writing of the </w:t>
      </w:r>
      <w:r w:rsidRPr="00A561A5">
        <w:rPr>
          <w:rFonts w:ascii="Times New Roman" w:hAnsi="Times New Roman" w:cs="Times New Roman"/>
          <w:i/>
        </w:rPr>
        <w:t>Ohio Utica Shale Gas Monitor</w:t>
      </w:r>
      <w:r w:rsidRPr="00A561A5">
        <w:rPr>
          <w:rFonts w:ascii="Times New Roman" w:hAnsi="Times New Roman" w:cs="Times New Roman"/>
        </w:rPr>
        <w:t xml:space="preserve"> and was one of the authors of </w:t>
      </w:r>
      <w:r w:rsidRPr="00A561A5">
        <w:rPr>
          <w:rFonts w:ascii="Times New Roman" w:hAnsi="Times New Roman" w:cs="Times New Roman"/>
          <w:i/>
          <w:iCs/>
        </w:rPr>
        <w:t xml:space="preserve">An Analysis of the Economic Potential for Shale Gas Formations in Ohio </w:t>
      </w:r>
      <w:r w:rsidRPr="00A561A5">
        <w:rPr>
          <w:rFonts w:ascii="Times New Roman" w:hAnsi="Times New Roman" w:cs="Times New Roman"/>
          <w:iCs/>
        </w:rPr>
        <w:t>(F</w:t>
      </w:r>
      <w:r w:rsidRPr="00A561A5">
        <w:rPr>
          <w:rFonts w:ascii="Times New Roman" w:hAnsi="Times New Roman" w:cs="Times New Roman"/>
        </w:rPr>
        <w:t xml:space="preserve">ebruary 2012).  </w:t>
      </w:r>
      <w:r w:rsidRPr="00A561A5" w:rsidR="002B3566">
        <w:rPr>
          <w:rFonts w:ascii="Times New Roman" w:hAnsi="Times New Roman" w:cs="Times New Roman"/>
        </w:rPr>
        <w:t>I was also one of the co-investigators and co-author</w:t>
      </w:r>
      <w:r w:rsidRPr="00A561A5" w:rsidR="00AD2FEB">
        <w:rPr>
          <w:rFonts w:ascii="Times New Roman" w:hAnsi="Times New Roman" w:cs="Times New Roman"/>
        </w:rPr>
        <w:t>s</w:t>
      </w:r>
      <w:r w:rsidRPr="00A561A5" w:rsidR="002B3566">
        <w:rPr>
          <w:rFonts w:ascii="Times New Roman" w:hAnsi="Times New Roman" w:cs="Times New Roman"/>
        </w:rPr>
        <w:t xml:space="preserve"> of two studies on the economic impact of the deregulation of Ohio’s electricity generating markets.</w:t>
      </w:r>
      <w:r>
        <w:rPr>
          <w:rStyle w:val="FootnoteReference"/>
          <w:rFonts w:ascii="Times New Roman" w:hAnsi="Times New Roman" w:cs="Times New Roman"/>
        </w:rPr>
        <w:footnoteReference w:id="2"/>
      </w:r>
      <w:r w:rsidRPr="00A561A5" w:rsidR="003E5396">
        <w:rPr>
          <w:rFonts w:ascii="Times New Roman" w:hAnsi="Times New Roman" w:cs="Times New Roman"/>
        </w:rPr>
        <w:t xml:space="preserve">  </w:t>
      </w:r>
    </w:p>
    <w:p w:rsidR="0097451E" w:rsidRPr="00A561A5" w:rsidP="0097451E">
      <w:pPr>
        <w:spacing w:line="480" w:lineRule="auto"/>
        <w:ind w:left="720"/>
        <w:rPr>
          <w:rFonts w:ascii="Times New Roman" w:hAnsi="Times New Roman" w:cs="Times New Roman"/>
          <w:bCs/>
        </w:rPr>
      </w:pPr>
    </w:p>
    <w:p w:rsidR="00F132BD" w:rsidRPr="00A561A5" w:rsidP="001709AC">
      <w:pPr>
        <w:spacing w:line="480" w:lineRule="auto"/>
        <w:ind w:left="720"/>
        <w:rPr>
          <w:rFonts w:ascii="Times New Roman" w:hAnsi="Times New Roman" w:cs="Times New Roman"/>
        </w:rPr>
      </w:pPr>
      <w:r w:rsidRPr="00A561A5">
        <w:rPr>
          <w:rFonts w:ascii="Times New Roman" w:hAnsi="Times New Roman" w:cs="Times New Roman"/>
        </w:rPr>
        <w:t>I have testified before the Public Utilities Commission of Ohio (</w:t>
      </w:r>
      <w:r w:rsidRPr="00A561A5" w:rsidR="00AD2FEB">
        <w:rPr>
          <w:rFonts w:ascii="Times New Roman" w:hAnsi="Times New Roman" w:cs="Times New Roman"/>
        </w:rPr>
        <w:t>“</w:t>
      </w:r>
      <w:r w:rsidRPr="00A561A5">
        <w:rPr>
          <w:rFonts w:ascii="Times New Roman" w:hAnsi="Times New Roman" w:cs="Times New Roman"/>
        </w:rPr>
        <w:t>PUCO</w:t>
      </w:r>
      <w:r w:rsidRPr="00A561A5" w:rsidR="00AD2FEB">
        <w:rPr>
          <w:rFonts w:ascii="Times New Roman" w:hAnsi="Times New Roman" w:cs="Times New Roman"/>
        </w:rPr>
        <w:t>”</w:t>
      </w:r>
      <w:r w:rsidRPr="00A561A5">
        <w:rPr>
          <w:rFonts w:ascii="Times New Roman" w:hAnsi="Times New Roman" w:cs="Times New Roman"/>
        </w:rPr>
        <w:t>)</w:t>
      </w:r>
      <w:r w:rsidRPr="00A561A5" w:rsidR="00B10C1D">
        <w:rPr>
          <w:rFonts w:ascii="Times New Roman" w:hAnsi="Times New Roman" w:cs="Times New Roman"/>
        </w:rPr>
        <w:t xml:space="preserve"> </w:t>
      </w:r>
      <w:r w:rsidRPr="00A561A5">
        <w:rPr>
          <w:rFonts w:ascii="Times New Roman" w:hAnsi="Times New Roman" w:cs="Times New Roman"/>
        </w:rPr>
        <w:t xml:space="preserve">and the Ohio </w:t>
      </w:r>
      <w:r w:rsidRPr="00A561A5" w:rsidR="00AD2FEB">
        <w:rPr>
          <w:rFonts w:ascii="Times New Roman" w:hAnsi="Times New Roman" w:cs="Times New Roman"/>
        </w:rPr>
        <w:t xml:space="preserve">General Assembly </w:t>
      </w:r>
      <w:r w:rsidRPr="00A561A5">
        <w:rPr>
          <w:rFonts w:ascii="Times New Roman" w:hAnsi="Times New Roman" w:cs="Times New Roman"/>
        </w:rPr>
        <w:t xml:space="preserve">on public policies related to electricity regulation since </w:t>
      </w:r>
      <w:r w:rsidRPr="00A561A5" w:rsidR="00727F2F">
        <w:rPr>
          <w:rFonts w:ascii="Times New Roman" w:hAnsi="Times New Roman" w:cs="Times New Roman"/>
        </w:rPr>
        <w:t>December 2014.</w:t>
      </w:r>
      <w:r w:rsidRPr="00A561A5">
        <w:rPr>
          <w:rFonts w:ascii="Times New Roman" w:hAnsi="Times New Roman" w:cs="Times New Roman"/>
        </w:rPr>
        <w:t xml:space="preserve"> </w:t>
      </w:r>
      <w:r w:rsidRPr="00A561A5" w:rsidR="00DE08A8">
        <w:rPr>
          <w:rFonts w:ascii="Times New Roman" w:hAnsi="Times New Roman" w:cs="Times New Roman"/>
        </w:rPr>
        <w:t>I testified on behalf of the Ohio Manufacturers</w:t>
      </w:r>
      <w:r w:rsidRPr="00A561A5" w:rsidR="00F32B97">
        <w:rPr>
          <w:rFonts w:ascii="Times New Roman" w:hAnsi="Times New Roman" w:cs="Times New Roman"/>
        </w:rPr>
        <w:t>’</w:t>
      </w:r>
      <w:r w:rsidRPr="00A561A5" w:rsidR="00DE08A8">
        <w:rPr>
          <w:rFonts w:ascii="Times New Roman" w:hAnsi="Times New Roman" w:cs="Times New Roman"/>
        </w:rPr>
        <w:t xml:space="preserve"> Association Energy Group </w:t>
      </w:r>
      <w:r w:rsidRPr="00A561A5" w:rsidR="00D60CA7">
        <w:rPr>
          <w:rFonts w:ascii="Times New Roman" w:hAnsi="Times New Roman" w:cs="Times New Roman"/>
        </w:rPr>
        <w:t xml:space="preserve">(OMAEG) </w:t>
      </w:r>
      <w:r w:rsidRPr="00A561A5" w:rsidR="00DE08A8">
        <w:rPr>
          <w:rFonts w:ascii="Times New Roman" w:hAnsi="Times New Roman" w:cs="Times New Roman"/>
        </w:rPr>
        <w:t xml:space="preserve">against </w:t>
      </w:r>
      <w:r w:rsidRPr="00A561A5" w:rsidR="00D60CA7">
        <w:rPr>
          <w:rFonts w:ascii="Times New Roman" w:hAnsi="Times New Roman" w:cs="Times New Roman"/>
        </w:rPr>
        <w:t xml:space="preserve">a </w:t>
      </w:r>
      <w:r w:rsidRPr="00A561A5" w:rsidR="00DE08A8">
        <w:rPr>
          <w:rFonts w:ascii="Times New Roman" w:hAnsi="Times New Roman" w:cs="Times New Roman"/>
        </w:rPr>
        <w:t>Power Purchase Agreement proposed by FirstEnergy to support its failing nuclear power plants as well as against its proposed Electric Security Plan</w:t>
      </w:r>
      <w:r w:rsidRPr="00A561A5" w:rsidR="00BB680D">
        <w:rPr>
          <w:rFonts w:ascii="Times New Roman" w:hAnsi="Times New Roman" w:cs="Times New Roman"/>
        </w:rPr>
        <w:t>.</w:t>
      </w:r>
      <w:r w:rsidRPr="00A561A5" w:rsidR="00DE08A8">
        <w:rPr>
          <w:rFonts w:ascii="Times New Roman" w:hAnsi="Times New Roman" w:cs="Times New Roman"/>
        </w:rPr>
        <w:t xml:space="preserve"> </w:t>
      </w:r>
      <w:r w:rsidRPr="00A561A5" w:rsidR="00BB680D">
        <w:rPr>
          <w:rFonts w:ascii="Times New Roman" w:hAnsi="Times New Roman" w:cs="Times New Roman"/>
        </w:rPr>
        <w:t xml:space="preserve">I  also testified for the OMAEG </w:t>
      </w:r>
      <w:r w:rsidRPr="00A561A5" w:rsidR="00DE08A8">
        <w:rPr>
          <w:rFonts w:ascii="Times New Roman" w:hAnsi="Times New Roman" w:cs="Times New Roman"/>
        </w:rPr>
        <w:t xml:space="preserve">against American Electric Power Company’s </w:t>
      </w:r>
      <w:r w:rsidRPr="00A561A5" w:rsidR="00D60CA7">
        <w:rPr>
          <w:rFonts w:ascii="Times New Roman" w:hAnsi="Times New Roman" w:cs="Times New Roman"/>
        </w:rPr>
        <w:t>E</w:t>
      </w:r>
      <w:r w:rsidRPr="00A561A5" w:rsidR="00DE08A8">
        <w:rPr>
          <w:rFonts w:ascii="Times New Roman" w:hAnsi="Times New Roman" w:cs="Times New Roman"/>
        </w:rPr>
        <w:t xml:space="preserve">lectric </w:t>
      </w:r>
      <w:r w:rsidRPr="00A561A5" w:rsidR="00D60CA7">
        <w:rPr>
          <w:rFonts w:ascii="Times New Roman" w:hAnsi="Times New Roman" w:cs="Times New Roman"/>
        </w:rPr>
        <w:t>S</w:t>
      </w:r>
      <w:r w:rsidRPr="00A561A5" w:rsidR="00DE08A8">
        <w:rPr>
          <w:rFonts w:ascii="Times New Roman" w:hAnsi="Times New Roman" w:cs="Times New Roman"/>
        </w:rPr>
        <w:t xml:space="preserve">ecurity </w:t>
      </w:r>
      <w:r w:rsidRPr="00A561A5" w:rsidR="00D60CA7">
        <w:rPr>
          <w:rFonts w:ascii="Times New Roman" w:hAnsi="Times New Roman" w:cs="Times New Roman"/>
        </w:rPr>
        <w:t>P</w:t>
      </w:r>
      <w:r w:rsidRPr="00A561A5" w:rsidR="00DE08A8">
        <w:rPr>
          <w:rFonts w:ascii="Times New Roman" w:hAnsi="Times New Roman" w:cs="Times New Roman"/>
        </w:rPr>
        <w:t>lan and its desire to bailout its ownership interest in the failing Ohio Valley Electric Co</w:t>
      </w:r>
      <w:r w:rsidRPr="00A561A5" w:rsidR="00AD2FEB">
        <w:rPr>
          <w:rFonts w:ascii="Times New Roman" w:hAnsi="Times New Roman" w:cs="Times New Roman"/>
        </w:rPr>
        <w:t>rporation</w:t>
      </w:r>
      <w:r w:rsidRPr="00A561A5" w:rsidR="00DE08A8">
        <w:rPr>
          <w:rFonts w:ascii="Times New Roman" w:hAnsi="Times New Roman" w:cs="Times New Roman"/>
        </w:rPr>
        <w:t xml:space="preserve">’s coal-fired power plant campuses in Ohio and Indiana. I testified on my own behalf against House Bill 6 </w:t>
      </w:r>
      <w:r w:rsidRPr="00A561A5" w:rsidR="00344D27">
        <w:rPr>
          <w:rFonts w:ascii="Times New Roman" w:hAnsi="Times New Roman" w:cs="Times New Roman"/>
        </w:rPr>
        <w:t>in committee hearings in both the Ohio House of Representatives and the Ohio Senate.</w:t>
      </w:r>
      <w:r w:rsidRPr="00A561A5" w:rsidR="00325C72">
        <w:rPr>
          <w:rFonts w:ascii="Times New Roman" w:hAnsi="Times New Roman" w:cs="Times New Roman"/>
        </w:rPr>
        <w:t xml:space="preserve"> In all of these </w:t>
      </w:r>
      <w:r w:rsidRPr="00A561A5" w:rsidR="00D60CA7">
        <w:rPr>
          <w:rFonts w:ascii="Times New Roman" w:hAnsi="Times New Roman" w:cs="Times New Roman"/>
        </w:rPr>
        <w:t>engagements</w:t>
      </w:r>
      <w:r w:rsidRPr="00A561A5" w:rsidR="00325C72">
        <w:rPr>
          <w:rFonts w:ascii="Times New Roman" w:hAnsi="Times New Roman" w:cs="Times New Roman"/>
        </w:rPr>
        <w:t xml:space="preserve"> I was not paid. </w:t>
      </w:r>
    </w:p>
    <w:p w:rsidR="00BB247E" w:rsidRPr="00A561A5" w:rsidP="001709AC">
      <w:pPr>
        <w:spacing w:line="480" w:lineRule="auto"/>
        <w:rPr>
          <w:rFonts w:ascii="Times New Roman" w:hAnsi="Times New Roman" w:cs="Times New Roman"/>
        </w:rPr>
      </w:pPr>
    </w:p>
    <w:p w:rsidR="00BB247E" w:rsidRPr="00A561A5" w:rsidP="001709AC">
      <w:pPr>
        <w:pStyle w:val="Heading1"/>
        <w:numPr>
          <w:ilvl w:val="0"/>
          <w:numId w:val="11"/>
        </w:numPr>
        <w:ind w:left="720"/>
        <w:rPr>
          <w:rFonts w:ascii="Times New Roman" w:hAnsi="Times New Roman" w:cs="Times New Roman"/>
          <w:szCs w:val="24"/>
        </w:rPr>
      </w:pPr>
      <w:bookmarkStart w:id="4" w:name="_Toc59115786"/>
      <w:r w:rsidRPr="00A561A5">
        <w:rPr>
          <w:rFonts w:ascii="Times New Roman" w:hAnsi="Times New Roman" w:cs="Times New Roman"/>
          <w:szCs w:val="24"/>
        </w:rPr>
        <w:t>PURPOSE AND ARGUMENT</w:t>
      </w:r>
      <w:bookmarkEnd w:id="4"/>
    </w:p>
    <w:p w:rsidR="001709AC" w:rsidRPr="00A561A5" w:rsidP="001709AC">
      <w:pPr>
        <w:pStyle w:val="ListParagraph"/>
        <w:spacing w:line="480" w:lineRule="auto"/>
        <w:ind w:left="1080"/>
        <w:rPr>
          <w:rFonts w:ascii="Times New Roman" w:hAnsi="Times New Roman" w:cs="Times New Roman"/>
        </w:rPr>
      </w:pPr>
    </w:p>
    <w:p w:rsidR="00DE08A8" w:rsidRPr="00A561A5" w:rsidP="001709AC">
      <w:pPr>
        <w:spacing w:line="480" w:lineRule="auto"/>
        <w:rPr>
          <w:rFonts w:ascii="Times New Roman" w:hAnsi="Times New Roman" w:cs="Times New Roman"/>
          <w:b/>
          <w:i/>
          <w:iCs/>
        </w:rPr>
      </w:pPr>
      <w:r w:rsidRPr="00A561A5">
        <w:rPr>
          <w:rFonts w:ascii="Times New Roman" w:hAnsi="Times New Roman" w:cs="Times New Roman"/>
          <w:b/>
          <w:i/>
          <w:iCs/>
        </w:rPr>
        <w:t xml:space="preserve">Q4. </w:t>
      </w:r>
      <w:r w:rsidRPr="00A561A5">
        <w:rPr>
          <w:rFonts w:ascii="Times New Roman" w:hAnsi="Times New Roman" w:cs="Times New Roman"/>
          <w:b/>
          <w:i/>
          <w:iCs/>
        </w:rPr>
        <w:tab/>
        <w:t>WHAT IS THE PURPOSE OF YOUR TESTIMONY?</w:t>
      </w:r>
    </w:p>
    <w:p w:rsidR="00D60CA7" w:rsidRPr="00A561A5" w:rsidP="00FB6A60">
      <w:pPr>
        <w:spacing w:line="480" w:lineRule="auto"/>
        <w:ind w:left="720" w:hanging="720"/>
        <w:rPr>
          <w:rFonts w:ascii="Times New Roman" w:hAnsi="Times New Roman" w:cs="Times New Roman"/>
        </w:rPr>
      </w:pPr>
      <w:r w:rsidRPr="00A561A5">
        <w:rPr>
          <w:rFonts w:ascii="Times New Roman" w:hAnsi="Times New Roman" w:cs="Times New Roman"/>
          <w:b/>
          <w:bCs/>
          <w:i/>
          <w:iCs/>
        </w:rPr>
        <w:t>A</w:t>
      </w:r>
      <w:r w:rsidRPr="00A561A5" w:rsidR="001709AC">
        <w:rPr>
          <w:rFonts w:ascii="Times New Roman" w:hAnsi="Times New Roman" w:cs="Times New Roman"/>
          <w:b/>
          <w:bCs/>
          <w:i/>
          <w:iCs/>
        </w:rPr>
        <w:t>4</w:t>
      </w:r>
      <w:r w:rsidRPr="00A561A5">
        <w:rPr>
          <w:rFonts w:ascii="Times New Roman" w:hAnsi="Times New Roman" w:cs="Times New Roman"/>
          <w:b/>
          <w:bCs/>
          <w:i/>
          <w:iCs/>
        </w:rPr>
        <w:t>.</w:t>
      </w:r>
      <w:r w:rsidRPr="00A561A5" w:rsidR="001709AC">
        <w:rPr>
          <w:rFonts w:ascii="Times New Roman" w:hAnsi="Times New Roman" w:cs="Times New Roman"/>
          <w:b/>
          <w:bCs/>
          <w:i/>
          <w:iCs/>
        </w:rPr>
        <w:tab/>
      </w:r>
      <w:r w:rsidRPr="00A561A5">
        <w:rPr>
          <w:rFonts w:ascii="Times New Roman" w:hAnsi="Times New Roman" w:cs="Times New Roman"/>
        </w:rPr>
        <w:t xml:space="preserve">I am testifying in </w:t>
      </w:r>
      <w:r w:rsidRPr="00A561A5">
        <w:rPr>
          <w:rFonts w:ascii="Times New Roman" w:hAnsi="Times New Roman" w:cs="Times New Roman"/>
        </w:rPr>
        <w:t xml:space="preserve">opposition to the </w:t>
      </w:r>
      <w:r w:rsidRPr="00A561A5" w:rsidR="00AD2FEB">
        <w:rPr>
          <w:rFonts w:ascii="Times New Roman" w:hAnsi="Times New Roman" w:cs="Times New Roman"/>
        </w:rPr>
        <w:t xml:space="preserve">October 23, 2020 </w:t>
      </w:r>
      <w:r w:rsidRPr="00A561A5">
        <w:rPr>
          <w:rFonts w:ascii="Times New Roman" w:hAnsi="Times New Roman" w:cs="Times New Roman"/>
        </w:rPr>
        <w:t xml:space="preserve">Stipulation and Recommendation filed </w:t>
      </w:r>
      <w:r w:rsidRPr="00A561A5" w:rsidR="00AD2FEB">
        <w:rPr>
          <w:rFonts w:ascii="Times New Roman" w:hAnsi="Times New Roman" w:cs="Times New Roman"/>
        </w:rPr>
        <w:t>in this case (the “Settlement”</w:t>
      </w:r>
      <w:r w:rsidRPr="00A561A5" w:rsidR="00A5345E">
        <w:rPr>
          <w:rFonts w:ascii="Times New Roman" w:hAnsi="Times New Roman" w:cs="Times New Roman"/>
        </w:rPr>
        <w:t xml:space="preserve"> or “DP&amp;L’s Settlement”</w:t>
      </w:r>
      <w:r w:rsidRPr="00A561A5" w:rsidR="00AD2FEB">
        <w:rPr>
          <w:rFonts w:ascii="Times New Roman" w:hAnsi="Times New Roman" w:cs="Times New Roman"/>
        </w:rPr>
        <w:t>)</w:t>
      </w:r>
      <w:r w:rsidRPr="00A561A5" w:rsidR="00770491">
        <w:rPr>
          <w:rFonts w:ascii="Times New Roman" w:hAnsi="Times New Roman" w:cs="Times New Roman"/>
        </w:rPr>
        <w:t xml:space="preserve"> and making consumer recommendations</w:t>
      </w:r>
      <w:r w:rsidRPr="00A561A5">
        <w:rPr>
          <w:rFonts w:ascii="Times New Roman" w:hAnsi="Times New Roman" w:cs="Times New Roman"/>
        </w:rPr>
        <w:t xml:space="preserve">. </w:t>
      </w:r>
      <w:r w:rsidRPr="00A561A5" w:rsidR="00AD2FEB">
        <w:rPr>
          <w:rFonts w:ascii="Times New Roman" w:hAnsi="Times New Roman" w:cs="Times New Roman"/>
        </w:rPr>
        <w:t xml:space="preserve">Through my testimony, I demonstrate that the Settlement fails the PUCO’s three-prong test for </w:t>
      </w:r>
      <w:r w:rsidRPr="00A561A5" w:rsidR="00FA370D">
        <w:rPr>
          <w:rFonts w:ascii="Times New Roman" w:hAnsi="Times New Roman" w:cs="Times New Roman"/>
        </w:rPr>
        <w:t xml:space="preserve">PUCO approval of </w:t>
      </w:r>
      <w:r w:rsidRPr="00A561A5" w:rsidR="00AD2FEB">
        <w:rPr>
          <w:rFonts w:ascii="Times New Roman" w:hAnsi="Times New Roman" w:cs="Times New Roman"/>
        </w:rPr>
        <w:t xml:space="preserve">settlements. In fact, it violates all three prongs: it is not the product of serious bargaining, </w:t>
      </w:r>
      <w:r w:rsidRPr="00A561A5" w:rsidR="00BF5884">
        <w:rPr>
          <w:rFonts w:ascii="Times New Roman" w:hAnsi="Times New Roman" w:cs="Times New Roman"/>
        </w:rPr>
        <w:t xml:space="preserve">it </w:t>
      </w:r>
      <w:r w:rsidRPr="00A561A5" w:rsidR="00AD2FEB">
        <w:rPr>
          <w:rFonts w:ascii="Times New Roman" w:hAnsi="Times New Roman" w:cs="Times New Roman"/>
        </w:rPr>
        <w:t xml:space="preserve">does not benefit customers or the public interest, and </w:t>
      </w:r>
      <w:r w:rsidRPr="00A561A5" w:rsidR="00BF5884">
        <w:rPr>
          <w:rFonts w:ascii="Times New Roman" w:hAnsi="Times New Roman" w:cs="Times New Roman"/>
        </w:rPr>
        <w:t xml:space="preserve">it </w:t>
      </w:r>
      <w:r w:rsidRPr="00A561A5" w:rsidR="00AD2FEB">
        <w:rPr>
          <w:rFonts w:ascii="Times New Roman" w:hAnsi="Times New Roman" w:cs="Times New Roman"/>
        </w:rPr>
        <w:t>violates regulatory principles and practices.</w:t>
      </w:r>
    </w:p>
    <w:p w:rsidR="00FB6A60" w:rsidRPr="00A561A5" w:rsidP="00FB6A60">
      <w:pPr>
        <w:spacing w:line="480" w:lineRule="auto"/>
        <w:ind w:left="720" w:hanging="720"/>
        <w:rPr>
          <w:rFonts w:ascii="Times New Roman" w:hAnsi="Times New Roman" w:cs="Times New Roman"/>
        </w:rPr>
      </w:pPr>
    </w:p>
    <w:p w:rsidR="00AD2FEB" w:rsidRPr="00A561A5" w:rsidP="00FB6A60">
      <w:pPr>
        <w:spacing w:line="480" w:lineRule="auto"/>
        <w:ind w:left="720"/>
        <w:rPr>
          <w:rFonts w:ascii="Times New Roman" w:hAnsi="Times New Roman" w:cs="Times New Roman"/>
        </w:rPr>
      </w:pPr>
      <w:r w:rsidRPr="00A561A5">
        <w:rPr>
          <w:rFonts w:ascii="Times New Roman" w:hAnsi="Times New Roman" w:cs="Times New Roman"/>
        </w:rPr>
        <w:t xml:space="preserve">The focus of my testimony is on what I refer to as the </w:t>
      </w:r>
      <w:r w:rsidRPr="00A561A5">
        <w:rPr>
          <w:rFonts w:ascii="Times New Roman" w:hAnsi="Times New Roman" w:cs="Times New Roman"/>
          <w:i/>
        </w:rPr>
        <w:t>redistributive coalition</w:t>
      </w:r>
      <w:r w:rsidRPr="00A561A5">
        <w:rPr>
          <w:rFonts w:ascii="Times New Roman" w:hAnsi="Times New Roman" w:cs="Times New Roman"/>
        </w:rPr>
        <w:t xml:space="preserve">. What I mean by this is that in PUCO proceedings </w:t>
      </w:r>
      <w:r w:rsidRPr="00A561A5" w:rsidR="00A43541">
        <w:rPr>
          <w:rFonts w:ascii="Times New Roman" w:hAnsi="Times New Roman" w:cs="Times New Roman"/>
        </w:rPr>
        <w:t>such as</w:t>
      </w:r>
      <w:r w:rsidRPr="00A561A5">
        <w:rPr>
          <w:rFonts w:ascii="Times New Roman" w:hAnsi="Times New Roman" w:cs="Times New Roman"/>
        </w:rPr>
        <w:t xml:space="preserve"> this one, the utility works to gain the signatures of a group of parties—</w:t>
      </w:r>
      <w:r w:rsidRPr="00A561A5" w:rsidR="00350A1D">
        <w:rPr>
          <w:rFonts w:ascii="Times New Roman" w:hAnsi="Times New Roman" w:cs="Times New Roman"/>
        </w:rPr>
        <w:t>the coalition</w:t>
      </w:r>
      <w:r w:rsidRPr="00A561A5">
        <w:rPr>
          <w:rFonts w:ascii="Times New Roman" w:hAnsi="Times New Roman" w:cs="Times New Roman"/>
        </w:rPr>
        <w:t xml:space="preserve">—that on its face makes it seem like the settlement has widespread support from diverse parties. The utility then touts this support, claiming that it shows that the settlement benefits customers and is good for the public and state of Ohio at large. But as I explain below, the signatories do not “represent a wide range of interests.” Instead, DP&amp;L has </w:t>
      </w:r>
      <w:r w:rsidRPr="00A561A5" w:rsidR="005D27CD">
        <w:rPr>
          <w:rFonts w:ascii="Times New Roman" w:hAnsi="Times New Roman" w:cs="Times New Roman"/>
        </w:rPr>
        <w:t xml:space="preserve">paid for </w:t>
      </w:r>
      <w:r w:rsidRPr="00A561A5">
        <w:rPr>
          <w:rFonts w:ascii="Times New Roman" w:hAnsi="Times New Roman" w:cs="Times New Roman"/>
        </w:rPr>
        <w:t xml:space="preserve">the support of </w:t>
      </w:r>
      <w:r w:rsidRPr="00A561A5" w:rsidR="0074219F">
        <w:rPr>
          <w:rFonts w:ascii="Times New Roman" w:hAnsi="Times New Roman" w:cs="Times New Roman"/>
        </w:rPr>
        <w:t xml:space="preserve">various </w:t>
      </w:r>
      <w:r w:rsidRPr="00A561A5">
        <w:rPr>
          <w:rFonts w:ascii="Times New Roman" w:hAnsi="Times New Roman" w:cs="Times New Roman"/>
        </w:rPr>
        <w:t>signatory parties that represent their own s</w:t>
      </w:r>
      <w:r w:rsidRPr="00A561A5" w:rsidR="00A72C2D">
        <w:rPr>
          <w:rFonts w:ascii="Times New Roman" w:hAnsi="Times New Roman" w:cs="Times New Roman"/>
        </w:rPr>
        <w:t xml:space="preserve">pecial </w:t>
      </w:r>
      <w:r w:rsidRPr="00A561A5">
        <w:rPr>
          <w:rFonts w:ascii="Times New Roman" w:hAnsi="Times New Roman" w:cs="Times New Roman"/>
        </w:rPr>
        <w:t>interest</w:t>
      </w:r>
      <w:r w:rsidRPr="00A561A5" w:rsidR="00A72C2D">
        <w:rPr>
          <w:rFonts w:ascii="Times New Roman" w:hAnsi="Times New Roman" w:cs="Times New Roman"/>
        </w:rPr>
        <w:t>s</w:t>
      </w:r>
      <w:r w:rsidRPr="00A561A5">
        <w:rPr>
          <w:rFonts w:ascii="Times New Roman" w:hAnsi="Times New Roman" w:cs="Times New Roman"/>
        </w:rPr>
        <w:t>.</w:t>
      </w:r>
      <w:r w:rsidRPr="00A561A5" w:rsidR="0067554D">
        <w:rPr>
          <w:rFonts w:ascii="Times New Roman" w:hAnsi="Times New Roman" w:cs="Times New Roman"/>
        </w:rPr>
        <w:t xml:space="preserve"> An unfortunate effect of t</w:t>
      </w:r>
      <w:r w:rsidRPr="00A561A5" w:rsidR="00C07A55">
        <w:rPr>
          <w:rFonts w:ascii="Times New Roman" w:hAnsi="Times New Roman" w:cs="Times New Roman"/>
        </w:rPr>
        <w:t>his</w:t>
      </w:r>
      <w:r w:rsidRPr="00A561A5" w:rsidR="0067554D">
        <w:rPr>
          <w:rFonts w:ascii="Times New Roman" w:hAnsi="Times New Roman" w:cs="Times New Roman"/>
        </w:rPr>
        <w:t xml:space="preserve"> process is that</w:t>
      </w:r>
      <w:r w:rsidRPr="00A561A5" w:rsidR="002E3D1E">
        <w:rPr>
          <w:rFonts w:ascii="Times New Roman" w:hAnsi="Times New Roman" w:cs="Times New Roman"/>
        </w:rPr>
        <w:t>, under the PUCO’s settlement standard,</w:t>
      </w:r>
      <w:r w:rsidRPr="00A561A5" w:rsidR="0067554D">
        <w:rPr>
          <w:rFonts w:ascii="Times New Roman" w:hAnsi="Times New Roman" w:cs="Times New Roman"/>
        </w:rPr>
        <w:t xml:space="preserve"> parties </w:t>
      </w:r>
      <w:r w:rsidRPr="00A561A5" w:rsidR="00B21632">
        <w:rPr>
          <w:rFonts w:ascii="Times New Roman" w:hAnsi="Times New Roman" w:cs="Times New Roman"/>
        </w:rPr>
        <w:t>are</w:t>
      </w:r>
      <w:r w:rsidRPr="00A561A5" w:rsidR="0067554D">
        <w:rPr>
          <w:rFonts w:ascii="Times New Roman" w:hAnsi="Times New Roman" w:cs="Times New Roman"/>
        </w:rPr>
        <w:t xml:space="preserve"> pressed</w:t>
      </w:r>
      <w:r w:rsidRPr="00A561A5" w:rsidR="00C07A55">
        <w:rPr>
          <w:rFonts w:ascii="Times New Roman" w:hAnsi="Times New Roman" w:cs="Times New Roman"/>
        </w:rPr>
        <w:t xml:space="preserve"> to </w:t>
      </w:r>
      <w:r w:rsidRPr="00A561A5" w:rsidR="00D67E55">
        <w:rPr>
          <w:rFonts w:ascii="Times New Roman" w:hAnsi="Times New Roman" w:cs="Times New Roman"/>
        </w:rPr>
        <w:t>join the redistributive coal</w:t>
      </w:r>
      <w:r w:rsidRPr="00A561A5" w:rsidR="00D16EE1">
        <w:rPr>
          <w:rFonts w:ascii="Times New Roman" w:hAnsi="Times New Roman" w:cs="Times New Roman"/>
        </w:rPr>
        <w:t>i</w:t>
      </w:r>
      <w:r w:rsidRPr="00A561A5" w:rsidR="00D67E55">
        <w:rPr>
          <w:rFonts w:ascii="Times New Roman" w:hAnsi="Times New Roman" w:cs="Times New Roman"/>
        </w:rPr>
        <w:t>tion</w:t>
      </w:r>
      <w:r w:rsidRPr="00A561A5" w:rsidR="00C07A55">
        <w:rPr>
          <w:rFonts w:ascii="Times New Roman" w:hAnsi="Times New Roman" w:cs="Times New Roman"/>
        </w:rPr>
        <w:t xml:space="preserve"> </w:t>
      </w:r>
      <w:r w:rsidRPr="00A561A5" w:rsidR="0067554D">
        <w:rPr>
          <w:rFonts w:ascii="Times New Roman" w:hAnsi="Times New Roman" w:cs="Times New Roman"/>
        </w:rPr>
        <w:t>to avoid missing out</w:t>
      </w:r>
      <w:r w:rsidRPr="00A561A5" w:rsidR="00C07A55">
        <w:rPr>
          <w:rFonts w:ascii="Times New Roman" w:hAnsi="Times New Roman" w:cs="Times New Roman"/>
        </w:rPr>
        <w:t xml:space="preserve"> on cash or other benefits if they don’t</w:t>
      </w:r>
      <w:r w:rsidRPr="00A561A5" w:rsidR="00EC1C45">
        <w:rPr>
          <w:rFonts w:ascii="Times New Roman" w:hAnsi="Times New Roman" w:cs="Times New Roman"/>
        </w:rPr>
        <w:t xml:space="preserve"> join</w:t>
      </w:r>
      <w:r w:rsidRPr="00A561A5" w:rsidR="00C07A55">
        <w:rPr>
          <w:rFonts w:ascii="Times New Roman" w:hAnsi="Times New Roman" w:cs="Times New Roman"/>
        </w:rPr>
        <w:t>.</w:t>
      </w:r>
      <w:r w:rsidRPr="00A561A5" w:rsidR="0067554D">
        <w:rPr>
          <w:rFonts w:ascii="Times New Roman" w:hAnsi="Times New Roman" w:cs="Times New Roman"/>
        </w:rPr>
        <w:t xml:space="preserve"> </w:t>
      </w:r>
    </w:p>
    <w:p w:rsidR="00313180" w:rsidRPr="00A561A5" w:rsidP="00FB6A60">
      <w:pPr>
        <w:spacing w:line="480" w:lineRule="auto"/>
        <w:rPr>
          <w:rFonts w:ascii="Times New Roman" w:hAnsi="Times New Roman" w:cs="Times New Roman"/>
        </w:rPr>
      </w:pPr>
    </w:p>
    <w:p w:rsidR="00FB6A60" w:rsidRPr="00A561A5" w:rsidP="00FB6A60">
      <w:pPr>
        <w:spacing w:after="120" w:line="480" w:lineRule="auto"/>
        <w:ind w:left="720"/>
        <w:rPr>
          <w:rFonts w:ascii="Times New Roman" w:hAnsi="Times New Roman" w:cs="Times New Roman"/>
        </w:rPr>
      </w:pPr>
      <w:r w:rsidRPr="00A561A5">
        <w:rPr>
          <w:rFonts w:ascii="Times New Roman" w:hAnsi="Times New Roman" w:cs="Times New Roman"/>
        </w:rPr>
        <w:t>Specifically</w:t>
      </w:r>
      <w:r w:rsidRPr="00A561A5" w:rsidR="00095B81">
        <w:rPr>
          <w:rFonts w:ascii="Times New Roman" w:hAnsi="Times New Roman" w:cs="Times New Roman"/>
        </w:rPr>
        <w:t xml:space="preserve">, the </w:t>
      </w:r>
      <w:r w:rsidRPr="00A561A5">
        <w:rPr>
          <w:rFonts w:ascii="Times New Roman" w:hAnsi="Times New Roman" w:cs="Times New Roman"/>
        </w:rPr>
        <w:t xml:space="preserve">signatories </w:t>
      </w:r>
      <w:r w:rsidRPr="00A561A5" w:rsidR="000C1738">
        <w:rPr>
          <w:rFonts w:ascii="Times New Roman" w:hAnsi="Times New Roman" w:cs="Times New Roman"/>
        </w:rPr>
        <w:t>are</w:t>
      </w:r>
      <w:r w:rsidRPr="00A561A5" w:rsidR="000405DC">
        <w:rPr>
          <w:rFonts w:ascii="Times New Roman" w:hAnsi="Times New Roman" w:cs="Times New Roman"/>
        </w:rPr>
        <w:t xml:space="preserve"> a</w:t>
      </w:r>
      <w:r w:rsidRPr="00A561A5" w:rsidR="001D6C54">
        <w:rPr>
          <w:rFonts w:ascii="Times New Roman" w:hAnsi="Times New Roman" w:cs="Times New Roman"/>
        </w:rPr>
        <w:t xml:space="preserve"> coalition of </w:t>
      </w:r>
      <w:r w:rsidRPr="00A561A5" w:rsidR="00095B81">
        <w:rPr>
          <w:rFonts w:ascii="Times New Roman" w:hAnsi="Times New Roman" w:cs="Times New Roman"/>
        </w:rPr>
        <w:t>self-interested parties</w:t>
      </w:r>
      <w:r w:rsidRPr="00A561A5" w:rsidR="00103955">
        <w:rPr>
          <w:rFonts w:ascii="Times New Roman" w:hAnsi="Times New Roman" w:cs="Times New Roman"/>
        </w:rPr>
        <w:t xml:space="preserve"> – a coalition of convenience</w:t>
      </w:r>
      <w:r w:rsidRPr="00A561A5" w:rsidR="00A5345E">
        <w:rPr>
          <w:rFonts w:ascii="Times New Roman" w:hAnsi="Times New Roman" w:cs="Times New Roman"/>
        </w:rPr>
        <w:t>.</w:t>
      </w:r>
      <w:r w:rsidRPr="00A561A5" w:rsidR="00095B81">
        <w:rPr>
          <w:rFonts w:ascii="Times New Roman" w:hAnsi="Times New Roman" w:cs="Times New Roman"/>
        </w:rPr>
        <w:t xml:space="preserve"> </w:t>
      </w:r>
      <w:r w:rsidRPr="00A561A5" w:rsidR="00A5345E">
        <w:rPr>
          <w:rFonts w:ascii="Times New Roman" w:hAnsi="Times New Roman" w:cs="Times New Roman"/>
        </w:rPr>
        <w:t>T</w:t>
      </w:r>
      <w:r w:rsidRPr="00A561A5" w:rsidR="00431012">
        <w:rPr>
          <w:rFonts w:ascii="Times New Roman" w:hAnsi="Times New Roman" w:cs="Times New Roman"/>
        </w:rPr>
        <w:t>hrough the settlement of DP&amp;L’s case</w:t>
      </w:r>
      <w:r w:rsidRPr="00A561A5" w:rsidR="00A5345E">
        <w:rPr>
          <w:rFonts w:ascii="Times New Roman" w:hAnsi="Times New Roman" w:cs="Times New Roman"/>
        </w:rPr>
        <w:t>s</w:t>
      </w:r>
      <w:r w:rsidRPr="00A561A5" w:rsidR="00431012">
        <w:rPr>
          <w:rFonts w:ascii="Times New Roman" w:hAnsi="Times New Roman" w:cs="Times New Roman"/>
        </w:rPr>
        <w:t xml:space="preserve"> </w:t>
      </w:r>
      <w:r w:rsidRPr="00A561A5" w:rsidR="00A5345E">
        <w:rPr>
          <w:rFonts w:ascii="Times New Roman" w:hAnsi="Times New Roman" w:cs="Times New Roman"/>
        </w:rPr>
        <w:t xml:space="preserve">they </w:t>
      </w:r>
      <w:r w:rsidRPr="00A561A5" w:rsidR="001D6C54">
        <w:rPr>
          <w:rFonts w:ascii="Times New Roman" w:hAnsi="Times New Roman" w:cs="Times New Roman"/>
        </w:rPr>
        <w:t>influence</w:t>
      </w:r>
      <w:r w:rsidRPr="00A561A5" w:rsidR="00095B81">
        <w:rPr>
          <w:rFonts w:ascii="Times New Roman" w:hAnsi="Times New Roman" w:cs="Times New Roman"/>
        </w:rPr>
        <w:t xml:space="preserve"> </w:t>
      </w:r>
      <w:r w:rsidRPr="00A561A5" w:rsidR="001D6C54">
        <w:rPr>
          <w:rFonts w:ascii="Times New Roman" w:hAnsi="Times New Roman" w:cs="Times New Roman"/>
        </w:rPr>
        <w:t xml:space="preserve">public policy in </w:t>
      </w:r>
      <w:r w:rsidRPr="00A561A5" w:rsidR="00431012">
        <w:rPr>
          <w:rFonts w:ascii="Times New Roman" w:hAnsi="Times New Roman" w:cs="Times New Roman"/>
        </w:rPr>
        <w:t xml:space="preserve">deleterious </w:t>
      </w:r>
      <w:r w:rsidRPr="00A561A5" w:rsidR="001D6C54">
        <w:rPr>
          <w:rFonts w:ascii="Times New Roman" w:hAnsi="Times New Roman" w:cs="Times New Roman"/>
        </w:rPr>
        <w:t>ways</w:t>
      </w:r>
      <w:r w:rsidRPr="00A561A5" w:rsidR="000405DC">
        <w:rPr>
          <w:rFonts w:ascii="Times New Roman" w:hAnsi="Times New Roman" w:cs="Times New Roman"/>
        </w:rPr>
        <w:t>, redistribute income in ways that harm</w:t>
      </w:r>
      <w:r w:rsidRPr="00A561A5" w:rsidR="00095B81">
        <w:rPr>
          <w:rFonts w:ascii="Times New Roman" w:hAnsi="Times New Roman" w:cs="Times New Roman"/>
        </w:rPr>
        <w:t xml:space="preserve"> </w:t>
      </w:r>
      <w:r w:rsidRPr="00A561A5" w:rsidR="000405DC">
        <w:rPr>
          <w:rFonts w:ascii="Times New Roman" w:hAnsi="Times New Roman" w:cs="Times New Roman"/>
        </w:rPr>
        <w:t>electricity consumers, privatize</w:t>
      </w:r>
      <w:r w:rsidRPr="00A561A5" w:rsidR="00A5345E">
        <w:rPr>
          <w:rFonts w:ascii="Times New Roman" w:hAnsi="Times New Roman" w:cs="Times New Roman"/>
        </w:rPr>
        <w:t xml:space="preserve"> (in effect)</w:t>
      </w:r>
      <w:r w:rsidRPr="00A561A5" w:rsidR="000405DC">
        <w:rPr>
          <w:rFonts w:ascii="Times New Roman" w:hAnsi="Times New Roman" w:cs="Times New Roman"/>
        </w:rPr>
        <w:t xml:space="preserve"> </w:t>
      </w:r>
      <w:r w:rsidRPr="00A561A5" w:rsidR="00095B81">
        <w:rPr>
          <w:rFonts w:ascii="Times New Roman" w:hAnsi="Times New Roman" w:cs="Times New Roman"/>
        </w:rPr>
        <w:t>part</w:t>
      </w:r>
      <w:r w:rsidRPr="00A561A5" w:rsidR="000405DC">
        <w:rPr>
          <w:rFonts w:ascii="Times New Roman" w:hAnsi="Times New Roman" w:cs="Times New Roman"/>
        </w:rPr>
        <w:t xml:space="preserve"> of the state’s economic development </w:t>
      </w:r>
      <w:r w:rsidRPr="00A561A5" w:rsidR="00095B81">
        <w:rPr>
          <w:rFonts w:ascii="Times New Roman" w:hAnsi="Times New Roman" w:cs="Times New Roman"/>
        </w:rPr>
        <w:t xml:space="preserve">and health care </w:t>
      </w:r>
      <w:r w:rsidRPr="00A561A5" w:rsidR="000405DC">
        <w:rPr>
          <w:rFonts w:ascii="Times New Roman" w:hAnsi="Times New Roman" w:cs="Times New Roman"/>
        </w:rPr>
        <w:t>polic</w:t>
      </w:r>
      <w:r w:rsidRPr="00A561A5" w:rsidR="00095B81">
        <w:rPr>
          <w:rFonts w:ascii="Times New Roman" w:hAnsi="Times New Roman" w:cs="Times New Roman"/>
        </w:rPr>
        <w:t>y making</w:t>
      </w:r>
      <w:r w:rsidRPr="00A561A5" w:rsidR="000405DC">
        <w:rPr>
          <w:rFonts w:ascii="Times New Roman" w:hAnsi="Times New Roman" w:cs="Times New Roman"/>
        </w:rPr>
        <w:t xml:space="preserve">, and </w:t>
      </w:r>
      <w:r w:rsidRPr="00A561A5" w:rsidR="00A5345E">
        <w:rPr>
          <w:rFonts w:ascii="Times New Roman" w:hAnsi="Times New Roman" w:cs="Times New Roman"/>
        </w:rPr>
        <w:t xml:space="preserve">unfairly have government </w:t>
      </w:r>
      <w:r w:rsidRPr="00A561A5" w:rsidR="000405DC">
        <w:rPr>
          <w:rFonts w:ascii="Times New Roman" w:hAnsi="Times New Roman" w:cs="Times New Roman"/>
        </w:rPr>
        <w:t>pick winners and losers among competing private businesses</w:t>
      </w:r>
      <w:r w:rsidRPr="00A561A5" w:rsidR="00A5345E">
        <w:rPr>
          <w:rFonts w:ascii="Times New Roman" w:hAnsi="Times New Roman" w:cs="Times New Roman"/>
        </w:rPr>
        <w:t>.</w:t>
      </w:r>
      <w:r w:rsidRPr="00A561A5" w:rsidR="000405DC">
        <w:rPr>
          <w:rFonts w:ascii="Times New Roman" w:hAnsi="Times New Roman" w:cs="Times New Roman"/>
        </w:rPr>
        <w:t xml:space="preserve"> </w:t>
      </w:r>
    </w:p>
    <w:p w:rsidR="000C1738" w:rsidRPr="00A561A5" w:rsidP="00FB6A60">
      <w:pPr>
        <w:spacing w:line="480" w:lineRule="auto"/>
        <w:ind w:left="720"/>
        <w:rPr>
          <w:rFonts w:ascii="Times New Roman" w:hAnsi="Times New Roman" w:cs="Times New Roman"/>
        </w:rPr>
      </w:pPr>
      <w:r w:rsidRPr="00A561A5">
        <w:rPr>
          <w:rFonts w:ascii="Times New Roman" w:hAnsi="Times New Roman" w:cs="Times New Roman"/>
        </w:rPr>
        <w:t>T</w:t>
      </w:r>
      <w:r w:rsidRPr="00A561A5" w:rsidR="000405DC">
        <w:rPr>
          <w:rFonts w:ascii="Times New Roman" w:hAnsi="Times New Roman" w:cs="Times New Roman"/>
        </w:rPr>
        <w:t>h</w:t>
      </w:r>
      <w:r w:rsidRPr="00A561A5" w:rsidR="00112934">
        <w:rPr>
          <w:rFonts w:ascii="Times New Roman" w:hAnsi="Times New Roman" w:cs="Times New Roman"/>
        </w:rPr>
        <w:t>is</w:t>
      </w:r>
      <w:r w:rsidRPr="00A561A5" w:rsidR="000405DC">
        <w:rPr>
          <w:rFonts w:ascii="Times New Roman" w:hAnsi="Times New Roman" w:cs="Times New Roman"/>
        </w:rPr>
        <w:t xml:space="preserve"> </w:t>
      </w:r>
      <w:r w:rsidRPr="00A561A5" w:rsidR="001C1594">
        <w:rPr>
          <w:rFonts w:ascii="Times New Roman" w:hAnsi="Times New Roman" w:cs="Times New Roman"/>
        </w:rPr>
        <w:t>type of utility</w:t>
      </w:r>
      <w:r w:rsidRPr="00A561A5" w:rsidR="00095B81">
        <w:rPr>
          <w:rFonts w:ascii="Times New Roman" w:hAnsi="Times New Roman" w:cs="Times New Roman"/>
        </w:rPr>
        <w:t xml:space="preserve"> negotiation </w:t>
      </w:r>
      <w:r w:rsidRPr="00A561A5" w:rsidR="007E0B7C">
        <w:rPr>
          <w:rFonts w:ascii="Times New Roman" w:hAnsi="Times New Roman" w:cs="Times New Roman"/>
        </w:rPr>
        <w:t xml:space="preserve">– </w:t>
      </w:r>
      <w:r w:rsidRPr="00A561A5" w:rsidR="001C1594">
        <w:rPr>
          <w:rFonts w:ascii="Times New Roman" w:hAnsi="Times New Roman" w:cs="Times New Roman"/>
        </w:rPr>
        <w:t>enabling the procurement of settlement</w:t>
      </w:r>
      <w:r w:rsidRPr="00A561A5" w:rsidR="00095B81">
        <w:rPr>
          <w:rFonts w:ascii="Times New Roman" w:hAnsi="Times New Roman" w:cs="Times New Roman"/>
        </w:rPr>
        <w:t xml:space="preserve"> signatures for cash, </w:t>
      </w:r>
      <w:r w:rsidRPr="00A561A5" w:rsidR="00B21632">
        <w:rPr>
          <w:rFonts w:ascii="Times New Roman" w:hAnsi="Times New Roman" w:cs="Times New Roman"/>
        </w:rPr>
        <w:t>payments for electricity used</w:t>
      </w:r>
      <w:r w:rsidRPr="00A561A5" w:rsidR="00095B81">
        <w:rPr>
          <w:rFonts w:ascii="Times New Roman" w:hAnsi="Times New Roman" w:cs="Times New Roman"/>
        </w:rPr>
        <w:t xml:space="preserve">, and investments </w:t>
      </w:r>
      <w:r w:rsidRPr="00A561A5" w:rsidR="00B21632">
        <w:rPr>
          <w:rFonts w:ascii="Times New Roman" w:hAnsi="Times New Roman" w:cs="Times New Roman"/>
        </w:rPr>
        <w:t xml:space="preserve">that benefit </w:t>
      </w:r>
      <w:r w:rsidRPr="00A561A5" w:rsidR="00095B81">
        <w:rPr>
          <w:rFonts w:ascii="Times New Roman" w:hAnsi="Times New Roman" w:cs="Times New Roman"/>
        </w:rPr>
        <w:t xml:space="preserve">a small number of </w:t>
      </w:r>
      <w:r w:rsidRPr="00A561A5" w:rsidR="001C1594">
        <w:rPr>
          <w:rFonts w:ascii="Times New Roman" w:hAnsi="Times New Roman" w:cs="Times New Roman"/>
        </w:rPr>
        <w:t>stakeholders</w:t>
      </w:r>
      <w:r w:rsidRPr="00A561A5" w:rsidR="007E0B7C">
        <w:rPr>
          <w:rFonts w:ascii="Times New Roman" w:hAnsi="Times New Roman" w:cs="Times New Roman"/>
        </w:rPr>
        <w:t xml:space="preserve"> –</w:t>
      </w:r>
      <w:r w:rsidRPr="00A561A5" w:rsidR="00095B81">
        <w:rPr>
          <w:rFonts w:ascii="Times New Roman" w:hAnsi="Times New Roman" w:cs="Times New Roman"/>
        </w:rPr>
        <w:t xml:space="preserve"> </w:t>
      </w:r>
      <w:r w:rsidRPr="00A561A5">
        <w:rPr>
          <w:rFonts w:ascii="Times New Roman" w:hAnsi="Times New Roman" w:cs="Times New Roman"/>
        </w:rPr>
        <w:t xml:space="preserve">is </w:t>
      </w:r>
      <w:r w:rsidRPr="00A561A5" w:rsidR="00EB063B">
        <w:rPr>
          <w:rFonts w:ascii="Times New Roman" w:hAnsi="Times New Roman" w:cs="Times New Roman"/>
        </w:rPr>
        <w:t xml:space="preserve">inappropriate </w:t>
      </w:r>
      <w:r w:rsidRPr="00A561A5" w:rsidR="00B21632">
        <w:rPr>
          <w:rFonts w:ascii="Times New Roman" w:hAnsi="Times New Roman" w:cs="Times New Roman"/>
        </w:rPr>
        <w:t>in a</w:t>
      </w:r>
      <w:r w:rsidRPr="00A561A5" w:rsidR="0061341C">
        <w:rPr>
          <w:rFonts w:ascii="Times New Roman" w:hAnsi="Times New Roman" w:cs="Times New Roman"/>
        </w:rPr>
        <w:t xml:space="preserve"> regulatory process</w:t>
      </w:r>
      <w:r w:rsidRPr="00A561A5" w:rsidR="00095B81">
        <w:rPr>
          <w:rFonts w:ascii="Times New Roman" w:hAnsi="Times New Roman" w:cs="Times New Roman"/>
        </w:rPr>
        <w:t xml:space="preserve">. </w:t>
      </w:r>
    </w:p>
    <w:p w:rsidR="009C41AC" w:rsidRPr="00A561A5" w:rsidP="00FB6A60">
      <w:pPr>
        <w:spacing w:line="480" w:lineRule="auto"/>
        <w:rPr>
          <w:rFonts w:ascii="Times New Roman" w:hAnsi="Times New Roman" w:cs="Times New Roman"/>
          <w:b/>
          <w:bCs/>
        </w:rPr>
      </w:pPr>
    </w:p>
    <w:p w:rsidR="00BA7359" w:rsidRPr="00A561A5" w:rsidP="00FB6A60">
      <w:pPr>
        <w:spacing w:after="120" w:line="480" w:lineRule="auto"/>
        <w:ind w:left="720" w:hanging="720"/>
        <w:rPr>
          <w:rFonts w:ascii="Times New Roman" w:hAnsi="Times New Roman" w:cs="Times New Roman"/>
          <w:b/>
          <w:bCs/>
          <w:i/>
          <w:iCs/>
        </w:rPr>
      </w:pPr>
      <w:r w:rsidRPr="00A561A5">
        <w:rPr>
          <w:rFonts w:ascii="Times New Roman" w:hAnsi="Times New Roman" w:cs="Times New Roman"/>
          <w:b/>
          <w:bCs/>
          <w:i/>
          <w:iCs/>
        </w:rPr>
        <w:t>Q5.</w:t>
      </w:r>
      <w:r w:rsidRPr="00A561A5">
        <w:rPr>
          <w:rFonts w:ascii="Times New Roman" w:hAnsi="Times New Roman" w:cs="Times New Roman"/>
          <w:b/>
          <w:bCs/>
          <w:i/>
          <w:iCs/>
        </w:rPr>
        <w:tab/>
        <w:t>IS THE TERM “REDISTRIBUTIVE COALITION” WELL RECOGNIZED IN THE ACADEMIC FIELDS OF PUBLIC POLICY AND ECONOMICS?</w:t>
      </w:r>
    </w:p>
    <w:p w:rsidR="00BA7359" w:rsidRPr="00A561A5" w:rsidP="00FB6A60">
      <w:pPr>
        <w:spacing w:line="480" w:lineRule="auto"/>
        <w:ind w:left="720" w:hanging="720"/>
        <w:rPr>
          <w:rFonts w:ascii="Times New Roman" w:hAnsi="Times New Roman" w:cs="Times New Roman"/>
        </w:rPr>
      </w:pPr>
      <w:r w:rsidRPr="00A561A5">
        <w:rPr>
          <w:rFonts w:ascii="Times New Roman" w:hAnsi="Times New Roman" w:cs="Times New Roman"/>
          <w:b/>
          <w:bCs/>
          <w:i/>
          <w:iCs/>
        </w:rPr>
        <w:t>A</w:t>
      </w:r>
      <w:r w:rsidRPr="00A561A5" w:rsidR="00FB6A60">
        <w:rPr>
          <w:rFonts w:ascii="Times New Roman" w:hAnsi="Times New Roman" w:cs="Times New Roman"/>
          <w:b/>
          <w:bCs/>
          <w:i/>
          <w:iCs/>
        </w:rPr>
        <w:t>5</w:t>
      </w:r>
      <w:r w:rsidRPr="00A561A5">
        <w:rPr>
          <w:rFonts w:ascii="Times New Roman" w:hAnsi="Times New Roman" w:cs="Times New Roman"/>
          <w:b/>
          <w:bCs/>
          <w:i/>
          <w:iCs/>
        </w:rPr>
        <w:t>.</w:t>
      </w:r>
      <w:r w:rsidRPr="00A561A5">
        <w:rPr>
          <w:rFonts w:ascii="Times New Roman" w:hAnsi="Times New Roman" w:cs="Times New Roman"/>
        </w:rPr>
        <w:t xml:space="preserve"> </w:t>
      </w:r>
      <w:r w:rsidRPr="00A561A5" w:rsidR="00FB6A60">
        <w:rPr>
          <w:rFonts w:ascii="Times New Roman" w:hAnsi="Times New Roman" w:cs="Times New Roman"/>
        </w:rPr>
        <w:tab/>
      </w:r>
      <w:r w:rsidRPr="00A561A5">
        <w:rPr>
          <w:rFonts w:ascii="Times New Roman" w:hAnsi="Times New Roman" w:cs="Times New Roman"/>
        </w:rPr>
        <w:t xml:space="preserve">Yes. The concept is one of the tools provided to public policy analysis by public choice theory. </w:t>
      </w:r>
      <w:r w:rsidRPr="00A561A5" w:rsidR="0060629D">
        <w:rPr>
          <w:rFonts w:ascii="Times New Roman" w:hAnsi="Times New Roman" w:cs="Times New Roman"/>
        </w:rPr>
        <w:t xml:space="preserve">It </w:t>
      </w:r>
      <w:r w:rsidRPr="00A561A5" w:rsidR="00350A1D">
        <w:rPr>
          <w:rFonts w:ascii="Times New Roman" w:hAnsi="Times New Roman" w:cs="Times New Roman"/>
        </w:rPr>
        <w:t xml:space="preserve">is </w:t>
      </w:r>
      <w:r w:rsidRPr="00A561A5" w:rsidR="0060629D">
        <w:rPr>
          <w:rFonts w:ascii="Times New Roman" w:hAnsi="Times New Roman" w:cs="Times New Roman"/>
        </w:rPr>
        <w:t xml:space="preserve">well established, </w:t>
      </w:r>
      <w:r w:rsidRPr="00A561A5" w:rsidR="00B21632">
        <w:rPr>
          <w:rFonts w:ascii="Times New Roman" w:hAnsi="Times New Roman" w:cs="Times New Roman"/>
        </w:rPr>
        <w:t>elements of the concept appeared</w:t>
      </w:r>
      <w:r w:rsidRPr="00A561A5" w:rsidR="0060629D">
        <w:rPr>
          <w:rFonts w:ascii="Times New Roman" w:hAnsi="Times New Roman" w:cs="Times New Roman"/>
        </w:rPr>
        <w:t xml:space="preserve"> as early as 1965 with </w:t>
      </w:r>
      <w:r w:rsidRPr="00A561A5">
        <w:rPr>
          <w:rFonts w:ascii="Times New Roman" w:hAnsi="Times New Roman" w:cs="Times New Roman"/>
        </w:rPr>
        <w:t>economist Mancur Olson</w:t>
      </w:r>
      <w:r w:rsidRPr="00A561A5" w:rsidR="0060629D">
        <w:rPr>
          <w:rFonts w:ascii="Times New Roman" w:hAnsi="Times New Roman" w:cs="Times New Roman"/>
        </w:rPr>
        <w:t xml:space="preserve">’s book </w:t>
      </w:r>
      <w:r w:rsidRPr="00A561A5" w:rsidR="0060629D">
        <w:rPr>
          <w:rFonts w:ascii="Times New Roman" w:hAnsi="Times New Roman" w:cs="Times New Roman"/>
          <w:i/>
        </w:rPr>
        <w:t>The Logic of Collective Action</w:t>
      </w:r>
      <w:r w:rsidRPr="00A561A5" w:rsidR="0060629D">
        <w:rPr>
          <w:rFonts w:ascii="Times New Roman" w:hAnsi="Times New Roman" w:cs="Times New Roman"/>
        </w:rPr>
        <w:t>.</w:t>
      </w:r>
      <w:r>
        <w:rPr>
          <w:rStyle w:val="FootnoteReference"/>
          <w:rFonts w:ascii="Times New Roman" w:hAnsi="Times New Roman" w:cs="Times New Roman"/>
        </w:rPr>
        <w:footnoteReference w:id="3"/>
      </w:r>
      <w:r w:rsidRPr="00A561A5" w:rsidR="0060629D">
        <w:rPr>
          <w:rFonts w:ascii="Times New Roman" w:hAnsi="Times New Roman" w:cs="Times New Roman"/>
        </w:rPr>
        <w:t xml:space="preserve"> The concept was also developed by another economist, George Stigler in 1970,</w:t>
      </w:r>
      <w:r>
        <w:rPr>
          <w:rStyle w:val="FootnoteReference"/>
          <w:rFonts w:ascii="Times New Roman" w:hAnsi="Times New Roman" w:cs="Times New Roman"/>
        </w:rPr>
        <w:footnoteReference w:id="4"/>
      </w:r>
      <w:r w:rsidRPr="00A561A5" w:rsidR="0060629D">
        <w:rPr>
          <w:rFonts w:ascii="Times New Roman" w:hAnsi="Times New Roman" w:cs="Times New Roman"/>
        </w:rPr>
        <w:t xml:space="preserve"> with further refinements by Olson in his 1982 book </w:t>
      </w:r>
      <w:r w:rsidRPr="00A561A5" w:rsidR="0060629D">
        <w:rPr>
          <w:rFonts w:ascii="Times New Roman" w:hAnsi="Times New Roman" w:cs="Times New Roman"/>
          <w:i/>
        </w:rPr>
        <w:t>The Rise and Decline of Nations.</w:t>
      </w:r>
      <w:r>
        <w:rPr>
          <w:rStyle w:val="FootnoteReference"/>
          <w:rFonts w:ascii="Times New Roman" w:hAnsi="Times New Roman" w:cs="Times New Roman"/>
          <w:iCs/>
        </w:rPr>
        <w:footnoteReference w:id="5"/>
      </w:r>
      <w:r w:rsidRPr="00A561A5" w:rsidR="0060629D">
        <w:rPr>
          <w:rFonts w:ascii="Times New Roman" w:hAnsi="Times New Roman" w:cs="Times New Roman"/>
        </w:rPr>
        <w:t xml:space="preserve"> </w:t>
      </w:r>
    </w:p>
    <w:p w:rsidR="00BA7359" w:rsidRPr="00A561A5" w:rsidP="00FB6A60">
      <w:pPr>
        <w:spacing w:line="480" w:lineRule="auto"/>
        <w:rPr>
          <w:rFonts w:ascii="Times New Roman" w:hAnsi="Times New Roman" w:cs="Times New Roman"/>
          <w:b/>
          <w:bCs/>
        </w:rPr>
      </w:pPr>
    </w:p>
    <w:p w:rsidR="00BA7359" w:rsidRPr="00A561A5" w:rsidP="001642E5">
      <w:pPr>
        <w:spacing w:after="120" w:line="480" w:lineRule="auto"/>
        <w:rPr>
          <w:rFonts w:ascii="Times New Roman" w:hAnsi="Times New Roman" w:cs="Times New Roman"/>
          <w:b/>
          <w:bCs/>
          <w:i/>
          <w:iCs/>
        </w:rPr>
      </w:pPr>
      <w:r w:rsidRPr="00A561A5">
        <w:rPr>
          <w:rFonts w:ascii="Times New Roman" w:hAnsi="Times New Roman" w:cs="Times New Roman"/>
          <w:b/>
          <w:bCs/>
          <w:i/>
          <w:iCs/>
        </w:rPr>
        <w:t xml:space="preserve">Q6. </w:t>
      </w:r>
      <w:r w:rsidRPr="00A561A5">
        <w:rPr>
          <w:rFonts w:ascii="Times New Roman" w:hAnsi="Times New Roman" w:cs="Times New Roman"/>
          <w:b/>
          <w:bCs/>
          <w:i/>
          <w:iCs/>
        </w:rPr>
        <w:tab/>
        <w:t>WHAT IS A “REDISTRIBUTIVE COALITION”?</w:t>
      </w:r>
    </w:p>
    <w:p w:rsidR="00BA7359" w:rsidRPr="00A561A5" w:rsidP="00FB6A60">
      <w:pPr>
        <w:spacing w:after="120" w:line="480" w:lineRule="auto"/>
        <w:ind w:left="720" w:hanging="720"/>
        <w:rPr>
          <w:rFonts w:ascii="Times New Roman" w:hAnsi="Times New Roman" w:cs="Times New Roman"/>
        </w:rPr>
      </w:pPr>
      <w:r w:rsidRPr="00A561A5">
        <w:rPr>
          <w:rFonts w:ascii="Times New Roman" w:hAnsi="Times New Roman" w:cs="Times New Roman"/>
          <w:b/>
          <w:i/>
          <w:iCs/>
        </w:rPr>
        <w:t>A</w:t>
      </w:r>
      <w:r w:rsidRPr="00A561A5" w:rsidR="00FB6A60">
        <w:rPr>
          <w:rFonts w:ascii="Times New Roman" w:hAnsi="Times New Roman" w:cs="Times New Roman"/>
          <w:b/>
          <w:i/>
          <w:iCs/>
        </w:rPr>
        <w:t>6</w:t>
      </w:r>
      <w:r w:rsidRPr="00A561A5">
        <w:rPr>
          <w:rFonts w:ascii="Times New Roman" w:hAnsi="Times New Roman" w:cs="Times New Roman"/>
          <w:b/>
          <w:i/>
          <w:iCs/>
        </w:rPr>
        <w:t>.</w:t>
      </w:r>
      <w:r w:rsidRPr="00A561A5">
        <w:rPr>
          <w:rFonts w:ascii="Times New Roman" w:hAnsi="Times New Roman" w:cs="Times New Roman"/>
        </w:rPr>
        <w:t xml:space="preserve"> </w:t>
      </w:r>
      <w:r w:rsidRPr="00A561A5" w:rsidR="00FB6A60">
        <w:rPr>
          <w:rFonts w:ascii="Times New Roman" w:hAnsi="Times New Roman" w:cs="Times New Roman"/>
        </w:rPr>
        <w:tab/>
      </w:r>
      <w:r w:rsidRPr="00A561A5">
        <w:rPr>
          <w:rFonts w:ascii="Times New Roman" w:hAnsi="Times New Roman" w:cs="Times New Roman"/>
        </w:rPr>
        <w:t xml:space="preserve">A redistributive coalition is a relatively small group that uses political or regulatory processes to secure benefits that cannot be earned </w:t>
      </w:r>
      <w:r w:rsidRPr="00A561A5" w:rsidR="0060629D">
        <w:rPr>
          <w:rFonts w:ascii="Times New Roman" w:hAnsi="Times New Roman" w:cs="Times New Roman"/>
        </w:rPr>
        <w:t xml:space="preserve">in </w:t>
      </w:r>
      <w:r w:rsidRPr="00A561A5">
        <w:rPr>
          <w:rFonts w:ascii="Times New Roman" w:hAnsi="Times New Roman" w:cs="Times New Roman"/>
        </w:rPr>
        <w:t xml:space="preserve">the </w:t>
      </w:r>
      <w:r w:rsidRPr="00A561A5" w:rsidR="0060629D">
        <w:rPr>
          <w:rFonts w:ascii="Times New Roman" w:hAnsi="Times New Roman" w:cs="Times New Roman"/>
        </w:rPr>
        <w:t xml:space="preserve">competitive </w:t>
      </w:r>
      <w:r w:rsidRPr="00A561A5">
        <w:rPr>
          <w:rFonts w:ascii="Times New Roman" w:hAnsi="Times New Roman" w:cs="Times New Roman"/>
        </w:rPr>
        <w:t xml:space="preserve">market. In other words, the coalition </w:t>
      </w:r>
      <w:r w:rsidRPr="00A561A5" w:rsidR="0060629D">
        <w:rPr>
          <w:rFonts w:ascii="Times New Roman" w:hAnsi="Times New Roman" w:cs="Times New Roman"/>
        </w:rPr>
        <w:t>uses its</w:t>
      </w:r>
      <w:r w:rsidRPr="00A561A5">
        <w:rPr>
          <w:rFonts w:ascii="Times New Roman" w:hAnsi="Times New Roman" w:cs="Times New Roman"/>
        </w:rPr>
        <w:t xml:space="preserve"> political power</w:t>
      </w:r>
      <w:r w:rsidRPr="00A561A5" w:rsidR="0060629D">
        <w:rPr>
          <w:rFonts w:ascii="Times New Roman" w:hAnsi="Times New Roman" w:cs="Times New Roman"/>
        </w:rPr>
        <w:t xml:space="preserve"> and</w:t>
      </w:r>
      <w:r w:rsidRPr="00A561A5">
        <w:rPr>
          <w:rFonts w:ascii="Times New Roman" w:hAnsi="Times New Roman" w:cs="Times New Roman"/>
        </w:rPr>
        <w:t xml:space="preserve"> knowledge of regulatory processes</w:t>
      </w:r>
      <w:r w:rsidRPr="00A561A5" w:rsidR="0060629D">
        <w:rPr>
          <w:rFonts w:ascii="Times New Roman" w:hAnsi="Times New Roman" w:cs="Times New Roman"/>
        </w:rPr>
        <w:t xml:space="preserve"> to generate</w:t>
      </w:r>
      <w:r w:rsidRPr="00A561A5">
        <w:rPr>
          <w:rFonts w:ascii="Times New Roman" w:hAnsi="Times New Roman" w:cs="Times New Roman"/>
        </w:rPr>
        <w:t xml:space="preserve"> either revenue streams, market power that can increase revenue, or outcomes that are part </w:t>
      </w:r>
      <w:r w:rsidRPr="00A561A5" w:rsidR="00451FB1">
        <w:rPr>
          <w:rFonts w:ascii="Times New Roman" w:hAnsi="Times New Roman" w:cs="Times New Roman"/>
        </w:rPr>
        <w:t>of a</w:t>
      </w:r>
      <w:r w:rsidRPr="00A561A5">
        <w:rPr>
          <w:rFonts w:ascii="Times New Roman" w:hAnsi="Times New Roman" w:cs="Times New Roman"/>
        </w:rPr>
        <w:t xml:space="preserve"> member’s advocacy agenda. </w:t>
      </w:r>
    </w:p>
    <w:p w:rsidR="00F31981" w:rsidRPr="00A561A5" w:rsidP="00F31981">
      <w:pPr>
        <w:spacing w:after="120" w:line="480" w:lineRule="auto"/>
        <w:ind w:left="720"/>
        <w:rPr>
          <w:rFonts w:ascii="Times New Roman" w:hAnsi="Times New Roman" w:cs="Times New Roman"/>
        </w:rPr>
      </w:pPr>
      <w:r w:rsidRPr="00A561A5">
        <w:rPr>
          <w:rFonts w:ascii="Times New Roman" w:hAnsi="Times New Roman" w:cs="Times New Roman"/>
        </w:rPr>
        <w:t xml:space="preserve">A redistributive coalition depends on the power of the state to deliver </w:t>
      </w:r>
      <w:r w:rsidRPr="00A561A5" w:rsidR="008A43C4">
        <w:rPr>
          <w:rFonts w:ascii="Times New Roman" w:hAnsi="Times New Roman" w:cs="Times New Roman"/>
        </w:rPr>
        <w:t xml:space="preserve">the </w:t>
      </w:r>
      <w:r w:rsidRPr="00A561A5" w:rsidR="005F2073">
        <w:rPr>
          <w:rFonts w:ascii="Times New Roman" w:hAnsi="Times New Roman" w:cs="Times New Roman"/>
        </w:rPr>
        <w:t xml:space="preserve">monetary </w:t>
      </w:r>
      <w:r w:rsidRPr="00A561A5" w:rsidR="008A43C4">
        <w:rPr>
          <w:rFonts w:ascii="Times New Roman" w:hAnsi="Times New Roman" w:cs="Times New Roman"/>
        </w:rPr>
        <w:t xml:space="preserve">rewards desired </w:t>
      </w:r>
      <w:r w:rsidRPr="00A561A5" w:rsidR="005F2073">
        <w:rPr>
          <w:rFonts w:ascii="Times New Roman" w:hAnsi="Times New Roman" w:cs="Times New Roman"/>
        </w:rPr>
        <w:t xml:space="preserve">by its members </w:t>
      </w:r>
      <w:r w:rsidRPr="00A561A5">
        <w:rPr>
          <w:rFonts w:ascii="Times New Roman" w:hAnsi="Times New Roman" w:cs="Times New Roman"/>
        </w:rPr>
        <w:t>(</w:t>
      </w:r>
      <w:r w:rsidRPr="00A561A5" w:rsidR="005F2073">
        <w:rPr>
          <w:rFonts w:ascii="Times New Roman" w:hAnsi="Times New Roman" w:cs="Times New Roman"/>
        </w:rPr>
        <w:t xml:space="preserve">these rewards </w:t>
      </w:r>
      <w:r w:rsidRPr="00A561A5">
        <w:rPr>
          <w:rFonts w:ascii="Times New Roman" w:hAnsi="Times New Roman" w:cs="Times New Roman"/>
        </w:rPr>
        <w:t xml:space="preserve">are called </w:t>
      </w:r>
      <w:r w:rsidRPr="00A561A5">
        <w:rPr>
          <w:rFonts w:ascii="Times New Roman" w:hAnsi="Times New Roman" w:cs="Times New Roman"/>
          <w:i/>
          <w:iCs/>
        </w:rPr>
        <w:t>rents</w:t>
      </w:r>
      <w:r w:rsidRPr="00A561A5">
        <w:rPr>
          <w:rFonts w:ascii="Times New Roman" w:hAnsi="Times New Roman" w:cs="Times New Roman"/>
        </w:rPr>
        <w:t xml:space="preserve"> because the revenues or benefits are not earned through market processes) or non-monetary benefits. These benefits are paid for by passing the costs of the desired rewards onto the much larger group of </w:t>
      </w:r>
      <w:r w:rsidRPr="00A561A5" w:rsidR="0060629D">
        <w:rPr>
          <w:rFonts w:ascii="Times New Roman" w:hAnsi="Times New Roman" w:cs="Times New Roman"/>
        </w:rPr>
        <w:t>utility customers (or taxpayers in other contexts)</w:t>
      </w:r>
      <w:r w:rsidRPr="00A561A5">
        <w:rPr>
          <w:rFonts w:ascii="Times New Roman" w:hAnsi="Times New Roman" w:cs="Times New Roman"/>
        </w:rPr>
        <w:t xml:space="preserve"> that are not part of the coalition. </w:t>
      </w:r>
      <w:r w:rsidRPr="00A561A5" w:rsidR="001E4A5D">
        <w:rPr>
          <w:rFonts w:ascii="Times New Roman" w:hAnsi="Times New Roman" w:cs="Times New Roman"/>
        </w:rPr>
        <w:t>How the revenue is generated to pay for these rewards is immaterial as long as benefits are derived through political or regulatory action and the cost of paying for the rewards are shifted onto the large, unorganized portion of society who are not members of the coalition.</w:t>
      </w:r>
    </w:p>
    <w:p w:rsidR="00BA7359" w:rsidRPr="00A561A5" w:rsidP="00FB6A60">
      <w:pPr>
        <w:spacing w:line="480" w:lineRule="auto"/>
        <w:ind w:left="720"/>
        <w:rPr>
          <w:rFonts w:ascii="Times New Roman" w:hAnsi="Times New Roman" w:cs="Times New Roman"/>
        </w:rPr>
      </w:pPr>
    </w:p>
    <w:p w:rsidR="00BA7359" w:rsidRPr="00A561A5" w:rsidP="00FB6A60">
      <w:pPr>
        <w:spacing w:after="120" w:line="480" w:lineRule="auto"/>
        <w:ind w:left="720"/>
        <w:rPr>
          <w:rFonts w:ascii="Times New Roman" w:hAnsi="Times New Roman" w:cs="Times New Roman"/>
        </w:rPr>
      </w:pPr>
      <w:r w:rsidRPr="00A561A5">
        <w:rPr>
          <w:rFonts w:ascii="Times New Roman" w:hAnsi="Times New Roman" w:cs="Times New Roman"/>
        </w:rPr>
        <w:t xml:space="preserve">Each member of the coalition joins based on their own self-interest, which can result in a coalition having multiple objectives due to the horse-trading that takes place when the coalition is formed. What is key is that they support each other in pursuit of the desired </w:t>
      </w:r>
      <w:r w:rsidRPr="00A561A5">
        <w:rPr>
          <w:rFonts w:ascii="Times New Roman" w:hAnsi="Times New Roman" w:cs="Times New Roman"/>
          <w:i/>
          <w:iCs/>
        </w:rPr>
        <w:t>package</w:t>
      </w:r>
      <w:r w:rsidRPr="00A561A5">
        <w:rPr>
          <w:rFonts w:ascii="Times New Roman" w:hAnsi="Times New Roman" w:cs="Times New Roman"/>
        </w:rPr>
        <w:t xml:space="preserve"> of rewards</w:t>
      </w:r>
      <w:r w:rsidRPr="00A561A5" w:rsidR="00B509E0">
        <w:rPr>
          <w:rFonts w:ascii="Times New Roman" w:hAnsi="Times New Roman" w:cs="Times New Roman"/>
        </w:rPr>
        <w:t xml:space="preserve"> for coalition members—rewards that are ultimately paid by </w:t>
      </w:r>
      <w:r w:rsidRPr="00A561A5" w:rsidR="009A6653">
        <w:rPr>
          <w:rFonts w:ascii="Times New Roman" w:hAnsi="Times New Roman" w:cs="Times New Roman"/>
        </w:rPr>
        <w:t>non-coalition members</w:t>
      </w:r>
      <w:r w:rsidRPr="00A561A5" w:rsidR="00B509E0">
        <w:rPr>
          <w:rFonts w:ascii="Times New Roman" w:hAnsi="Times New Roman" w:cs="Times New Roman"/>
        </w:rPr>
        <w:t>, including residential consumers</w:t>
      </w:r>
      <w:r w:rsidRPr="00A561A5">
        <w:rPr>
          <w:rFonts w:ascii="Times New Roman" w:hAnsi="Times New Roman" w:cs="Times New Roman"/>
        </w:rPr>
        <w:t xml:space="preserve">. </w:t>
      </w:r>
    </w:p>
    <w:p w:rsidR="00C36468" w:rsidRPr="00A561A5" w:rsidP="001642E5">
      <w:pPr>
        <w:spacing w:after="120" w:line="480" w:lineRule="auto"/>
        <w:rPr>
          <w:rFonts w:ascii="Times New Roman" w:hAnsi="Times New Roman" w:cs="Times New Roman"/>
        </w:rPr>
      </w:pPr>
    </w:p>
    <w:p w:rsidR="00757BD0" w:rsidRPr="00A561A5" w:rsidP="00FB6A60">
      <w:pPr>
        <w:spacing w:after="120" w:line="480" w:lineRule="auto"/>
        <w:ind w:left="720" w:hanging="720"/>
        <w:rPr>
          <w:rFonts w:ascii="Times New Roman" w:hAnsi="Times New Roman" w:cs="Times New Roman"/>
          <w:b/>
          <w:i/>
          <w:iCs/>
        </w:rPr>
      </w:pPr>
      <w:r w:rsidRPr="00A561A5">
        <w:rPr>
          <w:rFonts w:ascii="Times New Roman" w:hAnsi="Times New Roman" w:cs="Times New Roman"/>
          <w:b/>
          <w:i/>
          <w:iCs/>
        </w:rPr>
        <w:t>Q7.</w:t>
      </w:r>
      <w:r w:rsidRPr="00A561A5">
        <w:rPr>
          <w:rFonts w:ascii="Times New Roman" w:hAnsi="Times New Roman" w:cs="Times New Roman"/>
          <w:b/>
          <w:i/>
          <w:iCs/>
        </w:rPr>
        <w:tab/>
        <w:t>WHY ARE REDISTRIBUTIVE COALITIONS SUCCESSFUL IN SECURING BENEFITS FOR THEIR MEMBERS AT THE EXPENSE OF OTHERS?</w:t>
      </w:r>
    </w:p>
    <w:p w:rsidR="00131ACB" w:rsidRPr="00A561A5">
      <w:pPr>
        <w:spacing w:line="480" w:lineRule="auto"/>
        <w:ind w:left="720" w:hanging="720"/>
        <w:rPr>
          <w:rFonts w:ascii="Times New Roman" w:hAnsi="Times New Roman" w:cs="Times New Roman"/>
        </w:rPr>
      </w:pPr>
      <w:r w:rsidRPr="00A561A5">
        <w:rPr>
          <w:rFonts w:ascii="Times New Roman" w:hAnsi="Times New Roman" w:cs="Times New Roman"/>
          <w:b/>
          <w:bCs/>
          <w:i/>
          <w:iCs/>
        </w:rPr>
        <w:t>A</w:t>
      </w:r>
      <w:r w:rsidRPr="00A561A5" w:rsidR="00FB6A60">
        <w:rPr>
          <w:rFonts w:ascii="Times New Roman" w:hAnsi="Times New Roman" w:cs="Times New Roman"/>
          <w:b/>
          <w:bCs/>
          <w:i/>
          <w:iCs/>
        </w:rPr>
        <w:t>7</w:t>
      </w:r>
      <w:r w:rsidRPr="00A561A5">
        <w:rPr>
          <w:rFonts w:ascii="Times New Roman" w:hAnsi="Times New Roman" w:cs="Times New Roman"/>
          <w:b/>
          <w:bCs/>
          <w:i/>
          <w:iCs/>
        </w:rPr>
        <w:t>.</w:t>
      </w:r>
      <w:r w:rsidRPr="00A561A5">
        <w:rPr>
          <w:rFonts w:ascii="Times New Roman" w:hAnsi="Times New Roman" w:cs="Times New Roman"/>
        </w:rPr>
        <w:t xml:space="preserve"> </w:t>
      </w:r>
      <w:r w:rsidRPr="00A561A5" w:rsidR="00FB6A60">
        <w:rPr>
          <w:rFonts w:ascii="Times New Roman" w:hAnsi="Times New Roman" w:cs="Times New Roman"/>
        </w:rPr>
        <w:tab/>
      </w:r>
      <w:r w:rsidRPr="00A561A5">
        <w:rPr>
          <w:rFonts w:ascii="Times New Roman" w:hAnsi="Times New Roman" w:cs="Times New Roman"/>
        </w:rPr>
        <w:t>The members of a r</w:t>
      </w:r>
      <w:r w:rsidRPr="00A561A5" w:rsidR="00BA7359">
        <w:rPr>
          <w:rFonts w:ascii="Times New Roman" w:hAnsi="Times New Roman" w:cs="Times New Roman"/>
        </w:rPr>
        <w:t xml:space="preserve">edistributive coalitions are small in number </w:t>
      </w:r>
      <w:r w:rsidRPr="00A561A5">
        <w:rPr>
          <w:rFonts w:ascii="Times New Roman" w:hAnsi="Times New Roman" w:cs="Times New Roman"/>
        </w:rPr>
        <w:t xml:space="preserve">relative to the rest of the population. They most </w:t>
      </w:r>
      <w:r w:rsidRPr="00A561A5" w:rsidR="00BA7359">
        <w:rPr>
          <w:rFonts w:ascii="Times New Roman" w:hAnsi="Times New Roman" w:cs="Times New Roman"/>
        </w:rPr>
        <w:t xml:space="preserve">often share a homogeneous set of objectives. This keeps organizing costs low </w:t>
      </w:r>
      <w:r w:rsidRPr="00A561A5">
        <w:rPr>
          <w:rFonts w:ascii="Times New Roman" w:hAnsi="Times New Roman" w:cs="Times New Roman"/>
        </w:rPr>
        <w:t xml:space="preserve">relative </w:t>
      </w:r>
      <w:r w:rsidRPr="00A561A5" w:rsidR="00BA7359">
        <w:rPr>
          <w:rFonts w:ascii="Times New Roman" w:hAnsi="Times New Roman" w:cs="Times New Roman"/>
        </w:rPr>
        <w:t>to the anticipated flow of the benefits.  The redistributive coalition is also small.</w:t>
      </w:r>
      <w:r w:rsidRPr="00A561A5" w:rsidR="009F24E5">
        <w:rPr>
          <w:rFonts w:ascii="Times New Roman" w:hAnsi="Times New Roman" w:cs="Times New Roman"/>
        </w:rPr>
        <w:t xml:space="preserve"> </w:t>
      </w:r>
    </w:p>
    <w:p w:rsidR="00131ACB" w:rsidRPr="00A561A5">
      <w:pPr>
        <w:spacing w:line="480" w:lineRule="auto"/>
        <w:ind w:left="720" w:hanging="720"/>
        <w:rPr>
          <w:rFonts w:ascii="Times New Roman" w:hAnsi="Times New Roman" w:cs="Times New Roman"/>
        </w:rPr>
      </w:pPr>
    </w:p>
    <w:p w:rsidR="00F31981" w:rsidRPr="00A561A5" w:rsidP="00F31981">
      <w:pPr>
        <w:spacing w:line="480" w:lineRule="auto"/>
        <w:ind w:left="720"/>
        <w:rPr>
          <w:rFonts w:ascii="Times New Roman" w:hAnsi="Times New Roman" w:cs="Times New Roman"/>
        </w:rPr>
      </w:pPr>
      <w:r w:rsidRPr="00A561A5">
        <w:rPr>
          <w:rFonts w:ascii="Times New Roman" w:hAnsi="Times New Roman" w:cs="Times New Roman"/>
        </w:rPr>
        <w:t xml:space="preserve">The </w:t>
      </w:r>
      <w:r w:rsidRPr="00A561A5" w:rsidR="00644ED9">
        <w:rPr>
          <w:rFonts w:ascii="Times New Roman" w:hAnsi="Times New Roman" w:cs="Times New Roman"/>
        </w:rPr>
        <w:t xml:space="preserve">coalitions that form in response to </w:t>
      </w:r>
      <w:r w:rsidRPr="00A561A5">
        <w:rPr>
          <w:rFonts w:ascii="Times New Roman" w:hAnsi="Times New Roman" w:cs="Times New Roman"/>
        </w:rPr>
        <w:t xml:space="preserve">negotiations at </w:t>
      </w:r>
      <w:r w:rsidRPr="00A561A5" w:rsidR="00644ED9">
        <w:rPr>
          <w:rFonts w:ascii="Times New Roman" w:hAnsi="Times New Roman" w:cs="Times New Roman"/>
        </w:rPr>
        <w:t>the PUCO</w:t>
      </w:r>
      <w:r w:rsidRPr="00A561A5">
        <w:rPr>
          <w:rFonts w:ascii="Times New Roman" w:hAnsi="Times New Roman" w:cs="Times New Roman"/>
        </w:rPr>
        <w:t xml:space="preserve"> are not seeking a single, overarching </w:t>
      </w:r>
      <w:r w:rsidRPr="00A561A5" w:rsidR="004E24A1">
        <w:rPr>
          <w:rFonts w:ascii="Times New Roman" w:hAnsi="Times New Roman" w:cs="Times New Roman"/>
        </w:rPr>
        <w:t xml:space="preserve">public policy objective that is </w:t>
      </w:r>
      <w:r w:rsidRPr="00A561A5">
        <w:rPr>
          <w:rFonts w:ascii="Times New Roman" w:hAnsi="Times New Roman" w:cs="Times New Roman"/>
        </w:rPr>
        <w:t>mutual</w:t>
      </w:r>
      <w:r w:rsidRPr="00A561A5" w:rsidR="004E24A1">
        <w:rPr>
          <w:rFonts w:ascii="Times New Roman" w:hAnsi="Times New Roman" w:cs="Times New Roman"/>
        </w:rPr>
        <w:t>ly shared</w:t>
      </w:r>
      <w:r w:rsidRPr="00A561A5">
        <w:rPr>
          <w:rFonts w:ascii="Times New Roman" w:hAnsi="Times New Roman" w:cs="Times New Roman"/>
        </w:rPr>
        <w:t>. Instead, the coalition unites around the dominant objective, or objectives, of the coalition’s organizer</w:t>
      </w:r>
      <w:r w:rsidRPr="00A561A5" w:rsidR="004E24A1">
        <w:rPr>
          <w:rFonts w:ascii="Times New Roman" w:hAnsi="Times New Roman" w:cs="Times New Roman"/>
        </w:rPr>
        <w:t xml:space="preserve"> and then </w:t>
      </w:r>
      <w:r w:rsidRPr="00A561A5" w:rsidR="00644ED9">
        <w:rPr>
          <w:rFonts w:ascii="Times New Roman" w:hAnsi="Times New Roman" w:cs="Times New Roman"/>
        </w:rPr>
        <w:t xml:space="preserve">each </w:t>
      </w:r>
      <w:r w:rsidRPr="00A561A5" w:rsidR="004E24A1">
        <w:rPr>
          <w:rFonts w:ascii="Times New Roman" w:hAnsi="Times New Roman" w:cs="Times New Roman"/>
        </w:rPr>
        <w:t xml:space="preserve">of the other </w:t>
      </w:r>
      <w:r w:rsidRPr="00A561A5" w:rsidR="00644ED9">
        <w:rPr>
          <w:rFonts w:ascii="Times New Roman" w:hAnsi="Times New Roman" w:cs="Times New Roman"/>
        </w:rPr>
        <w:t>member</w:t>
      </w:r>
      <w:r w:rsidRPr="00A561A5" w:rsidR="004E24A1">
        <w:rPr>
          <w:rFonts w:ascii="Times New Roman" w:hAnsi="Times New Roman" w:cs="Times New Roman"/>
        </w:rPr>
        <w:t>s</w:t>
      </w:r>
      <w:r w:rsidRPr="00A561A5" w:rsidR="00644ED9">
        <w:rPr>
          <w:rFonts w:ascii="Times New Roman" w:hAnsi="Times New Roman" w:cs="Times New Roman"/>
        </w:rPr>
        <w:t xml:space="preserve"> </w:t>
      </w:r>
      <w:r w:rsidRPr="00A561A5" w:rsidR="004E24A1">
        <w:rPr>
          <w:rFonts w:ascii="Times New Roman" w:hAnsi="Times New Roman" w:cs="Times New Roman"/>
        </w:rPr>
        <w:t xml:space="preserve">add rewards that they value and are achievable (and are loosely tied to the settlement) in exchange for their public support for the settlement package. What the organizing company is seeking from the coalition is </w:t>
      </w:r>
      <w:r w:rsidRPr="00A561A5" w:rsidR="00644ED9">
        <w:rPr>
          <w:rFonts w:ascii="Times New Roman" w:hAnsi="Times New Roman" w:cs="Times New Roman"/>
        </w:rPr>
        <w:t xml:space="preserve">the veneer of widespread public support for the </w:t>
      </w:r>
      <w:r w:rsidRPr="00A561A5" w:rsidR="004E24A1">
        <w:rPr>
          <w:rFonts w:ascii="Times New Roman" w:hAnsi="Times New Roman" w:cs="Times New Roman"/>
        </w:rPr>
        <w:t xml:space="preserve">dominant </w:t>
      </w:r>
      <w:r w:rsidRPr="00A561A5" w:rsidR="00644ED9">
        <w:rPr>
          <w:rFonts w:ascii="Times New Roman" w:hAnsi="Times New Roman" w:cs="Times New Roman"/>
        </w:rPr>
        <w:t xml:space="preserve">objective of the organizer—the investor-owned utility. Then, in a legally binding </w:t>
      </w:r>
      <w:r w:rsidRPr="00A561A5" w:rsidR="00644ED9">
        <w:rPr>
          <w:rFonts w:ascii="Times New Roman" w:hAnsi="Times New Roman" w:cs="Times New Roman"/>
          <w:i/>
          <w:iCs/>
        </w:rPr>
        <w:t>quid pro quo</w:t>
      </w:r>
      <w:r w:rsidRPr="00A561A5" w:rsidR="00644ED9">
        <w:rPr>
          <w:rFonts w:ascii="Times New Roman" w:hAnsi="Times New Roman" w:cs="Times New Roman"/>
        </w:rPr>
        <w:t>, which is the settlement, the coalition supports the entire package. Limiting the size of the coalition is especially important when there are different goals involved because each additional goal complicates the bargaining</w:t>
      </w:r>
      <w:r w:rsidRPr="00A561A5" w:rsidR="004E24A1">
        <w:rPr>
          <w:rFonts w:ascii="Times New Roman" w:hAnsi="Times New Roman" w:cs="Times New Roman"/>
        </w:rPr>
        <w:t xml:space="preserve"> and the expense. </w:t>
      </w:r>
      <w:r w:rsidRPr="00A561A5" w:rsidR="009F24E5">
        <w:rPr>
          <w:rFonts w:ascii="Times New Roman" w:hAnsi="Times New Roman" w:cs="Times New Roman"/>
        </w:rPr>
        <w:t>Importantly, t</w:t>
      </w:r>
      <w:r w:rsidRPr="00A561A5" w:rsidR="00BA7359">
        <w:rPr>
          <w:rFonts w:ascii="Times New Roman" w:hAnsi="Times New Roman" w:cs="Times New Roman"/>
        </w:rPr>
        <w:t xml:space="preserve">he group that </w:t>
      </w:r>
      <w:r w:rsidRPr="00A561A5" w:rsidR="00790709">
        <w:rPr>
          <w:rFonts w:ascii="Times New Roman" w:hAnsi="Times New Roman" w:cs="Times New Roman"/>
          <w:i/>
          <w:iCs/>
        </w:rPr>
        <w:t xml:space="preserve">is </w:t>
      </w:r>
      <w:r w:rsidRPr="00A561A5" w:rsidR="00BA7359">
        <w:rPr>
          <w:rFonts w:ascii="Times New Roman" w:hAnsi="Times New Roman" w:cs="Times New Roman"/>
          <w:i/>
          <w:iCs/>
        </w:rPr>
        <w:t>not</w:t>
      </w:r>
      <w:r w:rsidRPr="00A561A5" w:rsidR="00BA7359">
        <w:rPr>
          <w:rFonts w:ascii="Times New Roman" w:hAnsi="Times New Roman" w:cs="Times New Roman"/>
        </w:rPr>
        <w:t xml:space="preserve"> part of the redistributive coalition is large and heterogenous making it difficult and expensive to organize.</w:t>
      </w:r>
      <w:r w:rsidRPr="00A561A5" w:rsidR="009F24E5">
        <w:rPr>
          <w:rFonts w:ascii="Times New Roman" w:hAnsi="Times New Roman" w:cs="Times New Roman"/>
        </w:rPr>
        <w:t xml:space="preserve"> </w:t>
      </w:r>
    </w:p>
    <w:p w:rsidR="00790709" w:rsidRPr="00A561A5" w:rsidP="001642E5">
      <w:pPr>
        <w:spacing w:line="480" w:lineRule="auto"/>
        <w:rPr>
          <w:rFonts w:ascii="Times New Roman" w:hAnsi="Times New Roman" w:cs="Times New Roman"/>
        </w:rPr>
      </w:pPr>
    </w:p>
    <w:p w:rsidR="009F24E5" w:rsidRPr="00A561A5" w:rsidP="00FB6A60">
      <w:pPr>
        <w:spacing w:line="480" w:lineRule="auto"/>
        <w:ind w:left="720"/>
        <w:rPr>
          <w:rFonts w:ascii="Times New Roman" w:hAnsi="Times New Roman" w:cs="Times New Roman"/>
        </w:rPr>
      </w:pPr>
      <w:r w:rsidRPr="00A561A5">
        <w:rPr>
          <w:rFonts w:ascii="Times New Roman" w:hAnsi="Times New Roman" w:cs="Times New Roman"/>
        </w:rPr>
        <w:t xml:space="preserve">Redistributive coalitions </w:t>
      </w:r>
      <w:r w:rsidRPr="00A561A5" w:rsidR="00790709">
        <w:rPr>
          <w:rFonts w:ascii="Times New Roman" w:hAnsi="Times New Roman" w:cs="Times New Roman"/>
        </w:rPr>
        <w:t>work</w:t>
      </w:r>
      <w:r w:rsidRPr="00A561A5">
        <w:rPr>
          <w:rFonts w:ascii="Times New Roman" w:hAnsi="Times New Roman" w:cs="Times New Roman"/>
        </w:rPr>
        <w:t xml:space="preserve"> because </w:t>
      </w:r>
      <w:r w:rsidRPr="00A561A5" w:rsidR="00BA7359">
        <w:rPr>
          <w:rFonts w:ascii="Times New Roman" w:hAnsi="Times New Roman" w:cs="Times New Roman"/>
        </w:rPr>
        <w:t>they spread the cost of the</w:t>
      </w:r>
      <w:r w:rsidRPr="00A561A5">
        <w:rPr>
          <w:rFonts w:ascii="Times New Roman" w:hAnsi="Times New Roman" w:cs="Times New Roman"/>
        </w:rPr>
        <w:t>ir non-market-</w:t>
      </w:r>
      <w:r w:rsidRPr="00A561A5" w:rsidR="00A257BA">
        <w:rPr>
          <w:rFonts w:ascii="Times New Roman" w:hAnsi="Times New Roman" w:cs="Times New Roman"/>
        </w:rPr>
        <w:t>derived</w:t>
      </w:r>
      <w:r w:rsidRPr="00A561A5" w:rsidR="00BA7359">
        <w:rPr>
          <w:rFonts w:ascii="Times New Roman" w:hAnsi="Times New Roman" w:cs="Times New Roman"/>
        </w:rPr>
        <w:t xml:space="preserve"> </w:t>
      </w:r>
      <w:r w:rsidRPr="00A561A5">
        <w:rPr>
          <w:rFonts w:ascii="Times New Roman" w:hAnsi="Times New Roman" w:cs="Times New Roman"/>
        </w:rPr>
        <w:t>benefits</w:t>
      </w:r>
      <w:r w:rsidRPr="00A561A5" w:rsidR="00BA7359">
        <w:rPr>
          <w:rFonts w:ascii="Times New Roman" w:hAnsi="Times New Roman" w:cs="Times New Roman"/>
        </w:rPr>
        <w:t xml:space="preserve"> over a large population</w:t>
      </w:r>
      <w:r w:rsidRPr="00A561A5" w:rsidR="00CC09D7">
        <w:rPr>
          <w:rFonts w:ascii="Times New Roman" w:hAnsi="Times New Roman" w:cs="Times New Roman"/>
        </w:rPr>
        <w:t>, in this case captive residential customers</w:t>
      </w:r>
      <w:r w:rsidRPr="00A561A5" w:rsidR="004E24A1">
        <w:rPr>
          <w:rFonts w:ascii="Times New Roman" w:hAnsi="Times New Roman" w:cs="Times New Roman"/>
        </w:rPr>
        <w:t xml:space="preserve"> and unorganized businesses</w:t>
      </w:r>
      <w:r w:rsidRPr="00A561A5" w:rsidR="00BA7359">
        <w:rPr>
          <w:rFonts w:ascii="Times New Roman" w:hAnsi="Times New Roman" w:cs="Times New Roman"/>
        </w:rPr>
        <w:t xml:space="preserve">. </w:t>
      </w:r>
      <w:r w:rsidRPr="00A561A5">
        <w:rPr>
          <w:rFonts w:ascii="Times New Roman" w:hAnsi="Times New Roman" w:cs="Times New Roman"/>
        </w:rPr>
        <w:t xml:space="preserve">That is, while the </w:t>
      </w:r>
      <w:r w:rsidRPr="00A561A5">
        <w:rPr>
          <w:rFonts w:ascii="Times New Roman" w:hAnsi="Times New Roman" w:cs="Times New Roman"/>
          <w:i/>
          <w:iCs/>
        </w:rPr>
        <w:t>benefits</w:t>
      </w:r>
      <w:r w:rsidRPr="00A561A5">
        <w:rPr>
          <w:rFonts w:ascii="Times New Roman" w:hAnsi="Times New Roman" w:cs="Times New Roman"/>
        </w:rPr>
        <w:t xml:space="preserve"> to the coalition members are </w:t>
      </w:r>
      <w:r w:rsidRPr="00A561A5" w:rsidR="00790709">
        <w:rPr>
          <w:rFonts w:ascii="Times New Roman" w:hAnsi="Times New Roman" w:cs="Times New Roman"/>
        </w:rPr>
        <w:t>large</w:t>
      </w:r>
      <w:r w:rsidRPr="00A561A5" w:rsidR="00233065">
        <w:rPr>
          <w:rFonts w:ascii="Times New Roman" w:hAnsi="Times New Roman" w:cs="Times New Roman"/>
        </w:rPr>
        <w:t xml:space="preserve"> (such as for DP&amp;L)</w:t>
      </w:r>
      <w:r w:rsidRPr="00A561A5" w:rsidR="00F43A4F">
        <w:rPr>
          <w:rFonts w:ascii="Times New Roman" w:hAnsi="Times New Roman" w:cs="Times New Roman"/>
        </w:rPr>
        <w:t xml:space="preserve"> and concentrated</w:t>
      </w:r>
      <w:r w:rsidRPr="00A561A5">
        <w:rPr>
          <w:rFonts w:ascii="Times New Roman" w:hAnsi="Times New Roman" w:cs="Times New Roman"/>
        </w:rPr>
        <w:t xml:space="preserve">, </w:t>
      </w:r>
      <w:r w:rsidRPr="00A561A5" w:rsidR="00F43A4F">
        <w:rPr>
          <w:rFonts w:ascii="Times New Roman" w:hAnsi="Times New Roman" w:cs="Times New Roman"/>
        </w:rPr>
        <w:t xml:space="preserve">the </w:t>
      </w:r>
      <w:r w:rsidRPr="00A561A5" w:rsidR="00F43A4F">
        <w:rPr>
          <w:rFonts w:ascii="Times New Roman" w:hAnsi="Times New Roman" w:cs="Times New Roman"/>
          <w:i/>
          <w:iCs/>
        </w:rPr>
        <w:t>costs</w:t>
      </w:r>
      <w:r w:rsidRPr="00A561A5" w:rsidR="00F43A4F">
        <w:rPr>
          <w:rFonts w:ascii="Times New Roman" w:hAnsi="Times New Roman" w:cs="Times New Roman"/>
        </w:rPr>
        <w:t xml:space="preserve"> are paid for by th</w:t>
      </w:r>
      <w:r w:rsidRPr="00A561A5">
        <w:rPr>
          <w:rFonts w:ascii="Times New Roman" w:hAnsi="Times New Roman" w:cs="Times New Roman"/>
        </w:rPr>
        <w:t>e entire population (for example, hundreds of thousands or millions of utility customers)</w:t>
      </w:r>
      <w:r w:rsidRPr="00A561A5" w:rsidR="009079FA">
        <w:rPr>
          <w:rFonts w:ascii="Times New Roman" w:hAnsi="Times New Roman" w:cs="Times New Roman"/>
        </w:rPr>
        <w:t>. Thus,</w:t>
      </w:r>
      <w:r w:rsidRPr="00A561A5">
        <w:rPr>
          <w:rFonts w:ascii="Times New Roman" w:hAnsi="Times New Roman" w:cs="Times New Roman"/>
        </w:rPr>
        <w:t xml:space="preserve"> the per-customer cost might appear insubstantial, making </w:t>
      </w:r>
      <w:r w:rsidRPr="00A561A5" w:rsidR="00233065">
        <w:rPr>
          <w:rFonts w:ascii="Times New Roman" w:hAnsi="Times New Roman" w:cs="Times New Roman"/>
        </w:rPr>
        <w:t xml:space="preserve">the </w:t>
      </w:r>
      <w:r w:rsidRPr="00A561A5" w:rsidR="00D14073">
        <w:rPr>
          <w:rFonts w:ascii="Times New Roman" w:hAnsi="Times New Roman" w:cs="Times New Roman"/>
        </w:rPr>
        <w:t>paying</w:t>
      </w:r>
      <w:r w:rsidRPr="00A561A5" w:rsidR="00233065">
        <w:rPr>
          <w:rFonts w:ascii="Times New Roman" w:hAnsi="Times New Roman" w:cs="Times New Roman"/>
        </w:rPr>
        <w:t xml:space="preserve"> of</w:t>
      </w:r>
      <w:r w:rsidRPr="00A561A5" w:rsidR="00D14073">
        <w:rPr>
          <w:rFonts w:ascii="Times New Roman" w:hAnsi="Times New Roman" w:cs="Times New Roman"/>
        </w:rPr>
        <w:t xml:space="preserve"> the extract </w:t>
      </w:r>
      <w:r w:rsidRPr="00A561A5" w:rsidR="008E12CD">
        <w:rPr>
          <w:rFonts w:ascii="Times New Roman" w:hAnsi="Times New Roman" w:cs="Times New Roman"/>
        </w:rPr>
        <w:t>benefits</w:t>
      </w:r>
      <w:r w:rsidRPr="00A561A5" w:rsidR="00233065">
        <w:rPr>
          <w:rFonts w:ascii="Times New Roman" w:hAnsi="Times New Roman" w:cs="Times New Roman"/>
        </w:rPr>
        <w:t xml:space="preserve"> (such as various DP&amp;L charges)</w:t>
      </w:r>
      <w:r w:rsidRPr="00A561A5" w:rsidR="008E12CD">
        <w:rPr>
          <w:rFonts w:ascii="Times New Roman" w:hAnsi="Times New Roman" w:cs="Times New Roman"/>
        </w:rPr>
        <w:t xml:space="preserve"> </w:t>
      </w:r>
      <w:r w:rsidRPr="00A561A5">
        <w:rPr>
          <w:rFonts w:ascii="Times New Roman" w:hAnsi="Times New Roman" w:cs="Times New Roman"/>
        </w:rPr>
        <w:t>politically palatable.</w:t>
      </w:r>
      <w:r w:rsidRPr="00A561A5" w:rsidR="00233065">
        <w:rPr>
          <w:rFonts w:ascii="Times New Roman" w:hAnsi="Times New Roman" w:cs="Times New Roman"/>
        </w:rPr>
        <w:t xml:space="preserve">  </w:t>
      </w:r>
    </w:p>
    <w:p w:rsidR="009F24E5" w:rsidRPr="00A561A5" w:rsidP="001642E5">
      <w:pPr>
        <w:spacing w:line="480" w:lineRule="auto"/>
        <w:rPr>
          <w:rFonts w:ascii="Times New Roman" w:hAnsi="Times New Roman" w:cs="Times New Roman"/>
        </w:rPr>
      </w:pPr>
    </w:p>
    <w:p w:rsidR="004875FC" w:rsidRPr="00A561A5" w:rsidP="00FB6A60">
      <w:pPr>
        <w:spacing w:line="480" w:lineRule="auto"/>
        <w:ind w:left="720"/>
        <w:rPr>
          <w:rFonts w:ascii="Times New Roman" w:hAnsi="Times New Roman" w:cs="Times New Roman"/>
        </w:rPr>
      </w:pPr>
      <w:r w:rsidRPr="00A561A5">
        <w:rPr>
          <w:rFonts w:ascii="Times New Roman" w:hAnsi="Times New Roman" w:cs="Times New Roman"/>
        </w:rPr>
        <w:t xml:space="preserve">Redistributive coalitions can also be intentionally opaque. </w:t>
      </w:r>
      <w:r w:rsidRPr="00A561A5" w:rsidR="00D14073">
        <w:rPr>
          <w:rFonts w:ascii="Times New Roman" w:hAnsi="Times New Roman" w:cs="Times New Roman"/>
        </w:rPr>
        <w:t>B</w:t>
      </w:r>
      <w:r w:rsidRPr="00A561A5">
        <w:rPr>
          <w:rFonts w:ascii="Times New Roman" w:hAnsi="Times New Roman" w:cs="Times New Roman"/>
        </w:rPr>
        <w:t>y making their proposals as opaque and technical as possible, it becomes harder for others to join the coalition</w:t>
      </w:r>
      <w:r w:rsidRPr="00A561A5" w:rsidR="00BA7359">
        <w:rPr>
          <w:rFonts w:ascii="Times New Roman" w:hAnsi="Times New Roman" w:cs="Times New Roman"/>
        </w:rPr>
        <w:t xml:space="preserve">. This increases the cost of obtaining and of understanding the information and keeps the policy arena an insider’s game. </w:t>
      </w:r>
      <w:r w:rsidRPr="00A561A5">
        <w:rPr>
          <w:rFonts w:ascii="Times New Roman" w:hAnsi="Times New Roman" w:cs="Times New Roman"/>
        </w:rPr>
        <w:t xml:space="preserve">It also makes it less obvious that there is a redistribution at all, as the general public may be unable to understand the nature or magnitude of the benefits </w:t>
      </w:r>
      <w:r w:rsidRPr="00A561A5" w:rsidR="00D14073">
        <w:rPr>
          <w:rFonts w:ascii="Times New Roman" w:hAnsi="Times New Roman" w:cs="Times New Roman"/>
        </w:rPr>
        <w:t xml:space="preserve">that are being shunted </w:t>
      </w:r>
      <w:r w:rsidRPr="00A561A5">
        <w:rPr>
          <w:rFonts w:ascii="Times New Roman" w:hAnsi="Times New Roman" w:cs="Times New Roman"/>
        </w:rPr>
        <w:t xml:space="preserve">to the coalition members. </w:t>
      </w:r>
    </w:p>
    <w:p w:rsidR="004875FC" w:rsidRPr="00A561A5" w:rsidP="00FB6A60">
      <w:pPr>
        <w:spacing w:line="480" w:lineRule="auto"/>
        <w:ind w:left="720"/>
        <w:rPr>
          <w:rFonts w:ascii="Times New Roman" w:hAnsi="Times New Roman" w:cs="Times New Roman"/>
        </w:rPr>
      </w:pPr>
    </w:p>
    <w:p w:rsidR="00F31981" w:rsidRPr="00A561A5" w:rsidP="00F31981">
      <w:pPr>
        <w:spacing w:line="480" w:lineRule="auto"/>
        <w:rPr>
          <w:rFonts w:ascii="Times New Roman" w:hAnsi="Times New Roman" w:cs="Times New Roman"/>
          <w:b/>
          <w:bCs/>
          <w:i/>
          <w:iCs/>
        </w:rPr>
      </w:pPr>
      <w:r w:rsidRPr="00A561A5">
        <w:rPr>
          <w:rFonts w:ascii="Times New Roman" w:hAnsi="Times New Roman" w:cs="Times New Roman"/>
          <w:b/>
          <w:bCs/>
          <w:i/>
          <w:iCs/>
        </w:rPr>
        <w:t xml:space="preserve">Q8. </w:t>
      </w:r>
      <w:r w:rsidRPr="00A561A5">
        <w:rPr>
          <w:rFonts w:ascii="Times New Roman" w:hAnsi="Times New Roman" w:cs="Times New Roman"/>
          <w:b/>
          <w:bCs/>
          <w:i/>
          <w:iCs/>
        </w:rPr>
        <w:tab/>
        <w:t>WHAT HARM IS CAUSED BY REDISTRIBUTIVE COALITIONS?</w:t>
      </w:r>
    </w:p>
    <w:p w:rsidR="0017043D" w:rsidRPr="00A561A5" w:rsidP="00FB6A60">
      <w:pPr>
        <w:spacing w:line="480" w:lineRule="auto"/>
        <w:ind w:left="720" w:hanging="720"/>
        <w:rPr>
          <w:rFonts w:ascii="Times New Roman" w:hAnsi="Times New Roman" w:cs="Times New Roman"/>
          <w:b/>
          <w:bCs/>
        </w:rPr>
      </w:pPr>
      <w:r w:rsidRPr="00A561A5">
        <w:rPr>
          <w:rFonts w:ascii="Times New Roman" w:hAnsi="Times New Roman" w:cs="Times New Roman"/>
          <w:b/>
          <w:bCs/>
          <w:i/>
          <w:iCs/>
        </w:rPr>
        <w:t>A</w:t>
      </w:r>
      <w:r w:rsidRPr="00A561A5" w:rsidR="00FB6A60">
        <w:rPr>
          <w:rFonts w:ascii="Times New Roman" w:hAnsi="Times New Roman" w:cs="Times New Roman"/>
          <w:b/>
          <w:bCs/>
          <w:i/>
          <w:iCs/>
        </w:rPr>
        <w:t>8.</w:t>
      </w:r>
      <w:r w:rsidRPr="00A561A5">
        <w:rPr>
          <w:rFonts w:ascii="Times New Roman" w:hAnsi="Times New Roman" w:cs="Times New Roman"/>
        </w:rPr>
        <w:t xml:space="preserve"> </w:t>
      </w:r>
      <w:r w:rsidRPr="00A561A5" w:rsidR="00FB6A60">
        <w:rPr>
          <w:rFonts w:ascii="Times New Roman" w:hAnsi="Times New Roman" w:cs="Times New Roman"/>
          <w:i/>
          <w:iCs/>
        </w:rPr>
        <w:tab/>
      </w:r>
      <w:r w:rsidRPr="00A561A5">
        <w:rPr>
          <w:rFonts w:ascii="Times New Roman" w:hAnsi="Times New Roman" w:cs="Times New Roman"/>
          <w:i/>
          <w:iCs/>
        </w:rPr>
        <w:t>The Economist</w:t>
      </w:r>
      <w:r w:rsidRPr="00A561A5">
        <w:rPr>
          <w:rFonts w:ascii="Times New Roman" w:hAnsi="Times New Roman" w:cs="Times New Roman"/>
        </w:rPr>
        <w:t xml:space="preserve"> summarize</w:t>
      </w:r>
      <w:r w:rsidRPr="00A561A5" w:rsidR="001B4979">
        <w:rPr>
          <w:rFonts w:ascii="Times New Roman" w:hAnsi="Times New Roman" w:cs="Times New Roman"/>
        </w:rPr>
        <w:t>d</w:t>
      </w:r>
      <w:r w:rsidRPr="00A561A5">
        <w:rPr>
          <w:rFonts w:ascii="Times New Roman" w:hAnsi="Times New Roman" w:cs="Times New Roman"/>
        </w:rPr>
        <w:t xml:space="preserve"> the harm of redistributive coalitions in its 1998 obituary of Olson: </w:t>
      </w:r>
      <w:r w:rsidRPr="00A561A5" w:rsidR="001B4979">
        <w:rPr>
          <w:rFonts w:ascii="Times New Roman" w:hAnsi="Times New Roman" w:cs="Times New Roman"/>
        </w:rPr>
        <w:t>each member of a coalition</w:t>
      </w:r>
      <w:r w:rsidRPr="00A561A5">
        <w:rPr>
          <w:rFonts w:ascii="Times New Roman" w:hAnsi="Times New Roman" w:cs="Times New Roman"/>
        </w:rPr>
        <w:t xml:space="preserve"> </w:t>
      </w:r>
      <w:r w:rsidRPr="00A561A5" w:rsidR="001B4979">
        <w:rPr>
          <w:rFonts w:ascii="Times New Roman" w:hAnsi="Times New Roman" w:cs="Times New Roman"/>
        </w:rPr>
        <w:t>“</w:t>
      </w:r>
      <w:r w:rsidRPr="00A561A5">
        <w:rPr>
          <w:rFonts w:ascii="Times New Roman" w:hAnsi="Times New Roman" w:cs="Times New Roman"/>
        </w:rPr>
        <w:t xml:space="preserve">gains, then fiercely defends, some benefit for its members, usually with government help. </w:t>
      </w:r>
      <w:r w:rsidRPr="00A561A5">
        <w:rPr>
          <w:rFonts w:ascii="Times New Roman" w:hAnsi="Times New Roman" w:cs="Times New Roman"/>
          <w:i/>
        </w:rPr>
        <w:t>Subsidies, trade protections and other economic distortions accumulate</w:t>
      </w:r>
      <w:r w:rsidRPr="00A561A5">
        <w:rPr>
          <w:rFonts w:ascii="Times New Roman" w:hAnsi="Times New Roman" w:cs="Times New Roman"/>
        </w:rPr>
        <w:t xml:space="preserve">, and resources increasingly flow to a </w:t>
      </w:r>
      <w:r w:rsidRPr="00A561A5" w:rsidR="00451FB1">
        <w:rPr>
          <w:rFonts w:ascii="Times New Roman" w:hAnsi="Times New Roman" w:cs="Times New Roman"/>
        </w:rPr>
        <w:t>specialized</w:t>
      </w:r>
      <w:r w:rsidRPr="00A561A5">
        <w:rPr>
          <w:rFonts w:ascii="Times New Roman" w:hAnsi="Times New Roman" w:cs="Times New Roman"/>
        </w:rPr>
        <w:t xml:space="preserve"> class of lawyers, bureaucrats and lobbyists </w:t>
      </w:r>
      <w:r w:rsidRPr="00A561A5">
        <w:rPr>
          <w:rFonts w:ascii="Times New Roman" w:hAnsi="Times New Roman" w:cs="Times New Roman"/>
          <w:i/>
        </w:rPr>
        <w:t>who know how to work the system</w:t>
      </w:r>
      <w:r w:rsidRPr="00A561A5">
        <w:rPr>
          <w:rFonts w:ascii="Times New Roman" w:hAnsi="Times New Roman" w:cs="Times New Roman"/>
        </w:rPr>
        <w:t>. Redistributive struggles displace productive ones. The result, if medicine is not taken, is a pattern of economic decline.”</w:t>
      </w:r>
      <w:r>
        <w:rPr>
          <w:rStyle w:val="FootnoteReference"/>
          <w:rFonts w:ascii="Times New Roman" w:hAnsi="Times New Roman" w:cs="Times New Roman"/>
        </w:rPr>
        <w:footnoteReference w:id="6"/>
      </w:r>
      <w:r w:rsidRPr="00A561A5">
        <w:rPr>
          <w:rFonts w:ascii="Times New Roman" w:hAnsi="Times New Roman" w:cs="Times New Roman"/>
        </w:rPr>
        <w:t xml:space="preserve">  What holds for nations also applies to a state</w:t>
      </w:r>
      <w:r w:rsidRPr="00A561A5" w:rsidR="004875FC">
        <w:rPr>
          <w:rFonts w:ascii="Times New Roman" w:hAnsi="Times New Roman" w:cs="Times New Roman"/>
        </w:rPr>
        <w:t xml:space="preserve">, such as Ohio, </w:t>
      </w:r>
      <w:r w:rsidRPr="00A561A5">
        <w:rPr>
          <w:rFonts w:ascii="Times New Roman" w:hAnsi="Times New Roman" w:cs="Times New Roman"/>
        </w:rPr>
        <w:t>with lagging economic performance.</w:t>
      </w:r>
    </w:p>
    <w:p w:rsidR="0060629D" w:rsidRPr="00A561A5" w:rsidP="00FB6A60">
      <w:pPr>
        <w:spacing w:after="120" w:line="480" w:lineRule="auto"/>
        <w:ind w:left="720" w:hanging="720"/>
        <w:rPr>
          <w:rFonts w:ascii="Times New Roman" w:hAnsi="Times New Roman" w:cs="Times New Roman"/>
          <w:b/>
          <w:bCs/>
          <w:i/>
          <w:iCs/>
        </w:rPr>
      </w:pPr>
      <w:r w:rsidRPr="00A561A5">
        <w:rPr>
          <w:rFonts w:ascii="Times New Roman" w:hAnsi="Times New Roman" w:cs="Times New Roman"/>
          <w:b/>
          <w:bCs/>
          <w:i/>
          <w:iCs/>
        </w:rPr>
        <w:t xml:space="preserve">Q9. </w:t>
      </w:r>
      <w:r w:rsidRPr="00A561A5">
        <w:rPr>
          <w:rFonts w:ascii="Times New Roman" w:hAnsi="Times New Roman" w:cs="Times New Roman"/>
          <w:b/>
          <w:bCs/>
          <w:i/>
          <w:iCs/>
        </w:rPr>
        <w:tab/>
        <w:t>PLEASE EXPLAIN HOW THE SIGNATORY PARTIES TO THE SETTLEMENT FIT THE DEFINITION OF A REDISTRIBUTIVE COALITION.</w:t>
      </w:r>
    </w:p>
    <w:p w:rsidR="00F31981" w:rsidRPr="00A561A5" w:rsidP="00F31981">
      <w:pPr>
        <w:spacing w:after="120" w:line="480" w:lineRule="auto"/>
        <w:ind w:left="720" w:hanging="720"/>
        <w:rPr>
          <w:rFonts w:ascii="Times New Roman" w:hAnsi="Times New Roman" w:cs="Times New Roman"/>
          <w:b/>
          <w:bCs/>
        </w:rPr>
      </w:pPr>
      <w:r w:rsidRPr="00A561A5">
        <w:rPr>
          <w:rFonts w:ascii="Times New Roman" w:hAnsi="Times New Roman" w:cs="Times New Roman"/>
          <w:b/>
          <w:bCs/>
          <w:i/>
          <w:iCs/>
        </w:rPr>
        <w:t>A</w:t>
      </w:r>
      <w:r w:rsidRPr="00A561A5" w:rsidR="00FB6A60">
        <w:rPr>
          <w:rFonts w:ascii="Times New Roman" w:hAnsi="Times New Roman" w:cs="Times New Roman"/>
          <w:b/>
          <w:bCs/>
          <w:i/>
          <w:iCs/>
        </w:rPr>
        <w:t>9.</w:t>
      </w:r>
      <w:r w:rsidRPr="00A561A5">
        <w:rPr>
          <w:rFonts w:ascii="Times New Roman" w:hAnsi="Times New Roman" w:cs="Times New Roman"/>
        </w:rPr>
        <w:t xml:space="preserve"> </w:t>
      </w:r>
      <w:r w:rsidRPr="00A561A5" w:rsidR="00FB6A60">
        <w:rPr>
          <w:rFonts w:ascii="Times New Roman" w:hAnsi="Times New Roman" w:cs="Times New Roman"/>
        </w:rPr>
        <w:tab/>
      </w:r>
      <w:r w:rsidRPr="00A561A5" w:rsidR="00074A15">
        <w:rPr>
          <w:rFonts w:ascii="Times New Roman" w:hAnsi="Times New Roman" w:cs="Times New Roman"/>
        </w:rPr>
        <w:t xml:space="preserve">The signatories form a classic redistributive coalition. They intervene in PUCO proceedings so that money paid to the utility, in this case DP&amp;L, by other customers (including residential customers’) can be </w:t>
      </w:r>
      <w:r w:rsidRPr="00A561A5" w:rsidR="00074A15">
        <w:rPr>
          <w:rFonts w:ascii="Times New Roman" w:hAnsi="Times New Roman" w:cs="Times New Roman"/>
          <w:i/>
        </w:rPr>
        <w:t>redistributed</w:t>
      </w:r>
      <w:r w:rsidRPr="00A561A5" w:rsidR="00074A15">
        <w:rPr>
          <w:rFonts w:ascii="Times New Roman" w:hAnsi="Times New Roman" w:cs="Times New Roman"/>
        </w:rPr>
        <w:t xml:space="preserve"> to them in the form of cash or other benefits in exchange for their signatures on a settlement. </w:t>
      </w:r>
      <w:r w:rsidRPr="00A561A5">
        <w:rPr>
          <w:rFonts w:ascii="Times New Roman" w:hAnsi="Times New Roman" w:cs="Times New Roman"/>
        </w:rPr>
        <w:t xml:space="preserve">The signatories are </w:t>
      </w:r>
      <w:r w:rsidRPr="00A561A5" w:rsidR="0013230F">
        <w:rPr>
          <w:rFonts w:ascii="Times New Roman" w:hAnsi="Times New Roman" w:cs="Times New Roman"/>
        </w:rPr>
        <w:t xml:space="preserve">essentially </w:t>
      </w:r>
      <w:r w:rsidRPr="00A561A5">
        <w:rPr>
          <w:rFonts w:ascii="Times New Roman" w:hAnsi="Times New Roman" w:cs="Times New Roman"/>
        </w:rPr>
        <w:t>limited to those who regularly interact with the PUCO. The</w:t>
      </w:r>
      <w:r w:rsidRPr="00A561A5" w:rsidR="0013230F">
        <w:rPr>
          <w:rFonts w:ascii="Times New Roman" w:hAnsi="Times New Roman" w:cs="Times New Roman"/>
        </w:rPr>
        <w:t>y</w:t>
      </w:r>
      <w:r w:rsidRPr="00A561A5">
        <w:rPr>
          <w:rFonts w:ascii="Times New Roman" w:hAnsi="Times New Roman" w:cs="Times New Roman"/>
        </w:rPr>
        <w:t xml:space="preserve"> opportunistically form </w:t>
      </w:r>
      <w:r w:rsidRPr="00A561A5">
        <w:rPr>
          <w:rFonts w:ascii="Times New Roman" w:hAnsi="Times New Roman" w:cs="Times New Roman"/>
          <w:i/>
          <w:iCs/>
        </w:rPr>
        <w:t xml:space="preserve">redistributive coalitions </w:t>
      </w:r>
      <w:r w:rsidRPr="00A561A5" w:rsidR="00074A15">
        <w:rPr>
          <w:rFonts w:ascii="Times New Roman" w:hAnsi="Times New Roman" w:cs="Times New Roman"/>
        </w:rPr>
        <w:t xml:space="preserve">with slightly varying membership </w:t>
      </w:r>
      <w:r w:rsidRPr="00A561A5">
        <w:rPr>
          <w:rFonts w:ascii="Times New Roman" w:hAnsi="Times New Roman" w:cs="Times New Roman"/>
        </w:rPr>
        <w:t>as each regulatory opportunity (</w:t>
      </w:r>
      <w:r w:rsidRPr="00A561A5">
        <w:rPr>
          <w:rFonts w:ascii="Times New Roman" w:hAnsi="Times New Roman" w:cs="Times New Roman"/>
          <w:i/>
        </w:rPr>
        <w:t>i.e.,</w:t>
      </w:r>
      <w:r w:rsidRPr="00A561A5">
        <w:rPr>
          <w:rFonts w:ascii="Times New Roman" w:hAnsi="Times New Roman" w:cs="Times New Roman"/>
        </w:rPr>
        <w:t xml:space="preserve"> </w:t>
      </w:r>
      <w:r w:rsidRPr="00A561A5" w:rsidR="0013230F">
        <w:rPr>
          <w:rFonts w:ascii="Times New Roman" w:hAnsi="Times New Roman" w:cs="Times New Roman"/>
        </w:rPr>
        <w:t xml:space="preserve">a </w:t>
      </w:r>
      <w:r w:rsidRPr="00A561A5">
        <w:rPr>
          <w:rFonts w:ascii="Times New Roman" w:hAnsi="Times New Roman" w:cs="Times New Roman"/>
        </w:rPr>
        <w:t>significant PUCO proceeding) presents itself.</w:t>
      </w:r>
      <w:r w:rsidRPr="00A561A5" w:rsidR="00074A15">
        <w:rPr>
          <w:rFonts w:ascii="Times New Roman" w:hAnsi="Times New Roman" w:cs="Times New Roman"/>
        </w:rPr>
        <w:t xml:space="preserve"> </w:t>
      </w:r>
      <w:r w:rsidRPr="00A561A5">
        <w:rPr>
          <w:rFonts w:ascii="Times New Roman" w:hAnsi="Times New Roman" w:cs="Times New Roman"/>
        </w:rPr>
        <w:t xml:space="preserve">The signatory parties do not represent any interests other than their own when they bargain with </w:t>
      </w:r>
      <w:r w:rsidRPr="00A561A5" w:rsidR="00074A15">
        <w:rPr>
          <w:rFonts w:ascii="Times New Roman" w:hAnsi="Times New Roman" w:cs="Times New Roman"/>
        </w:rPr>
        <w:t xml:space="preserve">the </w:t>
      </w:r>
      <w:r w:rsidRPr="00A561A5">
        <w:rPr>
          <w:rFonts w:ascii="Times New Roman" w:hAnsi="Times New Roman" w:cs="Times New Roman"/>
        </w:rPr>
        <w:t xml:space="preserve">utility. The practice of </w:t>
      </w:r>
      <w:r w:rsidRPr="00A561A5" w:rsidR="00CA7812">
        <w:rPr>
          <w:rFonts w:ascii="Times New Roman" w:hAnsi="Times New Roman" w:cs="Times New Roman"/>
        </w:rPr>
        <w:t xml:space="preserve">the utility paying for </w:t>
      </w:r>
      <w:r w:rsidRPr="00A561A5">
        <w:rPr>
          <w:rFonts w:ascii="Times New Roman" w:hAnsi="Times New Roman" w:cs="Times New Roman"/>
        </w:rPr>
        <w:t xml:space="preserve">endorsements of signatory parties has evolved over time and, as a result of that evolution, </w:t>
      </w:r>
      <w:r w:rsidRPr="00A561A5" w:rsidR="00074A15">
        <w:rPr>
          <w:rFonts w:ascii="Times New Roman" w:hAnsi="Times New Roman" w:cs="Times New Roman"/>
        </w:rPr>
        <w:t xml:space="preserve">utilities </w:t>
      </w:r>
      <w:r w:rsidRPr="00A561A5" w:rsidR="00CA7812">
        <w:rPr>
          <w:rFonts w:ascii="Times New Roman" w:hAnsi="Times New Roman" w:cs="Times New Roman"/>
        </w:rPr>
        <w:t xml:space="preserve"> have</w:t>
      </w:r>
      <w:r w:rsidRPr="00A561A5">
        <w:rPr>
          <w:rFonts w:ascii="Times New Roman" w:hAnsi="Times New Roman" w:cs="Times New Roman"/>
        </w:rPr>
        <w:t xml:space="preserve"> become more efficient at </w:t>
      </w:r>
      <w:r w:rsidRPr="00A561A5" w:rsidR="00074A15">
        <w:rPr>
          <w:rFonts w:ascii="Times New Roman" w:hAnsi="Times New Roman" w:cs="Times New Roman"/>
        </w:rPr>
        <w:t>forming redistributive coalitions</w:t>
      </w:r>
      <w:r w:rsidRPr="00A561A5">
        <w:rPr>
          <w:rFonts w:ascii="Times New Roman" w:hAnsi="Times New Roman" w:cs="Times New Roman"/>
        </w:rPr>
        <w:t>.</w:t>
      </w:r>
    </w:p>
    <w:p w:rsidR="00BA7359" w:rsidRPr="00A561A5" w:rsidP="00FB6A60">
      <w:pPr>
        <w:spacing w:line="480" w:lineRule="auto"/>
        <w:rPr>
          <w:rFonts w:ascii="Times New Roman" w:hAnsi="Times New Roman" w:cs="Times New Roman"/>
        </w:rPr>
      </w:pPr>
    </w:p>
    <w:p w:rsidR="000C1738" w:rsidRPr="00A561A5" w:rsidP="00FA094E">
      <w:pPr>
        <w:spacing w:after="120" w:line="480" w:lineRule="auto"/>
        <w:ind w:left="720" w:hanging="720"/>
        <w:rPr>
          <w:rFonts w:ascii="Times New Roman" w:hAnsi="Times New Roman" w:cs="Times New Roman"/>
          <w:b/>
          <w:i/>
          <w:iCs/>
        </w:rPr>
      </w:pPr>
      <w:r w:rsidRPr="00A561A5">
        <w:rPr>
          <w:rFonts w:ascii="Times New Roman" w:hAnsi="Times New Roman" w:cs="Times New Roman"/>
          <w:b/>
          <w:i/>
          <w:iCs/>
        </w:rPr>
        <w:t>Q10.</w:t>
      </w:r>
      <w:r w:rsidRPr="00A561A5">
        <w:rPr>
          <w:rFonts w:ascii="Times New Roman" w:hAnsi="Times New Roman" w:cs="Times New Roman"/>
          <w:b/>
          <w:i/>
          <w:iCs/>
        </w:rPr>
        <w:tab/>
        <w:t xml:space="preserve">HOW DOES ONE BECOME A MEMBER OF </w:t>
      </w:r>
      <w:r w:rsidRPr="00A561A5" w:rsidR="00074A15">
        <w:rPr>
          <w:rFonts w:ascii="Times New Roman" w:hAnsi="Times New Roman" w:cs="Times New Roman"/>
          <w:b/>
          <w:i/>
          <w:iCs/>
        </w:rPr>
        <w:t xml:space="preserve">A </w:t>
      </w:r>
      <w:r w:rsidRPr="00A561A5" w:rsidR="002A0976">
        <w:rPr>
          <w:rFonts w:ascii="Times New Roman" w:hAnsi="Times New Roman" w:cs="Times New Roman"/>
          <w:b/>
          <w:i/>
          <w:iCs/>
        </w:rPr>
        <w:t>REDISTRIBUTIVE COALITION</w:t>
      </w:r>
      <w:r w:rsidRPr="00A561A5">
        <w:rPr>
          <w:rFonts w:ascii="Times New Roman" w:hAnsi="Times New Roman" w:cs="Times New Roman"/>
          <w:b/>
          <w:i/>
          <w:iCs/>
        </w:rPr>
        <w:t>?</w:t>
      </w:r>
    </w:p>
    <w:p w:rsidR="00583BC2" w:rsidRPr="00A561A5" w:rsidP="00FB6A60">
      <w:pPr>
        <w:spacing w:line="480" w:lineRule="auto"/>
        <w:ind w:left="720" w:hanging="720"/>
        <w:rPr>
          <w:rFonts w:ascii="Times New Roman" w:hAnsi="Times New Roman" w:cs="Times New Roman"/>
        </w:rPr>
      </w:pPr>
      <w:r w:rsidRPr="00A561A5">
        <w:rPr>
          <w:rFonts w:ascii="Times New Roman" w:hAnsi="Times New Roman" w:cs="Times New Roman"/>
          <w:b/>
          <w:i/>
          <w:iCs/>
        </w:rPr>
        <w:t>A</w:t>
      </w:r>
      <w:r w:rsidRPr="00A561A5" w:rsidR="00FB6A60">
        <w:rPr>
          <w:rFonts w:ascii="Times New Roman" w:hAnsi="Times New Roman" w:cs="Times New Roman"/>
          <w:b/>
          <w:i/>
          <w:iCs/>
        </w:rPr>
        <w:t>10</w:t>
      </w:r>
      <w:r w:rsidRPr="00A561A5">
        <w:rPr>
          <w:rFonts w:ascii="Times New Roman" w:hAnsi="Times New Roman" w:cs="Times New Roman"/>
          <w:b/>
          <w:i/>
          <w:iCs/>
        </w:rPr>
        <w:t>.</w:t>
      </w:r>
      <w:r w:rsidRPr="00A561A5">
        <w:rPr>
          <w:rFonts w:ascii="Times New Roman" w:hAnsi="Times New Roman" w:cs="Times New Roman"/>
        </w:rPr>
        <w:tab/>
      </w:r>
      <w:r w:rsidRPr="00A561A5">
        <w:rPr>
          <w:rFonts w:ascii="Times New Roman" w:hAnsi="Times New Roman" w:cs="Times New Roman"/>
        </w:rPr>
        <w:t xml:space="preserve">The necessary condition for </w:t>
      </w:r>
      <w:r w:rsidRPr="00A561A5" w:rsidR="00074A15">
        <w:rPr>
          <w:rFonts w:ascii="Times New Roman" w:hAnsi="Times New Roman" w:cs="Times New Roman"/>
        </w:rPr>
        <w:t>becoming</w:t>
      </w:r>
      <w:r w:rsidRPr="00A561A5">
        <w:rPr>
          <w:rFonts w:ascii="Times New Roman" w:hAnsi="Times New Roman" w:cs="Times New Roman"/>
        </w:rPr>
        <w:t xml:space="preserve"> a member of the </w:t>
      </w:r>
      <w:r w:rsidRPr="00A561A5" w:rsidR="00E9497E">
        <w:rPr>
          <w:rFonts w:ascii="Times New Roman" w:hAnsi="Times New Roman" w:cs="Times New Roman"/>
        </w:rPr>
        <w:t>redistributive coalition</w:t>
      </w:r>
      <w:r w:rsidRPr="00A561A5" w:rsidR="00074A15">
        <w:rPr>
          <w:rFonts w:ascii="Times New Roman" w:hAnsi="Times New Roman" w:cs="Times New Roman"/>
        </w:rPr>
        <w:t xml:space="preserve"> is given in the </w:t>
      </w:r>
      <w:r w:rsidRPr="00A561A5" w:rsidR="000C1738">
        <w:rPr>
          <w:rFonts w:ascii="Times New Roman" w:hAnsi="Times New Roman" w:cs="Times New Roman"/>
        </w:rPr>
        <w:t>Settlement</w:t>
      </w:r>
      <w:r w:rsidRPr="00A561A5" w:rsidR="00074A15">
        <w:rPr>
          <w:rFonts w:ascii="Times New Roman" w:hAnsi="Times New Roman" w:cs="Times New Roman"/>
        </w:rPr>
        <w:t xml:space="preserve">: </w:t>
      </w:r>
      <w:r w:rsidRPr="00A561A5">
        <w:rPr>
          <w:rFonts w:ascii="Times New Roman" w:hAnsi="Times New Roman" w:cs="Times New Roman"/>
        </w:rPr>
        <w:t xml:space="preserve"> “All parties were invited to discuss and negotiate the Stipulation, and it was openly negotiated among those parties that choose to participate; no party was excluded from the negotiations.”</w:t>
      </w:r>
      <w:r>
        <w:rPr>
          <w:rStyle w:val="FootnoteReference"/>
          <w:rFonts w:ascii="Times New Roman" w:hAnsi="Times New Roman" w:cs="Times New Roman"/>
        </w:rPr>
        <w:footnoteReference w:id="7"/>
      </w:r>
      <w:r w:rsidRPr="00A561A5">
        <w:rPr>
          <w:rFonts w:ascii="Times New Roman" w:hAnsi="Times New Roman" w:cs="Times New Roman"/>
        </w:rPr>
        <w:t xml:space="preserve">  </w:t>
      </w:r>
      <w:r w:rsidRPr="00A561A5" w:rsidR="00425B3E">
        <w:rPr>
          <w:rFonts w:ascii="Times New Roman" w:hAnsi="Times New Roman" w:cs="Times New Roman"/>
        </w:rPr>
        <w:t>This is correct</w:t>
      </w:r>
      <w:r w:rsidRPr="00A561A5" w:rsidR="00FA1425">
        <w:rPr>
          <w:rFonts w:ascii="Times New Roman" w:hAnsi="Times New Roman" w:cs="Times New Roman"/>
        </w:rPr>
        <w:t xml:space="preserve"> as far as it goes</w:t>
      </w:r>
      <w:r w:rsidRPr="00A561A5" w:rsidR="000C1738">
        <w:rPr>
          <w:rFonts w:ascii="Times New Roman" w:hAnsi="Times New Roman" w:cs="Times New Roman"/>
        </w:rPr>
        <w:t>;</w:t>
      </w:r>
      <w:r w:rsidRPr="00A561A5" w:rsidR="00425B3E">
        <w:rPr>
          <w:rFonts w:ascii="Times New Roman" w:hAnsi="Times New Roman" w:cs="Times New Roman"/>
        </w:rPr>
        <w:t xml:space="preserve"> however, the </w:t>
      </w:r>
      <w:r w:rsidRPr="00A561A5">
        <w:rPr>
          <w:rFonts w:ascii="Times New Roman" w:hAnsi="Times New Roman" w:cs="Times New Roman"/>
        </w:rPr>
        <w:t>preceding sentence states: “This Stipulation is a product of lengthy, serious arm’s-length bargaining among the Signatory Parties (all of whom are capable, knowledgeable, and represented by counsel) with the participation of the Staff of the Commission (“Staff”).</w:t>
      </w:r>
      <w:r w:rsidRPr="00A561A5" w:rsidR="00FA1425">
        <w:rPr>
          <w:rFonts w:ascii="Times New Roman" w:hAnsi="Times New Roman" w:cs="Times New Roman"/>
        </w:rPr>
        <w:t>”</w:t>
      </w:r>
      <w:r w:rsidRPr="00A561A5">
        <w:rPr>
          <w:rFonts w:ascii="Times New Roman" w:hAnsi="Times New Roman" w:cs="Times New Roman"/>
        </w:rPr>
        <w:t xml:space="preserve">  </w:t>
      </w:r>
      <w:r w:rsidRPr="00A561A5" w:rsidR="000C1738">
        <w:rPr>
          <w:rFonts w:ascii="Times New Roman" w:hAnsi="Times New Roman" w:cs="Times New Roman"/>
        </w:rPr>
        <w:t>In other words</w:t>
      </w:r>
      <w:r w:rsidRPr="00A561A5">
        <w:rPr>
          <w:rFonts w:ascii="Times New Roman" w:hAnsi="Times New Roman" w:cs="Times New Roman"/>
        </w:rPr>
        <w:t xml:space="preserve">, the </w:t>
      </w:r>
      <w:r w:rsidRPr="00A561A5" w:rsidR="00370459">
        <w:rPr>
          <w:rFonts w:ascii="Times New Roman" w:hAnsi="Times New Roman" w:cs="Times New Roman"/>
        </w:rPr>
        <w:t>redistributive coalition</w:t>
      </w:r>
      <w:r w:rsidRPr="00A561A5">
        <w:rPr>
          <w:rFonts w:ascii="Times New Roman" w:hAnsi="Times New Roman" w:cs="Times New Roman"/>
        </w:rPr>
        <w:t xml:space="preserve"> is open to all parties that have knowledge about the opportunity to intervene and </w:t>
      </w:r>
      <w:r w:rsidRPr="00A561A5" w:rsidR="00FA1425">
        <w:rPr>
          <w:rFonts w:ascii="Times New Roman" w:hAnsi="Times New Roman" w:cs="Times New Roman"/>
        </w:rPr>
        <w:t>have</w:t>
      </w:r>
      <w:r w:rsidRPr="00A561A5">
        <w:rPr>
          <w:rFonts w:ascii="Times New Roman" w:hAnsi="Times New Roman" w:cs="Times New Roman"/>
        </w:rPr>
        <w:t xml:space="preserve"> access </w:t>
      </w:r>
      <w:r w:rsidRPr="00A561A5" w:rsidR="00FA1425">
        <w:rPr>
          <w:rFonts w:ascii="Times New Roman" w:hAnsi="Times New Roman" w:cs="Times New Roman"/>
        </w:rPr>
        <w:t xml:space="preserve">to lawyers who regularly practice before the PUCO. </w:t>
      </w:r>
      <w:r w:rsidRPr="00A561A5" w:rsidR="000C1738">
        <w:rPr>
          <w:rFonts w:ascii="Times New Roman" w:hAnsi="Times New Roman" w:cs="Times New Roman"/>
        </w:rPr>
        <w:t>Those who don’t have the sophistication, funding, or awareness of the PUCO’s process are left out.</w:t>
      </w:r>
    </w:p>
    <w:p w:rsidR="0006181A" w:rsidRPr="00A561A5" w:rsidP="0006181A">
      <w:pPr>
        <w:spacing w:line="480" w:lineRule="auto"/>
        <w:ind w:left="720"/>
        <w:rPr>
          <w:rFonts w:ascii="Times New Roman" w:hAnsi="Times New Roman" w:cs="Times New Roman"/>
        </w:rPr>
      </w:pPr>
    </w:p>
    <w:p w:rsidR="00987CB5" w:rsidRPr="00A561A5" w:rsidP="0006181A">
      <w:pPr>
        <w:spacing w:after="120" w:line="480" w:lineRule="auto"/>
        <w:ind w:left="720" w:hanging="720"/>
        <w:rPr>
          <w:rFonts w:ascii="Times New Roman" w:hAnsi="Times New Roman" w:cs="Times New Roman"/>
          <w:b/>
          <w:i/>
          <w:iCs/>
        </w:rPr>
      </w:pPr>
      <w:r w:rsidRPr="00A561A5">
        <w:rPr>
          <w:rFonts w:ascii="Times New Roman" w:hAnsi="Times New Roman" w:cs="Times New Roman"/>
          <w:b/>
          <w:i/>
          <w:iCs/>
        </w:rPr>
        <w:t>Q11.</w:t>
      </w:r>
      <w:r w:rsidRPr="00A561A5">
        <w:rPr>
          <w:rFonts w:ascii="Times New Roman" w:hAnsi="Times New Roman" w:cs="Times New Roman"/>
          <w:b/>
          <w:i/>
          <w:iCs/>
        </w:rPr>
        <w:tab/>
        <w:t xml:space="preserve">ONCE THE REDISTRIBUTIVE COALITION IS FORMED, HOW DO </w:t>
      </w:r>
      <w:r w:rsidRPr="00A561A5" w:rsidR="0087628B">
        <w:rPr>
          <w:rFonts w:ascii="Times New Roman" w:hAnsi="Times New Roman" w:cs="Times New Roman"/>
          <w:b/>
          <w:i/>
          <w:iCs/>
        </w:rPr>
        <w:t xml:space="preserve">ITS </w:t>
      </w:r>
      <w:r w:rsidRPr="00A561A5">
        <w:rPr>
          <w:rFonts w:ascii="Times New Roman" w:hAnsi="Times New Roman" w:cs="Times New Roman"/>
          <w:b/>
          <w:i/>
          <w:iCs/>
        </w:rPr>
        <w:t xml:space="preserve">MEMBERS </w:t>
      </w:r>
      <w:r w:rsidRPr="00A561A5" w:rsidR="0087628B">
        <w:rPr>
          <w:rFonts w:ascii="Times New Roman" w:hAnsi="Times New Roman" w:cs="Times New Roman"/>
          <w:b/>
          <w:i/>
          <w:iCs/>
        </w:rPr>
        <w:t xml:space="preserve">(INCLUDING </w:t>
      </w:r>
      <w:r w:rsidRPr="00A561A5">
        <w:rPr>
          <w:rFonts w:ascii="Times New Roman" w:hAnsi="Times New Roman" w:cs="Times New Roman"/>
          <w:b/>
          <w:i/>
          <w:iCs/>
        </w:rPr>
        <w:t>THE UTILITY</w:t>
      </w:r>
      <w:r w:rsidRPr="00A561A5" w:rsidR="0087628B">
        <w:rPr>
          <w:rFonts w:ascii="Times New Roman" w:hAnsi="Times New Roman" w:cs="Times New Roman"/>
          <w:b/>
          <w:i/>
          <w:iCs/>
        </w:rPr>
        <w:t>)</w:t>
      </w:r>
      <w:r w:rsidRPr="00A561A5">
        <w:rPr>
          <w:rFonts w:ascii="Times New Roman" w:hAnsi="Times New Roman" w:cs="Times New Roman"/>
          <w:b/>
          <w:i/>
          <w:iCs/>
        </w:rPr>
        <w:t xml:space="preserve"> TAKE ADVANTAGE OF IT TO THE DETRIMENT OF RESIDENTIAL AND OTHER CONSUMERS?</w:t>
      </w:r>
    </w:p>
    <w:p w:rsidR="00010EE8" w:rsidRPr="00A561A5" w:rsidP="0006181A">
      <w:pPr>
        <w:spacing w:line="480" w:lineRule="auto"/>
        <w:ind w:left="720" w:hanging="720"/>
        <w:rPr>
          <w:rFonts w:ascii="Times New Roman" w:hAnsi="Times New Roman" w:cs="Times New Roman"/>
        </w:rPr>
      </w:pPr>
      <w:r w:rsidRPr="00A561A5">
        <w:rPr>
          <w:rFonts w:ascii="Times New Roman" w:hAnsi="Times New Roman" w:cs="Times New Roman"/>
          <w:b/>
          <w:bCs/>
          <w:i/>
          <w:iCs/>
        </w:rPr>
        <w:t>A</w:t>
      </w:r>
      <w:r w:rsidRPr="00A561A5" w:rsidR="0006181A">
        <w:rPr>
          <w:rFonts w:ascii="Times New Roman" w:hAnsi="Times New Roman" w:cs="Times New Roman"/>
          <w:b/>
          <w:bCs/>
          <w:i/>
          <w:iCs/>
        </w:rPr>
        <w:t>11</w:t>
      </w:r>
      <w:r w:rsidRPr="00A561A5">
        <w:rPr>
          <w:rFonts w:ascii="Times New Roman" w:hAnsi="Times New Roman" w:cs="Times New Roman"/>
          <w:b/>
          <w:bCs/>
          <w:i/>
          <w:iCs/>
        </w:rPr>
        <w:t>.</w:t>
      </w:r>
      <w:r w:rsidRPr="00A561A5">
        <w:rPr>
          <w:rFonts w:ascii="Times New Roman" w:hAnsi="Times New Roman" w:cs="Times New Roman"/>
        </w:rPr>
        <w:t xml:space="preserve"> </w:t>
      </w:r>
      <w:r w:rsidRPr="00A561A5" w:rsidR="0006181A">
        <w:rPr>
          <w:rFonts w:ascii="Times New Roman" w:hAnsi="Times New Roman" w:cs="Times New Roman"/>
        </w:rPr>
        <w:tab/>
      </w:r>
      <w:r w:rsidRPr="00A561A5">
        <w:rPr>
          <w:rFonts w:ascii="Times New Roman" w:hAnsi="Times New Roman" w:cs="Times New Roman"/>
        </w:rPr>
        <w:t>The list of signatories is carefully constr</w:t>
      </w:r>
      <w:r w:rsidRPr="00A561A5" w:rsidR="00FA1425">
        <w:rPr>
          <w:rFonts w:ascii="Times New Roman" w:hAnsi="Times New Roman" w:cs="Times New Roman"/>
        </w:rPr>
        <w:t>ucted following a</w:t>
      </w:r>
      <w:r w:rsidRPr="00A561A5">
        <w:rPr>
          <w:rFonts w:ascii="Times New Roman" w:hAnsi="Times New Roman" w:cs="Times New Roman"/>
        </w:rPr>
        <w:t xml:space="preserve"> formula, or recipe, that </w:t>
      </w:r>
      <w:r w:rsidRPr="00A561A5" w:rsidR="00E02B72">
        <w:rPr>
          <w:rFonts w:ascii="Times New Roman" w:hAnsi="Times New Roman" w:cs="Times New Roman"/>
        </w:rPr>
        <w:t xml:space="preserve">was used in the </w:t>
      </w:r>
      <w:r w:rsidRPr="00A561A5">
        <w:rPr>
          <w:rFonts w:ascii="Times New Roman" w:hAnsi="Times New Roman" w:cs="Times New Roman"/>
        </w:rPr>
        <w:t xml:space="preserve">ESP </w:t>
      </w:r>
      <w:r w:rsidRPr="00A561A5" w:rsidR="00FA1425">
        <w:rPr>
          <w:rFonts w:ascii="Times New Roman" w:hAnsi="Times New Roman" w:cs="Times New Roman"/>
        </w:rPr>
        <w:t>settlements for</w:t>
      </w:r>
      <w:r w:rsidRPr="00A561A5">
        <w:rPr>
          <w:rFonts w:ascii="Times New Roman" w:hAnsi="Times New Roman" w:cs="Times New Roman"/>
        </w:rPr>
        <w:t xml:space="preserve"> FirstEnergy, A</w:t>
      </w:r>
      <w:r w:rsidRPr="00A561A5" w:rsidR="008F384E">
        <w:rPr>
          <w:rFonts w:ascii="Times New Roman" w:hAnsi="Times New Roman" w:cs="Times New Roman"/>
        </w:rPr>
        <w:t>EP Ohio</w:t>
      </w:r>
      <w:r w:rsidRPr="00A561A5">
        <w:rPr>
          <w:rFonts w:ascii="Times New Roman" w:hAnsi="Times New Roman" w:cs="Times New Roman"/>
        </w:rPr>
        <w:t>, and DP&amp;L</w:t>
      </w:r>
      <w:r w:rsidRPr="00A561A5" w:rsidR="00583BC2">
        <w:rPr>
          <w:rFonts w:ascii="Times New Roman" w:hAnsi="Times New Roman" w:cs="Times New Roman"/>
        </w:rPr>
        <w:t xml:space="preserve"> to </w:t>
      </w:r>
      <w:r w:rsidRPr="00A561A5" w:rsidR="008F384E">
        <w:rPr>
          <w:rFonts w:ascii="Times New Roman" w:hAnsi="Times New Roman" w:cs="Times New Roman"/>
        </w:rPr>
        <w:t>“</w:t>
      </w:r>
      <w:r w:rsidRPr="00A561A5" w:rsidR="00583BC2">
        <w:rPr>
          <w:rFonts w:ascii="Times New Roman" w:hAnsi="Times New Roman" w:cs="Times New Roman"/>
        </w:rPr>
        <w:t>demonstrate</w:t>
      </w:r>
      <w:r w:rsidRPr="00A561A5" w:rsidR="008F384E">
        <w:rPr>
          <w:rFonts w:ascii="Times New Roman" w:hAnsi="Times New Roman" w:cs="Times New Roman"/>
        </w:rPr>
        <w:t>”</w:t>
      </w:r>
      <w:r w:rsidRPr="00A561A5" w:rsidR="00583BC2">
        <w:rPr>
          <w:rFonts w:ascii="Times New Roman" w:hAnsi="Times New Roman" w:cs="Times New Roman"/>
        </w:rPr>
        <w:t xml:space="preserve"> the representation of a wide </w:t>
      </w:r>
      <w:r w:rsidRPr="00A561A5" w:rsidR="00540000">
        <w:rPr>
          <w:rFonts w:ascii="Times New Roman" w:hAnsi="Times New Roman" w:cs="Times New Roman"/>
        </w:rPr>
        <w:t>public support for their goals</w:t>
      </w:r>
      <w:r w:rsidRPr="00A561A5" w:rsidR="00583BC2">
        <w:rPr>
          <w:rFonts w:ascii="Times New Roman" w:hAnsi="Times New Roman" w:cs="Times New Roman"/>
        </w:rPr>
        <w:t>.</w:t>
      </w:r>
      <w:r w:rsidRPr="00A561A5" w:rsidR="00E02B72">
        <w:rPr>
          <w:rFonts w:ascii="Times New Roman" w:hAnsi="Times New Roman" w:cs="Times New Roman"/>
        </w:rPr>
        <w:t xml:space="preserve"> The reason why this list is limited to these three cases is that I participated as an expert witness in the FirstEnergy and AEP Ohio cases and read the Opinion and Order in DP&amp;L’s ESP case</w:t>
      </w:r>
      <w:r w:rsidRPr="00A561A5" w:rsidR="0074731C">
        <w:rPr>
          <w:rFonts w:ascii="Times New Roman" w:hAnsi="Times New Roman" w:cs="Times New Roman"/>
        </w:rPr>
        <w:t xml:space="preserve"> in preparing this testimony</w:t>
      </w:r>
      <w:r w:rsidRPr="00A561A5" w:rsidR="00E02B72">
        <w:rPr>
          <w:rFonts w:ascii="Times New Roman" w:hAnsi="Times New Roman" w:cs="Times New Roman"/>
        </w:rPr>
        <w:t>.</w:t>
      </w:r>
      <w:r>
        <w:rPr>
          <w:rStyle w:val="FootnoteReference"/>
          <w:rFonts w:ascii="Times New Roman" w:hAnsi="Times New Roman" w:cs="Times New Roman"/>
        </w:rPr>
        <w:footnoteReference w:id="8"/>
      </w:r>
      <w:r w:rsidRPr="00A561A5" w:rsidR="0074731C">
        <w:rPr>
          <w:rFonts w:ascii="Times New Roman" w:hAnsi="Times New Roman" w:cs="Times New Roman"/>
        </w:rPr>
        <w:t xml:space="preserve"> I also prepared a database on benefits won and costs incurred by these redistributive coalitions as part of an academic research project.</w:t>
      </w:r>
    </w:p>
    <w:p w:rsidR="0006181A" w:rsidRPr="00A561A5" w:rsidP="00A561A5">
      <w:pPr>
        <w:spacing w:line="480" w:lineRule="auto"/>
        <w:rPr>
          <w:rFonts w:ascii="Times New Roman" w:hAnsi="Times New Roman" w:cs="Times New Roman"/>
        </w:rPr>
      </w:pPr>
    </w:p>
    <w:p w:rsidR="0006181A" w:rsidRPr="00A561A5" w:rsidP="0006181A">
      <w:pPr>
        <w:spacing w:after="120" w:line="480" w:lineRule="auto"/>
        <w:ind w:left="720"/>
        <w:rPr>
          <w:rFonts w:ascii="Times New Roman" w:hAnsi="Times New Roman" w:cs="Times New Roman"/>
        </w:rPr>
      </w:pPr>
      <w:r w:rsidRPr="00A561A5">
        <w:rPr>
          <w:rFonts w:ascii="Times New Roman" w:hAnsi="Times New Roman" w:cs="Times New Roman"/>
        </w:rPr>
        <w:t>The critical sentence in the</w:t>
      </w:r>
      <w:r w:rsidRPr="00A561A5" w:rsidR="0087628B">
        <w:rPr>
          <w:rFonts w:ascii="Times New Roman" w:hAnsi="Times New Roman" w:cs="Times New Roman"/>
        </w:rPr>
        <w:t xml:space="preserve"> DP&amp;L</w:t>
      </w:r>
      <w:r w:rsidRPr="00A561A5">
        <w:rPr>
          <w:rFonts w:ascii="Times New Roman" w:hAnsi="Times New Roman" w:cs="Times New Roman"/>
        </w:rPr>
        <w:t xml:space="preserve"> </w:t>
      </w:r>
      <w:r w:rsidRPr="00A561A5" w:rsidR="008F384E">
        <w:rPr>
          <w:rFonts w:ascii="Times New Roman" w:hAnsi="Times New Roman" w:cs="Times New Roman"/>
        </w:rPr>
        <w:t>Settlement</w:t>
      </w:r>
      <w:r w:rsidRPr="00A561A5">
        <w:rPr>
          <w:rFonts w:ascii="Times New Roman" w:hAnsi="Times New Roman" w:cs="Times New Roman"/>
        </w:rPr>
        <w:t xml:space="preserve"> is at the end of the first paragraph on its second page: “This Stipulation accommodates the </w:t>
      </w:r>
      <w:r w:rsidRPr="00A561A5" w:rsidR="00F31981">
        <w:rPr>
          <w:rFonts w:ascii="Times New Roman" w:hAnsi="Times New Roman" w:cs="Times New Roman"/>
        </w:rPr>
        <w:t>diverse interests</w:t>
      </w:r>
      <w:r w:rsidRPr="00A561A5">
        <w:rPr>
          <w:rFonts w:ascii="Times New Roman" w:hAnsi="Times New Roman" w:cs="Times New Roman"/>
          <w:i/>
          <w:iCs/>
        </w:rPr>
        <w:t xml:space="preserve"> represented</w:t>
      </w:r>
      <w:r w:rsidRPr="00A561A5">
        <w:rPr>
          <w:rFonts w:ascii="Times New Roman" w:hAnsi="Times New Roman" w:cs="Times New Roman"/>
        </w:rPr>
        <w:t xml:space="preserve"> by the Signatory Parties and is entitled to careful consideration by the Commission.”</w:t>
      </w:r>
      <w:r>
        <w:rPr>
          <w:rStyle w:val="FootnoteReference"/>
          <w:rFonts w:ascii="Times New Roman" w:hAnsi="Times New Roman" w:cs="Times New Roman"/>
        </w:rPr>
        <w:footnoteReference w:id="9"/>
      </w:r>
    </w:p>
    <w:p w:rsidR="00A561A5" w:rsidRPr="00A561A5" w:rsidP="0006181A">
      <w:pPr>
        <w:spacing w:after="120" w:line="480" w:lineRule="auto"/>
        <w:ind w:left="720"/>
        <w:rPr>
          <w:rFonts w:ascii="Times New Roman" w:hAnsi="Times New Roman" w:cs="Times New Roman"/>
        </w:rPr>
      </w:pPr>
    </w:p>
    <w:p w:rsidR="00360BC8" w:rsidRPr="00A561A5" w:rsidP="0006181A">
      <w:pPr>
        <w:spacing w:line="480" w:lineRule="auto"/>
        <w:ind w:left="720"/>
        <w:rPr>
          <w:rFonts w:ascii="Times New Roman" w:hAnsi="Times New Roman" w:cs="Times New Roman"/>
        </w:rPr>
      </w:pPr>
      <w:r w:rsidRPr="00A561A5">
        <w:rPr>
          <w:rFonts w:ascii="Times New Roman" w:hAnsi="Times New Roman" w:cs="Times New Roman"/>
        </w:rPr>
        <w:t>DP&amp;L witness</w:t>
      </w:r>
      <w:r w:rsidRPr="00A561A5">
        <w:rPr>
          <w:rFonts w:ascii="Times New Roman" w:hAnsi="Times New Roman" w:cs="Times New Roman"/>
        </w:rPr>
        <w:t xml:space="preserve"> Schroder</w:t>
      </w:r>
      <w:r w:rsidRPr="00A561A5" w:rsidR="00BC7066">
        <w:rPr>
          <w:rFonts w:ascii="Times New Roman" w:hAnsi="Times New Roman" w:cs="Times New Roman"/>
        </w:rPr>
        <w:t xml:space="preserve"> likewise touts the alleged diversity of the signatory parties</w:t>
      </w:r>
      <w:r w:rsidRPr="00A561A5">
        <w:rPr>
          <w:rFonts w:ascii="Times New Roman" w:hAnsi="Times New Roman" w:cs="Times New Roman"/>
        </w:rPr>
        <w:t xml:space="preserve">: “The Stipulation is supported by </w:t>
      </w:r>
      <w:r w:rsidRPr="00A561A5">
        <w:rPr>
          <w:rFonts w:ascii="Times New Roman" w:hAnsi="Times New Roman" w:cs="Times New Roman"/>
          <w:i/>
          <w:iCs/>
        </w:rPr>
        <w:t>parties representing</w:t>
      </w:r>
      <w:r w:rsidRPr="00A561A5">
        <w:rPr>
          <w:rFonts w:ascii="Times New Roman" w:hAnsi="Times New Roman" w:cs="Times New Roman"/>
        </w:rPr>
        <w:t xml:space="preserve"> a wide range of interests, including the interests of D</w:t>
      </w:r>
      <w:r w:rsidRPr="00A561A5" w:rsidR="00CA09E6">
        <w:rPr>
          <w:rFonts w:ascii="Times New Roman" w:hAnsi="Times New Roman" w:cs="Times New Roman"/>
        </w:rPr>
        <w:t>ayton</w:t>
      </w:r>
      <w:r w:rsidRPr="00A561A5">
        <w:rPr>
          <w:rFonts w:ascii="Times New Roman" w:hAnsi="Times New Roman" w:cs="Times New Roman"/>
        </w:rPr>
        <w:t>, the largest municipality in DP&amp;L’s service territory (which represents itself and its residents), a representative of residential low-income customers, three state-wide organizations of large industrial customers, one large industrial customer, one of the largest supermarket chains in the country, a state-wide organization representing hospitals in DP&amp;L’s service territory, a large, local, university, four environmental groups, a provider of competitive retail electric service, and four other parties that do business and represent interests in the smart grid field.”</w:t>
      </w:r>
      <w:r>
        <w:rPr>
          <w:rStyle w:val="FootnoteReference"/>
          <w:rFonts w:ascii="Times New Roman" w:hAnsi="Times New Roman" w:cs="Times New Roman"/>
        </w:rPr>
        <w:footnoteReference w:id="10"/>
      </w:r>
      <w:r w:rsidRPr="00A561A5">
        <w:rPr>
          <w:rFonts w:ascii="Times New Roman" w:hAnsi="Times New Roman" w:cs="Times New Roman"/>
        </w:rPr>
        <w:t xml:space="preserve"> </w:t>
      </w:r>
    </w:p>
    <w:p w:rsidR="0006181A" w:rsidRPr="00A561A5" w:rsidP="0006181A">
      <w:pPr>
        <w:spacing w:line="480" w:lineRule="auto"/>
        <w:ind w:left="720"/>
        <w:rPr>
          <w:rFonts w:ascii="Times New Roman" w:hAnsi="Times New Roman" w:cs="Times New Roman"/>
        </w:rPr>
      </w:pPr>
    </w:p>
    <w:p w:rsidR="00BC7066" w:rsidRPr="00A561A5" w:rsidP="0006181A">
      <w:pPr>
        <w:spacing w:line="480" w:lineRule="auto"/>
        <w:ind w:left="720"/>
        <w:rPr>
          <w:rFonts w:ascii="Times New Roman" w:hAnsi="Times New Roman" w:cs="Times New Roman"/>
        </w:rPr>
      </w:pPr>
      <w:r w:rsidRPr="00A561A5">
        <w:rPr>
          <w:rFonts w:ascii="Times New Roman" w:hAnsi="Times New Roman" w:cs="Times New Roman"/>
        </w:rPr>
        <w:t>Each of the business, commercial, and governmental signatories represent no interests other than their own. They do not represent a broader group</w:t>
      </w:r>
      <w:r w:rsidRPr="00A561A5">
        <w:rPr>
          <w:rFonts w:ascii="Times New Roman" w:hAnsi="Times New Roman" w:cs="Times New Roman"/>
        </w:rPr>
        <w:t xml:space="preserve"> and do not show, let alone prove, that the Settlement is good public policy for Ohio and its utility consumers. </w:t>
      </w:r>
      <w:r w:rsidRPr="00A561A5" w:rsidR="00895845">
        <w:rPr>
          <w:rFonts w:ascii="Times New Roman" w:hAnsi="Times New Roman" w:cs="Times New Roman"/>
        </w:rPr>
        <w:t xml:space="preserve">The </w:t>
      </w:r>
      <w:r w:rsidRPr="00A561A5" w:rsidR="0087628B">
        <w:rPr>
          <w:rFonts w:ascii="Times New Roman" w:hAnsi="Times New Roman" w:cs="Times New Roman"/>
        </w:rPr>
        <w:t>business, commercial, and governmental signatories</w:t>
      </w:r>
      <w:r w:rsidRPr="00A561A5" w:rsidR="0087628B">
        <w:rPr>
          <w:rFonts w:ascii="Times New Roman" w:hAnsi="Times New Roman" w:cs="Times New Roman"/>
        </w:rPr>
        <w:t xml:space="preserve"> </w:t>
      </w:r>
      <w:r w:rsidRPr="00A561A5" w:rsidR="00895845">
        <w:rPr>
          <w:rFonts w:ascii="Times New Roman" w:hAnsi="Times New Roman" w:cs="Times New Roman"/>
        </w:rPr>
        <w:t>do not attempt to secure benefits through the PUCO process for other similarly situated entities</w:t>
      </w:r>
      <w:r w:rsidRPr="00A561A5" w:rsidR="00CC09D7">
        <w:rPr>
          <w:rFonts w:ascii="Times New Roman" w:hAnsi="Times New Roman" w:cs="Times New Roman"/>
        </w:rPr>
        <w:t>.</w:t>
      </w:r>
      <w:r w:rsidRPr="00A561A5" w:rsidR="00895845">
        <w:rPr>
          <w:rFonts w:ascii="Times New Roman" w:hAnsi="Times New Roman" w:cs="Times New Roman"/>
        </w:rPr>
        <w:t xml:space="preserve"> </w:t>
      </w:r>
      <w:r w:rsidRPr="00A561A5" w:rsidR="00CC09D7">
        <w:rPr>
          <w:rFonts w:ascii="Times New Roman" w:hAnsi="Times New Roman" w:cs="Times New Roman"/>
        </w:rPr>
        <w:t>T</w:t>
      </w:r>
      <w:r w:rsidRPr="00A561A5" w:rsidR="00895845">
        <w:rPr>
          <w:rFonts w:ascii="Times New Roman" w:hAnsi="Times New Roman" w:cs="Times New Roman"/>
        </w:rPr>
        <w:t xml:space="preserve">hey </w:t>
      </w:r>
      <w:r w:rsidRPr="00A561A5" w:rsidR="002C5D14">
        <w:rPr>
          <w:rFonts w:ascii="Times New Roman" w:hAnsi="Times New Roman" w:cs="Times New Roman"/>
        </w:rPr>
        <w:t xml:space="preserve">only </w:t>
      </w:r>
      <w:r w:rsidRPr="00A561A5" w:rsidR="00895845">
        <w:rPr>
          <w:rFonts w:ascii="Times New Roman" w:hAnsi="Times New Roman" w:cs="Times New Roman"/>
        </w:rPr>
        <w:t>secure limited benefits for themselves and their members.</w:t>
      </w:r>
    </w:p>
    <w:p w:rsidR="0006181A" w:rsidRPr="00A561A5" w:rsidP="0006181A">
      <w:pPr>
        <w:spacing w:line="480" w:lineRule="auto"/>
        <w:ind w:left="720"/>
        <w:rPr>
          <w:rFonts w:ascii="Times New Roman" w:hAnsi="Times New Roman" w:cs="Times New Roman"/>
        </w:rPr>
      </w:pPr>
    </w:p>
    <w:p w:rsidR="002C5D14" w:rsidRPr="00A561A5" w:rsidP="0006181A">
      <w:pPr>
        <w:spacing w:after="120" w:line="480" w:lineRule="auto"/>
        <w:ind w:left="720"/>
        <w:rPr>
          <w:rFonts w:ascii="Times New Roman" w:hAnsi="Times New Roman" w:cs="Times New Roman"/>
        </w:rPr>
      </w:pPr>
      <w:r w:rsidRPr="00A561A5">
        <w:rPr>
          <w:rFonts w:ascii="Times New Roman" w:hAnsi="Times New Roman" w:cs="Times New Roman"/>
        </w:rPr>
        <w:t>T</w:t>
      </w:r>
      <w:r w:rsidRPr="00A561A5" w:rsidR="00BC7066">
        <w:rPr>
          <w:rFonts w:ascii="Times New Roman" w:hAnsi="Times New Roman" w:cs="Times New Roman"/>
        </w:rPr>
        <w:t>he signatures mean just one thing: that those particular signatories were able to extract</w:t>
      </w:r>
      <w:r w:rsidRPr="00A561A5" w:rsidR="0077614E">
        <w:rPr>
          <w:rFonts w:ascii="Times New Roman" w:hAnsi="Times New Roman" w:cs="Times New Roman"/>
        </w:rPr>
        <w:t xml:space="preserve"> benefits in exchange for their signatures</w:t>
      </w:r>
      <w:r w:rsidRPr="00A561A5" w:rsidR="00BC7066">
        <w:rPr>
          <w:rFonts w:ascii="Times New Roman" w:hAnsi="Times New Roman" w:cs="Times New Roman"/>
        </w:rPr>
        <w:t>, benefits that</w:t>
      </w:r>
      <w:r w:rsidRPr="00A561A5" w:rsidR="0077614E">
        <w:rPr>
          <w:rFonts w:ascii="Times New Roman" w:hAnsi="Times New Roman" w:cs="Times New Roman"/>
        </w:rPr>
        <w:t xml:space="preserve"> flow to their own bottom lines, members, </w:t>
      </w:r>
      <w:r w:rsidRPr="00A561A5" w:rsidR="00425B3E">
        <w:rPr>
          <w:rFonts w:ascii="Times New Roman" w:hAnsi="Times New Roman" w:cs="Times New Roman"/>
        </w:rPr>
        <w:t>or</w:t>
      </w:r>
      <w:r w:rsidRPr="00A561A5" w:rsidR="0077614E">
        <w:rPr>
          <w:rFonts w:ascii="Times New Roman" w:hAnsi="Times New Roman" w:cs="Times New Roman"/>
        </w:rPr>
        <w:t xml:space="preserve"> constituents.</w:t>
      </w:r>
      <w:r w:rsidRPr="00A561A5">
        <w:rPr>
          <w:rFonts w:ascii="Times New Roman" w:hAnsi="Times New Roman" w:cs="Times New Roman"/>
        </w:rPr>
        <w:t xml:space="preserve"> These are benefits that are either directly or indirectly paid for by DP&amp;L’s residential and commercial customers, with the exception of those that are members of the coalition.</w:t>
      </w:r>
    </w:p>
    <w:p w:rsidR="002C5D14" w:rsidRPr="00A561A5" w:rsidP="0006181A">
      <w:pPr>
        <w:spacing w:after="120" w:line="480" w:lineRule="auto"/>
        <w:ind w:left="720"/>
        <w:rPr>
          <w:rFonts w:ascii="Times New Roman" w:hAnsi="Times New Roman" w:cs="Times New Roman"/>
        </w:rPr>
      </w:pPr>
    </w:p>
    <w:p w:rsidR="00F31981" w:rsidRPr="00A561A5" w:rsidP="00FA094E">
      <w:pPr>
        <w:spacing w:after="120" w:line="480" w:lineRule="auto"/>
        <w:ind w:left="720" w:hanging="720"/>
        <w:rPr>
          <w:rFonts w:ascii="Times New Roman" w:hAnsi="Times New Roman" w:cs="Times New Roman"/>
          <w:b/>
          <w:i/>
          <w:iCs/>
        </w:rPr>
      </w:pPr>
      <w:r w:rsidRPr="00A561A5">
        <w:rPr>
          <w:rFonts w:ascii="Times New Roman" w:hAnsi="Times New Roman" w:cs="Times New Roman"/>
          <w:b/>
          <w:i/>
          <w:iCs/>
        </w:rPr>
        <w:t>Q12.</w:t>
      </w:r>
      <w:r w:rsidRPr="00A561A5">
        <w:rPr>
          <w:rFonts w:ascii="Times New Roman" w:hAnsi="Times New Roman" w:cs="Times New Roman"/>
          <w:b/>
          <w:i/>
          <w:iCs/>
        </w:rPr>
        <w:tab/>
        <w:t>WHAT ARE SOME EXAMPLES OF THE REDISTRIBUTIONS PROVIDED TO SIGNATORY PARTIES UNDER THE SETTLEMENT?</w:t>
      </w:r>
    </w:p>
    <w:p w:rsidR="0006181A" w:rsidRPr="00A561A5" w:rsidP="00A561A5">
      <w:pPr>
        <w:spacing w:line="480" w:lineRule="auto"/>
        <w:ind w:left="720" w:hanging="720"/>
        <w:rPr>
          <w:rFonts w:ascii="Times New Roman" w:hAnsi="Times New Roman" w:cs="Times New Roman"/>
        </w:rPr>
      </w:pPr>
      <w:r w:rsidRPr="00A561A5">
        <w:rPr>
          <w:rFonts w:ascii="Times New Roman" w:hAnsi="Times New Roman" w:cs="Times New Roman"/>
          <w:b/>
          <w:i/>
          <w:iCs/>
        </w:rPr>
        <w:t>A</w:t>
      </w:r>
      <w:r w:rsidRPr="00A561A5" w:rsidR="002C5D14">
        <w:rPr>
          <w:rFonts w:ascii="Times New Roman" w:hAnsi="Times New Roman" w:cs="Times New Roman"/>
          <w:b/>
          <w:i/>
          <w:iCs/>
        </w:rPr>
        <w:t xml:space="preserve"> </w:t>
      </w:r>
      <w:r w:rsidRPr="00A561A5">
        <w:rPr>
          <w:rFonts w:ascii="Times New Roman" w:hAnsi="Times New Roman" w:cs="Times New Roman"/>
          <w:b/>
          <w:i/>
          <w:iCs/>
        </w:rPr>
        <w:t>12</w:t>
      </w:r>
      <w:r w:rsidRPr="00A561A5">
        <w:rPr>
          <w:rFonts w:ascii="Times New Roman" w:hAnsi="Times New Roman" w:cs="Times New Roman"/>
          <w:b/>
          <w:i/>
          <w:iCs/>
        </w:rPr>
        <w:t>.</w:t>
      </w:r>
      <w:r w:rsidRPr="00A561A5">
        <w:rPr>
          <w:rFonts w:ascii="Times New Roman" w:hAnsi="Times New Roman" w:cs="Times New Roman"/>
          <w:b/>
        </w:rPr>
        <w:tab/>
      </w:r>
      <w:r w:rsidRPr="00A561A5" w:rsidR="0077614E">
        <w:rPr>
          <w:rFonts w:ascii="Times New Roman" w:hAnsi="Times New Roman" w:cs="Times New Roman"/>
        </w:rPr>
        <w:t xml:space="preserve">Benefits </w:t>
      </w:r>
      <w:r w:rsidRPr="00A561A5" w:rsidR="0087628B">
        <w:rPr>
          <w:rFonts w:ascii="Times New Roman" w:hAnsi="Times New Roman" w:cs="Times New Roman"/>
        </w:rPr>
        <w:t xml:space="preserve">for a particular supermarket </w:t>
      </w:r>
      <w:r w:rsidRPr="00A561A5" w:rsidR="0077614E">
        <w:rPr>
          <w:rFonts w:ascii="Times New Roman" w:hAnsi="Times New Roman" w:cs="Times New Roman"/>
        </w:rPr>
        <w:t>do not flow to its competitor</w:t>
      </w:r>
      <w:r w:rsidRPr="00A561A5" w:rsidR="00743598">
        <w:rPr>
          <w:rFonts w:ascii="Times New Roman" w:hAnsi="Times New Roman" w:cs="Times New Roman"/>
        </w:rPr>
        <w:t>s</w:t>
      </w:r>
      <w:r w:rsidRPr="00A561A5" w:rsidR="0077614E">
        <w:rPr>
          <w:rFonts w:ascii="Times New Roman" w:hAnsi="Times New Roman" w:cs="Times New Roman"/>
        </w:rPr>
        <w:t>.</w:t>
      </w:r>
      <w:r>
        <w:rPr>
          <w:rStyle w:val="FootnoteReference"/>
          <w:rFonts w:ascii="Times New Roman" w:hAnsi="Times New Roman" w:cs="Times New Roman"/>
        </w:rPr>
        <w:footnoteReference w:id="11"/>
      </w:r>
      <w:r w:rsidRPr="00A561A5" w:rsidR="0077614E">
        <w:rPr>
          <w:rFonts w:ascii="Times New Roman" w:hAnsi="Times New Roman" w:cs="Times New Roman"/>
        </w:rPr>
        <w:t xml:space="preserve"> The </w:t>
      </w:r>
      <w:r w:rsidRPr="00A561A5">
        <w:rPr>
          <w:rFonts w:ascii="Times New Roman" w:hAnsi="Times New Roman" w:cs="Times New Roman"/>
        </w:rPr>
        <w:t xml:space="preserve">Settlement </w:t>
      </w:r>
      <w:r w:rsidRPr="00A561A5" w:rsidR="0077614E">
        <w:rPr>
          <w:rFonts w:ascii="Times New Roman" w:hAnsi="Times New Roman" w:cs="Times New Roman"/>
        </w:rPr>
        <w:t xml:space="preserve">gives </w:t>
      </w:r>
      <w:r w:rsidRPr="00A561A5" w:rsidR="0087628B">
        <w:rPr>
          <w:rFonts w:ascii="Times New Roman" w:hAnsi="Times New Roman" w:cs="Times New Roman"/>
        </w:rPr>
        <w:t xml:space="preserve">the supermarket </w:t>
      </w:r>
      <w:r w:rsidRPr="00A561A5" w:rsidR="0077614E">
        <w:rPr>
          <w:rFonts w:ascii="Times New Roman" w:hAnsi="Times New Roman" w:cs="Times New Roman"/>
        </w:rPr>
        <w:t>a benefit that is paid for by all customers of DP&amp;L</w:t>
      </w:r>
      <w:r w:rsidRPr="00A561A5" w:rsidR="0087628B">
        <w:rPr>
          <w:rFonts w:ascii="Times New Roman" w:hAnsi="Times New Roman" w:cs="Times New Roman"/>
        </w:rPr>
        <w:t xml:space="preserve">, even if </w:t>
      </w:r>
      <w:r w:rsidRPr="00A561A5" w:rsidR="00293309">
        <w:rPr>
          <w:rFonts w:ascii="Times New Roman" w:hAnsi="Times New Roman" w:cs="Times New Roman"/>
        </w:rPr>
        <w:t>the</w:t>
      </w:r>
      <w:r w:rsidRPr="00A561A5" w:rsidR="0087628B">
        <w:rPr>
          <w:rFonts w:ascii="Times New Roman" w:hAnsi="Times New Roman" w:cs="Times New Roman"/>
        </w:rPr>
        <w:t xml:space="preserve"> Settlement does expressly say that a benefit is paid by all customers</w:t>
      </w:r>
      <w:r w:rsidRPr="00A561A5" w:rsidR="00743598">
        <w:rPr>
          <w:rFonts w:ascii="Times New Roman" w:hAnsi="Times New Roman" w:cs="Times New Roman"/>
        </w:rPr>
        <w:t>.</w:t>
      </w:r>
      <w:r>
        <w:rPr>
          <w:rStyle w:val="FootnoteReference"/>
          <w:rFonts w:ascii="Times New Roman" w:hAnsi="Times New Roman" w:cs="Times New Roman"/>
        </w:rPr>
        <w:footnoteReference w:id="12"/>
      </w:r>
      <w:r w:rsidRPr="00A561A5" w:rsidR="00743598">
        <w:rPr>
          <w:rFonts w:ascii="Times New Roman" w:hAnsi="Times New Roman" w:cs="Times New Roman"/>
        </w:rPr>
        <w:t xml:space="preserve"> And, </w:t>
      </w:r>
      <w:r w:rsidRPr="00A561A5" w:rsidR="0077614E">
        <w:rPr>
          <w:rFonts w:ascii="Times New Roman" w:hAnsi="Times New Roman" w:cs="Times New Roman"/>
        </w:rPr>
        <w:t>through this settlement</w:t>
      </w:r>
      <w:r w:rsidRPr="00A561A5" w:rsidR="00743598">
        <w:rPr>
          <w:rFonts w:ascii="Times New Roman" w:hAnsi="Times New Roman" w:cs="Times New Roman"/>
        </w:rPr>
        <w:t xml:space="preserve">, the state of Ohio </w:t>
      </w:r>
      <w:r w:rsidRPr="00A561A5" w:rsidR="0077614E">
        <w:rPr>
          <w:rFonts w:ascii="Times New Roman" w:hAnsi="Times New Roman" w:cs="Times New Roman"/>
        </w:rPr>
        <w:t xml:space="preserve">is showing preference for one grocery </w:t>
      </w:r>
      <w:r w:rsidRPr="00A561A5" w:rsidR="00425B3E">
        <w:rPr>
          <w:rFonts w:ascii="Times New Roman" w:hAnsi="Times New Roman" w:cs="Times New Roman"/>
        </w:rPr>
        <w:t xml:space="preserve">store </w:t>
      </w:r>
      <w:r w:rsidRPr="00A561A5" w:rsidR="0077614E">
        <w:rPr>
          <w:rFonts w:ascii="Times New Roman" w:hAnsi="Times New Roman" w:cs="Times New Roman"/>
        </w:rPr>
        <w:t>over another.</w:t>
      </w:r>
    </w:p>
    <w:p w:rsidR="0077614E" w:rsidRPr="00A561A5" w:rsidP="0006181A">
      <w:pPr>
        <w:spacing w:line="480" w:lineRule="auto"/>
        <w:ind w:left="720"/>
        <w:rPr>
          <w:rFonts w:ascii="Times New Roman" w:hAnsi="Times New Roman" w:cs="Times New Roman"/>
        </w:rPr>
      </w:pPr>
      <w:r w:rsidRPr="00A561A5">
        <w:rPr>
          <w:rFonts w:ascii="Times New Roman" w:hAnsi="Times New Roman" w:cs="Times New Roman"/>
        </w:rPr>
        <w:t>The</w:t>
      </w:r>
      <w:r w:rsidRPr="00A561A5" w:rsidR="00973783">
        <w:rPr>
          <w:rFonts w:ascii="Times New Roman" w:hAnsi="Times New Roman" w:cs="Times New Roman"/>
        </w:rPr>
        <w:t xml:space="preserve"> Settlement assigns b</w:t>
      </w:r>
      <w:r w:rsidRPr="00A561A5">
        <w:rPr>
          <w:rFonts w:ascii="Times New Roman" w:hAnsi="Times New Roman" w:cs="Times New Roman"/>
        </w:rPr>
        <w:t xml:space="preserve">enefits to three </w:t>
      </w:r>
      <w:r w:rsidRPr="00A561A5" w:rsidR="00D0246D">
        <w:rPr>
          <w:rFonts w:ascii="Times New Roman" w:hAnsi="Times New Roman" w:cs="Times New Roman"/>
        </w:rPr>
        <w:t xml:space="preserve">larger </w:t>
      </w:r>
      <w:r w:rsidRPr="00A561A5">
        <w:rPr>
          <w:rFonts w:ascii="Times New Roman" w:hAnsi="Times New Roman" w:cs="Times New Roman"/>
        </w:rPr>
        <w:t xml:space="preserve">business </w:t>
      </w:r>
      <w:r w:rsidRPr="00A561A5" w:rsidR="00F4651B">
        <w:rPr>
          <w:rFonts w:ascii="Times New Roman" w:hAnsi="Times New Roman" w:cs="Times New Roman"/>
        </w:rPr>
        <w:t xml:space="preserve">trade </w:t>
      </w:r>
      <w:r w:rsidRPr="00A561A5">
        <w:rPr>
          <w:rFonts w:ascii="Times New Roman" w:hAnsi="Times New Roman" w:cs="Times New Roman"/>
        </w:rPr>
        <w:t>organizations</w:t>
      </w:r>
      <w:r w:rsidRPr="00A561A5" w:rsidR="00D0246D">
        <w:rPr>
          <w:rFonts w:ascii="Times New Roman" w:hAnsi="Times New Roman" w:cs="Times New Roman"/>
        </w:rPr>
        <w:t>.</w:t>
      </w:r>
      <w:r>
        <w:rPr>
          <w:rStyle w:val="FootnoteReference"/>
          <w:rFonts w:ascii="Times New Roman" w:hAnsi="Times New Roman" w:cs="Times New Roman"/>
        </w:rPr>
        <w:footnoteReference w:id="13"/>
      </w:r>
      <w:r w:rsidRPr="00A561A5" w:rsidR="00D0246D">
        <w:rPr>
          <w:rFonts w:ascii="Times New Roman" w:hAnsi="Times New Roman" w:cs="Times New Roman"/>
        </w:rPr>
        <w:t xml:space="preserve"> </w:t>
      </w:r>
      <w:r w:rsidRPr="00A561A5">
        <w:rPr>
          <w:rFonts w:ascii="Times New Roman" w:hAnsi="Times New Roman" w:cs="Times New Roman"/>
        </w:rPr>
        <w:t xml:space="preserve"> </w:t>
      </w:r>
      <w:r w:rsidRPr="00A561A5" w:rsidR="00A825B0">
        <w:rPr>
          <w:rFonts w:ascii="Times New Roman" w:hAnsi="Times New Roman" w:cs="Times New Roman"/>
        </w:rPr>
        <w:t xml:space="preserve">The benefits </w:t>
      </w:r>
      <w:r w:rsidRPr="00A561A5">
        <w:rPr>
          <w:rFonts w:ascii="Times New Roman" w:hAnsi="Times New Roman" w:cs="Times New Roman"/>
        </w:rPr>
        <w:t xml:space="preserve">are restricted to their members. </w:t>
      </w:r>
      <w:r w:rsidRPr="00A561A5" w:rsidR="00360BC8">
        <w:rPr>
          <w:rFonts w:ascii="Times New Roman" w:hAnsi="Times New Roman" w:cs="Times New Roman"/>
        </w:rPr>
        <w:t xml:space="preserve">Having </w:t>
      </w:r>
      <w:r w:rsidRPr="00A561A5" w:rsidR="00CD33C8">
        <w:rPr>
          <w:rFonts w:ascii="Times New Roman" w:hAnsi="Times New Roman" w:cs="Times New Roman"/>
        </w:rPr>
        <w:t>the state of Ohio’s</w:t>
      </w:r>
      <w:r w:rsidRPr="00A561A5" w:rsidR="00360BC8">
        <w:rPr>
          <w:rFonts w:ascii="Times New Roman" w:hAnsi="Times New Roman" w:cs="Times New Roman"/>
        </w:rPr>
        <w:t xml:space="preserve"> regulatory body</w:t>
      </w:r>
      <w:r w:rsidRPr="00A561A5" w:rsidR="00CD33C8">
        <w:rPr>
          <w:rFonts w:ascii="Times New Roman" w:hAnsi="Times New Roman" w:cs="Times New Roman"/>
        </w:rPr>
        <w:t xml:space="preserve"> (the PUCO)</w:t>
      </w:r>
      <w:r w:rsidRPr="00A561A5" w:rsidR="00360BC8">
        <w:rPr>
          <w:rFonts w:ascii="Times New Roman" w:hAnsi="Times New Roman" w:cs="Times New Roman"/>
        </w:rPr>
        <w:t xml:space="preserve"> create</w:t>
      </w:r>
      <w:r w:rsidRPr="00A561A5" w:rsidR="00CD33C8">
        <w:rPr>
          <w:rFonts w:ascii="Times New Roman" w:hAnsi="Times New Roman" w:cs="Times New Roman"/>
        </w:rPr>
        <w:t xml:space="preserve"> </w:t>
      </w:r>
      <w:r w:rsidRPr="00A561A5" w:rsidR="00360BC8">
        <w:rPr>
          <w:rFonts w:ascii="Times New Roman" w:hAnsi="Times New Roman" w:cs="Times New Roman"/>
        </w:rPr>
        <w:t>discriminating revenue-generating opportunities</w:t>
      </w:r>
      <w:r w:rsidRPr="00A561A5" w:rsidR="00973783">
        <w:rPr>
          <w:rFonts w:ascii="Times New Roman" w:hAnsi="Times New Roman" w:cs="Times New Roman"/>
        </w:rPr>
        <w:t xml:space="preserve"> is</w:t>
      </w:r>
      <w:r w:rsidRPr="00A561A5" w:rsidR="00360BC8">
        <w:rPr>
          <w:rFonts w:ascii="Times New Roman" w:hAnsi="Times New Roman" w:cs="Times New Roman"/>
        </w:rPr>
        <w:t xml:space="preserve"> </w:t>
      </w:r>
      <w:r w:rsidRPr="00A561A5" w:rsidR="00DC4D27">
        <w:rPr>
          <w:rFonts w:ascii="Times New Roman" w:hAnsi="Times New Roman" w:cs="Times New Roman"/>
        </w:rPr>
        <w:t xml:space="preserve">bad </w:t>
      </w:r>
      <w:r w:rsidRPr="00A561A5" w:rsidR="00360BC8">
        <w:rPr>
          <w:rFonts w:ascii="Times New Roman" w:hAnsi="Times New Roman" w:cs="Times New Roman"/>
        </w:rPr>
        <w:t>public policy.</w:t>
      </w:r>
    </w:p>
    <w:p w:rsidR="0006181A" w:rsidRPr="00A561A5" w:rsidP="0006181A">
      <w:pPr>
        <w:spacing w:after="120" w:line="480" w:lineRule="auto"/>
        <w:ind w:left="720"/>
        <w:rPr>
          <w:rFonts w:ascii="Times New Roman" w:hAnsi="Times New Roman" w:cs="Times New Roman"/>
        </w:rPr>
      </w:pPr>
    </w:p>
    <w:p w:rsidR="00BB247E" w:rsidRPr="00A561A5" w:rsidP="0006181A">
      <w:pPr>
        <w:pStyle w:val="Heading1"/>
        <w:numPr>
          <w:ilvl w:val="0"/>
          <w:numId w:val="11"/>
        </w:numPr>
        <w:ind w:left="720"/>
        <w:rPr>
          <w:rFonts w:ascii="Times New Roman" w:hAnsi="Times New Roman" w:cs="Times New Roman"/>
          <w:szCs w:val="24"/>
        </w:rPr>
      </w:pPr>
      <w:bookmarkStart w:id="5" w:name="_Toc59115787"/>
      <w:r w:rsidRPr="00A561A5">
        <w:rPr>
          <w:rFonts w:ascii="Times New Roman" w:hAnsi="Times New Roman" w:cs="Times New Roman"/>
          <w:szCs w:val="24"/>
        </w:rPr>
        <w:t>EVIDENCE</w:t>
      </w:r>
      <w:r w:rsidRPr="00A561A5" w:rsidR="007B7147">
        <w:rPr>
          <w:rFonts w:ascii="Times New Roman" w:hAnsi="Times New Roman" w:cs="Times New Roman"/>
          <w:szCs w:val="24"/>
        </w:rPr>
        <w:t xml:space="preserve"> OF THE EXISTENCE OF REDI</w:t>
      </w:r>
      <w:r w:rsidRPr="00A561A5" w:rsidR="00895845">
        <w:rPr>
          <w:rFonts w:ascii="Times New Roman" w:hAnsi="Times New Roman" w:cs="Times New Roman"/>
          <w:szCs w:val="24"/>
        </w:rPr>
        <w:t>S</w:t>
      </w:r>
      <w:r w:rsidRPr="00A561A5" w:rsidR="007B7147">
        <w:rPr>
          <w:rFonts w:ascii="Times New Roman" w:hAnsi="Times New Roman" w:cs="Times New Roman"/>
          <w:szCs w:val="24"/>
        </w:rPr>
        <w:t>T</w:t>
      </w:r>
      <w:r w:rsidRPr="00A561A5" w:rsidR="00895845">
        <w:rPr>
          <w:rFonts w:ascii="Times New Roman" w:hAnsi="Times New Roman" w:cs="Times New Roman"/>
          <w:szCs w:val="24"/>
        </w:rPr>
        <w:t>R</w:t>
      </w:r>
      <w:r w:rsidRPr="00A561A5" w:rsidR="007B7147">
        <w:rPr>
          <w:rFonts w:ascii="Times New Roman" w:hAnsi="Times New Roman" w:cs="Times New Roman"/>
          <w:szCs w:val="24"/>
        </w:rPr>
        <w:t>IBUTIVE COALITIONS</w:t>
      </w:r>
      <w:bookmarkEnd w:id="5"/>
    </w:p>
    <w:p w:rsidR="0006181A" w:rsidRPr="00A561A5" w:rsidP="0006181A">
      <w:pPr>
        <w:spacing w:line="480" w:lineRule="auto"/>
        <w:rPr>
          <w:rFonts w:ascii="Times New Roman" w:hAnsi="Times New Roman" w:cs="Times New Roman"/>
        </w:rPr>
      </w:pPr>
    </w:p>
    <w:p w:rsidR="007B7147" w:rsidRPr="00A561A5" w:rsidP="0006181A">
      <w:pPr>
        <w:spacing w:line="480" w:lineRule="auto"/>
        <w:ind w:left="720" w:hanging="720"/>
        <w:rPr>
          <w:rFonts w:ascii="Times New Roman" w:hAnsi="Times New Roman" w:cs="Times New Roman"/>
          <w:b/>
          <w:bCs/>
          <w:i/>
          <w:iCs/>
        </w:rPr>
      </w:pPr>
      <w:r w:rsidRPr="00A561A5">
        <w:rPr>
          <w:rFonts w:ascii="Times New Roman" w:hAnsi="Times New Roman" w:cs="Times New Roman"/>
          <w:b/>
          <w:bCs/>
          <w:i/>
          <w:iCs/>
        </w:rPr>
        <w:t xml:space="preserve">Q13. </w:t>
      </w:r>
      <w:r w:rsidRPr="00A561A5">
        <w:rPr>
          <w:rFonts w:ascii="Times New Roman" w:hAnsi="Times New Roman" w:cs="Times New Roman"/>
          <w:b/>
          <w:bCs/>
          <w:i/>
          <w:iCs/>
        </w:rPr>
        <w:tab/>
        <w:t>IS THE REDISTRIBUTIVE COALITION LIMITED TO JUST THIS CASE INVOLVING DP&amp;L</w:t>
      </w:r>
      <w:r w:rsidRPr="00A561A5" w:rsidR="00C3406B">
        <w:rPr>
          <w:rFonts w:ascii="Times New Roman" w:hAnsi="Times New Roman" w:cs="Times New Roman"/>
          <w:b/>
          <w:bCs/>
          <w:i/>
          <w:iCs/>
        </w:rPr>
        <w:t xml:space="preserve"> AND ITS SETTLEMENT</w:t>
      </w:r>
      <w:r w:rsidRPr="00A561A5">
        <w:rPr>
          <w:rFonts w:ascii="Times New Roman" w:hAnsi="Times New Roman" w:cs="Times New Roman"/>
          <w:b/>
          <w:bCs/>
          <w:i/>
          <w:iCs/>
        </w:rPr>
        <w:t>?</w:t>
      </w:r>
    </w:p>
    <w:p w:rsidR="00884986" w:rsidRPr="00A561A5" w:rsidP="0006181A">
      <w:pPr>
        <w:spacing w:line="480" w:lineRule="auto"/>
        <w:ind w:left="720" w:hanging="720"/>
        <w:rPr>
          <w:rFonts w:ascii="Times New Roman" w:hAnsi="Times New Roman" w:cs="Times New Roman"/>
        </w:rPr>
      </w:pPr>
      <w:r w:rsidRPr="00A561A5">
        <w:rPr>
          <w:rFonts w:ascii="Times New Roman" w:hAnsi="Times New Roman" w:cs="Times New Roman"/>
          <w:b/>
          <w:bCs/>
          <w:i/>
          <w:iCs/>
        </w:rPr>
        <w:t>A</w:t>
      </w:r>
      <w:r w:rsidRPr="00A561A5" w:rsidR="0006181A">
        <w:rPr>
          <w:rFonts w:ascii="Times New Roman" w:hAnsi="Times New Roman" w:cs="Times New Roman"/>
          <w:b/>
          <w:bCs/>
          <w:i/>
          <w:iCs/>
        </w:rPr>
        <w:t>13.</w:t>
      </w:r>
      <w:r w:rsidRPr="00A561A5">
        <w:rPr>
          <w:rFonts w:ascii="Times New Roman" w:hAnsi="Times New Roman" w:cs="Times New Roman"/>
        </w:rPr>
        <w:t xml:space="preserve"> </w:t>
      </w:r>
      <w:r w:rsidRPr="00A561A5" w:rsidR="0006181A">
        <w:rPr>
          <w:rFonts w:ascii="Times New Roman" w:hAnsi="Times New Roman" w:cs="Times New Roman"/>
        </w:rPr>
        <w:tab/>
      </w:r>
      <w:r w:rsidRPr="00A561A5" w:rsidR="00E76C47">
        <w:rPr>
          <w:rFonts w:ascii="Times New Roman" w:hAnsi="Times New Roman" w:cs="Times New Roman"/>
        </w:rPr>
        <w:t>Far from it</w:t>
      </w:r>
      <w:r w:rsidRPr="00A561A5" w:rsidR="00895845">
        <w:rPr>
          <w:rFonts w:ascii="Times New Roman" w:hAnsi="Times New Roman" w:cs="Times New Roman"/>
        </w:rPr>
        <w:t xml:space="preserve">. </w:t>
      </w:r>
      <w:r w:rsidRPr="00A561A5" w:rsidR="00E76C47">
        <w:rPr>
          <w:rFonts w:ascii="Times New Roman" w:hAnsi="Times New Roman" w:cs="Times New Roman"/>
        </w:rPr>
        <w:t xml:space="preserve">In just the past few years, I have personally witnessed the consistent creation of these types of coalitions in PUCO proceedings. </w:t>
      </w:r>
      <w:r w:rsidRPr="00A561A5">
        <w:rPr>
          <w:rFonts w:ascii="Times New Roman" w:hAnsi="Times New Roman" w:cs="Times New Roman"/>
        </w:rPr>
        <w:t xml:space="preserve">I provided testimony </w:t>
      </w:r>
      <w:r w:rsidRPr="00A561A5" w:rsidR="00E76C47">
        <w:rPr>
          <w:rFonts w:ascii="Times New Roman" w:hAnsi="Times New Roman" w:cs="Times New Roman"/>
        </w:rPr>
        <w:t xml:space="preserve">against FirstEnergy’s </w:t>
      </w:r>
      <w:r w:rsidRPr="00A561A5" w:rsidR="00EE718C">
        <w:rPr>
          <w:rFonts w:ascii="Times New Roman" w:hAnsi="Times New Roman" w:cs="Times New Roman"/>
        </w:rPr>
        <w:t xml:space="preserve">request for nuclear power plant subsidies </w:t>
      </w:r>
      <w:r w:rsidRPr="00A561A5">
        <w:rPr>
          <w:rFonts w:ascii="Times New Roman" w:hAnsi="Times New Roman" w:cs="Times New Roman"/>
        </w:rPr>
        <w:t xml:space="preserve">in 2014 as part of its </w:t>
      </w:r>
      <w:r w:rsidRPr="00A561A5" w:rsidR="00EE718C">
        <w:rPr>
          <w:rFonts w:ascii="Times New Roman" w:hAnsi="Times New Roman" w:cs="Times New Roman"/>
        </w:rPr>
        <w:t>ESP case</w:t>
      </w:r>
      <w:r w:rsidRPr="00A561A5">
        <w:rPr>
          <w:rFonts w:ascii="Times New Roman" w:hAnsi="Times New Roman" w:cs="Times New Roman"/>
        </w:rPr>
        <w:t>.</w:t>
      </w:r>
      <w:r w:rsidRPr="00A561A5" w:rsidR="008C57A3">
        <w:rPr>
          <w:rFonts w:ascii="Times New Roman" w:hAnsi="Times New Roman" w:cs="Times New Roman"/>
        </w:rPr>
        <w:t xml:space="preserve">  That was the case where I first saw these coalitions being built</w:t>
      </w:r>
      <w:r w:rsidRPr="00A561A5" w:rsidR="00EE718C">
        <w:rPr>
          <w:rFonts w:ascii="Times New Roman" w:hAnsi="Times New Roman" w:cs="Times New Roman"/>
        </w:rPr>
        <w:t xml:space="preserve"> (though I understand that the process of utilities securing similar settlements among a similar group of parties long predates that</w:t>
      </w:r>
      <w:r w:rsidRPr="00A561A5" w:rsidR="00CA366A">
        <w:rPr>
          <w:rFonts w:ascii="Times New Roman" w:hAnsi="Times New Roman" w:cs="Times New Roman"/>
        </w:rPr>
        <w:t xml:space="preserve"> case</w:t>
      </w:r>
      <w:r w:rsidRPr="00A561A5" w:rsidR="00EE718C">
        <w:rPr>
          <w:rFonts w:ascii="Times New Roman" w:hAnsi="Times New Roman" w:cs="Times New Roman"/>
        </w:rPr>
        <w:t>)</w:t>
      </w:r>
      <w:r w:rsidRPr="00A561A5" w:rsidR="008C57A3">
        <w:rPr>
          <w:rFonts w:ascii="Times New Roman" w:hAnsi="Times New Roman" w:cs="Times New Roman"/>
        </w:rPr>
        <w:t xml:space="preserve">. The pattern reoccurred as the PUCO considered the Electric Security Plans of </w:t>
      </w:r>
      <w:r w:rsidRPr="00A561A5" w:rsidR="00EE718C">
        <w:rPr>
          <w:rFonts w:ascii="Times New Roman" w:hAnsi="Times New Roman" w:cs="Times New Roman"/>
        </w:rPr>
        <w:t>AEP Ohio and DP&amp;L</w:t>
      </w:r>
      <w:r w:rsidRPr="00A561A5" w:rsidR="008C57A3">
        <w:rPr>
          <w:rFonts w:ascii="Times New Roman" w:hAnsi="Times New Roman" w:cs="Times New Roman"/>
        </w:rPr>
        <w:t>.</w:t>
      </w:r>
    </w:p>
    <w:p w:rsidR="002273EC" w:rsidRPr="00A561A5" w:rsidP="001642E5">
      <w:pPr>
        <w:spacing w:line="480" w:lineRule="auto"/>
        <w:rPr>
          <w:rFonts w:ascii="Times New Roman" w:hAnsi="Times New Roman" w:cs="Times New Roman"/>
          <w:b/>
          <w:bCs/>
        </w:rPr>
      </w:pPr>
    </w:p>
    <w:p w:rsidR="005325E2" w:rsidRPr="00A561A5" w:rsidP="0006181A">
      <w:pPr>
        <w:spacing w:line="480" w:lineRule="auto"/>
        <w:ind w:left="720" w:hanging="720"/>
        <w:rPr>
          <w:rFonts w:ascii="Times New Roman" w:hAnsi="Times New Roman" w:cs="Times New Roman"/>
          <w:i/>
          <w:iCs/>
        </w:rPr>
      </w:pPr>
      <w:r w:rsidRPr="00A561A5">
        <w:rPr>
          <w:rFonts w:ascii="Times New Roman" w:hAnsi="Times New Roman" w:cs="Times New Roman"/>
          <w:b/>
          <w:bCs/>
          <w:i/>
          <w:iCs/>
        </w:rPr>
        <w:t xml:space="preserve">Q14. </w:t>
      </w:r>
      <w:r w:rsidRPr="00A561A5">
        <w:rPr>
          <w:rFonts w:ascii="Times New Roman" w:hAnsi="Times New Roman" w:cs="Times New Roman"/>
          <w:b/>
          <w:bCs/>
          <w:i/>
          <w:iCs/>
        </w:rPr>
        <w:tab/>
        <w:t>IS THE REDISTRIBUTIVE COALITION THE SAME IN EACH PUCO PROCEEDING?</w:t>
      </w:r>
    </w:p>
    <w:p w:rsidR="005325E2" w:rsidRPr="00A561A5" w:rsidP="0006181A">
      <w:pPr>
        <w:spacing w:after="120" w:line="480" w:lineRule="auto"/>
        <w:ind w:left="720" w:hanging="720"/>
        <w:rPr>
          <w:rFonts w:ascii="Times New Roman" w:hAnsi="Times New Roman" w:cs="Times New Roman"/>
        </w:rPr>
      </w:pPr>
      <w:r w:rsidRPr="00A561A5">
        <w:rPr>
          <w:rFonts w:ascii="Times New Roman" w:hAnsi="Times New Roman" w:cs="Times New Roman"/>
          <w:b/>
          <w:bCs/>
          <w:i/>
          <w:iCs/>
        </w:rPr>
        <w:t>A</w:t>
      </w:r>
      <w:r w:rsidRPr="00A561A5" w:rsidR="0006181A">
        <w:rPr>
          <w:rFonts w:ascii="Times New Roman" w:hAnsi="Times New Roman" w:cs="Times New Roman"/>
          <w:b/>
          <w:bCs/>
          <w:i/>
          <w:iCs/>
        </w:rPr>
        <w:t>14.</w:t>
      </w:r>
      <w:r w:rsidRPr="00A561A5">
        <w:rPr>
          <w:rFonts w:ascii="Times New Roman" w:hAnsi="Times New Roman" w:cs="Times New Roman"/>
        </w:rPr>
        <w:t xml:space="preserve"> </w:t>
      </w:r>
      <w:r w:rsidRPr="00A561A5" w:rsidR="0006181A">
        <w:rPr>
          <w:rFonts w:ascii="Times New Roman" w:hAnsi="Times New Roman" w:cs="Times New Roman"/>
        </w:rPr>
        <w:tab/>
      </w:r>
      <w:r w:rsidRPr="00A561A5" w:rsidR="00666D14">
        <w:rPr>
          <w:rFonts w:ascii="Times New Roman" w:hAnsi="Times New Roman" w:cs="Times New Roman"/>
        </w:rPr>
        <w:t xml:space="preserve">Although not literally identical in each PUCO case, there is a core group of parties that consistently participate in PUCO </w:t>
      </w:r>
      <w:r w:rsidRPr="00A561A5" w:rsidR="000E668D">
        <w:rPr>
          <w:rFonts w:ascii="Times New Roman" w:hAnsi="Times New Roman" w:cs="Times New Roman"/>
        </w:rPr>
        <w:t xml:space="preserve">electric </w:t>
      </w:r>
      <w:r w:rsidRPr="00A561A5" w:rsidR="00666D14">
        <w:rPr>
          <w:rFonts w:ascii="Times New Roman" w:hAnsi="Times New Roman" w:cs="Times New Roman"/>
        </w:rPr>
        <w:t>proceedings, especially larger proceedings where more money is available for redistribution</w:t>
      </w:r>
      <w:r w:rsidRPr="00A561A5" w:rsidR="00731B27">
        <w:rPr>
          <w:rFonts w:ascii="Times New Roman" w:hAnsi="Times New Roman" w:cs="Times New Roman"/>
        </w:rPr>
        <w:t xml:space="preserve">. </w:t>
      </w:r>
      <w:r w:rsidRPr="00A561A5">
        <w:rPr>
          <w:rFonts w:ascii="Times New Roman" w:hAnsi="Times New Roman" w:cs="Times New Roman"/>
        </w:rPr>
        <w:t xml:space="preserve">There </w:t>
      </w:r>
      <w:r w:rsidRPr="00A561A5" w:rsidR="00666D14">
        <w:rPr>
          <w:rFonts w:ascii="Times New Roman" w:hAnsi="Times New Roman" w:cs="Times New Roman"/>
        </w:rPr>
        <w:t xml:space="preserve">are </w:t>
      </w:r>
      <w:r w:rsidRPr="00A561A5">
        <w:rPr>
          <w:rFonts w:ascii="Times New Roman" w:hAnsi="Times New Roman" w:cs="Times New Roman"/>
        </w:rPr>
        <w:t>similarities in the types of organizations that signed on in support of each ESP</w:t>
      </w:r>
      <w:r w:rsidRPr="00A561A5" w:rsidR="00A36D8C">
        <w:rPr>
          <w:rFonts w:ascii="Times New Roman" w:hAnsi="Times New Roman" w:cs="Times New Roman"/>
        </w:rPr>
        <w:t>, and many of those same parties are represented here as signatories to the Settlement</w:t>
      </w:r>
      <w:r w:rsidRPr="00A561A5" w:rsidR="00293309">
        <w:rPr>
          <w:rFonts w:ascii="Times New Roman" w:hAnsi="Times New Roman" w:cs="Times New Roman"/>
        </w:rPr>
        <w:t>.</w:t>
      </w:r>
    </w:p>
    <w:p w:rsidR="00A561A5" w:rsidRPr="00A561A5" w:rsidP="0006181A">
      <w:pPr>
        <w:spacing w:after="120" w:line="480" w:lineRule="auto"/>
        <w:ind w:left="720" w:hanging="720"/>
        <w:rPr>
          <w:rFonts w:ascii="Times New Roman" w:hAnsi="Times New Roman" w:cs="Times New Roman"/>
        </w:rPr>
      </w:pPr>
    </w:p>
    <w:p w:rsidR="00C7214C" w:rsidRPr="00A561A5" w:rsidP="0006181A">
      <w:pPr>
        <w:spacing w:line="480" w:lineRule="auto"/>
        <w:ind w:left="720"/>
        <w:rPr>
          <w:rFonts w:ascii="Times New Roman" w:hAnsi="Times New Roman" w:cs="Times New Roman"/>
        </w:rPr>
      </w:pPr>
      <w:r w:rsidRPr="00A561A5">
        <w:rPr>
          <w:rFonts w:ascii="Times New Roman" w:hAnsi="Times New Roman" w:cs="Times New Roman"/>
        </w:rPr>
        <w:t xml:space="preserve">In sum, the signatory parties predominantly represent </w:t>
      </w:r>
      <w:r w:rsidRPr="00A561A5" w:rsidR="00731B27">
        <w:rPr>
          <w:rFonts w:ascii="Times New Roman" w:hAnsi="Times New Roman" w:cs="Times New Roman"/>
        </w:rPr>
        <w:t xml:space="preserve">either </w:t>
      </w:r>
      <w:r w:rsidRPr="00A561A5">
        <w:rPr>
          <w:rFonts w:ascii="Times New Roman" w:hAnsi="Times New Roman" w:cs="Times New Roman"/>
        </w:rPr>
        <w:t xml:space="preserve">their own interests and not those of </w:t>
      </w:r>
      <w:r w:rsidRPr="00A561A5" w:rsidR="008A2D8D">
        <w:rPr>
          <w:rFonts w:ascii="Times New Roman" w:hAnsi="Times New Roman" w:cs="Times New Roman"/>
        </w:rPr>
        <w:t xml:space="preserve">customers </w:t>
      </w:r>
      <w:r w:rsidRPr="00A561A5">
        <w:rPr>
          <w:rFonts w:ascii="Times New Roman" w:hAnsi="Times New Roman" w:cs="Times New Roman"/>
        </w:rPr>
        <w:t>in general</w:t>
      </w:r>
      <w:r w:rsidRPr="00A561A5" w:rsidR="00EF1C2E">
        <w:rPr>
          <w:rFonts w:ascii="Times New Roman" w:hAnsi="Times New Roman" w:cs="Times New Roman"/>
        </w:rPr>
        <w:t xml:space="preserve"> or</w:t>
      </w:r>
      <w:r w:rsidRPr="00A561A5" w:rsidR="00731B27">
        <w:rPr>
          <w:rFonts w:ascii="Times New Roman" w:hAnsi="Times New Roman" w:cs="Times New Roman"/>
        </w:rPr>
        <w:t xml:space="preserve">, if it is a business trade association, </w:t>
      </w:r>
      <w:r w:rsidRPr="00A561A5" w:rsidR="00EF1C2E">
        <w:rPr>
          <w:rFonts w:ascii="Times New Roman" w:hAnsi="Times New Roman" w:cs="Times New Roman"/>
        </w:rPr>
        <w:t xml:space="preserve">its membership. </w:t>
      </w:r>
      <w:r w:rsidRPr="00A561A5" w:rsidR="008A2D8D">
        <w:rPr>
          <w:rFonts w:ascii="Times New Roman" w:hAnsi="Times New Roman" w:cs="Times New Roman"/>
        </w:rPr>
        <w:t xml:space="preserve">They are not working for the benefit of similar parties. </w:t>
      </w:r>
      <w:r w:rsidRPr="00A561A5" w:rsidR="00DC49AD">
        <w:rPr>
          <w:rFonts w:ascii="Times New Roman" w:hAnsi="Times New Roman" w:cs="Times New Roman"/>
        </w:rPr>
        <w:t>DP&amp;L’s Settlement</w:t>
      </w:r>
      <w:r w:rsidRPr="00A561A5" w:rsidR="007E5604">
        <w:rPr>
          <w:rFonts w:ascii="Times New Roman" w:hAnsi="Times New Roman" w:cs="Times New Roman"/>
        </w:rPr>
        <w:t xml:space="preserve"> term</w:t>
      </w:r>
      <w:r w:rsidRPr="00A561A5" w:rsidR="00DC49AD">
        <w:rPr>
          <w:rFonts w:ascii="Times New Roman" w:hAnsi="Times New Roman" w:cs="Times New Roman"/>
        </w:rPr>
        <w:t xml:space="preserve"> with the</w:t>
      </w:r>
      <w:r w:rsidRPr="00A561A5" w:rsidR="00662ED9">
        <w:rPr>
          <w:rFonts w:ascii="Times New Roman" w:hAnsi="Times New Roman" w:cs="Times New Roman"/>
        </w:rPr>
        <w:t xml:space="preserve"> supermarket</w:t>
      </w:r>
      <w:r w:rsidRPr="00A561A5" w:rsidR="008A2D8D">
        <w:rPr>
          <w:rFonts w:ascii="Times New Roman" w:hAnsi="Times New Roman" w:cs="Times New Roman"/>
        </w:rPr>
        <w:t xml:space="preserve"> d</w:t>
      </w:r>
      <w:r w:rsidRPr="00A561A5" w:rsidR="00DC49AD">
        <w:rPr>
          <w:rFonts w:ascii="Times New Roman" w:hAnsi="Times New Roman" w:cs="Times New Roman"/>
        </w:rPr>
        <w:t>oes</w:t>
      </w:r>
      <w:r w:rsidRPr="00A561A5" w:rsidR="00500D2D">
        <w:rPr>
          <w:rFonts w:ascii="Times New Roman" w:hAnsi="Times New Roman" w:cs="Times New Roman"/>
        </w:rPr>
        <w:t xml:space="preserve"> not </w:t>
      </w:r>
      <w:r w:rsidRPr="00A561A5" w:rsidR="00DC49AD">
        <w:rPr>
          <w:rFonts w:ascii="Times New Roman" w:hAnsi="Times New Roman" w:cs="Times New Roman"/>
        </w:rPr>
        <w:t xml:space="preserve">provide </w:t>
      </w:r>
      <w:r w:rsidRPr="00A561A5" w:rsidR="00500D2D">
        <w:rPr>
          <w:rFonts w:ascii="Times New Roman" w:hAnsi="Times New Roman" w:cs="Times New Roman"/>
        </w:rPr>
        <w:t xml:space="preserve">benefits for all grocery stores. </w:t>
      </w:r>
      <w:r w:rsidRPr="00A561A5" w:rsidR="00DC49AD">
        <w:rPr>
          <w:rFonts w:ascii="Times New Roman" w:hAnsi="Times New Roman" w:cs="Times New Roman"/>
        </w:rPr>
        <w:t>The Settlement</w:t>
      </w:r>
      <w:r w:rsidRPr="00A561A5" w:rsidR="007E5604">
        <w:rPr>
          <w:rFonts w:ascii="Times New Roman" w:hAnsi="Times New Roman" w:cs="Times New Roman"/>
        </w:rPr>
        <w:t xml:space="preserve"> term</w:t>
      </w:r>
      <w:r w:rsidRPr="00A561A5" w:rsidR="00DC49AD">
        <w:rPr>
          <w:rFonts w:ascii="Times New Roman" w:hAnsi="Times New Roman" w:cs="Times New Roman"/>
        </w:rPr>
        <w:t xml:space="preserve"> with t</w:t>
      </w:r>
      <w:r w:rsidRPr="00A561A5" w:rsidR="00662ED9">
        <w:rPr>
          <w:rFonts w:ascii="Times New Roman" w:hAnsi="Times New Roman" w:cs="Times New Roman"/>
        </w:rPr>
        <w:t>he business groups</w:t>
      </w:r>
      <w:r w:rsidRPr="00A561A5" w:rsidR="00500D2D">
        <w:rPr>
          <w:rFonts w:ascii="Times New Roman" w:hAnsi="Times New Roman" w:cs="Times New Roman"/>
        </w:rPr>
        <w:t xml:space="preserve"> d</w:t>
      </w:r>
      <w:r w:rsidRPr="00A561A5" w:rsidR="00DC49AD">
        <w:rPr>
          <w:rFonts w:ascii="Times New Roman" w:hAnsi="Times New Roman" w:cs="Times New Roman"/>
        </w:rPr>
        <w:t>oes</w:t>
      </w:r>
      <w:r w:rsidRPr="00A561A5" w:rsidR="00500D2D">
        <w:rPr>
          <w:rFonts w:ascii="Times New Roman" w:hAnsi="Times New Roman" w:cs="Times New Roman"/>
        </w:rPr>
        <w:t xml:space="preserve"> not </w:t>
      </w:r>
      <w:r w:rsidRPr="00A561A5" w:rsidR="00DC49AD">
        <w:rPr>
          <w:rFonts w:ascii="Times New Roman" w:hAnsi="Times New Roman" w:cs="Times New Roman"/>
        </w:rPr>
        <w:t xml:space="preserve">provide </w:t>
      </w:r>
      <w:r w:rsidRPr="00A561A5" w:rsidR="00500D2D">
        <w:rPr>
          <w:rFonts w:ascii="Times New Roman" w:hAnsi="Times New Roman" w:cs="Times New Roman"/>
        </w:rPr>
        <w:t xml:space="preserve">benefits for all </w:t>
      </w:r>
      <w:r w:rsidRPr="00A561A5" w:rsidR="0011400E">
        <w:rPr>
          <w:rFonts w:ascii="Times New Roman" w:hAnsi="Times New Roman" w:cs="Times New Roman"/>
        </w:rPr>
        <w:t>businesses</w:t>
      </w:r>
      <w:r w:rsidRPr="00A561A5" w:rsidR="00500D2D">
        <w:rPr>
          <w:rFonts w:ascii="Times New Roman" w:hAnsi="Times New Roman" w:cs="Times New Roman"/>
        </w:rPr>
        <w:t xml:space="preserve"> in Ohio. </w:t>
      </w:r>
      <w:r w:rsidRPr="00A561A5" w:rsidR="00DC49AD">
        <w:rPr>
          <w:rFonts w:ascii="Times New Roman" w:hAnsi="Times New Roman" w:cs="Times New Roman"/>
        </w:rPr>
        <w:t xml:space="preserve">The Settlement </w:t>
      </w:r>
      <w:r w:rsidRPr="00A561A5" w:rsidR="007E5604">
        <w:rPr>
          <w:rFonts w:ascii="Times New Roman" w:hAnsi="Times New Roman" w:cs="Times New Roman"/>
        </w:rPr>
        <w:t xml:space="preserve">term </w:t>
      </w:r>
      <w:r w:rsidRPr="00A561A5" w:rsidR="00DC49AD">
        <w:rPr>
          <w:rFonts w:ascii="Times New Roman" w:hAnsi="Times New Roman" w:cs="Times New Roman"/>
        </w:rPr>
        <w:t>with t</w:t>
      </w:r>
      <w:r w:rsidRPr="00A561A5" w:rsidR="0011400E">
        <w:rPr>
          <w:rFonts w:ascii="Times New Roman" w:hAnsi="Times New Roman" w:cs="Times New Roman"/>
        </w:rPr>
        <w:t xml:space="preserve">he car manufacturer </w:t>
      </w:r>
      <w:r w:rsidRPr="00A561A5" w:rsidR="00500D2D">
        <w:rPr>
          <w:rFonts w:ascii="Times New Roman" w:hAnsi="Times New Roman" w:cs="Times New Roman"/>
        </w:rPr>
        <w:t>d</w:t>
      </w:r>
      <w:r w:rsidRPr="00A561A5" w:rsidR="00DC49AD">
        <w:rPr>
          <w:rFonts w:ascii="Times New Roman" w:hAnsi="Times New Roman" w:cs="Times New Roman"/>
        </w:rPr>
        <w:t>oes</w:t>
      </w:r>
      <w:r w:rsidRPr="00A561A5" w:rsidR="00500D2D">
        <w:rPr>
          <w:rFonts w:ascii="Times New Roman" w:hAnsi="Times New Roman" w:cs="Times New Roman"/>
        </w:rPr>
        <w:t xml:space="preserve"> not </w:t>
      </w:r>
      <w:r w:rsidRPr="00A561A5" w:rsidR="00DC49AD">
        <w:rPr>
          <w:rFonts w:ascii="Times New Roman" w:hAnsi="Times New Roman" w:cs="Times New Roman"/>
        </w:rPr>
        <w:t xml:space="preserve">provide </w:t>
      </w:r>
      <w:r w:rsidRPr="00A561A5" w:rsidR="00500D2D">
        <w:rPr>
          <w:rFonts w:ascii="Times New Roman" w:hAnsi="Times New Roman" w:cs="Times New Roman"/>
        </w:rPr>
        <w:t xml:space="preserve">for broad automaker benefits. </w:t>
      </w:r>
      <w:r w:rsidRPr="00A561A5" w:rsidR="00DC49AD">
        <w:rPr>
          <w:rFonts w:ascii="Times New Roman" w:hAnsi="Times New Roman" w:cs="Times New Roman"/>
        </w:rPr>
        <w:t xml:space="preserve">The Settlement </w:t>
      </w:r>
      <w:r w:rsidRPr="00A561A5" w:rsidR="007E5604">
        <w:rPr>
          <w:rFonts w:ascii="Times New Roman" w:hAnsi="Times New Roman" w:cs="Times New Roman"/>
        </w:rPr>
        <w:t xml:space="preserve">term </w:t>
      </w:r>
      <w:r w:rsidRPr="00A561A5" w:rsidR="00DC49AD">
        <w:rPr>
          <w:rFonts w:ascii="Times New Roman" w:hAnsi="Times New Roman" w:cs="Times New Roman"/>
        </w:rPr>
        <w:t>with t</w:t>
      </w:r>
      <w:r w:rsidRPr="00A561A5" w:rsidR="00500D2D">
        <w:rPr>
          <w:rFonts w:ascii="Times New Roman" w:hAnsi="Times New Roman" w:cs="Times New Roman"/>
        </w:rPr>
        <w:t xml:space="preserve">he </w:t>
      </w:r>
      <w:r w:rsidRPr="00A561A5" w:rsidR="006454AB">
        <w:rPr>
          <w:rFonts w:ascii="Times New Roman" w:hAnsi="Times New Roman" w:cs="Times New Roman"/>
        </w:rPr>
        <w:t>c</w:t>
      </w:r>
      <w:r w:rsidRPr="00A561A5" w:rsidR="00500D2D">
        <w:rPr>
          <w:rFonts w:ascii="Times New Roman" w:hAnsi="Times New Roman" w:cs="Times New Roman"/>
        </w:rPr>
        <w:t>ity d</w:t>
      </w:r>
      <w:r w:rsidRPr="00A561A5" w:rsidR="00DC49AD">
        <w:rPr>
          <w:rFonts w:ascii="Times New Roman" w:hAnsi="Times New Roman" w:cs="Times New Roman"/>
        </w:rPr>
        <w:t>oes</w:t>
      </w:r>
      <w:r w:rsidRPr="00A561A5" w:rsidR="00500D2D">
        <w:rPr>
          <w:rFonts w:ascii="Times New Roman" w:hAnsi="Times New Roman" w:cs="Times New Roman"/>
        </w:rPr>
        <w:t xml:space="preserve"> not </w:t>
      </w:r>
      <w:r w:rsidRPr="00A561A5" w:rsidR="00DC49AD">
        <w:rPr>
          <w:rFonts w:ascii="Times New Roman" w:hAnsi="Times New Roman" w:cs="Times New Roman"/>
        </w:rPr>
        <w:t xml:space="preserve">provide </w:t>
      </w:r>
      <w:r w:rsidRPr="00A561A5" w:rsidR="00500D2D">
        <w:rPr>
          <w:rFonts w:ascii="Times New Roman" w:hAnsi="Times New Roman" w:cs="Times New Roman"/>
        </w:rPr>
        <w:t>benefits for all municipalities within DP&amp;L’s service territory.</w:t>
      </w:r>
      <w:r w:rsidRPr="00A561A5" w:rsidR="00F05AD0">
        <w:rPr>
          <w:rFonts w:ascii="Times New Roman" w:hAnsi="Times New Roman" w:cs="Times New Roman"/>
        </w:rPr>
        <w:t xml:space="preserve">  The</w:t>
      </w:r>
      <w:r w:rsidRPr="00A561A5" w:rsidR="00DC49AD">
        <w:rPr>
          <w:rFonts w:ascii="Times New Roman" w:hAnsi="Times New Roman" w:cs="Times New Roman"/>
        </w:rPr>
        <w:t xml:space="preserve"> Settlement </w:t>
      </w:r>
      <w:r w:rsidRPr="00A561A5" w:rsidR="007E5604">
        <w:rPr>
          <w:rFonts w:ascii="Times New Roman" w:hAnsi="Times New Roman" w:cs="Times New Roman"/>
        </w:rPr>
        <w:t xml:space="preserve">term </w:t>
      </w:r>
      <w:r w:rsidRPr="00A561A5" w:rsidR="00DC49AD">
        <w:rPr>
          <w:rFonts w:ascii="Times New Roman" w:hAnsi="Times New Roman" w:cs="Times New Roman"/>
        </w:rPr>
        <w:t>with</w:t>
      </w:r>
      <w:r w:rsidRPr="00A561A5" w:rsidR="00F05AD0">
        <w:rPr>
          <w:rFonts w:ascii="Times New Roman" w:hAnsi="Times New Roman" w:cs="Times New Roman"/>
        </w:rPr>
        <w:t xml:space="preserve"> </w:t>
      </w:r>
      <w:r w:rsidRPr="00A561A5" w:rsidR="007E5604">
        <w:rPr>
          <w:rFonts w:ascii="Times New Roman" w:hAnsi="Times New Roman" w:cs="Times New Roman"/>
        </w:rPr>
        <w:t xml:space="preserve">the </w:t>
      </w:r>
      <w:r w:rsidRPr="00A561A5" w:rsidR="00F05AD0">
        <w:rPr>
          <w:rFonts w:ascii="Times New Roman" w:hAnsi="Times New Roman" w:cs="Times New Roman"/>
        </w:rPr>
        <w:t>marketer</w:t>
      </w:r>
      <w:r w:rsidRPr="00A561A5" w:rsidR="00500D2D">
        <w:rPr>
          <w:rFonts w:ascii="Times New Roman" w:hAnsi="Times New Roman" w:cs="Times New Roman"/>
        </w:rPr>
        <w:t xml:space="preserve"> d</w:t>
      </w:r>
      <w:r w:rsidRPr="00A561A5" w:rsidR="00DC49AD">
        <w:rPr>
          <w:rFonts w:ascii="Times New Roman" w:hAnsi="Times New Roman" w:cs="Times New Roman"/>
        </w:rPr>
        <w:t>oes</w:t>
      </w:r>
      <w:r w:rsidRPr="00A561A5" w:rsidR="00500D2D">
        <w:rPr>
          <w:rFonts w:ascii="Times New Roman" w:hAnsi="Times New Roman" w:cs="Times New Roman"/>
        </w:rPr>
        <w:t xml:space="preserve"> not </w:t>
      </w:r>
      <w:r w:rsidRPr="00A561A5" w:rsidR="00DC49AD">
        <w:rPr>
          <w:rFonts w:ascii="Times New Roman" w:hAnsi="Times New Roman" w:cs="Times New Roman"/>
        </w:rPr>
        <w:t xml:space="preserve">provide </w:t>
      </w:r>
      <w:r w:rsidRPr="00A561A5" w:rsidR="00500D2D">
        <w:rPr>
          <w:rFonts w:ascii="Times New Roman" w:hAnsi="Times New Roman" w:cs="Times New Roman"/>
        </w:rPr>
        <w:t>benefits for all energy marketers.</w:t>
      </w:r>
      <w:r w:rsidRPr="00A561A5" w:rsidR="00EF1C2E">
        <w:rPr>
          <w:rFonts w:ascii="Times New Roman" w:hAnsi="Times New Roman" w:cs="Times New Roman"/>
        </w:rPr>
        <w:t xml:space="preserve"> </w:t>
      </w:r>
      <w:r w:rsidRPr="00A561A5" w:rsidR="00500D2D">
        <w:rPr>
          <w:rFonts w:ascii="Times New Roman" w:hAnsi="Times New Roman" w:cs="Times New Roman"/>
        </w:rPr>
        <w:t>The</w:t>
      </w:r>
      <w:r w:rsidRPr="00A561A5" w:rsidR="00DC49AD">
        <w:rPr>
          <w:rFonts w:ascii="Times New Roman" w:hAnsi="Times New Roman" w:cs="Times New Roman"/>
        </w:rPr>
        <w:t xml:space="preserve"> Settlement </w:t>
      </w:r>
      <w:r w:rsidRPr="00A561A5" w:rsidR="007E5604">
        <w:rPr>
          <w:rFonts w:ascii="Times New Roman" w:hAnsi="Times New Roman" w:cs="Times New Roman"/>
        </w:rPr>
        <w:t xml:space="preserve">term </w:t>
      </w:r>
      <w:r w:rsidRPr="00A561A5" w:rsidR="00DC49AD">
        <w:rPr>
          <w:rFonts w:ascii="Times New Roman" w:hAnsi="Times New Roman" w:cs="Times New Roman"/>
        </w:rPr>
        <w:t>with the</w:t>
      </w:r>
      <w:r w:rsidRPr="00A561A5" w:rsidR="00500D2D">
        <w:rPr>
          <w:rFonts w:ascii="Times New Roman" w:hAnsi="Times New Roman" w:cs="Times New Roman"/>
        </w:rPr>
        <w:t xml:space="preserve"> </w:t>
      </w:r>
      <w:r w:rsidRPr="00A561A5" w:rsidR="0079574B">
        <w:rPr>
          <w:rFonts w:ascii="Times New Roman" w:hAnsi="Times New Roman" w:cs="Times New Roman"/>
        </w:rPr>
        <w:t>u</w:t>
      </w:r>
      <w:r w:rsidRPr="00A561A5" w:rsidR="00500D2D">
        <w:rPr>
          <w:rFonts w:ascii="Times New Roman" w:hAnsi="Times New Roman" w:cs="Times New Roman"/>
        </w:rPr>
        <w:t>niversity d</w:t>
      </w:r>
      <w:r w:rsidRPr="00A561A5" w:rsidR="00DC49AD">
        <w:rPr>
          <w:rFonts w:ascii="Times New Roman" w:hAnsi="Times New Roman" w:cs="Times New Roman"/>
        </w:rPr>
        <w:t>oes</w:t>
      </w:r>
      <w:r w:rsidRPr="00A561A5" w:rsidR="00500D2D">
        <w:rPr>
          <w:rFonts w:ascii="Times New Roman" w:hAnsi="Times New Roman" w:cs="Times New Roman"/>
        </w:rPr>
        <w:t xml:space="preserve"> not </w:t>
      </w:r>
      <w:r w:rsidRPr="00A561A5" w:rsidR="00DC49AD">
        <w:rPr>
          <w:rFonts w:ascii="Times New Roman" w:hAnsi="Times New Roman" w:cs="Times New Roman"/>
        </w:rPr>
        <w:t xml:space="preserve">provide </w:t>
      </w:r>
      <w:r w:rsidRPr="00A561A5" w:rsidR="00500D2D">
        <w:rPr>
          <w:rFonts w:ascii="Times New Roman" w:hAnsi="Times New Roman" w:cs="Times New Roman"/>
        </w:rPr>
        <w:t xml:space="preserve">benefits for all local universities. </w:t>
      </w:r>
      <w:r w:rsidRPr="00A561A5" w:rsidR="0079574B">
        <w:rPr>
          <w:rFonts w:ascii="Times New Roman" w:hAnsi="Times New Roman" w:cs="Times New Roman"/>
        </w:rPr>
        <w:t>The</w:t>
      </w:r>
      <w:r w:rsidRPr="00A561A5" w:rsidR="00DC49AD">
        <w:rPr>
          <w:rFonts w:ascii="Times New Roman" w:hAnsi="Times New Roman" w:cs="Times New Roman"/>
        </w:rPr>
        <w:t xml:space="preserve"> Settlement term with the</w:t>
      </w:r>
      <w:r w:rsidRPr="00A561A5" w:rsidR="0079574B">
        <w:rPr>
          <w:rFonts w:ascii="Times New Roman" w:hAnsi="Times New Roman" w:cs="Times New Roman"/>
        </w:rPr>
        <w:t xml:space="preserve"> </w:t>
      </w:r>
      <w:r w:rsidRPr="00A561A5" w:rsidR="00731B27">
        <w:rPr>
          <w:rFonts w:ascii="Times New Roman" w:hAnsi="Times New Roman" w:cs="Times New Roman"/>
        </w:rPr>
        <w:t xml:space="preserve">low-income </w:t>
      </w:r>
      <w:r w:rsidRPr="00A561A5" w:rsidR="0079574B">
        <w:rPr>
          <w:rFonts w:ascii="Times New Roman" w:hAnsi="Times New Roman" w:cs="Times New Roman"/>
        </w:rPr>
        <w:t xml:space="preserve">weatherization group </w:t>
      </w:r>
      <w:r w:rsidRPr="00A561A5" w:rsidR="00500D2D">
        <w:rPr>
          <w:rFonts w:ascii="Times New Roman" w:hAnsi="Times New Roman" w:cs="Times New Roman"/>
        </w:rPr>
        <w:t>d</w:t>
      </w:r>
      <w:r w:rsidRPr="00A561A5" w:rsidR="00DC49AD">
        <w:rPr>
          <w:rFonts w:ascii="Times New Roman" w:hAnsi="Times New Roman" w:cs="Times New Roman"/>
        </w:rPr>
        <w:t>oes</w:t>
      </w:r>
      <w:r w:rsidRPr="00A561A5" w:rsidR="00500D2D">
        <w:rPr>
          <w:rFonts w:ascii="Times New Roman" w:hAnsi="Times New Roman" w:cs="Times New Roman"/>
        </w:rPr>
        <w:t xml:space="preserve"> not </w:t>
      </w:r>
      <w:r w:rsidRPr="00A561A5" w:rsidR="00DC49AD">
        <w:rPr>
          <w:rFonts w:ascii="Times New Roman" w:hAnsi="Times New Roman" w:cs="Times New Roman"/>
        </w:rPr>
        <w:t xml:space="preserve">provide </w:t>
      </w:r>
      <w:r w:rsidRPr="00A561A5" w:rsidR="00500D2D">
        <w:rPr>
          <w:rFonts w:ascii="Times New Roman" w:hAnsi="Times New Roman" w:cs="Times New Roman"/>
        </w:rPr>
        <w:t>benefits for all weatherization providers</w:t>
      </w:r>
      <w:r w:rsidRPr="00A561A5" w:rsidR="00DC49AD">
        <w:rPr>
          <w:rFonts w:ascii="Times New Roman" w:hAnsi="Times New Roman" w:cs="Times New Roman"/>
        </w:rPr>
        <w:t xml:space="preserve"> </w:t>
      </w:r>
      <w:r w:rsidRPr="00A561A5" w:rsidR="00731B27">
        <w:rPr>
          <w:rFonts w:ascii="Times New Roman" w:hAnsi="Times New Roman" w:cs="Times New Roman"/>
        </w:rPr>
        <w:t>to low-income families</w:t>
      </w:r>
      <w:r w:rsidRPr="00A561A5" w:rsidR="00500D2D">
        <w:rPr>
          <w:rFonts w:ascii="Times New Roman" w:hAnsi="Times New Roman" w:cs="Times New Roman"/>
        </w:rPr>
        <w:t>.</w:t>
      </w:r>
      <w:r>
        <w:rPr>
          <w:rStyle w:val="FootnoteReference"/>
          <w:rFonts w:ascii="Times New Roman" w:hAnsi="Times New Roman" w:cs="Times New Roman"/>
        </w:rPr>
        <w:footnoteReference w:id="14"/>
      </w:r>
      <w:r w:rsidRPr="00A561A5" w:rsidR="00500D2D">
        <w:rPr>
          <w:rFonts w:ascii="Times New Roman" w:hAnsi="Times New Roman" w:cs="Times New Roman"/>
        </w:rPr>
        <w:t xml:space="preserve"> </w:t>
      </w:r>
    </w:p>
    <w:p w:rsidR="00C7214C" w:rsidRPr="00A561A5" w:rsidP="0006181A">
      <w:pPr>
        <w:spacing w:line="480" w:lineRule="auto"/>
        <w:ind w:left="720"/>
        <w:rPr>
          <w:rFonts w:ascii="Times New Roman" w:hAnsi="Times New Roman" w:cs="Times New Roman"/>
        </w:rPr>
      </w:pPr>
    </w:p>
    <w:p w:rsidR="005325E2" w:rsidRPr="00A561A5" w:rsidP="0006181A">
      <w:pPr>
        <w:spacing w:line="480" w:lineRule="auto"/>
        <w:ind w:left="720"/>
        <w:rPr>
          <w:rFonts w:ascii="Times New Roman" w:hAnsi="Times New Roman" w:cs="Times New Roman"/>
          <w:b/>
          <w:bCs/>
        </w:rPr>
      </w:pPr>
      <w:r w:rsidRPr="00A561A5">
        <w:rPr>
          <w:rFonts w:ascii="Times New Roman" w:hAnsi="Times New Roman" w:cs="Times New Roman"/>
        </w:rPr>
        <w:t>Collectively, they are not “</w:t>
      </w:r>
      <w:r w:rsidRPr="00A561A5">
        <w:rPr>
          <w:rFonts w:ascii="Times New Roman" w:hAnsi="Times New Roman" w:cs="Times New Roman"/>
          <w:i/>
          <w:iCs/>
        </w:rPr>
        <w:t>parties representing</w:t>
      </w:r>
      <w:r w:rsidRPr="00A561A5">
        <w:rPr>
          <w:rFonts w:ascii="Times New Roman" w:hAnsi="Times New Roman" w:cs="Times New Roman"/>
        </w:rPr>
        <w:t xml:space="preserve"> a wide range of interests” as asserted by </w:t>
      </w:r>
      <w:r w:rsidRPr="00A561A5" w:rsidR="00C7214C">
        <w:rPr>
          <w:rFonts w:ascii="Times New Roman" w:hAnsi="Times New Roman" w:cs="Times New Roman"/>
        </w:rPr>
        <w:t xml:space="preserve">DP&amp;L witness </w:t>
      </w:r>
      <w:r w:rsidRPr="00A561A5">
        <w:rPr>
          <w:rFonts w:ascii="Times New Roman" w:hAnsi="Times New Roman" w:cs="Times New Roman"/>
        </w:rPr>
        <w:t>Schroder.</w:t>
      </w:r>
    </w:p>
    <w:p w:rsidR="005325E2" w:rsidRPr="00A561A5" w:rsidP="001642E5">
      <w:pPr>
        <w:spacing w:line="480" w:lineRule="auto"/>
        <w:rPr>
          <w:rFonts w:ascii="Times New Roman" w:hAnsi="Times New Roman" w:cs="Times New Roman"/>
          <w:b/>
          <w:bCs/>
        </w:rPr>
      </w:pPr>
    </w:p>
    <w:p w:rsidR="00BB247E" w:rsidRPr="00A561A5" w:rsidP="0006181A">
      <w:pPr>
        <w:spacing w:after="120" w:line="480" w:lineRule="auto"/>
        <w:ind w:left="720" w:hanging="720"/>
        <w:rPr>
          <w:rFonts w:ascii="Times New Roman" w:hAnsi="Times New Roman" w:cs="Times New Roman"/>
          <w:i/>
          <w:iCs/>
        </w:rPr>
      </w:pPr>
      <w:r w:rsidRPr="00A561A5">
        <w:rPr>
          <w:rFonts w:ascii="Times New Roman" w:hAnsi="Times New Roman" w:cs="Times New Roman"/>
          <w:b/>
          <w:bCs/>
          <w:i/>
          <w:iCs/>
        </w:rPr>
        <w:t xml:space="preserve">Q15. </w:t>
      </w:r>
      <w:r w:rsidRPr="00A561A5">
        <w:rPr>
          <w:rFonts w:ascii="Times New Roman" w:hAnsi="Times New Roman" w:cs="Times New Roman"/>
          <w:b/>
          <w:bCs/>
          <w:i/>
          <w:iCs/>
        </w:rPr>
        <w:tab/>
        <w:t xml:space="preserve">HOW MUCH MONEY IS BEING REDISTRIBUTED TO THE SIGNATORY PARTIES IN EXCHANGE FOR THEIR SIGNATURES? </w:t>
      </w:r>
    </w:p>
    <w:p w:rsidR="0006181A" w:rsidRPr="00A561A5" w:rsidP="0006181A">
      <w:pPr>
        <w:spacing w:after="120" w:line="480" w:lineRule="auto"/>
        <w:ind w:left="720" w:hanging="720"/>
        <w:rPr>
          <w:rFonts w:ascii="Times New Roman" w:hAnsi="Times New Roman" w:cs="Times New Roman"/>
        </w:rPr>
      </w:pPr>
      <w:r w:rsidRPr="00A561A5">
        <w:rPr>
          <w:rFonts w:ascii="Times New Roman" w:hAnsi="Times New Roman" w:cs="Times New Roman"/>
          <w:b/>
          <w:bCs/>
          <w:i/>
          <w:iCs/>
        </w:rPr>
        <w:t>A</w:t>
      </w:r>
      <w:r w:rsidRPr="00A561A5">
        <w:rPr>
          <w:rFonts w:ascii="Times New Roman" w:hAnsi="Times New Roman" w:cs="Times New Roman"/>
          <w:b/>
          <w:bCs/>
          <w:i/>
          <w:iCs/>
        </w:rPr>
        <w:t>15.</w:t>
      </w:r>
      <w:r w:rsidRPr="00A561A5">
        <w:rPr>
          <w:rFonts w:ascii="Times New Roman" w:hAnsi="Times New Roman" w:cs="Times New Roman"/>
        </w:rPr>
        <w:t xml:space="preserve"> </w:t>
      </w:r>
      <w:r w:rsidRPr="00A561A5">
        <w:rPr>
          <w:rFonts w:ascii="Times New Roman" w:hAnsi="Times New Roman" w:cs="Times New Roman"/>
        </w:rPr>
        <w:tab/>
      </w:r>
      <w:r w:rsidRPr="00A561A5" w:rsidR="004D0D13">
        <w:rPr>
          <w:rFonts w:ascii="Times New Roman" w:hAnsi="Times New Roman" w:cs="Times New Roman"/>
        </w:rPr>
        <w:t xml:space="preserve">There are </w:t>
      </w:r>
      <w:r w:rsidRPr="00A561A5" w:rsidR="007C428D">
        <w:rPr>
          <w:rFonts w:ascii="Times New Roman" w:hAnsi="Times New Roman" w:cs="Times New Roman"/>
        </w:rPr>
        <w:t xml:space="preserve">about </w:t>
      </w:r>
      <w:r w:rsidRPr="00A561A5" w:rsidR="00721035">
        <w:rPr>
          <w:rFonts w:ascii="Times New Roman" w:hAnsi="Times New Roman" w:cs="Times New Roman"/>
        </w:rPr>
        <w:t>$7.</w:t>
      </w:r>
      <w:r w:rsidRPr="00A561A5" w:rsidR="00B80440">
        <w:rPr>
          <w:rFonts w:ascii="Times New Roman" w:hAnsi="Times New Roman" w:cs="Times New Roman"/>
        </w:rPr>
        <w:t>0</w:t>
      </w:r>
      <w:r w:rsidRPr="00A561A5" w:rsidR="00721035">
        <w:rPr>
          <w:rFonts w:ascii="Times New Roman" w:hAnsi="Times New Roman" w:cs="Times New Roman"/>
        </w:rPr>
        <w:t xml:space="preserve"> million</w:t>
      </w:r>
      <w:r w:rsidRPr="00A561A5" w:rsidR="007C428D">
        <w:rPr>
          <w:rFonts w:ascii="Times New Roman" w:hAnsi="Times New Roman" w:cs="Times New Roman"/>
        </w:rPr>
        <w:t xml:space="preserve"> in direct payouts</w:t>
      </w:r>
      <w:r w:rsidRPr="00A561A5" w:rsidR="005903DE">
        <w:rPr>
          <w:rFonts w:ascii="Times New Roman" w:hAnsi="Times New Roman" w:cs="Times New Roman"/>
        </w:rPr>
        <w:t xml:space="preserve"> to members of the redistributive coalition other than DP&amp;L listed in the </w:t>
      </w:r>
      <w:r w:rsidRPr="00A561A5" w:rsidR="00092D3C">
        <w:rPr>
          <w:rFonts w:ascii="Times New Roman" w:hAnsi="Times New Roman" w:cs="Times New Roman"/>
        </w:rPr>
        <w:t>S</w:t>
      </w:r>
      <w:r w:rsidRPr="00A561A5" w:rsidR="005903DE">
        <w:rPr>
          <w:rFonts w:ascii="Times New Roman" w:hAnsi="Times New Roman" w:cs="Times New Roman"/>
        </w:rPr>
        <w:t>ettlement</w:t>
      </w:r>
      <w:r w:rsidRPr="00A561A5" w:rsidR="007C428D">
        <w:rPr>
          <w:rFonts w:ascii="Times New Roman" w:hAnsi="Times New Roman" w:cs="Times New Roman"/>
        </w:rPr>
        <w:t>. Of th</w:t>
      </w:r>
      <w:r w:rsidRPr="00A561A5" w:rsidR="004D0D13">
        <w:rPr>
          <w:rFonts w:ascii="Times New Roman" w:hAnsi="Times New Roman" w:cs="Times New Roman"/>
        </w:rPr>
        <w:t>at amount,</w:t>
      </w:r>
      <w:r w:rsidRPr="00A561A5" w:rsidR="00F968DE">
        <w:rPr>
          <w:rFonts w:ascii="Times New Roman" w:hAnsi="Times New Roman" w:cs="Times New Roman"/>
        </w:rPr>
        <w:t xml:space="preserve"> </w:t>
      </w:r>
      <w:r w:rsidRPr="00A561A5" w:rsidR="00721035">
        <w:rPr>
          <w:rFonts w:ascii="Times New Roman" w:hAnsi="Times New Roman" w:cs="Times New Roman"/>
        </w:rPr>
        <w:t xml:space="preserve">$800,000 will be paid </w:t>
      </w:r>
      <w:r w:rsidRPr="00A561A5" w:rsidR="007C428D">
        <w:rPr>
          <w:rFonts w:ascii="Times New Roman" w:hAnsi="Times New Roman" w:cs="Times New Roman"/>
        </w:rPr>
        <w:t xml:space="preserve">for by customers </w:t>
      </w:r>
      <w:r w:rsidRPr="00A561A5" w:rsidR="00721035">
        <w:rPr>
          <w:rFonts w:ascii="Times New Roman" w:hAnsi="Times New Roman" w:cs="Times New Roman"/>
        </w:rPr>
        <w:t>through rider IIR</w:t>
      </w:r>
      <w:r w:rsidRPr="00A561A5" w:rsidR="005903DE">
        <w:rPr>
          <w:rFonts w:ascii="Times New Roman" w:hAnsi="Times New Roman" w:cs="Times New Roman"/>
        </w:rPr>
        <w:t xml:space="preserve">. Payments for the </w:t>
      </w:r>
      <w:r w:rsidRPr="00A561A5" w:rsidR="00F968DE">
        <w:rPr>
          <w:rFonts w:ascii="Times New Roman" w:hAnsi="Times New Roman" w:cs="Times New Roman"/>
        </w:rPr>
        <w:t xml:space="preserve">remaining </w:t>
      </w:r>
      <w:r w:rsidRPr="00A561A5" w:rsidR="00721035">
        <w:rPr>
          <w:rFonts w:ascii="Times New Roman" w:hAnsi="Times New Roman" w:cs="Times New Roman"/>
        </w:rPr>
        <w:t>$6.</w:t>
      </w:r>
      <w:r w:rsidRPr="00A561A5" w:rsidR="00B80440">
        <w:rPr>
          <w:rFonts w:ascii="Times New Roman" w:hAnsi="Times New Roman" w:cs="Times New Roman"/>
        </w:rPr>
        <w:t>2</w:t>
      </w:r>
      <w:r w:rsidRPr="00A561A5" w:rsidR="00721035">
        <w:rPr>
          <w:rFonts w:ascii="Times New Roman" w:hAnsi="Times New Roman" w:cs="Times New Roman"/>
        </w:rPr>
        <w:t xml:space="preserve"> million </w:t>
      </w:r>
      <w:r w:rsidRPr="00A561A5" w:rsidR="005903DE">
        <w:rPr>
          <w:rFonts w:ascii="Times New Roman" w:hAnsi="Times New Roman" w:cs="Times New Roman"/>
        </w:rPr>
        <w:t xml:space="preserve">is attributed as </w:t>
      </w:r>
      <w:r w:rsidRPr="00A561A5" w:rsidR="00721035">
        <w:rPr>
          <w:rFonts w:ascii="Times New Roman" w:hAnsi="Times New Roman" w:cs="Times New Roman"/>
        </w:rPr>
        <w:t xml:space="preserve"> </w:t>
      </w:r>
      <w:r w:rsidRPr="00A561A5" w:rsidR="005903DE">
        <w:rPr>
          <w:rFonts w:ascii="Times New Roman" w:hAnsi="Times New Roman" w:cs="Times New Roman"/>
        </w:rPr>
        <w:t xml:space="preserve">being made by </w:t>
      </w:r>
      <w:r w:rsidRPr="00A561A5" w:rsidR="00500D2D">
        <w:rPr>
          <w:rFonts w:ascii="Times New Roman" w:hAnsi="Times New Roman" w:cs="Times New Roman"/>
        </w:rPr>
        <w:t>DP&amp;L’s shareholders</w:t>
      </w:r>
      <w:r w:rsidRPr="00A561A5" w:rsidR="00721035">
        <w:rPr>
          <w:rFonts w:ascii="Times New Roman" w:hAnsi="Times New Roman" w:cs="Times New Roman"/>
        </w:rPr>
        <w:t xml:space="preserve">. </w:t>
      </w:r>
    </w:p>
    <w:p w:rsidR="007C428D" w:rsidRPr="00A561A5" w:rsidP="0006181A">
      <w:pPr>
        <w:spacing w:line="480" w:lineRule="auto"/>
        <w:ind w:left="720"/>
        <w:rPr>
          <w:rFonts w:ascii="Times New Roman" w:hAnsi="Times New Roman" w:cs="Times New Roman"/>
        </w:rPr>
      </w:pPr>
      <w:r w:rsidRPr="00A561A5">
        <w:rPr>
          <w:rFonts w:ascii="Times New Roman" w:hAnsi="Times New Roman" w:cs="Times New Roman"/>
        </w:rPr>
        <w:t xml:space="preserve">But these are not the only benefits </w:t>
      </w:r>
      <w:r w:rsidRPr="00A561A5" w:rsidR="00707ABD">
        <w:rPr>
          <w:rFonts w:ascii="Times New Roman" w:hAnsi="Times New Roman" w:cs="Times New Roman"/>
        </w:rPr>
        <w:t xml:space="preserve">delivered to </w:t>
      </w:r>
      <w:r w:rsidRPr="00A561A5">
        <w:rPr>
          <w:rFonts w:ascii="Times New Roman" w:hAnsi="Times New Roman" w:cs="Times New Roman"/>
        </w:rPr>
        <w:t xml:space="preserve">the signatory parties. </w:t>
      </w:r>
      <w:r w:rsidRPr="00A561A5" w:rsidR="005903DE">
        <w:rPr>
          <w:rFonts w:ascii="Times New Roman" w:hAnsi="Times New Roman" w:cs="Times New Roman"/>
        </w:rPr>
        <w:t xml:space="preserve">The </w:t>
      </w:r>
      <w:r w:rsidRPr="00A561A5" w:rsidR="00092D3C">
        <w:rPr>
          <w:rFonts w:ascii="Times New Roman" w:hAnsi="Times New Roman" w:cs="Times New Roman"/>
        </w:rPr>
        <w:t>S</w:t>
      </w:r>
      <w:r w:rsidRPr="00A561A5" w:rsidR="005903DE">
        <w:rPr>
          <w:rFonts w:ascii="Times New Roman" w:hAnsi="Times New Roman" w:cs="Times New Roman"/>
        </w:rPr>
        <w:t xml:space="preserve">ettlement </w:t>
      </w:r>
      <w:r w:rsidRPr="00A561A5">
        <w:rPr>
          <w:rFonts w:ascii="Times New Roman" w:hAnsi="Times New Roman" w:cs="Times New Roman"/>
        </w:rPr>
        <w:t xml:space="preserve"> </w:t>
      </w:r>
      <w:r w:rsidRPr="00A561A5" w:rsidR="00707ABD">
        <w:rPr>
          <w:rFonts w:ascii="Times New Roman" w:hAnsi="Times New Roman" w:cs="Times New Roman"/>
        </w:rPr>
        <w:t>contains a</w:t>
      </w:r>
      <w:r w:rsidRPr="00A561A5">
        <w:rPr>
          <w:rFonts w:ascii="Times New Roman" w:hAnsi="Times New Roman" w:cs="Times New Roman"/>
        </w:rPr>
        <w:t xml:space="preserve"> variety of handouts in the form of </w:t>
      </w:r>
      <w:r w:rsidRPr="00A561A5" w:rsidR="00707ABD">
        <w:rPr>
          <w:rFonts w:ascii="Times New Roman" w:hAnsi="Times New Roman" w:cs="Times New Roman"/>
        </w:rPr>
        <w:t>electricity payments and discounts</w:t>
      </w:r>
      <w:r w:rsidRPr="00A561A5">
        <w:rPr>
          <w:rFonts w:ascii="Times New Roman" w:hAnsi="Times New Roman" w:cs="Times New Roman"/>
        </w:rPr>
        <w:t xml:space="preserve">, including numerous </w:t>
      </w:r>
      <w:r w:rsidRPr="00A561A5" w:rsidR="00A921EF">
        <w:rPr>
          <w:rFonts w:ascii="Times New Roman" w:hAnsi="Times New Roman" w:cs="Times New Roman"/>
        </w:rPr>
        <w:t xml:space="preserve">payments </w:t>
      </w:r>
      <w:r w:rsidRPr="00A561A5">
        <w:rPr>
          <w:rFonts w:ascii="Times New Roman" w:hAnsi="Times New Roman" w:cs="Times New Roman"/>
        </w:rPr>
        <w:t xml:space="preserve">of $0.004 per kWh </w:t>
      </w:r>
      <w:r w:rsidRPr="00A561A5" w:rsidR="00A921EF">
        <w:rPr>
          <w:rFonts w:ascii="Times New Roman" w:hAnsi="Times New Roman" w:cs="Times New Roman"/>
        </w:rPr>
        <w:t>of electricity used by</w:t>
      </w:r>
      <w:r w:rsidRPr="00A561A5">
        <w:rPr>
          <w:rFonts w:ascii="Times New Roman" w:hAnsi="Times New Roman" w:cs="Times New Roman"/>
        </w:rPr>
        <w:t xml:space="preserve"> nonresidential customers. These per kWh </w:t>
      </w:r>
      <w:r w:rsidRPr="00A561A5" w:rsidR="00707ABD">
        <w:rPr>
          <w:rFonts w:ascii="Times New Roman" w:hAnsi="Times New Roman" w:cs="Times New Roman"/>
        </w:rPr>
        <w:t xml:space="preserve">payments </w:t>
      </w:r>
      <w:r w:rsidRPr="00A561A5">
        <w:rPr>
          <w:rFonts w:ascii="Times New Roman" w:hAnsi="Times New Roman" w:cs="Times New Roman"/>
        </w:rPr>
        <w:t>are opaque</w:t>
      </w:r>
      <w:r w:rsidRPr="00A561A5" w:rsidR="00A762EA">
        <w:rPr>
          <w:rFonts w:ascii="Times New Roman" w:hAnsi="Times New Roman" w:cs="Times New Roman"/>
        </w:rPr>
        <w:t xml:space="preserve"> and not transparent.</w:t>
      </w:r>
      <w:r w:rsidRPr="00A561A5">
        <w:rPr>
          <w:rFonts w:ascii="Times New Roman" w:hAnsi="Times New Roman" w:cs="Times New Roman"/>
        </w:rPr>
        <w:t xml:space="preserve"> </w:t>
      </w:r>
      <w:r w:rsidRPr="00A561A5" w:rsidR="00A762EA">
        <w:rPr>
          <w:rFonts w:ascii="Times New Roman" w:hAnsi="Times New Roman" w:cs="Times New Roman"/>
        </w:rPr>
        <w:t>W</w:t>
      </w:r>
      <w:r w:rsidRPr="00A561A5" w:rsidR="008748F7">
        <w:rPr>
          <w:rFonts w:ascii="Times New Roman" w:hAnsi="Times New Roman" w:cs="Times New Roman"/>
        </w:rPr>
        <w:t>ith</w:t>
      </w:r>
      <w:r w:rsidRPr="00A561A5" w:rsidR="00A762EA">
        <w:rPr>
          <w:rFonts w:ascii="Times New Roman" w:hAnsi="Times New Roman" w:cs="Times New Roman"/>
        </w:rPr>
        <w:t xml:space="preserve"> the Settlement not containing calculations about the likely benefit to individual group members, </w:t>
      </w:r>
      <w:r w:rsidRPr="00A561A5" w:rsidR="008748F7">
        <w:rPr>
          <w:rFonts w:ascii="Times New Roman" w:hAnsi="Times New Roman" w:cs="Times New Roman"/>
        </w:rPr>
        <w:t xml:space="preserve">it is </w:t>
      </w:r>
      <w:r w:rsidRPr="00A561A5" w:rsidR="00A762EA">
        <w:rPr>
          <w:rFonts w:ascii="Times New Roman" w:hAnsi="Times New Roman" w:cs="Times New Roman"/>
        </w:rPr>
        <w:t>not publicly</w:t>
      </w:r>
      <w:r w:rsidRPr="00A561A5" w:rsidR="008748F7">
        <w:rPr>
          <w:rFonts w:ascii="Times New Roman" w:hAnsi="Times New Roman" w:cs="Times New Roman"/>
        </w:rPr>
        <w:t xml:space="preserve"> know</w:t>
      </w:r>
      <w:r w:rsidRPr="00A561A5" w:rsidR="00A762EA">
        <w:rPr>
          <w:rFonts w:ascii="Times New Roman" w:hAnsi="Times New Roman" w:cs="Times New Roman"/>
        </w:rPr>
        <w:t>n</w:t>
      </w:r>
      <w:r w:rsidRPr="00A561A5" w:rsidR="008748F7">
        <w:rPr>
          <w:rFonts w:ascii="Times New Roman" w:hAnsi="Times New Roman" w:cs="Times New Roman"/>
        </w:rPr>
        <w:t xml:space="preserve"> how much these discounts are worth to each signatory party</w:t>
      </w:r>
      <w:r w:rsidRPr="00A561A5" w:rsidR="00707ABD">
        <w:rPr>
          <w:rFonts w:ascii="Times New Roman" w:hAnsi="Times New Roman" w:cs="Times New Roman"/>
        </w:rPr>
        <w:t>, or, in many cases, even what company will ultimately benefit</w:t>
      </w:r>
      <w:r w:rsidRPr="00A561A5" w:rsidR="008748F7">
        <w:rPr>
          <w:rFonts w:ascii="Times New Roman" w:hAnsi="Times New Roman" w:cs="Times New Roman"/>
        </w:rPr>
        <w:t>.</w:t>
      </w:r>
    </w:p>
    <w:p w:rsidR="0006181A" w:rsidRPr="00A561A5" w:rsidP="0006181A">
      <w:pPr>
        <w:spacing w:line="480" w:lineRule="auto"/>
        <w:ind w:left="720"/>
        <w:rPr>
          <w:rFonts w:ascii="Times New Roman" w:hAnsi="Times New Roman" w:cs="Times New Roman"/>
        </w:rPr>
      </w:pPr>
    </w:p>
    <w:p w:rsidR="00E025CD" w:rsidRPr="00A561A5" w:rsidP="0006181A">
      <w:pPr>
        <w:spacing w:line="480" w:lineRule="auto"/>
        <w:ind w:left="720"/>
        <w:rPr>
          <w:rFonts w:ascii="Times New Roman" w:hAnsi="Times New Roman" w:cs="Times New Roman"/>
        </w:rPr>
      </w:pPr>
      <w:r w:rsidRPr="00A561A5">
        <w:rPr>
          <w:rFonts w:ascii="Times New Roman" w:hAnsi="Times New Roman" w:cs="Times New Roman"/>
        </w:rPr>
        <w:t xml:space="preserve">Fortunately, however, </w:t>
      </w:r>
      <w:r w:rsidRPr="00A561A5">
        <w:rPr>
          <w:rFonts w:ascii="Times New Roman" w:hAnsi="Times New Roman" w:cs="Times New Roman"/>
        </w:rPr>
        <w:t>DP&amp;L filed its 10-Q report with the Securities and Exchange Commission for the quarter that ended on September 30, 2020. The</w:t>
      </w:r>
      <w:r w:rsidRPr="00A561A5">
        <w:rPr>
          <w:rFonts w:ascii="Times New Roman" w:hAnsi="Times New Roman" w:cs="Times New Roman"/>
        </w:rPr>
        <w:t>re, the</w:t>
      </w:r>
      <w:r w:rsidRPr="00A561A5">
        <w:rPr>
          <w:rFonts w:ascii="Times New Roman" w:hAnsi="Times New Roman" w:cs="Times New Roman"/>
        </w:rPr>
        <w:t xml:space="preserve"> company stated that it expects to spend $30 million over four years on </w:t>
      </w:r>
      <w:r w:rsidRPr="00A561A5" w:rsidR="00707ABD">
        <w:rPr>
          <w:rFonts w:ascii="Times New Roman" w:hAnsi="Times New Roman" w:cs="Times New Roman"/>
        </w:rPr>
        <w:t xml:space="preserve">providing flow-through </w:t>
      </w:r>
      <w:r w:rsidRPr="00A561A5">
        <w:rPr>
          <w:rFonts w:ascii="Times New Roman" w:hAnsi="Times New Roman" w:cs="Times New Roman"/>
        </w:rPr>
        <w:t>benefits to coalition members.</w:t>
      </w:r>
      <w:r>
        <w:rPr>
          <w:rStyle w:val="FootnoteReference"/>
          <w:rFonts w:ascii="Times New Roman" w:hAnsi="Times New Roman" w:cs="Times New Roman"/>
        </w:rPr>
        <w:footnoteReference w:id="15"/>
      </w:r>
      <w:r w:rsidRPr="00A561A5" w:rsidR="00AA3430">
        <w:rPr>
          <w:rFonts w:ascii="Times New Roman" w:hAnsi="Times New Roman" w:cs="Times New Roman"/>
        </w:rPr>
        <w:t xml:space="preserve"> The spending from cash flow generated by the company’s profits averages $7.5 million a year. </w:t>
      </w:r>
    </w:p>
    <w:p w:rsidR="008748F7" w:rsidRPr="00A561A5" w:rsidP="00FA094E">
      <w:pPr>
        <w:keepNext/>
        <w:keepLines/>
        <w:spacing w:after="120" w:line="480" w:lineRule="auto"/>
        <w:ind w:left="720" w:hanging="720"/>
        <w:rPr>
          <w:rFonts w:ascii="Times New Roman" w:hAnsi="Times New Roman" w:cs="Times New Roman"/>
          <w:b/>
          <w:i/>
          <w:iCs/>
        </w:rPr>
      </w:pPr>
      <w:r w:rsidRPr="00A561A5">
        <w:rPr>
          <w:rFonts w:ascii="Times New Roman" w:hAnsi="Times New Roman" w:cs="Times New Roman"/>
          <w:b/>
          <w:i/>
          <w:iCs/>
        </w:rPr>
        <w:t>Q16.</w:t>
      </w:r>
      <w:r w:rsidRPr="00A561A5">
        <w:rPr>
          <w:rFonts w:ascii="Times New Roman" w:hAnsi="Times New Roman" w:cs="Times New Roman"/>
          <w:b/>
          <w:i/>
          <w:iCs/>
        </w:rPr>
        <w:tab/>
      </w:r>
      <w:r w:rsidRPr="00A561A5" w:rsidR="00A762EA">
        <w:rPr>
          <w:rFonts w:ascii="Times New Roman" w:hAnsi="Times New Roman" w:cs="Times New Roman"/>
          <w:b/>
          <w:i/>
          <w:iCs/>
        </w:rPr>
        <w:t xml:space="preserve">GIVEN THAT </w:t>
      </w:r>
      <w:r w:rsidRPr="00A561A5">
        <w:rPr>
          <w:rFonts w:ascii="Times New Roman" w:hAnsi="Times New Roman" w:cs="Times New Roman"/>
          <w:b/>
          <w:i/>
          <w:iCs/>
        </w:rPr>
        <w:t>THE SETTLEMENT SAYS THAT MOST OF THESE PAYMENTS</w:t>
      </w:r>
      <w:r w:rsidRPr="00A561A5" w:rsidR="00A762EA">
        <w:rPr>
          <w:rFonts w:ascii="Times New Roman" w:hAnsi="Times New Roman" w:cs="Times New Roman"/>
          <w:b/>
          <w:i/>
          <w:iCs/>
        </w:rPr>
        <w:t xml:space="preserve"> </w:t>
      </w:r>
      <w:r w:rsidRPr="00A561A5" w:rsidR="00523260">
        <w:rPr>
          <w:rFonts w:ascii="Times New Roman" w:hAnsi="Times New Roman" w:cs="Times New Roman"/>
          <w:b/>
          <w:i/>
          <w:iCs/>
        </w:rPr>
        <w:t>(</w:t>
      </w:r>
      <w:r w:rsidRPr="00A561A5" w:rsidR="00A762EA">
        <w:rPr>
          <w:rFonts w:ascii="Times New Roman" w:hAnsi="Times New Roman" w:cs="Times New Roman"/>
          <w:b/>
          <w:i/>
          <w:iCs/>
        </w:rPr>
        <w:t>OR BENEFITS</w:t>
      </w:r>
      <w:r w:rsidRPr="00A561A5" w:rsidR="00523260">
        <w:rPr>
          <w:rFonts w:ascii="Times New Roman" w:hAnsi="Times New Roman" w:cs="Times New Roman"/>
          <w:b/>
          <w:i/>
          <w:iCs/>
        </w:rPr>
        <w:t>)</w:t>
      </w:r>
      <w:r w:rsidRPr="00A561A5" w:rsidR="00A762EA">
        <w:rPr>
          <w:rFonts w:ascii="Times New Roman" w:hAnsi="Times New Roman" w:cs="Times New Roman"/>
          <w:b/>
          <w:i/>
          <w:iCs/>
        </w:rPr>
        <w:t xml:space="preserve"> TO SETTLEMENT SIGNATORIES</w:t>
      </w:r>
      <w:r w:rsidRPr="00A561A5">
        <w:rPr>
          <w:rFonts w:ascii="Times New Roman" w:hAnsi="Times New Roman" w:cs="Times New Roman"/>
          <w:b/>
          <w:i/>
          <w:iCs/>
        </w:rPr>
        <w:t xml:space="preserve"> WILL BE FUNDED WITH DP&amp;L SHAREHOLDER DOLLARS, IS THIS </w:t>
      </w:r>
      <w:r w:rsidRPr="00A561A5" w:rsidR="00A762EA">
        <w:rPr>
          <w:rFonts w:ascii="Times New Roman" w:hAnsi="Times New Roman" w:cs="Times New Roman"/>
          <w:b/>
          <w:i/>
          <w:iCs/>
        </w:rPr>
        <w:t xml:space="preserve">SETTLEMENT </w:t>
      </w:r>
      <w:r w:rsidRPr="00A561A5">
        <w:rPr>
          <w:rFonts w:ascii="Times New Roman" w:hAnsi="Times New Roman" w:cs="Times New Roman"/>
          <w:b/>
          <w:i/>
          <w:iCs/>
        </w:rPr>
        <w:t>REALLY THE TYPE OF REDISTRIBUTIVE COALITION THAT YOU DESCRIBE ABOVE?</w:t>
      </w:r>
    </w:p>
    <w:p w:rsidR="00F31981" w:rsidRPr="00A561A5" w:rsidP="00F31981">
      <w:pPr>
        <w:spacing w:after="120" w:line="480" w:lineRule="auto"/>
        <w:ind w:left="720" w:hanging="720"/>
        <w:rPr>
          <w:rFonts w:ascii="Times New Roman" w:hAnsi="Times New Roman" w:cs="Times New Roman"/>
        </w:rPr>
      </w:pPr>
      <w:r w:rsidRPr="00A561A5">
        <w:rPr>
          <w:rFonts w:ascii="Times New Roman" w:hAnsi="Times New Roman" w:cs="Times New Roman"/>
          <w:b/>
          <w:bCs/>
          <w:i/>
          <w:iCs/>
        </w:rPr>
        <w:t>A</w:t>
      </w:r>
      <w:r w:rsidRPr="00A561A5" w:rsidR="0006181A">
        <w:rPr>
          <w:rFonts w:ascii="Times New Roman" w:hAnsi="Times New Roman" w:cs="Times New Roman"/>
          <w:b/>
          <w:bCs/>
          <w:i/>
          <w:iCs/>
        </w:rPr>
        <w:t>16</w:t>
      </w:r>
      <w:r w:rsidRPr="00A561A5">
        <w:rPr>
          <w:rFonts w:ascii="Times New Roman" w:hAnsi="Times New Roman" w:cs="Times New Roman"/>
          <w:b/>
          <w:bCs/>
          <w:i/>
          <w:iCs/>
        </w:rPr>
        <w:t>.</w:t>
      </w:r>
      <w:r w:rsidRPr="00A561A5">
        <w:rPr>
          <w:rFonts w:ascii="Times New Roman" w:hAnsi="Times New Roman" w:cs="Times New Roman"/>
        </w:rPr>
        <w:tab/>
      </w:r>
      <w:r w:rsidRPr="00A561A5" w:rsidR="00A762EA">
        <w:rPr>
          <w:rFonts w:ascii="Times New Roman" w:hAnsi="Times New Roman" w:cs="Times New Roman"/>
        </w:rPr>
        <w:t>Yes, i</w:t>
      </w:r>
      <w:r w:rsidRPr="00A561A5" w:rsidR="001378CF">
        <w:rPr>
          <w:rFonts w:ascii="Times New Roman" w:hAnsi="Times New Roman" w:cs="Times New Roman"/>
        </w:rPr>
        <w:t xml:space="preserve">t absolutely is. </w:t>
      </w:r>
      <w:r w:rsidRPr="00A561A5" w:rsidR="00523260">
        <w:rPr>
          <w:rFonts w:ascii="Times New Roman" w:hAnsi="Times New Roman" w:cs="Times New Roman"/>
        </w:rPr>
        <w:t xml:space="preserve">DP&amp;L’s </w:t>
      </w:r>
      <w:r w:rsidRPr="00A561A5" w:rsidR="00AA3430">
        <w:rPr>
          <w:rFonts w:ascii="Times New Roman" w:hAnsi="Times New Roman" w:cs="Times New Roman"/>
        </w:rPr>
        <w:t>money</w:t>
      </w:r>
      <w:r w:rsidRPr="00A561A5" w:rsidR="00523260">
        <w:rPr>
          <w:rFonts w:ascii="Times New Roman" w:hAnsi="Times New Roman" w:cs="Times New Roman"/>
        </w:rPr>
        <w:t xml:space="preserve"> for the Settlement payments</w:t>
      </w:r>
      <w:r w:rsidRPr="00A561A5" w:rsidR="00AA3430">
        <w:rPr>
          <w:rFonts w:ascii="Times New Roman" w:hAnsi="Times New Roman" w:cs="Times New Roman"/>
        </w:rPr>
        <w:t xml:space="preserve"> does not really come from the stockholders</w:t>
      </w:r>
      <w:r w:rsidRPr="00A561A5">
        <w:rPr>
          <w:rFonts w:ascii="Times New Roman" w:hAnsi="Times New Roman" w:cs="Times New Roman"/>
        </w:rPr>
        <w:t xml:space="preserve">. </w:t>
      </w:r>
      <w:r w:rsidRPr="00A561A5" w:rsidR="00523260">
        <w:rPr>
          <w:rFonts w:ascii="Times New Roman" w:hAnsi="Times New Roman" w:cs="Times New Roman"/>
        </w:rPr>
        <w:t>The money</w:t>
      </w:r>
      <w:r w:rsidRPr="00A561A5">
        <w:rPr>
          <w:rFonts w:ascii="Times New Roman" w:hAnsi="Times New Roman" w:cs="Times New Roman"/>
        </w:rPr>
        <w:t xml:space="preserve"> comes from DP&amp;L’s customers.</w:t>
      </w:r>
      <w:r w:rsidRPr="00A561A5" w:rsidR="003A141B">
        <w:rPr>
          <w:rFonts w:ascii="Times New Roman" w:hAnsi="Times New Roman" w:cs="Times New Roman"/>
        </w:rPr>
        <w:t xml:space="preserve">  </w:t>
      </w:r>
      <w:r w:rsidRPr="00A561A5">
        <w:rPr>
          <w:rFonts w:ascii="Times New Roman" w:hAnsi="Times New Roman" w:cs="Times New Roman"/>
        </w:rPr>
        <w:t>As part of the Settlement, DP&amp;L will be allowed to keep charging customers its so-called “Rate Stabilization Charge” or “RSC.” The Rate Stabilization Charge</w:t>
      </w:r>
      <w:r w:rsidRPr="00A561A5" w:rsidR="009331A3">
        <w:rPr>
          <w:rFonts w:ascii="Times New Roman" w:hAnsi="Times New Roman" w:cs="Times New Roman"/>
        </w:rPr>
        <w:t xml:space="preserve"> that DP&amp;L’s customers are paying</w:t>
      </w:r>
      <w:r w:rsidRPr="00A561A5">
        <w:rPr>
          <w:rFonts w:ascii="Times New Roman" w:hAnsi="Times New Roman" w:cs="Times New Roman"/>
        </w:rPr>
        <w:t xml:space="preserve"> does not compensate DP&amp;L for any costs that </w:t>
      </w:r>
      <w:r w:rsidRPr="00A561A5" w:rsidR="001378CF">
        <w:rPr>
          <w:rFonts w:ascii="Times New Roman" w:hAnsi="Times New Roman" w:cs="Times New Roman"/>
        </w:rPr>
        <w:t>DP&amp;L</w:t>
      </w:r>
      <w:r w:rsidRPr="00A561A5">
        <w:rPr>
          <w:rFonts w:ascii="Times New Roman" w:hAnsi="Times New Roman" w:cs="Times New Roman"/>
        </w:rPr>
        <w:t xml:space="preserve"> actually incurs. It is a bailout </w:t>
      </w:r>
      <w:r w:rsidRPr="00A561A5" w:rsidR="00D304F1">
        <w:rPr>
          <w:rFonts w:ascii="Times New Roman" w:hAnsi="Times New Roman" w:cs="Times New Roman"/>
        </w:rPr>
        <w:t xml:space="preserve">intended by the PUCO </w:t>
      </w:r>
      <w:r w:rsidRPr="00A561A5">
        <w:rPr>
          <w:rFonts w:ascii="Times New Roman" w:hAnsi="Times New Roman" w:cs="Times New Roman"/>
        </w:rPr>
        <w:t xml:space="preserve">to improve DP&amp;L’s financial structure and credit rating. </w:t>
      </w:r>
      <w:r w:rsidRPr="00A561A5" w:rsidR="003429CC">
        <w:rPr>
          <w:rFonts w:ascii="Times New Roman" w:hAnsi="Times New Roman" w:cs="Times New Roman"/>
        </w:rPr>
        <w:t xml:space="preserve">There are no </w:t>
      </w:r>
      <w:r w:rsidRPr="00A561A5">
        <w:rPr>
          <w:rFonts w:ascii="Times New Roman" w:hAnsi="Times New Roman" w:cs="Times New Roman"/>
        </w:rPr>
        <w:t xml:space="preserve">costs </w:t>
      </w:r>
      <w:r w:rsidRPr="00A561A5" w:rsidR="003429CC">
        <w:rPr>
          <w:rFonts w:ascii="Times New Roman" w:hAnsi="Times New Roman" w:cs="Times New Roman"/>
        </w:rPr>
        <w:t xml:space="preserve">associated with </w:t>
      </w:r>
      <w:r w:rsidRPr="00A561A5" w:rsidR="00D304F1">
        <w:rPr>
          <w:rFonts w:ascii="Times New Roman" w:hAnsi="Times New Roman" w:cs="Times New Roman"/>
        </w:rPr>
        <w:t xml:space="preserve">non-avoidable </w:t>
      </w:r>
      <w:r w:rsidRPr="00A561A5">
        <w:rPr>
          <w:rFonts w:ascii="Times New Roman" w:hAnsi="Times New Roman" w:cs="Times New Roman"/>
        </w:rPr>
        <w:t>rider</w:t>
      </w:r>
      <w:r w:rsidRPr="00A561A5" w:rsidR="003429CC">
        <w:rPr>
          <w:rFonts w:ascii="Times New Roman" w:hAnsi="Times New Roman" w:cs="Times New Roman"/>
        </w:rPr>
        <w:t xml:space="preserve"> RSC and the rider is not associated with any investment in the company’s capital stock</w:t>
      </w:r>
      <w:r w:rsidRPr="00A561A5">
        <w:rPr>
          <w:rFonts w:ascii="Times New Roman" w:hAnsi="Times New Roman" w:cs="Times New Roman"/>
        </w:rPr>
        <w:t xml:space="preserve">. As OCC witness Kahal testified, over the roughly four-year term of the Settlement, customers will pay more than $300 million </w:t>
      </w:r>
      <w:r w:rsidRPr="00A561A5" w:rsidR="003429CC">
        <w:rPr>
          <w:rFonts w:ascii="Times New Roman" w:hAnsi="Times New Roman" w:cs="Times New Roman"/>
        </w:rPr>
        <w:t xml:space="preserve">to DP&amp;L </w:t>
      </w:r>
      <w:r w:rsidRPr="00A561A5">
        <w:rPr>
          <w:rFonts w:ascii="Times New Roman" w:hAnsi="Times New Roman" w:cs="Times New Roman"/>
        </w:rPr>
        <w:t>under the Rate Stabilization Charge.</w:t>
      </w:r>
      <w:r>
        <w:rPr>
          <w:rStyle w:val="FootnoteReference"/>
          <w:rFonts w:ascii="Times New Roman" w:hAnsi="Times New Roman" w:cs="Times New Roman"/>
        </w:rPr>
        <w:footnoteReference w:id="16"/>
      </w:r>
      <w:r w:rsidRPr="00A561A5" w:rsidR="00021D00">
        <w:rPr>
          <w:rFonts w:ascii="Times New Roman" w:hAnsi="Times New Roman" w:cs="Times New Roman"/>
        </w:rPr>
        <w:t xml:space="preserve">  </w:t>
      </w:r>
    </w:p>
    <w:p w:rsidR="0006181A" w:rsidRPr="00A561A5" w:rsidP="0006181A">
      <w:pPr>
        <w:spacing w:line="480" w:lineRule="auto"/>
        <w:ind w:left="720"/>
        <w:rPr>
          <w:rFonts w:ascii="Times New Roman" w:hAnsi="Times New Roman" w:cs="Times New Roman"/>
        </w:rPr>
      </w:pPr>
    </w:p>
    <w:p w:rsidR="0040398A" w:rsidRPr="00A561A5" w:rsidP="0006181A">
      <w:pPr>
        <w:spacing w:line="480" w:lineRule="auto"/>
        <w:ind w:left="720"/>
        <w:rPr>
          <w:rFonts w:ascii="Times New Roman" w:hAnsi="Times New Roman" w:cs="Times New Roman"/>
        </w:rPr>
      </w:pPr>
      <w:r w:rsidRPr="00A561A5">
        <w:rPr>
          <w:rFonts w:ascii="Times New Roman" w:hAnsi="Times New Roman" w:cs="Times New Roman"/>
        </w:rPr>
        <w:t xml:space="preserve">The </w:t>
      </w:r>
      <w:r w:rsidRPr="00A561A5">
        <w:rPr>
          <w:rFonts w:ascii="Times New Roman" w:hAnsi="Times New Roman" w:cs="Times New Roman"/>
        </w:rPr>
        <w:t xml:space="preserve">$300 million </w:t>
      </w:r>
      <w:r w:rsidRPr="00A561A5">
        <w:rPr>
          <w:rFonts w:ascii="Times New Roman" w:hAnsi="Times New Roman" w:cs="Times New Roman"/>
        </w:rPr>
        <w:t>generated by rider RSC</w:t>
      </w:r>
      <w:r w:rsidRPr="00A561A5">
        <w:rPr>
          <w:rFonts w:ascii="Times New Roman" w:hAnsi="Times New Roman" w:cs="Times New Roman"/>
        </w:rPr>
        <w:t xml:space="preserve"> </w:t>
      </w:r>
      <w:r w:rsidRPr="00A561A5">
        <w:rPr>
          <w:rFonts w:ascii="Times New Roman" w:hAnsi="Times New Roman" w:cs="Times New Roman"/>
        </w:rPr>
        <w:t>is termed “</w:t>
      </w:r>
      <w:r w:rsidRPr="00A561A5">
        <w:rPr>
          <w:rFonts w:ascii="Times New Roman" w:hAnsi="Times New Roman" w:cs="Times New Roman"/>
        </w:rPr>
        <w:t>shareholders</w:t>
      </w:r>
      <w:r w:rsidRPr="00A561A5">
        <w:rPr>
          <w:rFonts w:ascii="Times New Roman" w:hAnsi="Times New Roman" w:cs="Times New Roman"/>
        </w:rPr>
        <w:t xml:space="preserve"> money”</w:t>
      </w:r>
      <w:r w:rsidRPr="00A561A5">
        <w:rPr>
          <w:rFonts w:ascii="Times New Roman" w:hAnsi="Times New Roman" w:cs="Times New Roman"/>
        </w:rPr>
        <w:t xml:space="preserve"> </w:t>
      </w:r>
      <w:r w:rsidRPr="00A561A5">
        <w:rPr>
          <w:rFonts w:ascii="Times New Roman" w:hAnsi="Times New Roman" w:cs="Times New Roman"/>
        </w:rPr>
        <w:t>by the Company</w:t>
      </w:r>
      <w:r w:rsidRPr="00A561A5" w:rsidR="00D304F1">
        <w:rPr>
          <w:rFonts w:ascii="Times New Roman" w:hAnsi="Times New Roman" w:cs="Times New Roman"/>
        </w:rPr>
        <w:t xml:space="preserve">. The Settlement calls for 10-percent of the revenue from rider RSC to be diverted </w:t>
      </w:r>
      <w:r w:rsidRPr="00A561A5">
        <w:rPr>
          <w:rFonts w:ascii="Times New Roman" w:hAnsi="Times New Roman" w:cs="Times New Roman"/>
        </w:rPr>
        <w:t>to the signatory parties as an inducement to sign the Settlement. DP&amp;L is left with $270 million in no-strings-attached cash. And those who are not part of the redistributive coalition</w:t>
      </w:r>
      <w:r w:rsidRPr="00A561A5" w:rsidR="00D03F82">
        <w:rPr>
          <w:rFonts w:ascii="Times New Roman" w:hAnsi="Times New Roman" w:cs="Times New Roman"/>
        </w:rPr>
        <w:t xml:space="preserve"> </w:t>
      </w:r>
      <w:r w:rsidRPr="00A561A5">
        <w:rPr>
          <w:rFonts w:ascii="Times New Roman" w:hAnsi="Times New Roman" w:cs="Times New Roman"/>
        </w:rPr>
        <w:t xml:space="preserve">—residential customers, small business customers, large business customers who aren’t </w:t>
      </w:r>
      <w:r w:rsidRPr="00A561A5" w:rsidR="00D664DA">
        <w:rPr>
          <w:rFonts w:ascii="Times New Roman" w:hAnsi="Times New Roman" w:cs="Times New Roman"/>
        </w:rPr>
        <w:t>signatories</w:t>
      </w:r>
      <w:r w:rsidRPr="00A561A5">
        <w:rPr>
          <w:rFonts w:ascii="Times New Roman" w:hAnsi="Times New Roman" w:cs="Times New Roman"/>
        </w:rPr>
        <w:t xml:space="preserve">, municipalities other than the </w:t>
      </w:r>
      <w:r w:rsidRPr="00A561A5" w:rsidR="00D664DA">
        <w:rPr>
          <w:rFonts w:ascii="Times New Roman" w:hAnsi="Times New Roman" w:cs="Times New Roman"/>
        </w:rPr>
        <w:t>one that signed</w:t>
      </w:r>
      <w:r w:rsidRPr="00A561A5">
        <w:rPr>
          <w:rFonts w:ascii="Times New Roman" w:hAnsi="Times New Roman" w:cs="Times New Roman"/>
        </w:rPr>
        <w:t>, and others—pay for all of it.</w:t>
      </w:r>
    </w:p>
    <w:p w:rsidR="0006181A" w:rsidRPr="00A561A5" w:rsidP="0006181A">
      <w:pPr>
        <w:spacing w:line="480" w:lineRule="auto"/>
        <w:ind w:left="720"/>
        <w:rPr>
          <w:rFonts w:ascii="Times New Roman" w:hAnsi="Times New Roman" w:cs="Times New Roman"/>
        </w:rPr>
      </w:pPr>
    </w:p>
    <w:p w:rsidR="006F57F3" w:rsidRPr="00A561A5" w:rsidP="006F57F3">
      <w:pPr>
        <w:spacing w:after="120" w:line="480" w:lineRule="auto"/>
        <w:ind w:left="720"/>
        <w:rPr>
          <w:rFonts w:ascii="Times New Roman" w:hAnsi="Times New Roman" w:cs="Times New Roman"/>
        </w:rPr>
      </w:pPr>
      <w:r w:rsidRPr="00A561A5">
        <w:rPr>
          <w:rFonts w:ascii="Times New Roman" w:hAnsi="Times New Roman" w:cs="Times New Roman"/>
        </w:rPr>
        <w:t xml:space="preserve">Any claim that DP&amp;L’s shareholders, rather than its customers, are paying for the benefits to the signatory parties is </w:t>
      </w:r>
      <w:r w:rsidRPr="00A561A5" w:rsidR="00B27F25">
        <w:rPr>
          <w:rFonts w:ascii="Times New Roman" w:hAnsi="Times New Roman" w:cs="Times New Roman"/>
        </w:rPr>
        <w:t xml:space="preserve">either </w:t>
      </w:r>
      <w:r w:rsidRPr="00A561A5" w:rsidR="00D03F82">
        <w:rPr>
          <w:rFonts w:ascii="Times New Roman" w:hAnsi="Times New Roman" w:cs="Times New Roman"/>
        </w:rPr>
        <w:t>mistaken</w:t>
      </w:r>
      <w:r w:rsidRPr="00A561A5" w:rsidR="00B27F25">
        <w:rPr>
          <w:rFonts w:ascii="Times New Roman" w:hAnsi="Times New Roman" w:cs="Times New Roman"/>
        </w:rPr>
        <w:t xml:space="preserve"> or an accounting fiction.</w:t>
      </w:r>
    </w:p>
    <w:p w:rsidR="0006181A" w:rsidRPr="00A561A5" w:rsidP="0006181A">
      <w:pPr>
        <w:spacing w:after="120" w:line="480" w:lineRule="auto"/>
        <w:ind w:left="720"/>
        <w:rPr>
          <w:rFonts w:ascii="Times New Roman" w:hAnsi="Times New Roman" w:cs="Times New Roman"/>
        </w:rPr>
      </w:pPr>
    </w:p>
    <w:p w:rsidR="007321B6" w:rsidRPr="00A561A5" w:rsidP="00F72532">
      <w:pPr>
        <w:spacing w:line="480" w:lineRule="auto"/>
        <w:ind w:left="720" w:hanging="720"/>
        <w:rPr>
          <w:rFonts w:ascii="Times New Roman" w:hAnsi="Times New Roman" w:cs="Times New Roman"/>
          <w:b/>
          <w:i/>
          <w:iCs/>
        </w:rPr>
      </w:pPr>
      <w:r w:rsidRPr="00A561A5">
        <w:rPr>
          <w:rFonts w:ascii="Times New Roman" w:hAnsi="Times New Roman" w:cs="Times New Roman"/>
          <w:b/>
          <w:i/>
          <w:iCs/>
        </w:rPr>
        <w:t>Q17.</w:t>
      </w:r>
      <w:r w:rsidRPr="00A561A5">
        <w:rPr>
          <w:rFonts w:ascii="Times New Roman" w:hAnsi="Times New Roman" w:cs="Times New Roman"/>
          <w:b/>
          <w:i/>
          <w:iCs/>
        </w:rPr>
        <w:tab/>
      </w:r>
      <w:r w:rsidRPr="00A561A5" w:rsidR="00D477E6">
        <w:rPr>
          <w:rFonts w:ascii="Times New Roman" w:hAnsi="Times New Roman" w:cs="Times New Roman"/>
          <w:b/>
          <w:i/>
          <w:iCs/>
        </w:rPr>
        <w:t>HOW DO</w:t>
      </w:r>
      <w:r w:rsidRPr="00A561A5">
        <w:rPr>
          <w:rFonts w:ascii="Times New Roman" w:hAnsi="Times New Roman" w:cs="Times New Roman"/>
          <w:b/>
          <w:i/>
          <w:iCs/>
        </w:rPr>
        <w:t xml:space="preserve"> THE SIGNATORY PARTIES THAT ARE NOT GETTING DIRECT PAYOUTS, LIKE CERTAIN ENVIRONMENTAL GROUPS AND SMART GRID VENDORS</w:t>
      </w:r>
      <w:r w:rsidRPr="00A561A5" w:rsidR="00D477E6">
        <w:rPr>
          <w:rFonts w:ascii="Times New Roman" w:hAnsi="Times New Roman" w:cs="Times New Roman"/>
          <w:b/>
          <w:i/>
          <w:iCs/>
        </w:rPr>
        <w:t xml:space="preserve">, </w:t>
      </w:r>
      <w:r w:rsidRPr="00A561A5">
        <w:rPr>
          <w:rFonts w:ascii="Times New Roman" w:hAnsi="Times New Roman" w:cs="Times New Roman"/>
          <w:b/>
          <w:i/>
          <w:iCs/>
        </w:rPr>
        <w:t>FACTOR INTO YOUR ANALYSIS?</w:t>
      </w:r>
    </w:p>
    <w:p w:rsidR="007321B6" w:rsidRPr="00A561A5" w:rsidP="00F72532">
      <w:pPr>
        <w:spacing w:line="480" w:lineRule="auto"/>
        <w:ind w:left="720" w:hanging="720"/>
        <w:rPr>
          <w:rFonts w:ascii="Times New Roman" w:hAnsi="Times New Roman" w:cs="Times New Roman"/>
        </w:rPr>
      </w:pPr>
      <w:r w:rsidRPr="00A561A5">
        <w:rPr>
          <w:rFonts w:ascii="Times New Roman" w:hAnsi="Times New Roman" w:cs="Times New Roman"/>
          <w:b/>
          <w:bCs/>
          <w:i/>
          <w:iCs/>
        </w:rPr>
        <w:t>A</w:t>
      </w:r>
      <w:r w:rsidRPr="00A561A5" w:rsidR="0006181A">
        <w:rPr>
          <w:rFonts w:ascii="Times New Roman" w:hAnsi="Times New Roman" w:cs="Times New Roman"/>
          <w:b/>
          <w:bCs/>
          <w:i/>
          <w:iCs/>
        </w:rPr>
        <w:t>17</w:t>
      </w:r>
      <w:r w:rsidRPr="00A561A5">
        <w:rPr>
          <w:rFonts w:ascii="Times New Roman" w:hAnsi="Times New Roman" w:cs="Times New Roman"/>
          <w:b/>
          <w:bCs/>
          <w:i/>
          <w:iCs/>
        </w:rPr>
        <w:t>.</w:t>
      </w:r>
      <w:r w:rsidRPr="00A561A5">
        <w:rPr>
          <w:rFonts w:ascii="Times New Roman" w:hAnsi="Times New Roman" w:cs="Times New Roman"/>
        </w:rPr>
        <w:tab/>
      </w:r>
      <w:r w:rsidRPr="00A561A5" w:rsidR="001B458C">
        <w:rPr>
          <w:rFonts w:ascii="Times New Roman" w:hAnsi="Times New Roman" w:cs="Times New Roman"/>
        </w:rPr>
        <w:t>S</w:t>
      </w:r>
      <w:r w:rsidRPr="00A561A5">
        <w:rPr>
          <w:rFonts w:ascii="Times New Roman" w:hAnsi="Times New Roman" w:cs="Times New Roman"/>
        </w:rPr>
        <w:t xml:space="preserve">ome of the signatory parties are not </w:t>
      </w:r>
      <w:r w:rsidRPr="00A561A5" w:rsidR="00AF4124">
        <w:rPr>
          <w:rFonts w:ascii="Times New Roman" w:hAnsi="Times New Roman" w:cs="Times New Roman"/>
        </w:rPr>
        <w:t>receiving</w:t>
      </w:r>
      <w:r w:rsidRPr="00A561A5">
        <w:rPr>
          <w:rFonts w:ascii="Times New Roman" w:hAnsi="Times New Roman" w:cs="Times New Roman"/>
        </w:rPr>
        <w:t xml:space="preserve"> cash payouts or rate discounts</w:t>
      </w:r>
      <w:r w:rsidRPr="00A561A5" w:rsidR="00331D5D">
        <w:rPr>
          <w:rFonts w:ascii="Times New Roman" w:hAnsi="Times New Roman" w:cs="Times New Roman"/>
        </w:rPr>
        <w:t xml:space="preserve">, but they </w:t>
      </w:r>
      <w:r w:rsidRPr="00A561A5">
        <w:rPr>
          <w:rFonts w:ascii="Times New Roman" w:hAnsi="Times New Roman" w:cs="Times New Roman"/>
        </w:rPr>
        <w:t xml:space="preserve"> </w:t>
      </w:r>
      <w:r w:rsidRPr="00A561A5" w:rsidR="00331D5D">
        <w:rPr>
          <w:rFonts w:ascii="Times New Roman" w:hAnsi="Times New Roman" w:cs="Times New Roman"/>
        </w:rPr>
        <w:t xml:space="preserve"> </w:t>
      </w:r>
      <w:r w:rsidRPr="00A561A5" w:rsidR="00AF4124">
        <w:rPr>
          <w:rFonts w:ascii="Times New Roman" w:hAnsi="Times New Roman" w:cs="Times New Roman"/>
        </w:rPr>
        <w:t>still receive direct benefits under the Settlement. For example, the Settlement provides $450,000 per year to subsidize smart thermostats.</w:t>
      </w:r>
      <w:r w:rsidRPr="00A561A5" w:rsidR="001378CF">
        <w:rPr>
          <w:rFonts w:ascii="Times New Roman" w:hAnsi="Times New Roman" w:cs="Times New Roman"/>
        </w:rPr>
        <w:t xml:space="preserve"> This directly benefits</w:t>
      </w:r>
      <w:r w:rsidRPr="00A561A5" w:rsidR="00E45ACC">
        <w:rPr>
          <w:rFonts w:ascii="Times New Roman" w:hAnsi="Times New Roman" w:cs="Times New Roman"/>
        </w:rPr>
        <w:t xml:space="preserve"> the businesses of</w:t>
      </w:r>
      <w:r w:rsidRPr="00A561A5" w:rsidR="001378CF">
        <w:rPr>
          <w:rFonts w:ascii="Times New Roman" w:hAnsi="Times New Roman" w:cs="Times New Roman"/>
        </w:rPr>
        <w:t xml:space="preserve"> </w:t>
      </w:r>
      <w:r w:rsidRPr="00A561A5" w:rsidR="003B030F">
        <w:rPr>
          <w:rFonts w:ascii="Times New Roman" w:hAnsi="Times New Roman" w:cs="Times New Roman"/>
        </w:rPr>
        <w:t>a s</w:t>
      </w:r>
      <w:r w:rsidRPr="00A561A5" w:rsidR="001378CF">
        <w:rPr>
          <w:rFonts w:ascii="Times New Roman" w:hAnsi="Times New Roman" w:cs="Times New Roman"/>
        </w:rPr>
        <w:t xml:space="preserve">mart </w:t>
      </w:r>
      <w:r w:rsidRPr="00A561A5" w:rsidR="003B030F">
        <w:rPr>
          <w:rFonts w:ascii="Times New Roman" w:hAnsi="Times New Roman" w:cs="Times New Roman"/>
        </w:rPr>
        <w:t>t</w:t>
      </w:r>
      <w:r w:rsidRPr="00A561A5" w:rsidR="001378CF">
        <w:rPr>
          <w:rFonts w:ascii="Times New Roman" w:hAnsi="Times New Roman" w:cs="Times New Roman"/>
        </w:rPr>
        <w:t xml:space="preserve">hermostat </w:t>
      </w:r>
      <w:r w:rsidRPr="00A561A5" w:rsidR="003B030F">
        <w:rPr>
          <w:rFonts w:ascii="Times New Roman" w:hAnsi="Times New Roman" w:cs="Times New Roman"/>
        </w:rPr>
        <w:t>c</w:t>
      </w:r>
      <w:r w:rsidRPr="00A561A5" w:rsidR="001378CF">
        <w:rPr>
          <w:rFonts w:ascii="Times New Roman" w:hAnsi="Times New Roman" w:cs="Times New Roman"/>
        </w:rPr>
        <w:t>oalition</w:t>
      </w:r>
      <w:r>
        <w:rPr>
          <w:rStyle w:val="FootnoteReference"/>
          <w:rFonts w:ascii="Times New Roman" w:hAnsi="Times New Roman" w:cs="Times New Roman"/>
        </w:rPr>
        <w:footnoteReference w:id="17"/>
      </w:r>
      <w:r w:rsidRPr="00A561A5" w:rsidR="001378CF">
        <w:rPr>
          <w:rFonts w:ascii="Times New Roman" w:hAnsi="Times New Roman" w:cs="Times New Roman"/>
        </w:rPr>
        <w:t xml:space="preserve"> (which incidentally is a </w:t>
      </w:r>
      <w:r w:rsidRPr="00A561A5" w:rsidR="00AE4CE5">
        <w:rPr>
          <w:rFonts w:ascii="Times New Roman" w:hAnsi="Times New Roman" w:cs="Times New Roman"/>
        </w:rPr>
        <w:t xml:space="preserve">limited </w:t>
      </w:r>
      <w:r w:rsidRPr="00A561A5" w:rsidR="001378CF">
        <w:rPr>
          <w:rFonts w:ascii="Times New Roman" w:hAnsi="Times New Roman" w:cs="Times New Roman"/>
        </w:rPr>
        <w:t xml:space="preserve">coalition, as it consists of </w:t>
      </w:r>
      <w:r w:rsidRPr="00A561A5" w:rsidR="003B030F">
        <w:rPr>
          <w:rFonts w:ascii="Times New Roman" w:hAnsi="Times New Roman" w:cs="Times New Roman"/>
        </w:rPr>
        <w:t>just two large companies who have smart thermostat businesses, among other things</w:t>
      </w:r>
      <w:r w:rsidRPr="00A561A5" w:rsidR="00920590">
        <w:rPr>
          <w:rFonts w:ascii="Times New Roman" w:hAnsi="Times New Roman" w:cs="Times New Roman"/>
        </w:rPr>
        <w:t>)</w:t>
      </w:r>
      <w:r w:rsidRPr="00A561A5" w:rsidR="001B458C">
        <w:rPr>
          <w:rFonts w:ascii="Times New Roman" w:hAnsi="Times New Roman" w:cs="Times New Roman"/>
        </w:rPr>
        <w:t>.</w:t>
      </w:r>
      <w:r w:rsidRPr="00A561A5" w:rsidR="001378CF">
        <w:rPr>
          <w:rFonts w:ascii="Times New Roman" w:hAnsi="Times New Roman" w:cs="Times New Roman"/>
        </w:rPr>
        <w:t xml:space="preserve"> </w:t>
      </w:r>
      <w:r w:rsidRPr="00A561A5" w:rsidR="00125B49">
        <w:rPr>
          <w:rFonts w:ascii="Times New Roman" w:hAnsi="Times New Roman" w:cs="Times New Roman"/>
        </w:rPr>
        <w:t>I note, however, that the subsidizing of smart thermostats</w:t>
      </w:r>
      <w:r w:rsidRPr="00A561A5" w:rsidR="001378CF">
        <w:rPr>
          <w:rFonts w:ascii="Times New Roman" w:hAnsi="Times New Roman" w:cs="Times New Roman"/>
        </w:rPr>
        <w:t xml:space="preserve"> could also benefit other smart thermostat manufacturers who are not signatory parties. The Settlement also includes funding for a “water heater controller Pilot” </w:t>
      </w:r>
      <w:r w:rsidRPr="00A561A5" w:rsidR="00331D5D">
        <w:rPr>
          <w:rFonts w:ascii="Times New Roman" w:hAnsi="Times New Roman" w:cs="Times New Roman"/>
        </w:rPr>
        <w:t xml:space="preserve">in 200 homes, </w:t>
      </w:r>
      <w:r w:rsidRPr="00A561A5" w:rsidR="001378CF">
        <w:rPr>
          <w:rFonts w:ascii="Times New Roman" w:hAnsi="Times New Roman" w:cs="Times New Roman"/>
        </w:rPr>
        <w:t xml:space="preserve">which will directly benefit </w:t>
      </w:r>
      <w:r w:rsidRPr="00A561A5" w:rsidR="00CE3CF7">
        <w:rPr>
          <w:rFonts w:ascii="Times New Roman" w:hAnsi="Times New Roman" w:cs="Times New Roman"/>
        </w:rPr>
        <w:t xml:space="preserve">a </w:t>
      </w:r>
      <w:r w:rsidRPr="00A561A5" w:rsidR="001378CF">
        <w:rPr>
          <w:rFonts w:ascii="Times New Roman" w:hAnsi="Times New Roman" w:cs="Times New Roman"/>
        </w:rPr>
        <w:t>signatory party whose business involves selling water heater controllers.</w:t>
      </w:r>
      <w:r>
        <w:rPr>
          <w:rStyle w:val="FootnoteReference"/>
          <w:rFonts w:ascii="Times New Roman" w:hAnsi="Times New Roman" w:cs="Times New Roman"/>
        </w:rPr>
        <w:footnoteReference w:id="18"/>
      </w:r>
      <w:r w:rsidRPr="00A561A5" w:rsidR="00331D5D">
        <w:rPr>
          <w:rFonts w:ascii="Times New Roman" w:hAnsi="Times New Roman" w:cs="Times New Roman"/>
        </w:rPr>
        <w:t xml:space="preserve"> Both of these programs are paid out of company profits that I associate with Rider RSC.</w:t>
      </w:r>
    </w:p>
    <w:p w:rsidR="00331D5D" w:rsidRPr="00A561A5" w:rsidP="00F72532">
      <w:pPr>
        <w:spacing w:line="480" w:lineRule="auto"/>
        <w:ind w:left="720" w:hanging="720"/>
        <w:rPr>
          <w:rFonts w:ascii="Times New Roman" w:hAnsi="Times New Roman" w:cs="Times New Roman"/>
        </w:rPr>
      </w:pPr>
    </w:p>
    <w:p w:rsidR="00F31981" w:rsidRPr="00A561A5" w:rsidP="00F31981">
      <w:pPr>
        <w:spacing w:line="480" w:lineRule="auto"/>
        <w:ind w:left="720"/>
        <w:rPr>
          <w:rFonts w:ascii="Times New Roman" w:hAnsi="Times New Roman" w:cs="Times New Roman"/>
        </w:rPr>
      </w:pPr>
      <w:r w:rsidRPr="00A561A5">
        <w:rPr>
          <w:rFonts w:ascii="Times New Roman" w:hAnsi="Times New Roman" w:cs="Times New Roman"/>
        </w:rPr>
        <w:t>Two capital programs paid by the company’s Infrastructure Investment Rider (IIR).</w:t>
      </w:r>
      <w:r>
        <w:rPr>
          <w:rStyle w:val="FootnoteReference"/>
          <w:rFonts w:ascii="Times New Roman" w:hAnsi="Times New Roman" w:cs="Times New Roman"/>
        </w:rPr>
        <w:footnoteReference w:id="19"/>
      </w:r>
      <w:r w:rsidRPr="00A561A5">
        <w:rPr>
          <w:rFonts w:ascii="Times New Roman" w:hAnsi="Times New Roman" w:cs="Times New Roman"/>
        </w:rPr>
        <w:t xml:space="preserve"> The Electric vehicle rebate and charging station program is expected to cost $5.1 million and the Customer Information System is listed as having a cost of $8.8 million.</w:t>
      </w:r>
      <w:r>
        <w:rPr>
          <w:rStyle w:val="FootnoteReference"/>
          <w:rFonts w:ascii="Times New Roman" w:hAnsi="Times New Roman" w:cs="Times New Roman"/>
        </w:rPr>
        <w:footnoteReference w:id="20"/>
      </w:r>
      <w:r w:rsidRPr="00A561A5">
        <w:rPr>
          <w:rFonts w:ascii="Times New Roman" w:hAnsi="Times New Roman" w:cs="Times New Roman"/>
        </w:rPr>
        <w:t xml:space="preserve"> Some signatory industry associations and companies benefit from these two investments.</w:t>
      </w:r>
    </w:p>
    <w:p w:rsidR="00331D5D" w:rsidRPr="00A561A5" w:rsidP="00F72532">
      <w:pPr>
        <w:spacing w:line="480" w:lineRule="auto"/>
        <w:ind w:left="720" w:hanging="720"/>
        <w:rPr>
          <w:rFonts w:ascii="Times New Roman" w:hAnsi="Times New Roman" w:cs="Times New Roman"/>
        </w:rPr>
      </w:pPr>
    </w:p>
    <w:p w:rsidR="006F57F3" w:rsidRPr="00A561A5" w:rsidP="00F72532">
      <w:pPr>
        <w:spacing w:after="120" w:line="480" w:lineRule="auto"/>
        <w:ind w:left="720"/>
        <w:rPr>
          <w:rFonts w:ascii="Times New Roman" w:hAnsi="Times New Roman" w:cs="Times New Roman"/>
        </w:rPr>
      </w:pPr>
      <w:r w:rsidRPr="00A561A5">
        <w:rPr>
          <w:rFonts w:ascii="Times New Roman" w:hAnsi="Times New Roman" w:cs="Times New Roman"/>
        </w:rPr>
        <w:t>With respect to environmental parties, it seems clear to me that their interests</w:t>
      </w:r>
      <w:r w:rsidRPr="00A561A5" w:rsidR="006E5386">
        <w:rPr>
          <w:rFonts w:ascii="Times New Roman" w:hAnsi="Times New Roman" w:cs="Times New Roman"/>
        </w:rPr>
        <w:t xml:space="preserve"> in the Settlement </w:t>
      </w:r>
      <w:r w:rsidRPr="00A561A5" w:rsidR="00717868">
        <w:rPr>
          <w:rFonts w:ascii="Times New Roman" w:hAnsi="Times New Roman" w:cs="Times New Roman"/>
        </w:rPr>
        <w:t>are</w:t>
      </w:r>
      <w:r w:rsidRPr="00A561A5" w:rsidR="006E5386">
        <w:rPr>
          <w:rFonts w:ascii="Times New Roman" w:hAnsi="Times New Roman" w:cs="Times New Roman"/>
        </w:rPr>
        <w:t xml:space="preserve"> in the funding that customers will provide for smart grid investments, which could lead to environmental benefits. The environmental parties did not intervene in any of the other cases included in the Settlement. So although they may not get cash payouts under the Settlement, they still contribute to the creation of the redistributive coalition by adding another “check box” for the PUCO to say that the Settlement is green</w:t>
      </w:r>
      <w:r w:rsidRPr="00A561A5" w:rsidR="00717868">
        <w:rPr>
          <w:rFonts w:ascii="Times New Roman" w:hAnsi="Times New Roman" w:cs="Times New Roman"/>
        </w:rPr>
        <w:t>.</w:t>
      </w:r>
      <w:r w:rsidRPr="00A561A5" w:rsidR="006E5386">
        <w:rPr>
          <w:rFonts w:ascii="Times New Roman" w:hAnsi="Times New Roman" w:cs="Times New Roman"/>
        </w:rPr>
        <w:t xml:space="preserve"> </w:t>
      </w:r>
      <w:r w:rsidRPr="00A561A5" w:rsidR="00717868">
        <w:rPr>
          <w:rFonts w:ascii="Times New Roman" w:hAnsi="Times New Roman" w:cs="Times New Roman"/>
        </w:rPr>
        <w:t>T</w:t>
      </w:r>
      <w:r w:rsidRPr="00A561A5" w:rsidR="006E5386">
        <w:rPr>
          <w:rFonts w:ascii="Times New Roman" w:hAnsi="Times New Roman" w:cs="Times New Roman"/>
        </w:rPr>
        <w:t>he environmental parties do not represent the consumers that will ultimately pay the high cost of the Settlement.</w:t>
      </w:r>
    </w:p>
    <w:p w:rsidR="00F72532" w:rsidRPr="00A561A5" w:rsidP="00F72532">
      <w:pPr>
        <w:spacing w:after="120" w:line="480" w:lineRule="auto"/>
        <w:ind w:left="720"/>
        <w:rPr>
          <w:rFonts w:ascii="Times New Roman" w:hAnsi="Times New Roman" w:cs="Times New Roman"/>
        </w:rPr>
      </w:pPr>
    </w:p>
    <w:p w:rsidR="00F05417" w:rsidRPr="00A561A5" w:rsidP="00FA094E">
      <w:pPr>
        <w:keepNext/>
        <w:spacing w:after="120" w:line="480" w:lineRule="auto"/>
        <w:ind w:left="720" w:hanging="720"/>
        <w:rPr>
          <w:rFonts w:ascii="Times New Roman" w:hAnsi="Times New Roman" w:cs="Times New Roman"/>
          <w:b/>
          <w:bCs/>
          <w:i/>
          <w:iCs/>
        </w:rPr>
      </w:pPr>
      <w:r w:rsidRPr="00A561A5">
        <w:rPr>
          <w:rFonts w:ascii="Times New Roman" w:hAnsi="Times New Roman" w:cs="Times New Roman"/>
          <w:b/>
          <w:bCs/>
          <w:i/>
          <w:iCs/>
        </w:rPr>
        <w:t xml:space="preserve">Q18. </w:t>
      </w:r>
      <w:r w:rsidRPr="00A561A5">
        <w:rPr>
          <w:rFonts w:ascii="Times New Roman" w:hAnsi="Times New Roman" w:cs="Times New Roman"/>
          <w:b/>
          <w:bCs/>
          <w:i/>
          <w:iCs/>
        </w:rPr>
        <w:tab/>
        <w:t>HOW DOES YOUR DISCUSSION OF THE REDISTRIBUTIVE COALITION TIE INTO THE PUCO’S THREE-PRONG TEST?</w:t>
      </w:r>
    </w:p>
    <w:p w:rsidR="0040398A" w:rsidRPr="00A561A5" w:rsidP="00F72532">
      <w:pPr>
        <w:spacing w:line="480" w:lineRule="auto"/>
        <w:ind w:left="720" w:hanging="720"/>
        <w:rPr>
          <w:rFonts w:ascii="Times New Roman" w:hAnsi="Times New Roman" w:cs="Times New Roman"/>
          <w:bCs/>
        </w:rPr>
      </w:pPr>
      <w:r w:rsidRPr="00A561A5">
        <w:rPr>
          <w:rFonts w:ascii="Times New Roman" w:hAnsi="Times New Roman" w:cs="Times New Roman"/>
          <w:b/>
          <w:bCs/>
          <w:i/>
          <w:iCs/>
        </w:rPr>
        <w:t>A</w:t>
      </w:r>
      <w:r w:rsidRPr="00A561A5" w:rsidR="00F72532">
        <w:rPr>
          <w:rFonts w:ascii="Times New Roman" w:hAnsi="Times New Roman" w:cs="Times New Roman"/>
          <w:b/>
          <w:bCs/>
          <w:i/>
          <w:iCs/>
        </w:rPr>
        <w:t>18</w:t>
      </w:r>
      <w:r w:rsidRPr="00A561A5">
        <w:rPr>
          <w:rFonts w:ascii="Times New Roman" w:hAnsi="Times New Roman" w:cs="Times New Roman"/>
          <w:b/>
          <w:bCs/>
          <w:i/>
          <w:iCs/>
        </w:rPr>
        <w:t>.</w:t>
      </w:r>
      <w:r w:rsidRPr="00A561A5">
        <w:rPr>
          <w:rFonts w:ascii="Times New Roman" w:hAnsi="Times New Roman" w:cs="Times New Roman"/>
          <w:b/>
          <w:bCs/>
        </w:rPr>
        <w:tab/>
      </w:r>
      <w:r w:rsidRPr="00A561A5">
        <w:rPr>
          <w:rFonts w:ascii="Times New Roman" w:hAnsi="Times New Roman" w:cs="Times New Roman"/>
          <w:bCs/>
        </w:rPr>
        <w:t>The existence of the redistributive coalition, and the benefits provided to its members under the Settlement, demonstrate that the Settlement fails each of the three prongs of the PUCO’s three-prong test.</w:t>
      </w:r>
    </w:p>
    <w:p w:rsidR="00F72532" w:rsidRPr="00A561A5" w:rsidP="00F72532">
      <w:pPr>
        <w:spacing w:line="480" w:lineRule="auto"/>
        <w:ind w:left="720" w:hanging="720"/>
        <w:rPr>
          <w:rFonts w:ascii="Times New Roman" w:hAnsi="Times New Roman" w:cs="Times New Roman"/>
          <w:bCs/>
        </w:rPr>
      </w:pPr>
    </w:p>
    <w:p w:rsidR="0040398A" w:rsidRPr="00A561A5" w:rsidP="00F72532">
      <w:pPr>
        <w:spacing w:line="480" w:lineRule="auto"/>
        <w:ind w:left="720" w:hanging="720"/>
        <w:rPr>
          <w:rFonts w:ascii="Times New Roman" w:hAnsi="Times New Roman" w:cs="Times New Roman"/>
          <w:bCs/>
          <w:i/>
          <w:iCs/>
        </w:rPr>
      </w:pPr>
      <w:r w:rsidRPr="00A561A5">
        <w:rPr>
          <w:rFonts w:ascii="Times New Roman" w:hAnsi="Times New Roman" w:cs="Times New Roman"/>
          <w:b/>
          <w:bCs/>
          <w:i/>
          <w:iCs/>
        </w:rPr>
        <w:t>Q19.</w:t>
      </w:r>
      <w:r w:rsidRPr="00A561A5">
        <w:rPr>
          <w:rFonts w:ascii="Times New Roman" w:hAnsi="Times New Roman" w:cs="Times New Roman"/>
          <w:b/>
          <w:bCs/>
          <w:i/>
          <w:iCs/>
        </w:rPr>
        <w:tab/>
        <w:t>WHY DO YOU BELIEVE THAT THE SETTLEMENT FAILS THE FIRST PRONG OF THE TEST, THAT THE SETTLEMENT MUST BE THE PRODUCT OF SERIOUS BARGAINING AMONG CAPABLE AND KNOWLEDGEABLE PARTIES?</w:t>
      </w:r>
    </w:p>
    <w:p w:rsidR="00770491" w:rsidRPr="00A561A5" w:rsidP="00A561A5">
      <w:pPr>
        <w:spacing w:line="480" w:lineRule="auto"/>
        <w:ind w:left="720" w:hanging="720"/>
        <w:rPr>
          <w:rFonts w:ascii="Times New Roman" w:hAnsi="Times New Roman" w:cs="Times New Roman"/>
          <w:bCs/>
        </w:rPr>
      </w:pPr>
      <w:r w:rsidRPr="00A561A5">
        <w:rPr>
          <w:rFonts w:ascii="Times New Roman" w:hAnsi="Times New Roman" w:cs="Times New Roman"/>
          <w:b/>
          <w:i/>
          <w:iCs/>
        </w:rPr>
        <w:t>A</w:t>
      </w:r>
      <w:r w:rsidRPr="00A561A5" w:rsidR="00F72532">
        <w:rPr>
          <w:rFonts w:ascii="Times New Roman" w:hAnsi="Times New Roman" w:cs="Times New Roman"/>
          <w:b/>
          <w:i/>
          <w:iCs/>
        </w:rPr>
        <w:t>19</w:t>
      </w:r>
      <w:r w:rsidRPr="00A561A5">
        <w:rPr>
          <w:rFonts w:ascii="Times New Roman" w:hAnsi="Times New Roman" w:cs="Times New Roman"/>
          <w:b/>
          <w:i/>
          <w:iCs/>
        </w:rPr>
        <w:t>.</w:t>
      </w:r>
      <w:r w:rsidRPr="00A561A5">
        <w:rPr>
          <w:rFonts w:ascii="Times New Roman" w:hAnsi="Times New Roman" w:cs="Times New Roman"/>
          <w:bCs/>
        </w:rPr>
        <w:tab/>
        <w:t xml:space="preserve">First, I note that the first prong of the test—requiring parties to be capable and knowledgeable—is problematic in its own right because it suggests that less sophisticated parties </w:t>
      </w:r>
      <w:r w:rsidRPr="00A561A5" w:rsidR="00717868">
        <w:rPr>
          <w:rFonts w:ascii="Times New Roman" w:hAnsi="Times New Roman" w:cs="Times New Roman"/>
          <w:bCs/>
        </w:rPr>
        <w:t>do not have a place in PUCO settlements</w:t>
      </w:r>
      <w:r w:rsidRPr="00A561A5">
        <w:rPr>
          <w:rFonts w:ascii="Times New Roman" w:hAnsi="Times New Roman" w:cs="Times New Roman"/>
          <w:bCs/>
        </w:rPr>
        <w:t>. This further solidifies the redistributive coalition’s hold over the PUCO process</w:t>
      </w:r>
      <w:r w:rsidRPr="00A561A5" w:rsidR="00D83071">
        <w:rPr>
          <w:rFonts w:ascii="Times New Roman" w:hAnsi="Times New Roman" w:cs="Times New Roman"/>
          <w:bCs/>
        </w:rPr>
        <w:t>.</w:t>
      </w:r>
      <w:r w:rsidRPr="00A561A5" w:rsidR="0088359B">
        <w:rPr>
          <w:rFonts w:ascii="Times New Roman" w:hAnsi="Times New Roman" w:cs="Times New Roman"/>
          <w:bCs/>
        </w:rPr>
        <w:t xml:space="preserve">  </w:t>
      </w:r>
    </w:p>
    <w:p w:rsidR="00770491" w:rsidRPr="00A561A5" w:rsidP="0088359B">
      <w:pPr>
        <w:spacing w:line="480" w:lineRule="auto"/>
        <w:ind w:left="720"/>
        <w:rPr>
          <w:rFonts w:ascii="Times New Roman" w:hAnsi="Times New Roman" w:cs="Times New Roman"/>
        </w:rPr>
      </w:pPr>
    </w:p>
    <w:p w:rsidR="0088359B" w:rsidRPr="00A561A5" w:rsidP="0088359B">
      <w:pPr>
        <w:spacing w:line="480" w:lineRule="auto"/>
        <w:ind w:left="720"/>
        <w:rPr>
          <w:rFonts w:ascii="Times New Roman" w:hAnsi="Times New Roman" w:cs="Times New Roman"/>
        </w:rPr>
      </w:pPr>
      <w:r w:rsidRPr="00A561A5">
        <w:rPr>
          <w:rFonts w:ascii="Times New Roman" w:hAnsi="Times New Roman" w:cs="Times New Roman"/>
        </w:rPr>
        <w:t>Second,</w:t>
      </w:r>
      <w:r w:rsidRPr="00A561A5">
        <w:rPr>
          <w:rFonts w:ascii="Times New Roman" w:hAnsi="Times New Roman" w:cs="Times New Roman"/>
        </w:rPr>
        <w:t xml:space="preserve"> under the PUCO’s settlement standard, parties </w:t>
      </w:r>
      <w:r w:rsidRPr="00A561A5">
        <w:rPr>
          <w:rFonts w:ascii="Times New Roman" w:hAnsi="Times New Roman" w:cs="Times New Roman"/>
        </w:rPr>
        <w:t xml:space="preserve">in opposition </w:t>
      </w:r>
      <w:r w:rsidRPr="00A561A5" w:rsidR="009B576E">
        <w:rPr>
          <w:rFonts w:ascii="Times New Roman" w:hAnsi="Times New Roman" w:cs="Times New Roman"/>
        </w:rPr>
        <w:t>are</w:t>
      </w:r>
      <w:r w:rsidRPr="00A561A5">
        <w:rPr>
          <w:rFonts w:ascii="Times New Roman" w:hAnsi="Times New Roman" w:cs="Times New Roman"/>
        </w:rPr>
        <w:t xml:space="preserve"> pressed to join the redistributive coalition</w:t>
      </w:r>
      <w:r w:rsidRPr="00A561A5" w:rsidR="009B576E">
        <w:rPr>
          <w:rFonts w:ascii="Times New Roman" w:hAnsi="Times New Roman" w:cs="Times New Roman"/>
        </w:rPr>
        <w:t>. The staff of the PUCO participates in the bargaining and is in a position to signal when they favor a proposed settlement and the window on bargaining is about to close. The opposition to the settlement can maintain their opposition knowing that the settlement as proposed is likely to be approved or they can join in and extract some direct benefit. The advantage for the coalition is that late comers do not cost them anything</w:t>
      </w:r>
      <w:r w:rsidRPr="00A561A5" w:rsidR="00A14B34">
        <w:rPr>
          <w:rFonts w:ascii="Times New Roman" w:hAnsi="Times New Roman" w:cs="Times New Roman"/>
        </w:rPr>
        <w:t>. T</w:t>
      </w:r>
      <w:r w:rsidRPr="00A561A5" w:rsidR="009B576E">
        <w:rPr>
          <w:rFonts w:ascii="Times New Roman" w:hAnsi="Times New Roman" w:cs="Times New Roman"/>
        </w:rPr>
        <w:t>he formerly opposing party is legally bound to support the settlement</w:t>
      </w:r>
      <w:r w:rsidRPr="00A561A5" w:rsidR="00A14B34">
        <w:rPr>
          <w:rFonts w:ascii="Times New Roman" w:hAnsi="Times New Roman" w:cs="Times New Roman"/>
        </w:rPr>
        <w:t>. A</w:t>
      </w:r>
      <w:r w:rsidRPr="00A561A5" w:rsidR="009B576E">
        <w:rPr>
          <w:rFonts w:ascii="Times New Roman" w:hAnsi="Times New Roman" w:cs="Times New Roman"/>
        </w:rPr>
        <w:t>nd the PUCO commissioners are more likely to support the proposal.</w:t>
      </w:r>
      <w:r w:rsidRPr="00A561A5">
        <w:rPr>
          <w:rFonts w:ascii="Times New Roman" w:hAnsi="Times New Roman" w:cs="Times New Roman"/>
        </w:rPr>
        <w:t xml:space="preserve"> </w:t>
      </w:r>
      <w:r w:rsidRPr="00A561A5" w:rsidR="001F595A">
        <w:rPr>
          <w:rFonts w:ascii="Times New Roman" w:hAnsi="Times New Roman" w:cs="Times New Roman"/>
        </w:rPr>
        <w:t>The PUCO should ban this practice of a utility paying cash and cash equivalent benefits in exchange for signatures on a settleme</w:t>
      </w:r>
      <w:r w:rsidRPr="00A561A5" w:rsidR="000E08BE">
        <w:rPr>
          <w:rFonts w:ascii="Times New Roman" w:hAnsi="Times New Roman" w:cs="Times New Roman"/>
        </w:rPr>
        <w:t>nt.</w:t>
      </w:r>
    </w:p>
    <w:p w:rsidR="00F31981" w:rsidRPr="00A561A5" w:rsidP="00F31981">
      <w:pPr>
        <w:spacing w:line="480" w:lineRule="auto"/>
        <w:rPr>
          <w:rFonts w:ascii="Times New Roman" w:hAnsi="Times New Roman" w:cs="Times New Roman"/>
          <w:bCs/>
        </w:rPr>
      </w:pPr>
    </w:p>
    <w:p w:rsidR="00116C22" w:rsidRPr="00A561A5" w:rsidP="00F72532">
      <w:pPr>
        <w:spacing w:line="480" w:lineRule="auto"/>
        <w:ind w:left="720"/>
        <w:rPr>
          <w:rFonts w:ascii="Times New Roman" w:hAnsi="Times New Roman" w:cs="Times New Roman"/>
          <w:bCs/>
        </w:rPr>
      </w:pPr>
      <w:r w:rsidRPr="00A561A5">
        <w:rPr>
          <w:rFonts w:ascii="Times New Roman" w:hAnsi="Times New Roman" w:cs="Times New Roman"/>
          <w:bCs/>
        </w:rPr>
        <w:t>Third</w:t>
      </w:r>
      <w:r w:rsidRPr="00A561A5" w:rsidR="007321B6">
        <w:rPr>
          <w:rFonts w:ascii="Times New Roman" w:hAnsi="Times New Roman" w:cs="Times New Roman"/>
          <w:bCs/>
        </w:rPr>
        <w:t xml:space="preserve">, </w:t>
      </w:r>
      <w:r w:rsidRPr="00A561A5" w:rsidR="00AA2CEA">
        <w:rPr>
          <w:rFonts w:ascii="Times New Roman" w:hAnsi="Times New Roman" w:cs="Times New Roman"/>
          <w:bCs/>
        </w:rPr>
        <w:t xml:space="preserve">the existence of the redistributive coalition demonstrates why serious bargaining did not occur. Serious bargaining would involve the utility making material concessions for the benefit of all customers. Instead, DP&amp;L got basically </w:t>
      </w:r>
      <w:r w:rsidRPr="00A561A5">
        <w:rPr>
          <w:rFonts w:ascii="Times New Roman" w:hAnsi="Times New Roman" w:cs="Times New Roman"/>
          <w:bCs/>
        </w:rPr>
        <w:t xml:space="preserve">most of what </w:t>
      </w:r>
      <w:r w:rsidRPr="00A561A5" w:rsidR="00AA2CEA">
        <w:rPr>
          <w:rFonts w:ascii="Times New Roman" w:hAnsi="Times New Roman" w:cs="Times New Roman"/>
          <w:bCs/>
        </w:rPr>
        <w:t>it wanted</w:t>
      </w:r>
      <w:r w:rsidRPr="00A561A5">
        <w:rPr>
          <w:rFonts w:ascii="Times New Roman" w:hAnsi="Times New Roman" w:cs="Times New Roman"/>
          <w:bCs/>
        </w:rPr>
        <w:t>. The company’s</w:t>
      </w:r>
      <w:r w:rsidRPr="00A561A5">
        <w:rPr>
          <w:rFonts w:ascii="Times New Roman" w:hAnsi="Times New Roman" w:cs="Times New Roman"/>
          <w:bCs/>
        </w:rPr>
        <w:t xml:space="preserve"> distribution modernization charge was terminated when the Ohio Supreme Court invalidated </w:t>
      </w:r>
      <w:r w:rsidRPr="00A561A5">
        <w:rPr>
          <w:rFonts w:ascii="Times New Roman" w:hAnsi="Times New Roman" w:cs="Times New Roman"/>
          <w:bCs/>
        </w:rPr>
        <w:t xml:space="preserve">a similar charge that was assessed by </w:t>
      </w:r>
      <w:r w:rsidRPr="00A561A5">
        <w:rPr>
          <w:rFonts w:ascii="Times New Roman" w:hAnsi="Times New Roman" w:cs="Times New Roman"/>
          <w:bCs/>
        </w:rPr>
        <w:t>FirstEnergy. DP&amp;L got</w:t>
      </w:r>
      <w:r w:rsidRPr="00A561A5" w:rsidR="00AA2CEA">
        <w:rPr>
          <w:rFonts w:ascii="Times New Roman" w:hAnsi="Times New Roman" w:cs="Times New Roman"/>
          <w:bCs/>
        </w:rPr>
        <w:t xml:space="preserve"> another four years of </w:t>
      </w:r>
      <w:r w:rsidRPr="00A561A5">
        <w:rPr>
          <w:rFonts w:ascii="Times New Roman" w:hAnsi="Times New Roman" w:cs="Times New Roman"/>
          <w:bCs/>
        </w:rPr>
        <w:t>unearned revenue</w:t>
      </w:r>
      <w:r w:rsidRPr="00A561A5" w:rsidR="00AA2CEA">
        <w:rPr>
          <w:rFonts w:ascii="Times New Roman" w:hAnsi="Times New Roman" w:cs="Times New Roman"/>
          <w:bCs/>
        </w:rPr>
        <w:t xml:space="preserve"> in the form of continuing the $79-million-per-year Rate Stabilization Charge, customer funding for smart grid, and avoiding </w:t>
      </w:r>
      <w:r w:rsidRPr="00A561A5" w:rsidR="00796D8A">
        <w:rPr>
          <w:rFonts w:ascii="Times New Roman" w:hAnsi="Times New Roman" w:cs="Times New Roman"/>
          <w:bCs/>
        </w:rPr>
        <w:t xml:space="preserve">the potential of </w:t>
      </w:r>
      <w:r w:rsidRPr="00A561A5" w:rsidR="00AA2CEA">
        <w:rPr>
          <w:rFonts w:ascii="Times New Roman" w:hAnsi="Times New Roman" w:cs="Times New Roman"/>
          <w:bCs/>
        </w:rPr>
        <w:t>paying</w:t>
      </w:r>
      <w:r w:rsidRPr="00A561A5">
        <w:rPr>
          <w:rFonts w:ascii="Times New Roman" w:hAnsi="Times New Roman" w:cs="Times New Roman"/>
          <w:bCs/>
        </w:rPr>
        <w:t xml:space="preserve"> customers</w:t>
      </w:r>
      <w:r w:rsidRPr="00A561A5" w:rsidR="00AA2CEA">
        <w:rPr>
          <w:rFonts w:ascii="Times New Roman" w:hAnsi="Times New Roman" w:cs="Times New Roman"/>
          <w:bCs/>
        </w:rPr>
        <w:t xml:space="preserve"> </w:t>
      </w:r>
      <w:r w:rsidRPr="00A561A5" w:rsidR="00796D8A">
        <w:rPr>
          <w:rFonts w:ascii="Times New Roman" w:hAnsi="Times New Roman" w:cs="Times New Roman"/>
          <w:bCs/>
        </w:rPr>
        <w:t>for</w:t>
      </w:r>
      <w:r w:rsidRPr="00A561A5" w:rsidR="00AA2CEA">
        <w:rPr>
          <w:rFonts w:ascii="Times New Roman" w:hAnsi="Times New Roman" w:cs="Times New Roman"/>
          <w:bCs/>
        </w:rPr>
        <w:t xml:space="preserve"> </w:t>
      </w:r>
      <w:r w:rsidRPr="00A561A5">
        <w:rPr>
          <w:rFonts w:ascii="Times New Roman" w:hAnsi="Times New Roman" w:cs="Times New Roman"/>
          <w:bCs/>
        </w:rPr>
        <w:t xml:space="preserve">profit-related </w:t>
      </w:r>
      <w:r w:rsidRPr="00A561A5" w:rsidR="00AA2CEA">
        <w:rPr>
          <w:rFonts w:ascii="Times New Roman" w:hAnsi="Times New Roman" w:cs="Times New Roman"/>
          <w:bCs/>
        </w:rPr>
        <w:t>refunds</w:t>
      </w:r>
      <w:r w:rsidRPr="00A561A5">
        <w:rPr>
          <w:rFonts w:ascii="Times New Roman" w:hAnsi="Times New Roman" w:cs="Times New Roman"/>
          <w:bCs/>
        </w:rPr>
        <w:t>.</w:t>
      </w:r>
      <w:r>
        <w:rPr>
          <w:rStyle w:val="FootnoteReference"/>
          <w:rFonts w:ascii="Times New Roman" w:hAnsi="Times New Roman" w:cs="Times New Roman"/>
          <w:bCs/>
        </w:rPr>
        <w:footnoteReference w:id="21"/>
      </w:r>
      <w:r w:rsidRPr="00A561A5" w:rsidR="00AA2CEA">
        <w:rPr>
          <w:rFonts w:ascii="Times New Roman" w:hAnsi="Times New Roman" w:cs="Times New Roman"/>
          <w:bCs/>
        </w:rPr>
        <w:t xml:space="preserve"> In exchange, it “negotiated” $30 million in payouts </w:t>
      </w:r>
      <w:r w:rsidRPr="00A561A5">
        <w:rPr>
          <w:rFonts w:ascii="Times New Roman" w:hAnsi="Times New Roman" w:cs="Times New Roman"/>
          <w:bCs/>
        </w:rPr>
        <w:t xml:space="preserve">to </w:t>
      </w:r>
      <w:r w:rsidRPr="00A561A5" w:rsidR="00AA2CEA">
        <w:rPr>
          <w:rFonts w:ascii="Times New Roman" w:hAnsi="Times New Roman" w:cs="Times New Roman"/>
          <w:bCs/>
        </w:rPr>
        <w:t xml:space="preserve">signatory parties—money that is redistributed from the $300 million in Rate Stabilization Charge money paid by customers. </w:t>
      </w:r>
    </w:p>
    <w:p w:rsidR="00116C22" w:rsidRPr="00A561A5" w:rsidP="00F72532">
      <w:pPr>
        <w:spacing w:line="480" w:lineRule="auto"/>
        <w:ind w:left="720"/>
        <w:rPr>
          <w:rFonts w:ascii="Times New Roman" w:hAnsi="Times New Roman" w:cs="Times New Roman"/>
          <w:bCs/>
        </w:rPr>
      </w:pPr>
    </w:p>
    <w:p w:rsidR="0040398A" w:rsidRPr="00A561A5" w:rsidP="00F72532">
      <w:pPr>
        <w:spacing w:line="480" w:lineRule="auto"/>
        <w:ind w:left="720"/>
        <w:rPr>
          <w:rFonts w:ascii="Times New Roman" w:hAnsi="Times New Roman" w:cs="Times New Roman"/>
          <w:bCs/>
        </w:rPr>
      </w:pPr>
      <w:r w:rsidRPr="00A561A5">
        <w:rPr>
          <w:rFonts w:ascii="Times New Roman" w:hAnsi="Times New Roman" w:cs="Times New Roman"/>
          <w:bCs/>
        </w:rPr>
        <w:t>Those</w:t>
      </w:r>
      <w:r w:rsidRPr="00A561A5" w:rsidR="003A1A98">
        <w:rPr>
          <w:rFonts w:ascii="Times New Roman" w:hAnsi="Times New Roman" w:cs="Times New Roman"/>
          <w:bCs/>
        </w:rPr>
        <w:t xml:space="preserve"> not part of the redistributive coalition get higher utility bills</w:t>
      </w:r>
      <w:r w:rsidRPr="00A561A5">
        <w:rPr>
          <w:rFonts w:ascii="Times New Roman" w:hAnsi="Times New Roman" w:cs="Times New Roman"/>
          <w:bCs/>
        </w:rPr>
        <w:t>.</w:t>
      </w:r>
      <w:r w:rsidRPr="00A561A5" w:rsidR="003A1A98">
        <w:rPr>
          <w:rFonts w:ascii="Times New Roman" w:hAnsi="Times New Roman" w:cs="Times New Roman"/>
          <w:bCs/>
        </w:rPr>
        <w:t xml:space="preserve"> </w:t>
      </w:r>
      <w:r w:rsidRPr="00A561A5">
        <w:rPr>
          <w:rFonts w:ascii="Times New Roman" w:hAnsi="Times New Roman" w:cs="Times New Roman"/>
          <w:bCs/>
        </w:rPr>
        <w:t>And</w:t>
      </w:r>
      <w:r w:rsidRPr="00A561A5" w:rsidR="003A1A98">
        <w:rPr>
          <w:rFonts w:ascii="Times New Roman" w:hAnsi="Times New Roman" w:cs="Times New Roman"/>
          <w:bCs/>
        </w:rPr>
        <w:t xml:space="preserve"> </w:t>
      </w:r>
      <w:r w:rsidRPr="00A561A5">
        <w:rPr>
          <w:rFonts w:ascii="Times New Roman" w:hAnsi="Times New Roman" w:cs="Times New Roman"/>
          <w:bCs/>
        </w:rPr>
        <w:t xml:space="preserve">various </w:t>
      </w:r>
      <w:r w:rsidRPr="00A561A5" w:rsidR="003A1A98">
        <w:rPr>
          <w:rFonts w:ascii="Times New Roman" w:hAnsi="Times New Roman" w:cs="Times New Roman"/>
          <w:bCs/>
        </w:rPr>
        <w:t>business</w:t>
      </w:r>
      <w:r w:rsidRPr="00A561A5">
        <w:rPr>
          <w:rFonts w:ascii="Times New Roman" w:hAnsi="Times New Roman" w:cs="Times New Roman"/>
          <w:bCs/>
        </w:rPr>
        <w:t>es</w:t>
      </w:r>
      <w:r w:rsidRPr="00A561A5" w:rsidR="003A1A98">
        <w:rPr>
          <w:rFonts w:ascii="Times New Roman" w:hAnsi="Times New Roman" w:cs="Times New Roman"/>
          <w:bCs/>
        </w:rPr>
        <w:t xml:space="preserve"> </w:t>
      </w:r>
      <w:r w:rsidRPr="00A561A5">
        <w:rPr>
          <w:rFonts w:ascii="Times New Roman" w:hAnsi="Times New Roman" w:cs="Times New Roman"/>
          <w:bCs/>
        </w:rPr>
        <w:t xml:space="preserve">who are not Settlement signatories </w:t>
      </w:r>
      <w:r w:rsidRPr="00A561A5" w:rsidR="00375503">
        <w:rPr>
          <w:rFonts w:ascii="Times New Roman" w:hAnsi="Times New Roman" w:cs="Times New Roman"/>
          <w:bCs/>
        </w:rPr>
        <w:t xml:space="preserve">will </w:t>
      </w:r>
      <w:r w:rsidRPr="00A561A5" w:rsidR="003A1A98">
        <w:rPr>
          <w:rFonts w:ascii="Times New Roman" w:hAnsi="Times New Roman" w:cs="Times New Roman"/>
          <w:bCs/>
        </w:rPr>
        <w:t>compete</w:t>
      </w:r>
      <w:r w:rsidRPr="00A561A5" w:rsidR="00375503">
        <w:rPr>
          <w:rFonts w:ascii="Times New Roman" w:hAnsi="Times New Roman" w:cs="Times New Roman"/>
          <w:bCs/>
        </w:rPr>
        <w:t xml:space="preserve"> </w:t>
      </w:r>
      <w:r w:rsidRPr="00A561A5" w:rsidR="003A1A98">
        <w:rPr>
          <w:rFonts w:ascii="Times New Roman" w:hAnsi="Times New Roman" w:cs="Times New Roman"/>
          <w:bCs/>
        </w:rPr>
        <w:t>with signatory parties whose business</w:t>
      </w:r>
      <w:r w:rsidRPr="00A561A5" w:rsidR="00D83071">
        <w:rPr>
          <w:rFonts w:ascii="Times New Roman" w:hAnsi="Times New Roman" w:cs="Times New Roman"/>
          <w:bCs/>
        </w:rPr>
        <w:t>es</w:t>
      </w:r>
      <w:r w:rsidRPr="00A561A5" w:rsidR="003A1A98">
        <w:rPr>
          <w:rFonts w:ascii="Times New Roman" w:hAnsi="Times New Roman" w:cs="Times New Roman"/>
          <w:bCs/>
        </w:rPr>
        <w:t xml:space="preserve"> are subsidized by </w:t>
      </w:r>
      <w:r w:rsidRPr="00A561A5" w:rsidR="00375503">
        <w:rPr>
          <w:rFonts w:ascii="Times New Roman" w:hAnsi="Times New Roman" w:cs="Times New Roman"/>
          <w:bCs/>
        </w:rPr>
        <w:t xml:space="preserve">the Settlement’s </w:t>
      </w:r>
      <w:r w:rsidRPr="00A561A5" w:rsidR="003A1A98">
        <w:rPr>
          <w:rFonts w:ascii="Times New Roman" w:hAnsi="Times New Roman" w:cs="Times New Roman"/>
          <w:bCs/>
        </w:rPr>
        <w:t>government-sanctioned cash payouts.</w:t>
      </w:r>
      <w:r w:rsidRPr="00A561A5" w:rsidR="009B576E">
        <w:rPr>
          <w:rFonts w:ascii="Times New Roman" w:hAnsi="Times New Roman" w:cs="Times New Roman"/>
          <w:bCs/>
        </w:rPr>
        <w:t xml:space="preserve"> Private businesses that are not part of the settlement not only have to compete against competitors, that are signatories, but they also pay part of the subsidy their competitors receive.</w:t>
      </w:r>
    </w:p>
    <w:p w:rsidR="003A1A98" w:rsidRPr="00A561A5" w:rsidP="00F72532">
      <w:pPr>
        <w:spacing w:line="480" w:lineRule="auto"/>
        <w:ind w:left="720" w:hanging="720"/>
        <w:rPr>
          <w:rFonts w:ascii="Times New Roman" w:hAnsi="Times New Roman" w:cs="Times New Roman"/>
          <w:b/>
          <w:bCs/>
          <w:i/>
          <w:iCs/>
        </w:rPr>
      </w:pPr>
      <w:r w:rsidRPr="00A561A5">
        <w:rPr>
          <w:rFonts w:ascii="Times New Roman" w:hAnsi="Times New Roman" w:cs="Times New Roman"/>
          <w:b/>
          <w:bCs/>
          <w:i/>
          <w:iCs/>
        </w:rPr>
        <w:t>Q20.</w:t>
      </w:r>
      <w:r w:rsidRPr="00A561A5">
        <w:rPr>
          <w:rFonts w:ascii="Times New Roman" w:hAnsi="Times New Roman" w:cs="Times New Roman"/>
          <w:b/>
          <w:bCs/>
          <w:i/>
          <w:iCs/>
        </w:rPr>
        <w:tab/>
        <w:t>WHY DO YOU BELIEVE THAT THE SETTLEMENT FAILS THE SECOND PRONG OF THE TEST, THAT THE SETTLEMENT MUST BENEFIT CUSTOMERS AND THE PUBLIC INTEREST?</w:t>
      </w:r>
    </w:p>
    <w:p w:rsidR="003A1A98" w:rsidRPr="00A561A5" w:rsidP="00F72532">
      <w:pPr>
        <w:spacing w:line="480" w:lineRule="auto"/>
        <w:ind w:left="720" w:hanging="720"/>
        <w:rPr>
          <w:rFonts w:ascii="Times New Roman" w:hAnsi="Times New Roman" w:cs="Times New Roman"/>
          <w:bCs/>
        </w:rPr>
      </w:pPr>
      <w:r w:rsidRPr="00A561A5">
        <w:rPr>
          <w:rFonts w:ascii="Times New Roman" w:hAnsi="Times New Roman" w:cs="Times New Roman"/>
          <w:b/>
          <w:bCs/>
          <w:i/>
          <w:iCs/>
        </w:rPr>
        <w:t>A</w:t>
      </w:r>
      <w:r w:rsidRPr="00A561A5" w:rsidR="00F72532">
        <w:rPr>
          <w:rFonts w:ascii="Times New Roman" w:hAnsi="Times New Roman" w:cs="Times New Roman"/>
          <w:b/>
          <w:bCs/>
          <w:i/>
          <w:iCs/>
        </w:rPr>
        <w:t>20</w:t>
      </w:r>
      <w:r w:rsidRPr="00A561A5">
        <w:rPr>
          <w:rFonts w:ascii="Times New Roman" w:hAnsi="Times New Roman" w:cs="Times New Roman"/>
          <w:b/>
          <w:bCs/>
          <w:i/>
          <w:iCs/>
        </w:rPr>
        <w:t>.</w:t>
      </w:r>
      <w:r w:rsidRPr="00A561A5">
        <w:rPr>
          <w:rFonts w:ascii="Times New Roman" w:hAnsi="Times New Roman" w:cs="Times New Roman"/>
          <w:b/>
          <w:bCs/>
        </w:rPr>
        <w:tab/>
      </w:r>
      <w:r w:rsidRPr="00A561A5" w:rsidR="009B576E">
        <w:rPr>
          <w:rFonts w:ascii="Times New Roman" w:hAnsi="Times New Roman" w:cs="Times New Roman"/>
          <w:bCs/>
        </w:rPr>
        <w:t>C</w:t>
      </w:r>
      <w:r w:rsidRPr="00A561A5" w:rsidR="0022092E">
        <w:rPr>
          <w:rFonts w:ascii="Times New Roman" w:hAnsi="Times New Roman" w:cs="Times New Roman"/>
          <w:bCs/>
        </w:rPr>
        <w:t xml:space="preserve">ustomers </w:t>
      </w:r>
      <w:r w:rsidRPr="00A561A5" w:rsidR="009B576E">
        <w:rPr>
          <w:rFonts w:ascii="Times New Roman" w:hAnsi="Times New Roman" w:cs="Times New Roman"/>
          <w:bCs/>
        </w:rPr>
        <w:t xml:space="preserve">that are not members of the redistributive </w:t>
      </w:r>
      <w:r w:rsidRPr="00A561A5" w:rsidR="00261A53">
        <w:rPr>
          <w:rFonts w:ascii="Times New Roman" w:hAnsi="Times New Roman" w:cs="Times New Roman"/>
          <w:bCs/>
        </w:rPr>
        <w:t xml:space="preserve">coalition </w:t>
      </w:r>
      <w:r w:rsidRPr="00A561A5" w:rsidR="0022092E">
        <w:rPr>
          <w:rFonts w:ascii="Times New Roman" w:hAnsi="Times New Roman" w:cs="Times New Roman"/>
          <w:bCs/>
          <w:i/>
        </w:rPr>
        <w:t>do not</w:t>
      </w:r>
      <w:r w:rsidRPr="00A561A5" w:rsidR="0022092E">
        <w:rPr>
          <w:rFonts w:ascii="Times New Roman" w:hAnsi="Times New Roman" w:cs="Times New Roman"/>
          <w:bCs/>
        </w:rPr>
        <w:t xml:space="preserve"> benefit from the PUCO settlement process. The signatory parties create redistributive coalition</w:t>
      </w:r>
      <w:r w:rsidRPr="00A561A5" w:rsidR="009B576E">
        <w:rPr>
          <w:rFonts w:ascii="Times New Roman" w:hAnsi="Times New Roman" w:cs="Times New Roman"/>
          <w:bCs/>
        </w:rPr>
        <w:t>s</w:t>
      </w:r>
      <w:r w:rsidRPr="00A561A5" w:rsidR="0022092E">
        <w:rPr>
          <w:rFonts w:ascii="Times New Roman" w:hAnsi="Times New Roman" w:cs="Times New Roman"/>
          <w:bCs/>
        </w:rPr>
        <w:t xml:space="preserve"> for the purpose of gaining an advantage for themselves.</w:t>
      </w:r>
      <w:r w:rsidRPr="00A561A5" w:rsidR="001E2A81">
        <w:rPr>
          <w:rFonts w:ascii="Times New Roman" w:hAnsi="Times New Roman" w:cs="Times New Roman"/>
          <w:bCs/>
        </w:rPr>
        <w:t xml:space="preserve"> </w:t>
      </w:r>
    </w:p>
    <w:p w:rsidR="00F72532" w:rsidRPr="00A561A5" w:rsidP="00F72532">
      <w:pPr>
        <w:spacing w:line="480" w:lineRule="auto"/>
        <w:ind w:left="720" w:hanging="720"/>
        <w:rPr>
          <w:rFonts w:ascii="Times New Roman" w:hAnsi="Times New Roman" w:cs="Times New Roman"/>
          <w:bCs/>
        </w:rPr>
      </w:pPr>
    </w:p>
    <w:p w:rsidR="00D83071" w:rsidRPr="00A561A5" w:rsidP="00F72532">
      <w:pPr>
        <w:spacing w:line="480" w:lineRule="auto"/>
        <w:ind w:left="720"/>
        <w:rPr>
          <w:rFonts w:ascii="Times New Roman" w:hAnsi="Times New Roman" w:cs="Times New Roman"/>
          <w:bCs/>
        </w:rPr>
      </w:pPr>
      <w:r w:rsidRPr="00A561A5">
        <w:rPr>
          <w:rFonts w:ascii="Times New Roman" w:hAnsi="Times New Roman" w:cs="Times New Roman"/>
          <w:bCs/>
        </w:rPr>
        <w:t xml:space="preserve">As I explained above, the Settlement </w:t>
      </w:r>
      <w:r w:rsidRPr="00A561A5" w:rsidR="00261A53">
        <w:rPr>
          <w:rFonts w:ascii="Times New Roman" w:hAnsi="Times New Roman" w:cs="Times New Roman"/>
          <w:bCs/>
        </w:rPr>
        <w:t>is</w:t>
      </w:r>
      <w:r w:rsidRPr="00A561A5">
        <w:rPr>
          <w:rFonts w:ascii="Times New Roman" w:hAnsi="Times New Roman" w:cs="Times New Roman"/>
          <w:bCs/>
        </w:rPr>
        <w:t xml:space="preserve"> unfair for customers that are not part of the redistributive coalition. </w:t>
      </w:r>
      <w:r w:rsidRPr="00A561A5" w:rsidR="00261A53">
        <w:rPr>
          <w:rFonts w:ascii="Times New Roman" w:hAnsi="Times New Roman" w:cs="Times New Roman"/>
          <w:bCs/>
        </w:rPr>
        <w:t>T</w:t>
      </w:r>
      <w:r w:rsidRPr="00A561A5">
        <w:rPr>
          <w:rFonts w:ascii="Times New Roman" w:hAnsi="Times New Roman" w:cs="Times New Roman"/>
          <w:bCs/>
        </w:rPr>
        <w:t>h</w:t>
      </w:r>
      <w:r w:rsidRPr="00A561A5" w:rsidR="00735D79">
        <w:rPr>
          <w:rFonts w:ascii="Times New Roman" w:hAnsi="Times New Roman" w:cs="Times New Roman"/>
          <w:bCs/>
        </w:rPr>
        <w:t>ose customers</w:t>
      </w:r>
      <w:r w:rsidRPr="00A561A5">
        <w:rPr>
          <w:rFonts w:ascii="Times New Roman" w:hAnsi="Times New Roman" w:cs="Times New Roman"/>
          <w:bCs/>
        </w:rPr>
        <w:t xml:space="preserve"> will pay hundreds of millions of dollars in subsidies to DP&amp;L</w:t>
      </w:r>
      <w:r w:rsidRPr="00A561A5" w:rsidR="00735D79">
        <w:rPr>
          <w:rFonts w:ascii="Times New Roman" w:hAnsi="Times New Roman" w:cs="Times New Roman"/>
          <w:bCs/>
        </w:rPr>
        <w:t xml:space="preserve"> for the </w:t>
      </w:r>
      <w:r w:rsidRPr="00A561A5" w:rsidR="0088359B">
        <w:rPr>
          <w:rFonts w:ascii="Times New Roman" w:hAnsi="Times New Roman" w:cs="Times New Roman"/>
          <w:bCs/>
        </w:rPr>
        <w:t>Rate Stabilization Charge</w:t>
      </w:r>
      <w:r w:rsidRPr="00A561A5" w:rsidR="00735D79">
        <w:rPr>
          <w:rFonts w:ascii="Times New Roman" w:hAnsi="Times New Roman" w:cs="Times New Roman"/>
          <w:bCs/>
        </w:rPr>
        <w:t xml:space="preserve">, without </w:t>
      </w:r>
      <w:r w:rsidRPr="00A561A5" w:rsidR="009B576E">
        <w:rPr>
          <w:rFonts w:ascii="Times New Roman" w:hAnsi="Times New Roman" w:cs="Times New Roman"/>
          <w:bCs/>
        </w:rPr>
        <w:t>experiencing any direct benefits</w:t>
      </w:r>
      <w:r w:rsidRPr="00A561A5" w:rsidR="00261A53">
        <w:rPr>
          <w:rFonts w:ascii="Times New Roman" w:hAnsi="Times New Roman" w:cs="Times New Roman"/>
          <w:bCs/>
        </w:rPr>
        <w:t>.</w:t>
      </w:r>
      <w:r w:rsidRPr="00A561A5">
        <w:rPr>
          <w:rFonts w:ascii="Times New Roman" w:hAnsi="Times New Roman" w:cs="Times New Roman"/>
          <w:bCs/>
        </w:rPr>
        <w:t xml:space="preserve"> </w:t>
      </w:r>
      <w:r w:rsidRPr="00A561A5" w:rsidR="00735D79">
        <w:rPr>
          <w:rFonts w:ascii="Times New Roman" w:hAnsi="Times New Roman" w:cs="Times New Roman"/>
          <w:bCs/>
        </w:rPr>
        <w:t xml:space="preserve">They will pay </w:t>
      </w:r>
      <w:r w:rsidRPr="00A561A5">
        <w:rPr>
          <w:rFonts w:ascii="Times New Roman" w:hAnsi="Times New Roman" w:cs="Times New Roman"/>
          <w:bCs/>
        </w:rPr>
        <w:t xml:space="preserve">more than $100 million over four years for </w:t>
      </w:r>
      <w:r w:rsidRPr="00A561A5" w:rsidR="00172F00">
        <w:rPr>
          <w:rFonts w:ascii="Times New Roman" w:hAnsi="Times New Roman" w:cs="Times New Roman"/>
          <w:bCs/>
        </w:rPr>
        <w:t xml:space="preserve">a </w:t>
      </w:r>
      <w:r w:rsidRPr="00A561A5">
        <w:rPr>
          <w:rFonts w:ascii="Times New Roman" w:hAnsi="Times New Roman" w:cs="Times New Roman"/>
          <w:bCs/>
        </w:rPr>
        <w:t>smart grid</w:t>
      </w:r>
      <w:r w:rsidRPr="00A561A5" w:rsidR="00172F00">
        <w:rPr>
          <w:rFonts w:ascii="Times New Roman" w:hAnsi="Times New Roman" w:cs="Times New Roman"/>
          <w:bCs/>
        </w:rPr>
        <w:t xml:space="preserve"> (that OCC is concerned about).</w:t>
      </w:r>
      <w:r>
        <w:rPr>
          <w:rStyle w:val="FootnoteReference"/>
          <w:rFonts w:ascii="Times New Roman" w:hAnsi="Times New Roman" w:cs="Times New Roman"/>
          <w:bCs/>
        </w:rPr>
        <w:footnoteReference w:id="22"/>
      </w:r>
      <w:r w:rsidRPr="00A561A5">
        <w:rPr>
          <w:rFonts w:ascii="Times New Roman" w:hAnsi="Times New Roman" w:cs="Times New Roman"/>
          <w:bCs/>
        </w:rPr>
        <w:t xml:space="preserve"> </w:t>
      </w:r>
      <w:r w:rsidRPr="00A561A5" w:rsidR="009B576E">
        <w:rPr>
          <w:rFonts w:ascii="Times New Roman" w:hAnsi="Times New Roman" w:cs="Times New Roman"/>
          <w:bCs/>
        </w:rPr>
        <w:t>And t</w:t>
      </w:r>
      <w:r w:rsidRPr="00A561A5" w:rsidR="00261A53">
        <w:rPr>
          <w:rFonts w:ascii="Times New Roman" w:hAnsi="Times New Roman" w:cs="Times New Roman"/>
          <w:bCs/>
        </w:rPr>
        <w:t>hey</w:t>
      </w:r>
      <w:r w:rsidRPr="00A561A5">
        <w:rPr>
          <w:rFonts w:ascii="Times New Roman" w:hAnsi="Times New Roman" w:cs="Times New Roman"/>
          <w:bCs/>
        </w:rPr>
        <w:t xml:space="preserve"> will be denied</w:t>
      </w:r>
      <w:r w:rsidRPr="00A561A5" w:rsidR="00261A53">
        <w:rPr>
          <w:rFonts w:ascii="Times New Roman" w:hAnsi="Times New Roman" w:cs="Times New Roman"/>
          <w:bCs/>
        </w:rPr>
        <w:t xml:space="preserve"> an opportunity for </w:t>
      </w:r>
      <w:r w:rsidRPr="00A561A5" w:rsidR="00172F00">
        <w:rPr>
          <w:rFonts w:ascii="Times New Roman" w:hAnsi="Times New Roman" w:cs="Times New Roman"/>
          <w:bCs/>
        </w:rPr>
        <w:t xml:space="preserve">significant </w:t>
      </w:r>
      <w:r w:rsidRPr="00A561A5" w:rsidR="00261A53">
        <w:rPr>
          <w:rFonts w:ascii="Times New Roman" w:hAnsi="Times New Roman" w:cs="Times New Roman"/>
          <w:bCs/>
        </w:rPr>
        <w:t>profit-related refunds (</w:t>
      </w:r>
      <w:r w:rsidRPr="00A561A5">
        <w:rPr>
          <w:rFonts w:ascii="Times New Roman" w:hAnsi="Times New Roman" w:cs="Times New Roman"/>
          <w:bCs/>
        </w:rPr>
        <w:t xml:space="preserve">to which they </w:t>
      </w:r>
      <w:r w:rsidRPr="00A561A5" w:rsidR="00021D00">
        <w:rPr>
          <w:rFonts w:ascii="Times New Roman" w:hAnsi="Times New Roman" w:cs="Times New Roman"/>
          <w:bCs/>
        </w:rPr>
        <w:t>may be</w:t>
      </w:r>
      <w:r w:rsidRPr="00A561A5">
        <w:rPr>
          <w:rFonts w:ascii="Times New Roman" w:hAnsi="Times New Roman" w:cs="Times New Roman"/>
          <w:bCs/>
        </w:rPr>
        <w:t xml:space="preserve"> entitled</w:t>
      </w:r>
      <w:r w:rsidRPr="00A561A5" w:rsidR="00172F00">
        <w:rPr>
          <w:rFonts w:ascii="Times New Roman" w:hAnsi="Times New Roman" w:cs="Times New Roman"/>
          <w:bCs/>
        </w:rPr>
        <w:t>)</w:t>
      </w:r>
      <w:r w:rsidRPr="00A561A5">
        <w:rPr>
          <w:rFonts w:ascii="Times New Roman" w:hAnsi="Times New Roman" w:cs="Times New Roman"/>
          <w:bCs/>
        </w:rPr>
        <w:t>.</w:t>
      </w:r>
      <w:r>
        <w:rPr>
          <w:rStyle w:val="FootnoteReference"/>
          <w:rFonts w:ascii="Times New Roman" w:hAnsi="Times New Roman" w:cs="Times New Roman"/>
          <w:bCs/>
        </w:rPr>
        <w:footnoteReference w:id="23"/>
      </w:r>
      <w:r w:rsidRPr="00A561A5">
        <w:rPr>
          <w:rFonts w:ascii="Times New Roman" w:hAnsi="Times New Roman" w:cs="Times New Roman"/>
          <w:bCs/>
        </w:rPr>
        <w:t xml:space="preserve"> </w:t>
      </w:r>
    </w:p>
    <w:p w:rsidR="00F72532" w:rsidRPr="00A561A5" w:rsidP="00F72532">
      <w:pPr>
        <w:spacing w:line="480" w:lineRule="auto"/>
        <w:ind w:left="720"/>
        <w:rPr>
          <w:rFonts w:ascii="Times New Roman" w:hAnsi="Times New Roman" w:cs="Times New Roman"/>
          <w:bCs/>
        </w:rPr>
      </w:pPr>
    </w:p>
    <w:p w:rsidR="0022092E" w:rsidRPr="00A561A5" w:rsidP="00F72532">
      <w:pPr>
        <w:spacing w:line="480" w:lineRule="auto"/>
        <w:ind w:left="720"/>
        <w:rPr>
          <w:rFonts w:ascii="Times New Roman" w:hAnsi="Times New Roman" w:cs="Times New Roman"/>
          <w:bCs/>
        </w:rPr>
      </w:pPr>
      <w:r w:rsidRPr="00A561A5">
        <w:rPr>
          <w:rFonts w:ascii="Times New Roman" w:hAnsi="Times New Roman" w:cs="Times New Roman"/>
          <w:bCs/>
        </w:rPr>
        <w:t xml:space="preserve">It is certainly true that </w:t>
      </w:r>
      <w:r w:rsidRPr="00A561A5">
        <w:rPr>
          <w:rFonts w:ascii="Times New Roman" w:hAnsi="Times New Roman" w:cs="Times New Roman"/>
          <w:bCs/>
          <w:i/>
        </w:rPr>
        <w:t>some</w:t>
      </w:r>
      <w:r w:rsidRPr="00A561A5">
        <w:rPr>
          <w:rFonts w:ascii="Times New Roman" w:hAnsi="Times New Roman" w:cs="Times New Roman"/>
          <w:bCs/>
        </w:rPr>
        <w:t xml:space="preserve"> customers will benefit under the Settlement: the signatory parties. But these customers represent a </w:t>
      </w:r>
      <w:r w:rsidRPr="00A561A5" w:rsidR="009B576E">
        <w:rPr>
          <w:rFonts w:ascii="Times New Roman" w:hAnsi="Times New Roman" w:cs="Times New Roman"/>
          <w:bCs/>
        </w:rPr>
        <w:t xml:space="preserve">mere </w:t>
      </w:r>
      <w:r w:rsidRPr="00A561A5">
        <w:rPr>
          <w:rFonts w:ascii="Times New Roman" w:hAnsi="Times New Roman" w:cs="Times New Roman"/>
          <w:bCs/>
        </w:rPr>
        <w:t>fraction of DP&amp;L’s customer base. Residential customers (and especially residential customers not liv</w:t>
      </w:r>
      <w:r w:rsidRPr="00A561A5" w:rsidR="00575163">
        <w:rPr>
          <w:rFonts w:ascii="Times New Roman" w:hAnsi="Times New Roman" w:cs="Times New Roman"/>
          <w:bCs/>
        </w:rPr>
        <w:t>ing</w:t>
      </w:r>
      <w:r w:rsidRPr="00A561A5">
        <w:rPr>
          <w:rFonts w:ascii="Times New Roman" w:hAnsi="Times New Roman" w:cs="Times New Roman"/>
          <w:bCs/>
        </w:rPr>
        <w:t xml:space="preserve"> in the </w:t>
      </w:r>
      <w:r w:rsidRPr="00A561A5" w:rsidR="00575163">
        <w:rPr>
          <w:rFonts w:ascii="Times New Roman" w:hAnsi="Times New Roman" w:cs="Times New Roman"/>
          <w:bCs/>
        </w:rPr>
        <w:t xml:space="preserve">one </w:t>
      </w:r>
      <w:r w:rsidRPr="00A561A5" w:rsidR="003A2914">
        <w:rPr>
          <w:rFonts w:ascii="Times New Roman" w:hAnsi="Times New Roman" w:cs="Times New Roman"/>
          <w:bCs/>
        </w:rPr>
        <w:t>c</w:t>
      </w:r>
      <w:r w:rsidRPr="00A561A5">
        <w:rPr>
          <w:rFonts w:ascii="Times New Roman" w:hAnsi="Times New Roman" w:cs="Times New Roman"/>
          <w:bCs/>
        </w:rPr>
        <w:t xml:space="preserve">ity) are left out. Small </w:t>
      </w:r>
      <w:r w:rsidRPr="00A561A5" w:rsidR="009B576E">
        <w:rPr>
          <w:rFonts w:ascii="Times New Roman" w:hAnsi="Times New Roman" w:cs="Times New Roman"/>
          <w:bCs/>
        </w:rPr>
        <w:t xml:space="preserve">and most mid-sized </w:t>
      </w:r>
      <w:r w:rsidRPr="00A561A5">
        <w:rPr>
          <w:rFonts w:ascii="Times New Roman" w:hAnsi="Times New Roman" w:cs="Times New Roman"/>
          <w:bCs/>
        </w:rPr>
        <w:t>business</w:t>
      </w:r>
      <w:r w:rsidRPr="00A561A5" w:rsidR="009B576E">
        <w:rPr>
          <w:rFonts w:ascii="Times New Roman" w:hAnsi="Times New Roman" w:cs="Times New Roman"/>
          <w:bCs/>
        </w:rPr>
        <w:t>es</w:t>
      </w:r>
      <w:r w:rsidRPr="00A561A5">
        <w:rPr>
          <w:rFonts w:ascii="Times New Roman" w:hAnsi="Times New Roman" w:cs="Times New Roman"/>
          <w:bCs/>
        </w:rPr>
        <w:t xml:space="preserve"> </w:t>
      </w:r>
      <w:r w:rsidRPr="00A561A5" w:rsidR="009B576E">
        <w:rPr>
          <w:rFonts w:ascii="Times New Roman" w:hAnsi="Times New Roman" w:cs="Times New Roman"/>
          <w:bCs/>
        </w:rPr>
        <w:t xml:space="preserve">are </w:t>
      </w:r>
      <w:r w:rsidRPr="00A561A5">
        <w:rPr>
          <w:rFonts w:ascii="Times New Roman" w:hAnsi="Times New Roman" w:cs="Times New Roman"/>
          <w:bCs/>
        </w:rPr>
        <w:t>left out. All kinds of other businesses are left out because they are</w:t>
      </w:r>
      <w:r w:rsidRPr="00A561A5" w:rsidR="002E6426">
        <w:rPr>
          <w:rFonts w:ascii="Times New Roman" w:hAnsi="Times New Roman" w:cs="Times New Roman"/>
          <w:bCs/>
        </w:rPr>
        <w:t xml:space="preserve"> not</w:t>
      </w:r>
      <w:r w:rsidRPr="00A561A5">
        <w:rPr>
          <w:rFonts w:ascii="Times New Roman" w:hAnsi="Times New Roman" w:cs="Times New Roman"/>
          <w:bCs/>
        </w:rPr>
        <w:t xml:space="preserve"> part of the small group </w:t>
      </w:r>
      <w:r w:rsidRPr="00A561A5" w:rsidR="00575163">
        <w:rPr>
          <w:rFonts w:ascii="Times New Roman" w:hAnsi="Times New Roman" w:cs="Times New Roman"/>
          <w:bCs/>
        </w:rPr>
        <w:t xml:space="preserve">that </w:t>
      </w:r>
      <w:r w:rsidRPr="00A561A5">
        <w:rPr>
          <w:rFonts w:ascii="Times New Roman" w:hAnsi="Times New Roman" w:cs="Times New Roman"/>
          <w:bCs/>
        </w:rPr>
        <w:t xml:space="preserve">figured out how to </w:t>
      </w:r>
      <w:r w:rsidRPr="00A561A5" w:rsidR="00575163">
        <w:rPr>
          <w:rFonts w:ascii="Times New Roman" w:hAnsi="Times New Roman" w:cs="Times New Roman"/>
          <w:bCs/>
        </w:rPr>
        <w:t xml:space="preserve">use </w:t>
      </w:r>
      <w:r w:rsidRPr="00A561A5">
        <w:rPr>
          <w:rFonts w:ascii="Times New Roman" w:hAnsi="Times New Roman" w:cs="Times New Roman"/>
          <w:bCs/>
        </w:rPr>
        <w:t>the PUCO process for</w:t>
      </w:r>
      <w:r w:rsidRPr="00A561A5" w:rsidR="009B576E">
        <w:rPr>
          <w:rFonts w:ascii="Times New Roman" w:hAnsi="Times New Roman" w:cs="Times New Roman"/>
          <w:bCs/>
        </w:rPr>
        <w:t xml:space="preserve"> their own</w:t>
      </w:r>
      <w:r w:rsidRPr="00A561A5">
        <w:rPr>
          <w:rFonts w:ascii="Times New Roman" w:hAnsi="Times New Roman" w:cs="Times New Roman"/>
          <w:bCs/>
        </w:rPr>
        <w:t xml:space="preserve"> </w:t>
      </w:r>
      <w:r w:rsidRPr="00A561A5" w:rsidR="00575163">
        <w:rPr>
          <w:rFonts w:ascii="Times New Roman" w:hAnsi="Times New Roman" w:cs="Times New Roman"/>
          <w:bCs/>
        </w:rPr>
        <w:t>gain</w:t>
      </w:r>
      <w:r w:rsidRPr="00A561A5">
        <w:rPr>
          <w:rFonts w:ascii="Times New Roman" w:hAnsi="Times New Roman" w:cs="Times New Roman"/>
          <w:bCs/>
        </w:rPr>
        <w:t>.</w:t>
      </w:r>
    </w:p>
    <w:p w:rsidR="00F72532" w:rsidRPr="00A561A5" w:rsidP="00F72532">
      <w:pPr>
        <w:spacing w:line="480" w:lineRule="auto"/>
        <w:ind w:left="720"/>
        <w:rPr>
          <w:rFonts w:ascii="Times New Roman" w:hAnsi="Times New Roman" w:cs="Times New Roman"/>
          <w:bCs/>
        </w:rPr>
      </w:pPr>
    </w:p>
    <w:p w:rsidR="009B576E" w:rsidRPr="00A561A5" w:rsidP="00F72532">
      <w:pPr>
        <w:spacing w:line="480" w:lineRule="auto"/>
        <w:ind w:left="720"/>
        <w:rPr>
          <w:rFonts w:ascii="Times New Roman" w:hAnsi="Times New Roman" w:cs="Times New Roman"/>
          <w:bCs/>
        </w:rPr>
      </w:pPr>
      <w:r w:rsidRPr="00A561A5">
        <w:rPr>
          <w:rFonts w:ascii="Times New Roman" w:hAnsi="Times New Roman" w:cs="Times New Roman"/>
          <w:bCs/>
        </w:rPr>
        <w:t xml:space="preserve">The beneficiaries of the Settlement are not diverse.  </w:t>
      </w:r>
      <w:r w:rsidRPr="00A561A5" w:rsidR="002E6426">
        <w:rPr>
          <w:rFonts w:ascii="Times New Roman" w:hAnsi="Times New Roman" w:cs="Times New Roman"/>
          <w:bCs/>
        </w:rPr>
        <w:t>T</w:t>
      </w:r>
      <w:r w:rsidRPr="00A561A5">
        <w:rPr>
          <w:rFonts w:ascii="Times New Roman" w:hAnsi="Times New Roman" w:cs="Times New Roman"/>
          <w:bCs/>
        </w:rPr>
        <w:t>he</w:t>
      </w:r>
      <w:r w:rsidRPr="00A561A5" w:rsidR="002E6426">
        <w:rPr>
          <w:rFonts w:ascii="Times New Roman" w:hAnsi="Times New Roman" w:cs="Times New Roman"/>
          <w:bCs/>
        </w:rPr>
        <w:t xml:space="preserve"> signatory coalition has the appearance of </w:t>
      </w:r>
      <w:r w:rsidRPr="00A561A5">
        <w:rPr>
          <w:rFonts w:ascii="Times New Roman" w:hAnsi="Times New Roman" w:cs="Times New Roman"/>
          <w:bCs/>
        </w:rPr>
        <w:t>diversity</w:t>
      </w:r>
      <w:r w:rsidRPr="00A561A5" w:rsidR="002E6426">
        <w:rPr>
          <w:rFonts w:ascii="Times New Roman" w:hAnsi="Times New Roman" w:cs="Times New Roman"/>
          <w:bCs/>
        </w:rPr>
        <w:t xml:space="preserve"> that in reality lacks the depth of real, meaningful, broad participation in benefits across DP&amp;L’s service area.  </w:t>
      </w:r>
    </w:p>
    <w:p w:rsidR="009B576E" w:rsidRPr="00A561A5" w:rsidP="00F72532">
      <w:pPr>
        <w:spacing w:line="480" w:lineRule="auto"/>
        <w:ind w:left="720"/>
        <w:rPr>
          <w:rFonts w:ascii="Times New Roman" w:hAnsi="Times New Roman" w:cs="Times New Roman"/>
          <w:bCs/>
        </w:rPr>
      </w:pPr>
    </w:p>
    <w:p w:rsidR="00F72532" w:rsidRPr="00A561A5" w:rsidP="00F72532">
      <w:pPr>
        <w:spacing w:line="480" w:lineRule="auto"/>
        <w:ind w:left="720"/>
        <w:rPr>
          <w:rFonts w:ascii="Times New Roman" w:hAnsi="Times New Roman" w:cs="Times New Roman"/>
          <w:bCs/>
        </w:rPr>
      </w:pPr>
      <w:r w:rsidRPr="00A561A5">
        <w:rPr>
          <w:rFonts w:ascii="Times New Roman" w:hAnsi="Times New Roman" w:cs="Times New Roman"/>
          <w:bCs/>
        </w:rPr>
        <w:t>For these reasons, the Settlement neither benefit</w:t>
      </w:r>
      <w:r w:rsidRPr="00A561A5" w:rsidR="009A73BB">
        <w:rPr>
          <w:rFonts w:ascii="Times New Roman" w:hAnsi="Times New Roman" w:cs="Times New Roman"/>
          <w:bCs/>
        </w:rPr>
        <w:t>s</w:t>
      </w:r>
      <w:r w:rsidRPr="00A561A5">
        <w:rPr>
          <w:rFonts w:ascii="Times New Roman" w:hAnsi="Times New Roman" w:cs="Times New Roman"/>
          <w:bCs/>
        </w:rPr>
        <w:t xml:space="preserve"> consumers </w:t>
      </w:r>
      <w:r w:rsidRPr="00A561A5" w:rsidR="009A73BB">
        <w:rPr>
          <w:rFonts w:ascii="Times New Roman" w:hAnsi="Times New Roman" w:cs="Times New Roman"/>
          <w:bCs/>
        </w:rPr>
        <w:t>nor</w:t>
      </w:r>
      <w:r w:rsidRPr="00A561A5">
        <w:rPr>
          <w:rFonts w:ascii="Times New Roman" w:hAnsi="Times New Roman" w:cs="Times New Roman"/>
          <w:bCs/>
        </w:rPr>
        <w:t xml:space="preserve"> the public interest.</w:t>
      </w:r>
    </w:p>
    <w:p w:rsidR="00FA094E" w:rsidRPr="00A561A5" w:rsidP="00F72532">
      <w:pPr>
        <w:spacing w:line="480" w:lineRule="auto"/>
        <w:ind w:left="720"/>
        <w:rPr>
          <w:rFonts w:ascii="Times New Roman" w:hAnsi="Times New Roman" w:cs="Times New Roman"/>
          <w:bCs/>
        </w:rPr>
      </w:pPr>
    </w:p>
    <w:p w:rsidR="00E75B17" w:rsidRPr="00A561A5" w:rsidP="00F72532">
      <w:pPr>
        <w:spacing w:after="120" w:line="480" w:lineRule="auto"/>
        <w:ind w:left="720" w:hanging="720"/>
        <w:rPr>
          <w:rFonts w:ascii="Times New Roman" w:hAnsi="Times New Roman" w:cs="Times New Roman"/>
          <w:b/>
          <w:bCs/>
          <w:i/>
          <w:iCs/>
        </w:rPr>
      </w:pPr>
      <w:r w:rsidRPr="00A561A5">
        <w:rPr>
          <w:rFonts w:ascii="Times New Roman" w:hAnsi="Times New Roman" w:cs="Times New Roman"/>
          <w:b/>
          <w:bCs/>
          <w:i/>
          <w:iCs/>
        </w:rPr>
        <w:t>Q21.</w:t>
      </w:r>
      <w:r w:rsidRPr="00A561A5">
        <w:rPr>
          <w:rFonts w:ascii="Times New Roman" w:hAnsi="Times New Roman" w:cs="Times New Roman"/>
          <w:b/>
          <w:bCs/>
          <w:i/>
          <w:iCs/>
        </w:rPr>
        <w:tab/>
        <w:t>WHY DO YOU BELIEVE THAT THE SETTLEMENT FAILS THE THIRD PRONG OF THE TEST, THAT THE SETTLEMENT MUST BE CONSISTENT WITH REGULATORY PRINCIPLES AND PRACTICES?</w:t>
      </w:r>
    </w:p>
    <w:p w:rsidR="00B12579" w:rsidRPr="00A561A5" w:rsidP="00F72532">
      <w:pPr>
        <w:spacing w:line="480" w:lineRule="auto"/>
        <w:ind w:left="720" w:hanging="720"/>
        <w:rPr>
          <w:rFonts w:ascii="Times New Roman" w:hAnsi="Times New Roman" w:cs="Times New Roman"/>
          <w:bCs/>
        </w:rPr>
      </w:pPr>
      <w:r w:rsidRPr="00A561A5">
        <w:rPr>
          <w:rFonts w:ascii="Times New Roman" w:hAnsi="Times New Roman" w:cs="Times New Roman"/>
          <w:b/>
          <w:bCs/>
          <w:i/>
          <w:iCs/>
        </w:rPr>
        <w:t>A</w:t>
      </w:r>
      <w:r w:rsidRPr="00A561A5" w:rsidR="00F72532">
        <w:rPr>
          <w:rFonts w:ascii="Times New Roman" w:hAnsi="Times New Roman" w:cs="Times New Roman"/>
          <w:b/>
          <w:bCs/>
          <w:i/>
          <w:iCs/>
        </w:rPr>
        <w:t>21</w:t>
      </w:r>
      <w:r w:rsidRPr="00A561A5">
        <w:rPr>
          <w:rFonts w:ascii="Times New Roman" w:hAnsi="Times New Roman" w:cs="Times New Roman"/>
          <w:b/>
          <w:bCs/>
          <w:i/>
          <w:iCs/>
        </w:rPr>
        <w:t>.</w:t>
      </w:r>
      <w:r w:rsidRPr="00A561A5">
        <w:rPr>
          <w:rFonts w:ascii="Times New Roman" w:hAnsi="Times New Roman" w:cs="Times New Roman"/>
          <w:b/>
          <w:bCs/>
        </w:rPr>
        <w:tab/>
      </w:r>
      <w:r w:rsidRPr="00A561A5">
        <w:rPr>
          <w:rFonts w:ascii="Times New Roman" w:hAnsi="Times New Roman" w:cs="Times New Roman"/>
          <w:bCs/>
        </w:rPr>
        <w:t xml:space="preserve">Redistributive coalitions are a bad regulatory practice for settlements. DP&amp;L’s Settlement features a redistributive coalition, and that is inconsistent with the third prong of the settlement test. </w:t>
      </w:r>
    </w:p>
    <w:p w:rsidR="00B12579" w:rsidRPr="00A561A5" w:rsidP="00F72532">
      <w:pPr>
        <w:spacing w:line="480" w:lineRule="auto"/>
        <w:ind w:left="720" w:hanging="720"/>
        <w:rPr>
          <w:rFonts w:ascii="Times New Roman" w:hAnsi="Times New Roman" w:cs="Times New Roman"/>
          <w:bCs/>
        </w:rPr>
      </w:pPr>
    </w:p>
    <w:p w:rsidR="00B12579" w:rsidRPr="00A561A5" w:rsidP="00B12579">
      <w:pPr>
        <w:spacing w:line="480" w:lineRule="auto"/>
        <w:ind w:left="720"/>
        <w:rPr>
          <w:rFonts w:ascii="Times New Roman" w:hAnsi="Times New Roman" w:cs="Times New Roman"/>
          <w:bCs/>
        </w:rPr>
      </w:pPr>
      <w:r w:rsidRPr="00A561A5">
        <w:rPr>
          <w:rFonts w:ascii="Times New Roman" w:hAnsi="Times New Roman" w:cs="Times New Roman"/>
          <w:bCs/>
        </w:rPr>
        <w:t>Also, the PUCO should be observing an enforcing a regulatory principle of equity for participants and outcomes in its processes. The Settlement featuring the redistributive coalition is not providing an equitable process or outcome for the general body of consumers.</w:t>
      </w:r>
    </w:p>
    <w:p w:rsidR="00B12579" w:rsidRPr="00A561A5" w:rsidP="00F72532">
      <w:pPr>
        <w:spacing w:line="480" w:lineRule="auto"/>
        <w:ind w:left="720" w:hanging="720"/>
        <w:rPr>
          <w:rFonts w:ascii="Times New Roman" w:hAnsi="Times New Roman" w:cs="Times New Roman"/>
          <w:bCs/>
        </w:rPr>
      </w:pPr>
    </w:p>
    <w:p w:rsidR="00E75B17" w:rsidRPr="00A561A5" w:rsidP="00B12579">
      <w:pPr>
        <w:spacing w:line="480" w:lineRule="auto"/>
        <w:ind w:left="720"/>
        <w:rPr>
          <w:rFonts w:ascii="Times New Roman" w:hAnsi="Times New Roman" w:cs="Times New Roman"/>
          <w:bCs/>
        </w:rPr>
      </w:pPr>
      <w:r w:rsidRPr="00A561A5">
        <w:rPr>
          <w:rFonts w:ascii="Times New Roman" w:hAnsi="Times New Roman" w:cs="Times New Roman"/>
          <w:bCs/>
        </w:rPr>
        <w:t xml:space="preserve">Redistributive coalitions are a bad practice for public policy making. </w:t>
      </w:r>
      <w:r w:rsidRPr="00A561A5" w:rsidR="0050765E">
        <w:rPr>
          <w:rFonts w:ascii="Times New Roman" w:hAnsi="Times New Roman" w:cs="Times New Roman"/>
          <w:bCs/>
        </w:rPr>
        <w:t>Public policy demands that the PUCO protect a utility’s customers from the potential for market abuses. In the context of regulated monopolies like DP&amp;L, we generally think of this as protecting customers from price gouging that would otherwise occur due to the lack of competition.</w:t>
      </w:r>
      <w:r w:rsidRPr="00A561A5" w:rsidR="00C92CB9">
        <w:rPr>
          <w:rFonts w:ascii="Times New Roman" w:hAnsi="Times New Roman" w:cs="Times New Roman"/>
          <w:bCs/>
        </w:rPr>
        <w:t xml:space="preserve"> It violates basic regulatory principles when captive customers subsidize utilities and their unregulated affiliates.</w:t>
      </w:r>
    </w:p>
    <w:p w:rsidR="00F72532" w:rsidRPr="00A561A5" w:rsidP="00F72532">
      <w:pPr>
        <w:spacing w:line="480" w:lineRule="auto"/>
        <w:ind w:left="720" w:hanging="720"/>
        <w:rPr>
          <w:rFonts w:ascii="Times New Roman" w:hAnsi="Times New Roman" w:cs="Times New Roman"/>
          <w:bCs/>
        </w:rPr>
      </w:pPr>
    </w:p>
    <w:p w:rsidR="00C92CB9" w:rsidRPr="00A561A5" w:rsidP="00F72532">
      <w:pPr>
        <w:spacing w:after="120" w:line="480" w:lineRule="auto"/>
        <w:ind w:left="720"/>
        <w:rPr>
          <w:rFonts w:ascii="Times New Roman" w:hAnsi="Times New Roman" w:cs="Times New Roman"/>
          <w:bCs/>
        </w:rPr>
      </w:pPr>
      <w:r w:rsidRPr="00A561A5">
        <w:rPr>
          <w:rFonts w:ascii="Times New Roman" w:hAnsi="Times New Roman" w:cs="Times New Roman"/>
          <w:bCs/>
        </w:rPr>
        <w:t>It is also bad public policy because the subsidies that flow to the utilities compensate them for making bad business decisions. In the cases of FirstEnergy, AEP, and DP&amp;L my comment includes business decisions that went badly wrong outside of the borders of the state of Ohio by their holding companies.</w:t>
      </w:r>
      <w:r w:rsidRPr="00A561A5" w:rsidR="00884A41">
        <w:rPr>
          <w:rFonts w:ascii="Times New Roman" w:hAnsi="Times New Roman" w:cs="Times New Roman"/>
          <w:bCs/>
        </w:rPr>
        <w:t xml:space="preserve"> </w:t>
      </w:r>
      <w:r w:rsidRPr="00A561A5">
        <w:rPr>
          <w:rFonts w:ascii="Times New Roman" w:hAnsi="Times New Roman" w:cs="Times New Roman"/>
          <w:bCs/>
        </w:rPr>
        <w:t>It violates basic regulatory principles when captive customers subsidize utilities and their unregulated affiliates.</w:t>
      </w:r>
    </w:p>
    <w:p w:rsidR="00C92CB9" w:rsidRPr="00A561A5" w:rsidP="00F72532">
      <w:pPr>
        <w:spacing w:after="120" w:line="480" w:lineRule="auto"/>
        <w:ind w:left="720"/>
        <w:rPr>
          <w:rFonts w:ascii="Times New Roman" w:hAnsi="Times New Roman" w:cs="Times New Roman"/>
          <w:bCs/>
        </w:rPr>
      </w:pPr>
    </w:p>
    <w:p w:rsidR="00F72532" w:rsidRPr="00A561A5" w:rsidP="00F72532">
      <w:pPr>
        <w:spacing w:after="120" w:line="480" w:lineRule="auto"/>
        <w:ind w:left="720"/>
        <w:rPr>
          <w:rFonts w:ascii="Times New Roman" w:hAnsi="Times New Roman" w:cs="Times New Roman"/>
          <w:bCs/>
        </w:rPr>
      </w:pPr>
      <w:r w:rsidRPr="00A561A5">
        <w:rPr>
          <w:rFonts w:ascii="Times New Roman" w:hAnsi="Times New Roman" w:cs="Times New Roman"/>
          <w:bCs/>
        </w:rPr>
        <w:t>In terms of economic development, power is at the base of every supply chain in the state, cushioning utilities from competition, subsidizing their loss-making decisions, and allowing gold-plating of transmission and distribution assets means increased operating costs, loss in competitive advantage, and economic deterioration.   For residential customers the implication is clear, their electricity costs go up and their opportunity for work goes down.</w:t>
      </w:r>
      <w:r w:rsidRPr="00A561A5" w:rsidR="00C92CB9">
        <w:rPr>
          <w:rFonts w:ascii="Times New Roman" w:hAnsi="Times New Roman" w:cs="Times New Roman"/>
          <w:bCs/>
        </w:rPr>
        <w:t xml:space="preserve"> This results in residential customers in particular paying unjust and unreasonable utility rates.</w:t>
      </w:r>
    </w:p>
    <w:p w:rsidR="00C92CB9" w:rsidRPr="00A561A5" w:rsidP="00F72532">
      <w:pPr>
        <w:spacing w:after="120" w:line="480" w:lineRule="auto"/>
        <w:ind w:left="720"/>
        <w:rPr>
          <w:rFonts w:ascii="Times New Roman" w:hAnsi="Times New Roman" w:cs="Times New Roman"/>
          <w:bCs/>
        </w:rPr>
      </w:pPr>
    </w:p>
    <w:p w:rsidR="0050765E" w:rsidRPr="00A561A5" w:rsidP="00F72532">
      <w:pPr>
        <w:spacing w:line="480" w:lineRule="auto"/>
        <w:ind w:left="720"/>
        <w:rPr>
          <w:rFonts w:ascii="Times New Roman" w:hAnsi="Times New Roman" w:cs="Times New Roman"/>
          <w:bCs/>
        </w:rPr>
      </w:pPr>
      <w:r w:rsidRPr="00A561A5">
        <w:rPr>
          <w:rFonts w:ascii="Times New Roman" w:hAnsi="Times New Roman" w:cs="Times New Roman"/>
          <w:bCs/>
        </w:rPr>
        <w:t>R</w:t>
      </w:r>
      <w:r w:rsidRPr="00A561A5">
        <w:rPr>
          <w:rFonts w:ascii="Times New Roman" w:hAnsi="Times New Roman" w:cs="Times New Roman"/>
          <w:bCs/>
        </w:rPr>
        <w:t>edistributive coalitions are another example of market abuse. Because membership in the club is exclusive and difficult, if not impossible to obtain for many stakeholders (</w:t>
      </w:r>
      <w:r w:rsidRPr="00A561A5" w:rsidR="00E24485">
        <w:rPr>
          <w:rFonts w:ascii="Times New Roman" w:hAnsi="Times New Roman" w:cs="Times New Roman"/>
          <w:bCs/>
        </w:rPr>
        <w:t xml:space="preserve">such as </w:t>
      </w:r>
      <w:r w:rsidRPr="00A561A5">
        <w:rPr>
          <w:rFonts w:ascii="Times New Roman" w:hAnsi="Times New Roman" w:cs="Times New Roman"/>
          <w:bCs/>
        </w:rPr>
        <w:t xml:space="preserve">individual residential consumers, small businesses, and others), the PUCO process devolves into a façade, where stakeholders pose as representatives of the public interest at large while actually working </w:t>
      </w:r>
      <w:r w:rsidRPr="00A561A5">
        <w:rPr>
          <w:rFonts w:ascii="Times New Roman" w:hAnsi="Times New Roman" w:cs="Times New Roman"/>
          <w:bCs/>
          <w:i/>
        </w:rPr>
        <w:t>against</w:t>
      </w:r>
      <w:r w:rsidRPr="00A561A5">
        <w:rPr>
          <w:rFonts w:ascii="Times New Roman" w:hAnsi="Times New Roman" w:cs="Times New Roman"/>
          <w:bCs/>
        </w:rPr>
        <w:t xml:space="preserve"> that very same public. This anticompetitive behavior harms competitive markets in several ways. First, it increases some, but not all, customers’ utility bills. </w:t>
      </w:r>
      <w:r w:rsidRPr="00A561A5" w:rsidR="00C92CB9">
        <w:rPr>
          <w:rFonts w:ascii="Times New Roman" w:hAnsi="Times New Roman" w:cs="Times New Roman"/>
          <w:bCs/>
        </w:rPr>
        <w:t xml:space="preserve">This results in unjust and unreasonable rates, especially for residential consumers. </w:t>
      </w:r>
      <w:r w:rsidRPr="00A561A5">
        <w:rPr>
          <w:rFonts w:ascii="Times New Roman" w:hAnsi="Times New Roman" w:cs="Times New Roman"/>
          <w:bCs/>
        </w:rPr>
        <w:t xml:space="preserve">Second, the members of the redistributive coalition gain a competitive advantage over similar business that have not yet figured out how to game the system or who lack the resources to do so if they wanted. This </w:t>
      </w:r>
      <w:r w:rsidRPr="00A561A5" w:rsidR="00C92CB9">
        <w:rPr>
          <w:rFonts w:ascii="Times New Roman" w:hAnsi="Times New Roman" w:cs="Times New Roman"/>
          <w:bCs/>
        </w:rPr>
        <w:t xml:space="preserve">violates the regulatory principle against subsidizing unregulated business and </w:t>
      </w:r>
      <w:r w:rsidRPr="00A561A5">
        <w:rPr>
          <w:rFonts w:ascii="Times New Roman" w:hAnsi="Times New Roman" w:cs="Times New Roman"/>
          <w:bCs/>
        </w:rPr>
        <w:t>advances no conceivable public policy goals.</w:t>
      </w:r>
    </w:p>
    <w:p w:rsidR="00F72532" w:rsidRPr="00A561A5" w:rsidP="00F72532">
      <w:pPr>
        <w:spacing w:line="480" w:lineRule="auto"/>
        <w:ind w:left="720"/>
        <w:rPr>
          <w:rFonts w:ascii="Times New Roman" w:hAnsi="Times New Roman" w:cs="Times New Roman"/>
          <w:bCs/>
        </w:rPr>
      </w:pPr>
    </w:p>
    <w:p w:rsidR="0050765E" w:rsidRPr="00A561A5" w:rsidP="00F72532">
      <w:pPr>
        <w:spacing w:line="480" w:lineRule="auto"/>
        <w:ind w:left="720"/>
        <w:rPr>
          <w:rFonts w:ascii="Times New Roman" w:hAnsi="Times New Roman" w:cs="Times New Roman"/>
          <w:bCs/>
        </w:rPr>
      </w:pPr>
      <w:r w:rsidRPr="00A561A5">
        <w:rPr>
          <w:rFonts w:ascii="Times New Roman" w:hAnsi="Times New Roman" w:cs="Times New Roman"/>
          <w:bCs/>
        </w:rPr>
        <w:t>A much better regulatory practice would be for the PUCO to support and approve settlements that truly represent the broad interests of all customers, not narrow self-interest of signatory parties</w:t>
      </w:r>
    </w:p>
    <w:p w:rsidR="000E094A" w:rsidRPr="00A561A5" w:rsidP="00F72532">
      <w:pPr>
        <w:spacing w:line="480" w:lineRule="auto"/>
        <w:rPr>
          <w:rFonts w:ascii="Times New Roman" w:hAnsi="Times New Roman" w:cs="Times New Roman"/>
        </w:rPr>
      </w:pPr>
    </w:p>
    <w:p w:rsidR="000E094A" w:rsidRPr="00A561A5" w:rsidP="00F72532">
      <w:pPr>
        <w:spacing w:line="480" w:lineRule="auto"/>
        <w:ind w:left="720" w:hanging="720"/>
        <w:rPr>
          <w:rFonts w:ascii="Times New Roman" w:hAnsi="Times New Roman" w:cs="Times New Roman"/>
          <w:b/>
          <w:bCs/>
          <w:i/>
          <w:iCs/>
        </w:rPr>
      </w:pPr>
      <w:r w:rsidRPr="00A561A5">
        <w:rPr>
          <w:rFonts w:ascii="Times New Roman" w:hAnsi="Times New Roman" w:cs="Times New Roman"/>
          <w:b/>
          <w:bCs/>
          <w:i/>
          <w:iCs/>
        </w:rPr>
        <w:t xml:space="preserve">Q22. </w:t>
      </w:r>
      <w:r w:rsidRPr="00A561A5">
        <w:rPr>
          <w:rFonts w:ascii="Times New Roman" w:hAnsi="Times New Roman" w:cs="Times New Roman"/>
          <w:b/>
          <w:bCs/>
          <w:i/>
          <w:iCs/>
        </w:rPr>
        <w:tab/>
        <w:t>DOES THE PUCO</w:t>
      </w:r>
      <w:r w:rsidRPr="00A561A5" w:rsidR="00794666">
        <w:rPr>
          <w:rFonts w:ascii="Times New Roman" w:hAnsi="Times New Roman" w:cs="Times New Roman"/>
          <w:b/>
          <w:bCs/>
          <w:i/>
          <w:iCs/>
        </w:rPr>
        <w:t>’S</w:t>
      </w:r>
      <w:r w:rsidRPr="00A561A5">
        <w:rPr>
          <w:rFonts w:ascii="Times New Roman" w:hAnsi="Times New Roman" w:cs="Times New Roman"/>
          <w:b/>
          <w:bCs/>
          <w:i/>
          <w:iCs/>
        </w:rPr>
        <w:t xml:space="preserve"> </w:t>
      </w:r>
      <w:r w:rsidRPr="00A561A5" w:rsidR="00794666">
        <w:rPr>
          <w:rFonts w:ascii="Times New Roman" w:hAnsi="Times New Roman" w:cs="Times New Roman"/>
          <w:b/>
          <w:bCs/>
          <w:i/>
          <w:iCs/>
        </w:rPr>
        <w:t>SETTLEMENT STANDARD</w:t>
      </w:r>
      <w:r w:rsidRPr="00A561A5">
        <w:rPr>
          <w:rFonts w:ascii="Times New Roman" w:hAnsi="Times New Roman" w:cs="Times New Roman"/>
          <w:b/>
          <w:bCs/>
          <w:i/>
          <w:iCs/>
        </w:rPr>
        <w:t xml:space="preserve"> STIMULATE THE FORMATION OF REDISTRIBUTIVE COALITIONS?</w:t>
      </w:r>
    </w:p>
    <w:p w:rsidR="009C41AC" w:rsidRPr="00A561A5" w:rsidP="00F72532">
      <w:pPr>
        <w:spacing w:after="120" w:line="480" w:lineRule="auto"/>
        <w:ind w:left="720" w:hanging="720"/>
        <w:rPr>
          <w:rFonts w:ascii="Times New Roman" w:hAnsi="Times New Roman" w:cs="Times New Roman"/>
        </w:rPr>
      </w:pPr>
      <w:r w:rsidRPr="00A561A5">
        <w:rPr>
          <w:rFonts w:ascii="Times New Roman" w:hAnsi="Times New Roman" w:cs="Times New Roman"/>
          <w:b/>
          <w:bCs/>
          <w:i/>
          <w:iCs/>
        </w:rPr>
        <w:t>A</w:t>
      </w:r>
      <w:r w:rsidRPr="00A561A5" w:rsidR="00F72532">
        <w:rPr>
          <w:rFonts w:ascii="Times New Roman" w:hAnsi="Times New Roman" w:cs="Times New Roman"/>
          <w:b/>
          <w:bCs/>
          <w:i/>
          <w:iCs/>
        </w:rPr>
        <w:t>22.</w:t>
      </w:r>
      <w:r w:rsidRPr="00A561A5">
        <w:rPr>
          <w:rFonts w:ascii="Times New Roman" w:hAnsi="Times New Roman" w:cs="Times New Roman"/>
        </w:rPr>
        <w:t xml:space="preserve"> </w:t>
      </w:r>
      <w:r w:rsidRPr="00A561A5" w:rsidR="00F72532">
        <w:rPr>
          <w:rFonts w:ascii="Times New Roman" w:hAnsi="Times New Roman" w:cs="Times New Roman"/>
        </w:rPr>
        <w:tab/>
      </w:r>
      <w:r w:rsidRPr="00A561A5">
        <w:rPr>
          <w:rFonts w:ascii="Times New Roman" w:hAnsi="Times New Roman" w:cs="Times New Roman"/>
        </w:rPr>
        <w:t xml:space="preserve">Yes, </w:t>
      </w:r>
      <w:r w:rsidRPr="00A561A5" w:rsidR="0078426D">
        <w:rPr>
          <w:rFonts w:ascii="Times New Roman" w:hAnsi="Times New Roman" w:cs="Times New Roman"/>
        </w:rPr>
        <w:t>redistributive coalitions are opportunity-driven</w:t>
      </w:r>
      <w:r w:rsidRPr="00A561A5" w:rsidR="00A86805">
        <w:rPr>
          <w:rFonts w:ascii="Times New Roman" w:hAnsi="Times New Roman" w:cs="Times New Roman"/>
        </w:rPr>
        <w:t>.</w:t>
      </w:r>
      <w:r w:rsidRPr="00A561A5" w:rsidR="0078426D">
        <w:rPr>
          <w:rFonts w:ascii="Times New Roman" w:hAnsi="Times New Roman" w:cs="Times New Roman"/>
        </w:rPr>
        <w:t xml:space="preserve"> </w:t>
      </w:r>
      <w:r w:rsidRPr="00A561A5" w:rsidR="00A86805">
        <w:rPr>
          <w:rFonts w:ascii="Times New Roman" w:hAnsi="Times New Roman" w:cs="Times New Roman"/>
        </w:rPr>
        <w:t>T</w:t>
      </w:r>
      <w:r w:rsidRPr="00A561A5" w:rsidR="0078426D">
        <w:rPr>
          <w:rFonts w:ascii="Times New Roman" w:hAnsi="Times New Roman" w:cs="Times New Roman"/>
        </w:rPr>
        <w:t>he PUCO’s regulatory process</w:t>
      </w:r>
      <w:r w:rsidRPr="00A561A5" w:rsidR="002D236E">
        <w:rPr>
          <w:rFonts w:ascii="Times New Roman" w:hAnsi="Times New Roman" w:cs="Times New Roman"/>
        </w:rPr>
        <w:t xml:space="preserve">, involving </w:t>
      </w:r>
      <w:r w:rsidRPr="00A561A5" w:rsidR="0078426D">
        <w:rPr>
          <w:rFonts w:ascii="Times New Roman" w:hAnsi="Times New Roman" w:cs="Times New Roman"/>
        </w:rPr>
        <w:t xml:space="preserve">the </w:t>
      </w:r>
      <w:r w:rsidRPr="00A561A5">
        <w:rPr>
          <w:rFonts w:ascii="Times New Roman" w:hAnsi="Times New Roman" w:cs="Times New Roman"/>
        </w:rPr>
        <w:t xml:space="preserve">three-prong test </w:t>
      </w:r>
      <w:r w:rsidRPr="00A561A5" w:rsidR="00A86805">
        <w:rPr>
          <w:rFonts w:ascii="Times New Roman" w:hAnsi="Times New Roman" w:cs="Times New Roman"/>
        </w:rPr>
        <w:t>for adopting</w:t>
      </w:r>
      <w:r w:rsidRPr="00A561A5">
        <w:rPr>
          <w:rFonts w:ascii="Times New Roman" w:hAnsi="Times New Roman" w:cs="Times New Roman"/>
        </w:rPr>
        <w:t xml:space="preserve"> </w:t>
      </w:r>
      <w:r w:rsidRPr="00A561A5" w:rsidR="0050765E">
        <w:rPr>
          <w:rFonts w:ascii="Times New Roman" w:hAnsi="Times New Roman" w:cs="Times New Roman"/>
        </w:rPr>
        <w:t>settlement</w:t>
      </w:r>
      <w:r w:rsidRPr="00A561A5" w:rsidR="00A86805">
        <w:rPr>
          <w:rFonts w:ascii="Times New Roman" w:hAnsi="Times New Roman" w:cs="Times New Roman"/>
        </w:rPr>
        <w:t>s</w:t>
      </w:r>
      <w:r w:rsidRPr="00A561A5" w:rsidR="0050765E">
        <w:rPr>
          <w:rFonts w:ascii="Times New Roman" w:hAnsi="Times New Roman" w:cs="Times New Roman"/>
        </w:rPr>
        <w:t xml:space="preserve"> </w:t>
      </w:r>
      <w:r w:rsidRPr="00A561A5" w:rsidR="0078426D">
        <w:rPr>
          <w:rFonts w:ascii="Times New Roman" w:hAnsi="Times New Roman" w:cs="Times New Roman"/>
        </w:rPr>
        <w:t>provides the opportunity</w:t>
      </w:r>
      <w:r w:rsidRPr="00A561A5" w:rsidR="00A86805">
        <w:rPr>
          <w:rFonts w:ascii="Times New Roman" w:hAnsi="Times New Roman" w:cs="Times New Roman"/>
        </w:rPr>
        <w:t xml:space="preserve"> for redistributive coalitions</w:t>
      </w:r>
      <w:r w:rsidRPr="00A561A5" w:rsidR="0078426D">
        <w:rPr>
          <w:rFonts w:ascii="Times New Roman" w:hAnsi="Times New Roman" w:cs="Times New Roman"/>
        </w:rPr>
        <w:t>.</w:t>
      </w:r>
    </w:p>
    <w:p w:rsidR="002A6DE0" w:rsidRPr="00A561A5" w:rsidP="00F72532">
      <w:pPr>
        <w:spacing w:line="480" w:lineRule="auto"/>
        <w:ind w:left="720"/>
        <w:rPr>
          <w:rFonts w:ascii="Times New Roman" w:hAnsi="Times New Roman" w:cs="Times New Roman"/>
        </w:rPr>
      </w:pPr>
      <w:r w:rsidRPr="00A561A5">
        <w:rPr>
          <w:rFonts w:ascii="Times New Roman" w:hAnsi="Times New Roman" w:cs="Times New Roman"/>
        </w:rPr>
        <w:t>T</w:t>
      </w:r>
      <w:r w:rsidRPr="00A561A5">
        <w:rPr>
          <w:rFonts w:ascii="Times New Roman" w:hAnsi="Times New Roman" w:cs="Times New Roman"/>
        </w:rPr>
        <w:t xml:space="preserve">he redistributive coalitions </w:t>
      </w:r>
      <w:r w:rsidRPr="00A561A5">
        <w:rPr>
          <w:rFonts w:ascii="Times New Roman" w:hAnsi="Times New Roman" w:cs="Times New Roman"/>
        </w:rPr>
        <w:t>that have formed around E</w:t>
      </w:r>
      <w:r w:rsidRPr="00A561A5" w:rsidR="00A5310A">
        <w:rPr>
          <w:rFonts w:ascii="Times New Roman" w:hAnsi="Times New Roman" w:cs="Times New Roman"/>
        </w:rPr>
        <w:t>lectric Security Plan</w:t>
      </w:r>
      <w:r w:rsidRPr="00A561A5">
        <w:rPr>
          <w:rFonts w:ascii="Times New Roman" w:hAnsi="Times New Roman" w:cs="Times New Roman"/>
        </w:rPr>
        <w:t xml:space="preserve">s and this </w:t>
      </w:r>
      <w:r w:rsidRPr="00A561A5" w:rsidR="007161C7">
        <w:rPr>
          <w:rFonts w:ascii="Times New Roman" w:hAnsi="Times New Roman" w:cs="Times New Roman"/>
        </w:rPr>
        <w:t>Settlement</w:t>
      </w:r>
      <w:r w:rsidRPr="00A561A5">
        <w:rPr>
          <w:rFonts w:ascii="Times New Roman" w:hAnsi="Times New Roman" w:cs="Times New Roman"/>
        </w:rPr>
        <w:t xml:space="preserve"> have had one dominant member—the investor-owned utility that is the major beneficiary. </w:t>
      </w:r>
      <w:r w:rsidRPr="00A561A5" w:rsidR="00A5310A">
        <w:rPr>
          <w:rFonts w:ascii="Times New Roman" w:hAnsi="Times New Roman" w:cs="Times New Roman"/>
        </w:rPr>
        <w:t>In a 20</w:t>
      </w:r>
      <w:r w:rsidRPr="00A561A5" w:rsidR="007C794D">
        <w:rPr>
          <w:rFonts w:ascii="Times New Roman" w:hAnsi="Times New Roman" w:cs="Times New Roman"/>
        </w:rPr>
        <w:t>08FirstEnergy</w:t>
      </w:r>
      <w:r w:rsidRPr="00A561A5" w:rsidR="00A5310A">
        <w:rPr>
          <w:rFonts w:ascii="Times New Roman" w:hAnsi="Times New Roman" w:cs="Times New Roman"/>
        </w:rPr>
        <w:t xml:space="preserve"> ESP case, Commissioner Cheryl Roberto wrote </w:t>
      </w:r>
      <w:r w:rsidRPr="00A561A5" w:rsidR="007C794D">
        <w:rPr>
          <w:rFonts w:ascii="Times New Roman" w:hAnsi="Times New Roman" w:cs="Times New Roman"/>
        </w:rPr>
        <w:t>in a concurring/dissenting opinion</w:t>
      </w:r>
      <w:r w:rsidRPr="00A561A5" w:rsidR="00A5310A">
        <w:rPr>
          <w:rFonts w:ascii="Times New Roman" w:hAnsi="Times New Roman" w:cs="Times New Roman"/>
        </w:rPr>
        <w:t>_ that “</w:t>
      </w:r>
      <w:r w:rsidRPr="00A561A5" w:rsidR="007C794D">
        <w:rPr>
          <w:rFonts w:ascii="Times New Roman" w:eastAsia="Times New Roman" w:hAnsi="Times New Roman" w:cs="Times New Roman"/>
          <w:color w:val="000000"/>
        </w:rPr>
        <w:t>[B]ecause of the utility's ability to withdraw, the remaining parties certainly do not possess equal bargaining power in an ESP action before the Commission. The Commission must consider whether an agreed-upon stipulation arising under an ESP represents what the parties truly view to be in their best interest -- or simply the best that they can hope to achieve when one party has the singular authority to reject not only any and all modifications proffered by the other parties but the Commission's independent judgment as to what is just and reasonable."</w:t>
      </w:r>
      <w:r w:rsidRPr="00A561A5" w:rsidR="00A5310A">
        <w:rPr>
          <w:rFonts w:ascii="Times New Roman" w:hAnsi="Times New Roman" w:cs="Times New Roman"/>
        </w:rPr>
        <w:t xml:space="preserve"> .”</w:t>
      </w:r>
      <w:r>
        <w:rPr>
          <w:rStyle w:val="FootnoteReference"/>
          <w:rFonts w:ascii="Times New Roman" w:hAnsi="Times New Roman" w:cs="Times New Roman"/>
        </w:rPr>
        <w:footnoteReference w:id="24"/>
      </w:r>
      <w:r w:rsidRPr="00A561A5" w:rsidR="00A5310A">
        <w:rPr>
          <w:rFonts w:ascii="Times New Roman" w:hAnsi="Times New Roman" w:cs="Times New Roman"/>
        </w:rPr>
        <w:t xml:space="preserve">  Given that essentially all settlements occur only with the utility’s approval, Commissioner Roberto’s concern has even broader applicability to settlements of PUCO cases</w:t>
      </w:r>
      <w:r w:rsidRPr="00A561A5" w:rsidR="0018631A">
        <w:rPr>
          <w:rFonts w:ascii="Times New Roman" w:hAnsi="Times New Roman" w:cs="Times New Roman"/>
        </w:rPr>
        <w:t>, to the detriment of less empowered parties like residential consumers</w:t>
      </w:r>
      <w:r w:rsidRPr="00A561A5" w:rsidR="00A5310A">
        <w:rPr>
          <w:rFonts w:ascii="Times New Roman" w:hAnsi="Times New Roman" w:cs="Times New Roman"/>
        </w:rPr>
        <w:t>.</w:t>
      </w:r>
    </w:p>
    <w:p w:rsidR="00F72532" w:rsidRPr="00A561A5" w:rsidP="00F72532">
      <w:pPr>
        <w:spacing w:line="480" w:lineRule="auto"/>
        <w:ind w:left="720"/>
        <w:rPr>
          <w:rFonts w:ascii="Times New Roman" w:hAnsi="Times New Roman" w:cs="Times New Roman"/>
        </w:rPr>
      </w:pPr>
    </w:p>
    <w:p w:rsidR="001C06F1" w:rsidRPr="00A561A5" w:rsidP="00F72532">
      <w:pPr>
        <w:spacing w:line="480" w:lineRule="auto"/>
        <w:rPr>
          <w:rFonts w:ascii="Times New Roman" w:hAnsi="Times New Roman" w:cs="Times New Roman"/>
        </w:rPr>
      </w:pPr>
    </w:p>
    <w:p w:rsidR="007C794D" w:rsidRPr="00A561A5" w:rsidP="00B12579">
      <w:pPr>
        <w:spacing w:line="480" w:lineRule="auto"/>
        <w:ind w:left="720" w:hanging="720"/>
        <w:rPr>
          <w:rFonts w:ascii="Times New Roman" w:hAnsi="Times New Roman" w:cs="Times New Roman"/>
          <w:b/>
        </w:rPr>
      </w:pPr>
      <w:r w:rsidRPr="00A561A5">
        <w:rPr>
          <w:rFonts w:ascii="Times New Roman" w:hAnsi="Times New Roman" w:cs="Times New Roman"/>
          <w:b/>
          <w:i/>
        </w:rPr>
        <w:t>Q</w:t>
      </w:r>
      <w:r w:rsidRPr="00A561A5" w:rsidR="00B12579">
        <w:rPr>
          <w:rFonts w:ascii="Times New Roman" w:hAnsi="Times New Roman" w:cs="Times New Roman"/>
          <w:b/>
          <w:i/>
        </w:rPr>
        <w:t>23</w:t>
      </w:r>
      <w:r w:rsidRPr="00A561A5">
        <w:rPr>
          <w:rFonts w:ascii="Times New Roman" w:hAnsi="Times New Roman" w:cs="Times New Roman"/>
        </w:rPr>
        <w:t>.</w:t>
      </w:r>
      <w:r w:rsidRPr="00A561A5">
        <w:rPr>
          <w:rFonts w:ascii="Times New Roman" w:hAnsi="Times New Roman" w:cs="Times New Roman"/>
        </w:rPr>
        <w:tab/>
      </w:r>
      <w:r w:rsidRPr="00A561A5">
        <w:rPr>
          <w:rFonts w:ascii="Times New Roman" w:hAnsi="Times New Roman" w:cs="Times New Roman"/>
          <w:b/>
        </w:rPr>
        <w:t xml:space="preserve">DO YOU HAVE RECOMMENDATIONS FOR HOW THE PUCO’S SETTLEMENT PROCESS COULD BE IMPROVED TO OFFER </w:t>
      </w:r>
      <w:r w:rsidRPr="00A561A5" w:rsidR="002726DB">
        <w:rPr>
          <w:rFonts w:ascii="Times New Roman" w:hAnsi="Times New Roman" w:cs="Times New Roman"/>
          <w:b/>
        </w:rPr>
        <w:t>MORE COMPREHENSIVE</w:t>
      </w:r>
      <w:r w:rsidRPr="00A561A5">
        <w:rPr>
          <w:rFonts w:ascii="Times New Roman" w:hAnsi="Times New Roman" w:cs="Times New Roman"/>
          <w:b/>
        </w:rPr>
        <w:t xml:space="preserve"> CONSUMER PROTECTIONS</w:t>
      </w:r>
      <w:r w:rsidRPr="00A561A5" w:rsidR="002726DB">
        <w:rPr>
          <w:rFonts w:ascii="Times New Roman" w:hAnsi="Times New Roman" w:cs="Times New Roman"/>
          <w:b/>
        </w:rPr>
        <w:t>?</w:t>
      </w:r>
    </w:p>
    <w:p w:rsidR="007C794D" w:rsidRPr="00A561A5" w:rsidP="00B12579">
      <w:pPr>
        <w:spacing w:line="480" w:lineRule="auto"/>
        <w:ind w:left="720" w:hanging="720"/>
        <w:rPr>
          <w:rFonts w:ascii="Times New Roman" w:hAnsi="Times New Roman" w:cs="Times New Roman"/>
        </w:rPr>
      </w:pPr>
      <w:r w:rsidRPr="00A561A5">
        <w:rPr>
          <w:rFonts w:ascii="Times New Roman" w:hAnsi="Times New Roman" w:cs="Times New Roman"/>
          <w:b/>
          <w:i/>
        </w:rPr>
        <w:t>A</w:t>
      </w:r>
      <w:r w:rsidRPr="00A561A5" w:rsidR="00B12579">
        <w:rPr>
          <w:rFonts w:ascii="Times New Roman" w:hAnsi="Times New Roman" w:cs="Times New Roman"/>
          <w:b/>
          <w:i/>
        </w:rPr>
        <w:t>23</w:t>
      </w:r>
      <w:r w:rsidRPr="00A561A5">
        <w:rPr>
          <w:rFonts w:ascii="Times New Roman" w:hAnsi="Times New Roman" w:cs="Times New Roman"/>
          <w:b/>
          <w:i/>
        </w:rPr>
        <w:t>.</w:t>
      </w:r>
      <w:r w:rsidRPr="00A561A5">
        <w:rPr>
          <w:rFonts w:ascii="Times New Roman" w:hAnsi="Times New Roman" w:cs="Times New Roman"/>
        </w:rPr>
        <w:t xml:space="preserve"> </w:t>
      </w:r>
      <w:r w:rsidRPr="00A561A5" w:rsidR="00B12579">
        <w:rPr>
          <w:rFonts w:ascii="Times New Roman" w:hAnsi="Times New Roman" w:cs="Times New Roman"/>
        </w:rPr>
        <w:tab/>
      </w:r>
      <w:r w:rsidRPr="00A561A5">
        <w:rPr>
          <w:rFonts w:ascii="Times New Roman" w:hAnsi="Times New Roman" w:cs="Times New Roman"/>
        </w:rPr>
        <w:t>Yes.  To begin with</w:t>
      </w:r>
      <w:r w:rsidRPr="00A561A5" w:rsidR="00B12579">
        <w:rPr>
          <w:rFonts w:ascii="Times New Roman" w:hAnsi="Times New Roman" w:cs="Times New Roman"/>
        </w:rPr>
        <w:t>,</w:t>
      </w:r>
      <w:r w:rsidRPr="00A561A5">
        <w:rPr>
          <w:rFonts w:ascii="Times New Roman" w:hAnsi="Times New Roman" w:cs="Times New Roman"/>
        </w:rPr>
        <w:t xml:space="preserve"> the </w:t>
      </w:r>
      <w:r w:rsidRPr="00A561A5" w:rsidR="001F595A">
        <w:rPr>
          <w:rFonts w:ascii="Times New Roman" w:hAnsi="Times New Roman" w:cs="Times New Roman"/>
        </w:rPr>
        <w:t xml:space="preserve">second and third prongs of the </w:t>
      </w:r>
      <w:r w:rsidRPr="00A561A5">
        <w:rPr>
          <w:rFonts w:ascii="Times New Roman" w:hAnsi="Times New Roman" w:cs="Times New Roman"/>
        </w:rPr>
        <w:t>PUCO</w:t>
      </w:r>
      <w:r w:rsidRPr="00A561A5" w:rsidR="001F595A">
        <w:rPr>
          <w:rFonts w:ascii="Times New Roman" w:hAnsi="Times New Roman" w:cs="Times New Roman"/>
        </w:rPr>
        <w:t>’s</w:t>
      </w:r>
      <w:r w:rsidRPr="00A561A5">
        <w:rPr>
          <w:rFonts w:ascii="Times New Roman" w:hAnsi="Times New Roman" w:cs="Times New Roman"/>
        </w:rPr>
        <w:t xml:space="preserve"> settlement standard should be modified so that the settlement is not </w:t>
      </w:r>
      <w:r w:rsidRPr="00A561A5" w:rsidR="004C3892">
        <w:rPr>
          <w:rFonts w:ascii="Times New Roman" w:hAnsi="Times New Roman" w:cs="Times New Roman"/>
        </w:rPr>
        <w:t>re</w:t>
      </w:r>
      <w:r w:rsidRPr="00A561A5">
        <w:rPr>
          <w:rFonts w:ascii="Times New Roman" w:hAnsi="Times New Roman" w:cs="Times New Roman"/>
        </w:rPr>
        <w:t xml:space="preserve">viewed </w:t>
      </w:r>
      <w:r w:rsidRPr="00A561A5" w:rsidR="004C3892">
        <w:rPr>
          <w:rFonts w:ascii="Times New Roman" w:hAnsi="Times New Roman" w:cs="Times New Roman"/>
        </w:rPr>
        <w:t>as</w:t>
      </w:r>
      <w:r w:rsidRPr="00A561A5">
        <w:rPr>
          <w:rFonts w:ascii="Times New Roman" w:hAnsi="Times New Roman" w:cs="Times New Roman"/>
        </w:rPr>
        <w:t xml:space="preserve"> a package, but rather each individual provision of a settlement must be scrutinized on its own merits.</w:t>
      </w:r>
    </w:p>
    <w:p w:rsidR="004C3892" w:rsidRPr="00A561A5" w:rsidP="00F72532">
      <w:pPr>
        <w:spacing w:line="480" w:lineRule="auto"/>
        <w:rPr>
          <w:rFonts w:ascii="Times New Roman" w:hAnsi="Times New Roman" w:cs="Times New Roman"/>
        </w:rPr>
      </w:pPr>
    </w:p>
    <w:p w:rsidR="004C3892" w:rsidRPr="00A561A5" w:rsidP="00B12579">
      <w:pPr>
        <w:spacing w:line="480" w:lineRule="auto"/>
        <w:ind w:left="720"/>
        <w:rPr>
          <w:rFonts w:ascii="Times New Roman" w:eastAsia="Times New Roman" w:hAnsi="Times New Roman" w:cs="Times New Roman"/>
          <w:color w:val="000000"/>
        </w:rPr>
      </w:pPr>
      <w:r w:rsidRPr="00A561A5">
        <w:rPr>
          <w:rFonts w:ascii="Times New Roman" w:hAnsi="Times New Roman" w:cs="Times New Roman"/>
        </w:rPr>
        <w:t>Next, the practice of a utility acquiring signatures for a settlement through the payment of cash and cash equivalent benefits to the signatory party must be stopped.  It is interesting to note, in 2015, the PUCO issued an order that put out a strong message cautioning parties against such practice.  The PUCO stated:</w:t>
      </w:r>
      <w:r w:rsidRPr="00A561A5" w:rsidR="00F31981">
        <w:rPr>
          <w:rFonts w:ascii="Times New Roman" w:eastAsia="Times New Roman" w:hAnsi="Times New Roman" w:cs="Times New Roman"/>
          <w:color w:val="000000"/>
        </w:rPr>
        <w:t xml:space="preserve"> "The Commission notes that provision 1.b. of the Stipulation includes direct payments to intervenors of funds to be refunded to ratepayers. ... [T]he Signatory Parties to this Stipulation and parties to future stipulations should be forewarned that such provisions are strongly disfavored by this Commission and are highly likely to be stricken from any future stipulation submitted to the Commission for approval.".</w:t>
      </w:r>
      <w:r>
        <w:rPr>
          <w:rStyle w:val="FootnoteReference"/>
          <w:rFonts w:ascii="Times New Roman" w:eastAsia="Times New Roman" w:hAnsi="Times New Roman" w:cs="Times New Roman"/>
          <w:color w:val="000000"/>
        </w:rPr>
        <w:footnoteReference w:id="25"/>
      </w:r>
      <w:r w:rsidRPr="00A561A5">
        <w:rPr>
          <w:rFonts w:ascii="Times New Roman" w:eastAsia="Times New Roman" w:hAnsi="Times New Roman" w:cs="Times New Roman"/>
          <w:color w:val="000000"/>
        </w:rPr>
        <w:t xml:space="preserve">  To my knowledge, this cautionary Order from the PUC</w:t>
      </w:r>
      <w:r w:rsidRPr="00A561A5" w:rsidR="00FA094E">
        <w:rPr>
          <w:rFonts w:ascii="Times New Roman" w:eastAsia="Times New Roman" w:hAnsi="Times New Roman" w:cs="Times New Roman"/>
          <w:color w:val="000000"/>
        </w:rPr>
        <w:t>O</w:t>
      </w:r>
      <w:r w:rsidRPr="00A561A5">
        <w:rPr>
          <w:rFonts w:ascii="Times New Roman" w:eastAsia="Times New Roman" w:hAnsi="Times New Roman" w:cs="Times New Roman"/>
          <w:color w:val="000000"/>
        </w:rPr>
        <w:t xml:space="preserve"> has unfortunately not served to deter this practice in subsequent cases.  </w:t>
      </w:r>
    </w:p>
    <w:p w:rsidR="002726DB" w:rsidRPr="00A561A5" w:rsidP="0090654B">
      <w:pPr>
        <w:spacing w:line="480" w:lineRule="auto"/>
        <w:rPr>
          <w:rFonts w:ascii="Times New Roman" w:eastAsia="Times New Roman" w:hAnsi="Times New Roman" w:cs="Times New Roman"/>
          <w:color w:val="000000"/>
        </w:rPr>
      </w:pPr>
    </w:p>
    <w:p w:rsidR="000E094A" w:rsidRPr="00A561A5" w:rsidP="001642E5">
      <w:pPr>
        <w:spacing w:after="120" w:line="480" w:lineRule="auto"/>
        <w:rPr>
          <w:rFonts w:ascii="Times New Roman" w:hAnsi="Times New Roman" w:cs="Times New Roman"/>
          <w:b/>
          <w:bCs/>
          <w:i/>
          <w:iCs/>
        </w:rPr>
      </w:pPr>
      <w:r w:rsidRPr="00A561A5">
        <w:rPr>
          <w:rFonts w:ascii="Times New Roman" w:hAnsi="Times New Roman" w:cs="Times New Roman"/>
          <w:b/>
          <w:bCs/>
          <w:i/>
          <w:iCs/>
        </w:rPr>
        <w:t>Q2</w:t>
      </w:r>
      <w:r w:rsidRPr="00A561A5" w:rsidR="00FA094E">
        <w:rPr>
          <w:rFonts w:ascii="Times New Roman" w:hAnsi="Times New Roman" w:cs="Times New Roman"/>
          <w:b/>
          <w:bCs/>
          <w:i/>
          <w:iCs/>
        </w:rPr>
        <w:t>4</w:t>
      </w:r>
      <w:r w:rsidRPr="00A561A5">
        <w:rPr>
          <w:rFonts w:ascii="Times New Roman" w:hAnsi="Times New Roman" w:cs="Times New Roman"/>
          <w:b/>
          <w:bCs/>
          <w:i/>
          <w:iCs/>
        </w:rPr>
        <w:t xml:space="preserve">. </w:t>
      </w:r>
      <w:r w:rsidRPr="00A561A5">
        <w:rPr>
          <w:rFonts w:ascii="Times New Roman" w:hAnsi="Times New Roman" w:cs="Times New Roman"/>
          <w:b/>
          <w:bCs/>
          <w:i/>
          <w:iCs/>
        </w:rPr>
        <w:tab/>
        <w:t>IS YOUR TESTIMONY CONCLUDED?</w:t>
      </w:r>
    </w:p>
    <w:p w:rsidR="002273EC" w:rsidRPr="00A561A5" w:rsidP="00F72532">
      <w:pPr>
        <w:spacing w:after="120" w:line="480" w:lineRule="auto"/>
        <w:ind w:left="720" w:hanging="720"/>
        <w:rPr>
          <w:rFonts w:ascii="Times New Roman" w:hAnsi="Times New Roman" w:cs="Times New Roman"/>
          <w:b/>
        </w:rPr>
      </w:pPr>
      <w:r w:rsidRPr="00A561A5">
        <w:rPr>
          <w:rFonts w:ascii="Times New Roman" w:hAnsi="Times New Roman" w:cs="Times New Roman"/>
          <w:b/>
          <w:bCs/>
          <w:i/>
          <w:iCs/>
        </w:rPr>
        <w:t>A2</w:t>
      </w:r>
      <w:r w:rsidRPr="00A561A5" w:rsidR="00FA094E">
        <w:rPr>
          <w:rFonts w:ascii="Times New Roman" w:hAnsi="Times New Roman" w:cs="Times New Roman"/>
          <w:b/>
          <w:bCs/>
          <w:i/>
          <w:iCs/>
        </w:rPr>
        <w:t>4</w:t>
      </w:r>
      <w:r w:rsidRPr="00A561A5">
        <w:rPr>
          <w:rFonts w:ascii="Times New Roman" w:hAnsi="Times New Roman" w:cs="Times New Roman"/>
          <w:b/>
          <w:bCs/>
          <w:i/>
          <w:iCs/>
        </w:rPr>
        <w:t>.</w:t>
      </w:r>
      <w:r w:rsidRPr="00A561A5">
        <w:rPr>
          <w:rFonts w:ascii="Times New Roman" w:hAnsi="Times New Roman" w:cs="Times New Roman"/>
        </w:rPr>
        <w:tab/>
      </w:r>
      <w:r w:rsidRPr="00A561A5" w:rsidR="007161C7">
        <w:rPr>
          <w:rFonts w:ascii="Times New Roman" w:hAnsi="Times New Roman" w:cs="Times New Roman"/>
        </w:rPr>
        <w:t xml:space="preserve">Yes. But I reserve the right to supplement my testimony in the event that additional testimony is filed, or if new information or data in connection with this proceeding becomes available. </w:t>
      </w:r>
    </w:p>
    <w:p w:rsidR="00065441" w:rsidP="001642E5">
      <w:pPr>
        <w:spacing w:line="480" w:lineRule="auto"/>
        <w:rPr>
          <w:rFonts w:ascii="Times New Roman" w:hAnsi="Times New Roman" w:cs="Times New Roman"/>
          <w:b/>
        </w:rPr>
      </w:pPr>
    </w:p>
    <w:p w:rsidR="002B24C1" w:rsidRPr="00A561A5" w:rsidP="001642E5">
      <w:pPr>
        <w:spacing w:line="480" w:lineRule="auto"/>
        <w:rPr>
          <w:rFonts w:ascii="Times New Roman" w:hAnsi="Times New Roman" w:cs="Times New Roman"/>
          <w:b/>
        </w:rPr>
        <w:sectPr w:rsidSect="000F2E9E">
          <w:headerReference w:type="default" r:id="rId9"/>
          <w:footerReference w:type="default" r:id="rId10"/>
          <w:pgSz w:w="12240" w:h="15840"/>
          <w:pgMar w:top="1440" w:right="1440" w:bottom="1440" w:left="1980" w:header="720" w:footer="720" w:gutter="0"/>
          <w:lnNumType w:countBy="1"/>
          <w:pgNumType w:start="1"/>
          <w:cols w:space="720"/>
          <w:docGrid w:linePitch="360"/>
        </w:sectPr>
      </w:pPr>
    </w:p>
    <w:p w:rsidR="006262D8" w:rsidRPr="00A561A5" w:rsidP="006262D8">
      <w:pPr>
        <w:spacing w:line="480" w:lineRule="auto"/>
        <w:jc w:val="center"/>
        <w:rPr>
          <w:rFonts w:ascii="Times New Roman" w:hAnsi="Times New Roman" w:cs="Times New Roman"/>
          <w:b/>
          <w:iCs/>
          <w:u w:val="single"/>
        </w:rPr>
      </w:pPr>
      <w:r w:rsidRPr="00A561A5">
        <w:rPr>
          <w:rFonts w:ascii="Times New Roman" w:hAnsi="Times New Roman" w:cs="Times New Roman"/>
          <w:b/>
          <w:iCs/>
          <w:u w:val="single"/>
        </w:rPr>
        <w:t>CERTIFICATE OF SERVICE</w:t>
      </w:r>
    </w:p>
    <w:p w:rsidR="005E53DA" w:rsidRPr="00A561A5" w:rsidP="006262D8">
      <w:pPr>
        <w:spacing w:line="480" w:lineRule="auto"/>
        <w:ind w:firstLine="720"/>
        <w:rPr>
          <w:rFonts w:ascii="Times New Roman" w:hAnsi="Times New Roman" w:cs="Times New Roman"/>
        </w:rPr>
      </w:pPr>
      <w:r w:rsidRPr="00A561A5">
        <w:rPr>
          <w:rFonts w:ascii="Times New Roman" w:hAnsi="Times New Roman" w:cs="Times New Roman"/>
        </w:rPr>
        <w:t xml:space="preserve">I hereby certify that a true copy of the foregoing Testimony of </w:t>
      </w:r>
      <w:r w:rsidRPr="00A561A5" w:rsidR="006262D8">
        <w:rPr>
          <w:rFonts w:ascii="Times New Roman" w:hAnsi="Times New Roman" w:cs="Times New Roman"/>
        </w:rPr>
        <w:t>Edward W. Hill</w:t>
      </w:r>
      <w:r w:rsidRPr="00A561A5">
        <w:rPr>
          <w:rFonts w:ascii="Times New Roman" w:hAnsi="Times New Roman" w:cs="Times New Roman"/>
        </w:rPr>
        <w:t>, Ph.D.</w:t>
      </w:r>
      <w:r w:rsidRPr="00A561A5">
        <w:rPr>
          <w:rFonts w:ascii="Times New Roman" w:hAnsi="Times New Roman" w:cs="Times New Roman"/>
          <w:iCs/>
        </w:rPr>
        <w:t xml:space="preserve"> </w:t>
      </w:r>
      <w:r w:rsidRPr="00A561A5">
        <w:rPr>
          <w:rFonts w:ascii="Times New Roman" w:hAnsi="Times New Roman" w:cs="Times New Roman"/>
        </w:rPr>
        <w:t xml:space="preserve">on Behalf of </w:t>
      </w:r>
      <w:r w:rsidRPr="00A561A5" w:rsidR="006262D8">
        <w:rPr>
          <w:rFonts w:ascii="Times New Roman" w:hAnsi="Times New Roman" w:cs="Times New Roman"/>
        </w:rPr>
        <w:t>t</w:t>
      </w:r>
      <w:r w:rsidRPr="00A561A5">
        <w:rPr>
          <w:rFonts w:ascii="Times New Roman" w:hAnsi="Times New Roman" w:cs="Times New Roman"/>
        </w:rPr>
        <w:t>he Office of the Ohio Consumers’ Counsel</w:t>
      </w:r>
      <w:r w:rsidRPr="00A561A5">
        <w:rPr>
          <w:rFonts w:ascii="Times New Roman" w:hAnsi="Times New Roman" w:cs="Times New Roman"/>
          <w:i/>
        </w:rPr>
        <w:t xml:space="preserve"> </w:t>
      </w:r>
      <w:r w:rsidRPr="00A561A5">
        <w:rPr>
          <w:rFonts w:ascii="Times New Roman" w:hAnsi="Times New Roman" w:cs="Times New Roman"/>
        </w:rPr>
        <w:t>was served via electronic transmission to the persons listed below on this 1</w:t>
      </w:r>
      <w:r w:rsidRPr="00A561A5" w:rsidR="00912EE5">
        <w:rPr>
          <w:rFonts w:ascii="Times New Roman" w:hAnsi="Times New Roman" w:cs="Times New Roman"/>
        </w:rPr>
        <w:t>7</w:t>
      </w:r>
      <w:r w:rsidRPr="00A561A5">
        <w:rPr>
          <w:rFonts w:ascii="Times New Roman" w:hAnsi="Times New Roman" w:cs="Times New Roman"/>
        </w:rPr>
        <w:t>th day of December 2020.</w:t>
      </w:r>
    </w:p>
    <w:p w:rsidR="005E53DA" w:rsidRPr="00A561A5" w:rsidP="005E53DA">
      <w:pPr>
        <w:suppressAutoHyphens/>
        <w:ind w:firstLine="720"/>
        <w:rPr>
          <w:rFonts w:ascii="Times New Roman" w:hAnsi="Times New Roman" w:cs="Times New Roman"/>
        </w:rPr>
      </w:pPr>
      <w:r w:rsidRPr="00A561A5">
        <w:rPr>
          <w:rFonts w:ascii="Times New Roman" w:hAnsi="Times New Roman" w:cs="Times New Roman"/>
        </w:rPr>
        <w:tab/>
      </w:r>
      <w:r w:rsidRPr="00A561A5">
        <w:rPr>
          <w:rFonts w:ascii="Times New Roman" w:hAnsi="Times New Roman" w:cs="Times New Roman"/>
        </w:rPr>
        <w:tab/>
      </w:r>
      <w:r w:rsidRPr="00A561A5">
        <w:rPr>
          <w:rFonts w:ascii="Times New Roman" w:hAnsi="Times New Roman" w:cs="Times New Roman"/>
        </w:rPr>
        <w:tab/>
      </w:r>
      <w:r w:rsidRPr="00A561A5">
        <w:rPr>
          <w:rFonts w:ascii="Times New Roman" w:hAnsi="Times New Roman" w:cs="Times New Roman"/>
        </w:rPr>
        <w:tab/>
      </w:r>
      <w:r w:rsidRPr="00A561A5">
        <w:rPr>
          <w:rFonts w:ascii="Times New Roman" w:hAnsi="Times New Roman" w:cs="Times New Roman"/>
        </w:rPr>
        <w:tab/>
      </w:r>
      <w:r w:rsidRPr="00A561A5">
        <w:rPr>
          <w:rFonts w:ascii="Times New Roman" w:hAnsi="Times New Roman" w:cs="Times New Roman"/>
          <w:i/>
          <w:iCs/>
          <w:u w:val="single"/>
        </w:rPr>
        <w:t>/s/ Christopher Healey</w:t>
      </w:r>
      <w:r w:rsidRPr="00A561A5">
        <w:rPr>
          <w:rFonts w:ascii="Times New Roman" w:hAnsi="Times New Roman" w:cs="Times New Roman"/>
          <w:i/>
          <w:iCs/>
          <w:u w:val="single"/>
        </w:rPr>
        <w:tab/>
      </w:r>
      <w:r w:rsidRPr="00A561A5">
        <w:rPr>
          <w:rFonts w:ascii="Times New Roman" w:hAnsi="Times New Roman" w:cs="Times New Roman"/>
          <w:i/>
          <w:iCs/>
          <w:u w:val="single"/>
        </w:rPr>
        <w:tab/>
      </w:r>
      <w:r w:rsidRPr="00A561A5">
        <w:rPr>
          <w:rFonts w:ascii="Times New Roman" w:hAnsi="Times New Roman" w:cs="Times New Roman"/>
          <w:i/>
          <w:iCs/>
          <w:u w:val="single"/>
        </w:rPr>
        <w:tab/>
      </w:r>
    </w:p>
    <w:p w:rsidR="005E53DA" w:rsidRPr="00A561A5" w:rsidP="005E53DA">
      <w:pPr>
        <w:tabs>
          <w:tab w:val="left" w:pos="4320"/>
        </w:tabs>
        <w:rPr>
          <w:rFonts w:ascii="Times New Roman" w:hAnsi="Times New Roman" w:cs="Times New Roman"/>
        </w:rPr>
      </w:pPr>
      <w:r w:rsidRPr="00A561A5">
        <w:rPr>
          <w:rFonts w:ascii="Times New Roman" w:hAnsi="Times New Roman" w:cs="Times New Roman"/>
        </w:rPr>
        <w:tab/>
        <w:t>Christopher Healey</w:t>
      </w:r>
    </w:p>
    <w:p w:rsidR="005E53DA" w:rsidRPr="00A561A5" w:rsidP="005E53DA">
      <w:pPr>
        <w:tabs>
          <w:tab w:val="left" w:pos="4320"/>
        </w:tabs>
        <w:rPr>
          <w:rFonts w:ascii="Times New Roman" w:hAnsi="Times New Roman" w:cs="Times New Roman"/>
        </w:rPr>
      </w:pPr>
      <w:r w:rsidRPr="00A561A5">
        <w:rPr>
          <w:rFonts w:ascii="Times New Roman" w:hAnsi="Times New Roman" w:cs="Times New Roman"/>
        </w:rPr>
        <w:tab/>
        <w:t>Assistant Consumers’ Counsel</w:t>
      </w:r>
    </w:p>
    <w:p w:rsidR="005E53DA" w:rsidRPr="00A561A5" w:rsidP="005E53DA">
      <w:pPr>
        <w:tabs>
          <w:tab w:val="left" w:pos="5040"/>
        </w:tabs>
        <w:rPr>
          <w:rFonts w:ascii="Times New Roman" w:hAnsi="Times New Roman" w:cs="Times New Roman"/>
          <w:b/>
          <w:u w:val="single"/>
        </w:rPr>
      </w:pPr>
    </w:p>
    <w:p w:rsidR="005E53DA" w:rsidRPr="00A561A5" w:rsidP="005E53DA">
      <w:pPr>
        <w:rPr>
          <w:rFonts w:ascii="Times New Roman" w:hAnsi="Times New Roman" w:cs="Times New Roman"/>
        </w:rPr>
      </w:pPr>
      <w:r w:rsidRPr="00A561A5">
        <w:rPr>
          <w:rFonts w:ascii="Times New Roman" w:hAnsi="Times New Roman" w:cs="Times New Roman"/>
        </w:rPr>
        <w:t>The PUCO’s e-filing system will electronically serve notice of the filing of this document on the following parties:</w:t>
      </w:r>
    </w:p>
    <w:p w:rsidR="005E53DA" w:rsidRPr="00A561A5" w:rsidP="005E53DA">
      <w:pPr>
        <w:pStyle w:val="CommentText"/>
        <w:jc w:val="center"/>
        <w:rPr>
          <w:rFonts w:ascii="Times New Roman" w:hAnsi="Times New Roman" w:cs="Times New Roman"/>
          <w:b/>
          <w:sz w:val="24"/>
          <w:szCs w:val="24"/>
          <w:u w:val="single"/>
        </w:rPr>
      </w:pPr>
    </w:p>
    <w:p w:rsidR="005E53DA" w:rsidRPr="00A561A5" w:rsidP="005E53DA">
      <w:pPr>
        <w:pStyle w:val="CommentText"/>
        <w:jc w:val="center"/>
        <w:rPr>
          <w:rFonts w:ascii="Times New Roman" w:hAnsi="Times New Roman" w:cs="Times New Roman"/>
          <w:b/>
          <w:bCs/>
          <w:sz w:val="24"/>
          <w:szCs w:val="24"/>
          <w:u w:val="single"/>
        </w:rPr>
      </w:pPr>
      <w:r w:rsidRPr="00A561A5">
        <w:rPr>
          <w:rFonts w:ascii="Times New Roman" w:hAnsi="Times New Roman" w:cs="Times New Roman"/>
          <w:b/>
          <w:bCs/>
          <w:sz w:val="24"/>
          <w:szCs w:val="24"/>
          <w:u w:val="single"/>
        </w:rPr>
        <w:t>SERVICE LIST</w:t>
      </w:r>
    </w:p>
    <w:p w:rsidR="005E53DA" w:rsidRPr="00A561A5" w:rsidP="005E53DA">
      <w:pPr>
        <w:pStyle w:val="CommentText"/>
        <w:jc w:val="center"/>
        <w:rPr>
          <w:rFonts w:ascii="Times New Roman" w:hAnsi="Times New Roman" w:cs="Times New Roman"/>
          <w:b/>
          <w:sz w:val="24"/>
          <w:szCs w:val="24"/>
          <w:u w:val="single"/>
        </w:rPr>
      </w:pPr>
    </w:p>
    <w:tbl>
      <w:tblPr>
        <w:tblW w:w="0" w:type="auto"/>
        <w:tblLook w:val="04A0"/>
      </w:tblPr>
      <w:tblGrid>
        <w:gridCol w:w="4996"/>
        <w:gridCol w:w="4428"/>
      </w:tblGrid>
      <w:tr w:rsidTr="005E53DA">
        <w:tblPrEx>
          <w:tblW w:w="0" w:type="auto"/>
          <w:tblLook w:val="04A0"/>
        </w:tblPrEx>
        <w:tc>
          <w:tcPr>
            <w:tcW w:w="4428" w:type="dxa"/>
          </w:tcPr>
          <w:p w:rsidR="005E53DA" w:rsidRPr="00A561A5" w:rsidP="005E53DA">
            <w:pPr>
              <w:pStyle w:val="BodyText"/>
              <w:spacing w:line="240" w:lineRule="auto"/>
            </w:pPr>
            <w:r w:rsidRPr="00A561A5">
              <w:t>Case No. 18-1875-EL-GRD, et al.</w:t>
            </w:r>
          </w:p>
          <w:p w:rsidR="005E53DA" w:rsidRPr="00A561A5" w:rsidP="005E53DA">
            <w:pPr>
              <w:pStyle w:val="BodyText"/>
              <w:spacing w:line="240" w:lineRule="auto"/>
            </w:pPr>
          </w:p>
          <w:p w:rsidR="005E53DA" w:rsidRPr="00A561A5" w:rsidP="005E53DA">
            <w:pPr>
              <w:pStyle w:val="BodyText"/>
              <w:spacing w:line="240" w:lineRule="auto"/>
              <w:rPr>
                <w:rFonts w:eastAsia="Times New Roman"/>
                <w:iCs w:val="0"/>
                <w:color w:val="0000FF"/>
                <w:u w:val="single"/>
              </w:rPr>
            </w:pPr>
            <w:r w:rsidRPr="00A561A5">
              <w:rPr>
                <w:rFonts w:eastAsia="Times New Roman"/>
                <w:iCs w:val="0"/>
                <w:color w:val="0000FF"/>
                <w:u w:val="single"/>
              </w:rPr>
              <w:t>steven.beeler@ohioattorneygeneral.gov</w:t>
            </w:r>
          </w:p>
          <w:p w:rsidR="005E53DA" w:rsidRPr="00A561A5" w:rsidP="005E53DA">
            <w:pPr>
              <w:pStyle w:val="BodyText"/>
              <w:spacing w:line="240" w:lineRule="auto"/>
              <w:rPr>
                <w:rFonts w:eastAsia="Times New Roman"/>
                <w:iCs w:val="0"/>
                <w:color w:val="0000FF"/>
                <w:u w:val="single"/>
              </w:rPr>
            </w:pPr>
            <w:r w:rsidRPr="00A561A5">
              <w:rPr>
                <w:rFonts w:eastAsia="Times New Roman"/>
                <w:iCs w:val="0"/>
                <w:color w:val="0000FF"/>
                <w:u w:val="single"/>
              </w:rPr>
              <w:t>Robert.eubanks@ohioattorneygeneral.gov</w:t>
            </w:r>
          </w:p>
          <w:p w:rsidR="005E53DA" w:rsidRPr="00A561A5" w:rsidP="005E53DA">
            <w:pPr>
              <w:pStyle w:val="BodyText"/>
              <w:spacing w:line="240" w:lineRule="auto"/>
              <w:rPr>
                <w:rFonts w:eastAsia="Times New Roman"/>
                <w:iCs w:val="0"/>
                <w:color w:val="0000FF"/>
                <w:u w:val="single"/>
              </w:rPr>
            </w:pPr>
            <w:r w:rsidRPr="00A561A5">
              <w:rPr>
                <w:rFonts w:eastAsia="Times New Roman"/>
                <w:iCs w:val="0"/>
                <w:color w:val="0000FF"/>
                <w:u w:val="single"/>
              </w:rPr>
              <w:t>Bethany.allen@igs.com</w:t>
            </w:r>
          </w:p>
          <w:p w:rsidR="005E53DA" w:rsidRPr="00A561A5" w:rsidP="005E53DA">
            <w:pPr>
              <w:pStyle w:val="BodyText"/>
              <w:spacing w:line="240" w:lineRule="auto"/>
              <w:rPr>
                <w:rFonts w:eastAsia="Times New Roman"/>
                <w:iCs w:val="0"/>
                <w:color w:val="0000FF"/>
                <w:u w:val="single"/>
              </w:rPr>
            </w:pPr>
            <w:r w:rsidRPr="00A561A5">
              <w:rPr>
                <w:rFonts w:eastAsia="Times New Roman"/>
                <w:iCs w:val="0"/>
                <w:color w:val="0000FF"/>
                <w:u w:val="single"/>
              </w:rPr>
              <w:t>Joe.oliker@igs.com</w:t>
            </w:r>
          </w:p>
          <w:p w:rsidR="005E53DA" w:rsidRPr="00A561A5" w:rsidP="005E53DA">
            <w:pPr>
              <w:pStyle w:val="BodyText"/>
              <w:spacing w:line="240" w:lineRule="auto"/>
              <w:rPr>
                <w:rFonts w:eastAsia="Times New Roman"/>
                <w:iCs w:val="0"/>
                <w:color w:val="0000FF"/>
                <w:u w:val="single"/>
              </w:rPr>
            </w:pPr>
            <w:r w:rsidRPr="00A561A5">
              <w:rPr>
                <w:rFonts w:eastAsia="Times New Roman"/>
                <w:iCs w:val="0"/>
                <w:color w:val="0000FF"/>
                <w:u w:val="single"/>
              </w:rPr>
              <w:t>Michael.nugent@igs.com</w:t>
            </w:r>
          </w:p>
          <w:p w:rsidR="005E53DA" w:rsidRPr="00A561A5" w:rsidP="005E53DA">
            <w:pPr>
              <w:pStyle w:val="BodyText"/>
              <w:spacing w:line="240" w:lineRule="auto"/>
              <w:rPr>
                <w:rFonts w:eastAsia="Times New Roman"/>
                <w:iCs w:val="0"/>
                <w:color w:val="0000FF"/>
                <w:u w:val="single"/>
              </w:rPr>
            </w:pPr>
            <w:r w:rsidRPr="00A561A5">
              <w:rPr>
                <w:rFonts w:eastAsia="Times New Roman"/>
                <w:iCs w:val="0"/>
                <w:color w:val="0000FF"/>
                <w:u w:val="single"/>
              </w:rPr>
              <w:t>dstinson@bricker.com</w:t>
            </w:r>
          </w:p>
          <w:p w:rsidR="005E53DA" w:rsidRPr="00A561A5" w:rsidP="005E53DA">
            <w:pPr>
              <w:pStyle w:val="BodyText"/>
              <w:spacing w:line="240" w:lineRule="auto"/>
              <w:rPr>
                <w:rFonts w:eastAsia="Times New Roman"/>
                <w:iCs w:val="0"/>
                <w:color w:val="0000FF"/>
                <w:u w:val="single"/>
              </w:rPr>
            </w:pPr>
            <w:r w:rsidRPr="00A561A5">
              <w:rPr>
                <w:rFonts w:eastAsia="Times New Roman"/>
                <w:iCs w:val="0"/>
                <w:color w:val="0000FF"/>
                <w:u w:val="single"/>
              </w:rPr>
              <w:t>kherstein@bricker.com</w:t>
            </w:r>
          </w:p>
          <w:p w:rsidR="005E53DA" w:rsidRPr="00A561A5" w:rsidP="005E53DA">
            <w:pPr>
              <w:pStyle w:val="BodyText"/>
              <w:spacing w:line="240" w:lineRule="auto"/>
              <w:rPr>
                <w:rFonts w:eastAsia="Times New Roman"/>
                <w:iCs w:val="0"/>
                <w:color w:val="0000FF"/>
                <w:u w:val="single"/>
              </w:rPr>
            </w:pPr>
            <w:r w:rsidRPr="00A561A5">
              <w:rPr>
                <w:rFonts w:eastAsia="Times New Roman"/>
                <w:iCs w:val="0"/>
                <w:color w:val="0000FF"/>
                <w:u w:val="single"/>
              </w:rPr>
              <w:t>jspottswood@bricker.com</w:t>
            </w:r>
          </w:p>
          <w:p w:rsidR="005E53DA" w:rsidRPr="00A561A5" w:rsidP="005E53DA">
            <w:pPr>
              <w:pStyle w:val="BodyText"/>
              <w:spacing w:line="240" w:lineRule="auto"/>
              <w:rPr>
                <w:rFonts w:eastAsia="Times New Roman"/>
                <w:iCs w:val="0"/>
                <w:color w:val="0000FF"/>
                <w:u w:val="single"/>
              </w:rPr>
            </w:pPr>
            <w:r w:rsidRPr="00A561A5">
              <w:rPr>
                <w:rFonts w:eastAsia="Times New Roman"/>
                <w:iCs w:val="0"/>
                <w:color w:val="0000FF"/>
                <w:u w:val="single"/>
              </w:rPr>
              <w:t>jdunnlegal@gmail.com</w:t>
            </w:r>
          </w:p>
          <w:p w:rsidR="005E53DA" w:rsidRPr="00A561A5" w:rsidP="005E53DA">
            <w:pPr>
              <w:pStyle w:val="BodyText"/>
              <w:spacing w:line="240" w:lineRule="auto"/>
              <w:rPr>
                <w:rFonts w:eastAsia="Times New Roman"/>
                <w:iCs w:val="0"/>
                <w:color w:val="0000FF"/>
                <w:u w:val="single"/>
              </w:rPr>
            </w:pPr>
            <w:r w:rsidRPr="00A561A5">
              <w:rPr>
                <w:rFonts w:eastAsia="Times New Roman"/>
                <w:iCs w:val="0"/>
                <w:color w:val="0000FF"/>
                <w:u w:val="single"/>
              </w:rPr>
              <w:t>kevin.oles@thompsonhine.com</w:t>
            </w:r>
          </w:p>
          <w:p w:rsidR="005E53DA" w:rsidRPr="00A561A5" w:rsidP="005E53DA">
            <w:pPr>
              <w:pStyle w:val="BodyText"/>
              <w:spacing w:line="240" w:lineRule="auto"/>
              <w:rPr>
                <w:rFonts w:eastAsia="Times New Roman"/>
                <w:iCs w:val="0"/>
                <w:color w:val="0000FF"/>
                <w:u w:val="single"/>
              </w:rPr>
            </w:pPr>
            <w:r w:rsidRPr="00A561A5">
              <w:rPr>
                <w:rFonts w:eastAsia="Times New Roman"/>
                <w:iCs w:val="0"/>
                <w:color w:val="0000FF"/>
                <w:u w:val="single"/>
              </w:rPr>
              <w:t>stephanie.chmiel@thompsonhine.com</w:t>
            </w:r>
          </w:p>
          <w:p w:rsidR="005E53DA" w:rsidRPr="00A561A5" w:rsidP="005E53DA">
            <w:pPr>
              <w:pStyle w:val="BodyText"/>
              <w:spacing w:line="240" w:lineRule="auto"/>
              <w:rPr>
                <w:rFonts w:eastAsia="Times New Roman"/>
                <w:iCs w:val="0"/>
                <w:color w:val="0000FF"/>
                <w:u w:val="single"/>
              </w:rPr>
            </w:pPr>
            <w:r w:rsidRPr="00A561A5">
              <w:rPr>
                <w:rFonts w:eastAsia="Times New Roman"/>
                <w:iCs w:val="0"/>
                <w:color w:val="0000FF"/>
                <w:u w:val="single"/>
              </w:rPr>
              <w:t>cmooney@opae.org</w:t>
            </w:r>
          </w:p>
          <w:p w:rsidR="005E53DA" w:rsidRPr="00A561A5" w:rsidP="005E53DA">
            <w:pPr>
              <w:pStyle w:val="BodyText"/>
              <w:spacing w:line="240" w:lineRule="auto"/>
              <w:rPr>
                <w:rFonts w:eastAsia="Times New Roman"/>
                <w:iCs w:val="0"/>
                <w:color w:val="0000FF"/>
                <w:u w:val="single"/>
              </w:rPr>
            </w:pPr>
            <w:r w:rsidRPr="00A561A5">
              <w:rPr>
                <w:rFonts w:eastAsia="Times New Roman"/>
                <w:iCs w:val="0"/>
                <w:color w:val="0000FF"/>
                <w:u w:val="single"/>
              </w:rPr>
              <w:t>whitt@whitt-sturtevant.com</w:t>
            </w:r>
          </w:p>
          <w:p w:rsidR="005E53DA" w:rsidRPr="00A561A5" w:rsidP="005E53DA">
            <w:pPr>
              <w:pStyle w:val="BodyText"/>
              <w:spacing w:line="240" w:lineRule="auto"/>
              <w:rPr>
                <w:rFonts w:eastAsia="Times New Roman"/>
                <w:iCs w:val="0"/>
                <w:color w:val="0000FF"/>
                <w:u w:val="single"/>
              </w:rPr>
            </w:pPr>
            <w:r w:rsidRPr="00A561A5">
              <w:rPr>
                <w:rFonts w:eastAsia="Times New Roman"/>
                <w:iCs w:val="0"/>
                <w:color w:val="0000FF"/>
                <w:u w:val="single"/>
              </w:rPr>
              <w:t>glover@whitt-sturtevant.com</w:t>
            </w:r>
          </w:p>
          <w:p w:rsidR="005E53DA" w:rsidRPr="00A561A5" w:rsidP="005E53DA">
            <w:pPr>
              <w:pStyle w:val="BodyText"/>
              <w:spacing w:line="240" w:lineRule="auto"/>
              <w:rPr>
                <w:rFonts w:eastAsia="Times New Roman"/>
                <w:iCs w:val="0"/>
                <w:color w:val="0000FF"/>
                <w:u w:val="single"/>
              </w:rPr>
            </w:pPr>
            <w:r w:rsidRPr="00A561A5">
              <w:rPr>
                <w:rFonts w:eastAsia="Times New Roman"/>
                <w:iCs w:val="0"/>
                <w:color w:val="0000FF"/>
                <w:u w:val="single"/>
              </w:rPr>
              <w:t>drinebolt@opae.org</w:t>
            </w:r>
          </w:p>
          <w:p w:rsidR="005E53DA" w:rsidRPr="00A561A5" w:rsidP="005E53DA">
            <w:pPr>
              <w:pStyle w:val="BodyText"/>
              <w:spacing w:line="240" w:lineRule="auto"/>
              <w:rPr>
                <w:rFonts w:eastAsia="Times New Roman"/>
                <w:iCs w:val="0"/>
                <w:color w:val="0000FF"/>
                <w:u w:val="single"/>
              </w:rPr>
            </w:pPr>
            <w:r w:rsidRPr="00A561A5">
              <w:rPr>
                <w:rFonts w:eastAsia="Times New Roman"/>
                <w:iCs w:val="0"/>
                <w:color w:val="0000FF"/>
                <w:u w:val="single"/>
              </w:rPr>
              <w:t>nvijaykar@elpc.org</w:t>
            </w:r>
          </w:p>
          <w:p w:rsidR="005E53DA" w:rsidRPr="00A561A5" w:rsidP="005E53DA">
            <w:pPr>
              <w:pStyle w:val="BodyText"/>
              <w:spacing w:line="240" w:lineRule="auto"/>
              <w:rPr>
                <w:rFonts w:eastAsia="Times New Roman"/>
                <w:iCs w:val="0"/>
                <w:color w:val="0000FF"/>
                <w:u w:val="single"/>
              </w:rPr>
            </w:pPr>
            <w:r w:rsidRPr="00A561A5">
              <w:rPr>
                <w:rFonts w:eastAsia="Times New Roman"/>
                <w:iCs w:val="0"/>
                <w:color w:val="0000FF"/>
                <w:u w:val="single"/>
              </w:rPr>
              <w:t>glpetrucci@vorys.com</w:t>
            </w:r>
          </w:p>
          <w:p w:rsidR="005E53DA" w:rsidRPr="00A561A5" w:rsidP="005E53DA">
            <w:pPr>
              <w:pStyle w:val="BodyText"/>
              <w:spacing w:line="240" w:lineRule="auto"/>
              <w:rPr>
                <w:rFonts w:eastAsia="Times New Roman"/>
                <w:iCs w:val="0"/>
                <w:color w:val="0000FF"/>
                <w:u w:val="single"/>
              </w:rPr>
            </w:pPr>
            <w:r w:rsidRPr="00A561A5">
              <w:rPr>
                <w:rFonts w:eastAsia="Times New Roman"/>
                <w:iCs w:val="0"/>
                <w:color w:val="0000FF"/>
                <w:u w:val="single"/>
              </w:rPr>
              <w:t>dparram@bricker.com</w:t>
            </w:r>
          </w:p>
          <w:p w:rsidR="005E53DA" w:rsidRPr="00A561A5" w:rsidP="005E53DA">
            <w:pPr>
              <w:pStyle w:val="BodyText"/>
              <w:spacing w:line="240" w:lineRule="auto"/>
              <w:rPr>
                <w:rFonts w:eastAsia="Times New Roman"/>
                <w:iCs w:val="0"/>
                <w:color w:val="0000FF"/>
                <w:u w:val="single"/>
              </w:rPr>
            </w:pPr>
            <w:r w:rsidRPr="00A561A5">
              <w:rPr>
                <w:rFonts w:eastAsia="Times New Roman"/>
                <w:iCs w:val="0"/>
                <w:color w:val="0000FF"/>
                <w:u w:val="single"/>
              </w:rPr>
              <w:t>dstinson@bricker.com</w:t>
            </w:r>
          </w:p>
          <w:p w:rsidR="005E53DA" w:rsidRPr="00A561A5" w:rsidP="005E53DA">
            <w:pPr>
              <w:pStyle w:val="BodyText"/>
              <w:spacing w:line="240" w:lineRule="auto"/>
            </w:pPr>
          </w:p>
          <w:p w:rsidR="005E53DA" w:rsidRPr="00A561A5" w:rsidP="005E53DA">
            <w:pPr>
              <w:pStyle w:val="BodyText"/>
              <w:spacing w:line="240" w:lineRule="auto"/>
            </w:pPr>
            <w:r w:rsidRPr="00A561A5">
              <w:t>Attorney Examiners:</w:t>
            </w:r>
          </w:p>
          <w:p w:rsidR="005E53DA" w:rsidRPr="00A561A5" w:rsidP="005E53DA">
            <w:pPr>
              <w:pStyle w:val="BodyText"/>
              <w:spacing w:line="240" w:lineRule="auto"/>
              <w:rPr>
                <w:rFonts w:eastAsia="Times New Roman"/>
                <w:iCs w:val="0"/>
                <w:color w:val="0000FF"/>
                <w:u w:val="single"/>
              </w:rPr>
            </w:pPr>
            <w:r w:rsidRPr="00A561A5">
              <w:rPr>
                <w:rFonts w:eastAsia="Times New Roman"/>
                <w:iCs w:val="0"/>
                <w:color w:val="0000FF"/>
                <w:u w:val="single"/>
              </w:rPr>
              <w:t>Patricia.schabo@puco.ohio.gov</w:t>
            </w:r>
          </w:p>
          <w:p w:rsidR="005E53DA" w:rsidRPr="00A561A5" w:rsidP="005E53DA">
            <w:pPr>
              <w:adjustRightInd w:val="0"/>
              <w:ind w:left="720"/>
              <w:rPr>
                <w:rFonts w:ascii="Times New Roman" w:eastAsia="Times New Roman" w:hAnsi="Times New Roman" w:cs="Times New Roman"/>
                <w:color w:val="0000FF"/>
                <w:u w:val="single"/>
              </w:rPr>
            </w:pPr>
            <w:r w:rsidRPr="00A561A5">
              <w:rPr>
                <w:rFonts w:ascii="Times New Roman" w:eastAsia="Times New Roman" w:hAnsi="Times New Roman" w:cs="Times New Roman"/>
                <w:color w:val="0000FF"/>
                <w:u w:val="single"/>
              </w:rPr>
              <w:t>gregory.price@puco.ohio.gov</w:t>
            </w:r>
          </w:p>
          <w:p w:rsidR="005E53DA" w:rsidRPr="00A561A5" w:rsidP="005E53DA">
            <w:pPr>
              <w:pStyle w:val="BodyText"/>
              <w:spacing w:line="240" w:lineRule="auto"/>
            </w:pPr>
          </w:p>
        </w:tc>
        <w:tc>
          <w:tcPr>
            <w:tcW w:w="4428" w:type="dxa"/>
          </w:tcPr>
          <w:p w:rsidR="005E53DA" w:rsidRPr="00A561A5" w:rsidP="005E53DA">
            <w:pPr>
              <w:pStyle w:val="BodyText"/>
              <w:spacing w:line="240" w:lineRule="auto"/>
            </w:pPr>
          </w:p>
          <w:p w:rsidR="005E53DA" w:rsidRPr="00A561A5" w:rsidP="005E53DA">
            <w:pPr>
              <w:pStyle w:val="BodyText"/>
              <w:spacing w:line="240" w:lineRule="auto"/>
            </w:pPr>
          </w:p>
          <w:p w:rsidR="005E53DA" w:rsidRPr="00A561A5" w:rsidP="005E53DA">
            <w:pPr>
              <w:pStyle w:val="BodyText"/>
              <w:spacing w:line="240" w:lineRule="auto"/>
              <w:rPr>
                <w:color w:val="0000FF"/>
              </w:rPr>
            </w:pPr>
            <w:r w:rsidRPr="00A561A5">
              <w:t>ccox@elpc.org</w:t>
            </w:r>
          </w:p>
          <w:p w:rsidR="005E53DA" w:rsidRPr="00A561A5" w:rsidP="005E53DA">
            <w:pPr>
              <w:pStyle w:val="BodyText"/>
              <w:spacing w:line="240" w:lineRule="auto"/>
              <w:rPr>
                <w:rStyle w:val="Hyperlink"/>
                <w:color w:val="0000FF"/>
              </w:rPr>
            </w:pPr>
            <w:r w:rsidRPr="00A561A5">
              <w:rPr>
                <w:rStyle w:val="Hyperlink"/>
                <w:color w:val="0000FF"/>
              </w:rPr>
              <w:t>Michael.schuler@aes.com</w:t>
            </w:r>
          </w:p>
          <w:p w:rsidR="005E53DA" w:rsidRPr="00A561A5" w:rsidP="005E53DA">
            <w:pPr>
              <w:pStyle w:val="BodyText"/>
              <w:spacing w:line="240" w:lineRule="auto"/>
              <w:rPr>
                <w:rStyle w:val="Hyperlink"/>
                <w:color w:val="0000FF"/>
              </w:rPr>
            </w:pPr>
            <w:r w:rsidRPr="00A561A5">
              <w:rPr>
                <w:rStyle w:val="Hyperlink"/>
                <w:color w:val="0000FF"/>
              </w:rPr>
              <w:t>jsharkey@ficlaw.com</w:t>
            </w:r>
          </w:p>
          <w:p w:rsidR="005E53DA" w:rsidRPr="00A561A5" w:rsidP="005E53DA">
            <w:pPr>
              <w:pStyle w:val="BodyText"/>
              <w:spacing w:line="240" w:lineRule="auto"/>
              <w:rPr>
                <w:rStyle w:val="Hyperlink"/>
                <w:color w:val="0000FF"/>
              </w:rPr>
            </w:pPr>
            <w:r w:rsidRPr="00A561A5">
              <w:rPr>
                <w:rStyle w:val="Hyperlink"/>
                <w:color w:val="0000FF"/>
              </w:rPr>
              <w:t>djireland@ficlaw.com</w:t>
            </w:r>
          </w:p>
          <w:p w:rsidR="005E53DA" w:rsidRPr="00A561A5" w:rsidP="005E53DA">
            <w:pPr>
              <w:pStyle w:val="BodyText"/>
              <w:spacing w:line="240" w:lineRule="auto"/>
              <w:rPr>
                <w:rStyle w:val="Hyperlink"/>
                <w:color w:val="0000FF"/>
              </w:rPr>
            </w:pPr>
            <w:r w:rsidRPr="00A561A5">
              <w:rPr>
                <w:rStyle w:val="Hyperlink"/>
                <w:color w:val="0000FF"/>
              </w:rPr>
              <w:t>chollon@ficlaw.com</w:t>
            </w:r>
          </w:p>
          <w:p w:rsidR="005E53DA" w:rsidRPr="00A561A5" w:rsidP="005E53DA">
            <w:pPr>
              <w:pStyle w:val="BodyText"/>
              <w:spacing w:line="240" w:lineRule="auto"/>
              <w:rPr>
                <w:rStyle w:val="Hyperlink"/>
                <w:color w:val="0000FF"/>
              </w:rPr>
            </w:pPr>
            <w:r w:rsidRPr="00A561A5">
              <w:rPr>
                <w:rStyle w:val="Hyperlink"/>
                <w:color w:val="0000FF"/>
              </w:rPr>
              <w:t>fdarr@mwncmh.com</w:t>
            </w:r>
          </w:p>
          <w:p w:rsidR="005E53DA" w:rsidRPr="00A561A5" w:rsidP="005E53DA">
            <w:pPr>
              <w:pStyle w:val="BodyText"/>
              <w:spacing w:line="240" w:lineRule="auto"/>
              <w:rPr>
                <w:rStyle w:val="Hyperlink"/>
                <w:color w:val="0000FF"/>
              </w:rPr>
            </w:pPr>
            <w:r w:rsidRPr="00A561A5">
              <w:rPr>
                <w:rStyle w:val="Hyperlink"/>
                <w:color w:val="0000FF"/>
              </w:rPr>
              <w:t>mpritchard@mwncmh.com</w:t>
            </w:r>
          </w:p>
          <w:p w:rsidR="005E53DA" w:rsidRPr="00A561A5" w:rsidP="005E53DA">
            <w:pPr>
              <w:pStyle w:val="BodyText"/>
              <w:spacing w:line="240" w:lineRule="auto"/>
              <w:rPr>
                <w:rStyle w:val="Hyperlink"/>
                <w:color w:val="0000FF"/>
              </w:rPr>
            </w:pPr>
            <w:hyperlink r:id="rId11" w:history="1">
              <w:r w:rsidRPr="00A561A5" w:rsidR="00FA094E">
                <w:rPr>
                  <w:rStyle w:val="Hyperlink"/>
                </w:rPr>
                <w:t>mfleisher@dickinsonwright.com</w:t>
              </w:r>
            </w:hyperlink>
            <w:r w:rsidRPr="00A561A5" w:rsidR="00FA094E">
              <w:t xml:space="preserve"> </w:t>
            </w:r>
          </w:p>
          <w:p w:rsidR="005E53DA" w:rsidRPr="00A561A5" w:rsidP="005E53DA">
            <w:pPr>
              <w:pStyle w:val="BodyText"/>
              <w:spacing w:line="240" w:lineRule="auto"/>
              <w:rPr>
                <w:rStyle w:val="Hyperlink"/>
                <w:color w:val="0000FF"/>
              </w:rPr>
            </w:pPr>
            <w:r w:rsidRPr="00A561A5">
              <w:rPr>
                <w:rStyle w:val="Hyperlink"/>
                <w:color w:val="0000FF"/>
              </w:rPr>
              <w:t>cpirik@dickinsonwright.com</w:t>
            </w:r>
          </w:p>
          <w:p w:rsidR="005E53DA" w:rsidRPr="00A561A5" w:rsidP="005E53DA">
            <w:pPr>
              <w:pStyle w:val="BodyText"/>
              <w:spacing w:line="240" w:lineRule="auto"/>
              <w:rPr>
                <w:rStyle w:val="Hyperlink"/>
                <w:color w:val="0000FF"/>
              </w:rPr>
            </w:pPr>
            <w:r w:rsidRPr="00A561A5">
              <w:rPr>
                <w:rStyle w:val="Hyperlink"/>
                <w:color w:val="0000FF"/>
              </w:rPr>
              <w:t>mkurtz@bkllawfirm.com</w:t>
            </w:r>
          </w:p>
          <w:p w:rsidR="005E53DA" w:rsidRPr="00A561A5" w:rsidP="005E53DA">
            <w:pPr>
              <w:pStyle w:val="BodyText"/>
              <w:spacing w:line="240" w:lineRule="auto"/>
              <w:rPr>
                <w:rStyle w:val="Hyperlink"/>
                <w:color w:val="0000FF"/>
              </w:rPr>
            </w:pPr>
            <w:r w:rsidRPr="00A561A5">
              <w:rPr>
                <w:rStyle w:val="Hyperlink"/>
                <w:color w:val="0000FF"/>
              </w:rPr>
              <w:t>kboehm@bklawfirm.com</w:t>
            </w:r>
          </w:p>
          <w:p w:rsidR="005E53DA" w:rsidRPr="00A561A5" w:rsidP="005E53DA">
            <w:pPr>
              <w:pStyle w:val="BodyText"/>
              <w:spacing w:line="240" w:lineRule="auto"/>
              <w:rPr>
                <w:rStyle w:val="Hyperlink"/>
                <w:color w:val="0000FF"/>
              </w:rPr>
            </w:pPr>
            <w:r w:rsidRPr="00A561A5">
              <w:rPr>
                <w:rStyle w:val="Hyperlink"/>
                <w:color w:val="0000FF"/>
              </w:rPr>
              <w:t>jkylercohn@bkllawfirm.com</w:t>
            </w:r>
          </w:p>
          <w:p w:rsidR="005E53DA" w:rsidRPr="00A561A5" w:rsidP="005E53DA">
            <w:pPr>
              <w:pStyle w:val="BodyText"/>
              <w:spacing w:line="240" w:lineRule="auto"/>
              <w:rPr>
                <w:rStyle w:val="Hyperlink"/>
                <w:color w:val="0000FF"/>
              </w:rPr>
            </w:pPr>
            <w:r w:rsidRPr="00A561A5">
              <w:rPr>
                <w:rStyle w:val="Hyperlink"/>
                <w:color w:val="0000FF"/>
              </w:rPr>
              <w:t>Bojko@carpenterlipps.com</w:t>
            </w:r>
          </w:p>
          <w:p w:rsidR="005E53DA" w:rsidRPr="00A561A5" w:rsidP="005E53DA">
            <w:pPr>
              <w:pStyle w:val="BodyText"/>
              <w:spacing w:line="240" w:lineRule="auto"/>
              <w:rPr>
                <w:rStyle w:val="Hyperlink"/>
                <w:color w:val="0000FF"/>
              </w:rPr>
            </w:pPr>
            <w:r w:rsidRPr="00A561A5">
              <w:rPr>
                <w:rStyle w:val="Hyperlink"/>
                <w:color w:val="0000FF"/>
              </w:rPr>
              <w:t>Dressel@carpenterlipps.com</w:t>
            </w:r>
          </w:p>
          <w:p w:rsidR="005E53DA" w:rsidRPr="00A561A5" w:rsidP="005E53DA">
            <w:pPr>
              <w:pStyle w:val="BodyText"/>
              <w:spacing w:line="240" w:lineRule="auto"/>
              <w:rPr>
                <w:rStyle w:val="Hyperlink"/>
                <w:color w:val="0000FF"/>
              </w:rPr>
            </w:pPr>
            <w:r w:rsidRPr="00A561A5">
              <w:rPr>
                <w:rStyle w:val="Hyperlink"/>
                <w:color w:val="0000FF"/>
              </w:rPr>
              <w:t>Paul@carpenterlipps.com</w:t>
            </w:r>
          </w:p>
          <w:p w:rsidR="005E53DA" w:rsidRPr="00A561A5" w:rsidP="005E53DA">
            <w:pPr>
              <w:pStyle w:val="BodyText"/>
              <w:spacing w:line="240" w:lineRule="auto"/>
              <w:rPr>
                <w:rStyle w:val="Hyperlink"/>
                <w:color w:val="0000FF"/>
              </w:rPr>
            </w:pPr>
            <w:r w:rsidRPr="00A561A5">
              <w:rPr>
                <w:rStyle w:val="Hyperlink"/>
                <w:color w:val="0000FF"/>
              </w:rPr>
              <w:t>Dutton@carpenterlipps.com</w:t>
            </w:r>
          </w:p>
          <w:p w:rsidR="005E53DA" w:rsidRPr="00A561A5" w:rsidP="005E53DA">
            <w:pPr>
              <w:pStyle w:val="BodyText"/>
              <w:spacing w:line="240" w:lineRule="auto"/>
              <w:rPr>
                <w:rStyle w:val="Hyperlink"/>
                <w:color w:val="0000FF"/>
              </w:rPr>
            </w:pPr>
            <w:r w:rsidRPr="00A561A5">
              <w:rPr>
                <w:rStyle w:val="Hyperlink"/>
                <w:color w:val="0000FF"/>
              </w:rPr>
              <w:t>slesser@beneschlaw.com</w:t>
            </w:r>
          </w:p>
          <w:p w:rsidR="005E53DA" w:rsidRPr="00A561A5" w:rsidP="005E53DA">
            <w:pPr>
              <w:pStyle w:val="BodyText"/>
              <w:spacing w:line="240" w:lineRule="auto"/>
              <w:rPr>
                <w:rStyle w:val="Hyperlink"/>
                <w:color w:val="0000FF"/>
              </w:rPr>
            </w:pPr>
            <w:r w:rsidRPr="00A561A5">
              <w:rPr>
                <w:rStyle w:val="Hyperlink"/>
                <w:color w:val="0000FF"/>
              </w:rPr>
              <w:t>talexander@beneschlaw.com</w:t>
            </w:r>
          </w:p>
          <w:p w:rsidR="005E53DA" w:rsidRPr="00A561A5" w:rsidP="005E53DA">
            <w:pPr>
              <w:pStyle w:val="BodyText"/>
              <w:spacing w:line="240" w:lineRule="auto"/>
              <w:rPr>
                <w:rStyle w:val="Hyperlink"/>
                <w:color w:val="0000FF"/>
              </w:rPr>
            </w:pPr>
            <w:r w:rsidRPr="00A561A5">
              <w:rPr>
                <w:rStyle w:val="Hyperlink"/>
                <w:color w:val="0000FF"/>
              </w:rPr>
              <w:t>mkeaney@beneschlaw.com</w:t>
            </w:r>
          </w:p>
          <w:p w:rsidR="005E53DA" w:rsidRPr="00A561A5" w:rsidP="005E53DA">
            <w:pPr>
              <w:pStyle w:val="BodyText"/>
              <w:spacing w:line="240" w:lineRule="auto"/>
            </w:pPr>
          </w:p>
        </w:tc>
      </w:tr>
      <w:tr w:rsidTr="005E53DA">
        <w:tblPrEx>
          <w:tblW w:w="0" w:type="auto"/>
          <w:tblLook w:val="04A0"/>
        </w:tblPrEx>
        <w:tc>
          <w:tcPr>
            <w:tcW w:w="4428" w:type="dxa"/>
          </w:tcPr>
          <w:p w:rsidR="005E53DA" w:rsidRPr="00A561A5" w:rsidP="005E53DA">
            <w:pPr>
              <w:pStyle w:val="BodyText"/>
              <w:spacing w:line="240" w:lineRule="auto"/>
            </w:pPr>
          </w:p>
        </w:tc>
        <w:tc>
          <w:tcPr>
            <w:tcW w:w="4428" w:type="dxa"/>
          </w:tcPr>
          <w:p w:rsidR="005E53DA" w:rsidRPr="00A561A5" w:rsidP="005E53DA">
            <w:pPr>
              <w:pStyle w:val="BodyText"/>
              <w:spacing w:line="240" w:lineRule="auto"/>
            </w:pPr>
          </w:p>
        </w:tc>
      </w:tr>
    </w:tbl>
    <w:p w:rsidR="005E53DA" w:rsidRPr="00A561A5" w:rsidP="005E53DA">
      <w:pPr>
        <w:pStyle w:val="EndnoteText"/>
        <w:widowControl/>
        <w:rPr>
          <w:rFonts w:ascii="Times New Roman" w:hAnsi="Times New Roman"/>
        </w:rPr>
      </w:pPr>
    </w:p>
    <w:p w:rsidR="005E53DA" w:rsidRPr="00A561A5" w:rsidP="005E53DA">
      <w:pPr>
        <w:rPr>
          <w:rFonts w:ascii="Times New Roman" w:hAnsi="Times New Roman" w:cs="Times New Roman"/>
        </w:rPr>
      </w:pPr>
      <w:r w:rsidRPr="00A561A5">
        <w:rPr>
          <w:rFonts w:ascii="Times New Roman" w:hAnsi="Times New Roman" w:cs="Times New Roman"/>
        </w:rPr>
        <w:br w:type="page"/>
      </w:r>
    </w:p>
    <w:p w:rsidR="005E53DA" w:rsidRPr="00A561A5" w:rsidP="005E53DA">
      <w:pPr>
        <w:pStyle w:val="EndnoteText"/>
        <w:widowControl/>
        <w:rPr>
          <w:rFonts w:ascii="Times New Roman" w:hAnsi="Times New Roman"/>
        </w:rPr>
      </w:pPr>
    </w:p>
    <w:tbl>
      <w:tblPr>
        <w:tblW w:w="0" w:type="auto"/>
        <w:tblLook w:val="01E0"/>
      </w:tblPr>
      <w:tblGrid>
        <w:gridCol w:w="4756"/>
        <w:gridCol w:w="294"/>
        <w:gridCol w:w="4134"/>
        <w:gridCol w:w="181"/>
      </w:tblGrid>
      <w:tr w:rsidTr="002B24C1">
        <w:tblPrEx>
          <w:tblW w:w="0" w:type="auto"/>
          <w:tblLook w:val="01E0"/>
        </w:tblPrEx>
        <w:trPr>
          <w:gridAfter w:val="1"/>
          <w:wAfter w:w="181" w:type="dxa"/>
        </w:trPr>
        <w:tc>
          <w:tcPr>
            <w:tcW w:w="4756" w:type="dxa"/>
          </w:tcPr>
          <w:p w:rsidR="005E53DA" w:rsidRPr="00A561A5" w:rsidP="005E53DA">
            <w:pPr>
              <w:tabs>
                <w:tab w:val="left" w:pos="4320"/>
              </w:tabs>
              <w:ind w:left="720"/>
              <w:rPr>
                <w:rFonts w:ascii="Times New Roman" w:hAnsi="Times New Roman" w:cs="Times New Roman"/>
              </w:rPr>
            </w:pPr>
            <w:r w:rsidRPr="00A561A5">
              <w:rPr>
                <w:rFonts w:ascii="Times New Roman" w:hAnsi="Times New Roman" w:cs="Times New Roman"/>
              </w:rPr>
              <w:t>Case No. 19-1121-EL-UNC</w:t>
            </w:r>
          </w:p>
          <w:p w:rsidR="005E53DA" w:rsidRPr="00A561A5" w:rsidP="005E53DA">
            <w:pPr>
              <w:tabs>
                <w:tab w:val="left" w:pos="4320"/>
              </w:tabs>
              <w:rPr>
                <w:rFonts w:ascii="Times New Roman" w:hAnsi="Times New Roman" w:cs="Times New Roman"/>
              </w:rPr>
            </w:pPr>
          </w:p>
          <w:p w:rsidR="005E53DA" w:rsidRPr="00A561A5" w:rsidP="005E53DA">
            <w:pPr>
              <w:tabs>
                <w:tab w:val="left" w:pos="-720"/>
              </w:tabs>
              <w:suppressAutoHyphens/>
              <w:ind w:left="720"/>
              <w:jc w:val="both"/>
              <w:rPr>
                <w:rFonts w:ascii="Times New Roman" w:eastAsia="Times New Roman" w:hAnsi="Times New Roman" w:cs="Times New Roman"/>
                <w:color w:val="0000FF"/>
                <w:u w:val="single"/>
              </w:rPr>
            </w:pPr>
            <w:r w:rsidRPr="00A561A5">
              <w:rPr>
                <w:rFonts w:ascii="Times New Roman" w:eastAsia="Times New Roman" w:hAnsi="Times New Roman" w:cs="Times New Roman"/>
                <w:color w:val="0000FF"/>
                <w:u w:val="single"/>
              </w:rPr>
              <w:t>steven.beeler@ohioattorneygeneral.gov</w:t>
            </w:r>
          </w:p>
          <w:p w:rsidR="005E53DA" w:rsidRPr="00A561A5" w:rsidP="005E53DA">
            <w:pPr>
              <w:tabs>
                <w:tab w:val="left" w:pos="4320"/>
              </w:tabs>
              <w:ind w:left="720"/>
              <w:rPr>
                <w:rFonts w:ascii="Times New Roman" w:eastAsia="Times New Roman" w:hAnsi="Times New Roman" w:cs="Times New Roman"/>
                <w:color w:val="0000FF"/>
                <w:u w:val="single"/>
              </w:rPr>
            </w:pPr>
            <w:r w:rsidRPr="00A561A5">
              <w:rPr>
                <w:rFonts w:ascii="Times New Roman" w:eastAsia="Times New Roman" w:hAnsi="Times New Roman" w:cs="Times New Roman"/>
                <w:color w:val="0000FF"/>
                <w:u w:val="single"/>
              </w:rPr>
              <w:t>Michael.schuler@aes.com</w:t>
            </w:r>
          </w:p>
          <w:p w:rsidR="005E53DA" w:rsidRPr="00A561A5" w:rsidP="005E53DA">
            <w:pPr>
              <w:tabs>
                <w:tab w:val="left" w:pos="4320"/>
              </w:tabs>
              <w:ind w:left="720"/>
              <w:rPr>
                <w:rFonts w:ascii="Times New Roman" w:eastAsia="Times New Roman" w:hAnsi="Times New Roman" w:cs="Times New Roman"/>
                <w:color w:val="0000FF"/>
                <w:u w:val="single"/>
              </w:rPr>
            </w:pPr>
            <w:r w:rsidRPr="00A561A5">
              <w:rPr>
                <w:rFonts w:ascii="Times New Roman" w:eastAsia="Times New Roman" w:hAnsi="Times New Roman" w:cs="Times New Roman"/>
                <w:color w:val="0000FF"/>
                <w:u w:val="single"/>
              </w:rPr>
              <w:t>mkurtz@bkllawfirm.com</w:t>
            </w:r>
          </w:p>
          <w:p w:rsidR="005E53DA" w:rsidRPr="00A561A5" w:rsidP="005E53DA">
            <w:pPr>
              <w:tabs>
                <w:tab w:val="left" w:pos="4320"/>
              </w:tabs>
              <w:ind w:left="720"/>
              <w:rPr>
                <w:rFonts w:ascii="Times New Roman" w:eastAsia="Times New Roman" w:hAnsi="Times New Roman" w:cs="Times New Roman"/>
                <w:color w:val="0000FF"/>
                <w:u w:val="single"/>
              </w:rPr>
            </w:pPr>
            <w:r w:rsidRPr="00A561A5">
              <w:rPr>
                <w:rFonts w:ascii="Times New Roman" w:eastAsia="Times New Roman" w:hAnsi="Times New Roman" w:cs="Times New Roman"/>
                <w:color w:val="0000FF"/>
                <w:u w:val="single"/>
              </w:rPr>
              <w:t>kboehm@bkllawfirm.com</w:t>
            </w:r>
          </w:p>
          <w:p w:rsidR="005E53DA" w:rsidRPr="00A561A5" w:rsidP="005E53DA">
            <w:pPr>
              <w:tabs>
                <w:tab w:val="left" w:pos="4320"/>
              </w:tabs>
              <w:ind w:left="720"/>
              <w:rPr>
                <w:rFonts w:ascii="Times New Roman" w:eastAsia="Times New Roman" w:hAnsi="Times New Roman" w:cs="Times New Roman"/>
                <w:color w:val="0000FF"/>
                <w:u w:val="single"/>
              </w:rPr>
            </w:pPr>
            <w:r w:rsidRPr="00A561A5">
              <w:rPr>
                <w:rFonts w:ascii="Times New Roman" w:eastAsia="Times New Roman" w:hAnsi="Times New Roman" w:cs="Times New Roman"/>
                <w:color w:val="0000FF"/>
                <w:u w:val="single"/>
              </w:rPr>
              <w:t>talexander@beneschlaw.com</w:t>
            </w:r>
          </w:p>
          <w:p w:rsidR="005E53DA" w:rsidRPr="00A561A5" w:rsidP="005E53DA">
            <w:pPr>
              <w:tabs>
                <w:tab w:val="left" w:pos="4320"/>
              </w:tabs>
              <w:rPr>
                <w:rFonts w:ascii="Times New Roman" w:hAnsi="Times New Roman" w:cs="Times New Roman"/>
              </w:rPr>
            </w:pPr>
          </w:p>
          <w:p w:rsidR="005E53DA" w:rsidRPr="00A561A5" w:rsidP="005E53DA">
            <w:pPr>
              <w:pStyle w:val="BodyText"/>
              <w:spacing w:line="240" w:lineRule="auto"/>
            </w:pPr>
            <w:r w:rsidRPr="00A561A5">
              <w:t>Attorney Examiners:</w:t>
            </w:r>
          </w:p>
          <w:p w:rsidR="005E53DA" w:rsidRPr="00A561A5" w:rsidP="005E53DA">
            <w:pPr>
              <w:pStyle w:val="BodyText"/>
              <w:spacing w:line="240" w:lineRule="auto"/>
              <w:rPr>
                <w:rFonts w:eastAsia="Times New Roman"/>
                <w:iCs w:val="0"/>
                <w:color w:val="0000FF"/>
                <w:u w:val="single"/>
              </w:rPr>
            </w:pPr>
            <w:r w:rsidRPr="00A561A5">
              <w:rPr>
                <w:rFonts w:eastAsia="Times New Roman"/>
                <w:iCs w:val="0"/>
                <w:color w:val="0000FF"/>
                <w:u w:val="single"/>
              </w:rPr>
              <w:t>Patricia.schabo@puco.ohio.gov</w:t>
            </w:r>
          </w:p>
          <w:p w:rsidR="005E53DA" w:rsidRPr="00A561A5" w:rsidP="005E53DA">
            <w:pPr>
              <w:adjustRightInd w:val="0"/>
              <w:ind w:left="720"/>
              <w:rPr>
                <w:rFonts w:ascii="Times New Roman" w:eastAsia="Times New Roman" w:hAnsi="Times New Roman" w:cs="Times New Roman"/>
                <w:color w:val="0000FF"/>
                <w:u w:val="single"/>
              </w:rPr>
            </w:pPr>
            <w:r w:rsidRPr="00A561A5">
              <w:rPr>
                <w:rFonts w:ascii="Times New Roman" w:eastAsia="Times New Roman" w:hAnsi="Times New Roman" w:cs="Times New Roman"/>
                <w:color w:val="0000FF"/>
                <w:u w:val="single"/>
              </w:rPr>
              <w:t>gregory.price@puco.ohio.gov</w:t>
            </w:r>
          </w:p>
          <w:p w:rsidR="005E53DA" w:rsidRPr="00A561A5" w:rsidP="005E53DA">
            <w:pPr>
              <w:tabs>
                <w:tab w:val="left" w:pos="4320"/>
              </w:tabs>
              <w:rPr>
                <w:rFonts w:ascii="Times New Roman" w:hAnsi="Times New Roman" w:cs="Times New Roman"/>
              </w:rPr>
            </w:pPr>
          </w:p>
          <w:p w:rsidR="005E53DA" w:rsidRPr="00A561A5" w:rsidP="005E53DA">
            <w:pPr>
              <w:autoSpaceDE w:val="0"/>
              <w:autoSpaceDN w:val="0"/>
              <w:adjustRightInd w:val="0"/>
              <w:rPr>
                <w:rFonts w:ascii="Times New Roman" w:hAnsi="Times New Roman" w:cs="Times New Roman"/>
                <w:bCs/>
              </w:rPr>
            </w:pPr>
          </w:p>
        </w:tc>
        <w:tc>
          <w:tcPr>
            <w:tcW w:w="4428" w:type="dxa"/>
            <w:gridSpan w:val="2"/>
          </w:tcPr>
          <w:p w:rsidR="005E53DA" w:rsidRPr="00A561A5" w:rsidP="005E53DA">
            <w:pPr>
              <w:autoSpaceDE w:val="0"/>
              <w:autoSpaceDN w:val="0"/>
              <w:adjustRightInd w:val="0"/>
              <w:ind w:left="1113"/>
              <w:rPr>
                <w:rFonts w:ascii="Times New Roman" w:hAnsi="Times New Roman" w:cs="Times New Roman"/>
                <w:bCs/>
              </w:rPr>
            </w:pPr>
          </w:p>
          <w:p w:rsidR="005E53DA" w:rsidRPr="00A561A5" w:rsidP="005E53DA">
            <w:pPr>
              <w:autoSpaceDE w:val="0"/>
              <w:autoSpaceDN w:val="0"/>
              <w:adjustRightInd w:val="0"/>
              <w:ind w:left="1113"/>
              <w:rPr>
                <w:rFonts w:ascii="Times New Roman" w:eastAsia="Times New Roman" w:hAnsi="Times New Roman" w:cs="Times New Roman"/>
                <w:color w:val="0000FF"/>
                <w:u w:val="single"/>
              </w:rPr>
            </w:pPr>
          </w:p>
          <w:p w:rsidR="005E53DA" w:rsidRPr="00A561A5" w:rsidP="005E53DA">
            <w:pPr>
              <w:autoSpaceDE w:val="0"/>
              <w:autoSpaceDN w:val="0"/>
              <w:adjustRightInd w:val="0"/>
              <w:ind w:left="1113"/>
              <w:rPr>
                <w:rFonts w:ascii="Times New Roman" w:eastAsia="Times New Roman" w:hAnsi="Times New Roman" w:cs="Times New Roman"/>
                <w:color w:val="0000FF"/>
                <w:u w:val="single"/>
              </w:rPr>
            </w:pPr>
            <w:r w:rsidRPr="00A561A5">
              <w:rPr>
                <w:rFonts w:ascii="Times New Roman" w:eastAsia="Times New Roman" w:hAnsi="Times New Roman" w:cs="Times New Roman"/>
                <w:color w:val="0000FF"/>
                <w:u w:val="single"/>
              </w:rPr>
              <w:t>jkylercohn@bkllawfirm</w:t>
            </w:r>
            <w:r w:rsidRPr="00A561A5" w:rsidR="00451FB1">
              <w:rPr>
                <w:rFonts w:ascii="Times New Roman" w:eastAsia="Times New Roman" w:hAnsi="Times New Roman" w:cs="Times New Roman"/>
                <w:color w:val="0000FF"/>
                <w:u w:val="single"/>
              </w:rPr>
              <w:t>.com</w:t>
            </w:r>
          </w:p>
          <w:p w:rsidR="005E53DA" w:rsidRPr="00A561A5" w:rsidP="005E53DA">
            <w:pPr>
              <w:autoSpaceDE w:val="0"/>
              <w:autoSpaceDN w:val="0"/>
              <w:adjustRightInd w:val="0"/>
              <w:ind w:left="1113"/>
              <w:rPr>
                <w:rFonts w:ascii="Times New Roman" w:eastAsia="Times New Roman" w:hAnsi="Times New Roman" w:cs="Times New Roman"/>
                <w:color w:val="0000FF"/>
                <w:u w:val="single"/>
              </w:rPr>
            </w:pPr>
            <w:r w:rsidRPr="00A561A5">
              <w:rPr>
                <w:rFonts w:ascii="Times New Roman" w:eastAsia="Times New Roman" w:hAnsi="Times New Roman" w:cs="Times New Roman"/>
                <w:color w:val="0000FF"/>
                <w:u w:val="single"/>
              </w:rPr>
              <w:t>bojko@carpenterlipps.com</w:t>
            </w:r>
          </w:p>
          <w:p w:rsidR="005E53DA" w:rsidRPr="00A561A5" w:rsidP="005E53DA">
            <w:pPr>
              <w:autoSpaceDE w:val="0"/>
              <w:autoSpaceDN w:val="0"/>
              <w:adjustRightInd w:val="0"/>
              <w:ind w:left="1113"/>
              <w:rPr>
                <w:rFonts w:ascii="Times New Roman" w:eastAsia="Times New Roman" w:hAnsi="Times New Roman" w:cs="Times New Roman"/>
                <w:color w:val="0000FF"/>
                <w:u w:val="single"/>
              </w:rPr>
            </w:pPr>
            <w:r w:rsidRPr="00A561A5">
              <w:rPr>
                <w:rFonts w:ascii="Times New Roman" w:eastAsia="Times New Roman" w:hAnsi="Times New Roman" w:cs="Times New Roman"/>
                <w:color w:val="0000FF"/>
                <w:u w:val="single"/>
              </w:rPr>
              <w:t>paul@carpenterlipps.com</w:t>
            </w:r>
          </w:p>
          <w:p w:rsidR="005E53DA" w:rsidRPr="00A561A5" w:rsidP="005E53DA">
            <w:pPr>
              <w:autoSpaceDE w:val="0"/>
              <w:autoSpaceDN w:val="0"/>
              <w:adjustRightInd w:val="0"/>
              <w:ind w:left="1113"/>
              <w:rPr>
                <w:rFonts w:ascii="Times New Roman" w:eastAsia="Times New Roman" w:hAnsi="Times New Roman" w:cs="Times New Roman"/>
                <w:color w:val="0000FF"/>
                <w:u w:val="single"/>
              </w:rPr>
            </w:pPr>
            <w:r w:rsidRPr="00A561A5">
              <w:rPr>
                <w:rFonts w:ascii="Times New Roman" w:eastAsia="Times New Roman" w:hAnsi="Times New Roman" w:cs="Times New Roman"/>
                <w:color w:val="0000FF"/>
                <w:u w:val="single"/>
              </w:rPr>
              <w:t>mpritchard@mcneeslaw.com</w:t>
            </w:r>
          </w:p>
          <w:p w:rsidR="005E53DA" w:rsidRPr="00A561A5" w:rsidP="005E53DA">
            <w:pPr>
              <w:autoSpaceDE w:val="0"/>
              <w:autoSpaceDN w:val="0"/>
              <w:adjustRightInd w:val="0"/>
              <w:ind w:left="1113"/>
              <w:rPr>
                <w:rFonts w:ascii="Times New Roman" w:hAnsi="Times New Roman" w:cs="Times New Roman"/>
                <w:bCs/>
              </w:rPr>
            </w:pPr>
            <w:r w:rsidRPr="00A561A5">
              <w:rPr>
                <w:rFonts w:ascii="Times New Roman" w:eastAsia="Times New Roman" w:hAnsi="Times New Roman" w:cs="Times New Roman"/>
                <w:color w:val="0000FF"/>
                <w:u w:val="single"/>
              </w:rPr>
              <w:t>rglover@mcneeslaw.com</w:t>
            </w:r>
          </w:p>
        </w:tc>
      </w:tr>
      <w:tr w:rsidTr="002B24C1">
        <w:tblPrEx>
          <w:tblW w:w="0" w:type="auto"/>
          <w:tblLook w:val="01E0"/>
        </w:tblPrEx>
        <w:trPr>
          <w:gridAfter w:val="1"/>
          <w:wAfter w:w="181" w:type="dxa"/>
        </w:trPr>
        <w:tc>
          <w:tcPr>
            <w:tcW w:w="4756" w:type="dxa"/>
          </w:tcPr>
          <w:p w:rsidR="005E53DA" w:rsidRPr="00A561A5" w:rsidP="005E53DA">
            <w:pPr>
              <w:tabs>
                <w:tab w:val="left" w:pos="4320"/>
              </w:tabs>
              <w:ind w:left="720"/>
              <w:rPr>
                <w:rFonts w:ascii="Times New Roman" w:hAnsi="Times New Roman" w:cs="Times New Roman"/>
              </w:rPr>
            </w:pPr>
            <w:r w:rsidRPr="00A561A5">
              <w:rPr>
                <w:rFonts w:ascii="Times New Roman" w:hAnsi="Times New Roman" w:cs="Times New Roman"/>
              </w:rPr>
              <w:t>Case No. 20-1041-EL-UNC</w:t>
            </w:r>
          </w:p>
          <w:p w:rsidR="005E53DA" w:rsidRPr="00A561A5" w:rsidP="005E53DA">
            <w:pPr>
              <w:tabs>
                <w:tab w:val="left" w:pos="4320"/>
              </w:tabs>
              <w:ind w:left="720"/>
              <w:rPr>
                <w:rFonts w:ascii="Times New Roman" w:hAnsi="Times New Roman" w:cs="Times New Roman"/>
                <w:color w:val="0000FF"/>
                <w:u w:val="single"/>
              </w:rPr>
            </w:pPr>
          </w:p>
          <w:p w:rsidR="005E53DA" w:rsidRPr="00A561A5" w:rsidP="005E53DA">
            <w:pPr>
              <w:tabs>
                <w:tab w:val="left" w:pos="-720"/>
              </w:tabs>
              <w:suppressAutoHyphens/>
              <w:ind w:left="720"/>
              <w:jc w:val="both"/>
              <w:rPr>
                <w:rFonts w:ascii="Times New Roman" w:hAnsi="Times New Roman" w:cs="Times New Roman"/>
                <w:color w:val="0000FF"/>
                <w:spacing w:val="-3"/>
              </w:rPr>
            </w:pPr>
            <w:r w:rsidRPr="00A561A5">
              <w:rPr>
                <w:rFonts w:ascii="Times New Roman" w:hAnsi="Times New Roman" w:cs="Times New Roman"/>
                <w:spacing w:val="-3"/>
              </w:rPr>
              <w:t>steven.beeler@ohioattorneygeneral.gov</w:t>
            </w:r>
          </w:p>
          <w:p w:rsidR="005E53DA" w:rsidRPr="00A561A5" w:rsidP="005E53DA">
            <w:pPr>
              <w:tabs>
                <w:tab w:val="left" w:pos="4320"/>
              </w:tabs>
              <w:ind w:left="720"/>
              <w:rPr>
                <w:rFonts w:ascii="Times New Roman" w:hAnsi="Times New Roman" w:cs="Times New Roman"/>
                <w:color w:val="0000FF"/>
                <w:u w:val="single"/>
              </w:rPr>
            </w:pPr>
            <w:r w:rsidRPr="00A561A5">
              <w:rPr>
                <w:rFonts w:ascii="Times New Roman" w:hAnsi="Times New Roman" w:cs="Times New Roman"/>
                <w:color w:val="0000FF"/>
                <w:u w:val="single"/>
              </w:rPr>
              <w:t>Michael.schuler@aes.com</w:t>
            </w:r>
          </w:p>
          <w:p w:rsidR="005E53DA" w:rsidRPr="00A561A5" w:rsidP="005E53DA">
            <w:pPr>
              <w:tabs>
                <w:tab w:val="left" w:pos="4320"/>
              </w:tabs>
              <w:ind w:left="720"/>
              <w:rPr>
                <w:rFonts w:ascii="Times New Roman" w:hAnsi="Times New Roman" w:cs="Times New Roman"/>
                <w:color w:val="0000FF"/>
              </w:rPr>
            </w:pPr>
            <w:r w:rsidRPr="00A561A5">
              <w:rPr>
                <w:rFonts w:ascii="Times New Roman" w:hAnsi="Times New Roman" w:cs="Times New Roman"/>
              </w:rPr>
              <w:t>Bojko@carpenterlipps.com</w:t>
            </w:r>
          </w:p>
          <w:p w:rsidR="005E53DA" w:rsidRPr="00A561A5" w:rsidP="005E53DA">
            <w:pPr>
              <w:tabs>
                <w:tab w:val="left" w:pos="4320"/>
              </w:tabs>
              <w:ind w:left="720"/>
              <w:rPr>
                <w:rFonts w:ascii="Times New Roman" w:hAnsi="Times New Roman" w:cs="Times New Roman"/>
                <w:color w:val="0000FF"/>
              </w:rPr>
            </w:pPr>
            <w:r w:rsidRPr="00A561A5">
              <w:rPr>
                <w:rFonts w:ascii="Times New Roman" w:hAnsi="Times New Roman" w:cs="Times New Roman"/>
              </w:rPr>
              <w:t>Paul@carpenterlipps.com</w:t>
            </w:r>
          </w:p>
          <w:p w:rsidR="005E53DA" w:rsidRPr="00A561A5" w:rsidP="005E53DA">
            <w:pPr>
              <w:autoSpaceDE w:val="0"/>
              <w:autoSpaceDN w:val="0"/>
              <w:adjustRightInd w:val="0"/>
              <w:rPr>
                <w:rFonts w:ascii="Times New Roman" w:hAnsi="Times New Roman" w:cs="Times New Roman"/>
                <w:bCs/>
              </w:rPr>
            </w:pPr>
          </w:p>
          <w:p w:rsidR="005E53DA" w:rsidRPr="00A561A5" w:rsidP="005E53DA">
            <w:pPr>
              <w:pStyle w:val="BodyText"/>
              <w:spacing w:line="240" w:lineRule="auto"/>
            </w:pPr>
            <w:r w:rsidRPr="00A561A5">
              <w:t>Attorney Examiners:</w:t>
            </w:r>
          </w:p>
          <w:p w:rsidR="005E53DA" w:rsidRPr="00A561A5" w:rsidP="005E53DA">
            <w:pPr>
              <w:pStyle w:val="BodyText"/>
              <w:spacing w:line="240" w:lineRule="auto"/>
              <w:rPr>
                <w:color w:val="0000FF"/>
              </w:rPr>
            </w:pPr>
            <w:r w:rsidRPr="00A561A5">
              <w:t>Patricia.schabo@puco.ohio.gov</w:t>
            </w:r>
          </w:p>
          <w:p w:rsidR="005E53DA" w:rsidRPr="00A561A5" w:rsidP="005E53DA">
            <w:pPr>
              <w:ind w:left="720"/>
              <w:rPr>
                <w:rFonts w:ascii="Times New Roman" w:eastAsia="Times New Roman" w:hAnsi="Times New Roman" w:cs="Times New Roman"/>
                <w:color w:val="0000FF"/>
                <w:u w:val="single"/>
              </w:rPr>
            </w:pPr>
            <w:r w:rsidRPr="00A561A5">
              <w:rPr>
                <w:rFonts w:ascii="Times New Roman" w:eastAsia="Times New Roman" w:hAnsi="Times New Roman" w:cs="Times New Roman"/>
                <w:color w:val="0000FF"/>
                <w:u w:val="single"/>
              </w:rPr>
              <w:t>Michael.williams@puco.ohio.gov</w:t>
            </w:r>
          </w:p>
          <w:p w:rsidR="005E53DA" w:rsidRPr="00A561A5" w:rsidP="005E53DA">
            <w:pPr>
              <w:pStyle w:val="BodyText"/>
              <w:spacing w:line="240" w:lineRule="auto"/>
            </w:pPr>
          </w:p>
          <w:p w:rsidR="005E53DA" w:rsidRPr="00A561A5" w:rsidP="005E53DA">
            <w:pPr>
              <w:autoSpaceDE w:val="0"/>
              <w:autoSpaceDN w:val="0"/>
              <w:adjustRightInd w:val="0"/>
              <w:rPr>
                <w:rFonts w:ascii="Times New Roman" w:hAnsi="Times New Roman" w:cs="Times New Roman"/>
                <w:bCs/>
              </w:rPr>
            </w:pPr>
          </w:p>
        </w:tc>
        <w:tc>
          <w:tcPr>
            <w:tcW w:w="4428" w:type="dxa"/>
            <w:gridSpan w:val="2"/>
          </w:tcPr>
          <w:p w:rsidR="005E53DA" w:rsidRPr="00A561A5" w:rsidP="005E53DA">
            <w:pPr>
              <w:autoSpaceDE w:val="0"/>
              <w:autoSpaceDN w:val="0"/>
              <w:adjustRightInd w:val="0"/>
              <w:rPr>
                <w:rFonts w:ascii="Times New Roman" w:hAnsi="Times New Roman" w:cs="Times New Roman"/>
                <w:bCs/>
              </w:rPr>
            </w:pPr>
          </w:p>
          <w:p w:rsidR="005E53DA" w:rsidRPr="00A561A5" w:rsidP="005E53DA">
            <w:pPr>
              <w:autoSpaceDE w:val="0"/>
              <w:autoSpaceDN w:val="0"/>
              <w:adjustRightInd w:val="0"/>
              <w:rPr>
                <w:rFonts w:ascii="Times New Roman" w:hAnsi="Times New Roman" w:cs="Times New Roman"/>
                <w:bCs/>
              </w:rPr>
            </w:pPr>
          </w:p>
          <w:p w:rsidR="005E53DA" w:rsidRPr="00A561A5" w:rsidP="005E53DA">
            <w:pPr>
              <w:autoSpaceDE w:val="0"/>
              <w:autoSpaceDN w:val="0"/>
              <w:adjustRightInd w:val="0"/>
              <w:ind w:left="1113"/>
              <w:rPr>
                <w:rFonts w:ascii="Times New Roman" w:hAnsi="Times New Roman" w:cs="Times New Roman"/>
                <w:bCs/>
                <w:color w:val="0000FF"/>
              </w:rPr>
            </w:pPr>
            <w:r w:rsidRPr="00A561A5">
              <w:rPr>
                <w:rFonts w:ascii="Times New Roman" w:hAnsi="Times New Roman" w:cs="Times New Roman"/>
              </w:rPr>
              <w:t>mpritchard@mcneeslaw.com</w:t>
            </w:r>
          </w:p>
          <w:p w:rsidR="005E53DA" w:rsidRPr="00A561A5" w:rsidP="005E53DA">
            <w:pPr>
              <w:autoSpaceDE w:val="0"/>
              <w:autoSpaceDN w:val="0"/>
              <w:adjustRightInd w:val="0"/>
              <w:ind w:left="1113"/>
              <w:rPr>
                <w:rFonts w:ascii="Times New Roman" w:hAnsi="Times New Roman" w:cs="Times New Roman"/>
                <w:bCs/>
                <w:color w:val="0000FF"/>
              </w:rPr>
            </w:pPr>
            <w:r w:rsidRPr="00A561A5">
              <w:rPr>
                <w:rFonts w:ascii="Times New Roman" w:hAnsi="Times New Roman" w:cs="Times New Roman"/>
              </w:rPr>
              <w:t>rglover@mcneeslaw.com</w:t>
            </w:r>
          </w:p>
          <w:p w:rsidR="005E53DA" w:rsidRPr="00A561A5" w:rsidP="005E53DA">
            <w:pPr>
              <w:tabs>
                <w:tab w:val="left" w:pos="4320"/>
              </w:tabs>
              <w:ind w:left="1113"/>
              <w:rPr>
                <w:rFonts w:ascii="Times New Roman" w:hAnsi="Times New Roman" w:cs="Times New Roman"/>
                <w:color w:val="0000FF"/>
              </w:rPr>
            </w:pPr>
            <w:r w:rsidRPr="00A561A5">
              <w:rPr>
                <w:rFonts w:ascii="Times New Roman" w:hAnsi="Times New Roman" w:cs="Times New Roman"/>
              </w:rPr>
              <w:t>talexander@beneschlaw.com</w:t>
            </w:r>
          </w:p>
          <w:p w:rsidR="005E53DA" w:rsidRPr="00A561A5" w:rsidP="005E53DA">
            <w:pPr>
              <w:autoSpaceDE w:val="0"/>
              <w:autoSpaceDN w:val="0"/>
              <w:adjustRightInd w:val="0"/>
              <w:rPr>
                <w:rFonts w:ascii="Times New Roman" w:hAnsi="Times New Roman" w:cs="Times New Roman"/>
                <w:bCs/>
              </w:rPr>
            </w:pPr>
          </w:p>
        </w:tc>
      </w:tr>
      <w:tr w:rsidTr="002B24C1">
        <w:tblPrEx>
          <w:tblW w:w="0" w:type="auto"/>
          <w:tblLook w:val="04A0"/>
        </w:tblPrEx>
        <w:tc>
          <w:tcPr>
            <w:tcW w:w="5050" w:type="dxa"/>
            <w:gridSpan w:val="2"/>
          </w:tcPr>
          <w:p w:rsidR="005E53DA" w:rsidRPr="00A561A5" w:rsidP="005E53DA">
            <w:pPr>
              <w:widowControl w:val="0"/>
              <w:autoSpaceDE w:val="0"/>
              <w:autoSpaceDN w:val="0"/>
              <w:adjustRightInd w:val="0"/>
              <w:ind w:left="720"/>
              <w:rPr>
                <w:rFonts w:ascii="Times New Roman" w:hAnsi="Times New Roman" w:cs="Times New Roman"/>
              </w:rPr>
            </w:pPr>
            <w:r w:rsidRPr="00A561A5">
              <w:rPr>
                <w:rFonts w:ascii="Times New Roman" w:hAnsi="Times New Roman" w:cs="Times New Roman"/>
              </w:rPr>
              <w:t>Case No. 20-680-EL-UNC</w:t>
            </w:r>
          </w:p>
          <w:p w:rsidR="005E53DA" w:rsidRPr="00A561A5" w:rsidP="005E53DA">
            <w:pPr>
              <w:widowControl w:val="0"/>
              <w:autoSpaceDE w:val="0"/>
              <w:autoSpaceDN w:val="0"/>
              <w:adjustRightInd w:val="0"/>
              <w:ind w:left="720"/>
              <w:rPr>
                <w:rFonts w:ascii="Times New Roman" w:hAnsi="Times New Roman" w:cs="Times New Roman"/>
                <w:color w:val="0000FF"/>
                <w:u w:val="single"/>
              </w:rPr>
            </w:pPr>
          </w:p>
          <w:p w:rsidR="005E53DA" w:rsidRPr="00A561A5" w:rsidP="005E53DA">
            <w:pPr>
              <w:widowControl w:val="0"/>
              <w:autoSpaceDE w:val="0"/>
              <w:autoSpaceDN w:val="0"/>
              <w:adjustRightInd w:val="0"/>
              <w:ind w:left="720"/>
              <w:rPr>
                <w:rFonts w:ascii="Times New Roman" w:hAnsi="Times New Roman" w:cs="Times New Roman"/>
                <w:color w:val="0000FF"/>
                <w:u w:val="single"/>
              </w:rPr>
            </w:pPr>
            <w:r w:rsidRPr="00A561A5">
              <w:rPr>
                <w:rFonts w:ascii="Times New Roman" w:hAnsi="Times New Roman" w:cs="Times New Roman"/>
                <w:color w:val="0000FF"/>
                <w:u w:val="single"/>
              </w:rPr>
              <w:t>thomas.lindgren@ohioattorneygeneral.gov</w:t>
            </w:r>
          </w:p>
          <w:p w:rsidR="005E53DA" w:rsidRPr="00A561A5" w:rsidP="005E53DA">
            <w:pPr>
              <w:widowControl w:val="0"/>
              <w:autoSpaceDE w:val="0"/>
              <w:autoSpaceDN w:val="0"/>
              <w:adjustRightInd w:val="0"/>
              <w:ind w:left="720"/>
              <w:rPr>
                <w:rFonts w:ascii="Times New Roman" w:hAnsi="Times New Roman" w:cs="Times New Roman"/>
                <w:color w:val="0000FF"/>
              </w:rPr>
            </w:pPr>
            <w:r w:rsidRPr="00A561A5">
              <w:rPr>
                <w:rFonts w:ascii="Times New Roman" w:hAnsi="Times New Roman" w:cs="Times New Roman"/>
              </w:rPr>
              <w:t>dparram@bricker.com</w:t>
            </w:r>
          </w:p>
          <w:p w:rsidR="005E53DA" w:rsidRPr="00A561A5" w:rsidP="005E53DA">
            <w:pPr>
              <w:widowControl w:val="0"/>
              <w:autoSpaceDE w:val="0"/>
              <w:autoSpaceDN w:val="0"/>
              <w:adjustRightInd w:val="0"/>
              <w:ind w:left="720"/>
              <w:rPr>
                <w:rFonts w:ascii="Times New Roman" w:hAnsi="Times New Roman" w:cs="Times New Roman"/>
                <w:color w:val="0000FF"/>
              </w:rPr>
            </w:pPr>
            <w:r w:rsidRPr="00A561A5">
              <w:rPr>
                <w:rFonts w:ascii="Times New Roman" w:hAnsi="Times New Roman" w:cs="Times New Roman"/>
              </w:rPr>
              <w:t>dstinson@bricker.com</w:t>
            </w:r>
          </w:p>
          <w:p w:rsidR="005E53DA" w:rsidRPr="00A561A5" w:rsidP="005E53DA">
            <w:pPr>
              <w:widowControl w:val="0"/>
              <w:autoSpaceDE w:val="0"/>
              <w:autoSpaceDN w:val="0"/>
              <w:adjustRightInd w:val="0"/>
              <w:ind w:left="720"/>
              <w:rPr>
                <w:rFonts w:ascii="Times New Roman" w:hAnsi="Times New Roman" w:cs="Times New Roman"/>
                <w:color w:val="0000FF"/>
              </w:rPr>
            </w:pPr>
            <w:r w:rsidRPr="00A561A5">
              <w:rPr>
                <w:rFonts w:ascii="Times New Roman" w:hAnsi="Times New Roman" w:cs="Times New Roman"/>
              </w:rPr>
              <w:t>jspottswood@bricker.com</w:t>
            </w:r>
          </w:p>
          <w:p w:rsidR="005E53DA" w:rsidRPr="00A561A5" w:rsidP="005E53DA">
            <w:pPr>
              <w:widowControl w:val="0"/>
              <w:autoSpaceDE w:val="0"/>
              <w:autoSpaceDN w:val="0"/>
              <w:adjustRightInd w:val="0"/>
              <w:ind w:left="720"/>
              <w:rPr>
                <w:rFonts w:ascii="Times New Roman" w:hAnsi="Times New Roman" w:cs="Times New Roman"/>
                <w:color w:val="0000FF"/>
              </w:rPr>
            </w:pPr>
            <w:r w:rsidRPr="00A561A5">
              <w:rPr>
                <w:rFonts w:ascii="Times New Roman" w:hAnsi="Times New Roman" w:cs="Times New Roman"/>
              </w:rPr>
              <w:t>bojko@carpenterlipps.com</w:t>
            </w:r>
          </w:p>
          <w:p w:rsidR="005E53DA" w:rsidRPr="00A561A5" w:rsidP="005E53DA">
            <w:pPr>
              <w:widowControl w:val="0"/>
              <w:autoSpaceDE w:val="0"/>
              <w:autoSpaceDN w:val="0"/>
              <w:adjustRightInd w:val="0"/>
              <w:ind w:left="720"/>
              <w:rPr>
                <w:rFonts w:ascii="Times New Roman" w:hAnsi="Times New Roman" w:cs="Times New Roman"/>
                <w:color w:val="0000FF"/>
              </w:rPr>
            </w:pPr>
            <w:r w:rsidRPr="00A561A5">
              <w:rPr>
                <w:rFonts w:ascii="Times New Roman" w:hAnsi="Times New Roman" w:cs="Times New Roman"/>
              </w:rPr>
              <w:t>Bethany.allen@igs.com</w:t>
            </w:r>
          </w:p>
          <w:p w:rsidR="005E53DA" w:rsidRPr="00A561A5" w:rsidP="005E53DA">
            <w:pPr>
              <w:widowControl w:val="0"/>
              <w:autoSpaceDE w:val="0"/>
              <w:autoSpaceDN w:val="0"/>
              <w:adjustRightInd w:val="0"/>
              <w:ind w:left="720"/>
              <w:rPr>
                <w:rFonts w:ascii="Times New Roman" w:hAnsi="Times New Roman" w:cs="Times New Roman"/>
                <w:color w:val="0000FF"/>
              </w:rPr>
            </w:pPr>
            <w:r w:rsidRPr="00A561A5">
              <w:rPr>
                <w:rFonts w:ascii="Times New Roman" w:hAnsi="Times New Roman" w:cs="Times New Roman"/>
              </w:rPr>
              <w:t>Joe.oliker@igs.com</w:t>
            </w:r>
          </w:p>
          <w:p w:rsidR="005E53DA" w:rsidRPr="00A561A5" w:rsidP="005E53DA">
            <w:pPr>
              <w:widowControl w:val="0"/>
              <w:autoSpaceDE w:val="0"/>
              <w:autoSpaceDN w:val="0"/>
              <w:adjustRightInd w:val="0"/>
              <w:ind w:left="720"/>
              <w:rPr>
                <w:rFonts w:ascii="Times New Roman" w:hAnsi="Times New Roman" w:cs="Times New Roman"/>
                <w:color w:val="0000FF"/>
              </w:rPr>
            </w:pPr>
            <w:r w:rsidRPr="00A561A5">
              <w:rPr>
                <w:rFonts w:ascii="Times New Roman" w:hAnsi="Times New Roman" w:cs="Times New Roman"/>
              </w:rPr>
              <w:t>Michael.nugent@igs.com</w:t>
            </w:r>
          </w:p>
          <w:p w:rsidR="005E53DA" w:rsidRPr="00A561A5" w:rsidP="005E53DA">
            <w:pPr>
              <w:widowControl w:val="0"/>
              <w:autoSpaceDE w:val="0"/>
              <w:autoSpaceDN w:val="0"/>
              <w:adjustRightInd w:val="0"/>
              <w:ind w:left="720"/>
              <w:rPr>
                <w:rFonts w:ascii="Times New Roman" w:hAnsi="Times New Roman" w:cs="Times New Roman"/>
                <w:color w:val="0000FF"/>
              </w:rPr>
            </w:pPr>
            <w:r w:rsidRPr="00A561A5">
              <w:rPr>
                <w:rFonts w:ascii="Times New Roman" w:hAnsi="Times New Roman" w:cs="Times New Roman"/>
              </w:rPr>
              <w:t>Fdarr2019@gmail.com</w:t>
            </w:r>
          </w:p>
          <w:p w:rsidR="005E53DA" w:rsidRPr="00A561A5" w:rsidP="005E53DA">
            <w:pPr>
              <w:widowControl w:val="0"/>
              <w:autoSpaceDE w:val="0"/>
              <w:autoSpaceDN w:val="0"/>
              <w:adjustRightInd w:val="0"/>
              <w:ind w:left="720"/>
              <w:rPr>
                <w:rFonts w:ascii="Times New Roman" w:hAnsi="Times New Roman" w:cs="Times New Roman"/>
                <w:color w:val="0000FF"/>
              </w:rPr>
            </w:pPr>
            <w:r w:rsidRPr="00A561A5">
              <w:rPr>
                <w:rFonts w:ascii="Times New Roman" w:hAnsi="Times New Roman" w:cs="Times New Roman"/>
              </w:rPr>
              <w:t>paul@carptenterlipps.com</w:t>
            </w:r>
          </w:p>
          <w:p w:rsidR="005E53DA" w:rsidRPr="00A561A5" w:rsidP="005E53DA">
            <w:pPr>
              <w:widowControl w:val="0"/>
              <w:autoSpaceDE w:val="0"/>
              <w:autoSpaceDN w:val="0"/>
              <w:adjustRightInd w:val="0"/>
              <w:ind w:left="720"/>
              <w:rPr>
                <w:rFonts w:ascii="Times New Roman" w:hAnsi="Times New Roman" w:cs="Times New Roman"/>
                <w:color w:val="0000FF"/>
              </w:rPr>
            </w:pPr>
            <w:r w:rsidRPr="00A561A5">
              <w:rPr>
                <w:rFonts w:ascii="Times New Roman" w:hAnsi="Times New Roman" w:cs="Times New Roman"/>
              </w:rPr>
              <w:t>kevin.oles@thompsonhine.com</w:t>
            </w:r>
          </w:p>
          <w:p w:rsidR="005E53DA" w:rsidRPr="00A561A5" w:rsidP="005E53DA">
            <w:pPr>
              <w:widowControl w:val="0"/>
              <w:autoSpaceDE w:val="0"/>
              <w:autoSpaceDN w:val="0"/>
              <w:adjustRightInd w:val="0"/>
              <w:spacing w:line="480" w:lineRule="auto"/>
              <w:ind w:left="720"/>
              <w:rPr>
                <w:rFonts w:ascii="Times New Roman" w:hAnsi="Times New Roman" w:cs="Times New Roman"/>
                <w:color w:val="0000FF"/>
              </w:rPr>
            </w:pPr>
            <w:r w:rsidRPr="00A561A5">
              <w:rPr>
                <w:rFonts w:ascii="Times New Roman" w:hAnsi="Times New Roman" w:cs="Times New Roman"/>
              </w:rPr>
              <w:t>stephanie.chmiel@thompsonhine.com</w:t>
            </w:r>
          </w:p>
          <w:p w:rsidR="005E53DA" w:rsidRPr="00A561A5" w:rsidP="005E53DA">
            <w:pPr>
              <w:pStyle w:val="BodyText"/>
              <w:spacing w:line="240" w:lineRule="auto"/>
            </w:pPr>
            <w:r w:rsidRPr="00A561A5">
              <w:t>Attorney Examiners:</w:t>
            </w:r>
          </w:p>
          <w:p w:rsidR="005E53DA" w:rsidRPr="00A561A5" w:rsidP="005E53DA">
            <w:pPr>
              <w:pStyle w:val="BodyText"/>
              <w:spacing w:line="240" w:lineRule="auto"/>
              <w:rPr>
                <w:color w:val="0000FF"/>
              </w:rPr>
            </w:pPr>
            <w:r w:rsidRPr="00A561A5">
              <w:t>Patricia.schabo@puco.ohio.gov</w:t>
            </w:r>
          </w:p>
          <w:p w:rsidR="005E53DA" w:rsidP="005E53DA">
            <w:pPr>
              <w:ind w:left="720"/>
              <w:rPr>
                <w:rFonts w:ascii="Times New Roman" w:eastAsia="Times New Roman" w:hAnsi="Times New Roman" w:cs="Times New Roman"/>
                <w:color w:val="0000FF"/>
                <w:u w:val="single"/>
              </w:rPr>
            </w:pPr>
            <w:hyperlink r:id="rId12" w:history="1">
              <w:r w:rsidRPr="000D5C7A" w:rsidR="002B24C1">
                <w:rPr>
                  <w:rStyle w:val="Hyperlink"/>
                  <w:rFonts w:ascii="Times New Roman" w:eastAsia="Times New Roman" w:hAnsi="Times New Roman" w:cs="Times New Roman"/>
                </w:rPr>
                <w:t>Michael.williams@puco.ohio.gov</w:t>
              </w:r>
            </w:hyperlink>
          </w:p>
          <w:p w:rsidR="002B24C1" w:rsidRPr="00A561A5" w:rsidP="005E53DA">
            <w:pPr>
              <w:ind w:left="720"/>
              <w:rPr>
                <w:rFonts w:ascii="Times New Roman" w:hAnsi="Times New Roman" w:cs="Times New Roman"/>
              </w:rPr>
            </w:pPr>
          </w:p>
        </w:tc>
        <w:tc>
          <w:tcPr>
            <w:tcW w:w="4315" w:type="dxa"/>
            <w:gridSpan w:val="2"/>
          </w:tcPr>
          <w:p w:rsidR="005E53DA" w:rsidRPr="00A561A5" w:rsidP="005E53DA">
            <w:pPr>
              <w:widowControl w:val="0"/>
              <w:autoSpaceDE w:val="0"/>
              <w:autoSpaceDN w:val="0"/>
              <w:adjustRightInd w:val="0"/>
              <w:rPr>
                <w:rFonts w:ascii="Times New Roman" w:hAnsi="Times New Roman" w:cs="Times New Roman"/>
              </w:rPr>
            </w:pPr>
          </w:p>
          <w:p w:rsidR="005E53DA" w:rsidRPr="00A561A5" w:rsidP="005E53DA">
            <w:pPr>
              <w:widowControl w:val="0"/>
              <w:autoSpaceDE w:val="0"/>
              <w:autoSpaceDN w:val="0"/>
              <w:adjustRightInd w:val="0"/>
              <w:rPr>
                <w:rFonts w:ascii="Times New Roman" w:hAnsi="Times New Roman" w:cs="Times New Roman"/>
              </w:rPr>
            </w:pPr>
          </w:p>
          <w:p w:rsidR="005E53DA" w:rsidRPr="00A561A5" w:rsidP="005E53DA">
            <w:pPr>
              <w:widowControl w:val="0"/>
              <w:autoSpaceDE w:val="0"/>
              <w:autoSpaceDN w:val="0"/>
              <w:adjustRightInd w:val="0"/>
              <w:ind w:left="710"/>
              <w:rPr>
                <w:rFonts w:ascii="Times New Roman" w:hAnsi="Times New Roman" w:cs="Times New Roman"/>
                <w:color w:val="0000FF"/>
              </w:rPr>
            </w:pPr>
            <w:r w:rsidRPr="00A561A5">
              <w:rPr>
                <w:rFonts w:ascii="Times New Roman" w:hAnsi="Times New Roman" w:cs="Times New Roman"/>
              </w:rPr>
              <w:t>jsharkey@ficlaw.com</w:t>
            </w:r>
          </w:p>
          <w:p w:rsidR="005E53DA" w:rsidRPr="00A561A5" w:rsidP="005E53DA">
            <w:pPr>
              <w:widowControl w:val="0"/>
              <w:autoSpaceDE w:val="0"/>
              <w:autoSpaceDN w:val="0"/>
              <w:adjustRightInd w:val="0"/>
              <w:ind w:left="710"/>
              <w:rPr>
                <w:rFonts w:ascii="Times New Roman" w:hAnsi="Times New Roman" w:cs="Times New Roman"/>
                <w:color w:val="0000FF"/>
              </w:rPr>
            </w:pPr>
            <w:r w:rsidRPr="00A561A5">
              <w:rPr>
                <w:rFonts w:ascii="Times New Roman" w:hAnsi="Times New Roman" w:cs="Times New Roman"/>
              </w:rPr>
              <w:t>djireland@ficlaw.com</w:t>
            </w:r>
          </w:p>
          <w:p w:rsidR="005E53DA" w:rsidRPr="00A561A5" w:rsidP="005E53DA">
            <w:pPr>
              <w:widowControl w:val="0"/>
              <w:autoSpaceDE w:val="0"/>
              <w:autoSpaceDN w:val="0"/>
              <w:adjustRightInd w:val="0"/>
              <w:ind w:left="710"/>
              <w:rPr>
                <w:rFonts w:ascii="Times New Roman" w:hAnsi="Times New Roman" w:cs="Times New Roman"/>
                <w:color w:val="0000FF"/>
              </w:rPr>
            </w:pPr>
            <w:r w:rsidRPr="00A561A5">
              <w:rPr>
                <w:rFonts w:ascii="Times New Roman" w:hAnsi="Times New Roman" w:cs="Times New Roman"/>
              </w:rPr>
              <w:t>chollon@ficlaw.com</w:t>
            </w:r>
          </w:p>
          <w:p w:rsidR="005E53DA" w:rsidRPr="00A561A5" w:rsidP="005E53DA">
            <w:pPr>
              <w:widowControl w:val="0"/>
              <w:autoSpaceDE w:val="0"/>
              <w:autoSpaceDN w:val="0"/>
              <w:adjustRightInd w:val="0"/>
              <w:ind w:left="710"/>
              <w:rPr>
                <w:rFonts w:ascii="Times New Roman" w:hAnsi="Times New Roman" w:cs="Times New Roman"/>
                <w:color w:val="0000FF"/>
              </w:rPr>
            </w:pPr>
            <w:r w:rsidRPr="00A561A5">
              <w:rPr>
                <w:rFonts w:ascii="Times New Roman" w:hAnsi="Times New Roman" w:cs="Times New Roman"/>
              </w:rPr>
              <w:t>michael.schuler@aes.com</w:t>
            </w:r>
          </w:p>
          <w:p w:rsidR="005E53DA" w:rsidRPr="00A561A5" w:rsidP="005E53DA">
            <w:pPr>
              <w:widowControl w:val="0"/>
              <w:autoSpaceDE w:val="0"/>
              <w:autoSpaceDN w:val="0"/>
              <w:adjustRightInd w:val="0"/>
              <w:ind w:left="710"/>
              <w:rPr>
                <w:rFonts w:ascii="Times New Roman" w:hAnsi="Times New Roman" w:cs="Times New Roman"/>
                <w:color w:val="0000FF"/>
              </w:rPr>
            </w:pPr>
            <w:r w:rsidRPr="00A561A5">
              <w:rPr>
                <w:rFonts w:ascii="Times New Roman" w:hAnsi="Times New Roman" w:cs="Times New Roman"/>
              </w:rPr>
              <w:t>mkurtz@bkllawfirm.com</w:t>
            </w:r>
          </w:p>
          <w:p w:rsidR="005E53DA" w:rsidRPr="00A561A5" w:rsidP="005E53DA">
            <w:pPr>
              <w:widowControl w:val="0"/>
              <w:autoSpaceDE w:val="0"/>
              <w:autoSpaceDN w:val="0"/>
              <w:adjustRightInd w:val="0"/>
              <w:ind w:left="710"/>
              <w:rPr>
                <w:rFonts w:ascii="Times New Roman" w:hAnsi="Times New Roman" w:cs="Times New Roman"/>
                <w:color w:val="0000FF"/>
              </w:rPr>
            </w:pPr>
            <w:r w:rsidRPr="00A561A5">
              <w:rPr>
                <w:rFonts w:ascii="Times New Roman" w:hAnsi="Times New Roman" w:cs="Times New Roman"/>
              </w:rPr>
              <w:t>kboehm@bkllawfirm.com</w:t>
            </w:r>
          </w:p>
          <w:p w:rsidR="005E53DA" w:rsidRPr="00A561A5" w:rsidP="005E53DA">
            <w:pPr>
              <w:widowControl w:val="0"/>
              <w:autoSpaceDE w:val="0"/>
              <w:autoSpaceDN w:val="0"/>
              <w:adjustRightInd w:val="0"/>
              <w:ind w:left="710"/>
              <w:rPr>
                <w:rFonts w:ascii="Times New Roman" w:hAnsi="Times New Roman" w:cs="Times New Roman"/>
                <w:color w:val="0000FF"/>
              </w:rPr>
            </w:pPr>
            <w:r w:rsidRPr="00A561A5">
              <w:rPr>
                <w:rFonts w:ascii="Times New Roman" w:hAnsi="Times New Roman" w:cs="Times New Roman"/>
              </w:rPr>
              <w:t>jkylercohn@bkllawfirm.com</w:t>
            </w:r>
          </w:p>
          <w:p w:rsidR="005E53DA" w:rsidRPr="00A561A5" w:rsidP="005E53DA">
            <w:pPr>
              <w:widowControl w:val="0"/>
              <w:autoSpaceDE w:val="0"/>
              <w:autoSpaceDN w:val="0"/>
              <w:adjustRightInd w:val="0"/>
              <w:ind w:left="710"/>
              <w:rPr>
                <w:rFonts w:ascii="Times New Roman" w:hAnsi="Times New Roman" w:cs="Times New Roman"/>
                <w:color w:val="0000FF"/>
              </w:rPr>
            </w:pPr>
            <w:r w:rsidRPr="00A561A5">
              <w:rPr>
                <w:rFonts w:ascii="Times New Roman" w:hAnsi="Times New Roman" w:cs="Times New Roman"/>
              </w:rPr>
              <w:t>mpritchard@mcneeslaw.com</w:t>
            </w:r>
          </w:p>
          <w:p w:rsidR="005E53DA" w:rsidRPr="00A561A5" w:rsidP="005E53DA">
            <w:pPr>
              <w:widowControl w:val="0"/>
              <w:autoSpaceDE w:val="0"/>
              <w:autoSpaceDN w:val="0"/>
              <w:adjustRightInd w:val="0"/>
              <w:ind w:left="710"/>
              <w:rPr>
                <w:rFonts w:ascii="Times New Roman" w:hAnsi="Times New Roman" w:cs="Times New Roman"/>
                <w:color w:val="0000FF"/>
              </w:rPr>
            </w:pPr>
            <w:r w:rsidRPr="00A561A5">
              <w:rPr>
                <w:rFonts w:ascii="Times New Roman" w:hAnsi="Times New Roman" w:cs="Times New Roman"/>
              </w:rPr>
              <w:t>rglover@mcneeslaw.com</w:t>
            </w:r>
          </w:p>
          <w:p w:rsidR="005E53DA" w:rsidRPr="00A561A5" w:rsidP="005E53DA">
            <w:pPr>
              <w:widowControl w:val="0"/>
              <w:autoSpaceDE w:val="0"/>
              <w:autoSpaceDN w:val="0"/>
              <w:adjustRightInd w:val="0"/>
              <w:ind w:left="710"/>
              <w:rPr>
                <w:rFonts w:ascii="Times New Roman" w:hAnsi="Times New Roman" w:cs="Times New Roman"/>
                <w:color w:val="0000FF"/>
              </w:rPr>
            </w:pPr>
            <w:r w:rsidRPr="00A561A5">
              <w:rPr>
                <w:rFonts w:ascii="Times New Roman" w:hAnsi="Times New Roman" w:cs="Times New Roman"/>
              </w:rPr>
              <w:t>slesser@beneschlaw.com</w:t>
            </w:r>
          </w:p>
          <w:p w:rsidR="005E53DA" w:rsidRPr="00A561A5" w:rsidP="005E53DA">
            <w:pPr>
              <w:widowControl w:val="0"/>
              <w:autoSpaceDE w:val="0"/>
              <w:autoSpaceDN w:val="0"/>
              <w:adjustRightInd w:val="0"/>
              <w:ind w:left="710"/>
              <w:rPr>
                <w:rFonts w:ascii="Times New Roman" w:hAnsi="Times New Roman" w:cs="Times New Roman"/>
                <w:color w:val="0000FF"/>
              </w:rPr>
            </w:pPr>
            <w:r w:rsidRPr="00A561A5">
              <w:rPr>
                <w:rFonts w:ascii="Times New Roman" w:hAnsi="Times New Roman" w:cs="Times New Roman"/>
              </w:rPr>
              <w:t>talexander@beneschlaw.com</w:t>
            </w:r>
          </w:p>
          <w:p w:rsidR="005E53DA" w:rsidRPr="00A561A5" w:rsidP="005E53DA">
            <w:pPr>
              <w:widowControl w:val="0"/>
              <w:autoSpaceDE w:val="0"/>
              <w:autoSpaceDN w:val="0"/>
              <w:adjustRightInd w:val="0"/>
              <w:ind w:left="710"/>
              <w:rPr>
                <w:rFonts w:ascii="Times New Roman" w:hAnsi="Times New Roman" w:cs="Times New Roman"/>
                <w:color w:val="0000FF"/>
              </w:rPr>
            </w:pPr>
            <w:r w:rsidRPr="00A561A5">
              <w:rPr>
                <w:rFonts w:ascii="Times New Roman" w:hAnsi="Times New Roman" w:cs="Times New Roman"/>
              </w:rPr>
              <w:t>mkeaney@beneschlaw.com</w:t>
            </w:r>
          </w:p>
          <w:p w:rsidR="005E53DA" w:rsidRPr="00A561A5" w:rsidP="005E53DA">
            <w:pPr>
              <w:widowControl w:val="0"/>
              <w:autoSpaceDE w:val="0"/>
              <w:autoSpaceDN w:val="0"/>
              <w:adjustRightInd w:val="0"/>
              <w:ind w:left="710"/>
              <w:rPr>
                <w:rFonts w:ascii="Times New Roman" w:hAnsi="Times New Roman" w:cs="Times New Roman"/>
                <w:color w:val="0000FF"/>
              </w:rPr>
            </w:pPr>
            <w:r w:rsidRPr="00A561A5">
              <w:rPr>
                <w:rFonts w:ascii="Times New Roman" w:hAnsi="Times New Roman" w:cs="Times New Roman"/>
              </w:rPr>
              <w:t>khehmeyer@beneschlaw.com</w:t>
            </w:r>
          </w:p>
          <w:p w:rsidR="005E53DA" w:rsidRPr="00A561A5" w:rsidP="005E53DA">
            <w:pPr>
              <w:widowControl w:val="0"/>
              <w:autoSpaceDE w:val="0"/>
              <w:autoSpaceDN w:val="0"/>
              <w:adjustRightInd w:val="0"/>
              <w:spacing w:line="480" w:lineRule="auto"/>
              <w:rPr>
                <w:rFonts w:ascii="Times New Roman" w:hAnsi="Times New Roman" w:cs="Times New Roman"/>
              </w:rPr>
            </w:pPr>
          </w:p>
        </w:tc>
      </w:tr>
    </w:tbl>
    <w:p w:rsidR="005E53DA" w:rsidRPr="00A561A5" w:rsidP="002B24C1">
      <w:pPr>
        <w:rPr>
          <w:rFonts w:ascii="Times New Roman" w:hAnsi="Times New Roman" w:cs="Times New Roman"/>
          <w:bCs/>
        </w:rPr>
      </w:pPr>
    </w:p>
    <w:sectPr w:rsidSect="002B24C1">
      <w:head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71649960"/>
      <w:docPartObj>
        <w:docPartGallery w:val="Page Numbers (Bottom of Page)"/>
        <w:docPartUnique/>
      </w:docPartObj>
    </w:sdtPr>
    <w:sdtEndPr>
      <w:rPr>
        <w:rStyle w:val="PageNumber"/>
      </w:rPr>
    </w:sdtEndPr>
    <w:sdtContent>
      <w:p w:rsidR="00770491" w:rsidP="00B62D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70491" w:rsidP="00425B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4993">
    <w:pPr>
      <w:pStyle w:val="Footer"/>
      <w:jc w:val="center"/>
    </w:pPr>
  </w:p>
  <w:p w:rsidR="00770491" w:rsidRPr="006A5C8E">
    <w:pPr>
      <w:pStyle w:val="Footer"/>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16570052"/>
      <w:docPartObj>
        <w:docPartGallery w:val="Page Numbers (Bottom of Page)"/>
        <w:docPartUnique/>
      </w:docPartObj>
    </w:sdtPr>
    <w:sdtEndPr>
      <w:rPr>
        <w:noProof/>
      </w:rPr>
    </w:sdtEndPr>
    <w:sdtContent>
      <w:p w:rsidR="009A49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A4993" w:rsidRPr="006A5C8E">
    <w:pPr>
      <w:pStyle w:val="Footer"/>
      <w:jc w:val="center"/>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13270156"/>
      <w:docPartObj>
        <w:docPartGallery w:val="Page Numbers (Bottom of Page)"/>
        <w:docPartUnique/>
      </w:docPartObj>
    </w:sdtPr>
    <w:sdtEndPr>
      <w:rPr>
        <w:rFonts w:ascii="Times New Roman" w:hAnsi="Times New Roman" w:cs="Times New Roman"/>
        <w:noProof/>
      </w:rPr>
    </w:sdtEndPr>
    <w:sdtContent>
      <w:p w:rsidR="00770491" w:rsidRPr="0097451E">
        <w:pPr>
          <w:pStyle w:val="Footer"/>
          <w:jc w:val="center"/>
          <w:rPr>
            <w:rFonts w:ascii="Times New Roman" w:hAnsi="Times New Roman" w:cs="Times New Roman"/>
          </w:rPr>
        </w:pPr>
        <w:r w:rsidRPr="0097451E">
          <w:rPr>
            <w:rFonts w:ascii="Times New Roman" w:hAnsi="Times New Roman" w:cs="Times New Roman"/>
          </w:rPr>
          <w:fldChar w:fldCharType="begin"/>
        </w:r>
        <w:r w:rsidRPr="0097451E">
          <w:rPr>
            <w:rFonts w:ascii="Times New Roman" w:hAnsi="Times New Roman" w:cs="Times New Roman"/>
          </w:rPr>
          <w:instrText xml:space="preserve"> PAGE   \* MERGEFORMAT </w:instrText>
        </w:r>
        <w:r w:rsidRPr="0097451E">
          <w:rPr>
            <w:rFonts w:ascii="Times New Roman" w:hAnsi="Times New Roman" w:cs="Times New Roman"/>
          </w:rPr>
          <w:fldChar w:fldCharType="separate"/>
        </w:r>
        <w:r w:rsidR="00FA094E">
          <w:rPr>
            <w:rFonts w:ascii="Times New Roman" w:hAnsi="Times New Roman" w:cs="Times New Roman"/>
            <w:noProof/>
          </w:rPr>
          <w:t>28</w:t>
        </w:r>
        <w:r w:rsidRPr="0097451E">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13929" w:rsidP="0064325A">
      <w:r>
        <w:separator/>
      </w:r>
    </w:p>
  </w:footnote>
  <w:footnote w:type="continuationSeparator" w:id="1">
    <w:p w:rsidR="00D13929" w:rsidP="0064325A">
      <w:r>
        <w:continuationSeparator/>
      </w:r>
    </w:p>
  </w:footnote>
  <w:footnote w:id="2">
    <w:p w:rsidR="00770491" w:rsidRPr="00A561A5" w:rsidP="00A561A5">
      <w:pPr>
        <w:pStyle w:val="FootnoteText"/>
        <w:spacing w:after="120"/>
        <w:rPr>
          <w:rFonts w:ascii="Times New Roman" w:hAnsi="Times New Roman" w:cs="Times New Roman"/>
          <w:bCs/>
          <w:iCs/>
        </w:rPr>
      </w:pPr>
      <w:r w:rsidRPr="00A561A5">
        <w:rPr>
          <w:rStyle w:val="FootnoteReference"/>
          <w:rFonts w:ascii="Times New Roman" w:hAnsi="Times New Roman" w:cs="Times New Roman"/>
        </w:rPr>
        <w:footnoteRef/>
      </w:r>
      <w:r w:rsidRPr="00A561A5">
        <w:rPr>
          <w:rFonts w:ascii="Times New Roman" w:hAnsi="Times New Roman" w:cs="Times New Roman"/>
        </w:rPr>
        <w:t xml:space="preserve"> </w:t>
      </w:r>
      <w:r w:rsidRPr="00A561A5">
        <w:rPr>
          <w:rFonts w:ascii="Times New Roman" w:hAnsi="Times New Roman" w:cs="Times New Roman"/>
          <w:bCs/>
          <w:i/>
        </w:rPr>
        <w:t>Electricity Customer Choice in Ohio: How competition has outperformed traditional monopoly regulation</w:t>
      </w:r>
      <w:r w:rsidRPr="00A561A5">
        <w:rPr>
          <w:rFonts w:ascii="Times New Roman" w:hAnsi="Times New Roman" w:cs="Times New Roman"/>
          <w:bCs/>
        </w:rPr>
        <w:t xml:space="preserve">. Northeast Ohio Public Energy Council, January 2017 and </w:t>
      </w:r>
      <w:r w:rsidRPr="00A561A5">
        <w:rPr>
          <w:rFonts w:ascii="Times New Roman" w:hAnsi="Times New Roman" w:cs="Times New Roman"/>
          <w:bCs/>
          <w:i/>
          <w:iCs/>
        </w:rPr>
        <w:t>Update on</w:t>
      </w:r>
      <w:r w:rsidRPr="00A561A5">
        <w:rPr>
          <w:rFonts w:ascii="Times New Roman" w:hAnsi="Times New Roman" w:cs="Times New Roman"/>
          <w:bCs/>
        </w:rPr>
        <w:t xml:space="preserve"> </w:t>
      </w:r>
      <w:r w:rsidRPr="00A561A5">
        <w:rPr>
          <w:rFonts w:ascii="Times New Roman" w:hAnsi="Times New Roman" w:cs="Times New Roman"/>
          <w:bCs/>
          <w:i/>
        </w:rPr>
        <w:t>Electricity Customer Choice in Ohio: Competition continues to outperform traditional monopoly regulation</w:t>
      </w:r>
      <w:r w:rsidRPr="00A561A5">
        <w:rPr>
          <w:rFonts w:ascii="Times New Roman" w:hAnsi="Times New Roman" w:cs="Times New Roman"/>
          <w:bCs/>
        </w:rPr>
        <w:t>. Northeast Ohio Public Energy Council, August 2019.</w:t>
      </w:r>
    </w:p>
  </w:footnote>
  <w:footnote w:id="3">
    <w:p w:rsidR="00770491" w:rsidRPr="00A561A5" w:rsidP="00A561A5">
      <w:pPr>
        <w:pStyle w:val="FootnoteText"/>
        <w:spacing w:after="120"/>
        <w:rPr>
          <w:rFonts w:ascii="Times New Roman" w:hAnsi="Times New Roman" w:cs="Times New Roman"/>
        </w:rPr>
      </w:pPr>
      <w:r w:rsidRPr="00A561A5">
        <w:rPr>
          <w:rStyle w:val="FootnoteReference"/>
          <w:rFonts w:ascii="Times New Roman" w:hAnsi="Times New Roman" w:cs="Times New Roman"/>
        </w:rPr>
        <w:footnoteRef/>
      </w:r>
      <w:r w:rsidRPr="00A561A5">
        <w:rPr>
          <w:rFonts w:ascii="Times New Roman" w:hAnsi="Times New Roman" w:cs="Times New Roman"/>
        </w:rPr>
        <w:t xml:space="preserve"> Mancur Olson. </w:t>
      </w:r>
      <w:r w:rsidRPr="00A561A5">
        <w:rPr>
          <w:rFonts w:ascii="Times New Roman" w:hAnsi="Times New Roman" w:cs="Times New Roman"/>
          <w:i/>
          <w:iCs/>
        </w:rPr>
        <w:t>The Logic of Collective Action</w:t>
      </w:r>
      <w:r w:rsidRPr="00A561A5">
        <w:rPr>
          <w:rFonts w:ascii="Times New Roman" w:hAnsi="Times New Roman" w:cs="Times New Roman"/>
        </w:rPr>
        <w:t xml:space="preserve"> (Harvard University Press, 1965).</w:t>
      </w:r>
    </w:p>
  </w:footnote>
  <w:footnote w:id="4">
    <w:p w:rsidR="00770491" w:rsidRPr="00A561A5" w:rsidP="00A561A5">
      <w:pPr>
        <w:pStyle w:val="FootnoteText"/>
        <w:spacing w:after="120"/>
        <w:rPr>
          <w:rFonts w:ascii="Times New Roman" w:hAnsi="Times New Roman" w:cs="Times New Roman"/>
        </w:rPr>
      </w:pPr>
      <w:r w:rsidRPr="00A561A5">
        <w:rPr>
          <w:rStyle w:val="FootnoteReference"/>
          <w:rFonts w:ascii="Times New Roman" w:hAnsi="Times New Roman" w:cs="Times New Roman"/>
        </w:rPr>
        <w:footnoteRef/>
      </w:r>
      <w:r w:rsidRPr="00A561A5">
        <w:rPr>
          <w:rFonts w:ascii="Times New Roman" w:hAnsi="Times New Roman" w:cs="Times New Roman"/>
        </w:rPr>
        <w:t xml:space="preserve"> George T. Stigler.1970. Director's Law of Public Income Redistribution, </w:t>
      </w:r>
      <w:r w:rsidRPr="00A561A5">
        <w:rPr>
          <w:rFonts w:ascii="Times New Roman" w:hAnsi="Times New Roman" w:cs="Times New Roman"/>
          <w:i/>
          <w:iCs/>
        </w:rPr>
        <w:t xml:space="preserve">Journal of Law and Economics </w:t>
      </w:r>
      <w:r w:rsidRPr="00A561A5">
        <w:rPr>
          <w:rFonts w:ascii="Times New Roman" w:hAnsi="Times New Roman" w:cs="Times New Roman"/>
        </w:rPr>
        <w:t xml:space="preserve">13(1): 1-10. </w:t>
      </w:r>
    </w:p>
  </w:footnote>
  <w:footnote w:id="5">
    <w:p w:rsidR="00770491" w:rsidRPr="00A561A5" w:rsidP="00A561A5">
      <w:pPr>
        <w:pStyle w:val="FootnoteText"/>
        <w:spacing w:after="120"/>
        <w:rPr>
          <w:rFonts w:ascii="Times New Roman" w:hAnsi="Times New Roman" w:cs="Times New Roman"/>
        </w:rPr>
      </w:pPr>
      <w:r w:rsidRPr="00A561A5">
        <w:rPr>
          <w:rStyle w:val="FootnoteReference"/>
          <w:rFonts w:ascii="Times New Roman" w:hAnsi="Times New Roman" w:cs="Times New Roman"/>
        </w:rPr>
        <w:footnoteRef/>
      </w:r>
      <w:r w:rsidRPr="00A561A5">
        <w:rPr>
          <w:rFonts w:ascii="Times New Roman" w:hAnsi="Times New Roman" w:cs="Times New Roman"/>
        </w:rPr>
        <w:t xml:space="preserve"> </w:t>
      </w:r>
      <w:r w:rsidRPr="00A561A5">
        <w:rPr>
          <w:rFonts w:ascii="Times New Roman" w:hAnsi="Times New Roman" w:cs="Times New Roman"/>
          <w:i/>
        </w:rPr>
        <w:t>The Rise and Decline of Nations</w:t>
      </w:r>
      <w:r w:rsidRPr="00A561A5">
        <w:rPr>
          <w:rFonts w:ascii="Times New Roman" w:hAnsi="Times New Roman" w:cs="Times New Roman"/>
        </w:rPr>
        <w:t xml:space="preserve"> (Yale University Press, 1982), especially pp. 43-47; also see Gordon Tullock. </w:t>
      </w:r>
      <w:r w:rsidRPr="00A561A5">
        <w:rPr>
          <w:rFonts w:ascii="Times New Roman" w:hAnsi="Times New Roman" w:cs="Times New Roman"/>
          <w:i/>
          <w:iCs/>
        </w:rPr>
        <w:t>The Economics of Special Privilege and Rent Seeking</w:t>
      </w:r>
      <w:r w:rsidRPr="00A561A5">
        <w:rPr>
          <w:rFonts w:ascii="Times New Roman" w:hAnsi="Times New Roman" w:cs="Times New Roman"/>
        </w:rPr>
        <w:t xml:space="preserve"> (Kluwer Academic Publishers, 1989); reprinted as “Rent Seeking: An Overview,” in </w:t>
      </w:r>
      <w:r w:rsidRPr="00A561A5">
        <w:rPr>
          <w:rFonts w:ascii="Times New Roman" w:hAnsi="Times New Roman" w:cs="Times New Roman"/>
          <w:i/>
          <w:iCs/>
        </w:rPr>
        <w:t>The Rent-Seeking Society</w:t>
      </w:r>
      <w:r w:rsidRPr="00A561A5">
        <w:rPr>
          <w:rFonts w:ascii="Times New Roman" w:hAnsi="Times New Roman" w:cs="Times New Roman"/>
        </w:rPr>
        <w:t xml:space="preserve"> (Liberty Fund, 2005), especially pp. 48-53.</w:t>
      </w:r>
    </w:p>
  </w:footnote>
  <w:footnote w:id="6">
    <w:p w:rsidR="00770491" w:rsidRPr="00A561A5" w:rsidP="00A561A5">
      <w:pPr>
        <w:pStyle w:val="FootnoteText"/>
        <w:spacing w:after="120"/>
        <w:rPr>
          <w:rFonts w:ascii="Times New Roman" w:hAnsi="Times New Roman" w:cs="Times New Roman"/>
        </w:rPr>
      </w:pPr>
      <w:r w:rsidRPr="00A561A5">
        <w:rPr>
          <w:rStyle w:val="FootnoteReference"/>
          <w:rFonts w:ascii="Times New Roman" w:hAnsi="Times New Roman" w:cs="Times New Roman"/>
        </w:rPr>
        <w:footnoteRef/>
      </w:r>
      <w:r w:rsidRPr="00A561A5">
        <w:rPr>
          <w:rFonts w:ascii="Times New Roman" w:hAnsi="Times New Roman" w:cs="Times New Roman"/>
        </w:rPr>
        <w:t xml:space="preserve"> “Mancur Lloyd Olson, scourge of special interests, died on February 19th, aged 66.” </w:t>
      </w:r>
      <w:r w:rsidRPr="00A561A5">
        <w:rPr>
          <w:rFonts w:ascii="Times New Roman" w:hAnsi="Times New Roman" w:cs="Times New Roman"/>
          <w:i/>
          <w:iCs/>
        </w:rPr>
        <w:t>The Economist</w:t>
      </w:r>
      <w:r w:rsidRPr="00A561A5">
        <w:rPr>
          <w:rFonts w:ascii="Times New Roman" w:hAnsi="Times New Roman" w:cs="Times New Roman"/>
        </w:rPr>
        <w:t xml:space="preserve">, March 5, 1998 (emphasis added), </w:t>
      </w:r>
      <w:r w:rsidRPr="00A561A5">
        <w:rPr>
          <w:rFonts w:ascii="Times New Roman" w:hAnsi="Times New Roman" w:cs="Times New Roman"/>
          <w:i/>
        </w:rPr>
        <w:t>available at</w:t>
      </w:r>
      <w:r w:rsidRPr="00A561A5">
        <w:rPr>
          <w:rFonts w:ascii="Times New Roman" w:hAnsi="Times New Roman" w:cs="Times New Roman"/>
        </w:rPr>
        <w:t xml:space="preserve"> </w:t>
      </w:r>
      <w:hyperlink r:id="rId1" w:history="1">
        <w:r w:rsidRPr="00A561A5" w:rsidR="00FA094E">
          <w:rPr>
            <w:rStyle w:val="Hyperlink"/>
            <w:rFonts w:ascii="Times New Roman" w:hAnsi="Times New Roman" w:cs="Times New Roman"/>
          </w:rPr>
          <w:t>https://www.economist.com/obituary/1998/03/05/mancur-olson</w:t>
        </w:r>
      </w:hyperlink>
      <w:r w:rsidRPr="00A561A5">
        <w:rPr>
          <w:rFonts w:ascii="Times New Roman" w:hAnsi="Times New Roman" w:cs="Times New Roman"/>
        </w:rPr>
        <w:t>.</w:t>
      </w:r>
    </w:p>
  </w:footnote>
  <w:footnote w:id="7">
    <w:p w:rsidR="00770491" w:rsidRPr="00A561A5" w:rsidP="00A561A5">
      <w:pPr>
        <w:pStyle w:val="FootnoteText"/>
        <w:spacing w:after="120"/>
        <w:rPr>
          <w:rFonts w:ascii="Times New Roman" w:hAnsi="Times New Roman" w:cs="Times New Roman"/>
        </w:rPr>
      </w:pPr>
      <w:r w:rsidRPr="00A561A5">
        <w:rPr>
          <w:rStyle w:val="FootnoteReference"/>
          <w:rFonts w:ascii="Times New Roman" w:hAnsi="Times New Roman" w:cs="Times New Roman"/>
        </w:rPr>
        <w:footnoteRef/>
      </w:r>
      <w:r w:rsidRPr="00A561A5">
        <w:rPr>
          <w:rFonts w:ascii="Times New Roman" w:hAnsi="Times New Roman" w:cs="Times New Roman"/>
        </w:rPr>
        <w:t xml:space="preserve"> Settlement at 2.</w:t>
      </w:r>
    </w:p>
  </w:footnote>
  <w:footnote w:id="8">
    <w:p w:rsidR="00770491" w:rsidRPr="00A561A5" w:rsidP="00A561A5">
      <w:pPr>
        <w:pStyle w:val="FootnoteText"/>
        <w:spacing w:after="120"/>
        <w:rPr>
          <w:rFonts w:ascii="Times New Roman" w:hAnsi="Times New Roman" w:cs="Times New Roman"/>
        </w:rPr>
      </w:pPr>
      <w:r w:rsidRPr="00A561A5">
        <w:rPr>
          <w:rStyle w:val="FootnoteReference"/>
          <w:rFonts w:ascii="Times New Roman" w:hAnsi="Times New Roman" w:cs="Times New Roman"/>
        </w:rPr>
        <w:footnoteRef/>
      </w:r>
      <w:r w:rsidRPr="00A561A5">
        <w:rPr>
          <w:rFonts w:ascii="Times New Roman" w:hAnsi="Times New Roman" w:cs="Times New Roman"/>
        </w:rPr>
        <w:t xml:space="preserve"> Opinion and Order, Case No. 16-395-EL-SSO, Case No. 16-396-EL-ATA, and Case No. 16-307-EL-AAM, October 20, 2017</w:t>
      </w:r>
    </w:p>
  </w:footnote>
  <w:footnote w:id="9">
    <w:p w:rsidR="00770491" w:rsidRPr="00A561A5" w:rsidP="00A561A5">
      <w:pPr>
        <w:pStyle w:val="FootnoteText"/>
        <w:spacing w:after="120"/>
        <w:rPr>
          <w:rFonts w:ascii="Times New Roman" w:hAnsi="Times New Roman" w:cs="Times New Roman"/>
        </w:rPr>
      </w:pPr>
      <w:r w:rsidRPr="00A561A5">
        <w:rPr>
          <w:rStyle w:val="FootnoteReference"/>
          <w:rFonts w:ascii="Times New Roman" w:hAnsi="Times New Roman" w:cs="Times New Roman"/>
        </w:rPr>
        <w:footnoteRef/>
      </w:r>
      <w:r w:rsidRPr="00A561A5">
        <w:rPr>
          <w:rFonts w:ascii="Times New Roman" w:hAnsi="Times New Roman" w:cs="Times New Roman"/>
        </w:rPr>
        <w:t xml:space="preserve"> Settlement at 2 (emphasis added).</w:t>
      </w:r>
    </w:p>
  </w:footnote>
  <w:footnote w:id="10">
    <w:p w:rsidR="00770491" w:rsidRPr="00A561A5" w:rsidP="00A561A5">
      <w:pPr>
        <w:pStyle w:val="FootnoteText"/>
        <w:spacing w:after="120"/>
        <w:rPr>
          <w:rFonts w:ascii="Times New Roman" w:hAnsi="Times New Roman" w:cs="Times New Roman"/>
        </w:rPr>
      </w:pPr>
      <w:r w:rsidRPr="00A561A5">
        <w:rPr>
          <w:rStyle w:val="FootnoteReference"/>
          <w:rFonts w:ascii="Times New Roman" w:hAnsi="Times New Roman" w:cs="Times New Roman"/>
        </w:rPr>
        <w:footnoteRef/>
      </w:r>
      <w:r w:rsidRPr="00A561A5">
        <w:rPr>
          <w:rFonts w:ascii="Times New Roman" w:hAnsi="Times New Roman" w:cs="Times New Roman"/>
        </w:rPr>
        <w:t xml:space="preserve"> Schroder Testimony at 13 (emphasis added).</w:t>
      </w:r>
    </w:p>
  </w:footnote>
  <w:footnote w:id="11">
    <w:p w:rsidR="00770491" w:rsidRPr="00A561A5" w:rsidP="00A561A5">
      <w:pPr>
        <w:pStyle w:val="FootnoteText"/>
        <w:spacing w:after="120"/>
        <w:rPr>
          <w:rFonts w:ascii="Times New Roman" w:hAnsi="Times New Roman" w:cs="Times New Roman"/>
        </w:rPr>
      </w:pPr>
      <w:r w:rsidRPr="00A561A5">
        <w:rPr>
          <w:rStyle w:val="FootnoteReference"/>
          <w:rFonts w:ascii="Times New Roman" w:hAnsi="Times New Roman" w:cs="Times New Roman"/>
        </w:rPr>
        <w:footnoteRef/>
      </w:r>
      <w:r w:rsidRPr="00A561A5">
        <w:rPr>
          <w:rFonts w:ascii="Times New Roman" w:hAnsi="Times New Roman" w:cs="Times New Roman"/>
        </w:rPr>
        <w:t xml:space="preserve"> Settlement at 37.</w:t>
      </w:r>
    </w:p>
  </w:footnote>
  <w:footnote w:id="12">
    <w:p w:rsidR="00770491" w:rsidRPr="00A561A5" w:rsidP="00A561A5">
      <w:pPr>
        <w:pStyle w:val="FootnoteText"/>
        <w:spacing w:after="120"/>
        <w:rPr>
          <w:rFonts w:ascii="Times New Roman" w:hAnsi="Times New Roman" w:cs="Times New Roman"/>
        </w:rPr>
      </w:pPr>
      <w:r w:rsidRPr="00A561A5">
        <w:rPr>
          <w:rStyle w:val="FootnoteReference"/>
          <w:rFonts w:ascii="Times New Roman" w:hAnsi="Times New Roman" w:cs="Times New Roman"/>
        </w:rPr>
        <w:footnoteRef/>
      </w:r>
      <w:r w:rsidRPr="00A561A5">
        <w:rPr>
          <w:rFonts w:ascii="Times New Roman" w:hAnsi="Times New Roman" w:cs="Times New Roman"/>
        </w:rPr>
        <w:t xml:space="preserve"> As I explain below, DP&amp;L claims that it pays for some of these costs with “shareholder” dollars is inaccurate. DP&amp;L is charging customers nearly $80 million per year under the “rate stabilization rider,” is are not related to any operating or capital costs that DP&amp;L incurs. In other words, this entire $80 million per year revenue stream is intended to go directly to the ownership of DP&amp;L and to shore-up DP&amp;L’s balance sheet. So, in effect, DP&amp;L is taking just a small piece of the customer funds from the rate stabilization rider and redistributing it to the signatory parties or projects that are endorsed by one of the signatory parties.</w:t>
      </w:r>
    </w:p>
  </w:footnote>
  <w:footnote w:id="13">
    <w:p w:rsidR="00770491" w:rsidRPr="00A561A5" w:rsidP="00A561A5">
      <w:pPr>
        <w:pStyle w:val="FootnoteText"/>
        <w:spacing w:after="120"/>
        <w:rPr>
          <w:rFonts w:ascii="Times New Roman" w:hAnsi="Times New Roman" w:cs="Times New Roman"/>
        </w:rPr>
      </w:pPr>
      <w:r w:rsidRPr="00A561A5">
        <w:rPr>
          <w:rStyle w:val="FootnoteReference"/>
          <w:rFonts w:ascii="Times New Roman" w:hAnsi="Times New Roman" w:cs="Times New Roman"/>
        </w:rPr>
        <w:footnoteRef/>
      </w:r>
      <w:r w:rsidRPr="00A561A5">
        <w:rPr>
          <w:rFonts w:ascii="Times New Roman" w:hAnsi="Times New Roman" w:cs="Times New Roman"/>
        </w:rPr>
        <w:t xml:space="preserve"> Settlement at 35-37.</w:t>
      </w:r>
    </w:p>
  </w:footnote>
  <w:footnote w:id="14">
    <w:p w:rsidR="00770491" w:rsidRPr="00A561A5" w:rsidP="00A561A5">
      <w:pPr>
        <w:pStyle w:val="FootnoteText"/>
        <w:spacing w:after="120"/>
        <w:rPr>
          <w:rFonts w:ascii="Times New Roman" w:hAnsi="Times New Roman" w:cs="Times New Roman"/>
        </w:rPr>
      </w:pPr>
      <w:r w:rsidRPr="00A561A5">
        <w:rPr>
          <w:rStyle w:val="FootnoteReference"/>
          <w:rFonts w:ascii="Times New Roman" w:hAnsi="Times New Roman" w:cs="Times New Roman"/>
        </w:rPr>
        <w:footnoteRef/>
      </w:r>
      <w:r w:rsidRPr="00A561A5">
        <w:rPr>
          <w:rFonts w:ascii="Times New Roman" w:hAnsi="Times New Roman" w:cs="Times New Roman"/>
        </w:rPr>
        <w:t xml:space="preserve"> Settlement at 33-42.</w:t>
      </w:r>
    </w:p>
  </w:footnote>
  <w:footnote w:id="15">
    <w:p w:rsidR="00770491" w:rsidRPr="00A561A5" w:rsidP="00A561A5">
      <w:pPr>
        <w:pStyle w:val="FootnoteText"/>
        <w:spacing w:after="120"/>
        <w:rPr>
          <w:rFonts w:ascii="Times New Roman" w:hAnsi="Times New Roman" w:cs="Times New Roman"/>
        </w:rPr>
      </w:pPr>
      <w:r w:rsidRPr="00A561A5">
        <w:rPr>
          <w:rStyle w:val="FootnoteReference"/>
          <w:rFonts w:ascii="Times New Roman" w:hAnsi="Times New Roman" w:cs="Times New Roman"/>
        </w:rPr>
        <w:footnoteRef/>
      </w:r>
      <w:r w:rsidRPr="00A561A5">
        <w:rPr>
          <w:rFonts w:ascii="Times New Roman" w:hAnsi="Times New Roman" w:cs="Times New Roman"/>
        </w:rPr>
        <w:t xml:space="preserve"> From SEC form 10-Q: “DP&amp;L shareholder funding, in an aggregate amount of approximately $30.0 million over four years, for certain economic development discounts, incentives, and grants to certain commercial and industrial customers, including hospitals and manufacturers, assistance for low-income customers as well as the residents and businesses of the City of Dayton, and promotion of solar and resiliency development within DP&amp;L’s service territory.” Dayton Power &amp; Light Company, Form 10-Q for the quarter ending September 30, 2020, link associated with $30.0 million in the fifth bullet on page 18. </w:t>
      </w:r>
      <w:hyperlink r:id="rId2" w:anchor="i49975861c574421f887c0904ece3405f_61" w:history="1">
        <w:r w:rsidRPr="00A561A5" w:rsidR="00FA094E">
          <w:rPr>
            <w:rStyle w:val="Hyperlink"/>
            <w:rFonts w:ascii="Times New Roman" w:hAnsi="Times New Roman" w:cs="Times New Roman"/>
          </w:rPr>
          <w:t>https://www.sec.gov/ix?doc=/Archives/edgar/data/27430/000078725020000061/dpl-20200930.htm#i49975861c574421f887c0904ece3405f_61</w:t>
        </w:r>
      </w:hyperlink>
      <w:r w:rsidRPr="00A561A5">
        <w:rPr>
          <w:rFonts w:ascii="Times New Roman" w:hAnsi="Times New Roman" w:cs="Times New Roman"/>
        </w:rPr>
        <w:t>.</w:t>
      </w:r>
    </w:p>
  </w:footnote>
  <w:footnote w:id="16">
    <w:p w:rsidR="00770491" w:rsidRPr="00A561A5" w:rsidP="00A561A5">
      <w:pPr>
        <w:pStyle w:val="FootnoteText"/>
        <w:spacing w:after="120"/>
        <w:rPr>
          <w:rFonts w:ascii="Times New Roman" w:hAnsi="Times New Roman" w:cs="Times New Roman"/>
        </w:rPr>
      </w:pPr>
      <w:r w:rsidRPr="00A561A5">
        <w:rPr>
          <w:rStyle w:val="FootnoteReference"/>
          <w:rFonts w:ascii="Times New Roman" w:hAnsi="Times New Roman" w:cs="Times New Roman"/>
        </w:rPr>
        <w:footnoteRef/>
      </w:r>
      <w:r w:rsidRPr="00A561A5">
        <w:rPr>
          <w:rFonts w:ascii="Times New Roman" w:hAnsi="Times New Roman" w:cs="Times New Roman"/>
        </w:rPr>
        <w:t xml:space="preserve"> </w:t>
      </w:r>
      <w:r w:rsidRPr="00A561A5">
        <w:rPr>
          <w:rFonts w:ascii="Times New Roman" w:hAnsi="Times New Roman" w:cs="Times New Roman"/>
          <w:i/>
        </w:rPr>
        <w:t>See</w:t>
      </w:r>
      <w:r w:rsidRPr="00A561A5">
        <w:rPr>
          <w:rFonts w:ascii="Times New Roman" w:hAnsi="Times New Roman" w:cs="Times New Roman"/>
        </w:rPr>
        <w:t xml:space="preserve"> Direct Testimony of Matthew I. Kahal on behalf of the Office of the Ohio Consumers’ Counsel.</w:t>
      </w:r>
    </w:p>
  </w:footnote>
  <w:footnote w:id="17">
    <w:p w:rsidR="00770491" w:rsidRPr="00A561A5" w:rsidP="00A561A5">
      <w:pPr>
        <w:pStyle w:val="FootnoteText"/>
        <w:spacing w:after="120"/>
        <w:rPr>
          <w:rFonts w:ascii="Times New Roman" w:hAnsi="Times New Roman" w:cs="Times New Roman"/>
        </w:rPr>
      </w:pPr>
      <w:r w:rsidRPr="00A561A5">
        <w:rPr>
          <w:rStyle w:val="FootnoteReference"/>
          <w:rFonts w:ascii="Times New Roman" w:hAnsi="Times New Roman" w:cs="Times New Roman"/>
        </w:rPr>
        <w:footnoteRef/>
      </w:r>
      <w:r w:rsidRPr="00A561A5">
        <w:rPr>
          <w:rFonts w:ascii="Times New Roman" w:hAnsi="Times New Roman" w:cs="Times New Roman"/>
        </w:rPr>
        <w:t xml:space="preserve"> Settlement at 18.</w:t>
      </w:r>
    </w:p>
  </w:footnote>
  <w:footnote w:id="18">
    <w:p w:rsidR="00770491" w:rsidRPr="00A561A5" w:rsidP="00A561A5">
      <w:pPr>
        <w:pStyle w:val="FootnoteText"/>
        <w:spacing w:after="120"/>
        <w:rPr>
          <w:rFonts w:ascii="Times New Roman" w:hAnsi="Times New Roman" w:cs="Times New Roman"/>
        </w:rPr>
      </w:pPr>
      <w:r w:rsidRPr="00A561A5">
        <w:rPr>
          <w:rStyle w:val="FootnoteReference"/>
          <w:rFonts w:ascii="Times New Roman" w:hAnsi="Times New Roman" w:cs="Times New Roman"/>
        </w:rPr>
        <w:footnoteRef/>
      </w:r>
      <w:r w:rsidRPr="00A561A5">
        <w:rPr>
          <w:rFonts w:ascii="Times New Roman" w:hAnsi="Times New Roman" w:cs="Times New Roman"/>
        </w:rPr>
        <w:t xml:space="preserve"> Settlement at 30-32.</w:t>
      </w:r>
      <w:hyperlink w:history="1"/>
    </w:p>
  </w:footnote>
  <w:footnote w:id="19">
    <w:p w:rsidR="00770491" w:rsidRPr="00A561A5" w:rsidP="00A561A5">
      <w:pPr>
        <w:pStyle w:val="FootnoteText"/>
        <w:spacing w:after="120"/>
        <w:rPr>
          <w:rFonts w:ascii="Times New Roman" w:hAnsi="Times New Roman" w:cs="Times New Roman"/>
        </w:rPr>
      </w:pPr>
      <w:r w:rsidRPr="00A561A5">
        <w:rPr>
          <w:rStyle w:val="FootnoteReference"/>
          <w:rFonts w:ascii="Times New Roman" w:hAnsi="Times New Roman" w:cs="Times New Roman"/>
        </w:rPr>
        <w:footnoteRef/>
      </w:r>
      <w:r w:rsidRPr="00A561A5">
        <w:rPr>
          <w:rFonts w:ascii="Times New Roman" w:hAnsi="Times New Roman" w:cs="Times New Roman"/>
        </w:rPr>
        <w:t xml:space="preserve"> Rider IIR is described in the Stipulation at 5</w:t>
      </w:r>
      <w:r w:rsidRPr="00A561A5" w:rsidR="00A561A5">
        <w:rPr>
          <w:rFonts w:ascii="Times New Roman" w:hAnsi="Times New Roman" w:cs="Times New Roman"/>
        </w:rPr>
        <w:t>.</w:t>
      </w:r>
    </w:p>
  </w:footnote>
  <w:footnote w:id="20">
    <w:p w:rsidR="00770491" w:rsidRPr="00A561A5" w:rsidP="00A561A5">
      <w:pPr>
        <w:pStyle w:val="FootnoteText"/>
        <w:spacing w:after="120"/>
        <w:rPr>
          <w:rFonts w:ascii="Times New Roman" w:hAnsi="Times New Roman" w:cs="Times New Roman"/>
        </w:rPr>
      </w:pPr>
      <w:r w:rsidRPr="00A561A5">
        <w:rPr>
          <w:rStyle w:val="FootnoteReference"/>
          <w:rFonts w:ascii="Times New Roman" w:hAnsi="Times New Roman" w:cs="Times New Roman"/>
        </w:rPr>
        <w:footnoteRef/>
      </w:r>
      <w:r w:rsidRPr="00A561A5">
        <w:rPr>
          <w:rFonts w:ascii="Times New Roman" w:hAnsi="Times New Roman" w:cs="Times New Roman"/>
        </w:rPr>
        <w:t xml:space="preserve"> Settlement at 13-18</w:t>
      </w:r>
    </w:p>
  </w:footnote>
  <w:footnote w:id="21">
    <w:p w:rsidR="00770491" w:rsidRPr="00A561A5" w:rsidP="00A561A5">
      <w:pPr>
        <w:pStyle w:val="FootnoteText"/>
        <w:spacing w:after="120"/>
        <w:rPr>
          <w:rFonts w:ascii="Times New Roman" w:hAnsi="Times New Roman" w:cs="Times New Roman"/>
        </w:rPr>
      </w:pPr>
      <w:r w:rsidRPr="00A561A5">
        <w:rPr>
          <w:rStyle w:val="FootnoteReference"/>
          <w:rFonts w:ascii="Times New Roman" w:hAnsi="Times New Roman" w:cs="Times New Roman"/>
        </w:rPr>
        <w:footnoteRef/>
      </w:r>
      <w:r w:rsidRPr="00A561A5">
        <w:rPr>
          <w:rFonts w:ascii="Times New Roman" w:hAnsi="Times New Roman" w:cs="Times New Roman"/>
        </w:rPr>
        <w:t xml:space="preserve"> </w:t>
      </w:r>
      <w:r w:rsidRPr="00A561A5">
        <w:rPr>
          <w:rFonts w:ascii="Times New Roman" w:hAnsi="Times New Roman" w:cs="Times New Roman"/>
          <w:i/>
        </w:rPr>
        <w:t>See</w:t>
      </w:r>
      <w:r w:rsidRPr="00A561A5">
        <w:rPr>
          <w:rFonts w:ascii="Times New Roman" w:hAnsi="Times New Roman" w:cs="Times New Roman"/>
        </w:rPr>
        <w:t xml:space="preserve"> Direct Testimony of Daniel J. Duann, Ph.D. on Behalf of the Office of the Ohio Consumers’ Counsel (Dec. 17, 2020).</w:t>
      </w:r>
    </w:p>
  </w:footnote>
  <w:footnote w:id="22">
    <w:p w:rsidR="00770491" w:rsidRPr="00A561A5" w:rsidP="00A561A5">
      <w:pPr>
        <w:pStyle w:val="FootnoteText"/>
        <w:spacing w:after="120"/>
        <w:rPr>
          <w:rFonts w:ascii="Times New Roman" w:hAnsi="Times New Roman" w:cs="Times New Roman"/>
        </w:rPr>
      </w:pPr>
      <w:r w:rsidRPr="00A561A5">
        <w:rPr>
          <w:rStyle w:val="FootnoteReference"/>
          <w:rFonts w:ascii="Times New Roman" w:hAnsi="Times New Roman" w:cs="Times New Roman"/>
        </w:rPr>
        <w:footnoteRef/>
      </w:r>
      <w:r w:rsidRPr="00A561A5">
        <w:rPr>
          <w:rFonts w:ascii="Times New Roman" w:hAnsi="Times New Roman" w:cs="Times New Roman"/>
        </w:rPr>
        <w:t xml:space="preserve"> </w:t>
      </w:r>
      <w:r w:rsidRPr="00A561A5">
        <w:rPr>
          <w:rFonts w:ascii="Times New Roman" w:hAnsi="Times New Roman" w:cs="Times New Roman"/>
          <w:i/>
        </w:rPr>
        <w:t>See</w:t>
      </w:r>
      <w:r w:rsidRPr="00A561A5">
        <w:rPr>
          <w:rFonts w:ascii="Times New Roman" w:hAnsi="Times New Roman" w:cs="Times New Roman"/>
        </w:rPr>
        <w:t xml:space="preserve"> Direct Testimony of Paul Alvarez on Behalf of the Office of the Ohio Consumers’ Counsel (Dec. 17, 2020).</w:t>
      </w:r>
    </w:p>
  </w:footnote>
  <w:footnote w:id="23">
    <w:p w:rsidR="00770491" w:rsidRPr="00A561A5" w:rsidP="00A561A5">
      <w:pPr>
        <w:pStyle w:val="FootnoteText"/>
        <w:spacing w:after="120"/>
        <w:rPr>
          <w:rFonts w:ascii="Times New Roman" w:hAnsi="Times New Roman" w:cs="Times New Roman"/>
        </w:rPr>
      </w:pPr>
      <w:r w:rsidRPr="00A561A5">
        <w:rPr>
          <w:rStyle w:val="FootnoteReference"/>
          <w:rFonts w:ascii="Times New Roman" w:hAnsi="Times New Roman" w:cs="Times New Roman"/>
        </w:rPr>
        <w:footnoteRef/>
      </w:r>
      <w:r w:rsidRPr="00A561A5">
        <w:rPr>
          <w:rFonts w:ascii="Times New Roman" w:hAnsi="Times New Roman" w:cs="Times New Roman"/>
        </w:rPr>
        <w:t xml:space="preserve"> </w:t>
      </w:r>
      <w:r w:rsidRPr="00A561A5">
        <w:rPr>
          <w:rFonts w:ascii="Times New Roman" w:hAnsi="Times New Roman" w:cs="Times New Roman"/>
          <w:i/>
        </w:rPr>
        <w:t>See</w:t>
      </w:r>
      <w:r w:rsidRPr="00A561A5">
        <w:rPr>
          <w:rFonts w:ascii="Times New Roman" w:hAnsi="Times New Roman" w:cs="Times New Roman"/>
        </w:rPr>
        <w:t xml:space="preserve"> Duann Testimony.</w:t>
      </w:r>
    </w:p>
  </w:footnote>
  <w:footnote w:id="24">
    <w:p w:rsidR="00770491" w:rsidRPr="00A561A5" w:rsidP="00A561A5">
      <w:pPr>
        <w:pStyle w:val="FootnoteText"/>
        <w:spacing w:after="120"/>
        <w:rPr>
          <w:rFonts w:ascii="Times New Roman" w:hAnsi="Times New Roman" w:cs="Times New Roman"/>
        </w:rPr>
      </w:pPr>
      <w:r w:rsidRPr="00A561A5">
        <w:rPr>
          <w:rStyle w:val="FootnoteReference"/>
          <w:rFonts w:ascii="Times New Roman" w:hAnsi="Times New Roman" w:cs="Times New Roman"/>
        </w:rPr>
        <w:footnoteRef/>
      </w:r>
      <w:r w:rsidRPr="00A561A5">
        <w:rPr>
          <w:rFonts w:ascii="Times New Roman" w:hAnsi="Times New Roman" w:cs="Times New Roman"/>
        </w:rPr>
        <w:t xml:space="preserve"> </w:t>
      </w:r>
      <w:r w:rsidRPr="00A561A5">
        <w:rPr>
          <w:rFonts w:ascii="Times New Roman" w:eastAsia="Times New Roman" w:hAnsi="Times New Roman" w:cs="Times New Roman"/>
          <w:i/>
          <w:iCs/>
          <w:color w:val="000000"/>
        </w:rPr>
        <w:t>In re Matter of the Application of Ohio Edison Co., the Cleveland Electric Illuminating Co., &amp; the Toledo Edison Co. for Authority to Establish a Standard Service Offer</w:t>
      </w:r>
      <w:r w:rsidRPr="00A561A5">
        <w:rPr>
          <w:rFonts w:ascii="Times New Roman" w:eastAsia="Times New Roman" w:hAnsi="Times New Roman" w:cs="Times New Roman"/>
          <w:color w:val="000000"/>
        </w:rPr>
        <w:t>, Case No. 08-395-EL-SSO, Second Opinion &amp; Order, Concurring in Part and Dissenting in Part Opinion of Commissioner Cheryl L. Robert at 2 (Mar. 25, 2009)</w:t>
      </w:r>
    </w:p>
  </w:footnote>
  <w:footnote w:id="25">
    <w:p w:rsidR="00770491" w:rsidRPr="00A561A5" w:rsidP="00A561A5">
      <w:pPr>
        <w:pStyle w:val="FootnoteText"/>
        <w:spacing w:after="120"/>
        <w:rPr>
          <w:rFonts w:ascii="Times New Roman" w:hAnsi="Times New Roman" w:cs="Times New Roman"/>
        </w:rPr>
      </w:pPr>
      <w:r w:rsidRPr="00A561A5">
        <w:rPr>
          <w:rStyle w:val="FootnoteReference"/>
          <w:rFonts w:ascii="Times New Roman" w:hAnsi="Times New Roman" w:cs="Times New Roman"/>
        </w:rPr>
        <w:footnoteRef/>
      </w:r>
      <w:r w:rsidRPr="00A561A5">
        <w:rPr>
          <w:rFonts w:ascii="Times New Roman" w:hAnsi="Times New Roman" w:cs="Times New Roman"/>
        </w:rPr>
        <w:t xml:space="preserve"> </w:t>
      </w:r>
      <w:r w:rsidRPr="00A561A5">
        <w:rPr>
          <w:rFonts w:ascii="Times New Roman" w:eastAsia="Times New Roman" w:hAnsi="Times New Roman" w:cs="Times New Roman"/>
          <w:i/>
          <w:iCs/>
          <w:color w:val="000000"/>
        </w:rPr>
        <w:t>In re Application of Columbus S. Power Co. &amp; Ohio Power Co. for Authority to Recover Costs Associated with the Ultimate Construction &amp; Operation of an Integrated Gasification Combined Cycle Electric Generation Facility</w:t>
      </w:r>
      <w:r w:rsidRPr="00A561A5">
        <w:rPr>
          <w:rFonts w:ascii="Times New Roman" w:eastAsia="Times New Roman" w:hAnsi="Times New Roman" w:cs="Times New Roman"/>
          <w:color w:val="000000"/>
        </w:rPr>
        <w:t>, Case No. 05-376-EL-UNC, Order on Remand at 11-12 (Feb. 11, 2015)</w:t>
      </w:r>
      <w:r w:rsidRPr="00A561A5" w:rsidR="00A561A5">
        <w:rPr>
          <w:rFonts w:ascii="Times New Roman" w:eastAsia="Times New Roman" w:hAnsi="Times New Roman" w:cs="Times New Roman"/>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0491" w:rsidRPr="008133A9" w:rsidP="008133A9">
    <w:pPr>
      <w:pStyle w:val="Header"/>
      <w:tabs>
        <w:tab w:val="left" w:pos="6937"/>
      </w:tabs>
      <w:jc w:val="center"/>
      <w:rPr>
        <w:rFonts w:ascii="Times New Roman" w:hAnsi="Times New Roman" w:cs="Times New Roman"/>
        <w:i/>
        <w:iCs/>
      </w:rPr>
    </w:pPr>
    <w:r w:rsidRPr="008133A9">
      <w:rPr>
        <w:rFonts w:ascii="Times New Roman" w:hAnsi="Times New Roman" w:cs="Times New Roman"/>
        <w:i/>
        <w:iCs/>
      </w:rPr>
      <w:t xml:space="preserve">Direct Testimony of </w:t>
    </w:r>
    <w:r>
      <w:rPr>
        <w:rFonts w:ascii="Times New Roman" w:hAnsi="Times New Roman" w:cs="Times New Roman"/>
        <w:i/>
        <w:iCs/>
      </w:rPr>
      <w:t>Edward W. Hill</w:t>
    </w:r>
    <w:r w:rsidRPr="008133A9">
      <w:rPr>
        <w:rFonts w:ascii="Times New Roman" w:hAnsi="Times New Roman" w:cs="Times New Roman"/>
        <w:i/>
        <w:iCs/>
      </w:rPr>
      <w:t>, Ph.D.</w:t>
    </w:r>
  </w:p>
  <w:p w:rsidR="00770491" w:rsidRPr="008133A9" w:rsidP="008133A9">
    <w:pPr>
      <w:pStyle w:val="Header"/>
      <w:tabs>
        <w:tab w:val="left" w:pos="6937"/>
      </w:tabs>
      <w:jc w:val="center"/>
      <w:rPr>
        <w:rFonts w:ascii="Times New Roman" w:hAnsi="Times New Roman" w:cs="Times New Roman"/>
        <w:i/>
        <w:iCs/>
      </w:rPr>
    </w:pPr>
    <w:r w:rsidRPr="008133A9">
      <w:rPr>
        <w:rFonts w:ascii="Times New Roman" w:hAnsi="Times New Roman" w:cs="Times New Roman"/>
        <w:i/>
        <w:iCs/>
      </w:rPr>
      <w:t>On Behalf of the Office of the Ohio Consumers’ Counsel</w:t>
    </w:r>
  </w:p>
  <w:p w:rsidR="00770491" w:rsidRPr="008133A9" w:rsidP="008133A9">
    <w:pPr>
      <w:pStyle w:val="Header"/>
      <w:tabs>
        <w:tab w:val="left" w:pos="6937"/>
      </w:tabs>
      <w:jc w:val="center"/>
      <w:rPr>
        <w:rFonts w:ascii="Times New Roman" w:hAnsi="Times New Roman" w:cs="Times New Roman"/>
        <w:i/>
        <w:iCs/>
      </w:rPr>
    </w:pPr>
    <w:r w:rsidRPr="008133A9">
      <w:rPr>
        <w:rFonts w:ascii="Times New Roman" w:hAnsi="Times New Roman" w:cs="Times New Roman"/>
        <w:i/>
        <w:iCs/>
      </w:rPr>
      <w:t>PUCO Case No. 18-1875-EL-GRD et al.</w:t>
    </w:r>
  </w:p>
  <w:p w:rsidR="00770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24C1" w:rsidRPr="008133A9" w:rsidP="008133A9">
    <w:pPr>
      <w:pStyle w:val="Header"/>
      <w:tabs>
        <w:tab w:val="left" w:pos="6937"/>
      </w:tabs>
      <w:jc w:val="center"/>
      <w:rPr>
        <w:rFonts w:ascii="Times New Roman" w:hAnsi="Times New Roman" w:cs="Times New Roman"/>
        <w:i/>
        <w:iCs/>
      </w:rPr>
    </w:pPr>
  </w:p>
  <w:p w:rsidR="002B2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540122"/>
    <w:multiLevelType w:val="hybridMultilevel"/>
    <w:tmpl w:val="6090F5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5E34936"/>
    <w:multiLevelType w:val="hybridMultilevel"/>
    <w:tmpl w:val="9FD40E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F827BB6"/>
    <w:multiLevelType w:val="hybridMultilevel"/>
    <w:tmpl w:val="95B48F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22BA3"/>
    <w:multiLevelType w:val="hybridMultilevel"/>
    <w:tmpl w:val="6E3C56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70D19CF"/>
    <w:multiLevelType w:val="hybridMultilevel"/>
    <w:tmpl w:val="90CA43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B5C03EC"/>
    <w:multiLevelType w:val="hybridMultilevel"/>
    <w:tmpl w:val="349E13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2820F6D"/>
    <w:multiLevelType w:val="hybridMultilevel"/>
    <w:tmpl w:val="02AE2A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0317E72"/>
    <w:multiLevelType w:val="hybridMultilevel"/>
    <w:tmpl w:val="483485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B0277D1"/>
    <w:multiLevelType w:val="hybridMultilevel"/>
    <w:tmpl w:val="06CE7D1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52D0F58"/>
    <w:multiLevelType w:val="hybridMultilevel"/>
    <w:tmpl w:val="991A0C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B4F57E3"/>
    <w:multiLevelType w:val="hybridMultilevel"/>
    <w:tmpl w:val="DDA48C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9"/>
  </w:num>
  <w:num w:numId="8">
    <w:abstractNumId w:val="10"/>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EC"/>
    <w:rsid w:val="00000103"/>
    <w:rsid w:val="000072BE"/>
    <w:rsid w:val="0000745E"/>
    <w:rsid w:val="00007B66"/>
    <w:rsid w:val="00010EE8"/>
    <w:rsid w:val="000124F6"/>
    <w:rsid w:val="000148AD"/>
    <w:rsid w:val="00021D00"/>
    <w:rsid w:val="00021F96"/>
    <w:rsid w:val="000405DC"/>
    <w:rsid w:val="0006181A"/>
    <w:rsid w:val="00065441"/>
    <w:rsid w:val="00074A15"/>
    <w:rsid w:val="0008098A"/>
    <w:rsid w:val="00082C0C"/>
    <w:rsid w:val="00084750"/>
    <w:rsid w:val="0008491C"/>
    <w:rsid w:val="00091C62"/>
    <w:rsid w:val="00092D3C"/>
    <w:rsid w:val="00095B81"/>
    <w:rsid w:val="0009708E"/>
    <w:rsid w:val="000A229D"/>
    <w:rsid w:val="000C1738"/>
    <w:rsid w:val="000D4245"/>
    <w:rsid w:val="000D5C7A"/>
    <w:rsid w:val="000E08BE"/>
    <w:rsid w:val="000E094A"/>
    <w:rsid w:val="000E1CCE"/>
    <w:rsid w:val="000E668D"/>
    <w:rsid w:val="000F0EEC"/>
    <w:rsid w:val="000F2E9E"/>
    <w:rsid w:val="00101559"/>
    <w:rsid w:val="00101E4E"/>
    <w:rsid w:val="00103955"/>
    <w:rsid w:val="00106EA1"/>
    <w:rsid w:val="00112934"/>
    <w:rsid w:val="0011400E"/>
    <w:rsid w:val="00116C22"/>
    <w:rsid w:val="00120305"/>
    <w:rsid w:val="00124779"/>
    <w:rsid w:val="00125B49"/>
    <w:rsid w:val="00131ACB"/>
    <w:rsid w:val="0013230F"/>
    <w:rsid w:val="00136D85"/>
    <w:rsid w:val="001378CF"/>
    <w:rsid w:val="001416CC"/>
    <w:rsid w:val="001426D3"/>
    <w:rsid w:val="00144202"/>
    <w:rsid w:val="001642E5"/>
    <w:rsid w:val="00167E09"/>
    <w:rsid w:val="0017043D"/>
    <w:rsid w:val="001709AC"/>
    <w:rsid w:val="00172F00"/>
    <w:rsid w:val="00173CAE"/>
    <w:rsid w:val="001763F8"/>
    <w:rsid w:val="0018241B"/>
    <w:rsid w:val="00185476"/>
    <w:rsid w:val="00185715"/>
    <w:rsid w:val="0018631A"/>
    <w:rsid w:val="001940C6"/>
    <w:rsid w:val="001A14E4"/>
    <w:rsid w:val="001A6ACB"/>
    <w:rsid w:val="001B06DC"/>
    <w:rsid w:val="001B458C"/>
    <w:rsid w:val="001B4979"/>
    <w:rsid w:val="001C06F1"/>
    <w:rsid w:val="001C1594"/>
    <w:rsid w:val="001C1EFE"/>
    <w:rsid w:val="001D6C54"/>
    <w:rsid w:val="001E2A81"/>
    <w:rsid w:val="001E4A5D"/>
    <w:rsid w:val="001F012C"/>
    <w:rsid w:val="001F595A"/>
    <w:rsid w:val="00212DC1"/>
    <w:rsid w:val="002153EB"/>
    <w:rsid w:val="0022092E"/>
    <w:rsid w:val="00224837"/>
    <w:rsid w:val="002273EC"/>
    <w:rsid w:val="00233065"/>
    <w:rsid w:val="002407C2"/>
    <w:rsid w:val="00253305"/>
    <w:rsid w:val="002615DA"/>
    <w:rsid w:val="00261A53"/>
    <w:rsid w:val="00270A33"/>
    <w:rsid w:val="002726DB"/>
    <w:rsid w:val="00276FC8"/>
    <w:rsid w:val="00293309"/>
    <w:rsid w:val="00295EEA"/>
    <w:rsid w:val="002A0976"/>
    <w:rsid w:val="002A6DE0"/>
    <w:rsid w:val="002B24C1"/>
    <w:rsid w:val="002B3566"/>
    <w:rsid w:val="002C1A76"/>
    <w:rsid w:val="002C5D14"/>
    <w:rsid w:val="002D236E"/>
    <w:rsid w:val="002D3150"/>
    <w:rsid w:val="002D7364"/>
    <w:rsid w:val="002E3D1E"/>
    <w:rsid w:val="002E6426"/>
    <w:rsid w:val="002F50D4"/>
    <w:rsid w:val="0030061C"/>
    <w:rsid w:val="00300A79"/>
    <w:rsid w:val="003058D5"/>
    <w:rsid w:val="00313180"/>
    <w:rsid w:val="00325C72"/>
    <w:rsid w:val="00331CF6"/>
    <w:rsid w:val="00331D5D"/>
    <w:rsid w:val="003359EF"/>
    <w:rsid w:val="003429CC"/>
    <w:rsid w:val="00344D27"/>
    <w:rsid w:val="00350A1D"/>
    <w:rsid w:val="00360BC8"/>
    <w:rsid w:val="00370459"/>
    <w:rsid w:val="00375503"/>
    <w:rsid w:val="003A0878"/>
    <w:rsid w:val="003A141B"/>
    <w:rsid w:val="003A1A98"/>
    <w:rsid w:val="003A2914"/>
    <w:rsid w:val="003B030F"/>
    <w:rsid w:val="003B3D2D"/>
    <w:rsid w:val="003C06E0"/>
    <w:rsid w:val="003C674D"/>
    <w:rsid w:val="003C6816"/>
    <w:rsid w:val="003E5396"/>
    <w:rsid w:val="003E6130"/>
    <w:rsid w:val="00400E42"/>
    <w:rsid w:val="0040398A"/>
    <w:rsid w:val="00422628"/>
    <w:rsid w:val="00425B3E"/>
    <w:rsid w:val="00431012"/>
    <w:rsid w:val="004370CE"/>
    <w:rsid w:val="00451FB1"/>
    <w:rsid w:val="00457BC6"/>
    <w:rsid w:val="00472F98"/>
    <w:rsid w:val="004758DF"/>
    <w:rsid w:val="004875FC"/>
    <w:rsid w:val="004952A0"/>
    <w:rsid w:val="004A6A49"/>
    <w:rsid w:val="004B089B"/>
    <w:rsid w:val="004B0CDD"/>
    <w:rsid w:val="004B4856"/>
    <w:rsid w:val="004B53C4"/>
    <w:rsid w:val="004B679F"/>
    <w:rsid w:val="004C252E"/>
    <w:rsid w:val="004C3892"/>
    <w:rsid w:val="004C6DC5"/>
    <w:rsid w:val="004D0D13"/>
    <w:rsid w:val="004E24A1"/>
    <w:rsid w:val="00500D2D"/>
    <w:rsid w:val="005014DE"/>
    <w:rsid w:val="0050765E"/>
    <w:rsid w:val="00517982"/>
    <w:rsid w:val="00523260"/>
    <w:rsid w:val="005325E2"/>
    <w:rsid w:val="00540000"/>
    <w:rsid w:val="005533A2"/>
    <w:rsid w:val="00554742"/>
    <w:rsid w:val="0057351A"/>
    <w:rsid w:val="00575163"/>
    <w:rsid w:val="00583BC2"/>
    <w:rsid w:val="005903DE"/>
    <w:rsid w:val="00593BF1"/>
    <w:rsid w:val="005C3B64"/>
    <w:rsid w:val="005D27CD"/>
    <w:rsid w:val="005E1483"/>
    <w:rsid w:val="005E53DA"/>
    <w:rsid w:val="005E68AE"/>
    <w:rsid w:val="005F2073"/>
    <w:rsid w:val="005F277B"/>
    <w:rsid w:val="005F72E6"/>
    <w:rsid w:val="006042BB"/>
    <w:rsid w:val="0060629D"/>
    <w:rsid w:val="0061341C"/>
    <w:rsid w:val="0061492D"/>
    <w:rsid w:val="006262D8"/>
    <w:rsid w:val="006324D9"/>
    <w:rsid w:val="00633DDE"/>
    <w:rsid w:val="0064325A"/>
    <w:rsid w:val="00644ED9"/>
    <w:rsid w:val="006454AB"/>
    <w:rsid w:val="00650812"/>
    <w:rsid w:val="00652A9F"/>
    <w:rsid w:val="00662ED9"/>
    <w:rsid w:val="00665C04"/>
    <w:rsid w:val="00666D14"/>
    <w:rsid w:val="0067554D"/>
    <w:rsid w:val="006850FA"/>
    <w:rsid w:val="006976FA"/>
    <w:rsid w:val="006A5C8E"/>
    <w:rsid w:val="006D248D"/>
    <w:rsid w:val="006D51AD"/>
    <w:rsid w:val="006E5386"/>
    <w:rsid w:val="006F285E"/>
    <w:rsid w:val="006F2C8B"/>
    <w:rsid w:val="006F57F3"/>
    <w:rsid w:val="00707ABD"/>
    <w:rsid w:val="007161C7"/>
    <w:rsid w:val="00717868"/>
    <w:rsid w:val="00721035"/>
    <w:rsid w:val="00723FDA"/>
    <w:rsid w:val="007249CF"/>
    <w:rsid w:val="00727F2F"/>
    <w:rsid w:val="00731B27"/>
    <w:rsid w:val="007321B6"/>
    <w:rsid w:val="00735D79"/>
    <w:rsid w:val="0074219F"/>
    <w:rsid w:val="00743598"/>
    <w:rsid w:val="0074495E"/>
    <w:rsid w:val="00744F49"/>
    <w:rsid w:val="0074731C"/>
    <w:rsid w:val="00757BD0"/>
    <w:rsid w:val="0076488E"/>
    <w:rsid w:val="00767313"/>
    <w:rsid w:val="00770491"/>
    <w:rsid w:val="0077614E"/>
    <w:rsid w:val="007815F9"/>
    <w:rsid w:val="0078426D"/>
    <w:rsid w:val="00784B94"/>
    <w:rsid w:val="00784CD9"/>
    <w:rsid w:val="00787AA5"/>
    <w:rsid w:val="00790709"/>
    <w:rsid w:val="00794666"/>
    <w:rsid w:val="0079574B"/>
    <w:rsid w:val="007957F7"/>
    <w:rsid w:val="00796D8A"/>
    <w:rsid w:val="007A26B6"/>
    <w:rsid w:val="007B61DE"/>
    <w:rsid w:val="007B7147"/>
    <w:rsid w:val="007C1BB9"/>
    <w:rsid w:val="007C428D"/>
    <w:rsid w:val="007C794D"/>
    <w:rsid w:val="007D06E5"/>
    <w:rsid w:val="007D4E86"/>
    <w:rsid w:val="007E0B7C"/>
    <w:rsid w:val="007E5604"/>
    <w:rsid w:val="007F13B4"/>
    <w:rsid w:val="00806702"/>
    <w:rsid w:val="00807B00"/>
    <w:rsid w:val="00811468"/>
    <w:rsid w:val="008133A9"/>
    <w:rsid w:val="00813D8F"/>
    <w:rsid w:val="008258EC"/>
    <w:rsid w:val="00856035"/>
    <w:rsid w:val="00857FE6"/>
    <w:rsid w:val="00860E81"/>
    <w:rsid w:val="00864FB9"/>
    <w:rsid w:val="00866541"/>
    <w:rsid w:val="008748F7"/>
    <w:rsid w:val="0087628B"/>
    <w:rsid w:val="0088359B"/>
    <w:rsid w:val="00884986"/>
    <w:rsid w:val="00884A41"/>
    <w:rsid w:val="00892DDA"/>
    <w:rsid w:val="00895845"/>
    <w:rsid w:val="008A2D8D"/>
    <w:rsid w:val="008A43C4"/>
    <w:rsid w:val="008B505C"/>
    <w:rsid w:val="008C57A3"/>
    <w:rsid w:val="008D6896"/>
    <w:rsid w:val="008E12CD"/>
    <w:rsid w:val="008E472D"/>
    <w:rsid w:val="008F384E"/>
    <w:rsid w:val="0090654B"/>
    <w:rsid w:val="009079FA"/>
    <w:rsid w:val="00912EE5"/>
    <w:rsid w:val="00916CAA"/>
    <w:rsid w:val="00917A2A"/>
    <w:rsid w:val="00920590"/>
    <w:rsid w:val="009331A3"/>
    <w:rsid w:val="0094773F"/>
    <w:rsid w:val="00962D27"/>
    <w:rsid w:val="009663B9"/>
    <w:rsid w:val="0097188B"/>
    <w:rsid w:val="00973783"/>
    <w:rsid w:val="0097451E"/>
    <w:rsid w:val="00987CB5"/>
    <w:rsid w:val="009977A4"/>
    <w:rsid w:val="009A1D77"/>
    <w:rsid w:val="009A4993"/>
    <w:rsid w:val="009A6653"/>
    <w:rsid w:val="009A73BB"/>
    <w:rsid w:val="009B576E"/>
    <w:rsid w:val="009C08C7"/>
    <w:rsid w:val="009C41AC"/>
    <w:rsid w:val="009F0351"/>
    <w:rsid w:val="009F0EFC"/>
    <w:rsid w:val="009F24E5"/>
    <w:rsid w:val="00A14B34"/>
    <w:rsid w:val="00A21D17"/>
    <w:rsid w:val="00A257BA"/>
    <w:rsid w:val="00A25E8D"/>
    <w:rsid w:val="00A26388"/>
    <w:rsid w:val="00A273BE"/>
    <w:rsid w:val="00A36D8C"/>
    <w:rsid w:val="00A4188D"/>
    <w:rsid w:val="00A422FE"/>
    <w:rsid w:val="00A43541"/>
    <w:rsid w:val="00A438DD"/>
    <w:rsid w:val="00A5310A"/>
    <w:rsid w:val="00A5345E"/>
    <w:rsid w:val="00A561A5"/>
    <w:rsid w:val="00A56FAB"/>
    <w:rsid w:val="00A72C2D"/>
    <w:rsid w:val="00A762EA"/>
    <w:rsid w:val="00A825B0"/>
    <w:rsid w:val="00A86805"/>
    <w:rsid w:val="00A921EF"/>
    <w:rsid w:val="00A964B6"/>
    <w:rsid w:val="00AA01B2"/>
    <w:rsid w:val="00AA2CEA"/>
    <w:rsid w:val="00AA3430"/>
    <w:rsid w:val="00AC1738"/>
    <w:rsid w:val="00AD2FEB"/>
    <w:rsid w:val="00AE4CE5"/>
    <w:rsid w:val="00AF4124"/>
    <w:rsid w:val="00AF5CFE"/>
    <w:rsid w:val="00B026AB"/>
    <w:rsid w:val="00B060CF"/>
    <w:rsid w:val="00B10C13"/>
    <w:rsid w:val="00B10C1D"/>
    <w:rsid w:val="00B12579"/>
    <w:rsid w:val="00B21632"/>
    <w:rsid w:val="00B27F25"/>
    <w:rsid w:val="00B34095"/>
    <w:rsid w:val="00B41660"/>
    <w:rsid w:val="00B43B3F"/>
    <w:rsid w:val="00B4590A"/>
    <w:rsid w:val="00B509E0"/>
    <w:rsid w:val="00B553B5"/>
    <w:rsid w:val="00B625CB"/>
    <w:rsid w:val="00B62DFB"/>
    <w:rsid w:val="00B652A8"/>
    <w:rsid w:val="00B80440"/>
    <w:rsid w:val="00B92BFF"/>
    <w:rsid w:val="00BA7359"/>
    <w:rsid w:val="00BB247E"/>
    <w:rsid w:val="00BB680D"/>
    <w:rsid w:val="00BC7066"/>
    <w:rsid w:val="00BF5884"/>
    <w:rsid w:val="00C001C5"/>
    <w:rsid w:val="00C07A55"/>
    <w:rsid w:val="00C12702"/>
    <w:rsid w:val="00C3406B"/>
    <w:rsid w:val="00C36468"/>
    <w:rsid w:val="00C52D61"/>
    <w:rsid w:val="00C56F2C"/>
    <w:rsid w:val="00C673AC"/>
    <w:rsid w:val="00C7214C"/>
    <w:rsid w:val="00C92CB9"/>
    <w:rsid w:val="00CA09E6"/>
    <w:rsid w:val="00CA366A"/>
    <w:rsid w:val="00CA7812"/>
    <w:rsid w:val="00CB3D09"/>
    <w:rsid w:val="00CB4D3C"/>
    <w:rsid w:val="00CB5093"/>
    <w:rsid w:val="00CC01CF"/>
    <w:rsid w:val="00CC09D7"/>
    <w:rsid w:val="00CC4CF6"/>
    <w:rsid w:val="00CD33C8"/>
    <w:rsid w:val="00CD6BBF"/>
    <w:rsid w:val="00CD78D9"/>
    <w:rsid w:val="00CE3CF7"/>
    <w:rsid w:val="00CF58B3"/>
    <w:rsid w:val="00D0246D"/>
    <w:rsid w:val="00D03F82"/>
    <w:rsid w:val="00D1278C"/>
    <w:rsid w:val="00D13929"/>
    <w:rsid w:val="00D14073"/>
    <w:rsid w:val="00D16EE1"/>
    <w:rsid w:val="00D2517B"/>
    <w:rsid w:val="00D304F1"/>
    <w:rsid w:val="00D44B4E"/>
    <w:rsid w:val="00D477E6"/>
    <w:rsid w:val="00D5413B"/>
    <w:rsid w:val="00D5776A"/>
    <w:rsid w:val="00D577DC"/>
    <w:rsid w:val="00D60CA7"/>
    <w:rsid w:val="00D664DA"/>
    <w:rsid w:val="00D67E55"/>
    <w:rsid w:val="00D83071"/>
    <w:rsid w:val="00DA3108"/>
    <w:rsid w:val="00DC49AD"/>
    <w:rsid w:val="00DC4D27"/>
    <w:rsid w:val="00DD095C"/>
    <w:rsid w:val="00DD538B"/>
    <w:rsid w:val="00DD74EF"/>
    <w:rsid w:val="00DE08A8"/>
    <w:rsid w:val="00DE1FBD"/>
    <w:rsid w:val="00E025CD"/>
    <w:rsid w:val="00E02B72"/>
    <w:rsid w:val="00E05418"/>
    <w:rsid w:val="00E05EAD"/>
    <w:rsid w:val="00E06C66"/>
    <w:rsid w:val="00E24485"/>
    <w:rsid w:val="00E2626E"/>
    <w:rsid w:val="00E45ACC"/>
    <w:rsid w:val="00E46D3B"/>
    <w:rsid w:val="00E54496"/>
    <w:rsid w:val="00E75B17"/>
    <w:rsid w:val="00E76C47"/>
    <w:rsid w:val="00E84B89"/>
    <w:rsid w:val="00E86105"/>
    <w:rsid w:val="00E9497E"/>
    <w:rsid w:val="00E9666E"/>
    <w:rsid w:val="00EB063B"/>
    <w:rsid w:val="00EC1C45"/>
    <w:rsid w:val="00EC7AE9"/>
    <w:rsid w:val="00EE2153"/>
    <w:rsid w:val="00EE718C"/>
    <w:rsid w:val="00EF1C2E"/>
    <w:rsid w:val="00EF2329"/>
    <w:rsid w:val="00F02542"/>
    <w:rsid w:val="00F05417"/>
    <w:rsid w:val="00F05AD0"/>
    <w:rsid w:val="00F107AF"/>
    <w:rsid w:val="00F132BD"/>
    <w:rsid w:val="00F31981"/>
    <w:rsid w:val="00F32B97"/>
    <w:rsid w:val="00F350B5"/>
    <w:rsid w:val="00F41B3C"/>
    <w:rsid w:val="00F43A4F"/>
    <w:rsid w:val="00F4651B"/>
    <w:rsid w:val="00F51357"/>
    <w:rsid w:val="00F55B93"/>
    <w:rsid w:val="00F618E5"/>
    <w:rsid w:val="00F72532"/>
    <w:rsid w:val="00F73B7D"/>
    <w:rsid w:val="00F82563"/>
    <w:rsid w:val="00F968DE"/>
    <w:rsid w:val="00FA094E"/>
    <w:rsid w:val="00FA1425"/>
    <w:rsid w:val="00FA370D"/>
    <w:rsid w:val="00FA55BD"/>
    <w:rsid w:val="00FB42CD"/>
    <w:rsid w:val="00FB6A60"/>
    <w:rsid w:val="00FD2CB0"/>
    <w:rsid w:val="00FF5D41"/>
    <w:rsid w:val="00FF6D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29D"/>
  </w:style>
  <w:style w:type="paragraph" w:styleId="Heading1">
    <w:name w:val="heading 1"/>
    <w:basedOn w:val="Normal"/>
    <w:next w:val="Normal"/>
    <w:link w:val="Heading1Char"/>
    <w:uiPriority w:val="9"/>
    <w:qFormat/>
    <w:rsid w:val="00C001C5"/>
    <w:pPr>
      <w:keepNext/>
      <w:keepLines/>
      <w:spacing w:after="240"/>
      <w:ind w:left="720" w:hanging="720"/>
      <w:outlineLvl w:val="0"/>
    </w:pPr>
    <w:rPr>
      <w:rFonts w:ascii="Times New Roman Bold" w:hAnsi="Times New Roman Bold"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325A"/>
    <w:rPr>
      <w:sz w:val="20"/>
      <w:szCs w:val="20"/>
    </w:rPr>
  </w:style>
  <w:style w:type="character" w:customStyle="1" w:styleId="FootnoteTextChar">
    <w:name w:val="Footnote Text Char"/>
    <w:basedOn w:val="DefaultParagraphFont"/>
    <w:link w:val="FootnoteText"/>
    <w:uiPriority w:val="99"/>
    <w:semiHidden/>
    <w:rsid w:val="0064325A"/>
    <w:rPr>
      <w:sz w:val="20"/>
      <w:szCs w:val="20"/>
    </w:rPr>
  </w:style>
  <w:style w:type="character" w:styleId="FootnoteReference">
    <w:name w:val="footnote reference"/>
    <w:basedOn w:val="DefaultParagraphFont"/>
    <w:uiPriority w:val="99"/>
    <w:unhideWhenUsed/>
    <w:rsid w:val="0064325A"/>
    <w:rPr>
      <w:vertAlign w:val="superscript"/>
    </w:rPr>
  </w:style>
  <w:style w:type="character" w:styleId="Hyperlink">
    <w:name w:val="Hyperlink"/>
    <w:basedOn w:val="DefaultParagraphFont"/>
    <w:uiPriority w:val="99"/>
    <w:unhideWhenUsed/>
    <w:rsid w:val="0064325A"/>
    <w:rPr>
      <w:color w:val="0563C1" w:themeColor="hyperlink"/>
      <w:u w:val="single"/>
    </w:rPr>
  </w:style>
  <w:style w:type="paragraph" w:styleId="BalloonText">
    <w:name w:val="Balloon Text"/>
    <w:basedOn w:val="Normal"/>
    <w:link w:val="BalloonTextChar"/>
    <w:uiPriority w:val="99"/>
    <w:semiHidden/>
    <w:unhideWhenUsed/>
    <w:rsid w:val="00593B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BF1"/>
    <w:rPr>
      <w:rFonts w:ascii="Times New Roman" w:hAnsi="Times New Roman" w:cs="Times New Roman"/>
      <w:sz w:val="18"/>
      <w:szCs w:val="18"/>
    </w:rPr>
  </w:style>
  <w:style w:type="paragraph" w:styleId="ListParagraph">
    <w:name w:val="List Paragraph"/>
    <w:basedOn w:val="Normal"/>
    <w:uiPriority w:val="34"/>
    <w:qFormat/>
    <w:rsid w:val="0077614E"/>
    <w:pPr>
      <w:ind w:left="720"/>
      <w:contextualSpacing/>
    </w:pPr>
  </w:style>
  <w:style w:type="paragraph" w:styleId="Footer">
    <w:name w:val="footer"/>
    <w:basedOn w:val="Normal"/>
    <w:link w:val="FooterChar"/>
    <w:uiPriority w:val="99"/>
    <w:unhideWhenUsed/>
    <w:rsid w:val="00425B3E"/>
    <w:pPr>
      <w:tabs>
        <w:tab w:val="center" w:pos="4680"/>
        <w:tab w:val="right" w:pos="9360"/>
      </w:tabs>
    </w:pPr>
  </w:style>
  <w:style w:type="character" w:customStyle="1" w:styleId="FooterChar">
    <w:name w:val="Footer Char"/>
    <w:basedOn w:val="DefaultParagraphFont"/>
    <w:link w:val="Footer"/>
    <w:uiPriority w:val="99"/>
    <w:rsid w:val="00425B3E"/>
  </w:style>
  <w:style w:type="character" w:styleId="PageNumber">
    <w:name w:val="page number"/>
    <w:basedOn w:val="DefaultParagraphFont"/>
    <w:uiPriority w:val="99"/>
    <w:semiHidden/>
    <w:unhideWhenUsed/>
    <w:rsid w:val="00425B3E"/>
  </w:style>
  <w:style w:type="character" w:customStyle="1" w:styleId="UnresolvedMention1">
    <w:name w:val="Unresolved Mention1"/>
    <w:basedOn w:val="DefaultParagraphFont"/>
    <w:uiPriority w:val="99"/>
    <w:semiHidden/>
    <w:unhideWhenUsed/>
    <w:rsid w:val="00295EEA"/>
    <w:rPr>
      <w:color w:val="605E5C"/>
      <w:shd w:val="clear" w:color="auto" w:fill="E1DFDD"/>
    </w:rPr>
  </w:style>
  <w:style w:type="character" w:styleId="CommentReference">
    <w:name w:val="annotation reference"/>
    <w:basedOn w:val="DefaultParagraphFont"/>
    <w:uiPriority w:val="99"/>
    <w:semiHidden/>
    <w:unhideWhenUsed/>
    <w:rsid w:val="00AD2FEB"/>
    <w:rPr>
      <w:sz w:val="16"/>
      <w:szCs w:val="16"/>
    </w:rPr>
  </w:style>
  <w:style w:type="paragraph" w:styleId="CommentText">
    <w:name w:val="annotation text"/>
    <w:basedOn w:val="Normal"/>
    <w:link w:val="CommentTextChar"/>
    <w:unhideWhenUsed/>
    <w:rsid w:val="00AD2FEB"/>
    <w:rPr>
      <w:sz w:val="20"/>
      <w:szCs w:val="20"/>
    </w:rPr>
  </w:style>
  <w:style w:type="character" w:customStyle="1" w:styleId="CommentTextChar">
    <w:name w:val="Comment Text Char"/>
    <w:basedOn w:val="DefaultParagraphFont"/>
    <w:link w:val="CommentText"/>
    <w:rsid w:val="00AD2FEB"/>
    <w:rPr>
      <w:sz w:val="20"/>
      <w:szCs w:val="20"/>
    </w:rPr>
  </w:style>
  <w:style w:type="paragraph" w:styleId="CommentSubject">
    <w:name w:val="annotation subject"/>
    <w:basedOn w:val="CommentText"/>
    <w:next w:val="CommentText"/>
    <w:link w:val="CommentSubjectChar"/>
    <w:uiPriority w:val="99"/>
    <w:semiHidden/>
    <w:unhideWhenUsed/>
    <w:rsid w:val="00AD2FEB"/>
    <w:rPr>
      <w:b/>
      <w:bCs/>
    </w:rPr>
  </w:style>
  <w:style w:type="character" w:customStyle="1" w:styleId="CommentSubjectChar">
    <w:name w:val="Comment Subject Char"/>
    <w:basedOn w:val="CommentTextChar"/>
    <w:link w:val="CommentSubject"/>
    <w:uiPriority w:val="99"/>
    <w:semiHidden/>
    <w:rsid w:val="00AD2FEB"/>
    <w:rPr>
      <w:b/>
      <w:bCs/>
      <w:sz w:val="20"/>
      <w:szCs w:val="20"/>
    </w:rPr>
  </w:style>
  <w:style w:type="paragraph" w:styleId="Revision">
    <w:name w:val="Revision"/>
    <w:hidden/>
    <w:uiPriority w:val="99"/>
    <w:semiHidden/>
    <w:rsid w:val="00350A1D"/>
  </w:style>
  <w:style w:type="paragraph" w:styleId="BodyText">
    <w:name w:val="Body Text"/>
    <w:basedOn w:val="Normal"/>
    <w:link w:val="BodyTextChar"/>
    <w:uiPriority w:val="99"/>
    <w:semiHidden/>
    <w:rsid w:val="006A5C8E"/>
    <w:pPr>
      <w:spacing w:line="480" w:lineRule="auto"/>
      <w:ind w:left="720"/>
    </w:pPr>
    <w:rPr>
      <w:rFonts w:ascii="Times New Roman" w:eastAsia="PMingLiU" w:hAnsi="Times New Roman" w:cs="Times New Roman"/>
      <w:iCs/>
    </w:rPr>
  </w:style>
  <w:style w:type="character" w:customStyle="1" w:styleId="BodyTextChar">
    <w:name w:val="Body Text Char"/>
    <w:basedOn w:val="DefaultParagraphFont"/>
    <w:link w:val="BodyText"/>
    <w:uiPriority w:val="99"/>
    <w:semiHidden/>
    <w:rsid w:val="006A5C8E"/>
    <w:rPr>
      <w:rFonts w:ascii="Times New Roman" w:eastAsia="PMingLiU" w:hAnsi="Times New Roman" w:cs="Times New Roman"/>
      <w:iCs/>
    </w:rPr>
  </w:style>
  <w:style w:type="paragraph" w:styleId="HTMLPreformatted">
    <w:name w:val="HTML Preformatted"/>
    <w:aliases w:val=" Char,Char"/>
    <w:basedOn w:val="Normal"/>
    <w:link w:val="HTMLPreformattedChar"/>
    <w:rsid w:val="006A5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Times New Roman"/>
      <w:sz w:val="20"/>
      <w:szCs w:val="20"/>
    </w:rPr>
  </w:style>
  <w:style w:type="character" w:customStyle="1" w:styleId="HTMLPreformattedChar">
    <w:name w:val="HTML Preformatted Char"/>
    <w:aliases w:val=" Char Char,Char Char"/>
    <w:basedOn w:val="DefaultParagraphFont"/>
    <w:link w:val="HTMLPreformatted"/>
    <w:rsid w:val="006A5C8E"/>
    <w:rPr>
      <w:rFonts w:ascii="Courier New" w:eastAsia="PMingLiU" w:hAnsi="Courier New" w:cs="Times New Roman"/>
      <w:sz w:val="20"/>
      <w:szCs w:val="20"/>
    </w:rPr>
  </w:style>
  <w:style w:type="paragraph" w:styleId="Header">
    <w:name w:val="header"/>
    <w:basedOn w:val="Normal"/>
    <w:link w:val="HeaderChar"/>
    <w:unhideWhenUsed/>
    <w:rsid w:val="006A5C8E"/>
    <w:pPr>
      <w:tabs>
        <w:tab w:val="center" w:pos="4680"/>
        <w:tab w:val="right" w:pos="9360"/>
      </w:tabs>
    </w:pPr>
  </w:style>
  <w:style w:type="character" w:customStyle="1" w:styleId="HeaderChar">
    <w:name w:val="Header Char"/>
    <w:basedOn w:val="DefaultParagraphFont"/>
    <w:link w:val="Header"/>
    <w:rsid w:val="006A5C8E"/>
  </w:style>
  <w:style w:type="character" w:styleId="LineNumber">
    <w:name w:val="line number"/>
    <w:basedOn w:val="DefaultParagraphFont"/>
    <w:uiPriority w:val="99"/>
    <w:semiHidden/>
    <w:unhideWhenUsed/>
    <w:rsid w:val="008133A9"/>
  </w:style>
  <w:style w:type="character" w:customStyle="1" w:styleId="Heading1Char">
    <w:name w:val="Heading 1 Char"/>
    <w:basedOn w:val="DefaultParagraphFont"/>
    <w:link w:val="Heading1"/>
    <w:uiPriority w:val="9"/>
    <w:rsid w:val="00C001C5"/>
    <w:rPr>
      <w:rFonts w:ascii="Times New Roman Bold" w:hAnsi="Times New Roman Bold" w:eastAsiaTheme="majorEastAsia" w:cstheme="majorBidi"/>
      <w:b/>
      <w:szCs w:val="32"/>
    </w:rPr>
  </w:style>
  <w:style w:type="paragraph" w:styleId="EndnoteText">
    <w:name w:val="endnote text"/>
    <w:basedOn w:val="Normal"/>
    <w:link w:val="EndnoteTextChar"/>
    <w:rsid w:val="005E53DA"/>
    <w:pPr>
      <w:widowControl w:val="0"/>
      <w:snapToGrid w:val="0"/>
    </w:pPr>
    <w:rPr>
      <w:rFonts w:ascii="Courier New" w:eastAsia="PMingLiU" w:hAnsi="Courier New" w:cs="Times New Roman"/>
    </w:rPr>
  </w:style>
  <w:style w:type="character" w:customStyle="1" w:styleId="EndnoteTextChar">
    <w:name w:val="Endnote Text Char"/>
    <w:basedOn w:val="DefaultParagraphFont"/>
    <w:link w:val="EndnoteText"/>
    <w:rsid w:val="005E53DA"/>
    <w:rPr>
      <w:rFonts w:ascii="Courier New" w:eastAsia="PMingLiU" w:hAnsi="Courier New" w:cs="Times New Roman"/>
    </w:rPr>
  </w:style>
  <w:style w:type="paragraph" w:styleId="TOC1">
    <w:name w:val="toc 1"/>
    <w:basedOn w:val="Normal"/>
    <w:next w:val="Normal"/>
    <w:autoRedefine/>
    <w:uiPriority w:val="39"/>
    <w:unhideWhenUsed/>
    <w:rsid w:val="00806702"/>
    <w:pPr>
      <w:tabs>
        <w:tab w:val="decimal" w:leader="dot" w:pos="9360"/>
      </w:tabs>
      <w:spacing w:after="240"/>
      <w:ind w:left="720" w:hanging="720"/>
    </w:pPr>
    <w:rPr>
      <w:rFonts w:ascii="Times New Roman" w:hAnsi="Times New Roman"/>
    </w:rPr>
  </w:style>
  <w:style w:type="character" w:styleId="FollowedHyperlink">
    <w:name w:val="FollowedHyperlink"/>
    <w:basedOn w:val="DefaultParagraphFont"/>
    <w:uiPriority w:val="99"/>
    <w:semiHidden/>
    <w:unhideWhenUsed/>
    <w:rsid w:val="00B34095"/>
    <w:rPr>
      <w:color w:val="954F72" w:themeColor="followedHyperlink"/>
      <w:u w:val="single"/>
    </w:rPr>
  </w:style>
  <w:style w:type="character" w:customStyle="1" w:styleId="UnresolvedMention2">
    <w:name w:val="Unresolved Mention2"/>
    <w:basedOn w:val="DefaultParagraphFont"/>
    <w:uiPriority w:val="99"/>
    <w:semiHidden/>
    <w:unhideWhenUsed/>
    <w:rsid w:val="00B10C13"/>
    <w:rPr>
      <w:color w:val="605E5C"/>
      <w:shd w:val="clear" w:color="auto" w:fill="E1DFDD"/>
    </w:rPr>
  </w:style>
  <w:style w:type="character" w:customStyle="1" w:styleId="UnresolvedMention">
    <w:name w:val="Unresolved Mention"/>
    <w:basedOn w:val="DefaultParagraphFont"/>
    <w:uiPriority w:val="99"/>
    <w:semiHidden/>
    <w:unhideWhenUsed/>
    <w:rsid w:val="002B2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yperlink" Target="mailto:mfleisher@dickinsonwright.com" TargetMode="External" /><Relationship Id="rId12" Type="http://schemas.openxmlformats.org/officeDocument/2006/relationships/hyperlink" Target="mailto:Michael.williams@puco.ohio.gov" TargetMode="Externa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economist.com/obituary/1998/03/05/mancur-olson" TargetMode="External" /><Relationship Id="rId2" Type="http://schemas.openxmlformats.org/officeDocument/2006/relationships/hyperlink" Target="https://www.sec.gov/ix?doc=/Archives/edgar/data/27430/000078725020000061/dpl-2020093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F5E19-75E8-4523-8040-03EB7306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6114</Words>
  <Characters>34851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2020-12-17T21:49:02Z</dcterms:created>
  <dcterms:modified xsi:type="dcterms:W3CDTF">2020-12-17T21:49:02Z</dcterms:modified>
</cp:coreProperties>
</file>