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78C76" w14:textId="77777777" w:rsidR="004C64C7" w:rsidRPr="006F297B" w:rsidRDefault="004C64C7" w:rsidP="006F297B">
      <w:pPr>
        <w:jc w:val="center"/>
        <w:rPr>
          <w:rFonts w:eastAsia="SimSun"/>
          <w:b/>
          <w:szCs w:val="20"/>
          <w:lang w:eastAsia="zh-CN"/>
        </w:rPr>
      </w:pPr>
      <w:bookmarkStart w:id="0" w:name="_GoBack"/>
      <w:bookmarkEnd w:id="0"/>
      <w:r w:rsidRPr="006F297B">
        <w:rPr>
          <w:rFonts w:eastAsia="SimSun"/>
          <w:b/>
          <w:szCs w:val="20"/>
          <w:lang w:eastAsia="zh-CN"/>
        </w:rPr>
        <w:t>BEFORE</w:t>
      </w:r>
    </w:p>
    <w:p w14:paraId="6E548D2A" w14:textId="77777777" w:rsidR="004C64C7" w:rsidRDefault="004C64C7" w:rsidP="006F297B">
      <w:pPr>
        <w:jc w:val="center"/>
        <w:rPr>
          <w:rFonts w:eastAsia="SimSun"/>
          <w:b/>
          <w:szCs w:val="20"/>
          <w:lang w:eastAsia="zh-CN"/>
        </w:rPr>
      </w:pPr>
      <w:r w:rsidRPr="006F297B">
        <w:rPr>
          <w:rFonts w:eastAsia="SimSun"/>
          <w:b/>
          <w:szCs w:val="20"/>
          <w:lang w:eastAsia="zh-CN"/>
        </w:rPr>
        <w:t>THE PUBLIC UTILITIES COMMISSION OF OHIO</w:t>
      </w:r>
    </w:p>
    <w:p w14:paraId="3CB87FAA" w14:textId="77777777" w:rsidR="004C64C7" w:rsidRDefault="004C64C7" w:rsidP="00DA7024">
      <w:pPr>
        <w:rPr>
          <w:rFonts w:eastAsia="SimSun"/>
          <w:b/>
          <w:szCs w:val="20"/>
          <w:lang w:eastAsia="zh-CN"/>
        </w:rPr>
      </w:pPr>
    </w:p>
    <w:tbl>
      <w:tblPr>
        <w:tblW w:w="9468" w:type="dxa"/>
        <w:tblLook w:val="00A0" w:firstRow="1" w:lastRow="0" w:firstColumn="1" w:lastColumn="0" w:noHBand="0" w:noVBand="0"/>
      </w:tblPr>
      <w:tblGrid>
        <w:gridCol w:w="4338"/>
        <w:gridCol w:w="450"/>
        <w:gridCol w:w="4680"/>
      </w:tblGrid>
      <w:tr w:rsidR="004C64C7" w:rsidRPr="004D574D" w14:paraId="6C5C3916" w14:textId="77777777" w:rsidTr="00E16D55">
        <w:tc>
          <w:tcPr>
            <w:tcW w:w="4338" w:type="dxa"/>
          </w:tcPr>
          <w:p w14:paraId="0D067CE5" w14:textId="77777777" w:rsidR="004C64C7" w:rsidRDefault="004C64C7" w:rsidP="00E16D55">
            <w:pPr>
              <w:pStyle w:val="CaptionText"/>
              <w:rPr>
                <w:b w:val="0"/>
              </w:rPr>
            </w:pPr>
            <w:r w:rsidRPr="00E64138">
              <w:rPr>
                <w:b w:val="0"/>
              </w:rPr>
              <w:t xml:space="preserve">In the Matter of the </w:t>
            </w:r>
            <w:r>
              <w:rPr>
                <w:b w:val="0"/>
              </w:rPr>
              <w:t>Complaint of Material Sciences Corporation,</w:t>
            </w:r>
          </w:p>
          <w:p w14:paraId="4CF21264" w14:textId="77777777" w:rsidR="004C64C7" w:rsidRDefault="004C64C7" w:rsidP="00E16D55">
            <w:pPr>
              <w:pStyle w:val="CaptionText"/>
              <w:rPr>
                <w:b w:val="0"/>
              </w:rPr>
            </w:pPr>
          </w:p>
          <w:p w14:paraId="7DB85ED1" w14:textId="77777777" w:rsidR="004C64C7" w:rsidRDefault="004C64C7" w:rsidP="00E16D55">
            <w:pPr>
              <w:pStyle w:val="CaptionText"/>
              <w:rPr>
                <w:b w:val="0"/>
              </w:rPr>
            </w:pPr>
            <w:r>
              <w:rPr>
                <w:b w:val="0"/>
              </w:rPr>
              <w:t xml:space="preserve">              Complainant,</w:t>
            </w:r>
          </w:p>
          <w:p w14:paraId="251A659F" w14:textId="77777777" w:rsidR="004C64C7" w:rsidRDefault="004C64C7" w:rsidP="00E16D55">
            <w:pPr>
              <w:pStyle w:val="CaptionText"/>
              <w:rPr>
                <w:b w:val="0"/>
              </w:rPr>
            </w:pPr>
          </w:p>
          <w:p w14:paraId="00B95B9C" w14:textId="77777777" w:rsidR="004C64C7" w:rsidRDefault="004C64C7" w:rsidP="00E16D55">
            <w:pPr>
              <w:pStyle w:val="CaptionText"/>
              <w:rPr>
                <w:b w:val="0"/>
              </w:rPr>
            </w:pPr>
            <w:r>
              <w:rPr>
                <w:b w:val="0"/>
              </w:rPr>
              <w:t>v.</w:t>
            </w:r>
          </w:p>
          <w:p w14:paraId="61FC10CA" w14:textId="77777777" w:rsidR="004C64C7" w:rsidRDefault="004C64C7" w:rsidP="00E16D55">
            <w:pPr>
              <w:pStyle w:val="CaptionText"/>
              <w:rPr>
                <w:b w:val="0"/>
              </w:rPr>
            </w:pPr>
          </w:p>
          <w:p w14:paraId="1E1CFA2A" w14:textId="77777777" w:rsidR="004C64C7" w:rsidRDefault="004C64C7" w:rsidP="00E16D55">
            <w:pPr>
              <w:pStyle w:val="CaptionText"/>
              <w:rPr>
                <w:b w:val="0"/>
              </w:rPr>
            </w:pPr>
            <w:r>
              <w:rPr>
                <w:b w:val="0"/>
              </w:rPr>
              <w:t>The Toledo Edison Company,</w:t>
            </w:r>
          </w:p>
          <w:p w14:paraId="58B5E7F6" w14:textId="77777777" w:rsidR="004C64C7" w:rsidRDefault="004C64C7" w:rsidP="00E16D55">
            <w:pPr>
              <w:pStyle w:val="CaptionText"/>
              <w:rPr>
                <w:b w:val="0"/>
              </w:rPr>
            </w:pPr>
          </w:p>
          <w:p w14:paraId="5590A5E0" w14:textId="77777777" w:rsidR="004C64C7" w:rsidRDefault="004C64C7" w:rsidP="00E16D55">
            <w:pPr>
              <w:pStyle w:val="CaptionText"/>
              <w:rPr>
                <w:b w:val="0"/>
              </w:rPr>
            </w:pPr>
            <w:r>
              <w:rPr>
                <w:b w:val="0"/>
              </w:rPr>
              <w:t xml:space="preserve">             Respondent.</w:t>
            </w:r>
          </w:p>
          <w:p w14:paraId="29387697" w14:textId="77777777" w:rsidR="004C64C7" w:rsidRPr="00E64138" w:rsidRDefault="004C64C7" w:rsidP="00E16D55">
            <w:pPr>
              <w:pStyle w:val="CaptionText"/>
              <w:rPr>
                <w:b w:val="0"/>
              </w:rPr>
            </w:pPr>
          </w:p>
        </w:tc>
        <w:tc>
          <w:tcPr>
            <w:tcW w:w="450" w:type="dxa"/>
          </w:tcPr>
          <w:p w14:paraId="762A4E20" w14:textId="77777777" w:rsidR="004C64C7" w:rsidRPr="00E64138" w:rsidRDefault="004C64C7" w:rsidP="00E16D55">
            <w:pPr>
              <w:pStyle w:val="CaptionText"/>
              <w:rPr>
                <w:b w:val="0"/>
              </w:rPr>
            </w:pPr>
            <w:r w:rsidRPr="00E64138">
              <w:rPr>
                <w:b w:val="0"/>
              </w:rPr>
              <w:t>)</w:t>
            </w:r>
          </w:p>
          <w:p w14:paraId="50042892" w14:textId="77777777" w:rsidR="004C64C7" w:rsidRPr="00E64138" w:rsidRDefault="004C64C7" w:rsidP="00E16D55">
            <w:pPr>
              <w:pStyle w:val="CaptionText"/>
              <w:rPr>
                <w:b w:val="0"/>
              </w:rPr>
            </w:pPr>
            <w:r w:rsidRPr="00E64138">
              <w:rPr>
                <w:b w:val="0"/>
              </w:rPr>
              <w:t>)</w:t>
            </w:r>
          </w:p>
          <w:p w14:paraId="4A95481F" w14:textId="77777777" w:rsidR="004C64C7" w:rsidRDefault="004C64C7" w:rsidP="00E16D55">
            <w:pPr>
              <w:pStyle w:val="CaptionText"/>
              <w:rPr>
                <w:b w:val="0"/>
              </w:rPr>
            </w:pPr>
            <w:r w:rsidRPr="00E64138">
              <w:rPr>
                <w:b w:val="0"/>
              </w:rPr>
              <w:t>)</w:t>
            </w:r>
          </w:p>
          <w:p w14:paraId="5BFCBA5B" w14:textId="77777777" w:rsidR="004C64C7" w:rsidRDefault="004C64C7" w:rsidP="00E16D55">
            <w:pPr>
              <w:pStyle w:val="CaptionText"/>
              <w:rPr>
                <w:b w:val="0"/>
              </w:rPr>
            </w:pPr>
            <w:r>
              <w:rPr>
                <w:b w:val="0"/>
              </w:rPr>
              <w:t>)</w:t>
            </w:r>
          </w:p>
          <w:p w14:paraId="098620E2" w14:textId="77777777" w:rsidR="004C64C7" w:rsidRDefault="004C64C7" w:rsidP="00E16D55">
            <w:pPr>
              <w:pStyle w:val="CaptionText"/>
              <w:rPr>
                <w:b w:val="0"/>
              </w:rPr>
            </w:pPr>
            <w:r>
              <w:rPr>
                <w:b w:val="0"/>
              </w:rPr>
              <w:t>)</w:t>
            </w:r>
          </w:p>
          <w:p w14:paraId="79A8402F" w14:textId="77777777" w:rsidR="004C64C7" w:rsidRDefault="004C64C7" w:rsidP="00E16D55">
            <w:pPr>
              <w:pStyle w:val="CaptionText"/>
              <w:rPr>
                <w:b w:val="0"/>
              </w:rPr>
            </w:pPr>
            <w:r>
              <w:rPr>
                <w:b w:val="0"/>
              </w:rPr>
              <w:t>)</w:t>
            </w:r>
          </w:p>
          <w:p w14:paraId="46B35338" w14:textId="77777777" w:rsidR="004C64C7" w:rsidRDefault="004C64C7" w:rsidP="00E16D55">
            <w:pPr>
              <w:pStyle w:val="CaptionText"/>
              <w:rPr>
                <w:b w:val="0"/>
              </w:rPr>
            </w:pPr>
            <w:r>
              <w:rPr>
                <w:b w:val="0"/>
              </w:rPr>
              <w:t>)</w:t>
            </w:r>
          </w:p>
          <w:p w14:paraId="688C66D4" w14:textId="77777777" w:rsidR="004C64C7" w:rsidRDefault="004C64C7" w:rsidP="00E16D55">
            <w:pPr>
              <w:pStyle w:val="CaptionText"/>
              <w:rPr>
                <w:b w:val="0"/>
              </w:rPr>
            </w:pPr>
            <w:r>
              <w:rPr>
                <w:b w:val="0"/>
              </w:rPr>
              <w:t>)</w:t>
            </w:r>
          </w:p>
          <w:p w14:paraId="6D51CAE6" w14:textId="77777777" w:rsidR="004C64C7" w:rsidRDefault="004C64C7" w:rsidP="00E16D55">
            <w:pPr>
              <w:pStyle w:val="CaptionText"/>
              <w:rPr>
                <w:b w:val="0"/>
              </w:rPr>
            </w:pPr>
            <w:r>
              <w:rPr>
                <w:b w:val="0"/>
              </w:rPr>
              <w:t>)</w:t>
            </w:r>
          </w:p>
          <w:p w14:paraId="75E1CB5E" w14:textId="77777777" w:rsidR="004C64C7" w:rsidRDefault="004C64C7" w:rsidP="00E16D55">
            <w:pPr>
              <w:pStyle w:val="CaptionText"/>
              <w:rPr>
                <w:b w:val="0"/>
              </w:rPr>
            </w:pPr>
            <w:r>
              <w:rPr>
                <w:b w:val="0"/>
              </w:rPr>
              <w:t>)</w:t>
            </w:r>
          </w:p>
          <w:p w14:paraId="7243D20D" w14:textId="77777777" w:rsidR="004C64C7" w:rsidRPr="00E64138" w:rsidRDefault="004C64C7" w:rsidP="00E16D55">
            <w:pPr>
              <w:pStyle w:val="CaptionText"/>
              <w:rPr>
                <w:b w:val="0"/>
              </w:rPr>
            </w:pPr>
          </w:p>
        </w:tc>
        <w:tc>
          <w:tcPr>
            <w:tcW w:w="4680" w:type="dxa"/>
          </w:tcPr>
          <w:p w14:paraId="2EDE3522" w14:textId="77777777" w:rsidR="004C64C7" w:rsidRPr="00E64138" w:rsidRDefault="004C64C7" w:rsidP="00E16D55">
            <w:pPr>
              <w:pStyle w:val="CaptionText"/>
              <w:rPr>
                <w:b w:val="0"/>
              </w:rPr>
            </w:pPr>
          </w:p>
          <w:p w14:paraId="1DA92F4C" w14:textId="77777777" w:rsidR="004C64C7" w:rsidRDefault="004C64C7" w:rsidP="00E16D55">
            <w:pPr>
              <w:pStyle w:val="CaptionText"/>
              <w:rPr>
                <w:b w:val="0"/>
              </w:rPr>
            </w:pPr>
            <w:r w:rsidRPr="00E64138">
              <w:rPr>
                <w:b w:val="0"/>
              </w:rPr>
              <w:t xml:space="preserve">Case No. </w:t>
            </w:r>
            <w:r>
              <w:rPr>
                <w:b w:val="0"/>
              </w:rPr>
              <w:t>13-2145-EL-CSS</w:t>
            </w:r>
          </w:p>
          <w:p w14:paraId="7E883732" w14:textId="77777777" w:rsidR="004C64C7" w:rsidRDefault="004C64C7" w:rsidP="00E16D55">
            <w:pPr>
              <w:pStyle w:val="CaptionText"/>
              <w:rPr>
                <w:b w:val="0"/>
              </w:rPr>
            </w:pPr>
          </w:p>
          <w:p w14:paraId="4ABA6908" w14:textId="77777777" w:rsidR="004C64C7" w:rsidRPr="00E64138" w:rsidRDefault="004C64C7" w:rsidP="00E16D55">
            <w:pPr>
              <w:pStyle w:val="CaptionText"/>
              <w:rPr>
                <w:b w:val="0"/>
              </w:rPr>
            </w:pPr>
            <w:r>
              <w:rPr>
                <w:b w:val="0"/>
              </w:rPr>
              <w:t xml:space="preserve">                 </w:t>
            </w:r>
          </w:p>
        </w:tc>
      </w:tr>
    </w:tbl>
    <w:p w14:paraId="2906F163" w14:textId="77777777" w:rsidR="004C64C7" w:rsidRPr="00DA7024" w:rsidRDefault="004C64C7" w:rsidP="00DA7024">
      <w:pPr>
        <w:rPr>
          <w:rFonts w:eastAsia="SimSun"/>
          <w:szCs w:val="20"/>
          <w:lang w:eastAsia="zh-CN"/>
        </w:rPr>
      </w:pPr>
    </w:p>
    <w:p w14:paraId="0A672821" w14:textId="77777777" w:rsidR="004C64C7" w:rsidRPr="006F297B" w:rsidRDefault="004C64C7" w:rsidP="006F297B">
      <w:pPr>
        <w:jc w:val="center"/>
        <w:rPr>
          <w:rFonts w:eastAsia="SimSun"/>
          <w:szCs w:val="20"/>
          <w:lang w:eastAsia="zh-CN"/>
        </w:rPr>
      </w:pPr>
    </w:p>
    <w:p w14:paraId="327B2034" w14:textId="77777777" w:rsidR="00BC5C06" w:rsidRDefault="00BC5C06" w:rsidP="006F297B">
      <w:pPr>
        <w:spacing w:line="480" w:lineRule="auto"/>
        <w:jc w:val="center"/>
        <w:rPr>
          <w:rFonts w:eastAsia="SimSun"/>
          <w:b/>
          <w:szCs w:val="20"/>
          <w:u w:val="single"/>
        </w:rPr>
      </w:pPr>
    </w:p>
    <w:p w14:paraId="388F36CB" w14:textId="77777777" w:rsidR="00BC5C06" w:rsidRDefault="00BC5C06" w:rsidP="006F297B">
      <w:pPr>
        <w:spacing w:line="480" w:lineRule="auto"/>
        <w:jc w:val="center"/>
        <w:rPr>
          <w:rFonts w:eastAsia="SimSun"/>
          <w:b/>
          <w:szCs w:val="20"/>
          <w:u w:val="single"/>
        </w:rPr>
      </w:pPr>
    </w:p>
    <w:p w14:paraId="6935E3A8" w14:textId="77777777" w:rsidR="00BC5C06" w:rsidRDefault="004C64C7" w:rsidP="006F297B">
      <w:pPr>
        <w:spacing w:line="480" w:lineRule="auto"/>
        <w:jc w:val="center"/>
        <w:rPr>
          <w:rFonts w:eastAsia="SimSun"/>
          <w:b/>
          <w:szCs w:val="20"/>
          <w:u w:val="single"/>
        </w:rPr>
      </w:pPr>
      <w:r w:rsidRPr="006F297B">
        <w:rPr>
          <w:rFonts w:eastAsia="SimSun"/>
          <w:b/>
          <w:szCs w:val="20"/>
          <w:u w:val="single"/>
        </w:rPr>
        <w:t>THE TOLEDO EDISON COMPANY</w:t>
      </w:r>
      <w:r>
        <w:rPr>
          <w:rFonts w:eastAsia="SimSun"/>
          <w:b/>
          <w:szCs w:val="20"/>
          <w:u w:val="single"/>
        </w:rPr>
        <w:t xml:space="preserve">’S </w:t>
      </w:r>
    </w:p>
    <w:p w14:paraId="536BA309" w14:textId="77777777" w:rsidR="004C64C7" w:rsidRPr="006F297B" w:rsidRDefault="00BC5C06" w:rsidP="006F297B">
      <w:pPr>
        <w:spacing w:line="480" w:lineRule="auto"/>
        <w:jc w:val="center"/>
        <w:rPr>
          <w:rFonts w:eastAsia="SimSun"/>
          <w:szCs w:val="20"/>
        </w:rPr>
      </w:pPr>
      <w:r>
        <w:rPr>
          <w:rFonts w:eastAsia="SimSun"/>
          <w:b/>
          <w:szCs w:val="20"/>
          <w:u w:val="single"/>
        </w:rPr>
        <w:t>INITIAL POST-HEARING BRIEF</w:t>
      </w:r>
    </w:p>
    <w:p w14:paraId="635A6589" w14:textId="77777777" w:rsidR="00BC5C06" w:rsidRDefault="00BC5C06" w:rsidP="00884F8A">
      <w:pPr>
        <w:spacing w:line="480" w:lineRule="auto"/>
        <w:ind w:firstLine="720"/>
        <w:jc w:val="both"/>
        <w:rPr>
          <w:rFonts w:eastAsia="SimSun"/>
          <w:szCs w:val="20"/>
        </w:rPr>
        <w:sectPr w:rsidR="00BC5C06" w:rsidSect="00E16D55">
          <w:footerReference w:type="even" r:id="rId8"/>
          <w:footerReference w:type="default" r:id="rId9"/>
          <w:pgSz w:w="12240" w:h="15840"/>
          <w:pgMar w:top="1440" w:right="1440" w:bottom="1440" w:left="1440" w:header="720" w:footer="720" w:gutter="0"/>
          <w:cols w:space="720"/>
          <w:titlePg/>
          <w:docGrid w:linePitch="360"/>
        </w:sectPr>
      </w:pPr>
    </w:p>
    <w:p w14:paraId="1DF62DBC" w14:textId="77777777" w:rsidR="00BC5C06" w:rsidRDefault="00BC5C06" w:rsidP="00BC5C06">
      <w:pPr>
        <w:spacing w:line="480" w:lineRule="auto"/>
        <w:jc w:val="center"/>
        <w:rPr>
          <w:rFonts w:eastAsia="SimSun"/>
          <w:szCs w:val="20"/>
        </w:rPr>
      </w:pPr>
      <w:r>
        <w:rPr>
          <w:rFonts w:eastAsia="SimSun"/>
          <w:b/>
          <w:szCs w:val="20"/>
        </w:rPr>
        <w:lastRenderedPageBreak/>
        <w:t>TABLE OF CONTENTS</w:t>
      </w:r>
    </w:p>
    <w:p w14:paraId="1151D71F" w14:textId="77777777" w:rsidR="00565309" w:rsidRDefault="00565309">
      <w:pPr>
        <w:pStyle w:val="TOC1"/>
        <w:rPr>
          <w:rFonts w:asciiTheme="minorHAnsi" w:eastAsiaTheme="minorEastAsia" w:hAnsiTheme="minorHAnsi" w:cstheme="minorBidi"/>
          <w:noProof/>
          <w:sz w:val="22"/>
          <w:szCs w:val="22"/>
        </w:rPr>
      </w:pPr>
      <w:r>
        <w:rPr>
          <w:rFonts w:eastAsia="SimSun"/>
          <w:szCs w:val="20"/>
        </w:rPr>
        <w:fldChar w:fldCharType="begin"/>
      </w:r>
      <w:r>
        <w:rPr>
          <w:rFonts w:eastAsia="SimSun"/>
          <w:szCs w:val="20"/>
        </w:rPr>
        <w:instrText xml:space="preserve"> TOC \o "5-5" \t "Heading 1,1,Heading 2,2,Heading 3,3,Heading 4,4" </w:instrText>
      </w:r>
      <w:r>
        <w:rPr>
          <w:rFonts w:eastAsia="SimSun"/>
          <w:szCs w:val="20"/>
        </w:rPr>
        <w:fldChar w:fldCharType="separate"/>
      </w:r>
      <w:r>
        <w:rPr>
          <w:noProof/>
        </w:rPr>
        <w:t>I.</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_Toc390944593 \h </w:instrText>
      </w:r>
      <w:r>
        <w:rPr>
          <w:noProof/>
        </w:rPr>
      </w:r>
      <w:r>
        <w:rPr>
          <w:noProof/>
        </w:rPr>
        <w:fldChar w:fldCharType="separate"/>
      </w:r>
      <w:r w:rsidR="00C451B3">
        <w:rPr>
          <w:noProof/>
        </w:rPr>
        <w:t>1</w:t>
      </w:r>
      <w:r>
        <w:rPr>
          <w:noProof/>
        </w:rPr>
        <w:fldChar w:fldCharType="end"/>
      </w:r>
    </w:p>
    <w:p w14:paraId="0BB66C40" w14:textId="77777777" w:rsidR="00565309" w:rsidRDefault="00565309">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STATEMENT OF FACTS</w:t>
      </w:r>
      <w:r>
        <w:rPr>
          <w:noProof/>
        </w:rPr>
        <w:tab/>
      </w:r>
      <w:r>
        <w:rPr>
          <w:noProof/>
        </w:rPr>
        <w:fldChar w:fldCharType="begin"/>
      </w:r>
      <w:r>
        <w:rPr>
          <w:noProof/>
        </w:rPr>
        <w:instrText xml:space="preserve"> PAGEREF _Toc390944594 \h </w:instrText>
      </w:r>
      <w:r>
        <w:rPr>
          <w:noProof/>
        </w:rPr>
      </w:r>
      <w:r>
        <w:rPr>
          <w:noProof/>
        </w:rPr>
        <w:fldChar w:fldCharType="separate"/>
      </w:r>
      <w:r w:rsidR="00C451B3">
        <w:rPr>
          <w:noProof/>
        </w:rPr>
        <w:t>4</w:t>
      </w:r>
      <w:r>
        <w:rPr>
          <w:noProof/>
        </w:rPr>
        <w:fldChar w:fldCharType="end"/>
      </w:r>
    </w:p>
    <w:p w14:paraId="70637843" w14:textId="77777777" w:rsidR="00565309" w:rsidRDefault="00565309">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Company Provides Service To MSC As Set Forth In Its Commission-Approved Tariffs, Including The Option For Interruptible Service.</w:t>
      </w:r>
      <w:r>
        <w:rPr>
          <w:noProof/>
        </w:rPr>
        <w:tab/>
      </w:r>
      <w:r>
        <w:rPr>
          <w:noProof/>
        </w:rPr>
        <w:fldChar w:fldCharType="begin"/>
      </w:r>
      <w:r>
        <w:rPr>
          <w:noProof/>
        </w:rPr>
        <w:instrText xml:space="preserve"> PAGEREF _Toc390944595 \h </w:instrText>
      </w:r>
      <w:r>
        <w:rPr>
          <w:noProof/>
        </w:rPr>
      </w:r>
      <w:r>
        <w:rPr>
          <w:noProof/>
        </w:rPr>
        <w:fldChar w:fldCharType="separate"/>
      </w:r>
      <w:r w:rsidR="00C451B3">
        <w:rPr>
          <w:noProof/>
        </w:rPr>
        <w:t>4</w:t>
      </w:r>
      <w:r>
        <w:rPr>
          <w:noProof/>
        </w:rPr>
        <w:fldChar w:fldCharType="end"/>
      </w:r>
    </w:p>
    <w:p w14:paraId="33099834" w14:textId="77777777" w:rsidR="00565309" w:rsidRDefault="00565309">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MSC Failed To Curtail Its Load In Accordance With The Requirements Of Rider ELR On September 11, 2013.</w:t>
      </w:r>
      <w:r>
        <w:rPr>
          <w:noProof/>
        </w:rPr>
        <w:tab/>
      </w:r>
      <w:r>
        <w:rPr>
          <w:noProof/>
        </w:rPr>
        <w:fldChar w:fldCharType="begin"/>
      </w:r>
      <w:r>
        <w:rPr>
          <w:noProof/>
        </w:rPr>
        <w:instrText xml:space="preserve"> PAGEREF _Toc390944596 \h </w:instrText>
      </w:r>
      <w:r>
        <w:rPr>
          <w:noProof/>
        </w:rPr>
      </w:r>
      <w:r>
        <w:rPr>
          <w:noProof/>
        </w:rPr>
        <w:fldChar w:fldCharType="separate"/>
      </w:r>
      <w:r w:rsidR="00C451B3">
        <w:rPr>
          <w:noProof/>
        </w:rPr>
        <w:t>8</w:t>
      </w:r>
      <w:r>
        <w:rPr>
          <w:noProof/>
        </w:rPr>
        <w:fldChar w:fldCharType="end"/>
      </w:r>
    </w:p>
    <w:p w14:paraId="1220D218" w14:textId="77777777" w:rsidR="00565309" w:rsidRDefault="00565309">
      <w:pPr>
        <w:pStyle w:val="TOC1"/>
        <w:rPr>
          <w:rFonts w:asciiTheme="minorHAnsi" w:eastAsiaTheme="minorEastAsia" w:hAnsiTheme="minorHAnsi" w:cstheme="minorBidi"/>
          <w:noProof/>
          <w:sz w:val="22"/>
          <w:szCs w:val="22"/>
        </w:rPr>
      </w:pPr>
      <w:r w:rsidRPr="009F759F">
        <w:rPr>
          <w:noProof/>
        </w:rPr>
        <w:t>III.</w:t>
      </w:r>
      <w:r>
        <w:rPr>
          <w:rFonts w:asciiTheme="minorHAnsi" w:eastAsiaTheme="minorEastAsia" w:hAnsiTheme="minorHAnsi" w:cstheme="minorBidi"/>
          <w:noProof/>
          <w:sz w:val="22"/>
          <w:szCs w:val="22"/>
        </w:rPr>
        <w:tab/>
      </w:r>
      <w:r>
        <w:rPr>
          <w:noProof/>
        </w:rPr>
        <w:t>LAW &amp; ARGUMENT</w:t>
      </w:r>
      <w:r>
        <w:rPr>
          <w:noProof/>
        </w:rPr>
        <w:tab/>
      </w:r>
      <w:r>
        <w:rPr>
          <w:noProof/>
        </w:rPr>
        <w:fldChar w:fldCharType="begin"/>
      </w:r>
      <w:r>
        <w:rPr>
          <w:noProof/>
        </w:rPr>
        <w:instrText xml:space="preserve"> PAGEREF _Toc390944597 \h </w:instrText>
      </w:r>
      <w:r>
        <w:rPr>
          <w:noProof/>
        </w:rPr>
      </w:r>
      <w:r>
        <w:rPr>
          <w:noProof/>
        </w:rPr>
        <w:fldChar w:fldCharType="separate"/>
      </w:r>
      <w:r w:rsidR="00C451B3">
        <w:rPr>
          <w:noProof/>
        </w:rPr>
        <w:t>11</w:t>
      </w:r>
      <w:r>
        <w:rPr>
          <w:noProof/>
        </w:rPr>
        <w:fldChar w:fldCharType="end"/>
      </w:r>
    </w:p>
    <w:p w14:paraId="102895F9" w14:textId="77777777" w:rsidR="00565309" w:rsidRDefault="00565309">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There Is No Evidence That MSC Was Charged Improper Rates.</w:t>
      </w:r>
      <w:r>
        <w:rPr>
          <w:noProof/>
        </w:rPr>
        <w:tab/>
      </w:r>
      <w:r>
        <w:rPr>
          <w:noProof/>
        </w:rPr>
        <w:fldChar w:fldCharType="begin"/>
      </w:r>
      <w:r>
        <w:rPr>
          <w:noProof/>
        </w:rPr>
        <w:instrText xml:space="preserve"> PAGEREF _Toc390944598 \h </w:instrText>
      </w:r>
      <w:r>
        <w:rPr>
          <w:noProof/>
        </w:rPr>
      </w:r>
      <w:r>
        <w:rPr>
          <w:noProof/>
        </w:rPr>
        <w:fldChar w:fldCharType="separate"/>
      </w:r>
      <w:r w:rsidR="00C451B3">
        <w:rPr>
          <w:noProof/>
        </w:rPr>
        <w:t>11</w:t>
      </w:r>
      <w:r>
        <w:rPr>
          <w:noProof/>
        </w:rPr>
        <w:fldChar w:fldCharType="end"/>
      </w:r>
    </w:p>
    <w:p w14:paraId="000E2E3A" w14:textId="77777777" w:rsidR="00565309" w:rsidRDefault="00565309">
      <w:pPr>
        <w:pStyle w:val="TOC3"/>
        <w:tabs>
          <w:tab w:val="left" w:pos="2160"/>
        </w:tabs>
        <w:rPr>
          <w:rFonts w:asciiTheme="minorHAnsi" w:eastAsiaTheme="minorEastAsia" w:hAnsiTheme="minorHAnsi" w:cstheme="minorBidi"/>
          <w:noProof/>
          <w:sz w:val="22"/>
          <w:szCs w:val="22"/>
        </w:rPr>
      </w:pPr>
      <w:r w:rsidRPr="009F759F">
        <w:rPr>
          <w:noProof/>
          <w:lang w:eastAsia="zh-CN"/>
        </w:rPr>
        <w:t>1.</w:t>
      </w:r>
      <w:r>
        <w:rPr>
          <w:rFonts w:asciiTheme="minorHAnsi" w:eastAsiaTheme="minorEastAsia" w:hAnsiTheme="minorHAnsi" w:cstheme="minorBidi"/>
          <w:noProof/>
          <w:sz w:val="22"/>
          <w:szCs w:val="22"/>
        </w:rPr>
        <w:tab/>
      </w:r>
      <w:r w:rsidRPr="009F759F">
        <w:rPr>
          <w:noProof/>
        </w:rPr>
        <w:t xml:space="preserve">It Is Undisputed That The Rates Charged To MSC By Toledo Edison Were Approved By The </w:t>
      </w:r>
      <w:r>
        <w:rPr>
          <w:noProof/>
          <w:lang w:eastAsia="zh-CN"/>
        </w:rPr>
        <w:t>Commission, And MSC’s Contrary Assertions Are Unsupported And Should Be Stricken.</w:t>
      </w:r>
      <w:r>
        <w:rPr>
          <w:noProof/>
        </w:rPr>
        <w:tab/>
      </w:r>
      <w:r>
        <w:rPr>
          <w:noProof/>
        </w:rPr>
        <w:fldChar w:fldCharType="begin"/>
      </w:r>
      <w:r>
        <w:rPr>
          <w:noProof/>
        </w:rPr>
        <w:instrText xml:space="preserve"> PAGEREF _Toc390944599 \h </w:instrText>
      </w:r>
      <w:r>
        <w:rPr>
          <w:noProof/>
        </w:rPr>
      </w:r>
      <w:r>
        <w:rPr>
          <w:noProof/>
        </w:rPr>
        <w:fldChar w:fldCharType="separate"/>
      </w:r>
      <w:r w:rsidR="00C451B3">
        <w:rPr>
          <w:noProof/>
        </w:rPr>
        <w:t>11</w:t>
      </w:r>
      <w:r>
        <w:rPr>
          <w:noProof/>
        </w:rPr>
        <w:fldChar w:fldCharType="end"/>
      </w:r>
    </w:p>
    <w:p w14:paraId="3B102676" w14:textId="77777777" w:rsidR="00565309" w:rsidRDefault="00565309">
      <w:pPr>
        <w:pStyle w:val="TOC4"/>
        <w:tabs>
          <w:tab w:val="left" w:pos="288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MSC’s assertion that its rate increases are unjust and unreasonable as reflected by a comparison of Summer 2013 to Winter 2012/2013 rates is unavailing.</w:t>
      </w:r>
      <w:r>
        <w:rPr>
          <w:noProof/>
        </w:rPr>
        <w:tab/>
      </w:r>
      <w:r>
        <w:rPr>
          <w:noProof/>
        </w:rPr>
        <w:fldChar w:fldCharType="begin"/>
      </w:r>
      <w:r>
        <w:rPr>
          <w:noProof/>
        </w:rPr>
        <w:instrText xml:space="preserve"> PAGEREF _Toc390944600 \h </w:instrText>
      </w:r>
      <w:r>
        <w:rPr>
          <w:noProof/>
        </w:rPr>
      </w:r>
      <w:r>
        <w:rPr>
          <w:noProof/>
        </w:rPr>
        <w:fldChar w:fldCharType="separate"/>
      </w:r>
      <w:r w:rsidR="00C451B3">
        <w:rPr>
          <w:noProof/>
        </w:rPr>
        <w:t>14</w:t>
      </w:r>
      <w:r>
        <w:rPr>
          <w:noProof/>
        </w:rPr>
        <w:fldChar w:fldCharType="end"/>
      </w:r>
    </w:p>
    <w:p w14:paraId="75A049F8" w14:textId="77777777" w:rsidR="00565309" w:rsidRDefault="00565309">
      <w:pPr>
        <w:pStyle w:val="TOC4"/>
        <w:tabs>
          <w:tab w:val="left" w:pos="288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MSC’s assertion that its rates are somehow unjust or unreasonable because of an increase from a “historical baseline” lacks any substance.</w:t>
      </w:r>
      <w:r>
        <w:rPr>
          <w:noProof/>
        </w:rPr>
        <w:tab/>
      </w:r>
      <w:r>
        <w:rPr>
          <w:noProof/>
        </w:rPr>
        <w:fldChar w:fldCharType="begin"/>
      </w:r>
      <w:r>
        <w:rPr>
          <w:noProof/>
        </w:rPr>
        <w:instrText xml:space="preserve"> PAGEREF _Toc390944601 \h </w:instrText>
      </w:r>
      <w:r>
        <w:rPr>
          <w:noProof/>
        </w:rPr>
      </w:r>
      <w:r>
        <w:rPr>
          <w:noProof/>
        </w:rPr>
        <w:fldChar w:fldCharType="separate"/>
      </w:r>
      <w:r w:rsidR="00C451B3">
        <w:rPr>
          <w:noProof/>
        </w:rPr>
        <w:t>15</w:t>
      </w:r>
      <w:r>
        <w:rPr>
          <w:noProof/>
        </w:rPr>
        <w:fldChar w:fldCharType="end"/>
      </w:r>
    </w:p>
    <w:p w14:paraId="2142930D" w14:textId="77777777" w:rsidR="00565309" w:rsidRDefault="00565309">
      <w:pPr>
        <w:pStyle w:val="TOC4"/>
        <w:tabs>
          <w:tab w:val="left" w:pos="288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MSC’s assertion that the Company’s “practices affecting MSC’s rate increases in 2013 [that] appear to systematically eliminate the benefits of other decreases” is only a complaint about MSC’s bill.</w:t>
      </w:r>
      <w:r>
        <w:rPr>
          <w:noProof/>
        </w:rPr>
        <w:tab/>
      </w:r>
      <w:r>
        <w:rPr>
          <w:noProof/>
        </w:rPr>
        <w:fldChar w:fldCharType="begin"/>
      </w:r>
      <w:r>
        <w:rPr>
          <w:noProof/>
        </w:rPr>
        <w:instrText xml:space="preserve"> PAGEREF _Toc390944602 \h </w:instrText>
      </w:r>
      <w:r>
        <w:rPr>
          <w:noProof/>
        </w:rPr>
      </w:r>
      <w:r>
        <w:rPr>
          <w:noProof/>
        </w:rPr>
        <w:fldChar w:fldCharType="separate"/>
      </w:r>
      <w:r w:rsidR="00C451B3">
        <w:rPr>
          <w:noProof/>
        </w:rPr>
        <w:t>16</w:t>
      </w:r>
      <w:r>
        <w:rPr>
          <w:noProof/>
        </w:rPr>
        <w:fldChar w:fldCharType="end"/>
      </w:r>
    </w:p>
    <w:p w14:paraId="1210190A" w14:textId="77777777" w:rsidR="00565309" w:rsidRDefault="00565309">
      <w:pPr>
        <w:pStyle w:val="TOC4"/>
        <w:tabs>
          <w:tab w:val="left" w:pos="2880"/>
        </w:tabs>
        <w:rPr>
          <w:rFonts w:asciiTheme="minorHAnsi" w:eastAsiaTheme="minorEastAsia" w:hAnsiTheme="minorHAnsi" w:cstheme="minorBidi"/>
          <w:noProof/>
          <w:sz w:val="22"/>
          <w:szCs w:val="22"/>
        </w:rPr>
      </w:pPr>
      <w:r>
        <w:rPr>
          <w:noProof/>
          <w:lang w:eastAsia="zh-CN"/>
        </w:rPr>
        <w:t>d.</w:t>
      </w:r>
      <w:r>
        <w:rPr>
          <w:rFonts w:asciiTheme="minorHAnsi" w:eastAsiaTheme="minorEastAsia" w:hAnsiTheme="minorHAnsi" w:cstheme="minorBidi"/>
          <w:noProof/>
          <w:sz w:val="22"/>
          <w:szCs w:val="22"/>
        </w:rPr>
        <w:tab/>
      </w:r>
      <w:r>
        <w:rPr>
          <w:noProof/>
          <w:lang w:eastAsia="zh-CN"/>
        </w:rPr>
        <w:t>MSC’s suggestion that Rider NMB is misapplied to Toledo Edison GT customers because the allocation percentage is higher than other FirstEnergy Ohio Utilities is simply false.</w:t>
      </w:r>
      <w:r>
        <w:rPr>
          <w:noProof/>
        </w:rPr>
        <w:tab/>
      </w:r>
      <w:r>
        <w:rPr>
          <w:noProof/>
        </w:rPr>
        <w:fldChar w:fldCharType="begin"/>
      </w:r>
      <w:r>
        <w:rPr>
          <w:noProof/>
        </w:rPr>
        <w:instrText xml:space="preserve"> PAGEREF _Toc390944603 \h </w:instrText>
      </w:r>
      <w:r>
        <w:rPr>
          <w:noProof/>
        </w:rPr>
      </w:r>
      <w:r>
        <w:rPr>
          <w:noProof/>
        </w:rPr>
        <w:fldChar w:fldCharType="separate"/>
      </w:r>
      <w:r w:rsidR="00C451B3">
        <w:rPr>
          <w:noProof/>
        </w:rPr>
        <w:t>16</w:t>
      </w:r>
      <w:r>
        <w:rPr>
          <w:noProof/>
        </w:rPr>
        <w:fldChar w:fldCharType="end"/>
      </w:r>
    </w:p>
    <w:p w14:paraId="0E9D5AC5" w14:textId="77777777" w:rsidR="00565309" w:rsidRDefault="00565309">
      <w:pPr>
        <w:pStyle w:val="TOC3"/>
        <w:tabs>
          <w:tab w:val="left" w:pos="2160"/>
        </w:tabs>
        <w:rPr>
          <w:rFonts w:asciiTheme="minorHAnsi" w:eastAsiaTheme="minorEastAsia" w:hAnsiTheme="minorHAnsi" w:cstheme="minorBidi"/>
          <w:noProof/>
          <w:sz w:val="22"/>
          <w:szCs w:val="22"/>
        </w:rPr>
      </w:pPr>
      <w:r w:rsidRPr="009F759F">
        <w:rPr>
          <w:noProof/>
          <w:lang w:eastAsia="zh-CN"/>
        </w:rPr>
        <w:t>2.</w:t>
      </w:r>
      <w:r>
        <w:rPr>
          <w:rFonts w:asciiTheme="minorHAnsi" w:eastAsiaTheme="minorEastAsia" w:hAnsiTheme="minorHAnsi" w:cstheme="minorBidi"/>
          <w:noProof/>
          <w:sz w:val="22"/>
          <w:szCs w:val="22"/>
        </w:rPr>
        <w:tab/>
      </w:r>
      <w:r>
        <w:rPr>
          <w:noProof/>
          <w:lang w:eastAsia="zh-CN"/>
        </w:rPr>
        <w:t>In Any Event, MSC Cannot Complain About The Rates That It Supported During The Company’s ESP II Proceeding.</w:t>
      </w:r>
      <w:r>
        <w:rPr>
          <w:noProof/>
        </w:rPr>
        <w:tab/>
      </w:r>
      <w:r>
        <w:rPr>
          <w:noProof/>
        </w:rPr>
        <w:fldChar w:fldCharType="begin"/>
      </w:r>
      <w:r>
        <w:rPr>
          <w:noProof/>
        </w:rPr>
        <w:instrText xml:space="preserve"> PAGEREF _Toc390944604 \h </w:instrText>
      </w:r>
      <w:r>
        <w:rPr>
          <w:noProof/>
        </w:rPr>
      </w:r>
      <w:r>
        <w:rPr>
          <w:noProof/>
        </w:rPr>
        <w:fldChar w:fldCharType="separate"/>
      </w:r>
      <w:r w:rsidR="00C451B3">
        <w:rPr>
          <w:noProof/>
        </w:rPr>
        <w:t>17</w:t>
      </w:r>
      <w:r>
        <w:rPr>
          <w:noProof/>
        </w:rPr>
        <w:fldChar w:fldCharType="end"/>
      </w:r>
    </w:p>
    <w:p w14:paraId="45AFEBA4" w14:textId="77777777" w:rsidR="00565309" w:rsidRDefault="00565309">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MSC Failed To Comply With Rider ELR And, Thus, The Companies Are Required to Apply the Tariff Penalties – As They Have Been Applied To All Other Customers That Similarly Failed To Comply.</w:t>
      </w:r>
      <w:r>
        <w:rPr>
          <w:noProof/>
        </w:rPr>
        <w:tab/>
      </w:r>
      <w:r>
        <w:rPr>
          <w:noProof/>
        </w:rPr>
        <w:fldChar w:fldCharType="begin"/>
      </w:r>
      <w:r>
        <w:rPr>
          <w:noProof/>
        </w:rPr>
        <w:instrText xml:space="preserve"> PAGEREF _Toc390944605 \h </w:instrText>
      </w:r>
      <w:r>
        <w:rPr>
          <w:noProof/>
        </w:rPr>
      </w:r>
      <w:r>
        <w:rPr>
          <w:noProof/>
        </w:rPr>
        <w:fldChar w:fldCharType="separate"/>
      </w:r>
      <w:r w:rsidR="00C451B3">
        <w:rPr>
          <w:noProof/>
        </w:rPr>
        <w:t>19</w:t>
      </w:r>
      <w:r>
        <w:rPr>
          <w:noProof/>
        </w:rPr>
        <w:fldChar w:fldCharType="end"/>
      </w:r>
    </w:p>
    <w:p w14:paraId="08EFD5A3" w14:textId="77777777" w:rsidR="00565309" w:rsidRDefault="00565309">
      <w:pPr>
        <w:pStyle w:val="TOC3"/>
        <w:tabs>
          <w:tab w:val="left" w:pos="2160"/>
        </w:tabs>
        <w:rPr>
          <w:rFonts w:asciiTheme="minorHAnsi" w:eastAsiaTheme="minorEastAsia" w:hAnsiTheme="minorHAnsi" w:cstheme="minorBidi"/>
          <w:noProof/>
          <w:sz w:val="22"/>
          <w:szCs w:val="22"/>
        </w:rPr>
      </w:pPr>
      <w:r w:rsidRPr="009F759F">
        <w:rPr>
          <w:noProof/>
        </w:rPr>
        <w:t>1.</w:t>
      </w:r>
      <w:r>
        <w:rPr>
          <w:rFonts w:asciiTheme="minorHAnsi" w:eastAsiaTheme="minorEastAsia" w:hAnsiTheme="minorHAnsi" w:cstheme="minorBidi"/>
          <w:noProof/>
          <w:sz w:val="22"/>
          <w:szCs w:val="22"/>
        </w:rPr>
        <w:tab/>
      </w:r>
      <w:r>
        <w:rPr>
          <w:noProof/>
        </w:rPr>
        <w:t xml:space="preserve">There Is No Dispute That MSC Failed To Sufficiently Curtail Its Load During An Emergency </w:t>
      </w:r>
      <w:r>
        <w:rPr>
          <w:noProof/>
          <w:lang w:eastAsia="zh-CN"/>
        </w:rPr>
        <w:t>Event</w:t>
      </w:r>
      <w:r>
        <w:rPr>
          <w:noProof/>
        </w:rPr>
        <w:t>.</w:t>
      </w:r>
      <w:r>
        <w:rPr>
          <w:noProof/>
        </w:rPr>
        <w:tab/>
      </w:r>
      <w:r>
        <w:rPr>
          <w:noProof/>
        </w:rPr>
        <w:fldChar w:fldCharType="begin"/>
      </w:r>
      <w:r>
        <w:rPr>
          <w:noProof/>
        </w:rPr>
        <w:instrText xml:space="preserve"> PAGEREF _Toc390944606 \h </w:instrText>
      </w:r>
      <w:r>
        <w:rPr>
          <w:noProof/>
        </w:rPr>
      </w:r>
      <w:r>
        <w:rPr>
          <w:noProof/>
        </w:rPr>
        <w:fldChar w:fldCharType="separate"/>
      </w:r>
      <w:r w:rsidR="00C451B3">
        <w:rPr>
          <w:noProof/>
        </w:rPr>
        <w:t>19</w:t>
      </w:r>
      <w:r>
        <w:rPr>
          <w:noProof/>
        </w:rPr>
        <w:fldChar w:fldCharType="end"/>
      </w:r>
    </w:p>
    <w:p w14:paraId="73E386A2" w14:textId="77777777" w:rsidR="00565309" w:rsidRDefault="00565309">
      <w:pPr>
        <w:pStyle w:val="TOC4"/>
        <w:tabs>
          <w:tab w:val="left" w:pos="2880"/>
        </w:tabs>
        <w:rPr>
          <w:rFonts w:asciiTheme="minorHAnsi" w:eastAsiaTheme="minorEastAsia" w:hAnsiTheme="minorHAnsi" w:cstheme="minorBidi"/>
          <w:noProof/>
          <w:sz w:val="22"/>
          <w:szCs w:val="22"/>
        </w:rPr>
      </w:pPr>
      <w:r>
        <w:rPr>
          <w:noProof/>
        </w:rPr>
        <w:lastRenderedPageBreak/>
        <w:t>a.</w:t>
      </w:r>
      <w:r>
        <w:rPr>
          <w:rFonts w:asciiTheme="minorHAnsi" w:eastAsiaTheme="minorEastAsia" w:hAnsiTheme="minorHAnsi" w:cstheme="minorBidi"/>
          <w:noProof/>
          <w:sz w:val="22"/>
          <w:szCs w:val="22"/>
        </w:rPr>
        <w:tab/>
      </w:r>
      <w:r>
        <w:rPr>
          <w:noProof/>
        </w:rPr>
        <w:t>Any suggestion by MSC that its processes were uniquely disrupted or otherwise unexpectedly delayed was not supported by its own witnesses’ testimony.</w:t>
      </w:r>
      <w:r>
        <w:rPr>
          <w:noProof/>
        </w:rPr>
        <w:tab/>
      </w:r>
      <w:r>
        <w:rPr>
          <w:noProof/>
        </w:rPr>
        <w:fldChar w:fldCharType="begin"/>
      </w:r>
      <w:r>
        <w:rPr>
          <w:noProof/>
        </w:rPr>
        <w:instrText xml:space="preserve"> PAGEREF _Toc390944607 \h </w:instrText>
      </w:r>
      <w:r>
        <w:rPr>
          <w:noProof/>
        </w:rPr>
      </w:r>
      <w:r>
        <w:rPr>
          <w:noProof/>
        </w:rPr>
        <w:fldChar w:fldCharType="separate"/>
      </w:r>
      <w:r w:rsidR="00C451B3">
        <w:rPr>
          <w:noProof/>
        </w:rPr>
        <w:t>20</w:t>
      </w:r>
      <w:r>
        <w:rPr>
          <w:noProof/>
        </w:rPr>
        <w:fldChar w:fldCharType="end"/>
      </w:r>
    </w:p>
    <w:p w14:paraId="7AB0EC6F" w14:textId="77777777" w:rsidR="00565309" w:rsidRDefault="00565309">
      <w:pPr>
        <w:pStyle w:val="TOC4"/>
        <w:tabs>
          <w:tab w:val="left" w:pos="288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Although it makes vague suggestions otherwise, there also is no evidence that MSC’s meter was inaccurate.</w:t>
      </w:r>
      <w:r>
        <w:rPr>
          <w:noProof/>
        </w:rPr>
        <w:tab/>
      </w:r>
      <w:r>
        <w:rPr>
          <w:noProof/>
        </w:rPr>
        <w:fldChar w:fldCharType="begin"/>
      </w:r>
      <w:r>
        <w:rPr>
          <w:noProof/>
        </w:rPr>
        <w:instrText xml:space="preserve"> PAGEREF _Toc390944608 \h </w:instrText>
      </w:r>
      <w:r>
        <w:rPr>
          <w:noProof/>
        </w:rPr>
      </w:r>
      <w:r>
        <w:rPr>
          <w:noProof/>
        </w:rPr>
        <w:fldChar w:fldCharType="separate"/>
      </w:r>
      <w:r w:rsidR="00C451B3">
        <w:rPr>
          <w:noProof/>
        </w:rPr>
        <w:t>21</w:t>
      </w:r>
      <w:r>
        <w:rPr>
          <w:noProof/>
        </w:rPr>
        <w:fldChar w:fldCharType="end"/>
      </w:r>
    </w:p>
    <w:p w14:paraId="706B5AA1" w14:textId="77777777" w:rsidR="00565309" w:rsidRDefault="00565309">
      <w:pPr>
        <w:pStyle w:val="TOC4"/>
        <w:tabs>
          <w:tab w:val="left" w:pos="288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MSC’s suggestion that it was “wrongly penalized” also fails.</w:t>
      </w:r>
      <w:r>
        <w:rPr>
          <w:noProof/>
        </w:rPr>
        <w:tab/>
      </w:r>
      <w:r>
        <w:rPr>
          <w:noProof/>
        </w:rPr>
        <w:fldChar w:fldCharType="begin"/>
      </w:r>
      <w:r>
        <w:rPr>
          <w:noProof/>
        </w:rPr>
        <w:instrText xml:space="preserve"> PAGEREF _Toc390944609 \h </w:instrText>
      </w:r>
      <w:r>
        <w:rPr>
          <w:noProof/>
        </w:rPr>
      </w:r>
      <w:r>
        <w:rPr>
          <w:noProof/>
        </w:rPr>
        <w:fldChar w:fldCharType="separate"/>
      </w:r>
      <w:r w:rsidR="00C451B3">
        <w:rPr>
          <w:noProof/>
        </w:rPr>
        <w:t>21</w:t>
      </w:r>
      <w:r>
        <w:rPr>
          <w:noProof/>
        </w:rPr>
        <w:fldChar w:fldCharType="end"/>
      </w:r>
    </w:p>
    <w:p w14:paraId="6180B983" w14:textId="77777777" w:rsidR="00565309" w:rsidRDefault="00565309">
      <w:pPr>
        <w:pStyle w:val="TOC3"/>
        <w:tabs>
          <w:tab w:val="left" w:pos="2160"/>
        </w:tabs>
        <w:rPr>
          <w:rFonts w:asciiTheme="minorHAnsi" w:eastAsiaTheme="minorEastAsia" w:hAnsiTheme="minorHAnsi" w:cstheme="minorBidi"/>
          <w:noProof/>
          <w:sz w:val="22"/>
          <w:szCs w:val="22"/>
        </w:rPr>
      </w:pPr>
      <w:r w:rsidRPr="009F759F">
        <w:rPr>
          <w:noProof/>
        </w:rPr>
        <w:t>2.</w:t>
      </w:r>
      <w:r>
        <w:rPr>
          <w:rFonts w:asciiTheme="minorHAnsi" w:eastAsiaTheme="minorEastAsia" w:hAnsiTheme="minorHAnsi" w:cstheme="minorBidi"/>
          <w:noProof/>
          <w:sz w:val="22"/>
          <w:szCs w:val="22"/>
        </w:rPr>
        <w:tab/>
      </w:r>
      <w:r>
        <w:rPr>
          <w:noProof/>
        </w:rPr>
        <w:t>Again, MSC Cannot Challenge The Terms Of Rider ELR, Which It Supported In The Company’s ESP II Proceeding.</w:t>
      </w:r>
      <w:r>
        <w:rPr>
          <w:noProof/>
        </w:rPr>
        <w:tab/>
      </w:r>
      <w:r>
        <w:rPr>
          <w:noProof/>
        </w:rPr>
        <w:fldChar w:fldCharType="begin"/>
      </w:r>
      <w:r>
        <w:rPr>
          <w:noProof/>
        </w:rPr>
        <w:instrText xml:space="preserve"> PAGEREF _Toc390944610 \h </w:instrText>
      </w:r>
      <w:r>
        <w:rPr>
          <w:noProof/>
        </w:rPr>
      </w:r>
      <w:r>
        <w:rPr>
          <w:noProof/>
        </w:rPr>
        <w:fldChar w:fldCharType="separate"/>
      </w:r>
      <w:r w:rsidR="00C451B3">
        <w:rPr>
          <w:noProof/>
        </w:rPr>
        <w:t>22</w:t>
      </w:r>
      <w:r>
        <w:rPr>
          <w:noProof/>
        </w:rPr>
        <w:fldChar w:fldCharType="end"/>
      </w:r>
    </w:p>
    <w:p w14:paraId="2259CD81" w14:textId="77777777" w:rsidR="00565309" w:rsidRDefault="00565309">
      <w:pPr>
        <w:pStyle w:val="TOC3"/>
        <w:tabs>
          <w:tab w:val="left" w:pos="2160"/>
        </w:tabs>
        <w:rPr>
          <w:rFonts w:asciiTheme="minorHAnsi" w:eastAsiaTheme="minorEastAsia" w:hAnsiTheme="minorHAnsi" w:cstheme="minorBidi"/>
          <w:noProof/>
          <w:sz w:val="22"/>
          <w:szCs w:val="22"/>
        </w:rPr>
      </w:pPr>
      <w:r w:rsidRPr="009F759F">
        <w:rPr>
          <w:noProof/>
        </w:rPr>
        <w:t>3.</w:t>
      </w:r>
      <w:r>
        <w:rPr>
          <w:rFonts w:asciiTheme="minorHAnsi" w:eastAsiaTheme="minorEastAsia" w:hAnsiTheme="minorHAnsi" w:cstheme="minorBidi"/>
          <w:noProof/>
          <w:sz w:val="22"/>
          <w:szCs w:val="22"/>
        </w:rPr>
        <w:tab/>
      </w:r>
      <w:r>
        <w:rPr>
          <w:noProof/>
        </w:rPr>
        <w:t>MSC’s Allegations About The Timeliness And Clarity Of The Company’s Notice Are All Red Herrings.</w:t>
      </w:r>
      <w:r>
        <w:rPr>
          <w:noProof/>
        </w:rPr>
        <w:tab/>
      </w:r>
      <w:r>
        <w:rPr>
          <w:noProof/>
        </w:rPr>
        <w:fldChar w:fldCharType="begin"/>
      </w:r>
      <w:r>
        <w:rPr>
          <w:noProof/>
        </w:rPr>
        <w:instrText xml:space="preserve"> PAGEREF _Toc390944611 \h </w:instrText>
      </w:r>
      <w:r>
        <w:rPr>
          <w:noProof/>
        </w:rPr>
      </w:r>
      <w:r>
        <w:rPr>
          <w:noProof/>
        </w:rPr>
        <w:fldChar w:fldCharType="separate"/>
      </w:r>
      <w:r w:rsidR="00C451B3">
        <w:rPr>
          <w:noProof/>
        </w:rPr>
        <w:t>22</w:t>
      </w:r>
      <w:r>
        <w:rPr>
          <w:noProof/>
        </w:rPr>
        <w:fldChar w:fldCharType="end"/>
      </w:r>
    </w:p>
    <w:p w14:paraId="6A2D8B74" w14:textId="77777777" w:rsidR="00565309" w:rsidRDefault="00565309">
      <w:pPr>
        <w:pStyle w:val="TOC4"/>
        <w:tabs>
          <w:tab w:val="left" w:pos="2880"/>
        </w:tabs>
        <w:rPr>
          <w:rFonts w:asciiTheme="minorHAnsi" w:eastAsiaTheme="minorEastAsia" w:hAnsiTheme="minorHAnsi" w:cstheme="minorBidi"/>
          <w:noProof/>
          <w:sz w:val="22"/>
          <w:szCs w:val="22"/>
        </w:rPr>
      </w:pPr>
      <w:r w:rsidRPr="009F759F">
        <w:rPr>
          <w:rFonts w:eastAsia="SimSun"/>
          <w:noProof/>
        </w:rPr>
        <w:t>a.</w:t>
      </w:r>
      <w:r>
        <w:rPr>
          <w:rFonts w:asciiTheme="minorHAnsi" w:eastAsiaTheme="minorEastAsia" w:hAnsiTheme="minorHAnsi" w:cstheme="minorBidi"/>
          <w:noProof/>
          <w:sz w:val="22"/>
          <w:szCs w:val="22"/>
        </w:rPr>
        <w:tab/>
      </w:r>
      <w:r w:rsidRPr="009F759F">
        <w:rPr>
          <w:rFonts w:eastAsia="SimSun"/>
          <w:noProof/>
        </w:rPr>
        <w:t>The timing of the ECE notice on September 11, 2013, had no impact on MSC’s response to the ECE or its ability to curtail to Firm Load.</w:t>
      </w:r>
      <w:r>
        <w:rPr>
          <w:noProof/>
        </w:rPr>
        <w:tab/>
      </w:r>
      <w:r>
        <w:rPr>
          <w:noProof/>
        </w:rPr>
        <w:fldChar w:fldCharType="begin"/>
      </w:r>
      <w:r>
        <w:rPr>
          <w:noProof/>
        </w:rPr>
        <w:instrText xml:space="preserve"> PAGEREF _Toc390944612 \h </w:instrText>
      </w:r>
      <w:r>
        <w:rPr>
          <w:noProof/>
        </w:rPr>
      </w:r>
      <w:r>
        <w:rPr>
          <w:noProof/>
        </w:rPr>
        <w:fldChar w:fldCharType="separate"/>
      </w:r>
      <w:r w:rsidR="00C451B3">
        <w:rPr>
          <w:noProof/>
        </w:rPr>
        <w:t>23</w:t>
      </w:r>
      <w:r>
        <w:rPr>
          <w:noProof/>
        </w:rPr>
        <w:fldChar w:fldCharType="end"/>
      </w:r>
    </w:p>
    <w:p w14:paraId="704BC6D1" w14:textId="77777777" w:rsidR="00565309" w:rsidRDefault="00565309">
      <w:pPr>
        <w:pStyle w:val="TOC4"/>
        <w:tabs>
          <w:tab w:val="left" w:pos="288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lang w:eastAsia="zh-CN"/>
        </w:rPr>
        <w:t>MSC’s proposed interpretation of the notice requirements under Rider ELR is illogical and antithetical to the purpose of Rider ELR.</w:t>
      </w:r>
      <w:r>
        <w:rPr>
          <w:noProof/>
        </w:rPr>
        <w:tab/>
      </w:r>
      <w:r>
        <w:rPr>
          <w:noProof/>
        </w:rPr>
        <w:fldChar w:fldCharType="begin"/>
      </w:r>
      <w:r>
        <w:rPr>
          <w:noProof/>
        </w:rPr>
        <w:instrText xml:space="preserve"> PAGEREF _Toc390944613 \h </w:instrText>
      </w:r>
      <w:r>
        <w:rPr>
          <w:noProof/>
        </w:rPr>
      </w:r>
      <w:r>
        <w:rPr>
          <w:noProof/>
        </w:rPr>
        <w:fldChar w:fldCharType="separate"/>
      </w:r>
      <w:r w:rsidR="00C451B3">
        <w:rPr>
          <w:noProof/>
        </w:rPr>
        <w:t>25</w:t>
      </w:r>
      <w:r>
        <w:rPr>
          <w:noProof/>
        </w:rPr>
        <w:fldChar w:fldCharType="end"/>
      </w:r>
    </w:p>
    <w:p w14:paraId="26172C6D" w14:textId="77777777" w:rsidR="00565309" w:rsidRDefault="00565309">
      <w:pPr>
        <w:pStyle w:val="TOC4"/>
        <w:tabs>
          <w:tab w:val="left" w:pos="2880"/>
        </w:tabs>
        <w:rPr>
          <w:rFonts w:asciiTheme="minorHAnsi" w:eastAsiaTheme="minorEastAsia" w:hAnsiTheme="minorHAnsi" w:cstheme="minorBidi"/>
          <w:noProof/>
          <w:sz w:val="22"/>
          <w:szCs w:val="22"/>
        </w:rPr>
      </w:pPr>
      <w:r w:rsidRPr="009F759F">
        <w:rPr>
          <w:rFonts w:eastAsia="SimSun"/>
          <w:noProof/>
        </w:rPr>
        <w:t>c.</w:t>
      </w:r>
      <w:r>
        <w:rPr>
          <w:rFonts w:asciiTheme="minorHAnsi" w:eastAsiaTheme="minorEastAsia" w:hAnsiTheme="minorHAnsi" w:cstheme="minorBidi"/>
          <w:noProof/>
          <w:sz w:val="22"/>
          <w:szCs w:val="22"/>
        </w:rPr>
        <w:tab/>
      </w:r>
      <w:r w:rsidRPr="009F759F">
        <w:rPr>
          <w:rFonts w:eastAsia="SimSun"/>
          <w:noProof/>
        </w:rPr>
        <w:t>MSC’s assertion that the ECE notices are confusing does not support its attempts to avoid the Rider ELR penalties because there is absolutely no evidence that MSC was, in fact, confused or that any purported confusion impacted MSC’s ability to respond to the ECE.</w:t>
      </w:r>
      <w:r>
        <w:rPr>
          <w:noProof/>
        </w:rPr>
        <w:tab/>
      </w:r>
      <w:r>
        <w:rPr>
          <w:noProof/>
        </w:rPr>
        <w:fldChar w:fldCharType="begin"/>
      </w:r>
      <w:r>
        <w:rPr>
          <w:noProof/>
        </w:rPr>
        <w:instrText xml:space="preserve"> PAGEREF _Toc390944614 \h </w:instrText>
      </w:r>
      <w:r>
        <w:rPr>
          <w:noProof/>
        </w:rPr>
      </w:r>
      <w:r>
        <w:rPr>
          <w:noProof/>
        </w:rPr>
        <w:fldChar w:fldCharType="separate"/>
      </w:r>
      <w:r w:rsidR="00C451B3">
        <w:rPr>
          <w:noProof/>
        </w:rPr>
        <w:t>27</w:t>
      </w:r>
      <w:r>
        <w:rPr>
          <w:noProof/>
        </w:rPr>
        <w:fldChar w:fldCharType="end"/>
      </w:r>
    </w:p>
    <w:p w14:paraId="621005AC" w14:textId="77777777" w:rsidR="00565309" w:rsidRDefault="00565309">
      <w:pPr>
        <w:pStyle w:val="TOC3"/>
        <w:tabs>
          <w:tab w:val="left" w:pos="2160"/>
        </w:tabs>
        <w:rPr>
          <w:rFonts w:asciiTheme="minorHAnsi" w:eastAsiaTheme="minorEastAsia" w:hAnsiTheme="minorHAnsi" w:cstheme="minorBidi"/>
          <w:noProof/>
          <w:sz w:val="22"/>
          <w:szCs w:val="22"/>
        </w:rPr>
      </w:pPr>
      <w:r w:rsidRPr="009F759F">
        <w:rPr>
          <w:noProof/>
        </w:rPr>
        <w:t>4.</w:t>
      </w:r>
      <w:r>
        <w:rPr>
          <w:rFonts w:asciiTheme="minorHAnsi" w:eastAsiaTheme="minorEastAsia" w:hAnsiTheme="minorHAnsi" w:cstheme="minorBidi"/>
          <w:noProof/>
          <w:sz w:val="22"/>
          <w:szCs w:val="22"/>
        </w:rPr>
        <w:tab/>
      </w:r>
      <w:r>
        <w:rPr>
          <w:noProof/>
        </w:rPr>
        <w:t>Rider ELR Does Not Provide For Any “Mitigation” Of The Penalties, Which Have Been Applied To Other Customers As Required By The Rider.</w:t>
      </w:r>
      <w:r>
        <w:rPr>
          <w:noProof/>
        </w:rPr>
        <w:tab/>
      </w:r>
      <w:r>
        <w:rPr>
          <w:noProof/>
        </w:rPr>
        <w:fldChar w:fldCharType="begin"/>
      </w:r>
      <w:r>
        <w:rPr>
          <w:noProof/>
        </w:rPr>
        <w:instrText xml:space="preserve"> PAGEREF _Toc390944615 \h </w:instrText>
      </w:r>
      <w:r>
        <w:rPr>
          <w:noProof/>
        </w:rPr>
      </w:r>
      <w:r>
        <w:rPr>
          <w:noProof/>
        </w:rPr>
        <w:fldChar w:fldCharType="separate"/>
      </w:r>
      <w:r w:rsidR="00C451B3">
        <w:rPr>
          <w:noProof/>
        </w:rPr>
        <w:t>28</w:t>
      </w:r>
      <w:r>
        <w:rPr>
          <w:noProof/>
        </w:rPr>
        <w:fldChar w:fldCharType="end"/>
      </w:r>
    </w:p>
    <w:p w14:paraId="1BB67A8B" w14:textId="77777777" w:rsidR="00565309" w:rsidRDefault="00565309">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_Toc390944616 \h </w:instrText>
      </w:r>
      <w:r>
        <w:rPr>
          <w:noProof/>
        </w:rPr>
      </w:r>
      <w:r>
        <w:rPr>
          <w:noProof/>
        </w:rPr>
        <w:fldChar w:fldCharType="separate"/>
      </w:r>
      <w:r w:rsidR="00C451B3">
        <w:rPr>
          <w:noProof/>
        </w:rPr>
        <w:t>31</w:t>
      </w:r>
      <w:r>
        <w:rPr>
          <w:noProof/>
        </w:rPr>
        <w:fldChar w:fldCharType="end"/>
      </w:r>
    </w:p>
    <w:p w14:paraId="2B7FE862" w14:textId="73ED03C2" w:rsidR="00EB24AA" w:rsidRDefault="00565309" w:rsidP="002E3271">
      <w:pPr>
        <w:spacing w:line="480" w:lineRule="auto"/>
        <w:rPr>
          <w:rFonts w:eastAsia="SimSun"/>
          <w:szCs w:val="20"/>
        </w:rPr>
      </w:pPr>
      <w:r>
        <w:rPr>
          <w:rFonts w:eastAsia="SimSun"/>
          <w:szCs w:val="20"/>
        </w:rPr>
        <w:fldChar w:fldCharType="end"/>
      </w:r>
    </w:p>
    <w:p w14:paraId="67F3D6A8" w14:textId="77777777" w:rsidR="008D0647" w:rsidRDefault="008D0647" w:rsidP="002E3271">
      <w:pPr>
        <w:spacing w:line="480" w:lineRule="auto"/>
        <w:rPr>
          <w:rFonts w:eastAsia="SimSun"/>
          <w:szCs w:val="20"/>
        </w:rPr>
        <w:sectPr w:rsidR="008D0647" w:rsidSect="00A93B08">
          <w:footerReference w:type="first" r:id="rId10"/>
          <w:pgSz w:w="12240" w:h="15840"/>
          <w:pgMar w:top="1440" w:right="1440" w:bottom="1440" w:left="1440" w:header="720" w:footer="720" w:gutter="0"/>
          <w:pgNumType w:fmt="lowerRoman" w:start="1"/>
          <w:cols w:space="720"/>
          <w:docGrid w:linePitch="360"/>
        </w:sectPr>
      </w:pPr>
    </w:p>
    <w:p w14:paraId="7B02E20C" w14:textId="541E8FD1" w:rsidR="00BC5C06" w:rsidRDefault="00BC5C06" w:rsidP="00BC5C06">
      <w:pPr>
        <w:pStyle w:val="Heading1"/>
      </w:pPr>
      <w:bookmarkStart w:id="1" w:name="_Toc390943982"/>
      <w:bookmarkStart w:id="2" w:name="_Toc390944245"/>
      <w:bookmarkStart w:id="3" w:name="_Toc390944593"/>
      <w:r>
        <w:lastRenderedPageBreak/>
        <w:t>INTRODUCTION</w:t>
      </w:r>
      <w:bookmarkEnd w:id="1"/>
      <w:bookmarkEnd w:id="2"/>
      <w:bookmarkEnd w:id="3"/>
    </w:p>
    <w:p w14:paraId="0B4B239D" w14:textId="0B2D3D7B" w:rsidR="00EF1F2B" w:rsidRDefault="00D77679" w:rsidP="00B61FD7">
      <w:pPr>
        <w:pStyle w:val="BodyDblSp5J"/>
        <w:rPr>
          <w:rFonts w:eastAsia="SimSun"/>
        </w:rPr>
      </w:pPr>
      <w:r>
        <w:rPr>
          <w:rFonts w:eastAsia="SimSun"/>
        </w:rPr>
        <w:t>The Complaint filed by Material Sciences Corporation (“MSC”</w:t>
      </w:r>
      <w:r w:rsidR="00B5709D">
        <w:rPr>
          <w:rStyle w:val="FootnoteReference"/>
          <w:rFonts w:eastAsia="SimSun"/>
          <w:szCs w:val="20"/>
        </w:rPr>
        <w:footnoteReference w:id="1"/>
      </w:r>
      <w:r>
        <w:rPr>
          <w:rFonts w:eastAsia="SimSun"/>
        </w:rPr>
        <w:t xml:space="preserve">) is unsupported and does not allow MSC to avoid the application of The Toledo Edison Company’s (“Toledo Edison” or the “Company”) Commission-approved rates and riders.  </w:t>
      </w:r>
      <w:r w:rsidR="00352099">
        <w:rPr>
          <w:rFonts w:eastAsia="SimSun"/>
        </w:rPr>
        <w:t xml:space="preserve">On its face, the </w:t>
      </w:r>
      <w:r>
        <w:rPr>
          <w:rFonts w:eastAsia="SimSun"/>
        </w:rPr>
        <w:t>Complaint</w:t>
      </w:r>
      <w:r w:rsidR="00352099">
        <w:rPr>
          <w:rFonts w:eastAsia="SimSun"/>
        </w:rPr>
        <w:t xml:space="preserve"> failed to state any cognizable claims against the Company as a matter of law</w:t>
      </w:r>
      <w:r>
        <w:rPr>
          <w:rFonts w:eastAsia="SimSun"/>
        </w:rPr>
        <w:t xml:space="preserve"> and the </w:t>
      </w:r>
      <w:r w:rsidR="00C1177C">
        <w:rPr>
          <w:rFonts w:eastAsia="SimSun"/>
        </w:rPr>
        <w:t xml:space="preserve">limited evidence provided by MSC during the </w:t>
      </w:r>
      <w:r w:rsidR="00EF1F2B">
        <w:rPr>
          <w:rFonts w:eastAsia="SimSun"/>
        </w:rPr>
        <w:t xml:space="preserve">subsequent </w:t>
      </w:r>
      <w:r w:rsidR="00C1177C">
        <w:rPr>
          <w:rFonts w:eastAsia="SimSun"/>
        </w:rPr>
        <w:t>hearing process confirmed that the claims also lack factual support</w:t>
      </w:r>
      <w:r w:rsidR="00EF1F2B">
        <w:rPr>
          <w:rFonts w:eastAsia="SimSun"/>
        </w:rPr>
        <w:t>.</w:t>
      </w:r>
      <w:r w:rsidR="009D01B9">
        <w:rPr>
          <w:rFonts w:eastAsia="SimSun"/>
        </w:rPr>
        <w:t xml:space="preserve">  Put simply, MSC has failed to meet its burden of proof in</w:t>
      </w:r>
      <w:r w:rsidR="002A0BD9">
        <w:rPr>
          <w:rFonts w:eastAsia="SimSun"/>
        </w:rPr>
        <w:t xml:space="preserve"> establishing that the Company’s rates and riders about which it complains are unjust or unreasonable.  </w:t>
      </w:r>
    </w:p>
    <w:p w14:paraId="050BFC33" w14:textId="2A757C5E" w:rsidR="00A83DBA" w:rsidRDefault="00A83DBA" w:rsidP="00B61FD7">
      <w:pPr>
        <w:pStyle w:val="BodyDblSp5J"/>
        <w:rPr>
          <w:rFonts w:eastAsia="SimSun"/>
          <w:szCs w:val="20"/>
        </w:rPr>
      </w:pPr>
      <w:r>
        <w:rPr>
          <w:rFonts w:eastAsia="SimSun"/>
          <w:szCs w:val="20"/>
        </w:rPr>
        <w:t xml:space="preserve">MSC elected to take </w:t>
      </w:r>
      <w:r w:rsidR="009D01B9">
        <w:rPr>
          <w:rFonts w:eastAsia="SimSun"/>
          <w:szCs w:val="20"/>
        </w:rPr>
        <w:t xml:space="preserve">retail generation </w:t>
      </w:r>
      <w:r>
        <w:rPr>
          <w:rFonts w:eastAsia="SimSun"/>
          <w:szCs w:val="20"/>
        </w:rPr>
        <w:t>service with the Company and</w:t>
      </w:r>
      <w:r w:rsidR="009D01B9">
        <w:rPr>
          <w:rFonts w:eastAsia="SimSun"/>
          <w:szCs w:val="20"/>
        </w:rPr>
        <w:t xml:space="preserve"> voluntarily</w:t>
      </w:r>
      <w:r>
        <w:rPr>
          <w:rFonts w:eastAsia="SimSun"/>
          <w:szCs w:val="20"/>
        </w:rPr>
        <w:t xml:space="preserve"> participate in the Company’s </w:t>
      </w:r>
      <w:r w:rsidRPr="00B61FD7">
        <w:rPr>
          <w:rFonts w:eastAsia="SimSun"/>
        </w:rPr>
        <w:t>interruptible</w:t>
      </w:r>
      <w:r>
        <w:rPr>
          <w:rFonts w:eastAsia="SimSun"/>
          <w:szCs w:val="20"/>
        </w:rPr>
        <w:t xml:space="preserve"> service program – </w:t>
      </w:r>
      <w:r w:rsidR="002A0BD9">
        <w:rPr>
          <w:rFonts w:eastAsia="SimSun"/>
          <w:szCs w:val="20"/>
        </w:rPr>
        <w:t xml:space="preserve">the Economic Load Response </w:t>
      </w:r>
      <w:r w:rsidR="00926EB6">
        <w:rPr>
          <w:rFonts w:eastAsia="SimSun"/>
          <w:szCs w:val="20"/>
        </w:rPr>
        <w:t xml:space="preserve">Program </w:t>
      </w:r>
      <w:r w:rsidR="002A0BD9">
        <w:rPr>
          <w:rFonts w:eastAsia="SimSun"/>
          <w:szCs w:val="20"/>
        </w:rPr>
        <w:t>Rider (“</w:t>
      </w:r>
      <w:r>
        <w:rPr>
          <w:rFonts w:eastAsia="SimSun"/>
          <w:szCs w:val="20"/>
        </w:rPr>
        <w:t>Rider ELR</w:t>
      </w:r>
      <w:r w:rsidR="002A0BD9">
        <w:rPr>
          <w:rFonts w:eastAsia="SimSun"/>
          <w:szCs w:val="20"/>
        </w:rPr>
        <w:t>”)</w:t>
      </w:r>
      <w:r>
        <w:rPr>
          <w:rFonts w:eastAsia="SimSun"/>
          <w:szCs w:val="20"/>
        </w:rPr>
        <w:t>.</w:t>
      </w:r>
      <w:r w:rsidR="002A0BD9">
        <w:rPr>
          <w:rStyle w:val="FootnoteReference"/>
          <w:rFonts w:eastAsia="SimSun"/>
          <w:szCs w:val="20"/>
        </w:rPr>
        <w:footnoteReference w:id="2"/>
      </w:r>
      <w:r>
        <w:rPr>
          <w:rFonts w:eastAsia="SimSun"/>
          <w:szCs w:val="20"/>
        </w:rPr>
        <w:t xml:space="preserve">  As a result of that choice, MSC agreed to curtail its load during emergency curtailment events (“ECEs”) in order to promote system reliability and, in exchange, received significant credits on its electric service</w:t>
      </w:r>
      <w:r w:rsidR="00D805F4">
        <w:rPr>
          <w:rFonts w:eastAsia="SimSun"/>
          <w:szCs w:val="20"/>
        </w:rPr>
        <w:t>, which</w:t>
      </w:r>
      <w:r>
        <w:rPr>
          <w:rFonts w:eastAsia="SimSun"/>
          <w:szCs w:val="20"/>
        </w:rPr>
        <w:t xml:space="preserve"> are pai</w:t>
      </w:r>
      <w:r w:rsidR="00D805F4">
        <w:rPr>
          <w:rFonts w:eastAsia="SimSun"/>
          <w:szCs w:val="20"/>
        </w:rPr>
        <w:t xml:space="preserve">d for by all other customers.  </w:t>
      </w:r>
      <w:r>
        <w:rPr>
          <w:rFonts w:eastAsia="SimSun"/>
          <w:szCs w:val="20"/>
        </w:rPr>
        <w:t xml:space="preserve">MSC’s Complaint is driven by the </w:t>
      </w:r>
      <w:r w:rsidR="009D01B9">
        <w:rPr>
          <w:rFonts w:eastAsia="SimSun"/>
          <w:szCs w:val="20"/>
        </w:rPr>
        <w:t xml:space="preserve">undisputed </w:t>
      </w:r>
      <w:r>
        <w:rPr>
          <w:rFonts w:eastAsia="SimSun"/>
          <w:szCs w:val="20"/>
        </w:rPr>
        <w:t>fact that MSC failed to properly curtail its load during an ECE on September 11, 2013, and was thus subject to penalties imposed by Rider ELR.  MSC is n</w:t>
      </w:r>
      <w:r w:rsidR="00D805F4">
        <w:rPr>
          <w:rFonts w:eastAsia="SimSun"/>
          <w:szCs w:val="20"/>
        </w:rPr>
        <w:t>ot alone in being subject to the Rider ELR</w:t>
      </w:r>
      <w:r>
        <w:rPr>
          <w:rFonts w:eastAsia="SimSun"/>
          <w:szCs w:val="20"/>
        </w:rPr>
        <w:t xml:space="preserve"> penalties.  Other FirstEnergy Ohio utility customers have failed to properly curtail during ECEs and were also subject to the same penalties.  </w:t>
      </w:r>
      <w:r w:rsidR="007A7209">
        <w:rPr>
          <w:rFonts w:eastAsia="SimSun"/>
          <w:szCs w:val="20"/>
        </w:rPr>
        <w:t>R</w:t>
      </w:r>
      <w:r>
        <w:rPr>
          <w:rFonts w:eastAsia="SimSun"/>
          <w:szCs w:val="20"/>
        </w:rPr>
        <w:t xml:space="preserve">ather than pay the penalties as all of the other non-complying customers have, </w:t>
      </w:r>
      <w:r w:rsidR="007A7209">
        <w:rPr>
          <w:rFonts w:eastAsia="SimSun"/>
          <w:szCs w:val="20"/>
        </w:rPr>
        <w:t xml:space="preserve">however, </w:t>
      </w:r>
      <w:r>
        <w:rPr>
          <w:rFonts w:eastAsia="SimSun"/>
          <w:szCs w:val="20"/>
        </w:rPr>
        <w:t xml:space="preserve">MSC filed </w:t>
      </w:r>
      <w:r w:rsidR="00E26D47">
        <w:rPr>
          <w:rFonts w:eastAsia="SimSun"/>
          <w:szCs w:val="20"/>
        </w:rPr>
        <w:t xml:space="preserve">this Complaint, which relies on distractions </w:t>
      </w:r>
      <w:r w:rsidR="007A7209">
        <w:rPr>
          <w:rFonts w:eastAsia="SimSun"/>
          <w:szCs w:val="20"/>
        </w:rPr>
        <w:t xml:space="preserve">in the form of irrelevant and unsupported allegations </w:t>
      </w:r>
      <w:r w:rsidR="00E26D47">
        <w:rPr>
          <w:rFonts w:eastAsia="SimSun"/>
          <w:szCs w:val="20"/>
        </w:rPr>
        <w:t xml:space="preserve">of unjust and unreasonable rate increases and </w:t>
      </w:r>
      <w:r w:rsidR="007A7209">
        <w:rPr>
          <w:rFonts w:eastAsia="SimSun"/>
          <w:szCs w:val="20"/>
        </w:rPr>
        <w:t>“defective”</w:t>
      </w:r>
      <w:r w:rsidR="00E26D47">
        <w:rPr>
          <w:rFonts w:eastAsia="SimSun"/>
          <w:szCs w:val="20"/>
        </w:rPr>
        <w:t xml:space="preserve"> notices of ECEs </w:t>
      </w:r>
      <w:r w:rsidR="00D805F4">
        <w:rPr>
          <w:rFonts w:eastAsia="SimSun"/>
          <w:szCs w:val="20"/>
        </w:rPr>
        <w:t>to try to avoid the penalties</w:t>
      </w:r>
      <w:r w:rsidR="00E26D47">
        <w:rPr>
          <w:rFonts w:eastAsia="SimSun"/>
          <w:szCs w:val="20"/>
        </w:rPr>
        <w:t>.</w:t>
      </w:r>
      <w:r>
        <w:rPr>
          <w:rFonts w:eastAsia="SimSun"/>
          <w:szCs w:val="20"/>
        </w:rPr>
        <w:t xml:space="preserve"> </w:t>
      </w:r>
    </w:p>
    <w:p w14:paraId="60088EC8" w14:textId="1696BC77" w:rsidR="00D77679" w:rsidRPr="006B3F81" w:rsidRDefault="004A512C" w:rsidP="00B61FD7">
      <w:pPr>
        <w:pStyle w:val="BodyDblSp5J"/>
        <w:rPr>
          <w:rFonts w:eastAsia="SimSun"/>
          <w:szCs w:val="20"/>
        </w:rPr>
      </w:pPr>
      <w:r>
        <w:rPr>
          <w:rFonts w:eastAsia="SimSun"/>
          <w:szCs w:val="20"/>
        </w:rPr>
        <w:lastRenderedPageBreak/>
        <w:t xml:space="preserve">Indeed, each of MSC’s three claims represents a request from MSC to the Commission to ignore the requirements of the Company’s Commission-approved rates and riders.  But the Companies are required by law to follow their approved tariffs pursuant to R.C. § 4905.32.  Further, </w:t>
      </w:r>
      <w:r w:rsidR="00CF71C1">
        <w:rPr>
          <w:rFonts w:eastAsia="SimSun"/>
          <w:szCs w:val="20"/>
        </w:rPr>
        <w:t>MSC</w:t>
      </w:r>
      <w:r w:rsidR="00EE23AF">
        <w:rPr>
          <w:rFonts w:eastAsia="SimSun"/>
          <w:szCs w:val="20"/>
        </w:rPr>
        <w:t xml:space="preserve"> is</w:t>
      </w:r>
      <w:r w:rsidR="00EF1F2B">
        <w:rPr>
          <w:rFonts w:eastAsia="SimSun"/>
          <w:szCs w:val="20"/>
        </w:rPr>
        <w:t xml:space="preserve"> a Toledo Edison customer and</w:t>
      </w:r>
      <w:r w:rsidR="00CF71C1">
        <w:rPr>
          <w:rFonts w:eastAsia="SimSun"/>
          <w:szCs w:val="20"/>
        </w:rPr>
        <w:t xml:space="preserve"> therefore</w:t>
      </w:r>
      <w:r w:rsidR="00EF1F2B">
        <w:rPr>
          <w:rFonts w:eastAsia="SimSun"/>
          <w:szCs w:val="20"/>
        </w:rPr>
        <w:t xml:space="preserve"> subject to the same rates and riders as all other similarly situated customers</w:t>
      </w:r>
      <w:r w:rsidR="00EE23AF">
        <w:rPr>
          <w:rFonts w:eastAsia="SimSun"/>
          <w:szCs w:val="20"/>
        </w:rPr>
        <w:t xml:space="preserve"> (</w:t>
      </w:r>
      <w:r w:rsidR="00D805F4">
        <w:rPr>
          <w:rFonts w:eastAsia="SimSun"/>
          <w:szCs w:val="20"/>
        </w:rPr>
        <w:t xml:space="preserve">other than </w:t>
      </w:r>
      <w:r w:rsidR="00EE23AF">
        <w:rPr>
          <w:rFonts w:eastAsia="SimSun"/>
          <w:szCs w:val="20"/>
        </w:rPr>
        <w:t>the unique discount that the Commission already approved for MSC</w:t>
      </w:r>
      <w:r w:rsidR="009D01B9">
        <w:rPr>
          <w:rFonts w:eastAsia="SimSun"/>
          <w:szCs w:val="20"/>
        </w:rPr>
        <w:t xml:space="preserve"> in the Companies’ electric security plan (“ESP”) proceeding</w:t>
      </w:r>
      <w:r w:rsidR="00EE23AF">
        <w:rPr>
          <w:rFonts w:eastAsia="SimSun"/>
          <w:szCs w:val="20"/>
        </w:rPr>
        <w:t>).  Moreover,</w:t>
      </w:r>
      <w:r w:rsidR="00352099" w:rsidRPr="00352099">
        <w:rPr>
          <w:rFonts w:eastAsia="SimSun"/>
          <w:b/>
          <w:szCs w:val="20"/>
        </w:rPr>
        <w:t xml:space="preserve"> </w:t>
      </w:r>
      <w:r w:rsidR="00352099" w:rsidRPr="00EE23AF">
        <w:rPr>
          <w:rFonts w:eastAsia="SimSun"/>
          <w:b/>
          <w:szCs w:val="20"/>
        </w:rPr>
        <w:t xml:space="preserve">during the Company’s second </w:t>
      </w:r>
      <w:r w:rsidR="00352099">
        <w:rPr>
          <w:rFonts w:eastAsia="SimSun"/>
          <w:b/>
          <w:szCs w:val="20"/>
        </w:rPr>
        <w:t>ESP</w:t>
      </w:r>
      <w:r w:rsidR="00352099" w:rsidRPr="00EE23AF">
        <w:rPr>
          <w:rFonts w:eastAsia="SimSun"/>
          <w:b/>
          <w:szCs w:val="20"/>
        </w:rPr>
        <w:t xml:space="preserve"> (“ESP II”) proceeding</w:t>
      </w:r>
      <w:r w:rsidR="00352099">
        <w:rPr>
          <w:rFonts w:eastAsia="SimSun"/>
          <w:b/>
          <w:szCs w:val="20"/>
        </w:rPr>
        <w:t>,</w:t>
      </w:r>
      <w:r w:rsidR="00EE23AF">
        <w:rPr>
          <w:rFonts w:eastAsia="SimSun"/>
          <w:szCs w:val="20"/>
        </w:rPr>
        <w:t xml:space="preserve"> </w:t>
      </w:r>
      <w:r w:rsidR="00CF71C1" w:rsidRPr="00EE23AF">
        <w:rPr>
          <w:rFonts w:eastAsia="SimSun"/>
          <w:b/>
          <w:szCs w:val="20"/>
        </w:rPr>
        <w:t xml:space="preserve">MSC expressly supported every single rate and rider </w:t>
      </w:r>
      <w:r w:rsidR="006B3F81">
        <w:rPr>
          <w:rFonts w:eastAsia="SimSun"/>
          <w:b/>
          <w:szCs w:val="20"/>
        </w:rPr>
        <w:t>about</w:t>
      </w:r>
      <w:r w:rsidR="00CF71C1" w:rsidRPr="00EE23AF">
        <w:rPr>
          <w:rFonts w:eastAsia="SimSun"/>
          <w:b/>
          <w:szCs w:val="20"/>
        </w:rPr>
        <w:t xml:space="preserve"> which it now complains.</w:t>
      </w:r>
      <w:r w:rsidR="00EE23AF" w:rsidRPr="00D805F4">
        <w:rPr>
          <w:rStyle w:val="FootnoteReference"/>
          <w:rFonts w:eastAsia="SimSun"/>
          <w:szCs w:val="20"/>
        </w:rPr>
        <w:footnoteReference w:id="3"/>
      </w:r>
      <w:r w:rsidR="006B3F81">
        <w:rPr>
          <w:rFonts w:eastAsia="SimSun"/>
          <w:b/>
          <w:szCs w:val="20"/>
        </w:rPr>
        <w:t xml:space="preserve">  </w:t>
      </w:r>
      <w:r w:rsidR="006B3F81">
        <w:rPr>
          <w:rFonts w:eastAsia="SimSun"/>
          <w:szCs w:val="20"/>
        </w:rPr>
        <w:t>As a signatory party to the Company’s ESP II Stipulation, which was subsequently approved by the Commission, MSC agreed to support the reasonableness of the riders, terms and conditions contained in the Stipulation</w:t>
      </w:r>
      <w:r w:rsidR="002728C8">
        <w:rPr>
          <w:rFonts w:eastAsia="SimSun"/>
          <w:szCs w:val="20"/>
        </w:rPr>
        <w:t>.  Such settlements are an important part of the proceedings before the Commission and MSC cannot renege on its agreement by directly challenging the same rates and riders that it supported in the ESP II Stipulation.</w:t>
      </w:r>
      <w:r w:rsidR="009D01B9">
        <w:rPr>
          <w:rStyle w:val="FootnoteReference"/>
          <w:rFonts w:eastAsia="SimSun"/>
          <w:szCs w:val="20"/>
        </w:rPr>
        <w:footnoteReference w:id="4"/>
      </w:r>
      <w:r w:rsidR="002728C8">
        <w:rPr>
          <w:rFonts w:eastAsia="SimSun"/>
          <w:szCs w:val="20"/>
        </w:rPr>
        <w:t xml:space="preserve">  </w:t>
      </w:r>
      <w:r w:rsidR="006B3F81">
        <w:rPr>
          <w:rFonts w:eastAsia="SimSun"/>
          <w:szCs w:val="20"/>
        </w:rPr>
        <w:t xml:space="preserve"> </w:t>
      </w:r>
    </w:p>
    <w:p w14:paraId="15D68CC4" w14:textId="2FC8F17B" w:rsidR="00B87C9B" w:rsidRDefault="008E29A1" w:rsidP="00B61FD7">
      <w:pPr>
        <w:pStyle w:val="BodyDblSp5J"/>
        <w:rPr>
          <w:rFonts w:eastAsia="SimSun"/>
          <w:szCs w:val="20"/>
        </w:rPr>
      </w:pPr>
      <w:r>
        <w:rPr>
          <w:rFonts w:eastAsia="SimSun"/>
          <w:szCs w:val="20"/>
        </w:rPr>
        <w:t>More specifically</w:t>
      </w:r>
      <w:r w:rsidR="007A7209">
        <w:rPr>
          <w:rFonts w:eastAsia="SimSun"/>
          <w:szCs w:val="20"/>
        </w:rPr>
        <w:t xml:space="preserve">, </w:t>
      </w:r>
      <w:r w:rsidR="006B3F81">
        <w:rPr>
          <w:rFonts w:eastAsia="SimSun"/>
          <w:szCs w:val="20"/>
        </w:rPr>
        <w:t xml:space="preserve">MSC complains </w:t>
      </w:r>
      <w:r w:rsidR="006B3F81" w:rsidRPr="00B61FD7">
        <w:rPr>
          <w:rFonts w:eastAsia="SimSun"/>
        </w:rPr>
        <w:t>that</w:t>
      </w:r>
      <w:r w:rsidR="006B3F81">
        <w:rPr>
          <w:rFonts w:eastAsia="SimSun"/>
          <w:szCs w:val="20"/>
        </w:rPr>
        <w:t xml:space="preserve"> the Company’s terms and conditions for </w:t>
      </w:r>
      <w:r w:rsidR="007A7209">
        <w:rPr>
          <w:rFonts w:eastAsia="SimSun"/>
          <w:szCs w:val="20"/>
        </w:rPr>
        <w:t xml:space="preserve">Rider ELR </w:t>
      </w:r>
      <w:r w:rsidR="006B3F81">
        <w:rPr>
          <w:rFonts w:eastAsia="SimSun"/>
          <w:szCs w:val="20"/>
        </w:rPr>
        <w:t>are unjust and unreasonable.  But</w:t>
      </w:r>
      <w:r w:rsidR="009D01B9">
        <w:rPr>
          <w:rFonts w:eastAsia="SimSun"/>
          <w:szCs w:val="20"/>
        </w:rPr>
        <w:t>, as discussed above,</w:t>
      </w:r>
      <w:r w:rsidR="006B3F81">
        <w:rPr>
          <w:rFonts w:eastAsia="SimSun"/>
          <w:szCs w:val="20"/>
        </w:rPr>
        <w:t xml:space="preserve"> </w:t>
      </w:r>
      <w:r w:rsidR="00A669FF">
        <w:rPr>
          <w:rFonts w:eastAsia="SimSun"/>
          <w:szCs w:val="20"/>
        </w:rPr>
        <w:t>MSC</w:t>
      </w:r>
      <w:r w:rsidR="00B34707">
        <w:rPr>
          <w:rFonts w:eastAsia="SimSun"/>
          <w:szCs w:val="20"/>
        </w:rPr>
        <w:t xml:space="preserve"> expressly</w:t>
      </w:r>
      <w:r w:rsidR="00A669FF">
        <w:rPr>
          <w:rFonts w:eastAsia="SimSun"/>
          <w:szCs w:val="20"/>
        </w:rPr>
        <w:t xml:space="preserve"> supported and </w:t>
      </w:r>
      <w:r w:rsidR="006B3F81">
        <w:rPr>
          <w:rFonts w:eastAsia="SimSun"/>
          <w:szCs w:val="20"/>
        </w:rPr>
        <w:t xml:space="preserve">the Commission approved </w:t>
      </w:r>
      <w:r w:rsidR="00A669FF">
        <w:rPr>
          <w:rFonts w:eastAsia="SimSun"/>
          <w:szCs w:val="20"/>
        </w:rPr>
        <w:t>the terms and conditions of Rider ELR</w:t>
      </w:r>
      <w:r w:rsidR="002728C8">
        <w:rPr>
          <w:rFonts w:eastAsia="SimSun"/>
          <w:szCs w:val="20"/>
        </w:rPr>
        <w:t xml:space="preserve">, </w:t>
      </w:r>
      <w:r w:rsidR="00A669FF">
        <w:rPr>
          <w:rFonts w:eastAsia="SimSun"/>
          <w:szCs w:val="20"/>
        </w:rPr>
        <w:t xml:space="preserve">including the </w:t>
      </w:r>
      <w:r w:rsidR="00D805F4">
        <w:rPr>
          <w:rFonts w:eastAsia="SimSun"/>
          <w:szCs w:val="20"/>
        </w:rPr>
        <w:t xml:space="preserve">notice provisions and the </w:t>
      </w:r>
      <w:r w:rsidR="00A669FF">
        <w:rPr>
          <w:rFonts w:eastAsia="SimSun"/>
          <w:szCs w:val="20"/>
        </w:rPr>
        <w:t xml:space="preserve">mandatory penalties for non-compliance.  The Company </w:t>
      </w:r>
      <w:r w:rsidR="00D805F4">
        <w:rPr>
          <w:rFonts w:eastAsia="SimSun"/>
          <w:szCs w:val="20"/>
        </w:rPr>
        <w:t>correctly</w:t>
      </w:r>
      <w:r w:rsidR="00A669FF">
        <w:rPr>
          <w:rFonts w:eastAsia="SimSun"/>
          <w:szCs w:val="20"/>
        </w:rPr>
        <w:t xml:space="preserve"> applied those terms and conditions to MSC after </w:t>
      </w:r>
      <w:r w:rsidR="00352099">
        <w:rPr>
          <w:rFonts w:eastAsia="SimSun"/>
          <w:szCs w:val="20"/>
        </w:rPr>
        <w:t>MSC</w:t>
      </w:r>
      <w:r w:rsidR="00A669FF">
        <w:rPr>
          <w:rFonts w:eastAsia="SimSun"/>
          <w:szCs w:val="20"/>
        </w:rPr>
        <w:t xml:space="preserve"> failed to properly curtail its load during</w:t>
      </w:r>
      <w:r w:rsidR="007A7209">
        <w:rPr>
          <w:rFonts w:eastAsia="SimSun"/>
          <w:szCs w:val="20"/>
        </w:rPr>
        <w:t xml:space="preserve"> the September 11, 2013 ECE</w:t>
      </w:r>
      <w:r w:rsidR="00A669FF">
        <w:rPr>
          <w:rFonts w:eastAsia="SimSun"/>
          <w:szCs w:val="20"/>
        </w:rPr>
        <w:t xml:space="preserve"> and MSC cannot identify any violation or inaccuracy in the penalty amounts.  Thus, the underlying substance of its claim is nothing more than </w:t>
      </w:r>
      <w:r w:rsidR="00B34707">
        <w:rPr>
          <w:rFonts w:eastAsia="SimSun"/>
          <w:szCs w:val="20"/>
        </w:rPr>
        <w:t>MSC not wanting to</w:t>
      </w:r>
      <w:r w:rsidR="00A669FF">
        <w:rPr>
          <w:rFonts w:eastAsia="SimSun"/>
          <w:szCs w:val="20"/>
        </w:rPr>
        <w:t xml:space="preserve"> repay all other customers for the credits it </w:t>
      </w:r>
      <w:r w:rsidR="00B34707">
        <w:rPr>
          <w:rFonts w:eastAsia="SimSun"/>
          <w:szCs w:val="20"/>
        </w:rPr>
        <w:t xml:space="preserve">previously </w:t>
      </w:r>
      <w:r w:rsidR="00A669FF">
        <w:rPr>
          <w:rFonts w:eastAsia="SimSun"/>
          <w:szCs w:val="20"/>
        </w:rPr>
        <w:t xml:space="preserve">received </w:t>
      </w:r>
      <w:r w:rsidR="00B34707">
        <w:rPr>
          <w:rFonts w:eastAsia="SimSun"/>
          <w:szCs w:val="20"/>
        </w:rPr>
        <w:t>due to its failure to abide by</w:t>
      </w:r>
      <w:r w:rsidR="004A512C">
        <w:rPr>
          <w:rFonts w:eastAsia="SimSun"/>
          <w:szCs w:val="20"/>
        </w:rPr>
        <w:t xml:space="preserve"> the tariff and</w:t>
      </w:r>
      <w:r w:rsidR="00A669FF">
        <w:rPr>
          <w:rFonts w:eastAsia="SimSun"/>
          <w:szCs w:val="20"/>
        </w:rPr>
        <w:t xml:space="preserve"> its agreement to curtail in such situations.</w:t>
      </w:r>
    </w:p>
    <w:p w14:paraId="46B9B548" w14:textId="1CE2BB97" w:rsidR="007A7209" w:rsidRDefault="007A7209" w:rsidP="00B61FD7">
      <w:pPr>
        <w:pStyle w:val="BodyDblSp5J"/>
        <w:rPr>
          <w:rFonts w:eastAsia="SimSun"/>
          <w:szCs w:val="20"/>
        </w:rPr>
      </w:pPr>
      <w:r w:rsidRPr="006B3F81">
        <w:rPr>
          <w:rFonts w:eastAsia="SimSun"/>
          <w:szCs w:val="20"/>
        </w:rPr>
        <w:lastRenderedPageBreak/>
        <w:t xml:space="preserve">MSC </w:t>
      </w:r>
      <w:r>
        <w:rPr>
          <w:rFonts w:eastAsia="SimSun"/>
          <w:szCs w:val="20"/>
        </w:rPr>
        <w:t xml:space="preserve">also </w:t>
      </w:r>
      <w:r w:rsidRPr="006B3F81">
        <w:rPr>
          <w:rFonts w:eastAsia="SimSun"/>
          <w:szCs w:val="20"/>
        </w:rPr>
        <w:t xml:space="preserve">complains that the rates charged by the Company for MSC’s electric service are unjust and unreasonable.  But </w:t>
      </w:r>
      <w:r>
        <w:rPr>
          <w:rFonts w:eastAsia="SimSun"/>
          <w:szCs w:val="20"/>
        </w:rPr>
        <w:t xml:space="preserve">MSC also </w:t>
      </w:r>
      <w:r w:rsidRPr="00B61FD7">
        <w:rPr>
          <w:rFonts w:eastAsia="SimSun"/>
        </w:rPr>
        <w:t>supported</w:t>
      </w:r>
      <w:r>
        <w:rPr>
          <w:rFonts w:eastAsia="SimSun"/>
          <w:szCs w:val="20"/>
        </w:rPr>
        <w:t xml:space="preserve"> and </w:t>
      </w:r>
      <w:r w:rsidRPr="006B3F81">
        <w:rPr>
          <w:rFonts w:eastAsia="SimSun"/>
          <w:szCs w:val="20"/>
        </w:rPr>
        <w:t xml:space="preserve">the Commission </w:t>
      </w:r>
      <w:r>
        <w:rPr>
          <w:rFonts w:eastAsia="SimSun"/>
          <w:szCs w:val="20"/>
        </w:rPr>
        <w:t xml:space="preserve">also </w:t>
      </w:r>
      <w:r w:rsidRPr="006B3F81">
        <w:rPr>
          <w:rFonts w:eastAsia="SimSun"/>
          <w:szCs w:val="20"/>
        </w:rPr>
        <w:t xml:space="preserve">approved </w:t>
      </w:r>
      <w:r w:rsidR="00D805F4">
        <w:rPr>
          <w:rFonts w:eastAsia="SimSun"/>
          <w:szCs w:val="20"/>
        </w:rPr>
        <w:t>the rates that MSC complains about</w:t>
      </w:r>
      <w:r>
        <w:rPr>
          <w:rFonts w:eastAsia="SimSun"/>
          <w:szCs w:val="20"/>
        </w:rPr>
        <w:t xml:space="preserve">, </w:t>
      </w:r>
      <w:r w:rsidRPr="006B3F81">
        <w:rPr>
          <w:rFonts w:eastAsia="SimSun"/>
          <w:szCs w:val="20"/>
        </w:rPr>
        <w:t xml:space="preserve">including </w:t>
      </w:r>
      <w:r w:rsidR="002A0BD9">
        <w:rPr>
          <w:rFonts w:eastAsia="SimSun"/>
          <w:szCs w:val="20"/>
        </w:rPr>
        <w:t>the Generation Service Rider (“Rider GEN”)</w:t>
      </w:r>
      <w:r w:rsidR="002A0BD9">
        <w:rPr>
          <w:rStyle w:val="FootnoteReference"/>
          <w:rFonts w:eastAsia="SimSun"/>
          <w:szCs w:val="20"/>
        </w:rPr>
        <w:footnoteReference w:id="5"/>
      </w:r>
      <w:r w:rsidR="002A0BD9">
        <w:rPr>
          <w:rFonts w:eastAsia="SimSun"/>
          <w:szCs w:val="20"/>
        </w:rPr>
        <w:t xml:space="preserve"> and the Non-Market-Based Services Rider (“Rider NMB”)</w:t>
      </w:r>
      <w:r w:rsidR="002A0BD9">
        <w:rPr>
          <w:rStyle w:val="FootnoteReference"/>
          <w:rFonts w:eastAsia="SimSun"/>
          <w:szCs w:val="20"/>
        </w:rPr>
        <w:footnoteReference w:id="6"/>
      </w:r>
      <w:r w:rsidR="002A0BD9">
        <w:rPr>
          <w:rFonts w:eastAsia="SimSun"/>
          <w:szCs w:val="20"/>
        </w:rPr>
        <w:t xml:space="preserve"> – as well as Rider ELR.</w:t>
      </w:r>
      <w:r>
        <w:rPr>
          <w:rFonts w:eastAsia="SimSun"/>
          <w:szCs w:val="20"/>
        </w:rPr>
        <w:t xml:space="preserve">  T</w:t>
      </w:r>
      <w:r w:rsidRPr="006B3F81">
        <w:rPr>
          <w:rFonts w:eastAsia="SimSun"/>
          <w:szCs w:val="20"/>
        </w:rPr>
        <w:t>he Company properly applied those rates to</w:t>
      </w:r>
      <w:r>
        <w:rPr>
          <w:rFonts w:eastAsia="SimSun"/>
          <w:szCs w:val="20"/>
        </w:rPr>
        <w:t xml:space="preserve"> MSC and</w:t>
      </w:r>
      <w:r w:rsidRPr="006B3F81">
        <w:rPr>
          <w:rFonts w:eastAsia="SimSun"/>
          <w:szCs w:val="20"/>
        </w:rPr>
        <w:t xml:space="preserve"> MSC cannot identify</w:t>
      </w:r>
      <w:r w:rsidR="00D805F4">
        <w:rPr>
          <w:rFonts w:eastAsia="SimSun"/>
          <w:szCs w:val="20"/>
        </w:rPr>
        <w:t xml:space="preserve"> any</w:t>
      </w:r>
      <w:r w:rsidRPr="006B3F81">
        <w:rPr>
          <w:rFonts w:eastAsia="SimSun"/>
          <w:szCs w:val="20"/>
        </w:rPr>
        <w:t xml:space="preserve"> violation or inaccuracy in its charges</w:t>
      </w:r>
      <w:r>
        <w:rPr>
          <w:rFonts w:eastAsia="SimSun"/>
          <w:szCs w:val="20"/>
        </w:rPr>
        <w:t xml:space="preserve">.  Thus, the underlying substance of its claim is nothing more than </w:t>
      </w:r>
      <w:r w:rsidR="00B34707">
        <w:rPr>
          <w:rFonts w:eastAsia="SimSun"/>
          <w:szCs w:val="20"/>
        </w:rPr>
        <w:t>MSC’s desire to</w:t>
      </w:r>
      <w:r>
        <w:rPr>
          <w:rFonts w:eastAsia="SimSun"/>
          <w:szCs w:val="20"/>
        </w:rPr>
        <w:t xml:space="preserve"> </w:t>
      </w:r>
      <w:r w:rsidR="00B34707">
        <w:rPr>
          <w:rFonts w:eastAsia="SimSun"/>
          <w:szCs w:val="20"/>
        </w:rPr>
        <w:t>pay less for electricity.</w:t>
      </w:r>
    </w:p>
    <w:p w14:paraId="43634ADA" w14:textId="0A5436FC" w:rsidR="007A7209" w:rsidRDefault="008E29A1" w:rsidP="00B61FD7">
      <w:pPr>
        <w:pStyle w:val="BodyDblSp5J"/>
        <w:rPr>
          <w:rFonts w:eastAsia="SimSun"/>
          <w:szCs w:val="20"/>
        </w:rPr>
      </w:pPr>
      <w:r>
        <w:rPr>
          <w:rFonts w:eastAsia="SimSun"/>
          <w:szCs w:val="20"/>
        </w:rPr>
        <w:t xml:space="preserve">The rest of </w:t>
      </w:r>
      <w:r w:rsidR="00B87C9B">
        <w:rPr>
          <w:rFonts w:eastAsia="SimSun"/>
          <w:szCs w:val="20"/>
        </w:rPr>
        <w:t>MSC’s Comp</w:t>
      </w:r>
      <w:r>
        <w:rPr>
          <w:rFonts w:eastAsia="SimSun"/>
          <w:szCs w:val="20"/>
        </w:rPr>
        <w:t xml:space="preserve">laint and its testimony is a smokescreen.  MSC attempts to </w:t>
      </w:r>
      <w:r w:rsidR="004A512C">
        <w:rPr>
          <w:rFonts w:eastAsia="SimSun"/>
          <w:szCs w:val="20"/>
        </w:rPr>
        <w:t>hide</w:t>
      </w:r>
      <w:r>
        <w:rPr>
          <w:rFonts w:eastAsia="SimSun"/>
          <w:szCs w:val="20"/>
        </w:rPr>
        <w:t xml:space="preserve"> the </w:t>
      </w:r>
      <w:r w:rsidR="00A83DBA">
        <w:rPr>
          <w:rFonts w:eastAsia="SimSun"/>
          <w:szCs w:val="20"/>
        </w:rPr>
        <w:t xml:space="preserve">fact that it is </w:t>
      </w:r>
      <w:r w:rsidR="004A512C">
        <w:rPr>
          <w:rFonts w:eastAsia="SimSun"/>
          <w:szCs w:val="20"/>
        </w:rPr>
        <w:t xml:space="preserve">simply </w:t>
      </w:r>
      <w:r w:rsidR="00A83DBA">
        <w:rPr>
          <w:rFonts w:eastAsia="SimSun"/>
          <w:szCs w:val="20"/>
        </w:rPr>
        <w:t xml:space="preserve">trying to avoid </w:t>
      </w:r>
      <w:r w:rsidR="004A512C">
        <w:rPr>
          <w:rFonts w:eastAsia="SimSun"/>
          <w:szCs w:val="20"/>
        </w:rPr>
        <w:t xml:space="preserve">paying </w:t>
      </w:r>
      <w:r w:rsidR="00A83DBA">
        <w:rPr>
          <w:rFonts w:eastAsia="SimSun"/>
          <w:szCs w:val="20"/>
        </w:rPr>
        <w:t xml:space="preserve">the Company’s Commission-approved rates and riders </w:t>
      </w:r>
      <w:r>
        <w:rPr>
          <w:rFonts w:eastAsia="SimSun"/>
          <w:szCs w:val="20"/>
        </w:rPr>
        <w:t>by pointing to collateral issues</w:t>
      </w:r>
      <w:r w:rsidR="00352099">
        <w:rPr>
          <w:rFonts w:eastAsia="SimSun"/>
          <w:szCs w:val="20"/>
        </w:rPr>
        <w:t xml:space="preserve"> – issues</w:t>
      </w:r>
      <w:r>
        <w:rPr>
          <w:rFonts w:eastAsia="SimSun"/>
          <w:szCs w:val="20"/>
        </w:rPr>
        <w:t xml:space="preserve"> that either MSC admits did not impact its ability to respond to the ECE or that MSC cannot support with any competent evidence.  For example, MSC focuses most of its efforts on trying to </w:t>
      </w:r>
      <w:r w:rsidRPr="00B61FD7">
        <w:rPr>
          <w:rFonts w:eastAsia="SimSun"/>
        </w:rPr>
        <w:t>argue</w:t>
      </w:r>
      <w:r>
        <w:rPr>
          <w:rFonts w:eastAsia="SimSun"/>
          <w:szCs w:val="20"/>
        </w:rPr>
        <w:t xml:space="preserve"> that it should be absolved of the </w:t>
      </w:r>
      <w:r w:rsidR="00A83DBA">
        <w:rPr>
          <w:rFonts w:eastAsia="SimSun"/>
          <w:szCs w:val="20"/>
        </w:rPr>
        <w:t xml:space="preserve">Rider ELR </w:t>
      </w:r>
      <w:r>
        <w:rPr>
          <w:rFonts w:eastAsia="SimSun"/>
          <w:szCs w:val="20"/>
        </w:rPr>
        <w:t>penalties because the Company’s notice of the ECE was “late” and/or that th</w:t>
      </w:r>
      <w:r w:rsidR="007A7209">
        <w:rPr>
          <w:rFonts w:eastAsia="SimSun"/>
          <w:szCs w:val="20"/>
        </w:rPr>
        <w:t>e notice was “confusing.”  But</w:t>
      </w:r>
      <w:r>
        <w:rPr>
          <w:rFonts w:eastAsia="SimSun"/>
          <w:szCs w:val="20"/>
        </w:rPr>
        <w:t xml:space="preserve"> </w:t>
      </w:r>
      <w:r w:rsidR="00B34707">
        <w:rPr>
          <w:rFonts w:eastAsia="SimSun"/>
          <w:szCs w:val="20"/>
        </w:rPr>
        <w:t xml:space="preserve">multiple </w:t>
      </w:r>
      <w:r>
        <w:rPr>
          <w:rFonts w:eastAsia="SimSun"/>
          <w:szCs w:val="20"/>
        </w:rPr>
        <w:t xml:space="preserve">MSC witnesses </w:t>
      </w:r>
      <w:r w:rsidR="007A7209">
        <w:rPr>
          <w:rFonts w:eastAsia="SimSun"/>
          <w:szCs w:val="20"/>
        </w:rPr>
        <w:t xml:space="preserve">consistently admitted </w:t>
      </w:r>
      <w:r>
        <w:rPr>
          <w:rFonts w:eastAsia="SimSun"/>
          <w:szCs w:val="20"/>
        </w:rPr>
        <w:t xml:space="preserve">that the notices had no impact whatsoever on MSC’s response to the </w:t>
      </w:r>
      <w:r w:rsidR="00656139">
        <w:rPr>
          <w:rFonts w:eastAsia="SimSun"/>
          <w:szCs w:val="20"/>
        </w:rPr>
        <w:t>ECE</w:t>
      </w:r>
      <w:r w:rsidR="00D805F4">
        <w:rPr>
          <w:rFonts w:eastAsia="SimSun"/>
          <w:szCs w:val="20"/>
        </w:rPr>
        <w:t xml:space="preserve">.  </w:t>
      </w:r>
      <w:r w:rsidR="00656139">
        <w:rPr>
          <w:rFonts w:eastAsia="SimSun"/>
          <w:szCs w:val="20"/>
        </w:rPr>
        <w:t>MSC did not delay or alter its curtailment procedures in any way.</w:t>
      </w:r>
      <w:r w:rsidR="007A7209">
        <w:rPr>
          <w:rFonts w:eastAsia="SimSun"/>
          <w:szCs w:val="20"/>
        </w:rPr>
        <w:t xml:space="preserve">  The reality is that</w:t>
      </w:r>
      <w:r w:rsidR="00D805F4">
        <w:rPr>
          <w:rFonts w:eastAsia="SimSun"/>
          <w:szCs w:val="20"/>
        </w:rPr>
        <w:t>:</w:t>
      </w:r>
      <w:r w:rsidR="007A7209">
        <w:rPr>
          <w:rFonts w:eastAsia="SimSun"/>
          <w:szCs w:val="20"/>
        </w:rPr>
        <w:t xml:space="preserve"> the Company provided notice of the ECE; MSC received the notice; MSC failed to properly curtail within two hours of </w:t>
      </w:r>
      <w:r w:rsidR="00352099">
        <w:rPr>
          <w:rFonts w:eastAsia="SimSun"/>
          <w:szCs w:val="20"/>
        </w:rPr>
        <w:t>its</w:t>
      </w:r>
      <w:r w:rsidR="00BF3D9C">
        <w:rPr>
          <w:rFonts w:eastAsia="SimSun"/>
          <w:szCs w:val="20"/>
        </w:rPr>
        <w:t xml:space="preserve"> receipt of the</w:t>
      </w:r>
      <w:r w:rsidR="007A7209">
        <w:rPr>
          <w:rFonts w:eastAsia="SimSun"/>
          <w:szCs w:val="20"/>
        </w:rPr>
        <w:t xml:space="preserve"> notice; and the Company applied the appropriate penalties</w:t>
      </w:r>
      <w:r w:rsidR="004A512C">
        <w:rPr>
          <w:rFonts w:eastAsia="SimSun"/>
          <w:szCs w:val="20"/>
        </w:rPr>
        <w:t xml:space="preserve"> as required by the Rider ELR tariff</w:t>
      </w:r>
      <w:r w:rsidR="007A7209">
        <w:rPr>
          <w:rFonts w:eastAsia="SimSun"/>
          <w:szCs w:val="20"/>
        </w:rPr>
        <w:t>.  MSC also tries to argue that its rates have improperly increased.  But  MSC’s only witness on this issue had no knowledge of the rates and relied on analyses that could not be verified by the Company and that did not identify any violations of the Company’s tariffs.</w:t>
      </w:r>
      <w:r w:rsidR="00352099">
        <w:rPr>
          <w:rFonts w:eastAsia="SimSun"/>
          <w:szCs w:val="20"/>
        </w:rPr>
        <w:t xml:space="preserve">  Accordingly, MSC’s </w:t>
      </w:r>
      <w:r w:rsidR="00352099">
        <w:rPr>
          <w:rFonts w:eastAsia="SimSun"/>
          <w:szCs w:val="20"/>
        </w:rPr>
        <w:lastRenderedPageBreak/>
        <w:t>only testimony regarding the propriety of the Company’s Commission-approved rates also should be stricken.</w:t>
      </w:r>
      <w:r w:rsidR="007A7209">
        <w:rPr>
          <w:rFonts w:eastAsia="SimSun"/>
          <w:szCs w:val="20"/>
        </w:rPr>
        <w:t xml:space="preserve">  </w:t>
      </w:r>
    </w:p>
    <w:p w14:paraId="0E603144" w14:textId="379C181F" w:rsidR="004C64C7" w:rsidRDefault="00352099" w:rsidP="00B61FD7">
      <w:pPr>
        <w:pStyle w:val="BodyDblSp5J"/>
        <w:rPr>
          <w:rFonts w:eastAsia="SimSun"/>
          <w:szCs w:val="20"/>
        </w:rPr>
      </w:pPr>
      <w:r>
        <w:rPr>
          <w:rFonts w:eastAsia="SimSun"/>
          <w:szCs w:val="20"/>
        </w:rPr>
        <w:t xml:space="preserve">Indeed, </w:t>
      </w:r>
      <w:r w:rsidR="006B3F81" w:rsidRPr="00EE23AF">
        <w:rPr>
          <w:rFonts w:eastAsia="SimSun"/>
          <w:szCs w:val="20"/>
        </w:rPr>
        <w:t xml:space="preserve">MSC’s dissatisfaction with the results of the Company’s proper application of its Commission-approved tariffs </w:t>
      </w:r>
      <w:r w:rsidR="006B3F81">
        <w:rPr>
          <w:rFonts w:eastAsia="SimSun"/>
          <w:szCs w:val="20"/>
        </w:rPr>
        <w:t>d</w:t>
      </w:r>
      <w:r w:rsidR="00D805F4">
        <w:rPr>
          <w:rFonts w:eastAsia="SimSun"/>
          <w:szCs w:val="20"/>
        </w:rPr>
        <w:t>oes</w:t>
      </w:r>
      <w:r w:rsidR="006B3F81" w:rsidRPr="00EE23AF">
        <w:rPr>
          <w:rFonts w:eastAsia="SimSun"/>
          <w:szCs w:val="20"/>
        </w:rPr>
        <w:t xml:space="preserve"> not constitute reasonable grounds for its claims</w:t>
      </w:r>
      <w:r w:rsidR="00B87C9B">
        <w:rPr>
          <w:rFonts w:eastAsia="SimSun"/>
          <w:szCs w:val="20"/>
        </w:rPr>
        <w:t xml:space="preserve"> </w:t>
      </w:r>
      <w:r w:rsidR="006B3F81">
        <w:rPr>
          <w:rFonts w:eastAsia="SimSun"/>
          <w:szCs w:val="20"/>
        </w:rPr>
        <w:t>and does not warrant judgment in its favor</w:t>
      </w:r>
      <w:r w:rsidR="006B3F81" w:rsidRPr="00EE23AF">
        <w:rPr>
          <w:rFonts w:eastAsia="SimSun"/>
          <w:szCs w:val="20"/>
        </w:rPr>
        <w:t xml:space="preserve">.  The </w:t>
      </w:r>
      <w:r w:rsidR="006B3F81" w:rsidRPr="00B61FD7">
        <w:rPr>
          <w:rFonts w:eastAsia="SimSun"/>
        </w:rPr>
        <w:t>Commission</w:t>
      </w:r>
      <w:r w:rsidR="006B3F81" w:rsidRPr="00EE23AF">
        <w:rPr>
          <w:rFonts w:eastAsia="SimSun"/>
          <w:szCs w:val="20"/>
        </w:rPr>
        <w:t xml:space="preserve"> should</w:t>
      </w:r>
      <w:r w:rsidR="006B3F81">
        <w:rPr>
          <w:rFonts w:eastAsia="SimSun"/>
          <w:szCs w:val="20"/>
        </w:rPr>
        <w:t xml:space="preserve"> </w:t>
      </w:r>
      <w:r w:rsidR="006B3F81" w:rsidRPr="00EE23AF">
        <w:rPr>
          <w:rFonts w:eastAsia="SimSun"/>
          <w:szCs w:val="20"/>
        </w:rPr>
        <w:t>deny all three of MSC’s claim</w:t>
      </w:r>
      <w:r w:rsidR="007A7209">
        <w:rPr>
          <w:rFonts w:eastAsia="SimSun"/>
          <w:szCs w:val="20"/>
        </w:rPr>
        <w:t xml:space="preserve">s and </w:t>
      </w:r>
      <w:r w:rsidR="00D805F4">
        <w:rPr>
          <w:rFonts w:eastAsia="SimSun"/>
          <w:szCs w:val="20"/>
        </w:rPr>
        <w:t>require</w:t>
      </w:r>
      <w:r w:rsidR="007A7209">
        <w:rPr>
          <w:rFonts w:eastAsia="SimSun"/>
          <w:szCs w:val="20"/>
        </w:rPr>
        <w:t xml:space="preserve"> MSC to pay the </w:t>
      </w:r>
      <w:r w:rsidR="00D805F4">
        <w:rPr>
          <w:rFonts w:eastAsia="SimSun"/>
          <w:szCs w:val="20"/>
        </w:rPr>
        <w:t xml:space="preserve">mandatory </w:t>
      </w:r>
      <w:r w:rsidR="007A7209">
        <w:rPr>
          <w:rFonts w:eastAsia="SimSun"/>
          <w:szCs w:val="20"/>
        </w:rPr>
        <w:t>penalties</w:t>
      </w:r>
      <w:r>
        <w:rPr>
          <w:rFonts w:eastAsia="SimSun"/>
          <w:szCs w:val="20"/>
        </w:rPr>
        <w:t xml:space="preserve"> </w:t>
      </w:r>
      <w:r w:rsidR="00D805F4">
        <w:rPr>
          <w:rFonts w:eastAsia="SimSun"/>
          <w:szCs w:val="20"/>
        </w:rPr>
        <w:t xml:space="preserve">associated with </w:t>
      </w:r>
      <w:r w:rsidR="007A7209">
        <w:rPr>
          <w:rFonts w:eastAsia="SimSun"/>
          <w:szCs w:val="20"/>
        </w:rPr>
        <w:t>its admitted failure to comply with Rider ELR</w:t>
      </w:r>
      <w:r w:rsidR="006B3F81" w:rsidRPr="00EE23AF">
        <w:rPr>
          <w:rFonts w:eastAsia="SimSun"/>
          <w:szCs w:val="20"/>
        </w:rPr>
        <w:t>.</w:t>
      </w:r>
      <w:r w:rsidR="004C64C7" w:rsidRPr="006E2BCF">
        <w:rPr>
          <w:rFonts w:eastAsia="SimSun"/>
          <w:szCs w:val="20"/>
          <w:highlight w:val="yellow"/>
        </w:rPr>
        <w:t xml:space="preserve">  </w:t>
      </w:r>
    </w:p>
    <w:p w14:paraId="7415C127" w14:textId="77777777" w:rsidR="00C451B3" w:rsidRDefault="00C451B3" w:rsidP="00B61FD7">
      <w:pPr>
        <w:pStyle w:val="BodyDblSp5J"/>
        <w:rPr>
          <w:rFonts w:eastAsia="SimSun"/>
          <w:szCs w:val="20"/>
        </w:rPr>
      </w:pPr>
    </w:p>
    <w:p w14:paraId="1B4EC842" w14:textId="1F4FD4B9" w:rsidR="004C64C7" w:rsidRPr="00CC4900" w:rsidRDefault="00BC5C06" w:rsidP="00CC4900">
      <w:pPr>
        <w:pStyle w:val="Heading1"/>
      </w:pPr>
      <w:bookmarkStart w:id="4" w:name="_Toc390943983"/>
      <w:bookmarkStart w:id="5" w:name="_Toc390944246"/>
      <w:bookmarkStart w:id="6" w:name="_Toc390944594"/>
      <w:r>
        <w:t>STATEMENT OF FACTS</w:t>
      </w:r>
      <w:bookmarkEnd w:id="4"/>
      <w:bookmarkEnd w:id="5"/>
      <w:bookmarkEnd w:id="6"/>
    </w:p>
    <w:p w14:paraId="38655B8D" w14:textId="2ACF0CA0" w:rsidR="004C64C7" w:rsidRPr="002050CF" w:rsidRDefault="004C64C7" w:rsidP="008C2A5C">
      <w:pPr>
        <w:pStyle w:val="Heading2"/>
      </w:pPr>
      <w:bookmarkStart w:id="7" w:name="_Toc379801509"/>
      <w:bookmarkStart w:id="8" w:name="_Toc390943984"/>
      <w:bookmarkStart w:id="9" w:name="_Toc390944247"/>
      <w:bookmarkStart w:id="10" w:name="_Toc390944595"/>
      <w:r w:rsidRPr="002050CF">
        <w:t>The</w:t>
      </w:r>
      <w:r w:rsidR="002050CF" w:rsidRPr="002050CF">
        <w:t xml:space="preserve"> Company Provides Service To MSC As</w:t>
      </w:r>
      <w:r w:rsidRPr="002050CF">
        <w:t xml:space="preserve"> Set Forth In Its Commission-Approved Tariffs, Including The Option For Interruptible Service.</w:t>
      </w:r>
      <w:bookmarkEnd w:id="7"/>
      <w:bookmarkEnd w:id="8"/>
      <w:bookmarkEnd w:id="9"/>
      <w:bookmarkEnd w:id="10"/>
    </w:p>
    <w:p w14:paraId="23760651" w14:textId="1FD1616D" w:rsidR="004C64C7" w:rsidRDefault="004C64C7" w:rsidP="00B61FD7">
      <w:pPr>
        <w:pStyle w:val="BodyDblSp5J"/>
        <w:rPr>
          <w:rFonts w:eastAsia="SimSun"/>
          <w:szCs w:val="20"/>
        </w:rPr>
      </w:pPr>
      <w:r w:rsidRPr="002050CF">
        <w:rPr>
          <w:rFonts w:eastAsia="SimSun"/>
          <w:szCs w:val="20"/>
        </w:rPr>
        <w:t>The Company provides electric service to customers in its service territory</w:t>
      </w:r>
      <w:r w:rsidR="002050CF" w:rsidRPr="002050CF">
        <w:rPr>
          <w:rFonts w:eastAsia="SimSun"/>
          <w:szCs w:val="20"/>
        </w:rPr>
        <w:t>, including MSC,</w:t>
      </w:r>
      <w:r w:rsidR="00864A3C">
        <w:rPr>
          <w:rStyle w:val="FootnoteReference"/>
          <w:rFonts w:eastAsia="SimSun"/>
          <w:szCs w:val="20"/>
        </w:rPr>
        <w:footnoteReference w:id="7"/>
      </w:r>
      <w:r w:rsidRPr="002050CF">
        <w:rPr>
          <w:rFonts w:eastAsia="SimSun"/>
          <w:szCs w:val="20"/>
        </w:rPr>
        <w:t xml:space="preserve"> pursuant to its Schedule of Rates and Services (the “Schedule”), as approved by the Commission.</w:t>
      </w:r>
      <w:r w:rsidRPr="002050CF">
        <w:rPr>
          <w:rStyle w:val="FootnoteReference"/>
          <w:rFonts w:eastAsia="SimSun"/>
          <w:szCs w:val="20"/>
        </w:rPr>
        <w:footnoteReference w:id="8"/>
      </w:r>
      <w:r w:rsidRPr="002050CF">
        <w:rPr>
          <w:rFonts w:eastAsia="SimSun"/>
          <w:szCs w:val="20"/>
        </w:rPr>
        <w:t xml:space="preserve">  The Company’s </w:t>
      </w:r>
      <w:r w:rsidR="002050CF" w:rsidRPr="002050CF">
        <w:rPr>
          <w:rFonts w:eastAsia="SimSun"/>
          <w:szCs w:val="20"/>
        </w:rPr>
        <w:t>Schedule that was applicable at all times relevant to MSC’s Complaint inc</w:t>
      </w:r>
      <w:r w:rsidRPr="002050CF">
        <w:rPr>
          <w:rFonts w:eastAsia="SimSun"/>
          <w:szCs w:val="20"/>
        </w:rPr>
        <w:t xml:space="preserve">ludes rates, terms, and conditions that were approved as a part of the Company’s </w:t>
      </w:r>
      <w:r w:rsidR="0001349B">
        <w:rPr>
          <w:rFonts w:eastAsia="SimSun"/>
          <w:szCs w:val="20"/>
        </w:rPr>
        <w:t>ESP II</w:t>
      </w:r>
      <w:r w:rsidRPr="0001349B">
        <w:t xml:space="preserve">.  </w:t>
      </w:r>
      <w:r w:rsidR="0001349B">
        <w:t xml:space="preserve">In the ESP II proceeding, the </w:t>
      </w:r>
      <w:r w:rsidR="0001349B" w:rsidRPr="00B61FD7">
        <w:rPr>
          <w:rFonts w:eastAsia="SimSun"/>
        </w:rPr>
        <w:t>Company</w:t>
      </w:r>
      <w:r w:rsidR="0001349B">
        <w:t xml:space="preserve">, MSC, and numerous other interested parties </w:t>
      </w:r>
      <w:r w:rsidR="0001349B" w:rsidRPr="0001349B">
        <w:t>a</w:t>
      </w:r>
      <w:r w:rsidR="0001349B">
        <w:t>sked the Commission to approve the agreements, rates, and riders proposed in the Stipulation and the supplements thereto</w:t>
      </w:r>
      <w:r w:rsidRPr="0001349B">
        <w:t>.</w:t>
      </w:r>
      <w:r w:rsidRPr="0001349B">
        <w:rPr>
          <w:rStyle w:val="FootnoteReference"/>
        </w:rPr>
        <w:footnoteReference w:id="9"/>
      </w:r>
      <w:r w:rsidRPr="0001349B">
        <w:t xml:space="preserve">  The ESP II Stipulation was approved by the Commission on August 25, 2010, and cover</w:t>
      </w:r>
      <w:r w:rsidR="0001349B">
        <w:t>ed</w:t>
      </w:r>
      <w:r w:rsidRPr="0001349B">
        <w:t xml:space="preserve"> the period June 1, 2011 through May 31, 2014.</w:t>
      </w:r>
      <w:r w:rsidRPr="0001349B">
        <w:rPr>
          <w:rStyle w:val="FootnoteReference"/>
        </w:rPr>
        <w:footnoteReference w:id="10"/>
      </w:r>
      <w:r w:rsidRPr="0001349B">
        <w:t xml:space="preserve">  </w:t>
      </w:r>
      <w:r w:rsidRPr="0001349B">
        <w:rPr>
          <w:rFonts w:eastAsia="SimSun"/>
          <w:szCs w:val="20"/>
        </w:rPr>
        <w:t xml:space="preserve">In connection with the Stipulation, </w:t>
      </w:r>
      <w:r w:rsidR="00681B06" w:rsidRPr="0001349B">
        <w:rPr>
          <w:rFonts w:eastAsia="SimSun"/>
          <w:szCs w:val="20"/>
        </w:rPr>
        <w:t>MSC</w:t>
      </w:r>
      <w:r w:rsidRPr="0001349B">
        <w:rPr>
          <w:rFonts w:eastAsia="SimSun"/>
          <w:szCs w:val="20"/>
        </w:rPr>
        <w:t xml:space="preserve"> “agree[d] to and will support the reasonableness of the ESP and this </w:t>
      </w:r>
      <w:r w:rsidRPr="0001349B">
        <w:rPr>
          <w:rFonts w:eastAsia="SimSun"/>
          <w:szCs w:val="20"/>
        </w:rPr>
        <w:lastRenderedPageBreak/>
        <w:t>Stipulation before the Commission . . . and in any . . . enforcement of the ESP and this Stipulation.”</w:t>
      </w:r>
      <w:r w:rsidRPr="0001349B">
        <w:rPr>
          <w:rStyle w:val="FootnoteReference"/>
          <w:rFonts w:eastAsia="SimSun"/>
          <w:szCs w:val="20"/>
        </w:rPr>
        <w:footnoteReference w:id="11"/>
      </w:r>
      <w:r w:rsidRPr="0001349B">
        <w:rPr>
          <w:rFonts w:eastAsia="SimSun"/>
          <w:szCs w:val="20"/>
        </w:rPr>
        <w:t xml:space="preserve">  </w:t>
      </w:r>
    </w:p>
    <w:p w14:paraId="01DD1FF4" w14:textId="28E30109" w:rsidR="00D141D3" w:rsidRDefault="004C64C7" w:rsidP="00B61FD7">
      <w:pPr>
        <w:pStyle w:val="BodyDblSp5J"/>
        <w:rPr>
          <w:rFonts w:eastAsia="SimSun"/>
          <w:szCs w:val="20"/>
        </w:rPr>
      </w:pPr>
      <w:r w:rsidRPr="0001349B">
        <w:rPr>
          <w:rFonts w:eastAsia="SimSun"/>
          <w:szCs w:val="20"/>
        </w:rPr>
        <w:t xml:space="preserve">The </w:t>
      </w:r>
      <w:r w:rsidR="0001349B">
        <w:rPr>
          <w:rFonts w:eastAsia="SimSun"/>
          <w:szCs w:val="20"/>
        </w:rPr>
        <w:t xml:space="preserve">Commission-approved ESP II Stipulation </w:t>
      </w:r>
      <w:r w:rsidRPr="0001349B">
        <w:rPr>
          <w:rFonts w:eastAsia="SimSun"/>
          <w:szCs w:val="20"/>
        </w:rPr>
        <w:t xml:space="preserve">included a number of riders, terms and conditions for electric service provided by the Company.  For example, </w:t>
      </w:r>
      <w:r w:rsidR="00681B06" w:rsidRPr="0001349B">
        <w:rPr>
          <w:rFonts w:eastAsia="SimSun"/>
          <w:szCs w:val="20"/>
        </w:rPr>
        <w:t>MSC</w:t>
      </w:r>
      <w:r w:rsidRPr="0001349B">
        <w:rPr>
          <w:rFonts w:eastAsia="SimSun"/>
          <w:szCs w:val="20"/>
        </w:rPr>
        <w:t xml:space="preserve"> agreed to, and the Commission approved, certain generation and transmission service riders, including Rider GEN and Rider NMB.</w:t>
      </w:r>
      <w:r w:rsidRPr="0001349B">
        <w:rPr>
          <w:rStyle w:val="FootnoteReference"/>
          <w:rFonts w:eastAsia="SimSun"/>
          <w:szCs w:val="20"/>
        </w:rPr>
        <w:footnoteReference w:id="12"/>
      </w:r>
      <w:r w:rsidRPr="0001349B">
        <w:rPr>
          <w:rFonts w:eastAsia="SimSun"/>
          <w:szCs w:val="20"/>
        </w:rPr>
        <w:t xml:space="preserve">  F</w:t>
      </w:r>
      <w:r w:rsidRPr="00003211">
        <w:rPr>
          <w:rFonts w:eastAsia="SimSun"/>
          <w:szCs w:val="20"/>
        </w:rPr>
        <w:t xml:space="preserve">urther, among the terms and conditions of the Company’s Schedule – and among the terms and conditions stipulated to by </w:t>
      </w:r>
      <w:r w:rsidR="00681B06" w:rsidRPr="00003211">
        <w:rPr>
          <w:rFonts w:eastAsia="SimSun"/>
          <w:szCs w:val="20"/>
        </w:rPr>
        <w:t>MSC</w:t>
      </w:r>
      <w:r w:rsidRPr="00003211">
        <w:rPr>
          <w:rFonts w:eastAsia="SimSun"/>
          <w:szCs w:val="20"/>
        </w:rPr>
        <w:t xml:space="preserve"> in connection with ESP I</w:t>
      </w:r>
      <w:r w:rsidRPr="00003211">
        <w:rPr>
          <w:rStyle w:val="FootnoteReference"/>
          <w:rFonts w:eastAsia="SimSun"/>
          <w:szCs w:val="20"/>
        </w:rPr>
        <w:footnoteReference w:id="13"/>
      </w:r>
      <w:r w:rsidRPr="00003211">
        <w:rPr>
          <w:rFonts w:eastAsia="SimSun"/>
          <w:szCs w:val="20"/>
        </w:rPr>
        <w:t xml:space="preserve"> and ESP II – is the option for interruptible service under Rider ELR</w:t>
      </w:r>
      <w:r w:rsidR="00FE6D5B">
        <w:rPr>
          <w:rFonts w:eastAsia="SimSun"/>
          <w:szCs w:val="20"/>
        </w:rPr>
        <w:t>:</w:t>
      </w:r>
      <w:r w:rsidRPr="00003211">
        <w:rPr>
          <w:rStyle w:val="FootnoteReference"/>
          <w:rFonts w:eastAsia="SimSun"/>
          <w:szCs w:val="20"/>
        </w:rPr>
        <w:footnoteReference w:id="14"/>
      </w:r>
      <w:r w:rsidRPr="00003211">
        <w:rPr>
          <w:rFonts w:eastAsia="SimSun"/>
          <w:szCs w:val="20"/>
        </w:rPr>
        <w:t xml:space="preserve"> </w:t>
      </w:r>
    </w:p>
    <w:p w14:paraId="1B1F94E8" w14:textId="77777777" w:rsidR="005B7560" w:rsidRDefault="005B7560" w:rsidP="004974BA">
      <w:pPr>
        <w:pStyle w:val="BodyDblIndentJ"/>
        <w:rPr>
          <w:rFonts w:eastAsia="SimSun"/>
        </w:rPr>
      </w:pPr>
      <w:r>
        <w:rPr>
          <w:rFonts w:eastAsia="SimSun"/>
        </w:rPr>
        <w:t>Rider ELR includes a demand response program offered by Toledo Edison that allows for curtailments to be called by a regional transmission organization (“RTO”), a transmission operator, or Toledo Edison.  The availability of curtailable load provides a resource for Toledo Edison, the RTO and/or the transmission operator to use when an emergency situation exists that may jeopardize the integrity of either the distribution system or the transmission system.  The ability to call on these curtailable resources enhances the reliability of the electrical system during periods of system emergency . . . .  In addition, Toledo Edison uses the demand response attributes from this Rider ELR program to help meet its statutory requirements for peak demand reductions, as mandated in Senate Bill 221.</w:t>
      </w:r>
      <w:r>
        <w:rPr>
          <w:rStyle w:val="FootnoteReference"/>
          <w:rFonts w:eastAsia="SimSun"/>
          <w:szCs w:val="20"/>
        </w:rPr>
        <w:footnoteReference w:id="15"/>
      </w:r>
    </w:p>
    <w:p w14:paraId="1054FC51" w14:textId="773DE7F6" w:rsidR="00E6230B" w:rsidRDefault="00E6230B" w:rsidP="00B61FD7">
      <w:pPr>
        <w:pStyle w:val="BodyDblSp5J"/>
        <w:rPr>
          <w:rFonts w:eastAsia="SimSun"/>
          <w:szCs w:val="20"/>
        </w:rPr>
      </w:pPr>
      <w:r>
        <w:rPr>
          <w:rFonts w:eastAsia="SimSun"/>
          <w:szCs w:val="20"/>
        </w:rPr>
        <w:t>Rider ELR is a voluntary program.  However, “[o]nce a customer chooses to participate in Rider ELR, they are subject to the mandatory terms and conditions of the Tariff, including the requirements for compliance and the penalties for non-compliance.”</w:t>
      </w:r>
      <w:r>
        <w:rPr>
          <w:rStyle w:val="FootnoteReference"/>
          <w:rFonts w:eastAsia="SimSun"/>
          <w:szCs w:val="20"/>
        </w:rPr>
        <w:footnoteReference w:id="16"/>
      </w:r>
      <w:r>
        <w:rPr>
          <w:rFonts w:eastAsia="SimSun"/>
          <w:szCs w:val="20"/>
        </w:rPr>
        <w:t xml:space="preserve">  A customer’s decision to participate in Rider ELR is memorialized </w:t>
      </w:r>
      <w:r w:rsidRPr="00B61FD7">
        <w:rPr>
          <w:rFonts w:eastAsia="SimSun"/>
        </w:rPr>
        <w:t>in</w:t>
      </w:r>
      <w:r>
        <w:rPr>
          <w:rFonts w:eastAsia="SimSun"/>
          <w:szCs w:val="20"/>
        </w:rPr>
        <w:t xml:space="preserve"> a signed agreement between the customer and the </w:t>
      </w:r>
      <w:r>
        <w:rPr>
          <w:rFonts w:eastAsia="SimSun"/>
          <w:szCs w:val="20"/>
        </w:rPr>
        <w:lastRenderedPageBreak/>
        <w:t>Company.</w:t>
      </w:r>
      <w:r>
        <w:rPr>
          <w:rStyle w:val="FootnoteReference"/>
          <w:rFonts w:eastAsia="SimSun"/>
          <w:szCs w:val="20"/>
        </w:rPr>
        <w:footnoteReference w:id="17"/>
      </w:r>
      <w:r w:rsidR="00D125DD">
        <w:rPr>
          <w:rFonts w:eastAsia="SimSun"/>
          <w:szCs w:val="20"/>
        </w:rPr>
        <w:t xml:space="preserve">  </w:t>
      </w:r>
      <w:r w:rsidR="00D125DD" w:rsidRPr="00D125DD">
        <w:rPr>
          <w:rFonts w:eastAsia="SimSun"/>
          <w:szCs w:val="20"/>
        </w:rPr>
        <w:t xml:space="preserve">MSC is a Rider ELR customer and has been so for the past five years, </w:t>
      </w:r>
      <w:r w:rsidR="00FC1E52">
        <w:rPr>
          <w:rFonts w:eastAsia="SimSun"/>
          <w:szCs w:val="20"/>
        </w:rPr>
        <w:t>and has</w:t>
      </w:r>
      <w:r w:rsidR="00FC1E52" w:rsidRPr="00D125DD">
        <w:rPr>
          <w:rFonts w:eastAsia="SimSun"/>
          <w:szCs w:val="20"/>
        </w:rPr>
        <w:t xml:space="preserve"> </w:t>
      </w:r>
      <w:r w:rsidR="00D125DD" w:rsidRPr="00D125DD">
        <w:rPr>
          <w:rFonts w:eastAsia="SimSun"/>
          <w:szCs w:val="20"/>
        </w:rPr>
        <w:t>elected to participate in Rider ELR in connection with each of the Company’s three ESP proceedings.</w:t>
      </w:r>
      <w:r w:rsidR="00D125DD" w:rsidRPr="00D125DD">
        <w:rPr>
          <w:rStyle w:val="FootnoteReference"/>
          <w:rFonts w:eastAsia="SimSun"/>
          <w:szCs w:val="20"/>
        </w:rPr>
        <w:footnoteReference w:id="18"/>
      </w:r>
      <w:r w:rsidR="00D125DD" w:rsidRPr="00D125DD">
        <w:rPr>
          <w:rFonts w:eastAsia="SimSun"/>
          <w:szCs w:val="20"/>
        </w:rPr>
        <w:t xml:space="preserve">  </w:t>
      </w:r>
    </w:p>
    <w:p w14:paraId="27606CCB" w14:textId="712F10B2" w:rsidR="00121BF1" w:rsidRDefault="000040F3" w:rsidP="00B61FD7">
      <w:pPr>
        <w:pStyle w:val="BodyDblSp5J"/>
        <w:rPr>
          <w:rFonts w:eastAsia="SimSun"/>
          <w:szCs w:val="20"/>
        </w:rPr>
      </w:pPr>
      <w:r>
        <w:rPr>
          <w:rFonts w:eastAsia="SimSun"/>
          <w:szCs w:val="20"/>
        </w:rPr>
        <w:t xml:space="preserve">Under Rider ELR, </w:t>
      </w:r>
      <w:r w:rsidRPr="00D141D3">
        <w:rPr>
          <w:rFonts w:eastAsia="SimSun"/>
          <w:szCs w:val="20"/>
        </w:rPr>
        <w:t xml:space="preserve">eligible customers may receive credits for </w:t>
      </w:r>
      <w:r w:rsidR="00903CD8">
        <w:rPr>
          <w:rFonts w:eastAsia="SimSun"/>
          <w:szCs w:val="20"/>
        </w:rPr>
        <w:t xml:space="preserve">their commitment to </w:t>
      </w:r>
      <w:r w:rsidR="00FC1E52">
        <w:rPr>
          <w:rFonts w:eastAsia="SimSun"/>
          <w:szCs w:val="20"/>
        </w:rPr>
        <w:t>curtail</w:t>
      </w:r>
      <w:r w:rsidRPr="00D141D3">
        <w:rPr>
          <w:rFonts w:eastAsia="SimSun"/>
          <w:szCs w:val="20"/>
        </w:rPr>
        <w:t xml:space="preserve"> their load during an ECE and </w:t>
      </w:r>
      <w:r w:rsidR="00FC1E52">
        <w:rPr>
          <w:rFonts w:eastAsia="SimSun"/>
          <w:szCs w:val="20"/>
        </w:rPr>
        <w:t>complying</w:t>
      </w:r>
      <w:r w:rsidRPr="00D141D3">
        <w:rPr>
          <w:rFonts w:eastAsia="SimSun"/>
          <w:szCs w:val="20"/>
        </w:rPr>
        <w:t xml:space="preserve"> with the other requirements.</w:t>
      </w:r>
      <w:r w:rsidRPr="00D141D3">
        <w:rPr>
          <w:rStyle w:val="FootnoteReference"/>
          <w:rFonts w:eastAsia="SimSun"/>
          <w:szCs w:val="20"/>
        </w:rPr>
        <w:footnoteReference w:id="19"/>
      </w:r>
      <w:r w:rsidRPr="00D141D3">
        <w:rPr>
          <w:rFonts w:eastAsia="SimSun"/>
          <w:szCs w:val="20"/>
        </w:rPr>
        <w:t xml:space="preserve">  </w:t>
      </w:r>
      <w:r w:rsidR="00894DD9">
        <w:rPr>
          <w:rFonts w:eastAsia="SimSun"/>
          <w:szCs w:val="20"/>
        </w:rPr>
        <w:t>An ECE is called “where an emergency situation exists that may jeopardize the integrity of either the distribution or transmission system.”</w:t>
      </w:r>
      <w:r w:rsidR="00894DD9">
        <w:rPr>
          <w:rStyle w:val="FootnoteReference"/>
          <w:rFonts w:eastAsia="SimSun"/>
          <w:szCs w:val="20"/>
        </w:rPr>
        <w:footnoteReference w:id="20"/>
      </w:r>
      <w:r w:rsidR="00FE6D5B">
        <w:rPr>
          <w:rFonts w:eastAsia="SimSun"/>
          <w:szCs w:val="20"/>
        </w:rPr>
        <w:t xml:space="preserve">  Thus, if a RTO (</w:t>
      </w:r>
      <w:r w:rsidR="00894DD9" w:rsidRPr="00B61FD7">
        <w:rPr>
          <w:rFonts w:eastAsia="SimSun"/>
        </w:rPr>
        <w:t>in</w:t>
      </w:r>
      <w:r w:rsidR="00894DD9">
        <w:rPr>
          <w:rFonts w:eastAsia="SimSun"/>
          <w:szCs w:val="20"/>
        </w:rPr>
        <w:t xml:space="preserve"> the case of Toledo Edison, PJM Interconnection, LLC (“PJM”)</w:t>
      </w:r>
      <w:r w:rsidR="0001349B">
        <w:rPr>
          <w:rFonts w:eastAsia="SimSun"/>
          <w:szCs w:val="20"/>
        </w:rPr>
        <w:t>)</w:t>
      </w:r>
      <w:r w:rsidR="00894DD9">
        <w:rPr>
          <w:rFonts w:eastAsia="SimSun"/>
          <w:szCs w:val="20"/>
        </w:rPr>
        <w:t>, a transmission operator (in the case of Toledo Edison, American Transmission Systems Inc</w:t>
      </w:r>
      <w:r w:rsidR="00FC1E52">
        <w:rPr>
          <w:rFonts w:eastAsia="SimSun"/>
          <w:szCs w:val="20"/>
        </w:rPr>
        <w:t>orporated</w:t>
      </w:r>
      <w:r w:rsidR="00894DD9">
        <w:rPr>
          <w:rFonts w:eastAsia="SimSun"/>
          <w:szCs w:val="20"/>
        </w:rPr>
        <w:t xml:space="preserve"> (“ATSI”)</w:t>
      </w:r>
      <w:r w:rsidR="0001349B">
        <w:rPr>
          <w:rFonts w:eastAsia="SimSun"/>
          <w:szCs w:val="20"/>
        </w:rPr>
        <w:t>)</w:t>
      </w:r>
      <w:r w:rsidR="00894DD9">
        <w:rPr>
          <w:rFonts w:eastAsia="SimSun"/>
          <w:szCs w:val="20"/>
        </w:rPr>
        <w:t xml:space="preserve">, or Toledo Edison itself determines that such an emergency exists, </w:t>
      </w:r>
      <w:r w:rsidR="00D805F4">
        <w:rPr>
          <w:rFonts w:eastAsia="SimSun"/>
          <w:szCs w:val="20"/>
        </w:rPr>
        <w:t>the Company</w:t>
      </w:r>
      <w:r w:rsidR="00894DD9">
        <w:rPr>
          <w:rFonts w:eastAsia="SimSun"/>
          <w:szCs w:val="20"/>
        </w:rPr>
        <w:t xml:space="preserve"> may call an ECE under Rider ELR.  </w:t>
      </w:r>
    </w:p>
    <w:p w14:paraId="393A7885" w14:textId="58BCD974" w:rsidR="00894DD9" w:rsidRDefault="00657370" w:rsidP="00B61FD7">
      <w:pPr>
        <w:pStyle w:val="BodyDblSp5J"/>
        <w:rPr>
          <w:rFonts w:eastAsia="SimSun"/>
          <w:szCs w:val="20"/>
        </w:rPr>
      </w:pPr>
      <w:r>
        <w:rPr>
          <w:rFonts w:eastAsia="SimSun"/>
          <w:szCs w:val="20"/>
        </w:rPr>
        <w:t>“</w:t>
      </w:r>
      <w:r w:rsidR="002D42ED" w:rsidRPr="002D42ED">
        <w:rPr>
          <w:rFonts w:eastAsia="SimSun"/>
          <w:szCs w:val="20"/>
        </w:rPr>
        <w:t>U</w:t>
      </w:r>
      <w:r w:rsidRPr="002D42ED">
        <w:rPr>
          <w:rFonts w:eastAsia="SimSun"/>
          <w:szCs w:val="20"/>
        </w:rPr>
        <w:t>pon no less than two hours advance notification</w:t>
      </w:r>
      <w:r w:rsidR="002D42ED" w:rsidRPr="002D42ED">
        <w:rPr>
          <w:rFonts w:eastAsia="SimSun"/>
          <w:szCs w:val="20"/>
        </w:rPr>
        <w:t xml:space="preserve"> [of the ECE]</w:t>
      </w:r>
      <w:r w:rsidRPr="002D42ED">
        <w:rPr>
          <w:rFonts w:eastAsia="SimSun"/>
          <w:szCs w:val="20"/>
        </w:rPr>
        <w:t xml:space="preserve"> provided by the Company</w:t>
      </w:r>
      <w:r w:rsidR="002D42ED" w:rsidRPr="002D42ED">
        <w:rPr>
          <w:rFonts w:eastAsia="SimSun"/>
          <w:szCs w:val="20"/>
        </w:rPr>
        <w:t>,”</w:t>
      </w:r>
      <w:r>
        <w:rPr>
          <w:rFonts w:eastAsia="SimSun"/>
          <w:szCs w:val="20"/>
        </w:rPr>
        <w:t xml:space="preserve"> </w:t>
      </w:r>
      <w:r w:rsidR="00894DD9">
        <w:rPr>
          <w:rFonts w:eastAsia="SimSun"/>
          <w:szCs w:val="20"/>
        </w:rPr>
        <w:t>Rider ELR customers are required to reduce their load on the system down to a preset “Firm Load,” which is ch</w:t>
      </w:r>
      <w:r w:rsidR="007D133A">
        <w:rPr>
          <w:rFonts w:eastAsia="SimSun"/>
          <w:szCs w:val="20"/>
        </w:rPr>
        <w:t xml:space="preserve">osen by </w:t>
      </w:r>
      <w:r w:rsidR="007D133A" w:rsidRPr="00B61FD7">
        <w:rPr>
          <w:rFonts w:eastAsia="SimSun"/>
        </w:rPr>
        <w:t>each</w:t>
      </w:r>
      <w:r w:rsidR="007D133A">
        <w:rPr>
          <w:rFonts w:eastAsia="SimSun"/>
          <w:szCs w:val="20"/>
        </w:rPr>
        <w:t xml:space="preserve"> Rider ELR customer</w:t>
      </w:r>
      <w:r w:rsidR="00894DD9">
        <w:rPr>
          <w:rFonts w:eastAsia="SimSun"/>
          <w:szCs w:val="20"/>
        </w:rPr>
        <w:t>.</w:t>
      </w:r>
      <w:r w:rsidR="00894DD9">
        <w:rPr>
          <w:rStyle w:val="FootnoteReference"/>
          <w:rFonts w:eastAsia="SimSun"/>
          <w:szCs w:val="20"/>
        </w:rPr>
        <w:footnoteReference w:id="21"/>
      </w:r>
      <w:r w:rsidR="005D1070">
        <w:rPr>
          <w:rFonts w:eastAsia="SimSun"/>
          <w:szCs w:val="20"/>
        </w:rPr>
        <w:t xml:space="preserve">  </w:t>
      </w:r>
      <w:r w:rsidR="002D42ED" w:rsidRPr="002D42ED">
        <w:rPr>
          <w:rFonts w:eastAsia="SimSun"/>
          <w:szCs w:val="20"/>
        </w:rPr>
        <w:t>Rider ELR customers’ load “must remain at or below its Firm Load” during the entire period of an ECE</w:t>
      </w:r>
      <w:r w:rsidR="007D133A" w:rsidRPr="002D42ED">
        <w:rPr>
          <w:rStyle w:val="FootnoteReference"/>
          <w:rFonts w:eastAsia="SimSun"/>
          <w:szCs w:val="20"/>
        </w:rPr>
        <w:footnoteReference w:id="22"/>
      </w:r>
      <w:r w:rsidR="007D133A">
        <w:rPr>
          <w:rFonts w:eastAsia="SimSun"/>
          <w:szCs w:val="20"/>
        </w:rPr>
        <w:t xml:space="preserve">  in order to assist in maintaining the integrity of the system</w:t>
      </w:r>
      <w:r w:rsidR="002D42ED" w:rsidRPr="002D42ED">
        <w:rPr>
          <w:rFonts w:eastAsia="SimSun"/>
          <w:szCs w:val="20"/>
        </w:rPr>
        <w:t>.</w:t>
      </w:r>
      <w:r w:rsidR="002D42ED">
        <w:rPr>
          <w:rFonts w:eastAsia="SimSun"/>
          <w:szCs w:val="20"/>
        </w:rPr>
        <w:t xml:space="preserve"> </w:t>
      </w:r>
      <w:r w:rsidR="007D133A">
        <w:rPr>
          <w:rFonts w:eastAsia="SimSun"/>
          <w:szCs w:val="20"/>
        </w:rPr>
        <w:t xml:space="preserve"> </w:t>
      </w:r>
      <w:r w:rsidR="005D1070">
        <w:rPr>
          <w:rFonts w:eastAsia="SimSun"/>
          <w:szCs w:val="20"/>
        </w:rPr>
        <w:t xml:space="preserve">If Rider ELR customers do not sufficiently curtail during an ECE in accordance with their commitments under the Rider, the Company may be required </w:t>
      </w:r>
      <w:r w:rsidR="00CA38EE">
        <w:rPr>
          <w:rFonts w:eastAsia="SimSun"/>
          <w:szCs w:val="20"/>
        </w:rPr>
        <w:t>to take other action to ensure system reliability, which could include curtailing other firm service residential and business customers.</w:t>
      </w:r>
      <w:r w:rsidR="00CA38EE">
        <w:rPr>
          <w:rStyle w:val="FootnoteReference"/>
          <w:rFonts w:eastAsia="SimSun"/>
          <w:szCs w:val="20"/>
        </w:rPr>
        <w:footnoteReference w:id="23"/>
      </w:r>
    </w:p>
    <w:p w14:paraId="1ABA55B0" w14:textId="5BCE1D57" w:rsidR="00D125DD" w:rsidRDefault="000040F3" w:rsidP="00B61FD7">
      <w:pPr>
        <w:pStyle w:val="BodyDblSp5J"/>
        <w:rPr>
          <w:rFonts w:eastAsia="SimSun"/>
          <w:szCs w:val="20"/>
        </w:rPr>
      </w:pPr>
      <w:r>
        <w:rPr>
          <w:rFonts w:eastAsia="SimSun"/>
          <w:szCs w:val="20"/>
        </w:rPr>
        <w:t xml:space="preserve">Participating customers receive $10/KW per month per unit of Curtailable Load for agreeing to participate and </w:t>
      </w:r>
      <w:r w:rsidR="0001349B">
        <w:rPr>
          <w:rFonts w:eastAsia="SimSun"/>
          <w:szCs w:val="20"/>
        </w:rPr>
        <w:t xml:space="preserve">for </w:t>
      </w:r>
      <w:r>
        <w:rPr>
          <w:rFonts w:eastAsia="SimSun"/>
          <w:szCs w:val="20"/>
        </w:rPr>
        <w:t>comply</w:t>
      </w:r>
      <w:r w:rsidR="0001349B">
        <w:rPr>
          <w:rFonts w:eastAsia="SimSun"/>
          <w:szCs w:val="20"/>
        </w:rPr>
        <w:t>ing</w:t>
      </w:r>
      <w:r>
        <w:rPr>
          <w:rFonts w:eastAsia="SimSun"/>
          <w:szCs w:val="20"/>
        </w:rPr>
        <w:t xml:space="preserve"> with the Rider ELR requirements:  $5/KW per month </w:t>
      </w:r>
      <w:r>
        <w:rPr>
          <w:rFonts w:eastAsia="SimSun"/>
          <w:szCs w:val="20"/>
        </w:rPr>
        <w:lastRenderedPageBreak/>
        <w:t>through a Rider EDR(b) credit; and $5/KW per month Program Credit under Rider ELR.</w:t>
      </w:r>
      <w:r>
        <w:rPr>
          <w:rStyle w:val="FootnoteReference"/>
          <w:rFonts w:eastAsia="SimSun"/>
          <w:szCs w:val="20"/>
        </w:rPr>
        <w:footnoteReference w:id="24"/>
      </w:r>
      <w:r>
        <w:rPr>
          <w:rFonts w:eastAsia="SimSun"/>
          <w:szCs w:val="20"/>
        </w:rPr>
        <w:t xml:space="preserve">  The credits are paid for by other customers, including </w:t>
      </w:r>
      <w:r w:rsidR="00E64899">
        <w:rPr>
          <w:rFonts w:eastAsia="SimSun"/>
          <w:szCs w:val="20"/>
        </w:rPr>
        <w:t xml:space="preserve">DSE1 </w:t>
      </w:r>
      <w:r>
        <w:rPr>
          <w:rFonts w:eastAsia="SimSun"/>
          <w:szCs w:val="20"/>
        </w:rPr>
        <w:t xml:space="preserve">charges under </w:t>
      </w:r>
      <w:r w:rsidR="00E64899">
        <w:rPr>
          <w:rFonts w:eastAsia="SimSun"/>
          <w:szCs w:val="20"/>
        </w:rPr>
        <w:t>the Demand Side Management and Energy Efficiency Rider (“</w:t>
      </w:r>
      <w:r>
        <w:rPr>
          <w:rFonts w:eastAsia="SimSun"/>
          <w:szCs w:val="20"/>
        </w:rPr>
        <w:t>Rider DSE</w:t>
      </w:r>
      <w:r w:rsidR="00E64899">
        <w:rPr>
          <w:rFonts w:eastAsia="SimSun"/>
          <w:szCs w:val="20"/>
        </w:rPr>
        <w:t>”)</w:t>
      </w:r>
      <w:r>
        <w:rPr>
          <w:rFonts w:eastAsia="SimSun"/>
          <w:szCs w:val="20"/>
        </w:rPr>
        <w:t xml:space="preserve"> paid by all </w:t>
      </w:r>
      <w:r w:rsidR="00BF3D9C">
        <w:rPr>
          <w:rFonts w:eastAsia="SimSun"/>
          <w:szCs w:val="20"/>
        </w:rPr>
        <w:t xml:space="preserve">retail </w:t>
      </w:r>
      <w:r>
        <w:rPr>
          <w:rFonts w:eastAsia="SimSun"/>
          <w:szCs w:val="20"/>
        </w:rPr>
        <w:t>customers</w:t>
      </w:r>
      <w:r w:rsidR="00E64899">
        <w:rPr>
          <w:rFonts w:eastAsia="SimSun"/>
          <w:szCs w:val="20"/>
        </w:rPr>
        <w:t xml:space="preserve"> </w:t>
      </w:r>
      <w:r w:rsidR="00BF3D9C">
        <w:rPr>
          <w:rFonts w:eastAsia="SimSun"/>
          <w:szCs w:val="20"/>
        </w:rPr>
        <w:t>other than those participating on Rider ELR</w:t>
      </w:r>
      <w:r w:rsidR="004A512C">
        <w:rPr>
          <w:rFonts w:eastAsia="SimSun"/>
          <w:szCs w:val="20"/>
        </w:rPr>
        <w:t>,</w:t>
      </w:r>
      <w:r w:rsidR="00BF3D9C">
        <w:rPr>
          <w:rFonts w:eastAsia="SimSun"/>
          <w:szCs w:val="20"/>
        </w:rPr>
        <w:t xml:space="preserve"> </w:t>
      </w:r>
      <w:r>
        <w:rPr>
          <w:rFonts w:eastAsia="SimSun"/>
          <w:szCs w:val="20"/>
        </w:rPr>
        <w:t xml:space="preserve">and </w:t>
      </w:r>
      <w:r w:rsidR="00E64899">
        <w:rPr>
          <w:rFonts w:eastAsia="SimSun"/>
          <w:szCs w:val="20"/>
        </w:rPr>
        <w:t>the EDR(e) charge under the Economic Development Rider (“Rider EDR”)</w:t>
      </w:r>
      <w:r>
        <w:rPr>
          <w:rFonts w:eastAsia="SimSun"/>
          <w:szCs w:val="20"/>
        </w:rPr>
        <w:t xml:space="preserve"> paid by GS and GP rate schedule customers.</w:t>
      </w:r>
      <w:r>
        <w:rPr>
          <w:rStyle w:val="FootnoteReference"/>
          <w:rFonts w:eastAsia="SimSun"/>
          <w:szCs w:val="20"/>
        </w:rPr>
        <w:footnoteReference w:id="25"/>
      </w:r>
      <w:r>
        <w:rPr>
          <w:rFonts w:eastAsia="SimSun"/>
          <w:szCs w:val="20"/>
        </w:rPr>
        <w:t xml:space="preserve">  A Rider ELR customer receives the credits whether it is required to curtail in a given month or not.</w:t>
      </w:r>
      <w:r>
        <w:rPr>
          <w:rStyle w:val="FootnoteReference"/>
          <w:rFonts w:eastAsia="SimSun"/>
          <w:szCs w:val="20"/>
        </w:rPr>
        <w:footnoteReference w:id="26"/>
      </w:r>
      <w:r>
        <w:rPr>
          <w:rFonts w:eastAsia="SimSun"/>
          <w:szCs w:val="20"/>
        </w:rPr>
        <w:t xml:space="preserve">  </w:t>
      </w:r>
      <w:r w:rsidR="00D125DD">
        <w:rPr>
          <w:rFonts w:eastAsia="SimSun"/>
          <w:szCs w:val="20"/>
        </w:rPr>
        <w:t xml:space="preserve">In fact, </w:t>
      </w:r>
      <w:r w:rsidR="00D125DD" w:rsidRPr="00D125DD">
        <w:rPr>
          <w:rFonts w:eastAsia="SimSun"/>
          <w:szCs w:val="20"/>
        </w:rPr>
        <w:t>MSC has received millions of dollars in credits, as of December 31, 2013, as a result of its agreement to participate in Rider ELR.</w:t>
      </w:r>
      <w:r w:rsidR="00D125DD" w:rsidRPr="00D125DD">
        <w:rPr>
          <w:rStyle w:val="FootnoteReference"/>
          <w:rFonts w:eastAsia="SimSun"/>
          <w:szCs w:val="20"/>
        </w:rPr>
        <w:footnoteReference w:id="27"/>
      </w:r>
      <w:r w:rsidR="00D125DD" w:rsidRPr="00D125DD">
        <w:rPr>
          <w:rFonts w:eastAsia="SimSun"/>
          <w:szCs w:val="20"/>
        </w:rPr>
        <w:t xml:space="preserve">  And, during the same four and a half years, MSC was only required to curtail its load seven times</w:t>
      </w:r>
      <w:r w:rsidR="00D805F4">
        <w:rPr>
          <w:rFonts w:eastAsia="SimSun"/>
          <w:szCs w:val="20"/>
        </w:rPr>
        <w:t xml:space="preserve"> (</w:t>
      </w:r>
      <w:r w:rsidR="001337C4">
        <w:rPr>
          <w:rFonts w:eastAsia="SimSun"/>
          <w:szCs w:val="20"/>
        </w:rPr>
        <w:t xml:space="preserve">two </w:t>
      </w:r>
      <w:r w:rsidR="00D805F4">
        <w:rPr>
          <w:rFonts w:eastAsia="SimSun"/>
          <w:szCs w:val="20"/>
        </w:rPr>
        <w:t xml:space="preserve">test events and </w:t>
      </w:r>
      <w:r w:rsidR="001337C4">
        <w:rPr>
          <w:rFonts w:eastAsia="SimSun"/>
          <w:szCs w:val="20"/>
        </w:rPr>
        <w:t xml:space="preserve">five </w:t>
      </w:r>
      <w:r w:rsidR="00D805F4">
        <w:rPr>
          <w:rFonts w:eastAsia="SimSun"/>
          <w:szCs w:val="20"/>
        </w:rPr>
        <w:t>ECEs)</w:t>
      </w:r>
      <w:r w:rsidR="00D125DD" w:rsidRPr="00D125DD">
        <w:rPr>
          <w:rFonts w:eastAsia="SimSun"/>
          <w:szCs w:val="20"/>
        </w:rPr>
        <w:t>.</w:t>
      </w:r>
      <w:r w:rsidR="00D125DD" w:rsidRPr="00D125DD">
        <w:rPr>
          <w:rStyle w:val="FootnoteReference"/>
          <w:rFonts w:eastAsia="SimSun"/>
          <w:szCs w:val="20"/>
        </w:rPr>
        <w:footnoteReference w:id="28"/>
      </w:r>
    </w:p>
    <w:p w14:paraId="7411FCE0" w14:textId="4B7A4ECE" w:rsidR="004C64C7" w:rsidRPr="005767C5" w:rsidRDefault="000040F3" w:rsidP="00B61FD7">
      <w:pPr>
        <w:pStyle w:val="BodyDblSp5J"/>
        <w:rPr>
          <w:rFonts w:eastAsia="SimSun"/>
          <w:szCs w:val="20"/>
        </w:rPr>
      </w:pPr>
      <w:r>
        <w:rPr>
          <w:rFonts w:eastAsia="SimSun"/>
          <w:szCs w:val="20"/>
        </w:rPr>
        <w:t xml:space="preserve">However, if </w:t>
      </w:r>
      <w:r w:rsidR="00D805F4">
        <w:rPr>
          <w:rFonts w:eastAsia="SimSun"/>
          <w:szCs w:val="20"/>
        </w:rPr>
        <w:t>a</w:t>
      </w:r>
      <w:r>
        <w:rPr>
          <w:rFonts w:eastAsia="SimSun"/>
          <w:szCs w:val="20"/>
        </w:rPr>
        <w:t xml:space="preserve"> customer fail</w:t>
      </w:r>
      <w:r w:rsidR="00D805F4">
        <w:rPr>
          <w:rFonts w:eastAsia="SimSun"/>
          <w:szCs w:val="20"/>
        </w:rPr>
        <w:t>s</w:t>
      </w:r>
      <w:r>
        <w:rPr>
          <w:rFonts w:eastAsia="SimSun"/>
          <w:szCs w:val="20"/>
        </w:rPr>
        <w:t xml:space="preserve"> to curtail as required by Rider ELR, the customer is subject to penalties, including a requirement that the customer return certain amounts of the </w:t>
      </w:r>
      <w:r w:rsidR="00D125DD">
        <w:rPr>
          <w:rFonts w:eastAsia="SimSun"/>
          <w:szCs w:val="20"/>
        </w:rPr>
        <w:t>credits it previously received</w:t>
      </w:r>
      <w:r w:rsidR="005767C5">
        <w:rPr>
          <w:rFonts w:eastAsia="SimSun"/>
          <w:szCs w:val="20"/>
        </w:rPr>
        <w:t>:</w:t>
      </w:r>
      <w:r w:rsidR="005767C5" w:rsidRPr="005767C5">
        <w:rPr>
          <w:rFonts w:eastAsia="SimSun"/>
          <w:szCs w:val="20"/>
        </w:rPr>
        <w:t xml:space="preserve">  </w:t>
      </w:r>
    </w:p>
    <w:p w14:paraId="711F0AFE" w14:textId="77777777" w:rsidR="004C64C7" w:rsidRPr="005767C5" w:rsidRDefault="004C64C7" w:rsidP="004974BA">
      <w:pPr>
        <w:pStyle w:val="BodyDblIndentJ"/>
        <w:rPr>
          <w:rFonts w:eastAsia="SimSun"/>
          <w:szCs w:val="20"/>
        </w:rPr>
      </w:pPr>
      <w:r w:rsidRPr="005767C5">
        <w:rPr>
          <w:rFonts w:eastAsia="SimSun"/>
          <w:b/>
          <w:szCs w:val="20"/>
        </w:rPr>
        <w:t xml:space="preserve">If at </w:t>
      </w:r>
      <w:r w:rsidRPr="0001349B">
        <w:rPr>
          <w:rFonts w:eastAsia="SimSun"/>
          <w:b/>
          <w:szCs w:val="20"/>
        </w:rPr>
        <w:t>any time</w:t>
      </w:r>
      <w:r w:rsidRPr="005767C5">
        <w:rPr>
          <w:rFonts w:eastAsia="SimSun"/>
          <w:b/>
          <w:szCs w:val="20"/>
        </w:rPr>
        <w:t xml:space="preserve"> during the Emergency Curtailment Event a customer’s actual measured load exceeds 110% of its Firm Load, the customer </w:t>
      </w:r>
      <w:r w:rsidRPr="0001349B">
        <w:rPr>
          <w:rFonts w:eastAsia="SimSun"/>
          <w:b/>
          <w:szCs w:val="20"/>
        </w:rPr>
        <w:t>shall</w:t>
      </w:r>
      <w:r w:rsidRPr="005767C5">
        <w:rPr>
          <w:rFonts w:eastAsia="SimSun"/>
          <w:b/>
          <w:szCs w:val="20"/>
        </w:rPr>
        <w:t xml:space="preserve"> be subject to all four (4) of the following</w:t>
      </w:r>
      <w:r w:rsidRPr="005767C5">
        <w:rPr>
          <w:rFonts w:eastAsia="SimSun"/>
          <w:szCs w:val="20"/>
        </w:rPr>
        <w:t xml:space="preserve">: (i) forfeit its Program Credit for the month in which the Emergency </w:t>
      </w:r>
      <w:r w:rsidRPr="004974BA">
        <w:rPr>
          <w:rFonts w:eastAsia="SimSun"/>
        </w:rPr>
        <w:t>Curtailment</w:t>
      </w:r>
      <w:r w:rsidRPr="005767C5">
        <w:rPr>
          <w:rFonts w:eastAsia="SimSun"/>
          <w:szCs w:val="20"/>
        </w:rPr>
        <w:t xml:space="preserve"> Event occurred; (ii) pay the ECE Charge set forth in the Rates section of this Rider; (iii) pay the sum of all Program Credits received by the customer under the Program during the immediately preceding twelve billing months which shall include credits from this Rider and the Economic Development Rider; and (iv) the Company’s right, at its sole discretion, to remove the customer from the Program for a minimum of 12 months.</w:t>
      </w:r>
      <w:r w:rsidRPr="005767C5">
        <w:rPr>
          <w:rStyle w:val="FootnoteReference"/>
          <w:rFonts w:eastAsia="SimSun"/>
          <w:szCs w:val="20"/>
        </w:rPr>
        <w:footnoteReference w:id="29"/>
      </w:r>
    </w:p>
    <w:p w14:paraId="00778004" w14:textId="77777777" w:rsidR="004A512C" w:rsidRDefault="005767C5" w:rsidP="004A512C">
      <w:pPr>
        <w:spacing w:line="480" w:lineRule="auto"/>
        <w:jc w:val="both"/>
        <w:rPr>
          <w:rFonts w:eastAsia="SimSun"/>
          <w:szCs w:val="20"/>
        </w:rPr>
      </w:pPr>
      <w:r w:rsidRPr="005767C5">
        <w:rPr>
          <w:rFonts w:eastAsia="SimSun"/>
        </w:rPr>
        <w:t>T</w:t>
      </w:r>
      <w:r w:rsidR="004C64C7" w:rsidRPr="005767C5">
        <w:rPr>
          <w:rFonts w:eastAsia="SimSun"/>
        </w:rPr>
        <w:t xml:space="preserve">he imposition of the forfeiture and penalties is mandatory.  </w:t>
      </w:r>
      <w:r w:rsidR="004A512C">
        <w:rPr>
          <w:rFonts w:eastAsia="SimSun"/>
          <w:szCs w:val="20"/>
        </w:rPr>
        <w:t xml:space="preserve">Rider ELR provides the Company with no discretion in this regard.  </w:t>
      </w:r>
      <w:r w:rsidR="004A512C" w:rsidRPr="005767C5">
        <w:rPr>
          <w:rFonts w:eastAsia="SimSun"/>
          <w:szCs w:val="20"/>
        </w:rPr>
        <w:t>Rider ELR</w:t>
      </w:r>
      <w:r w:rsidR="004A512C">
        <w:rPr>
          <w:rFonts w:eastAsia="SimSun"/>
          <w:szCs w:val="20"/>
        </w:rPr>
        <w:t xml:space="preserve"> does</w:t>
      </w:r>
      <w:r w:rsidR="004A512C" w:rsidRPr="005767C5">
        <w:rPr>
          <w:rFonts w:eastAsia="SimSun"/>
          <w:szCs w:val="20"/>
        </w:rPr>
        <w:t xml:space="preserve"> provide the Company with discretion to </w:t>
      </w:r>
      <w:r w:rsidR="004A512C" w:rsidRPr="005767C5">
        <w:rPr>
          <w:rFonts w:eastAsia="SimSun"/>
          <w:szCs w:val="20"/>
        </w:rPr>
        <w:lastRenderedPageBreak/>
        <w:t xml:space="preserve">disconnect the customer’s service after the commencement of an ECE if the customer fails to comply (“the Company </w:t>
      </w:r>
      <w:r w:rsidR="004A512C" w:rsidRPr="005767C5">
        <w:rPr>
          <w:rFonts w:eastAsia="SimSun"/>
          <w:szCs w:val="20"/>
          <w:u w:val="single"/>
        </w:rPr>
        <w:t>may</w:t>
      </w:r>
      <w:r w:rsidR="004A512C" w:rsidRPr="005767C5">
        <w:rPr>
          <w:rFonts w:eastAsia="SimSun"/>
          <w:szCs w:val="20"/>
        </w:rPr>
        <w:t xml:space="preserve"> disconnect the customer…”)</w:t>
      </w:r>
      <w:r w:rsidR="004A512C">
        <w:rPr>
          <w:rFonts w:eastAsia="SimSun"/>
          <w:szCs w:val="20"/>
        </w:rPr>
        <w:t xml:space="preserve">.  However, </w:t>
      </w:r>
      <w:r w:rsidR="00FE6D5B">
        <w:rPr>
          <w:rFonts w:eastAsia="SimSun"/>
        </w:rPr>
        <w:t xml:space="preserve">whether the Company </w:t>
      </w:r>
      <w:r w:rsidR="00456116">
        <w:rPr>
          <w:rFonts w:eastAsia="SimSun"/>
        </w:rPr>
        <w:t>uses its discretion to disconnect the customer’s service</w:t>
      </w:r>
      <w:r w:rsidR="00FE6D5B">
        <w:rPr>
          <w:rFonts w:eastAsia="SimSun"/>
        </w:rPr>
        <w:t xml:space="preserve"> or not</w:t>
      </w:r>
      <w:r w:rsidR="00456116">
        <w:rPr>
          <w:rFonts w:eastAsia="SimSun"/>
        </w:rPr>
        <w:t xml:space="preserve">, the customer is still subject to the mandatory </w:t>
      </w:r>
      <w:r w:rsidR="00D339F6">
        <w:rPr>
          <w:rFonts w:eastAsia="SimSun"/>
        </w:rPr>
        <w:t>monetary</w:t>
      </w:r>
      <w:r w:rsidR="004C64C7" w:rsidRPr="005767C5">
        <w:rPr>
          <w:rFonts w:eastAsia="SimSun"/>
        </w:rPr>
        <w:t xml:space="preserve"> forfeiture and penalties </w:t>
      </w:r>
      <w:r w:rsidRPr="005767C5">
        <w:rPr>
          <w:rFonts w:eastAsia="SimSun"/>
        </w:rPr>
        <w:t xml:space="preserve">(“the customer </w:t>
      </w:r>
      <w:r w:rsidRPr="005767C5">
        <w:rPr>
          <w:rFonts w:eastAsia="SimSun"/>
          <w:u w:val="single"/>
        </w:rPr>
        <w:t>shall</w:t>
      </w:r>
      <w:r w:rsidRPr="005767C5">
        <w:rPr>
          <w:rFonts w:eastAsia="SimSun"/>
        </w:rPr>
        <w:t xml:space="preserve"> be subject to. . . .”)</w:t>
      </w:r>
      <w:r w:rsidR="004C64C7" w:rsidRPr="005767C5">
        <w:rPr>
          <w:rFonts w:eastAsia="SimSun"/>
        </w:rPr>
        <w:t>.</w:t>
      </w:r>
      <w:r w:rsidRPr="005767C5">
        <w:rPr>
          <w:rStyle w:val="FootnoteReference"/>
          <w:rFonts w:eastAsia="SimSun"/>
          <w:szCs w:val="20"/>
        </w:rPr>
        <w:footnoteReference w:id="30"/>
      </w:r>
      <w:r w:rsidR="001B6D99">
        <w:rPr>
          <w:rFonts w:eastAsia="SimSun"/>
        </w:rPr>
        <w:t xml:space="preserve">  Any </w:t>
      </w:r>
      <w:r w:rsidR="006A3C92">
        <w:rPr>
          <w:rFonts w:eastAsia="SimSun"/>
        </w:rPr>
        <w:t xml:space="preserve">and all </w:t>
      </w:r>
      <w:r w:rsidR="001B6D99">
        <w:rPr>
          <w:rFonts w:eastAsia="SimSun"/>
        </w:rPr>
        <w:t>amounts received via penalties under Rider ELR are returned to the customers who paid for the credits, via a reduction in the Rider DSE1 and Rider EDR(e) charges.</w:t>
      </w:r>
      <w:r w:rsidR="001B6D99">
        <w:rPr>
          <w:rStyle w:val="FootnoteReference"/>
          <w:rFonts w:eastAsia="SimSun"/>
          <w:szCs w:val="20"/>
        </w:rPr>
        <w:footnoteReference w:id="31"/>
      </w:r>
      <w:r w:rsidR="004A512C">
        <w:rPr>
          <w:rFonts w:eastAsia="SimSun"/>
        </w:rPr>
        <w:t xml:space="preserve">  </w:t>
      </w:r>
      <w:r w:rsidR="004A512C">
        <w:rPr>
          <w:rFonts w:eastAsia="SimSun"/>
          <w:szCs w:val="20"/>
        </w:rPr>
        <w:t>The Company does not retain any of the penalty payments.</w:t>
      </w:r>
    </w:p>
    <w:p w14:paraId="41515523" w14:textId="6420F5BB" w:rsidR="00AC2E39" w:rsidRPr="005767C5" w:rsidRDefault="00D125DD" w:rsidP="00B61FD7">
      <w:pPr>
        <w:pStyle w:val="BodyDblSp5J"/>
        <w:rPr>
          <w:rFonts w:eastAsia="SimSun"/>
          <w:szCs w:val="20"/>
        </w:rPr>
      </w:pPr>
      <w:r>
        <w:rPr>
          <w:rFonts w:eastAsia="SimSun"/>
          <w:szCs w:val="20"/>
        </w:rPr>
        <w:t>T</w:t>
      </w:r>
      <w:r w:rsidR="00AC2E39">
        <w:rPr>
          <w:rFonts w:eastAsia="SimSun"/>
          <w:szCs w:val="20"/>
        </w:rPr>
        <w:t>hese penalties have been applied to other Rider ELR customer</w:t>
      </w:r>
      <w:r w:rsidR="0001349B">
        <w:rPr>
          <w:rFonts w:eastAsia="SimSun"/>
          <w:szCs w:val="20"/>
        </w:rPr>
        <w:t>s.  The other FirstEnergy Ohio u</w:t>
      </w:r>
      <w:r w:rsidR="00AC2E39">
        <w:rPr>
          <w:rFonts w:eastAsia="SimSun"/>
          <w:szCs w:val="20"/>
        </w:rPr>
        <w:t xml:space="preserve">tilities </w:t>
      </w:r>
      <w:r w:rsidR="00FE6D5B">
        <w:rPr>
          <w:rFonts w:eastAsia="SimSun"/>
          <w:szCs w:val="20"/>
        </w:rPr>
        <w:t>offer</w:t>
      </w:r>
      <w:r w:rsidR="00AC2E39">
        <w:rPr>
          <w:rFonts w:eastAsia="SimSun"/>
          <w:szCs w:val="20"/>
        </w:rPr>
        <w:t xml:space="preserve"> the same Rider ELR program and customers of both Ohio Edison Company and The Cleveland Electric Illuminating Company </w:t>
      </w:r>
      <w:r w:rsidR="0001349B">
        <w:rPr>
          <w:rFonts w:eastAsia="SimSun"/>
          <w:szCs w:val="20"/>
        </w:rPr>
        <w:t xml:space="preserve">have </w:t>
      </w:r>
      <w:r w:rsidR="00AC2E39">
        <w:rPr>
          <w:rFonts w:eastAsia="SimSun"/>
          <w:szCs w:val="20"/>
        </w:rPr>
        <w:t xml:space="preserve">failed to comply with their obligations under Rider ELR in </w:t>
      </w:r>
      <w:r w:rsidR="00AC2E39" w:rsidRPr="00B61FD7">
        <w:t>connection</w:t>
      </w:r>
      <w:r w:rsidR="00AC2E39">
        <w:rPr>
          <w:rFonts w:eastAsia="SimSun"/>
          <w:szCs w:val="20"/>
        </w:rPr>
        <w:t xml:space="preserve"> with ECEs in 2013.</w:t>
      </w:r>
      <w:r w:rsidR="00AC2E39">
        <w:rPr>
          <w:rStyle w:val="FootnoteReference"/>
          <w:rFonts w:eastAsia="SimSun"/>
          <w:szCs w:val="20"/>
        </w:rPr>
        <w:footnoteReference w:id="32"/>
      </w:r>
      <w:r w:rsidR="00AC2E39">
        <w:rPr>
          <w:rFonts w:eastAsia="SimSun"/>
          <w:szCs w:val="20"/>
        </w:rPr>
        <w:t xml:space="preserve">  In each of these other instances, the Rider ELR customers were penalized </w:t>
      </w:r>
      <w:r w:rsidR="004A512C">
        <w:rPr>
          <w:rFonts w:eastAsia="SimSun"/>
          <w:szCs w:val="20"/>
        </w:rPr>
        <w:t>as required by</w:t>
      </w:r>
      <w:r w:rsidR="00AC2E39">
        <w:rPr>
          <w:rFonts w:eastAsia="SimSun"/>
          <w:szCs w:val="20"/>
        </w:rPr>
        <w:t xml:space="preserve"> the Rider’</w:t>
      </w:r>
      <w:r w:rsidR="00BC34E2">
        <w:rPr>
          <w:rFonts w:eastAsia="SimSun"/>
          <w:szCs w:val="20"/>
        </w:rPr>
        <w:t>s penalty provisions and “have paid, or are in the process of paying, the penalties as assessed.”</w:t>
      </w:r>
      <w:r w:rsidR="00BC34E2">
        <w:rPr>
          <w:rStyle w:val="FootnoteReference"/>
          <w:rFonts w:eastAsia="SimSun"/>
          <w:szCs w:val="20"/>
        </w:rPr>
        <w:footnoteReference w:id="33"/>
      </w:r>
      <w:r w:rsidR="00BC34E2">
        <w:rPr>
          <w:rFonts w:eastAsia="SimSun"/>
          <w:szCs w:val="20"/>
        </w:rPr>
        <w:t xml:space="preserve">   </w:t>
      </w:r>
    </w:p>
    <w:p w14:paraId="683C06F7" w14:textId="77777777" w:rsidR="00D420AC" w:rsidRPr="00D420AC" w:rsidRDefault="00C7716C" w:rsidP="00D420AC">
      <w:pPr>
        <w:pStyle w:val="Heading2"/>
      </w:pPr>
      <w:bookmarkStart w:id="11" w:name="_Toc379801510"/>
      <w:bookmarkStart w:id="12" w:name="_Toc390943985"/>
      <w:bookmarkStart w:id="13" w:name="_Toc390944248"/>
      <w:bookmarkStart w:id="14" w:name="_Toc390944596"/>
      <w:r w:rsidRPr="004710DD">
        <w:t>MSC</w:t>
      </w:r>
      <w:r w:rsidR="004C64C7" w:rsidRPr="004710DD">
        <w:t xml:space="preserve"> Failed To </w:t>
      </w:r>
      <w:r w:rsidRPr="004710DD">
        <w:t xml:space="preserve">Curtail Its Load In Accordance With </w:t>
      </w:r>
      <w:r w:rsidR="004C64C7" w:rsidRPr="004710DD">
        <w:t>The Requirements Of Rider ELR On September 11, 2013.</w:t>
      </w:r>
      <w:bookmarkEnd w:id="11"/>
      <w:bookmarkEnd w:id="12"/>
      <w:bookmarkEnd w:id="13"/>
      <w:bookmarkEnd w:id="14"/>
    </w:p>
    <w:p w14:paraId="61E4171B" w14:textId="43BD94CB" w:rsidR="00D420AC" w:rsidRDefault="00D420AC" w:rsidP="00B61FD7">
      <w:pPr>
        <w:pStyle w:val="BodyDblSp5J"/>
      </w:pPr>
      <w:r>
        <w:t>On September 11, 2013, PJM determined that an emergency situation existed that jeopardized the integrity of the transmission system in the Company’s service territory and other areas.</w:t>
      </w:r>
      <w:r>
        <w:rPr>
          <w:rStyle w:val="FootnoteReference"/>
        </w:rPr>
        <w:footnoteReference w:id="34"/>
      </w:r>
      <w:r>
        <w:t xml:space="preserve">  PJM issued an email notice to the Company regarding the emergency situation at 12:</w:t>
      </w:r>
      <w:r w:rsidR="007F7695">
        <w:t xml:space="preserve">00 </w:t>
      </w:r>
      <w:r>
        <w:t>PM.</w:t>
      </w:r>
      <w:r>
        <w:rPr>
          <w:rStyle w:val="FootnoteReference"/>
        </w:rPr>
        <w:footnoteReference w:id="35"/>
      </w:r>
      <w:r>
        <w:t xml:space="preserve">  In its notice, PJM declared a “zonal load management event” beginning at 2:00 PM and lasting for six hours.</w:t>
      </w:r>
      <w:r>
        <w:rPr>
          <w:rStyle w:val="FootnoteReference"/>
        </w:rPr>
        <w:footnoteReference w:id="36"/>
      </w:r>
      <w:r>
        <w:t xml:space="preserve">  In accordance with the Company’s procedures, PJM’s email was “sent to and received by the Regulated Generation Dispatch Department of FirstEnergy Service </w:t>
      </w:r>
      <w:r>
        <w:lastRenderedPageBreak/>
        <w:t>Company.”</w:t>
      </w:r>
      <w:r>
        <w:rPr>
          <w:rStyle w:val="FootnoteReference"/>
        </w:rPr>
        <w:footnoteReference w:id="37"/>
      </w:r>
      <w:r>
        <w:t xml:space="preserve">  Company witness Savage explained the Company’s procedures upon receipt of PJM’s notice of an emergency situation:</w:t>
      </w:r>
    </w:p>
    <w:p w14:paraId="06575DCC" w14:textId="77777777" w:rsidR="00D420AC" w:rsidRDefault="00D420AC" w:rsidP="004974BA">
      <w:pPr>
        <w:pStyle w:val="BodyDblIndentJ"/>
      </w:pPr>
      <w:r w:rsidRPr="002F532C">
        <w:t>The dispatcher</w:t>
      </w:r>
      <w:r>
        <w:t xml:space="preserve"> on duty from the Regulated Generation Dispatch Department verifies the event by viewing the log on the PJM website.  Once </w:t>
      </w:r>
      <w:r w:rsidRPr="004974BA">
        <w:rPr>
          <w:rFonts w:eastAsia="SimSun"/>
          <w:szCs w:val="20"/>
        </w:rPr>
        <w:t>confirmed</w:t>
      </w:r>
      <w:r>
        <w:t>, the dispatcher proceeds to issue a notification of an ECE</w:t>
      </w:r>
      <w:r w:rsidRPr="007A7054">
        <w:t xml:space="preserve"> </w:t>
      </w:r>
      <w:r>
        <w:t>to all affected Rider ELR customers.  The dispatcher initiates the notice simultaneously to all Rider ELR customers’ representatives – via phone (voice or text), fax, or email.</w:t>
      </w:r>
      <w:r>
        <w:rPr>
          <w:rStyle w:val="FootnoteReference"/>
        </w:rPr>
        <w:footnoteReference w:id="38"/>
      </w:r>
      <w:r>
        <w:t xml:space="preserve">  </w:t>
      </w:r>
    </w:p>
    <w:p w14:paraId="45E9C4AD" w14:textId="0BC05C86" w:rsidR="00861150" w:rsidRDefault="00861150" w:rsidP="004974BA">
      <w:pPr>
        <w:pStyle w:val="BodyDblSpJ"/>
      </w:pPr>
      <w:r>
        <w:t>On September 11, 2013, after receipt of PJM’s notice of the emergency situation</w:t>
      </w:r>
      <w:r w:rsidR="004A512C">
        <w:t xml:space="preserve"> at 12:00 PM</w:t>
      </w:r>
      <w:r>
        <w:t>, the Regulated Generation Dispatch Department issued a notice of an ECE to all of the Company’s R</w:t>
      </w:r>
      <w:r w:rsidR="00FE6D5B">
        <w:t xml:space="preserve">ider ELR customers at approximately 12:05 PM – </w:t>
      </w:r>
      <w:r w:rsidR="00DB073F">
        <w:t>within</w:t>
      </w:r>
      <w:r>
        <w:t xml:space="preserve"> five minutes after PJM’s notice.</w:t>
      </w:r>
      <w:r>
        <w:rPr>
          <w:rStyle w:val="FootnoteReference"/>
        </w:rPr>
        <w:footnoteReference w:id="39"/>
      </w:r>
      <w:r>
        <w:t xml:space="preserve"> </w:t>
      </w:r>
    </w:p>
    <w:p w14:paraId="30B8D899" w14:textId="5303B4B1" w:rsidR="00EE18E9" w:rsidRPr="009D58D7" w:rsidRDefault="00EE18E9" w:rsidP="00B61FD7">
      <w:pPr>
        <w:pStyle w:val="BodyDblSp5J"/>
      </w:pPr>
      <w:r>
        <w:t>MSC immediately received the Company’s notice of the ECE.</w:t>
      </w:r>
      <w:r>
        <w:rPr>
          <w:rStyle w:val="FootnoteReference"/>
        </w:rPr>
        <w:footnoteReference w:id="40"/>
      </w:r>
      <w:r>
        <w:t xml:space="preserve">  After receiving the notice, MSC initiated its procedures to shut down its product</w:t>
      </w:r>
      <w:r w:rsidR="00D339F6">
        <w:t>ion</w:t>
      </w:r>
      <w:r>
        <w:t xml:space="preserve"> processes and curtail its load.</w:t>
      </w:r>
      <w:r>
        <w:rPr>
          <w:rStyle w:val="FootnoteReference"/>
        </w:rPr>
        <w:footnoteReference w:id="41"/>
      </w:r>
      <w:r>
        <w:t xml:space="preserve">  Pursuant to Rider ELR, MSC had two hours from the time of</w:t>
      </w:r>
      <w:r w:rsidR="004A512C">
        <w:t xml:space="preserve"> the Company’s </w:t>
      </w:r>
      <w:r>
        <w:t>notice</w:t>
      </w:r>
      <w:r w:rsidR="004A512C">
        <w:t xml:space="preserve"> to MSC</w:t>
      </w:r>
      <w:r>
        <w:t xml:space="preserve"> in which to curtail its load down to its contract Firm Load</w:t>
      </w:r>
      <w:r w:rsidR="00D339F6">
        <w:t xml:space="preserve"> – or 2:05 PM</w:t>
      </w:r>
      <w:r>
        <w:t>.</w:t>
      </w:r>
      <w:r>
        <w:rPr>
          <w:rStyle w:val="FootnoteReference"/>
        </w:rPr>
        <w:footnoteReference w:id="42"/>
      </w:r>
      <w:r>
        <w:t xml:space="preserve">  However, MSC </w:t>
      </w:r>
      <w:r w:rsidR="00FC1E52">
        <w:t xml:space="preserve">failed to meet its obligation.  MSC </w:t>
      </w:r>
      <w:r>
        <w:t xml:space="preserve">did not reach its Firm Load </w:t>
      </w:r>
      <w:r w:rsidR="00FC1E52">
        <w:t xml:space="preserve">level </w:t>
      </w:r>
      <w:r>
        <w:t xml:space="preserve">until </w:t>
      </w:r>
      <w:r w:rsidR="006A3C92">
        <w:t xml:space="preserve">well </w:t>
      </w:r>
      <w:r>
        <w:t xml:space="preserve">over three hours after the Company’s notice of the ECE.  </w:t>
      </w:r>
      <w:r w:rsidRPr="00EE18E9">
        <w:t xml:space="preserve">More specifically, </w:t>
      </w:r>
      <w:r w:rsidR="00FC1E52">
        <w:t xml:space="preserve">MSC’s actual measured load </w:t>
      </w:r>
      <w:r w:rsidRPr="00EE18E9">
        <w:t xml:space="preserve">during the half-hour </w:t>
      </w:r>
      <w:r>
        <w:t xml:space="preserve">interval </w:t>
      </w:r>
      <w:r w:rsidRPr="00EE18E9">
        <w:t>ending 3:00 PM exceeded 152% of its Firm Load</w:t>
      </w:r>
      <w:r>
        <w:t xml:space="preserve"> and d</w:t>
      </w:r>
      <w:r w:rsidRPr="00EE18E9">
        <w:t xml:space="preserve">uring the half-hour </w:t>
      </w:r>
      <w:r>
        <w:t xml:space="preserve">interval </w:t>
      </w:r>
      <w:r w:rsidRPr="00EE18E9">
        <w:t>ending 3:30 PM, MSC’s actual measured load exceeded 144% of its Firm Load.</w:t>
      </w:r>
      <w:r>
        <w:rPr>
          <w:rStyle w:val="FootnoteReference"/>
        </w:rPr>
        <w:footnoteReference w:id="43"/>
      </w:r>
      <w:r w:rsidRPr="00EE18E9">
        <w:t xml:space="preserve">  MSC witness Augsburger, the plant’s </w:t>
      </w:r>
      <w:r>
        <w:t>E</w:t>
      </w:r>
      <w:r w:rsidRPr="00EE18E9">
        <w:t xml:space="preserve">ngineering </w:t>
      </w:r>
      <w:r>
        <w:t>M</w:t>
      </w:r>
      <w:r w:rsidRPr="00EE18E9">
        <w:t xml:space="preserve">anager and electrical expert, admitted that MSC’s highest </w:t>
      </w:r>
      <w:r w:rsidRPr="00EE18E9">
        <w:lastRenderedPageBreak/>
        <w:t xml:space="preserve">demand during the ECE was 3,041 </w:t>
      </w:r>
      <w:proofErr w:type="spellStart"/>
      <w:r w:rsidRPr="00EE18E9">
        <w:t>kVa</w:t>
      </w:r>
      <w:proofErr w:type="spellEnd"/>
      <w:r>
        <w:t>,</w:t>
      </w:r>
      <w:r>
        <w:rPr>
          <w:rStyle w:val="FootnoteReference"/>
        </w:rPr>
        <w:footnoteReference w:id="44"/>
      </w:r>
      <w:r>
        <w:t xml:space="preserve"> but MSC</w:t>
      </w:r>
      <w:r w:rsidR="004A512C">
        <w:t xml:space="preserve"> was required</w:t>
      </w:r>
      <w:r>
        <w:t xml:space="preserve"> to reduce to and maintain a load of no more than</w:t>
      </w:r>
      <w:r w:rsidR="004A512C">
        <w:t xml:space="preserve"> its established Firm Load of</w:t>
      </w:r>
      <w:r>
        <w:t xml:space="preserve"> 2,000 </w:t>
      </w:r>
      <w:proofErr w:type="spellStart"/>
      <w:r>
        <w:t>kVa</w:t>
      </w:r>
      <w:proofErr w:type="spellEnd"/>
      <w:r>
        <w:t>/kW</w:t>
      </w:r>
      <w:r w:rsidRPr="00EE18E9">
        <w:t>.</w:t>
      </w:r>
      <w:r>
        <w:rPr>
          <w:rStyle w:val="FootnoteReference"/>
        </w:rPr>
        <w:footnoteReference w:id="45"/>
      </w:r>
      <w:r w:rsidRPr="00EE18E9">
        <w:t xml:space="preserve">  </w:t>
      </w:r>
    </w:p>
    <w:p w14:paraId="13A5349E" w14:textId="427F5ACF" w:rsidR="004C64C7" w:rsidRPr="00EE18E9" w:rsidRDefault="00EE18E9" w:rsidP="004974BA">
      <w:pPr>
        <w:pStyle w:val="BodyDblSp5J"/>
        <w:rPr>
          <w:rFonts w:eastAsia="SimSun"/>
          <w:szCs w:val="20"/>
          <w:lang w:eastAsia="zh-CN"/>
        </w:rPr>
      </w:pPr>
      <w:r w:rsidRPr="00EE18E9">
        <w:rPr>
          <w:rFonts w:eastAsia="SimSun"/>
          <w:szCs w:val="20"/>
        </w:rPr>
        <w:t xml:space="preserve">The Company </w:t>
      </w:r>
      <w:r w:rsidRPr="004974BA">
        <w:t>subsequently</w:t>
      </w:r>
      <w:r w:rsidRPr="00EE18E9">
        <w:rPr>
          <w:rFonts w:eastAsia="SimSun"/>
          <w:szCs w:val="20"/>
        </w:rPr>
        <w:t xml:space="preserve"> notified MSC </w:t>
      </w:r>
      <w:r w:rsidR="004C64C7" w:rsidRPr="00EE18E9">
        <w:rPr>
          <w:rFonts w:eastAsia="SimSun"/>
          <w:szCs w:val="20"/>
        </w:rPr>
        <w:t xml:space="preserve">that, because </w:t>
      </w:r>
      <w:r w:rsidRPr="00EE18E9">
        <w:rPr>
          <w:rFonts w:eastAsia="SimSun"/>
          <w:szCs w:val="20"/>
        </w:rPr>
        <w:t>MSC’s</w:t>
      </w:r>
      <w:r w:rsidR="004C64C7" w:rsidRPr="00EE18E9">
        <w:rPr>
          <w:rFonts w:eastAsia="SimSun"/>
          <w:szCs w:val="20"/>
        </w:rPr>
        <w:t xml:space="preserve"> </w:t>
      </w:r>
      <w:r w:rsidR="00FC1E52">
        <w:rPr>
          <w:rFonts w:eastAsia="SimSun"/>
          <w:szCs w:val="20"/>
        </w:rPr>
        <w:t xml:space="preserve">actual </w:t>
      </w:r>
      <w:r w:rsidR="004C64C7" w:rsidRPr="00EE18E9">
        <w:rPr>
          <w:rFonts w:eastAsia="SimSun"/>
          <w:szCs w:val="20"/>
        </w:rPr>
        <w:t xml:space="preserve">measured load exceeded </w:t>
      </w:r>
      <w:r w:rsidR="00456116">
        <w:rPr>
          <w:rFonts w:eastAsia="SimSun"/>
          <w:szCs w:val="20"/>
        </w:rPr>
        <w:t xml:space="preserve">110% of </w:t>
      </w:r>
      <w:r w:rsidR="004C64C7" w:rsidRPr="00EE18E9">
        <w:rPr>
          <w:rFonts w:eastAsia="SimSun"/>
          <w:szCs w:val="20"/>
        </w:rPr>
        <w:t>its Firm Load during the September 11, 2013 ECE, the penalties required under Ri</w:t>
      </w:r>
      <w:r>
        <w:rPr>
          <w:rFonts w:eastAsia="SimSun"/>
          <w:szCs w:val="20"/>
        </w:rPr>
        <w:t xml:space="preserve">der ELR would be applied to MSC’s </w:t>
      </w:r>
      <w:r w:rsidR="004C64C7" w:rsidRPr="00EE18E9">
        <w:rPr>
          <w:rFonts w:eastAsia="SimSun"/>
          <w:szCs w:val="20"/>
        </w:rPr>
        <w:t>bill.</w:t>
      </w:r>
      <w:r w:rsidR="004C64C7" w:rsidRPr="00EE18E9">
        <w:rPr>
          <w:rStyle w:val="FootnoteReference"/>
          <w:rFonts w:eastAsia="SimSun"/>
          <w:szCs w:val="20"/>
        </w:rPr>
        <w:footnoteReference w:id="46"/>
      </w:r>
      <w:r w:rsidR="004C64C7" w:rsidRPr="00EE18E9">
        <w:rPr>
          <w:rFonts w:eastAsia="SimSun"/>
          <w:szCs w:val="20"/>
        </w:rPr>
        <w:t xml:space="preserve">  The total penalties required by Rider ELR are $2,445,543.15 – which includes $99,760 in forfeiture of </w:t>
      </w:r>
      <w:r w:rsidR="001C05B9" w:rsidRPr="00EE18E9">
        <w:rPr>
          <w:rFonts w:eastAsia="SimSun"/>
          <w:szCs w:val="20"/>
        </w:rPr>
        <w:t xml:space="preserve">the </w:t>
      </w:r>
      <w:r w:rsidR="004C64C7" w:rsidRPr="00EE18E9">
        <w:rPr>
          <w:rFonts w:eastAsia="SimSun"/>
          <w:szCs w:val="20"/>
        </w:rPr>
        <w:t xml:space="preserve">current month’s Rider ELR program credit; $162.15 for the Rider ELR Emergency Curtailment Event Charge; and $2,345,621.00 in forfeiture of Rider ELR and EDR-b credits received by </w:t>
      </w:r>
      <w:r>
        <w:rPr>
          <w:rFonts w:eastAsia="SimSun"/>
          <w:szCs w:val="20"/>
        </w:rPr>
        <w:t xml:space="preserve">MSC in </w:t>
      </w:r>
      <w:r w:rsidR="004C64C7" w:rsidRPr="00EE18E9">
        <w:rPr>
          <w:rFonts w:eastAsia="SimSun"/>
          <w:szCs w:val="20"/>
        </w:rPr>
        <w:t>the preceding 12 months.</w:t>
      </w:r>
      <w:r w:rsidRPr="00EE18E9">
        <w:rPr>
          <w:rStyle w:val="FootnoteReference"/>
        </w:rPr>
        <w:t xml:space="preserve"> </w:t>
      </w:r>
      <w:r w:rsidRPr="00EE18E9">
        <w:rPr>
          <w:rStyle w:val="FootnoteReference"/>
        </w:rPr>
        <w:footnoteReference w:id="47"/>
      </w:r>
      <w:r w:rsidR="004C64C7" w:rsidRPr="00EE18E9">
        <w:rPr>
          <w:rFonts w:eastAsia="SimSun"/>
          <w:szCs w:val="20"/>
        </w:rPr>
        <w:t xml:space="preserve">  </w:t>
      </w:r>
    </w:p>
    <w:p w14:paraId="43E057FB" w14:textId="2A3DAA4A" w:rsidR="004C64C7" w:rsidRPr="006F297B" w:rsidRDefault="00FE6D5B" w:rsidP="00B61FD7">
      <w:pPr>
        <w:pStyle w:val="BodyDblSp5J"/>
        <w:rPr>
          <w:rFonts w:eastAsia="SimSun"/>
          <w:szCs w:val="20"/>
          <w:lang w:eastAsia="zh-CN"/>
        </w:rPr>
      </w:pPr>
      <w:r>
        <w:rPr>
          <w:rFonts w:eastAsia="SimSun"/>
          <w:szCs w:val="20"/>
          <w:lang w:eastAsia="zh-CN"/>
        </w:rPr>
        <w:t xml:space="preserve">Rather than pay the penalties, </w:t>
      </w:r>
      <w:r w:rsidR="000E0BCA" w:rsidRPr="000E0BCA">
        <w:rPr>
          <w:rFonts w:eastAsia="SimSun"/>
          <w:szCs w:val="20"/>
          <w:lang w:eastAsia="zh-CN"/>
        </w:rPr>
        <w:t>MSC</w:t>
      </w:r>
      <w:r w:rsidR="004C64C7" w:rsidRPr="000E0BCA">
        <w:rPr>
          <w:rFonts w:eastAsia="SimSun"/>
          <w:szCs w:val="20"/>
          <w:lang w:eastAsia="zh-CN"/>
        </w:rPr>
        <w:t xml:space="preserve"> filed this Complaint asserting three causes of action.  In Count One, </w:t>
      </w:r>
      <w:r w:rsidR="000E0BCA" w:rsidRPr="000E0BCA">
        <w:rPr>
          <w:rFonts w:eastAsia="SimSun"/>
          <w:szCs w:val="20"/>
          <w:lang w:eastAsia="zh-CN"/>
        </w:rPr>
        <w:t>MSC</w:t>
      </w:r>
      <w:r w:rsidR="004C64C7" w:rsidRPr="000E0BCA">
        <w:rPr>
          <w:rFonts w:eastAsia="SimSun"/>
          <w:szCs w:val="20"/>
          <w:lang w:eastAsia="zh-CN"/>
        </w:rPr>
        <w:t xml:space="preserve"> alleges that the Company’s application of the penalties required by Rider ELR were unjust </w:t>
      </w:r>
      <w:r w:rsidR="004C64C7" w:rsidRPr="00B61FD7">
        <w:t>and</w:t>
      </w:r>
      <w:r w:rsidR="004C64C7" w:rsidRPr="000E0BCA">
        <w:rPr>
          <w:rFonts w:eastAsia="SimSun"/>
          <w:szCs w:val="20"/>
          <w:lang w:eastAsia="zh-CN"/>
        </w:rPr>
        <w:t xml:space="preserve"> unreasonable because the Company provided insufficient notice of the ECE.</w:t>
      </w:r>
      <w:r w:rsidR="004C64C7" w:rsidRPr="000E0BCA">
        <w:rPr>
          <w:rStyle w:val="FootnoteReference"/>
          <w:rFonts w:eastAsia="SimSun"/>
          <w:szCs w:val="20"/>
          <w:lang w:eastAsia="zh-CN"/>
        </w:rPr>
        <w:footnoteReference w:id="48"/>
      </w:r>
      <w:r w:rsidR="004C64C7" w:rsidRPr="000E0BCA">
        <w:rPr>
          <w:rFonts w:eastAsia="SimSun"/>
          <w:szCs w:val="20"/>
          <w:lang w:eastAsia="zh-CN"/>
        </w:rPr>
        <w:t xml:space="preserve">  In Count Two, </w:t>
      </w:r>
      <w:r w:rsidR="000E0BCA" w:rsidRPr="000E0BCA">
        <w:rPr>
          <w:rFonts w:eastAsia="SimSun"/>
          <w:szCs w:val="20"/>
          <w:lang w:eastAsia="zh-CN"/>
        </w:rPr>
        <w:t>MSC</w:t>
      </w:r>
      <w:r w:rsidR="004C64C7" w:rsidRPr="000E0BCA">
        <w:rPr>
          <w:rFonts w:eastAsia="SimSun"/>
          <w:szCs w:val="20"/>
          <w:lang w:eastAsia="zh-CN"/>
        </w:rPr>
        <w:t xml:space="preserve"> alleges that “circumstances” warrant mitigation of Rider ELR’s forfeiture and penalties.</w:t>
      </w:r>
      <w:r w:rsidR="004C64C7" w:rsidRPr="000E0BCA">
        <w:rPr>
          <w:rStyle w:val="FootnoteReference"/>
          <w:rFonts w:eastAsia="SimSun"/>
          <w:szCs w:val="20"/>
          <w:lang w:eastAsia="zh-CN"/>
        </w:rPr>
        <w:footnoteReference w:id="49"/>
      </w:r>
      <w:r w:rsidR="004C64C7" w:rsidRPr="000E0BCA">
        <w:rPr>
          <w:rFonts w:eastAsia="SimSun"/>
          <w:szCs w:val="20"/>
          <w:lang w:eastAsia="zh-CN"/>
        </w:rPr>
        <w:t xml:space="preserve">  In Count Three, </w:t>
      </w:r>
      <w:r w:rsidR="000E0BCA" w:rsidRPr="000E0BCA">
        <w:rPr>
          <w:rFonts w:eastAsia="SimSun"/>
          <w:szCs w:val="20"/>
          <w:lang w:eastAsia="zh-CN"/>
        </w:rPr>
        <w:t>MSC</w:t>
      </w:r>
      <w:r w:rsidR="004C64C7" w:rsidRPr="000E0BCA">
        <w:rPr>
          <w:rFonts w:eastAsia="SimSun"/>
          <w:szCs w:val="20"/>
          <w:lang w:eastAsia="zh-CN"/>
        </w:rPr>
        <w:t xml:space="preserve"> vaguely alleges that the rates charged by the Company under Rider GEN and Rider NMB have resulted in unjust and unreasonable increases.</w:t>
      </w:r>
      <w:r w:rsidR="004C64C7" w:rsidRPr="000E0BCA">
        <w:rPr>
          <w:rStyle w:val="FootnoteReference"/>
          <w:rFonts w:eastAsia="SimSun"/>
          <w:szCs w:val="20"/>
          <w:lang w:eastAsia="zh-CN"/>
        </w:rPr>
        <w:footnoteReference w:id="50"/>
      </w:r>
      <w:r w:rsidR="004C64C7" w:rsidRPr="000E0BCA">
        <w:rPr>
          <w:rFonts w:eastAsia="SimSun"/>
          <w:szCs w:val="20"/>
          <w:lang w:eastAsia="zh-CN"/>
        </w:rPr>
        <w:t xml:space="preserve">  As set forth herei</w:t>
      </w:r>
      <w:r w:rsidR="000E0BCA">
        <w:rPr>
          <w:rFonts w:eastAsia="SimSun"/>
          <w:szCs w:val="20"/>
          <w:lang w:eastAsia="zh-CN"/>
        </w:rPr>
        <w:t xml:space="preserve">n, these claims fail under the clear terms of the Commission-approved rates and riders, and the facts.  </w:t>
      </w:r>
      <w:r w:rsidR="004C64C7" w:rsidRPr="000E0BCA">
        <w:rPr>
          <w:rFonts w:eastAsia="SimSun"/>
          <w:szCs w:val="20"/>
          <w:lang w:eastAsia="zh-CN"/>
        </w:rPr>
        <w:t xml:space="preserve"> </w:t>
      </w:r>
    </w:p>
    <w:p w14:paraId="70D16C77" w14:textId="77777777" w:rsidR="00C451B3" w:rsidRDefault="00C451B3">
      <w:pPr>
        <w:rPr>
          <w:rStyle w:val="Heading1Char"/>
        </w:rPr>
      </w:pPr>
      <w:bookmarkStart w:id="15" w:name="_Toc379801511"/>
      <w:bookmarkStart w:id="16" w:name="_Toc390943986"/>
      <w:bookmarkStart w:id="17" w:name="_Toc390944249"/>
      <w:bookmarkStart w:id="18" w:name="_Toc390944597"/>
      <w:r>
        <w:rPr>
          <w:rStyle w:val="Heading1Char"/>
          <w:b w:val="0"/>
        </w:rPr>
        <w:br w:type="page"/>
      </w:r>
    </w:p>
    <w:p w14:paraId="109C1612" w14:textId="019FF6F3" w:rsidR="004C64C7" w:rsidRPr="001D317C" w:rsidRDefault="004C64C7" w:rsidP="001D317C">
      <w:pPr>
        <w:pStyle w:val="Heading1"/>
        <w:rPr>
          <w:b w:val="0"/>
          <w:szCs w:val="20"/>
        </w:rPr>
      </w:pPr>
      <w:r w:rsidRPr="001D317C">
        <w:rPr>
          <w:rStyle w:val="Heading1Char"/>
          <w:b/>
        </w:rPr>
        <w:lastRenderedPageBreak/>
        <w:t>LAW &amp; ARGUMENT</w:t>
      </w:r>
      <w:bookmarkEnd w:id="15"/>
      <w:bookmarkEnd w:id="16"/>
      <w:bookmarkEnd w:id="17"/>
      <w:bookmarkEnd w:id="18"/>
      <w:r w:rsidRPr="001D317C">
        <w:rPr>
          <w:b w:val="0"/>
          <w:szCs w:val="20"/>
        </w:rPr>
        <w:t xml:space="preserve"> </w:t>
      </w:r>
    </w:p>
    <w:p w14:paraId="4F077ADE" w14:textId="3F68703F" w:rsidR="00AE780F" w:rsidRDefault="00681B06" w:rsidP="00475B7C">
      <w:pPr>
        <w:pStyle w:val="Heading2"/>
        <w:numPr>
          <w:ilvl w:val="1"/>
          <w:numId w:val="1"/>
        </w:numPr>
        <w:ind w:hanging="720"/>
      </w:pPr>
      <w:bookmarkStart w:id="19" w:name="_Toc390943987"/>
      <w:bookmarkStart w:id="20" w:name="_Toc390944250"/>
      <w:bookmarkStart w:id="21" w:name="_Toc390944598"/>
      <w:bookmarkStart w:id="22" w:name="_Toc379801512"/>
      <w:r>
        <w:t>There Is</w:t>
      </w:r>
      <w:r w:rsidR="00AE780F">
        <w:t xml:space="preserve"> No Evidence That</w:t>
      </w:r>
      <w:r>
        <w:t xml:space="preserve"> MSC</w:t>
      </w:r>
      <w:r w:rsidR="00AE780F">
        <w:t xml:space="preserve"> Was Charged Improper Rates.</w:t>
      </w:r>
      <w:bookmarkEnd w:id="19"/>
      <w:bookmarkEnd w:id="20"/>
      <w:bookmarkEnd w:id="21"/>
    </w:p>
    <w:p w14:paraId="6D0177AE" w14:textId="495EA5BC" w:rsidR="004D4804" w:rsidRPr="00CC545B" w:rsidRDefault="00E67016" w:rsidP="004D4804">
      <w:pPr>
        <w:pStyle w:val="Heading3"/>
        <w:keepNext/>
        <w:rPr>
          <w:lang w:eastAsia="zh-CN"/>
        </w:rPr>
      </w:pPr>
      <w:bookmarkStart w:id="23" w:name="_Toc390943988"/>
      <w:bookmarkStart w:id="24" w:name="_Toc390944251"/>
      <w:bookmarkStart w:id="25" w:name="_Toc390944599"/>
      <w:r>
        <w:rPr>
          <w:rStyle w:val="Heading2Char"/>
          <w:b w:val="0"/>
        </w:rPr>
        <w:t xml:space="preserve">It Is Undisputed That The Rates Charged To MSC By Toledo Edison Were Approved By The </w:t>
      </w:r>
      <w:r>
        <w:rPr>
          <w:lang w:eastAsia="zh-CN"/>
        </w:rPr>
        <w:t xml:space="preserve">Commission, And </w:t>
      </w:r>
      <w:r w:rsidR="004D4804">
        <w:rPr>
          <w:lang w:eastAsia="zh-CN"/>
        </w:rPr>
        <w:t xml:space="preserve">MSC’s </w:t>
      </w:r>
      <w:r w:rsidR="000E3BE6">
        <w:rPr>
          <w:lang w:eastAsia="zh-CN"/>
        </w:rPr>
        <w:t xml:space="preserve">Contrary Assertions </w:t>
      </w:r>
      <w:r w:rsidR="00066097">
        <w:rPr>
          <w:lang w:eastAsia="zh-CN"/>
        </w:rPr>
        <w:t>Are Unsupported And Should Be Stricken.</w:t>
      </w:r>
      <w:bookmarkEnd w:id="23"/>
      <w:bookmarkEnd w:id="24"/>
      <w:bookmarkEnd w:id="25"/>
    </w:p>
    <w:p w14:paraId="6C5930AA" w14:textId="218B1E03" w:rsidR="007238E3" w:rsidRDefault="004D4804" w:rsidP="00B61FD7">
      <w:pPr>
        <w:pStyle w:val="BodyDblSp5J"/>
      </w:pPr>
      <w:r>
        <w:t xml:space="preserve">In Count Three of its Complaint, MSC </w:t>
      </w:r>
      <w:r w:rsidR="00066097">
        <w:t>asserts</w:t>
      </w:r>
      <w:r>
        <w:t xml:space="preserve"> that the amounts the Company</w:t>
      </w:r>
      <w:r w:rsidR="00EE1295">
        <w:t xml:space="preserve"> billed</w:t>
      </w:r>
      <w:r>
        <w:t xml:space="preserve"> MSC</w:t>
      </w:r>
      <w:r w:rsidR="007238E3">
        <w:t xml:space="preserve"> for electric service</w:t>
      </w:r>
      <w:r>
        <w:t xml:space="preserve"> are unjust and unreasonable.</w:t>
      </w:r>
      <w:r>
        <w:rPr>
          <w:rStyle w:val="FootnoteReference"/>
        </w:rPr>
        <w:footnoteReference w:id="51"/>
      </w:r>
      <w:r>
        <w:t xml:space="preserve">  </w:t>
      </w:r>
      <w:r w:rsidR="00066097">
        <w:t>The allegations underlying th</w:t>
      </w:r>
      <w:r w:rsidR="00EE1295">
        <w:t>is</w:t>
      </w:r>
      <w:r w:rsidR="00066097">
        <w:t xml:space="preserve"> claim, as set forth in the Complaint and MSC’s testimony, are vague</w:t>
      </w:r>
      <w:r w:rsidR="00C30F79">
        <w:t xml:space="preserve"> at best</w:t>
      </w:r>
      <w:r w:rsidR="00066097">
        <w:t xml:space="preserve">.  MSC witness Siffer, the Plant Manager, testified only that: MSC has purportedly experienced an ~40% increase in rates between Winter 2012/2013 and Summer 2013 across Riders GEN, NMB, and DSE; MSC’s rates exceed a “historic baseline” of </w:t>
      </w:r>
      <w:r w:rsidR="006B056A">
        <w:t xml:space="preserve">$0.05 per </w:t>
      </w:r>
      <w:r w:rsidR="00066097">
        <w:t>kWh; and the Company’s Rider NMB is allegedly applied disproportionately to GT customers as compared to other FirstEnergy Ohio utilities.</w:t>
      </w:r>
      <w:r w:rsidR="00066097">
        <w:rPr>
          <w:rStyle w:val="FootnoteReference"/>
        </w:rPr>
        <w:footnoteReference w:id="52"/>
      </w:r>
      <w:r w:rsidR="00066097">
        <w:t xml:space="preserve">  However, these arguments are distractions that are unsupported by any facts and that totally lack foundation and should be stricken.  </w:t>
      </w:r>
    </w:p>
    <w:p w14:paraId="34ACDDAC" w14:textId="461E5BA9" w:rsidR="00066097" w:rsidRDefault="00066097" w:rsidP="00B61FD7">
      <w:pPr>
        <w:pStyle w:val="BodyDblSp5J"/>
      </w:pPr>
      <w:r>
        <w:t xml:space="preserve">According to MSC’s </w:t>
      </w:r>
      <w:r w:rsidR="00C30F79">
        <w:t xml:space="preserve">own </w:t>
      </w:r>
      <w:r>
        <w:t>witnesses, only two individuals at the plant receive MSC’s monthly bill from the Company:  Mr. Siffer and Mr. Augsburger.</w:t>
      </w:r>
      <w:r>
        <w:rPr>
          <w:rStyle w:val="FootnoteReference"/>
        </w:rPr>
        <w:footnoteReference w:id="53"/>
      </w:r>
      <w:r>
        <w:t xml:space="preserve">  Neither performs any analysis of the bills.  Mr. Siffer admitted that he only reviews the total dollar value of MSC’s monthly bill</w:t>
      </w:r>
      <w:r w:rsidR="00EE1295">
        <w:t>s</w:t>
      </w:r>
      <w:r>
        <w:t xml:space="preserve"> and Mr. Augsburger simply files them upon receipt.</w:t>
      </w:r>
      <w:r>
        <w:rPr>
          <w:rStyle w:val="FootnoteReference"/>
        </w:rPr>
        <w:footnoteReference w:id="54"/>
      </w:r>
      <w:r>
        <w:t xml:space="preserve">  Mr. Siffer provided the only testimony on behalf of MSC regarding its purportedly unjust and unreasonable rates.  However, Mr. Siffer admitted that:</w:t>
      </w:r>
    </w:p>
    <w:p w14:paraId="66C0E952" w14:textId="77777777" w:rsidR="00066097" w:rsidRDefault="00066097" w:rsidP="00F6641F">
      <w:pPr>
        <w:pStyle w:val="Bullet1"/>
      </w:pPr>
      <w:r>
        <w:t>He is not an expert on rates or riders;</w:t>
      </w:r>
      <w:r>
        <w:rPr>
          <w:rStyle w:val="FootnoteReference"/>
        </w:rPr>
        <w:footnoteReference w:id="55"/>
      </w:r>
    </w:p>
    <w:p w14:paraId="11C3E6D4" w14:textId="77777777" w:rsidR="00066097" w:rsidRDefault="00066097" w:rsidP="00F6641F">
      <w:pPr>
        <w:pStyle w:val="Bullet1"/>
      </w:pPr>
      <w:r>
        <w:t>He is not familiar with Rider GEN – including whether the Rider GEN rate varies by time of year or what costs are recovered through Rider GEN;</w:t>
      </w:r>
      <w:r>
        <w:rPr>
          <w:rStyle w:val="FootnoteReference"/>
        </w:rPr>
        <w:footnoteReference w:id="56"/>
      </w:r>
    </w:p>
    <w:p w14:paraId="237B060B" w14:textId="77777777" w:rsidR="00831F44" w:rsidRDefault="00066097" w:rsidP="00F6641F">
      <w:pPr>
        <w:pStyle w:val="Bullet1"/>
      </w:pPr>
      <w:r>
        <w:lastRenderedPageBreak/>
        <w:t>He is not familiar with Rider NMB – including any specifics about the rider, which costs are recovered through Rider NMB, or whether the Commission has approved its rate design</w:t>
      </w:r>
      <w:r w:rsidR="00831F44">
        <w:t>;</w:t>
      </w:r>
      <w:r>
        <w:rPr>
          <w:rStyle w:val="FootnoteReference"/>
        </w:rPr>
        <w:footnoteReference w:id="57"/>
      </w:r>
      <w:r w:rsidR="00831F44">
        <w:t xml:space="preserve"> and,</w:t>
      </w:r>
    </w:p>
    <w:p w14:paraId="41A3A239" w14:textId="77777777" w:rsidR="00831F44" w:rsidRPr="00831F44" w:rsidRDefault="00831F44" w:rsidP="00F6641F">
      <w:pPr>
        <w:pStyle w:val="Bullet1"/>
      </w:pPr>
      <w:r>
        <w:t>A</w:t>
      </w:r>
      <w:r w:rsidRPr="00831F44">
        <w:t>lthough his testimony included two different values for the current Rider NMB rate, he did not know which one was correct.</w:t>
      </w:r>
      <w:r>
        <w:rPr>
          <w:rStyle w:val="FootnoteReference"/>
        </w:rPr>
        <w:footnoteReference w:id="58"/>
      </w:r>
    </w:p>
    <w:p w14:paraId="5D377696" w14:textId="32024D6C" w:rsidR="000175E7" w:rsidRDefault="00831F44" w:rsidP="004974BA">
      <w:pPr>
        <w:pStyle w:val="BodyDblSpJ"/>
      </w:pPr>
      <w:r>
        <w:t xml:space="preserve">Mr. Siffer’s </w:t>
      </w:r>
      <w:r w:rsidR="00EE1295">
        <w:t xml:space="preserve">complete </w:t>
      </w:r>
      <w:r>
        <w:t xml:space="preserve">lack of knowledge </w:t>
      </w:r>
      <w:r w:rsidR="00EE1295">
        <w:t>regarding the Company’s rates and riders renders the</w:t>
      </w:r>
      <w:r>
        <w:t xml:space="preserve"> testimony he purportedly </w:t>
      </w:r>
      <w:r w:rsidR="00EE1295">
        <w:t xml:space="preserve">offered about the Company’s charges wholly unsubstantiated and unreliable.  Moreover, because his lack of knowledge precluded </w:t>
      </w:r>
      <w:r>
        <w:t xml:space="preserve">the Company from conducting any meaningful cross-examination of </w:t>
      </w:r>
      <w:r w:rsidR="00EE1295">
        <w:t>him</w:t>
      </w:r>
      <w:r>
        <w:t xml:space="preserve"> regarding the basis for his testimony</w:t>
      </w:r>
      <w:r w:rsidR="00EE1295">
        <w:t>, the Company is prejudiced by the inclusion of his unsupported and conclusory testimony on these matters</w:t>
      </w:r>
      <w:r>
        <w:t>.  Accordingly, as argued by the Company at hearing, Mr. Siffer’s testimony at pages</w:t>
      </w:r>
      <w:r w:rsidR="00CA728C">
        <w:t xml:space="preserve"> </w:t>
      </w:r>
      <w:r>
        <w:t>14:19-16:16 should be stricken.</w:t>
      </w:r>
      <w:r>
        <w:rPr>
          <w:rStyle w:val="FootnoteReference"/>
        </w:rPr>
        <w:footnoteReference w:id="59"/>
      </w:r>
    </w:p>
    <w:p w14:paraId="508FC495" w14:textId="7AC86761" w:rsidR="00D77194" w:rsidRDefault="00795112" w:rsidP="00B61FD7">
      <w:pPr>
        <w:pStyle w:val="BodyDblSp5J"/>
      </w:pPr>
      <w:r>
        <w:t xml:space="preserve">Even if Mr. Siffer’s testimony is allowed to stand without any foundation, it utterly fails to support any challenge to the Company’s rates as applied to MSC.  At the most basic level, Mr. Siffer’s </w:t>
      </w:r>
      <w:r w:rsidR="006B056A">
        <w:t xml:space="preserve">testimony and its lack of </w:t>
      </w:r>
      <w:r w:rsidR="00EE1295">
        <w:t>foundation</w:t>
      </w:r>
      <w:r w:rsidR="006B056A">
        <w:t xml:space="preserve"> </w:t>
      </w:r>
      <w:r>
        <w:t>raise concern</w:t>
      </w:r>
      <w:r w:rsidR="00EE1295">
        <w:t>,</w:t>
      </w:r>
      <w:r w:rsidR="00C30F79">
        <w:t xml:space="preserve"> particularly </w:t>
      </w:r>
      <w:r w:rsidR="00EE1295">
        <w:t>as to its</w:t>
      </w:r>
      <w:r w:rsidR="00C30F79">
        <w:t xml:space="preserve"> accuracy</w:t>
      </w:r>
      <w:r>
        <w:t xml:space="preserve">.  </w:t>
      </w:r>
      <w:r w:rsidR="00C30F79">
        <w:t xml:space="preserve">The Company’s rate expert, </w:t>
      </w:r>
      <w:r w:rsidR="004D4804">
        <w:t>witness Blazunas</w:t>
      </w:r>
      <w:r w:rsidR="00C30F79">
        <w:t>,</w:t>
      </w:r>
      <w:r w:rsidR="004D4804">
        <w:t xml:space="preserve"> explained that he attempted to confirm the overall rates provided by </w:t>
      </w:r>
      <w:r>
        <w:t>Mr.</w:t>
      </w:r>
      <w:r w:rsidR="004D4804">
        <w:t xml:space="preserve"> Siffer using information from the Company’s billing system, but could not verify one way or another the accuracy of Mr. Siffer’s numbers.</w:t>
      </w:r>
      <w:r w:rsidR="004D4804">
        <w:rPr>
          <w:rStyle w:val="FootnoteReference"/>
        </w:rPr>
        <w:footnoteReference w:id="60"/>
      </w:r>
      <w:r w:rsidR="004D4804">
        <w:t xml:space="preserve">  </w:t>
      </w:r>
      <w:r w:rsidR="00EE1295">
        <w:t xml:space="preserve">In addition, the average cent per </w:t>
      </w:r>
      <w:r>
        <w:t>kWh rate on which Mr. Siffer primarily relies is essentially irrelevant to a consideration of the Company’s Commission-approved rates</w:t>
      </w:r>
      <w:r w:rsidR="00EE1295">
        <w:t xml:space="preserve">.  </w:t>
      </w:r>
      <w:r>
        <w:t>MSC’s overall cent</w:t>
      </w:r>
      <w:r w:rsidR="00EE1295">
        <w:t xml:space="preserve"> per </w:t>
      </w:r>
      <w:r>
        <w:t xml:space="preserve">kWh rate is dependent on </w:t>
      </w:r>
      <w:r w:rsidR="009325F4">
        <w:t xml:space="preserve">the applicable rates, but also </w:t>
      </w:r>
      <w:r>
        <w:t>MSC’s usage characteristics</w:t>
      </w:r>
      <w:r w:rsidR="009325F4">
        <w:t>.  MSC’s analysis does nothing to isolate the impact of its usage characteristics</w:t>
      </w:r>
      <w:r>
        <w:t xml:space="preserve"> a</w:t>
      </w:r>
      <w:r w:rsidR="000175E7">
        <w:t xml:space="preserve">nd, therefore, does not allow for any proper </w:t>
      </w:r>
      <w:r w:rsidR="000175E7">
        <w:lastRenderedPageBreak/>
        <w:t>analysis of the underlying rates</w:t>
      </w:r>
      <w:r w:rsidR="009325F4">
        <w:t xml:space="preserve"> themselves</w:t>
      </w:r>
      <w:r>
        <w:t>.</w:t>
      </w:r>
      <w:r w:rsidR="000175E7">
        <w:rPr>
          <w:rStyle w:val="FootnoteReference"/>
        </w:rPr>
        <w:footnoteReference w:id="61"/>
      </w:r>
      <w:r w:rsidR="000175E7">
        <w:t xml:space="preserve">  Importantly, Mr. Siffer admitted that he has </w:t>
      </w:r>
      <w:r w:rsidR="000175E7" w:rsidRPr="00B248A8">
        <w:rPr>
          <w:b/>
        </w:rPr>
        <w:t xml:space="preserve">no information </w:t>
      </w:r>
      <w:r w:rsidR="000175E7" w:rsidRPr="00D77194">
        <w:t>to suggest that the Company is charging MSC the wrong rate</w:t>
      </w:r>
      <w:r w:rsidR="000175E7">
        <w:t xml:space="preserve"> and </w:t>
      </w:r>
      <w:r w:rsidR="000175E7" w:rsidRPr="00B248A8">
        <w:rPr>
          <w:b/>
        </w:rPr>
        <w:t xml:space="preserve">no information </w:t>
      </w:r>
      <w:r w:rsidR="000175E7" w:rsidRPr="00D77194">
        <w:t>to suggest that the Company is treating MSC differently than any other similarly sized customer</w:t>
      </w:r>
      <w:r w:rsidR="000175E7" w:rsidRPr="00B248A8">
        <w:t>.</w:t>
      </w:r>
      <w:r w:rsidR="000175E7">
        <w:rPr>
          <w:rStyle w:val="FootnoteReference"/>
        </w:rPr>
        <w:footnoteReference w:id="62"/>
      </w:r>
      <w:r w:rsidR="000175E7">
        <w:t xml:space="preserve">  I</w:t>
      </w:r>
      <w:r w:rsidR="000175E7" w:rsidRPr="000175E7">
        <w:t xml:space="preserve">n fact, </w:t>
      </w:r>
      <w:r w:rsidR="000175E7" w:rsidRPr="00D77194">
        <w:rPr>
          <w:b/>
        </w:rPr>
        <w:t xml:space="preserve">Mr. Siffer admitted that he assumes that the rates </w:t>
      </w:r>
      <w:r w:rsidR="00D77194" w:rsidRPr="00D77194">
        <w:rPr>
          <w:b/>
        </w:rPr>
        <w:t xml:space="preserve">that </w:t>
      </w:r>
      <w:r w:rsidR="000175E7" w:rsidRPr="00D77194">
        <w:rPr>
          <w:b/>
        </w:rPr>
        <w:t>the Company is currently charging MSC are the rates approved by the Commission</w:t>
      </w:r>
      <w:r w:rsidR="000175E7" w:rsidRPr="000175E7">
        <w:t>.</w:t>
      </w:r>
      <w:r w:rsidR="000175E7" w:rsidRPr="000175E7">
        <w:rPr>
          <w:rStyle w:val="FootnoteReference"/>
        </w:rPr>
        <w:footnoteReference w:id="63"/>
      </w:r>
      <w:r w:rsidR="000175E7">
        <w:t xml:space="preserve">  And, indeed they are.</w:t>
      </w:r>
    </w:p>
    <w:p w14:paraId="49662E5E" w14:textId="45F46015" w:rsidR="00D77194" w:rsidRDefault="00FE4E90" w:rsidP="00B61FD7">
      <w:pPr>
        <w:pStyle w:val="BodyDblSp5J"/>
        <w:rPr>
          <w:lang w:eastAsia="zh-CN"/>
        </w:rPr>
      </w:pPr>
      <w:r>
        <w:t xml:space="preserve">It is undisputed that </w:t>
      </w:r>
      <w:r w:rsidR="00D77194">
        <w:t>“</w:t>
      </w:r>
      <w:r>
        <w:t>[a]</w:t>
      </w:r>
      <w:r w:rsidR="00D77194">
        <w:t>l</w:t>
      </w:r>
      <w:r w:rsidR="00D77194" w:rsidRPr="00BD0EEC">
        <w:t>l of the rates Toledo Edison charged to MSC were approved by the Commission</w:t>
      </w:r>
      <w:r w:rsidR="00D77194">
        <w:t xml:space="preserve"> . . . .”</w:t>
      </w:r>
      <w:r w:rsidR="00D77194">
        <w:rPr>
          <w:rStyle w:val="FootnoteReference"/>
          <w:lang w:eastAsia="zh-CN"/>
        </w:rPr>
        <w:footnoteReference w:id="64"/>
      </w:r>
      <w:r w:rsidR="00D77194">
        <w:rPr>
          <w:lang w:eastAsia="zh-CN"/>
        </w:rPr>
        <w:t xml:space="preserve">  </w:t>
      </w:r>
      <w:r w:rsidR="009F329C">
        <w:rPr>
          <w:lang w:eastAsia="zh-CN"/>
        </w:rPr>
        <w:t>It also cannot be disputed that the Company is legally required to charge only its approved rates and tariffs.</w:t>
      </w:r>
      <w:r w:rsidR="009F329C">
        <w:rPr>
          <w:rStyle w:val="FootnoteReference"/>
          <w:lang w:eastAsia="zh-CN"/>
        </w:rPr>
        <w:footnoteReference w:id="65"/>
      </w:r>
      <w:r w:rsidR="009F329C">
        <w:rPr>
          <w:lang w:eastAsia="zh-CN"/>
        </w:rPr>
        <w:t xml:space="preserve">  </w:t>
      </w:r>
      <w:r w:rsidR="00D77194">
        <w:t xml:space="preserve">Company witness </w:t>
      </w:r>
      <w:proofErr w:type="spellStart"/>
      <w:r w:rsidR="00D77194">
        <w:t>Blazunas</w:t>
      </w:r>
      <w:proofErr w:type="spellEnd"/>
      <w:r w:rsidR="00D77194">
        <w:t xml:space="preserve"> explained each of the three riders about which MSC complains:  Riders GEN, NMB, and DSE.</w:t>
      </w:r>
      <w:r w:rsidR="00D77194">
        <w:rPr>
          <w:rStyle w:val="FootnoteReference"/>
        </w:rPr>
        <w:footnoteReference w:id="66"/>
      </w:r>
      <w:r w:rsidR="00D77194">
        <w:t xml:space="preserve">  Notably, </w:t>
      </w:r>
      <w:r w:rsidR="00D77194">
        <w:rPr>
          <w:lang w:eastAsia="zh-CN"/>
        </w:rPr>
        <w:t>the</w:t>
      </w:r>
      <w:r>
        <w:rPr>
          <w:lang w:eastAsia="zh-CN"/>
        </w:rPr>
        <w:t>se</w:t>
      </w:r>
      <w:r w:rsidR="00D77194">
        <w:rPr>
          <w:lang w:eastAsia="zh-CN"/>
        </w:rPr>
        <w:t xml:space="preserve"> riders are merely pass-through riders that allow the Company to </w:t>
      </w:r>
      <w:r w:rsidR="006B056A">
        <w:rPr>
          <w:lang w:eastAsia="zh-CN"/>
        </w:rPr>
        <w:t>collect dollars from customers and pass them along dollar for dollar to</w:t>
      </w:r>
      <w:r w:rsidR="00E64899">
        <w:rPr>
          <w:lang w:eastAsia="zh-CN"/>
        </w:rPr>
        <w:t xml:space="preserve"> standard service offer (“</w:t>
      </w:r>
      <w:r w:rsidR="006B056A">
        <w:rPr>
          <w:lang w:eastAsia="zh-CN"/>
        </w:rPr>
        <w:t>SSO</w:t>
      </w:r>
      <w:r w:rsidR="00E64899">
        <w:rPr>
          <w:lang w:eastAsia="zh-CN"/>
        </w:rPr>
        <w:t>”)</w:t>
      </w:r>
      <w:r w:rsidR="006B056A">
        <w:rPr>
          <w:lang w:eastAsia="zh-CN"/>
        </w:rPr>
        <w:t xml:space="preserve"> generation providers</w:t>
      </w:r>
      <w:r w:rsidR="00E54FB1">
        <w:rPr>
          <w:lang w:eastAsia="zh-CN"/>
        </w:rPr>
        <w:t>,</w:t>
      </w:r>
      <w:r w:rsidR="006B056A">
        <w:rPr>
          <w:lang w:eastAsia="zh-CN"/>
        </w:rPr>
        <w:t xml:space="preserve"> </w:t>
      </w:r>
      <w:r w:rsidR="00E54FB1">
        <w:rPr>
          <w:lang w:eastAsia="zh-CN"/>
        </w:rPr>
        <w:t xml:space="preserve">PJM, </w:t>
      </w:r>
      <w:r w:rsidR="006B056A">
        <w:rPr>
          <w:lang w:eastAsia="zh-CN"/>
        </w:rPr>
        <w:t xml:space="preserve">and others for </w:t>
      </w:r>
      <w:r w:rsidR="00D77194">
        <w:rPr>
          <w:lang w:eastAsia="zh-CN"/>
        </w:rPr>
        <w:t xml:space="preserve">the provision of </w:t>
      </w:r>
      <w:r w:rsidR="00D77194">
        <w:t>service</w:t>
      </w:r>
      <w:r w:rsidR="00EE1295">
        <w:t>,</w:t>
      </w:r>
      <w:r w:rsidR="00E67016">
        <w:rPr>
          <w:lang w:eastAsia="zh-CN"/>
        </w:rPr>
        <w:t xml:space="preserve"> and all involve ongoing Commission review and approval.</w:t>
      </w:r>
    </w:p>
    <w:p w14:paraId="06CF1702" w14:textId="77777777" w:rsidR="00E67016" w:rsidRDefault="00E67016" w:rsidP="007B2979">
      <w:pPr>
        <w:pStyle w:val="Bullet2"/>
        <w:ind w:hanging="720"/>
        <w:rPr>
          <w:lang w:eastAsia="zh-CN"/>
        </w:rPr>
      </w:pPr>
      <w:r w:rsidRPr="007B2979">
        <w:rPr>
          <w:u w:val="single"/>
        </w:rPr>
        <w:t>Rider GEN</w:t>
      </w:r>
      <w:r w:rsidRPr="00E67016">
        <w:t xml:space="preserve">:  </w:t>
      </w:r>
      <w:r w:rsidR="00D77194" w:rsidRPr="00E67016">
        <w:rPr>
          <w:lang w:eastAsia="zh-CN"/>
        </w:rPr>
        <w:t>The Company calculates Rider GEN rates “pursuant to a Commission-approved rate design” and the “costs that make up that rider are derived from the Commission-approved generation auctions and the results of capacity auctions conducted by PJM.”</w:t>
      </w:r>
      <w:r w:rsidR="00D77194">
        <w:rPr>
          <w:rStyle w:val="FootnoteReference"/>
          <w:lang w:eastAsia="zh-CN"/>
        </w:rPr>
        <w:footnoteReference w:id="67"/>
      </w:r>
      <w:r w:rsidR="00D77194" w:rsidRPr="00E67016">
        <w:rPr>
          <w:lang w:eastAsia="zh-CN"/>
        </w:rPr>
        <w:t xml:space="preserve">  Specifically, Rider GEN recovers the costs of SSO energy and capacity, which prices are set as a result of the FirstEnergy Ohio Utilities’ auction process.</w:t>
      </w:r>
      <w:r w:rsidR="00D77194">
        <w:rPr>
          <w:rStyle w:val="FootnoteReference"/>
          <w:lang w:eastAsia="zh-CN"/>
        </w:rPr>
        <w:footnoteReference w:id="68"/>
      </w:r>
      <w:r w:rsidR="00D77194" w:rsidRPr="00E67016">
        <w:rPr>
          <w:lang w:eastAsia="zh-CN"/>
        </w:rPr>
        <w:t xml:space="preserve">  Not only did the Commission approve the Rider GEN rate design in the Company’s ESP II proceeding, but the specific rates to be charged under Rider GEN are submitted to and approved by the Commission each year.</w:t>
      </w:r>
      <w:r w:rsidR="00D77194">
        <w:rPr>
          <w:rStyle w:val="FootnoteReference"/>
          <w:lang w:eastAsia="zh-CN"/>
        </w:rPr>
        <w:footnoteReference w:id="69"/>
      </w:r>
      <w:r w:rsidR="00D77194" w:rsidRPr="00E67016">
        <w:rPr>
          <w:lang w:eastAsia="zh-CN"/>
        </w:rPr>
        <w:t xml:space="preserve"> Company witness Blazunas confirmed – and it was </w:t>
      </w:r>
      <w:r w:rsidR="00D77194" w:rsidRPr="00E67016">
        <w:rPr>
          <w:lang w:eastAsia="zh-CN"/>
        </w:rPr>
        <w:lastRenderedPageBreak/>
        <w:t>undisputed by MSC – that MSC is treated the same as other similarly situated customers under Rider GEN.</w:t>
      </w:r>
      <w:r w:rsidR="00D77194">
        <w:rPr>
          <w:rStyle w:val="FootnoteReference"/>
          <w:lang w:eastAsia="zh-CN"/>
        </w:rPr>
        <w:footnoteReference w:id="70"/>
      </w:r>
    </w:p>
    <w:p w14:paraId="34768FF8" w14:textId="559035D8" w:rsidR="008A189C" w:rsidRDefault="00E67016" w:rsidP="00F6641F">
      <w:pPr>
        <w:pStyle w:val="Bullet2"/>
        <w:ind w:hanging="720"/>
        <w:rPr>
          <w:lang w:eastAsia="zh-CN"/>
        </w:rPr>
      </w:pPr>
      <w:r w:rsidRPr="007B2979">
        <w:rPr>
          <w:u w:val="single"/>
        </w:rPr>
        <w:t>Rider NMB</w:t>
      </w:r>
      <w:r w:rsidRPr="00E67016">
        <w:t xml:space="preserve">:  </w:t>
      </w:r>
      <w:r w:rsidR="00D77194" w:rsidRPr="00E67016">
        <w:rPr>
          <w:lang w:eastAsia="zh-CN"/>
        </w:rPr>
        <w:t>The Company similarly cal</w:t>
      </w:r>
      <w:r w:rsidR="00175BFF">
        <w:rPr>
          <w:lang w:eastAsia="zh-CN"/>
        </w:rPr>
        <w:t>culates Rider NMB rates “[p]urs</w:t>
      </w:r>
      <w:r w:rsidR="00D77194" w:rsidRPr="00E67016">
        <w:rPr>
          <w:lang w:eastAsia="zh-CN"/>
        </w:rPr>
        <w:t>u</w:t>
      </w:r>
      <w:r w:rsidR="00175BFF">
        <w:rPr>
          <w:lang w:eastAsia="zh-CN"/>
        </w:rPr>
        <w:t>a</w:t>
      </w:r>
      <w:r w:rsidR="00D77194" w:rsidRPr="00E67016">
        <w:rPr>
          <w:lang w:eastAsia="zh-CN"/>
        </w:rPr>
        <w:t>nt to the MSC-supported, Commission-approved ESP II Stipulation” to recover certain RTO and transmission costs.</w:t>
      </w:r>
      <w:r w:rsidR="00D77194">
        <w:rPr>
          <w:rStyle w:val="FootnoteReference"/>
          <w:lang w:eastAsia="zh-CN"/>
        </w:rPr>
        <w:footnoteReference w:id="71"/>
      </w:r>
      <w:r w:rsidR="00D77194" w:rsidRPr="00E67016">
        <w:rPr>
          <w:lang w:eastAsia="zh-CN"/>
        </w:rPr>
        <w:t xml:space="preserve">  “The amount Toledo Edison pays to PJM is recovered from all customers through the non-bypassable Rider NMB pursuant to a Commission-approved rate design.”</w:t>
      </w:r>
      <w:r w:rsidR="00D77194">
        <w:rPr>
          <w:rStyle w:val="FootnoteReference"/>
          <w:lang w:eastAsia="zh-CN"/>
        </w:rPr>
        <w:footnoteReference w:id="72"/>
      </w:r>
      <w:r>
        <w:rPr>
          <w:lang w:eastAsia="zh-CN"/>
        </w:rPr>
        <w:t xml:space="preserve">  </w:t>
      </w:r>
      <w:r w:rsidRPr="00E67016">
        <w:rPr>
          <w:lang w:eastAsia="zh-CN"/>
        </w:rPr>
        <w:t>Rider NMB charges are updated and reconciled on an annual basis, and filed with and approved by the Commission.</w:t>
      </w:r>
      <w:r>
        <w:rPr>
          <w:rStyle w:val="FootnoteReference"/>
          <w:lang w:eastAsia="zh-CN"/>
        </w:rPr>
        <w:footnoteReference w:id="73"/>
      </w:r>
      <w:r w:rsidRPr="00E67016">
        <w:rPr>
          <w:lang w:eastAsia="zh-CN"/>
        </w:rPr>
        <w:t xml:space="preserve">  Again, Company witness Blazunas confirmed – and it was undisputed by MSC – that MSC is treated the same as other similarly situated customers</w:t>
      </w:r>
      <w:r w:rsidR="00EE1295">
        <w:rPr>
          <w:lang w:eastAsia="zh-CN"/>
        </w:rPr>
        <w:t xml:space="preserve"> of the Company</w:t>
      </w:r>
      <w:r w:rsidRPr="00E67016">
        <w:rPr>
          <w:lang w:eastAsia="zh-CN"/>
        </w:rPr>
        <w:t xml:space="preserve"> under Rider NMB.</w:t>
      </w:r>
      <w:r>
        <w:rPr>
          <w:rStyle w:val="FootnoteReference"/>
          <w:lang w:eastAsia="zh-CN"/>
        </w:rPr>
        <w:footnoteReference w:id="74"/>
      </w:r>
    </w:p>
    <w:p w14:paraId="316646D1" w14:textId="563B2772" w:rsidR="00D77194" w:rsidRPr="008A189C" w:rsidRDefault="008A189C" w:rsidP="00F6641F">
      <w:pPr>
        <w:pStyle w:val="Bullet2"/>
        <w:ind w:hanging="720"/>
        <w:rPr>
          <w:lang w:eastAsia="zh-CN"/>
        </w:rPr>
      </w:pPr>
      <w:r w:rsidRPr="007B2979">
        <w:rPr>
          <w:u w:val="single"/>
          <w:lang w:eastAsia="zh-CN"/>
        </w:rPr>
        <w:t>Rider DSE</w:t>
      </w:r>
      <w:r w:rsidRPr="008A189C">
        <w:rPr>
          <w:lang w:eastAsia="zh-CN"/>
        </w:rPr>
        <w:t>: M</w:t>
      </w:r>
      <w:r>
        <w:rPr>
          <w:lang w:eastAsia="zh-CN"/>
        </w:rPr>
        <w:t>SC provided</w:t>
      </w:r>
      <w:r w:rsidR="00D77194" w:rsidRPr="008A189C">
        <w:rPr>
          <w:lang w:eastAsia="zh-CN"/>
        </w:rPr>
        <w:t xml:space="preserve"> no testimony regarding Rider DSE other than to include it in Mr. Siffer’s tables of purported rate increases.</w:t>
      </w:r>
      <w:r w:rsidR="00D77194">
        <w:rPr>
          <w:rStyle w:val="FootnoteReference"/>
          <w:lang w:eastAsia="zh-CN"/>
        </w:rPr>
        <w:footnoteReference w:id="75"/>
      </w:r>
      <w:r w:rsidR="00D77194" w:rsidRPr="008A189C">
        <w:rPr>
          <w:lang w:eastAsia="zh-CN"/>
        </w:rPr>
        <w:t xml:space="preserve">  However, here too, Company witness Blazunas confirmed that Rider DSE is charged to customers in accordance with Commission approval, as a pass-through of Commission-approved costs of the Company’s energy efficiency and peak demand reduction programs.</w:t>
      </w:r>
      <w:r w:rsidR="00D77194">
        <w:rPr>
          <w:rStyle w:val="FootnoteReference"/>
          <w:lang w:eastAsia="zh-CN"/>
        </w:rPr>
        <w:footnoteReference w:id="76"/>
      </w:r>
      <w:r w:rsidR="00D77194" w:rsidRPr="008A189C">
        <w:rPr>
          <w:lang w:eastAsia="zh-CN"/>
        </w:rPr>
        <w:t xml:space="preserve">  The Company also files the specific charges with the Commission semi-annually and receives approval before the charges are implemented.</w:t>
      </w:r>
      <w:r w:rsidR="00D77194">
        <w:rPr>
          <w:rStyle w:val="FootnoteReference"/>
          <w:lang w:eastAsia="zh-CN"/>
        </w:rPr>
        <w:footnoteReference w:id="77"/>
      </w:r>
    </w:p>
    <w:p w14:paraId="79222547" w14:textId="65340082" w:rsidR="00795112" w:rsidRDefault="009A6FA9" w:rsidP="00B61FD7">
      <w:pPr>
        <w:pStyle w:val="BodyDblSp5J"/>
      </w:pPr>
      <w:r>
        <w:t>The undisputed, competent evidence establishes that the Company has charged MSC rates approved by the Commission.  MSC provided no evidence otherwise and, upon review, its few allegations regarding unjust and unreasonable rate increases are revealed to be nothing more than a generalized complaint that MSC is paying more than it wants to pay for electric service.</w:t>
      </w:r>
    </w:p>
    <w:p w14:paraId="5E57ABD9" w14:textId="4E777AD6" w:rsidR="00D77194" w:rsidRDefault="00D77194" w:rsidP="00D77194">
      <w:pPr>
        <w:pStyle w:val="Heading4"/>
      </w:pPr>
      <w:bookmarkStart w:id="26" w:name="_Toc390943989"/>
      <w:bookmarkStart w:id="27" w:name="_Toc390944252"/>
      <w:bookmarkStart w:id="28" w:name="_Toc390944600"/>
      <w:r>
        <w:t xml:space="preserve">MSC’s assertion that its rate increases </w:t>
      </w:r>
      <w:r w:rsidR="0029464E">
        <w:t>are</w:t>
      </w:r>
      <w:r w:rsidR="002702E2">
        <w:t xml:space="preserve"> </w:t>
      </w:r>
      <w:r w:rsidR="0029464E">
        <w:t>unjust and unreasonable</w:t>
      </w:r>
      <w:r w:rsidR="002702E2">
        <w:t xml:space="preserve"> as reflected by</w:t>
      </w:r>
      <w:r>
        <w:t xml:space="preserve"> a comparison of Summer 2013 to Winter 2012/2013 rates</w:t>
      </w:r>
      <w:r>
        <w:rPr>
          <w:rStyle w:val="FootnoteReference"/>
        </w:rPr>
        <w:footnoteReference w:id="78"/>
      </w:r>
      <w:r>
        <w:t xml:space="preserve"> is unavailing.</w:t>
      </w:r>
      <w:bookmarkEnd w:id="26"/>
      <w:bookmarkEnd w:id="27"/>
      <w:bookmarkEnd w:id="28"/>
    </w:p>
    <w:p w14:paraId="1BD42F33" w14:textId="3503DF4D" w:rsidR="00795112" w:rsidRPr="00D84A1F" w:rsidRDefault="00795112" w:rsidP="00B61FD7">
      <w:pPr>
        <w:pStyle w:val="BodyDblSp5J"/>
      </w:pPr>
      <w:r>
        <w:t>As Company witness Blazunas explained, Rider GEN rates are designed and approved by the Commission to change by season.</w:t>
      </w:r>
      <w:r>
        <w:rPr>
          <w:rStyle w:val="FootnoteReference"/>
        </w:rPr>
        <w:footnoteReference w:id="79"/>
      </w:r>
      <w:r>
        <w:t xml:space="preserve">  “Hence, there is an inherent seasonal price change every </w:t>
      </w:r>
      <w:r>
        <w:lastRenderedPageBreak/>
        <w:t>year – the rates are higher in the summer period as compared to the winter period.”</w:t>
      </w:r>
      <w:r>
        <w:rPr>
          <w:rStyle w:val="FootnoteReference"/>
        </w:rPr>
        <w:footnoteReference w:id="80"/>
      </w:r>
      <w:r>
        <w:t xml:space="preserve">  Accordingly, a comparison </w:t>
      </w:r>
      <w:r w:rsidR="00C30F79">
        <w:t xml:space="preserve">of </w:t>
      </w:r>
      <w:r w:rsidR="00EE1295">
        <w:t>s</w:t>
      </w:r>
      <w:r w:rsidR="00C30F79">
        <w:t xml:space="preserve">ummer and </w:t>
      </w:r>
      <w:r w:rsidR="00EE1295">
        <w:t>w</w:t>
      </w:r>
      <w:r w:rsidR="00C30F79">
        <w:t xml:space="preserve">inter rates </w:t>
      </w:r>
      <w:r>
        <w:t xml:space="preserve">is improper and meaningless. </w:t>
      </w:r>
      <w:r w:rsidR="00D84A1F">
        <w:t xml:space="preserve"> </w:t>
      </w:r>
      <w:r w:rsidR="00D84A1F" w:rsidRPr="00D84A1F">
        <w:t xml:space="preserve">If any comparison is appropriate – and it is not, given that the rates were charged in accordance with Commission approval and </w:t>
      </w:r>
      <w:r w:rsidR="00EE1295">
        <w:t xml:space="preserve">also </w:t>
      </w:r>
      <w:r w:rsidR="00D84A1F" w:rsidRPr="00D84A1F">
        <w:t>subject to the results of</w:t>
      </w:r>
      <w:r w:rsidR="00EE1295">
        <w:t xml:space="preserve"> the competitive auctions – it c</w:t>
      </w:r>
      <w:r w:rsidR="00D84A1F" w:rsidRPr="00D84A1F">
        <w:t>ould</w:t>
      </w:r>
      <w:r w:rsidR="00EE1295">
        <w:t xml:space="preserve"> only</w:t>
      </w:r>
      <w:r w:rsidR="00D84A1F" w:rsidRPr="00D84A1F">
        <w:t xml:space="preserve"> be a comparison between rates in the same season across different years.</w:t>
      </w:r>
      <w:r w:rsidR="00D84A1F">
        <w:rPr>
          <w:rStyle w:val="FootnoteReference"/>
        </w:rPr>
        <w:footnoteReference w:id="81"/>
      </w:r>
      <w:r w:rsidR="00D84A1F">
        <w:t xml:space="preserve"> </w:t>
      </w:r>
      <w:r w:rsidR="00D84A1F" w:rsidRPr="00D84A1F">
        <w:t xml:space="preserve"> </w:t>
      </w:r>
      <w:r w:rsidR="003265A8">
        <w:t>Such a comparison, for example</w:t>
      </w:r>
      <w:r w:rsidR="00D84A1F" w:rsidRPr="00D84A1F">
        <w:t xml:space="preserve"> between Summer 2012 and Summer 2013, reflects a significantly lesser rate increase of approximately 5.5%</w:t>
      </w:r>
      <w:r w:rsidR="00C30F79">
        <w:t>, generally reflecting changes in the outcome of the Companies’ competitive auctions</w:t>
      </w:r>
      <w:r w:rsidR="00D84A1F" w:rsidRPr="00D84A1F">
        <w:t>.</w:t>
      </w:r>
      <w:r w:rsidR="00D84A1F">
        <w:rPr>
          <w:rStyle w:val="FootnoteReference"/>
        </w:rPr>
        <w:footnoteReference w:id="82"/>
      </w:r>
      <w:r w:rsidR="00D84A1F" w:rsidRPr="00D84A1F">
        <w:t xml:space="preserve">  </w:t>
      </w:r>
    </w:p>
    <w:p w14:paraId="62C40807" w14:textId="11D2BB76" w:rsidR="00D77194" w:rsidRDefault="00D77194" w:rsidP="00D77194">
      <w:pPr>
        <w:pStyle w:val="Heading4"/>
      </w:pPr>
      <w:bookmarkStart w:id="29" w:name="_Toc390943990"/>
      <w:bookmarkStart w:id="30" w:name="_Toc390944253"/>
      <w:bookmarkStart w:id="31" w:name="_Toc390944601"/>
      <w:r>
        <w:t>MSC’s assertion that its rates are somehow unjust or unreasonable because of an increase from a “historical baseline” lacks any substance.</w:t>
      </w:r>
      <w:bookmarkEnd w:id="29"/>
      <w:bookmarkEnd w:id="30"/>
      <w:bookmarkEnd w:id="31"/>
    </w:p>
    <w:p w14:paraId="0A067D0B" w14:textId="66E4A229" w:rsidR="000175E7" w:rsidRDefault="000175E7" w:rsidP="00B61FD7">
      <w:pPr>
        <w:pStyle w:val="BodyDblSp5J"/>
      </w:pPr>
      <w:r>
        <w:t xml:space="preserve">Mr. Siffer admitted that his reference to the </w:t>
      </w:r>
      <w:r w:rsidR="006B056A">
        <w:t xml:space="preserve">$0.05 per </w:t>
      </w:r>
      <w:r>
        <w:t xml:space="preserve">kWh “historic baseline” was nothing more </w:t>
      </w:r>
      <w:r w:rsidR="00EE1295">
        <w:t xml:space="preserve">than </w:t>
      </w:r>
      <w:r>
        <w:t xml:space="preserve">the price MSC </w:t>
      </w:r>
      <w:r w:rsidRPr="00D77194">
        <w:rPr>
          <w:b/>
        </w:rPr>
        <w:t>wants</w:t>
      </w:r>
      <w:r w:rsidR="005D48AF">
        <w:t xml:space="preserve"> to pay for electricity –</w:t>
      </w:r>
      <w:r>
        <w:t xml:space="preserve"> an internal target.</w:t>
      </w:r>
      <w:r>
        <w:rPr>
          <w:rStyle w:val="FootnoteReference"/>
        </w:rPr>
        <w:footnoteReference w:id="83"/>
      </w:r>
      <w:r>
        <w:t xml:space="preserve">  He further admitted that the Company has never provided MSC with any projections to suggest that MSC’s overall rate would be </w:t>
      </w:r>
      <w:r w:rsidR="006B056A">
        <w:t xml:space="preserve">$0.05 per </w:t>
      </w:r>
      <w:r w:rsidR="003265A8">
        <w:t>kWh.  A</w:t>
      </w:r>
      <w:r>
        <w:t>s explained by Company witness Blazunas, “</w:t>
      </w:r>
      <w:r w:rsidRPr="00CC545B">
        <w:t>historical rates are not indicative of Commission-approved rates that may be in place at present or in the future</w:t>
      </w:r>
      <w:r>
        <w:t>.”</w:t>
      </w:r>
      <w:r>
        <w:rPr>
          <w:rStyle w:val="FootnoteReference"/>
        </w:rPr>
        <w:footnoteReference w:id="84"/>
      </w:r>
      <w:r>
        <w:t xml:space="preserve">  On redirect, all Mr. Si</w:t>
      </w:r>
      <w:r w:rsidR="003265A8">
        <w:t xml:space="preserve">ffer could offer was that the </w:t>
      </w:r>
      <w:r w:rsidR="006B056A">
        <w:t xml:space="preserve">$0.05 per </w:t>
      </w:r>
      <w:r>
        <w:t>kWh value impacts MSC’s profitability.</w:t>
      </w:r>
      <w:r>
        <w:rPr>
          <w:rStyle w:val="FootnoteReference"/>
        </w:rPr>
        <w:footnoteReference w:id="85"/>
      </w:r>
      <w:r>
        <w:t xml:space="preserve">  However, an individual customer’s </w:t>
      </w:r>
      <w:r w:rsidR="009F329C">
        <w:t xml:space="preserve">desire for a certain level of </w:t>
      </w:r>
      <w:r>
        <w:t>profitability is not and cannot be a consideration in determining whether the Company’s Commission-approved rates, which must be applied equally to all similarly situated customers, are just and reasonable.</w:t>
      </w:r>
    </w:p>
    <w:p w14:paraId="5EE36F89" w14:textId="2815B502" w:rsidR="00D77194" w:rsidRDefault="00D77194" w:rsidP="00D77194">
      <w:pPr>
        <w:pStyle w:val="Heading4"/>
      </w:pPr>
      <w:bookmarkStart w:id="32" w:name="_Toc390943991"/>
      <w:bookmarkStart w:id="33" w:name="_Toc390944254"/>
      <w:bookmarkStart w:id="34" w:name="_Toc390944602"/>
      <w:r>
        <w:lastRenderedPageBreak/>
        <w:t>MSC’s assertion that the Company’s “practices affecting MSC’s rate increases in 2013 [that] appear to systematically eliminate the benefits of other decreases”</w:t>
      </w:r>
      <w:r>
        <w:rPr>
          <w:rStyle w:val="FootnoteReference"/>
        </w:rPr>
        <w:footnoteReference w:id="86"/>
      </w:r>
      <w:r>
        <w:t xml:space="preserve"> is only a complaint about MSC’s bill.</w:t>
      </w:r>
      <w:bookmarkEnd w:id="32"/>
      <w:bookmarkEnd w:id="33"/>
      <w:bookmarkEnd w:id="34"/>
    </w:p>
    <w:p w14:paraId="4443EE37" w14:textId="602444E4" w:rsidR="004D4804" w:rsidRDefault="004D4804" w:rsidP="00B61FD7">
      <w:pPr>
        <w:pStyle w:val="BodyDblSp5J"/>
      </w:pPr>
      <w:r>
        <w:t xml:space="preserve"> </w:t>
      </w:r>
      <w:r w:rsidR="005D48AF">
        <w:t xml:space="preserve">In part of his testimony, Mr. Siffer suggested that the Company </w:t>
      </w:r>
      <w:r w:rsidR="00D77194">
        <w:t xml:space="preserve">implemented some undefined “practices” to </w:t>
      </w:r>
      <w:r w:rsidR="005D48AF">
        <w:t>affect</w:t>
      </w:r>
      <w:r w:rsidR="00D77194">
        <w:t xml:space="preserve"> rate increases for MSC</w:t>
      </w:r>
      <w:r w:rsidR="005D48AF">
        <w:t>.  However</w:t>
      </w:r>
      <w:r w:rsidR="00D77194">
        <w:t xml:space="preserve">, he admitted on cross-examination that </w:t>
      </w:r>
      <w:r w:rsidR="000175E7">
        <w:t>the referenced “practices” are simply the Company’s bills.</w:t>
      </w:r>
      <w:r w:rsidR="000175E7">
        <w:rPr>
          <w:rStyle w:val="FootnoteReference"/>
        </w:rPr>
        <w:footnoteReference w:id="87"/>
      </w:r>
      <w:r w:rsidR="000175E7">
        <w:t xml:space="preserve">  MSC’s testimony in that regard is nothing more than an assertion that its overall bill somehow eliminates the benefits of other purported rate decreases.</w:t>
      </w:r>
      <w:r w:rsidR="000175E7">
        <w:rPr>
          <w:rStyle w:val="FootnoteReference"/>
        </w:rPr>
        <w:footnoteReference w:id="88"/>
      </w:r>
      <w:r w:rsidR="00C30F79">
        <w:t xml:space="preserve">  This convoluted assertion is wholly without merit and should be rejected.</w:t>
      </w:r>
      <w:r w:rsidR="000175E7">
        <w:t xml:space="preserve">  </w:t>
      </w:r>
    </w:p>
    <w:p w14:paraId="65878FA7" w14:textId="77777777" w:rsidR="00E67016" w:rsidRDefault="00E67016" w:rsidP="00E67016">
      <w:pPr>
        <w:pStyle w:val="Heading4"/>
        <w:rPr>
          <w:lang w:eastAsia="zh-CN"/>
        </w:rPr>
      </w:pPr>
      <w:bookmarkStart w:id="35" w:name="_Toc390943992"/>
      <w:bookmarkStart w:id="36" w:name="_Toc390944255"/>
      <w:bookmarkStart w:id="37" w:name="_Toc390944603"/>
      <w:r>
        <w:rPr>
          <w:lang w:eastAsia="zh-CN"/>
        </w:rPr>
        <w:t>MSC’s suggestion that Rider NMB is misapplied to Toledo Edison GT customers because the allocation percentage is higher than other FirstEnergy Ohio Utilities is simply false.</w:t>
      </w:r>
      <w:bookmarkEnd w:id="35"/>
      <w:bookmarkEnd w:id="36"/>
      <w:bookmarkEnd w:id="37"/>
      <w:r>
        <w:rPr>
          <w:lang w:eastAsia="zh-CN"/>
        </w:rPr>
        <w:t xml:space="preserve">  </w:t>
      </w:r>
    </w:p>
    <w:p w14:paraId="69405EF3" w14:textId="75AFA081" w:rsidR="00E67016" w:rsidRDefault="005D48AF" w:rsidP="00B61FD7">
      <w:pPr>
        <w:pStyle w:val="BodyDblSp5J"/>
        <w:rPr>
          <w:lang w:eastAsia="zh-CN"/>
        </w:rPr>
      </w:pPr>
      <w:r>
        <w:rPr>
          <w:lang w:eastAsia="zh-CN"/>
        </w:rPr>
        <w:t xml:space="preserve">For each of the FirstEnergy Ohio utilities, </w:t>
      </w:r>
      <w:r w:rsidR="00E67016">
        <w:rPr>
          <w:lang w:eastAsia="zh-CN"/>
        </w:rPr>
        <w:t>Rider NMB charges are allocated to rate schedule</w:t>
      </w:r>
      <w:r>
        <w:rPr>
          <w:lang w:eastAsia="zh-CN"/>
        </w:rPr>
        <w:t>s</w:t>
      </w:r>
      <w:r w:rsidR="00E67016">
        <w:rPr>
          <w:lang w:eastAsia="zh-CN"/>
        </w:rPr>
        <w:t xml:space="preserve"> in accordance with the same formula:  the rate schedules’ contribution to the relevant utilities’ </w:t>
      </w:r>
      <w:r w:rsidR="00E67016">
        <w:t>portion</w:t>
      </w:r>
      <w:r w:rsidR="00E67016">
        <w:rPr>
          <w:lang w:eastAsia="zh-CN"/>
        </w:rPr>
        <w:t xml:space="preserve"> of the </w:t>
      </w:r>
      <w:r w:rsidR="005E1ABA">
        <w:rPr>
          <w:lang w:eastAsia="zh-CN"/>
        </w:rPr>
        <w:t xml:space="preserve">average </w:t>
      </w:r>
      <w:r w:rsidR="00E67016">
        <w:rPr>
          <w:lang w:eastAsia="zh-CN"/>
        </w:rPr>
        <w:t>ATSI coincident peak for the months of June through September of the prior year</w:t>
      </w:r>
      <w:r>
        <w:rPr>
          <w:lang w:eastAsia="zh-CN"/>
        </w:rPr>
        <w:t>,</w:t>
      </w:r>
      <w:r w:rsidR="00E67016">
        <w:rPr>
          <w:lang w:eastAsia="zh-CN"/>
        </w:rPr>
        <w:t xml:space="preserve"> divided by the forward-looking billing demand units.</w:t>
      </w:r>
      <w:r w:rsidR="00E67016">
        <w:rPr>
          <w:rStyle w:val="FootnoteReference"/>
          <w:lang w:eastAsia="zh-CN"/>
        </w:rPr>
        <w:footnoteReference w:id="89"/>
      </w:r>
      <w:r w:rsidR="00E67016">
        <w:rPr>
          <w:lang w:eastAsia="zh-CN"/>
        </w:rPr>
        <w:t xml:space="preserve">  “This rate design methodology is consistent across all of the Companies and the differences between Rider NMB Rate GT charges for Toledo Edison and the rest of the Companies were approved by the Commission and attributable to variable factors input into the approved (and consistent) rate design methodology.”</w:t>
      </w:r>
      <w:r w:rsidR="00E67016">
        <w:rPr>
          <w:rStyle w:val="FootnoteReference"/>
          <w:lang w:eastAsia="zh-CN"/>
        </w:rPr>
        <w:footnoteReference w:id="90"/>
      </w:r>
      <w:r w:rsidR="00E67016">
        <w:rPr>
          <w:lang w:eastAsia="zh-CN"/>
        </w:rPr>
        <w:t xml:space="preserve">  </w:t>
      </w:r>
      <w:r w:rsidR="003265A8">
        <w:rPr>
          <w:lang w:eastAsia="zh-CN"/>
        </w:rPr>
        <w:t xml:space="preserve">Therefore, MSC’s argument </w:t>
      </w:r>
      <w:r>
        <w:rPr>
          <w:lang w:eastAsia="zh-CN"/>
        </w:rPr>
        <w:t>that the application of Rider NMB is</w:t>
      </w:r>
      <w:r w:rsidR="003265A8">
        <w:rPr>
          <w:lang w:eastAsia="zh-CN"/>
        </w:rPr>
        <w:t xml:space="preserve"> unjust or unreasonable </w:t>
      </w:r>
      <w:r>
        <w:rPr>
          <w:lang w:eastAsia="zh-CN"/>
        </w:rPr>
        <w:t>as applied to Toledo Edison GT customers</w:t>
      </w:r>
      <w:r w:rsidR="003265A8">
        <w:rPr>
          <w:lang w:eastAsia="zh-CN"/>
        </w:rPr>
        <w:t xml:space="preserve"> lacks merit. </w:t>
      </w:r>
    </w:p>
    <w:p w14:paraId="162C53B4" w14:textId="37B7B7C5" w:rsidR="00721265" w:rsidRPr="00CC545B" w:rsidRDefault="004D4804" w:rsidP="00B61FD7">
      <w:pPr>
        <w:pStyle w:val="BodyDblSp5J"/>
      </w:pPr>
      <w:r>
        <w:t xml:space="preserve">MSC’s </w:t>
      </w:r>
      <w:r w:rsidR="000175E7">
        <w:t xml:space="preserve">complaints </w:t>
      </w:r>
      <w:r>
        <w:t xml:space="preserve">about the rates it was charged under the Company’s </w:t>
      </w:r>
      <w:r w:rsidR="000175E7">
        <w:t>Commission-ap</w:t>
      </w:r>
      <w:r w:rsidR="003265A8">
        <w:t xml:space="preserve">proved tariffs are </w:t>
      </w:r>
      <w:r w:rsidR="008263BB">
        <w:t>curious</w:t>
      </w:r>
      <w:r w:rsidR="000175E7">
        <w:t xml:space="preserve"> in that </w:t>
      </w:r>
      <w:r>
        <w:t xml:space="preserve">MSC already receives a special discount that no other </w:t>
      </w:r>
      <w:r>
        <w:lastRenderedPageBreak/>
        <w:t xml:space="preserve">Company customer receives.  In connection with the Company’s ESP III Stipulation, MSC </w:t>
      </w:r>
      <w:r w:rsidR="000175E7">
        <w:t xml:space="preserve">was granted </w:t>
      </w:r>
      <w:r>
        <w:t>a $2/kVa discount on its electric service.</w:t>
      </w:r>
      <w:r>
        <w:rPr>
          <w:rStyle w:val="FootnoteReference"/>
        </w:rPr>
        <w:footnoteReference w:id="91"/>
      </w:r>
      <w:r>
        <w:t xml:space="preserve">  As detailed in Company witness Blazunas’s testimony, this </w:t>
      </w:r>
      <w:r w:rsidR="000175E7">
        <w:t xml:space="preserve">unique </w:t>
      </w:r>
      <w:r>
        <w:t>provision provides MSC with a significant discount on the rates that all other GT customers pay.</w:t>
      </w:r>
      <w:r>
        <w:rPr>
          <w:rStyle w:val="FootnoteReference"/>
        </w:rPr>
        <w:footnoteReference w:id="92"/>
      </w:r>
      <w:r>
        <w:t xml:space="preserve">  </w:t>
      </w:r>
      <w:r w:rsidR="00D77194">
        <w:t xml:space="preserve">Moreover, </w:t>
      </w:r>
      <w:r>
        <w:t>MSC’s rates are primarily driven by its billing demand, which is completely within MSC’s control.</w:t>
      </w:r>
      <w:r>
        <w:rPr>
          <w:rStyle w:val="FootnoteReference"/>
        </w:rPr>
        <w:footnoteReference w:id="93"/>
      </w:r>
      <w:r>
        <w:t xml:space="preserve">  “[T]o the extent that MSC did nothing else but decrease its billing demand, leaving everything else constant, it would have an immediate positive impact on its bill.”</w:t>
      </w:r>
      <w:r>
        <w:rPr>
          <w:rStyle w:val="FootnoteReference"/>
        </w:rPr>
        <w:footnoteReference w:id="94"/>
      </w:r>
      <w:r>
        <w:t xml:space="preserve">  Whether changes to production processes make sense for MSC or not, the Company has no control over MSC’s billing demand and is not in a position to</w:t>
      </w:r>
      <w:r w:rsidR="00D77194">
        <w:t xml:space="preserve"> selectively</w:t>
      </w:r>
      <w:r>
        <w:t xml:space="preserve"> alter MSC’s rates.</w:t>
      </w:r>
      <w:r>
        <w:rPr>
          <w:rStyle w:val="FootnoteReference"/>
        </w:rPr>
        <w:footnoteReference w:id="95"/>
      </w:r>
      <w:r w:rsidR="003265A8">
        <w:t xml:space="preserve">  The Company is a public utility authorized to charge only those rates that are approved by the Commission.</w:t>
      </w:r>
      <w:r w:rsidR="009F329C">
        <w:rPr>
          <w:rStyle w:val="FootnoteReference"/>
        </w:rPr>
        <w:footnoteReference w:id="96"/>
      </w:r>
      <w:r w:rsidR="003265A8">
        <w:t xml:space="preserve">  The evidence establishes that the Company has charged MSC in accordance with Commission-approved rates.  Accordingly, MSC’s Count Three lacks merit and </w:t>
      </w:r>
      <w:r w:rsidR="005D48AF">
        <w:t>the Commission should find in favor of the Company</w:t>
      </w:r>
      <w:r w:rsidR="003265A8">
        <w:t xml:space="preserve">. </w:t>
      </w:r>
    </w:p>
    <w:p w14:paraId="3D93CE3F" w14:textId="77777777" w:rsidR="00AE780F" w:rsidRPr="001948F0" w:rsidRDefault="00AE780F" w:rsidP="00AE780F">
      <w:pPr>
        <w:pStyle w:val="Heading3"/>
        <w:keepNext/>
        <w:rPr>
          <w:lang w:eastAsia="zh-CN"/>
        </w:rPr>
      </w:pPr>
      <w:bookmarkStart w:id="38" w:name="_Toc390943993"/>
      <w:bookmarkStart w:id="39" w:name="_Toc390944256"/>
      <w:bookmarkStart w:id="40" w:name="_Toc390944604"/>
      <w:r>
        <w:rPr>
          <w:lang w:eastAsia="zh-CN"/>
        </w:rPr>
        <w:t>In Any Event, MSC Cannot Complain About The Rates</w:t>
      </w:r>
      <w:r w:rsidR="003F69A6">
        <w:rPr>
          <w:lang w:eastAsia="zh-CN"/>
        </w:rPr>
        <w:t xml:space="preserve"> That </w:t>
      </w:r>
      <w:r>
        <w:rPr>
          <w:lang w:eastAsia="zh-CN"/>
        </w:rPr>
        <w:t>It Supported During The Company’s ESP II Proceeding.</w:t>
      </w:r>
      <w:bookmarkEnd w:id="38"/>
      <w:bookmarkEnd w:id="39"/>
      <w:bookmarkEnd w:id="40"/>
    </w:p>
    <w:p w14:paraId="6A5C2704" w14:textId="36FE5E70" w:rsidR="00B7707E" w:rsidRPr="00B7707E" w:rsidRDefault="001948F0" w:rsidP="00B61FD7">
      <w:pPr>
        <w:pStyle w:val="BodyDblSp5J"/>
        <w:rPr>
          <w:i/>
        </w:rPr>
      </w:pPr>
      <w:r w:rsidRPr="001948F0">
        <w:t xml:space="preserve">MSC was a signatory party to the Company’s ESP II, which was litigated before the Commission and </w:t>
      </w:r>
      <w:r w:rsidR="003B0704">
        <w:t>subsequently</w:t>
      </w:r>
      <w:r w:rsidR="003B0704" w:rsidRPr="001948F0">
        <w:t xml:space="preserve"> </w:t>
      </w:r>
      <w:r w:rsidRPr="001948F0">
        <w:t>approved by the Commission.</w:t>
      </w:r>
      <w:r w:rsidRPr="001948F0">
        <w:rPr>
          <w:rStyle w:val="FootnoteReference"/>
        </w:rPr>
        <w:footnoteReference w:id="97"/>
      </w:r>
      <w:r w:rsidRPr="001948F0">
        <w:t xml:space="preserve">  In the course of that proceeding and as reflected by the Stipulation, MSC explicitly agreed that </w:t>
      </w:r>
      <w:r w:rsidR="003265A8">
        <w:t xml:space="preserve">the Company’s riders, including </w:t>
      </w:r>
      <w:r w:rsidRPr="001948F0">
        <w:t xml:space="preserve">Rider GEN and Rider </w:t>
      </w:r>
      <w:r w:rsidRPr="00B7707E">
        <w:t>NMB</w:t>
      </w:r>
      <w:r w:rsidR="003265A8">
        <w:t>,</w:t>
      </w:r>
      <w:r w:rsidRPr="00B7707E">
        <w:t xml:space="preserve"> </w:t>
      </w:r>
      <w:r w:rsidR="00AD0A87">
        <w:t>are</w:t>
      </w:r>
      <w:r w:rsidR="00B7707E" w:rsidRPr="00B7707E">
        <w:t xml:space="preserve"> beneficial for customers, support state policy, </w:t>
      </w:r>
      <w:r w:rsidR="00B7707E" w:rsidRPr="008263BB">
        <w:rPr>
          <w:b/>
        </w:rPr>
        <w:t xml:space="preserve">and </w:t>
      </w:r>
      <w:r w:rsidR="00AD0A87" w:rsidRPr="008263BB">
        <w:rPr>
          <w:b/>
        </w:rPr>
        <w:t>a</w:t>
      </w:r>
      <w:r w:rsidR="00B7707E" w:rsidRPr="008263BB">
        <w:rPr>
          <w:b/>
        </w:rPr>
        <w:t>re reasonable</w:t>
      </w:r>
      <w:r w:rsidRPr="00B7707E">
        <w:t>.</w:t>
      </w:r>
      <w:r w:rsidRPr="00B7707E">
        <w:rPr>
          <w:rStyle w:val="FootnoteReference"/>
        </w:rPr>
        <w:footnoteReference w:id="98"/>
      </w:r>
      <w:r w:rsidRPr="001948F0">
        <w:t xml:space="preserve">  </w:t>
      </w:r>
      <w:r w:rsidR="00B7707E" w:rsidRPr="00B7707E">
        <w:t>For example, MSC agreed that:</w:t>
      </w:r>
    </w:p>
    <w:p w14:paraId="6C51C660" w14:textId="77777777" w:rsidR="00B7707E" w:rsidRPr="00B7707E" w:rsidRDefault="00B7707E" w:rsidP="00F6641F">
      <w:pPr>
        <w:pStyle w:val="Bullet2"/>
        <w:ind w:hanging="720"/>
        <w:rPr>
          <w:i/>
        </w:rPr>
      </w:pPr>
      <w:r w:rsidRPr="00B7707E">
        <w:t xml:space="preserve"> “The rates, together with other terms and conditions provided in the ESP, better assure customers of stabilized prices through the periods covered by the different </w:t>
      </w:r>
      <w:r w:rsidRPr="00B7707E">
        <w:lastRenderedPageBreak/>
        <w:t>aspects of the ESP and promote energy efficiency, economic development and provide support for low income customers.”</w:t>
      </w:r>
      <w:r w:rsidRPr="00B7707E">
        <w:rPr>
          <w:rStyle w:val="FootnoteReference"/>
        </w:rPr>
        <w:footnoteReference w:id="99"/>
      </w:r>
      <w:r w:rsidRPr="00B7707E">
        <w:t xml:space="preserve">  </w:t>
      </w:r>
    </w:p>
    <w:p w14:paraId="18344FBB" w14:textId="77777777" w:rsidR="00B7707E" w:rsidRPr="00B7707E" w:rsidRDefault="00B7707E" w:rsidP="00F6641F">
      <w:pPr>
        <w:pStyle w:val="Bullet2"/>
        <w:ind w:hanging="720"/>
        <w:rPr>
          <w:i/>
        </w:rPr>
      </w:pPr>
      <w:r w:rsidRPr="00B7707E">
        <w:t>“This ESP is more favorable in the aggregate to customers as compared to the expected results that would otherwise occur under an MRO alternative and represents a serious compromise of complex issues and involves substantial customer benefits that would not otherwise have been achievable.”</w:t>
      </w:r>
      <w:r w:rsidRPr="00B7707E">
        <w:rPr>
          <w:rStyle w:val="FootnoteReference"/>
        </w:rPr>
        <w:footnoteReference w:id="100"/>
      </w:r>
      <w:r w:rsidRPr="00B7707E">
        <w:t xml:space="preserve">  </w:t>
      </w:r>
    </w:p>
    <w:p w14:paraId="29E38058" w14:textId="77777777" w:rsidR="00B7707E" w:rsidRPr="00B7707E" w:rsidRDefault="00B7707E" w:rsidP="00F6641F">
      <w:pPr>
        <w:pStyle w:val="Bullet2"/>
        <w:ind w:hanging="720"/>
        <w:rPr>
          <w:i/>
        </w:rPr>
      </w:pPr>
      <w:r w:rsidRPr="00B7707E">
        <w:t>“[E]ach Signatory Party agrees to and will support the reasonableness of the ESP and this Stipulation before the Commission, and to cause its counsel to do the same, and in any appeal from the Commission</w:t>
      </w:r>
      <w:r w:rsidR="00414D85">
        <w:t>’</w:t>
      </w:r>
      <w:r w:rsidRPr="00B7707E">
        <w:t>s adoption and/or enforcement of the ESP and this Stipulation.”</w:t>
      </w:r>
      <w:r w:rsidRPr="00B7707E">
        <w:rPr>
          <w:rStyle w:val="FootnoteReference"/>
        </w:rPr>
        <w:footnoteReference w:id="101"/>
      </w:r>
      <w:r w:rsidRPr="00B7707E">
        <w:t xml:space="preserve">  </w:t>
      </w:r>
    </w:p>
    <w:p w14:paraId="17BF676B" w14:textId="5779B15F" w:rsidR="001948F0" w:rsidRPr="006E2BCF" w:rsidRDefault="00AD0A87" w:rsidP="00B61FD7">
      <w:pPr>
        <w:pStyle w:val="BodyDblSp5J"/>
        <w:rPr>
          <w:highlight w:val="yellow"/>
        </w:rPr>
      </w:pPr>
      <w:r>
        <w:t xml:space="preserve">MSC’s support of the ESP II Stipulation and its agreements therein preclude MSC’s complaints about the Company’s rates here.  </w:t>
      </w:r>
      <w:r w:rsidR="001948F0" w:rsidRPr="001948F0">
        <w:t>MSC</w:t>
      </w:r>
      <w:r>
        <w:t xml:space="preserve"> </w:t>
      </w:r>
      <w:r w:rsidR="003B0704">
        <w:t>may not come</w:t>
      </w:r>
      <w:r w:rsidR="001948F0" w:rsidRPr="001948F0">
        <w:t xml:space="preserve"> ba</w:t>
      </w:r>
      <w:r>
        <w:t>ck now and claim that the Company’s rates as established in ESP II</w:t>
      </w:r>
      <w:r w:rsidR="001948F0" w:rsidRPr="001948F0">
        <w:t xml:space="preserve"> are anything but reasonable.  The Commission has previously precluded parties from taking positions inconsistent with those they agreed to in a stipulation – and should continue to do so in order to preserve the validity of the settlement process.</w:t>
      </w:r>
      <w:r w:rsidR="001948F0" w:rsidRPr="001948F0">
        <w:rPr>
          <w:rStyle w:val="FootnoteReference"/>
        </w:rPr>
        <w:footnoteReference w:id="102"/>
      </w:r>
    </w:p>
    <w:p w14:paraId="24EF373C" w14:textId="72967CAC" w:rsidR="00AD0A87" w:rsidRDefault="003F69A6" w:rsidP="00B61FD7">
      <w:pPr>
        <w:pStyle w:val="BodyDblSp5J"/>
      </w:pPr>
      <w:r>
        <w:t>T</w:t>
      </w:r>
      <w:r w:rsidR="001948F0" w:rsidRPr="00AD0A87">
        <w:t xml:space="preserve">he doctrines of res judicata and collateral estoppel </w:t>
      </w:r>
      <w:r>
        <w:t xml:space="preserve">also </w:t>
      </w:r>
      <w:r w:rsidR="001948F0" w:rsidRPr="00AD0A87">
        <w:t xml:space="preserve">bar </w:t>
      </w:r>
      <w:r w:rsidR="00AD0A87" w:rsidRPr="00AD0A87">
        <w:t>MSC’s Count Three</w:t>
      </w:r>
      <w:r w:rsidR="001948F0" w:rsidRPr="00AD0A87">
        <w:t>.  The Supreme Court</w:t>
      </w:r>
      <w:r w:rsidR="003B0704">
        <w:t xml:space="preserve"> of Ohio</w:t>
      </w:r>
      <w:r w:rsidR="001948F0" w:rsidRPr="00AD0A87">
        <w:t xml:space="preserve"> has held that the doctrines apply in administrative proceedings before the Commission and bar a party from attempting to reopen an issue that was “previously determined to be proper.”</w:t>
      </w:r>
      <w:r w:rsidR="001948F0" w:rsidRPr="00AD0A87">
        <w:rPr>
          <w:rStyle w:val="FootnoteReference"/>
        </w:rPr>
        <w:footnoteReference w:id="103"/>
      </w:r>
      <w:r w:rsidR="001948F0" w:rsidRPr="00AD0A87">
        <w:t xml:space="preserve">  </w:t>
      </w:r>
      <w:r w:rsidR="00AD0A87">
        <w:t xml:space="preserve">The Commission previously determined – and MSC agreed – that the Company’s rates and riders as proposed in the ESP II Stipulation were just and reasonable, and </w:t>
      </w:r>
      <w:r w:rsidR="00AD0A87">
        <w:lastRenderedPageBreak/>
        <w:t>those matters were litigated in tha</w:t>
      </w:r>
      <w:r w:rsidR="003265A8">
        <w:t>t proceeding.  As a result, MSC –</w:t>
      </w:r>
      <w:r w:rsidR="00AD0A87">
        <w:t xml:space="preserve"> a party to the ESP II proceeding</w:t>
      </w:r>
      <w:r w:rsidR="003265A8">
        <w:t xml:space="preserve"> – </w:t>
      </w:r>
      <w:r w:rsidR="00AD0A87">
        <w:t xml:space="preserve">cannot reopen the issues regarding the reasonableness of those rates and riders.  </w:t>
      </w:r>
    </w:p>
    <w:p w14:paraId="0826B797" w14:textId="77B0FBE4" w:rsidR="00AE780F" w:rsidRPr="00AD0A87" w:rsidRDefault="00AD0A87" w:rsidP="00B61FD7">
      <w:pPr>
        <w:pStyle w:val="BodyDblSp5J"/>
      </w:pPr>
      <w:r>
        <w:t>The legal bars to MSC’s Count Three established that it had no reasonable grounds for t</w:t>
      </w:r>
      <w:r w:rsidR="005D48AF">
        <w:t>he Complaint</w:t>
      </w:r>
      <w:r>
        <w:t xml:space="preserve">.  </w:t>
      </w:r>
      <w:r w:rsidRPr="006F297B">
        <w:rPr>
          <w:rFonts w:eastAsia="SimSun"/>
          <w:szCs w:val="20"/>
          <w:lang w:eastAsia="zh-CN"/>
        </w:rPr>
        <w:t>I</w:t>
      </w:r>
      <w:r>
        <w:rPr>
          <w:rFonts w:eastAsia="SimSun"/>
          <w:szCs w:val="20"/>
          <w:lang w:eastAsia="zh-CN"/>
        </w:rPr>
        <w:t>ndeed, i</w:t>
      </w:r>
      <w:r w:rsidRPr="006F297B">
        <w:rPr>
          <w:rFonts w:eastAsia="SimSun"/>
          <w:szCs w:val="20"/>
          <w:lang w:eastAsia="zh-CN"/>
        </w:rPr>
        <w:t>t is well-settled that a complaint that asserts that a utility should not charge Commission-approved rates fails to set forth reasonable grounds as required by R.C. § 4905.26.</w:t>
      </w:r>
      <w:r>
        <w:rPr>
          <w:rStyle w:val="FootnoteReference"/>
          <w:rFonts w:eastAsia="SimSun"/>
          <w:szCs w:val="20"/>
          <w:lang w:eastAsia="zh-CN"/>
        </w:rPr>
        <w:footnoteReference w:id="104"/>
      </w:r>
      <w:r>
        <w:rPr>
          <w:rFonts w:eastAsia="SimSun"/>
          <w:szCs w:val="20"/>
          <w:lang w:eastAsia="zh-CN"/>
        </w:rPr>
        <w:t xml:space="preserve"> </w:t>
      </w:r>
      <w:r>
        <w:t xml:space="preserve">And the evidence and testimony provided during hearing only confirmed that.  MSC has shown nothing more than dissatisfaction with the Company’s Commission-approved rates </w:t>
      </w:r>
      <w:r w:rsidR="001948F0" w:rsidRPr="00AD0A87">
        <w:t xml:space="preserve"> </w:t>
      </w:r>
      <w:r>
        <w:t xml:space="preserve">  Accordingly, Count Three should be dismissed with prejudice or, in the alternative, the Company should be granted judgment in its favor.  </w:t>
      </w:r>
    </w:p>
    <w:p w14:paraId="5B2544D6" w14:textId="01346A35" w:rsidR="00FF1099" w:rsidRDefault="00FF1099">
      <w:pPr>
        <w:rPr>
          <w:rFonts w:eastAsia="SimSun"/>
          <w:b/>
          <w:bCs/>
        </w:rPr>
      </w:pPr>
      <w:bookmarkStart w:id="41" w:name="_Toc390943994"/>
      <w:bookmarkStart w:id="42" w:name="_Toc390944257"/>
    </w:p>
    <w:p w14:paraId="505DD793" w14:textId="527E879C" w:rsidR="00AE780F" w:rsidRDefault="00681B06" w:rsidP="00475B7C">
      <w:pPr>
        <w:pStyle w:val="Heading2"/>
        <w:numPr>
          <w:ilvl w:val="1"/>
          <w:numId w:val="1"/>
        </w:numPr>
        <w:ind w:hanging="720"/>
      </w:pPr>
      <w:bookmarkStart w:id="43" w:name="_Toc390944605"/>
      <w:r>
        <w:t>MSC</w:t>
      </w:r>
      <w:r w:rsidR="00AE780F">
        <w:t xml:space="preserve"> Failed To Comply With Rider ELR And, Thus, The </w:t>
      </w:r>
      <w:r w:rsidR="003B0704">
        <w:t xml:space="preserve">Companies Are Required to Apply the </w:t>
      </w:r>
      <w:r w:rsidR="00AE780F">
        <w:t xml:space="preserve">Tariff Penalties – As They Have </w:t>
      </w:r>
      <w:r w:rsidR="005D48AF">
        <w:t xml:space="preserve">Been </w:t>
      </w:r>
      <w:r w:rsidR="00AE780F">
        <w:t>Applied To All Other Customers That Similarly Failed To Comply.</w:t>
      </w:r>
      <w:bookmarkEnd w:id="41"/>
      <w:bookmarkEnd w:id="42"/>
      <w:bookmarkEnd w:id="43"/>
    </w:p>
    <w:p w14:paraId="3B23F353" w14:textId="77777777" w:rsidR="006E2BCF" w:rsidRDefault="006E2BCF" w:rsidP="00A547F0">
      <w:pPr>
        <w:pStyle w:val="Heading3"/>
        <w:numPr>
          <w:ilvl w:val="2"/>
          <w:numId w:val="21"/>
        </w:numPr>
      </w:pPr>
      <w:bookmarkStart w:id="44" w:name="_Toc390943995"/>
      <w:bookmarkStart w:id="45" w:name="_Toc390944258"/>
      <w:bookmarkStart w:id="46" w:name="_Toc390944606"/>
      <w:r>
        <w:t xml:space="preserve">There Is No Dispute That MSC Failed To Sufficiently Curtail Its Load During An Emergency </w:t>
      </w:r>
      <w:r>
        <w:rPr>
          <w:lang w:eastAsia="zh-CN"/>
        </w:rPr>
        <w:t>Event</w:t>
      </w:r>
      <w:r>
        <w:t>.</w:t>
      </w:r>
      <w:bookmarkEnd w:id="44"/>
      <w:bookmarkEnd w:id="45"/>
      <w:bookmarkEnd w:id="46"/>
    </w:p>
    <w:p w14:paraId="5FF441EE" w14:textId="17ED851E" w:rsidR="009636A0" w:rsidRPr="009636A0" w:rsidRDefault="009636A0" w:rsidP="00B61FD7">
      <w:pPr>
        <w:pStyle w:val="BodyDblSp5J"/>
      </w:pPr>
      <w:r>
        <w:t xml:space="preserve">MSC’s unhappiness with the Company’s Commission-approved rates and riders also underlies its Counts One and Two, which seek to avoid the application of </w:t>
      </w:r>
      <w:r w:rsidR="009F329C">
        <w:t xml:space="preserve">the required </w:t>
      </w:r>
      <w:r>
        <w:t>penalties under Rider ELR.</w:t>
      </w:r>
      <w:r w:rsidR="009D58D7">
        <w:t xml:space="preserve">  </w:t>
      </w:r>
      <w:r w:rsidR="005C4C27">
        <w:t>Only a few f</w:t>
      </w:r>
      <w:r w:rsidR="009D58D7">
        <w:t>acts are relevant to a determination of whether MSC is subject to penalties under Rider ELR and th</w:t>
      </w:r>
      <w:r w:rsidR="005C4C27">
        <w:t xml:space="preserve">ose </w:t>
      </w:r>
      <w:r w:rsidR="009D58D7">
        <w:t>facts are essentially undisputed:</w:t>
      </w:r>
    </w:p>
    <w:p w14:paraId="6D3A9795" w14:textId="0274EC63" w:rsidR="00B248A8" w:rsidRPr="00C043A0" w:rsidRDefault="00B248A8" w:rsidP="00F6641F">
      <w:pPr>
        <w:pStyle w:val="Bullet2"/>
        <w:ind w:hanging="720"/>
      </w:pPr>
      <w:r>
        <w:t xml:space="preserve">At least three MSC representatives </w:t>
      </w:r>
      <w:r w:rsidR="003B0704">
        <w:t xml:space="preserve">timely </w:t>
      </w:r>
      <w:r>
        <w:t>received notice of the ECE on September 11, 2013, after it was issued by the Company</w:t>
      </w:r>
      <w:r w:rsidR="005D48AF">
        <w:t xml:space="preserve"> at approximately 12:05 PM</w:t>
      </w:r>
      <w:r>
        <w:t>.</w:t>
      </w:r>
      <w:r>
        <w:rPr>
          <w:rStyle w:val="FootnoteReference"/>
        </w:rPr>
        <w:footnoteReference w:id="105"/>
      </w:r>
    </w:p>
    <w:p w14:paraId="7BD62690" w14:textId="77777777" w:rsidR="00C043A0" w:rsidRPr="00C043A0" w:rsidRDefault="00C043A0" w:rsidP="00F6641F">
      <w:pPr>
        <w:pStyle w:val="Bullet2"/>
        <w:ind w:hanging="720"/>
      </w:pPr>
      <w:r>
        <w:t>MSC promptly initiated its shutdown procedures after receipt of the notice.</w:t>
      </w:r>
      <w:r>
        <w:rPr>
          <w:rStyle w:val="FootnoteReference"/>
        </w:rPr>
        <w:footnoteReference w:id="106"/>
      </w:r>
    </w:p>
    <w:p w14:paraId="581236B6" w14:textId="58E3A719" w:rsidR="009D58D7" w:rsidRPr="009D58D7" w:rsidRDefault="007843B3" w:rsidP="00F6641F">
      <w:pPr>
        <w:pStyle w:val="Bullet2"/>
        <w:ind w:hanging="720"/>
      </w:pPr>
      <w:r>
        <w:lastRenderedPageBreak/>
        <w:t>During the ECE, MSC’s actual measured load exceeded 110% of its Firm Load.</w:t>
      </w:r>
      <w:r>
        <w:rPr>
          <w:rStyle w:val="FootnoteReference"/>
        </w:rPr>
        <w:footnoteReference w:id="107"/>
      </w:r>
      <w:r>
        <w:t xml:space="preserve"> </w:t>
      </w:r>
      <w:r w:rsidR="00CC14EF">
        <w:t>In fact</w:t>
      </w:r>
      <w:r w:rsidR="00BF6FD8">
        <w:t xml:space="preserve">, MSC’s actual measured load did not drop to its Firm Load until </w:t>
      </w:r>
      <w:r w:rsidR="00BB7BC7">
        <w:t xml:space="preserve">well </w:t>
      </w:r>
      <w:r w:rsidR="009D58D7">
        <w:t>over three hours after Toledo Edison sent the ECE notice</w:t>
      </w:r>
      <w:r w:rsidR="00BF6FD8">
        <w:t>.</w:t>
      </w:r>
      <w:r w:rsidR="00BF6FD8">
        <w:rPr>
          <w:rStyle w:val="FootnoteReference"/>
        </w:rPr>
        <w:footnoteReference w:id="108"/>
      </w:r>
      <w:r w:rsidR="00BF6FD8">
        <w:t xml:space="preserve"> </w:t>
      </w:r>
    </w:p>
    <w:p w14:paraId="7B500228" w14:textId="53B883FB" w:rsidR="009D58D7" w:rsidRDefault="001E5C73" w:rsidP="00F6641F">
      <w:pPr>
        <w:pStyle w:val="Bullet2"/>
        <w:ind w:hanging="720"/>
      </w:pPr>
      <w:r>
        <w:t>The</w:t>
      </w:r>
      <w:r w:rsidR="009D58D7">
        <w:t xml:space="preserve"> Company properly calculated the three mandatory penalties required by Rider ELR, which totaled $2,445,543.15.</w:t>
      </w:r>
      <w:r w:rsidR="009D58D7">
        <w:rPr>
          <w:rStyle w:val="FootnoteReference"/>
        </w:rPr>
        <w:footnoteReference w:id="109"/>
      </w:r>
    </w:p>
    <w:p w14:paraId="6E9CB583" w14:textId="176AB253" w:rsidR="009D58D7" w:rsidRPr="001E5C73" w:rsidRDefault="001E5C73" w:rsidP="004974BA">
      <w:pPr>
        <w:pStyle w:val="BodyDblSpJ"/>
      </w:pPr>
      <w:r>
        <w:t xml:space="preserve">Thus, it is undisputed that MSC failed to sufficiently curtail to its Firm Load during the September 11, 2013 ECE and, in accordance with Rider ELR, MSC “shall be subject” to the penalty amounts identified in the Rider.  None of MSC’s attempts to excuse its </w:t>
      </w:r>
      <w:r w:rsidR="005C4C27">
        <w:t xml:space="preserve">deficient </w:t>
      </w:r>
      <w:r>
        <w:t>response to the ECE have merit.</w:t>
      </w:r>
    </w:p>
    <w:p w14:paraId="5DB0E172" w14:textId="2ABAB277" w:rsidR="009D58D7" w:rsidRPr="009D58D7" w:rsidRDefault="00A86257" w:rsidP="009D58D7">
      <w:pPr>
        <w:pStyle w:val="Heading4"/>
      </w:pPr>
      <w:bookmarkStart w:id="47" w:name="_Toc390943996"/>
      <w:bookmarkStart w:id="48" w:name="_Toc390944259"/>
      <w:bookmarkStart w:id="49" w:name="_Toc390944607"/>
      <w:r>
        <w:t xml:space="preserve">Any suggestion by MSC </w:t>
      </w:r>
      <w:r w:rsidR="009D58D7">
        <w:t xml:space="preserve">that its processes were </w:t>
      </w:r>
      <w:r>
        <w:t xml:space="preserve">uniquely </w:t>
      </w:r>
      <w:r w:rsidR="009D58D7">
        <w:t xml:space="preserve">disrupted or otherwise unexpectedly delayed was not supported by its </w:t>
      </w:r>
      <w:r w:rsidR="003B0704">
        <w:t xml:space="preserve">own </w:t>
      </w:r>
      <w:r w:rsidR="009D58D7">
        <w:t>witnesses’ testimony.</w:t>
      </w:r>
      <w:bookmarkEnd w:id="47"/>
      <w:bookmarkEnd w:id="48"/>
      <w:bookmarkEnd w:id="49"/>
    </w:p>
    <w:p w14:paraId="65C5B47E" w14:textId="0EC5F373" w:rsidR="009D58D7" w:rsidRPr="00A86257" w:rsidRDefault="005C4C27" w:rsidP="00B61FD7">
      <w:pPr>
        <w:pStyle w:val="BodyDblSp5J"/>
      </w:pPr>
      <w:r>
        <w:t>MSC’s testimony suggests that its failure to comply with its obligations under Rider ELR should be ignored because of a fluke occurrence</w:t>
      </w:r>
      <w:r w:rsidR="009F329C">
        <w:t xml:space="preserve"> at the plant</w:t>
      </w:r>
      <w:r>
        <w:t xml:space="preserve"> during </w:t>
      </w:r>
      <w:r w:rsidR="009F329C">
        <w:t>MSC’s</w:t>
      </w:r>
      <w:r>
        <w:t xml:space="preserve"> shutdown process.  </w:t>
      </w:r>
      <w:r w:rsidR="009F329C">
        <w:t>Sometime a</w:t>
      </w:r>
      <w:r>
        <w:t xml:space="preserve">fter September 11, 2013, MSC </w:t>
      </w:r>
      <w:r w:rsidR="009F329C">
        <w:t>came to the conclusion</w:t>
      </w:r>
      <w:r>
        <w:t xml:space="preserve"> that it was not able to curtail to its Firm Load within two hours after the notice of the ECE because fans that run an oven used in its production process had to be left on to control the heat.</w:t>
      </w:r>
      <w:r>
        <w:rPr>
          <w:rStyle w:val="FootnoteReference"/>
        </w:rPr>
        <w:footnoteReference w:id="110"/>
      </w:r>
      <w:r>
        <w:t xml:space="preserve">  However, MSC acknowledged that it followed its standard shutdown procedures, </w:t>
      </w:r>
      <w:r w:rsidR="00A86257">
        <w:t>which require the fans to be left on until the ovens are sufficiently cooled</w:t>
      </w:r>
      <w:r>
        <w:t xml:space="preserve">.  MSC witness Ramsay further acknowledged that those procedures </w:t>
      </w:r>
      <w:r w:rsidR="00A86257" w:rsidRPr="00B126D1">
        <w:t>were not created or designed specifically for responding to an ECE, which requires curtailment to Firm Load within two hours.</w:t>
      </w:r>
      <w:r w:rsidR="00A86257">
        <w:rPr>
          <w:rStyle w:val="FootnoteReference"/>
        </w:rPr>
        <w:footnoteReference w:id="111"/>
      </w:r>
      <w:r>
        <w:t xml:space="preserve">  MSC cannot avoid the impact of its failure to comply with Rider ELR by pointing to the use of its standard shutdown procedures.  </w:t>
      </w:r>
      <w:r w:rsidR="009D58D7">
        <w:t xml:space="preserve">MSC </w:t>
      </w:r>
      <w:r w:rsidR="00A86257">
        <w:t xml:space="preserve">also </w:t>
      </w:r>
      <w:r w:rsidR="009D58D7">
        <w:t xml:space="preserve">admitted that </w:t>
      </w:r>
      <w:r w:rsidR="009D58D7">
        <w:lastRenderedPageBreak/>
        <w:t xml:space="preserve">the failure of its internal energy tracking system </w:t>
      </w:r>
      <w:r w:rsidR="00A86257">
        <w:t xml:space="preserve">about which it testifies </w:t>
      </w:r>
      <w:r w:rsidR="009D58D7">
        <w:t>did not delay the shutdown process at all.</w:t>
      </w:r>
      <w:r w:rsidR="009D58D7">
        <w:rPr>
          <w:rStyle w:val="FootnoteReference"/>
        </w:rPr>
        <w:footnoteReference w:id="112"/>
      </w:r>
    </w:p>
    <w:p w14:paraId="3A527AB8" w14:textId="48741BAC" w:rsidR="009D58D7" w:rsidRPr="009D58D7" w:rsidRDefault="009D58D7" w:rsidP="009D58D7">
      <w:pPr>
        <w:pStyle w:val="Heading4"/>
        <w:rPr>
          <w:u w:val="single"/>
        </w:rPr>
      </w:pPr>
      <w:bookmarkStart w:id="50" w:name="_Toc390943997"/>
      <w:bookmarkStart w:id="51" w:name="_Toc390944260"/>
      <w:bookmarkStart w:id="52" w:name="_Toc390944608"/>
      <w:r>
        <w:t>A</w:t>
      </w:r>
      <w:r w:rsidR="004E1678">
        <w:t>lthough it makes vague suggestions otherwise,</w:t>
      </w:r>
      <w:r w:rsidR="00E86BAB">
        <w:rPr>
          <w:rStyle w:val="FootnoteReference"/>
        </w:rPr>
        <w:footnoteReference w:id="113"/>
      </w:r>
      <w:r>
        <w:t xml:space="preserve"> there </w:t>
      </w:r>
      <w:r w:rsidR="00A86257">
        <w:t xml:space="preserve">also </w:t>
      </w:r>
      <w:r>
        <w:t>is no evidence that MSC’s meter was inaccurate.</w:t>
      </w:r>
      <w:bookmarkEnd w:id="50"/>
      <w:bookmarkEnd w:id="51"/>
      <w:bookmarkEnd w:id="52"/>
    </w:p>
    <w:p w14:paraId="662DA550" w14:textId="7AB8E100" w:rsidR="007843B3" w:rsidRPr="007843B3" w:rsidRDefault="004E1678" w:rsidP="00B61FD7">
      <w:pPr>
        <w:pStyle w:val="BodyDblSp5J"/>
      </w:pPr>
      <w:r>
        <w:t xml:space="preserve">MSC </w:t>
      </w:r>
      <w:r w:rsidR="00CC14EF">
        <w:t>witnesses admitted that MSC ha</w:t>
      </w:r>
      <w:r>
        <w:t xml:space="preserve">s no reason to believe that the Company’s meters, which establish that MSC failed to curtail to Firm Load until </w:t>
      </w:r>
      <w:r w:rsidR="00BB7BC7">
        <w:t xml:space="preserve">well </w:t>
      </w:r>
      <w:r>
        <w:t>over three hours after the notice, are inaccurate.</w:t>
      </w:r>
      <w:r>
        <w:rPr>
          <w:rStyle w:val="FootnoteReference"/>
        </w:rPr>
        <w:footnoteReference w:id="114"/>
      </w:r>
      <w:r>
        <w:t xml:space="preserve">  In fact, MSC subsequently confirmed that MSC’s own measurements are the same as what the Company’s meters have measured.</w:t>
      </w:r>
      <w:r>
        <w:rPr>
          <w:rStyle w:val="FootnoteReference"/>
        </w:rPr>
        <w:footnoteReference w:id="115"/>
      </w:r>
    </w:p>
    <w:p w14:paraId="34031C99" w14:textId="77777777" w:rsidR="00CC14EF" w:rsidRPr="00CC14EF" w:rsidRDefault="001A569C" w:rsidP="00FF1099">
      <w:pPr>
        <w:pStyle w:val="Heading4"/>
      </w:pPr>
      <w:bookmarkStart w:id="53" w:name="_Toc390943998"/>
      <w:bookmarkStart w:id="54" w:name="_Toc390944261"/>
      <w:bookmarkStart w:id="55" w:name="_Toc390944609"/>
      <w:r>
        <w:t>MSC’s suggestion that it was “wrongly penalized” also fails.</w:t>
      </w:r>
      <w:r w:rsidR="00B126D1">
        <w:rPr>
          <w:rStyle w:val="FootnoteReference"/>
        </w:rPr>
        <w:footnoteReference w:id="116"/>
      </w:r>
      <w:bookmarkEnd w:id="53"/>
      <w:bookmarkEnd w:id="54"/>
      <w:bookmarkEnd w:id="55"/>
      <w:r>
        <w:t xml:space="preserve">  </w:t>
      </w:r>
    </w:p>
    <w:p w14:paraId="41890149" w14:textId="668D9395" w:rsidR="00281F53" w:rsidRPr="007843B3" w:rsidRDefault="00281F53" w:rsidP="00FF1099">
      <w:pPr>
        <w:pStyle w:val="BodyDblSp5J"/>
      </w:pPr>
      <w:r>
        <w:t xml:space="preserve">Rider ELR clearly requires that, if a Rider ELR customer fails to </w:t>
      </w:r>
      <w:r w:rsidR="00191B67">
        <w:t xml:space="preserve">curtail to and </w:t>
      </w:r>
      <w:r>
        <w:t>maintain its Firm Load throughout the ECE, the customer</w:t>
      </w:r>
      <w:r w:rsidR="007562FD">
        <w:t xml:space="preserve"> is required to</w:t>
      </w:r>
      <w:r>
        <w:t>:</w:t>
      </w:r>
    </w:p>
    <w:p w14:paraId="40032CAE" w14:textId="77777777" w:rsidR="00281F53" w:rsidRPr="007843B3" w:rsidRDefault="00281F53" w:rsidP="00F6641F">
      <w:pPr>
        <w:pStyle w:val="numberlist"/>
        <w:ind w:left="1440"/>
      </w:pPr>
      <w:r>
        <w:t>(1) forfeit its Rider ELR Program Credit for the month in which the ECE occurred;</w:t>
      </w:r>
    </w:p>
    <w:p w14:paraId="78FF0A3C" w14:textId="692FB708" w:rsidR="007562FD" w:rsidRDefault="00281F53" w:rsidP="00F6641F">
      <w:pPr>
        <w:pStyle w:val="numberlist"/>
        <w:ind w:left="1440"/>
      </w:pPr>
      <w:r>
        <w:t xml:space="preserve">(2) </w:t>
      </w:r>
      <w:r w:rsidR="00191B67">
        <w:t xml:space="preserve"> </w:t>
      </w:r>
      <w:r>
        <w:t xml:space="preserve">pay the ECE Charge set forth in the Rates section of Rider ELR; and </w:t>
      </w:r>
    </w:p>
    <w:p w14:paraId="5D8E9222" w14:textId="58204624" w:rsidR="00281F53" w:rsidRDefault="00191B67" w:rsidP="00F6641F">
      <w:pPr>
        <w:pStyle w:val="numberlist"/>
        <w:ind w:left="1440"/>
      </w:pPr>
      <w:r>
        <w:t xml:space="preserve">(3) </w:t>
      </w:r>
      <w:r w:rsidR="00281F53">
        <w:t>pay the sum of all Program Credits received by MSC during the immediately preceding 12 billing months (including credits from Rider ELR and Rider EDR).</w:t>
      </w:r>
    </w:p>
    <w:p w14:paraId="7784248D" w14:textId="7997702F" w:rsidR="007562FD" w:rsidRPr="00F436FA" w:rsidRDefault="007562FD" w:rsidP="004974BA">
      <w:pPr>
        <w:pStyle w:val="BodyDblSpJ"/>
      </w:pPr>
      <w:r>
        <w:t>The penalties are mandatory; as set forth in Rider ELR, the non-complying customer “</w:t>
      </w:r>
      <w:r w:rsidRPr="001E5C73">
        <w:rPr>
          <w:b/>
        </w:rPr>
        <w:t>shall be subject</w:t>
      </w:r>
      <w:r>
        <w:t>” to these three penalties.</w:t>
      </w:r>
      <w:r>
        <w:rPr>
          <w:rStyle w:val="FootnoteReference"/>
        </w:rPr>
        <w:footnoteReference w:id="117"/>
      </w:r>
      <w:r>
        <w:t xml:space="preserve">  As applied to MSC on September 11, 2013, those penalties total $2,445,543.15.</w:t>
      </w:r>
      <w:r>
        <w:rPr>
          <w:rStyle w:val="FootnoteReference"/>
        </w:rPr>
        <w:footnoteReference w:id="118"/>
      </w:r>
      <w:r>
        <w:t xml:space="preserve">  </w:t>
      </w:r>
      <w:r w:rsidR="007D7C80">
        <w:t xml:space="preserve">(The Company used the discretion provided by Rider ELR and did not </w:t>
      </w:r>
      <w:r w:rsidR="007D7C80">
        <w:lastRenderedPageBreak/>
        <w:t>remove MSC from the Rider ELR Program for a minimum of 12 months.</w:t>
      </w:r>
      <w:r w:rsidR="007D7C80">
        <w:rPr>
          <w:rStyle w:val="FootnoteReference"/>
        </w:rPr>
        <w:footnoteReference w:id="119"/>
      </w:r>
      <w:r w:rsidR="007D7C80">
        <w:t xml:space="preserve">)  </w:t>
      </w:r>
      <w:r>
        <w:t>MSC admitted that it exceeded 110% of its Firm Load during the ECE and that it has not identified any inaccuracies in the Company’s calculation of the penalty amounts.</w:t>
      </w:r>
      <w:r>
        <w:rPr>
          <w:rStyle w:val="FootnoteReference"/>
        </w:rPr>
        <w:footnoteReference w:id="120"/>
      </w:r>
      <w:r w:rsidR="007D7C80">
        <w:t xml:space="preserve">  Therefore, MSC has no valid challenges to the Rider ELR penalties.  </w:t>
      </w:r>
    </w:p>
    <w:p w14:paraId="0A8CCED9" w14:textId="3E0EBA03" w:rsidR="00B248A8" w:rsidRDefault="00A07571" w:rsidP="00A547F0">
      <w:pPr>
        <w:pStyle w:val="Heading3"/>
      </w:pPr>
      <w:bookmarkStart w:id="56" w:name="_Toc390943999"/>
      <w:bookmarkStart w:id="57" w:name="_Toc390944262"/>
      <w:bookmarkStart w:id="58" w:name="_Toc390944610"/>
      <w:bookmarkStart w:id="59" w:name="_Toc379801515"/>
      <w:r>
        <w:t xml:space="preserve">Again, </w:t>
      </w:r>
      <w:r w:rsidR="00B248A8">
        <w:t>MSC Cannot Challenge The Terms Of Ri</w:t>
      </w:r>
      <w:r w:rsidR="00820256">
        <w:t xml:space="preserve">der ELR, Which It Supported In </w:t>
      </w:r>
      <w:r w:rsidR="00B248A8">
        <w:t>The Company’s ESP II Proceeding.</w:t>
      </w:r>
      <w:bookmarkEnd w:id="56"/>
      <w:bookmarkEnd w:id="57"/>
      <w:bookmarkEnd w:id="58"/>
    </w:p>
    <w:p w14:paraId="4843A57C" w14:textId="06DC8917" w:rsidR="00B248A8" w:rsidRDefault="00A07571" w:rsidP="00B61FD7">
      <w:pPr>
        <w:pStyle w:val="BodyDblSp5J"/>
      </w:pPr>
      <w:r>
        <w:t xml:space="preserve">As discussed in Section </w:t>
      </w:r>
      <w:r w:rsidR="001E5C73">
        <w:t>A.2</w:t>
      </w:r>
      <w:r>
        <w:t xml:space="preserve">, </w:t>
      </w:r>
      <w:r>
        <w:rPr>
          <w:i/>
        </w:rPr>
        <w:t>supra</w:t>
      </w:r>
      <w:r>
        <w:t>, MSC is barred as a matter of law from attempting to relitigate or challenge the terms and conditions of Rider ELR.  Rider ELR, including its requirements for curtailment and associated penalties for non-compliance, was litigated, established, and approved via the Company’s ESP II</w:t>
      </w:r>
      <w:r w:rsidR="00191B67">
        <w:t xml:space="preserve"> Stipulation that MSC signed on</w:t>
      </w:r>
      <w:r>
        <w:t>to and supporte</w:t>
      </w:r>
      <w:r w:rsidRPr="00A07571">
        <w:t>d.</w:t>
      </w:r>
      <w:r w:rsidR="00B248A8" w:rsidRPr="00A07571">
        <w:rPr>
          <w:rStyle w:val="FootnoteReference"/>
        </w:rPr>
        <w:footnoteReference w:id="121"/>
      </w:r>
      <w:r>
        <w:t xml:space="preserve">  MSC is barred by its own agreement to support the Company’s ESP II, by Commission precedent, and by the doctrines of res judicata and collateral estoppel from coming back now to challenge the terms and conditions of Rider ELR</w:t>
      </w:r>
      <w:r w:rsidRPr="00A07571">
        <w:t>.</w:t>
      </w:r>
      <w:r w:rsidR="00B248A8" w:rsidRPr="00A07571">
        <w:rPr>
          <w:rStyle w:val="FootnoteReference"/>
        </w:rPr>
        <w:footnoteReference w:id="122"/>
      </w:r>
      <w:r w:rsidRPr="00A07571">
        <w:t xml:space="preserve">  MSC’s challenges to its obligations under Rider ELR and the Rider ELR penalties </w:t>
      </w:r>
      <w:r w:rsidR="00B248A8" w:rsidRPr="00A07571">
        <w:t>are barred as a matter of law and should be dismissed.</w:t>
      </w:r>
    </w:p>
    <w:p w14:paraId="2792D31A" w14:textId="575D57B8" w:rsidR="00B248A8" w:rsidRDefault="00B248A8" w:rsidP="00A547F0">
      <w:pPr>
        <w:pStyle w:val="Heading3"/>
      </w:pPr>
      <w:bookmarkStart w:id="60" w:name="_Toc390944000"/>
      <w:bookmarkStart w:id="61" w:name="_Toc390944263"/>
      <w:bookmarkStart w:id="62" w:name="_Toc390944611"/>
      <w:r>
        <w:t xml:space="preserve">MSC’s Allegations About The </w:t>
      </w:r>
      <w:r w:rsidR="00820256">
        <w:t>Timeliness</w:t>
      </w:r>
      <w:r w:rsidR="00E15EE6">
        <w:t xml:space="preserve"> And Clarity</w:t>
      </w:r>
      <w:r w:rsidR="00820256">
        <w:t xml:space="preserve"> Of The </w:t>
      </w:r>
      <w:r>
        <w:t xml:space="preserve">Company’s Notice Are </w:t>
      </w:r>
      <w:r w:rsidR="003B0704">
        <w:t xml:space="preserve">All </w:t>
      </w:r>
      <w:r>
        <w:t>Red Herrings.</w:t>
      </w:r>
      <w:bookmarkEnd w:id="60"/>
      <w:bookmarkEnd w:id="61"/>
      <w:bookmarkEnd w:id="62"/>
    </w:p>
    <w:bookmarkEnd w:id="59"/>
    <w:p w14:paraId="46B95D11" w14:textId="48145F16" w:rsidR="00B248A8" w:rsidRDefault="00B248A8" w:rsidP="00B61FD7">
      <w:pPr>
        <w:pStyle w:val="BodyDblSp5J"/>
        <w:rPr>
          <w:rFonts w:eastAsia="SimSun"/>
          <w:szCs w:val="20"/>
        </w:rPr>
      </w:pPr>
      <w:r>
        <w:rPr>
          <w:rFonts w:eastAsia="SimSun"/>
          <w:szCs w:val="20"/>
        </w:rPr>
        <w:t xml:space="preserve">MSC </w:t>
      </w:r>
      <w:r w:rsidR="00281F53">
        <w:rPr>
          <w:rFonts w:eastAsia="SimSun"/>
          <w:szCs w:val="20"/>
        </w:rPr>
        <w:t>argues</w:t>
      </w:r>
      <w:r w:rsidR="008B6329">
        <w:rPr>
          <w:rFonts w:eastAsia="SimSun"/>
          <w:szCs w:val="20"/>
        </w:rPr>
        <w:t xml:space="preserve"> that</w:t>
      </w:r>
      <w:r w:rsidR="00002352">
        <w:rPr>
          <w:rFonts w:eastAsia="SimSun"/>
          <w:szCs w:val="20"/>
        </w:rPr>
        <w:t xml:space="preserve"> </w:t>
      </w:r>
      <w:r w:rsidR="00281F53">
        <w:rPr>
          <w:rFonts w:eastAsia="SimSun"/>
          <w:szCs w:val="20"/>
        </w:rPr>
        <w:t xml:space="preserve">it cannot be penalized under Rider ELR because the notice of the ECE on September 11, 2013 was “late” </w:t>
      </w:r>
      <w:r w:rsidR="00E347ED">
        <w:rPr>
          <w:rFonts w:eastAsia="SimSun"/>
          <w:szCs w:val="20"/>
        </w:rPr>
        <w:t>in that</w:t>
      </w:r>
      <w:r w:rsidR="0005397D">
        <w:rPr>
          <w:rFonts w:eastAsia="SimSun"/>
          <w:szCs w:val="20"/>
        </w:rPr>
        <w:t xml:space="preserve"> it was issued less than two hours prior to the start of PJM’s load management event.</w:t>
      </w:r>
      <w:r w:rsidR="00E347ED">
        <w:rPr>
          <w:rFonts w:eastAsia="SimSun"/>
          <w:szCs w:val="20"/>
        </w:rPr>
        <w:t xml:space="preserve">  MSC asserts that because the ECE notice identified PJM’s start </w:t>
      </w:r>
      <w:r w:rsidR="00E347ED">
        <w:rPr>
          <w:rFonts w:eastAsia="SimSun"/>
          <w:szCs w:val="20"/>
        </w:rPr>
        <w:lastRenderedPageBreak/>
        <w:t xml:space="preserve">time as 2:00 PM, </w:t>
      </w:r>
      <w:r w:rsidR="00E347ED" w:rsidRPr="00B61FD7">
        <w:t>the</w:t>
      </w:r>
      <w:r w:rsidR="00E347ED">
        <w:rPr>
          <w:rFonts w:eastAsia="SimSun"/>
          <w:szCs w:val="20"/>
        </w:rPr>
        <w:t xml:space="preserve"> Company’s ECE notice, which was sent </w:t>
      </w:r>
      <w:r w:rsidR="008B6329">
        <w:rPr>
          <w:rFonts w:eastAsia="SimSun"/>
          <w:szCs w:val="20"/>
        </w:rPr>
        <w:t xml:space="preserve">to MSC </w:t>
      </w:r>
      <w:r w:rsidR="00E347ED">
        <w:rPr>
          <w:rFonts w:eastAsia="SimSun"/>
          <w:szCs w:val="20"/>
        </w:rPr>
        <w:t>at 12:0</w:t>
      </w:r>
      <w:r w:rsidR="008B6329">
        <w:rPr>
          <w:rFonts w:eastAsia="SimSun"/>
          <w:szCs w:val="20"/>
        </w:rPr>
        <w:t>5</w:t>
      </w:r>
      <w:r w:rsidR="00E347ED">
        <w:rPr>
          <w:rFonts w:eastAsia="SimSun"/>
          <w:szCs w:val="20"/>
        </w:rPr>
        <w:t xml:space="preserve"> PM, was not proper because it was less than two hours prior to 2:00 PM.</w:t>
      </w:r>
      <w:r w:rsidR="0005397D">
        <w:rPr>
          <w:rFonts w:eastAsia="SimSun"/>
          <w:szCs w:val="20"/>
        </w:rPr>
        <w:t xml:space="preserve">  Thus, MSC argues, </w:t>
      </w:r>
      <w:r w:rsidR="00281F53">
        <w:rPr>
          <w:rFonts w:eastAsia="SimSun"/>
          <w:szCs w:val="20"/>
        </w:rPr>
        <w:t>it was not required to respond</w:t>
      </w:r>
      <w:r w:rsidR="00E347ED">
        <w:rPr>
          <w:rFonts w:eastAsia="SimSun"/>
          <w:szCs w:val="20"/>
        </w:rPr>
        <w:t xml:space="preserve"> at all</w:t>
      </w:r>
      <w:r w:rsidR="00281F53">
        <w:rPr>
          <w:rFonts w:eastAsia="SimSun"/>
          <w:szCs w:val="20"/>
        </w:rPr>
        <w:t xml:space="preserve"> to the ECE.</w:t>
      </w:r>
      <w:r w:rsidR="00002352">
        <w:rPr>
          <w:rStyle w:val="FootnoteReference"/>
          <w:rFonts w:eastAsia="SimSun"/>
          <w:szCs w:val="20"/>
        </w:rPr>
        <w:footnoteReference w:id="123"/>
      </w:r>
      <w:r>
        <w:rPr>
          <w:rFonts w:eastAsia="SimSun"/>
          <w:szCs w:val="20"/>
        </w:rPr>
        <w:t xml:space="preserve"> </w:t>
      </w:r>
      <w:r w:rsidR="003B0704">
        <w:rPr>
          <w:rFonts w:eastAsia="SimSun"/>
          <w:szCs w:val="20"/>
        </w:rPr>
        <w:t xml:space="preserve"> This is </w:t>
      </w:r>
      <w:r w:rsidR="00191B67">
        <w:rPr>
          <w:rFonts w:eastAsia="SimSun"/>
          <w:szCs w:val="20"/>
        </w:rPr>
        <w:t>s</w:t>
      </w:r>
      <w:r w:rsidR="003B0704">
        <w:rPr>
          <w:rFonts w:eastAsia="SimSun"/>
          <w:szCs w:val="20"/>
        </w:rPr>
        <w:t>imply wrong; and</w:t>
      </w:r>
      <w:r w:rsidR="00191B67">
        <w:rPr>
          <w:rFonts w:eastAsia="SimSun"/>
          <w:szCs w:val="20"/>
        </w:rPr>
        <w:t xml:space="preserve"> </w:t>
      </w:r>
      <w:r w:rsidR="003B0704">
        <w:rPr>
          <w:rFonts w:eastAsia="SimSun"/>
          <w:szCs w:val="20"/>
        </w:rPr>
        <w:t>the</w:t>
      </w:r>
      <w:r>
        <w:rPr>
          <w:rFonts w:eastAsia="SimSun"/>
          <w:szCs w:val="20"/>
        </w:rPr>
        <w:t xml:space="preserve"> evidence </w:t>
      </w:r>
      <w:r w:rsidR="003B0704">
        <w:rPr>
          <w:rFonts w:eastAsia="SimSun"/>
          <w:szCs w:val="20"/>
        </w:rPr>
        <w:t xml:space="preserve">shows </w:t>
      </w:r>
      <w:r>
        <w:rPr>
          <w:rFonts w:eastAsia="SimSun"/>
          <w:szCs w:val="20"/>
        </w:rPr>
        <w:t>that this is an after-the-fact attempt to avoid the penalties for non-compliance</w:t>
      </w:r>
      <w:r w:rsidR="0005397D">
        <w:rPr>
          <w:rFonts w:eastAsia="SimSun"/>
          <w:szCs w:val="20"/>
        </w:rPr>
        <w:t xml:space="preserve"> because</w:t>
      </w:r>
      <w:r w:rsidR="003B0704">
        <w:rPr>
          <w:rFonts w:eastAsia="SimSun"/>
          <w:szCs w:val="20"/>
        </w:rPr>
        <w:t>: 1) MSC’s own witnesses testified that</w:t>
      </w:r>
      <w:r w:rsidR="0005397D">
        <w:rPr>
          <w:rFonts w:eastAsia="SimSun"/>
          <w:szCs w:val="20"/>
        </w:rPr>
        <w:t xml:space="preserve"> the notice had no impact on MSC’s response to the ECE</w:t>
      </w:r>
      <w:r w:rsidR="003B0704">
        <w:rPr>
          <w:rFonts w:eastAsia="SimSun"/>
          <w:szCs w:val="20"/>
        </w:rPr>
        <w:t>;</w:t>
      </w:r>
      <w:r w:rsidR="00E347ED">
        <w:rPr>
          <w:rFonts w:eastAsia="SimSun"/>
          <w:szCs w:val="20"/>
        </w:rPr>
        <w:t xml:space="preserve"> and </w:t>
      </w:r>
      <w:r w:rsidR="003B0704">
        <w:rPr>
          <w:rFonts w:eastAsia="SimSun"/>
          <w:szCs w:val="20"/>
        </w:rPr>
        <w:t xml:space="preserve">2) </w:t>
      </w:r>
      <w:r w:rsidR="00E347ED">
        <w:rPr>
          <w:rFonts w:eastAsia="SimSun"/>
          <w:szCs w:val="20"/>
        </w:rPr>
        <w:t>MSC never previously raised any issues with the ECE notices</w:t>
      </w:r>
      <w:r>
        <w:rPr>
          <w:rFonts w:eastAsia="SimSun"/>
          <w:szCs w:val="20"/>
        </w:rPr>
        <w:t xml:space="preserve">.  </w:t>
      </w:r>
      <w:r w:rsidR="00E347ED">
        <w:rPr>
          <w:rFonts w:eastAsia="SimSun"/>
          <w:szCs w:val="20"/>
        </w:rPr>
        <w:t>Regardless</w:t>
      </w:r>
      <w:r>
        <w:rPr>
          <w:rFonts w:eastAsia="SimSun"/>
          <w:szCs w:val="20"/>
        </w:rPr>
        <w:t>, its assertions are inconsistent with the requirements of Rider ELR</w:t>
      </w:r>
      <w:r w:rsidR="00CE13A5">
        <w:rPr>
          <w:rFonts w:eastAsia="SimSun"/>
          <w:szCs w:val="20"/>
        </w:rPr>
        <w:t xml:space="preserve"> and the realities of a</w:t>
      </w:r>
      <w:r w:rsidR="003B0704">
        <w:rPr>
          <w:rFonts w:eastAsia="SimSun"/>
          <w:szCs w:val="20"/>
        </w:rPr>
        <w:t xml:space="preserve"> system </w:t>
      </w:r>
      <w:r w:rsidR="00CE13A5">
        <w:rPr>
          <w:rFonts w:eastAsia="SimSun"/>
          <w:szCs w:val="20"/>
        </w:rPr>
        <w:t>emergency</w:t>
      </w:r>
      <w:r>
        <w:rPr>
          <w:rFonts w:eastAsia="SimSun"/>
          <w:szCs w:val="20"/>
        </w:rPr>
        <w:t>.</w:t>
      </w:r>
    </w:p>
    <w:p w14:paraId="51362DB5" w14:textId="23D64E81" w:rsidR="00CE728B" w:rsidRDefault="00CE728B" w:rsidP="00A93B08">
      <w:pPr>
        <w:pStyle w:val="Heading4"/>
        <w:keepNext/>
        <w:rPr>
          <w:rFonts w:eastAsia="SimSun"/>
        </w:rPr>
      </w:pPr>
      <w:bookmarkStart w:id="63" w:name="_Toc390944001"/>
      <w:bookmarkStart w:id="64" w:name="_Toc390944264"/>
      <w:bookmarkStart w:id="65" w:name="_Toc390944612"/>
      <w:r>
        <w:rPr>
          <w:rFonts w:eastAsia="SimSun"/>
        </w:rPr>
        <w:t>The timing of the ECE notice on September 11, 2013, had no impact on MSC’s response to the ECE or its ability to curtail to Firm Load.</w:t>
      </w:r>
      <w:bookmarkEnd w:id="63"/>
      <w:bookmarkEnd w:id="64"/>
      <w:bookmarkEnd w:id="65"/>
    </w:p>
    <w:p w14:paraId="3435BA16" w14:textId="21B3D533" w:rsidR="00CE13A5" w:rsidRDefault="00B248A8" w:rsidP="00A93B08">
      <w:pPr>
        <w:pStyle w:val="BodyDblSp5J"/>
        <w:keepNext/>
        <w:rPr>
          <w:rFonts w:eastAsia="SimSun"/>
          <w:szCs w:val="20"/>
        </w:rPr>
      </w:pPr>
      <w:r>
        <w:rPr>
          <w:rFonts w:eastAsia="SimSun"/>
          <w:szCs w:val="20"/>
        </w:rPr>
        <w:t xml:space="preserve">MSC’s procedures in the event of </w:t>
      </w:r>
      <w:r w:rsidR="0005397D">
        <w:rPr>
          <w:rFonts w:eastAsia="SimSun"/>
          <w:szCs w:val="20"/>
        </w:rPr>
        <w:t xml:space="preserve">an ECE </w:t>
      </w:r>
      <w:r w:rsidR="00191B67">
        <w:rPr>
          <w:rFonts w:eastAsia="SimSun"/>
          <w:szCs w:val="20"/>
        </w:rPr>
        <w:t>begin with</w:t>
      </w:r>
      <w:r w:rsidR="0005397D">
        <w:rPr>
          <w:rFonts w:eastAsia="SimSun"/>
          <w:szCs w:val="20"/>
        </w:rPr>
        <w:t xml:space="preserve"> Mr. Siffer, the P</w:t>
      </w:r>
      <w:r>
        <w:rPr>
          <w:rFonts w:eastAsia="SimSun"/>
          <w:szCs w:val="20"/>
        </w:rPr>
        <w:t>l</w:t>
      </w:r>
      <w:r w:rsidR="0005397D">
        <w:rPr>
          <w:rFonts w:eastAsia="SimSun"/>
          <w:szCs w:val="20"/>
        </w:rPr>
        <w:t>ant M</w:t>
      </w:r>
      <w:r>
        <w:rPr>
          <w:rFonts w:eastAsia="SimSun"/>
          <w:szCs w:val="20"/>
        </w:rPr>
        <w:t xml:space="preserve">anager, </w:t>
      </w:r>
      <w:r w:rsidR="00191B67">
        <w:rPr>
          <w:rFonts w:eastAsia="SimSun"/>
          <w:szCs w:val="20"/>
        </w:rPr>
        <w:t xml:space="preserve">who initiates </w:t>
      </w:r>
      <w:r>
        <w:rPr>
          <w:rFonts w:eastAsia="SimSun"/>
          <w:szCs w:val="20"/>
        </w:rPr>
        <w:t>a shutdown</w:t>
      </w:r>
      <w:r w:rsidR="00191B67">
        <w:rPr>
          <w:rFonts w:eastAsia="SimSun"/>
          <w:szCs w:val="20"/>
        </w:rPr>
        <w:t xml:space="preserve"> </w:t>
      </w:r>
      <w:r>
        <w:rPr>
          <w:rFonts w:eastAsia="SimSun"/>
          <w:szCs w:val="20"/>
        </w:rPr>
        <w:t>by instructing plant personnel to start the process.</w:t>
      </w:r>
      <w:r>
        <w:rPr>
          <w:rStyle w:val="FootnoteReference"/>
          <w:rFonts w:eastAsia="SimSun"/>
          <w:szCs w:val="20"/>
        </w:rPr>
        <w:footnoteReference w:id="124"/>
      </w:r>
      <w:r w:rsidR="0005397D">
        <w:rPr>
          <w:rFonts w:eastAsia="SimSun"/>
          <w:szCs w:val="20"/>
        </w:rPr>
        <w:t xml:space="preserve">  </w:t>
      </w:r>
      <w:r w:rsidR="00CE13A5">
        <w:rPr>
          <w:rFonts w:eastAsia="SimSun"/>
          <w:szCs w:val="20"/>
        </w:rPr>
        <w:t xml:space="preserve">Mr. Siffer </w:t>
      </w:r>
      <w:r w:rsidR="0005397D">
        <w:rPr>
          <w:rFonts w:eastAsia="SimSun"/>
          <w:szCs w:val="20"/>
        </w:rPr>
        <w:t>admitted that he received</w:t>
      </w:r>
      <w:r w:rsidR="00CE13A5">
        <w:rPr>
          <w:rFonts w:eastAsia="SimSun"/>
          <w:szCs w:val="20"/>
        </w:rPr>
        <w:t xml:space="preserve"> the Company’s notice of the ECE on September 11, 2013, at 12:05</w:t>
      </w:r>
      <w:r w:rsidR="00E347ED">
        <w:rPr>
          <w:rFonts w:eastAsia="SimSun"/>
          <w:szCs w:val="20"/>
        </w:rPr>
        <w:t xml:space="preserve"> PM</w:t>
      </w:r>
      <w:r w:rsidR="00CE13A5">
        <w:rPr>
          <w:rFonts w:eastAsia="SimSun"/>
          <w:szCs w:val="20"/>
        </w:rPr>
        <w:t xml:space="preserve"> – essentially instantaneously.</w:t>
      </w:r>
      <w:r w:rsidR="00CE13A5">
        <w:rPr>
          <w:rStyle w:val="FootnoteReference"/>
          <w:rFonts w:eastAsia="SimSun"/>
          <w:szCs w:val="20"/>
        </w:rPr>
        <w:footnoteReference w:id="125"/>
      </w:r>
      <w:r w:rsidR="0005397D">
        <w:rPr>
          <w:rFonts w:eastAsia="SimSun"/>
          <w:szCs w:val="20"/>
        </w:rPr>
        <w:t xml:space="preserve">  Mr. Siffer confirmed that he </w:t>
      </w:r>
      <w:r w:rsidR="00CE13A5" w:rsidRPr="00800CA2">
        <w:rPr>
          <w:rFonts w:eastAsia="SimSun"/>
          <w:szCs w:val="20"/>
        </w:rPr>
        <w:t>did not consider</w:t>
      </w:r>
      <w:r w:rsidR="00CE13A5" w:rsidRPr="00800CA2">
        <w:rPr>
          <w:rFonts w:eastAsia="SimSun"/>
          <w:b/>
          <w:szCs w:val="20"/>
        </w:rPr>
        <w:t xml:space="preserve"> not </w:t>
      </w:r>
      <w:r w:rsidR="00CE13A5" w:rsidRPr="00800CA2">
        <w:rPr>
          <w:rFonts w:eastAsia="SimSun"/>
          <w:szCs w:val="20"/>
        </w:rPr>
        <w:t>curtailing</w:t>
      </w:r>
      <w:r w:rsidR="00CE13A5">
        <w:rPr>
          <w:rFonts w:eastAsia="SimSun"/>
          <w:szCs w:val="20"/>
        </w:rPr>
        <w:t xml:space="preserve"> after receipt of the notice.</w:t>
      </w:r>
      <w:r w:rsidR="00CE13A5">
        <w:rPr>
          <w:rStyle w:val="FootnoteReference"/>
          <w:rFonts w:eastAsia="SimSun"/>
          <w:szCs w:val="20"/>
        </w:rPr>
        <w:footnoteReference w:id="126"/>
      </w:r>
      <w:r w:rsidR="00CE13A5">
        <w:rPr>
          <w:rFonts w:eastAsia="SimSun"/>
          <w:szCs w:val="20"/>
        </w:rPr>
        <w:t xml:space="preserve">  In fact:</w:t>
      </w:r>
    </w:p>
    <w:p w14:paraId="69F003D9" w14:textId="77777777" w:rsidR="0005397D" w:rsidRDefault="00C336A6" w:rsidP="00D8142D">
      <w:pPr>
        <w:pStyle w:val="Nounderlinebullet2"/>
      </w:pPr>
      <w:r>
        <w:t>MSC</w:t>
      </w:r>
      <w:r w:rsidR="00CE13A5">
        <w:t xml:space="preserve"> initiated the same shutdown procedures to curtail MSC’s load as </w:t>
      </w:r>
      <w:r>
        <w:t>it</w:t>
      </w:r>
      <w:r w:rsidR="00CE13A5">
        <w:t xml:space="preserve"> would have under any other circumstances;</w:t>
      </w:r>
      <w:r w:rsidR="00CE13A5">
        <w:rPr>
          <w:rStyle w:val="FootnoteReference"/>
        </w:rPr>
        <w:footnoteReference w:id="127"/>
      </w:r>
    </w:p>
    <w:p w14:paraId="7CA9A14E" w14:textId="77777777" w:rsidR="0005397D" w:rsidRDefault="00C043A0" w:rsidP="00D8142D">
      <w:pPr>
        <w:pStyle w:val="Nounderlinebullet2"/>
      </w:pPr>
      <w:r w:rsidRPr="0005397D">
        <w:t>Mr. Siffer did not delay the process at all because he thought the notice was “defective;”</w:t>
      </w:r>
      <w:r>
        <w:rPr>
          <w:rStyle w:val="FootnoteReference"/>
        </w:rPr>
        <w:footnoteReference w:id="128"/>
      </w:r>
      <w:r w:rsidRPr="0005397D">
        <w:t xml:space="preserve"> </w:t>
      </w:r>
    </w:p>
    <w:p w14:paraId="012B7784" w14:textId="77777777" w:rsidR="0005397D" w:rsidRDefault="00CE13A5" w:rsidP="00D8142D">
      <w:pPr>
        <w:pStyle w:val="Nounderlinebullet2"/>
      </w:pPr>
      <w:r w:rsidRPr="0005397D">
        <w:t>Mr. Siffer did not change anything about the shutdown process because he thought the notice was “defective;”</w:t>
      </w:r>
      <w:r>
        <w:rPr>
          <w:rStyle w:val="FootnoteReference"/>
        </w:rPr>
        <w:footnoteReference w:id="129"/>
      </w:r>
    </w:p>
    <w:p w14:paraId="6E6C0069" w14:textId="65BF9363" w:rsidR="0005397D" w:rsidRDefault="00C043A0" w:rsidP="00D8142D">
      <w:pPr>
        <w:pStyle w:val="Nounderlinebullet2"/>
      </w:pPr>
      <w:r w:rsidRPr="0005397D">
        <w:lastRenderedPageBreak/>
        <w:t xml:space="preserve">He did not tell either Mr. Ramsay or Mr. Augsburger, the two other key plant personnel </w:t>
      </w:r>
      <w:r w:rsidR="0005397D">
        <w:t>associated with</w:t>
      </w:r>
      <w:r w:rsidRPr="0005397D">
        <w:t xml:space="preserve"> the shutdown process, that MSC’s curtailment was “voluntary;”</w:t>
      </w:r>
      <w:r>
        <w:rPr>
          <w:rStyle w:val="FootnoteReference"/>
        </w:rPr>
        <w:footnoteReference w:id="130"/>
      </w:r>
      <w:r w:rsidR="00800CA2">
        <w:t xml:space="preserve"> and</w:t>
      </w:r>
    </w:p>
    <w:p w14:paraId="360EA2C1" w14:textId="01F745B4" w:rsidR="00C043A0" w:rsidRDefault="00800CA2" w:rsidP="00D8142D">
      <w:pPr>
        <w:pStyle w:val="Nounderlinebullet2"/>
      </w:pPr>
      <w:r>
        <w:t>H</w:t>
      </w:r>
      <w:r w:rsidR="00C043A0" w:rsidRPr="0005397D">
        <w:t>e never discussed with anyone at Toledo Edison at any time his belief that the notices were defective.</w:t>
      </w:r>
      <w:r w:rsidR="00C043A0">
        <w:rPr>
          <w:rStyle w:val="FootnoteReference"/>
        </w:rPr>
        <w:footnoteReference w:id="131"/>
      </w:r>
    </w:p>
    <w:p w14:paraId="6F8E7052" w14:textId="3B7FF6A2" w:rsidR="00CE728B" w:rsidRDefault="0005397D" w:rsidP="004974BA">
      <w:pPr>
        <w:pStyle w:val="BodyDblSpJ"/>
        <w:rPr>
          <w:rFonts w:eastAsia="SimSun"/>
        </w:rPr>
      </w:pPr>
      <w:r>
        <w:rPr>
          <w:rFonts w:eastAsia="SimSun"/>
        </w:rPr>
        <w:t>Mr. Augsburger, the plant’s Engineering M</w:t>
      </w:r>
      <w:r w:rsidR="007F76F0">
        <w:rPr>
          <w:rFonts w:eastAsia="SimSun"/>
        </w:rPr>
        <w:t xml:space="preserve">anager, </w:t>
      </w:r>
      <w:r>
        <w:rPr>
          <w:rFonts w:eastAsia="SimSun"/>
        </w:rPr>
        <w:t>confirmed</w:t>
      </w:r>
      <w:r w:rsidR="007F76F0">
        <w:rPr>
          <w:rFonts w:eastAsia="SimSun"/>
        </w:rPr>
        <w:t xml:space="preserve"> that he did not believe that MSC could have reacted any differently if the notice was received on September 11 at 12:00</w:t>
      </w:r>
      <w:r w:rsidR="00E347ED">
        <w:rPr>
          <w:rFonts w:eastAsia="SimSun"/>
        </w:rPr>
        <w:t xml:space="preserve"> PM,</w:t>
      </w:r>
      <w:r w:rsidR="007F76F0">
        <w:rPr>
          <w:rFonts w:eastAsia="SimSun"/>
        </w:rPr>
        <w:t xml:space="preserve"> instead of 12:05</w:t>
      </w:r>
      <w:r w:rsidR="00E347ED">
        <w:rPr>
          <w:rFonts w:eastAsia="SimSun"/>
        </w:rPr>
        <w:t xml:space="preserve"> PM</w:t>
      </w:r>
      <w:r w:rsidR="007F76F0">
        <w:rPr>
          <w:rFonts w:eastAsia="SimSun"/>
        </w:rPr>
        <w:t>.</w:t>
      </w:r>
      <w:r w:rsidR="007F76F0">
        <w:rPr>
          <w:rStyle w:val="FootnoteReference"/>
          <w:rFonts w:eastAsia="SimSun"/>
          <w:szCs w:val="20"/>
        </w:rPr>
        <w:footnoteReference w:id="132"/>
      </w:r>
      <w:r>
        <w:rPr>
          <w:rFonts w:eastAsia="SimSun"/>
        </w:rPr>
        <w:t xml:space="preserve"> </w:t>
      </w:r>
      <w:r w:rsidR="00D101E6">
        <w:rPr>
          <w:rFonts w:eastAsia="SimSun"/>
        </w:rPr>
        <w:t xml:space="preserve">Although </w:t>
      </w:r>
      <w:r>
        <w:rPr>
          <w:rFonts w:eastAsia="SimSun"/>
        </w:rPr>
        <w:t>Mr. Augsburger testified that the September 11, 2013 ECE notice was “late,” he admitted on cross-examination that he had no concept of a “late” notice on September 11, 2013.</w:t>
      </w:r>
      <w:r>
        <w:rPr>
          <w:rStyle w:val="FootnoteReference"/>
          <w:rFonts w:eastAsia="SimSun"/>
          <w:szCs w:val="20"/>
        </w:rPr>
        <w:footnoteReference w:id="133"/>
      </w:r>
      <w:r>
        <w:rPr>
          <w:rFonts w:eastAsia="SimSun"/>
        </w:rPr>
        <w:t xml:space="preserve">  In fact, Mr. Augsburger only read Rider ELR after the September 11, 2013 ECE</w:t>
      </w:r>
      <w:r w:rsidR="00800CA2">
        <w:rPr>
          <w:rFonts w:eastAsia="SimSun"/>
        </w:rPr>
        <w:t>,</w:t>
      </w:r>
      <w:r>
        <w:rPr>
          <w:rFonts w:eastAsia="SimSun"/>
        </w:rPr>
        <w:t xml:space="preserve"> and </w:t>
      </w:r>
      <w:r w:rsidR="00C336A6">
        <w:rPr>
          <w:rFonts w:eastAsia="SimSun"/>
        </w:rPr>
        <w:t>Mr. Ramsay, who implements the shutdown procedures after instructions from Mr. Siffer, has never read Rider ELR</w:t>
      </w:r>
      <w:r>
        <w:rPr>
          <w:rFonts w:eastAsia="SimSun"/>
        </w:rPr>
        <w:t>.</w:t>
      </w:r>
      <w:r w:rsidR="00C336A6">
        <w:rPr>
          <w:rStyle w:val="FootnoteReference"/>
          <w:rFonts w:eastAsia="SimSun"/>
          <w:szCs w:val="20"/>
        </w:rPr>
        <w:footnoteReference w:id="134"/>
      </w:r>
      <w:r>
        <w:rPr>
          <w:rFonts w:eastAsia="SimSun"/>
        </w:rPr>
        <w:t xml:space="preserve">  Therefore, the </w:t>
      </w:r>
      <w:r w:rsidR="00800CA2">
        <w:rPr>
          <w:rFonts w:eastAsia="SimSun"/>
        </w:rPr>
        <w:t>timing of the ECE notice could not</w:t>
      </w:r>
      <w:r w:rsidR="003F7323">
        <w:rPr>
          <w:rFonts w:eastAsia="SimSun"/>
        </w:rPr>
        <w:t xml:space="preserve"> have had</w:t>
      </w:r>
      <w:r w:rsidR="00800CA2">
        <w:rPr>
          <w:rFonts w:eastAsia="SimSun"/>
        </w:rPr>
        <w:t>, and did not have</w:t>
      </w:r>
      <w:r w:rsidR="003F7323">
        <w:rPr>
          <w:rFonts w:eastAsia="SimSun"/>
        </w:rPr>
        <w:t>,</w:t>
      </w:r>
      <w:r w:rsidR="00800CA2">
        <w:rPr>
          <w:rFonts w:eastAsia="SimSun"/>
        </w:rPr>
        <w:t xml:space="preserve"> any impact on MSC’s response to the ECE.  </w:t>
      </w:r>
    </w:p>
    <w:p w14:paraId="45D651CD" w14:textId="755E31B2" w:rsidR="00B248A8" w:rsidRDefault="00D101E6" w:rsidP="00B61FD7">
      <w:pPr>
        <w:pStyle w:val="BodyDblSp5J"/>
        <w:rPr>
          <w:rFonts w:eastAsia="SimSun"/>
          <w:szCs w:val="20"/>
        </w:rPr>
      </w:pPr>
      <w:r>
        <w:rPr>
          <w:rFonts w:eastAsia="SimSun"/>
          <w:szCs w:val="20"/>
        </w:rPr>
        <w:t>Indeed, as Company witness Savage explained, even if the Company had provided notice at 12:00</w:t>
      </w:r>
      <w:r w:rsidR="00E347ED">
        <w:rPr>
          <w:rFonts w:eastAsia="SimSun"/>
          <w:szCs w:val="20"/>
        </w:rPr>
        <w:t xml:space="preserve"> PM</w:t>
      </w:r>
      <w:r w:rsidR="00800CA2">
        <w:rPr>
          <w:rFonts w:eastAsia="SimSun"/>
          <w:szCs w:val="20"/>
        </w:rPr>
        <w:t xml:space="preserve">, </w:t>
      </w:r>
      <w:r>
        <w:rPr>
          <w:rFonts w:eastAsia="SimSun"/>
          <w:szCs w:val="20"/>
        </w:rPr>
        <w:t xml:space="preserve"> it “would not have changed the outcome at all because MSC’s measured load exceeded its Firm Load from 2:30-3:00 p.m. . . . </w:t>
      </w:r>
      <w:r>
        <w:rPr>
          <w:rFonts w:eastAsia="SimSun"/>
          <w:szCs w:val="20"/>
          <w:u w:val="single"/>
        </w:rPr>
        <w:t>and</w:t>
      </w:r>
      <w:r>
        <w:rPr>
          <w:rFonts w:eastAsia="SimSun"/>
          <w:szCs w:val="20"/>
        </w:rPr>
        <w:t xml:space="preserve"> from 3:00- 3:30 p.m. . . .”</w:t>
      </w:r>
      <w:r>
        <w:rPr>
          <w:rStyle w:val="FootnoteReference"/>
          <w:rFonts w:eastAsia="SimSun"/>
          <w:szCs w:val="20"/>
        </w:rPr>
        <w:footnoteReference w:id="135"/>
      </w:r>
      <w:r>
        <w:rPr>
          <w:rFonts w:eastAsia="SimSun"/>
          <w:szCs w:val="20"/>
        </w:rPr>
        <w:t xml:space="preserve">  MSC did not reach its Firm Load for </w:t>
      </w:r>
      <w:r w:rsidRPr="00800CA2">
        <w:rPr>
          <w:rFonts w:eastAsia="SimSun"/>
          <w:b/>
          <w:szCs w:val="20"/>
        </w:rPr>
        <w:t>more than three hours</w:t>
      </w:r>
      <w:r>
        <w:rPr>
          <w:rFonts w:eastAsia="SimSun"/>
          <w:szCs w:val="20"/>
        </w:rPr>
        <w:t xml:space="preserve"> after notice of the </w:t>
      </w:r>
      <w:r w:rsidR="00D74EE0">
        <w:rPr>
          <w:rFonts w:eastAsia="SimSun"/>
          <w:szCs w:val="20"/>
        </w:rPr>
        <w:t xml:space="preserve">ECE </w:t>
      </w:r>
      <w:r>
        <w:rPr>
          <w:rFonts w:eastAsia="SimSun"/>
          <w:szCs w:val="20"/>
        </w:rPr>
        <w:t>was issued.</w:t>
      </w:r>
      <w:r>
        <w:rPr>
          <w:rStyle w:val="FootnoteReference"/>
          <w:rFonts w:eastAsia="SimSun"/>
          <w:szCs w:val="20"/>
        </w:rPr>
        <w:footnoteReference w:id="136"/>
      </w:r>
      <w:r>
        <w:rPr>
          <w:rFonts w:eastAsia="SimSun"/>
          <w:szCs w:val="20"/>
        </w:rPr>
        <w:t xml:space="preserve">   </w:t>
      </w:r>
      <w:r w:rsidR="00800CA2">
        <w:rPr>
          <w:rFonts w:eastAsia="SimSun"/>
          <w:szCs w:val="20"/>
        </w:rPr>
        <w:t xml:space="preserve">Given the time it took MSC to reach its Firm Load, MSC would not have </w:t>
      </w:r>
      <w:r w:rsidR="006374DB">
        <w:rPr>
          <w:rFonts w:eastAsia="SimSun"/>
          <w:szCs w:val="20"/>
        </w:rPr>
        <w:t xml:space="preserve">timely </w:t>
      </w:r>
      <w:r w:rsidR="00800CA2">
        <w:rPr>
          <w:rFonts w:eastAsia="SimSun"/>
          <w:szCs w:val="20"/>
        </w:rPr>
        <w:t xml:space="preserve">reached its Firm Load </w:t>
      </w:r>
      <w:r w:rsidR="006374DB">
        <w:rPr>
          <w:rFonts w:eastAsia="SimSun"/>
          <w:szCs w:val="20"/>
        </w:rPr>
        <w:t xml:space="preserve">in compliance with Rider ELR </w:t>
      </w:r>
      <w:r w:rsidR="00800CA2">
        <w:rPr>
          <w:rFonts w:eastAsia="SimSun"/>
          <w:szCs w:val="20"/>
        </w:rPr>
        <w:t>whether the notice was sent at 12:00 PM or at 12:05 PM.</w:t>
      </w:r>
    </w:p>
    <w:p w14:paraId="2632686E" w14:textId="4DC9DF3D" w:rsidR="006D01C8" w:rsidRPr="00D101E6" w:rsidRDefault="00800CA2" w:rsidP="00B61FD7">
      <w:pPr>
        <w:pStyle w:val="BodyDblSp5J"/>
        <w:rPr>
          <w:rFonts w:eastAsia="SimSun"/>
          <w:szCs w:val="20"/>
        </w:rPr>
      </w:pPr>
      <w:r>
        <w:rPr>
          <w:rFonts w:eastAsia="SimSun"/>
          <w:szCs w:val="20"/>
        </w:rPr>
        <w:t>Regardless</w:t>
      </w:r>
      <w:r w:rsidR="006D01C8">
        <w:rPr>
          <w:rFonts w:eastAsia="SimSun"/>
          <w:szCs w:val="20"/>
        </w:rPr>
        <w:t xml:space="preserve">, Rider ELR </w:t>
      </w:r>
      <w:r w:rsidR="006D01C8" w:rsidRPr="00B61FD7">
        <w:t>provides</w:t>
      </w:r>
      <w:r w:rsidR="006D01C8">
        <w:rPr>
          <w:rFonts w:eastAsia="SimSun"/>
          <w:szCs w:val="20"/>
        </w:rPr>
        <w:t xml:space="preserve"> that</w:t>
      </w:r>
      <w:r w:rsidR="006D01C8" w:rsidRPr="00D101E6">
        <w:rPr>
          <w:rFonts w:eastAsia="SimSun"/>
          <w:szCs w:val="20"/>
        </w:rPr>
        <w:t>:</w:t>
      </w:r>
    </w:p>
    <w:p w14:paraId="76DD1867" w14:textId="778A9334" w:rsidR="006D01C8" w:rsidRPr="00F76734" w:rsidRDefault="006D01C8" w:rsidP="00F76734">
      <w:pPr>
        <w:pStyle w:val="BodyDblIndentJ"/>
        <w:rPr>
          <w:rFonts w:eastAsia="SimSun"/>
          <w:b/>
        </w:rPr>
      </w:pPr>
      <w:r w:rsidRPr="00F76734">
        <w:rPr>
          <w:rFonts w:eastAsia="SimSun"/>
          <w:b/>
        </w:rPr>
        <w:t xml:space="preserve">Upon no less than two hours advance notification provided by the Company, a customer taking service under this rider must </w:t>
      </w:r>
      <w:r w:rsidRPr="00F76734">
        <w:rPr>
          <w:rFonts w:eastAsia="SimSun"/>
          <w:b/>
        </w:rPr>
        <w:lastRenderedPageBreak/>
        <w:t>curtail all load above its Firm Load during an Emergency Curtailment Event</w:t>
      </w:r>
      <w:r w:rsidR="00800CA2" w:rsidRPr="00F76734">
        <w:rPr>
          <w:rFonts w:eastAsia="SimSun"/>
          <w:b/>
        </w:rPr>
        <w:t xml:space="preserve"> . . . .</w:t>
      </w:r>
      <w:r w:rsidRPr="00F76734">
        <w:rPr>
          <w:rStyle w:val="FootnoteReference"/>
          <w:rFonts w:eastAsia="SimSun"/>
          <w:b/>
          <w:szCs w:val="20"/>
        </w:rPr>
        <w:footnoteReference w:id="137"/>
      </w:r>
    </w:p>
    <w:p w14:paraId="01FEE915" w14:textId="63F403F5" w:rsidR="00800CA2" w:rsidRDefault="006D01C8" w:rsidP="004974BA">
      <w:pPr>
        <w:pStyle w:val="BodyDblSpJ"/>
        <w:rPr>
          <w:rFonts w:eastAsia="SimSun"/>
          <w:szCs w:val="20"/>
        </w:rPr>
      </w:pPr>
      <w:r>
        <w:rPr>
          <w:rFonts w:eastAsia="SimSun"/>
          <w:szCs w:val="20"/>
        </w:rPr>
        <w:t>MSC admits</w:t>
      </w:r>
      <w:r w:rsidRPr="00D101E6">
        <w:rPr>
          <w:rFonts w:eastAsia="SimSun"/>
          <w:szCs w:val="20"/>
        </w:rPr>
        <w:t xml:space="preserve"> that the Company provided notice of the ECE to MSC at 12:05 PM on September 11, 2013.</w:t>
      </w:r>
      <w:r w:rsidRPr="00D101E6">
        <w:rPr>
          <w:rStyle w:val="FootnoteReference"/>
          <w:rFonts w:eastAsia="SimSun"/>
          <w:szCs w:val="20"/>
        </w:rPr>
        <w:footnoteReference w:id="138"/>
      </w:r>
      <w:r w:rsidRPr="00D101E6">
        <w:rPr>
          <w:rFonts w:eastAsia="SimSun"/>
          <w:szCs w:val="20"/>
        </w:rPr>
        <w:t xml:space="preserve">  Therefore, in accordance with Rider ELR, MSC was not required to curtail its load until two hours after the </w:t>
      </w:r>
      <w:r w:rsidRPr="004974BA">
        <w:rPr>
          <w:rFonts w:eastAsia="SimSun"/>
        </w:rPr>
        <w:t>Company’s</w:t>
      </w:r>
      <w:r w:rsidRPr="00D101E6">
        <w:rPr>
          <w:rFonts w:eastAsia="SimSun"/>
          <w:szCs w:val="20"/>
        </w:rPr>
        <w:t xml:space="preserve"> notification – or by 2:05 PM.  </w:t>
      </w:r>
      <w:r w:rsidRPr="00D101E6">
        <w:rPr>
          <w:rFonts w:eastAsia="SimSun"/>
          <w:szCs w:val="20"/>
          <w:lang w:eastAsia="zh-CN"/>
        </w:rPr>
        <w:t xml:space="preserve">Rider ELR does not require the Company to provide two hours advance notice of PJM’s </w:t>
      </w:r>
      <w:r>
        <w:rPr>
          <w:rFonts w:eastAsia="SimSun"/>
          <w:szCs w:val="20"/>
          <w:lang w:eastAsia="zh-CN"/>
        </w:rPr>
        <w:t xml:space="preserve">start time; rather, </w:t>
      </w:r>
      <w:r w:rsidRPr="00D101E6">
        <w:rPr>
          <w:rFonts w:eastAsia="SimSun"/>
          <w:szCs w:val="20"/>
          <w:lang w:eastAsia="zh-CN"/>
        </w:rPr>
        <w:t xml:space="preserve">Rider ELR required MSC to have curtailed its load to its “Firm Load” two hours after receiving the ECE notice from the Company.  </w:t>
      </w:r>
      <w:r w:rsidR="008B6329">
        <w:rPr>
          <w:rFonts w:eastAsia="SimSun"/>
          <w:szCs w:val="20"/>
          <w:lang w:eastAsia="zh-CN"/>
        </w:rPr>
        <w:t xml:space="preserve">MSC failed to do so and its ability to comply was not affected by the timing of the ECE notice. </w:t>
      </w:r>
    </w:p>
    <w:p w14:paraId="50AE3D49" w14:textId="77777777" w:rsidR="00CE728B" w:rsidRPr="00AB1EF3" w:rsidRDefault="00CE728B" w:rsidP="00CE728B">
      <w:pPr>
        <w:pStyle w:val="Heading4"/>
      </w:pPr>
      <w:bookmarkStart w:id="66" w:name="_Toc390944002"/>
      <w:bookmarkStart w:id="67" w:name="_Toc390944265"/>
      <w:bookmarkStart w:id="68" w:name="_Toc390944613"/>
      <w:r>
        <w:rPr>
          <w:lang w:eastAsia="zh-CN"/>
        </w:rPr>
        <w:t>MSC’s proposed interpretation of the notice requirements under Rider ELR is illogical and antithetical to the purpose o</w:t>
      </w:r>
      <w:r w:rsidRPr="00AB1EF3">
        <w:rPr>
          <w:lang w:eastAsia="zh-CN"/>
        </w:rPr>
        <w:t>f Rider ELR.</w:t>
      </w:r>
      <w:bookmarkEnd w:id="66"/>
      <w:bookmarkEnd w:id="67"/>
      <w:bookmarkEnd w:id="68"/>
    </w:p>
    <w:p w14:paraId="6307F554" w14:textId="411B82AB" w:rsidR="006D01C8" w:rsidRDefault="00CE728B" w:rsidP="00B61FD7">
      <w:pPr>
        <w:pStyle w:val="BodyDblSp5J"/>
        <w:rPr>
          <w:rFonts w:eastAsia="SimSun"/>
          <w:szCs w:val="20"/>
          <w:lang w:eastAsia="zh-CN"/>
        </w:rPr>
      </w:pPr>
      <w:r>
        <w:t>I</w:t>
      </w:r>
      <w:r w:rsidR="006D01C8">
        <w:t>t would not have been possible for the Company to provide Rider ELR customers with notice two hours in advance of PJM’s zonal load management event, as MSC suggests the Company was required to do.</w:t>
      </w:r>
      <w:r w:rsidR="006D01C8">
        <w:rPr>
          <w:rStyle w:val="FootnoteReference"/>
        </w:rPr>
        <w:footnoteReference w:id="139"/>
      </w:r>
      <w:r w:rsidR="006D01C8">
        <w:t xml:space="preserve">  PJM only notified the Company exactly two hours prior and so the Company could not have prepared a notice to Rider ELR customers two or more hours in advance of PJM’s start time.</w:t>
      </w:r>
      <w:r w:rsidR="006D01C8">
        <w:rPr>
          <w:rStyle w:val="FootnoteReference"/>
        </w:rPr>
        <w:footnoteReference w:id="140"/>
      </w:r>
      <w:r w:rsidR="006D01C8">
        <w:t xml:space="preserve">  Indeed, as explained by Company witness Savage, “[f]or four of the [five] ECEs in 2013, the Company itself received notice from PJM less than two hours from the time identified by PJM for the start of the load management event.”</w:t>
      </w:r>
      <w:r w:rsidR="006D01C8">
        <w:rPr>
          <w:rStyle w:val="FootnoteReference"/>
        </w:rPr>
        <w:footnoteReference w:id="141"/>
      </w:r>
      <w:r w:rsidR="006D01C8">
        <w:t xml:space="preserve">  As she further explained, “[t]he notice from the Company simply starts the clock for Rider ELR customers to curtail to their Firm Load and provides the customer with additional information about the event, including, for example, if the ECE was triggered by PJM and PJM’s start time.”</w:t>
      </w:r>
      <w:r w:rsidR="006D01C8">
        <w:rPr>
          <w:rStyle w:val="FootnoteReference"/>
        </w:rPr>
        <w:footnoteReference w:id="142"/>
      </w:r>
      <w:r w:rsidR="006D01C8">
        <w:t xml:space="preserve">  </w:t>
      </w:r>
      <w:r w:rsidR="006D01C8">
        <w:rPr>
          <w:rFonts w:eastAsia="SimSun"/>
          <w:szCs w:val="20"/>
          <w:lang w:eastAsia="zh-CN"/>
        </w:rPr>
        <w:t>MSC</w:t>
      </w:r>
      <w:r w:rsidR="006D01C8" w:rsidRPr="00D101E6">
        <w:rPr>
          <w:rFonts w:eastAsia="SimSun"/>
          <w:szCs w:val="20"/>
          <w:lang w:eastAsia="zh-CN"/>
        </w:rPr>
        <w:t xml:space="preserve"> failed </w:t>
      </w:r>
      <w:r w:rsidR="006D01C8" w:rsidRPr="00D101E6">
        <w:rPr>
          <w:rFonts w:eastAsia="SimSun"/>
          <w:szCs w:val="20"/>
          <w:lang w:eastAsia="zh-CN"/>
        </w:rPr>
        <w:lastRenderedPageBreak/>
        <w:t xml:space="preserve">to </w:t>
      </w:r>
      <w:r w:rsidR="006D01C8">
        <w:rPr>
          <w:rFonts w:eastAsia="SimSun"/>
          <w:szCs w:val="20"/>
          <w:lang w:eastAsia="zh-CN"/>
        </w:rPr>
        <w:t>curtail within two hours after the notice and, thus, the penalties must apply</w:t>
      </w:r>
      <w:r w:rsidR="006D01C8" w:rsidRPr="00D101E6">
        <w:rPr>
          <w:rFonts w:eastAsia="SimSun"/>
          <w:szCs w:val="20"/>
          <w:lang w:eastAsia="zh-CN"/>
        </w:rPr>
        <w:t>.</w:t>
      </w:r>
      <w:r w:rsidR="006D01C8">
        <w:rPr>
          <w:rFonts w:eastAsia="SimSun"/>
          <w:szCs w:val="20"/>
          <w:lang w:eastAsia="zh-CN"/>
        </w:rPr>
        <w:t xml:space="preserve">  MSC’s other arguments lack merit and cannot change this outcome.</w:t>
      </w:r>
    </w:p>
    <w:p w14:paraId="07350B91" w14:textId="70F717BC" w:rsidR="00F16838" w:rsidRPr="00281F53" w:rsidRDefault="00F16838" w:rsidP="00B61FD7">
      <w:pPr>
        <w:pStyle w:val="BodyDblSp5J"/>
        <w:rPr>
          <w:rFonts w:eastAsia="SimSun"/>
          <w:szCs w:val="20"/>
          <w:lang w:eastAsia="zh-CN"/>
        </w:rPr>
      </w:pPr>
      <w:bookmarkStart w:id="69" w:name="_Toc379801516"/>
      <w:r>
        <w:t xml:space="preserve">Rider ELR </w:t>
      </w:r>
      <w:r w:rsidR="009F329C">
        <w:t>has historically provided</w:t>
      </w:r>
      <w:r>
        <w:t xml:space="preserve"> a significant source of demand reduction that promotes system reliability and warrants the Commission-approved forfeiture and penalties.</w:t>
      </w:r>
      <w:bookmarkEnd w:id="69"/>
      <w:r>
        <w:t xml:space="preserve">  Indeed, the purpose of Rider ELR is to help ensure system reliability, particularly </w:t>
      </w:r>
      <w:r w:rsidRPr="00AB1EF3">
        <w:t>when an “</w:t>
      </w:r>
      <w:r w:rsidRPr="00AB1EF3">
        <w:rPr>
          <w:rFonts w:eastAsia="SimSun"/>
          <w:szCs w:val="20"/>
          <w:lang w:eastAsia="zh-CN"/>
        </w:rPr>
        <w:t>emergency situation exists that may jeopardize the integrity of either the distribution or transmission system in the area.”</w:t>
      </w:r>
      <w:r w:rsidRPr="00AB1EF3">
        <w:rPr>
          <w:rStyle w:val="FootnoteReference"/>
          <w:rFonts w:eastAsia="SimSun"/>
          <w:szCs w:val="20"/>
          <w:lang w:eastAsia="zh-CN"/>
        </w:rPr>
        <w:footnoteReference w:id="143"/>
      </w:r>
      <w:r w:rsidRPr="00AB1EF3">
        <w:rPr>
          <w:rFonts w:eastAsia="SimSun"/>
          <w:szCs w:val="20"/>
          <w:lang w:eastAsia="zh-CN"/>
        </w:rPr>
        <w:t xml:space="preserve">  If </w:t>
      </w:r>
      <w:r w:rsidRPr="00B61FD7">
        <w:t>interruptible</w:t>
      </w:r>
      <w:r w:rsidRPr="00AB1EF3">
        <w:rPr>
          <w:rFonts w:eastAsia="SimSun"/>
          <w:szCs w:val="20"/>
          <w:lang w:eastAsia="zh-CN"/>
        </w:rPr>
        <w:t xml:space="preserve"> load</w:t>
      </w:r>
      <w:r>
        <w:rPr>
          <w:rFonts w:eastAsia="SimSun"/>
          <w:szCs w:val="20"/>
          <w:lang w:eastAsia="zh-CN"/>
        </w:rPr>
        <w:t xml:space="preserve"> committed by Rider ELR customers</w:t>
      </w:r>
      <w:r w:rsidRPr="00AB1EF3">
        <w:rPr>
          <w:rFonts w:eastAsia="SimSun"/>
          <w:szCs w:val="20"/>
          <w:lang w:eastAsia="zh-CN"/>
        </w:rPr>
        <w:t xml:space="preserve"> is not reduced during ECEs, the entire system may be more vulnerable and firm service customers may be forced to curtail in order to maintain system reliability.</w:t>
      </w:r>
      <w:r>
        <w:rPr>
          <w:rStyle w:val="FootnoteReference"/>
          <w:rFonts w:eastAsia="SimSun"/>
          <w:szCs w:val="20"/>
          <w:lang w:eastAsia="zh-CN"/>
        </w:rPr>
        <w:footnoteReference w:id="144"/>
      </w:r>
      <w:r w:rsidRPr="00AB1EF3">
        <w:rPr>
          <w:rFonts w:eastAsia="SimSun"/>
          <w:szCs w:val="20"/>
          <w:lang w:eastAsia="zh-CN"/>
        </w:rPr>
        <w:t xml:space="preserve">  Therefore, it is critical that Rider ELR customers curtail their load in connection with an ECE, as they agreed </w:t>
      </w:r>
      <w:r w:rsidR="003F7323">
        <w:rPr>
          <w:rFonts w:eastAsia="SimSun"/>
          <w:szCs w:val="20"/>
          <w:lang w:eastAsia="zh-CN"/>
        </w:rPr>
        <w:t>to do in exchange for the sizeable credits they receive</w:t>
      </w:r>
      <w:r w:rsidRPr="00AB1EF3">
        <w:rPr>
          <w:rFonts w:eastAsia="SimSun"/>
          <w:szCs w:val="20"/>
          <w:lang w:eastAsia="zh-CN"/>
        </w:rPr>
        <w:t xml:space="preserve">. </w:t>
      </w:r>
    </w:p>
    <w:p w14:paraId="19095B2C" w14:textId="0952CD87" w:rsidR="00F16838" w:rsidRDefault="00F16838" w:rsidP="00B61FD7">
      <w:pPr>
        <w:pStyle w:val="BodyDblSp5J"/>
        <w:rPr>
          <w:rFonts w:eastAsia="SimSun"/>
          <w:szCs w:val="20"/>
          <w:lang w:eastAsia="zh-CN"/>
        </w:rPr>
      </w:pPr>
      <w:r>
        <w:rPr>
          <w:rFonts w:eastAsia="SimSun"/>
          <w:szCs w:val="20"/>
          <w:lang w:eastAsia="zh-CN"/>
        </w:rPr>
        <w:t xml:space="preserve">However, MSC </w:t>
      </w:r>
      <w:r w:rsidR="00794176">
        <w:rPr>
          <w:rFonts w:eastAsia="SimSun"/>
          <w:szCs w:val="20"/>
          <w:lang w:eastAsia="zh-CN"/>
        </w:rPr>
        <w:t xml:space="preserve">now </w:t>
      </w:r>
      <w:r>
        <w:rPr>
          <w:rFonts w:eastAsia="SimSun"/>
          <w:szCs w:val="20"/>
          <w:lang w:eastAsia="zh-CN"/>
        </w:rPr>
        <w:t xml:space="preserve">asserts that it should be </w:t>
      </w:r>
      <w:r w:rsidR="003F7323">
        <w:rPr>
          <w:rFonts w:eastAsia="SimSun"/>
          <w:szCs w:val="20"/>
          <w:lang w:eastAsia="zh-CN"/>
        </w:rPr>
        <w:t xml:space="preserve">completely </w:t>
      </w:r>
      <w:r>
        <w:rPr>
          <w:rFonts w:eastAsia="SimSun"/>
          <w:szCs w:val="20"/>
          <w:lang w:eastAsia="zh-CN"/>
        </w:rPr>
        <w:t>relieved of its obligations to curtail its load during such an emergency ba</w:t>
      </w:r>
      <w:r w:rsidRPr="00281F53">
        <w:rPr>
          <w:rFonts w:eastAsia="SimSun"/>
          <w:szCs w:val="20"/>
          <w:lang w:eastAsia="zh-CN"/>
        </w:rPr>
        <w:t xml:space="preserve">sed on </w:t>
      </w:r>
      <w:r>
        <w:rPr>
          <w:rFonts w:eastAsia="SimSun"/>
          <w:szCs w:val="20"/>
          <w:lang w:eastAsia="zh-CN"/>
        </w:rPr>
        <w:t>a</w:t>
      </w:r>
      <w:r w:rsidRPr="00281F53">
        <w:rPr>
          <w:rFonts w:eastAsia="SimSun"/>
          <w:szCs w:val="20"/>
          <w:lang w:eastAsia="zh-CN"/>
        </w:rPr>
        <w:t xml:space="preserve"> five minute difference between </w:t>
      </w:r>
      <w:r w:rsidR="003F7323">
        <w:rPr>
          <w:rFonts w:eastAsia="SimSun"/>
          <w:szCs w:val="20"/>
          <w:lang w:eastAsia="zh-CN"/>
        </w:rPr>
        <w:t xml:space="preserve">the identified start time of </w:t>
      </w:r>
      <w:r w:rsidRPr="00281F53">
        <w:rPr>
          <w:rFonts w:eastAsia="SimSun"/>
          <w:szCs w:val="20"/>
          <w:lang w:eastAsia="zh-CN"/>
        </w:rPr>
        <w:t xml:space="preserve">PJM’s </w:t>
      </w:r>
      <w:r w:rsidR="003F7323">
        <w:rPr>
          <w:rFonts w:eastAsia="SimSun"/>
          <w:szCs w:val="20"/>
          <w:lang w:eastAsia="zh-CN"/>
        </w:rPr>
        <w:t xml:space="preserve">event (2:00 PM) </w:t>
      </w:r>
      <w:r w:rsidRPr="00281F53">
        <w:rPr>
          <w:rFonts w:eastAsia="SimSun"/>
          <w:szCs w:val="20"/>
          <w:lang w:eastAsia="zh-CN"/>
        </w:rPr>
        <w:t>and two hours after the</w:t>
      </w:r>
      <w:r>
        <w:rPr>
          <w:rFonts w:eastAsia="SimSun"/>
          <w:szCs w:val="20"/>
          <w:lang w:eastAsia="zh-CN"/>
        </w:rPr>
        <w:t xml:space="preserve"> Company’s notice</w:t>
      </w:r>
      <w:r w:rsidR="003F7323">
        <w:rPr>
          <w:rFonts w:eastAsia="SimSun"/>
          <w:szCs w:val="20"/>
          <w:lang w:eastAsia="zh-CN"/>
        </w:rPr>
        <w:t xml:space="preserve"> of the ECE (</w:t>
      </w:r>
      <w:r>
        <w:rPr>
          <w:rFonts w:eastAsia="SimSun"/>
          <w:szCs w:val="20"/>
          <w:lang w:eastAsia="zh-CN"/>
        </w:rPr>
        <w:t>2:05 PM</w:t>
      </w:r>
      <w:r w:rsidR="003F7323">
        <w:rPr>
          <w:rFonts w:eastAsia="SimSun"/>
          <w:szCs w:val="20"/>
          <w:lang w:eastAsia="zh-CN"/>
        </w:rPr>
        <w:t xml:space="preserve">) </w:t>
      </w:r>
      <w:r>
        <w:rPr>
          <w:rFonts w:eastAsia="SimSun"/>
          <w:szCs w:val="20"/>
          <w:lang w:eastAsia="zh-CN"/>
        </w:rPr>
        <w:t xml:space="preserve">– </w:t>
      </w:r>
      <w:r w:rsidRPr="00B61FD7">
        <w:t>even</w:t>
      </w:r>
      <w:r>
        <w:rPr>
          <w:rFonts w:eastAsia="SimSun"/>
          <w:szCs w:val="20"/>
          <w:lang w:eastAsia="zh-CN"/>
        </w:rPr>
        <w:t xml:space="preserve"> where the difference admittedly had no impact on MSC’s response to the ECE</w:t>
      </w:r>
      <w:r w:rsidR="00BB7BC7">
        <w:rPr>
          <w:rFonts w:eastAsia="SimSun"/>
          <w:szCs w:val="20"/>
          <w:lang w:eastAsia="zh-CN"/>
        </w:rPr>
        <w:t xml:space="preserve"> and when the PJM start time is not a condition of Rider ELR</w:t>
      </w:r>
      <w:r w:rsidRPr="00281F53">
        <w:rPr>
          <w:rFonts w:eastAsia="SimSun"/>
          <w:szCs w:val="20"/>
          <w:lang w:eastAsia="zh-CN"/>
        </w:rPr>
        <w:t xml:space="preserve">. </w:t>
      </w:r>
      <w:r>
        <w:rPr>
          <w:rFonts w:eastAsia="SimSun"/>
          <w:szCs w:val="20"/>
          <w:lang w:eastAsia="zh-CN"/>
        </w:rPr>
        <w:t xml:space="preserve">  Such an argument flies in the face of the purpose of Rider ELR and the fact that neither the Company nor PJM have control over the timing of an emergency situation.  That is exactly why Rider ELR provides that Rider ELR customers </w:t>
      </w:r>
      <w:r w:rsidR="003F7323">
        <w:rPr>
          <w:rFonts w:eastAsia="SimSun"/>
          <w:szCs w:val="20"/>
          <w:lang w:eastAsia="zh-CN"/>
        </w:rPr>
        <w:t>are</w:t>
      </w:r>
      <w:r>
        <w:rPr>
          <w:rFonts w:eastAsia="SimSun"/>
          <w:szCs w:val="20"/>
          <w:lang w:eastAsia="zh-CN"/>
        </w:rPr>
        <w:t xml:space="preserve"> required to curtail within two hours of notice from the Company (“upon no less than two hour notification by the Company”).</w:t>
      </w:r>
      <w:r>
        <w:rPr>
          <w:rStyle w:val="FootnoteReference"/>
          <w:rFonts w:eastAsia="SimSun"/>
          <w:szCs w:val="20"/>
          <w:lang w:eastAsia="zh-CN"/>
        </w:rPr>
        <w:footnoteReference w:id="145"/>
      </w:r>
      <w:r>
        <w:rPr>
          <w:rFonts w:eastAsia="SimSun"/>
          <w:szCs w:val="20"/>
          <w:lang w:eastAsia="zh-CN"/>
        </w:rPr>
        <w:t xml:space="preserve">  </w:t>
      </w:r>
      <w:r w:rsidRPr="00F16838">
        <w:rPr>
          <w:rFonts w:eastAsia="SimSun"/>
          <w:szCs w:val="20"/>
          <w:lang w:eastAsia="zh-CN"/>
        </w:rPr>
        <w:t>If Rider ELR customers were allowed to receive the significant credits provided</w:t>
      </w:r>
      <w:r w:rsidR="00D74EE0">
        <w:rPr>
          <w:rFonts w:eastAsia="SimSun"/>
          <w:szCs w:val="20"/>
          <w:lang w:eastAsia="zh-CN"/>
        </w:rPr>
        <w:t xml:space="preserve"> to</w:t>
      </w:r>
      <w:r w:rsidRPr="00F16838">
        <w:rPr>
          <w:rFonts w:eastAsia="SimSun"/>
          <w:szCs w:val="20"/>
          <w:lang w:eastAsia="zh-CN"/>
        </w:rPr>
        <w:t xml:space="preserve"> them for agreeing to curtail load in the event of an </w:t>
      </w:r>
      <w:r w:rsidRPr="00F16838">
        <w:rPr>
          <w:rFonts w:eastAsia="SimSun"/>
          <w:szCs w:val="20"/>
          <w:lang w:eastAsia="zh-CN"/>
        </w:rPr>
        <w:lastRenderedPageBreak/>
        <w:t xml:space="preserve">emergency, but then could </w:t>
      </w:r>
      <w:r>
        <w:rPr>
          <w:rFonts w:eastAsia="SimSun"/>
          <w:szCs w:val="20"/>
          <w:lang w:eastAsia="zh-CN"/>
        </w:rPr>
        <w:t xml:space="preserve">avoid complying </w:t>
      </w:r>
      <w:r w:rsidRPr="00F16838">
        <w:rPr>
          <w:rFonts w:eastAsia="SimSun"/>
          <w:szCs w:val="20"/>
          <w:lang w:eastAsia="zh-CN"/>
        </w:rPr>
        <w:t xml:space="preserve">with Rider ELR and still retain their credits, there would be no incentive to comply – and all other customers would be paying for an empty benefit.  </w:t>
      </w:r>
    </w:p>
    <w:p w14:paraId="386699FA" w14:textId="40E45932" w:rsidR="006D01C8" w:rsidRPr="006D01C8" w:rsidRDefault="006D01C8" w:rsidP="006D01C8">
      <w:pPr>
        <w:pStyle w:val="Heading4"/>
        <w:rPr>
          <w:rFonts w:eastAsia="SimSun"/>
        </w:rPr>
      </w:pPr>
      <w:bookmarkStart w:id="70" w:name="_Toc390944003"/>
      <w:bookmarkStart w:id="71" w:name="_Toc390944266"/>
      <w:bookmarkStart w:id="72" w:name="_Toc390944614"/>
      <w:r w:rsidRPr="006D01C8">
        <w:rPr>
          <w:rFonts w:eastAsia="SimSun"/>
        </w:rPr>
        <w:t>MSC’s assertion that the ECE notices are confusing do</w:t>
      </w:r>
      <w:r w:rsidR="001E3453">
        <w:rPr>
          <w:rFonts w:eastAsia="SimSun"/>
        </w:rPr>
        <w:t>es</w:t>
      </w:r>
      <w:r w:rsidRPr="006D01C8">
        <w:rPr>
          <w:rFonts w:eastAsia="SimSun"/>
        </w:rPr>
        <w:t xml:space="preserve"> not support its attempts to avoid the Rider ELR penalties because there is absolutely no evidence that MSC was, in fact, confused or that any purported confusion impacted MSC’s ability to respond to the ECE.</w:t>
      </w:r>
      <w:bookmarkEnd w:id="70"/>
      <w:bookmarkEnd w:id="71"/>
      <w:bookmarkEnd w:id="72"/>
      <w:r w:rsidRPr="006D01C8">
        <w:rPr>
          <w:rFonts w:eastAsia="SimSun"/>
        </w:rPr>
        <w:t xml:space="preserve">  </w:t>
      </w:r>
    </w:p>
    <w:p w14:paraId="532DE775" w14:textId="38C78CDE" w:rsidR="006D01C8" w:rsidRDefault="006D01C8" w:rsidP="00B61FD7">
      <w:pPr>
        <w:pStyle w:val="BodyDblSp5J"/>
        <w:rPr>
          <w:rFonts w:eastAsia="SimSun"/>
          <w:szCs w:val="20"/>
        </w:rPr>
      </w:pPr>
      <w:r>
        <w:rPr>
          <w:rFonts w:eastAsia="SimSun"/>
          <w:szCs w:val="20"/>
        </w:rPr>
        <w:t xml:space="preserve">Mr. Augsburger was the only MSC witness to testify regarding purported “confusion” with the ECE notices, but Mr. Augsburger </w:t>
      </w:r>
      <w:r w:rsidR="008B6329">
        <w:rPr>
          <w:rFonts w:eastAsia="SimSun"/>
          <w:szCs w:val="20"/>
        </w:rPr>
        <w:t xml:space="preserve">did not provide any evidence that any confusion with the </w:t>
      </w:r>
      <w:r w:rsidR="003F7323">
        <w:rPr>
          <w:rFonts w:eastAsia="SimSun"/>
          <w:szCs w:val="20"/>
        </w:rPr>
        <w:t xml:space="preserve">September 11, 2013 </w:t>
      </w:r>
      <w:r w:rsidR="008B6329">
        <w:rPr>
          <w:rFonts w:eastAsia="SimSun"/>
          <w:szCs w:val="20"/>
        </w:rPr>
        <w:t xml:space="preserve">notice impacted </w:t>
      </w:r>
      <w:r w:rsidR="001B306C">
        <w:rPr>
          <w:rFonts w:eastAsia="SimSun"/>
          <w:szCs w:val="20"/>
        </w:rPr>
        <w:t xml:space="preserve">in any way </w:t>
      </w:r>
      <w:r w:rsidR="008B6329">
        <w:rPr>
          <w:rFonts w:eastAsia="SimSun"/>
          <w:szCs w:val="20"/>
        </w:rPr>
        <w:t>MSC’s ability to curtail within two hour</w:t>
      </w:r>
      <w:r w:rsidR="003F7323">
        <w:rPr>
          <w:rFonts w:eastAsia="SimSun"/>
          <w:szCs w:val="20"/>
        </w:rPr>
        <w:t>s of that</w:t>
      </w:r>
      <w:r w:rsidR="008B6329">
        <w:rPr>
          <w:rFonts w:eastAsia="SimSun"/>
          <w:szCs w:val="20"/>
        </w:rPr>
        <w:t xml:space="preserve"> notice.  </w:t>
      </w:r>
      <w:r w:rsidR="008B6329" w:rsidRPr="00B61FD7">
        <w:t>Further</w:t>
      </w:r>
      <w:r w:rsidR="008B6329">
        <w:rPr>
          <w:rFonts w:eastAsia="SimSun"/>
          <w:szCs w:val="20"/>
        </w:rPr>
        <w:t xml:space="preserve">, he </w:t>
      </w:r>
      <w:r>
        <w:rPr>
          <w:rFonts w:eastAsia="SimSun"/>
          <w:szCs w:val="20"/>
        </w:rPr>
        <w:t>admitted that he has no role in implementing MSC’s shutdown procedures and so his “confusion” could not (and did not) have any impact on MSC’s response to the notice.</w:t>
      </w:r>
      <w:r>
        <w:rPr>
          <w:rStyle w:val="FootnoteReference"/>
          <w:rFonts w:eastAsia="SimSun"/>
          <w:szCs w:val="20"/>
        </w:rPr>
        <w:footnoteReference w:id="146"/>
      </w:r>
      <w:r>
        <w:rPr>
          <w:rFonts w:eastAsia="SimSun"/>
          <w:szCs w:val="20"/>
        </w:rPr>
        <w:t xml:space="preserve">  MSC provided no evidence to suggest that its ability to comply with its Rider ELR obligations on September 11, 2013 (or any other date) was affected by the substance of the ECE notice.  </w:t>
      </w:r>
    </w:p>
    <w:p w14:paraId="6B2653B8" w14:textId="04D53F9F" w:rsidR="006D01C8" w:rsidRDefault="008B6329" w:rsidP="00B61FD7">
      <w:pPr>
        <w:pStyle w:val="BodyDblSp5J"/>
        <w:rPr>
          <w:rFonts w:eastAsia="SimSun"/>
          <w:szCs w:val="20"/>
        </w:rPr>
      </w:pPr>
      <w:r>
        <w:rPr>
          <w:rFonts w:eastAsia="SimSun"/>
          <w:szCs w:val="20"/>
        </w:rPr>
        <w:t>In addition</w:t>
      </w:r>
      <w:r w:rsidR="006D01C8">
        <w:rPr>
          <w:rFonts w:eastAsia="SimSun"/>
          <w:szCs w:val="20"/>
        </w:rPr>
        <w:t>, each and every ECE notice clearly state</w:t>
      </w:r>
      <w:r w:rsidR="00D93CB9">
        <w:rPr>
          <w:rFonts w:eastAsia="SimSun"/>
          <w:szCs w:val="20"/>
        </w:rPr>
        <w:t>s</w:t>
      </w:r>
      <w:r w:rsidR="006D01C8">
        <w:rPr>
          <w:rFonts w:eastAsia="SimSun"/>
          <w:szCs w:val="20"/>
        </w:rPr>
        <w:t xml:space="preserve"> that if a Rider ELR customer has any questions, the customer should contact its Customer Service Representative at the Company.</w:t>
      </w:r>
      <w:r w:rsidR="006D01C8">
        <w:rPr>
          <w:rStyle w:val="FootnoteReference"/>
          <w:rFonts w:eastAsia="SimSun"/>
          <w:szCs w:val="20"/>
        </w:rPr>
        <w:footnoteReference w:id="147"/>
      </w:r>
      <w:r w:rsidR="006D01C8">
        <w:rPr>
          <w:rFonts w:eastAsia="SimSun"/>
          <w:szCs w:val="20"/>
        </w:rPr>
        <w:t xml:space="preserve">  There is no evidence that MSC ever contacted its Customer Service Representative </w:t>
      </w:r>
      <w:r w:rsidR="00D93CB9">
        <w:rPr>
          <w:rFonts w:eastAsia="SimSun"/>
          <w:szCs w:val="20"/>
        </w:rPr>
        <w:t xml:space="preserve">in 2013 </w:t>
      </w:r>
      <w:r w:rsidR="006D01C8">
        <w:rPr>
          <w:rFonts w:eastAsia="SimSun"/>
          <w:szCs w:val="20"/>
        </w:rPr>
        <w:t xml:space="preserve">to seek </w:t>
      </w:r>
      <w:r w:rsidR="006D01C8" w:rsidRPr="00B61FD7">
        <w:t>confirmation</w:t>
      </w:r>
      <w:r w:rsidR="006D01C8">
        <w:rPr>
          <w:rFonts w:eastAsia="SimSun"/>
          <w:szCs w:val="20"/>
        </w:rPr>
        <w:t xml:space="preserve"> about the timing of the mandatory curtailments or </w:t>
      </w:r>
      <w:r w:rsidR="00D93CB9">
        <w:rPr>
          <w:rFonts w:eastAsia="SimSun"/>
          <w:szCs w:val="20"/>
        </w:rPr>
        <w:t xml:space="preserve">to ask any questions about </w:t>
      </w:r>
      <w:r w:rsidR="006D01C8">
        <w:rPr>
          <w:rFonts w:eastAsia="SimSun"/>
          <w:szCs w:val="20"/>
        </w:rPr>
        <w:t>the substance of the notices.  Mr. Siffer admitted that he never raised the i</w:t>
      </w:r>
      <w:r w:rsidR="00D93CB9">
        <w:rPr>
          <w:rFonts w:eastAsia="SimSun"/>
          <w:szCs w:val="20"/>
        </w:rPr>
        <w:t>ssue with anyone at the Company</w:t>
      </w:r>
      <w:r w:rsidR="006D01C8">
        <w:rPr>
          <w:rStyle w:val="FootnoteReference"/>
          <w:rFonts w:eastAsia="SimSun"/>
          <w:szCs w:val="20"/>
        </w:rPr>
        <w:footnoteReference w:id="148"/>
      </w:r>
      <w:r w:rsidR="00D93CB9">
        <w:rPr>
          <w:rFonts w:eastAsia="SimSun"/>
          <w:szCs w:val="20"/>
        </w:rPr>
        <w:t xml:space="preserve"> </w:t>
      </w:r>
      <w:r w:rsidR="009325F4">
        <w:rPr>
          <w:rFonts w:eastAsia="SimSun"/>
          <w:szCs w:val="20"/>
        </w:rPr>
        <w:t xml:space="preserve">and </w:t>
      </w:r>
      <w:r w:rsidR="00D93CB9">
        <w:rPr>
          <w:rFonts w:eastAsia="SimSun"/>
          <w:szCs w:val="20"/>
        </w:rPr>
        <w:t>MSC did not raise the issue of its purported confusion during its subsequent discussions with</w:t>
      </w:r>
      <w:r w:rsidR="006D01C8">
        <w:rPr>
          <w:rFonts w:eastAsia="SimSun"/>
          <w:szCs w:val="20"/>
        </w:rPr>
        <w:t xml:space="preserve"> Company after the penalty letter was issued.</w:t>
      </w:r>
      <w:r w:rsidR="006D01C8">
        <w:rPr>
          <w:rStyle w:val="FootnoteReference"/>
          <w:rFonts w:eastAsia="SimSun"/>
          <w:szCs w:val="20"/>
        </w:rPr>
        <w:footnoteReference w:id="149"/>
      </w:r>
    </w:p>
    <w:p w14:paraId="60F76191" w14:textId="0B7D9D0E" w:rsidR="0095123A" w:rsidRPr="00CE7496" w:rsidRDefault="008B6329" w:rsidP="00B61FD7">
      <w:pPr>
        <w:pStyle w:val="BodyDblSp5J"/>
      </w:pPr>
      <w:r>
        <w:lastRenderedPageBreak/>
        <w:t>To the extent</w:t>
      </w:r>
      <w:r w:rsidR="0095123A">
        <w:t xml:space="preserve"> MSC </w:t>
      </w:r>
      <w:r w:rsidR="00D93CB9">
        <w:t xml:space="preserve">tries to criticize the notices by pointing </w:t>
      </w:r>
      <w:r w:rsidR="0095123A">
        <w:t>to changes in the</w:t>
      </w:r>
      <w:r>
        <w:t xml:space="preserve"> language of the</w:t>
      </w:r>
      <w:r w:rsidR="0095123A">
        <w:t xml:space="preserve"> ECE notices issued in 2014 as compared to those issued in 2013</w:t>
      </w:r>
      <w:r>
        <w:t xml:space="preserve">, such an argument </w:t>
      </w:r>
      <w:r w:rsidR="00D93CB9">
        <w:t>must</w:t>
      </w:r>
      <w:r>
        <w:t xml:space="preserve"> also fail</w:t>
      </w:r>
      <w:r w:rsidR="0095123A">
        <w:t xml:space="preserve">.  First, the </w:t>
      </w:r>
      <w:r w:rsidR="0095123A" w:rsidRPr="00CE728B">
        <w:rPr>
          <w:b/>
        </w:rPr>
        <w:t>2014</w:t>
      </w:r>
      <w:r w:rsidR="0095123A">
        <w:t xml:space="preserve"> notices are irrelevant as to whether MSC met its obligations under Rider ELR on September 11, </w:t>
      </w:r>
      <w:r w:rsidR="0095123A" w:rsidRPr="00CE728B">
        <w:rPr>
          <w:b/>
        </w:rPr>
        <w:t>2013</w:t>
      </w:r>
      <w:r w:rsidR="0095123A">
        <w:t xml:space="preserve">.  </w:t>
      </w:r>
      <w:r>
        <w:t>Indeed, t</w:t>
      </w:r>
      <w:r w:rsidR="0095123A">
        <w:t xml:space="preserve">he </w:t>
      </w:r>
      <w:r w:rsidR="00D93CB9">
        <w:t xml:space="preserve">2014 </w:t>
      </w:r>
      <w:r w:rsidR="0095123A">
        <w:t>notices and Mr. Augsburger’s associated testimony about them should be stricken.</w:t>
      </w:r>
      <w:r w:rsidR="0095123A">
        <w:rPr>
          <w:rStyle w:val="FootnoteReference"/>
        </w:rPr>
        <w:footnoteReference w:id="150"/>
      </w:r>
      <w:r w:rsidR="0095123A">
        <w:t xml:space="preserve">  </w:t>
      </w:r>
      <w:r w:rsidR="00D93CB9">
        <w:t>R</w:t>
      </w:r>
      <w:r w:rsidR="0095123A">
        <w:t>egardless, the Company’s subsequent efforts to revise and fine-tune its notices are not an appropriate consideration in this proceeding based on the Ohio Rules of Evidence and the underlying interest in promoting (rather than dissuading) any “remedial” efforts.</w:t>
      </w:r>
      <w:r w:rsidR="0095123A">
        <w:rPr>
          <w:rStyle w:val="FootnoteReference"/>
        </w:rPr>
        <w:footnoteReference w:id="151"/>
      </w:r>
      <w:r w:rsidR="0095123A">
        <w:t xml:space="preserve">  </w:t>
      </w:r>
      <w:r w:rsidR="00D93CB9">
        <w:t>T</w:t>
      </w:r>
      <w:r w:rsidR="00F53B1D">
        <w:t xml:space="preserve">he language of the ECE notices </w:t>
      </w:r>
      <w:r w:rsidR="0095123A">
        <w:t>do</w:t>
      </w:r>
      <w:r w:rsidR="00F53B1D">
        <w:t>es</w:t>
      </w:r>
      <w:r w:rsidR="0095123A">
        <w:t xml:space="preserve"> not change the facts at issue here:  MSC received notice of the ECE on September 11, 2013, and MSC</w:t>
      </w:r>
      <w:r w:rsidR="00D93CB9">
        <w:t xml:space="preserve"> immediately</w:t>
      </w:r>
      <w:r w:rsidR="0095123A">
        <w:t xml:space="preserve"> attempted, but failed, to comply.  Accordingly, the Rider ELR penalties must apply.</w:t>
      </w:r>
    </w:p>
    <w:p w14:paraId="6D314487" w14:textId="77777777" w:rsidR="004C64C7" w:rsidRPr="0042686B" w:rsidRDefault="00681B06" w:rsidP="00F8737F">
      <w:pPr>
        <w:pStyle w:val="Heading3"/>
      </w:pPr>
      <w:bookmarkStart w:id="73" w:name="_Toc379801514"/>
      <w:bookmarkStart w:id="74" w:name="_Toc390944004"/>
      <w:bookmarkStart w:id="75" w:name="_Toc390944267"/>
      <w:bookmarkStart w:id="76" w:name="_Toc390944615"/>
      <w:bookmarkEnd w:id="22"/>
      <w:r>
        <w:t>Rider ELR Does Not Provide For A</w:t>
      </w:r>
      <w:r w:rsidR="00BC34E2">
        <w:t>ny “Mitigation” Of The Penalties, Which Have Been Applied To Other Customers As Required By The Rider</w:t>
      </w:r>
      <w:r>
        <w:t>.</w:t>
      </w:r>
      <w:bookmarkEnd w:id="73"/>
      <w:bookmarkEnd w:id="74"/>
      <w:bookmarkEnd w:id="75"/>
      <w:bookmarkEnd w:id="76"/>
    </w:p>
    <w:p w14:paraId="4E604AF3" w14:textId="068BD75D" w:rsidR="00C81005" w:rsidRDefault="009F069F" w:rsidP="00B61FD7">
      <w:pPr>
        <w:pStyle w:val="BodyDblSp5J"/>
        <w:rPr>
          <w:rFonts w:eastAsia="SimSun"/>
          <w:szCs w:val="20"/>
        </w:rPr>
      </w:pPr>
      <w:r>
        <w:rPr>
          <w:rFonts w:eastAsia="SimSun"/>
          <w:szCs w:val="20"/>
        </w:rPr>
        <w:t>MSC argues that the Rider ELR penalties should be mitigated as applied to MSC because MSC</w:t>
      </w:r>
      <w:r w:rsidR="00D93CB9">
        <w:rPr>
          <w:rFonts w:eastAsia="SimSun"/>
          <w:szCs w:val="20"/>
        </w:rPr>
        <w:t xml:space="preserve"> tried to </w:t>
      </w:r>
      <w:r>
        <w:rPr>
          <w:rFonts w:eastAsia="SimSun"/>
          <w:szCs w:val="20"/>
        </w:rPr>
        <w:t>comply with the September 11, 2013 ECE</w:t>
      </w:r>
      <w:r w:rsidR="004C64C7">
        <w:rPr>
          <w:rFonts w:eastAsia="SimSun"/>
          <w:szCs w:val="20"/>
        </w:rPr>
        <w:t>.</w:t>
      </w:r>
      <w:r w:rsidR="004C64C7">
        <w:rPr>
          <w:rStyle w:val="FootnoteReference"/>
          <w:rFonts w:eastAsia="SimSun"/>
          <w:szCs w:val="20"/>
        </w:rPr>
        <w:footnoteReference w:id="152"/>
      </w:r>
      <w:r w:rsidR="004C64C7">
        <w:rPr>
          <w:rFonts w:eastAsia="SimSun"/>
          <w:szCs w:val="20"/>
        </w:rPr>
        <w:t xml:space="preserve">  However, the terms of Rider ELR are clear and unambiguous and</w:t>
      </w:r>
      <w:r w:rsidR="00D93CB9">
        <w:rPr>
          <w:rFonts w:eastAsia="SimSun"/>
          <w:szCs w:val="20"/>
        </w:rPr>
        <w:t xml:space="preserve">, aside from the two-tier penalty structure contained within the Rider itself, </w:t>
      </w:r>
      <w:r>
        <w:rPr>
          <w:rFonts w:eastAsia="SimSun"/>
          <w:szCs w:val="20"/>
        </w:rPr>
        <w:t xml:space="preserve">do </w:t>
      </w:r>
      <w:r w:rsidR="00787EFF" w:rsidRPr="009D07C9">
        <w:rPr>
          <w:rFonts w:eastAsia="SimSun"/>
          <w:szCs w:val="20"/>
          <w:lang w:eastAsia="zh-CN"/>
        </w:rPr>
        <w:t xml:space="preserve">not include any basis upon which </w:t>
      </w:r>
      <w:r w:rsidR="001B306C">
        <w:rPr>
          <w:rFonts w:eastAsia="SimSun"/>
          <w:szCs w:val="20"/>
          <w:lang w:eastAsia="zh-CN"/>
        </w:rPr>
        <w:t>the Compan</w:t>
      </w:r>
      <w:r w:rsidR="00D93CB9">
        <w:rPr>
          <w:rFonts w:eastAsia="SimSun"/>
          <w:szCs w:val="20"/>
          <w:lang w:eastAsia="zh-CN"/>
        </w:rPr>
        <w:t>y</w:t>
      </w:r>
      <w:r w:rsidR="001B306C">
        <w:rPr>
          <w:rFonts w:eastAsia="SimSun"/>
          <w:szCs w:val="20"/>
          <w:lang w:eastAsia="zh-CN"/>
        </w:rPr>
        <w:t xml:space="preserve"> would be permitted </w:t>
      </w:r>
      <w:r w:rsidR="00787EFF" w:rsidRPr="009D07C9">
        <w:rPr>
          <w:rFonts w:eastAsia="SimSun"/>
          <w:szCs w:val="20"/>
          <w:lang w:eastAsia="zh-CN"/>
        </w:rPr>
        <w:t>to excuse or mitigate a customer</w:t>
      </w:r>
      <w:r w:rsidR="00D93CB9">
        <w:rPr>
          <w:rFonts w:eastAsia="SimSun"/>
          <w:szCs w:val="20"/>
          <w:lang w:eastAsia="zh-CN"/>
        </w:rPr>
        <w:t>’s noncompliance with Rider ELR</w:t>
      </w:r>
      <w:r w:rsidR="00787EFF" w:rsidRPr="009D07C9">
        <w:rPr>
          <w:rFonts w:eastAsia="SimSun"/>
          <w:szCs w:val="20"/>
          <w:lang w:eastAsia="zh-CN"/>
        </w:rPr>
        <w:t>.</w:t>
      </w:r>
      <w:r w:rsidR="00787EFF" w:rsidRPr="009D07C9">
        <w:rPr>
          <w:rStyle w:val="FootnoteReference"/>
          <w:rFonts w:eastAsia="SimSun"/>
          <w:szCs w:val="20"/>
          <w:lang w:eastAsia="zh-CN"/>
        </w:rPr>
        <w:footnoteReference w:id="153"/>
      </w:r>
      <w:r>
        <w:rPr>
          <w:rFonts w:eastAsia="SimSun"/>
          <w:szCs w:val="20"/>
          <w:lang w:eastAsia="zh-CN"/>
        </w:rPr>
        <w:t xml:space="preserve">  </w:t>
      </w:r>
      <w:r w:rsidR="00787EFF" w:rsidRPr="009F069F">
        <w:rPr>
          <w:rFonts w:eastAsia="SimSun"/>
          <w:szCs w:val="20"/>
          <w:lang w:eastAsia="zh-CN"/>
        </w:rPr>
        <w:t xml:space="preserve">The only </w:t>
      </w:r>
      <w:r>
        <w:rPr>
          <w:rFonts w:eastAsia="SimSun"/>
          <w:szCs w:val="20"/>
          <w:lang w:eastAsia="zh-CN"/>
        </w:rPr>
        <w:t xml:space="preserve">fact that is relevant to the </w:t>
      </w:r>
      <w:r>
        <w:rPr>
          <w:rFonts w:eastAsia="SimSun"/>
          <w:szCs w:val="20"/>
          <w:lang w:eastAsia="zh-CN"/>
        </w:rPr>
        <w:lastRenderedPageBreak/>
        <w:t xml:space="preserve">application of the penalties is whether the customer maintained its </w:t>
      </w:r>
      <w:r w:rsidR="00D47285">
        <w:rPr>
          <w:rFonts w:eastAsia="SimSun"/>
          <w:szCs w:val="20"/>
          <w:lang w:eastAsia="zh-CN"/>
        </w:rPr>
        <w:t xml:space="preserve">measured load below its </w:t>
      </w:r>
      <w:r>
        <w:rPr>
          <w:rFonts w:eastAsia="SimSun"/>
          <w:szCs w:val="20"/>
          <w:lang w:eastAsia="zh-CN"/>
        </w:rPr>
        <w:t>Firm Load during the ECE</w:t>
      </w:r>
      <w:r w:rsidR="00787EFF" w:rsidRPr="009D07C9">
        <w:rPr>
          <w:rFonts w:eastAsia="SimSun"/>
          <w:szCs w:val="20"/>
          <w:lang w:eastAsia="zh-CN"/>
        </w:rPr>
        <w:t>.</w:t>
      </w:r>
      <w:r w:rsidR="00787EFF" w:rsidRPr="009D07C9">
        <w:rPr>
          <w:rStyle w:val="FootnoteReference"/>
          <w:rFonts w:eastAsia="SimSun"/>
          <w:szCs w:val="20"/>
          <w:lang w:eastAsia="zh-CN"/>
        </w:rPr>
        <w:footnoteReference w:id="154"/>
      </w:r>
      <w:r w:rsidR="00787EFF" w:rsidRPr="009D07C9">
        <w:rPr>
          <w:rFonts w:eastAsia="SimSun"/>
          <w:szCs w:val="20"/>
          <w:lang w:eastAsia="zh-CN"/>
        </w:rPr>
        <w:t xml:space="preserve">  </w:t>
      </w:r>
      <w:r w:rsidR="00C81005">
        <w:rPr>
          <w:rFonts w:eastAsia="SimSun"/>
          <w:szCs w:val="20"/>
        </w:rPr>
        <w:t>“The [penalty] provisions of the Rider ELR tariff are mandatory.  Toledo Edison has no discretion.  It is incumbent upon the customer to contemplate the potential impact of a failure to comply with the terms and conditions of the rider at the time it elects to receive service under Rider ELR.”</w:t>
      </w:r>
      <w:r w:rsidR="00C81005">
        <w:rPr>
          <w:rStyle w:val="FootnoteReference"/>
          <w:rFonts w:eastAsia="SimSun"/>
          <w:szCs w:val="20"/>
        </w:rPr>
        <w:footnoteReference w:id="155"/>
      </w:r>
    </w:p>
    <w:p w14:paraId="5101A97B" w14:textId="1D99507A" w:rsidR="003B190C" w:rsidRPr="00FB651D" w:rsidRDefault="00FB651D" w:rsidP="00B61FD7">
      <w:pPr>
        <w:pStyle w:val="BodyDblSp5J"/>
      </w:pPr>
      <w:r>
        <w:t>Mr. Siffer admitted that MSC was aware of the Rider ELR penalties when it agreed to participate, but he does not know whether MSC considered the potential impact of those penalties.</w:t>
      </w:r>
      <w:r>
        <w:rPr>
          <w:rStyle w:val="FootnoteReference"/>
        </w:rPr>
        <w:footnoteReference w:id="156"/>
      </w:r>
      <w:r w:rsidR="003B190C">
        <w:t xml:space="preserve">  </w:t>
      </w:r>
      <w:r w:rsidR="006B5E62">
        <w:t>T</w:t>
      </w:r>
      <w:r w:rsidR="003B190C">
        <w:t xml:space="preserve">he bulk of MSC witness Ramsay’s testimony regarding the negative impacts of the curtailments required for compliance under Rider ELR </w:t>
      </w:r>
      <w:r w:rsidR="00AC574B">
        <w:t xml:space="preserve">also </w:t>
      </w:r>
      <w:r w:rsidR="003B190C">
        <w:t xml:space="preserve">is irrelevant.  He admitted </w:t>
      </w:r>
      <w:r w:rsidR="003B190C" w:rsidRPr="00FB651D">
        <w:t>that MSC personnel were aware that there would be disruptions of MSC’s production process as a result of the shutdowns required in the event of an emergency under Rider ELR.</w:t>
      </w:r>
      <w:r w:rsidR="003B190C" w:rsidRPr="00FB651D">
        <w:rPr>
          <w:rStyle w:val="FootnoteReference"/>
        </w:rPr>
        <w:footnoteReference w:id="157"/>
      </w:r>
      <w:r w:rsidR="003B190C">
        <w:t xml:space="preserve">  </w:t>
      </w:r>
      <w:r w:rsidR="003B190C" w:rsidRPr="00FB651D">
        <w:rPr>
          <w:szCs w:val="20"/>
        </w:rPr>
        <w:t>Further, MSC selected its Firm Load despite the fact that MSC cannot operate its main production processes while maintaining its Firm Load under Rider ELR.</w:t>
      </w:r>
      <w:r w:rsidR="003B190C" w:rsidRPr="00FB651D">
        <w:rPr>
          <w:rStyle w:val="FootnoteReference"/>
          <w:szCs w:val="20"/>
        </w:rPr>
        <w:footnoteReference w:id="158"/>
      </w:r>
      <w:r w:rsidR="003B190C">
        <w:rPr>
          <w:szCs w:val="20"/>
        </w:rPr>
        <w:t xml:space="preserve">  </w:t>
      </w:r>
      <w:r w:rsidR="00F53B1D">
        <w:t>MSC witness Siffer, the P</w:t>
      </w:r>
      <w:r w:rsidR="003B190C">
        <w:t xml:space="preserve">lant </w:t>
      </w:r>
      <w:r w:rsidR="00F53B1D">
        <w:t>M</w:t>
      </w:r>
      <w:r w:rsidR="003B190C">
        <w:t>anager and highest-ranking employee at the plant, admitted that it was “reasonable” to say that the benefits to MSC from participating under Rider ELR are greater than the potential costs.</w:t>
      </w:r>
      <w:r w:rsidR="003B190C">
        <w:rPr>
          <w:rStyle w:val="FootnoteReference"/>
        </w:rPr>
        <w:footnoteReference w:id="159"/>
      </w:r>
      <w:r w:rsidR="003B190C">
        <w:t xml:space="preserve">  This cost-benefit analysis is affirmed by the fact that MSC elected to participate in Rider ELR three times, in connection with the Company’s three ESPs, which span over seven years.</w:t>
      </w:r>
      <w:r w:rsidR="003B190C">
        <w:rPr>
          <w:rStyle w:val="FootnoteReference"/>
        </w:rPr>
        <w:footnoteReference w:id="160"/>
      </w:r>
    </w:p>
    <w:p w14:paraId="20759270" w14:textId="72C0CCAD" w:rsidR="00FB651D" w:rsidRPr="00AC574B" w:rsidRDefault="00AC574B" w:rsidP="00B61FD7">
      <w:pPr>
        <w:pStyle w:val="BodyDblSp5J"/>
        <w:rPr>
          <w:rFonts w:eastAsia="SimSun"/>
          <w:szCs w:val="20"/>
        </w:rPr>
      </w:pPr>
      <w:r>
        <w:t xml:space="preserve">MSC’s other arguments as to why the Rider ELR penalties it agreed to in the ESP II Stipulation are unjust and unreasonable should be rejected.  First, </w:t>
      </w:r>
      <w:r w:rsidR="00FB651D">
        <w:t xml:space="preserve">MSC witness Siffer </w:t>
      </w:r>
      <w:r>
        <w:t>suggests</w:t>
      </w:r>
      <w:r w:rsidR="00FB651D">
        <w:t xml:space="preserve"> </w:t>
      </w:r>
      <w:r w:rsidR="00FB651D">
        <w:lastRenderedPageBreak/>
        <w:t xml:space="preserve">that the Rider ELR penalties may serve as a deterrent to other customers’ participation or their decisions to move to the Company’s service territory.  </w:t>
      </w:r>
      <w:r w:rsidR="006B5E62">
        <w:t>This argument is meaningless because no new customers are eligible for Rider ELR; the Rider specifically limits eligibility to those customers who have previously taken service from the Company under Rider ELR.</w:t>
      </w:r>
      <w:r w:rsidR="006B5E62">
        <w:rPr>
          <w:rStyle w:val="FootnoteReference"/>
        </w:rPr>
        <w:footnoteReference w:id="161"/>
      </w:r>
      <w:r>
        <w:t xml:space="preserve"> </w:t>
      </w:r>
      <w:r w:rsidR="006B5E62">
        <w:t xml:space="preserve"> Moreover, Mr. Siffer admitted that he does not recall having ever spoken with any other Toledo Edison customers about Rider ELR or any other manufacturer that is considering relocating to the Company’s service territory or considering enrolling in Rider ELR.</w:t>
      </w:r>
      <w:r w:rsidR="006B5E62">
        <w:rPr>
          <w:rStyle w:val="FootnoteReference"/>
        </w:rPr>
        <w:footnoteReference w:id="162"/>
      </w:r>
      <w:r w:rsidR="006B5E62">
        <w:t xml:space="preserve">  </w:t>
      </w:r>
      <w:r>
        <w:rPr>
          <w:rFonts w:eastAsia="SimSun"/>
          <w:szCs w:val="20"/>
        </w:rPr>
        <w:t>Second, to the extent MSC seeks to compare the penalties to those imposed by PJM in connection with PJM’s demand response programs, such a comparison is improper and totally irrelevant as to whether the Commission-approved Rider ELR penalties are just and reasonable.  PJM’s program is separate and distinct from Rider ELR.  Rider ELR, as supported by MSC in the ESP II Stipulation and approved by the Commission, has its own clear obligations and penalties.  MSC is not now and never has been</w:t>
      </w:r>
      <w:r w:rsidR="006B5E62">
        <w:rPr>
          <w:rFonts w:eastAsia="SimSun"/>
          <w:szCs w:val="20"/>
        </w:rPr>
        <w:t xml:space="preserve"> (and, while </w:t>
      </w:r>
      <w:r w:rsidR="006374DB">
        <w:rPr>
          <w:rFonts w:eastAsia="SimSun"/>
          <w:szCs w:val="20"/>
        </w:rPr>
        <w:t>taking service under</w:t>
      </w:r>
      <w:r w:rsidR="006B5E62">
        <w:rPr>
          <w:rFonts w:eastAsia="SimSun"/>
          <w:szCs w:val="20"/>
        </w:rPr>
        <w:t xml:space="preserve"> Rider ELR, cannot be)</w:t>
      </w:r>
      <w:r>
        <w:rPr>
          <w:rFonts w:eastAsia="SimSun"/>
          <w:szCs w:val="20"/>
        </w:rPr>
        <w:t xml:space="preserve"> a participant in PJM’s emergency and pre</w:t>
      </w:r>
      <w:r w:rsidR="001B51F5">
        <w:rPr>
          <w:rFonts w:eastAsia="SimSun"/>
          <w:szCs w:val="20"/>
        </w:rPr>
        <w:t>-</w:t>
      </w:r>
      <w:r>
        <w:rPr>
          <w:rFonts w:eastAsia="SimSun"/>
          <w:szCs w:val="20"/>
        </w:rPr>
        <w:t>emergency load response program.</w:t>
      </w:r>
      <w:r>
        <w:rPr>
          <w:rStyle w:val="FootnoteReference"/>
          <w:rFonts w:eastAsia="SimSun"/>
          <w:szCs w:val="20"/>
        </w:rPr>
        <w:footnoteReference w:id="163"/>
      </w:r>
      <w:r>
        <w:rPr>
          <w:rFonts w:eastAsia="SimSun"/>
          <w:szCs w:val="20"/>
        </w:rPr>
        <w:t xml:space="preserve">  </w:t>
      </w:r>
      <w:r w:rsidR="006B5E62">
        <w:t xml:space="preserve">Thus, any references to PJM’s demand response programs and penalties should be disregarded and </w:t>
      </w:r>
      <w:r>
        <w:t>rejected</w:t>
      </w:r>
      <w:r w:rsidR="006B5E62">
        <w:t xml:space="preserve">.  </w:t>
      </w:r>
      <w:r>
        <w:t xml:space="preserve"> </w:t>
      </w:r>
    </w:p>
    <w:p w14:paraId="2799CFCE" w14:textId="6F64B190" w:rsidR="00FB651D" w:rsidRDefault="00FB651D" w:rsidP="00B61FD7">
      <w:pPr>
        <w:pStyle w:val="BodyDblSp5J"/>
        <w:rPr>
          <w:rFonts w:eastAsia="SimSun"/>
          <w:szCs w:val="20"/>
        </w:rPr>
      </w:pPr>
      <w:r>
        <w:rPr>
          <w:rFonts w:eastAsia="SimSun"/>
          <w:szCs w:val="20"/>
        </w:rPr>
        <w:t>Rider ELR customers</w:t>
      </w:r>
      <w:r w:rsidR="006B5E62">
        <w:rPr>
          <w:rFonts w:eastAsia="SimSun"/>
          <w:szCs w:val="20"/>
        </w:rPr>
        <w:t xml:space="preserve"> also</w:t>
      </w:r>
      <w:r>
        <w:rPr>
          <w:rFonts w:eastAsia="SimSun"/>
          <w:szCs w:val="20"/>
        </w:rPr>
        <w:t xml:space="preserve"> may receive extra time, beyond the two-hour requirement, before penalties apply.  “Because Rider ELR calls for measured load to be calculated in half-hour increments, partial time periods at the beginning or the end of an event are not considered in determining whether a Rider ELR customer has complied with its obligations to curtail to Firm Load.”</w:t>
      </w:r>
      <w:r>
        <w:rPr>
          <w:rStyle w:val="FootnoteReference"/>
          <w:rFonts w:eastAsia="SimSun"/>
          <w:szCs w:val="20"/>
        </w:rPr>
        <w:footnoteReference w:id="164"/>
      </w:r>
      <w:r>
        <w:rPr>
          <w:rFonts w:eastAsia="SimSun"/>
          <w:szCs w:val="20"/>
        </w:rPr>
        <w:t xml:space="preserve">  During the September 11, 2013 ECE, for example, customers’ loads were not </w:t>
      </w:r>
      <w:r>
        <w:rPr>
          <w:rFonts w:eastAsia="SimSun"/>
          <w:szCs w:val="20"/>
        </w:rPr>
        <w:lastRenderedPageBreak/>
        <w:t>evaluated until the half-hour ending 2:30-3:00 PM EDT.</w:t>
      </w:r>
      <w:r>
        <w:rPr>
          <w:rStyle w:val="FootnoteReference"/>
          <w:rFonts w:eastAsia="SimSun"/>
          <w:szCs w:val="20"/>
        </w:rPr>
        <w:footnoteReference w:id="165"/>
      </w:r>
      <w:r>
        <w:rPr>
          <w:rFonts w:eastAsia="SimSun"/>
          <w:szCs w:val="20"/>
        </w:rPr>
        <w:t xml:space="preserve">  Thus, Rider ELR customers would not have been penalized for non-compliance unless it took them more than approximately </w:t>
      </w:r>
      <w:r w:rsidR="006B5E62">
        <w:rPr>
          <w:rFonts w:eastAsia="SimSun"/>
          <w:szCs w:val="20"/>
        </w:rPr>
        <w:t xml:space="preserve">2 hours </w:t>
      </w:r>
      <w:r w:rsidR="001B306C">
        <w:rPr>
          <w:rFonts w:eastAsia="SimSun"/>
          <w:szCs w:val="20"/>
        </w:rPr>
        <w:t xml:space="preserve">and 25 minutes </w:t>
      </w:r>
      <w:r>
        <w:rPr>
          <w:rFonts w:eastAsia="SimSun"/>
          <w:szCs w:val="20"/>
        </w:rPr>
        <w:t>to reduce to Firm Load.</w:t>
      </w:r>
    </w:p>
    <w:p w14:paraId="3B8A60C8" w14:textId="46BEEDB5" w:rsidR="00FB651D" w:rsidRPr="00AC574B" w:rsidRDefault="00FB651D" w:rsidP="00B61FD7">
      <w:pPr>
        <w:pStyle w:val="BodyDblSp5J"/>
      </w:pPr>
      <w:r w:rsidRPr="00FB651D">
        <w:rPr>
          <w:rFonts w:eastAsia="SimSun"/>
          <w:szCs w:val="20"/>
        </w:rPr>
        <w:t xml:space="preserve">More </w:t>
      </w:r>
      <w:r w:rsidRPr="00B61FD7">
        <w:t>fundamentally</w:t>
      </w:r>
      <w:r w:rsidRPr="00FB651D">
        <w:rPr>
          <w:rFonts w:eastAsia="SimSun"/>
          <w:szCs w:val="20"/>
        </w:rPr>
        <w:t xml:space="preserve">, </w:t>
      </w:r>
      <w:r>
        <w:rPr>
          <w:rFonts w:eastAsia="SimSun"/>
          <w:szCs w:val="20"/>
        </w:rPr>
        <w:t xml:space="preserve">however, </w:t>
      </w:r>
      <w:r w:rsidRPr="00FB651D">
        <w:rPr>
          <w:rFonts w:eastAsia="SimSun"/>
          <w:szCs w:val="20"/>
        </w:rPr>
        <w:t xml:space="preserve">the Company </w:t>
      </w:r>
      <w:r w:rsidR="001B306C">
        <w:rPr>
          <w:rFonts w:eastAsia="SimSun"/>
          <w:szCs w:val="20"/>
        </w:rPr>
        <w:t>does not have the</w:t>
      </w:r>
      <w:r w:rsidRPr="00FB651D">
        <w:rPr>
          <w:rFonts w:eastAsia="SimSun"/>
          <w:szCs w:val="20"/>
        </w:rPr>
        <w:t xml:space="preserve"> discretion to reduce or otherwise mitigate the Rider ELR penalties as applied to MSC because </w:t>
      </w:r>
      <w:r w:rsidR="006B5E62">
        <w:rPr>
          <w:rFonts w:eastAsia="SimSun"/>
          <w:szCs w:val="20"/>
        </w:rPr>
        <w:t xml:space="preserve">other </w:t>
      </w:r>
      <w:r w:rsidRPr="00FB651D">
        <w:rPr>
          <w:rFonts w:eastAsia="SimSun"/>
          <w:szCs w:val="20"/>
        </w:rPr>
        <w:t>non-complying Rider ELR customers</w:t>
      </w:r>
      <w:r w:rsidR="001B306C">
        <w:rPr>
          <w:rFonts w:eastAsia="SimSun"/>
          <w:szCs w:val="20"/>
        </w:rPr>
        <w:t xml:space="preserve"> have been required</w:t>
      </w:r>
      <w:r w:rsidRPr="00FB651D">
        <w:rPr>
          <w:rFonts w:eastAsia="SimSun"/>
          <w:szCs w:val="20"/>
        </w:rPr>
        <w:t xml:space="preserve"> to pay the penalties during 2013.  “This process is handled consistently and in a non-discriminatory fashion across the three Companies.  Toledo Edison must assess the same penalties to MSC for its failure to curtail during the September 11, 2013 ECE that the other Companies have assessed to their customers for their failure to curtail during an ECE.  The rates, terms, and conditions of Rider ELR are identical for all three Companies.”</w:t>
      </w:r>
      <w:r w:rsidRPr="00FB651D">
        <w:rPr>
          <w:rStyle w:val="FootnoteReference"/>
          <w:rFonts w:eastAsia="SimSun"/>
          <w:szCs w:val="20"/>
        </w:rPr>
        <w:footnoteReference w:id="166"/>
      </w:r>
      <w:r w:rsidRPr="00FB651D">
        <w:rPr>
          <w:rFonts w:eastAsia="SimSun"/>
          <w:szCs w:val="20"/>
        </w:rPr>
        <w:t xml:space="preserve">  </w:t>
      </w:r>
      <w:r w:rsidR="007D6989">
        <w:t xml:space="preserve">The Company must administer its tariffs in a fair and consistent manner.  </w:t>
      </w:r>
      <w:r>
        <w:t>O</w:t>
      </w:r>
      <w:r w:rsidRPr="00FB651D">
        <w:t xml:space="preserve">ther customers </w:t>
      </w:r>
      <w:r>
        <w:t xml:space="preserve">failed to properly curtail to Firm Load during other ECEs in 2013 </w:t>
      </w:r>
      <w:r w:rsidRPr="00FB651D">
        <w:t>and they were a</w:t>
      </w:r>
      <w:r>
        <w:t>ll a</w:t>
      </w:r>
      <w:r w:rsidRPr="00FB651D">
        <w:t>ssessed the penalties</w:t>
      </w:r>
      <w:r>
        <w:t xml:space="preserve"> called for under Rider ELR.</w:t>
      </w:r>
      <w:r w:rsidRPr="00FB651D">
        <w:rPr>
          <w:rStyle w:val="FootnoteReference"/>
        </w:rPr>
        <w:footnoteReference w:id="167"/>
      </w:r>
      <w:r w:rsidRPr="00FB651D">
        <w:t xml:space="preserve">  So must the penalties be assessed to MSC for its admitted failure to comply with its obligations in connection with the September 11, 2013 ECE.  Counts </w:t>
      </w:r>
      <w:r w:rsidR="006B5E62">
        <w:t>One and Two</w:t>
      </w:r>
      <w:r w:rsidRPr="00FB651D">
        <w:t xml:space="preserve"> of the Complaint should be denied</w:t>
      </w:r>
      <w:r w:rsidR="006B5E62">
        <w:t>.  T</w:t>
      </w:r>
      <w:r w:rsidR="001B306C">
        <w:t>he Commission should order MSC to pay the required Rider ELR penalties and thereafter dismi</w:t>
      </w:r>
      <w:r w:rsidR="006B5E62">
        <w:t>ss the Complaint with prejudice or, in the alternative, grant judgment in the Company’s favor.</w:t>
      </w:r>
    </w:p>
    <w:p w14:paraId="07F5B02A" w14:textId="77777777" w:rsidR="004C64C7" w:rsidRPr="006F297B" w:rsidRDefault="004C64C7" w:rsidP="001D317C">
      <w:pPr>
        <w:pStyle w:val="Heading1"/>
      </w:pPr>
      <w:bookmarkStart w:id="77" w:name="_Toc379801519"/>
      <w:bookmarkStart w:id="78" w:name="_Toc390944005"/>
      <w:bookmarkStart w:id="79" w:name="_Toc390944268"/>
      <w:bookmarkStart w:id="80" w:name="_Toc390944616"/>
      <w:r w:rsidRPr="006F297B">
        <w:t>CONCLUSION</w:t>
      </w:r>
      <w:bookmarkEnd w:id="77"/>
      <w:bookmarkEnd w:id="78"/>
      <w:bookmarkEnd w:id="79"/>
      <w:bookmarkEnd w:id="80"/>
    </w:p>
    <w:p w14:paraId="7773E178" w14:textId="63C69A40" w:rsidR="004C64C7" w:rsidRDefault="004C64C7" w:rsidP="00B61FD7">
      <w:pPr>
        <w:pStyle w:val="BodyDblSp5J"/>
        <w:rPr>
          <w:rFonts w:eastAsia="MS ??"/>
        </w:rPr>
      </w:pPr>
      <w:r w:rsidRPr="006F297B">
        <w:rPr>
          <w:rFonts w:eastAsia="MS ??"/>
        </w:rPr>
        <w:t>For all of the foregoin</w:t>
      </w:r>
      <w:r>
        <w:rPr>
          <w:rFonts w:eastAsia="MS ??"/>
        </w:rPr>
        <w:t>g reasons, the</w:t>
      </w:r>
      <w:r w:rsidRPr="006F297B">
        <w:rPr>
          <w:rFonts w:eastAsia="MS ??"/>
        </w:rPr>
        <w:t xml:space="preserve"> Complaint should be dismissed with prejudice</w:t>
      </w:r>
      <w:r>
        <w:rPr>
          <w:rFonts w:eastAsia="MS ??"/>
        </w:rPr>
        <w:t xml:space="preserve"> </w:t>
      </w:r>
      <w:r w:rsidR="000220F2">
        <w:rPr>
          <w:rFonts w:eastAsia="MS ??"/>
        </w:rPr>
        <w:t xml:space="preserve">and/or The Toledo Edison Company </w:t>
      </w:r>
      <w:r w:rsidR="00787EFF">
        <w:rPr>
          <w:rFonts w:eastAsia="MS ??"/>
        </w:rPr>
        <w:t xml:space="preserve">should be granted </w:t>
      </w:r>
      <w:r w:rsidR="000220F2">
        <w:rPr>
          <w:rFonts w:eastAsia="MS ??"/>
        </w:rPr>
        <w:t>judgment in its favor on all three counts in the Complaint</w:t>
      </w:r>
      <w:r w:rsidRPr="006F297B">
        <w:rPr>
          <w:rFonts w:eastAsia="MS ??"/>
        </w:rPr>
        <w:t>.</w:t>
      </w:r>
    </w:p>
    <w:p w14:paraId="2A032929" w14:textId="77777777" w:rsidR="00A93B08" w:rsidRDefault="00A93B08" w:rsidP="00B61FD7">
      <w:pPr>
        <w:pStyle w:val="BodyDblSp5J"/>
        <w:rPr>
          <w:rFonts w:eastAsia="MS ??"/>
        </w:rPr>
      </w:pPr>
    </w:p>
    <w:p w14:paraId="339DAADC" w14:textId="77777777" w:rsidR="004C64C7" w:rsidRPr="006F297B" w:rsidRDefault="004C64C7" w:rsidP="00F76734">
      <w:pPr>
        <w:ind w:left="3600" w:firstLine="720"/>
        <w:rPr>
          <w:rFonts w:eastAsia="SimSun"/>
          <w:szCs w:val="20"/>
          <w:lang w:eastAsia="zh-CN"/>
        </w:rPr>
      </w:pPr>
      <w:r w:rsidRPr="006F297B">
        <w:rPr>
          <w:rFonts w:eastAsia="SimSun"/>
          <w:szCs w:val="20"/>
          <w:lang w:eastAsia="zh-CN"/>
        </w:rPr>
        <w:t>Respectfully submitted,</w:t>
      </w:r>
    </w:p>
    <w:p w14:paraId="11ED6276" w14:textId="77777777" w:rsidR="00F76734" w:rsidRDefault="00F76734" w:rsidP="006F297B">
      <w:pPr>
        <w:rPr>
          <w:rFonts w:eastAsia="SimSun"/>
          <w:sz w:val="20"/>
          <w:szCs w:val="20"/>
          <w:lang w:eastAsia="zh-CN"/>
        </w:rPr>
      </w:pPr>
    </w:p>
    <w:p w14:paraId="7C642C44" w14:textId="77777777" w:rsidR="00A93B08" w:rsidRPr="00F76734" w:rsidRDefault="00A93B08" w:rsidP="006F297B">
      <w:pPr>
        <w:rPr>
          <w:rFonts w:eastAsia="SimSun"/>
          <w:sz w:val="20"/>
          <w:szCs w:val="20"/>
          <w:lang w:eastAsia="zh-CN"/>
        </w:rPr>
      </w:pPr>
    </w:p>
    <w:p w14:paraId="0B273142" w14:textId="77777777" w:rsidR="004C64C7" w:rsidRPr="006F297B" w:rsidRDefault="004C64C7" w:rsidP="006F297B">
      <w:pPr>
        <w:autoSpaceDE w:val="0"/>
        <w:autoSpaceDN w:val="0"/>
        <w:adjustRightInd w:val="0"/>
        <w:ind w:left="4320"/>
        <w:rPr>
          <w:color w:val="000000"/>
          <w:u w:val="single"/>
          <w:lang w:val="de-DE"/>
        </w:rPr>
      </w:pPr>
      <w:r w:rsidRPr="006F297B">
        <w:rPr>
          <w:color w:val="000000"/>
          <w:u w:val="single"/>
        </w:rPr>
        <w:tab/>
        <w:t xml:space="preserve">/s/ </w:t>
      </w:r>
      <w:r w:rsidRPr="006F297B">
        <w:rPr>
          <w:i/>
          <w:color w:val="000000"/>
          <w:u w:val="single"/>
        </w:rPr>
        <w:t>Laura C. McBride</w:t>
      </w:r>
      <w:r w:rsidRPr="006F297B">
        <w:rPr>
          <w:color w:val="000000"/>
          <w:u w:val="single"/>
          <w:lang w:val="de-DE"/>
        </w:rPr>
        <w:tab/>
      </w:r>
      <w:r w:rsidRPr="006F297B">
        <w:rPr>
          <w:i/>
          <w:iCs/>
          <w:color w:val="000000"/>
          <w:u w:val="single"/>
          <w:lang w:val="de-DE"/>
        </w:rPr>
        <w:tab/>
      </w:r>
      <w:r w:rsidRPr="006F297B">
        <w:rPr>
          <w:i/>
          <w:iCs/>
          <w:color w:val="000000"/>
          <w:u w:val="single"/>
          <w:lang w:val="de-DE"/>
        </w:rPr>
        <w:tab/>
      </w:r>
    </w:p>
    <w:p w14:paraId="79995BC2" w14:textId="77777777" w:rsidR="00BC5C06" w:rsidRPr="00842E11" w:rsidRDefault="00BC5C06" w:rsidP="00BC5C06">
      <w:pPr>
        <w:ind w:firstLine="4320"/>
        <w:jc w:val="both"/>
        <w:rPr>
          <w:rFonts w:eastAsia="MS ??"/>
        </w:rPr>
      </w:pPr>
      <w:r w:rsidRPr="00842E11">
        <w:rPr>
          <w:rFonts w:eastAsia="MS ??"/>
        </w:rPr>
        <w:t>Carrie M. Dunn (0076952)</w:t>
      </w:r>
    </w:p>
    <w:p w14:paraId="0B6216D1" w14:textId="77777777" w:rsidR="00BC5C06" w:rsidRPr="00842E11" w:rsidRDefault="00BC5C06" w:rsidP="00BC5C06">
      <w:pPr>
        <w:ind w:firstLine="4320"/>
        <w:jc w:val="both"/>
        <w:rPr>
          <w:rFonts w:eastAsia="MS ??"/>
        </w:rPr>
      </w:pPr>
      <w:r w:rsidRPr="00842E11">
        <w:rPr>
          <w:rFonts w:eastAsia="MS ??"/>
        </w:rPr>
        <w:t xml:space="preserve">    Counsel of Record </w:t>
      </w:r>
    </w:p>
    <w:p w14:paraId="4D1214C9" w14:textId="77777777" w:rsidR="00BC5C06" w:rsidRPr="00842E11" w:rsidRDefault="00BC5C06" w:rsidP="00BC5C06">
      <w:pPr>
        <w:ind w:firstLine="4320"/>
        <w:jc w:val="both"/>
        <w:rPr>
          <w:rFonts w:eastAsia="MS ??"/>
        </w:rPr>
      </w:pPr>
      <w:r w:rsidRPr="00842E11">
        <w:rPr>
          <w:rFonts w:eastAsia="MS ??"/>
        </w:rPr>
        <w:t>FirstEnergy Service Company</w:t>
      </w:r>
    </w:p>
    <w:p w14:paraId="49B43A16" w14:textId="77777777" w:rsidR="00BC5C06" w:rsidRPr="00842E11" w:rsidRDefault="00BC5C06" w:rsidP="00BC5C06">
      <w:pPr>
        <w:ind w:firstLine="4320"/>
        <w:jc w:val="both"/>
        <w:rPr>
          <w:rFonts w:eastAsia="MS ??"/>
        </w:rPr>
      </w:pPr>
      <w:r w:rsidRPr="00842E11">
        <w:rPr>
          <w:rFonts w:eastAsia="MS ??"/>
        </w:rPr>
        <w:t>76 South Main Street</w:t>
      </w:r>
    </w:p>
    <w:p w14:paraId="22253A62" w14:textId="77777777" w:rsidR="00BC5C06" w:rsidRPr="00842E11" w:rsidRDefault="00BC5C06" w:rsidP="00BC5C06">
      <w:pPr>
        <w:ind w:firstLine="4320"/>
        <w:jc w:val="both"/>
        <w:rPr>
          <w:rFonts w:eastAsia="MS ??"/>
        </w:rPr>
      </w:pPr>
      <w:r w:rsidRPr="00842E11">
        <w:rPr>
          <w:rFonts w:eastAsia="MS ??"/>
        </w:rPr>
        <w:t>Akron, Ohio  44308</w:t>
      </w:r>
    </w:p>
    <w:p w14:paraId="093D73A8" w14:textId="77777777" w:rsidR="00BC5C06" w:rsidRPr="00842E11" w:rsidRDefault="00BC5C06" w:rsidP="00BC5C06">
      <w:pPr>
        <w:ind w:firstLine="4320"/>
        <w:jc w:val="both"/>
        <w:rPr>
          <w:rFonts w:eastAsia="MS ??"/>
        </w:rPr>
      </w:pPr>
      <w:r w:rsidRPr="00842E11">
        <w:rPr>
          <w:rFonts w:eastAsia="MS ??"/>
        </w:rPr>
        <w:t>(330) 761-2352</w:t>
      </w:r>
    </w:p>
    <w:p w14:paraId="158AB466" w14:textId="77777777" w:rsidR="00BC5C06" w:rsidRPr="00842E11" w:rsidRDefault="00BC5C06" w:rsidP="00BC5C06">
      <w:pPr>
        <w:ind w:firstLine="4320"/>
        <w:jc w:val="both"/>
        <w:rPr>
          <w:rFonts w:eastAsia="MS ??"/>
        </w:rPr>
      </w:pPr>
      <w:r w:rsidRPr="00842E11">
        <w:rPr>
          <w:rFonts w:eastAsia="MS ??"/>
        </w:rPr>
        <w:t>Fax:  (330) 384-3875</w:t>
      </w:r>
    </w:p>
    <w:p w14:paraId="053761A9" w14:textId="77777777" w:rsidR="00BC5C06" w:rsidRPr="00842E11" w:rsidRDefault="00BC5C06" w:rsidP="00BC5C06">
      <w:pPr>
        <w:ind w:firstLine="4320"/>
        <w:jc w:val="both"/>
        <w:rPr>
          <w:rFonts w:eastAsia="MS ??"/>
        </w:rPr>
      </w:pPr>
      <w:r w:rsidRPr="00842E11">
        <w:rPr>
          <w:rFonts w:eastAsia="MS ??"/>
        </w:rPr>
        <w:t>cdunn@firstenergycorp.com</w:t>
      </w:r>
    </w:p>
    <w:p w14:paraId="38AA3124" w14:textId="77777777" w:rsidR="00BC5C06" w:rsidRPr="00842E11" w:rsidRDefault="00BC5C06" w:rsidP="00BC5C06">
      <w:pPr>
        <w:ind w:left="4320"/>
        <w:jc w:val="both"/>
        <w:rPr>
          <w:rFonts w:eastAsia="MS ??"/>
        </w:rPr>
      </w:pPr>
      <w:r w:rsidRPr="00842E11">
        <w:rPr>
          <w:rFonts w:eastAsia="MS ??"/>
        </w:rPr>
        <w:t xml:space="preserve">      </w:t>
      </w:r>
      <w:r w:rsidRPr="00842E11">
        <w:rPr>
          <w:rFonts w:eastAsia="MS ??"/>
        </w:rPr>
        <w:tab/>
        <w:t>(Willing to accept service by email)</w:t>
      </w:r>
    </w:p>
    <w:p w14:paraId="742BF403" w14:textId="0457B63E" w:rsidR="00A93B08" w:rsidRDefault="00A93B08">
      <w:pPr>
        <w:rPr>
          <w:rFonts w:eastAsia="MS ??"/>
          <w:sz w:val="16"/>
          <w:szCs w:val="16"/>
        </w:rPr>
      </w:pPr>
    </w:p>
    <w:p w14:paraId="553D114C" w14:textId="3AD7D01D" w:rsidR="00BC5C06" w:rsidRPr="00842E11" w:rsidRDefault="00E749BE" w:rsidP="00BC5C06">
      <w:pPr>
        <w:ind w:left="4320"/>
        <w:contextualSpacing/>
        <w:rPr>
          <w:rFonts w:eastAsia="MS ??"/>
        </w:rPr>
      </w:pPr>
      <w:r>
        <w:rPr>
          <w:rFonts w:eastAsia="MS ??"/>
        </w:rPr>
        <w:t>L</w:t>
      </w:r>
      <w:r w:rsidR="00BC5C06" w:rsidRPr="00842E11">
        <w:rPr>
          <w:rFonts w:eastAsia="MS ??"/>
        </w:rPr>
        <w:t>aura C. McBride (0080059)</w:t>
      </w:r>
    </w:p>
    <w:p w14:paraId="22CD7457" w14:textId="77777777" w:rsidR="00BC5C06" w:rsidRPr="00842E11" w:rsidRDefault="00BC5C06" w:rsidP="00BC5C06">
      <w:pPr>
        <w:ind w:left="4320"/>
        <w:contextualSpacing/>
        <w:rPr>
          <w:rFonts w:eastAsia="MS ??"/>
        </w:rPr>
      </w:pPr>
      <w:r w:rsidRPr="00842E11">
        <w:rPr>
          <w:rFonts w:eastAsia="MS ??"/>
        </w:rPr>
        <w:t>Christine E. Watchorn (0075919)</w:t>
      </w:r>
    </w:p>
    <w:p w14:paraId="3EF4FE61" w14:textId="77777777" w:rsidR="00BC5C06" w:rsidRPr="00842E11" w:rsidRDefault="00BC5C06" w:rsidP="00BC5C06">
      <w:pPr>
        <w:ind w:left="4320"/>
        <w:contextualSpacing/>
        <w:rPr>
          <w:rFonts w:eastAsia="MS ??"/>
        </w:rPr>
      </w:pPr>
      <w:r w:rsidRPr="00842E11">
        <w:rPr>
          <w:rFonts w:eastAsia="MS ??"/>
        </w:rPr>
        <w:t>Ulmer &amp; Berne LLP</w:t>
      </w:r>
    </w:p>
    <w:p w14:paraId="57CFA1BC" w14:textId="77777777" w:rsidR="00BC5C06" w:rsidRPr="00842E11" w:rsidRDefault="00BC5C06" w:rsidP="00BC5C06">
      <w:pPr>
        <w:ind w:left="4320"/>
        <w:contextualSpacing/>
        <w:rPr>
          <w:rFonts w:eastAsia="MS ??"/>
        </w:rPr>
      </w:pPr>
      <w:r w:rsidRPr="00842E11">
        <w:rPr>
          <w:rFonts w:eastAsia="MS ??"/>
        </w:rPr>
        <w:t>88 East Broad Street, Suite 1600</w:t>
      </w:r>
    </w:p>
    <w:p w14:paraId="537C829C" w14:textId="77777777" w:rsidR="00BC5C06" w:rsidRPr="00842E11" w:rsidRDefault="00BC5C06" w:rsidP="00BC5C06">
      <w:pPr>
        <w:ind w:left="4320"/>
        <w:contextualSpacing/>
        <w:rPr>
          <w:rFonts w:eastAsia="MS ??"/>
        </w:rPr>
      </w:pPr>
      <w:r w:rsidRPr="00842E11">
        <w:rPr>
          <w:rFonts w:eastAsia="MS ??"/>
        </w:rPr>
        <w:t>Columbus, Ohio  43215</w:t>
      </w:r>
    </w:p>
    <w:p w14:paraId="6AAB884A" w14:textId="77777777" w:rsidR="00BC5C06" w:rsidRPr="00842E11" w:rsidRDefault="00BC5C06" w:rsidP="00BC5C06">
      <w:pPr>
        <w:ind w:left="4320"/>
        <w:contextualSpacing/>
        <w:rPr>
          <w:rFonts w:eastAsia="MS ??"/>
        </w:rPr>
      </w:pPr>
      <w:r w:rsidRPr="00842E11">
        <w:rPr>
          <w:rFonts w:eastAsia="MS ??"/>
        </w:rPr>
        <w:t>(614) 229-0034</w:t>
      </w:r>
    </w:p>
    <w:p w14:paraId="5198751E" w14:textId="77777777" w:rsidR="00BC5C06" w:rsidRPr="00842E11" w:rsidRDefault="00BC5C06" w:rsidP="00BC5C06">
      <w:pPr>
        <w:ind w:left="4320"/>
        <w:contextualSpacing/>
        <w:rPr>
          <w:rFonts w:eastAsia="MS ??"/>
        </w:rPr>
      </w:pPr>
      <w:r w:rsidRPr="00842E11">
        <w:rPr>
          <w:rFonts w:eastAsia="MS ??"/>
        </w:rPr>
        <w:t>Fax:  (614) 229-0035</w:t>
      </w:r>
    </w:p>
    <w:p w14:paraId="60D1F1DD" w14:textId="77777777" w:rsidR="00BC5C06" w:rsidRPr="00842E11" w:rsidRDefault="00BC5C06" w:rsidP="00BC5C06">
      <w:pPr>
        <w:ind w:left="4320"/>
        <w:contextualSpacing/>
        <w:rPr>
          <w:rFonts w:eastAsia="MS ??"/>
        </w:rPr>
      </w:pPr>
      <w:r w:rsidRPr="00842E11">
        <w:rPr>
          <w:rFonts w:eastAsia="MS ??"/>
        </w:rPr>
        <w:t xml:space="preserve">lmcbride@ulmer.com </w:t>
      </w:r>
    </w:p>
    <w:p w14:paraId="71388FB0" w14:textId="77777777" w:rsidR="00BC5C06" w:rsidRPr="00842E11" w:rsidRDefault="00BC5C06" w:rsidP="00BC5C06">
      <w:pPr>
        <w:ind w:left="3600" w:firstLine="720"/>
        <w:rPr>
          <w:rFonts w:eastAsia="MS ??"/>
        </w:rPr>
      </w:pPr>
      <w:r w:rsidRPr="00842E11">
        <w:rPr>
          <w:rFonts w:eastAsia="MS ??"/>
        </w:rPr>
        <w:t>cwatchorn@ulmer.com</w:t>
      </w:r>
    </w:p>
    <w:p w14:paraId="21ED3C10" w14:textId="77777777" w:rsidR="00BC5C06" w:rsidRPr="00842E11" w:rsidRDefault="00BC5C06" w:rsidP="00BC5C06">
      <w:pPr>
        <w:ind w:left="4320" w:firstLine="720"/>
        <w:jc w:val="both"/>
        <w:rPr>
          <w:rFonts w:eastAsia="MS ??"/>
        </w:rPr>
      </w:pPr>
      <w:r w:rsidRPr="00842E11">
        <w:rPr>
          <w:rFonts w:eastAsia="MS ??"/>
        </w:rPr>
        <w:t>(Willing to accept service by email)</w:t>
      </w:r>
    </w:p>
    <w:p w14:paraId="6D776FAB" w14:textId="0B044010" w:rsidR="00622014" w:rsidRDefault="00BC5C06" w:rsidP="00622014">
      <w:pPr>
        <w:ind w:left="2880" w:firstLine="720"/>
        <w:jc w:val="center"/>
        <w:rPr>
          <w:rFonts w:eastAsia="MS ??"/>
          <w:b/>
          <w:u w:val="single"/>
        </w:rPr>
      </w:pPr>
      <w:r w:rsidRPr="00842E11">
        <w:rPr>
          <w:rFonts w:eastAsia="MS ??"/>
          <w:i/>
        </w:rPr>
        <w:t>On behalf of The Toledo Edison Company</w:t>
      </w:r>
    </w:p>
    <w:p w14:paraId="3B0ECE8A" w14:textId="564ED87E" w:rsidR="00A93B08" w:rsidRDefault="00A93B08">
      <w:pPr>
        <w:rPr>
          <w:rFonts w:eastAsia="MS ??"/>
          <w:b/>
          <w:u w:val="single"/>
        </w:rPr>
      </w:pPr>
      <w:r>
        <w:rPr>
          <w:rFonts w:eastAsia="MS ??"/>
          <w:b/>
          <w:u w:val="single"/>
        </w:rPr>
        <w:br w:type="page"/>
      </w:r>
    </w:p>
    <w:p w14:paraId="29D4485F" w14:textId="77777777" w:rsidR="00622014" w:rsidRDefault="00622014" w:rsidP="00083166">
      <w:pPr>
        <w:rPr>
          <w:rFonts w:eastAsia="MS ??"/>
          <w:b/>
          <w:u w:val="single"/>
        </w:rPr>
      </w:pPr>
    </w:p>
    <w:p w14:paraId="15E5E6BF" w14:textId="1A03DFB2" w:rsidR="00FB7CE6" w:rsidRPr="006F297B" w:rsidRDefault="00FB7CE6" w:rsidP="00622014">
      <w:pPr>
        <w:pStyle w:val="TitleBUAC"/>
        <w:rPr>
          <w:rFonts w:eastAsia="MS ??"/>
        </w:rPr>
      </w:pPr>
      <w:r w:rsidRPr="006F297B">
        <w:rPr>
          <w:rFonts w:eastAsia="MS ??"/>
        </w:rPr>
        <w:t>CERTIFICATE OF SERVICE</w:t>
      </w:r>
    </w:p>
    <w:p w14:paraId="2FD1DDA4" w14:textId="77777777" w:rsidR="00FB7CE6" w:rsidRPr="006F297B" w:rsidRDefault="00FB7CE6" w:rsidP="00FB7CE6">
      <w:pPr>
        <w:jc w:val="center"/>
        <w:rPr>
          <w:rFonts w:eastAsia="MS ??"/>
          <w:b/>
        </w:rPr>
      </w:pPr>
    </w:p>
    <w:p w14:paraId="2130B585" w14:textId="77777777" w:rsidR="00FB7CE6" w:rsidRDefault="00FB7CE6" w:rsidP="00FB1BD3">
      <w:pPr>
        <w:pStyle w:val="BodyDblSp5J"/>
        <w:rPr>
          <w:color w:val="000000"/>
        </w:rPr>
      </w:pPr>
      <w:r>
        <w:rPr>
          <w:color w:val="000000"/>
        </w:rPr>
        <w:t xml:space="preserve">The PUCO’s e-filing system will electronically serve notice of filing of this document on the party set </w:t>
      </w:r>
      <w:r w:rsidRPr="00FB1BD3">
        <w:rPr>
          <w:rFonts w:eastAsia="MS ??"/>
        </w:rPr>
        <w:t>forth</w:t>
      </w:r>
      <w:r>
        <w:rPr>
          <w:color w:val="000000"/>
        </w:rPr>
        <w:t xml:space="preserve"> below, and in addition, </w:t>
      </w:r>
      <w:r w:rsidRPr="006F297B">
        <w:rPr>
          <w:color w:val="000000"/>
        </w:rPr>
        <w:t xml:space="preserve">a copy of the foregoing </w:t>
      </w:r>
      <w:r>
        <w:rPr>
          <w:rFonts w:eastAsia="Calibri" w:cs="Calibri"/>
          <w:i/>
          <w:color w:val="000000"/>
        </w:rPr>
        <w:t>The Toledo Edison Company’s Initial Post-Hearing Brief</w:t>
      </w:r>
      <w:r w:rsidRPr="00E55DBE">
        <w:rPr>
          <w:i/>
          <w:color w:val="000000"/>
        </w:rPr>
        <w:t xml:space="preserve"> </w:t>
      </w:r>
      <w:r>
        <w:rPr>
          <w:iCs/>
          <w:color w:val="000000"/>
        </w:rPr>
        <w:t xml:space="preserve">was </w:t>
      </w:r>
      <w:r w:rsidRPr="006F297B">
        <w:rPr>
          <w:color w:val="000000"/>
        </w:rPr>
        <w:t xml:space="preserve">served this </w:t>
      </w:r>
      <w:r>
        <w:rPr>
          <w:color w:val="000000"/>
        </w:rPr>
        <w:t>20th</w:t>
      </w:r>
      <w:r w:rsidRPr="006F297B">
        <w:rPr>
          <w:color w:val="000000"/>
        </w:rPr>
        <w:t xml:space="preserve"> day of </w:t>
      </w:r>
      <w:r>
        <w:rPr>
          <w:color w:val="000000"/>
        </w:rPr>
        <w:t>June</w:t>
      </w:r>
      <w:r w:rsidRPr="006F297B">
        <w:rPr>
          <w:color w:val="000000"/>
        </w:rPr>
        <w:t>, 201</w:t>
      </w:r>
      <w:r>
        <w:rPr>
          <w:color w:val="000000"/>
        </w:rPr>
        <w:t>4</w:t>
      </w:r>
      <w:r w:rsidRPr="006F297B">
        <w:rPr>
          <w:color w:val="000000"/>
        </w:rPr>
        <w:t>, via electronic mail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7CE6" w14:paraId="44BAC7A1" w14:textId="77777777" w:rsidTr="00FB7CE6">
        <w:tc>
          <w:tcPr>
            <w:tcW w:w="4788" w:type="dxa"/>
          </w:tcPr>
          <w:p w14:paraId="6148CF32" w14:textId="77777777" w:rsidR="00FB7CE6" w:rsidRPr="00FB7CE6" w:rsidRDefault="00FB7CE6" w:rsidP="00FB7CE6">
            <w:pPr>
              <w:ind w:left="360"/>
              <w:rPr>
                <w:rFonts w:eastAsia="Calibri" w:cs="Calibri"/>
                <w:color w:val="000000"/>
              </w:rPr>
            </w:pPr>
            <w:r w:rsidRPr="00FB7CE6">
              <w:rPr>
                <w:rFonts w:eastAsia="Calibri" w:cs="Calibri"/>
                <w:color w:val="000000"/>
              </w:rPr>
              <w:t>Craig I. Smith</w:t>
            </w:r>
          </w:p>
          <w:p w14:paraId="4141A142" w14:textId="77777777" w:rsidR="00FB7CE6" w:rsidRPr="00FB7CE6" w:rsidRDefault="00FB7CE6" w:rsidP="00FB7CE6">
            <w:pPr>
              <w:ind w:left="360"/>
              <w:rPr>
                <w:rFonts w:eastAsia="Calibri" w:cs="Calibri"/>
                <w:color w:val="000000"/>
              </w:rPr>
            </w:pPr>
            <w:r w:rsidRPr="00FB7CE6">
              <w:rPr>
                <w:rFonts w:eastAsia="Calibri" w:cs="Calibri"/>
                <w:color w:val="000000"/>
              </w:rPr>
              <w:t>15700 Van Aken Boulevard,  #26</w:t>
            </w:r>
          </w:p>
          <w:p w14:paraId="0DD430A1" w14:textId="77777777" w:rsidR="00FB7CE6" w:rsidRPr="00FB7CE6" w:rsidRDefault="00FB7CE6" w:rsidP="00FB7CE6">
            <w:pPr>
              <w:ind w:left="360"/>
              <w:rPr>
                <w:rFonts w:eastAsia="Calibri" w:cs="Calibri"/>
                <w:color w:val="000000"/>
              </w:rPr>
            </w:pPr>
            <w:r w:rsidRPr="00FB7CE6">
              <w:rPr>
                <w:rFonts w:eastAsia="Calibri" w:cs="Calibri"/>
                <w:color w:val="000000"/>
              </w:rPr>
              <w:t>Shaker Heights, Ohio  44120</w:t>
            </w:r>
          </w:p>
          <w:p w14:paraId="205A4730" w14:textId="1EB29F35" w:rsidR="00FB7CE6" w:rsidRDefault="00FB7CE6" w:rsidP="00FB7CE6">
            <w:pPr>
              <w:ind w:left="360"/>
              <w:rPr>
                <w:rFonts w:eastAsia="Calibri" w:cs="Calibri"/>
                <w:color w:val="000000"/>
              </w:rPr>
            </w:pPr>
            <w:r w:rsidRPr="009325F4">
              <w:rPr>
                <w:rFonts w:eastAsia="Calibri" w:cs="Calibri"/>
              </w:rPr>
              <w:t>wttpmlc@aol.com</w:t>
            </w:r>
          </w:p>
        </w:tc>
        <w:tc>
          <w:tcPr>
            <w:tcW w:w="4788" w:type="dxa"/>
          </w:tcPr>
          <w:p w14:paraId="4269C6D7" w14:textId="77777777" w:rsidR="00FB7CE6" w:rsidRPr="00FB7CE6" w:rsidRDefault="00FB7CE6" w:rsidP="00FB7CE6">
            <w:pPr>
              <w:ind w:left="450"/>
              <w:rPr>
                <w:rFonts w:eastAsia="Calibri" w:cs="Calibri"/>
                <w:color w:val="000000"/>
              </w:rPr>
            </w:pPr>
            <w:r w:rsidRPr="00FB7CE6">
              <w:rPr>
                <w:rFonts w:eastAsia="Calibri" w:cs="Calibri"/>
                <w:color w:val="000000"/>
              </w:rPr>
              <w:t>Stephen M. Howard</w:t>
            </w:r>
          </w:p>
          <w:p w14:paraId="6EFE0E1A" w14:textId="77777777" w:rsidR="00FB7CE6" w:rsidRPr="00FB7CE6" w:rsidRDefault="00FB7CE6" w:rsidP="00FB7CE6">
            <w:pPr>
              <w:ind w:left="450"/>
              <w:rPr>
                <w:rFonts w:eastAsia="Calibri" w:cs="Calibri"/>
                <w:color w:val="000000"/>
              </w:rPr>
            </w:pPr>
            <w:r w:rsidRPr="00FB7CE6">
              <w:rPr>
                <w:rFonts w:eastAsia="Calibri" w:cs="Calibri"/>
                <w:color w:val="000000"/>
              </w:rPr>
              <w:t>Gretchen L. Petrucci</w:t>
            </w:r>
          </w:p>
          <w:p w14:paraId="23700025" w14:textId="77777777" w:rsidR="00FB7CE6" w:rsidRPr="00FB7CE6" w:rsidRDefault="00FB7CE6" w:rsidP="00FB7CE6">
            <w:pPr>
              <w:ind w:left="450"/>
              <w:rPr>
                <w:rFonts w:eastAsia="Calibri" w:cs="Calibri"/>
                <w:smallCaps/>
                <w:color w:val="000000"/>
              </w:rPr>
            </w:pPr>
            <w:r w:rsidRPr="00FB7CE6">
              <w:rPr>
                <w:rFonts w:eastAsia="Calibri" w:cs="Calibri"/>
                <w:smallCaps/>
                <w:color w:val="000000"/>
              </w:rPr>
              <w:t>Vorys, Sater, Seymour and Pease</w:t>
            </w:r>
          </w:p>
          <w:p w14:paraId="1AC2594B" w14:textId="77777777" w:rsidR="00FB7CE6" w:rsidRPr="00FB7CE6" w:rsidRDefault="00FB7CE6" w:rsidP="00FB7CE6">
            <w:pPr>
              <w:ind w:left="450"/>
              <w:rPr>
                <w:rFonts w:eastAsia="Calibri" w:cs="Calibri"/>
                <w:color w:val="000000"/>
              </w:rPr>
            </w:pPr>
            <w:r w:rsidRPr="00FB7CE6">
              <w:rPr>
                <w:rFonts w:eastAsia="Calibri" w:cs="Calibri"/>
                <w:color w:val="000000"/>
              </w:rPr>
              <w:t>52 East Gay Street, P.O. Box 1008</w:t>
            </w:r>
          </w:p>
          <w:p w14:paraId="2CE86186" w14:textId="77777777" w:rsidR="00FB7CE6" w:rsidRPr="00FB7CE6" w:rsidRDefault="00FB7CE6" w:rsidP="00FB7CE6">
            <w:pPr>
              <w:ind w:left="450"/>
              <w:rPr>
                <w:rFonts w:eastAsia="Calibri" w:cs="Calibri"/>
                <w:color w:val="000000"/>
              </w:rPr>
            </w:pPr>
            <w:r w:rsidRPr="00FB7CE6">
              <w:rPr>
                <w:rFonts w:eastAsia="Calibri" w:cs="Calibri"/>
                <w:color w:val="000000"/>
              </w:rPr>
              <w:t>Columbus Ohio  43216-1008</w:t>
            </w:r>
          </w:p>
          <w:p w14:paraId="69F20BE6" w14:textId="1D461B3C" w:rsidR="00FB7CE6" w:rsidRPr="00FB7CE6" w:rsidRDefault="00FB7CE6" w:rsidP="00FB7CE6">
            <w:pPr>
              <w:autoSpaceDE w:val="0"/>
              <w:autoSpaceDN w:val="0"/>
              <w:adjustRightInd w:val="0"/>
              <w:ind w:left="450"/>
              <w:jc w:val="both"/>
              <w:rPr>
                <w:rStyle w:val="Hyperlink"/>
                <w:rFonts w:eastAsia="Calibri" w:cs="Calibri"/>
              </w:rPr>
            </w:pPr>
            <w:r w:rsidRPr="009325F4">
              <w:rPr>
                <w:rFonts w:eastAsia="Calibri" w:cs="Calibri"/>
              </w:rPr>
              <w:t>smhoward@vorys.com</w:t>
            </w:r>
          </w:p>
          <w:p w14:paraId="05BF5591" w14:textId="123235D0" w:rsidR="00FB7CE6" w:rsidRPr="00FB7CE6" w:rsidRDefault="00FB7CE6" w:rsidP="00FB7CE6">
            <w:pPr>
              <w:autoSpaceDE w:val="0"/>
              <w:autoSpaceDN w:val="0"/>
              <w:adjustRightInd w:val="0"/>
              <w:ind w:left="450"/>
              <w:jc w:val="both"/>
              <w:rPr>
                <w:rStyle w:val="Hyperlink"/>
                <w:rFonts w:eastAsia="Calibri" w:cs="Calibri"/>
              </w:rPr>
            </w:pPr>
            <w:r w:rsidRPr="009325F4">
              <w:rPr>
                <w:rFonts w:eastAsia="Calibri" w:cs="Calibri"/>
              </w:rPr>
              <w:t>glpetrucci@vorys.com</w:t>
            </w:r>
          </w:p>
          <w:p w14:paraId="18425B71" w14:textId="77777777" w:rsidR="00FB7CE6" w:rsidRDefault="00FB7CE6" w:rsidP="00FB7CE6">
            <w:pPr>
              <w:rPr>
                <w:rFonts w:eastAsia="Calibri" w:cs="Calibri"/>
                <w:color w:val="000000"/>
              </w:rPr>
            </w:pPr>
          </w:p>
        </w:tc>
      </w:tr>
    </w:tbl>
    <w:p w14:paraId="4C895390" w14:textId="77777777" w:rsidR="00FB7CE6" w:rsidRDefault="00FB7CE6" w:rsidP="00FB7CE6">
      <w:pPr>
        <w:rPr>
          <w:rFonts w:eastAsia="Calibri" w:cs="Calibri"/>
          <w:color w:val="000000"/>
        </w:rPr>
      </w:pPr>
    </w:p>
    <w:p w14:paraId="4B57A09D" w14:textId="77777777" w:rsidR="00FB7CE6" w:rsidRDefault="00FB7CE6" w:rsidP="00FB7CE6">
      <w:pPr>
        <w:rPr>
          <w:rFonts w:eastAsia="Calibri" w:cs="Calibri"/>
        </w:rPr>
      </w:pPr>
    </w:p>
    <w:p w14:paraId="7BB9970D" w14:textId="77777777" w:rsidR="00FB7CE6" w:rsidRPr="00FB7CE6" w:rsidRDefault="00FB7CE6" w:rsidP="00FB7CE6">
      <w:pPr>
        <w:ind w:left="4320" w:right="12"/>
        <w:rPr>
          <w:rFonts w:eastAsia="MS ??" w:cs="Calibri"/>
        </w:rPr>
      </w:pPr>
      <w:r w:rsidRPr="0059018D">
        <w:rPr>
          <w:i/>
          <w:color w:val="000000"/>
          <w:u w:val="single"/>
        </w:rPr>
        <w:t>/s/</w:t>
      </w:r>
      <w:r>
        <w:rPr>
          <w:i/>
          <w:color w:val="000000"/>
          <w:u w:val="single"/>
        </w:rPr>
        <w:t xml:space="preserve"> Laura C. McBride</w:t>
      </w:r>
      <w:r>
        <w:rPr>
          <w:i/>
          <w:color w:val="000000"/>
          <w:u w:val="single"/>
        </w:rPr>
        <w:tab/>
      </w:r>
      <w:r>
        <w:rPr>
          <w:i/>
          <w:color w:val="000000"/>
          <w:u w:val="single"/>
        </w:rPr>
        <w:tab/>
      </w:r>
      <w:r>
        <w:rPr>
          <w:i/>
          <w:color w:val="000000"/>
          <w:u w:val="single"/>
        </w:rPr>
        <w:tab/>
      </w:r>
      <w:r>
        <w:rPr>
          <w:i/>
          <w:color w:val="000000"/>
          <w:u w:val="single"/>
        </w:rPr>
        <w:tab/>
      </w:r>
    </w:p>
    <w:p w14:paraId="19E4BCC5" w14:textId="77777777" w:rsidR="00FB7CE6" w:rsidRPr="00FB7CE6" w:rsidRDefault="00FB7CE6" w:rsidP="00FB7CE6">
      <w:pPr>
        <w:ind w:left="4320" w:right="12"/>
        <w:rPr>
          <w:rFonts w:eastAsia="MS ??" w:cs="Calibri"/>
        </w:rPr>
      </w:pPr>
      <w:r w:rsidRPr="00FB7CE6">
        <w:rPr>
          <w:rFonts w:eastAsia="MS ??" w:cs="Calibri"/>
        </w:rPr>
        <w:t>On behalf of The Toledo Edison Company</w:t>
      </w:r>
    </w:p>
    <w:p w14:paraId="772A8C88" w14:textId="77777777" w:rsidR="00FC797C" w:rsidRDefault="00FC797C" w:rsidP="00FB7CE6">
      <w:pPr>
        <w:pStyle w:val="LBFileStampAtEnd"/>
        <w:ind w:left="4320"/>
        <w:rPr>
          <w:rFonts w:eastAsia="SimSun"/>
          <w:lang w:eastAsia="zh-CN"/>
        </w:rPr>
      </w:pPr>
    </w:p>
    <w:sectPr w:rsidR="00FC797C" w:rsidSect="00430D0E">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159D4" w15:done="0"/>
  <w15:commentEx w15:paraId="6AA03CAF" w15:done="0"/>
  <w15:commentEx w15:paraId="3468D6EA" w15:done="0"/>
  <w15:commentEx w15:paraId="4078BEFB" w15:done="0"/>
  <w15:commentEx w15:paraId="220A1519" w15:done="0"/>
  <w15:commentEx w15:paraId="3A19BFC8" w15:done="0"/>
  <w15:commentEx w15:paraId="5483C444" w15:done="0"/>
  <w15:commentEx w15:paraId="79DED0AF" w15:done="0"/>
  <w15:commentEx w15:paraId="5A9D521A" w15:done="0"/>
  <w15:commentEx w15:paraId="78AA77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9C177" w14:textId="77777777" w:rsidR="009F329C" w:rsidRDefault="009F329C">
      <w:r>
        <w:separator/>
      </w:r>
    </w:p>
  </w:endnote>
  <w:endnote w:type="continuationSeparator" w:id="0">
    <w:p w14:paraId="403EF546" w14:textId="77777777" w:rsidR="009F329C" w:rsidRDefault="009F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767A" w14:textId="77777777" w:rsidR="009F329C" w:rsidRDefault="009F329C" w:rsidP="00E16D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FED80" w14:textId="77777777" w:rsidR="009F329C" w:rsidRDefault="009F3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F35F" w14:textId="77777777" w:rsidR="009F329C" w:rsidRDefault="009F329C" w:rsidP="00E16D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1DA">
      <w:rPr>
        <w:rStyle w:val="PageNumber"/>
        <w:noProof/>
      </w:rPr>
      <w:t>33</w:t>
    </w:r>
    <w:r>
      <w:rPr>
        <w:rStyle w:val="PageNumber"/>
      </w:rPr>
      <w:fldChar w:fldCharType="end"/>
    </w:r>
  </w:p>
  <w:p w14:paraId="0BE121C9" w14:textId="77777777" w:rsidR="009F329C" w:rsidRDefault="009F3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D811D" w14:textId="77777777" w:rsidR="009F329C" w:rsidRDefault="009F329C">
    <w:pPr>
      <w:pStyle w:val="Footer"/>
      <w:jc w:val="center"/>
    </w:pPr>
  </w:p>
  <w:p w14:paraId="0FBF2D93" w14:textId="77777777" w:rsidR="009F329C" w:rsidRDefault="009F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5358" w14:textId="77777777" w:rsidR="009F329C" w:rsidRDefault="009F329C">
      <w:r>
        <w:separator/>
      </w:r>
    </w:p>
  </w:footnote>
  <w:footnote w:type="continuationSeparator" w:id="0">
    <w:p w14:paraId="0D259DD7" w14:textId="77777777" w:rsidR="009F329C" w:rsidRDefault="009F329C">
      <w:r>
        <w:continuationSeparator/>
      </w:r>
    </w:p>
  </w:footnote>
  <w:footnote w:id="1">
    <w:p w14:paraId="6F960404" w14:textId="67AD4E40" w:rsidR="009F329C" w:rsidRDefault="009F329C">
      <w:pPr>
        <w:pStyle w:val="FootnoteText"/>
      </w:pPr>
      <w:r>
        <w:rPr>
          <w:rStyle w:val="FootnoteReference"/>
        </w:rPr>
        <w:footnoteRef/>
      </w:r>
      <w:r>
        <w:t xml:space="preserve"> Complainant Material Sciences Corporation and its subsidiary – and the relevant customer – MSC Walbridge Coatings, Inc. shall be referred to collectively herein as “MSC.”</w:t>
      </w:r>
    </w:p>
  </w:footnote>
  <w:footnote w:id="2">
    <w:p w14:paraId="0881B487" w14:textId="7DB34634" w:rsidR="009F329C" w:rsidRPr="002A0BD9" w:rsidRDefault="009F329C">
      <w:pPr>
        <w:pStyle w:val="FootnoteText"/>
      </w:pPr>
      <w:r>
        <w:rPr>
          <w:rStyle w:val="FootnoteReference"/>
        </w:rPr>
        <w:footnoteRef/>
      </w:r>
      <w:r>
        <w:t xml:space="preserve"> </w:t>
      </w:r>
      <w:r>
        <w:rPr>
          <w:i/>
        </w:rPr>
        <w:t xml:space="preserve">See </w:t>
      </w:r>
      <w:r>
        <w:t>P.U.C.O. No. 8, Sheet 101.</w:t>
      </w:r>
    </w:p>
  </w:footnote>
  <w:footnote w:id="3">
    <w:p w14:paraId="5CEDE0F2" w14:textId="7E403137" w:rsidR="009F329C" w:rsidRPr="00EE23AF" w:rsidRDefault="009F329C">
      <w:pPr>
        <w:pStyle w:val="FootnoteText"/>
      </w:pPr>
      <w:r>
        <w:rPr>
          <w:rStyle w:val="FootnoteReference"/>
        </w:rPr>
        <w:footnoteRef/>
      </w:r>
      <w:r>
        <w:t xml:space="preserve"> </w:t>
      </w:r>
      <w:r>
        <w:rPr>
          <w:i/>
        </w:rPr>
        <w:t xml:space="preserve">See </w:t>
      </w:r>
      <w:r>
        <w:t>Case No. 10-388-EL-SSO.</w:t>
      </w:r>
    </w:p>
  </w:footnote>
  <w:footnote w:id="4">
    <w:p w14:paraId="5D1D968F" w14:textId="21F12F2F" w:rsidR="009F329C" w:rsidRDefault="009F329C">
      <w:pPr>
        <w:pStyle w:val="FootnoteText"/>
      </w:pPr>
      <w:r>
        <w:rPr>
          <w:rStyle w:val="FootnoteReference"/>
        </w:rPr>
        <w:footnoteRef/>
      </w:r>
      <w:r>
        <w:t xml:space="preserve"> The date of MSC’s non-compliance with Rider ELR, September 11, 2013, occurred during the period that ESP II was in effect.</w:t>
      </w:r>
    </w:p>
  </w:footnote>
  <w:footnote w:id="5">
    <w:p w14:paraId="72752315" w14:textId="4E238C61" w:rsidR="009F329C" w:rsidRPr="002A0BD9" w:rsidRDefault="009F329C">
      <w:pPr>
        <w:pStyle w:val="FootnoteText"/>
      </w:pPr>
      <w:r>
        <w:rPr>
          <w:rStyle w:val="FootnoteReference"/>
        </w:rPr>
        <w:footnoteRef/>
      </w:r>
      <w:r>
        <w:t xml:space="preserve"> P.U.C.O. No. 8, Sheet 114.</w:t>
      </w:r>
    </w:p>
  </w:footnote>
  <w:footnote w:id="6">
    <w:p w14:paraId="41434AE6" w14:textId="3A85C0C3" w:rsidR="009F329C" w:rsidRDefault="009F329C">
      <w:pPr>
        <w:pStyle w:val="FootnoteText"/>
      </w:pPr>
      <w:r>
        <w:rPr>
          <w:rStyle w:val="FootnoteReference"/>
        </w:rPr>
        <w:footnoteRef/>
      </w:r>
      <w:r>
        <w:t xml:space="preserve"> P.U.C.O. No. 8, Sheet 119.</w:t>
      </w:r>
    </w:p>
  </w:footnote>
  <w:footnote w:id="7">
    <w:p w14:paraId="3E93506A" w14:textId="00336A87" w:rsidR="009F329C" w:rsidRDefault="009F329C" w:rsidP="00864A3C">
      <w:pPr>
        <w:pStyle w:val="FootnoteText"/>
      </w:pPr>
      <w:r>
        <w:rPr>
          <w:rStyle w:val="FootnoteReference"/>
        </w:rPr>
        <w:footnoteRef/>
      </w:r>
      <w:r>
        <w:t xml:space="preserve"> Direct Testimony of Peter Blazunas on behalf of The Toledo Edison Company (“</w:t>
      </w:r>
      <w:r w:rsidRPr="00864A3C">
        <w:t>Blazunas Testimony</w:t>
      </w:r>
      <w:r>
        <w:t>”)</w:t>
      </w:r>
      <w:r w:rsidRPr="00864A3C">
        <w:t>, p. 2 (t</w:t>
      </w:r>
      <w:r w:rsidRPr="00864A3C">
        <w:rPr>
          <w:rFonts w:eastAsia="SimSun"/>
        </w:rPr>
        <w:t xml:space="preserve">he Company provides MSC with general transmission service in accordance with the Company’s Schedule).  </w:t>
      </w:r>
    </w:p>
  </w:footnote>
  <w:footnote w:id="8">
    <w:p w14:paraId="6C4B262E" w14:textId="48513731" w:rsidR="009F329C" w:rsidRDefault="009F329C" w:rsidP="00864A3C">
      <w:pPr>
        <w:pStyle w:val="FootnoteText"/>
      </w:pPr>
      <w:r>
        <w:rPr>
          <w:rStyle w:val="FootnoteReference"/>
        </w:rPr>
        <w:footnoteRef/>
      </w:r>
      <w:r>
        <w:t xml:space="preserve"> </w:t>
      </w:r>
      <w:r>
        <w:rPr>
          <w:rFonts w:eastAsia="SimSun"/>
          <w:i/>
        </w:rPr>
        <w:t xml:space="preserve">See </w:t>
      </w:r>
      <w:r>
        <w:rPr>
          <w:rFonts w:eastAsia="SimSun"/>
        </w:rPr>
        <w:t xml:space="preserve">R.C. §§ 4905.04, 4909.03, 4933.82; Schedule of Rates for Electric Service, P.U.C.O. No. 8.  </w:t>
      </w:r>
    </w:p>
  </w:footnote>
  <w:footnote w:id="9">
    <w:p w14:paraId="1A04B2EA" w14:textId="77777777" w:rsidR="009F329C" w:rsidRDefault="009F329C" w:rsidP="00864A3C">
      <w:pPr>
        <w:pStyle w:val="FootnoteText"/>
      </w:pPr>
      <w:r>
        <w:rPr>
          <w:rStyle w:val="FootnoteReference"/>
        </w:rPr>
        <w:footnoteRef/>
      </w:r>
      <w:r>
        <w:t xml:space="preserve"> </w:t>
      </w:r>
      <w:r>
        <w:rPr>
          <w:i/>
        </w:rPr>
        <w:t xml:space="preserve">See </w:t>
      </w:r>
      <w:r>
        <w:t xml:space="preserve">ESP II, Stipulation, filed Mar. 23, 2010; Supplemental Stipulation, filed May 13, 2010; Second Supplemental Stipulation, filed July 22, 2010.  </w:t>
      </w:r>
    </w:p>
  </w:footnote>
  <w:footnote w:id="10">
    <w:p w14:paraId="41508CC1" w14:textId="37CAD8FA" w:rsidR="009F329C" w:rsidRDefault="009F329C" w:rsidP="00864A3C">
      <w:pPr>
        <w:pStyle w:val="FootnoteText"/>
      </w:pPr>
      <w:r>
        <w:rPr>
          <w:rStyle w:val="FootnoteReference"/>
        </w:rPr>
        <w:footnoteRef/>
      </w:r>
      <w:r>
        <w:t xml:space="preserve"> </w:t>
      </w:r>
      <w:r>
        <w:rPr>
          <w:rFonts w:eastAsia="SimSun"/>
          <w:i/>
        </w:rPr>
        <w:t xml:space="preserve">See </w:t>
      </w:r>
      <w:r>
        <w:rPr>
          <w:rFonts w:eastAsia="SimSun"/>
        </w:rPr>
        <w:t xml:space="preserve">ESP II, Opinion and Order, filed Aug. 25, 2010.  </w:t>
      </w:r>
    </w:p>
  </w:footnote>
  <w:footnote w:id="11">
    <w:p w14:paraId="4A34A879" w14:textId="77777777" w:rsidR="009F329C" w:rsidRDefault="009F329C" w:rsidP="00864A3C">
      <w:pPr>
        <w:pStyle w:val="FootnoteText"/>
      </w:pPr>
      <w:r>
        <w:rPr>
          <w:rStyle w:val="FootnoteReference"/>
        </w:rPr>
        <w:footnoteRef/>
      </w:r>
      <w:r>
        <w:t xml:space="preserve"> </w:t>
      </w:r>
      <w:r w:rsidRPr="00D465C7">
        <w:rPr>
          <w:rFonts w:eastAsia="SimSun"/>
        </w:rPr>
        <w:t>ESP II Stipulation, p. 35.</w:t>
      </w:r>
    </w:p>
  </w:footnote>
  <w:footnote w:id="12">
    <w:p w14:paraId="612FF40F" w14:textId="77777777" w:rsidR="009F329C" w:rsidRDefault="009F329C" w:rsidP="00864A3C">
      <w:pPr>
        <w:pStyle w:val="FootnoteText"/>
      </w:pPr>
      <w:r>
        <w:rPr>
          <w:rStyle w:val="FootnoteReference"/>
        </w:rPr>
        <w:footnoteRef/>
      </w:r>
      <w:r>
        <w:t xml:space="preserve"> </w:t>
      </w:r>
      <w:r>
        <w:rPr>
          <w:rFonts w:eastAsia="SimSun"/>
        </w:rPr>
        <w:t xml:space="preserve">ESP II Stipulation, filed Mar. 23, 2010, at §§ C.1, D.2, D.3, and Att. B.  </w:t>
      </w:r>
    </w:p>
  </w:footnote>
  <w:footnote w:id="13">
    <w:p w14:paraId="07B2D5F2" w14:textId="6C5436E7" w:rsidR="009F329C" w:rsidRDefault="009F329C" w:rsidP="00D125DD">
      <w:pPr>
        <w:pStyle w:val="FootnoteText"/>
        <w:jc w:val="both"/>
      </w:pPr>
      <w:r>
        <w:rPr>
          <w:rStyle w:val="FootnoteReference"/>
        </w:rPr>
        <w:footnoteRef/>
      </w:r>
      <w:r>
        <w:t xml:space="preserve"> Rider ELR was previously approved in connection with the Company’s first electric security plan in Case No. 08-935-EL-SSO </w:t>
      </w:r>
      <w:r>
        <w:rPr>
          <w:i/>
        </w:rPr>
        <w:t>et al.</w:t>
      </w:r>
      <w:r>
        <w:t xml:space="preserve"> (“ESP I”) in March 2009.  The foundation for ESP I also was a Stipulation supported by numerous interested parties, including MSC.  </w:t>
      </w:r>
      <w:r>
        <w:rPr>
          <w:i/>
        </w:rPr>
        <w:t xml:space="preserve">See </w:t>
      </w:r>
      <w:r>
        <w:t>ESP I Stipulation, filed Feb. 19, 2009, at § A.11(ii) and Att. B; Supplemental Stipulation, filed Feb. 26, 2009.</w:t>
      </w:r>
    </w:p>
  </w:footnote>
  <w:footnote w:id="14">
    <w:p w14:paraId="72C64701" w14:textId="5A9BE84D" w:rsidR="009F329C" w:rsidRDefault="009F329C" w:rsidP="00D125DD">
      <w:pPr>
        <w:pStyle w:val="FootnoteText"/>
      </w:pPr>
      <w:r>
        <w:rPr>
          <w:rStyle w:val="FootnoteReference"/>
        </w:rPr>
        <w:footnoteRef/>
      </w:r>
      <w:r>
        <w:t xml:space="preserve"> </w:t>
      </w:r>
      <w:r>
        <w:rPr>
          <w:rFonts w:eastAsia="SimSun"/>
        </w:rPr>
        <w:t>Schedule, Sheet 101; ESP II Stipulation, filed Mar. 23, 2010, at § D.2 and Att. B; Direct Testimony of Joanne Savage on behalf of The Toledo Edison Company (“Savage Testimony”), pp. 3-4.</w:t>
      </w:r>
    </w:p>
  </w:footnote>
  <w:footnote w:id="15">
    <w:p w14:paraId="3B9EE401" w14:textId="77777777" w:rsidR="009F329C" w:rsidRDefault="009F329C" w:rsidP="00D125DD">
      <w:pPr>
        <w:pStyle w:val="FootnoteText"/>
      </w:pPr>
      <w:r>
        <w:rPr>
          <w:rStyle w:val="FootnoteReference"/>
        </w:rPr>
        <w:footnoteRef/>
      </w:r>
      <w:r>
        <w:t xml:space="preserve"> Savage Testimony, p. 4; </w:t>
      </w:r>
      <w:r>
        <w:rPr>
          <w:rFonts w:eastAsia="SimSun"/>
          <w:i/>
        </w:rPr>
        <w:t xml:space="preserve">see also </w:t>
      </w:r>
      <w:r>
        <w:rPr>
          <w:rFonts w:eastAsia="SimSun"/>
        </w:rPr>
        <w:t>ESP II Stipulation, § D.2; R.C. § 4928.66(A)(1)(b)</w:t>
      </w:r>
      <w:r>
        <w:t>.</w:t>
      </w:r>
    </w:p>
  </w:footnote>
  <w:footnote w:id="16">
    <w:p w14:paraId="599DD0E7" w14:textId="77777777" w:rsidR="009F329C" w:rsidRPr="00E6230B" w:rsidRDefault="009F329C" w:rsidP="00D125DD">
      <w:pPr>
        <w:pStyle w:val="FootnoteText"/>
      </w:pPr>
      <w:r>
        <w:rPr>
          <w:rStyle w:val="FootnoteReference"/>
        </w:rPr>
        <w:footnoteRef/>
      </w:r>
      <w:r>
        <w:t xml:space="preserve"> Savage Testimony, p. 5; </w:t>
      </w:r>
      <w:r>
        <w:rPr>
          <w:i/>
        </w:rPr>
        <w:t xml:space="preserve">see also </w:t>
      </w:r>
      <w:r>
        <w:t>Rider ELR.</w:t>
      </w:r>
    </w:p>
  </w:footnote>
  <w:footnote w:id="17">
    <w:p w14:paraId="16642641" w14:textId="77777777" w:rsidR="009F329C" w:rsidRPr="00E6230B" w:rsidRDefault="009F329C" w:rsidP="00D125DD">
      <w:pPr>
        <w:pStyle w:val="FootnoteText"/>
      </w:pPr>
      <w:r>
        <w:rPr>
          <w:rStyle w:val="FootnoteReference"/>
        </w:rPr>
        <w:footnoteRef/>
      </w:r>
      <w:r>
        <w:t xml:space="preserve"> Savage Testimony, p. 5; </w:t>
      </w:r>
      <w:r>
        <w:rPr>
          <w:i/>
        </w:rPr>
        <w:t xml:space="preserve">see also </w:t>
      </w:r>
      <w:r>
        <w:t>Ex. JMS-2.</w:t>
      </w:r>
    </w:p>
  </w:footnote>
  <w:footnote w:id="18">
    <w:p w14:paraId="3D2B4B36" w14:textId="77777777" w:rsidR="009F329C" w:rsidRDefault="009F329C" w:rsidP="00D125DD">
      <w:pPr>
        <w:pStyle w:val="FootnoteText"/>
      </w:pPr>
      <w:r>
        <w:rPr>
          <w:rStyle w:val="FootnoteReference"/>
        </w:rPr>
        <w:footnoteRef/>
      </w:r>
      <w:r>
        <w:t xml:space="preserve"> Savage Testimony, p. 7, Ex. JMS-2.</w:t>
      </w:r>
    </w:p>
  </w:footnote>
  <w:footnote w:id="19">
    <w:p w14:paraId="1B1C5A84" w14:textId="77777777" w:rsidR="009F329C" w:rsidRDefault="009F329C" w:rsidP="00D125DD">
      <w:pPr>
        <w:pStyle w:val="FootnoteText"/>
      </w:pPr>
      <w:r>
        <w:rPr>
          <w:rStyle w:val="FootnoteReference"/>
        </w:rPr>
        <w:footnoteRef/>
      </w:r>
      <w:r>
        <w:t xml:space="preserve"> </w:t>
      </w:r>
      <w:r>
        <w:rPr>
          <w:rFonts w:eastAsia="SimSun"/>
          <w:i/>
        </w:rPr>
        <w:t xml:space="preserve">See </w:t>
      </w:r>
      <w:r>
        <w:rPr>
          <w:rFonts w:eastAsia="SimSun"/>
        </w:rPr>
        <w:t xml:space="preserve">Rider ELR; Savage Testimony, p. 4. </w:t>
      </w:r>
    </w:p>
  </w:footnote>
  <w:footnote w:id="20">
    <w:p w14:paraId="29C937B2" w14:textId="77777777" w:rsidR="009F329C" w:rsidRDefault="009F329C" w:rsidP="00D125DD">
      <w:pPr>
        <w:pStyle w:val="FootnoteText"/>
      </w:pPr>
      <w:r>
        <w:rPr>
          <w:rStyle w:val="FootnoteReference"/>
        </w:rPr>
        <w:footnoteRef/>
      </w:r>
      <w:r>
        <w:t xml:space="preserve"> Savage Testimony, p. 8; Rider ELR, § D.</w:t>
      </w:r>
    </w:p>
  </w:footnote>
  <w:footnote w:id="21">
    <w:p w14:paraId="276A74EB" w14:textId="77777777" w:rsidR="009F329C" w:rsidRDefault="009F329C">
      <w:pPr>
        <w:pStyle w:val="FootnoteText"/>
      </w:pPr>
      <w:r>
        <w:rPr>
          <w:rStyle w:val="FootnoteReference"/>
        </w:rPr>
        <w:footnoteRef/>
      </w:r>
      <w:r>
        <w:t xml:space="preserve"> Savage Testimony, p. 9; Rider ELR, § D.</w:t>
      </w:r>
    </w:p>
  </w:footnote>
  <w:footnote w:id="22">
    <w:p w14:paraId="3A141943" w14:textId="77777777" w:rsidR="009F329C" w:rsidRDefault="009F329C" w:rsidP="007D133A">
      <w:pPr>
        <w:pStyle w:val="FootnoteText"/>
      </w:pPr>
      <w:r>
        <w:rPr>
          <w:rStyle w:val="FootnoteReference"/>
        </w:rPr>
        <w:footnoteRef/>
      </w:r>
      <w:r>
        <w:t xml:space="preserve"> Rider ELR, § D.</w:t>
      </w:r>
    </w:p>
  </w:footnote>
  <w:footnote w:id="23">
    <w:p w14:paraId="3019FA87" w14:textId="77777777" w:rsidR="009F329C" w:rsidRDefault="009F329C">
      <w:pPr>
        <w:pStyle w:val="FootnoteText"/>
      </w:pPr>
      <w:r>
        <w:rPr>
          <w:rStyle w:val="FootnoteReference"/>
        </w:rPr>
        <w:footnoteRef/>
      </w:r>
      <w:r>
        <w:t xml:space="preserve"> Savage Testimony, p. 14.</w:t>
      </w:r>
    </w:p>
  </w:footnote>
  <w:footnote w:id="24">
    <w:p w14:paraId="6FACE90D" w14:textId="77777777" w:rsidR="009F329C" w:rsidRPr="005B7560" w:rsidRDefault="009F329C" w:rsidP="000040F3">
      <w:pPr>
        <w:pStyle w:val="FootnoteText"/>
      </w:pPr>
      <w:r>
        <w:rPr>
          <w:rStyle w:val="FootnoteReference"/>
        </w:rPr>
        <w:footnoteRef/>
      </w:r>
      <w:r>
        <w:t xml:space="preserve"> </w:t>
      </w:r>
      <w:r>
        <w:rPr>
          <w:i/>
        </w:rPr>
        <w:t xml:space="preserve">See </w:t>
      </w:r>
      <w:r>
        <w:t>Rider ELR; Rider EDR; Savage Testimony, p. 6.</w:t>
      </w:r>
    </w:p>
  </w:footnote>
  <w:footnote w:id="25">
    <w:p w14:paraId="57759A06" w14:textId="77777777" w:rsidR="009F329C" w:rsidRDefault="009F329C" w:rsidP="000040F3">
      <w:pPr>
        <w:pStyle w:val="FootnoteText"/>
      </w:pPr>
      <w:r>
        <w:rPr>
          <w:rStyle w:val="FootnoteReference"/>
        </w:rPr>
        <w:footnoteRef/>
      </w:r>
      <w:r>
        <w:t xml:space="preserve"> Savage Testimony, p. 7.</w:t>
      </w:r>
    </w:p>
  </w:footnote>
  <w:footnote w:id="26">
    <w:p w14:paraId="55A2AD39" w14:textId="77777777" w:rsidR="009F329C" w:rsidRDefault="009F329C">
      <w:pPr>
        <w:pStyle w:val="FootnoteText"/>
      </w:pPr>
      <w:r>
        <w:rPr>
          <w:rStyle w:val="FootnoteReference"/>
        </w:rPr>
        <w:footnoteRef/>
      </w:r>
      <w:r>
        <w:t xml:space="preserve"> Savage Testimony, p. 6.</w:t>
      </w:r>
    </w:p>
  </w:footnote>
  <w:footnote w:id="27">
    <w:p w14:paraId="7975FA1B" w14:textId="77777777" w:rsidR="009F329C" w:rsidRDefault="009F329C" w:rsidP="00D125DD">
      <w:pPr>
        <w:pStyle w:val="FootnoteText"/>
      </w:pPr>
      <w:r>
        <w:rPr>
          <w:rStyle w:val="FootnoteReference"/>
        </w:rPr>
        <w:footnoteRef/>
      </w:r>
      <w:r>
        <w:t xml:space="preserve"> Savage Testimony, p. 8.</w:t>
      </w:r>
    </w:p>
  </w:footnote>
  <w:footnote w:id="28">
    <w:p w14:paraId="3E08CE5A" w14:textId="77777777" w:rsidR="009F329C" w:rsidRDefault="009F329C" w:rsidP="00D125DD">
      <w:pPr>
        <w:pStyle w:val="FootnoteText"/>
      </w:pPr>
      <w:r>
        <w:rPr>
          <w:rStyle w:val="FootnoteReference"/>
        </w:rPr>
        <w:footnoteRef/>
      </w:r>
      <w:r>
        <w:t xml:space="preserve"> Savage Testimony, p. 8 (1 test event in 2011, 1 test event in 2012, and 5 ECEs in 2013).</w:t>
      </w:r>
    </w:p>
  </w:footnote>
  <w:footnote w:id="29">
    <w:p w14:paraId="5CDC43C3" w14:textId="77777777" w:rsidR="009F329C" w:rsidRDefault="009F329C" w:rsidP="0001349B">
      <w:pPr>
        <w:pStyle w:val="FootnoteText"/>
      </w:pPr>
      <w:r>
        <w:rPr>
          <w:rStyle w:val="FootnoteReference"/>
        </w:rPr>
        <w:footnoteRef/>
      </w:r>
      <w:r>
        <w:t xml:space="preserve"> </w:t>
      </w:r>
      <w:r>
        <w:rPr>
          <w:rFonts w:eastAsia="SimSun"/>
        </w:rPr>
        <w:t xml:space="preserve">Rider ELR, § D (emphasis added).  </w:t>
      </w:r>
    </w:p>
  </w:footnote>
  <w:footnote w:id="30">
    <w:p w14:paraId="09208ACD" w14:textId="77777777" w:rsidR="009F329C" w:rsidRDefault="009F329C" w:rsidP="0001349B">
      <w:pPr>
        <w:pStyle w:val="FootnoteText"/>
      </w:pPr>
      <w:r>
        <w:rPr>
          <w:rStyle w:val="FootnoteReference"/>
        </w:rPr>
        <w:footnoteRef/>
      </w:r>
      <w:r>
        <w:t xml:space="preserve"> </w:t>
      </w:r>
      <w:r>
        <w:rPr>
          <w:rFonts w:eastAsia="SimSun"/>
        </w:rPr>
        <w:t>Rider ELR, § D (emphasis added); Savage Testimony, pp. 15-16.</w:t>
      </w:r>
      <w:r w:rsidRPr="006F297B">
        <w:rPr>
          <w:rFonts w:eastAsia="SimSun"/>
        </w:rPr>
        <w:t xml:space="preserve">  </w:t>
      </w:r>
    </w:p>
  </w:footnote>
  <w:footnote w:id="31">
    <w:p w14:paraId="407990B9" w14:textId="77777777" w:rsidR="009F329C" w:rsidRDefault="009F329C" w:rsidP="0001349B">
      <w:pPr>
        <w:pStyle w:val="FootnoteText"/>
      </w:pPr>
      <w:r>
        <w:rPr>
          <w:rStyle w:val="FootnoteReference"/>
        </w:rPr>
        <w:footnoteRef/>
      </w:r>
      <w:r>
        <w:t xml:space="preserve"> Savage Testimony, p. 16.</w:t>
      </w:r>
    </w:p>
  </w:footnote>
  <w:footnote w:id="32">
    <w:p w14:paraId="12B1D02B" w14:textId="77777777" w:rsidR="009F329C" w:rsidRDefault="009F329C" w:rsidP="0001349B">
      <w:pPr>
        <w:pStyle w:val="FootnoteText"/>
      </w:pPr>
      <w:r>
        <w:rPr>
          <w:rStyle w:val="FootnoteReference"/>
        </w:rPr>
        <w:footnoteRef/>
      </w:r>
      <w:r>
        <w:t xml:space="preserve"> Savage Testimony, p. 17.</w:t>
      </w:r>
    </w:p>
  </w:footnote>
  <w:footnote w:id="33">
    <w:p w14:paraId="4A8BB59F" w14:textId="77777777" w:rsidR="009F329C" w:rsidRDefault="009F329C">
      <w:pPr>
        <w:pStyle w:val="FootnoteText"/>
      </w:pPr>
      <w:r>
        <w:rPr>
          <w:rStyle w:val="FootnoteReference"/>
        </w:rPr>
        <w:footnoteRef/>
      </w:r>
      <w:r>
        <w:t xml:space="preserve"> Savage Testimony, p. 17.</w:t>
      </w:r>
    </w:p>
  </w:footnote>
  <w:footnote w:id="34">
    <w:p w14:paraId="6CC370D9" w14:textId="77777777" w:rsidR="009F329C" w:rsidRDefault="009F329C">
      <w:pPr>
        <w:pStyle w:val="FootnoteText"/>
      </w:pPr>
      <w:r>
        <w:rPr>
          <w:rStyle w:val="FootnoteReference"/>
        </w:rPr>
        <w:footnoteRef/>
      </w:r>
      <w:r>
        <w:t xml:space="preserve"> Savage Testimony, p. 10, Exs. JMS-4 and JMS-5.</w:t>
      </w:r>
    </w:p>
  </w:footnote>
  <w:footnote w:id="35">
    <w:p w14:paraId="20CD17BD" w14:textId="77777777" w:rsidR="009F329C" w:rsidRDefault="009F329C">
      <w:pPr>
        <w:pStyle w:val="FootnoteText"/>
      </w:pPr>
      <w:r>
        <w:rPr>
          <w:rStyle w:val="FootnoteReference"/>
        </w:rPr>
        <w:footnoteRef/>
      </w:r>
      <w:r>
        <w:t xml:space="preserve"> Savage Testimony, Ex. JMS-4.</w:t>
      </w:r>
    </w:p>
  </w:footnote>
  <w:footnote w:id="36">
    <w:p w14:paraId="77147E81" w14:textId="13416D7F" w:rsidR="009F329C" w:rsidRDefault="009F329C">
      <w:pPr>
        <w:pStyle w:val="FootnoteText"/>
      </w:pPr>
      <w:r>
        <w:rPr>
          <w:rStyle w:val="FootnoteReference"/>
        </w:rPr>
        <w:footnoteRef/>
      </w:r>
      <w:r>
        <w:t xml:space="preserve"> Savage Testimony, Exs. JMS-4 and JMS-5.</w:t>
      </w:r>
    </w:p>
  </w:footnote>
  <w:footnote w:id="37">
    <w:p w14:paraId="68461AB0" w14:textId="77777777" w:rsidR="009F329C" w:rsidRDefault="009F329C">
      <w:pPr>
        <w:pStyle w:val="FootnoteText"/>
      </w:pPr>
      <w:r>
        <w:rPr>
          <w:rStyle w:val="FootnoteReference"/>
        </w:rPr>
        <w:footnoteRef/>
      </w:r>
      <w:r>
        <w:t xml:space="preserve"> Savage Testimony, pp. 10-11, 18; Ex. JMS-4.</w:t>
      </w:r>
    </w:p>
  </w:footnote>
  <w:footnote w:id="38">
    <w:p w14:paraId="647ACDA4" w14:textId="77777777" w:rsidR="009F329C" w:rsidRPr="00D420AC" w:rsidRDefault="009F329C">
      <w:pPr>
        <w:pStyle w:val="FootnoteText"/>
      </w:pPr>
      <w:r>
        <w:rPr>
          <w:rStyle w:val="FootnoteReference"/>
        </w:rPr>
        <w:footnoteRef/>
      </w:r>
      <w:r>
        <w:t xml:space="preserve"> Savage Testimony, p. 11; </w:t>
      </w:r>
      <w:r>
        <w:rPr>
          <w:i/>
        </w:rPr>
        <w:t xml:space="preserve">see also </w:t>
      </w:r>
      <w:r>
        <w:t>Ex. JMS-5.</w:t>
      </w:r>
    </w:p>
  </w:footnote>
  <w:footnote w:id="39">
    <w:p w14:paraId="56300882" w14:textId="43F44B9E" w:rsidR="009F329C" w:rsidRDefault="009F329C">
      <w:pPr>
        <w:pStyle w:val="FootnoteText"/>
      </w:pPr>
      <w:r>
        <w:rPr>
          <w:rStyle w:val="FootnoteReference"/>
        </w:rPr>
        <w:footnoteRef/>
      </w:r>
      <w:r>
        <w:t xml:space="preserve"> Material Sciences Corporation’s Direct Testimony of Jim Augsburger (“Augsburger Testimony”), Ex. JA-1, p. 9; </w:t>
      </w:r>
      <w:r>
        <w:rPr>
          <w:i/>
        </w:rPr>
        <w:t xml:space="preserve">see also </w:t>
      </w:r>
      <w:r>
        <w:t>Savage Testimony, pp. 12-13, 18, Ex. JMS-6.</w:t>
      </w:r>
    </w:p>
  </w:footnote>
  <w:footnote w:id="40">
    <w:p w14:paraId="6EB0AA46" w14:textId="1F78460B" w:rsidR="009F329C" w:rsidRDefault="009F329C" w:rsidP="00EE18E9">
      <w:pPr>
        <w:pStyle w:val="FootnoteText"/>
      </w:pPr>
      <w:r>
        <w:rPr>
          <w:rStyle w:val="FootnoteReference"/>
        </w:rPr>
        <w:footnoteRef/>
      </w:r>
      <w:r>
        <w:t xml:space="preserve"> Hearing Transcript (“Tr.”), pp. 22 (Siffer, plant manager), 31 (Ramsay, operations manager), 43 (Augsburger, engineering manager).  </w:t>
      </w:r>
    </w:p>
  </w:footnote>
  <w:footnote w:id="41">
    <w:p w14:paraId="0A81306D" w14:textId="77777777" w:rsidR="009F329C" w:rsidRDefault="009F329C" w:rsidP="00EE18E9">
      <w:pPr>
        <w:pStyle w:val="FootnoteText"/>
      </w:pPr>
      <w:r>
        <w:rPr>
          <w:rStyle w:val="FootnoteReference"/>
        </w:rPr>
        <w:footnoteRef/>
      </w:r>
      <w:r>
        <w:t xml:space="preserve"> Tr., pp. 22-23 (Siffer), 31 (Ramsay).</w:t>
      </w:r>
    </w:p>
  </w:footnote>
  <w:footnote w:id="42">
    <w:p w14:paraId="2DC96308" w14:textId="06CE0E5F" w:rsidR="009F329C" w:rsidRPr="00EE18E9" w:rsidRDefault="009F329C" w:rsidP="00EE18E9">
      <w:pPr>
        <w:pStyle w:val="FootnoteText"/>
      </w:pPr>
      <w:r>
        <w:rPr>
          <w:rStyle w:val="FootnoteReference"/>
        </w:rPr>
        <w:footnoteRef/>
      </w:r>
      <w:r>
        <w:t xml:space="preserve"> Rider ELR, § D.</w:t>
      </w:r>
    </w:p>
  </w:footnote>
  <w:footnote w:id="43">
    <w:p w14:paraId="2966FAED" w14:textId="5FACAD34" w:rsidR="009F329C" w:rsidRDefault="009F329C" w:rsidP="00EE18E9">
      <w:pPr>
        <w:pStyle w:val="FootnoteText"/>
      </w:pPr>
      <w:r>
        <w:rPr>
          <w:rStyle w:val="FootnoteReference"/>
        </w:rPr>
        <w:footnoteRef/>
      </w:r>
      <w:r>
        <w:t xml:space="preserve"> </w:t>
      </w:r>
      <w:r w:rsidRPr="00EE18E9">
        <w:t xml:space="preserve">Blazunas Testimony, pp. 15-16.  </w:t>
      </w:r>
    </w:p>
  </w:footnote>
  <w:footnote w:id="44">
    <w:p w14:paraId="72CE9DAE" w14:textId="77777777" w:rsidR="009F329C" w:rsidRDefault="009F329C" w:rsidP="00EE18E9">
      <w:pPr>
        <w:pStyle w:val="FootnoteText"/>
      </w:pPr>
      <w:r>
        <w:rPr>
          <w:rStyle w:val="FootnoteReference"/>
        </w:rPr>
        <w:footnoteRef/>
      </w:r>
      <w:r>
        <w:t xml:space="preserve"> </w:t>
      </w:r>
      <w:r w:rsidRPr="00EE18E9">
        <w:t>Augsburger Testimony, p. 10.</w:t>
      </w:r>
    </w:p>
  </w:footnote>
  <w:footnote w:id="45">
    <w:p w14:paraId="78745E90" w14:textId="17D46EE7" w:rsidR="009F329C" w:rsidRDefault="009F329C" w:rsidP="00EE18E9">
      <w:pPr>
        <w:pStyle w:val="FootnoteText"/>
      </w:pPr>
      <w:r>
        <w:rPr>
          <w:rStyle w:val="FootnoteReference"/>
        </w:rPr>
        <w:footnoteRef/>
      </w:r>
      <w:r>
        <w:t xml:space="preserve"> Savage Testimony, p. 9.</w:t>
      </w:r>
    </w:p>
  </w:footnote>
  <w:footnote w:id="46">
    <w:p w14:paraId="4A65C47E" w14:textId="77777777" w:rsidR="009F329C" w:rsidRDefault="009F329C" w:rsidP="00EE18E9">
      <w:pPr>
        <w:pStyle w:val="FootnoteText"/>
      </w:pPr>
      <w:r>
        <w:rPr>
          <w:rStyle w:val="FootnoteReference"/>
        </w:rPr>
        <w:footnoteRef/>
      </w:r>
      <w:r>
        <w:t xml:space="preserve"> </w:t>
      </w:r>
      <w:r w:rsidRPr="006F297B">
        <w:rPr>
          <w:rFonts w:eastAsia="SimSun"/>
          <w:i/>
        </w:rPr>
        <w:t>See</w:t>
      </w:r>
      <w:r w:rsidRPr="006F297B">
        <w:rPr>
          <w:rFonts w:eastAsia="SimSun"/>
        </w:rPr>
        <w:t xml:space="preserve"> Ex. 3 to Compl.</w:t>
      </w:r>
    </w:p>
  </w:footnote>
  <w:footnote w:id="47">
    <w:p w14:paraId="72450FD6" w14:textId="0B3B920A" w:rsidR="009F329C" w:rsidRDefault="009F329C" w:rsidP="00EE18E9">
      <w:pPr>
        <w:pStyle w:val="FootnoteText"/>
      </w:pPr>
      <w:r>
        <w:rPr>
          <w:rStyle w:val="FootnoteReference"/>
        </w:rPr>
        <w:footnoteRef/>
      </w:r>
      <w:r>
        <w:t xml:space="preserve"> Rider ELR, § D; Blazunas Testimony, pp. 15-16, Ex. PRB-4; Material Sciences Corporation’s Direct Testimony of John Siffer (“Siffer Testimony”), p. 14.</w:t>
      </w:r>
    </w:p>
  </w:footnote>
  <w:footnote w:id="48">
    <w:p w14:paraId="75557131" w14:textId="77777777" w:rsidR="009F329C" w:rsidRDefault="009F329C" w:rsidP="00FE4E90">
      <w:pPr>
        <w:pStyle w:val="FootnoteText"/>
      </w:pPr>
      <w:r>
        <w:rPr>
          <w:rStyle w:val="FootnoteReference"/>
        </w:rPr>
        <w:footnoteRef/>
      </w:r>
      <w:r>
        <w:t xml:space="preserve"> </w:t>
      </w:r>
      <w:r>
        <w:rPr>
          <w:rFonts w:eastAsia="SimSun"/>
          <w:lang w:eastAsia="zh-CN"/>
        </w:rPr>
        <w:t xml:space="preserve">Complaint, ¶¶ 25-33.  </w:t>
      </w:r>
    </w:p>
  </w:footnote>
  <w:footnote w:id="49">
    <w:p w14:paraId="69E463BA" w14:textId="77777777" w:rsidR="009F329C" w:rsidRDefault="009F329C" w:rsidP="00FE4E90">
      <w:pPr>
        <w:pStyle w:val="FootnoteText"/>
      </w:pPr>
      <w:r>
        <w:rPr>
          <w:rStyle w:val="FootnoteReference"/>
        </w:rPr>
        <w:footnoteRef/>
      </w:r>
      <w:r>
        <w:t xml:space="preserve"> </w:t>
      </w:r>
      <w:r>
        <w:rPr>
          <w:rFonts w:eastAsia="SimSun"/>
          <w:lang w:eastAsia="zh-CN"/>
        </w:rPr>
        <w:t xml:space="preserve">Complaint, ¶¶ 34-39.  </w:t>
      </w:r>
    </w:p>
  </w:footnote>
  <w:footnote w:id="50">
    <w:p w14:paraId="79D2CB61" w14:textId="77777777" w:rsidR="009F329C" w:rsidRDefault="009F329C" w:rsidP="00FE4E90">
      <w:pPr>
        <w:pStyle w:val="FootnoteText"/>
      </w:pPr>
      <w:r>
        <w:rPr>
          <w:rStyle w:val="FootnoteReference"/>
        </w:rPr>
        <w:footnoteRef/>
      </w:r>
      <w:r>
        <w:t xml:space="preserve"> </w:t>
      </w:r>
      <w:r>
        <w:rPr>
          <w:rFonts w:eastAsia="SimSun"/>
          <w:lang w:eastAsia="zh-CN"/>
        </w:rPr>
        <w:t xml:space="preserve">Complaint, ¶¶ 40-50.  </w:t>
      </w:r>
    </w:p>
  </w:footnote>
  <w:footnote w:id="51">
    <w:p w14:paraId="26D14F43" w14:textId="77777777" w:rsidR="009F329C" w:rsidRPr="004D4804" w:rsidRDefault="009F329C" w:rsidP="00FE4E90">
      <w:pPr>
        <w:pStyle w:val="FootnoteText"/>
      </w:pPr>
      <w:r>
        <w:rPr>
          <w:rStyle w:val="FootnoteReference"/>
        </w:rPr>
        <w:footnoteRef/>
      </w:r>
      <w:r>
        <w:t xml:space="preserve"> </w:t>
      </w:r>
      <w:r>
        <w:rPr>
          <w:i/>
        </w:rPr>
        <w:t>See</w:t>
      </w:r>
      <w:r>
        <w:t xml:space="preserve"> Complaint, ¶¶ 40-50, pp. 19-20.</w:t>
      </w:r>
    </w:p>
  </w:footnote>
  <w:footnote w:id="52">
    <w:p w14:paraId="46DA7D1B" w14:textId="77777777" w:rsidR="009F329C" w:rsidRPr="00066097" w:rsidRDefault="009F329C" w:rsidP="00FE4E90">
      <w:pPr>
        <w:pStyle w:val="FootnoteText"/>
      </w:pPr>
      <w:r>
        <w:rPr>
          <w:rStyle w:val="FootnoteReference"/>
        </w:rPr>
        <w:footnoteRef/>
      </w:r>
      <w:r>
        <w:t xml:space="preserve"> </w:t>
      </w:r>
      <w:r>
        <w:rPr>
          <w:i/>
        </w:rPr>
        <w:t>See</w:t>
      </w:r>
      <w:r>
        <w:t xml:space="preserve"> Siffer Testimony.</w:t>
      </w:r>
    </w:p>
  </w:footnote>
  <w:footnote w:id="53">
    <w:p w14:paraId="46FE3E63" w14:textId="77777777" w:rsidR="009F329C" w:rsidRDefault="009F329C" w:rsidP="00066097">
      <w:pPr>
        <w:pStyle w:val="FootnoteText"/>
      </w:pPr>
      <w:r>
        <w:rPr>
          <w:rStyle w:val="FootnoteReference"/>
        </w:rPr>
        <w:footnoteRef/>
      </w:r>
      <w:r>
        <w:t xml:space="preserve"> Tr., p. 42.</w:t>
      </w:r>
    </w:p>
  </w:footnote>
  <w:footnote w:id="54">
    <w:p w14:paraId="22AC440B" w14:textId="77777777" w:rsidR="009F329C" w:rsidRDefault="009F329C" w:rsidP="00066097">
      <w:pPr>
        <w:pStyle w:val="FootnoteText"/>
      </w:pPr>
      <w:r>
        <w:rPr>
          <w:rStyle w:val="FootnoteReference"/>
        </w:rPr>
        <w:footnoteRef/>
      </w:r>
      <w:r>
        <w:t xml:space="preserve"> Tr., pp. 12 (Siffer), 42 (Augsburger admitting that he does not review them in any detail).</w:t>
      </w:r>
    </w:p>
  </w:footnote>
  <w:footnote w:id="55">
    <w:p w14:paraId="45BB18F0" w14:textId="77777777" w:rsidR="009F329C" w:rsidRDefault="009F329C" w:rsidP="00066097">
      <w:pPr>
        <w:pStyle w:val="FootnoteText"/>
      </w:pPr>
      <w:r>
        <w:rPr>
          <w:rStyle w:val="FootnoteReference"/>
        </w:rPr>
        <w:footnoteRef/>
      </w:r>
      <w:r>
        <w:t xml:space="preserve"> Tr., p. 12.</w:t>
      </w:r>
    </w:p>
  </w:footnote>
  <w:footnote w:id="56">
    <w:p w14:paraId="35B878D8" w14:textId="77777777" w:rsidR="009F329C" w:rsidRDefault="009F329C" w:rsidP="00066097">
      <w:pPr>
        <w:pStyle w:val="FootnoteText"/>
      </w:pPr>
      <w:r>
        <w:rPr>
          <w:rStyle w:val="FootnoteReference"/>
        </w:rPr>
        <w:footnoteRef/>
      </w:r>
      <w:r>
        <w:t xml:space="preserve"> Tr., p. 12.  Mr. Augsburger similarly admitted he was not familiar with Rider GEN.  Tr., p. 42.</w:t>
      </w:r>
    </w:p>
  </w:footnote>
  <w:footnote w:id="57">
    <w:p w14:paraId="0100BF27" w14:textId="77777777" w:rsidR="009F329C" w:rsidRDefault="009F329C" w:rsidP="00066097">
      <w:pPr>
        <w:pStyle w:val="FootnoteText"/>
      </w:pPr>
      <w:r>
        <w:rPr>
          <w:rStyle w:val="FootnoteReference"/>
        </w:rPr>
        <w:footnoteRef/>
      </w:r>
      <w:r>
        <w:t xml:space="preserve"> Tr., p. 13.  Mr. Augsburger again similarly admitted he was not familiar with Rider NMB.  Tr., p. 42.</w:t>
      </w:r>
    </w:p>
  </w:footnote>
  <w:footnote w:id="58">
    <w:p w14:paraId="14B1F5FD" w14:textId="77777777" w:rsidR="009F329C" w:rsidRPr="00721265" w:rsidRDefault="009F329C" w:rsidP="00831F44">
      <w:pPr>
        <w:pStyle w:val="FootnoteText"/>
      </w:pPr>
      <w:r>
        <w:rPr>
          <w:rStyle w:val="FootnoteReference"/>
        </w:rPr>
        <w:footnoteRef/>
      </w:r>
      <w:r>
        <w:t xml:space="preserve"> Tr., p. 14; </w:t>
      </w:r>
      <w:r>
        <w:rPr>
          <w:i/>
        </w:rPr>
        <w:t xml:space="preserve">see also </w:t>
      </w:r>
      <w:r>
        <w:t>Siffer Testimony, p. 14 ($2.249/kVa), 15 ($2.1249/kVa).</w:t>
      </w:r>
    </w:p>
  </w:footnote>
  <w:footnote w:id="59">
    <w:p w14:paraId="0A36B4F2" w14:textId="77777777" w:rsidR="009F329C" w:rsidRPr="00680DCF" w:rsidRDefault="009F329C" w:rsidP="00831F44">
      <w:pPr>
        <w:pStyle w:val="FootnoteText"/>
      </w:pPr>
      <w:r>
        <w:rPr>
          <w:rStyle w:val="FootnoteReference"/>
        </w:rPr>
        <w:footnoteRef/>
      </w:r>
      <w:r>
        <w:t xml:space="preserve"> </w:t>
      </w:r>
      <w:r>
        <w:rPr>
          <w:i/>
        </w:rPr>
        <w:t xml:space="preserve">See </w:t>
      </w:r>
      <w:r>
        <w:t>Tr., pp. 27-28.</w:t>
      </w:r>
    </w:p>
  </w:footnote>
  <w:footnote w:id="60">
    <w:p w14:paraId="6FC85235" w14:textId="77777777" w:rsidR="009F329C" w:rsidRDefault="009F329C" w:rsidP="004D4804">
      <w:pPr>
        <w:pStyle w:val="FootnoteText"/>
      </w:pPr>
      <w:r>
        <w:rPr>
          <w:rStyle w:val="FootnoteReference"/>
        </w:rPr>
        <w:footnoteRef/>
      </w:r>
      <w:r>
        <w:t xml:space="preserve"> Tr., p. 55 (testifying that in some instances the Company’s numbers were higher than Mr. Siffer’s and in others the Company’s numbers were lower).</w:t>
      </w:r>
    </w:p>
  </w:footnote>
  <w:footnote w:id="61">
    <w:p w14:paraId="72DCD1EA" w14:textId="44C54049" w:rsidR="009F329C" w:rsidRDefault="009F329C">
      <w:pPr>
        <w:pStyle w:val="FootnoteText"/>
      </w:pPr>
      <w:r>
        <w:rPr>
          <w:rStyle w:val="FootnoteReference"/>
        </w:rPr>
        <w:footnoteRef/>
      </w:r>
      <w:r>
        <w:t xml:space="preserve"> Tr., pp. 59-60.</w:t>
      </w:r>
    </w:p>
  </w:footnote>
  <w:footnote w:id="62">
    <w:p w14:paraId="48CF75D5" w14:textId="77777777" w:rsidR="009F329C" w:rsidRDefault="009F329C" w:rsidP="000175E7">
      <w:pPr>
        <w:pStyle w:val="FootnoteText"/>
      </w:pPr>
      <w:r>
        <w:rPr>
          <w:rStyle w:val="FootnoteReference"/>
        </w:rPr>
        <w:footnoteRef/>
      </w:r>
      <w:r>
        <w:t xml:space="preserve"> Tr., pp. 19-20.</w:t>
      </w:r>
    </w:p>
  </w:footnote>
  <w:footnote w:id="63">
    <w:p w14:paraId="59E83B6D" w14:textId="77777777" w:rsidR="009F329C" w:rsidRDefault="009F329C" w:rsidP="000175E7">
      <w:pPr>
        <w:pStyle w:val="FootnoteText"/>
      </w:pPr>
      <w:r>
        <w:rPr>
          <w:rStyle w:val="FootnoteReference"/>
        </w:rPr>
        <w:footnoteRef/>
      </w:r>
      <w:r>
        <w:t xml:space="preserve"> Tr., p. 20.</w:t>
      </w:r>
    </w:p>
  </w:footnote>
  <w:footnote w:id="64">
    <w:p w14:paraId="3BB77CD8" w14:textId="77777777" w:rsidR="009F329C" w:rsidRDefault="009F329C" w:rsidP="00D77194">
      <w:pPr>
        <w:pStyle w:val="FootnoteText"/>
      </w:pPr>
      <w:r>
        <w:rPr>
          <w:rStyle w:val="FootnoteReference"/>
        </w:rPr>
        <w:footnoteRef/>
      </w:r>
      <w:r>
        <w:t xml:space="preserve"> Blazunas Testimony, p. 4.</w:t>
      </w:r>
    </w:p>
  </w:footnote>
  <w:footnote w:id="65">
    <w:p w14:paraId="4B16CD43" w14:textId="603083A2" w:rsidR="009F329C" w:rsidRDefault="009F329C" w:rsidP="009F329C">
      <w:pPr>
        <w:pStyle w:val="FootnoteText"/>
      </w:pPr>
      <w:r>
        <w:rPr>
          <w:rStyle w:val="FootnoteReference"/>
        </w:rPr>
        <w:footnoteRef/>
      </w:r>
      <w:r>
        <w:t xml:space="preserve"> R.C § 4905.32.</w:t>
      </w:r>
    </w:p>
  </w:footnote>
  <w:footnote w:id="66">
    <w:p w14:paraId="093D37CC" w14:textId="77777777" w:rsidR="009F329C" w:rsidRPr="00BD0EEC" w:rsidRDefault="009F329C" w:rsidP="00D77194">
      <w:pPr>
        <w:pStyle w:val="FootnoteText"/>
      </w:pPr>
      <w:r>
        <w:rPr>
          <w:rStyle w:val="FootnoteReference"/>
        </w:rPr>
        <w:footnoteRef/>
      </w:r>
      <w:r>
        <w:t xml:space="preserve"> </w:t>
      </w:r>
      <w:r>
        <w:rPr>
          <w:i/>
        </w:rPr>
        <w:t xml:space="preserve">See </w:t>
      </w:r>
      <w:proofErr w:type="spellStart"/>
      <w:r>
        <w:t>Blazunas</w:t>
      </w:r>
      <w:proofErr w:type="spellEnd"/>
      <w:r>
        <w:t xml:space="preserve"> Testimony, pp. 4-12.</w:t>
      </w:r>
    </w:p>
  </w:footnote>
  <w:footnote w:id="67">
    <w:p w14:paraId="0C9251F9" w14:textId="0A0A56D8" w:rsidR="009F329C" w:rsidRDefault="009F329C" w:rsidP="00D77194">
      <w:pPr>
        <w:pStyle w:val="FootnoteText"/>
      </w:pPr>
      <w:r>
        <w:rPr>
          <w:rStyle w:val="FootnoteReference"/>
        </w:rPr>
        <w:footnoteRef/>
      </w:r>
      <w:r>
        <w:t xml:space="preserve"> Blazunas Testimony, pp. 5-6; Rider GEN.</w:t>
      </w:r>
    </w:p>
  </w:footnote>
  <w:footnote w:id="68">
    <w:p w14:paraId="645F6E29" w14:textId="77777777" w:rsidR="009F329C" w:rsidRDefault="009F329C" w:rsidP="00D77194">
      <w:pPr>
        <w:pStyle w:val="FootnoteText"/>
      </w:pPr>
      <w:r>
        <w:rPr>
          <w:rStyle w:val="FootnoteReference"/>
        </w:rPr>
        <w:footnoteRef/>
      </w:r>
      <w:r>
        <w:t xml:space="preserve"> Blazunas Testimony, pp. 4-5.</w:t>
      </w:r>
    </w:p>
  </w:footnote>
  <w:footnote w:id="69">
    <w:p w14:paraId="3C11F748" w14:textId="77777777" w:rsidR="009F329C" w:rsidRPr="00215932" w:rsidRDefault="009F329C" w:rsidP="00D77194">
      <w:pPr>
        <w:pStyle w:val="FootnoteText"/>
      </w:pPr>
      <w:r>
        <w:rPr>
          <w:rStyle w:val="FootnoteReference"/>
        </w:rPr>
        <w:footnoteRef/>
      </w:r>
      <w:r>
        <w:t xml:space="preserve"> </w:t>
      </w:r>
      <w:r>
        <w:rPr>
          <w:i/>
        </w:rPr>
        <w:t xml:space="preserve">See </w:t>
      </w:r>
      <w:r>
        <w:t>Blazunas Testimony, p. 5.</w:t>
      </w:r>
    </w:p>
  </w:footnote>
  <w:footnote w:id="70">
    <w:p w14:paraId="2B3A90C4" w14:textId="77777777" w:rsidR="009F329C" w:rsidRDefault="009F329C" w:rsidP="00D77194">
      <w:pPr>
        <w:pStyle w:val="FootnoteText"/>
      </w:pPr>
      <w:r>
        <w:rPr>
          <w:rStyle w:val="FootnoteReference"/>
        </w:rPr>
        <w:footnoteRef/>
      </w:r>
      <w:r>
        <w:t xml:space="preserve"> Blazunas Testimony, p. 6.</w:t>
      </w:r>
    </w:p>
  </w:footnote>
  <w:footnote w:id="71">
    <w:p w14:paraId="00D08A2C" w14:textId="77777777" w:rsidR="009F329C" w:rsidRDefault="009F329C" w:rsidP="00D77194">
      <w:pPr>
        <w:pStyle w:val="FootnoteText"/>
      </w:pPr>
      <w:r>
        <w:rPr>
          <w:rStyle w:val="FootnoteReference"/>
        </w:rPr>
        <w:footnoteRef/>
      </w:r>
      <w:r>
        <w:t xml:space="preserve"> Blazunas Testimony, pp. 8-9.</w:t>
      </w:r>
    </w:p>
  </w:footnote>
  <w:footnote w:id="72">
    <w:p w14:paraId="5B515ABA" w14:textId="62B5F291" w:rsidR="009F329C" w:rsidRDefault="009F329C" w:rsidP="00D77194">
      <w:pPr>
        <w:pStyle w:val="FootnoteText"/>
      </w:pPr>
      <w:r>
        <w:rPr>
          <w:rStyle w:val="FootnoteReference"/>
        </w:rPr>
        <w:footnoteRef/>
      </w:r>
      <w:r>
        <w:t xml:space="preserve"> Blazunas Testimony, p. 8; Rider NMB.</w:t>
      </w:r>
    </w:p>
  </w:footnote>
  <w:footnote w:id="73">
    <w:p w14:paraId="25ADBF75" w14:textId="77777777" w:rsidR="009F329C" w:rsidRDefault="009F329C" w:rsidP="00E67016">
      <w:pPr>
        <w:pStyle w:val="FootnoteText"/>
      </w:pPr>
      <w:r>
        <w:rPr>
          <w:rStyle w:val="FootnoteReference"/>
        </w:rPr>
        <w:footnoteRef/>
      </w:r>
      <w:r>
        <w:t xml:space="preserve"> Blazunas Testimony, p. 8.</w:t>
      </w:r>
    </w:p>
  </w:footnote>
  <w:footnote w:id="74">
    <w:p w14:paraId="1596B6F6" w14:textId="77777777" w:rsidR="009F329C" w:rsidRDefault="009F329C" w:rsidP="00E67016">
      <w:pPr>
        <w:pStyle w:val="FootnoteText"/>
      </w:pPr>
      <w:r>
        <w:rPr>
          <w:rStyle w:val="FootnoteReference"/>
        </w:rPr>
        <w:footnoteRef/>
      </w:r>
      <w:r>
        <w:t xml:space="preserve"> Blazunas Testimony, p. 9.</w:t>
      </w:r>
    </w:p>
  </w:footnote>
  <w:footnote w:id="75">
    <w:p w14:paraId="55166B88" w14:textId="77777777" w:rsidR="009F329C" w:rsidRPr="009E4D7C" w:rsidRDefault="009F329C" w:rsidP="00D77194">
      <w:pPr>
        <w:pStyle w:val="FootnoteText"/>
      </w:pPr>
      <w:r>
        <w:rPr>
          <w:rStyle w:val="FootnoteReference"/>
        </w:rPr>
        <w:footnoteRef/>
      </w:r>
      <w:r>
        <w:t xml:space="preserve"> </w:t>
      </w:r>
      <w:r>
        <w:rPr>
          <w:i/>
        </w:rPr>
        <w:t xml:space="preserve">See </w:t>
      </w:r>
      <w:r>
        <w:t>Siffer Testimony, p. 14-15.</w:t>
      </w:r>
    </w:p>
  </w:footnote>
  <w:footnote w:id="76">
    <w:p w14:paraId="58281380" w14:textId="376CD2FF" w:rsidR="009F329C" w:rsidRPr="009E4D7C" w:rsidRDefault="009F329C" w:rsidP="00D77194">
      <w:pPr>
        <w:pStyle w:val="FootnoteText"/>
        <w:rPr>
          <w:b/>
        </w:rPr>
      </w:pPr>
      <w:r>
        <w:rPr>
          <w:rStyle w:val="FootnoteReference"/>
        </w:rPr>
        <w:footnoteRef/>
      </w:r>
      <w:r>
        <w:t xml:space="preserve"> Blazunas Testimony, pp. 10-12; Rider DSE.</w:t>
      </w:r>
    </w:p>
  </w:footnote>
  <w:footnote w:id="77">
    <w:p w14:paraId="14810033" w14:textId="77777777" w:rsidR="009F329C" w:rsidRDefault="009F329C" w:rsidP="00D77194">
      <w:pPr>
        <w:pStyle w:val="FootnoteText"/>
      </w:pPr>
      <w:r>
        <w:rPr>
          <w:rStyle w:val="FootnoteReference"/>
        </w:rPr>
        <w:footnoteRef/>
      </w:r>
      <w:r>
        <w:t xml:space="preserve"> Blazunas Testimony, p. 11.</w:t>
      </w:r>
    </w:p>
  </w:footnote>
  <w:footnote w:id="78">
    <w:p w14:paraId="01CB3436" w14:textId="77777777" w:rsidR="009F329C" w:rsidRPr="00F92A90" w:rsidRDefault="009F329C" w:rsidP="00D77194">
      <w:pPr>
        <w:pStyle w:val="FootnoteText"/>
      </w:pPr>
      <w:r>
        <w:rPr>
          <w:rStyle w:val="FootnoteReference"/>
        </w:rPr>
        <w:footnoteRef/>
      </w:r>
      <w:r>
        <w:t xml:space="preserve"> </w:t>
      </w:r>
      <w:r>
        <w:rPr>
          <w:i/>
        </w:rPr>
        <w:t xml:space="preserve">See </w:t>
      </w:r>
      <w:r>
        <w:t>Siffer Testimony, pp. 14-15.</w:t>
      </w:r>
    </w:p>
  </w:footnote>
  <w:footnote w:id="79">
    <w:p w14:paraId="0703A017" w14:textId="77777777" w:rsidR="009F329C" w:rsidRDefault="009F329C" w:rsidP="00795112">
      <w:pPr>
        <w:pStyle w:val="FootnoteText"/>
      </w:pPr>
      <w:r>
        <w:rPr>
          <w:rStyle w:val="FootnoteReference"/>
        </w:rPr>
        <w:footnoteRef/>
      </w:r>
      <w:r>
        <w:t xml:space="preserve"> Blazunas Testimony, p. 5.</w:t>
      </w:r>
    </w:p>
  </w:footnote>
  <w:footnote w:id="80">
    <w:p w14:paraId="31215950" w14:textId="77777777" w:rsidR="009F329C" w:rsidRDefault="009F329C" w:rsidP="00795112">
      <w:pPr>
        <w:pStyle w:val="FootnoteText"/>
      </w:pPr>
      <w:r>
        <w:rPr>
          <w:rStyle w:val="FootnoteReference"/>
        </w:rPr>
        <w:footnoteRef/>
      </w:r>
      <w:r>
        <w:t xml:space="preserve"> Blazunas Testimony, p. 6.</w:t>
      </w:r>
    </w:p>
  </w:footnote>
  <w:footnote w:id="81">
    <w:p w14:paraId="539CB46B" w14:textId="365928BC" w:rsidR="009F329C" w:rsidRDefault="009F329C">
      <w:pPr>
        <w:pStyle w:val="FootnoteText"/>
      </w:pPr>
      <w:r>
        <w:rPr>
          <w:rStyle w:val="FootnoteReference"/>
        </w:rPr>
        <w:footnoteRef/>
      </w:r>
      <w:r>
        <w:t xml:space="preserve"> </w:t>
      </w:r>
      <w:r w:rsidRPr="00D84A1F">
        <w:t xml:space="preserve">Blazunas Testimony, p. 6.  </w:t>
      </w:r>
    </w:p>
  </w:footnote>
  <w:footnote w:id="82">
    <w:p w14:paraId="776E7B82" w14:textId="685DCB64" w:rsidR="009F329C" w:rsidRDefault="009F329C">
      <w:pPr>
        <w:pStyle w:val="FootnoteText"/>
      </w:pPr>
      <w:r>
        <w:rPr>
          <w:rStyle w:val="FootnoteReference"/>
        </w:rPr>
        <w:footnoteRef/>
      </w:r>
      <w:r>
        <w:t xml:space="preserve"> Blazunas Testimony, </w:t>
      </w:r>
      <w:r w:rsidRPr="00D84A1F">
        <w:t>pp. 6-8, Ex. PRB-1.</w:t>
      </w:r>
    </w:p>
  </w:footnote>
  <w:footnote w:id="83">
    <w:p w14:paraId="3040F7BE" w14:textId="77777777" w:rsidR="009F329C" w:rsidRDefault="009F329C" w:rsidP="000175E7">
      <w:pPr>
        <w:pStyle w:val="FootnoteText"/>
      </w:pPr>
      <w:r>
        <w:rPr>
          <w:rStyle w:val="FootnoteReference"/>
        </w:rPr>
        <w:footnoteRef/>
      </w:r>
      <w:r>
        <w:t xml:space="preserve"> Tr., p. 19.</w:t>
      </w:r>
    </w:p>
  </w:footnote>
  <w:footnote w:id="84">
    <w:p w14:paraId="35F7D175" w14:textId="77777777" w:rsidR="009F329C" w:rsidRDefault="009F329C" w:rsidP="000175E7">
      <w:pPr>
        <w:pStyle w:val="FootnoteText"/>
      </w:pPr>
      <w:r>
        <w:rPr>
          <w:rStyle w:val="FootnoteReference"/>
        </w:rPr>
        <w:footnoteRef/>
      </w:r>
      <w:r>
        <w:t xml:space="preserve"> Blazunas Testimony, p. 3.</w:t>
      </w:r>
    </w:p>
  </w:footnote>
  <w:footnote w:id="85">
    <w:p w14:paraId="57F11A03" w14:textId="77777777" w:rsidR="009F329C" w:rsidRDefault="009F329C" w:rsidP="000175E7">
      <w:pPr>
        <w:pStyle w:val="FootnoteText"/>
      </w:pPr>
      <w:r>
        <w:rPr>
          <w:rStyle w:val="FootnoteReference"/>
        </w:rPr>
        <w:footnoteRef/>
      </w:r>
      <w:r>
        <w:t xml:space="preserve"> Tr., p. 26.</w:t>
      </w:r>
    </w:p>
  </w:footnote>
  <w:footnote w:id="86">
    <w:p w14:paraId="3CD048D4" w14:textId="77777777" w:rsidR="009F329C" w:rsidRDefault="009F329C" w:rsidP="00D77194">
      <w:pPr>
        <w:pStyle w:val="FootnoteText"/>
      </w:pPr>
      <w:r>
        <w:rPr>
          <w:rStyle w:val="FootnoteReference"/>
        </w:rPr>
        <w:footnoteRef/>
      </w:r>
      <w:r>
        <w:t xml:space="preserve"> Siffer Testimony, p. 15.</w:t>
      </w:r>
    </w:p>
  </w:footnote>
  <w:footnote w:id="87">
    <w:p w14:paraId="67E73651" w14:textId="77777777" w:rsidR="009F329C" w:rsidRDefault="009F329C" w:rsidP="000175E7">
      <w:pPr>
        <w:pStyle w:val="FootnoteText"/>
      </w:pPr>
      <w:r>
        <w:rPr>
          <w:rStyle w:val="FootnoteReference"/>
        </w:rPr>
        <w:footnoteRef/>
      </w:r>
      <w:r>
        <w:t xml:space="preserve"> Tr., p. 18.</w:t>
      </w:r>
    </w:p>
  </w:footnote>
  <w:footnote w:id="88">
    <w:p w14:paraId="2C1BBEDB" w14:textId="77777777" w:rsidR="009F329C" w:rsidRDefault="009F329C" w:rsidP="000175E7">
      <w:pPr>
        <w:pStyle w:val="FootnoteText"/>
      </w:pPr>
      <w:r>
        <w:rPr>
          <w:rStyle w:val="FootnoteReference"/>
        </w:rPr>
        <w:footnoteRef/>
      </w:r>
      <w:r>
        <w:t xml:space="preserve"> Tr., p. 18.</w:t>
      </w:r>
    </w:p>
  </w:footnote>
  <w:footnote w:id="89">
    <w:p w14:paraId="18AE3FA7" w14:textId="77777777" w:rsidR="009F329C" w:rsidRDefault="009F329C" w:rsidP="00E67016">
      <w:pPr>
        <w:pStyle w:val="FootnoteText"/>
      </w:pPr>
      <w:r>
        <w:rPr>
          <w:rStyle w:val="FootnoteReference"/>
        </w:rPr>
        <w:footnoteRef/>
      </w:r>
      <w:r>
        <w:t xml:space="preserve"> Blazunas Testimony, pp. 8, 10.</w:t>
      </w:r>
    </w:p>
  </w:footnote>
  <w:footnote w:id="90">
    <w:p w14:paraId="6FCCB3C5" w14:textId="77777777" w:rsidR="009F329C" w:rsidRDefault="009F329C" w:rsidP="00E67016">
      <w:pPr>
        <w:pStyle w:val="FootnoteText"/>
      </w:pPr>
      <w:r>
        <w:rPr>
          <w:rStyle w:val="FootnoteReference"/>
        </w:rPr>
        <w:footnoteRef/>
      </w:r>
      <w:r>
        <w:t xml:space="preserve"> Blazunas Testimony, p. 10.</w:t>
      </w:r>
    </w:p>
  </w:footnote>
  <w:footnote w:id="91">
    <w:p w14:paraId="0F67425B" w14:textId="77777777" w:rsidR="009F329C" w:rsidRDefault="009F329C" w:rsidP="008263BB">
      <w:pPr>
        <w:pStyle w:val="FootnoteText"/>
      </w:pPr>
      <w:r>
        <w:rPr>
          <w:rStyle w:val="FootnoteReference"/>
        </w:rPr>
        <w:footnoteRef/>
      </w:r>
      <w:r>
        <w:t xml:space="preserve"> Blazunas Testimony, pp. 14-15.</w:t>
      </w:r>
    </w:p>
  </w:footnote>
  <w:footnote w:id="92">
    <w:p w14:paraId="07694B11" w14:textId="77777777" w:rsidR="009F329C" w:rsidRDefault="009F329C" w:rsidP="008263BB">
      <w:pPr>
        <w:pStyle w:val="FootnoteText"/>
      </w:pPr>
      <w:r>
        <w:rPr>
          <w:rStyle w:val="FootnoteReference"/>
        </w:rPr>
        <w:footnoteRef/>
      </w:r>
      <w:r>
        <w:t xml:space="preserve"> Blazunas Testimony, pp. 14-15.</w:t>
      </w:r>
    </w:p>
  </w:footnote>
  <w:footnote w:id="93">
    <w:p w14:paraId="175D7B59" w14:textId="77777777" w:rsidR="009F329C" w:rsidRDefault="009F329C" w:rsidP="008263BB">
      <w:pPr>
        <w:pStyle w:val="FootnoteText"/>
      </w:pPr>
      <w:r>
        <w:rPr>
          <w:rStyle w:val="FootnoteReference"/>
        </w:rPr>
        <w:footnoteRef/>
      </w:r>
      <w:r>
        <w:t xml:space="preserve"> Blazunas Testimony, pp. 12-14.</w:t>
      </w:r>
    </w:p>
  </w:footnote>
  <w:footnote w:id="94">
    <w:p w14:paraId="7851B0DD" w14:textId="77777777" w:rsidR="009F329C" w:rsidRDefault="009F329C" w:rsidP="008263BB">
      <w:pPr>
        <w:pStyle w:val="FootnoteText"/>
      </w:pPr>
      <w:r>
        <w:rPr>
          <w:rStyle w:val="FootnoteReference"/>
        </w:rPr>
        <w:footnoteRef/>
      </w:r>
      <w:r>
        <w:t xml:space="preserve"> Tr., p. 60.</w:t>
      </w:r>
    </w:p>
  </w:footnote>
  <w:footnote w:id="95">
    <w:p w14:paraId="70FAFC94" w14:textId="77777777" w:rsidR="009F329C" w:rsidRDefault="009F329C" w:rsidP="008263BB">
      <w:pPr>
        <w:pStyle w:val="FootnoteText"/>
      </w:pPr>
      <w:r>
        <w:rPr>
          <w:rStyle w:val="FootnoteReference"/>
        </w:rPr>
        <w:footnoteRef/>
      </w:r>
      <w:r>
        <w:t xml:space="preserve"> Blazunas Testimony, p. 14.</w:t>
      </w:r>
    </w:p>
  </w:footnote>
  <w:footnote w:id="96">
    <w:p w14:paraId="1E11CC8C" w14:textId="528BD26A" w:rsidR="009F329C" w:rsidRDefault="009F329C">
      <w:pPr>
        <w:pStyle w:val="FootnoteText"/>
      </w:pPr>
      <w:r>
        <w:rPr>
          <w:rStyle w:val="FootnoteReference"/>
        </w:rPr>
        <w:footnoteRef/>
      </w:r>
      <w:r>
        <w:t xml:space="preserve"> R.C. § 4905.32.</w:t>
      </w:r>
    </w:p>
  </w:footnote>
  <w:footnote w:id="97">
    <w:p w14:paraId="2F6EC292" w14:textId="77777777" w:rsidR="009F329C" w:rsidRDefault="009F329C" w:rsidP="008263BB">
      <w:pPr>
        <w:pStyle w:val="FootnoteText"/>
      </w:pPr>
      <w:r>
        <w:rPr>
          <w:rStyle w:val="FootnoteReference"/>
        </w:rPr>
        <w:footnoteRef/>
      </w:r>
      <w:r>
        <w:t xml:space="preserve"> </w:t>
      </w:r>
      <w:r>
        <w:rPr>
          <w:i/>
        </w:rPr>
        <w:t xml:space="preserve">See </w:t>
      </w:r>
      <w:r>
        <w:t>ESP II Stipulation; Blazunas Testimony, p. 7.</w:t>
      </w:r>
    </w:p>
  </w:footnote>
  <w:footnote w:id="98">
    <w:p w14:paraId="472B2F55" w14:textId="77777777" w:rsidR="009F329C" w:rsidRDefault="009F329C" w:rsidP="008263BB">
      <w:pPr>
        <w:pStyle w:val="FootnoteText"/>
      </w:pPr>
      <w:r>
        <w:rPr>
          <w:rStyle w:val="FootnoteReference"/>
        </w:rPr>
        <w:footnoteRef/>
      </w:r>
      <w:r>
        <w:t xml:space="preserve"> </w:t>
      </w:r>
      <w:r w:rsidRPr="00490144">
        <w:t xml:space="preserve">ESP II Stipulation, p. 35.  </w:t>
      </w:r>
    </w:p>
  </w:footnote>
  <w:footnote w:id="99">
    <w:p w14:paraId="5EC3B6FB" w14:textId="77777777" w:rsidR="009F329C" w:rsidRDefault="009F329C" w:rsidP="008263BB">
      <w:pPr>
        <w:pStyle w:val="FootnoteText"/>
      </w:pPr>
      <w:r>
        <w:rPr>
          <w:rStyle w:val="FootnoteReference"/>
        </w:rPr>
        <w:footnoteRef/>
      </w:r>
      <w:r>
        <w:t xml:space="preserve"> </w:t>
      </w:r>
      <w:r w:rsidRPr="00490144">
        <w:t>ESP II Stipulation, p. 5.</w:t>
      </w:r>
    </w:p>
  </w:footnote>
  <w:footnote w:id="100">
    <w:p w14:paraId="154F92A1" w14:textId="77777777" w:rsidR="009F329C" w:rsidRDefault="009F329C" w:rsidP="008263BB">
      <w:pPr>
        <w:pStyle w:val="FootnoteText"/>
      </w:pPr>
      <w:r>
        <w:rPr>
          <w:rStyle w:val="FootnoteReference"/>
        </w:rPr>
        <w:footnoteRef/>
      </w:r>
      <w:r>
        <w:t xml:space="preserve"> </w:t>
      </w:r>
      <w:r w:rsidRPr="00490144">
        <w:t>ESP II Stipulation, pp. 31-32.</w:t>
      </w:r>
    </w:p>
  </w:footnote>
  <w:footnote w:id="101">
    <w:p w14:paraId="28B8DCFE" w14:textId="77777777" w:rsidR="009F329C" w:rsidRDefault="009F329C" w:rsidP="008263BB">
      <w:pPr>
        <w:pStyle w:val="FootnoteText"/>
      </w:pPr>
      <w:r>
        <w:rPr>
          <w:rStyle w:val="FootnoteReference"/>
        </w:rPr>
        <w:footnoteRef/>
      </w:r>
      <w:r>
        <w:t xml:space="preserve"> </w:t>
      </w:r>
      <w:r w:rsidRPr="00490144">
        <w:t>ESP II Stipulation, p. 35.</w:t>
      </w:r>
    </w:p>
  </w:footnote>
  <w:footnote w:id="102">
    <w:p w14:paraId="5702C015" w14:textId="77777777" w:rsidR="009F329C" w:rsidRDefault="009F329C" w:rsidP="008263BB">
      <w:pPr>
        <w:pStyle w:val="FootnoteText"/>
      </w:pPr>
      <w:r>
        <w:rPr>
          <w:rStyle w:val="FootnoteReference"/>
        </w:rPr>
        <w:footnoteRef/>
      </w:r>
      <w:r>
        <w:t xml:space="preserve"> </w:t>
      </w:r>
      <w:r w:rsidRPr="001F0D35">
        <w:rPr>
          <w:i/>
        </w:rPr>
        <w:t>In the Matter of the Application of Dayton Power and Light Company for Approval of Tariff Changes Associated With a Request to Implement a Storm Cost Recovery Rider</w:t>
      </w:r>
      <w:r>
        <w:t xml:space="preserve">, </w:t>
      </w:r>
      <w:r w:rsidRPr="00490144">
        <w:t>Case No. 05-1090-EL-ATA, Entry on Rehearing (Aug. 30, 2006), ¶ 7 (</w:t>
      </w:r>
      <w:r>
        <w:t>barring a signatory party from later challenging the recovery of expenses that was determined in a previous stipulation approved by the Commission</w:t>
      </w:r>
      <w:r w:rsidRPr="00490144">
        <w:t xml:space="preserve">).  </w:t>
      </w:r>
    </w:p>
  </w:footnote>
  <w:footnote w:id="103">
    <w:p w14:paraId="1F8FCE3B" w14:textId="77777777" w:rsidR="009F329C" w:rsidRDefault="009F329C" w:rsidP="008263BB">
      <w:pPr>
        <w:pStyle w:val="FootnoteText"/>
      </w:pPr>
      <w:r>
        <w:rPr>
          <w:rStyle w:val="FootnoteReference"/>
        </w:rPr>
        <w:footnoteRef/>
      </w:r>
      <w:r>
        <w:t xml:space="preserve"> </w:t>
      </w:r>
      <w:r w:rsidRPr="00490144">
        <w:rPr>
          <w:i/>
        </w:rPr>
        <w:t>Office of Consumers’ Counsel v. Pub. Util. Comm.</w:t>
      </w:r>
      <w:r w:rsidRPr="00490144">
        <w:t>, 16 Ohio St. 3d 9, 10, 475 N.E.2d 782, 783-84 (1985) (“OCC is barred by the doctrines of res judicata and collateral estoppel from attempting to relitigate the issue of the EFC rate which was previously determined to be proper” in a previous action between the same parties).</w:t>
      </w:r>
    </w:p>
  </w:footnote>
  <w:footnote w:id="104">
    <w:p w14:paraId="6AE776C9" w14:textId="77777777" w:rsidR="009F329C" w:rsidRDefault="009F329C" w:rsidP="001E5C73">
      <w:pPr>
        <w:pStyle w:val="FootnoteText"/>
      </w:pPr>
      <w:r>
        <w:rPr>
          <w:rStyle w:val="FootnoteReference"/>
        </w:rPr>
        <w:footnoteRef/>
      </w:r>
      <w:r>
        <w:t xml:space="preserve"> </w:t>
      </w:r>
      <w:r w:rsidRPr="00563DA7">
        <w:rPr>
          <w:rFonts w:eastAsia="SimSun"/>
          <w:i/>
          <w:lang w:eastAsia="zh-CN"/>
        </w:rPr>
        <w:t>Seketa v. The East Ohio Gas Co.</w:t>
      </w:r>
      <w:r>
        <w:rPr>
          <w:rFonts w:eastAsia="SimSun"/>
          <w:lang w:eastAsia="zh-CN"/>
        </w:rPr>
        <w:t xml:space="preserve">, Case No. 06-549-GA-CSS, Entry (Aug. 9, 2006), ¶ 4; </w:t>
      </w:r>
      <w:r w:rsidRPr="005226DA">
        <w:rPr>
          <w:rFonts w:eastAsia="SimSun"/>
          <w:i/>
          <w:lang w:eastAsia="zh-CN"/>
        </w:rPr>
        <w:t>In the Matter of the Complaints of Young, et al. v. The Ohio American Water Co.</w:t>
      </w:r>
      <w:r>
        <w:rPr>
          <w:rFonts w:eastAsia="SimSun"/>
          <w:lang w:eastAsia="zh-CN"/>
        </w:rPr>
        <w:t xml:space="preserve">, Case Nos. 05-1170-WW-CSS </w:t>
      </w:r>
      <w:r>
        <w:rPr>
          <w:rFonts w:eastAsia="SimSun"/>
          <w:i/>
          <w:lang w:eastAsia="zh-CN"/>
        </w:rPr>
        <w:t>et al.</w:t>
      </w:r>
      <w:r>
        <w:rPr>
          <w:rFonts w:eastAsia="SimSun"/>
          <w:lang w:eastAsia="zh-CN"/>
        </w:rPr>
        <w:t xml:space="preserve"> Entry (Nov. 1, 2006), ¶ 1.  </w:t>
      </w:r>
    </w:p>
  </w:footnote>
  <w:footnote w:id="105">
    <w:p w14:paraId="4CC4F68E" w14:textId="77777777" w:rsidR="009F329C" w:rsidRDefault="009F329C" w:rsidP="001E5C73">
      <w:pPr>
        <w:pStyle w:val="FootnoteText"/>
      </w:pPr>
      <w:r>
        <w:rPr>
          <w:rStyle w:val="FootnoteReference"/>
        </w:rPr>
        <w:footnoteRef/>
      </w:r>
      <w:r>
        <w:t xml:space="preserve"> Tr., pp. 22 (Siffer, plant manager), 31 (Ramsay, operations manager), 43 (Augsburger, engineering manager).  </w:t>
      </w:r>
    </w:p>
  </w:footnote>
  <w:footnote w:id="106">
    <w:p w14:paraId="3B33710A" w14:textId="77777777" w:rsidR="009F329C" w:rsidRDefault="009F329C" w:rsidP="001E5C73">
      <w:pPr>
        <w:pStyle w:val="FootnoteText"/>
      </w:pPr>
      <w:r>
        <w:rPr>
          <w:rStyle w:val="FootnoteReference"/>
        </w:rPr>
        <w:footnoteRef/>
      </w:r>
      <w:r>
        <w:t xml:space="preserve"> Tr., pp. 22-23 (Siffer), 31 (Ramsay).</w:t>
      </w:r>
    </w:p>
  </w:footnote>
  <w:footnote w:id="107">
    <w:p w14:paraId="0B73EC3D" w14:textId="3DE2FF97" w:rsidR="009F329C" w:rsidRDefault="009F329C" w:rsidP="00A86257">
      <w:pPr>
        <w:pStyle w:val="FootnoteText"/>
        <w:jc w:val="both"/>
      </w:pPr>
      <w:r>
        <w:rPr>
          <w:rStyle w:val="FootnoteReference"/>
        </w:rPr>
        <w:footnoteRef/>
      </w:r>
      <w:r>
        <w:t xml:space="preserve"> Blazunas Testimony, p. 15; Savage Testimony, p. 19; Augsburger Testimony, p. 11.  </w:t>
      </w:r>
      <w:r w:rsidRPr="009D58D7">
        <w:t>More specifically, during the half-hour ending 3:00 PM, MSC’s actual measured load exceeded 152% of its Firm Load.  During the half-hour ending 3:30 PM, MSC’s actual measured load exc</w:t>
      </w:r>
      <w:r>
        <w:t xml:space="preserve">eeded 144% of its Firm Load.  Blazunas Testimony, pp. 15-16.  </w:t>
      </w:r>
      <w:r w:rsidRPr="00A86257">
        <w:t>MSC witness Augsburger, the plant’s engineering manager and electrical expert, admitted that MSC’s highest demand during the ECE was 3,041 kVa.  Augsburger Testimony, p. 10.</w:t>
      </w:r>
    </w:p>
  </w:footnote>
  <w:footnote w:id="108">
    <w:p w14:paraId="793A932F" w14:textId="6A0DA6BA" w:rsidR="009F329C" w:rsidRDefault="009F329C" w:rsidP="00BF6FD8">
      <w:pPr>
        <w:pStyle w:val="FootnoteText"/>
      </w:pPr>
      <w:r>
        <w:rPr>
          <w:rStyle w:val="FootnoteReference"/>
        </w:rPr>
        <w:footnoteRef/>
      </w:r>
      <w:r>
        <w:t xml:space="preserve"> Blazunas Testimony, pp. 15-16; Tr., p. 24.</w:t>
      </w:r>
    </w:p>
  </w:footnote>
  <w:footnote w:id="109">
    <w:p w14:paraId="23D558A2" w14:textId="77777777" w:rsidR="009F329C" w:rsidRDefault="009F329C" w:rsidP="009D58D7">
      <w:pPr>
        <w:pStyle w:val="FootnoteText"/>
      </w:pPr>
      <w:r>
        <w:rPr>
          <w:rStyle w:val="FootnoteReference"/>
        </w:rPr>
        <w:footnoteRef/>
      </w:r>
      <w:r>
        <w:t xml:space="preserve"> Rider ELR, § D; Blazunas Testimony, pp. 15-16, Ex. PRB-4; Siffer Testimony, p. 14.</w:t>
      </w:r>
    </w:p>
  </w:footnote>
  <w:footnote w:id="110">
    <w:p w14:paraId="25B9BA3A" w14:textId="77777777" w:rsidR="009F329C" w:rsidRDefault="009F329C" w:rsidP="005C4C27">
      <w:pPr>
        <w:pStyle w:val="FootnoteText"/>
      </w:pPr>
      <w:r>
        <w:rPr>
          <w:rStyle w:val="FootnoteReference"/>
        </w:rPr>
        <w:footnoteRef/>
      </w:r>
      <w:r>
        <w:t xml:space="preserve"> Tr., p. 24; Siffer Testimony, pp. 4-5, 9.</w:t>
      </w:r>
    </w:p>
  </w:footnote>
  <w:footnote w:id="111">
    <w:p w14:paraId="6B94DC4F" w14:textId="77777777" w:rsidR="009F329C" w:rsidRDefault="009F329C" w:rsidP="00A86257">
      <w:pPr>
        <w:pStyle w:val="FootnoteText"/>
      </w:pPr>
      <w:r>
        <w:rPr>
          <w:rStyle w:val="FootnoteReference"/>
        </w:rPr>
        <w:footnoteRef/>
      </w:r>
      <w:r>
        <w:t xml:space="preserve"> Tr., p. 33.</w:t>
      </w:r>
    </w:p>
  </w:footnote>
  <w:footnote w:id="112">
    <w:p w14:paraId="042C82A7" w14:textId="77777777" w:rsidR="009F329C" w:rsidRDefault="009F329C" w:rsidP="009D58D7">
      <w:pPr>
        <w:pStyle w:val="FootnoteText"/>
      </w:pPr>
      <w:r>
        <w:rPr>
          <w:rStyle w:val="FootnoteReference"/>
        </w:rPr>
        <w:footnoteRef/>
      </w:r>
      <w:r>
        <w:t xml:space="preserve"> Tr., p. 25.</w:t>
      </w:r>
    </w:p>
  </w:footnote>
  <w:footnote w:id="113">
    <w:p w14:paraId="572D66A9" w14:textId="77777777" w:rsidR="009F329C" w:rsidRPr="00E86BAB" w:rsidRDefault="009F329C">
      <w:pPr>
        <w:pStyle w:val="FootnoteText"/>
      </w:pPr>
      <w:r>
        <w:rPr>
          <w:rStyle w:val="FootnoteReference"/>
        </w:rPr>
        <w:footnoteRef/>
      </w:r>
      <w:r>
        <w:t xml:space="preserve"> </w:t>
      </w:r>
      <w:r>
        <w:rPr>
          <w:i/>
        </w:rPr>
        <w:t xml:space="preserve">See, e.g., </w:t>
      </w:r>
      <w:r>
        <w:t>Siffer Testimony, pp. 12-13.</w:t>
      </w:r>
    </w:p>
  </w:footnote>
  <w:footnote w:id="114">
    <w:p w14:paraId="03C85384" w14:textId="77777777" w:rsidR="009F329C" w:rsidRPr="007F76F0" w:rsidRDefault="009F329C" w:rsidP="004D4804">
      <w:pPr>
        <w:pStyle w:val="FootnoteText"/>
        <w:jc w:val="both"/>
      </w:pPr>
      <w:r>
        <w:rPr>
          <w:rStyle w:val="FootnoteReference"/>
        </w:rPr>
        <w:footnoteRef/>
      </w:r>
      <w:r>
        <w:t xml:space="preserve"> Tr., pp. 24, 43.  MSC’s load is measured by an interval meter that is connected to an automated system that measures MSC’s usage and demand, and verifies the results.  Savage Testimony, p. 21.  Mr. Siffer, the plant manager, is not aware of anyone at MSC identifying any issues associated with the meters in 2013 or since 2013.  Tr., p. 43.  Further, the Company did not receive any request from MSC in 2013 to test its meter.  Savage Testimony, p. 21.</w:t>
      </w:r>
    </w:p>
  </w:footnote>
  <w:footnote w:id="115">
    <w:p w14:paraId="37389491" w14:textId="77777777" w:rsidR="009F329C" w:rsidRDefault="009F329C" w:rsidP="004E1678">
      <w:pPr>
        <w:pStyle w:val="FootnoteText"/>
      </w:pPr>
      <w:r>
        <w:rPr>
          <w:rStyle w:val="FootnoteReference"/>
        </w:rPr>
        <w:footnoteRef/>
      </w:r>
      <w:r>
        <w:t xml:space="preserve"> Tr., p. 44.</w:t>
      </w:r>
    </w:p>
  </w:footnote>
  <w:footnote w:id="116">
    <w:p w14:paraId="16F0C327" w14:textId="77777777" w:rsidR="009F329C" w:rsidRPr="00B126D1" w:rsidRDefault="009F329C">
      <w:pPr>
        <w:pStyle w:val="FootnoteText"/>
      </w:pPr>
      <w:r>
        <w:rPr>
          <w:rStyle w:val="FootnoteReference"/>
        </w:rPr>
        <w:footnoteRef/>
      </w:r>
      <w:r>
        <w:t xml:space="preserve"> </w:t>
      </w:r>
      <w:r>
        <w:rPr>
          <w:i/>
        </w:rPr>
        <w:t xml:space="preserve">See </w:t>
      </w:r>
      <w:r>
        <w:t>Augsburger Testimony, pp. 10-11.</w:t>
      </w:r>
    </w:p>
  </w:footnote>
  <w:footnote w:id="117">
    <w:p w14:paraId="49F99A1E" w14:textId="77777777" w:rsidR="009F329C" w:rsidRDefault="009F329C" w:rsidP="007562FD">
      <w:pPr>
        <w:pStyle w:val="FootnoteText"/>
      </w:pPr>
      <w:r>
        <w:rPr>
          <w:rStyle w:val="FootnoteReference"/>
        </w:rPr>
        <w:footnoteRef/>
      </w:r>
      <w:r>
        <w:t xml:space="preserve"> Rider, ELR, § D (emphasis added).</w:t>
      </w:r>
    </w:p>
  </w:footnote>
  <w:footnote w:id="118">
    <w:p w14:paraId="079A584E" w14:textId="7626D4F8" w:rsidR="009F329C" w:rsidRDefault="009F329C" w:rsidP="007562FD">
      <w:pPr>
        <w:pStyle w:val="FootnoteText"/>
      </w:pPr>
      <w:r>
        <w:rPr>
          <w:rStyle w:val="FootnoteReference"/>
        </w:rPr>
        <w:footnoteRef/>
      </w:r>
      <w:r>
        <w:t xml:space="preserve"> Blazunas Testimony, Ex. PRB-4.</w:t>
      </w:r>
    </w:p>
  </w:footnote>
  <w:footnote w:id="119">
    <w:p w14:paraId="575298F6" w14:textId="77777777" w:rsidR="009F329C" w:rsidRDefault="009F329C" w:rsidP="007D7C80">
      <w:pPr>
        <w:pStyle w:val="FootnoteText"/>
      </w:pPr>
      <w:r>
        <w:rPr>
          <w:rStyle w:val="FootnoteReference"/>
        </w:rPr>
        <w:footnoteRef/>
      </w:r>
      <w:r>
        <w:t xml:space="preserve"> Rider ELR, § D (“If at any time during the [ECE] a customer’s actual measured load exceeds 110% of its Firm Load, the customer shall be subject to . . . the Company’s right, </w:t>
      </w:r>
      <w:r w:rsidRPr="00E67A13">
        <w:rPr>
          <w:u w:val="single"/>
        </w:rPr>
        <w:t>at its sole discretion</w:t>
      </w:r>
      <w:r>
        <w:t>, to remove the customer from the Program for a minimum of 12 months.”) (emphasis added); Savage Testimony, p. 22.</w:t>
      </w:r>
    </w:p>
  </w:footnote>
  <w:footnote w:id="120">
    <w:p w14:paraId="3747CED6" w14:textId="64285024" w:rsidR="009F329C" w:rsidRDefault="009F329C" w:rsidP="00E347ED">
      <w:pPr>
        <w:pStyle w:val="FootnoteText"/>
      </w:pPr>
      <w:r>
        <w:rPr>
          <w:rStyle w:val="FootnoteReference"/>
        </w:rPr>
        <w:footnoteRef/>
      </w:r>
      <w:r>
        <w:t xml:space="preserve"> Augsburger Testimony, p. 11;</w:t>
      </w:r>
      <w:r>
        <w:rPr>
          <w:i/>
        </w:rPr>
        <w:t xml:space="preserve"> </w:t>
      </w:r>
      <w:r>
        <w:t>Tr., p. 44.</w:t>
      </w:r>
    </w:p>
  </w:footnote>
  <w:footnote w:id="121">
    <w:p w14:paraId="20D1AB02" w14:textId="77777777" w:rsidR="009F329C" w:rsidRDefault="009F329C" w:rsidP="00E347ED">
      <w:pPr>
        <w:pStyle w:val="FootnoteText"/>
      </w:pPr>
      <w:r>
        <w:rPr>
          <w:rStyle w:val="FootnoteReference"/>
        </w:rPr>
        <w:footnoteRef/>
      </w:r>
      <w:r>
        <w:t xml:space="preserve"> </w:t>
      </w:r>
      <w:r>
        <w:rPr>
          <w:i/>
        </w:rPr>
        <w:t xml:space="preserve">See </w:t>
      </w:r>
      <w:r>
        <w:t>ESP II Stipulation.</w:t>
      </w:r>
    </w:p>
  </w:footnote>
  <w:footnote w:id="122">
    <w:p w14:paraId="269A3096" w14:textId="41E0979C" w:rsidR="009F329C" w:rsidRDefault="009F329C" w:rsidP="00E347ED">
      <w:pPr>
        <w:pStyle w:val="FootnoteText"/>
        <w:jc w:val="both"/>
      </w:pPr>
      <w:r>
        <w:rPr>
          <w:rStyle w:val="FootnoteReference"/>
        </w:rPr>
        <w:footnoteRef/>
      </w:r>
      <w:r>
        <w:t xml:space="preserve"> </w:t>
      </w:r>
      <w:r w:rsidRPr="001F0D35">
        <w:rPr>
          <w:i/>
        </w:rPr>
        <w:t>In the Matter of the Application of Dayton Power and Light Company for Approval of Tariff Changes Associated With a Request to Implement a Storm Cost Recovery Rider</w:t>
      </w:r>
      <w:r>
        <w:t xml:space="preserve">, </w:t>
      </w:r>
      <w:r w:rsidRPr="00490144">
        <w:t xml:space="preserve">Case No. 05-1090-EL-ATA, Entry on Rehearing (Aug. </w:t>
      </w:r>
      <w:r>
        <w:t xml:space="preserve">30, 2006), ¶ 7; </w:t>
      </w:r>
      <w:r w:rsidRPr="00490144">
        <w:rPr>
          <w:i/>
        </w:rPr>
        <w:t>Office of Consumers’ Counsel v. Pub. Util. Comm.</w:t>
      </w:r>
      <w:r w:rsidRPr="00490144">
        <w:t>, 16 Ohio St. 3d 9, 10, 475 N.E.2d 782, 783-84 (1985) (“OCC is barred by the doctrines of res judicata and collateral estoppel from attempting to relitigate the issue of the EFC rate which was previously determined to be proper” in a previous action between the same parties)</w:t>
      </w:r>
      <w:r>
        <w:t xml:space="preserve">; </w:t>
      </w:r>
      <w:r>
        <w:rPr>
          <w:i/>
        </w:rPr>
        <w:t xml:space="preserve">see </w:t>
      </w:r>
      <w:r w:rsidRPr="00490144">
        <w:t>ESP II Stipulation, p. 35</w:t>
      </w:r>
      <w:r>
        <w:t>.</w:t>
      </w:r>
    </w:p>
  </w:footnote>
  <w:footnote w:id="123">
    <w:p w14:paraId="43A305AE" w14:textId="022401C9" w:rsidR="009F329C" w:rsidRPr="00002352" w:rsidRDefault="009F329C" w:rsidP="00E347ED">
      <w:pPr>
        <w:pStyle w:val="FootnoteText"/>
      </w:pPr>
      <w:r>
        <w:rPr>
          <w:rStyle w:val="FootnoteReference"/>
        </w:rPr>
        <w:footnoteRef/>
      </w:r>
      <w:r>
        <w:t xml:space="preserve"> </w:t>
      </w:r>
      <w:r>
        <w:rPr>
          <w:i/>
        </w:rPr>
        <w:t xml:space="preserve">See </w:t>
      </w:r>
      <w:r>
        <w:t>Siffer Testimony, pp. 11-12.</w:t>
      </w:r>
    </w:p>
  </w:footnote>
  <w:footnote w:id="124">
    <w:p w14:paraId="601DAFD0" w14:textId="77777777" w:rsidR="009F329C" w:rsidRDefault="009F329C">
      <w:pPr>
        <w:pStyle w:val="FootnoteText"/>
      </w:pPr>
      <w:r>
        <w:rPr>
          <w:rStyle w:val="FootnoteReference"/>
        </w:rPr>
        <w:footnoteRef/>
      </w:r>
      <w:r>
        <w:t xml:space="preserve"> Tr., p. 20.</w:t>
      </w:r>
    </w:p>
  </w:footnote>
  <w:footnote w:id="125">
    <w:p w14:paraId="6DEEA2F7" w14:textId="77777777" w:rsidR="009F329C" w:rsidRDefault="009F329C">
      <w:pPr>
        <w:pStyle w:val="FootnoteText"/>
      </w:pPr>
      <w:r>
        <w:rPr>
          <w:rStyle w:val="FootnoteReference"/>
        </w:rPr>
        <w:footnoteRef/>
      </w:r>
      <w:r>
        <w:t xml:space="preserve"> Tr., p. 22 (Mr. Siffer received the notice at 12:05pm, the time-stamp on the email); </w:t>
      </w:r>
      <w:r>
        <w:rPr>
          <w:i/>
        </w:rPr>
        <w:t xml:space="preserve">see </w:t>
      </w:r>
      <w:r>
        <w:t>Savage Testimony, Ex. JMS-6 (notice sent at 12:04pm).</w:t>
      </w:r>
    </w:p>
  </w:footnote>
  <w:footnote w:id="126">
    <w:p w14:paraId="76EEC6DA" w14:textId="77777777" w:rsidR="009F329C" w:rsidRDefault="009F329C">
      <w:pPr>
        <w:pStyle w:val="FootnoteText"/>
      </w:pPr>
      <w:r>
        <w:rPr>
          <w:rStyle w:val="FootnoteReference"/>
        </w:rPr>
        <w:footnoteRef/>
      </w:r>
      <w:r>
        <w:t xml:space="preserve"> Tr., p. 22.</w:t>
      </w:r>
    </w:p>
  </w:footnote>
  <w:footnote w:id="127">
    <w:p w14:paraId="414F9367" w14:textId="77777777" w:rsidR="009F329C" w:rsidRDefault="009F329C">
      <w:pPr>
        <w:pStyle w:val="FootnoteText"/>
      </w:pPr>
      <w:r>
        <w:rPr>
          <w:rStyle w:val="FootnoteReference"/>
        </w:rPr>
        <w:footnoteRef/>
      </w:r>
      <w:r>
        <w:t xml:space="preserve"> Tr., pp. 22, 32.</w:t>
      </w:r>
    </w:p>
  </w:footnote>
  <w:footnote w:id="128">
    <w:p w14:paraId="24D6BA26" w14:textId="77777777" w:rsidR="009F329C" w:rsidRDefault="009F329C">
      <w:pPr>
        <w:pStyle w:val="FootnoteText"/>
      </w:pPr>
      <w:r>
        <w:rPr>
          <w:rStyle w:val="FootnoteReference"/>
        </w:rPr>
        <w:footnoteRef/>
      </w:r>
      <w:r>
        <w:t xml:space="preserve"> Tr., p. 23.</w:t>
      </w:r>
    </w:p>
  </w:footnote>
  <w:footnote w:id="129">
    <w:p w14:paraId="6A124442" w14:textId="77777777" w:rsidR="009F329C" w:rsidRDefault="009F329C">
      <w:pPr>
        <w:pStyle w:val="FootnoteText"/>
      </w:pPr>
      <w:r>
        <w:rPr>
          <w:rStyle w:val="FootnoteReference"/>
        </w:rPr>
        <w:footnoteRef/>
      </w:r>
      <w:r>
        <w:t xml:space="preserve"> Tr., pp. 22-23.</w:t>
      </w:r>
    </w:p>
  </w:footnote>
  <w:footnote w:id="130">
    <w:p w14:paraId="59D197A7" w14:textId="77777777" w:rsidR="009F329C" w:rsidRDefault="009F329C">
      <w:pPr>
        <w:pStyle w:val="FootnoteText"/>
      </w:pPr>
      <w:r>
        <w:rPr>
          <w:rStyle w:val="FootnoteReference"/>
        </w:rPr>
        <w:footnoteRef/>
      </w:r>
      <w:r>
        <w:t xml:space="preserve"> Tr., pp. 23 (Siffer’s admission), 31 (Ramsay’s acknowledgment that Mr. Siffer did not tell him the ECE was voluntary), 45 (Augsburger’s same acknowledgement).</w:t>
      </w:r>
    </w:p>
  </w:footnote>
  <w:footnote w:id="131">
    <w:p w14:paraId="58B3CF49" w14:textId="77777777" w:rsidR="009F329C" w:rsidRDefault="009F329C">
      <w:pPr>
        <w:pStyle w:val="FootnoteText"/>
      </w:pPr>
      <w:r>
        <w:rPr>
          <w:rStyle w:val="FootnoteReference"/>
        </w:rPr>
        <w:footnoteRef/>
      </w:r>
      <w:r>
        <w:t xml:space="preserve"> Tr., p. 23.</w:t>
      </w:r>
    </w:p>
  </w:footnote>
  <w:footnote w:id="132">
    <w:p w14:paraId="052419C3" w14:textId="77777777" w:rsidR="009F329C" w:rsidRDefault="009F329C" w:rsidP="00CE728B">
      <w:pPr>
        <w:pStyle w:val="FootnoteText"/>
      </w:pPr>
      <w:r>
        <w:rPr>
          <w:rStyle w:val="FootnoteReference"/>
        </w:rPr>
        <w:footnoteRef/>
      </w:r>
      <w:r>
        <w:t xml:space="preserve"> Tr., p. 45.</w:t>
      </w:r>
    </w:p>
  </w:footnote>
  <w:footnote w:id="133">
    <w:p w14:paraId="7E4B1F2D" w14:textId="77777777" w:rsidR="009F329C" w:rsidRDefault="009F329C" w:rsidP="00CE728B">
      <w:pPr>
        <w:pStyle w:val="FootnoteText"/>
      </w:pPr>
      <w:r>
        <w:rPr>
          <w:rStyle w:val="FootnoteReference"/>
        </w:rPr>
        <w:footnoteRef/>
      </w:r>
      <w:r>
        <w:t xml:space="preserve"> Augsburger Testimony, p. 4; Tr., p. 45.</w:t>
      </w:r>
    </w:p>
  </w:footnote>
  <w:footnote w:id="134">
    <w:p w14:paraId="129FCB40" w14:textId="77777777" w:rsidR="009F329C" w:rsidRDefault="009F329C" w:rsidP="00CE728B">
      <w:pPr>
        <w:pStyle w:val="FootnoteText"/>
      </w:pPr>
      <w:r>
        <w:rPr>
          <w:rStyle w:val="FootnoteReference"/>
        </w:rPr>
        <w:footnoteRef/>
      </w:r>
      <w:r>
        <w:t xml:space="preserve"> Tr., pp. 30, 44.</w:t>
      </w:r>
    </w:p>
  </w:footnote>
  <w:footnote w:id="135">
    <w:p w14:paraId="3871A87B" w14:textId="77777777" w:rsidR="009F329C" w:rsidRDefault="009F329C" w:rsidP="00CE728B">
      <w:pPr>
        <w:pStyle w:val="FootnoteText"/>
      </w:pPr>
      <w:r>
        <w:rPr>
          <w:rStyle w:val="FootnoteReference"/>
        </w:rPr>
        <w:footnoteRef/>
      </w:r>
      <w:r>
        <w:t xml:space="preserve"> Savage Testimony, p. 20.</w:t>
      </w:r>
    </w:p>
  </w:footnote>
  <w:footnote w:id="136">
    <w:p w14:paraId="7B595BAF" w14:textId="77777777" w:rsidR="009F329C" w:rsidRDefault="009F329C" w:rsidP="00CE728B">
      <w:pPr>
        <w:pStyle w:val="FootnoteText"/>
      </w:pPr>
      <w:r>
        <w:rPr>
          <w:rStyle w:val="FootnoteReference"/>
        </w:rPr>
        <w:footnoteRef/>
      </w:r>
      <w:r>
        <w:t xml:space="preserve"> Savage Testimony, p. 20.</w:t>
      </w:r>
    </w:p>
  </w:footnote>
  <w:footnote w:id="137">
    <w:p w14:paraId="219683B5" w14:textId="77777777" w:rsidR="009F329C" w:rsidRDefault="009F329C" w:rsidP="00CE728B">
      <w:pPr>
        <w:pStyle w:val="FootnoteText"/>
      </w:pPr>
      <w:r>
        <w:rPr>
          <w:rStyle w:val="FootnoteReference"/>
        </w:rPr>
        <w:footnoteRef/>
      </w:r>
      <w:r>
        <w:t xml:space="preserve"> </w:t>
      </w:r>
      <w:r>
        <w:rPr>
          <w:rFonts w:eastAsia="SimSun"/>
        </w:rPr>
        <w:t xml:space="preserve">Rider ELR (emphasis added).  </w:t>
      </w:r>
    </w:p>
  </w:footnote>
  <w:footnote w:id="138">
    <w:p w14:paraId="26476A02" w14:textId="77777777" w:rsidR="009F329C" w:rsidRDefault="009F329C" w:rsidP="00CE728B">
      <w:pPr>
        <w:pStyle w:val="FootnoteText"/>
      </w:pPr>
      <w:r>
        <w:rPr>
          <w:rStyle w:val="FootnoteReference"/>
        </w:rPr>
        <w:footnoteRef/>
      </w:r>
      <w:r>
        <w:t xml:space="preserve"> Tr., p. 22 (Mr. Siffer received the notice at 12:05pm, the time-stamp on the email).</w:t>
      </w:r>
    </w:p>
  </w:footnote>
  <w:footnote w:id="139">
    <w:p w14:paraId="3700559D" w14:textId="77777777" w:rsidR="009F329C" w:rsidRPr="00820256" w:rsidRDefault="009F329C" w:rsidP="006D01C8">
      <w:pPr>
        <w:pStyle w:val="FootnoteText"/>
      </w:pPr>
      <w:r>
        <w:rPr>
          <w:rStyle w:val="FootnoteReference"/>
        </w:rPr>
        <w:footnoteRef/>
      </w:r>
      <w:r>
        <w:t xml:space="preserve"> Savage Testimony, p. 13.</w:t>
      </w:r>
    </w:p>
  </w:footnote>
  <w:footnote w:id="140">
    <w:p w14:paraId="22E14B9E" w14:textId="77777777" w:rsidR="009F329C" w:rsidRDefault="009F329C" w:rsidP="006D01C8">
      <w:pPr>
        <w:pStyle w:val="FootnoteText"/>
      </w:pPr>
      <w:r>
        <w:rPr>
          <w:rStyle w:val="FootnoteReference"/>
        </w:rPr>
        <w:footnoteRef/>
      </w:r>
      <w:r>
        <w:t xml:space="preserve"> Savage Testimony, pp. 10-12.</w:t>
      </w:r>
    </w:p>
  </w:footnote>
  <w:footnote w:id="141">
    <w:p w14:paraId="381EAF3C" w14:textId="77777777" w:rsidR="009F329C" w:rsidRDefault="009F329C" w:rsidP="006D01C8">
      <w:pPr>
        <w:pStyle w:val="FootnoteText"/>
      </w:pPr>
      <w:r>
        <w:rPr>
          <w:rStyle w:val="FootnoteReference"/>
        </w:rPr>
        <w:footnoteRef/>
      </w:r>
      <w:r>
        <w:t xml:space="preserve"> Savage Testimony, p. 13.</w:t>
      </w:r>
    </w:p>
  </w:footnote>
  <w:footnote w:id="142">
    <w:p w14:paraId="0C356B8A" w14:textId="77777777" w:rsidR="009F329C" w:rsidRDefault="009F329C" w:rsidP="006D01C8">
      <w:pPr>
        <w:pStyle w:val="FootnoteText"/>
      </w:pPr>
      <w:r>
        <w:rPr>
          <w:rStyle w:val="FootnoteReference"/>
        </w:rPr>
        <w:footnoteRef/>
      </w:r>
      <w:r>
        <w:t xml:space="preserve"> Savage Testimony, p. 18.</w:t>
      </w:r>
    </w:p>
  </w:footnote>
  <w:footnote w:id="143">
    <w:p w14:paraId="16FB61E1" w14:textId="77777777" w:rsidR="009F329C" w:rsidRDefault="009F329C" w:rsidP="00CE728B">
      <w:pPr>
        <w:pStyle w:val="FootnoteText"/>
      </w:pPr>
      <w:r>
        <w:rPr>
          <w:rStyle w:val="FootnoteReference"/>
        </w:rPr>
        <w:footnoteRef/>
      </w:r>
      <w:r>
        <w:t xml:space="preserve"> </w:t>
      </w:r>
      <w:r w:rsidRPr="00E05440">
        <w:rPr>
          <w:rFonts w:eastAsia="SimSun"/>
          <w:i/>
          <w:lang w:eastAsia="zh-CN"/>
        </w:rPr>
        <w:t>See</w:t>
      </w:r>
      <w:r>
        <w:rPr>
          <w:rFonts w:eastAsia="SimSun"/>
          <w:lang w:eastAsia="zh-CN"/>
        </w:rPr>
        <w:t xml:space="preserve"> Rider ELR.  </w:t>
      </w:r>
    </w:p>
  </w:footnote>
  <w:footnote w:id="144">
    <w:p w14:paraId="44E6C5BC" w14:textId="40962144" w:rsidR="009F329C" w:rsidRDefault="009F329C" w:rsidP="00CE728B">
      <w:pPr>
        <w:pStyle w:val="FootnoteText"/>
      </w:pPr>
      <w:r>
        <w:rPr>
          <w:rStyle w:val="FootnoteReference"/>
        </w:rPr>
        <w:footnoteRef/>
      </w:r>
      <w:r>
        <w:t xml:space="preserve"> Savage Testimony, p. 14.</w:t>
      </w:r>
    </w:p>
  </w:footnote>
  <w:footnote w:id="145">
    <w:p w14:paraId="643CA4B2" w14:textId="77777777" w:rsidR="009F329C" w:rsidRPr="00C27F9A" w:rsidRDefault="009F329C" w:rsidP="00CE728B">
      <w:pPr>
        <w:pStyle w:val="FootnoteText"/>
      </w:pPr>
      <w:r>
        <w:rPr>
          <w:rStyle w:val="FootnoteReference"/>
        </w:rPr>
        <w:footnoteRef/>
      </w:r>
      <w:r>
        <w:t xml:space="preserve"> </w:t>
      </w:r>
      <w:r>
        <w:rPr>
          <w:i/>
        </w:rPr>
        <w:t xml:space="preserve">See </w:t>
      </w:r>
      <w:r>
        <w:t>Rider ELR, § D.</w:t>
      </w:r>
    </w:p>
  </w:footnote>
  <w:footnote w:id="146">
    <w:p w14:paraId="041C90F2" w14:textId="77777777" w:rsidR="009F329C" w:rsidRPr="00E15EE6" w:rsidRDefault="009F329C" w:rsidP="006D01C8">
      <w:pPr>
        <w:pStyle w:val="FootnoteText"/>
      </w:pPr>
      <w:r>
        <w:rPr>
          <w:rStyle w:val="FootnoteReference"/>
        </w:rPr>
        <w:footnoteRef/>
      </w:r>
      <w:r>
        <w:t xml:space="preserve"> </w:t>
      </w:r>
      <w:r>
        <w:rPr>
          <w:i/>
        </w:rPr>
        <w:t xml:space="preserve">See </w:t>
      </w:r>
      <w:r>
        <w:t>Ausburger Testimony, pp. 5-9; Tr., p. 44.</w:t>
      </w:r>
    </w:p>
  </w:footnote>
  <w:footnote w:id="147">
    <w:p w14:paraId="56F144C4" w14:textId="77777777" w:rsidR="009F329C" w:rsidRPr="004E1678" w:rsidRDefault="009F329C" w:rsidP="006D01C8">
      <w:pPr>
        <w:pStyle w:val="FootnoteText"/>
      </w:pPr>
      <w:r>
        <w:rPr>
          <w:rStyle w:val="FootnoteReference"/>
        </w:rPr>
        <w:footnoteRef/>
      </w:r>
      <w:r>
        <w:t xml:space="preserve"> </w:t>
      </w:r>
      <w:r>
        <w:rPr>
          <w:i/>
        </w:rPr>
        <w:t xml:space="preserve">See, e.g., </w:t>
      </w:r>
      <w:r>
        <w:t>Savage Testimony, Ex. JMS-6</w:t>
      </w:r>
    </w:p>
  </w:footnote>
  <w:footnote w:id="148">
    <w:p w14:paraId="00E7FD88" w14:textId="77777777" w:rsidR="009F329C" w:rsidRDefault="009F329C" w:rsidP="006D01C8">
      <w:pPr>
        <w:pStyle w:val="FootnoteText"/>
      </w:pPr>
      <w:r>
        <w:rPr>
          <w:rStyle w:val="FootnoteReference"/>
        </w:rPr>
        <w:footnoteRef/>
      </w:r>
      <w:r>
        <w:t xml:space="preserve"> Tr., p. 23; Siffer Testimony, pp. 11-12.</w:t>
      </w:r>
    </w:p>
  </w:footnote>
  <w:footnote w:id="149">
    <w:p w14:paraId="5EF5F437" w14:textId="77777777" w:rsidR="009F329C" w:rsidRPr="005C05EE" w:rsidRDefault="009F329C" w:rsidP="006D01C8">
      <w:pPr>
        <w:pStyle w:val="FootnoteText"/>
      </w:pPr>
      <w:r>
        <w:rPr>
          <w:rStyle w:val="FootnoteReference"/>
        </w:rPr>
        <w:footnoteRef/>
      </w:r>
      <w:r>
        <w:t xml:space="preserve"> </w:t>
      </w:r>
      <w:r>
        <w:rPr>
          <w:i/>
        </w:rPr>
        <w:t xml:space="preserve">See </w:t>
      </w:r>
      <w:r>
        <w:t>Savage Testimony, p. 20 (</w:t>
      </w:r>
      <w:r>
        <w:rPr>
          <w:rFonts w:eastAsia="SimSun"/>
        </w:rPr>
        <w:t>“Mr. Siffer’s testimony is the first time the Company has heard MSC describe the ECEs as ‘voluntary.’”).</w:t>
      </w:r>
    </w:p>
  </w:footnote>
  <w:footnote w:id="150">
    <w:p w14:paraId="2193B80F" w14:textId="5FAAACB7" w:rsidR="009F329C" w:rsidRPr="00EB14DA" w:rsidRDefault="009F329C" w:rsidP="0095123A">
      <w:pPr>
        <w:pStyle w:val="FootnoteText"/>
      </w:pPr>
      <w:r>
        <w:rPr>
          <w:rStyle w:val="FootnoteReference"/>
        </w:rPr>
        <w:footnoteRef/>
      </w:r>
      <w:r>
        <w:t xml:space="preserve"> </w:t>
      </w:r>
      <w:r>
        <w:rPr>
          <w:i/>
        </w:rPr>
        <w:t xml:space="preserve">See </w:t>
      </w:r>
      <w:r>
        <w:t>Augsburger Testimony, pp. 7:17-9:16 and Ex. JA-1 at pp. 11-19.</w:t>
      </w:r>
    </w:p>
  </w:footnote>
  <w:footnote w:id="151">
    <w:p w14:paraId="3B08DDA8" w14:textId="77777777" w:rsidR="009F329C" w:rsidRPr="00184E03" w:rsidRDefault="009F329C" w:rsidP="006D01C8">
      <w:pPr>
        <w:pStyle w:val="FootnoteText"/>
      </w:pPr>
      <w:r>
        <w:rPr>
          <w:rStyle w:val="FootnoteReference"/>
        </w:rPr>
        <w:footnoteRef/>
      </w:r>
      <w:r>
        <w:t xml:space="preserve"> </w:t>
      </w:r>
      <w:r>
        <w:rPr>
          <w:i/>
        </w:rPr>
        <w:t xml:space="preserve">See </w:t>
      </w:r>
      <w:r>
        <w:t>Tr., p. 101 (“[B]ased on [MSC’s] complaint and their alleged confusion, we attempted to make the message clearer [in the 2014 notices].”); Ohio Rule of Evidence 407 (“When, after an injury or harm allegedly caused by an event, measures are taken which, if taken previously, would have made the injury or harm less likely to occur, evidence of the subsequent measures is not admissible to provide negligence or culpable conduct in connection with the event.”).</w:t>
      </w:r>
    </w:p>
  </w:footnote>
  <w:footnote w:id="152">
    <w:p w14:paraId="212E580B" w14:textId="2BD53B2F" w:rsidR="009F329C" w:rsidRPr="009F069F" w:rsidRDefault="009F329C" w:rsidP="006D01C8">
      <w:pPr>
        <w:pStyle w:val="FootnoteText"/>
      </w:pPr>
      <w:r>
        <w:rPr>
          <w:rStyle w:val="FootnoteReference"/>
        </w:rPr>
        <w:footnoteRef/>
      </w:r>
      <w:r>
        <w:t xml:space="preserve"> </w:t>
      </w:r>
      <w:r>
        <w:rPr>
          <w:i/>
        </w:rPr>
        <w:t xml:space="preserve">See </w:t>
      </w:r>
      <w:r>
        <w:rPr>
          <w:rFonts w:eastAsia="SimSun"/>
        </w:rPr>
        <w:t xml:space="preserve">Complaint, ¶¶ 25-34 (Count One), 34-39 (Count Two); </w:t>
      </w:r>
      <w:r>
        <w:rPr>
          <w:rFonts w:eastAsia="SimSun"/>
          <w:i/>
        </w:rPr>
        <w:t xml:space="preserve">see, generally, </w:t>
      </w:r>
      <w:r>
        <w:rPr>
          <w:rFonts w:eastAsia="SimSun"/>
        </w:rPr>
        <w:t>Material Sciences Corporation’s Direct Testimony of Jeff Ramsay (“Ramsay Testimony”).</w:t>
      </w:r>
    </w:p>
  </w:footnote>
  <w:footnote w:id="153">
    <w:p w14:paraId="50BB0277" w14:textId="77777777" w:rsidR="009F329C" w:rsidRDefault="009F329C" w:rsidP="006D01C8">
      <w:pPr>
        <w:pStyle w:val="FootnoteText"/>
      </w:pPr>
      <w:r>
        <w:rPr>
          <w:rStyle w:val="FootnoteReference"/>
        </w:rPr>
        <w:footnoteRef/>
      </w:r>
      <w:r>
        <w:t xml:space="preserve"> Rider ELR establishes a two-tier penalty structure.  If a customer’s actual measured load is greater than 100% of its Firm Load, but less than or equal to 110% of its Firm Load, at any point during the ECE, then the penalties are more limited: (1) forfeiture of Program Credits for the current month; and (2) payment of the ECE Charge.  Rider ELR, p. 4.  If, however, a customer’s actual measured load is greater than 110% of its Firm Load – as MSC’s actual measured load was during the September 11, 2013 ECE – then additional penalties are imposed:  (1) forfeiture of Program Credits for the current month; (2) payment of the ECE Charge; plus (3) a penalty in the amount of the sum of all Program Credits received by the customer during the immediately preceding twelve billing months; and (4) the Company’s right, at its sole discretion, to remove the customer from the Program for a minimum of 12 months.  </w:t>
      </w:r>
      <w:r>
        <w:rPr>
          <w:i/>
        </w:rPr>
        <w:t>Id.</w:t>
      </w:r>
    </w:p>
  </w:footnote>
  <w:footnote w:id="154">
    <w:p w14:paraId="737DD4B8" w14:textId="77777777" w:rsidR="009F329C" w:rsidRDefault="009F329C" w:rsidP="006D01C8">
      <w:pPr>
        <w:pStyle w:val="FootnoteText"/>
      </w:pPr>
      <w:r>
        <w:rPr>
          <w:rStyle w:val="FootnoteReference"/>
        </w:rPr>
        <w:footnoteRef/>
      </w:r>
      <w:r>
        <w:t xml:space="preserve"> </w:t>
      </w:r>
      <w:r w:rsidRPr="006F297B">
        <w:rPr>
          <w:rFonts w:eastAsia="SimSun"/>
          <w:i/>
          <w:lang w:eastAsia="zh-CN"/>
        </w:rPr>
        <w:t>See</w:t>
      </w:r>
      <w:r>
        <w:rPr>
          <w:rFonts w:eastAsia="SimSun"/>
          <w:lang w:eastAsia="zh-CN"/>
        </w:rPr>
        <w:t xml:space="preserve"> Rider ELR.  </w:t>
      </w:r>
    </w:p>
  </w:footnote>
  <w:footnote w:id="155">
    <w:p w14:paraId="5F282717" w14:textId="77777777" w:rsidR="009F329C" w:rsidRDefault="009F329C" w:rsidP="006D01C8">
      <w:pPr>
        <w:pStyle w:val="FootnoteText"/>
      </w:pPr>
      <w:r>
        <w:rPr>
          <w:rStyle w:val="FootnoteReference"/>
        </w:rPr>
        <w:footnoteRef/>
      </w:r>
      <w:r>
        <w:t xml:space="preserve"> Blazunas Testimony, p. 16.</w:t>
      </w:r>
    </w:p>
  </w:footnote>
  <w:footnote w:id="156">
    <w:p w14:paraId="1D6C8D21" w14:textId="77777777" w:rsidR="009F329C" w:rsidRDefault="009F329C" w:rsidP="00FB651D">
      <w:pPr>
        <w:pStyle w:val="FootnoteText"/>
      </w:pPr>
      <w:r>
        <w:rPr>
          <w:rStyle w:val="FootnoteReference"/>
        </w:rPr>
        <w:footnoteRef/>
      </w:r>
      <w:r>
        <w:t xml:space="preserve"> Tr., p. 10.</w:t>
      </w:r>
    </w:p>
  </w:footnote>
  <w:footnote w:id="157">
    <w:p w14:paraId="47CFBADC" w14:textId="77777777" w:rsidR="009F329C" w:rsidRDefault="009F329C" w:rsidP="003B190C">
      <w:pPr>
        <w:pStyle w:val="FootnoteText"/>
      </w:pPr>
      <w:r>
        <w:rPr>
          <w:rStyle w:val="FootnoteReference"/>
        </w:rPr>
        <w:footnoteRef/>
      </w:r>
      <w:r>
        <w:t xml:space="preserve"> Tr., pp. 34-35.</w:t>
      </w:r>
    </w:p>
  </w:footnote>
  <w:footnote w:id="158">
    <w:p w14:paraId="07406856" w14:textId="77777777" w:rsidR="009F329C" w:rsidRDefault="009F329C" w:rsidP="003B190C">
      <w:pPr>
        <w:pStyle w:val="FootnoteText"/>
      </w:pPr>
      <w:r>
        <w:rPr>
          <w:rStyle w:val="FootnoteReference"/>
        </w:rPr>
        <w:footnoteRef/>
      </w:r>
      <w:r>
        <w:t xml:space="preserve"> Tr., p. 41.</w:t>
      </w:r>
    </w:p>
  </w:footnote>
  <w:footnote w:id="159">
    <w:p w14:paraId="4CEF599F" w14:textId="77777777" w:rsidR="009F329C" w:rsidRDefault="009F329C" w:rsidP="003B190C">
      <w:pPr>
        <w:pStyle w:val="FootnoteText"/>
      </w:pPr>
      <w:r>
        <w:rPr>
          <w:rStyle w:val="FootnoteReference"/>
        </w:rPr>
        <w:footnoteRef/>
      </w:r>
      <w:r>
        <w:t xml:space="preserve"> Tr., pp. 9-10.</w:t>
      </w:r>
    </w:p>
  </w:footnote>
  <w:footnote w:id="160">
    <w:p w14:paraId="154E1350" w14:textId="77777777" w:rsidR="009F329C" w:rsidRDefault="009F329C" w:rsidP="003B190C">
      <w:pPr>
        <w:pStyle w:val="FootnoteText"/>
      </w:pPr>
      <w:r>
        <w:rPr>
          <w:rStyle w:val="FootnoteReference"/>
        </w:rPr>
        <w:footnoteRef/>
      </w:r>
      <w:r>
        <w:t xml:space="preserve"> Blazunas Direct, p. 4.</w:t>
      </w:r>
    </w:p>
  </w:footnote>
  <w:footnote w:id="161">
    <w:p w14:paraId="174BB5F6" w14:textId="51A666A5" w:rsidR="009F329C" w:rsidRDefault="009F329C">
      <w:pPr>
        <w:pStyle w:val="FootnoteText"/>
      </w:pPr>
      <w:r>
        <w:rPr>
          <w:rStyle w:val="FootnoteReference"/>
        </w:rPr>
        <w:footnoteRef/>
      </w:r>
      <w:r>
        <w:t xml:space="preserve"> Rider ELR, p. 1.</w:t>
      </w:r>
    </w:p>
  </w:footnote>
  <w:footnote w:id="162">
    <w:p w14:paraId="78611122" w14:textId="77777777" w:rsidR="009F329C" w:rsidRDefault="009F329C" w:rsidP="006B5E62">
      <w:pPr>
        <w:pStyle w:val="FootnoteText"/>
      </w:pPr>
      <w:r>
        <w:rPr>
          <w:rStyle w:val="FootnoteReference"/>
        </w:rPr>
        <w:footnoteRef/>
      </w:r>
      <w:r>
        <w:t xml:space="preserve"> Tr., p. 11.</w:t>
      </w:r>
    </w:p>
  </w:footnote>
  <w:footnote w:id="163">
    <w:p w14:paraId="4C56841C" w14:textId="77777777" w:rsidR="009F329C" w:rsidRDefault="009F329C" w:rsidP="00AC574B">
      <w:pPr>
        <w:pStyle w:val="FootnoteText"/>
      </w:pPr>
      <w:r>
        <w:rPr>
          <w:rStyle w:val="FootnoteReference"/>
        </w:rPr>
        <w:footnoteRef/>
      </w:r>
      <w:r>
        <w:t xml:space="preserve"> Tr., p. 99.</w:t>
      </w:r>
    </w:p>
  </w:footnote>
  <w:footnote w:id="164">
    <w:p w14:paraId="52C5D831" w14:textId="77777777" w:rsidR="009F329C" w:rsidRPr="00121BF1" w:rsidRDefault="009F329C" w:rsidP="00FB651D">
      <w:pPr>
        <w:pStyle w:val="FootnoteText"/>
      </w:pPr>
      <w:r>
        <w:rPr>
          <w:rStyle w:val="FootnoteReference"/>
        </w:rPr>
        <w:footnoteRef/>
      </w:r>
      <w:r>
        <w:t xml:space="preserve"> Savage Testimony, p. 10.  “For example, if an ECE starts at 3:15 p.m., the first interval during which a Rider ELR customer’s load is evaluated – and the first interval in which a Rider ELR customer may be penalized for non-compliance – is 3:30-4:00 p.m.”  </w:t>
      </w:r>
      <w:r>
        <w:rPr>
          <w:i/>
        </w:rPr>
        <w:t>Id.</w:t>
      </w:r>
    </w:p>
  </w:footnote>
  <w:footnote w:id="165">
    <w:p w14:paraId="0B03BF26" w14:textId="77777777" w:rsidR="009F329C" w:rsidRDefault="009F329C" w:rsidP="00FB651D">
      <w:pPr>
        <w:pStyle w:val="FootnoteText"/>
      </w:pPr>
      <w:r>
        <w:rPr>
          <w:rStyle w:val="FootnoteReference"/>
        </w:rPr>
        <w:footnoteRef/>
      </w:r>
      <w:r>
        <w:t xml:space="preserve"> Savage Testimony, pp. 13, 14.</w:t>
      </w:r>
    </w:p>
  </w:footnote>
  <w:footnote w:id="166">
    <w:p w14:paraId="5CED09A4" w14:textId="77777777" w:rsidR="009F329C" w:rsidRDefault="009F329C" w:rsidP="00FB651D">
      <w:pPr>
        <w:pStyle w:val="FootnoteText"/>
      </w:pPr>
      <w:r>
        <w:rPr>
          <w:rStyle w:val="FootnoteReference"/>
        </w:rPr>
        <w:footnoteRef/>
      </w:r>
      <w:r>
        <w:t xml:space="preserve"> Savage Testimony, p. 17.</w:t>
      </w:r>
    </w:p>
  </w:footnote>
  <w:footnote w:id="167">
    <w:p w14:paraId="35554E21" w14:textId="77777777" w:rsidR="009F329C" w:rsidRDefault="009F329C" w:rsidP="00FB651D">
      <w:pPr>
        <w:pStyle w:val="FootnoteText"/>
        <w:jc w:val="both"/>
      </w:pPr>
      <w:r>
        <w:rPr>
          <w:rStyle w:val="FootnoteReference"/>
        </w:rPr>
        <w:footnoteRef/>
      </w:r>
      <w:r>
        <w:t xml:space="preserve"> Tr., pp. 87-88 (Company witness Savage confirming that other customers of Ohio Edison Company and The Cleveland Electric Illuminating Company have been penalized after their failure to comply during other ECEs in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44B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925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52A9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3C32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D7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1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9A0D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26D3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A69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E8FED9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67499F"/>
    <w:multiLevelType w:val="multilevel"/>
    <w:tmpl w:val="67EC5380"/>
    <w:name w:val="OutlineHeadings"/>
    <w:lvl w:ilvl="0">
      <w:start w:val="1"/>
      <w:numFmt w:val="upperRoman"/>
      <w:pStyle w:val="Heading1"/>
      <w:lvlText w:val="%1."/>
      <w:lvlJc w:val="left"/>
      <w:pPr>
        <w:tabs>
          <w:tab w:val="num" w:pos="720"/>
        </w:tabs>
        <w:ind w:left="0" w:firstLine="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0" w:firstLine="0"/>
      </w:pPr>
    </w:lvl>
    <w:lvl w:ilvl="5">
      <w:start w:val="1"/>
      <w:numFmt w:val="lowerLetter"/>
      <w:pStyle w:val="Heading6"/>
      <w:lvlText w:val="(%6)"/>
      <w:lvlJc w:val="left"/>
      <w:pPr>
        <w:tabs>
          <w:tab w:val="num" w:pos="4320"/>
        </w:tabs>
        <w:ind w:left="0" w:firstLine="0"/>
      </w:pPr>
    </w:lvl>
    <w:lvl w:ilvl="6">
      <w:start w:val="1"/>
      <w:numFmt w:val="decimal"/>
      <w:pStyle w:val="Heading7"/>
      <w:lvlText w:val="%7)"/>
      <w:lvlJc w:val="left"/>
      <w:pPr>
        <w:tabs>
          <w:tab w:val="num" w:pos="5040"/>
        </w:tabs>
        <w:ind w:left="0" w:firstLine="0"/>
      </w:pPr>
    </w:lvl>
    <w:lvl w:ilvl="7">
      <w:start w:val="1"/>
      <w:numFmt w:val="lowerLetter"/>
      <w:pStyle w:val="Heading8"/>
      <w:lvlText w:val="(%8)"/>
      <w:lvlJc w:val="left"/>
      <w:pPr>
        <w:tabs>
          <w:tab w:val="num" w:pos="5760"/>
        </w:tabs>
        <w:ind w:left="0" w:firstLine="0"/>
      </w:pPr>
    </w:lvl>
    <w:lvl w:ilvl="8">
      <w:start w:val="1"/>
      <w:numFmt w:val="lowerRoman"/>
      <w:pStyle w:val="Heading9"/>
      <w:lvlText w:val="(%9)"/>
      <w:lvlJc w:val="left"/>
      <w:pPr>
        <w:tabs>
          <w:tab w:val="num" w:pos="6480"/>
        </w:tabs>
        <w:ind w:left="0" w:firstLine="0"/>
      </w:pPr>
    </w:lvl>
  </w:abstractNum>
  <w:abstractNum w:abstractNumId="11">
    <w:nsid w:val="154233B8"/>
    <w:multiLevelType w:val="hybridMultilevel"/>
    <w:tmpl w:val="84342F86"/>
    <w:name w:val="Bullet1"/>
    <w:lvl w:ilvl="0" w:tplc="7CE6EA0C">
      <w:start w:val="1"/>
      <w:numFmt w:val="bullet"/>
      <w:pStyle w:val="Bullet1"/>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A4E550F"/>
    <w:multiLevelType w:val="hybridMultilevel"/>
    <w:tmpl w:val="452653F2"/>
    <w:name w:val="Bullet2"/>
    <w:lvl w:ilvl="0" w:tplc="00ECB4F8">
      <w:start w:val="1"/>
      <w:numFmt w:val="bullet"/>
      <w:pStyle w:val="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8F182D"/>
    <w:multiLevelType w:val="hybridMultilevel"/>
    <w:tmpl w:val="2E469D00"/>
    <w:name w:val="Nounderlinebullet2"/>
    <w:lvl w:ilvl="0" w:tplc="8046A00C">
      <w:start w:val="1"/>
      <w:numFmt w:val="bullet"/>
      <w:pStyle w:val="Nounderlinebullet2"/>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0F5E2F"/>
    <w:multiLevelType w:val="multilevel"/>
    <w:tmpl w:val="44606D90"/>
    <w:name w:val="Heading 2"/>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0"/>
      </w:pPr>
      <w:rPr>
        <w:rFonts w:hint="default"/>
      </w:rPr>
    </w:lvl>
    <w:lvl w:ilvl="5">
      <w:start w:val="1"/>
      <w:numFmt w:val="lowerLetter"/>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5">
    <w:nsid w:val="51B12AF6"/>
    <w:multiLevelType w:val="multilevel"/>
    <w:tmpl w:val="3C5870D0"/>
    <w:name w:val="Heading "/>
    <w:lvl w:ilvl="0">
      <w:start w:val="1"/>
      <w:numFmt w:val="upperRoman"/>
      <w:lvlRestart w:val="0"/>
      <w:lvlText w:val="%1."/>
      <w:lvlJc w:val="left"/>
      <w:pPr>
        <w:tabs>
          <w:tab w:val="num" w:pos="720"/>
        </w:tabs>
      </w:pPr>
      <w:rPr>
        <w:rFonts w:cs="Times New Roman"/>
        <w:b/>
      </w:rPr>
    </w:lvl>
    <w:lvl w:ilvl="1">
      <w:start w:val="1"/>
      <w:numFmt w:val="upperLetter"/>
      <w:lvlText w:val="%2."/>
      <w:lvlJc w:val="left"/>
      <w:pPr>
        <w:tabs>
          <w:tab w:val="num" w:pos="1440"/>
        </w:tabs>
        <w:ind w:firstLine="720"/>
      </w:pPr>
      <w:rPr>
        <w:rFonts w:cs="Times New Roman"/>
      </w:rPr>
    </w:lvl>
    <w:lvl w:ilvl="2">
      <w:start w:val="1"/>
      <w:numFmt w:val="decimal"/>
      <w:lvlText w:val="%3."/>
      <w:lvlJc w:val="left"/>
      <w:pPr>
        <w:tabs>
          <w:tab w:val="num" w:pos="2160"/>
        </w:tabs>
        <w:ind w:firstLine="1440"/>
      </w:pPr>
      <w:rPr>
        <w:rFonts w:cs="Times New Roman"/>
      </w:rPr>
    </w:lvl>
    <w:lvl w:ilvl="3">
      <w:start w:val="1"/>
      <w:numFmt w:val="lowerLetter"/>
      <w:lvlText w:val="%4."/>
      <w:lvlJc w:val="left"/>
      <w:pPr>
        <w:tabs>
          <w:tab w:val="num" w:pos="2880"/>
        </w:tabs>
        <w:ind w:firstLine="2160"/>
      </w:pPr>
      <w:rPr>
        <w:rFonts w:cs="Times New Roman"/>
        <w:i w:val="0"/>
      </w:rPr>
    </w:lvl>
    <w:lvl w:ilvl="4">
      <w:start w:val="1"/>
      <w:numFmt w:val="lowerRoman"/>
      <w:lvlText w:val="%5."/>
      <w:lvlJc w:val="left"/>
      <w:pPr>
        <w:tabs>
          <w:tab w:val="num" w:pos="3600"/>
        </w:tabs>
        <w:ind w:firstLine="2880"/>
      </w:pPr>
      <w:rPr>
        <w:rFonts w:cs="Times New Roman"/>
      </w:rPr>
    </w:lvl>
    <w:lvl w:ilvl="5">
      <w:start w:val="1"/>
      <w:numFmt w:val="lowerLetter"/>
      <w:lvlText w:val="(%6)"/>
      <w:lvlJc w:val="left"/>
      <w:pPr>
        <w:tabs>
          <w:tab w:val="num" w:pos="4320"/>
        </w:tabs>
        <w:ind w:firstLine="3600"/>
      </w:pPr>
      <w:rPr>
        <w:rFonts w:cs="Times New Roman"/>
      </w:rPr>
    </w:lvl>
    <w:lvl w:ilvl="6">
      <w:start w:val="1"/>
      <w:numFmt w:val="decimal"/>
      <w:lvlText w:val="%7)"/>
      <w:lvlJc w:val="left"/>
      <w:pPr>
        <w:tabs>
          <w:tab w:val="num" w:pos="5040"/>
        </w:tabs>
        <w:ind w:firstLine="4320"/>
      </w:pPr>
      <w:rPr>
        <w:rFonts w:cs="Times New Roman"/>
      </w:rPr>
    </w:lvl>
    <w:lvl w:ilvl="7">
      <w:start w:val="1"/>
      <w:numFmt w:val="lowerLetter"/>
      <w:lvlText w:val="(%7)"/>
      <w:lvlJc w:val="left"/>
      <w:pPr>
        <w:tabs>
          <w:tab w:val="num" w:pos="5760"/>
        </w:tabs>
        <w:ind w:firstLine="5040"/>
      </w:pPr>
      <w:rPr>
        <w:rFonts w:cs="Times New Roman"/>
      </w:rPr>
    </w:lvl>
    <w:lvl w:ilvl="8">
      <w:start w:val="1"/>
      <w:numFmt w:val="lowerRoman"/>
      <w:lvlText w:val="(%7)"/>
      <w:lvlJc w:val="left"/>
      <w:pPr>
        <w:tabs>
          <w:tab w:val="num" w:pos="6480"/>
        </w:tabs>
        <w:ind w:firstLine="5760"/>
      </w:pPr>
      <w:rPr>
        <w:rFonts w:cs="Times New Roman"/>
      </w:rPr>
    </w:lvl>
  </w:abstractNum>
  <w:abstractNum w:abstractNumId="16">
    <w:nsid w:val="672827FC"/>
    <w:multiLevelType w:val="multilevel"/>
    <w:tmpl w:val="28604426"/>
    <w:name w:val="Heading 2"/>
    <w:lvl w:ilvl="0">
      <w:start w:val="1"/>
      <w:numFmt w:val="upperRoman"/>
      <w:lvlRestart w:val="0"/>
      <w:lvlText w:val="%1."/>
      <w:lvlJc w:val="left"/>
      <w:pPr>
        <w:tabs>
          <w:tab w:val="num" w:pos="720"/>
        </w:tabs>
        <w:ind w:left="0" w:firstLine="0"/>
      </w:pPr>
      <w:rPr>
        <w:rFonts w:cs="Times New Roman" w:hint="default"/>
        <w:b/>
      </w:rPr>
    </w:lvl>
    <w:lvl w:ilvl="1">
      <w:start w:val="2"/>
      <w:numFmt w:val="upperLetter"/>
      <w:lvlText w:val="%2."/>
      <w:lvlJc w:val="left"/>
      <w:pPr>
        <w:tabs>
          <w:tab w:val="num" w:pos="1440"/>
        </w:tabs>
        <w:ind w:left="0" w:firstLine="720"/>
      </w:pPr>
      <w:rPr>
        <w:rFonts w:cs="Times New Roman" w:hint="default"/>
      </w:rPr>
    </w:lvl>
    <w:lvl w:ilvl="2">
      <w:start w:val="2"/>
      <w:numFmt w:val="decimal"/>
      <w:lvlText w:val="%3."/>
      <w:lvlJc w:val="left"/>
      <w:pPr>
        <w:tabs>
          <w:tab w:val="num" w:pos="2160"/>
        </w:tabs>
        <w:ind w:left="0" w:firstLine="1440"/>
      </w:pPr>
      <w:rPr>
        <w:rFonts w:cs="Times New Roman" w:hint="default"/>
      </w:rPr>
    </w:lvl>
    <w:lvl w:ilvl="3">
      <w:start w:val="1"/>
      <w:numFmt w:val="lowerLetter"/>
      <w:lvlText w:val="%4."/>
      <w:lvlJc w:val="left"/>
      <w:pPr>
        <w:tabs>
          <w:tab w:val="num" w:pos="2880"/>
        </w:tabs>
        <w:ind w:left="0" w:firstLine="2160"/>
      </w:pPr>
      <w:rPr>
        <w:rFonts w:cs="Times New Roman" w:hint="default"/>
        <w:i w:val="0"/>
      </w:rPr>
    </w:lvl>
    <w:lvl w:ilvl="4">
      <w:start w:val="1"/>
      <w:numFmt w:val="lowerRoman"/>
      <w:lvlText w:val="%5."/>
      <w:lvlJc w:val="left"/>
      <w:pPr>
        <w:tabs>
          <w:tab w:val="num" w:pos="3600"/>
        </w:tabs>
        <w:ind w:left="0" w:firstLine="2880"/>
      </w:pPr>
      <w:rPr>
        <w:rFonts w:cs="Times New Roman" w:hint="default"/>
      </w:rPr>
    </w:lvl>
    <w:lvl w:ilvl="5">
      <w:start w:val="1"/>
      <w:numFmt w:val="lowerLetter"/>
      <w:lvlText w:val="(%6)"/>
      <w:lvlJc w:val="left"/>
      <w:pPr>
        <w:tabs>
          <w:tab w:val="num" w:pos="4320"/>
        </w:tabs>
        <w:ind w:left="0" w:firstLine="3600"/>
      </w:pPr>
      <w:rPr>
        <w:rFonts w:cs="Times New Roman" w:hint="default"/>
      </w:rPr>
    </w:lvl>
    <w:lvl w:ilvl="6">
      <w:start w:val="1"/>
      <w:numFmt w:val="decimal"/>
      <w:lvlText w:val="%7)"/>
      <w:lvlJc w:val="left"/>
      <w:pPr>
        <w:tabs>
          <w:tab w:val="num" w:pos="5040"/>
        </w:tabs>
        <w:ind w:left="0" w:firstLine="4320"/>
      </w:pPr>
      <w:rPr>
        <w:rFonts w:cs="Times New Roman" w:hint="default"/>
      </w:rPr>
    </w:lvl>
    <w:lvl w:ilvl="7">
      <w:start w:val="1"/>
      <w:numFmt w:val="lowerLetter"/>
      <w:lvlText w:val="(%7)"/>
      <w:lvlJc w:val="left"/>
      <w:pPr>
        <w:tabs>
          <w:tab w:val="num" w:pos="5760"/>
        </w:tabs>
        <w:ind w:left="0" w:firstLine="5040"/>
      </w:pPr>
      <w:rPr>
        <w:rFonts w:cs="Times New Roman" w:hint="default"/>
      </w:rPr>
    </w:lvl>
    <w:lvl w:ilvl="8">
      <w:start w:val="1"/>
      <w:numFmt w:val="lowerRoman"/>
      <w:lvlText w:val="(%7)"/>
      <w:lvlJc w:val="left"/>
      <w:pPr>
        <w:tabs>
          <w:tab w:val="num" w:pos="6480"/>
        </w:tabs>
        <w:ind w:left="0" w:firstLine="5760"/>
      </w:pPr>
      <w:rPr>
        <w:rFonts w:cs="Times New Roman" w:hint="default"/>
      </w:rPr>
    </w:lvl>
  </w:abstractNum>
  <w:abstractNum w:abstractNumId="17">
    <w:nsid w:val="739B622E"/>
    <w:multiLevelType w:val="hybridMultilevel"/>
    <w:tmpl w:val="76BECD12"/>
    <w:name w:val="Bullet"/>
    <w:lvl w:ilvl="0" w:tplc="ABDA33D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1"/>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age, Joanne M">
    <w15:presenceInfo w15:providerId="AD" w15:userId="S-1-5-21-602162358-790525478-682003330-44993"/>
  </w15:person>
  <w15:person w15:author="Fanelli, Santino L">
    <w15:presenceInfo w15:providerId="AD" w15:userId="S-1-5-21-602162358-790525478-682003330-50709"/>
  </w15:person>
  <w15:person w15:author="Dunn, Carrie">
    <w15:presenceInfo w15:providerId="AD" w15:userId="S-1-5-21-602162358-790525478-682003330-137416"/>
  </w15:person>
  <w15:person w15:author="Blazunas, Peter">
    <w15:presenceInfo w15:providerId="AD" w15:userId="S-1-5-21-602162358-790525478-682003330-173511"/>
  </w15:person>
  <w15:person w15:author="Mikkelsen, Eileen M.">
    <w15:presenceInfo w15:providerId="AD" w15:userId="S-1-5-21-602162358-790525478-682003330-56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7B"/>
    <w:rsid w:val="00002352"/>
    <w:rsid w:val="00003211"/>
    <w:rsid w:val="000034A5"/>
    <w:rsid w:val="00004038"/>
    <w:rsid w:val="000040F3"/>
    <w:rsid w:val="00004167"/>
    <w:rsid w:val="000057B5"/>
    <w:rsid w:val="0001349B"/>
    <w:rsid w:val="000175E7"/>
    <w:rsid w:val="000220F2"/>
    <w:rsid w:val="0002354A"/>
    <w:rsid w:val="00031EC5"/>
    <w:rsid w:val="0003730C"/>
    <w:rsid w:val="000470FD"/>
    <w:rsid w:val="00050E54"/>
    <w:rsid w:val="0005397D"/>
    <w:rsid w:val="00057C27"/>
    <w:rsid w:val="0006001A"/>
    <w:rsid w:val="00063C30"/>
    <w:rsid w:val="00065383"/>
    <w:rsid w:val="00066097"/>
    <w:rsid w:val="00066624"/>
    <w:rsid w:val="00067C8D"/>
    <w:rsid w:val="000737EF"/>
    <w:rsid w:val="00081629"/>
    <w:rsid w:val="00083166"/>
    <w:rsid w:val="00084CB6"/>
    <w:rsid w:val="000926B7"/>
    <w:rsid w:val="00095ECF"/>
    <w:rsid w:val="000A28EF"/>
    <w:rsid w:val="000A3214"/>
    <w:rsid w:val="000B2D48"/>
    <w:rsid w:val="000B5FEE"/>
    <w:rsid w:val="000B6EBC"/>
    <w:rsid w:val="000D17CB"/>
    <w:rsid w:val="000D3F12"/>
    <w:rsid w:val="000E0BCA"/>
    <w:rsid w:val="000E1E30"/>
    <w:rsid w:val="000E3BE6"/>
    <w:rsid w:val="000E4BFB"/>
    <w:rsid w:val="000E6753"/>
    <w:rsid w:val="000E7B36"/>
    <w:rsid w:val="000F0739"/>
    <w:rsid w:val="000F55BD"/>
    <w:rsid w:val="0010218E"/>
    <w:rsid w:val="001141C6"/>
    <w:rsid w:val="00121BF1"/>
    <w:rsid w:val="0012450E"/>
    <w:rsid w:val="001337C4"/>
    <w:rsid w:val="00135E4E"/>
    <w:rsid w:val="00135E88"/>
    <w:rsid w:val="00142A32"/>
    <w:rsid w:val="00143390"/>
    <w:rsid w:val="001523B6"/>
    <w:rsid w:val="0015295A"/>
    <w:rsid w:val="00153062"/>
    <w:rsid w:val="00160E32"/>
    <w:rsid w:val="00162A7B"/>
    <w:rsid w:val="00164430"/>
    <w:rsid w:val="00175386"/>
    <w:rsid w:val="00175A2B"/>
    <w:rsid w:val="00175BFF"/>
    <w:rsid w:val="00175EE3"/>
    <w:rsid w:val="0018072A"/>
    <w:rsid w:val="0018114E"/>
    <w:rsid w:val="00181F89"/>
    <w:rsid w:val="00183223"/>
    <w:rsid w:val="00183CD3"/>
    <w:rsid w:val="00184E03"/>
    <w:rsid w:val="00186165"/>
    <w:rsid w:val="00191B67"/>
    <w:rsid w:val="001948F0"/>
    <w:rsid w:val="0019674C"/>
    <w:rsid w:val="001A33AE"/>
    <w:rsid w:val="001A569C"/>
    <w:rsid w:val="001B0BBC"/>
    <w:rsid w:val="001B1A39"/>
    <w:rsid w:val="001B1D9E"/>
    <w:rsid w:val="001B306C"/>
    <w:rsid w:val="001B3E54"/>
    <w:rsid w:val="001B51F5"/>
    <w:rsid w:val="001B6D99"/>
    <w:rsid w:val="001C05B9"/>
    <w:rsid w:val="001C2D04"/>
    <w:rsid w:val="001C57C3"/>
    <w:rsid w:val="001C58E6"/>
    <w:rsid w:val="001D129B"/>
    <w:rsid w:val="001D317C"/>
    <w:rsid w:val="001E2E7D"/>
    <w:rsid w:val="001E3453"/>
    <w:rsid w:val="001E51EF"/>
    <w:rsid w:val="001E5C73"/>
    <w:rsid w:val="001E5FDF"/>
    <w:rsid w:val="001F0D35"/>
    <w:rsid w:val="001F3FD3"/>
    <w:rsid w:val="001F48E9"/>
    <w:rsid w:val="001F62C6"/>
    <w:rsid w:val="00200D6A"/>
    <w:rsid w:val="002050CF"/>
    <w:rsid w:val="002112FF"/>
    <w:rsid w:val="00215932"/>
    <w:rsid w:val="0022129C"/>
    <w:rsid w:val="00222256"/>
    <w:rsid w:val="002277CA"/>
    <w:rsid w:val="0023073D"/>
    <w:rsid w:val="00230DC8"/>
    <w:rsid w:val="00236A5E"/>
    <w:rsid w:val="00244F28"/>
    <w:rsid w:val="002604A4"/>
    <w:rsid w:val="002702E2"/>
    <w:rsid w:val="00270A0F"/>
    <w:rsid w:val="00270AF7"/>
    <w:rsid w:val="00272541"/>
    <w:rsid w:val="002728C8"/>
    <w:rsid w:val="0027689C"/>
    <w:rsid w:val="002773C9"/>
    <w:rsid w:val="00281F53"/>
    <w:rsid w:val="00284373"/>
    <w:rsid w:val="00294012"/>
    <w:rsid w:val="0029464E"/>
    <w:rsid w:val="0029660A"/>
    <w:rsid w:val="002A0BD9"/>
    <w:rsid w:val="002A54EB"/>
    <w:rsid w:val="002A77C6"/>
    <w:rsid w:val="002B3285"/>
    <w:rsid w:val="002B3C56"/>
    <w:rsid w:val="002B3D4D"/>
    <w:rsid w:val="002B43F5"/>
    <w:rsid w:val="002B55D9"/>
    <w:rsid w:val="002C343A"/>
    <w:rsid w:val="002C61A6"/>
    <w:rsid w:val="002D15A3"/>
    <w:rsid w:val="002D19EB"/>
    <w:rsid w:val="002D1B66"/>
    <w:rsid w:val="002D42ED"/>
    <w:rsid w:val="002D5EDC"/>
    <w:rsid w:val="002D7EF4"/>
    <w:rsid w:val="002E3271"/>
    <w:rsid w:val="002E4BCE"/>
    <w:rsid w:val="002E6A68"/>
    <w:rsid w:val="00305E36"/>
    <w:rsid w:val="00306CB3"/>
    <w:rsid w:val="00306E54"/>
    <w:rsid w:val="00307F4B"/>
    <w:rsid w:val="00323D82"/>
    <w:rsid w:val="003265A8"/>
    <w:rsid w:val="003306A3"/>
    <w:rsid w:val="00332CE9"/>
    <w:rsid w:val="00333EF7"/>
    <w:rsid w:val="0033618E"/>
    <w:rsid w:val="00340DD6"/>
    <w:rsid w:val="00342230"/>
    <w:rsid w:val="003502FB"/>
    <w:rsid w:val="00352099"/>
    <w:rsid w:val="0037162D"/>
    <w:rsid w:val="003762B3"/>
    <w:rsid w:val="00385119"/>
    <w:rsid w:val="00390738"/>
    <w:rsid w:val="003908DC"/>
    <w:rsid w:val="00396763"/>
    <w:rsid w:val="003A2578"/>
    <w:rsid w:val="003A6160"/>
    <w:rsid w:val="003A7E97"/>
    <w:rsid w:val="003B0704"/>
    <w:rsid w:val="003B190C"/>
    <w:rsid w:val="003B4B4A"/>
    <w:rsid w:val="003B61F8"/>
    <w:rsid w:val="003C0183"/>
    <w:rsid w:val="003C14DC"/>
    <w:rsid w:val="003D3285"/>
    <w:rsid w:val="003D5423"/>
    <w:rsid w:val="003D6686"/>
    <w:rsid w:val="003E0447"/>
    <w:rsid w:val="003E2BB3"/>
    <w:rsid w:val="003E2E43"/>
    <w:rsid w:val="003F27F5"/>
    <w:rsid w:val="003F28F4"/>
    <w:rsid w:val="003F69A6"/>
    <w:rsid w:val="003F71DA"/>
    <w:rsid w:val="003F7323"/>
    <w:rsid w:val="00400FCF"/>
    <w:rsid w:val="00403C66"/>
    <w:rsid w:val="004137F7"/>
    <w:rsid w:val="0041391D"/>
    <w:rsid w:val="00414D85"/>
    <w:rsid w:val="004178B9"/>
    <w:rsid w:val="00425FC4"/>
    <w:rsid w:val="0042686B"/>
    <w:rsid w:val="00430D0E"/>
    <w:rsid w:val="00432C9E"/>
    <w:rsid w:val="0043658D"/>
    <w:rsid w:val="00437943"/>
    <w:rsid w:val="0044202A"/>
    <w:rsid w:val="00444817"/>
    <w:rsid w:val="00456116"/>
    <w:rsid w:val="00457351"/>
    <w:rsid w:val="004603AA"/>
    <w:rsid w:val="00460442"/>
    <w:rsid w:val="00461CD4"/>
    <w:rsid w:val="00465A60"/>
    <w:rsid w:val="004710DD"/>
    <w:rsid w:val="00475B7C"/>
    <w:rsid w:val="004767E7"/>
    <w:rsid w:val="00484BA5"/>
    <w:rsid w:val="00484F2E"/>
    <w:rsid w:val="0048660C"/>
    <w:rsid w:val="00490144"/>
    <w:rsid w:val="004906FC"/>
    <w:rsid w:val="004974BA"/>
    <w:rsid w:val="004A01B8"/>
    <w:rsid w:val="004A36F3"/>
    <w:rsid w:val="004A421C"/>
    <w:rsid w:val="004A512C"/>
    <w:rsid w:val="004A79C9"/>
    <w:rsid w:val="004A7EF7"/>
    <w:rsid w:val="004B6971"/>
    <w:rsid w:val="004C64C7"/>
    <w:rsid w:val="004D3533"/>
    <w:rsid w:val="004D4804"/>
    <w:rsid w:val="004D574D"/>
    <w:rsid w:val="004D6932"/>
    <w:rsid w:val="004E1678"/>
    <w:rsid w:val="004E6268"/>
    <w:rsid w:val="004F0270"/>
    <w:rsid w:val="004F5D9D"/>
    <w:rsid w:val="00500B5F"/>
    <w:rsid w:val="00503460"/>
    <w:rsid w:val="005057B3"/>
    <w:rsid w:val="00505EFB"/>
    <w:rsid w:val="00521F80"/>
    <w:rsid w:val="005226DA"/>
    <w:rsid w:val="00525D97"/>
    <w:rsid w:val="005311F1"/>
    <w:rsid w:val="00531523"/>
    <w:rsid w:val="00532125"/>
    <w:rsid w:val="00545798"/>
    <w:rsid w:val="00551051"/>
    <w:rsid w:val="00554F2B"/>
    <w:rsid w:val="0055519F"/>
    <w:rsid w:val="00555828"/>
    <w:rsid w:val="0056034B"/>
    <w:rsid w:val="00561C9D"/>
    <w:rsid w:val="00563A64"/>
    <w:rsid w:val="00563DA7"/>
    <w:rsid w:val="00565309"/>
    <w:rsid w:val="00573A43"/>
    <w:rsid w:val="005758F8"/>
    <w:rsid w:val="005767C5"/>
    <w:rsid w:val="005802D3"/>
    <w:rsid w:val="005840F7"/>
    <w:rsid w:val="00597305"/>
    <w:rsid w:val="00597BFB"/>
    <w:rsid w:val="005A3A0D"/>
    <w:rsid w:val="005B02C8"/>
    <w:rsid w:val="005B04A6"/>
    <w:rsid w:val="005B637F"/>
    <w:rsid w:val="005B7560"/>
    <w:rsid w:val="005C05EE"/>
    <w:rsid w:val="005C4C27"/>
    <w:rsid w:val="005D1070"/>
    <w:rsid w:val="005D220B"/>
    <w:rsid w:val="005D26A7"/>
    <w:rsid w:val="005D34F5"/>
    <w:rsid w:val="005D48AF"/>
    <w:rsid w:val="005D5424"/>
    <w:rsid w:val="005E031B"/>
    <w:rsid w:val="005E1ABA"/>
    <w:rsid w:val="005E722D"/>
    <w:rsid w:val="005F382E"/>
    <w:rsid w:val="00607AEB"/>
    <w:rsid w:val="0061208E"/>
    <w:rsid w:val="00614FC4"/>
    <w:rsid w:val="0061607B"/>
    <w:rsid w:val="006165DB"/>
    <w:rsid w:val="00617064"/>
    <w:rsid w:val="00620816"/>
    <w:rsid w:val="00621CB7"/>
    <w:rsid w:val="00621D46"/>
    <w:rsid w:val="00622014"/>
    <w:rsid w:val="006222EA"/>
    <w:rsid w:val="00634D05"/>
    <w:rsid w:val="006362E5"/>
    <w:rsid w:val="006374DB"/>
    <w:rsid w:val="0064209B"/>
    <w:rsid w:val="00642A63"/>
    <w:rsid w:val="00656139"/>
    <w:rsid w:val="00657370"/>
    <w:rsid w:val="0065739A"/>
    <w:rsid w:val="0066191C"/>
    <w:rsid w:val="006630A6"/>
    <w:rsid w:val="006644A6"/>
    <w:rsid w:val="00665B06"/>
    <w:rsid w:val="00665CF6"/>
    <w:rsid w:val="006662D8"/>
    <w:rsid w:val="00674C77"/>
    <w:rsid w:val="00675CE0"/>
    <w:rsid w:val="00680DCF"/>
    <w:rsid w:val="00681B06"/>
    <w:rsid w:val="006825CC"/>
    <w:rsid w:val="00685E35"/>
    <w:rsid w:val="00686D8B"/>
    <w:rsid w:val="00694378"/>
    <w:rsid w:val="006A11AC"/>
    <w:rsid w:val="006A3C92"/>
    <w:rsid w:val="006A3D87"/>
    <w:rsid w:val="006A48FC"/>
    <w:rsid w:val="006A6A52"/>
    <w:rsid w:val="006A77A4"/>
    <w:rsid w:val="006A7BB3"/>
    <w:rsid w:val="006B056A"/>
    <w:rsid w:val="006B10DC"/>
    <w:rsid w:val="006B1518"/>
    <w:rsid w:val="006B3242"/>
    <w:rsid w:val="006B3F81"/>
    <w:rsid w:val="006B5E62"/>
    <w:rsid w:val="006C011D"/>
    <w:rsid w:val="006C2F68"/>
    <w:rsid w:val="006D01C8"/>
    <w:rsid w:val="006E2BCF"/>
    <w:rsid w:val="006E5F7C"/>
    <w:rsid w:val="006E6408"/>
    <w:rsid w:val="006F297B"/>
    <w:rsid w:val="00714331"/>
    <w:rsid w:val="00715BF2"/>
    <w:rsid w:val="00721265"/>
    <w:rsid w:val="00722CDE"/>
    <w:rsid w:val="007238E3"/>
    <w:rsid w:val="00741BB2"/>
    <w:rsid w:val="00751B29"/>
    <w:rsid w:val="007527CC"/>
    <w:rsid w:val="007562FD"/>
    <w:rsid w:val="00756CED"/>
    <w:rsid w:val="0077011F"/>
    <w:rsid w:val="00776FE3"/>
    <w:rsid w:val="007808F0"/>
    <w:rsid w:val="007843B3"/>
    <w:rsid w:val="00784AFC"/>
    <w:rsid w:val="00787EFF"/>
    <w:rsid w:val="00794176"/>
    <w:rsid w:val="00795112"/>
    <w:rsid w:val="007A0FEA"/>
    <w:rsid w:val="007A28FE"/>
    <w:rsid w:val="007A4875"/>
    <w:rsid w:val="007A566E"/>
    <w:rsid w:val="007A6AFF"/>
    <w:rsid w:val="007A7209"/>
    <w:rsid w:val="007A76A4"/>
    <w:rsid w:val="007B257D"/>
    <w:rsid w:val="007B2979"/>
    <w:rsid w:val="007B67D1"/>
    <w:rsid w:val="007C1F42"/>
    <w:rsid w:val="007C422D"/>
    <w:rsid w:val="007C6323"/>
    <w:rsid w:val="007C761A"/>
    <w:rsid w:val="007D133A"/>
    <w:rsid w:val="007D6989"/>
    <w:rsid w:val="007D7C80"/>
    <w:rsid w:val="007E4EEB"/>
    <w:rsid w:val="007E518E"/>
    <w:rsid w:val="007E78E9"/>
    <w:rsid w:val="007F1564"/>
    <w:rsid w:val="007F7695"/>
    <w:rsid w:val="007F76F0"/>
    <w:rsid w:val="00800CA2"/>
    <w:rsid w:val="008016EE"/>
    <w:rsid w:val="00815C63"/>
    <w:rsid w:val="00817F90"/>
    <w:rsid w:val="00820256"/>
    <w:rsid w:val="008263BB"/>
    <w:rsid w:val="00827206"/>
    <w:rsid w:val="00831B77"/>
    <w:rsid w:val="00831F44"/>
    <w:rsid w:val="008326FE"/>
    <w:rsid w:val="00835FCE"/>
    <w:rsid w:val="00843FA5"/>
    <w:rsid w:val="0085394F"/>
    <w:rsid w:val="00854A8A"/>
    <w:rsid w:val="008610F1"/>
    <w:rsid w:val="00861150"/>
    <w:rsid w:val="00864A3C"/>
    <w:rsid w:val="00866EE7"/>
    <w:rsid w:val="00867474"/>
    <w:rsid w:val="0087050A"/>
    <w:rsid w:val="00874DA8"/>
    <w:rsid w:val="00882B11"/>
    <w:rsid w:val="00884438"/>
    <w:rsid w:val="00884847"/>
    <w:rsid w:val="00884F8A"/>
    <w:rsid w:val="00890B41"/>
    <w:rsid w:val="008917C1"/>
    <w:rsid w:val="0089466F"/>
    <w:rsid w:val="00894DD9"/>
    <w:rsid w:val="00895489"/>
    <w:rsid w:val="008A03CF"/>
    <w:rsid w:val="008A189C"/>
    <w:rsid w:val="008B256D"/>
    <w:rsid w:val="008B5B9F"/>
    <w:rsid w:val="008B5DCE"/>
    <w:rsid w:val="008B6329"/>
    <w:rsid w:val="008B65C2"/>
    <w:rsid w:val="008B6C2A"/>
    <w:rsid w:val="008B7AFB"/>
    <w:rsid w:val="008B7F47"/>
    <w:rsid w:val="008C2A5C"/>
    <w:rsid w:val="008C366B"/>
    <w:rsid w:val="008C7A94"/>
    <w:rsid w:val="008D0647"/>
    <w:rsid w:val="008D269E"/>
    <w:rsid w:val="008D4FCC"/>
    <w:rsid w:val="008E0FAF"/>
    <w:rsid w:val="008E29A1"/>
    <w:rsid w:val="008E78EC"/>
    <w:rsid w:val="008F1F03"/>
    <w:rsid w:val="00901738"/>
    <w:rsid w:val="00902F62"/>
    <w:rsid w:val="00903CD8"/>
    <w:rsid w:val="00907B1D"/>
    <w:rsid w:val="00916A79"/>
    <w:rsid w:val="00916C8A"/>
    <w:rsid w:val="009176ED"/>
    <w:rsid w:val="0092132F"/>
    <w:rsid w:val="00925CBC"/>
    <w:rsid w:val="00926EB6"/>
    <w:rsid w:val="00926F47"/>
    <w:rsid w:val="009304E7"/>
    <w:rsid w:val="0093105F"/>
    <w:rsid w:val="0093185D"/>
    <w:rsid w:val="009325F4"/>
    <w:rsid w:val="009405EC"/>
    <w:rsid w:val="009428A1"/>
    <w:rsid w:val="0094520F"/>
    <w:rsid w:val="009469D7"/>
    <w:rsid w:val="0095123A"/>
    <w:rsid w:val="009564A7"/>
    <w:rsid w:val="00960822"/>
    <w:rsid w:val="009612D8"/>
    <w:rsid w:val="009636A0"/>
    <w:rsid w:val="00971810"/>
    <w:rsid w:val="009720C0"/>
    <w:rsid w:val="009815BE"/>
    <w:rsid w:val="00990C61"/>
    <w:rsid w:val="0099167D"/>
    <w:rsid w:val="00993F5D"/>
    <w:rsid w:val="009964CA"/>
    <w:rsid w:val="009A091A"/>
    <w:rsid w:val="009A6FA9"/>
    <w:rsid w:val="009B0897"/>
    <w:rsid w:val="009B7074"/>
    <w:rsid w:val="009C7564"/>
    <w:rsid w:val="009D01B9"/>
    <w:rsid w:val="009D07C9"/>
    <w:rsid w:val="009D4D7F"/>
    <w:rsid w:val="009D58D7"/>
    <w:rsid w:val="009E2A19"/>
    <w:rsid w:val="009E4D7C"/>
    <w:rsid w:val="009F069F"/>
    <w:rsid w:val="009F087A"/>
    <w:rsid w:val="009F329C"/>
    <w:rsid w:val="009F5C15"/>
    <w:rsid w:val="009F6068"/>
    <w:rsid w:val="00A05A44"/>
    <w:rsid w:val="00A05F16"/>
    <w:rsid w:val="00A07571"/>
    <w:rsid w:val="00A127DD"/>
    <w:rsid w:val="00A12815"/>
    <w:rsid w:val="00A1395F"/>
    <w:rsid w:val="00A13B26"/>
    <w:rsid w:val="00A1414B"/>
    <w:rsid w:val="00A15BFE"/>
    <w:rsid w:val="00A22F65"/>
    <w:rsid w:val="00A23A73"/>
    <w:rsid w:val="00A335E0"/>
    <w:rsid w:val="00A34849"/>
    <w:rsid w:val="00A364C6"/>
    <w:rsid w:val="00A41C57"/>
    <w:rsid w:val="00A45F3C"/>
    <w:rsid w:val="00A467EC"/>
    <w:rsid w:val="00A4785D"/>
    <w:rsid w:val="00A50B8E"/>
    <w:rsid w:val="00A541E3"/>
    <w:rsid w:val="00A547F0"/>
    <w:rsid w:val="00A56E48"/>
    <w:rsid w:val="00A629EC"/>
    <w:rsid w:val="00A669FF"/>
    <w:rsid w:val="00A711BB"/>
    <w:rsid w:val="00A7243E"/>
    <w:rsid w:val="00A726FC"/>
    <w:rsid w:val="00A83DBA"/>
    <w:rsid w:val="00A86257"/>
    <w:rsid w:val="00A90911"/>
    <w:rsid w:val="00A9245F"/>
    <w:rsid w:val="00A93B08"/>
    <w:rsid w:val="00A96A9E"/>
    <w:rsid w:val="00AA4C92"/>
    <w:rsid w:val="00AB1EF3"/>
    <w:rsid w:val="00AC0138"/>
    <w:rsid w:val="00AC0B92"/>
    <w:rsid w:val="00AC2E39"/>
    <w:rsid w:val="00AC574B"/>
    <w:rsid w:val="00AC5C1D"/>
    <w:rsid w:val="00AD0A87"/>
    <w:rsid w:val="00AD5ECE"/>
    <w:rsid w:val="00AD6B0A"/>
    <w:rsid w:val="00AD71E9"/>
    <w:rsid w:val="00AE780F"/>
    <w:rsid w:val="00AE7A41"/>
    <w:rsid w:val="00AF0F57"/>
    <w:rsid w:val="00B034E2"/>
    <w:rsid w:val="00B11FB4"/>
    <w:rsid w:val="00B126D1"/>
    <w:rsid w:val="00B13475"/>
    <w:rsid w:val="00B17819"/>
    <w:rsid w:val="00B248A8"/>
    <w:rsid w:val="00B32F9F"/>
    <w:rsid w:val="00B34707"/>
    <w:rsid w:val="00B40EFA"/>
    <w:rsid w:val="00B464E7"/>
    <w:rsid w:val="00B4674F"/>
    <w:rsid w:val="00B54573"/>
    <w:rsid w:val="00B5709D"/>
    <w:rsid w:val="00B61FD7"/>
    <w:rsid w:val="00B64E3E"/>
    <w:rsid w:val="00B71C51"/>
    <w:rsid w:val="00B73284"/>
    <w:rsid w:val="00B7707E"/>
    <w:rsid w:val="00B84991"/>
    <w:rsid w:val="00B87C9B"/>
    <w:rsid w:val="00BA09FA"/>
    <w:rsid w:val="00BA3644"/>
    <w:rsid w:val="00BA3F32"/>
    <w:rsid w:val="00BB0869"/>
    <w:rsid w:val="00BB61DC"/>
    <w:rsid w:val="00BB7BC7"/>
    <w:rsid w:val="00BC06A6"/>
    <w:rsid w:val="00BC34E2"/>
    <w:rsid w:val="00BC5C06"/>
    <w:rsid w:val="00BD0EEC"/>
    <w:rsid w:val="00BD1BF2"/>
    <w:rsid w:val="00BD2392"/>
    <w:rsid w:val="00BD728F"/>
    <w:rsid w:val="00BE18FC"/>
    <w:rsid w:val="00BE2375"/>
    <w:rsid w:val="00BF3D9C"/>
    <w:rsid w:val="00BF4745"/>
    <w:rsid w:val="00BF4860"/>
    <w:rsid w:val="00BF6FD8"/>
    <w:rsid w:val="00C02F10"/>
    <w:rsid w:val="00C03AEC"/>
    <w:rsid w:val="00C043A0"/>
    <w:rsid w:val="00C10164"/>
    <w:rsid w:val="00C1177C"/>
    <w:rsid w:val="00C13E93"/>
    <w:rsid w:val="00C21FF6"/>
    <w:rsid w:val="00C2264F"/>
    <w:rsid w:val="00C233A7"/>
    <w:rsid w:val="00C27F9A"/>
    <w:rsid w:val="00C3002C"/>
    <w:rsid w:val="00C30F79"/>
    <w:rsid w:val="00C336A6"/>
    <w:rsid w:val="00C348F8"/>
    <w:rsid w:val="00C36D1C"/>
    <w:rsid w:val="00C425A8"/>
    <w:rsid w:val="00C451B3"/>
    <w:rsid w:val="00C46C90"/>
    <w:rsid w:val="00C53EE8"/>
    <w:rsid w:val="00C53FEF"/>
    <w:rsid w:val="00C651DF"/>
    <w:rsid w:val="00C6725D"/>
    <w:rsid w:val="00C736C7"/>
    <w:rsid w:val="00C7380E"/>
    <w:rsid w:val="00C756F0"/>
    <w:rsid w:val="00C7716C"/>
    <w:rsid w:val="00C81005"/>
    <w:rsid w:val="00C82623"/>
    <w:rsid w:val="00C93122"/>
    <w:rsid w:val="00C93D60"/>
    <w:rsid w:val="00C963A1"/>
    <w:rsid w:val="00CA38EE"/>
    <w:rsid w:val="00CA728C"/>
    <w:rsid w:val="00CB594A"/>
    <w:rsid w:val="00CB68C0"/>
    <w:rsid w:val="00CB7A53"/>
    <w:rsid w:val="00CC14EF"/>
    <w:rsid w:val="00CC3B51"/>
    <w:rsid w:val="00CC4900"/>
    <w:rsid w:val="00CC545B"/>
    <w:rsid w:val="00CC78A7"/>
    <w:rsid w:val="00CD186D"/>
    <w:rsid w:val="00CE1309"/>
    <w:rsid w:val="00CE13A5"/>
    <w:rsid w:val="00CE22FF"/>
    <w:rsid w:val="00CE3947"/>
    <w:rsid w:val="00CE728B"/>
    <w:rsid w:val="00CE7496"/>
    <w:rsid w:val="00CF0E43"/>
    <w:rsid w:val="00CF45CB"/>
    <w:rsid w:val="00CF71C1"/>
    <w:rsid w:val="00CF7378"/>
    <w:rsid w:val="00D00763"/>
    <w:rsid w:val="00D02CFE"/>
    <w:rsid w:val="00D04423"/>
    <w:rsid w:val="00D065E4"/>
    <w:rsid w:val="00D101E6"/>
    <w:rsid w:val="00D125DD"/>
    <w:rsid w:val="00D141D3"/>
    <w:rsid w:val="00D16FDE"/>
    <w:rsid w:val="00D2130E"/>
    <w:rsid w:val="00D25A3D"/>
    <w:rsid w:val="00D325CE"/>
    <w:rsid w:val="00D332A4"/>
    <w:rsid w:val="00D339F6"/>
    <w:rsid w:val="00D420AC"/>
    <w:rsid w:val="00D465C7"/>
    <w:rsid w:val="00D47285"/>
    <w:rsid w:val="00D52130"/>
    <w:rsid w:val="00D62A8B"/>
    <w:rsid w:val="00D74EE0"/>
    <w:rsid w:val="00D77194"/>
    <w:rsid w:val="00D77679"/>
    <w:rsid w:val="00D77DFD"/>
    <w:rsid w:val="00D805F4"/>
    <w:rsid w:val="00D8142D"/>
    <w:rsid w:val="00D8355F"/>
    <w:rsid w:val="00D84A1F"/>
    <w:rsid w:val="00D8562B"/>
    <w:rsid w:val="00D859A7"/>
    <w:rsid w:val="00D93CB9"/>
    <w:rsid w:val="00DA35FF"/>
    <w:rsid w:val="00DA54D7"/>
    <w:rsid w:val="00DA6A5E"/>
    <w:rsid w:val="00DA7024"/>
    <w:rsid w:val="00DA7A3B"/>
    <w:rsid w:val="00DA7BFD"/>
    <w:rsid w:val="00DB073F"/>
    <w:rsid w:val="00DB21CB"/>
    <w:rsid w:val="00DB34F8"/>
    <w:rsid w:val="00DC0074"/>
    <w:rsid w:val="00DD012B"/>
    <w:rsid w:val="00DD5BEE"/>
    <w:rsid w:val="00DE1080"/>
    <w:rsid w:val="00DF43F7"/>
    <w:rsid w:val="00DF4C7B"/>
    <w:rsid w:val="00E05440"/>
    <w:rsid w:val="00E0685A"/>
    <w:rsid w:val="00E15EE6"/>
    <w:rsid w:val="00E16D55"/>
    <w:rsid w:val="00E17AE8"/>
    <w:rsid w:val="00E21892"/>
    <w:rsid w:val="00E26D47"/>
    <w:rsid w:val="00E308B9"/>
    <w:rsid w:val="00E347ED"/>
    <w:rsid w:val="00E4459F"/>
    <w:rsid w:val="00E44FD5"/>
    <w:rsid w:val="00E457D6"/>
    <w:rsid w:val="00E471E1"/>
    <w:rsid w:val="00E513F0"/>
    <w:rsid w:val="00E54FB1"/>
    <w:rsid w:val="00E55DBE"/>
    <w:rsid w:val="00E56F50"/>
    <w:rsid w:val="00E6230B"/>
    <w:rsid w:val="00E64138"/>
    <w:rsid w:val="00E64899"/>
    <w:rsid w:val="00E662DA"/>
    <w:rsid w:val="00E67016"/>
    <w:rsid w:val="00E67A13"/>
    <w:rsid w:val="00E67DAB"/>
    <w:rsid w:val="00E720B6"/>
    <w:rsid w:val="00E73448"/>
    <w:rsid w:val="00E735A2"/>
    <w:rsid w:val="00E749BE"/>
    <w:rsid w:val="00E80092"/>
    <w:rsid w:val="00E822BA"/>
    <w:rsid w:val="00E82A2B"/>
    <w:rsid w:val="00E82EC2"/>
    <w:rsid w:val="00E846DF"/>
    <w:rsid w:val="00E86242"/>
    <w:rsid w:val="00E86BAB"/>
    <w:rsid w:val="00E90060"/>
    <w:rsid w:val="00EA7B29"/>
    <w:rsid w:val="00EB0669"/>
    <w:rsid w:val="00EB14DA"/>
    <w:rsid w:val="00EB1F6A"/>
    <w:rsid w:val="00EB24AA"/>
    <w:rsid w:val="00EB3B0E"/>
    <w:rsid w:val="00EC1C63"/>
    <w:rsid w:val="00ED1182"/>
    <w:rsid w:val="00ED1416"/>
    <w:rsid w:val="00EE1295"/>
    <w:rsid w:val="00EE18E9"/>
    <w:rsid w:val="00EE235F"/>
    <w:rsid w:val="00EE23AF"/>
    <w:rsid w:val="00EE46CA"/>
    <w:rsid w:val="00EF1F2B"/>
    <w:rsid w:val="00EF61CD"/>
    <w:rsid w:val="00EF7008"/>
    <w:rsid w:val="00F05967"/>
    <w:rsid w:val="00F10732"/>
    <w:rsid w:val="00F16838"/>
    <w:rsid w:val="00F172D0"/>
    <w:rsid w:val="00F21994"/>
    <w:rsid w:val="00F228AD"/>
    <w:rsid w:val="00F25A70"/>
    <w:rsid w:val="00F25B95"/>
    <w:rsid w:val="00F30770"/>
    <w:rsid w:val="00F406E9"/>
    <w:rsid w:val="00F436FA"/>
    <w:rsid w:val="00F473E5"/>
    <w:rsid w:val="00F51957"/>
    <w:rsid w:val="00F53B1D"/>
    <w:rsid w:val="00F652AB"/>
    <w:rsid w:val="00F6641F"/>
    <w:rsid w:val="00F7292D"/>
    <w:rsid w:val="00F7467E"/>
    <w:rsid w:val="00F76734"/>
    <w:rsid w:val="00F85537"/>
    <w:rsid w:val="00F8737F"/>
    <w:rsid w:val="00F91A68"/>
    <w:rsid w:val="00F92A90"/>
    <w:rsid w:val="00F960B5"/>
    <w:rsid w:val="00F96156"/>
    <w:rsid w:val="00F969E7"/>
    <w:rsid w:val="00FA1B61"/>
    <w:rsid w:val="00FA1BF3"/>
    <w:rsid w:val="00FA313C"/>
    <w:rsid w:val="00FA36FF"/>
    <w:rsid w:val="00FA5F5D"/>
    <w:rsid w:val="00FA6FB3"/>
    <w:rsid w:val="00FB1BD3"/>
    <w:rsid w:val="00FB651D"/>
    <w:rsid w:val="00FB7CE6"/>
    <w:rsid w:val="00FC1E52"/>
    <w:rsid w:val="00FC797C"/>
    <w:rsid w:val="00FD3488"/>
    <w:rsid w:val="00FD3D09"/>
    <w:rsid w:val="00FE4E90"/>
    <w:rsid w:val="00FE5204"/>
    <w:rsid w:val="00FE6D5B"/>
    <w:rsid w:val="00FF1099"/>
    <w:rsid w:val="00FF1596"/>
    <w:rsid w:val="00FF216B"/>
    <w:rsid w:val="00FF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905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562B"/>
    <w:rPr>
      <w:sz w:val="24"/>
      <w:szCs w:val="24"/>
    </w:rPr>
  </w:style>
  <w:style w:type="paragraph" w:styleId="Heading1">
    <w:name w:val="heading 1"/>
    <w:basedOn w:val="Normal"/>
    <w:link w:val="Heading1Char"/>
    <w:uiPriority w:val="99"/>
    <w:qFormat/>
    <w:rsid w:val="001D317C"/>
    <w:pPr>
      <w:numPr>
        <w:numId w:val="20"/>
      </w:numPr>
      <w:spacing w:after="240"/>
      <w:jc w:val="both"/>
      <w:outlineLvl w:val="0"/>
    </w:pPr>
    <w:rPr>
      <w:rFonts w:eastAsia="SimSun"/>
      <w:b/>
    </w:rPr>
  </w:style>
  <w:style w:type="paragraph" w:styleId="Heading2">
    <w:name w:val="heading 2"/>
    <w:basedOn w:val="Normal"/>
    <w:link w:val="Heading2Char"/>
    <w:uiPriority w:val="99"/>
    <w:qFormat/>
    <w:rsid w:val="008C2A5C"/>
    <w:pPr>
      <w:numPr>
        <w:ilvl w:val="1"/>
        <w:numId w:val="20"/>
      </w:numPr>
      <w:suppressAutoHyphens/>
      <w:spacing w:after="240"/>
      <w:jc w:val="both"/>
      <w:outlineLvl w:val="1"/>
    </w:pPr>
    <w:rPr>
      <w:rFonts w:eastAsia="SimSun"/>
      <w:b/>
      <w:bCs/>
    </w:rPr>
  </w:style>
  <w:style w:type="paragraph" w:styleId="Heading3">
    <w:name w:val="heading 3"/>
    <w:basedOn w:val="Normal"/>
    <w:link w:val="Heading3Char"/>
    <w:uiPriority w:val="99"/>
    <w:qFormat/>
    <w:rsid w:val="0002354A"/>
    <w:pPr>
      <w:numPr>
        <w:ilvl w:val="2"/>
        <w:numId w:val="20"/>
      </w:numPr>
      <w:suppressAutoHyphens/>
      <w:spacing w:after="240"/>
      <w:jc w:val="both"/>
      <w:outlineLvl w:val="2"/>
    </w:pPr>
    <w:rPr>
      <w:rFonts w:eastAsia="SimSun"/>
      <w:bCs/>
      <w:u w:val="single"/>
    </w:rPr>
  </w:style>
  <w:style w:type="paragraph" w:styleId="Heading4">
    <w:name w:val="heading 4"/>
    <w:basedOn w:val="Normal"/>
    <w:link w:val="Heading4Char"/>
    <w:uiPriority w:val="99"/>
    <w:qFormat/>
    <w:rsid w:val="00B40EFA"/>
    <w:pPr>
      <w:numPr>
        <w:ilvl w:val="3"/>
        <w:numId w:val="20"/>
      </w:numPr>
      <w:suppressAutoHyphens/>
      <w:spacing w:after="240"/>
      <w:jc w:val="both"/>
      <w:outlineLvl w:val="3"/>
    </w:pPr>
    <w:rPr>
      <w:bCs/>
      <w:i/>
    </w:rPr>
  </w:style>
  <w:style w:type="paragraph" w:styleId="Heading5">
    <w:name w:val="heading 5"/>
    <w:basedOn w:val="Normal"/>
    <w:link w:val="Heading5Char"/>
    <w:uiPriority w:val="99"/>
    <w:qFormat/>
    <w:rsid w:val="008C2A5C"/>
    <w:pPr>
      <w:numPr>
        <w:ilvl w:val="4"/>
        <w:numId w:val="20"/>
      </w:numPr>
      <w:suppressAutoHyphens/>
      <w:spacing w:after="240"/>
      <w:jc w:val="both"/>
      <w:outlineLvl w:val="4"/>
    </w:pPr>
    <w:rPr>
      <w:bCs/>
    </w:rPr>
  </w:style>
  <w:style w:type="paragraph" w:styleId="Heading6">
    <w:name w:val="heading 6"/>
    <w:basedOn w:val="Normal"/>
    <w:link w:val="Heading6Char"/>
    <w:uiPriority w:val="99"/>
    <w:qFormat/>
    <w:rsid w:val="008C2A5C"/>
    <w:pPr>
      <w:numPr>
        <w:ilvl w:val="5"/>
        <w:numId w:val="20"/>
      </w:numPr>
      <w:suppressAutoHyphens/>
      <w:spacing w:after="240"/>
      <w:jc w:val="both"/>
      <w:outlineLvl w:val="5"/>
    </w:pPr>
    <w:rPr>
      <w:bCs/>
    </w:rPr>
  </w:style>
  <w:style w:type="paragraph" w:styleId="Heading7">
    <w:name w:val="heading 7"/>
    <w:basedOn w:val="Normal"/>
    <w:link w:val="Heading7Char"/>
    <w:uiPriority w:val="99"/>
    <w:qFormat/>
    <w:rsid w:val="008C2A5C"/>
    <w:pPr>
      <w:numPr>
        <w:ilvl w:val="6"/>
        <w:numId w:val="20"/>
      </w:numPr>
      <w:suppressAutoHyphens/>
      <w:spacing w:after="240"/>
      <w:jc w:val="both"/>
      <w:outlineLvl w:val="6"/>
    </w:pPr>
    <w:rPr>
      <w:bCs/>
    </w:rPr>
  </w:style>
  <w:style w:type="paragraph" w:styleId="Heading8">
    <w:name w:val="heading 8"/>
    <w:basedOn w:val="Normal"/>
    <w:link w:val="Heading8Char"/>
    <w:uiPriority w:val="99"/>
    <w:qFormat/>
    <w:rsid w:val="008C2A5C"/>
    <w:pPr>
      <w:numPr>
        <w:ilvl w:val="7"/>
        <w:numId w:val="20"/>
      </w:numPr>
      <w:suppressAutoHyphens/>
      <w:spacing w:after="240"/>
      <w:jc w:val="both"/>
      <w:outlineLvl w:val="7"/>
    </w:pPr>
    <w:rPr>
      <w:bCs/>
    </w:rPr>
  </w:style>
  <w:style w:type="paragraph" w:styleId="Heading9">
    <w:name w:val="heading 9"/>
    <w:basedOn w:val="Normal"/>
    <w:link w:val="Heading9Char"/>
    <w:uiPriority w:val="99"/>
    <w:qFormat/>
    <w:rsid w:val="008C2A5C"/>
    <w:pPr>
      <w:numPr>
        <w:ilvl w:val="8"/>
        <w:numId w:val="20"/>
      </w:numPr>
      <w:suppressAutoHyphens/>
      <w:spacing w:after="240"/>
      <w:jc w:val="both"/>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317C"/>
    <w:rPr>
      <w:rFonts w:eastAsia="SimSun"/>
      <w:b/>
      <w:sz w:val="24"/>
      <w:szCs w:val="24"/>
    </w:rPr>
  </w:style>
  <w:style w:type="character" w:customStyle="1" w:styleId="Heading2Char">
    <w:name w:val="Heading 2 Char"/>
    <w:link w:val="Heading2"/>
    <w:uiPriority w:val="99"/>
    <w:locked/>
    <w:rsid w:val="008C2A5C"/>
    <w:rPr>
      <w:rFonts w:eastAsia="SimSun"/>
      <w:b/>
      <w:bCs/>
      <w:sz w:val="24"/>
      <w:szCs w:val="24"/>
    </w:rPr>
  </w:style>
  <w:style w:type="character" w:customStyle="1" w:styleId="Heading3Char">
    <w:name w:val="Heading 3 Char"/>
    <w:link w:val="Heading3"/>
    <w:uiPriority w:val="99"/>
    <w:locked/>
    <w:rsid w:val="0002354A"/>
    <w:rPr>
      <w:rFonts w:eastAsia="SimSun"/>
      <w:bCs/>
      <w:sz w:val="24"/>
      <w:szCs w:val="24"/>
      <w:u w:val="single"/>
    </w:rPr>
  </w:style>
  <w:style w:type="character" w:customStyle="1" w:styleId="Heading4Char">
    <w:name w:val="Heading 4 Char"/>
    <w:link w:val="Heading4"/>
    <w:uiPriority w:val="99"/>
    <w:locked/>
    <w:rsid w:val="00B40EFA"/>
    <w:rPr>
      <w:bCs/>
      <w:i/>
      <w:sz w:val="24"/>
      <w:szCs w:val="24"/>
    </w:rPr>
  </w:style>
  <w:style w:type="character" w:customStyle="1" w:styleId="Heading5Char">
    <w:name w:val="Heading 5 Char"/>
    <w:link w:val="Heading5"/>
    <w:uiPriority w:val="99"/>
    <w:locked/>
    <w:rsid w:val="008C2A5C"/>
    <w:rPr>
      <w:bCs/>
      <w:sz w:val="24"/>
      <w:szCs w:val="24"/>
    </w:rPr>
  </w:style>
  <w:style w:type="character" w:customStyle="1" w:styleId="Heading6Char">
    <w:name w:val="Heading 6 Char"/>
    <w:link w:val="Heading6"/>
    <w:uiPriority w:val="99"/>
    <w:locked/>
    <w:rsid w:val="008C2A5C"/>
    <w:rPr>
      <w:bCs/>
      <w:sz w:val="24"/>
      <w:szCs w:val="24"/>
    </w:rPr>
  </w:style>
  <w:style w:type="character" w:customStyle="1" w:styleId="Heading7Char">
    <w:name w:val="Heading 7 Char"/>
    <w:link w:val="Heading7"/>
    <w:uiPriority w:val="99"/>
    <w:locked/>
    <w:rsid w:val="008C2A5C"/>
    <w:rPr>
      <w:bCs/>
      <w:sz w:val="24"/>
      <w:szCs w:val="24"/>
    </w:rPr>
  </w:style>
  <w:style w:type="character" w:customStyle="1" w:styleId="Heading8Char">
    <w:name w:val="Heading 8 Char"/>
    <w:link w:val="Heading8"/>
    <w:uiPriority w:val="99"/>
    <w:locked/>
    <w:rsid w:val="008C2A5C"/>
    <w:rPr>
      <w:bCs/>
      <w:sz w:val="24"/>
      <w:szCs w:val="24"/>
    </w:rPr>
  </w:style>
  <w:style w:type="character" w:customStyle="1" w:styleId="Heading9Char">
    <w:name w:val="Heading 9 Char"/>
    <w:link w:val="Heading9"/>
    <w:uiPriority w:val="99"/>
    <w:locked/>
    <w:rsid w:val="008C2A5C"/>
    <w:rPr>
      <w:bCs/>
      <w:sz w:val="24"/>
      <w:szCs w:val="24"/>
    </w:rPr>
  </w:style>
  <w:style w:type="paragraph" w:styleId="BalloonText">
    <w:name w:val="Balloon Text"/>
    <w:basedOn w:val="Normal"/>
    <w:link w:val="BalloonTextChar"/>
    <w:uiPriority w:val="99"/>
    <w:semiHidden/>
    <w:rsid w:val="003A2578"/>
    <w:rPr>
      <w:rFonts w:ascii="Tahoma" w:hAnsi="Tahoma" w:cs="Tahoma"/>
      <w:sz w:val="16"/>
      <w:szCs w:val="16"/>
    </w:rPr>
  </w:style>
  <w:style w:type="character" w:customStyle="1" w:styleId="BalloonTextChar">
    <w:name w:val="Balloon Text Char"/>
    <w:link w:val="BalloonText"/>
    <w:uiPriority w:val="99"/>
    <w:semiHidden/>
    <w:locked/>
    <w:rsid w:val="003A2578"/>
    <w:rPr>
      <w:rFonts w:ascii="Tahoma" w:hAnsi="Tahoma" w:cs="Tahoma"/>
      <w:sz w:val="16"/>
      <w:szCs w:val="16"/>
    </w:rPr>
  </w:style>
  <w:style w:type="paragraph" w:styleId="Footer">
    <w:name w:val="footer"/>
    <w:basedOn w:val="Normal"/>
    <w:link w:val="FooterChar"/>
    <w:uiPriority w:val="99"/>
    <w:rsid w:val="006F297B"/>
    <w:pPr>
      <w:tabs>
        <w:tab w:val="center" w:pos="4680"/>
        <w:tab w:val="right" w:pos="9360"/>
      </w:tabs>
    </w:pPr>
  </w:style>
  <w:style w:type="character" w:customStyle="1" w:styleId="FooterChar">
    <w:name w:val="Footer Char"/>
    <w:link w:val="Footer"/>
    <w:uiPriority w:val="99"/>
    <w:locked/>
    <w:rsid w:val="006F297B"/>
    <w:rPr>
      <w:rFonts w:cs="Times New Roman"/>
    </w:rPr>
  </w:style>
  <w:style w:type="character" w:styleId="PageNumber">
    <w:name w:val="page number"/>
    <w:rsid w:val="006F297B"/>
    <w:rPr>
      <w:rFonts w:cs="Times New Roman"/>
    </w:rPr>
  </w:style>
  <w:style w:type="character" w:styleId="CommentReference">
    <w:name w:val="annotation reference"/>
    <w:uiPriority w:val="99"/>
    <w:semiHidden/>
    <w:rsid w:val="006A48FC"/>
    <w:rPr>
      <w:rFonts w:cs="Times New Roman"/>
      <w:sz w:val="16"/>
      <w:szCs w:val="16"/>
    </w:rPr>
  </w:style>
  <w:style w:type="paragraph" w:styleId="CommentText">
    <w:name w:val="annotation text"/>
    <w:basedOn w:val="Normal"/>
    <w:link w:val="CommentTextChar"/>
    <w:uiPriority w:val="99"/>
    <w:semiHidden/>
    <w:rsid w:val="006A48FC"/>
    <w:rPr>
      <w:sz w:val="20"/>
      <w:szCs w:val="20"/>
    </w:rPr>
  </w:style>
  <w:style w:type="character" w:customStyle="1" w:styleId="CommentTextChar">
    <w:name w:val="Comment Text Char"/>
    <w:link w:val="CommentText"/>
    <w:uiPriority w:val="99"/>
    <w:semiHidden/>
    <w:locked/>
    <w:rsid w:val="006A48FC"/>
    <w:rPr>
      <w:rFonts w:cs="Times New Roman"/>
      <w:sz w:val="20"/>
      <w:szCs w:val="20"/>
    </w:rPr>
  </w:style>
  <w:style w:type="paragraph" w:styleId="CommentSubject">
    <w:name w:val="annotation subject"/>
    <w:basedOn w:val="CommentText"/>
    <w:next w:val="CommentText"/>
    <w:link w:val="CommentSubjectChar"/>
    <w:uiPriority w:val="99"/>
    <w:semiHidden/>
    <w:rsid w:val="006A48FC"/>
    <w:rPr>
      <w:b/>
      <w:bCs/>
    </w:rPr>
  </w:style>
  <w:style w:type="character" w:customStyle="1" w:styleId="CommentSubjectChar">
    <w:name w:val="Comment Subject Char"/>
    <w:link w:val="CommentSubject"/>
    <w:uiPriority w:val="99"/>
    <w:semiHidden/>
    <w:locked/>
    <w:rsid w:val="006A48FC"/>
    <w:rPr>
      <w:rFonts w:cs="Times New Roman"/>
      <w:b/>
      <w:bCs/>
      <w:sz w:val="20"/>
      <w:szCs w:val="20"/>
    </w:rPr>
  </w:style>
  <w:style w:type="paragraph" w:customStyle="1" w:styleId="CaptionText">
    <w:name w:val="CaptionText"/>
    <w:basedOn w:val="Normal"/>
    <w:uiPriority w:val="99"/>
    <w:rsid w:val="00DA7024"/>
    <w:pPr>
      <w:suppressLineNumbers/>
    </w:pPr>
    <w:rPr>
      <w:b/>
    </w:rPr>
  </w:style>
  <w:style w:type="paragraph" w:styleId="FootnoteText">
    <w:name w:val="footnote text"/>
    <w:basedOn w:val="Normal"/>
    <w:link w:val="FootnoteTextChar"/>
    <w:uiPriority w:val="99"/>
    <w:semiHidden/>
    <w:rsid w:val="003A7E97"/>
    <w:rPr>
      <w:sz w:val="20"/>
      <w:szCs w:val="20"/>
    </w:rPr>
  </w:style>
  <w:style w:type="character" w:customStyle="1" w:styleId="FootnoteTextChar">
    <w:name w:val="Footnote Text Char"/>
    <w:link w:val="FootnoteText"/>
    <w:uiPriority w:val="99"/>
    <w:semiHidden/>
    <w:locked/>
    <w:rsid w:val="003A7E97"/>
    <w:rPr>
      <w:rFonts w:cs="Times New Roman"/>
      <w:sz w:val="20"/>
      <w:szCs w:val="20"/>
    </w:rPr>
  </w:style>
  <w:style w:type="character" w:styleId="FootnoteReference">
    <w:name w:val="footnote reference"/>
    <w:uiPriority w:val="99"/>
    <w:semiHidden/>
    <w:rsid w:val="003A7E97"/>
    <w:rPr>
      <w:rFonts w:cs="Times New Roman"/>
      <w:vertAlign w:val="superscript"/>
    </w:rPr>
  </w:style>
  <w:style w:type="paragraph" w:customStyle="1" w:styleId="TitleBUAC">
    <w:name w:val="*Title BUAC"/>
    <w:aliases w:val="TBUAC"/>
    <w:basedOn w:val="Normal"/>
    <w:next w:val="Normal"/>
    <w:link w:val="TitleBUACChar"/>
    <w:uiPriority w:val="99"/>
    <w:qFormat/>
    <w:rsid w:val="008C2A5C"/>
    <w:pPr>
      <w:keepNext/>
      <w:spacing w:after="240"/>
      <w:jc w:val="center"/>
    </w:pPr>
    <w:rPr>
      <w:b/>
      <w:caps/>
      <w:u w:val="single"/>
    </w:rPr>
  </w:style>
  <w:style w:type="character" w:customStyle="1" w:styleId="TitleBUACChar">
    <w:name w:val="*Title BUAC Char"/>
    <w:aliases w:val="TBUAC Char"/>
    <w:link w:val="TitleBUAC"/>
    <w:uiPriority w:val="99"/>
    <w:locked/>
    <w:rsid w:val="008C2A5C"/>
    <w:rPr>
      <w:b/>
      <w:caps/>
      <w:sz w:val="24"/>
      <w:szCs w:val="24"/>
      <w:u w:val="single"/>
    </w:rPr>
  </w:style>
  <w:style w:type="paragraph" w:styleId="ListParagraph">
    <w:name w:val="List Paragraph"/>
    <w:basedOn w:val="Normal"/>
    <w:uiPriority w:val="99"/>
    <w:qFormat/>
    <w:rsid w:val="00230DC8"/>
    <w:pPr>
      <w:ind w:left="720"/>
      <w:contextualSpacing/>
    </w:pPr>
  </w:style>
  <w:style w:type="paragraph" w:styleId="Header">
    <w:name w:val="header"/>
    <w:basedOn w:val="Normal"/>
    <w:link w:val="HeaderChar"/>
    <w:uiPriority w:val="99"/>
    <w:rsid w:val="00FD3D09"/>
    <w:pPr>
      <w:tabs>
        <w:tab w:val="center" w:pos="4680"/>
        <w:tab w:val="right" w:pos="9360"/>
      </w:tabs>
    </w:pPr>
  </w:style>
  <w:style w:type="character" w:customStyle="1" w:styleId="HeaderChar">
    <w:name w:val="Header Char"/>
    <w:link w:val="Header"/>
    <w:uiPriority w:val="99"/>
    <w:locked/>
    <w:rsid w:val="00FD3D09"/>
    <w:rPr>
      <w:rFonts w:cs="Times New Roman"/>
    </w:rPr>
  </w:style>
  <w:style w:type="paragraph" w:customStyle="1" w:styleId="LBFileStampAtCursor">
    <w:name w:val="*LBFileStampAtCursor"/>
    <w:aliases w:val="FSC"/>
    <w:basedOn w:val="Normal"/>
    <w:rsid w:val="00FC797C"/>
    <w:rPr>
      <w:sz w:val="18"/>
    </w:rPr>
  </w:style>
  <w:style w:type="paragraph" w:customStyle="1" w:styleId="LBFileStampAtEnd">
    <w:name w:val="*LBFileStampAtEnd"/>
    <w:aliases w:val="FSE"/>
    <w:basedOn w:val="Normal"/>
    <w:rsid w:val="00FC797C"/>
    <w:rPr>
      <w:sz w:val="18"/>
    </w:rPr>
  </w:style>
  <w:style w:type="paragraph" w:customStyle="1" w:styleId="Bullet">
    <w:name w:val="Bullet"/>
    <w:basedOn w:val="Heading4"/>
    <w:rsid w:val="00A34849"/>
    <w:pPr>
      <w:numPr>
        <w:ilvl w:val="0"/>
        <w:numId w:val="2"/>
      </w:numPr>
    </w:pPr>
    <w:rPr>
      <w:i w:val="0"/>
    </w:rPr>
  </w:style>
  <w:style w:type="character" w:customStyle="1" w:styleId="LeadInHeading1">
    <w:name w:val="LeadInHeading 1"/>
    <w:rsid w:val="002D15A3"/>
    <w:rPr>
      <w:rFonts w:eastAsia="SimSun"/>
      <w:b w:val="0"/>
      <w:szCs w:val="20"/>
      <w:u w:val="none"/>
    </w:rPr>
  </w:style>
  <w:style w:type="character" w:customStyle="1" w:styleId="LeadInHeading2">
    <w:name w:val="LeadInHeading 2"/>
    <w:rsid w:val="002D15A3"/>
    <w:rPr>
      <w:rFonts w:eastAsia="SimSun"/>
      <w:b w:val="0"/>
      <w:szCs w:val="20"/>
      <w:u w:val="none"/>
    </w:rPr>
  </w:style>
  <w:style w:type="character" w:customStyle="1" w:styleId="LeadInHeading3">
    <w:name w:val="LeadInHeading 3"/>
    <w:rsid w:val="002D15A3"/>
    <w:rPr>
      <w:rFonts w:eastAsia="SimSun"/>
      <w:b w:val="0"/>
      <w:szCs w:val="20"/>
      <w:u w:val="none"/>
    </w:rPr>
  </w:style>
  <w:style w:type="character" w:customStyle="1" w:styleId="LeadInHeading4">
    <w:name w:val="LeadInHeading 4"/>
    <w:rsid w:val="002D15A3"/>
    <w:rPr>
      <w:rFonts w:eastAsia="SimSun"/>
      <w:b w:val="0"/>
      <w:szCs w:val="20"/>
      <w:u w:val="none"/>
    </w:rPr>
  </w:style>
  <w:style w:type="paragraph" w:styleId="TOC1">
    <w:name w:val="toc 1"/>
    <w:basedOn w:val="Normal"/>
    <w:next w:val="Normal"/>
    <w:autoRedefine/>
    <w:uiPriority w:val="39"/>
    <w:unhideWhenUsed/>
    <w:locked/>
    <w:rsid w:val="002D15A3"/>
    <w:pPr>
      <w:tabs>
        <w:tab w:val="right" w:leader="dot" w:pos="9350"/>
      </w:tabs>
      <w:spacing w:after="240"/>
      <w:ind w:left="720" w:hanging="720"/>
    </w:pPr>
  </w:style>
  <w:style w:type="paragraph" w:styleId="TOC2">
    <w:name w:val="toc 2"/>
    <w:basedOn w:val="Normal"/>
    <w:next w:val="Normal"/>
    <w:autoRedefine/>
    <w:uiPriority w:val="39"/>
    <w:unhideWhenUsed/>
    <w:locked/>
    <w:rsid w:val="00A45F3C"/>
    <w:pPr>
      <w:tabs>
        <w:tab w:val="right" w:leader="dot" w:pos="9360"/>
      </w:tabs>
      <w:spacing w:after="240"/>
      <w:ind w:left="1440" w:right="720" w:hanging="720"/>
    </w:pPr>
  </w:style>
  <w:style w:type="paragraph" w:styleId="TOC4">
    <w:name w:val="toc 4"/>
    <w:basedOn w:val="Normal"/>
    <w:next w:val="Normal"/>
    <w:autoRedefine/>
    <w:uiPriority w:val="39"/>
    <w:unhideWhenUsed/>
    <w:locked/>
    <w:rsid w:val="002D15A3"/>
    <w:pPr>
      <w:tabs>
        <w:tab w:val="right" w:leader="dot" w:pos="9360"/>
      </w:tabs>
      <w:spacing w:after="240"/>
      <w:ind w:left="2880" w:right="900" w:hanging="720"/>
    </w:pPr>
  </w:style>
  <w:style w:type="paragraph" w:styleId="TOC3">
    <w:name w:val="toc 3"/>
    <w:basedOn w:val="Normal"/>
    <w:next w:val="Normal"/>
    <w:autoRedefine/>
    <w:uiPriority w:val="39"/>
    <w:unhideWhenUsed/>
    <w:locked/>
    <w:rsid w:val="002D15A3"/>
    <w:pPr>
      <w:tabs>
        <w:tab w:val="right" w:leader="dot" w:pos="9360"/>
      </w:tabs>
      <w:spacing w:after="240"/>
      <w:ind w:left="2160" w:right="540" w:hanging="720"/>
    </w:pPr>
  </w:style>
  <w:style w:type="character" w:styleId="Hyperlink">
    <w:name w:val="Hyperlink"/>
    <w:uiPriority w:val="99"/>
    <w:unhideWhenUsed/>
    <w:locked/>
    <w:rsid w:val="002D15A3"/>
    <w:rPr>
      <w:color w:val="0000FF"/>
      <w:u w:val="single"/>
    </w:rPr>
  </w:style>
  <w:style w:type="paragraph" w:styleId="TOC5">
    <w:name w:val="toc 5"/>
    <w:basedOn w:val="Normal"/>
    <w:next w:val="Normal"/>
    <w:autoRedefine/>
    <w:uiPriority w:val="39"/>
    <w:semiHidden/>
    <w:unhideWhenUsed/>
    <w:locked/>
    <w:rsid w:val="002D15A3"/>
    <w:pPr>
      <w:ind w:left="960"/>
    </w:pPr>
  </w:style>
  <w:style w:type="paragraph" w:styleId="TOC6">
    <w:name w:val="toc 6"/>
    <w:basedOn w:val="Normal"/>
    <w:next w:val="Normal"/>
    <w:autoRedefine/>
    <w:uiPriority w:val="39"/>
    <w:semiHidden/>
    <w:unhideWhenUsed/>
    <w:locked/>
    <w:rsid w:val="002D15A3"/>
    <w:pPr>
      <w:ind w:left="1200"/>
    </w:pPr>
  </w:style>
  <w:style w:type="paragraph" w:styleId="TOC7">
    <w:name w:val="toc 7"/>
    <w:basedOn w:val="Normal"/>
    <w:next w:val="Normal"/>
    <w:autoRedefine/>
    <w:uiPriority w:val="39"/>
    <w:semiHidden/>
    <w:unhideWhenUsed/>
    <w:locked/>
    <w:rsid w:val="002D15A3"/>
    <w:pPr>
      <w:ind w:left="1440"/>
    </w:pPr>
  </w:style>
  <w:style w:type="paragraph" w:styleId="TOC8">
    <w:name w:val="toc 8"/>
    <w:basedOn w:val="Normal"/>
    <w:next w:val="Normal"/>
    <w:autoRedefine/>
    <w:uiPriority w:val="39"/>
    <w:semiHidden/>
    <w:unhideWhenUsed/>
    <w:locked/>
    <w:rsid w:val="002D15A3"/>
    <w:pPr>
      <w:ind w:left="1680"/>
    </w:pPr>
  </w:style>
  <w:style w:type="paragraph" w:styleId="TOC9">
    <w:name w:val="toc 9"/>
    <w:basedOn w:val="Normal"/>
    <w:next w:val="Normal"/>
    <w:autoRedefine/>
    <w:uiPriority w:val="39"/>
    <w:semiHidden/>
    <w:unhideWhenUsed/>
    <w:locked/>
    <w:rsid w:val="002D15A3"/>
    <w:pPr>
      <w:ind w:left="1920"/>
    </w:pPr>
  </w:style>
  <w:style w:type="paragraph" w:styleId="Bibliography">
    <w:name w:val="Bibliography"/>
    <w:basedOn w:val="Normal"/>
    <w:next w:val="Normal"/>
    <w:uiPriority w:val="37"/>
    <w:semiHidden/>
    <w:unhideWhenUsed/>
    <w:rsid w:val="00BC5C06"/>
  </w:style>
  <w:style w:type="paragraph" w:styleId="BlockText">
    <w:name w:val="Block Text"/>
    <w:basedOn w:val="Normal"/>
    <w:uiPriority w:val="99"/>
    <w:semiHidden/>
    <w:unhideWhenUsed/>
    <w:locked/>
    <w:rsid w:val="00BC5C06"/>
    <w:pPr>
      <w:spacing w:after="120"/>
      <w:ind w:left="1440" w:right="1440"/>
    </w:pPr>
  </w:style>
  <w:style w:type="paragraph" w:styleId="BodyText">
    <w:name w:val="Body Text"/>
    <w:basedOn w:val="Normal"/>
    <w:link w:val="BodyTextChar"/>
    <w:uiPriority w:val="99"/>
    <w:semiHidden/>
    <w:unhideWhenUsed/>
    <w:locked/>
    <w:rsid w:val="00BC5C06"/>
    <w:pPr>
      <w:spacing w:after="120"/>
    </w:pPr>
  </w:style>
  <w:style w:type="character" w:customStyle="1" w:styleId="BodyTextChar">
    <w:name w:val="Body Text Char"/>
    <w:basedOn w:val="DefaultParagraphFont"/>
    <w:link w:val="BodyText"/>
    <w:uiPriority w:val="99"/>
    <w:semiHidden/>
    <w:rsid w:val="00BC5C06"/>
    <w:rPr>
      <w:sz w:val="24"/>
      <w:szCs w:val="24"/>
    </w:rPr>
  </w:style>
  <w:style w:type="paragraph" w:styleId="BodyText2">
    <w:name w:val="Body Text 2"/>
    <w:basedOn w:val="Normal"/>
    <w:link w:val="BodyText2Char"/>
    <w:uiPriority w:val="99"/>
    <w:semiHidden/>
    <w:unhideWhenUsed/>
    <w:locked/>
    <w:rsid w:val="00BC5C06"/>
    <w:pPr>
      <w:spacing w:after="120" w:line="480" w:lineRule="auto"/>
    </w:pPr>
  </w:style>
  <w:style w:type="character" w:customStyle="1" w:styleId="BodyText2Char">
    <w:name w:val="Body Text 2 Char"/>
    <w:basedOn w:val="DefaultParagraphFont"/>
    <w:link w:val="BodyText2"/>
    <w:uiPriority w:val="99"/>
    <w:semiHidden/>
    <w:rsid w:val="00BC5C06"/>
    <w:rPr>
      <w:sz w:val="24"/>
      <w:szCs w:val="24"/>
    </w:rPr>
  </w:style>
  <w:style w:type="paragraph" w:styleId="BodyText3">
    <w:name w:val="Body Text 3"/>
    <w:basedOn w:val="Normal"/>
    <w:link w:val="BodyText3Char"/>
    <w:uiPriority w:val="99"/>
    <w:semiHidden/>
    <w:unhideWhenUsed/>
    <w:locked/>
    <w:rsid w:val="00BC5C06"/>
    <w:pPr>
      <w:spacing w:after="120"/>
    </w:pPr>
    <w:rPr>
      <w:sz w:val="16"/>
      <w:szCs w:val="16"/>
    </w:rPr>
  </w:style>
  <w:style w:type="character" w:customStyle="1" w:styleId="BodyText3Char">
    <w:name w:val="Body Text 3 Char"/>
    <w:basedOn w:val="DefaultParagraphFont"/>
    <w:link w:val="BodyText3"/>
    <w:uiPriority w:val="99"/>
    <w:semiHidden/>
    <w:rsid w:val="00BC5C06"/>
    <w:rPr>
      <w:sz w:val="16"/>
      <w:szCs w:val="16"/>
    </w:rPr>
  </w:style>
  <w:style w:type="paragraph" w:styleId="BodyTextFirstIndent">
    <w:name w:val="Body Text First Indent"/>
    <w:basedOn w:val="BodyText"/>
    <w:link w:val="BodyTextFirstIndentChar"/>
    <w:uiPriority w:val="99"/>
    <w:semiHidden/>
    <w:unhideWhenUsed/>
    <w:locked/>
    <w:rsid w:val="00BC5C06"/>
    <w:pPr>
      <w:ind w:firstLine="210"/>
    </w:pPr>
  </w:style>
  <w:style w:type="character" w:customStyle="1" w:styleId="BodyTextFirstIndentChar">
    <w:name w:val="Body Text First Indent Char"/>
    <w:basedOn w:val="BodyTextChar"/>
    <w:link w:val="BodyTextFirstIndent"/>
    <w:uiPriority w:val="99"/>
    <w:semiHidden/>
    <w:rsid w:val="00BC5C06"/>
    <w:rPr>
      <w:sz w:val="24"/>
      <w:szCs w:val="24"/>
    </w:rPr>
  </w:style>
  <w:style w:type="paragraph" w:styleId="BodyTextIndent">
    <w:name w:val="Body Text Indent"/>
    <w:basedOn w:val="Normal"/>
    <w:link w:val="BodyTextIndentChar"/>
    <w:uiPriority w:val="99"/>
    <w:semiHidden/>
    <w:unhideWhenUsed/>
    <w:locked/>
    <w:rsid w:val="00BC5C06"/>
    <w:pPr>
      <w:spacing w:after="120"/>
      <w:ind w:left="360"/>
    </w:pPr>
  </w:style>
  <w:style w:type="character" w:customStyle="1" w:styleId="BodyTextIndentChar">
    <w:name w:val="Body Text Indent Char"/>
    <w:basedOn w:val="DefaultParagraphFont"/>
    <w:link w:val="BodyTextIndent"/>
    <w:uiPriority w:val="99"/>
    <w:semiHidden/>
    <w:rsid w:val="00BC5C06"/>
    <w:rPr>
      <w:sz w:val="24"/>
      <w:szCs w:val="24"/>
    </w:rPr>
  </w:style>
  <w:style w:type="paragraph" w:styleId="BodyTextFirstIndent2">
    <w:name w:val="Body Text First Indent 2"/>
    <w:basedOn w:val="BodyTextIndent"/>
    <w:link w:val="BodyTextFirstIndent2Char"/>
    <w:uiPriority w:val="99"/>
    <w:semiHidden/>
    <w:unhideWhenUsed/>
    <w:locked/>
    <w:rsid w:val="00BC5C06"/>
    <w:pPr>
      <w:ind w:firstLine="210"/>
    </w:pPr>
  </w:style>
  <w:style w:type="character" w:customStyle="1" w:styleId="BodyTextFirstIndent2Char">
    <w:name w:val="Body Text First Indent 2 Char"/>
    <w:basedOn w:val="BodyTextIndentChar"/>
    <w:link w:val="BodyTextFirstIndent2"/>
    <w:uiPriority w:val="99"/>
    <w:semiHidden/>
    <w:rsid w:val="00BC5C06"/>
    <w:rPr>
      <w:sz w:val="24"/>
      <w:szCs w:val="24"/>
    </w:rPr>
  </w:style>
  <w:style w:type="paragraph" w:styleId="BodyTextIndent2">
    <w:name w:val="Body Text Indent 2"/>
    <w:basedOn w:val="Normal"/>
    <w:link w:val="BodyTextIndent2Char"/>
    <w:uiPriority w:val="99"/>
    <w:semiHidden/>
    <w:unhideWhenUsed/>
    <w:locked/>
    <w:rsid w:val="00BC5C06"/>
    <w:pPr>
      <w:spacing w:after="120" w:line="480" w:lineRule="auto"/>
      <w:ind w:left="360"/>
    </w:pPr>
  </w:style>
  <w:style w:type="character" w:customStyle="1" w:styleId="BodyTextIndent2Char">
    <w:name w:val="Body Text Indent 2 Char"/>
    <w:basedOn w:val="DefaultParagraphFont"/>
    <w:link w:val="BodyTextIndent2"/>
    <w:uiPriority w:val="99"/>
    <w:semiHidden/>
    <w:rsid w:val="00BC5C06"/>
    <w:rPr>
      <w:sz w:val="24"/>
      <w:szCs w:val="24"/>
    </w:rPr>
  </w:style>
  <w:style w:type="paragraph" w:styleId="BodyTextIndent3">
    <w:name w:val="Body Text Indent 3"/>
    <w:basedOn w:val="Normal"/>
    <w:link w:val="BodyTextIndent3Char"/>
    <w:uiPriority w:val="99"/>
    <w:semiHidden/>
    <w:unhideWhenUsed/>
    <w:locked/>
    <w:rsid w:val="00BC5C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5C06"/>
    <w:rPr>
      <w:sz w:val="16"/>
      <w:szCs w:val="16"/>
    </w:rPr>
  </w:style>
  <w:style w:type="paragraph" w:styleId="Caption">
    <w:name w:val="caption"/>
    <w:basedOn w:val="Normal"/>
    <w:next w:val="Normal"/>
    <w:uiPriority w:val="35"/>
    <w:semiHidden/>
    <w:unhideWhenUsed/>
    <w:qFormat/>
    <w:locked/>
    <w:rsid w:val="00BC5C06"/>
    <w:rPr>
      <w:b/>
      <w:bCs/>
      <w:sz w:val="20"/>
      <w:szCs w:val="20"/>
    </w:rPr>
  </w:style>
  <w:style w:type="paragraph" w:styleId="Closing">
    <w:name w:val="Closing"/>
    <w:basedOn w:val="Normal"/>
    <w:link w:val="ClosingChar"/>
    <w:uiPriority w:val="99"/>
    <w:semiHidden/>
    <w:unhideWhenUsed/>
    <w:locked/>
    <w:rsid w:val="00BC5C06"/>
    <w:pPr>
      <w:ind w:left="4320"/>
    </w:pPr>
  </w:style>
  <w:style w:type="character" w:customStyle="1" w:styleId="ClosingChar">
    <w:name w:val="Closing Char"/>
    <w:basedOn w:val="DefaultParagraphFont"/>
    <w:link w:val="Closing"/>
    <w:uiPriority w:val="99"/>
    <w:semiHidden/>
    <w:rsid w:val="00BC5C06"/>
    <w:rPr>
      <w:sz w:val="24"/>
      <w:szCs w:val="24"/>
    </w:rPr>
  </w:style>
  <w:style w:type="paragraph" w:styleId="Date">
    <w:name w:val="Date"/>
    <w:basedOn w:val="Normal"/>
    <w:next w:val="Normal"/>
    <w:link w:val="DateChar"/>
    <w:uiPriority w:val="99"/>
    <w:semiHidden/>
    <w:unhideWhenUsed/>
    <w:locked/>
    <w:rsid w:val="00BC5C06"/>
  </w:style>
  <w:style w:type="character" w:customStyle="1" w:styleId="DateChar">
    <w:name w:val="Date Char"/>
    <w:basedOn w:val="DefaultParagraphFont"/>
    <w:link w:val="Date"/>
    <w:uiPriority w:val="99"/>
    <w:semiHidden/>
    <w:rsid w:val="00BC5C06"/>
    <w:rPr>
      <w:sz w:val="24"/>
      <w:szCs w:val="24"/>
    </w:rPr>
  </w:style>
  <w:style w:type="paragraph" w:styleId="DocumentMap">
    <w:name w:val="Document Map"/>
    <w:basedOn w:val="Normal"/>
    <w:link w:val="DocumentMapChar"/>
    <w:uiPriority w:val="99"/>
    <w:semiHidden/>
    <w:unhideWhenUsed/>
    <w:locked/>
    <w:rsid w:val="00BC5C06"/>
    <w:rPr>
      <w:rFonts w:ascii="Tahoma" w:hAnsi="Tahoma" w:cs="Tahoma"/>
      <w:sz w:val="16"/>
      <w:szCs w:val="16"/>
    </w:rPr>
  </w:style>
  <w:style w:type="character" w:customStyle="1" w:styleId="DocumentMapChar">
    <w:name w:val="Document Map Char"/>
    <w:basedOn w:val="DefaultParagraphFont"/>
    <w:link w:val="DocumentMap"/>
    <w:uiPriority w:val="99"/>
    <w:semiHidden/>
    <w:rsid w:val="00BC5C06"/>
    <w:rPr>
      <w:rFonts w:ascii="Tahoma" w:hAnsi="Tahoma" w:cs="Tahoma"/>
      <w:sz w:val="16"/>
      <w:szCs w:val="16"/>
    </w:rPr>
  </w:style>
  <w:style w:type="paragraph" w:styleId="E-mailSignature">
    <w:name w:val="E-mail Signature"/>
    <w:basedOn w:val="Normal"/>
    <w:link w:val="E-mailSignatureChar"/>
    <w:uiPriority w:val="99"/>
    <w:semiHidden/>
    <w:unhideWhenUsed/>
    <w:locked/>
    <w:rsid w:val="00BC5C06"/>
  </w:style>
  <w:style w:type="character" w:customStyle="1" w:styleId="E-mailSignatureChar">
    <w:name w:val="E-mail Signature Char"/>
    <w:basedOn w:val="DefaultParagraphFont"/>
    <w:link w:val="E-mailSignature"/>
    <w:uiPriority w:val="99"/>
    <w:semiHidden/>
    <w:rsid w:val="00BC5C06"/>
    <w:rPr>
      <w:sz w:val="24"/>
      <w:szCs w:val="24"/>
    </w:rPr>
  </w:style>
  <w:style w:type="paragraph" w:styleId="EndnoteText">
    <w:name w:val="endnote text"/>
    <w:basedOn w:val="Normal"/>
    <w:link w:val="EndnoteTextChar"/>
    <w:uiPriority w:val="99"/>
    <w:semiHidden/>
    <w:unhideWhenUsed/>
    <w:locked/>
    <w:rsid w:val="00BC5C06"/>
    <w:rPr>
      <w:sz w:val="20"/>
      <w:szCs w:val="20"/>
    </w:rPr>
  </w:style>
  <w:style w:type="character" w:customStyle="1" w:styleId="EndnoteTextChar">
    <w:name w:val="Endnote Text Char"/>
    <w:basedOn w:val="DefaultParagraphFont"/>
    <w:link w:val="EndnoteText"/>
    <w:uiPriority w:val="99"/>
    <w:semiHidden/>
    <w:rsid w:val="00BC5C06"/>
  </w:style>
  <w:style w:type="paragraph" w:styleId="EnvelopeAddress">
    <w:name w:val="envelope address"/>
    <w:basedOn w:val="Normal"/>
    <w:uiPriority w:val="99"/>
    <w:semiHidden/>
    <w:unhideWhenUsed/>
    <w:locked/>
    <w:rsid w:val="00BC5C0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BC5C06"/>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locked/>
    <w:rsid w:val="00BC5C06"/>
    <w:rPr>
      <w:i/>
      <w:iCs/>
    </w:rPr>
  </w:style>
  <w:style w:type="character" w:customStyle="1" w:styleId="HTMLAddressChar">
    <w:name w:val="HTML Address Char"/>
    <w:basedOn w:val="DefaultParagraphFont"/>
    <w:link w:val="HTMLAddress"/>
    <w:uiPriority w:val="99"/>
    <w:semiHidden/>
    <w:rsid w:val="00BC5C06"/>
    <w:rPr>
      <w:i/>
      <w:iCs/>
      <w:sz w:val="24"/>
      <w:szCs w:val="24"/>
    </w:rPr>
  </w:style>
  <w:style w:type="paragraph" w:styleId="HTMLPreformatted">
    <w:name w:val="HTML Preformatted"/>
    <w:basedOn w:val="Normal"/>
    <w:link w:val="HTMLPreformattedChar"/>
    <w:uiPriority w:val="99"/>
    <w:semiHidden/>
    <w:unhideWhenUsed/>
    <w:locked/>
    <w:rsid w:val="00BC5C0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C5C06"/>
    <w:rPr>
      <w:rFonts w:ascii="Courier New" w:hAnsi="Courier New" w:cs="Courier New"/>
    </w:rPr>
  </w:style>
  <w:style w:type="paragraph" w:styleId="Index1">
    <w:name w:val="index 1"/>
    <w:basedOn w:val="Normal"/>
    <w:next w:val="Normal"/>
    <w:autoRedefine/>
    <w:uiPriority w:val="99"/>
    <w:semiHidden/>
    <w:unhideWhenUsed/>
    <w:locked/>
    <w:rsid w:val="00BC5C06"/>
    <w:pPr>
      <w:ind w:left="240" w:hanging="240"/>
    </w:pPr>
  </w:style>
  <w:style w:type="paragraph" w:styleId="Index2">
    <w:name w:val="index 2"/>
    <w:basedOn w:val="Normal"/>
    <w:next w:val="Normal"/>
    <w:autoRedefine/>
    <w:uiPriority w:val="99"/>
    <w:semiHidden/>
    <w:unhideWhenUsed/>
    <w:locked/>
    <w:rsid w:val="00BC5C06"/>
    <w:pPr>
      <w:ind w:left="480" w:hanging="240"/>
    </w:pPr>
  </w:style>
  <w:style w:type="paragraph" w:styleId="Index3">
    <w:name w:val="index 3"/>
    <w:basedOn w:val="Normal"/>
    <w:next w:val="Normal"/>
    <w:autoRedefine/>
    <w:uiPriority w:val="99"/>
    <w:semiHidden/>
    <w:unhideWhenUsed/>
    <w:locked/>
    <w:rsid w:val="00BC5C06"/>
    <w:pPr>
      <w:ind w:left="720" w:hanging="240"/>
    </w:pPr>
  </w:style>
  <w:style w:type="paragraph" w:styleId="Index4">
    <w:name w:val="index 4"/>
    <w:basedOn w:val="Normal"/>
    <w:next w:val="Normal"/>
    <w:autoRedefine/>
    <w:uiPriority w:val="99"/>
    <w:semiHidden/>
    <w:unhideWhenUsed/>
    <w:locked/>
    <w:rsid w:val="00BC5C06"/>
    <w:pPr>
      <w:ind w:left="960" w:hanging="240"/>
    </w:pPr>
  </w:style>
  <w:style w:type="paragraph" w:styleId="Index5">
    <w:name w:val="index 5"/>
    <w:basedOn w:val="Normal"/>
    <w:next w:val="Normal"/>
    <w:autoRedefine/>
    <w:uiPriority w:val="99"/>
    <w:semiHidden/>
    <w:unhideWhenUsed/>
    <w:locked/>
    <w:rsid w:val="00BC5C06"/>
    <w:pPr>
      <w:ind w:left="1200" w:hanging="240"/>
    </w:pPr>
  </w:style>
  <w:style w:type="paragraph" w:styleId="Index6">
    <w:name w:val="index 6"/>
    <w:basedOn w:val="Normal"/>
    <w:next w:val="Normal"/>
    <w:autoRedefine/>
    <w:uiPriority w:val="99"/>
    <w:semiHidden/>
    <w:unhideWhenUsed/>
    <w:locked/>
    <w:rsid w:val="00BC5C06"/>
    <w:pPr>
      <w:ind w:left="1440" w:hanging="240"/>
    </w:pPr>
  </w:style>
  <w:style w:type="paragraph" w:styleId="Index7">
    <w:name w:val="index 7"/>
    <w:basedOn w:val="Normal"/>
    <w:next w:val="Normal"/>
    <w:autoRedefine/>
    <w:uiPriority w:val="99"/>
    <w:semiHidden/>
    <w:unhideWhenUsed/>
    <w:locked/>
    <w:rsid w:val="00BC5C06"/>
    <w:pPr>
      <w:ind w:left="1680" w:hanging="240"/>
    </w:pPr>
  </w:style>
  <w:style w:type="paragraph" w:styleId="Index8">
    <w:name w:val="index 8"/>
    <w:basedOn w:val="Normal"/>
    <w:next w:val="Normal"/>
    <w:autoRedefine/>
    <w:uiPriority w:val="99"/>
    <w:semiHidden/>
    <w:unhideWhenUsed/>
    <w:locked/>
    <w:rsid w:val="00BC5C06"/>
    <w:pPr>
      <w:ind w:left="1920" w:hanging="240"/>
    </w:pPr>
  </w:style>
  <w:style w:type="paragraph" w:styleId="Index9">
    <w:name w:val="index 9"/>
    <w:basedOn w:val="Normal"/>
    <w:next w:val="Normal"/>
    <w:autoRedefine/>
    <w:uiPriority w:val="99"/>
    <w:semiHidden/>
    <w:unhideWhenUsed/>
    <w:locked/>
    <w:rsid w:val="00BC5C06"/>
    <w:pPr>
      <w:ind w:left="2160" w:hanging="240"/>
    </w:pPr>
  </w:style>
  <w:style w:type="paragraph" w:styleId="IndexHeading">
    <w:name w:val="index heading"/>
    <w:basedOn w:val="Normal"/>
    <w:next w:val="Index1"/>
    <w:uiPriority w:val="99"/>
    <w:semiHidden/>
    <w:unhideWhenUsed/>
    <w:locked/>
    <w:rsid w:val="00BC5C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5C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5C06"/>
    <w:rPr>
      <w:b/>
      <w:bCs/>
      <w:i/>
      <w:iCs/>
      <w:color w:val="4F81BD" w:themeColor="accent1"/>
      <w:sz w:val="24"/>
      <w:szCs w:val="24"/>
    </w:rPr>
  </w:style>
  <w:style w:type="paragraph" w:styleId="List">
    <w:name w:val="List"/>
    <w:basedOn w:val="Normal"/>
    <w:uiPriority w:val="99"/>
    <w:semiHidden/>
    <w:unhideWhenUsed/>
    <w:locked/>
    <w:rsid w:val="00BC5C06"/>
    <w:pPr>
      <w:ind w:left="360" w:hanging="360"/>
      <w:contextualSpacing/>
    </w:pPr>
  </w:style>
  <w:style w:type="paragraph" w:styleId="List2">
    <w:name w:val="List 2"/>
    <w:basedOn w:val="Normal"/>
    <w:uiPriority w:val="99"/>
    <w:semiHidden/>
    <w:unhideWhenUsed/>
    <w:locked/>
    <w:rsid w:val="00BC5C06"/>
    <w:pPr>
      <w:ind w:left="720" w:hanging="360"/>
      <w:contextualSpacing/>
    </w:pPr>
  </w:style>
  <w:style w:type="paragraph" w:styleId="List3">
    <w:name w:val="List 3"/>
    <w:basedOn w:val="Normal"/>
    <w:uiPriority w:val="99"/>
    <w:semiHidden/>
    <w:unhideWhenUsed/>
    <w:locked/>
    <w:rsid w:val="00BC5C06"/>
    <w:pPr>
      <w:ind w:left="1080" w:hanging="360"/>
      <w:contextualSpacing/>
    </w:pPr>
  </w:style>
  <w:style w:type="paragraph" w:styleId="List4">
    <w:name w:val="List 4"/>
    <w:basedOn w:val="Normal"/>
    <w:uiPriority w:val="99"/>
    <w:semiHidden/>
    <w:unhideWhenUsed/>
    <w:locked/>
    <w:rsid w:val="00BC5C06"/>
    <w:pPr>
      <w:ind w:left="1440" w:hanging="360"/>
      <w:contextualSpacing/>
    </w:pPr>
  </w:style>
  <w:style w:type="paragraph" w:styleId="List5">
    <w:name w:val="List 5"/>
    <w:basedOn w:val="Normal"/>
    <w:uiPriority w:val="99"/>
    <w:semiHidden/>
    <w:unhideWhenUsed/>
    <w:locked/>
    <w:rsid w:val="00BC5C06"/>
    <w:pPr>
      <w:ind w:left="1800" w:hanging="360"/>
      <w:contextualSpacing/>
    </w:pPr>
  </w:style>
  <w:style w:type="paragraph" w:styleId="ListBullet">
    <w:name w:val="List Bullet"/>
    <w:basedOn w:val="Normal"/>
    <w:uiPriority w:val="99"/>
    <w:semiHidden/>
    <w:unhideWhenUsed/>
    <w:locked/>
    <w:rsid w:val="00BC5C06"/>
    <w:pPr>
      <w:numPr>
        <w:numId w:val="3"/>
      </w:numPr>
      <w:contextualSpacing/>
    </w:pPr>
  </w:style>
  <w:style w:type="paragraph" w:styleId="ListBullet2">
    <w:name w:val="List Bullet 2"/>
    <w:basedOn w:val="Normal"/>
    <w:uiPriority w:val="99"/>
    <w:semiHidden/>
    <w:unhideWhenUsed/>
    <w:locked/>
    <w:rsid w:val="00BC5C06"/>
    <w:pPr>
      <w:numPr>
        <w:numId w:val="4"/>
      </w:numPr>
      <w:contextualSpacing/>
    </w:pPr>
  </w:style>
  <w:style w:type="paragraph" w:styleId="ListBullet3">
    <w:name w:val="List Bullet 3"/>
    <w:basedOn w:val="Normal"/>
    <w:uiPriority w:val="99"/>
    <w:semiHidden/>
    <w:unhideWhenUsed/>
    <w:locked/>
    <w:rsid w:val="00BC5C06"/>
    <w:pPr>
      <w:numPr>
        <w:numId w:val="5"/>
      </w:numPr>
      <w:contextualSpacing/>
    </w:pPr>
  </w:style>
  <w:style w:type="paragraph" w:styleId="ListBullet4">
    <w:name w:val="List Bullet 4"/>
    <w:basedOn w:val="Normal"/>
    <w:uiPriority w:val="99"/>
    <w:semiHidden/>
    <w:unhideWhenUsed/>
    <w:locked/>
    <w:rsid w:val="00BC5C06"/>
    <w:pPr>
      <w:numPr>
        <w:numId w:val="6"/>
      </w:numPr>
      <w:contextualSpacing/>
    </w:pPr>
  </w:style>
  <w:style w:type="paragraph" w:styleId="ListBullet5">
    <w:name w:val="List Bullet 5"/>
    <w:basedOn w:val="Normal"/>
    <w:uiPriority w:val="99"/>
    <w:semiHidden/>
    <w:unhideWhenUsed/>
    <w:locked/>
    <w:rsid w:val="00BC5C06"/>
    <w:pPr>
      <w:numPr>
        <w:numId w:val="7"/>
      </w:numPr>
      <w:contextualSpacing/>
    </w:pPr>
  </w:style>
  <w:style w:type="paragraph" w:styleId="ListContinue">
    <w:name w:val="List Continue"/>
    <w:basedOn w:val="Normal"/>
    <w:uiPriority w:val="99"/>
    <w:semiHidden/>
    <w:unhideWhenUsed/>
    <w:locked/>
    <w:rsid w:val="00BC5C06"/>
    <w:pPr>
      <w:spacing w:after="120"/>
      <w:ind w:left="360"/>
      <w:contextualSpacing/>
    </w:pPr>
  </w:style>
  <w:style w:type="paragraph" w:styleId="ListContinue2">
    <w:name w:val="List Continue 2"/>
    <w:basedOn w:val="Normal"/>
    <w:uiPriority w:val="99"/>
    <w:semiHidden/>
    <w:unhideWhenUsed/>
    <w:locked/>
    <w:rsid w:val="00BC5C06"/>
    <w:pPr>
      <w:spacing w:after="120"/>
      <w:ind w:left="720"/>
      <w:contextualSpacing/>
    </w:pPr>
  </w:style>
  <w:style w:type="paragraph" w:styleId="ListContinue3">
    <w:name w:val="List Continue 3"/>
    <w:basedOn w:val="Normal"/>
    <w:uiPriority w:val="99"/>
    <w:semiHidden/>
    <w:unhideWhenUsed/>
    <w:locked/>
    <w:rsid w:val="00BC5C06"/>
    <w:pPr>
      <w:spacing w:after="120"/>
      <w:ind w:left="1080"/>
      <w:contextualSpacing/>
    </w:pPr>
  </w:style>
  <w:style w:type="paragraph" w:styleId="ListContinue4">
    <w:name w:val="List Continue 4"/>
    <w:basedOn w:val="Normal"/>
    <w:uiPriority w:val="99"/>
    <w:semiHidden/>
    <w:unhideWhenUsed/>
    <w:locked/>
    <w:rsid w:val="00BC5C06"/>
    <w:pPr>
      <w:spacing w:after="120"/>
      <w:ind w:left="1440"/>
      <w:contextualSpacing/>
    </w:pPr>
  </w:style>
  <w:style w:type="paragraph" w:styleId="ListContinue5">
    <w:name w:val="List Continue 5"/>
    <w:basedOn w:val="Normal"/>
    <w:uiPriority w:val="99"/>
    <w:semiHidden/>
    <w:unhideWhenUsed/>
    <w:locked/>
    <w:rsid w:val="00BC5C06"/>
    <w:pPr>
      <w:spacing w:after="120"/>
      <w:ind w:left="1800"/>
      <w:contextualSpacing/>
    </w:pPr>
  </w:style>
  <w:style w:type="paragraph" w:styleId="ListNumber">
    <w:name w:val="List Number"/>
    <w:basedOn w:val="Normal"/>
    <w:uiPriority w:val="99"/>
    <w:semiHidden/>
    <w:unhideWhenUsed/>
    <w:locked/>
    <w:rsid w:val="00BC5C06"/>
    <w:pPr>
      <w:numPr>
        <w:numId w:val="8"/>
      </w:numPr>
      <w:contextualSpacing/>
    </w:pPr>
  </w:style>
  <w:style w:type="paragraph" w:styleId="ListNumber2">
    <w:name w:val="List Number 2"/>
    <w:basedOn w:val="Normal"/>
    <w:uiPriority w:val="99"/>
    <w:semiHidden/>
    <w:unhideWhenUsed/>
    <w:locked/>
    <w:rsid w:val="00BC5C06"/>
    <w:pPr>
      <w:numPr>
        <w:numId w:val="9"/>
      </w:numPr>
      <w:contextualSpacing/>
    </w:pPr>
  </w:style>
  <w:style w:type="paragraph" w:styleId="ListNumber3">
    <w:name w:val="List Number 3"/>
    <w:basedOn w:val="Normal"/>
    <w:uiPriority w:val="99"/>
    <w:semiHidden/>
    <w:unhideWhenUsed/>
    <w:locked/>
    <w:rsid w:val="00BC5C06"/>
    <w:pPr>
      <w:numPr>
        <w:numId w:val="10"/>
      </w:numPr>
      <w:contextualSpacing/>
    </w:pPr>
  </w:style>
  <w:style w:type="paragraph" w:styleId="ListNumber4">
    <w:name w:val="List Number 4"/>
    <w:basedOn w:val="Normal"/>
    <w:uiPriority w:val="99"/>
    <w:semiHidden/>
    <w:unhideWhenUsed/>
    <w:locked/>
    <w:rsid w:val="00BC5C06"/>
    <w:pPr>
      <w:numPr>
        <w:numId w:val="11"/>
      </w:numPr>
      <w:contextualSpacing/>
    </w:pPr>
  </w:style>
  <w:style w:type="paragraph" w:styleId="ListNumber5">
    <w:name w:val="List Number 5"/>
    <w:basedOn w:val="Normal"/>
    <w:uiPriority w:val="99"/>
    <w:semiHidden/>
    <w:unhideWhenUsed/>
    <w:locked/>
    <w:rsid w:val="00BC5C06"/>
    <w:pPr>
      <w:numPr>
        <w:numId w:val="12"/>
      </w:numPr>
      <w:contextualSpacing/>
    </w:pPr>
  </w:style>
  <w:style w:type="paragraph" w:styleId="MacroText">
    <w:name w:val="macro"/>
    <w:link w:val="MacroTextChar"/>
    <w:uiPriority w:val="99"/>
    <w:semiHidden/>
    <w:unhideWhenUsed/>
    <w:locked/>
    <w:rsid w:val="00BC5C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BC5C06"/>
    <w:rPr>
      <w:rFonts w:ascii="Courier New" w:hAnsi="Courier New" w:cs="Courier New"/>
    </w:rPr>
  </w:style>
  <w:style w:type="paragraph" w:styleId="MessageHeader">
    <w:name w:val="Message Header"/>
    <w:basedOn w:val="Normal"/>
    <w:link w:val="MessageHeaderChar"/>
    <w:uiPriority w:val="99"/>
    <w:semiHidden/>
    <w:unhideWhenUsed/>
    <w:locked/>
    <w:rsid w:val="00BC5C0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C5C06"/>
    <w:rPr>
      <w:rFonts w:asciiTheme="majorHAnsi" w:eastAsiaTheme="majorEastAsia" w:hAnsiTheme="majorHAnsi" w:cstheme="majorBidi"/>
      <w:sz w:val="24"/>
      <w:szCs w:val="24"/>
      <w:shd w:val="pct20" w:color="auto" w:fill="auto"/>
    </w:rPr>
  </w:style>
  <w:style w:type="paragraph" w:styleId="NoSpacing">
    <w:name w:val="No Spacing"/>
    <w:uiPriority w:val="1"/>
    <w:qFormat/>
    <w:rsid w:val="00BC5C06"/>
    <w:rPr>
      <w:sz w:val="24"/>
      <w:szCs w:val="24"/>
    </w:rPr>
  </w:style>
  <w:style w:type="paragraph" w:styleId="NormalWeb">
    <w:name w:val="Normal (Web)"/>
    <w:basedOn w:val="Normal"/>
    <w:uiPriority w:val="99"/>
    <w:semiHidden/>
    <w:unhideWhenUsed/>
    <w:locked/>
    <w:rsid w:val="00BC5C06"/>
  </w:style>
  <w:style w:type="paragraph" w:styleId="NormalIndent">
    <w:name w:val="Normal Indent"/>
    <w:basedOn w:val="Normal"/>
    <w:uiPriority w:val="99"/>
    <w:semiHidden/>
    <w:unhideWhenUsed/>
    <w:locked/>
    <w:rsid w:val="00BC5C06"/>
    <w:pPr>
      <w:ind w:left="720"/>
    </w:pPr>
  </w:style>
  <w:style w:type="paragraph" w:styleId="NoteHeading">
    <w:name w:val="Note Heading"/>
    <w:basedOn w:val="Normal"/>
    <w:next w:val="Normal"/>
    <w:link w:val="NoteHeadingChar"/>
    <w:uiPriority w:val="99"/>
    <w:semiHidden/>
    <w:unhideWhenUsed/>
    <w:locked/>
    <w:rsid w:val="00BC5C06"/>
  </w:style>
  <w:style w:type="character" w:customStyle="1" w:styleId="NoteHeadingChar">
    <w:name w:val="Note Heading Char"/>
    <w:basedOn w:val="DefaultParagraphFont"/>
    <w:link w:val="NoteHeading"/>
    <w:uiPriority w:val="99"/>
    <w:semiHidden/>
    <w:rsid w:val="00BC5C06"/>
    <w:rPr>
      <w:sz w:val="24"/>
      <w:szCs w:val="24"/>
    </w:rPr>
  </w:style>
  <w:style w:type="paragraph" w:styleId="PlainText">
    <w:name w:val="Plain Text"/>
    <w:basedOn w:val="Normal"/>
    <w:link w:val="PlainTextChar"/>
    <w:uiPriority w:val="99"/>
    <w:semiHidden/>
    <w:unhideWhenUsed/>
    <w:locked/>
    <w:rsid w:val="00BC5C0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C5C06"/>
    <w:rPr>
      <w:rFonts w:ascii="Courier New" w:hAnsi="Courier New" w:cs="Courier New"/>
    </w:rPr>
  </w:style>
  <w:style w:type="paragraph" w:styleId="Quote">
    <w:name w:val="Quote"/>
    <w:basedOn w:val="Normal"/>
    <w:next w:val="Normal"/>
    <w:link w:val="QuoteChar"/>
    <w:uiPriority w:val="29"/>
    <w:qFormat/>
    <w:rsid w:val="00BC5C06"/>
    <w:rPr>
      <w:i/>
      <w:iCs/>
      <w:color w:val="000000" w:themeColor="text1"/>
    </w:rPr>
  </w:style>
  <w:style w:type="character" w:customStyle="1" w:styleId="QuoteChar">
    <w:name w:val="Quote Char"/>
    <w:basedOn w:val="DefaultParagraphFont"/>
    <w:link w:val="Quote"/>
    <w:uiPriority w:val="29"/>
    <w:rsid w:val="00BC5C06"/>
    <w:rPr>
      <w:i/>
      <w:iCs/>
      <w:color w:val="000000" w:themeColor="text1"/>
      <w:sz w:val="24"/>
      <w:szCs w:val="24"/>
    </w:rPr>
  </w:style>
  <w:style w:type="paragraph" w:styleId="Salutation">
    <w:name w:val="Salutation"/>
    <w:basedOn w:val="Normal"/>
    <w:next w:val="Normal"/>
    <w:link w:val="SalutationChar"/>
    <w:uiPriority w:val="99"/>
    <w:semiHidden/>
    <w:unhideWhenUsed/>
    <w:locked/>
    <w:rsid w:val="00BC5C06"/>
  </w:style>
  <w:style w:type="character" w:customStyle="1" w:styleId="SalutationChar">
    <w:name w:val="Salutation Char"/>
    <w:basedOn w:val="DefaultParagraphFont"/>
    <w:link w:val="Salutation"/>
    <w:uiPriority w:val="99"/>
    <w:semiHidden/>
    <w:rsid w:val="00BC5C06"/>
    <w:rPr>
      <w:sz w:val="24"/>
      <w:szCs w:val="24"/>
    </w:rPr>
  </w:style>
  <w:style w:type="paragraph" w:styleId="Signature">
    <w:name w:val="Signature"/>
    <w:basedOn w:val="Normal"/>
    <w:link w:val="SignatureChar"/>
    <w:uiPriority w:val="99"/>
    <w:semiHidden/>
    <w:unhideWhenUsed/>
    <w:locked/>
    <w:rsid w:val="00BC5C06"/>
    <w:pPr>
      <w:ind w:left="4320"/>
    </w:pPr>
  </w:style>
  <w:style w:type="character" w:customStyle="1" w:styleId="SignatureChar">
    <w:name w:val="Signature Char"/>
    <w:basedOn w:val="DefaultParagraphFont"/>
    <w:link w:val="Signature"/>
    <w:uiPriority w:val="99"/>
    <w:semiHidden/>
    <w:rsid w:val="00BC5C06"/>
    <w:rPr>
      <w:sz w:val="24"/>
      <w:szCs w:val="24"/>
    </w:rPr>
  </w:style>
  <w:style w:type="paragraph" w:styleId="Subtitle">
    <w:name w:val="Subtitle"/>
    <w:basedOn w:val="Normal"/>
    <w:next w:val="Normal"/>
    <w:link w:val="SubtitleChar"/>
    <w:uiPriority w:val="11"/>
    <w:qFormat/>
    <w:locked/>
    <w:rsid w:val="00BC5C0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C5C06"/>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locked/>
    <w:rsid w:val="00BC5C06"/>
    <w:pPr>
      <w:ind w:left="240" w:hanging="240"/>
    </w:pPr>
  </w:style>
  <w:style w:type="paragraph" w:styleId="TableofFigures">
    <w:name w:val="table of figures"/>
    <w:basedOn w:val="Normal"/>
    <w:next w:val="Normal"/>
    <w:uiPriority w:val="99"/>
    <w:semiHidden/>
    <w:unhideWhenUsed/>
    <w:locked/>
    <w:rsid w:val="00BC5C06"/>
  </w:style>
  <w:style w:type="paragraph" w:styleId="Title">
    <w:name w:val="Title"/>
    <w:basedOn w:val="Normal"/>
    <w:next w:val="Normal"/>
    <w:link w:val="TitleChar"/>
    <w:uiPriority w:val="10"/>
    <w:qFormat/>
    <w:locked/>
    <w:rsid w:val="00BC5C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5C06"/>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locked/>
    <w:rsid w:val="00BC5C06"/>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C5C06"/>
    <w:pPr>
      <w:keepNext/>
      <w:numPr>
        <w:numId w:val="0"/>
      </w:numPr>
      <w:spacing w:before="240" w:after="60"/>
      <w:jc w:val="left"/>
      <w:outlineLvl w:val="9"/>
    </w:pPr>
    <w:rPr>
      <w:rFonts w:asciiTheme="majorHAnsi" w:eastAsiaTheme="majorEastAsia" w:hAnsiTheme="majorHAnsi" w:cstheme="majorBidi"/>
      <w:bCs/>
      <w:kern w:val="32"/>
      <w:sz w:val="32"/>
      <w:szCs w:val="32"/>
    </w:rPr>
  </w:style>
  <w:style w:type="table" w:styleId="TableGrid">
    <w:name w:val="Table Grid"/>
    <w:basedOn w:val="TableNormal"/>
    <w:uiPriority w:val="59"/>
    <w:locked/>
    <w:rsid w:val="00FB7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DblSp5J">
    <w:name w:val="*Body Dbl Sp .5 J"/>
    <w:aliases w:val="BDS5J"/>
    <w:basedOn w:val="Normal"/>
    <w:link w:val="BodyDblSp5JChar"/>
    <w:qFormat/>
    <w:rsid w:val="00B61FD7"/>
    <w:pPr>
      <w:spacing w:line="480" w:lineRule="auto"/>
      <w:ind w:firstLine="720"/>
      <w:jc w:val="both"/>
    </w:pPr>
  </w:style>
  <w:style w:type="character" w:customStyle="1" w:styleId="BodyDblSp5JChar">
    <w:name w:val="*Body Dbl Sp .5 J Char"/>
    <w:aliases w:val="BDS5J Char"/>
    <w:basedOn w:val="DefaultParagraphFont"/>
    <w:link w:val="BodyDblSp5J"/>
    <w:rsid w:val="00B61FD7"/>
    <w:rPr>
      <w:sz w:val="24"/>
      <w:szCs w:val="24"/>
    </w:rPr>
  </w:style>
  <w:style w:type="paragraph" w:customStyle="1" w:styleId="BodyDblIndentJ">
    <w:name w:val="*Body Dbl Indent J"/>
    <w:aliases w:val="BDIJ"/>
    <w:basedOn w:val="BodyDblIndent"/>
    <w:link w:val="BodyDblIndentJChar"/>
    <w:qFormat/>
    <w:rsid w:val="004974BA"/>
    <w:pPr>
      <w:jc w:val="both"/>
    </w:pPr>
  </w:style>
  <w:style w:type="character" w:customStyle="1" w:styleId="BodyDblIndentJChar">
    <w:name w:val="*Body Dbl Indent J Char"/>
    <w:aliases w:val="BDIJ Char"/>
    <w:basedOn w:val="DefaultParagraphFont"/>
    <w:link w:val="BodyDblIndentJ"/>
    <w:rsid w:val="004974BA"/>
    <w:rPr>
      <w:sz w:val="24"/>
      <w:szCs w:val="24"/>
    </w:rPr>
  </w:style>
  <w:style w:type="paragraph" w:customStyle="1" w:styleId="BodyDblIndent">
    <w:name w:val="*Body Dbl Indent"/>
    <w:aliases w:val="BDI"/>
    <w:basedOn w:val="Normal"/>
    <w:next w:val="Normal"/>
    <w:link w:val="BodyDblIndentChar"/>
    <w:rsid w:val="004974BA"/>
    <w:pPr>
      <w:spacing w:after="240"/>
      <w:ind w:left="1440" w:right="1440"/>
    </w:pPr>
  </w:style>
  <w:style w:type="character" w:customStyle="1" w:styleId="BodyDblIndentChar">
    <w:name w:val="*Body Dbl Indent Char"/>
    <w:aliases w:val="BDI Char"/>
    <w:basedOn w:val="DefaultParagraphFont"/>
    <w:link w:val="BodyDblIndent"/>
    <w:rsid w:val="004974BA"/>
    <w:rPr>
      <w:sz w:val="24"/>
      <w:szCs w:val="24"/>
    </w:rPr>
  </w:style>
  <w:style w:type="paragraph" w:customStyle="1" w:styleId="BodyDblSpJ">
    <w:name w:val="*Body Dbl Sp J"/>
    <w:aliases w:val="BDSJ"/>
    <w:basedOn w:val="Normal"/>
    <w:link w:val="BodyDblSpJChar"/>
    <w:qFormat/>
    <w:rsid w:val="004974BA"/>
    <w:pPr>
      <w:spacing w:line="480" w:lineRule="auto"/>
      <w:jc w:val="both"/>
    </w:pPr>
  </w:style>
  <w:style w:type="character" w:customStyle="1" w:styleId="BodyDblSpJChar">
    <w:name w:val="*Body Dbl Sp J Char"/>
    <w:aliases w:val="BDSJ Char"/>
    <w:basedOn w:val="DefaultParagraphFont"/>
    <w:link w:val="BodyDblSpJ"/>
    <w:rsid w:val="004974BA"/>
    <w:rPr>
      <w:sz w:val="24"/>
      <w:szCs w:val="24"/>
    </w:rPr>
  </w:style>
  <w:style w:type="paragraph" w:customStyle="1" w:styleId="Bullet1">
    <w:name w:val="Bullet1"/>
    <w:basedOn w:val="Heading3"/>
    <w:rsid w:val="00F6641F"/>
    <w:pPr>
      <w:numPr>
        <w:ilvl w:val="0"/>
        <w:numId w:val="15"/>
      </w:numPr>
      <w:ind w:left="1440" w:hanging="720"/>
    </w:pPr>
    <w:rPr>
      <w:u w:val="none"/>
    </w:rPr>
  </w:style>
  <w:style w:type="paragraph" w:customStyle="1" w:styleId="Bullet2">
    <w:name w:val="Bullet2"/>
    <w:basedOn w:val="Heading3"/>
    <w:rsid w:val="007B2979"/>
    <w:pPr>
      <w:numPr>
        <w:ilvl w:val="0"/>
        <w:numId w:val="14"/>
      </w:numPr>
    </w:pPr>
    <w:rPr>
      <w:u w:val="none"/>
    </w:rPr>
  </w:style>
  <w:style w:type="paragraph" w:customStyle="1" w:styleId="numberlist">
    <w:name w:val="()numberlist"/>
    <w:basedOn w:val="Heading3"/>
    <w:rsid w:val="00F6641F"/>
    <w:pPr>
      <w:numPr>
        <w:ilvl w:val="0"/>
        <w:numId w:val="0"/>
      </w:numPr>
      <w:ind w:left="1800"/>
    </w:pPr>
    <w:rPr>
      <w:u w:val="none"/>
    </w:rPr>
  </w:style>
  <w:style w:type="paragraph" w:customStyle="1" w:styleId="Nounderlinebullet2">
    <w:name w:val="Nounderlinebullet2"/>
    <w:basedOn w:val="Normal"/>
    <w:rsid w:val="00D8142D"/>
    <w:pPr>
      <w:numPr>
        <w:numId w:val="13"/>
      </w:numPr>
      <w:spacing w:after="240"/>
      <w:ind w:hanging="720"/>
    </w:pPr>
    <w:rPr>
      <w:rFonts w:eastAsia="SimSu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562B"/>
    <w:rPr>
      <w:sz w:val="24"/>
      <w:szCs w:val="24"/>
    </w:rPr>
  </w:style>
  <w:style w:type="paragraph" w:styleId="Heading1">
    <w:name w:val="heading 1"/>
    <w:basedOn w:val="Normal"/>
    <w:link w:val="Heading1Char"/>
    <w:uiPriority w:val="99"/>
    <w:qFormat/>
    <w:rsid w:val="001D317C"/>
    <w:pPr>
      <w:numPr>
        <w:numId w:val="20"/>
      </w:numPr>
      <w:spacing w:after="240"/>
      <w:jc w:val="both"/>
      <w:outlineLvl w:val="0"/>
    </w:pPr>
    <w:rPr>
      <w:rFonts w:eastAsia="SimSun"/>
      <w:b/>
    </w:rPr>
  </w:style>
  <w:style w:type="paragraph" w:styleId="Heading2">
    <w:name w:val="heading 2"/>
    <w:basedOn w:val="Normal"/>
    <w:link w:val="Heading2Char"/>
    <w:uiPriority w:val="99"/>
    <w:qFormat/>
    <w:rsid w:val="008C2A5C"/>
    <w:pPr>
      <w:numPr>
        <w:ilvl w:val="1"/>
        <w:numId w:val="20"/>
      </w:numPr>
      <w:suppressAutoHyphens/>
      <w:spacing w:after="240"/>
      <w:jc w:val="both"/>
      <w:outlineLvl w:val="1"/>
    </w:pPr>
    <w:rPr>
      <w:rFonts w:eastAsia="SimSun"/>
      <w:b/>
      <w:bCs/>
    </w:rPr>
  </w:style>
  <w:style w:type="paragraph" w:styleId="Heading3">
    <w:name w:val="heading 3"/>
    <w:basedOn w:val="Normal"/>
    <w:link w:val="Heading3Char"/>
    <w:uiPriority w:val="99"/>
    <w:qFormat/>
    <w:rsid w:val="0002354A"/>
    <w:pPr>
      <w:numPr>
        <w:ilvl w:val="2"/>
        <w:numId w:val="20"/>
      </w:numPr>
      <w:suppressAutoHyphens/>
      <w:spacing w:after="240"/>
      <w:jc w:val="both"/>
      <w:outlineLvl w:val="2"/>
    </w:pPr>
    <w:rPr>
      <w:rFonts w:eastAsia="SimSun"/>
      <w:bCs/>
      <w:u w:val="single"/>
    </w:rPr>
  </w:style>
  <w:style w:type="paragraph" w:styleId="Heading4">
    <w:name w:val="heading 4"/>
    <w:basedOn w:val="Normal"/>
    <w:link w:val="Heading4Char"/>
    <w:uiPriority w:val="99"/>
    <w:qFormat/>
    <w:rsid w:val="00B40EFA"/>
    <w:pPr>
      <w:numPr>
        <w:ilvl w:val="3"/>
        <w:numId w:val="20"/>
      </w:numPr>
      <w:suppressAutoHyphens/>
      <w:spacing w:after="240"/>
      <w:jc w:val="both"/>
      <w:outlineLvl w:val="3"/>
    </w:pPr>
    <w:rPr>
      <w:bCs/>
      <w:i/>
    </w:rPr>
  </w:style>
  <w:style w:type="paragraph" w:styleId="Heading5">
    <w:name w:val="heading 5"/>
    <w:basedOn w:val="Normal"/>
    <w:link w:val="Heading5Char"/>
    <w:uiPriority w:val="99"/>
    <w:qFormat/>
    <w:rsid w:val="008C2A5C"/>
    <w:pPr>
      <w:numPr>
        <w:ilvl w:val="4"/>
        <w:numId w:val="20"/>
      </w:numPr>
      <w:suppressAutoHyphens/>
      <w:spacing w:after="240"/>
      <w:jc w:val="both"/>
      <w:outlineLvl w:val="4"/>
    </w:pPr>
    <w:rPr>
      <w:bCs/>
    </w:rPr>
  </w:style>
  <w:style w:type="paragraph" w:styleId="Heading6">
    <w:name w:val="heading 6"/>
    <w:basedOn w:val="Normal"/>
    <w:link w:val="Heading6Char"/>
    <w:uiPriority w:val="99"/>
    <w:qFormat/>
    <w:rsid w:val="008C2A5C"/>
    <w:pPr>
      <w:numPr>
        <w:ilvl w:val="5"/>
        <w:numId w:val="20"/>
      </w:numPr>
      <w:suppressAutoHyphens/>
      <w:spacing w:after="240"/>
      <w:jc w:val="both"/>
      <w:outlineLvl w:val="5"/>
    </w:pPr>
    <w:rPr>
      <w:bCs/>
    </w:rPr>
  </w:style>
  <w:style w:type="paragraph" w:styleId="Heading7">
    <w:name w:val="heading 7"/>
    <w:basedOn w:val="Normal"/>
    <w:link w:val="Heading7Char"/>
    <w:uiPriority w:val="99"/>
    <w:qFormat/>
    <w:rsid w:val="008C2A5C"/>
    <w:pPr>
      <w:numPr>
        <w:ilvl w:val="6"/>
        <w:numId w:val="20"/>
      </w:numPr>
      <w:suppressAutoHyphens/>
      <w:spacing w:after="240"/>
      <w:jc w:val="both"/>
      <w:outlineLvl w:val="6"/>
    </w:pPr>
    <w:rPr>
      <w:bCs/>
    </w:rPr>
  </w:style>
  <w:style w:type="paragraph" w:styleId="Heading8">
    <w:name w:val="heading 8"/>
    <w:basedOn w:val="Normal"/>
    <w:link w:val="Heading8Char"/>
    <w:uiPriority w:val="99"/>
    <w:qFormat/>
    <w:rsid w:val="008C2A5C"/>
    <w:pPr>
      <w:numPr>
        <w:ilvl w:val="7"/>
        <w:numId w:val="20"/>
      </w:numPr>
      <w:suppressAutoHyphens/>
      <w:spacing w:after="240"/>
      <w:jc w:val="both"/>
      <w:outlineLvl w:val="7"/>
    </w:pPr>
    <w:rPr>
      <w:bCs/>
    </w:rPr>
  </w:style>
  <w:style w:type="paragraph" w:styleId="Heading9">
    <w:name w:val="heading 9"/>
    <w:basedOn w:val="Normal"/>
    <w:link w:val="Heading9Char"/>
    <w:uiPriority w:val="99"/>
    <w:qFormat/>
    <w:rsid w:val="008C2A5C"/>
    <w:pPr>
      <w:numPr>
        <w:ilvl w:val="8"/>
        <w:numId w:val="20"/>
      </w:numPr>
      <w:suppressAutoHyphens/>
      <w:spacing w:after="240"/>
      <w:jc w:val="both"/>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317C"/>
    <w:rPr>
      <w:rFonts w:eastAsia="SimSun"/>
      <w:b/>
      <w:sz w:val="24"/>
      <w:szCs w:val="24"/>
    </w:rPr>
  </w:style>
  <w:style w:type="character" w:customStyle="1" w:styleId="Heading2Char">
    <w:name w:val="Heading 2 Char"/>
    <w:link w:val="Heading2"/>
    <w:uiPriority w:val="99"/>
    <w:locked/>
    <w:rsid w:val="008C2A5C"/>
    <w:rPr>
      <w:rFonts w:eastAsia="SimSun"/>
      <w:b/>
      <w:bCs/>
      <w:sz w:val="24"/>
      <w:szCs w:val="24"/>
    </w:rPr>
  </w:style>
  <w:style w:type="character" w:customStyle="1" w:styleId="Heading3Char">
    <w:name w:val="Heading 3 Char"/>
    <w:link w:val="Heading3"/>
    <w:uiPriority w:val="99"/>
    <w:locked/>
    <w:rsid w:val="0002354A"/>
    <w:rPr>
      <w:rFonts w:eastAsia="SimSun"/>
      <w:bCs/>
      <w:sz w:val="24"/>
      <w:szCs w:val="24"/>
      <w:u w:val="single"/>
    </w:rPr>
  </w:style>
  <w:style w:type="character" w:customStyle="1" w:styleId="Heading4Char">
    <w:name w:val="Heading 4 Char"/>
    <w:link w:val="Heading4"/>
    <w:uiPriority w:val="99"/>
    <w:locked/>
    <w:rsid w:val="00B40EFA"/>
    <w:rPr>
      <w:bCs/>
      <w:i/>
      <w:sz w:val="24"/>
      <w:szCs w:val="24"/>
    </w:rPr>
  </w:style>
  <w:style w:type="character" w:customStyle="1" w:styleId="Heading5Char">
    <w:name w:val="Heading 5 Char"/>
    <w:link w:val="Heading5"/>
    <w:uiPriority w:val="99"/>
    <w:locked/>
    <w:rsid w:val="008C2A5C"/>
    <w:rPr>
      <w:bCs/>
      <w:sz w:val="24"/>
      <w:szCs w:val="24"/>
    </w:rPr>
  </w:style>
  <w:style w:type="character" w:customStyle="1" w:styleId="Heading6Char">
    <w:name w:val="Heading 6 Char"/>
    <w:link w:val="Heading6"/>
    <w:uiPriority w:val="99"/>
    <w:locked/>
    <w:rsid w:val="008C2A5C"/>
    <w:rPr>
      <w:bCs/>
      <w:sz w:val="24"/>
      <w:szCs w:val="24"/>
    </w:rPr>
  </w:style>
  <w:style w:type="character" w:customStyle="1" w:styleId="Heading7Char">
    <w:name w:val="Heading 7 Char"/>
    <w:link w:val="Heading7"/>
    <w:uiPriority w:val="99"/>
    <w:locked/>
    <w:rsid w:val="008C2A5C"/>
    <w:rPr>
      <w:bCs/>
      <w:sz w:val="24"/>
      <w:szCs w:val="24"/>
    </w:rPr>
  </w:style>
  <w:style w:type="character" w:customStyle="1" w:styleId="Heading8Char">
    <w:name w:val="Heading 8 Char"/>
    <w:link w:val="Heading8"/>
    <w:uiPriority w:val="99"/>
    <w:locked/>
    <w:rsid w:val="008C2A5C"/>
    <w:rPr>
      <w:bCs/>
      <w:sz w:val="24"/>
      <w:szCs w:val="24"/>
    </w:rPr>
  </w:style>
  <w:style w:type="character" w:customStyle="1" w:styleId="Heading9Char">
    <w:name w:val="Heading 9 Char"/>
    <w:link w:val="Heading9"/>
    <w:uiPriority w:val="99"/>
    <w:locked/>
    <w:rsid w:val="008C2A5C"/>
    <w:rPr>
      <w:bCs/>
      <w:sz w:val="24"/>
      <w:szCs w:val="24"/>
    </w:rPr>
  </w:style>
  <w:style w:type="paragraph" w:styleId="BalloonText">
    <w:name w:val="Balloon Text"/>
    <w:basedOn w:val="Normal"/>
    <w:link w:val="BalloonTextChar"/>
    <w:uiPriority w:val="99"/>
    <w:semiHidden/>
    <w:rsid w:val="003A2578"/>
    <w:rPr>
      <w:rFonts w:ascii="Tahoma" w:hAnsi="Tahoma" w:cs="Tahoma"/>
      <w:sz w:val="16"/>
      <w:szCs w:val="16"/>
    </w:rPr>
  </w:style>
  <w:style w:type="character" w:customStyle="1" w:styleId="BalloonTextChar">
    <w:name w:val="Balloon Text Char"/>
    <w:link w:val="BalloonText"/>
    <w:uiPriority w:val="99"/>
    <w:semiHidden/>
    <w:locked/>
    <w:rsid w:val="003A2578"/>
    <w:rPr>
      <w:rFonts w:ascii="Tahoma" w:hAnsi="Tahoma" w:cs="Tahoma"/>
      <w:sz w:val="16"/>
      <w:szCs w:val="16"/>
    </w:rPr>
  </w:style>
  <w:style w:type="paragraph" w:styleId="Footer">
    <w:name w:val="footer"/>
    <w:basedOn w:val="Normal"/>
    <w:link w:val="FooterChar"/>
    <w:uiPriority w:val="99"/>
    <w:rsid w:val="006F297B"/>
    <w:pPr>
      <w:tabs>
        <w:tab w:val="center" w:pos="4680"/>
        <w:tab w:val="right" w:pos="9360"/>
      </w:tabs>
    </w:pPr>
  </w:style>
  <w:style w:type="character" w:customStyle="1" w:styleId="FooterChar">
    <w:name w:val="Footer Char"/>
    <w:link w:val="Footer"/>
    <w:uiPriority w:val="99"/>
    <w:locked/>
    <w:rsid w:val="006F297B"/>
    <w:rPr>
      <w:rFonts w:cs="Times New Roman"/>
    </w:rPr>
  </w:style>
  <w:style w:type="character" w:styleId="PageNumber">
    <w:name w:val="page number"/>
    <w:rsid w:val="006F297B"/>
    <w:rPr>
      <w:rFonts w:cs="Times New Roman"/>
    </w:rPr>
  </w:style>
  <w:style w:type="character" w:styleId="CommentReference">
    <w:name w:val="annotation reference"/>
    <w:uiPriority w:val="99"/>
    <w:semiHidden/>
    <w:rsid w:val="006A48FC"/>
    <w:rPr>
      <w:rFonts w:cs="Times New Roman"/>
      <w:sz w:val="16"/>
      <w:szCs w:val="16"/>
    </w:rPr>
  </w:style>
  <w:style w:type="paragraph" w:styleId="CommentText">
    <w:name w:val="annotation text"/>
    <w:basedOn w:val="Normal"/>
    <w:link w:val="CommentTextChar"/>
    <w:uiPriority w:val="99"/>
    <w:semiHidden/>
    <w:rsid w:val="006A48FC"/>
    <w:rPr>
      <w:sz w:val="20"/>
      <w:szCs w:val="20"/>
    </w:rPr>
  </w:style>
  <w:style w:type="character" w:customStyle="1" w:styleId="CommentTextChar">
    <w:name w:val="Comment Text Char"/>
    <w:link w:val="CommentText"/>
    <w:uiPriority w:val="99"/>
    <w:semiHidden/>
    <w:locked/>
    <w:rsid w:val="006A48FC"/>
    <w:rPr>
      <w:rFonts w:cs="Times New Roman"/>
      <w:sz w:val="20"/>
      <w:szCs w:val="20"/>
    </w:rPr>
  </w:style>
  <w:style w:type="paragraph" w:styleId="CommentSubject">
    <w:name w:val="annotation subject"/>
    <w:basedOn w:val="CommentText"/>
    <w:next w:val="CommentText"/>
    <w:link w:val="CommentSubjectChar"/>
    <w:uiPriority w:val="99"/>
    <w:semiHidden/>
    <w:rsid w:val="006A48FC"/>
    <w:rPr>
      <w:b/>
      <w:bCs/>
    </w:rPr>
  </w:style>
  <w:style w:type="character" w:customStyle="1" w:styleId="CommentSubjectChar">
    <w:name w:val="Comment Subject Char"/>
    <w:link w:val="CommentSubject"/>
    <w:uiPriority w:val="99"/>
    <w:semiHidden/>
    <w:locked/>
    <w:rsid w:val="006A48FC"/>
    <w:rPr>
      <w:rFonts w:cs="Times New Roman"/>
      <w:b/>
      <w:bCs/>
      <w:sz w:val="20"/>
      <w:szCs w:val="20"/>
    </w:rPr>
  </w:style>
  <w:style w:type="paragraph" w:customStyle="1" w:styleId="CaptionText">
    <w:name w:val="CaptionText"/>
    <w:basedOn w:val="Normal"/>
    <w:uiPriority w:val="99"/>
    <w:rsid w:val="00DA7024"/>
    <w:pPr>
      <w:suppressLineNumbers/>
    </w:pPr>
    <w:rPr>
      <w:b/>
    </w:rPr>
  </w:style>
  <w:style w:type="paragraph" w:styleId="FootnoteText">
    <w:name w:val="footnote text"/>
    <w:basedOn w:val="Normal"/>
    <w:link w:val="FootnoteTextChar"/>
    <w:uiPriority w:val="99"/>
    <w:semiHidden/>
    <w:rsid w:val="003A7E97"/>
    <w:rPr>
      <w:sz w:val="20"/>
      <w:szCs w:val="20"/>
    </w:rPr>
  </w:style>
  <w:style w:type="character" w:customStyle="1" w:styleId="FootnoteTextChar">
    <w:name w:val="Footnote Text Char"/>
    <w:link w:val="FootnoteText"/>
    <w:uiPriority w:val="99"/>
    <w:semiHidden/>
    <w:locked/>
    <w:rsid w:val="003A7E97"/>
    <w:rPr>
      <w:rFonts w:cs="Times New Roman"/>
      <w:sz w:val="20"/>
      <w:szCs w:val="20"/>
    </w:rPr>
  </w:style>
  <w:style w:type="character" w:styleId="FootnoteReference">
    <w:name w:val="footnote reference"/>
    <w:uiPriority w:val="99"/>
    <w:semiHidden/>
    <w:rsid w:val="003A7E97"/>
    <w:rPr>
      <w:rFonts w:cs="Times New Roman"/>
      <w:vertAlign w:val="superscript"/>
    </w:rPr>
  </w:style>
  <w:style w:type="paragraph" w:customStyle="1" w:styleId="TitleBUAC">
    <w:name w:val="*Title BUAC"/>
    <w:aliases w:val="TBUAC"/>
    <w:basedOn w:val="Normal"/>
    <w:next w:val="Normal"/>
    <w:link w:val="TitleBUACChar"/>
    <w:uiPriority w:val="99"/>
    <w:qFormat/>
    <w:rsid w:val="008C2A5C"/>
    <w:pPr>
      <w:keepNext/>
      <w:spacing w:after="240"/>
      <w:jc w:val="center"/>
    </w:pPr>
    <w:rPr>
      <w:b/>
      <w:caps/>
      <w:u w:val="single"/>
    </w:rPr>
  </w:style>
  <w:style w:type="character" w:customStyle="1" w:styleId="TitleBUACChar">
    <w:name w:val="*Title BUAC Char"/>
    <w:aliases w:val="TBUAC Char"/>
    <w:link w:val="TitleBUAC"/>
    <w:uiPriority w:val="99"/>
    <w:locked/>
    <w:rsid w:val="008C2A5C"/>
    <w:rPr>
      <w:b/>
      <w:caps/>
      <w:sz w:val="24"/>
      <w:szCs w:val="24"/>
      <w:u w:val="single"/>
    </w:rPr>
  </w:style>
  <w:style w:type="paragraph" w:styleId="ListParagraph">
    <w:name w:val="List Paragraph"/>
    <w:basedOn w:val="Normal"/>
    <w:uiPriority w:val="99"/>
    <w:qFormat/>
    <w:rsid w:val="00230DC8"/>
    <w:pPr>
      <w:ind w:left="720"/>
      <w:contextualSpacing/>
    </w:pPr>
  </w:style>
  <w:style w:type="paragraph" w:styleId="Header">
    <w:name w:val="header"/>
    <w:basedOn w:val="Normal"/>
    <w:link w:val="HeaderChar"/>
    <w:uiPriority w:val="99"/>
    <w:rsid w:val="00FD3D09"/>
    <w:pPr>
      <w:tabs>
        <w:tab w:val="center" w:pos="4680"/>
        <w:tab w:val="right" w:pos="9360"/>
      </w:tabs>
    </w:pPr>
  </w:style>
  <w:style w:type="character" w:customStyle="1" w:styleId="HeaderChar">
    <w:name w:val="Header Char"/>
    <w:link w:val="Header"/>
    <w:uiPriority w:val="99"/>
    <w:locked/>
    <w:rsid w:val="00FD3D09"/>
    <w:rPr>
      <w:rFonts w:cs="Times New Roman"/>
    </w:rPr>
  </w:style>
  <w:style w:type="paragraph" w:customStyle="1" w:styleId="LBFileStampAtCursor">
    <w:name w:val="*LBFileStampAtCursor"/>
    <w:aliases w:val="FSC"/>
    <w:basedOn w:val="Normal"/>
    <w:rsid w:val="00FC797C"/>
    <w:rPr>
      <w:sz w:val="18"/>
    </w:rPr>
  </w:style>
  <w:style w:type="paragraph" w:customStyle="1" w:styleId="LBFileStampAtEnd">
    <w:name w:val="*LBFileStampAtEnd"/>
    <w:aliases w:val="FSE"/>
    <w:basedOn w:val="Normal"/>
    <w:rsid w:val="00FC797C"/>
    <w:rPr>
      <w:sz w:val="18"/>
    </w:rPr>
  </w:style>
  <w:style w:type="paragraph" w:customStyle="1" w:styleId="Bullet">
    <w:name w:val="Bullet"/>
    <w:basedOn w:val="Heading4"/>
    <w:rsid w:val="00A34849"/>
    <w:pPr>
      <w:numPr>
        <w:ilvl w:val="0"/>
        <w:numId w:val="2"/>
      </w:numPr>
    </w:pPr>
    <w:rPr>
      <w:i w:val="0"/>
    </w:rPr>
  </w:style>
  <w:style w:type="character" w:customStyle="1" w:styleId="LeadInHeading1">
    <w:name w:val="LeadInHeading 1"/>
    <w:rsid w:val="002D15A3"/>
    <w:rPr>
      <w:rFonts w:eastAsia="SimSun"/>
      <w:b w:val="0"/>
      <w:szCs w:val="20"/>
      <w:u w:val="none"/>
    </w:rPr>
  </w:style>
  <w:style w:type="character" w:customStyle="1" w:styleId="LeadInHeading2">
    <w:name w:val="LeadInHeading 2"/>
    <w:rsid w:val="002D15A3"/>
    <w:rPr>
      <w:rFonts w:eastAsia="SimSun"/>
      <w:b w:val="0"/>
      <w:szCs w:val="20"/>
      <w:u w:val="none"/>
    </w:rPr>
  </w:style>
  <w:style w:type="character" w:customStyle="1" w:styleId="LeadInHeading3">
    <w:name w:val="LeadInHeading 3"/>
    <w:rsid w:val="002D15A3"/>
    <w:rPr>
      <w:rFonts w:eastAsia="SimSun"/>
      <w:b w:val="0"/>
      <w:szCs w:val="20"/>
      <w:u w:val="none"/>
    </w:rPr>
  </w:style>
  <w:style w:type="character" w:customStyle="1" w:styleId="LeadInHeading4">
    <w:name w:val="LeadInHeading 4"/>
    <w:rsid w:val="002D15A3"/>
    <w:rPr>
      <w:rFonts w:eastAsia="SimSun"/>
      <w:b w:val="0"/>
      <w:szCs w:val="20"/>
      <w:u w:val="none"/>
    </w:rPr>
  </w:style>
  <w:style w:type="paragraph" w:styleId="TOC1">
    <w:name w:val="toc 1"/>
    <w:basedOn w:val="Normal"/>
    <w:next w:val="Normal"/>
    <w:autoRedefine/>
    <w:uiPriority w:val="39"/>
    <w:unhideWhenUsed/>
    <w:locked/>
    <w:rsid w:val="002D15A3"/>
    <w:pPr>
      <w:tabs>
        <w:tab w:val="right" w:leader="dot" w:pos="9350"/>
      </w:tabs>
      <w:spacing w:after="240"/>
      <w:ind w:left="720" w:hanging="720"/>
    </w:pPr>
  </w:style>
  <w:style w:type="paragraph" w:styleId="TOC2">
    <w:name w:val="toc 2"/>
    <w:basedOn w:val="Normal"/>
    <w:next w:val="Normal"/>
    <w:autoRedefine/>
    <w:uiPriority w:val="39"/>
    <w:unhideWhenUsed/>
    <w:locked/>
    <w:rsid w:val="00A45F3C"/>
    <w:pPr>
      <w:tabs>
        <w:tab w:val="right" w:leader="dot" w:pos="9360"/>
      </w:tabs>
      <w:spacing w:after="240"/>
      <w:ind w:left="1440" w:right="720" w:hanging="720"/>
    </w:pPr>
  </w:style>
  <w:style w:type="paragraph" w:styleId="TOC4">
    <w:name w:val="toc 4"/>
    <w:basedOn w:val="Normal"/>
    <w:next w:val="Normal"/>
    <w:autoRedefine/>
    <w:uiPriority w:val="39"/>
    <w:unhideWhenUsed/>
    <w:locked/>
    <w:rsid w:val="002D15A3"/>
    <w:pPr>
      <w:tabs>
        <w:tab w:val="right" w:leader="dot" w:pos="9360"/>
      </w:tabs>
      <w:spacing w:after="240"/>
      <w:ind w:left="2880" w:right="900" w:hanging="720"/>
    </w:pPr>
  </w:style>
  <w:style w:type="paragraph" w:styleId="TOC3">
    <w:name w:val="toc 3"/>
    <w:basedOn w:val="Normal"/>
    <w:next w:val="Normal"/>
    <w:autoRedefine/>
    <w:uiPriority w:val="39"/>
    <w:unhideWhenUsed/>
    <w:locked/>
    <w:rsid w:val="002D15A3"/>
    <w:pPr>
      <w:tabs>
        <w:tab w:val="right" w:leader="dot" w:pos="9360"/>
      </w:tabs>
      <w:spacing w:after="240"/>
      <w:ind w:left="2160" w:right="540" w:hanging="720"/>
    </w:pPr>
  </w:style>
  <w:style w:type="character" w:styleId="Hyperlink">
    <w:name w:val="Hyperlink"/>
    <w:uiPriority w:val="99"/>
    <w:unhideWhenUsed/>
    <w:locked/>
    <w:rsid w:val="002D15A3"/>
    <w:rPr>
      <w:color w:val="0000FF"/>
      <w:u w:val="single"/>
    </w:rPr>
  </w:style>
  <w:style w:type="paragraph" w:styleId="TOC5">
    <w:name w:val="toc 5"/>
    <w:basedOn w:val="Normal"/>
    <w:next w:val="Normal"/>
    <w:autoRedefine/>
    <w:uiPriority w:val="39"/>
    <w:semiHidden/>
    <w:unhideWhenUsed/>
    <w:locked/>
    <w:rsid w:val="002D15A3"/>
    <w:pPr>
      <w:ind w:left="960"/>
    </w:pPr>
  </w:style>
  <w:style w:type="paragraph" w:styleId="TOC6">
    <w:name w:val="toc 6"/>
    <w:basedOn w:val="Normal"/>
    <w:next w:val="Normal"/>
    <w:autoRedefine/>
    <w:uiPriority w:val="39"/>
    <w:semiHidden/>
    <w:unhideWhenUsed/>
    <w:locked/>
    <w:rsid w:val="002D15A3"/>
    <w:pPr>
      <w:ind w:left="1200"/>
    </w:pPr>
  </w:style>
  <w:style w:type="paragraph" w:styleId="TOC7">
    <w:name w:val="toc 7"/>
    <w:basedOn w:val="Normal"/>
    <w:next w:val="Normal"/>
    <w:autoRedefine/>
    <w:uiPriority w:val="39"/>
    <w:semiHidden/>
    <w:unhideWhenUsed/>
    <w:locked/>
    <w:rsid w:val="002D15A3"/>
    <w:pPr>
      <w:ind w:left="1440"/>
    </w:pPr>
  </w:style>
  <w:style w:type="paragraph" w:styleId="TOC8">
    <w:name w:val="toc 8"/>
    <w:basedOn w:val="Normal"/>
    <w:next w:val="Normal"/>
    <w:autoRedefine/>
    <w:uiPriority w:val="39"/>
    <w:semiHidden/>
    <w:unhideWhenUsed/>
    <w:locked/>
    <w:rsid w:val="002D15A3"/>
    <w:pPr>
      <w:ind w:left="1680"/>
    </w:pPr>
  </w:style>
  <w:style w:type="paragraph" w:styleId="TOC9">
    <w:name w:val="toc 9"/>
    <w:basedOn w:val="Normal"/>
    <w:next w:val="Normal"/>
    <w:autoRedefine/>
    <w:uiPriority w:val="39"/>
    <w:semiHidden/>
    <w:unhideWhenUsed/>
    <w:locked/>
    <w:rsid w:val="002D15A3"/>
    <w:pPr>
      <w:ind w:left="1920"/>
    </w:pPr>
  </w:style>
  <w:style w:type="paragraph" w:styleId="Bibliography">
    <w:name w:val="Bibliography"/>
    <w:basedOn w:val="Normal"/>
    <w:next w:val="Normal"/>
    <w:uiPriority w:val="37"/>
    <w:semiHidden/>
    <w:unhideWhenUsed/>
    <w:rsid w:val="00BC5C06"/>
  </w:style>
  <w:style w:type="paragraph" w:styleId="BlockText">
    <w:name w:val="Block Text"/>
    <w:basedOn w:val="Normal"/>
    <w:uiPriority w:val="99"/>
    <w:semiHidden/>
    <w:unhideWhenUsed/>
    <w:locked/>
    <w:rsid w:val="00BC5C06"/>
    <w:pPr>
      <w:spacing w:after="120"/>
      <w:ind w:left="1440" w:right="1440"/>
    </w:pPr>
  </w:style>
  <w:style w:type="paragraph" w:styleId="BodyText">
    <w:name w:val="Body Text"/>
    <w:basedOn w:val="Normal"/>
    <w:link w:val="BodyTextChar"/>
    <w:uiPriority w:val="99"/>
    <w:semiHidden/>
    <w:unhideWhenUsed/>
    <w:locked/>
    <w:rsid w:val="00BC5C06"/>
    <w:pPr>
      <w:spacing w:after="120"/>
    </w:pPr>
  </w:style>
  <w:style w:type="character" w:customStyle="1" w:styleId="BodyTextChar">
    <w:name w:val="Body Text Char"/>
    <w:basedOn w:val="DefaultParagraphFont"/>
    <w:link w:val="BodyText"/>
    <w:uiPriority w:val="99"/>
    <w:semiHidden/>
    <w:rsid w:val="00BC5C06"/>
    <w:rPr>
      <w:sz w:val="24"/>
      <w:szCs w:val="24"/>
    </w:rPr>
  </w:style>
  <w:style w:type="paragraph" w:styleId="BodyText2">
    <w:name w:val="Body Text 2"/>
    <w:basedOn w:val="Normal"/>
    <w:link w:val="BodyText2Char"/>
    <w:uiPriority w:val="99"/>
    <w:semiHidden/>
    <w:unhideWhenUsed/>
    <w:locked/>
    <w:rsid w:val="00BC5C06"/>
    <w:pPr>
      <w:spacing w:after="120" w:line="480" w:lineRule="auto"/>
    </w:pPr>
  </w:style>
  <w:style w:type="character" w:customStyle="1" w:styleId="BodyText2Char">
    <w:name w:val="Body Text 2 Char"/>
    <w:basedOn w:val="DefaultParagraphFont"/>
    <w:link w:val="BodyText2"/>
    <w:uiPriority w:val="99"/>
    <w:semiHidden/>
    <w:rsid w:val="00BC5C06"/>
    <w:rPr>
      <w:sz w:val="24"/>
      <w:szCs w:val="24"/>
    </w:rPr>
  </w:style>
  <w:style w:type="paragraph" w:styleId="BodyText3">
    <w:name w:val="Body Text 3"/>
    <w:basedOn w:val="Normal"/>
    <w:link w:val="BodyText3Char"/>
    <w:uiPriority w:val="99"/>
    <w:semiHidden/>
    <w:unhideWhenUsed/>
    <w:locked/>
    <w:rsid w:val="00BC5C06"/>
    <w:pPr>
      <w:spacing w:after="120"/>
    </w:pPr>
    <w:rPr>
      <w:sz w:val="16"/>
      <w:szCs w:val="16"/>
    </w:rPr>
  </w:style>
  <w:style w:type="character" w:customStyle="1" w:styleId="BodyText3Char">
    <w:name w:val="Body Text 3 Char"/>
    <w:basedOn w:val="DefaultParagraphFont"/>
    <w:link w:val="BodyText3"/>
    <w:uiPriority w:val="99"/>
    <w:semiHidden/>
    <w:rsid w:val="00BC5C06"/>
    <w:rPr>
      <w:sz w:val="16"/>
      <w:szCs w:val="16"/>
    </w:rPr>
  </w:style>
  <w:style w:type="paragraph" w:styleId="BodyTextFirstIndent">
    <w:name w:val="Body Text First Indent"/>
    <w:basedOn w:val="BodyText"/>
    <w:link w:val="BodyTextFirstIndentChar"/>
    <w:uiPriority w:val="99"/>
    <w:semiHidden/>
    <w:unhideWhenUsed/>
    <w:locked/>
    <w:rsid w:val="00BC5C06"/>
    <w:pPr>
      <w:ind w:firstLine="210"/>
    </w:pPr>
  </w:style>
  <w:style w:type="character" w:customStyle="1" w:styleId="BodyTextFirstIndentChar">
    <w:name w:val="Body Text First Indent Char"/>
    <w:basedOn w:val="BodyTextChar"/>
    <w:link w:val="BodyTextFirstIndent"/>
    <w:uiPriority w:val="99"/>
    <w:semiHidden/>
    <w:rsid w:val="00BC5C06"/>
    <w:rPr>
      <w:sz w:val="24"/>
      <w:szCs w:val="24"/>
    </w:rPr>
  </w:style>
  <w:style w:type="paragraph" w:styleId="BodyTextIndent">
    <w:name w:val="Body Text Indent"/>
    <w:basedOn w:val="Normal"/>
    <w:link w:val="BodyTextIndentChar"/>
    <w:uiPriority w:val="99"/>
    <w:semiHidden/>
    <w:unhideWhenUsed/>
    <w:locked/>
    <w:rsid w:val="00BC5C06"/>
    <w:pPr>
      <w:spacing w:after="120"/>
      <w:ind w:left="360"/>
    </w:pPr>
  </w:style>
  <w:style w:type="character" w:customStyle="1" w:styleId="BodyTextIndentChar">
    <w:name w:val="Body Text Indent Char"/>
    <w:basedOn w:val="DefaultParagraphFont"/>
    <w:link w:val="BodyTextIndent"/>
    <w:uiPriority w:val="99"/>
    <w:semiHidden/>
    <w:rsid w:val="00BC5C06"/>
    <w:rPr>
      <w:sz w:val="24"/>
      <w:szCs w:val="24"/>
    </w:rPr>
  </w:style>
  <w:style w:type="paragraph" w:styleId="BodyTextFirstIndent2">
    <w:name w:val="Body Text First Indent 2"/>
    <w:basedOn w:val="BodyTextIndent"/>
    <w:link w:val="BodyTextFirstIndent2Char"/>
    <w:uiPriority w:val="99"/>
    <w:semiHidden/>
    <w:unhideWhenUsed/>
    <w:locked/>
    <w:rsid w:val="00BC5C06"/>
    <w:pPr>
      <w:ind w:firstLine="210"/>
    </w:pPr>
  </w:style>
  <w:style w:type="character" w:customStyle="1" w:styleId="BodyTextFirstIndent2Char">
    <w:name w:val="Body Text First Indent 2 Char"/>
    <w:basedOn w:val="BodyTextIndentChar"/>
    <w:link w:val="BodyTextFirstIndent2"/>
    <w:uiPriority w:val="99"/>
    <w:semiHidden/>
    <w:rsid w:val="00BC5C06"/>
    <w:rPr>
      <w:sz w:val="24"/>
      <w:szCs w:val="24"/>
    </w:rPr>
  </w:style>
  <w:style w:type="paragraph" w:styleId="BodyTextIndent2">
    <w:name w:val="Body Text Indent 2"/>
    <w:basedOn w:val="Normal"/>
    <w:link w:val="BodyTextIndent2Char"/>
    <w:uiPriority w:val="99"/>
    <w:semiHidden/>
    <w:unhideWhenUsed/>
    <w:locked/>
    <w:rsid w:val="00BC5C06"/>
    <w:pPr>
      <w:spacing w:after="120" w:line="480" w:lineRule="auto"/>
      <w:ind w:left="360"/>
    </w:pPr>
  </w:style>
  <w:style w:type="character" w:customStyle="1" w:styleId="BodyTextIndent2Char">
    <w:name w:val="Body Text Indent 2 Char"/>
    <w:basedOn w:val="DefaultParagraphFont"/>
    <w:link w:val="BodyTextIndent2"/>
    <w:uiPriority w:val="99"/>
    <w:semiHidden/>
    <w:rsid w:val="00BC5C06"/>
    <w:rPr>
      <w:sz w:val="24"/>
      <w:szCs w:val="24"/>
    </w:rPr>
  </w:style>
  <w:style w:type="paragraph" w:styleId="BodyTextIndent3">
    <w:name w:val="Body Text Indent 3"/>
    <w:basedOn w:val="Normal"/>
    <w:link w:val="BodyTextIndent3Char"/>
    <w:uiPriority w:val="99"/>
    <w:semiHidden/>
    <w:unhideWhenUsed/>
    <w:locked/>
    <w:rsid w:val="00BC5C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5C06"/>
    <w:rPr>
      <w:sz w:val="16"/>
      <w:szCs w:val="16"/>
    </w:rPr>
  </w:style>
  <w:style w:type="paragraph" w:styleId="Caption">
    <w:name w:val="caption"/>
    <w:basedOn w:val="Normal"/>
    <w:next w:val="Normal"/>
    <w:uiPriority w:val="35"/>
    <w:semiHidden/>
    <w:unhideWhenUsed/>
    <w:qFormat/>
    <w:locked/>
    <w:rsid w:val="00BC5C06"/>
    <w:rPr>
      <w:b/>
      <w:bCs/>
      <w:sz w:val="20"/>
      <w:szCs w:val="20"/>
    </w:rPr>
  </w:style>
  <w:style w:type="paragraph" w:styleId="Closing">
    <w:name w:val="Closing"/>
    <w:basedOn w:val="Normal"/>
    <w:link w:val="ClosingChar"/>
    <w:uiPriority w:val="99"/>
    <w:semiHidden/>
    <w:unhideWhenUsed/>
    <w:locked/>
    <w:rsid w:val="00BC5C06"/>
    <w:pPr>
      <w:ind w:left="4320"/>
    </w:pPr>
  </w:style>
  <w:style w:type="character" w:customStyle="1" w:styleId="ClosingChar">
    <w:name w:val="Closing Char"/>
    <w:basedOn w:val="DefaultParagraphFont"/>
    <w:link w:val="Closing"/>
    <w:uiPriority w:val="99"/>
    <w:semiHidden/>
    <w:rsid w:val="00BC5C06"/>
    <w:rPr>
      <w:sz w:val="24"/>
      <w:szCs w:val="24"/>
    </w:rPr>
  </w:style>
  <w:style w:type="paragraph" w:styleId="Date">
    <w:name w:val="Date"/>
    <w:basedOn w:val="Normal"/>
    <w:next w:val="Normal"/>
    <w:link w:val="DateChar"/>
    <w:uiPriority w:val="99"/>
    <w:semiHidden/>
    <w:unhideWhenUsed/>
    <w:locked/>
    <w:rsid w:val="00BC5C06"/>
  </w:style>
  <w:style w:type="character" w:customStyle="1" w:styleId="DateChar">
    <w:name w:val="Date Char"/>
    <w:basedOn w:val="DefaultParagraphFont"/>
    <w:link w:val="Date"/>
    <w:uiPriority w:val="99"/>
    <w:semiHidden/>
    <w:rsid w:val="00BC5C06"/>
    <w:rPr>
      <w:sz w:val="24"/>
      <w:szCs w:val="24"/>
    </w:rPr>
  </w:style>
  <w:style w:type="paragraph" w:styleId="DocumentMap">
    <w:name w:val="Document Map"/>
    <w:basedOn w:val="Normal"/>
    <w:link w:val="DocumentMapChar"/>
    <w:uiPriority w:val="99"/>
    <w:semiHidden/>
    <w:unhideWhenUsed/>
    <w:locked/>
    <w:rsid w:val="00BC5C06"/>
    <w:rPr>
      <w:rFonts w:ascii="Tahoma" w:hAnsi="Tahoma" w:cs="Tahoma"/>
      <w:sz w:val="16"/>
      <w:szCs w:val="16"/>
    </w:rPr>
  </w:style>
  <w:style w:type="character" w:customStyle="1" w:styleId="DocumentMapChar">
    <w:name w:val="Document Map Char"/>
    <w:basedOn w:val="DefaultParagraphFont"/>
    <w:link w:val="DocumentMap"/>
    <w:uiPriority w:val="99"/>
    <w:semiHidden/>
    <w:rsid w:val="00BC5C06"/>
    <w:rPr>
      <w:rFonts w:ascii="Tahoma" w:hAnsi="Tahoma" w:cs="Tahoma"/>
      <w:sz w:val="16"/>
      <w:szCs w:val="16"/>
    </w:rPr>
  </w:style>
  <w:style w:type="paragraph" w:styleId="E-mailSignature">
    <w:name w:val="E-mail Signature"/>
    <w:basedOn w:val="Normal"/>
    <w:link w:val="E-mailSignatureChar"/>
    <w:uiPriority w:val="99"/>
    <w:semiHidden/>
    <w:unhideWhenUsed/>
    <w:locked/>
    <w:rsid w:val="00BC5C06"/>
  </w:style>
  <w:style w:type="character" w:customStyle="1" w:styleId="E-mailSignatureChar">
    <w:name w:val="E-mail Signature Char"/>
    <w:basedOn w:val="DefaultParagraphFont"/>
    <w:link w:val="E-mailSignature"/>
    <w:uiPriority w:val="99"/>
    <w:semiHidden/>
    <w:rsid w:val="00BC5C06"/>
    <w:rPr>
      <w:sz w:val="24"/>
      <w:szCs w:val="24"/>
    </w:rPr>
  </w:style>
  <w:style w:type="paragraph" w:styleId="EndnoteText">
    <w:name w:val="endnote text"/>
    <w:basedOn w:val="Normal"/>
    <w:link w:val="EndnoteTextChar"/>
    <w:uiPriority w:val="99"/>
    <w:semiHidden/>
    <w:unhideWhenUsed/>
    <w:locked/>
    <w:rsid w:val="00BC5C06"/>
    <w:rPr>
      <w:sz w:val="20"/>
      <w:szCs w:val="20"/>
    </w:rPr>
  </w:style>
  <w:style w:type="character" w:customStyle="1" w:styleId="EndnoteTextChar">
    <w:name w:val="Endnote Text Char"/>
    <w:basedOn w:val="DefaultParagraphFont"/>
    <w:link w:val="EndnoteText"/>
    <w:uiPriority w:val="99"/>
    <w:semiHidden/>
    <w:rsid w:val="00BC5C06"/>
  </w:style>
  <w:style w:type="paragraph" w:styleId="EnvelopeAddress">
    <w:name w:val="envelope address"/>
    <w:basedOn w:val="Normal"/>
    <w:uiPriority w:val="99"/>
    <w:semiHidden/>
    <w:unhideWhenUsed/>
    <w:locked/>
    <w:rsid w:val="00BC5C0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BC5C06"/>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locked/>
    <w:rsid w:val="00BC5C06"/>
    <w:rPr>
      <w:i/>
      <w:iCs/>
    </w:rPr>
  </w:style>
  <w:style w:type="character" w:customStyle="1" w:styleId="HTMLAddressChar">
    <w:name w:val="HTML Address Char"/>
    <w:basedOn w:val="DefaultParagraphFont"/>
    <w:link w:val="HTMLAddress"/>
    <w:uiPriority w:val="99"/>
    <w:semiHidden/>
    <w:rsid w:val="00BC5C06"/>
    <w:rPr>
      <w:i/>
      <w:iCs/>
      <w:sz w:val="24"/>
      <w:szCs w:val="24"/>
    </w:rPr>
  </w:style>
  <w:style w:type="paragraph" w:styleId="HTMLPreformatted">
    <w:name w:val="HTML Preformatted"/>
    <w:basedOn w:val="Normal"/>
    <w:link w:val="HTMLPreformattedChar"/>
    <w:uiPriority w:val="99"/>
    <w:semiHidden/>
    <w:unhideWhenUsed/>
    <w:locked/>
    <w:rsid w:val="00BC5C0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C5C06"/>
    <w:rPr>
      <w:rFonts w:ascii="Courier New" w:hAnsi="Courier New" w:cs="Courier New"/>
    </w:rPr>
  </w:style>
  <w:style w:type="paragraph" w:styleId="Index1">
    <w:name w:val="index 1"/>
    <w:basedOn w:val="Normal"/>
    <w:next w:val="Normal"/>
    <w:autoRedefine/>
    <w:uiPriority w:val="99"/>
    <w:semiHidden/>
    <w:unhideWhenUsed/>
    <w:locked/>
    <w:rsid w:val="00BC5C06"/>
    <w:pPr>
      <w:ind w:left="240" w:hanging="240"/>
    </w:pPr>
  </w:style>
  <w:style w:type="paragraph" w:styleId="Index2">
    <w:name w:val="index 2"/>
    <w:basedOn w:val="Normal"/>
    <w:next w:val="Normal"/>
    <w:autoRedefine/>
    <w:uiPriority w:val="99"/>
    <w:semiHidden/>
    <w:unhideWhenUsed/>
    <w:locked/>
    <w:rsid w:val="00BC5C06"/>
    <w:pPr>
      <w:ind w:left="480" w:hanging="240"/>
    </w:pPr>
  </w:style>
  <w:style w:type="paragraph" w:styleId="Index3">
    <w:name w:val="index 3"/>
    <w:basedOn w:val="Normal"/>
    <w:next w:val="Normal"/>
    <w:autoRedefine/>
    <w:uiPriority w:val="99"/>
    <w:semiHidden/>
    <w:unhideWhenUsed/>
    <w:locked/>
    <w:rsid w:val="00BC5C06"/>
    <w:pPr>
      <w:ind w:left="720" w:hanging="240"/>
    </w:pPr>
  </w:style>
  <w:style w:type="paragraph" w:styleId="Index4">
    <w:name w:val="index 4"/>
    <w:basedOn w:val="Normal"/>
    <w:next w:val="Normal"/>
    <w:autoRedefine/>
    <w:uiPriority w:val="99"/>
    <w:semiHidden/>
    <w:unhideWhenUsed/>
    <w:locked/>
    <w:rsid w:val="00BC5C06"/>
    <w:pPr>
      <w:ind w:left="960" w:hanging="240"/>
    </w:pPr>
  </w:style>
  <w:style w:type="paragraph" w:styleId="Index5">
    <w:name w:val="index 5"/>
    <w:basedOn w:val="Normal"/>
    <w:next w:val="Normal"/>
    <w:autoRedefine/>
    <w:uiPriority w:val="99"/>
    <w:semiHidden/>
    <w:unhideWhenUsed/>
    <w:locked/>
    <w:rsid w:val="00BC5C06"/>
    <w:pPr>
      <w:ind w:left="1200" w:hanging="240"/>
    </w:pPr>
  </w:style>
  <w:style w:type="paragraph" w:styleId="Index6">
    <w:name w:val="index 6"/>
    <w:basedOn w:val="Normal"/>
    <w:next w:val="Normal"/>
    <w:autoRedefine/>
    <w:uiPriority w:val="99"/>
    <w:semiHidden/>
    <w:unhideWhenUsed/>
    <w:locked/>
    <w:rsid w:val="00BC5C06"/>
    <w:pPr>
      <w:ind w:left="1440" w:hanging="240"/>
    </w:pPr>
  </w:style>
  <w:style w:type="paragraph" w:styleId="Index7">
    <w:name w:val="index 7"/>
    <w:basedOn w:val="Normal"/>
    <w:next w:val="Normal"/>
    <w:autoRedefine/>
    <w:uiPriority w:val="99"/>
    <w:semiHidden/>
    <w:unhideWhenUsed/>
    <w:locked/>
    <w:rsid w:val="00BC5C06"/>
    <w:pPr>
      <w:ind w:left="1680" w:hanging="240"/>
    </w:pPr>
  </w:style>
  <w:style w:type="paragraph" w:styleId="Index8">
    <w:name w:val="index 8"/>
    <w:basedOn w:val="Normal"/>
    <w:next w:val="Normal"/>
    <w:autoRedefine/>
    <w:uiPriority w:val="99"/>
    <w:semiHidden/>
    <w:unhideWhenUsed/>
    <w:locked/>
    <w:rsid w:val="00BC5C06"/>
    <w:pPr>
      <w:ind w:left="1920" w:hanging="240"/>
    </w:pPr>
  </w:style>
  <w:style w:type="paragraph" w:styleId="Index9">
    <w:name w:val="index 9"/>
    <w:basedOn w:val="Normal"/>
    <w:next w:val="Normal"/>
    <w:autoRedefine/>
    <w:uiPriority w:val="99"/>
    <w:semiHidden/>
    <w:unhideWhenUsed/>
    <w:locked/>
    <w:rsid w:val="00BC5C06"/>
    <w:pPr>
      <w:ind w:left="2160" w:hanging="240"/>
    </w:pPr>
  </w:style>
  <w:style w:type="paragraph" w:styleId="IndexHeading">
    <w:name w:val="index heading"/>
    <w:basedOn w:val="Normal"/>
    <w:next w:val="Index1"/>
    <w:uiPriority w:val="99"/>
    <w:semiHidden/>
    <w:unhideWhenUsed/>
    <w:locked/>
    <w:rsid w:val="00BC5C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5C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5C06"/>
    <w:rPr>
      <w:b/>
      <w:bCs/>
      <w:i/>
      <w:iCs/>
      <w:color w:val="4F81BD" w:themeColor="accent1"/>
      <w:sz w:val="24"/>
      <w:szCs w:val="24"/>
    </w:rPr>
  </w:style>
  <w:style w:type="paragraph" w:styleId="List">
    <w:name w:val="List"/>
    <w:basedOn w:val="Normal"/>
    <w:uiPriority w:val="99"/>
    <w:semiHidden/>
    <w:unhideWhenUsed/>
    <w:locked/>
    <w:rsid w:val="00BC5C06"/>
    <w:pPr>
      <w:ind w:left="360" w:hanging="360"/>
      <w:contextualSpacing/>
    </w:pPr>
  </w:style>
  <w:style w:type="paragraph" w:styleId="List2">
    <w:name w:val="List 2"/>
    <w:basedOn w:val="Normal"/>
    <w:uiPriority w:val="99"/>
    <w:semiHidden/>
    <w:unhideWhenUsed/>
    <w:locked/>
    <w:rsid w:val="00BC5C06"/>
    <w:pPr>
      <w:ind w:left="720" w:hanging="360"/>
      <w:contextualSpacing/>
    </w:pPr>
  </w:style>
  <w:style w:type="paragraph" w:styleId="List3">
    <w:name w:val="List 3"/>
    <w:basedOn w:val="Normal"/>
    <w:uiPriority w:val="99"/>
    <w:semiHidden/>
    <w:unhideWhenUsed/>
    <w:locked/>
    <w:rsid w:val="00BC5C06"/>
    <w:pPr>
      <w:ind w:left="1080" w:hanging="360"/>
      <w:contextualSpacing/>
    </w:pPr>
  </w:style>
  <w:style w:type="paragraph" w:styleId="List4">
    <w:name w:val="List 4"/>
    <w:basedOn w:val="Normal"/>
    <w:uiPriority w:val="99"/>
    <w:semiHidden/>
    <w:unhideWhenUsed/>
    <w:locked/>
    <w:rsid w:val="00BC5C06"/>
    <w:pPr>
      <w:ind w:left="1440" w:hanging="360"/>
      <w:contextualSpacing/>
    </w:pPr>
  </w:style>
  <w:style w:type="paragraph" w:styleId="List5">
    <w:name w:val="List 5"/>
    <w:basedOn w:val="Normal"/>
    <w:uiPriority w:val="99"/>
    <w:semiHidden/>
    <w:unhideWhenUsed/>
    <w:locked/>
    <w:rsid w:val="00BC5C06"/>
    <w:pPr>
      <w:ind w:left="1800" w:hanging="360"/>
      <w:contextualSpacing/>
    </w:pPr>
  </w:style>
  <w:style w:type="paragraph" w:styleId="ListBullet">
    <w:name w:val="List Bullet"/>
    <w:basedOn w:val="Normal"/>
    <w:uiPriority w:val="99"/>
    <w:semiHidden/>
    <w:unhideWhenUsed/>
    <w:locked/>
    <w:rsid w:val="00BC5C06"/>
    <w:pPr>
      <w:numPr>
        <w:numId w:val="3"/>
      </w:numPr>
      <w:contextualSpacing/>
    </w:pPr>
  </w:style>
  <w:style w:type="paragraph" w:styleId="ListBullet2">
    <w:name w:val="List Bullet 2"/>
    <w:basedOn w:val="Normal"/>
    <w:uiPriority w:val="99"/>
    <w:semiHidden/>
    <w:unhideWhenUsed/>
    <w:locked/>
    <w:rsid w:val="00BC5C06"/>
    <w:pPr>
      <w:numPr>
        <w:numId w:val="4"/>
      </w:numPr>
      <w:contextualSpacing/>
    </w:pPr>
  </w:style>
  <w:style w:type="paragraph" w:styleId="ListBullet3">
    <w:name w:val="List Bullet 3"/>
    <w:basedOn w:val="Normal"/>
    <w:uiPriority w:val="99"/>
    <w:semiHidden/>
    <w:unhideWhenUsed/>
    <w:locked/>
    <w:rsid w:val="00BC5C06"/>
    <w:pPr>
      <w:numPr>
        <w:numId w:val="5"/>
      </w:numPr>
      <w:contextualSpacing/>
    </w:pPr>
  </w:style>
  <w:style w:type="paragraph" w:styleId="ListBullet4">
    <w:name w:val="List Bullet 4"/>
    <w:basedOn w:val="Normal"/>
    <w:uiPriority w:val="99"/>
    <w:semiHidden/>
    <w:unhideWhenUsed/>
    <w:locked/>
    <w:rsid w:val="00BC5C06"/>
    <w:pPr>
      <w:numPr>
        <w:numId w:val="6"/>
      </w:numPr>
      <w:contextualSpacing/>
    </w:pPr>
  </w:style>
  <w:style w:type="paragraph" w:styleId="ListBullet5">
    <w:name w:val="List Bullet 5"/>
    <w:basedOn w:val="Normal"/>
    <w:uiPriority w:val="99"/>
    <w:semiHidden/>
    <w:unhideWhenUsed/>
    <w:locked/>
    <w:rsid w:val="00BC5C06"/>
    <w:pPr>
      <w:numPr>
        <w:numId w:val="7"/>
      </w:numPr>
      <w:contextualSpacing/>
    </w:pPr>
  </w:style>
  <w:style w:type="paragraph" w:styleId="ListContinue">
    <w:name w:val="List Continue"/>
    <w:basedOn w:val="Normal"/>
    <w:uiPriority w:val="99"/>
    <w:semiHidden/>
    <w:unhideWhenUsed/>
    <w:locked/>
    <w:rsid w:val="00BC5C06"/>
    <w:pPr>
      <w:spacing w:after="120"/>
      <w:ind w:left="360"/>
      <w:contextualSpacing/>
    </w:pPr>
  </w:style>
  <w:style w:type="paragraph" w:styleId="ListContinue2">
    <w:name w:val="List Continue 2"/>
    <w:basedOn w:val="Normal"/>
    <w:uiPriority w:val="99"/>
    <w:semiHidden/>
    <w:unhideWhenUsed/>
    <w:locked/>
    <w:rsid w:val="00BC5C06"/>
    <w:pPr>
      <w:spacing w:after="120"/>
      <w:ind w:left="720"/>
      <w:contextualSpacing/>
    </w:pPr>
  </w:style>
  <w:style w:type="paragraph" w:styleId="ListContinue3">
    <w:name w:val="List Continue 3"/>
    <w:basedOn w:val="Normal"/>
    <w:uiPriority w:val="99"/>
    <w:semiHidden/>
    <w:unhideWhenUsed/>
    <w:locked/>
    <w:rsid w:val="00BC5C06"/>
    <w:pPr>
      <w:spacing w:after="120"/>
      <w:ind w:left="1080"/>
      <w:contextualSpacing/>
    </w:pPr>
  </w:style>
  <w:style w:type="paragraph" w:styleId="ListContinue4">
    <w:name w:val="List Continue 4"/>
    <w:basedOn w:val="Normal"/>
    <w:uiPriority w:val="99"/>
    <w:semiHidden/>
    <w:unhideWhenUsed/>
    <w:locked/>
    <w:rsid w:val="00BC5C06"/>
    <w:pPr>
      <w:spacing w:after="120"/>
      <w:ind w:left="1440"/>
      <w:contextualSpacing/>
    </w:pPr>
  </w:style>
  <w:style w:type="paragraph" w:styleId="ListContinue5">
    <w:name w:val="List Continue 5"/>
    <w:basedOn w:val="Normal"/>
    <w:uiPriority w:val="99"/>
    <w:semiHidden/>
    <w:unhideWhenUsed/>
    <w:locked/>
    <w:rsid w:val="00BC5C06"/>
    <w:pPr>
      <w:spacing w:after="120"/>
      <w:ind w:left="1800"/>
      <w:contextualSpacing/>
    </w:pPr>
  </w:style>
  <w:style w:type="paragraph" w:styleId="ListNumber">
    <w:name w:val="List Number"/>
    <w:basedOn w:val="Normal"/>
    <w:uiPriority w:val="99"/>
    <w:semiHidden/>
    <w:unhideWhenUsed/>
    <w:locked/>
    <w:rsid w:val="00BC5C06"/>
    <w:pPr>
      <w:numPr>
        <w:numId w:val="8"/>
      </w:numPr>
      <w:contextualSpacing/>
    </w:pPr>
  </w:style>
  <w:style w:type="paragraph" w:styleId="ListNumber2">
    <w:name w:val="List Number 2"/>
    <w:basedOn w:val="Normal"/>
    <w:uiPriority w:val="99"/>
    <w:semiHidden/>
    <w:unhideWhenUsed/>
    <w:locked/>
    <w:rsid w:val="00BC5C06"/>
    <w:pPr>
      <w:numPr>
        <w:numId w:val="9"/>
      </w:numPr>
      <w:contextualSpacing/>
    </w:pPr>
  </w:style>
  <w:style w:type="paragraph" w:styleId="ListNumber3">
    <w:name w:val="List Number 3"/>
    <w:basedOn w:val="Normal"/>
    <w:uiPriority w:val="99"/>
    <w:semiHidden/>
    <w:unhideWhenUsed/>
    <w:locked/>
    <w:rsid w:val="00BC5C06"/>
    <w:pPr>
      <w:numPr>
        <w:numId w:val="10"/>
      </w:numPr>
      <w:contextualSpacing/>
    </w:pPr>
  </w:style>
  <w:style w:type="paragraph" w:styleId="ListNumber4">
    <w:name w:val="List Number 4"/>
    <w:basedOn w:val="Normal"/>
    <w:uiPriority w:val="99"/>
    <w:semiHidden/>
    <w:unhideWhenUsed/>
    <w:locked/>
    <w:rsid w:val="00BC5C06"/>
    <w:pPr>
      <w:numPr>
        <w:numId w:val="11"/>
      </w:numPr>
      <w:contextualSpacing/>
    </w:pPr>
  </w:style>
  <w:style w:type="paragraph" w:styleId="ListNumber5">
    <w:name w:val="List Number 5"/>
    <w:basedOn w:val="Normal"/>
    <w:uiPriority w:val="99"/>
    <w:semiHidden/>
    <w:unhideWhenUsed/>
    <w:locked/>
    <w:rsid w:val="00BC5C06"/>
    <w:pPr>
      <w:numPr>
        <w:numId w:val="12"/>
      </w:numPr>
      <w:contextualSpacing/>
    </w:pPr>
  </w:style>
  <w:style w:type="paragraph" w:styleId="MacroText">
    <w:name w:val="macro"/>
    <w:link w:val="MacroTextChar"/>
    <w:uiPriority w:val="99"/>
    <w:semiHidden/>
    <w:unhideWhenUsed/>
    <w:locked/>
    <w:rsid w:val="00BC5C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BC5C06"/>
    <w:rPr>
      <w:rFonts w:ascii="Courier New" w:hAnsi="Courier New" w:cs="Courier New"/>
    </w:rPr>
  </w:style>
  <w:style w:type="paragraph" w:styleId="MessageHeader">
    <w:name w:val="Message Header"/>
    <w:basedOn w:val="Normal"/>
    <w:link w:val="MessageHeaderChar"/>
    <w:uiPriority w:val="99"/>
    <w:semiHidden/>
    <w:unhideWhenUsed/>
    <w:locked/>
    <w:rsid w:val="00BC5C0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C5C06"/>
    <w:rPr>
      <w:rFonts w:asciiTheme="majorHAnsi" w:eastAsiaTheme="majorEastAsia" w:hAnsiTheme="majorHAnsi" w:cstheme="majorBidi"/>
      <w:sz w:val="24"/>
      <w:szCs w:val="24"/>
      <w:shd w:val="pct20" w:color="auto" w:fill="auto"/>
    </w:rPr>
  </w:style>
  <w:style w:type="paragraph" w:styleId="NoSpacing">
    <w:name w:val="No Spacing"/>
    <w:uiPriority w:val="1"/>
    <w:qFormat/>
    <w:rsid w:val="00BC5C06"/>
    <w:rPr>
      <w:sz w:val="24"/>
      <w:szCs w:val="24"/>
    </w:rPr>
  </w:style>
  <w:style w:type="paragraph" w:styleId="NormalWeb">
    <w:name w:val="Normal (Web)"/>
    <w:basedOn w:val="Normal"/>
    <w:uiPriority w:val="99"/>
    <w:semiHidden/>
    <w:unhideWhenUsed/>
    <w:locked/>
    <w:rsid w:val="00BC5C06"/>
  </w:style>
  <w:style w:type="paragraph" w:styleId="NormalIndent">
    <w:name w:val="Normal Indent"/>
    <w:basedOn w:val="Normal"/>
    <w:uiPriority w:val="99"/>
    <w:semiHidden/>
    <w:unhideWhenUsed/>
    <w:locked/>
    <w:rsid w:val="00BC5C06"/>
    <w:pPr>
      <w:ind w:left="720"/>
    </w:pPr>
  </w:style>
  <w:style w:type="paragraph" w:styleId="NoteHeading">
    <w:name w:val="Note Heading"/>
    <w:basedOn w:val="Normal"/>
    <w:next w:val="Normal"/>
    <w:link w:val="NoteHeadingChar"/>
    <w:uiPriority w:val="99"/>
    <w:semiHidden/>
    <w:unhideWhenUsed/>
    <w:locked/>
    <w:rsid w:val="00BC5C06"/>
  </w:style>
  <w:style w:type="character" w:customStyle="1" w:styleId="NoteHeadingChar">
    <w:name w:val="Note Heading Char"/>
    <w:basedOn w:val="DefaultParagraphFont"/>
    <w:link w:val="NoteHeading"/>
    <w:uiPriority w:val="99"/>
    <w:semiHidden/>
    <w:rsid w:val="00BC5C06"/>
    <w:rPr>
      <w:sz w:val="24"/>
      <w:szCs w:val="24"/>
    </w:rPr>
  </w:style>
  <w:style w:type="paragraph" w:styleId="PlainText">
    <w:name w:val="Plain Text"/>
    <w:basedOn w:val="Normal"/>
    <w:link w:val="PlainTextChar"/>
    <w:uiPriority w:val="99"/>
    <w:semiHidden/>
    <w:unhideWhenUsed/>
    <w:locked/>
    <w:rsid w:val="00BC5C0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C5C06"/>
    <w:rPr>
      <w:rFonts w:ascii="Courier New" w:hAnsi="Courier New" w:cs="Courier New"/>
    </w:rPr>
  </w:style>
  <w:style w:type="paragraph" w:styleId="Quote">
    <w:name w:val="Quote"/>
    <w:basedOn w:val="Normal"/>
    <w:next w:val="Normal"/>
    <w:link w:val="QuoteChar"/>
    <w:uiPriority w:val="29"/>
    <w:qFormat/>
    <w:rsid w:val="00BC5C06"/>
    <w:rPr>
      <w:i/>
      <w:iCs/>
      <w:color w:val="000000" w:themeColor="text1"/>
    </w:rPr>
  </w:style>
  <w:style w:type="character" w:customStyle="1" w:styleId="QuoteChar">
    <w:name w:val="Quote Char"/>
    <w:basedOn w:val="DefaultParagraphFont"/>
    <w:link w:val="Quote"/>
    <w:uiPriority w:val="29"/>
    <w:rsid w:val="00BC5C06"/>
    <w:rPr>
      <w:i/>
      <w:iCs/>
      <w:color w:val="000000" w:themeColor="text1"/>
      <w:sz w:val="24"/>
      <w:szCs w:val="24"/>
    </w:rPr>
  </w:style>
  <w:style w:type="paragraph" w:styleId="Salutation">
    <w:name w:val="Salutation"/>
    <w:basedOn w:val="Normal"/>
    <w:next w:val="Normal"/>
    <w:link w:val="SalutationChar"/>
    <w:uiPriority w:val="99"/>
    <w:semiHidden/>
    <w:unhideWhenUsed/>
    <w:locked/>
    <w:rsid w:val="00BC5C06"/>
  </w:style>
  <w:style w:type="character" w:customStyle="1" w:styleId="SalutationChar">
    <w:name w:val="Salutation Char"/>
    <w:basedOn w:val="DefaultParagraphFont"/>
    <w:link w:val="Salutation"/>
    <w:uiPriority w:val="99"/>
    <w:semiHidden/>
    <w:rsid w:val="00BC5C06"/>
    <w:rPr>
      <w:sz w:val="24"/>
      <w:szCs w:val="24"/>
    </w:rPr>
  </w:style>
  <w:style w:type="paragraph" w:styleId="Signature">
    <w:name w:val="Signature"/>
    <w:basedOn w:val="Normal"/>
    <w:link w:val="SignatureChar"/>
    <w:uiPriority w:val="99"/>
    <w:semiHidden/>
    <w:unhideWhenUsed/>
    <w:locked/>
    <w:rsid w:val="00BC5C06"/>
    <w:pPr>
      <w:ind w:left="4320"/>
    </w:pPr>
  </w:style>
  <w:style w:type="character" w:customStyle="1" w:styleId="SignatureChar">
    <w:name w:val="Signature Char"/>
    <w:basedOn w:val="DefaultParagraphFont"/>
    <w:link w:val="Signature"/>
    <w:uiPriority w:val="99"/>
    <w:semiHidden/>
    <w:rsid w:val="00BC5C06"/>
    <w:rPr>
      <w:sz w:val="24"/>
      <w:szCs w:val="24"/>
    </w:rPr>
  </w:style>
  <w:style w:type="paragraph" w:styleId="Subtitle">
    <w:name w:val="Subtitle"/>
    <w:basedOn w:val="Normal"/>
    <w:next w:val="Normal"/>
    <w:link w:val="SubtitleChar"/>
    <w:uiPriority w:val="11"/>
    <w:qFormat/>
    <w:locked/>
    <w:rsid w:val="00BC5C0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C5C06"/>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locked/>
    <w:rsid w:val="00BC5C06"/>
    <w:pPr>
      <w:ind w:left="240" w:hanging="240"/>
    </w:pPr>
  </w:style>
  <w:style w:type="paragraph" w:styleId="TableofFigures">
    <w:name w:val="table of figures"/>
    <w:basedOn w:val="Normal"/>
    <w:next w:val="Normal"/>
    <w:uiPriority w:val="99"/>
    <w:semiHidden/>
    <w:unhideWhenUsed/>
    <w:locked/>
    <w:rsid w:val="00BC5C06"/>
  </w:style>
  <w:style w:type="paragraph" w:styleId="Title">
    <w:name w:val="Title"/>
    <w:basedOn w:val="Normal"/>
    <w:next w:val="Normal"/>
    <w:link w:val="TitleChar"/>
    <w:uiPriority w:val="10"/>
    <w:qFormat/>
    <w:locked/>
    <w:rsid w:val="00BC5C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5C06"/>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locked/>
    <w:rsid w:val="00BC5C06"/>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C5C06"/>
    <w:pPr>
      <w:keepNext/>
      <w:numPr>
        <w:numId w:val="0"/>
      </w:numPr>
      <w:spacing w:before="240" w:after="60"/>
      <w:jc w:val="left"/>
      <w:outlineLvl w:val="9"/>
    </w:pPr>
    <w:rPr>
      <w:rFonts w:asciiTheme="majorHAnsi" w:eastAsiaTheme="majorEastAsia" w:hAnsiTheme="majorHAnsi" w:cstheme="majorBidi"/>
      <w:bCs/>
      <w:kern w:val="32"/>
      <w:sz w:val="32"/>
      <w:szCs w:val="32"/>
    </w:rPr>
  </w:style>
  <w:style w:type="table" w:styleId="TableGrid">
    <w:name w:val="Table Grid"/>
    <w:basedOn w:val="TableNormal"/>
    <w:uiPriority w:val="59"/>
    <w:locked/>
    <w:rsid w:val="00FB7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DblSp5J">
    <w:name w:val="*Body Dbl Sp .5 J"/>
    <w:aliases w:val="BDS5J"/>
    <w:basedOn w:val="Normal"/>
    <w:link w:val="BodyDblSp5JChar"/>
    <w:qFormat/>
    <w:rsid w:val="00B61FD7"/>
    <w:pPr>
      <w:spacing w:line="480" w:lineRule="auto"/>
      <w:ind w:firstLine="720"/>
      <w:jc w:val="both"/>
    </w:pPr>
  </w:style>
  <w:style w:type="character" w:customStyle="1" w:styleId="BodyDblSp5JChar">
    <w:name w:val="*Body Dbl Sp .5 J Char"/>
    <w:aliases w:val="BDS5J Char"/>
    <w:basedOn w:val="DefaultParagraphFont"/>
    <w:link w:val="BodyDblSp5J"/>
    <w:rsid w:val="00B61FD7"/>
    <w:rPr>
      <w:sz w:val="24"/>
      <w:szCs w:val="24"/>
    </w:rPr>
  </w:style>
  <w:style w:type="paragraph" w:customStyle="1" w:styleId="BodyDblIndentJ">
    <w:name w:val="*Body Dbl Indent J"/>
    <w:aliases w:val="BDIJ"/>
    <w:basedOn w:val="BodyDblIndent"/>
    <w:link w:val="BodyDblIndentJChar"/>
    <w:qFormat/>
    <w:rsid w:val="004974BA"/>
    <w:pPr>
      <w:jc w:val="both"/>
    </w:pPr>
  </w:style>
  <w:style w:type="character" w:customStyle="1" w:styleId="BodyDblIndentJChar">
    <w:name w:val="*Body Dbl Indent J Char"/>
    <w:aliases w:val="BDIJ Char"/>
    <w:basedOn w:val="DefaultParagraphFont"/>
    <w:link w:val="BodyDblIndentJ"/>
    <w:rsid w:val="004974BA"/>
    <w:rPr>
      <w:sz w:val="24"/>
      <w:szCs w:val="24"/>
    </w:rPr>
  </w:style>
  <w:style w:type="paragraph" w:customStyle="1" w:styleId="BodyDblIndent">
    <w:name w:val="*Body Dbl Indent"/>
    <w:aliases w:val="BDI"/>
    <w:basedOn w:val="Normal"/>
    <w:next w:val="Normal"/>
    <w:link w:val="BodyDblIndentChar"/>
    <w:rsid w:val="004974BA"/>
    <w:pPr>
      <w:spacing w:after="240"/>
      <w:ind w:left="1440" w:right="1440"/>
    </w:pPr>
  </w:style>
  <w:style w:type="character" w:customStyle="1" w:styleId="BodyDblIndentChar">
    <w:name w:val="*Body Dbl Indent Char"/>
    <w:aliases w:val="BDI Char"/>
    <w:basedOn w:val="DefaultParagraphFont"/>
    <w:link w:val="BodyDblIndent"/>
    <w:rsid w:val="004974BA"/>
    <w:rPr>
      <w:sz w:val="24"/>
      <w:szCs w:val="24"/>
    </w:rPr>
  </w:style>
  <w:style w:type="paragraph" w:customStyle="1" w:styleId="BodyDblSpJ">
    <w:name w:val="*Body Dbl Sp J"/>
    <w:aliases w:val="BDSJ"/>
    <w:basedOn w:val="Normal"/>
    <w:link w:val="BodyDblSpJChar"/>
    <w:qFormat/>
    <w:rsid w:val="004974BA"/>
    <w:pPr>
      <w:spacing w:line="480" w:lineRule="auto"/>
      <w:jc w:val="both"/>
    </w:pPr>
  </w:style>
  <w:style w:type="character" w:customStyle="1" w:styleId="BodyDblSpJChar">
    <w:name w:val="*Body Dbl Sp J Char"/>
    <w:aliases w:val="BDSJ Char"/>
    <w:basedOn w:val="DefaultParagraphFont"/>
    <w:link w:val="BodyDblSpJ"/>
    <w:rsid w:val="004974BA"/>
    <w:rPr>
      <w:sz w:val="24"/>
      <w:szCs w:val="24"/>
    </w:rPr>
  </w:style>
  <w:style w:type="paragraph" w:customStyle="1" w:styleId="Bullet1">
    <w:name w:val="Bullet1"/>
    <w:basedOn w:val="Heading3"/>
    <w:rsid w:val="00F6641F"/>
    <w:pPr>
      <w:numPr>
        <w:ilvl w:val="0"/>
        <w:numId w:val="15"/>
      </w:numPr>
      <w:ind w:left="1440" w:hanging="720"/>
    </w:pPr>
    <w:rPr>
      <w:u w:val="none"/>
    </w:rPr>
  </w:style>
  <w:style w:type="paragraph" w:customStyle="1" w:styleId="Bullet2">
    <w:name w:val="Bullet2"/>
    <w:basedOn w:val="Heading3"/>
    <w:rsid w:val="007B2979"/>
    <w:pPr>
      <w:numPr>
        <w:ilvl w:val="0"/>
        <w:numId w:val="14"/>
      </w:numPr>
    </w:pPr>
    <w:rPr>
      <w:u w:val="none"/>
    </w:rPr>
  </w:style>
  <w:style w:type="paragraph" w:customStyle="1" w:styleId="numberlist">
    <w:name w:val="()numberlist"/>
    <w:basedOn w:val="Heading3"/>
    <w:rsid w:val="00F6641F"/>
    <w:pPr>
      <w:numPr>
        <w:ilvl w:val="0"/>
        <w:numId w:val="0"/>
      </w:numPr>
      <w:ind w:left="1800"/>
    </w:pPr>
    <w:rPr>
      <w:u w:val="none"/>
    </w:rPr>
  </w:style>
  <w:style w:type="paragraph" w:customStyle="1" w:styleId="Nounderlinebullet2">
    <w:name w:val="Nounderlinebullet2"/>
    <w:basedOn w:val="Normal"/>
    <w:rsid w:val="00D8142D"/>
    <w:pPr>
      <w:numPr>
        <w:numId w:val="13"/>
      </w:numPr>
      <w:spacing w:after="240"/>
      <w:ind w:hanging="720"/>
    </w:pPr>
    <w:rPr>
      <w:rFonts w:eastAsia="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9378</Words>
  <Characters>48394</Characters>
  <Application>Microsoft Office Word</Application>
  <DocSecurity>4</DocSecurity>
  <PresentationFormat/>
  <Lines>834</Lines>
  <Paragraphs>234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2014-06-20T20:27:00Z</dcterms:created>
  <dcterms:modified xsi:type="dcterms:W3CDTF">2014-06-20T20:27:00Z</dcterms:modified>
  <dc:language/>
  <cp:version/>
</cp:coreProperties>
</file>