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A6EC5" w:rsidRPr="005216DF">
      <w:pPr>
        <w:ind w:left="2880" w:firstLine="720"/>
        <w:rPr>
          <w:b/>
          <w:szCs w:val="24"/>
        </w:rPr>
      </w:pPr>
      <w:bookmarkStart w:id="0" w:name="_GoBack"/>
      <w:bookmarkEnd w:id="0"/>
      <w:r w:rsidRPr="005216DF">
        <w:rPr>
          <w:b/>
          <w:szCs w:val="24"/>
        </w:rPr>
        <w:t>BEFORE</w:t>
      </w:r>
    </w:p>
    <w:p w:rsidR="00BA6EC5" w:rsidRPr="005216DF">
      <w:pPr>
        <w:jc w:val="center"/>
        <w:rPr>
          <w:b/>
          <w:szCs w:val="24"/>
        </w:rPr>
      </w:pPr>
      <w:r w:rsidRPr="005216DF">
        <w:rPr>
          <w:b/>
          <w:szCs w:val="24"/>
        </w:rPr>
        <w:t>THE PUBLIC UTILITIES COMMISSION OF OHIO</w:t>
      </w:r>
    </w:p>
    <w:p w:rsidR="00BA6EC5" w:rsidRPr="00313D67">
      <w:pPr>
        <w:pStyle w:val="HTMLPreformatted"/>
        <w:rPr>
          <w:rFonts w:ascii="Times New Roman" w:hAnsi="Times New Roman" w:cs="Times New Roman"/>
          <w:sz w:val="18"/>
          <w:szCs w:val="24"/>
        </w:rPr>
      </w:pPr>
    </w:p>
    <w:tbl>
      <w:tblPr>
        <w:tblW w:w="9092" w:type="dxa"/>
        <w:tblLook w:val="01E0"/>
      </w:tblPr>
      <w:tblGrid>
        <w:gridCol w:w="4332"/>
        <w:gridCol w:w="360"/>
        <w:gridCol w:w="4400"/>
      </w:tblGrid>
      <w:tr w:rsidTr="00B72358">
        <w:tblPrEx>
          <w:tblW w:w="9092" w:type="dxa"/>
          <w:tblLook w:val="01E0"/>
        </w:tblPrEx>
        <w:trPr>
          <w:trHeight w:val="3402"/>
        </w:trPr>
        <w:tc>
          <w:tcPr>
            <w:tcW w:w="4332" w:type="dxa"/>
            <w:shd w:val="clear" w:color="auto" w:fill="auto"/>
          </w:tcPr>
          <w:p w:rsidR="00E37AB9" w:rsidRPr="00E37AB9" w:rsidP="00E37AB9">
            <w:pPr>
              <w:autoSpaceDE w:val="0"/>
              <w:autoSpaceDN w:val="0"/>
              <w:adjustRightInd w:val="0"/>
              <w:rPr>
                <w:szCs w:val="24"/>
              </w:rPr>
            </w:pPr>
            <w:r w:rsidRPr="00E37AB9">
              <w:rPr>
                <w:szCs w:val="24"/>
              </w:rPr>
              <w:t xml:space="preserve">In the Matter of the Application of </w:t>
            </w:r>
          </w:p>
          <w:p w:rsidR="00E37AB9" w:rsidRPr="00E37AB9" w:rsidP="00E37AB9">
            <w:pPr>
              <w:autoSpaceDE w:val="0"/>
              <w:autoSpaceDN w:val="0"/>
              <w:adjustRightInd w:val="0"/>
              <w:rPr>
                <w:szCs w:val="24"/>
              </w:rPr>
            </w:pPr>
            <w:r w:rsidRPr="00E37AB9">
              <w:rPr>
                <w:szCs w:val="24"/>
              </w:rPr>
              <w:t>the Dayton Power and Light Company for</w:t>
            </w:r>
          </w:p>
          <w:p w:rsidR="00E37AB9" w:rsidRPr="00E37AB9" w:rsidP="00E37AB9">
            <w:pPr>
              <w:autoSpaceDE w:val="0"/>
              <w:autoSpaceDN w:val="0"/>
              <w:adjustRightInd w:val="0"/>
              <w:rPr>
                <w:szCs w:val="24"/>
              </w:rPr>
            </w:pPr>
            <w:r w:rsidRPr="00E37AB9">
              <w:rPr>
                <w:szCs w:val="24"/>
              </w:rPr>
              <w:t>Approval of its Electric Security Plan.</w:t>
            </w:r>
          </w:p>
          <w:p w:rsidR="00E37AB9" w:rsidRPr="00E37AB9" w:rsidP="00E37AB9">
            <w:pPr>
              <w:autoSpaceDE w:val="0"/>
              <w:autoSpaceDN w:val="0"/>
              <w:adjustRightInd w:val="0"/>
              <w:rPr>
                <w:szCs w:val="24"/>
              </w:rPr>
            </w:pPr>
          </w:p>
          <w:p w:rsidR="00E37AB9" w:rsidRPr="00E37AB9" w:rsidP="00E37AB9">
            <w:pPr>
              <w:autoSpaceDE w:val="0"/>
              <w:autoSpaceDN w:val="0"/>
              <w:adjustRightInd w:val="0"/>
              <w:rPr>
                <w:szCs w:val="24"/>
              </w:rPr>
            </w:pPr>
            <w:r w:rsidRPr="00E37AB9">
              <w:rPr>
                <w:szCs w:val="24"/>
              </w:rPr>
              <w:t>In the Matter of the Application of the Dayton Power and Light Company for Approval of Revised Tariffs.</w:t>
            </w:r>
          </w:p>
          <w:p w:rsidR="00E37AB9" w:rsidRPr="00E37AB9" w:rsidP="00E37AB9">
            <w:pPr>
              <w:autoSpaceDE w:val="0"/>
              <w:autoSpaceDN w:val="0"/>
              <w:adjustRightInd w:val="0"/>
              <w:rPr>
                <w:szCs w:val="24"/>
              </w:rPr>
            </w:pPr>
          </w:p>
          <w:p w:rsidR="00E37AB9" w:rsidRPr="00E37AB9" w:rsidP="00E37AB9">
            <w:pPr>
              <w:autoSpaceDE w:val="0"/>
              <w:autoSpaceDN w:val="0"/>
              <w:adjustRightInd w:val="0"/>
              <w:rPr>
                <w:szCs w:val="24"/>
              </w:rPr>
            </w:pPr>
            <w:r w:rsidRPr="00E37AB9">
              <w:rPr>
                <w:szCs w:val="24"/>
              </w:rPr>
              <w:t>In the Matter of the Application of the Dayton Power and Light Company for Approval of Certain Accounting Authority Pursuant to Ohio Rev. Code § 4905.13.</w:t>
            </w:r>
          </w:p>
        </w:tc>
        <w:tc>
          <w:tcPr>
            <w:tcW w:w="360" w:type="dxa"/>
            <w:shd w:val="clear" w:color="auto" w:fill="auto"/>
          </w:tcPr>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c>
          <w:tcPr>
            <w:tcW w:w="4400" w:type="dxa"/>
            <w:shd w:val="clear" w:color="auto" w:fill="auto"/>
          </w:tcPr>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Case No. 16-0395-EL-SSO</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Case No. 16-0396-EL-ATA</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sidRPr="00E37AB9">
              <w:rPr>
                <w:rFonts w:eastAsia="Courier New" w:cs="Courier New"/>
              </w:rPr>
              <w:t>Case No. 16-0397-EL-AAM</w:t>
            </w: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E37AB9" w:rsidRPr="00E37AB9" w:rsidP="00E3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r>
    </w:tbl>
    <w:p w:rsidR="00BA6EC5" w:rsidRPr="00A90BAD">
      <w:pPr>
        <w:pBdr>
          <w:top w:val="single" w:sz="12" w:space="1" w:color="auto"/>
        </w:pBdr>
        <w:jc w:val="center"/>
        <w:rPr>
          <w:sz w:val="12"/>
          <w:szCs w:val="24"/>
        </w:rPr>
      </w:pPr>
    </w:p>
    <w:p w:rsidR="00D805DF" w:rsidP="00510499">
      <w:pPr>
        <w:tabs>
          <w:tab w:val="left" w:pos="-720"/>
        </w:tabs>
        <w:suppressAutoHyphens/>
        <w:jc w:val="center"/>
        <w:rPr>
          <w:b/>
          <w:spacing w:val="-3"/>
          <w:szCs w:val="24"/>
        </w:rPr>
      </w:pPr>
      <w:r>
        <w:rPr>
          <w:b/>
          <w:spacing w:val="-3"/>
          <w:szCs w:val="24"/>
        </w:rPr>
        <w:t>NOTICE TO TAKE DEPOSITIONS</w:t>
      </w:r>
    </w:p>
    <w:p w:rsidR="004610D3" w:rsidP="00510499">
      <w:pPr>
        <w:tabs>
          <w:tab w:val="left" w:pos="-720"/>
        </w:tabs>
        <w:suppressAutoHyphens/>
        <w:jc w:val="center"/>
        <w:rPr>
          <w:b/>
          <w:spacing w:val="-3"/>
          <w:szCs w:val="24"/>
        </w:rPr>
      </w:pPr>
      <w:r>
        <w:rPr>
          <w:b/>
          <w:spacing w:val="-3"/>
          <w:szCs w:val="24"/>
        </w:rPr>
        <w:t>AND REQUESTS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A90BAD">
      <w:pPr>
        <w:pBdr>
          <w:bottom w:val="single" w:sz="12" w:space="1" w:color="auto"/>
        </w:pBdr>
        <w:tabs>
          <w:tab w:val="left" w:pos="-720"/>
        </w:tabs>
        <w:suppressAutoHyphens/>
        <w:jc w:val="center"/>
        <w:rPr>
          <w:b/>
          <w:spacing w:val="-3"/>
          <w:sz w:val="12"/>
          <w:szCs w:val="24"/>
        </w:rPr>
      </w:pPr>
    </w:p>
    <w:p w:rsidR="004610D3" w:rsidP="004610D3">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 4901-1-21(B), please take notice that the Office of the Ohio Consumers’ Counsel (“OCC”) will take the oral deposition of the following individuals: </w:t>
      </w:r>
    </w:p>
    <w:p w:rsidR="004610D3" w:rsidP="00037E4E">
      <w:pPr>
        <w:pStyle w:val="Footer"/>
        <w:numPr>
          <w:ilvl w:val="0"/>
          <w:numId w:val="25"/>
        </w:numPr>
        <w:tabs>
          <w:tab w:val="left" w:pos="4320"/>
          <w:tab w:val="clear" w:pos="8640"/>
        </w:tabs>
        <w:spacing w:before="240" w:line="480" w:lineRule="auto"/>
        <w:ind w:hanging="720"/>
        <w:contextualSpacing/>
        <w:rPr>
          <w:rFonts w:ascii="TimesNewRomanPSMT" w:hAnsi="TimesNewRomanPSMT" w:eastAsiaTheme="minorHAnsi" w:cs="TimesNewRomanPSMT"/>
        </w:rPr>
      </w:pPr>
      <w:r w:rsidRPr="004610D3">
        <w:rPr>
          <w:rFonts w:ascii="TimesNewRomanPSMT" w:hAnsi="TimesNewRomanPSMT" w:eastAsiaTheme="minorHAnsi" w:cs="TimesNewRomanPSMT"/>
        </w:rPr>
        <w:t>All persons who will be</w:t>
      </w:r>
      <w:r>
        <w:rPr>
          <w:rFonts w:ascii="TimesNewRomanPSMT" w:hAnsi="TimesNewRomanPSMT" w:eastAsiaTheme="minorHAnsi" w:cs="TimesNewRomanPSMT"/>
        </w:rPr>
        <w:t xml:space="preserve"> called by the Dayton Power and Light Company</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Utility</w:t>
      </w:r>
      <w:r w:rsidRPr="004610D3">
        <w:rPr>
          <w:rFonts w:ascii="TimesNewRomanPSMT" w:hAnsi="TimesNewRomanPSMT" w:eastAsiaTheme="minorHAnsi" w:cs="TimesNewRomanPSMT"/>
        </w:rPr>
        <w:t>” or “</w:t>
      </w:r>
      <w:r>
        <w:rPr>
          <w:rFonts w:ascii="TimesNewRomanPSMT" w:hAnsi="TimesNewRomanPSMT" w:eastAsiaTheme="minorHAnsi" w:cs="TimesNewRomanPSMT"/>
        </w:rPr>
        <w:t>DP&amp;L</w:t>
      </w:r>
      <w:r w:rsidRPr="004610D3">
        <w:rPr>
          <w:rFonts w:ascii="TimesNewRomanPSMT" w:hAnsi="TimesNewRomanPSMT" w:eastAsiaTheme="minorHAnsi" w:cs="TimesNewRomanPSMT"/>
        </w:rPr>
        <w:t>”) to present testimony, including direct,</w:t>
      </w:r>
      <w:r>
        <w:rPr>
          <w:rFonts w:ascii="TimesNewRomanPSMT" w:hAnsi="TimesNewRomanPSMT" w:eastAsiaTheme="minorHAnsi" w:cs="TimesNewRomanPSMT"/>
        </w:rPr>
        <w:t xml:space="preserve"> supplemental,</w:t>
      </w:r>
      <w:r w:rsidRPr="004610D3">
        <w:rPr>
          <w:rFonts w:ascii="TimesNewRomanPSMT" w:hAnsi="TimesNewRomanPSMT" w:eastAsiaTheme="minorHAnsi" w:cs="TimesNewRomanPSMT"/>
        </w:rPr>
        <w:t xml:space="preserve"> rebuttal, surrebuttal, and any other form of testimony filed, or to be </w:t>
      </w:r>
      <w:r>
        <w:rPr>
          <w:rFonts w:ascii="TimesNewRomanPSMT" w:hAnsi="TimesNewRomanPSMT" w:eastAsiaTheme="minorHAnsi" w:cs="TimesNewRomanPSMT"/>
        </w:rPr>
        <w:t>filed in these proceedings; and</w:t>
      </w:r>
    </w:p>
    <w:p w:rsidR="00B82A31" w:rsidP="00037E4E">
      <w:pPr>
        <w:pStyle w:val="Footer"/>
        <w:numPr>
          <w:ilvl w:val="0"/>
          <w:numId w:val="25"/>
        </w:numPr>
        <w:tabs>
          <w:tab w:val="left" w:pos="4320"/>
          <w:tab w:val="clear" w:pos="8640"/>
        </w:tabs>
        <w:spacing w:before="240" w:line="480" w:lineRule="auto"/>
        <w:ind w:hanging="720"/>
        <w:contextualSpacing/>
        <w:rPr>
          <w:rFonts w:ascii="TimesNewRomanPSMT" w:hAnsi="TimesNewRomanPSMT" w:eastAsiaTheme="minorHAnsi" w:cs="TimesNewRomanPSMT"/>
        </w:rPr>
        <w:sectPr w:rsidSect="00D4000D">
          <w:footerReference w:type="default" r:id="rId4"/>
          <w:pgSz w:w="12240" w:h="15840"/>
          <w:pgMar w:top="1440" w:right="1800" w:bottom="1440" w:left="1800" w:header="720" w:footer="720" w:gutter="0"/>
          <w:pgNumType w:start="2"/>
          <w:cols w:space="720"/>
          <w:docGrid w:linePitch="360"/>
        </w:sectPr>
      </w:pPr>
      <w:r w:rsidRPr="004610D3">
        <w:rPr>
          <w:rFonts w:ascii="TimesNewRomanPSMT" w:hAnsi="TimesNewRomanPSMT" w:eastAsiaTheme="minorHAnsi" w:cs="TimesNewRomanPSMT"/>
        </w:rPr>
        <w:t>All persons responsible for answering interrogatories</w:t>
      </w:r>
      <w:r>
        <w:rPr>
          <w:rFonts w:ascii="TimesNewRomanPSMT" w:hAnsi="TimesNewRomanPSMT" w:eastAsiaTheme="minorHAnsi" w:cs="TimesNewRomanPSMT"/>
        </w:rPr>
        <w:t>, data requests</w:t>
      </w:r>
      <w:r w:rsidRPr="004610D3">
        <w:rPr>
          <w:rFonts w:ascii="TimesNewRomanPSMT" w:hAnsi="TimesNewRomanPSMT" w:eastAsiaTheme="minorHAnsi" w:cs="TimesNewRomanPSMT"/>
        </w:rPr>
        <w:t xml:space="preserve"> and/or responding to requests for production of documents (including responses that state that no documents are responsive to a request to produce) serve</w:t>
      </w:r>
      <w:r>
        <w:rPr>
          <w:rFonts w:ascii="TimesNewRomanPSMT" w:hAnsi="TimesNewRomanPSMT" w:eastAsiaTheme="minorHAnsi" w:cs="TimesNewRomanPSMT"/>
        </w:rPr>
        <w:t>d in these proceedings upon DP&amp;L</w:t>
      </w:r>
      <w:r w:rsidRPr="004610D3">
        <w:rPr>
          <w:rFonts w:ascii="TimesNewRomanPSMT" w:hAnsi="TimesNewRomanPSMT" w:eastAsiaTheme="minorHAnsi" w:cs="TimesNewRomanPSMT"/>
        </w:rPr>
        <w:t xml:space="preserve">. </w:t>
      </w:r>
    </w:p>
    <w:p w:rsidR="00B44DF0" w:rsidP="00B82A31">
      <w:pPr>
        <w:pStyle w:val="Footer"/>
        <w:tabs>
          <w:tab w:val="left" w:pos="4320"/>
        </w:tabs>
        <w:spacing w:before="100" w:beforeAutospacing="1" w:line="480" w:lineRule="auto"/>
        <w:ind w:firstLine="720"/>
        <w:contextualSpacing/>
        <w:rPr>
          <w:rFonts w:ascii="TimesNewRomanPSMT" w:hAnsi="TimesNewRomanPSMT" w:eastAsiaTheme="minorHAnsi" w:cs="TimesNewRomanPSMT"/>
        </w:rPr>
      </w:pPr>
      <w:r w:rsidRPr="00B44DF0">
        <w:rPr>
          <w:rFonts w:ascii="TimesNewRomanPSMT" w:hAnsi="TimesNewRomanPSMT" w:eastAsiaTheme="minorHAnsi" w:cs="TimesNewRomanPSMT"/>
        </w:rPr>
        <w:t>OCC seeks to conduct the deposition of these indi</w:t>
      </w:r>
      <w:r>
        <w:rPr>
          <w:rFonts w:ascii="TimesNewRomanPSMT" w:hAnsi="TimesNewRomanPSMT" w:eastAsiaTheme="minorHAnsi" w:cs="TimesNewRomanPSMT"/>
        </w:rPr>
        <w:t xml:space="preserve">vidual(s) upon oral examination </w:t>
      </w:r>
      <w:r w:rsidRPr="00B44DF0">
        <w:rPr>
          <w:rFonts w:ascii="TimesNewRomanPSMT" w:hAnsi="TimesNewRomanPSMT" w:eastAsiaTheme="minorHAnsi" w:cs="TimesNewRomanPSMT"/>
        </w:rPr>
        <w:t>at OCC’s offices, 10 W. Broad St., 18th Floor, Columbus, Ohio, 43215,</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 xml:space="preserve">at date and time </w:t>
      </w:r>
      <w:r w:rsidRPr="004610D3">
        <w:rPr>
          <w:rFonts w:ascii="TimesNewRomanPSMT" w:hAnsi="TimesNewRomanPSMT" w:eastAsiaTheme="minorHAnsi" w:cs="TimesNewRomanPSMT"/>
        </w:rPr>
        <w:t xml:space="preserve">that is mutually agreeable to the parties. The depositions will continue, one-after-the-other, from day to day, except for holidays and weekends, until completed. Each </w:t>
      </w:r>
      <w:r>
        <w:rPr>
          <w:rFonts w:ascii="TimesNewRomanPSMT" w:hAnsi="TimesNewRomanPSMT" w:eastAsiaTheme="minorHAnsi" w:cs="TimesNewRomanPSMT"/>
        </w:rPr>
        <w:t>d</w:t>
      </w:r>
      <w:r w:rsidRPr="004610D3">
        <w:rPr>
          <w:rFonts w:ascii="TimesNewRomanPSMT" w:hAnsi="TimesNewRomanPSMT" w:eastAsiaTheme="minorHAnsi" w:cs="TimesNewRomanPSMT"/>
        </w:rPr>
        <w:t xml:space="preserve">eponent will appear at the </w:t>
      </w:r>
      <w:r>
        <w:rPr>
          <w:rFonts w:ascii="TimesNewRomanPSMT" w:hAnsi="TimesNewRomanPSMT" w:eastAsiaTheme="minorHAnsi" w:cs="TimesNewRomanPSMT"/>
        </w:rPr>
        <w:t>agreed upon place</w:t>
      </w:r>
      <w:r w:rsidRPr="004610D3">
        <w:rPr>
          <w:rFonts w:ascii="TimesNewRomanPSMT" w:hAnsi="TimesNewRomanPSMT" w:eastAsiaTheme="minorHAnsi" w:cs="TimesNewRomanPSMT"/>
        </w:rPr>
        <w:t xml:space="preserve"> at the designated time and date with all requested documents (identified below) and remain present until deposed. </w:t>
      </w:r>
    </w:p>
    <w:p w:rsidR="004610D3"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pPr>
      <w:r w:rsidRPr="004610D3">
        <w:rPr>
          <w:rFonts w:ascii="TimesNewRomanPSMT" w:hAnsi="TimesNewRomanPSMT" w:eastAsiaTheme="minorHAnsi" w:cs="TimesNewRomanPSMT"/>
        </w:rPr>
        <w:t>The depositions will</w:t>
      </w:r>
      <w:r>
        <w:rPr>
          <w:rFonts w:ascii="TimesNewRomanPSMT" w:hAnsi="TimesNewRomanPSMT" w:eastAsiaTheme="minorHAnsi" w:cs="TimesNewRomanPSMT"/>
        </w:rPr>
        <w:t xml:space="preserve"> be taken of the aforementioned </w:t>
      </w:r>
      <w:r w:rsidRPr="004610D3">
        <w:rPr>
          <w:rFonts w:ascii="TimesNewRomanPSMT" w:hAnsi="TimesNewRomanPSMT" w:eastAsiaTheme="minorHAnsi" w:cs="TimesNewRomanPSMT"/>
        </w:rPr>
        <w:t xml:space="preserve">deponents on relevant topics within the scope of these proceedings, including but not limited to, the subject matter of the deponent’s testimony and the deponent’s knowledge and expertise with the subject matter of these proceedings. The depositions will be taken upon oral examination (as upon cross-examination) before an officer authorized by law to take depositions. </w:t>
      </w:r>
    </w:p>
    <w:p w:rsidR="00202C5F" w:rsidRPr="005216DF" w:rsidP="004610D3">
      <w:pPr>
        <w:pStyle w:val="Footer"/>
        <w:tabs>
          <w:tab w:val="left" w:pos="4320"/>
          <w:tab w:val="clear" w:pos="8640"/>
        </w:tabs>
        <w:spacing w:before="100" w:beforeAutospacing="1" w:line="480" w:lineRule="auto"/>
        <w:ind w:firstLine="720"/>
        <w:contextualSpacing/>
        <w:rPr>
          <w:rFonts w:ascii="Times New Roman" w:hAnsi="Times New Roman" w:cs="Times New Roman"/>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 and 4901-1-20, each deponent is requested to produce, two hours prior to his/her deposition, all documents relating to his/her responsibilities with respect to Case No. </w:t>
      </w:r>
      <w:r>
        <w:rPr>
          <w:rFonts w:ascii="TimesNewRomanPSMT" w:hAnsi="TimesNewRomanPSMT" w:eastAsiaTheme="minorHAnsi" w:cs="TimesNewRomanPSMT"/>
        </w:rPr>
        <w:t>16-0395-EL-SSO</w:t>
      </w:r>
      <w:r w:rsidRPr="004610D3">
        <w:rPr>
          <w:rFonts w:ascii="TimesNewRomanPSMT" w:hAnsi="TimesNewRomanPSMT" w:eastAsiaTheme="minorHAnsi" w:cs="TimesNewRomanPSMT"/>
        </w:rPr>
        <w:t xml:space="preserve"> and responses to discovery that were authored by the deponent or were provided to OCC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D016B2" w:rsidRPr="005216DF" w:rsidP="00202C5F">
      <w:pPr>
        <w:jc w:val="both"/>
        <w:rPr>
          <w:rStyle w:val="Hyperlink"/>
          <w:szCs w:val="24"/>
        </w:rPr>
      </w:pPr>
    </w:p>
    <w:p w:rsidR="00D016B2" w:rsidRPr="005216DF" w:rsidP="00D016B2">
      <w:pPr>
        <w:ind w:left="3600" w:firstLine="720"/>
        <w:rPr>
          <w:szCs w:val="24"/>
        </w:rPr>
      </w:pPr>
    </w:p>
    <w:p w:rsidR="00D016B2" w:rsidRPr="005216DF" w:rsidP="00202C5F">
      <w:pPr>
        <w:jc w:val="both"/>
        <w:rPr>
          <w:rStyle w:val="Hyperlink"/>
          <w:szCs w:val="24"/>
        </w:rPr>
        <w:sectPr w:rsidSect="00D4000D">
          <w:footerReference w:type="default" r:id="rId5"/>
          <w:pgSz w:w="12240" w:h="15840"/>
          <w:pgMar w:top="1440" w:right="1800" w:bottom="1440" w:left="1800" w:header="720" w:footer="720" w:gutter="0"/>
          <w:pgNumType w:start="2"/>
          <w:cols w:space="720"/>
          <w:docGrid w:linePitch="360"/>
        </w:sectPr>
      </w:pPr>
    </w:p>
    <w:p w:rsidR="00E37AB9" w:rsidRPr="00E37AB9" w:rsidP="00E37AB9">
      <w:pPr>
        <w:tabs>
          <w:tab w:val="left" w:pos="4320"/>
        </w:tabs>
        <w:overflowPunct w:val="0"/>
        <w:autoSpaceDE w:val="0"/>
        <w:autoSpaceDN w:val="0"/>
        <w:adjustRightInd w:val="0"/>
        <w:ind w:left="4140"/>
        <w:textAlignment w:val="baseline"/>
        <w:rPr>
          <w:szCs w:val="24"/>
        </w:rPr>
      </w:pPr>
      <w:r w:rsidRPr="00E37AB9">
        <w:rPr>
          <w:szCs w:val="24"/>
        </w:rPr>
        <w:t>BRUCE WESTON (0016973)</w:t>
      </w:r>
    </w:p>
    <w:p w:rsidR="00E37AB9" w:rsidRPr="00E37AB9" w:rsidP="00E37AB9">
      <w:pPr>
        <w:tabs>
          <w:tab w:val="left" w:pos="4320"/>
        </w:tabs>
        <w:ind w:left="4140"/>
        <w:rPr>
          <w:szCs w:val="24"/>
        </w:rPr>
      </w:pPr>
      <w:r w:rsidRPr="00E37AB9">
        <w:rPr>
          <w:szCs w:val="24"/>
        </w:rPr>
        <w:t>OHIO CONSUMERS’ COUNSEL</w:t>
      </w:r>
    </w:p>
    <w:p w:rsidR="00E37AB9" w:rsidRPr="00E37AB9" w:rsidP="00E37AB9">
      <w:pPr>
        <w:tabs>
          <w:tab w:val="left" w:pos="4320"/>
        </w:tabs>
        <w:ind w:left="4140"/>
        <w:rPr>
          <w:szCs w:val="24"/>
        </w:rPr>
      </w:pPr>
      <w:r w:rsidRPr="00E37AB9">
        <w:rPr>
          <w:szCs w:val="24"/>
        </w:rPr>
        <w:tab/>
      </w:r>
    </w:p>
    <w:p w:rsidR="00E37AB9" w:rsidRPr="00E37AB9" w:rsidP="00E37AB9">
      <w:pPr>
        <w:tabs>
          <w:tab w:val="left" w:pos="4320"/>
        </w:tabs>
        <w:ind w:left="4140"/>
        <w:rPr>
          <w:i/>
          <w:szCs w:val="24"/>
          <w:u w:val="single"/>
        </w:rPr>
      </w:pPr>
      <w:r w:rsidRPr="00E37AB9">
        <w:rPr>
          <w:i/>
          <w:szCs w:val="24"/>
          <w:u w:val="single"/>
        </w:rPr>
        <w:t>/s/ William Michael_______</w:t>
      </w:r>
    </w:p>
    <w:p w:rsidR="00B82A31" w:rsidRPr="00E37AB9" w:rsidP="00B82A31">
      <w:pPr>
        <w:tabs>
          <w:tab w:val="left" w:pos="4320"/>
        </w:tabs>
        <w:ind w:left="4140"/>
        <w:rPr>
          <w:szCs w:val="24"/>
        </w:rPr>
      </w:pPr>
      <w:r w:rsidRPr="00E37AB9">
        <w:rPr>
          <w:szCs w:val="24"/>
        </w:rPr>
        <w:t>William Michael, (0070921)</w:t>
      </w:r>
    </w:p>
    <w:p w:rsidR="00E37AB9" w:rsidRPr="00E37AB9" w:rsidP="00E37AB9">
      <w:pPr>
        <w:tabs>
          <w:tab w:val="left" w:pos="4320"/>
        </w:tabs>
        <w:ind w:left="4140"/>
        <w:rPr>
          <w:szCs w:val="24"/>
        </w:rPr>
      </w:pPr>
      <w:r w:rsidRPr="00E37AB9">
        <w:rPr>
          <w:szCs w:val="24"/>
        </w:rPr>
        <w:t>Counsel of Record</w:t>
      </w:r>
    </w:p>
    <w:p w:rsidR="00E37AB9" w:rsidRPr="00E37AB9" w:rsidP="00E37AB9">
      <w:pPr>
        <w:tabs>
          <w:tab w:val="left" w:pos="4320"/>
        </w:tabs>
        <w:ind w:left="4140"/>
        <w:rPr>
          <w:szCs w:val="24"/>
        </w:rPr>
      </w:pPr>
      <w:r w:rsidRPr="00E37AB9">
        <w:rPr>
          <w:szCs w:val="24"/>
        </w:rPr>
        <w:t>Kevin F. Moore (0089228)</w:t>
      </w:r>
    </w:p>
    <w:p w:rsidR="00E37AB9" w:rsidP="00E37AB9">
      <w:pPr>
        <w:tabs>
          <w:tab w:val="left" w:pos="4320"/>
        </w:tabs>
        <w:ind w:left="4140"/>
        <w:rPr>
          <w:szCs w:val="24"/>
        </w:rPr>
      </w:pPr>
      <w:r w:rsidRPr="00E37AB9">
        <w:rPr>
          <w:szCs w:val="24"/>
        </w:rPr>
        <w:t>Ajay Kumar (0092208)</w:t>
      </w:r>
    </w:p>
    <w:p w:rsidR="00E37AB9" w:rsidRPr="00E37AB9" w:rsidP="00E37AB9">
      <w:pPr>
        <w:tabs>
          <w:tab w:val="left" w:pos="4320"/>
        </w:tabs>
        <w:ind w:left="4140"/>
        <w:rPr>
          <w:szCs w:val="24"/>
        </w:rPr>
      </w:pPr>
      <w:r>
        <w:rPr>
          <w:szCs w:val="24"/>
        </w:rPr>
        <w:t>Andrew Garver (PHV-10193-2017)</w:t>
      </w:r>
    </w:p>
    <w:p w:rsidR="00E37AB9" w:rsidRPr="00E37AB9" w:rsidP="00E37AB9">
      <w:pPr>
        <w:tabs>
          <w:tab w:val="left" w:pos="4320"/>
        </w:tabs>
        <w:ind w:left="4140"/>
        <w:rPr>
          <w:szCs w:val="24"/>
        </w:rPr>
      </w:pPr>
      <w:r w:rsidRPr="00E37AB9">
        <w:rPr>
          <w:szCs w:val="24"/>
        </w:rPr>
        <w:t>Assistant Consumers’ Counsel</w:t>
      </w:r>
    </w:p>
    <w:p w:rsidR="00E37AB9" w:rsidRPr="00E37AB9" w:rsidP="00E37AB9">
      <w:pPr>
        <w:tabs>
          <w:tab w:val="left" w:pos="4320"/>
        </w:tabs>
        <w:ind w:left="4140"/>
        <w:rPr>
          <w:szCs w:val="24"/>
        </w:rPr>
      </w:pPr>
      <w:r w:rsidRPr="00E37AB9">
        <w:rPr>
          <w:szCs w:val="24"/>
        </w:rPr>
        <w:tab/>
      </w:r>
    </w:p>
    <w:p w:rsidR="00E37AB9" w:rsidRPr="00E37AB9" w:rsidP="00E37AB9">
      <w:pPr>
        <w:ind w:left="4140"/>
        <w:rPr>
          <w:b/>
          <w:szCs w:val="24"/>
        </w:rPr>
      </w:pPr>
      <w:r w:rsidRPr="00E37AB9">
        <w:rPr>
          <w:b/>
          <w:szCs w:val="24"/>
        </w:rPr>
        <w:t>Office of the Ohio Consumers’ Counsel</w:t>
      </w:r>
    </w:p>
    <w:p w:rsidR="00E37AB9" w:rsidRPr="00E37AB9" w:rsidP="00E37AB9">
      <w:pPr>
        <w:ind w:left="4140"/>
        <w:rPr>
          <w:szCs w:val="24"/>
        </w:rPr>
      </w:pPr>
      <w:r w:rsidRPr="00E37AB9">
        <w:rPr>
          <w:szCs w:val="24"/>
        </w:rPr>
        <w:t>10 West Broad Street, Suite 1800</w:t>
      </w:r>
    </w:p>
    <w:p w:rsidR="00E37AB9" w:rsidRPr="00E37AB9" w:rsidP="00E37AB9">
      <w:pPr>
        <w:ind w:left="4140"/>
        <w:rPr>
          <w:b/>
          <w:szCs w:val="24"/>
        </w:rPr>
      </w:pPr>
      <w:r w:rsidRPr="00E37AB9">
        <w:rPr>
          <w:szCs w:val="24"/>
        </w:rPr>
        <w:t>Columbus, Ohio 43215-3485</w:t>
      </w:r>
    </w:p>
    <w:p w:rsidR="00E37AB9" w:rsidRPr="00E37AB9" w:rsidP="00E37AB9">
      <w:pPr>
        <w:ind w:left="4140"/>
        <w:rPr>
          <w:szCs w:val="24"/>
        </w:rPr>
      </w:pPr>
      <w:r>
        <w:rPr>
          <w:szCs w:val="24"/>
        </w:rPr>
        <w:t xml:space="preserve">Telephone: </w:t>
      </w:r>
      <w:r w:rsidRPr="00E37AB9">
        <w:rPr>
          <w:szCs w:val="24"/>
        </w:rPr>
        <w:t>[Michael] (614) 466-1291</w:t>
      </w:r>
    </w:p>
    <w:p w:rsidR="00E37AB9" w:rsidRPr="00E37AB9" w:rsidP="00E37AB9">
      <w:pPr>
        <w:ind w:left="4140"/>
        <w:rPr>
          <w:szCs w:val="24"/>
        </w:rPr>
      </w:pPr>
      <w:r>
        <w:rPr>
          <w:szCs w:val="24"/>
        </w:rPr>
        <w:t xml:space="preserve">Telephone: </w:t>
      </w:r>
      <w:r w:rsidRPr="00E37AB9">
        <w:rPr>
          <w:szCs w:val="24"/>
        </w:rPr>
        <w:t>[Moore] (614) 387-2965</w:t>
      </w:r>
    </w:p>
    <w:p w:rsidR="00E37AB9" w:rsidP="00E37AB9">
      <w:pPr>
        <w:ind w:left="4140"/>
        <w:rPr>
          <w:szCs w:val="24"/>
        </w:rPr>
      </w:pPr>
      <w:r>
        <w:rPr>
          <w:szCs w:val="24"/>
        </w:rPr>
        <w:t xml:space="preserve">Telephone: </w:t>
      </w:r>
      <w:r w:rsidRPr="00E37AB9">
        <w:rPr>
          <w:szCs w:val="24"/>
        </w:rPr>
        <w:t>[Kumar] (614) 466-1292</w:t>
      </w:r>
    </w:p>
    <w:p w:rsidR="00E37AB9" w:rsidRPr="00E37AB9" w:rsidP="00E37AB9">
      <w:pPr>
        <w:ind w:left="4140"/>
        <w:rPr>
          <w:b/>
          <w:szCs w:val="24"/>
        </w:rPr>
      </w:pPr>
      <w:r>
        <w:rPr>
          <w:szCs w:val="24"/>
        </w:rPr>
        <w:t>Telephone: [Garver] (614) 466-9569</w:t>
      </w:r>
    </w:p>
    <w:p w:rsidR="00E37AB9" w:rsidRPr="00E37AB9" w:rsidP="00EB5856">
      <w:pPr>
        <w:ind w:firstLine="4140"/>
      </w:pPr>
      <w:r w:rsidRPr="00E37AB9">
        <w:t xml:space="preserve">william.michael@occ.ohio.gov </w:t>
      </w:r>
    </w:p>
    <w:p w:rsidR="00E37AB9" w:rsidRPr="00E37AB9" w:rsidP="00EB5856">
      <w:pPr>
        <w:ind w:firstLine="4140"/>
      </w:pPr>
      <w:r w:rsidRPr="00E37AB9">
        <w:t>kevin.moore@occ.ohio.gov</w:t>
      </w:r>
    </w:p>
    <w:p w:rsidR="00E37AB9" w:rsidP="00EB5856">
      <w:pPr>
        <w:ind w:firstLine="4140"/>
      </w:pPr>
      <w:r w:rsidRPr="00EB5856">
        <w:rPr>
          <w:szCs w:val="24"/>
        </w:rPr>
        <w:t>ajay.kumar@occ.ohio.gov</w:t>
      </w:r>
      <w:r>
        <w:t xml:space="preserve"> </w:t>
      </w:r>
    </w:p>
    <w:p w:rsidR="00E37AB9" w:rsidRPr="00E37AB9" w:rsidP="00EB5856">
      <w:pPr>
        <w:ind w:firstLine="4140"/>
      </w:pPr>
      <w:r>
        <w:t>andrew.garver@occ.ohio.gov</w:t>
      </w:r>
    </w:p>
    <w:p w:rsidR="00E37AB9" w:rsidP="00E37AB9">
      <w:pPr>
        <w:ind w:left="4140"/>
        <w:rPr>
          <w:szCs w:val="24"/>
        </w:rPr>
      </w:pPr>
      <w:r w:rsidRPr="00E37AB9">
        <w:rPr>
          <w:szCs w:val="24"/>
        </w:rPr>
        <w:t>(All will accept service via email)</w:t>
      </w:r>
    </w:p>
    <w:p w:rsidR="00B82A31" w:rsidP="00D805DF">
      <w:pPr>
        <w:ind w:left="2160" w:firstLine="720"/>
        <w:rPr>
          <w:b/>
          <w:bCs/>
          <w:szCs w:val="24"/>
          <w:u w:val="single"/>
        </w:rPr>
        <w:sectPr w:rsidSect="00B82A31">
          <w:footerReference w:type="default" r:id="rId6"/>
          <w:pgSz w:w="12240" w:h="15840"/>
          <w:pgMar w:top="1440" w:right="1800" w:bottom="1440" w:left="1800" w:header="720" w:footer="720" w:gutter="0"/>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313D67">
      <w:pPr>
        <w:pStyle w:val="EndnoteText"/>
        <w:widowControl/>
        <w:tabs>
          <w:tab w:val="left" w:pos="-720"/>
        </w:tabs>
        <w:suppressAutoHyphens/>
        <w:rPr>
          <w:rFonts w:ascii="Times New Roman" w:hAnsi="Times New Roman"/>
          <w:spacing w:val="-3"/>
          <w:sz w:val="12"/>
          <w:szCs w:val="24"/>
        </w:rPr>
      </w:pPr>
    </w:p>
    <w:p w:rsidR="00BA6EC5" w:rsidRPr="00313D67" w:rsidP="00313D67">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Notice to Take Depositions and Request for Production of Documents</w:t>
      </w:r>
      <w:r w:rsidRPr="005216DF">
        <w:rPr>
          <w:i/>
          <w:iCs/>
          <w:szCs w:val="24"/>
        </w:rPr>
        <w:t xml:space="preserve"> </w:t>
      </w:r>
      <w:r>
        <w:rPr>
          <w:szCs w:val="24"/>
        </w:rPr>
        <w:t>was served via</w:t>
      </w:r>
      <w:r w:rsidRPr="005216DF">
        <w:rPr>
          <w:szCs w:val="24"/>
        </w:rPr>
        <w:t xml:space="preserve"> electronic transmission </w:t>
      </w:r>
      <w:r>
        <w:rPr>
          <w:szCs w:val="24"/>
        </w:rPr>
        <w:t>upon the parties below this 7</w:t>
      </w:r>
      <w:r w:rsidRPr="00B82A31">
        <w:rPr>
          <w:szCs w:val="24"/>
          <w:vertAlign w:val="superscript"/>
        </w:rPr>
        <w:t>th</w:t>
      </w:r>
      <w:r>
        <w:rPr>
          <w:szCs w:val="24"/>
        </w:rPr>
        <w:t xml:space="preserve"> </w:t>
      </w:r>
      <w:r w:rsidRPr="005216DF">
        <w:rPr>
          <w:szCs w:val="24"/>
        </w:rPr>
        <w:t xml:space="preserve">day of </w:t>
      </w:r>
      <w:r>
        <w:rPr>
          <w:szCs w:val="24"/>
        </w:rPr>
        <w:t>March</w:t>
      </w:r>
      <w:r w:rsidRPr="005216DF">
        <w:rPr>
          <w:szCs w:val="24"/>
        </w:rPr>
        <w:t>, 201</w:t>
      </w:r>
      <w:r>
        <w:rPr>
          <w:szCs w:val="24"/>
        </w:rPr>
        <w:t>7</w:t>
      </w:r>
      <w:r w:rsidRPr="005216DF">
        <w:rPr>
          <w:szCs w:val="24"/>
        </w:rPr>
        <w:t>.</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i/>
          <w:snapToGrid/>
          <w:szCs w:val="24"/>
          <w:u w:val="single"/>
        </w:rPr>
        <w:t>/s/ William Michael   </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snapToGrid/>
          <w:szCs w:val="24"/>
        </w:rPr>
        <w:t>William Michael</w:t>
      </w:r>
    </w:p>
    <w:p w:rsidR="00BA6EC5">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A8612F" w:rsidRPr="00A8612F">
      <w:pPr>
        <w:pStyle w:val="EndnoteText"/>
        <w:widowControl/>
        <w:rPr>
          <w:rFonts w:ascii="Times New Roman" w:hAnsi="Times New Roman"/>
          <w:snapToGrid/>
          <w:sz w:val="18"/>
          <w:szCs w:val="24"/>
        </w:rPr>
      </w:pPr>
    </w:p>
    <w:p w:rsidR="00BA6EC5" w:rsidRPr="00313D67">
      <w:pPr>
        <w:pStyle w:val="EndnoteText"/>
        <w:widowControl/>
        <w:rPr>
          <w:rFonts w:ascii="Times New Roman" w:hAnsi="Times New Roman"/>
          <w:snapToGrid/>
          <w:sz w:val="12"/>
          <w:szCs w:val="24"/>
        </w:rPr>
      </w:pPr>
    </w:p>
    <w:p w:rsidR="00BA6EC5">
      <w:pPr>
        <w:tabs>
          <w:tab w:val="left" w:pos="4320"/>
        </w:tabs>
        <w:jc w:val="center"/>
        <w:rPr>
          <w:b/>
          <w:szCs w:val="24"/>
          <w:u w:val="single"/>
        </w:rPr>
      </w:pPr>
      <w:r w:rsidRPr="00A8612F">
        <w:rPr>
          <w:b/>
          <w:szCs w:val="24"/>
          <w:u w:val="single"/>
        </w:rPr>
        <w:t>SERVICE</w:t>
      </w:r>
      <w:r w:rsidRPr="005216DF">
        <w:rPr>
          <w:b/>
          <w:szCs w:val="24"/>
          <w:u w:val="single"/>
        </w:rPr>
        <w:t xml:space="preserve"> LIST</w:t>
      </w:r>
    </w:p>
    <w:p w:rsidR="00A8612F" w:rsidRPr="00A8612F" w:rsidP="00A8612F">
      <w:pPr>
        <w:tabs>
          <w:tab w:val="left" w:pos="4320"/>
        </w:tabs>
        <w:jc w:val="center"/>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2"/>
        <w:gridCol w:w="4148"/>
      </w:tblGrid>
      <w:tr w:rsidTr="00A861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92" w:type="dxa"/>
          </w:tcPr>
          <w:p w:rsidR="00313D67" w:rsidRPr="003E12E0" w:rsidP="009E7CB2">
            <w:pPr>
              <w:autoSpaceDE w:val="0"/>
              <w:autoSpaceDN w:val="0"/>
              <w:adjustRightInd w:val="0"/>
              <w:rPr>
                <w:rFonts w:eastAsiaTheme="minorHAnsi"/>
                <w:color w:val="0000FF"/>
              </w:rPr>
            </w:pPr>
            <w:r w:rsidRPr="0027661D">
              <w:rPr>
                <w:rFonts w:eastAsiaTheme="minorHAnsi"/>
              </w:rPr>
              <w:t>william.wright@ohioattorneygeneral.gov</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natalia.messenger@ohioattorneygeneral.gov</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dboehm@bkllawfirm.com</w:t>
            </w:r>
            <w:r>
              <w:rPr>
                <w:rFonts w:eastAsiaTheme="minorHAnsi"/>
              </w:rPr>
              <w:t xml:space="preserve"> </w:t>
            </w:r>
            <w:r w:rsidRPr="003E12E0">
              <w:rPr>
                <w:rFonts w:eastAsiaTheme="minorHAnsi"/>
                <w:color w:val="0000FF"/>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mkurtz@bkllawfirm.com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jkylercohn@bkllawfirm.com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kboehm@bkllawfirm.com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fdarr@mwncmh.com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mpritchard@mwncmh.com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mjsettineri@vorys.com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smhoward@vorys.com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glpetrucci@vorys.com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ibatikov@vorys.com</w:t>
            </w:r>
            <w:r>
              <w:rPr>
                <w:rFonts w:eastAsiaTheme="minorHAnsi"/>
              </w:rPr>
              <w:t xml:space="preserve"> </w:t>
            </w:r>
            <w:r w:rsidRPr="003E12E0">
              <w:rPr>
                <w:rFonts w:eastAsiaTheme="minorHAnsi"/>
                <w:color w:val="0000FF"/>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wasieck@vorys.com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tdougherty@theOEC.org</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cmooney@ohiopartners.org</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joliker@igsenergy.com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mswhite@igsenergy.com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ebetterton@igsenergy.com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Slesser@calfee.com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jlang@calfee.com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talexander@calfee.com</w:t>
            </w:r>
            <w:r>
              <w:rPr>
                <w:rFonts w:eastAsiaTheme="minorHAnsi"/>
              </w:rPr>
              <w:t xml:space="preserve"> </w:t>
            </w:r>
          </w:p>
          <w:p w:rsidR="00313D67" w:rsidP="009E7CB2">
            <w:pPr>
              <w:autoSpaceDE w:val="0"/>
              <w:autoSpaceDN w:val="0"/>
              <w:adjustRightInd w:val="0"/>
              <w:rPr>
                <w:rFonts w:eastAsiaTheme="minorHAnsi"/>
                <w:color w:val="0000FF"/>
              </w:rPr>
            </w:pPr>
            <w:r w:rsidRPr="0027661D">
              <w:rPr>
                <w:rFonts w:eastAsiaTheme="minorHAnsi"/>
              </w:rPr>
              <w:t>mkeaney@calfee.com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slesser@calfee.com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jlang@calfee.com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amy.spiller@duke-energy.com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elizabeth.watts@duke-energy.com</w:t>
            </w:r>
            <w:r>
              <w:rPr>
                <w:rFonts w:eastAsiaTheme="minorHAnsi"/>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jeanne.kingery@duke-energy.com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gthomas@gtpowergroup.com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stheodore@epsa.org</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cpirik@dickinsonwright.com</w:t>
            </w:r>
            <w:r>
              <w:rPr>
                <w:rFonts w:eastAsiaTheme="minorHAnsi"/>
              </w:rPr>
              <w:t xml:space="preserve"> </w:t>
            </w:r>
            <w:r>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wvorys@dickinsonwright.com</w:t>
            </w:r>
            <w:r>
              <w:rPr>
                <w:rFonts w:eastAsiaTheme="minorHAnsi"/>
              </w:rPr>
              <w:t xml:space="preserve"> </w:t>
            </w:r>
            <w:r>
              <w:rPr>
                <w:rFonts w:eastAsiaTheme="minorHAnsi"/>
                <w:color w:val="0000FF"/>
              </w:rPr>
              <w:t xml:space="preserve"> </w:t>
            </w:r>
          </w:p>
          <w:p w:rsidR="00313D67" w:rsidRPr="00313D67" w:rsidP="009E7CB2">
            <w:pPr>
              <w:autoSpaceDE w:val="0"/>
              <w:autoSpaceDN w:val="0"/>
              <w:adjustRightInd w:val="0"/>
              <w:rPr>
                <w:rFonts w:eastAsiaTheme="minorHAnsi"/>
                <w:color w:val="0000FF"/>
                <w:sz w:val="12"/>
              </w:rPr>
            </w:pPr>
          </w:p>
          <w:p w:rsidR="00313D67" w:rsidRPr="003E12E0" w:rsidP="009E7CB2">
            <w:pPr>
              <w:autoSpaceDE w:val="0"/>
              <w:autoSpaceDN w:val="0"/>
              <w:adjustRightInd w:val="0"/>
              <w:rPr>
                <w:rFonts w:eastAsiaTheme="minorHAnsi"/>
                <w:color w:val="000000"/>
              </w:rPr>
            </w:pPr>
            <w:r w:rsidRPr="003E12E0">
              <w:rPr>
                <w:rFonts w:eastAsiaTheme="minorHAnsi"/>
                <w:color w:val="000000"/>
              </w:rPr>
              <w:t>Attorney Examiners:</w:t>
            </w:r>
          </w:p>
          <w:p w:rsidR="00313D67" w:rsidRPr="003E12E0" w:rsidP="009E7CB2">
            <w:pPr>
              <w:autoSpaceDE w:val="0"/>
              <w:autoSpaceDN w:val="0"/>
              <w:adjustRightInd w:val="0"/>
              <w:rPr>
                <w:rFonts w:eastAsiaTheme="minorHAnsi"/>
                <w:color w:val="0000FF"/>
              </w:rPr>
            </w:pPr>
            <w:r w:rsidRPr="0027661D">
              <w:rPr>
                <w:rFonts w:eastAsiaTheme="minorHAnsi"/>
              </w:rPr>
              <w:t>gregory.price@puc.state.oh.us</w:t>
            </w:r>
            <w:r>
              <w:rPr>
                <w:rFonts w:eastAsiaTheme="minorHAnsi"/>
              </w:rPr>
              <w:t xml:space="preserve"> </w:t>
            </w:r>
            <w:r w:rsidRPr="003E12E0">
              <w:rPr>
                <w:rFonts w:eastAsiaTheme="minorHAnsi"/>
                <w:color w:val="0000FF"/>
              </w:rPr>
              <w:t xml:space="preserve"> </w:t>
            </w:r>
          </w:p>
          <w:p w:rsidR="00313D67" w:rsidRPr="00384E58" w:rsidP="009E7CB2">
            <w:pPr>
              <w:autoSpaceDE w:val="0"/>
              <w:autoSpaceDN w:val="0"/>
              <w:adjustRightInd w:val="0"/>
              <w:rPr>
                <w:sz w:val="20"/>
              </w:rPr>
            </w:pPr>
            <w:r w:rsidRPr="0027661D">
              <w:rPr>
                <w:rFonts w:eastAsiaTheme="minorHAnsi"/>
              </w:rPr>
              <w:t>bryce.mckenney@puc.state.oh.us</w:t>
            </w:r>
            <w:r>
              <w:rPr>
                <w:rFonts w:eastAsiaTheme="minorHAnsi"/>
              </w:rPr>
              <w:t xml:space="preserve"> </w:t>
            </w:r>
            <w:r w:rsidRPr="003E12E0">
              <w:rPr>
                <w:rFonts w:eastAsiaTheme="minorHAnsi"/>
                <w:color w:val="0000FF"/>
                <w:sz w:val="22"/>
              </w:rPr>
              <w:t xml:space="preserve"> </w:t>
            </w:r>
          </w:p>
        </w:tc>
        <w:tc>
          <w:tcPr>
            <w:tcW w:w="4148" w:type="dxa"/>
          </w:tcPr>
          <w:p w:rsidR="00313D67" w:rsidRPr="003E12E0" w:rsidP="009E7CB2">
            <w:pPr>
              <w:autoSpaceDE w:val="0"/>
              <w:autoSpaceDN w:val="0"/>
              <w:adjustRightInd w:val="0"/>
              <w:rPr>
                <w:rFonts w:eastAsiaTheme="minorHAnsi"/>
                <w:color w:val="0000FF"/>
              </w:rPr>
            </w:pPr>
            <w:r w:rsidRPr="0027661D">
              <w:rPr>
                <w:rFonts w:eastAsiaTheme="minorHAnsi"/>
              </w:rPr>
              <w:t>michael.schuler@aes.com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cfaruki@ficlaw.com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djireland@ficlaw.com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jsharkey@ficlaw.com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mfleisher@elpc.org</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kfield@elpc.org</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jeffrey.mayes@monitoringanalytics.com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evelyn.robinson@pjm.com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schmidt@sppgrp.com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rsahli@columbus.rr.com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tony.mendoza@sierraclub.org</w:t>
            </w:r>
            <w:r>
              <w:rPr>
                <w:rFonts w:eastAsiaTheme="minorHAnsi"/>
              </w:rPr>
              <w:t xml:space="preserve"> </w:t>
            </w:r>
            <w:r w:rsidRPr="003E12E0">
              <w:rPr>
                <w:rFonts w:eastAsiaTheme="minorHAnsi"/>
                <w:color w:val="0000FF"/>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kristin.henry@sierraclub.org</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gpoulos@enernoc.com</w:t>
            </w:r>
            <w:r>
              <w:rPr>
                <w:rFonts w:eastAsiaTheme="minorHAnsi"/>
              </w:rPr>
              <w:t xml:space="preserve"> </w:t>
            </w:r>
            <w:r w:rsidRPr="003E12E0">
              <w:rPr>
                <w:rFonts w:eastAsiaTheme="minorHAnsi"/>
                <w:color w:val="0000FF"/>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mdortch@kravitzllc.com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rparsons@kravitzllc.com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color w:val="0000FF"/>
              </w:rPr>
            </w:pPr>
            <w:r w:rsidRPr="0027661D">
              <w:rPr>
                <w:rFonts w:eastAsiaTheme="minorHAnsi"/>
              </w:rPr>
              <w:t>Bojko@carpenterlipps.com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perko@carpenterlipps.com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Ghiloni@carpenterlipps.com</w:t>
            </w:r>
            <w:r>
              <w:rPr>
                <w:rFonts w:eastAsiaTheme="minorHAnsi"/>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paul@carpenterlipps.com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sechler@carpenterlipps.com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rick.sites@ohiohospitals.org</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mwarnock@bricker.com</w:t>
            </w:r>
            <w:r>
              <w:rPr>
                <w:rFonts w:eastAsiaTheme="minorHAnsi"/>
              </w:rPr>
              <w:t xml:space="preserve"> </w:t>
            </w:r>
            <w:r>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t>dparram@bricker.com</w:t>
            </w:r>
            <w:r>
              <w:t xml:space="preserve">  </w:t>
            </w:r>
          </w:p>
          <w:p w:rsidR="00313D67" w:rsidRPr="003E12E0" w:rsidP="009E7CB2">
            <w:pPr>
              <w:autoSpaceDE w:val="0"/>
              <w:autoSpaceDN w:val="0"/>
              <w:adjustRightInd w:val="0"/>
              <w:rPr>
                <w:rFonts w:eastAsiaTheme="minorHAnsi"/>
                <w:color w:val="0000FF"/>
              </w:rPr>
            </w:pPr>
            <w:r w:rsidRPr="0027661D">
              <w:rPr>
                <w:rFonts w:eastAsiaTheme="minorHAnsi"/>
              </w:rPr>
              <w:t>dborchers@bricker.com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lhawrot@spilmanlaw.com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dwilliamson@spilmanlaw.com</w:t>
            </w:r>
            <w:r>
              <w:rPr>
                <w:rFonts w:eastAsiaTheme="minorHAnsi"/>
              </w:rPr>
              <w:t xml:space="preserve"> </w:t>
            </w:r>
            <w:r w:rsidRPr="003E12E0">
              <w:rPr>
                <w:rFonts w:eastAsiaTheme="minorHAnsi"/>
                <w:color w:val="0000FF"/>
              </w:rPr>
              <w:t xml:space="preserve"> </w:t>
            </w:r>
          </w:p>
          <w:p w:rsidR="00313D67" w:rsidRPr="003E12E0" w:rsidP="009E7CB2">
            <w:pPr>
              <w:autoSpaceDE w:val="0"/>
              <w:autoSpaceDN w:val="0"/>
              <w:adjustRightInd w:val="0"/>
              <w:rPr>
                <w:rFonts w:eastAsiaTheme="minorHAnsi"/>
                <w:color w:val="0000FF"/>
              </w:rPr>
            </w:pPr>
            <w:r w:rsidRPr="0027661D">
              <w:rPr>
                <w:rFonts w:eastAsiaTheme="minorHAnsi"/>
              </w:rPr>
              <w:t>charris@spilmanlaw.com</w:t>
            </w:r>
            <w:r>
              <w:rPr>
                <w:rFonts w:eastAsiaTheme="minorHAnsi"/>
              </w:rPr>
              <w:t xml:space="preserve"> </w:t>
            </w:r>
            <w:r w:rsidRPr="003E12E0">
              <w:rPr>
                <w:rFonts w:eastAsiaTheme="minorHAnsi"/>
                <w:color w:val="0000FF"/>
              </w:rPr>
              <w:t xml:space="preserve"> </w:t>
            </w:r>
          </w:p>
          <w:p w:rsidR="00313D67" w:rsidP="009E7CB2">
            <w:pPr>
              <w:autoSpaceDE w:val="0"/>
              <w:autoSpaceDN w:val="0"/>
              <w:adjustRightInd w:val="0"/>
              <w:rPr>
                <w:rFonts w:eastAsiaTheme="minorHAnsi"/>
                <w:sz w:val="20"/>
              </w:rPr>
            </w:pPr>
            <w:r w:rsidRPr="0027661D">
              <w:rPr>
                <w:rFonts w:eastAsiaTheme="minorHAnsi"/>
              </w:rPr>
              <w:t>ejacobs@ablelaw.org</w:t>
            </w:r>
            <w:r>
              <w:rPr>
                <w:rFonts w:eastAsiaTheme="minorHAnsi"/>
              </w:rPr>
              <w:t xml:space="preserve"> </w:t>
            </w:r>
            <w:r>
              <w:rPr>
                <w:rFonts w:eastAsiaTheme="minorHAnsi"/>
                <w:color w:val="0000FF"/>
                <w:sz w:val="20"/>
              </w:rPr>
              <w:t xml:space="preserve"> </w:t>
            </w:r>
            <w:r w:rsidRPr="00384E58">
              <w:rPr>
                <w:rFonts w:eastAsiaTheme="minorHAnsi"/>
                <w:sz w:val="20"/>
              </w:rPr>
              <w:t xml:space="preserve"> </w:t>
            </w:r>
            <w:r>
              <w:rPr>
                <w:rFonts w:eastAsiaTheme="minorHAnsi"/>
                <w:sz w:val="20"/>
              </w:rPr>
              <w:t xml:space="preserve"> </w:t>
            </w:r>
          </w:p>
          <w:p w:rsidR="00313D67" w:rsidRPr="003E12E0" w:rsidP="00313D67">
            <w:pPr>
              <w:autoSpaceDE w:val="0"/>
              <w:autoSpaceDN w:val="0"/>
              <w:adjustRightInd w:val="0"/>
              <w:rPr>
                <w:rFonts w:eastAsiaTheme="minorHAnsi"/>
                <w:color w:val="0000FF"/>
              </w:rPr>
            </w:pPr>
            <w:r w:rsidRPr="0027661D">
              <w:rPr>
                <w:rFonts w:eastAsiaTheme="minorHAnsi"/>
              </w:rPr>
              <w:t>laurac@chappelleconsulting.net</w:t>
            </w:r>
            <w:r>
              <w:rPr>
                <w:rFonts w:eastAsiaTheme="minorHAnsi"/>
              </w:rPr>
              <w:t xml:space="preserve"> </w:t>
            </w:r>
            <w:r w:rsidRPr="003E12E0">
              <w:rPr>
                <w:rFonts w:eastAsiaTheme="minorHAnsi"/>
                <w:color w:val="0000FF"/>
              </w:rPr>
              <w:t xml:space="preserve"> </w:t>
            </w:r>
          </w:p>
          <w:p w:rsidR="00313D67" w:rsidRPr="003E12E0" w:rsidP="00313D67">
            <w:pPr>
              <w:autoSpaceDE w:val="0"/>
              <w:autoSpaceDN w:val="0"/>
              <w:adjustRightInd w:val="0"/>
              <w:rPr>
                <w:rFonts w:eastAsiaTheme="minorHAnsi"/>
                <w:color w:val="0000FF"/>
              </w:rPr>
            </w:pPr>
            <w:r w:rsidRPr="0027661D">
              <w:rPr>
                <w:rFonts w:eastAsiaTheme="minorHAnsi"/>
              </w:rPr>
              <w:t>todonnell@dickinsonwright.com</w:t>
            </w:r>
            <w:r>
              <w:rPr>
                <w:rFonts w:eastAsiaTheme="minorHAnsi"/>
              </w:rPr>
              <w:t xml:space="preserve"> </w:t>
            </w:r>
            <w:r w:rsidRPr="003E12E0">
              <w:rPr>
                <w:rFonts w:eastAsiaTheme="minorHAnsi"/>
                <w:color w:val="0000FF"/>
              </w:rPr>
              <w:t xml:space="preserve"> </w:t>
            </w:r>
          </w:p>
          <w:p w:rsidR="00313D67" w:rsidP="00313D67">
            <w:pPr>
              <w:autoSpaceDE w:val="0"/>
              <w:autoSpaceDN w:val="0"/>
              <w:adjustRightInd w:val="0"/>
              <w:rPr>
                <w:rFonts w:eastAsiaTheme="minorHAnsi"/>
                <w:color w:val="0000FF"/>
              </w:rPr>
            </w:pPr>
            <w:r w:rsidRPr="0027661D">
              <w:rPr>
                <w:rFonts w:eastAsiaTheme="minorHAnsi"/>
              </w:rPr>
              <w:t>rseiler@dickinsonwright.com</w:t>
            </w:r>
            <w:r>
              <w:rPr>
                <w:rFonts w:eastAsiaTheme="minorHAnsi"/>
              </w:rPr>
              <w:t xml:space="preserve"> </w:t>
            </w:r>
            <w:r w:rsidRPr="003E12E0">
              <w:rPr>
                <w:rFonts w:eastAsiaTheme="minorHAnsi"/>
                <w:color w:val="0000FF"/>
              </w:rPr>
              <w:t xml:space="preserve"> </w:t>
            </w:r>
          </w:p>
          <w:p w:rsidR="00313D67" w:rsidP="00313D67">
            <w:pPr>
              <w:autoSpaceDE w:val="0"/>
              <w:autoSpaceDN w:val="0"/>
              <w:adjustRightInd w:val="0"/>
              <w:rPr>
                <w:rFonts w:eastAsiaTheme="minorHAnsi"/>
                <w:color w:val="0000FF"/>
              </w:rPr>
            </w:pPr>
            <w:r w:rsidRPr="0027661D">
              <w:rPr>
                <w:rFonts w:eastAsiaTheme="minorHAnsi"/>
              </w:rPr>
              <w:t>mcrawford@djflawfirm.com</w:t>
            </w:r>
            <w:r>
              <w:rPr>
                <w:rFonts w:eastAsiaTheme="minorHAnsi"/>
              </w:rPr>
              <w:t xml:space="preserve"> </w:t>
            </w:r>
            <w:r w:rsidRPr="003E12E0">
              <w:rPr>
                <w:rFonts w:eastAsiaTheme="minorHAnsi"/>
                <w:color w:val="0000FF"/>
              </w:rPr>
              <w:t xml:space="preserve"> </w:t>
            </w:r>
            <w:r>
              <w:rPr>
                <w:rFonts w:eastAsiaTheme="minorHAnsi"/>
                <w:color w:val="0000FF"/>
              </w:rPr>
              <w:t xml:space="preserve"> </w:t>
            </w:r>
          </w:p>
          <w:p w:rsidR="00313D67" w:rsidRPr="003E12E0" w:rsidP="00313D67">
            <w:pPr>
              <w:autoSpaceDE w:val="0"/>
              <w:autoSpaceDN w:val="0"/>
              <w:adjustRightInd w:val="0"/>
              <w:rPr>
                <w:rFonts w:eastAsiaTheme="minorHAnsi"/>
                <w:color w:val="0000FF"/>
              </w:rPr>
            </w:pPr>
            <w:r w:rsidRPr="0027661D">
              <w:rPr>
                <w:rFonts w:eastAsiaTheme="minorHAnsi"/>
              </w:rPr>
              <w:t>jdoll@djflawfirm.com</w:t>
            </w:r>
            <w:r>
              <w:rPr>
                <w:rFonts w:eastAsiaTheme="minorHAnsi"/>
              </w:rPr>
              <w:t xml:space="preserve"> </w:t>
            </w:r>
            <w:r w:rsidRPr="003E12E0">
              <w:rPr>
                <w:rFonts w:eastAsiaTheme="minorHAnsi"/>
                <w:color w:val="0000FF"/>
              </w:rPr>
              <w:t xml:space="preserve"> </w:t>
            </w:r>
          </w:p>
          <w:p w:rsidR="00313D67" w:rsidRPr="003E12E0" w:rsidP="00313D67">
            <w:pPr>
              <w:autoSpaceDE w:val="0"/>
              <w:autoSpaceDN w:val="0"/>
              <w:adjustRightInd w:val="0"/>
              <w:rPr>
                <w:rFonts w:eastAsiaTheme="minorHAnsi"/>
                <w:color w:val="0000FF"/>
              </w:rPr>
            </w:pPr>
          </w:p>
          <w:p w:rsidR="00313D67" w:rsidRPr="00384E58" w:rsidP="009E7CB2">
            <w:pPr>
              <w:autoSpaceDE w:val="0"/>
              <w:autoSpaceDN w:val="0"/>
              <w:adjustRightInd w:val="0"/>
              <w:rPr>
                <w:rFonts w:eastAsiaTheme="minorHAnsi"/>
                <w:sz w:val="20"/>
              </w:rPr>
            </w:pPr>
          </w:p>
        </w:tc>
      </w:tr>
    </w:tbl>
    <w:p w:rsidR="00BA6EC5" w:rsidRPr="005216DF" w:rsidP="00A8612F">
      <w:pPr>
        <w:pStyle w:val="EndnoteText"/>
        <w:widowControl/>
        <w:rPr>
          <w:rFonts w:ascii="Times New Roman" w:hAnsi="Times New Roman"/>
          <w:szCs w:val="24"/>
        </w:rPr>
      </w:pPr>
    </w:p>
    <w:sectPr w:rsidSect="00A8612F">
      <w:footerReference w:type="default" r:id="rId7"/>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A31">
    <w:pPr>
      <w:pStyle w:val="Footer"/>
      <w:jc w:val="center"/>
    </w:pPr>
  </w:p>
  <w:p w:rsidR="00D4000D" w:rsidRPr="00FF6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0021142"/>
      <w:docPartObj>
        <w:docPartGallery w:val="Page Numbers (Bottom of Page)"/>
        <w:docPartUnique/>
      </w:docPartObj>
    </w:sdtPr>
    <w:sdtEndPr>
      <w:rPr>
        <w:noProof/>
      </w:rPr>
    </w:sdtEndPr>
    <w:sdtContent>
      <w:p w:rsidR="00B82A31">
        <w:pPr>
          <w:pStyle w:val="Footer"/>
          <w:jc w:val="center"/>
        </w:pPr>
        <w:r w:rsidRPr="00B82A31">
          <w:rPr>
            <w:rFonts w:ascii="Times New Roman" w:hAnsi="Times New Roman" w:cs="Times New Roman"/>
          </w:rPr>
          <w:fldChar w:fldCharType="begin"/>
        </w:r>
        <w:r w:rsidRPr="00B82A31">
          <w:rPr>
            <w:rFonts w:ascii="Times New Roman" w:hAnsi="Times New Roman" w:cs="Times New Roman"/>
          </w:rPr>
          <w:instrText xml:space="preserve"> PAGE   \* MERGEFORMAT </w:instrText>
        </w:r>
        <w:r w:rsidRPr="00B82A31">
          <w:rPr>
            <w:rFonts w:ascii="Times New Roman" w:hAnsi="Times New Roman" w:cs="Times New Roman"/>
          </w:rPr>
          <w:fldChar w:fldCharType="separate"/>
        </w:r>
        <w:r w:rsidR="000B478C">
          <w:rPr>
            <w:rFonts w:ascii="Times New Roman" w:hAnsi="Times New Roman" w:cs="Times New Roman"/>
            <w:noProof/>
          </w:rPr>
          <w:t>2</w:t>
        </w:r>
        <w:r w:rsidRPr="00B82A31">
          <w:rPr>
            <w:rFonts w:ascii="Times New Roman" w:hAnsi="Times New Roman" w:cs="Times New Roman"/>
            <w:noProof/>
          </w:rPr>
          <w:fldChar w:fldCharType="end"/>
        </w:r>
      </w:p>
    </w:sdtContent>
  </w:sdt>
  <w:p w:rsidR="00B82A31" w:rsidRPr="00FF6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5858750"/>
      <w:docPartObj>
        <w:docPartGallery w:val="Page Numbers (Bottom of Page)"/>
        <w:docPartUnique/>
      </w:docPartObj>
    </w:sdtPr>
    <w:sdtEndPr>
      <w:rPr>
        <w:rFonts w:ascii="Times New Roman" w:hAnsi="Times New Roman" w:cs="Times New Roman"/>
        <w:noProof/>
      </w:rPr>
    </w:sdtEndPr>
    <w:sdtContent>
      <w:p w:rsidR="00B82A31" w:rsidRPr="00B82A31">
        <w:pPr>
          <w:pStyle w:val="Footer"/>
          <w:jc w:val="center"/>
          <w:rPr>
            <w:rFonts w:ascii="Times New Roman" w:hAnsi="Times New Roman" w:cs="Times New Roman"/>
          </w:rPr>
        </w:pPr>
        <w:r w:rsidRPr="00B82A31">
          <w:rPr>
            <w:rFonts w:ascii="Times New Roman" w:hAnsi="Times New Roman" w:cs="Times New Roman"/>
          </w:rPr>
          <w:fldChar w:fldCharType="begin"/>
        </w:r>
        <w:r w:rsidRPr="00B82A31">
          <w:rPr>
            <w:rFonts w:ascii="Times New Roman" w:hAnsi="Times New Roman" w:cs="Times New Roman"/>
          </w:rPr>
          <w:instrText xml:space="preserve"> PAGE   \* MERGEFORMAT </w:instrText>
        </w:r>
        <w:r w:rsidRPr="00B82A31">
          <w:rPr>
            <w:rFonts w:ascii="Times New Roman" w:hAnsi="Times New Roman" w:cs="Times New Roman"/>
          </w:rPr>
          <w:fldChar w:fldCharType="separate"/>
        </w:r>
        <w:r w:rsidR="000B478C">
          <w:rPr>
            <w:rFonts w:ascii="Times New Roman" w:hAnsi="Times New Roman" w:cs="Times New Roman"/>
            <w:noProof/>
          </w:rPr>
          <w:t>3</w:t>
        </w:r>
        <w:r w:rsidRPr="00B82A31">
          <w:rPr>
            <w:rFonts w:ascii="Times New Roman" w:hAnsi="Times New Roman" w:cs="Times New Roman"/>
            <w:noProof/>
          </w:rPr>
          <w:fldChar w:fldCharType="end"/>
        </w:r>
      </w:p>
    </w:sdtContent>
  </w:sdt>
  <w:p w:rsidR="00A81C49" w:rsidRPr="00FF6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A31" w:rsidRPr="00313D67" w:rsidP="00313D6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4">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3"/>
  </w:num>
  <w:num w:numId="4">
    <w:abstractNumId w:val="12"/>
  </w:num>
  <w:num w:numId="5">
    <w:abstractNumId w:val="15"/>
  </w:num>
  <w:num w:numId="6">
    <w:abstractNumId w:val="21"/>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8"/>
  </w:num>
  <w:num w:numId="16">
    <w:abstractNumId w:val="17"/>
  </w:num>
  <w:num w:numId="17">
    <w:abstractNumId w:val="19"/>
  </w:num>
  <w:num w:numId="18">
    <w:abstractNumId w:val="20"/>
  </w:num>
  <w:num w:numId="19">
    <w:abstractNumId w:val="11"/>
  </w:num>
  <w:num w:numId="20">
    <w:abstractNumId w:val="22"/>
  </w:num>
  <w:num w:numId="21">
    <w:abstractNumId w:val="14"/>
  </w:num>
  <w:num w:numId="22">
    <w:abstractNumId w:val="24"/>
  </w:num>
  <w:num w:numId="23">
    <w:abstractNumId w:val="8"/>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31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2017-03-07T20:32:57Z</dcterms:created>
  <dcterms:modified xsi:type="dcterms:W3CDTF">2017-03-07T20:32:57Z</dcterms:modified>
</cp:coreProperties>
</file>