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E" w:rsidRDefault="0030238E" w:rsidP="00511CD1">
      <w:pPr>
        <w:spacing w:after="0" w:line="240" w:lineRule="auto"/>
        <w:jc w:val="center"/>
        <w:rPr>
          <w:rFonts w:eastAsia="Times New Roman" w:cs="Arial"/>
          <w:b/>
          <w:smallCaps/>
          <w:sz w:val="28"/>
        </w:rPr>
      </w:pPr>
      <w:r>
        <w:rPr>
          <w:rFonts w:eastAsia="Times New Roman" w:cs="Arial"/>
          <w:b/>
          <w:smallCaps/>
          <w:sz w:val="28"/>
        </w:rPr>
        <w:t>Before</w:t>
      </w:r>
    </w:p>
    <w:p w:rsidR="00511CD1" w:rsidRPr="00511CD1" w:rsidRDefault="00511CD1" w:rsidP="00511CD1">
      <w:pPr>
        <w:spacing w:after="0" w:line="240" w:lineRule="auto"/>
        <w:jc w:val="center"/>
        <w:rPr>
          <w:rFonts w:eastAsia="Times New Roman" w:cs="Arial"/>
          <w:smallCaps/>
          <w:sz w:val="28"/>
        </w:rPr>
      </w:pPr>
      <w:r w:rsidRPr="00511CD1">
        <w:rPr>
          <w:rFonts w:eastAsia="Times New Roman" w:cs="Arial"/>
          <w:b/>
          <w:smallCaps/>
          <w:sz w:val="28"/>
        </w:rPr>
        <w:t>The Public Utilities Commission of Ohio</w:t>
      </w:r>
    </w:p>
    <w:p w:rsidR="00511CD1" w:rsidRPr="00511CD1" w:rsidRDefault="00511CD1" w:rsidP="00511CD1">
      <w:pPr>
        <w:spacing w:after="0" w:line="240" w:lineRule="auto"/>
        <w:jc w:val="left"/>
        <w:rPr>
          <w:rFonts w:eastAsia="Times New Roman" w:cs="Arial"/>
        </w:rPr>
      </w:pP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 xml:space="preserve">In the Matter of the Application of </w:t>
      </w:r>
      <w:r w:rsidRPr="00511CD1">
        <w:rPr>
          <w:rFonts w:eastAsia="Times New Roman" w:cs="Arial"/>
        </w:rPr>
        <w:tab/>
        <w:t>)</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Ohio Power Company for Authority to</w:t>
      </w:r>
      <w:r w:rsidRPr="00511CD1">
        <w:rPr>
          <w:rFonts w:eastAsia="Times New Roman" w:cs="Arial"/>
        </w:rPr>
        <w:tab/>
        <w:t>)</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Establish a Standard Service Offer</w:t>
      </w:r>
      <w:r w:rsidRPr="00511CD1">
        <w:rPr>
          <w:rFonts w:eastAsia="Times New Roman" w:cs="Arial"/>
        </w:rPr>
        <w:tab/>
        <w:t xml:space="preserve">) </w:t>
      </w:r>
      <w:r w:rsidRPr="00511CD1">
        <w:rPr>
          <w:rFonts w:eastAsia="Times New Roman" w:cs="Arial"/>
        </w:rPr>
        <w:tab/>
        <w:t>Case No. 13-2385-EL-SSO</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Pursuant to §4928.143, Revised Code,</w:t>
      </w:r>
      <w:r w:rsidRPr="00511CD1">
        <w:rPr>
          <w:rFonts w:eastAsia="Times New Roman" w:cs="Arial"/>
        </w:rPr>
        <w:tab/>
        <w:t>)</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in the Form of an Electric Security Plan.</w:t>
      </w:r>
      <w:r w:rsidRPr="00511CD1">
        <w:rPr>
          <w:rFonts w:eastAsia="Times New Roman" w:cs="Arial"/>
        </w:rPr>
        <w:tab/>
        <w:t>)</w:t>
      </w:r>
    </w:p>
    <w:p w:rsidR="00511CD1" w:rsidRPr="00511CD1" w:rsidRDefault="00511CD1" w:rsidP="00511CD1">
      <w:pPr>
        <w:tabs>
          <w:tab w:val="left" w:pos="4680"/>
        </w:tabs>
        <w:spacing w:after="0" w:line="240" w:lineRule="auto"/>
        <w:rPr>
          <w:rFonts w:eastAsia="Times New Roman" w:cs="Arial"/>
        </w:rPr>
      </w:pP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In the Matter of the Application of</w:t>
      </w:r>
      <w:r w:rsidRPr="00511CD1">
        <w:rPr>
          <w:rFonts w:eastAsia="Times New Roman" w:cs="Arial"/>
        </w:rPr>
        <w:tab/>
        <w:t>)</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Ohio Power Company for Approval of</w:t>
      </w:r>
      <w:r w:rsidRPr="00511CD1">
        <w:rPr>
          <w:rFonts w:eastAsia="Times New Roman" w:cs="Arial"/>
        </w:rPr>
        <w:tab/>
        <w:t>)</w:t>
      </w:r>
      <w:r w:rsidRPr="00511CD1">
        <w:rPr>
          <w:rFonts w:eastAsia="Times New Roman" w:cs="Arial"/>
        </w:rPr>
        <w:tab/>
        <w:t>Case No. 13-2386-EL-AAM</w:t>
      </w:r>
    </w:p>
    <w:p w:rsidR="00511CD1" w:rsidRPr="00511CD1" w:rsidRDefault="00511CD1" w:rsidP="00511CD1">
      <w:pPr>
        <w:tabs>
          <w:tab w:val="left" w:pos="4680"/>
        </w:tabs>
        <w:spacing w:after="0" w:line="240" w:lineRule="auto"/>
        <w:rPr>
          <w:rFonts w:eastAsia="Times New Roman" w:cs="Arial"/>
        </w:rPr>
      </w:pPr>
      <w:r w:rsidRPr="00511CD1">
        <w:rPr>
          <w:rFonts w:eastAsia="Times New Roman" w:cs="Arial"/>
        </w:rPr>
        <w:t>Certain Accounting Authority.</w:t>
      </w:r>
      <w:r w:rsidRPr="00511CD1">
        <w:rPr>
          <w:rFonts w:eastAsia="Times New Roman" w:cs="Arial"/>
        </w:rPr>
        <w:tab/>
        <w:t>)</w:t>
      </w:r>
    </w:p>
    <w:p w:rsidR="00511CD1" w:rsidRPr="00511CD1" w:rsidRDefault="00511CD1" w:rsidP="00511CD1">
      <w:pPr>
        <w:spacing w:after="0" w:line="240" w:lineRule="auto"/>
        <w:ind w:firstLine="720"/>
      </w:pPr>
    </w:p>
    <w:p w:rsidR="00511CD1" w:rsidRPr="00511CD1" w:rsidRDefault="00511CD1" w:rsidP="00511CD1">
      <w:pPr>
        <w:spacing w:after="240" w:line="240" w:lineRule="auto"/>
        <w:jc w:val="center"/>
        <w:rPr>
          <w:b/>
        </w:rPr>
      </w:pPr>
      <w:r w:rsidRPr="00511CD1">
        <w:rPr>
          <w:b/>
        </w:rPr>
        <w:t>______________________________________________________________________</w:t>
      </w:r>
    </w:p>
    <w:p w:rsidR="00511CD1" w:rsidRPr="00511CD1" w:rsidRDefault="00511CD1" w:rsidP="00511CD1">
      <w:pPr>
        <w:spacing w:after="0" w:line="240" w:lineRule="auto"/>
        <w:jc w:val="center"/>
        <w:rPr>
          <w:b/>
        </w:rPr>
      </w:pPr>
      <w:r>
        <w:rPr>
          <w:b/>
        </w:rPr>
        <w:t>REPLY</w:t>
      </w:r>
      <w:r w:rsidRPr="00511CD1">
        <w:rPr>
          <w:b/>
        </w:rPr>
        <w:t xml:space="preserve"> BRIEF OF INDUSTRIAL ENERGY USERS-OHIO</w:t>
      </w:r>
    </w:p>
    <w:p w:rsidR="00511CD1" w:rsidRPr="00511CD1" w:rsidRDefault="00511CD1" w:rsidP="00511CD1">
      <w:pPr>
        <w:spacing w:after="0" w:line="240" w:lineRule="auto"/>
        <w:jc w:val="center"/>
        <w:rPr>
          <w:b/>
        </w:rPr>
      </w:pPr>
      <w:r w:rsidRPr="00511CD1">
        <w:rPr>
          <w:b/>
        </w:rPr>
        <w:t>______________________________________________________________________</w:t>
      </w:r>
    </w:p>
    <w:p w:rsidR="00511CD1" w:rsidRPr="00511CD1" w:rsidRDefault="00511CD1" w:rsidP="00511CD1">
      <w:pPr>
        <w:spacing w:after="0" w:line="240" w:lineRule="auto"/>
        <w:jc w:val="center"/>
        <w:rPr>
          <w:b/>
        </w:rPr>
      </w:pPr>
    </w:p>
    <w:p w:rsidR="00511CD1" w:rsidRPr="00511CD1" w:rsidRDefault="00511CD1" w:rsidP="00511CD1">
      <w:pPr>
        <w:spacing w:after="0" w:line="240" w:lineRule="auto"/>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spacing w:after="0" w:line="240" w:lineRule="auto"/>
        <w:jc w:val="center"/>
        <w:rPr>
          <w:b/>
        </w:rPr>
      </w:pPr>
    </w:p>
    <w:p w:rsidR="00511CD1" w:rsidRPr="00511CD1" w:rsidRDefault="00511CD1" w:rsidP="00511CD1">
      <w:pPr>
        <w:tabs>
          <w:tab w:val="left" w:pos="720"/>
          <w:tab w:val="left" w:pos="4320"/>
          <w:tab w:val="right" w:pos="8640"/>
        </w:tabs>
        <w:spacing w:after="0" w:line="240" w:lineRule="auto"/>
        <w:jc w:val="left"/>
        <w:rPr>
          <w:rFonts w:eastAsia="Calibri" w:cs="Arial"/>
        </w:rPr>
      </w:pPr>
      <w:r w:rsidRPr="00511CD1">
        <w:rPr>
          <w:rFonts w:eastAsia="Calibri" w:cs="Arial"/>
        </w:rPr>
        <w:tab/>
      </w:r>
      <w:r w:rsidRPr="00511CD1">
        <w:rPr>
          <w:rFonts w:eastAsia="Calibri" w:cs="Arial"/>
        </w:rPr>
        <w:tab/>
      </w:r>
      <w:r w:rsidRPr="00511CD1">
        <w:rPr>
          <w:rFonts w:eastAsia="Calibri" w:cs="Arial"/>
          <w:bCs/>
        </w:rPr>
        <w:t xml:space="preserve">Frank P. Darr </w:t>
      </w:r>
      <w:r w:rsidRPr="00511CD1">
        <w:rPr>
          <w:rFonts w:eastAsia="Calibri" w:cs="Arial"/>
        </w:rPr>
        <w:t>(Counsel of Record)</w:t>
      </w:r>
    </w:p>
    <w:p w:rsidR="00511CD1" w:rsidRPr="00511CD1" w:rsidRDefault="00511CD1" w:rsidP="00511CD1">
      <w:pPr>
        <w:tabs>
          <w:tab w:val="left" w:pos="720"/>
          <w:tab w:val="left" w:pos="4320"/>
          <w:tab w:val="right" w:pos="8640"/>
        </w:tabs>
        <w:spacing w:after="0" w:line="240" w:lineRule="auto"/>
        <w:jc w:val="left"/>
        <w:rPr>
          <w:rFonts w:eastAsia="Calibri" w:cs="Arial"/>
          <w:bCs/>
        </w:rPr>
      </w:pPr>
      <w:r w:rsidRPr="00511CD1">
        <w:rPr>
          <w:rFonts w:eastAsia="Calibri" w:cs="Arial"/>
        </w:rPr>
        <w:tab/>
      </w:r>
      <w:r w:rsidRPr="00511CD1">
        <w:rPr>
          <w:rFonts w:eastAsia="Calibri" w:cs="Arial"/>
        </w:rPr>
        <w:tab/>
      </w:r>
      <w:r w:rsidRPr="00511CD1">
        <w:rPr>
          <w:rFonts w:eastAsia="Calibri" w:cs="Arial"/>
          <w:bCs/>
        </w:rPr>
        <w:t>(Reg. No. 0025469)</w:t>
      </w:r>
    </w:p>
    <w:p w:rsidR="00511CD1" w:rsidRPr="00511CD1" w:rsidRDefault="00511CD1" w:rsidP="00511CD1">
      <w:pPr>
        <w:widowControl w:val="0"/>
        <w:tabs>
          <w:tab w:val="left" w:pos="4320"/>
        </w:tabs>
        <w:spacing w:after="0" w:line="240" w:lineRule="auto"/>
        <w:ind w:left="4320"/>
        <w:jc w:val="left"/>
        <w:rPr>
          <w:rFonts w:eastAsia="Calibri" w:cs="Arial"/>
          <w:b/>
          <w:bCs/>
        </w:rPr>
      </w:pPr>
      <w:r w:rsidRPr="00511CD1">
        <w:rPr>
          <w:rFonts w:eastAsia="Calibri" w:cs="Arial"/>
          <w:bCs/>
        </w:rPr>
        <w:t>Matthew R. Pritchard (Reg. No. 0088070)</w:t>
      </w:r>
    </w:p>
    <w:p w:rsidR="00511CD1" w:rsidRPr="00511CD1" w:rsidRDefault="00511CD1" w:rsidP="00511CD1">
      <w:pPr>
        <w:widowControl w:val="0"/>
        <w:tabs>
          <w:tab w:val="left" w:pos="4320"/>
        </w:tabs>
        <w:spacing w:after="0" w:line="240" w:lineRule="auto"/>
        <w:ind w:left="4320"/>
        <w:jc w:val="left"/>
        <w:rPr>
          <w:rFonts w:eastAsia="Calibri" w:cs="Arial"/>
          <w:b/>
          <w:bCs/>
          <w:smallCaps/>
        </w:rPr>
      </w:pPr>
      <w:r w:rsidRPr="00511CD1">
        <w:rPr>
          <w:rFonts w:eastAsia="Calibri" w:cs="Arial"/>
          <w:bCs/>
          <w:smallCaps/>
        </w:rPr>
        <w:t>McNees Wallace &amp; Nurick LLC</w:t>
      </w:r>
    </w:p>
    <w:p w:rsidR="00511CD1" w:rsidRPr="00511CD1" w:rsidRDefault="00511CD1" w:rsidP="00511CD1">
      <w:pPr>
        <w:widowControl w:val="0"/>
        <w:tabs>
          <w:tab w:val="left" w:pos="4320"/>
        </w:tabs>
        <w:spacing w:after="0" w:line="240" w:lineRule="auto"/>
        <w:ind w:left="4320"/>
        <w:jc w:val="left"/>
        <w:rPr>
          <w:rFonts w:eastAsia="Calibri" w:cs="Arial"/>
          <w:b/>
          <w:bCs/>
        </w:rPr>
      </w:pPr>
      <w:r w:rsidRPr="00511CD1">
        <w:rPr>
          <w:rFonts w:eastAsia="Calibri" w:cs="Arial"/>
          <w:bCs/>
        </w:rPr>
        <w:t>21 East State Street, 17</w:t>
      </w:r>
      <w:r w:rsidRPr="00511CD1">
        <w:rPr>
          <w:rFonts w:eastAsia="Calibri" w:cs="Arial"/>
          <w:bCs/>
          <w:vertAlign w:val="superscript"/>
        </w:rPr>
        <w:t>TH</w:t>
      </w:r>
      <w:r w:rsidRPr="00511CD1">
        <w:rPr>
          <w:rFonts w:eastAsia="Calibri" w:cs="Arial"/>
          <w:bCs/>
        </w:rPr>
        <w:t xml:space="preserve"> Floor</w:t>
      </w:r>
    </w:p>
    <w:p w:rsidR="00511CD1" w:rsidRPr="00511CD1" w:rsidRDefault="00511CD1" w:rsidP="00511CD1">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511CD1">
        <w:rPr>
          <w:rFonts w:eastAsia="Calibri" w:cs="Arial"/>
        </w:rPr>
        <w:t>Columbus, OH  43215</w:t>
      </w:r>
    </w:p>
    <w:p w:rsidR="00511CD1" w:rsidRPr="00511CD1" w:rsidRDefault="00511CD1" w:rsidP="00511CD1">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511CD1">
        <w:rPr>
          <w:rFonts w:eastAsia="Calibri" w:cs="Arial"/>
        </w:rPr>
        <w:t>Telephone:  (614) 469-8000</w:t>
      </w:r>
    </w:p>
    <w:p w:rsidR="00511CD1" w:rsidRPr="00511CD1" w:rsidRDefault="00511CD1" w:rsidP="00511CD1">
      <w:pPr>
        <w:tabs>
          <w:tab w:val="left" w:pos="-1440"/>
          <w:tab w:val="left" w:pos="-720"/>
          <w:tab w:val="left" w:pos="4320"/>
          <w:tab w:val="left" w:pos="5040"/>
          <w:tab w:val="center" w:pos="7200"/>
        </w:tabs>
        <w:overflowPunct w:val="0"/>
        <w:autoSpaceDE w:val="0"/>
        <w:autoSpaceDN w:val="0"/>
        <w:adjustRightInd w:val="0"/>
        <w:spacing w:after="0" w:line="240" w:lineRule="auto"/>
        <w:ind w:left="4320"/>
        <w:jc w:val="left"/>
        <w:rPr>
          <w:rFonts w:eastAsia="Calibri" w:cs="Arial"/>
        </w:rPr>
      </w:pPr>
      <w:r w:rsidRPr="00511CD1">
        <w:rPr>
          <w:rFonts w:eastAsia="Calibri" w:cs="Arial"/>
        </w:rPr>
        <w:t>Telecopier:  (614) 469-4653</w:t>
      </w:r>
    </w:p>
    <w:p w:rsidR="00511CD1" w:rsidRPr="00511CD1" w:rsidRDefault="00511CD1" w:rsidP="00511CD1">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u w:val="single"/>
        </w:rPr>
      </w:pPr>
      <w:r w:rsidRPr="00511CD1">
        <w:rPr>
          <w:rFonts w:eastAsia="Calibri" w:cs="Arial"/>
        </w:rPr>
        <w:t>fdarr@mwncmh.com</w:t>
      </w:r>
    </w:p>
    <w:p w:rsidR="00511CD1" w:rsidRPr="00511CD1" w:rsidRDefault="00511CD1" w:rsidP="00511CD1">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rPr>
      </w:pPr>
      <w:r w:rsidRPr="00511CD1">
        <w:rPr>
          <w:rFonts w:eastAsia="Calibri" w:cs="Arial"/>
        </w:rPr>
        <w:t>(willing to accept service by e-mail)</w:t>
      </w:r>
    </w:p>
    <w:p w:rsidR="00511CD1" w:rsidRPr="00511CD1" w:rsidRDefault="00511CD1" w:rsidP="00511CD1">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smallCaps/>
        </w:rPr>
      </w:pPr>
      <w:r w:rsidRPr="00511CD1">
        <w:rPr>
          <w:rFonts w:eastAsia="Calibri" w:cs="Arial"/>
        </w:rPr>
        <w:t>mpritchard@mwncmh.com</w:t>
      </w:r>
    </w:p>
    <w:p w:rsidR="00511CD1" w:rsidRPr="00511CD1" w:rsidRDefault="00511CD1" w:rsidP="00511CD1">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rPr>
      </w:pPr>
      <w:r w:rsidRPr="00511CD1">
        <w:rPr>
          <w:rFonts w:eastAsia="Calibri" w:cs="Arial"/>
        </w:rPr>
        <w:t>(willing to accept service by e-mail)</w:t>
      </w:r>
    </w:p>
    <w:p w:rsidR="00511CD1" w:rsidRPr="00511CD1" w:rsidRDefault="00511CD1" w:rsidP="00511CD1">
      <w:pPr>
        <w:tabs>
          <w:tab w:val="left" w:pos="-1440"/>
          <w:tab w:val="left" w:pos="-720"/>
          <w:tab w:val="left" w:pos="5040"/>
          <w:tab w:val="center" w:pos="7200"/>
        </w:tabs>
        <w:overflowPunct w:val="0"/>
        <w:autoSpaceDE w:val="0"/>
        <w:autoSpaceDN w:val="0"/>
        <w:adjustRightInd w:val="0"/>
        <w:spacing w:after="0" w:line="240" w:lineRule="auto"/>
        <w:ind w:left="4320"/>
        <w:jc w:val="left"/>
        <w:rPr>
          <w:rFonts w:eastAsia="Calibri" w:cs="Arial"/>
          <w:b/>
          <w:smallCaps/>
        </w:rPr>
      </w:pPr>
    </w:p>
    <w:p w:rsidR="00511CD1" w:rsidRPr="00511CD1" w:rsidRDefault="00511CD1" w:rsidP="00511CD1">
      <w:pPr>
        <w:spacing w:after="0" w:line="240" w:lineRule="auto"/>
        <w:jc w:val="left"/>
        <w:rPr>
          <w:rFonts w:eastAsia="Calibri" w:cs="Arial"/>
          <w:b/>
        </w:rPr>
      </w:pPr>
      <w:r>
        <w:rPr>
          <w:rFonts w:eastAsia="Calibri" w:cs="Arial"/>
          <w:b/>
        </w:rPr>
        <w:t>August 15</w:t>
      </w:r>
      <w:r w:rsidRPr="00511CD1">
        <w:rPr>
          <w:rFonts w:eastAsia="Calibri" w:cs="Arial"/>
          <w:b/>
        </w:rPr>
        <w:t>, 2014</w:t>
      </w:r>
      <w:r w:rsidRPr="00511CD1">
        <w:rPr>
          <w:rFonts w:eastAsia="Calibri" w:cs="Arial"/>
          <w:b/>
        </w:rPr>
        <w:tab/>
      </w:r>
      <w:r w:rsidRPr="00511CD1">
        <w:rPr>
          <w:rFonts w:eastAsia="Calibri" w:cs="Arial"/>
          <w:b/>
        </w:rPr>
        <w:tab/>
      </w:r>
      <w:r w:rsidRPr="00511CD1">
        <w:rPr>
          <w:rFonts w:eastAsia="Calibri" w:cs="Arial"/>
          <w:b/>
        </w:rPr>
        <w:tab/>
      </w:r>
      <w:r w:rsidRPr="00511CD1">
        <w:rPr>
          <w:rFonts w:eastAsia="Calibri" w:cs="Arial"/>
          <w:b/>
        </w:rPr>
        <w:tab/>
        <w:t>Attorneys for Industrial Energy Users-Ohio</w:t>
      </w:r>
    </w:p>
    <w:p w:rsidR="00511CD1" w:rsidRPr="00511CD1" w:rsidRDefault="00511CD1" w:rsidP="00511CD1">
      <w:pPr>
        <w:spacing w:after="0" w:line="240" w:lineRule="auto"/>
        <w:jc w:val="left"/>
        <w:rPr>
          <w:rFonts w:eastAsia="Calibri" w:cs="Arial"/>
          <w:b/>
        </w:rPr>
        <w:sectPr w:rsidR="00511CD1" w:rsidRPr="00511CD1" w:rsidSect="003E617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pace="720"/>
          <w:titlePg/>
          <w:docGrid w:linePitch="360"/>
        </w:sectPr>
      </w:pPr>
    </w:p>
    <w:p w:rsidR="000F1B57" w:rsidRPr="000F1B57" w:rsidRDefault="000F1B57" w:rsidP="000F1B57">
      <w:pPr>
        <w:pStyle w:val="TOCHeading"/>
        <w:rPr>
          <w:rFonts w:ascii="Arial Bold" w:hAnsi="Arial Bold"/>
          <w:caps/>
          <w:color w:val="auto"/>
          <w:u w:val="single"/>
        </w:rPr>
      </w:pPr>
      <w:r w:rsidRPr="000F1B57">
        <w:rPr>
          <w:rFonts w:ascii="Arial Bold" w:hAnsi="Arial Bold"/>
          <w:caps/>
          <w:color w:val="auto"/>
          <w:u w:val="single"/>
        </w:rPr>
        <w:lastRenderedPageBreak/>
        <w:t>Table of Contents</w:t>
      </w:r>
    </w:p>
    <w:p w:rsidR="007A332D" w:rsidRDefault="007A332D" w:rsidP="007A332D">
      <w:pPr>
        <w:pStyle w:val="TOCPage"/>
      </w:pPr>
      <w:bookmarkStart w:id="0" w:name="TOCPage"/>
      <w:r>
        <w:t>Page</w:t>
      </w:r>
    </w:p>
    <w:bookmarkEnd w:id="0"/>
    <w:p w:rsidR="008D0B3B" w:rsidRPr="008D0B3B" w:rsidRDefault="008D0B3B" w:rsidP="008D0B3B">
      <w:pPr>
        <w:pStyle w:val="TOC1"/>
        <w:spacing w:after="240" w:line="240" w:lineRule="auto"/>
        <w:rPr>
          <w:rFonts w:asciiTheme="minorHAnsi" w:eastAsiaTheme="minorEastAsia" w:hAnsiTheme="minorHAnsi"/>
          <w:caps/>
          <w:noProof/>
          <w:sz w:val="22"/>
          <w:szCs w:val="22"/>
        </w:rPr>
      </w:pPr>
      <w:r>
        <w:rPr>
          <w:noProof/>
        </w:rPr>
        <w:fldChar w:fldCharType="begin"/>
      </w:r>
      <w:r>
        <w:rPr>
          <w:noProof/>
        </w:rPr>
        <w:instrText xml:space="preserve"> TOC \t "Heading 1,1,Heading 2,2,Heading 3,3" </w:instrText>
      </w:r>
      <w:r>
        <w:rPr>
          <w:noProof/>
        </w:rPr>
        <w:fldChar w:fldCharType="separate"/>
      </w:r>
      <w:bookmarkStart w:id="1" w:name="TOCLocation"/>
      <w:r w:rsidRPr="00A320C7">
        <w:rPr>
          <w:noProof/>
          <w:color w:val="010000"/>
        </w:rPr>
        <w:t>I.</w:t>
      </w:r>
      <w:r>
        <w:rPr>
          <w:rFonts w:asciiTheme="minorHAnsi" w:eastAsiaTheme="minorEastAsia" w:hAnsiTheme="minorHAnsi"/>
          <w:noProof/>
          <w:sz w:val="22"/>
          <w:szCs w:val="22"/>
        </w:rPr>
        <w:tab/>
      </w:r>
      <w:r w:rsidRPr="008D0B3B">
        <w:rPr>
          <w:caps/>
          <w:noProof/>
        </w:rPr>
        <w:t>Introduction</w:t>
      </w:r>
      <w:r w:rsidRPr="008D0B3B">
        <w:rPr>
          <w:caps/>
          <w:noProof/>
        </w:rPr>
        <w:tab/>
      </w:r>
      <w:r w:rsidRPr="008D0B3B">
        <w:rPr>
          <w:caps/>
          <w:noProof/>
        </w:rPr>
        <w:fldChar w:fldCharType="begin"/>
      </w:r>
      <w:r w:rsidRPr="008D0B3B">
        <w:rPr>
          <w:caps/>
          <w:noProof/>
        </w:rPr>
        <w:instrText xml:space="preserve"> PAGEREF _Toc395868793 \h </w:instrText>
      </w:r>
      <w:r w:rsidRPr="008D0B3B">
        <w:rPr>
          <w:caps/>
          <w:noProof/>
        </w:rPr>
      </w:r>
      <w:r w:rsidRPr="008D0B3B">
        <w:rPr>
          <w:caps/>
          <w:noProof/>
        </w:rPr>
        <w:fldChar w:fldCharType="separate"/>
      </w:r>
      <w:r w:rsidR="00CB70B4">
        <w:rPr>
          <w:caps/>
          <w:noProof/>
        </w:rPr>
        <w:t>1</w:t>
      </w:r>
      <w:r w:rsidRPr="008D0B3B">
        <w:rPr>
          <w:caps/>
          <w:noProof/>
        </w:rPr>
        <w:fldChar w:fldCharType="end"/>
      </w:r>
    </w:p>
    <w:p w:rsidR="008D0B3B" w:rsidRDefault="008D0B3B" w:rsidP="008D0B3B">
      <w:pPr>
        <w:pStyle w:val="TOC1"/>
        <w:spacing w:after="240" w:line="240" w:lineRule="auto"/>
        <w:rPr>
          <w:rFonts w:asciiTheme="minorHAnsi" w:eastAsiaTheme="minorEastAsia" w:hAnsiTheme="minorHAnsi"/>
          <w:noProof/>
          <w:sz w:val="22"/>
          <w:szCs w:val="22"/>
        </w:rPr>
      </w:pPr>
      <w:r w:rsidRPr="008D0B3B">
        <w:rPr>
          <w:caps/>
          <w:noProof/>
          <w:color w:val="010000"/>
        </w:rPr>
        <w:t>II.</w:t>
      </w:r>
      <w:r w:rsidRPr="008D0B3B">
        <w:rPr>
          <w:rFonts w:asciiTheme="minorHAnsi" w:eastAsiaTheme="minorEastAsia" w:hAnsiTheme="minorHAnsi"/>
          <w:caps/>
          <w:noProof/>
          <w:sz w:val="22"/>
          <w:szCs w:val="22"/>
        </w:rPr>
        <w:tab/>
      </w:r>
      <w:r w:rsidRPr="008D0B3B">
        <w:rPr>
          <w:caps/>
          <w:noProof/>
        </w:rPr>
        <w:t>The Commission should not authorize the PPAR</w:t>
      </w:r>
      <w:r>
        <w:rPr>
          <w:noProof/>
        </w:rPr>
        <w:tab/>
      </w:r>
      <w:r>
        <w:rPr>
          <w:noProof/>
        </w:rPr>
        <w:fldChar w:fldCharType="begin"/>
      </w:r>
      <w:r>
        <w:rPr>
          <w:noProof/>
        </w:rPr>
        <w:instrText xml:space="preserve"> PAGEREF _Toc395868794 \h </w:instrText>
      </w:r>
      <w:r>
        <w:rPr>
          <w:noProof/>
        </w:rPr>
      </w:r>
      <w:r>
        <w:rPr>
          <w:noProof/>
        </w:rPr>
        <w:fldChar w:fldCharType="separate"/>
      </w:r>
      <w:r w:rsidR="00CB70B4">
        <w:rPr>
          <w:noProof/>
        </w:rPr>
        <w:t>3</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A.</w:t>
      </w:r>
      <w:r>
        <w:rPr>
          <w:rFonts w:asciiTheme="minorHAnsi" w:eastAsiaTheme="minorEastAsia" w:hAnsiTheme="minorHAnsi"/>
          <w:noProof/>
          <w:sz w:val="22"/>
          <w:szCs w:val="22"/>
        </w:rPr>
        <w:tab/>
      </w:r>
      <w:r>
        <w:rPr>
          <w:noProof/>
        </w:rPr>
        <w:t>The PPAR is not authorized by R.C. 4928.143(B)(2)</w:t>
      </w:r>
      <w:r>
        <w:rPr>
          <w:noProof/>
        </w:rPr>
        <w:tab/>
      </w:r>
      <w:r>
        <w:rPr>
          <w:noProof/>
        </w:rPr>
        <w:fldChar w:fldCharType="begin"/>
      </w:r>
      <w:r>
        <w:rPr>
          <w:noProof/>
        </w:rPr>
        <w:instrText xml:space="preserve"> PAGEREF _Toc395868795 \h </w:instrText>
      </w:r>
      <w:r>
        <w:rPr>
          <w:noProof/>
        </w:rPr>
      </w:r>
      <w:r>
        <w:rPr>
          <w:noProof/>
        </w:rPr>
        <w:fldChar w:fldCharType="separate"/>
      </w:r>
      <w:r w:rsidR="00CB70B4">
        <w:rPr>
          <w:noProof/>
        </w:rPr>
        <w:t>4</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1.</w:t>
      </w:r>
      <w:r>
        <w:rPr>
          <w:rFonts w:asciiTheme="minorHAnsi" w:eastAsiaTheme="minorEastAsia" w:hAnsiTheme="minorHAnsi"/>
          <w:noProof/>
          <w:sz w:val="22"/>
          <w:szCs w:val="22"/>
        </w:rPr>
        <w:tab/>
      </w:r>
      <w:r>
        <w:rPr>
          <w:noProof/>
        </w:rPr>
        <w:t>R.C. 4928.143(B)(2)(d) does not provide a basis for authorizing the PPAR because the rider does not relate to default service or provide certainty or stability regarding retail electric service</w:t>
      </w:r>
      <w:r>
        <w:rPr>
          <w:noProof/>
        </w:rPr>
        <w:tab/>
      </w:r>
      <w:r>
        <w:rPr>
          <w:noProof/>
        </w:rPr>
        <w:fldChar w:fldCharType="begin"/>
      </w:r>
      <w:r>
        <w:rPr>
          <w:noProof/>
        </w:rPr>
        <w:instrText xml:space="preserve"> PAGEREF _Toc395868796 \h </w:instrText>
      </w:r>
      <w:r>
        <w:rPr>
          <w:noProof/>
        </w:rPr>
      </w:r>
      <w:r>
        <w:rPr>
          <w:noProof/>
        </w:rPr>
        <w:fldChar w:fldCharType="separate"/>
      </w:r>
      <w:r w:rsidR="00CB70B4">
        <w:rPr>
          <w:noProof/>
        </w:rPr>
        <w:t>5</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2.</w:t>
      </w:r>
      <w:r>
        <w:rPr>
          <w:rFonts w:asciiTheme="minorHAnsi" w:eastAsiaTheme="minorEastAsia" w:hAnsiTheme="minorHAnsi"/>
          <w:noProof/>
          <w:sz w:val="22"/>
          <w:szCs w:val="22"/>
        </w:rPr>
        <w:tab/>
      </w:r>
      <w:r>
        <w:rPr>
          <w:noProof/>
        </w:rPr>
        <w:t>R.C. 4928.143(B)(2)(a) does not provide a basis for authorizing the PPAR because it does not recover the cost of purchased power supplied under the SSO</w:t>
      </w:r>
      <w:r>
        <w:rPr>
          <w:noProof/>
        </w:rPr>
        <w:tab/>
      </w:r>
      <w:r>
        <w:rPr>
          <w:noProof/>
        </w:rPr>
        <w:fldChar w:fldCharType="begin"/>
      </w:r>
      <w:r>
        <w:rPr>
          <w:noProof/>
        </w:rPr>
        <w:instrText xml:space="preserve"> PAGEREF _Toc395868797 \h </w:instrText>
      </w:r>
      <w:r>
        <w:rPr>
          <w:noProof/>
        </w:rPr>
      </w:r>
      <w:r>
        <w:rPr>
          <w:noProof/>
        </w:rPr>
        <w:fldChar w:fldCharType="separate"/>
      </w:r>
      <w:r w:rsidR="00CB70B4">
        <w:rPr>
          <w:noProof/>
        </w:rPr>
        <w:t>6</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3.</w:t>
      </w:r>
      <w:r>
        <w:rPr>
          <w:rFonts w:asciiTheme="minorHAnsi" w:eastAsiaTheme="minorEastAsia" w:hAnsiTheme="minorHAnsi"/>
          <w:noProof/>
          <w:sz w:val="22"/>
          <w:szCs w:val="22"/>
        </w:rPr>
        <w:tab/>
      </w:r>
      <w:r>
        <w:rPr>
          <w:noProof/>
        </w:rPr>
        <w:t>R.C. 4928.143(B)(2)(e) does not provide a basis for authorizing the PPAR because it does not increase or decrease any component of the SSO price</w:t>
      </w:r>
      <w:r>
        <w:rPr>
          <w:noProof/>
        </w:rPr>
        <w:tab/>
      </w:r>
      <w:r>
        <w:rPr>
          <w:noProof/>
        </w:rPr>
        <w:fldChar w:fldCharType="begin"/>
      </w:r>
      <w:r>
        <w:rPr>
          <w:noProof/>
        </w:rPr>
        <w:instrText xml:space="preserve"> PAGEREF _Toc395868798 \h </w:instrText>
      </w:r>
      <w:r>
        <w:rPr>
          <w:noProof/>
        </w:rPr>
      </w:r>
      <w:r>
        <w:rPr>
          <w:noProof/>
        </w:rPr>
        <w:fldChar w:fldCharType="separate"/>
      </w:r>
      <w:r w:rsidR="00CB70B4">
        <w:rPr>
          <w:noProof/>
        </w:rPr>
        <w:t>7</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4.</w:t>
      </w:r>
      <w:r>
        <w:rPr>
          <w:rFonts w:asciiTheme="minorHAnsi" w:eastAsiaTheme="minorEastAsia" w:hAnsiTheme="minorHAnsi"/>
          <w:noProof/>
          <w:sz w:val="22"/>
          <w:szCs w:val="22"/>
        </w:rPr>
        <w:tab/>
      </w:r>
      <w:r>
        <w:rPr>
          <w:noProof/>
        </w:rPr>
        <w:t>R.C. 4928.143(B)(2)(i) does not provide a basis for authorizing the PPAR because it would have no effect on economic development</w:t>
      </w:r>
      <w:r>
        <w:rPr>
          <w:noProof/>
        </w:rPr>
        <w:tab/>
      </w:r>
      <w:r>
        <w:rPr>
          <w:noProof/>
        </w:rPr>
        <w:fldChar w:fldCharType="begin"/>
      </w:r>
      <w:r>
        <w:rPr>
          <w:noProof/>
        </w:rPr>
        <w:instrText xml:space="preserve"> PAGEREF _Toc395868799 \h </w:instrText>
      </w:r>
      <w:r>
        <w:rPr>
          <w:noProof/>
        </w:rPr>
      </w:r>
      <w:r>
        <w:rPr>
          <w:noProof/>
        </w:rPr>
        <w:fldChar w:fldCharType="separate"/>
      </w:r>
      <w:r w:rsidR="00CB70B4">
        <w:rPr>
          <w:noProof/>
        </w:rPr>
        <w:t>11</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B.</w:t>
      </w:r>
      <w:r>
        <w:rPr>
          <w:rFonts w:asciiTheme="minorHAnsi" w:eastAsiaTheme="minorEastAsia" w:hAnsiTheme="minorHAnsi"/>
          <w:noProof/>
          <w:sz w:val="22"/>
          <w:szCs w:val="22"/>
        </w:rPr>
        <w:tab/>
      </w:r>
      <w:r>
        <w:rPr>
          <w:noProof/>
        </w:rPr>
        <w:t>The PPAR is unreasonable because the PPAR fails to provide any benefit to customers, will likely increase their costs substantially, and will impose additional market risk on customers</w:t>
      </w:r>
      <w:r>
        <w:rPr>
          <w:noProof/>
        </w:rPr>
        <w:tab/>
      </w:r>
      <w:r>
        <w:rPr>
          <w:noProof/>
        </w:rPr>
        <w:fldChar w:fldCharType="begin"/>
      </w:r>
      <w:r>
        <w:rPr>
          <w:noProof/>
        </w:rPr>
        <w:instrText xml:space="preserve"> PAGEREF _Toc395868800 \h </w:instrText>
      </w:r>
      <w:r>
        <w:rPr>
          <w:noProof/>
        </w:rPr>
      </w:r>
      <w:r>
        <w:rPr>
          <w:noProof/>
        </w:rPr>
        <w:fldChar w:fldCharType="separate"/>
      </w:r>
      <w:r w:rsidR="00CB70B4">
        <w:rPr>
          <w:noProof/>
        </w:rPr>
        <w:t>11</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1.</w:t>
      </w:r>
      <w:r>
        <w:rPr>
          <w:rFonts w:asciiTheme="minorHAnsi" w:eastAsiaTheme="minorEastAsia" w:hAnsiTheme="minorHAnsi"/>
          <w:noProof/>
          <w:sz w:val="22"/>
          <w:szCs w:val="22"/>
        </w:rPr>
        <w:tab/>
      </w:r>
      <w:r>
        <w:rPr>
          <w:noProof/>
        </w:rPr>
        <w:t>The PPAR injects additional price volatility in customer bills</w:t>
      </w:r>
      <w:r>
        <w:rPr>
          <w:noProof/>
        </w:rPr>
        <w:tab/>
      </w:r>
      <w:r>
        <w:rPr>
          <w:noProof/>
        </w:rPr>
        <w:fldChar w:fldCharType="begin"/>
      </w:r>
      <w:r>
        <w:rPr>
          <w:noProof/>
        </w:rPr>
        <w:instrText xml:space="preserve"> PAGEREF _Toc395868801 \h </w:instrText>
      </w:r>
      <w:r>
        <w:rPr>
          <w:noProof/>
        </w:rPr>
      </w:r>
      <w:r>
        <w:rPr>
          <w:noProof/>
        </w:rPr>
        <w:fldChar w:fldCharType="separate"/>
      </w:r>
      <w:r w:rsidR="00CB70B4">
        <w:rPr>
          <w:noProof/>
        </w:rPr>
        <w:t>14</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2.</w:t>
      </w:r>
      <w:r>
        <w:rPr>
          <w:rFonts w:asciiTheme="minorHAnsi" w:eastAsiaTheme="minorEastAsia" w:hAnsiTheme="minorHAnsi"/>
          <w:noProof/>
          <w:sz w:val="22"/>
          <w:szCs w:val="22"/>
        </w:rPr>
        <w:tab/>
      </w:r>
      <w:r>
        <w:rPr>
          <w:noProof/>
        </w:rPr>
        <w:t>The evidence does not support the claim that the PPAR would act as a hedge or provide additional protection from extreme weather events</w:t>
      </w:r>
      <w:r>
        <w:rPr>
          <w:noProof/>
        </w:rPr>
        <w:tab/>
      </w:r>
      <w:r>
        <w:rPr>
          <w:noProof/>
        </w:rPr>
        <w:fldChar w:fldCharType="begin"/>
      </w:r>
      <w:r>
        <w:rPr>
          <w:noProof/>
        </w:rPr>
        <w:instrText xml:space="preserve"> PAGEREF _Toc395868802 \h </w:instrText>
      </w:r>
      <w:r>
        <w:rPr>
          <w:noProof/>
        </w:rPr>
      </w:r>
      <w:r>
        <w:rPr>
          <w:noProof/>
        </w:rPr>
        <w:fldChar w:fldCharType="separate"/>
      </w:r>
      <w:r w:rsidR="00CB70B4">
        <w:rPr>
          <w:noProof/>
        </w:rPr>
        <w:t>15</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3.</w:t>
      </w:r>
      <w:r>
        <w:rPr>
          <w:rFonts w:asciiTheme="minorHAnsi" w:eastAsiaTheme="minorEastAsia" w:hAnsiTheme="minorHAnsi"/>
          <w:noProof/>
          <w:sz w:val="22"/>
          <w:szCs w:val="22"/>
        </w:rPr>
        <w:tab/>
      </w:r>
      <w:r>
        <w:rPr>
          <w:noProof/>
        </w:rPr>
        <w:t>The PPAR, directionally, will impose a cost on customers</w:t>
      </w:r>
      <w:r>
        <w:rPr>
          <w:noProof/>
        </w:rPr>
        <w:tab/>
      </w:r>
      <w:r>
        <w:rPr>
          <w:noProof/>
        </w:rPr>
        <w:fldChar w:fldCharType="begin"/>
      </w:r>
      <w:r>
        <w:rPr>
          <w:noProof/>
        </w:rPr>
        <w:instrText xml:space="preserve"> PAGEREF _Toc395868803 \h </w:instrText>
      </w:r>
      <w:r>
        <w:rPr>
          <w:noProof/>
        </w:rPr>
      </w:r>
      <w:r>
        <w:rPr>
          <w:noProof/>
        </w:rPr>
        <w:fldChar w:fldCharType="separate"/>
      </w:r>
      <w:r w:rsidR="00CB70B4">
        <w:rPr>
          <w:noProof/>
        </w:rPr>
        <w:t>16</w:t>
      </w:r>
      <w:r>
        <w:rPr>
          <w:noProof/>
        </w:rPr>
        <w:fldChar w:fldCharType="end"/>
      </w:r>
    </w:p>
    <w:p w:rsidR="008D0B3B" w:rsidRDefault="008D0B3B" w:rsidP="008D0B3B">
      <w:pPr>
        <w:pStyle w:val="TOC3"/>
        <w:tabs>
          <w:tab w:val="left" w:pos="2160"/>
        </w:tabs>
        <w:spacing w:after="240" w:line="240" w:lineRule="auto"/>
        <w:rPr>
          <w:rFonts w:asciiTheme="minorHAnsi" w:eastAsiaTheme="minorEastAsia" w:hAnsiTheme="minorHAnsi"/>
          <w:noProof/>
          <w:sz w:val="22"/>
          <w:szCs w:val="22"/>
        </w:rPr>
      </w:pPr>
      <w:r w:rsidRPr="00A320C7">
        <w:rPr>
          <w:noProof/>
          <w:color w:val="010000"/>
        </w:rPr>
        <w:t>4.</w:t>
      </w:r>
      <w:r>
        <w:rPr>
          <w:rFonts w:asciiTheme="minorHAnsi" w:eastAsiaTheme="minorEastAsia" w:hAnsiTheme="minorHAnsi"/>
          <w:noProof/>
          <w:sz w:val="22"/>
          <w:szCs w:val="22"/>
        </w:rPr>
        <w:tab/>
      </w:r>
      <w:r>
        <w:rPr>
          <w:noProof/>
        </w:rPr>
        <w:t>Lawful solutions to hedge price volatility are already available to customers</w:t>
      </w:r>
      <w:r>
        <w:rPr>
          <w:noProof/>
        </w:rPr>
        <w:tab/>
      </w:r>
      <w:r>
        <w:rPr>
          <w:noProof/>
        </w:rPr>
        <w:fldChar w:fldCharType="begin"/>
      </w:r>
      <w:r>
        <w:rPr>
          <w:noProof/>
        </w:rPr>
        <w:instrText xml:space="preserve"> PAGEREF _Toc395868804 \h </w:instrText>
      </w:r>
      <w:r>
        <w:rPr>
          <w:noProof/>
        </w:rPr>
      </w:r>
      <w:r>
        <w:rPr>
          <w:noProof/>
        </w:rPr>
        <w:fldChar w:fldCharType="separate"/>
      </w:r>
      <w:r w:rsidR="00CB70B4">
        <w:rPr>
          <w:noProof/>
        </w:rPr>
        <w:t>17</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C.</w:t>
      </w:r>
      <w:r>
        <w:rPr>
          <w:rFonts w:asciiTheme="minorHAnsi" w:eastAsiaTheme="minorEastAsia" w:hAnsiTheme="minorHAnsi"/>
          <w:noProof/>
          <w:sz w:val="22"/>
          <w:szCs w:val="22"/>
        </w:rPr>
        <w:tab/>
      </w:r>
      <w:r>
        <w:rPr>
          <w:noProof/>
        </w:rPr>
        <w:t>AEP-Ohio’s claim that the PPAR will hedge electricity prices ignores the effects of the annual reconciliation</w:t>
      </w:r>
      <w:r>
        <w:rPr>
          <w:noProof/>
        </w:rPr>
        <w:tab/>
      </w:r>
      <w:r>
        <w:rPr>
          <w:noProof/>
        </w:rPr>
        <w:fldChar w:fldCharType="begin"/>
      </w:r>
      <w:r>
        <w:rPr>
          <w:noProof/>
        </w:rPr>
        <w:instrText xml:space="preserve"> PAGEREF _Toc395868805 \h </w:instrText>
      </w:r>
      <w:r>
        <w:rPr>
          <w:noProof/>
        </w:rPr>
      </w:r>
      <w:r>
        <w:rPr>
          <w:noProof/>
        </w:rPr>
        <w:fldChar w:fldCharType="separate"/>
      </w:r>
      <w:r w:rsidR="00CB70B4">
        <w:rPr>
          <w:noProof/>
        </w:rPr>
        <w:t>18</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D.</w:t>
      </w:r>
      <w:r>
        <w:rPr>
          <w:rFonts w:asciiTheme="minorHAnsi" w:eastAsiaTheme="minorEastAsia" w:hAnsiTheme="minorHAnsi"/>
          <w:noProof/>
          <w:sz w:val="22"/>
          <w:szCs w:val="22"/>
        </w:rPr>
        <w:tab/>
      </w:r>
      <w:r>
        <w:rPr>
          <w:noProof/>
        </w:rPr>
        <w:t>The Commission should not authorize the modified PPAR proposed by the Ohio Energy Group</w:t>
      </w:r>
      <w:r>
        <w:rPr>
          <w:noProof/>
        </w:rPr>
        <w:tab/>
      </w:r>
      <w:r>
        <w:rPr>
          <w:noProof/>
        </w:rPr>
        <w:fldChar w:fldCharType="begin"/>
      </w:r>
      <w:r>
        <w:rPr>
          <w:noProof/>
        </w:rPr>
        <w:instrText xml:space="preserve"> PAGEREF _Toc395868806 \h </w:instrText>
      </w:r>
      <w:r>
        <w:rPr>
          <w:noProof/>
        </w:rPr>
      </w:r>
      <w:r>
        <w:rPr>
          <w:noProof/>
        </w:rPr>
        <w:fldChar w:fldCharType="separate"/>
      </w:r>
      <w:r w:rsidR="00CB70B4">
        <w:rPr>
          <w:noProof/>
        </w:rPr>
        <w:t>19</w:t>
      </w:r>
      <w:r>
        <w:rPr>
          <w:noProof/>
        </w:rPr>
        <w:fldChar w:fldCharType="end"/>
      </w:r>
    </w:p>
    <w:p w:rsidR="008D0B3B" w:rsidRPr="008D0B3B" w:rsidRDefault="008D0B3B" w:rsidP="008D0B3B">
      <w:pPr>
        <w:pStyle w:val="TOC1"/>
        <w:spacing w:after="240" w:line="240" w:lineRule="auto"/>
        <w:rPr>
          <w:rFonts w:asciiTheme="minorHAnsi" w:eastAsiaTheme="minorEastAsia" w:hAnsiTheme="minorHAnsi"/>
          <w:caps/>
          <w:noProof/>
          <w:sz w:val="22"/>
          <w:szCs w:val="22"/>
        </w:rPr>
      </w:pPr>
      <w:r w:rsidRPr="008D0B3B">
        <w:rPr>
          <w:caps/>
          <w:noProof/>
          <w:color w:val="010000"/>
        </w:rPr>
        <w:lastRenderedPageBreak/>
        <w:t>III.</w:t>
      </w:r>
      <w:r w:rsidRPr="008D0B3B">
        <w:rPr>
          <w:rFonts w:asciiTheme="minorHAnsi" w:eastAsiaTheme="minorEastAsia" w:hAnsiTheme="minorHAnsi"/>
          <w:caps/>
          <w:noProof/>
          <w:sz w:val="22"/>
          <w:szCs w:val="22"/>
        </w:rPr>
        <w:tab/>
      </w:r>
      <w:r w:rsidRPr="008D0B3B">
        <w:rPr>
          <w:caps/>
          <w:noProof/>
        </w:rPr>
        <w:t>The Commission should not authorize AEP-Ohio’s proposed nonbypassable BTCR</w:t>
      </w:r>
      <w:r w:rsidRPr="008D0B3B">
        <w:rPr>
          <w:caps/>
          <w:noProof/>
        </w:rPr>
        <w:tab/>
      </w:r>
      <w:r w:rsidRPr="008D0B3B">
        <w:rPr>
          <w:caps/>
          <w:noProof/>
        </w:rPr>
        <w:fldChar w:fldCharType="begin"/>
      </w:r>
      <w:r w:rsidRPr="008D0B3B">
        <w:rPr>
          <w:caps/>
          <w:noProof/>
        </w:rPr>
        <w:instrText xml:space="preserve"> PAGEREF _Toc395868807 \h </w:instrText>
      </w:r>
      <w:r w:rsidRPr="008D0B3B">
        <w:rPr>
          <w:caps/>
          <w:noProof/>
        </w:rPr>
      </w:r>
      <w:r w:rsidRPr="008D0B3B">
        <w:rPr>
          <w:caps/>
          <w:noProof/>
        </w:rPr>
        <w:fldChar w:fldCharType="separate"/>
      </w:r>
      <w:r w:rsidR="00CB70B4">
        <w:rPr>
          <w:caps/>
          <w:noProof/>
        </w:rPr>
        <w:t>21</w:t>
      </w:r>
      <w:r w:rsidRPr="008D0B3B">
        <w:rPr>
          <w:caps/>
          <w:noProof/>
        </w:rPr>
        <w:fldChar w:fldCharType="end"/>
      </w:r>
    </w:p>
    <w:p w:rsidR="008D0B3B" w:rsidRPr="008D0B3B" w:rsidRDefault="008D0B3B" w:rsidP="008D0B3B">
      <w:pPr>
        <w:pStyle w:val="TOC1"/>
        <w:spacing w:after="240" w:line="240" w:lineRule="auto"/>
        <w:rPr>
          <w:rFonts w:asciiTheme="minorHAnsi" w:eastAsiaTheme="minorEastAsia" w:hAnsiTheme="minorHAnsi"/>
          <w:caps/>
          <w:noProof/>
          <w:sz w:val="22"/>
          <w:szCs w:val="22"/>
        </w:rPr>
      </w:pPr>
      <w:r w:rsidRPr="008D0B3B">
        <w:rPr>
          <w:caps/>
          <w:noProof/>
          <w:color w:val="010000"/>
        </w:rPr>
        <w:t>IV.</w:t>
      </w:r>
      <w:r w:rsidRPr="008D0B3B">
        <w:rPr>
          <w:rFonts w:asciiTheme="minorHAnsi" w:eastAsiaTheme="minorEastAsia" w:hAnsiTheme="minorHAnsi"/>
          <w:caps/>
          <w:noProof/>
          <w:sz w:val="22"/>
          <w:szCs w:val="22"/>
        </w:rPr>
        <w:tab/>
      </w:r>
      <w:r w:rsidRPr="008D0B3B">
        <w:rPr>
          <w:caps/>
          <w:noProof/>
        </w:rPr>
        <w:t>The Commission should not authorize the POR program AS PROPOSED</w:t>
      </w:r>
      <w:r w:rsidRPr="008D0B3B">
        <w:rPr>
          <w:caps/>
          <w:noProof/>
        </w:rPr>
        <w:tab/>
      </w:r>
      <w:r w:rsidRPr="008D0B3B">
        <w:rPr>
          <w:caps/>
          <w:noProof/>
        </w:rPr>
        <w:fldChar w:fldCharType="begin"/>
      </w:r>
      <w:r w:rsidRPr="008D0B3B">
        <w:rPr>
          <w:caps/>
          <w:noProof/>
        </w:rPr>
        <w:instrText xml:space="preserve"> PAGEREF _Toc395868808 \h </w:instrText>
      </w:r>
      <w:r w:rsidRPr="008D0B3B">
        <w:rPr>
          <w:caps/>
          <w:noProof/>
        </w:rPr>
      </w:r>
      <w:r w:rsidRPr="008D0B3B">
        <w:rPr>
          <w:caps/>
          <w:noProof/>
        </w:rPr>
        <w:fldChar w:fldCharType="separate"/>
      </w:r>
      <w:r w:rsidR="00CB70B4">
        <w:rPr>
          <w:caps/>
          <w:noProof/>
        </w:rPr>
        <w:t>23</w:t>
      </w:r>
      <w:r w:rsidRPr="008D0B3B">
        <w:rPr>
          <w:caps/>
          <w:noProof/>
        </w:rPr>
        <w:fldChar w:fldCharType="end"/>
      </w:r>
    </w:p>
    <w:p w:rsidR="008D0B3B" w:rsidRPr="008D0B3B" w:rsidRDefault="008D0B3B" w:rsidP="008D0B3B">
      <w:pPr>
        <w:pStyle w:val="TOC1"/>
        <w:spacing w:after="240" w:line="240" w:lineRule="auto"/>
        <w:rPr>
          <w:rFonts w:asciiTheme="minorHAnsi" w:eastAsiaTheme="minorEastAsia" w:hAnsiTheme="minorHAnsi"/>
          <w:caps/>
          <w:noProof/>
          <w:sz w:val="22"/>
          <w:szCs w:val="22"/>
        </w:rPr>
      </w:pPr>
      <w:r w:rsidRPr="008D0B3B">
        <w:rPr>
          <w:caps/>
          <w:noProof/>
          <w:color w:val="010000"/>
        </w:rPr>
        <w:t>V.</w:t>
      </w:r>
      <w:r w:rsidRPr="008D0B3B">
        <w:rPr>
          <w:rFonts w:asciiTheme="minorHAnsi" w:eastAsiaTheme="minorEastAsia" w:hAnsiTheme="minorHAnsi"/>
          <w:caps/>
          <w:noProof/>
          <w:sz w:val="22"/>
          <w:szCs w:val="22"/>
        </w:rPr>
        <w:tab/>
      </w:r>
      <w:r w:rsidRPr="008D0B3B">
        <w:rPr>
          <w:caps/>
          <w:noProof/>
        </w:rPr>
        <w:t>The Commission should not authorize modification of the EDR</w:t>
      </w:r>
      <w:r w:rsidRPr="008D0B3B">
        <w:rPr>
          <w:caps/>
          <w:noProof/>
        </w:rPr>
        <w:tab/>
      </w:r>
      <w:r w:rsidRPr="008D0B3B">
        <w:rPr>
          <w:caps/>
          <w:noProof/>
        </w:rPr>
        <w:fldChar w:fldCharType="begin"/>
      </w:r>
      <w:r w:rsidRPr="008D0B3B">
        <w:rPr>
          <w:caps/>
          <w:noProof/>
        </w:rPr>
        <w:instrText xml:space="preserve"> PAGEREF _Toc395868809 \h </w:instrText>
      </w:r>
      <w:r w:rsidRPr="008D0B3B">
        <w:rPr>
          <w:caps/>
          <w:noProof/>
        </w:rPr>
      </w:r>
      <w:r w:rsidRPr="008D0B3B">
        <w:rPr>
          <w:caps/>
          <w:noProof/>
        </w:rPr>
        <w:fldChar w:fldCharType="separate"/>
      </w:r>
      <w:r w:rsidR="00CB70B4">
        <w:rPr>
          <w:caps/>
          <w:noProof/>
        </w:rPr>
        <w:t>26</w:t>
      </w:r>
      <w:r w:rsidRPr="008D0B3B">
        <w:rPr>
          <w:caps/>
          <w:noProof/>
        </w:rPr>
        <w:fldChar w:fldCharType="end"/>
      </w:r>
    </w:p>
    <w:p w:rsidR="008D0B3B" w:rsidRPr="008D0B3B" w:rsidRDefault="008D0B3B" w:rsidP="008D0B3B">
      <w:pPr>
        <w:pStyle w:val="TOC1"/>
        <w:spacing w:after="240" w:line="240" w:lineRule="auto"/>
        <w:rPr>
          <w:rFonts w:asciiTheme="minorHAnsi" w:eastAsiaTheme="minorEastAsia" w:hAnsiTheme="minorHAnsi"/>
          <w:caps/>
          <w:noProof/>
          <w:sz w:val="22"/>
          <w:szCs w:val="22"/>
        </w:rPr>
      </w:pPr>
      <w:r w:rsidRPr="008D0B3B">
        <w:rPr>
          <w:caps/>
          <w:noProof/>
          <w:color w:val="010000"/>
        </w:rPr>
        <w:t>VI.</w:t>
      </w:r>
      <w:r w:rsidRPr="008D0B3B">
        <w:rPr>
          <w:rFonts w:asciiTheme="minorHAnsi" w:eastAsiaTheme="minorEastAsia" w:hAnsiTheme="minorHAnsi"/>
          <w:caps/>
          <w:noProof/>
          <w:sz w:val="22"/>
          <w:szCs w:val="22"/>
        </w:rPr>
        <w:tab/>
      </w:r>
      <w:r w:rsidRPr="008D0B3B">
        <w:rPr>
          <w:caps/>
          <w:noProof/>
        </w:rPr>
        <w:t>The Commission should not authorize ALTERATION OF distribution cost recovery</w:t>
      </w:r>
      <w:r w:rsidRPr="008D0B3B">
        <w:rPr>
          <w:caps/>
          <w:noProof/>
        </w:rPr>
        <w:tab/>
      </w:r>
      <w:r w:rsidRPr="008D0B3B">
        <w:rPr>
          <w:caps/>
          <w:noProof/>
        </w:rPr>
        <w:fldChar w:fldCharType="begin"/>
      </w:r>
      <w:r w:rsidRPr="008D0B3B">
        <w:rPr>
          <w:caps/>
          <w:noProof/>
        </w:rPr>
        <w:instrText xml:space="preserve"> PAGEREF _Toc395868810 \h </w:instrText>
      </w:r>
      <w:r w:rsidRPr="008D0B3B">
        <w:rPr>
          <w:caps/>
          <w:noProof/>
        </w:rPr>
      </w:r>
      <w:r w:rsidRPr="008D0B3B">
        <w:rPr>
          <w:caps/>
          <w:noProof/>
        </w:rPr>
        <w:fldChar w:fldCharType="separate"/>
      </w:r>
      <w:r w:rsidR="00CB70B4">
        <w:rPr>
          <w:caps/>
          <w:noProof/>
        </w:rPr>
        <w:t>28</w:t>
      </w:r>
      <w:r w:rsidRPr="008D0B3B">
        <w:rPr>
          <w:caps/>
          <w:noProof/>
        </w:rPr>
        <w:fldChar w:fldCharType="end"/>
      </w:r>
    </w:p>
    <w:p w:rsidR="008D0B3B" w:rsidRDefault="008D0B3B" w:rsidP="008D0B3B">
      <w:pPr>
        <w:pStyle w:val="TOC1"/>
        <w:spacing w:after="240" w:line="240" w:lineRule="auto"/>
        <w:rPr>
          <w:rFonts w:asciiTheme="minorHAnsi" w:eastAsiaTheme="minorEastAsia" w:hAnsiTheme="minorHAnsi"/>
          <w:noProof/>
          <w:sz w:val="22"/>
          <w:szCs w:val="22"/>
        </w:rPr>
      </w:pPr>
      <w:r w:rsidRPr="008D0B3B">
        <w:rPr>
          <w:caps/>
          <w:noProof/>
          <w:color w:val="010000"/>
        </w:rPr>
        <w:t>VII.</w:t>
      </w:r>
      <w:r w:rsidRPr="008D0B3B">
        <w:rPr>
          <w:rFonts w:asciiTheme="minorHAnsi" w:eastAsiaTheme="minorEastAsia" w:hAnsiTheme="minorHAnsi"/>
          <w:caps/>
          <w:noProof/>
          <w:sz w:val="22"/>
          <w:szCs w:val="22"/>
        </w:rPr>
        <w:tab/>
      </w:r>
      <w:r w:rsidRPr="008D0B3B">
        <w:rPr>
          <w:caps/>
          <w:noProof/>
        </w:rPr>
        <w:t>The proposed ESP is not more favorable in the aggregate than an MRO</w:t>
      </w:r>
      <w:r>
        <w:rPr>
          <w:noProof/>
        </w:rPr>
        <w:tab/>
      </w:r>
      <w:r>
        <w:rPr>
          <w:noProof/>
        </w:rPr>
        <w:fldChar w:fldCharType="begin"/>
      </w:r>
      <w:r>
        <w:rPr>
          <w:noProof/>
        </w:rPr>
        <w:instrText xml:space="preserve"> PAGEREF _Toc395868811 \h </w:instrText>
      </w:r>
      <w:r>
        <w:rPr>
          <w:noProof/>
        </w:rPr>
      </w:r>
      <w:r>
        <w:rPr>
          <w:noProof/>
        </w:rPr>
        <w:fldChar w:fldCharType="separate"/>
      </w:r>
      <w:r w:rsidR="00CB70B4">
        <w:rPr>
          <w:noProof/>
        </w:rPr>
        <w:t>30</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A.</w:t>
      </w:r>
      <w:r>
        <w:rPr>
          <w:rFonts w:asciiTheme="minorHAnsi" w:eastAsiaTheme="minorEastAsia" w:hAnsiTheme="minorHAnsi"/>
          <w:noProof/>
          <w:sz w:val="22"/>
          <w:szCs w:val="22"/>
        </w:rPr>
        <w:tab/>
      </w:r>
      <w:r>
        <w:rPr>
          <w:noProof/>
        </w:rPr>
        <w:t>The proposed ESP is not more favorable quantifiably than an MRO</w:t>
      </w:r>
      <w:r>
        <w:rPr>
          <w:noProof/>
        </w:rPr>
        <w:tab/>
      </w:r>
      <w:r>
        <w:rPr>
          <w:noProof/>
        </w:rPr>
        <w:fldChar w:fldCharType="begin"/>
      </w:r>
      <w:r>
        <w:rPr>
          <w:noProof/>
        </w:rPr>
        <w:instrText xml:space="preserve"> PAGEREF _Toc395868812 \h </w:instrText>
      </w:r>
      <w:r>
        <w:rPr>
          <w:noProof/>
        </w:rPr>
      </w:r>
      <w:r>
        <w:rPr>
          <w:noProof/>
        </w:rPr>
        <w:fldChar w:fldCharType="separate"/>
      </w:r>
      <w:r w:rsidR="00CB70B4">
        <w:rPr>
          <w:noProof/>
        </w:rPr>
        <w:t>31</w:t>
      </w:r>
      <w:r>
        <w:rPr>
          <w:noProof/>
        </w:rPr>
        <w:fldChar w:fldCharType="end"/>
      </w:r>
    </w:p>
    <w:p w:rsidR="008D0B3B" w:rsidRDefault="008D0B3B" w:rsidP="008D0B3B">
      <w:pPr>
        <w:pStyle w:val="TOC2"/>
        <w:tabs>
          <w:tab w:val="left" w:pos="1440"/>
        </w:tabs>
        <w:spacing w:after="240" w:line="240" w:lineRule="auto"/>
        <w:rPr>
          <w:rFonts w:asciiTheme="minorHAnsi" w:eastAsiaTheme="minorEastAsia" w:hAnsiTheme="minorHAnsi"/>
          <w:noProof/>
          <w:sz w:val="22"/>
          <w:szCs w:val="22"/>
        </w:rPr>
      </w:pPr>
      <w:r w:rsidRPr="00A320C7">
        <w:rPr>
          <w:noProof/>
          <w:color w:val="010000"/>
        </w:rPr>
        <w:t>B.</w:t>
      </w:r>
      <w:r>
        <w:rPr>
          <w:rFonts w:asciiTheme="minorHAnsi" w:eastAsiaTheme="minorEastAsia" w:hAnsiTheme="minorHAnsi"/>
          <w:noProof/>
          <w:sz w:val="22"/>
          <w:szCs w:val="22"/>
        </w:rPr>
        <w:tab/>
      </w:r>
      <w:r>
        <w:rPr>
          <w:noProof/>
        </w:rPr>
        <w:t>The proposed ESP does not provide non-quantifiable benefits to customers</w:t>
      </w:r>
      <w:r>
        <w:rPr>
          <w:noProof/>
        </w:rPr>
        <w:tab/>
      </w:r>
      <w:r>
        <w:rPr>
          <w:noProof/>
        </w:rPr>
        <w:fldChar w:fldCharType="begin"/>
      </w:r>
      <w:r>
        <w:rPr>
          <w:noProof/>
        </w:rPr>
        <w:instrText xml:space="preserve"> PAGEREF _Toc395868813 \h </w:instrText>
      </w:r>
      <w:r>
        <w:rPr>
          <w:noProof/>
        </w:rPr>
      </w:r>
      <w:r>
        <w:rPr>
          <w:noProof/>
        </w:rPr>
        <w:fldChar w:fldCharType="separate"/>
      </w:r>
      <w:r w:rsidR="00CB70B4">
        <w:rPr>
          <w:noProof/>
        </w:rPr>
        <w:t>33</w:t>
      </w:r>
      <w:r>
        <w:rPr>
          <w:noProof/>
        </w:rPr>
        <w:fldChar w:fldCharType="end"/>
      </w:r>
    </w:p>
    <w:p w:rsidR="008D0B3B" w:rsidRDefault="008D0B3B" w:rsidP="008D0B3B">
      <w:pPr>
        <w:pStyle w:val="TOC1"/>
        <w:spacing w:after="240" w:line="240" w:lineRule="auto"/>
        <w:rPr>
          <w:rFonts w:asciiTheme="minorHAnsi" w:eastAsiaTheme="minorEastAsia" w:hAnsiTheme="minorHAnsi"/>
          <w:noProof/>
          <w:sz w:val="22"/>
          <w:szCs w:val="22"/>
        </w:rPr>
      </w:pPr>
      <w:r w:rsidRPr="008D0B3B">
        <w:rPr>
          <w:caps/>
          <w:noProof/>
          <w:color w:val="010000"/>
        </w:rPr>
        <w:t>VIII.</w:t>
      </w:r>
      <w:r w:rsidRPr="008D0B3B">
        <w:rPr>
          <w:rFonts w:asciiTheme="minorHAnsi" w:eastAsiaTheme="minorEastAsia" w:hAnsiTheme="minorHAnsi"/>
          <w:caps/>
          <w:noProof/>
          <w:sz w:val="22"/>
          <w:szCs w:val="22"/>
        </w:rPr>
        <w:tab/>
      </w:r>
      <w:r w:rsidRPr="008D0B3B">
        <w:rPr>
          <w:caps/>
          <w:noProof/>
        </w:rPr>
        <w:t>Conclusion</w:t>
      </w:r>
      <w:r>
        <w:rPr>
          <w:noProof/>
        </w:rPr>
        <w:tab/>
      </w:r>
      <w:r>
        <w:rPr>
          <w:noProof/>
        </w:rPr>
        <w:fldChar w:fldCharType="begin"/>
      </w:r>
      <w:r>
        <w:rPr>
          <w:noProof/>
        </w:rPr>
        <w:instrText xml:space="preserve"> PAGEREF _Toc395868814 \h </w:instrText>
      </w:r>
      <w:r>
        <w:rPr>
          <w:noProof/>
        </w:rPr>
      </w:r>
      <w:r>
        <w:rPr>
          <w:noProof/>
        </w:rPr>
        <w:fldChar w:fldCharType="separate"/>
      </w:r>
      <w:r w:rsidR="00CB70B4">
        <w:rPr>
          <w:noProof/>
        </w:rPr>
        <w:t>38</w:t>
      </w:r>
      <w:r>
        <w:rPr>
          <w:noProof/>
        </w:rPr>
        <w:fldChar w:fldCharType="end"/>
      </w:r>
    </w:p>
    <w:bookmarkEnd w:id="1"/>
    <w:p w:rsidR="007549FA" w:rsidRDefault="008D0B3B" w:rsidP="008D0B3B">
      <w:pPr>
        <w:spacing w:after="240" w:line="240" w:lineRule="auto"/>
        <w:rPr>
          <w:noProof/>
        </w:rPr>
      </w:pPr>
      <w:r>
        <w:rPr>
          <w:noProof/>
        </w:rPr>
        <w:fldChar w:fldCharType="end"/>
      </w:r>
    </w:p>
    <w:p w:rsidR="007549FA" w:rsidRDefault="007549FA" w:rsidP="007549FA">
      <w:pPr>
        <w:rPr>
          <w:noProof/>
        </w:rPr>
      </w:pPr>
    </w:p>
    <w:p w:rsidR="00BC155B" w:rsidRDefault="00BC155B" w:rsidP="000F1B57">
      <w:pPr>
        <w:sectPr w:rsidR="00BC155B" w:rsidSect="0030238E">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rsidR="000F1B57" w:rsidRPr="0030238E" w:rsidRDefault="0030238E" w:rsidP="0030238E">
      <w:pPr>
        <w:spacing w:after="0" w:line="240" w:lineRule="auto"/>
        <w:jc w:val="center"/>
        <w:rPr>
          <w:b/>
          <w:smallCaps/>
          <w:sz w:val="28"/>
          <w:szCs w:val="28"/>
        </w:rPr>
      </w:pPr>
      <w:r w:rsidRPr="0030238E">
        <w:rPr>
          <w:b/>
          <w:smallCaps/>
          <w:sz w:val="28"/>
          <w:szCs w:val="28"/>
        </w:rPr>
        <w:lastRenderedPageBreak/>
        <w:t>Before</w:t>
      </w:r>
    </w:p>
    <w:p w:rsidR="000F1B57" w:rsidRPr="00511CD1" w:rsidRDefault="000F1B57" w:rsidP="000F1B57">
      <w:pPr>
        <w:spacing w:after="0" w:line="240" w:lineRule="auto"/>
        <w:jc w:val="center"/>
        <w:rPr>
          <w:rFonts w:eastAsia="Times New Roman" w:cs="Arial"/>
          <w:smallCaps/>
          <w:sz w:val="28"/>
        </w:rPr>
      </w:pPr>
      <w:r w:rsidRPr="00511CD1">
        <w:rPr>
          <w:rFonts w:eastAsia="Times New Roman" w:cs="Arial"/>
          <w:b/>
          <w:smallCaps/>
          <w:sz w:val="28"/>
        </w:rPr>
        <w:t>The Public Utilities Commission of Ohio</w:t>
      </w:r>
    </w:p>
    <w:p w:rsidR="000F1B57" w:rsidRPr="00511CD1" w:rsidRDefault="000F1B57" w:rsidP="000F1B57">
      <w:pPr>
        <w:spacing w:after="0" w:line="240" w:lineRule="auto"/>
        <w:jc w:val="left"/>
        <w:rPr>
          <w:rFonts w:eastAsia="Times New Roman" w:cs="Arial"/>
        </w:rPr>
      </w:pP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 xml:space="preserve">In the Matter of the Application of </w:t>
      </w:r>
      <w:r w:rsidRPr="00511CD1">
        <w:rPr>
          <w:rFonts w:eastAsia="Times New Roman" w:cs="Arial"/>
        </w:rPr>
        <w:tab/>
        <w:t>)</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Ohio Power Company for Authority to</w:t>
      </w:r>
      <w:r w:rsidRPr="00511CD1">
        <w:rPr>
          <w:rFonts w:eastAsia="Times New Roman" w:cs="Arial"/>
        </w:rPr>
        <w:tab/>
        <w:t>)</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Establish a Standard Service Offer</w:t>
      </w:r>
      <w:r w:rsidRPr="00511CD1">
        <w:rPr>
          <w:rFonts w:eastAsia="Times New Roman" w:cs="Arial"/>
        </w:rPr>
        <w:tab/>
        <w:t xml:space="preserve">) </w:t>
      </w:r>
      <w:r w:rsidRPr="00511CD1">
        <w:rPr>
          <w:rFonts w:eastAsia="Times New Roman" w:cs="Arial"/>
        </w:rPr>
        <w:tab/>
        <w:t>Case No. 13-2385-EL-SSO</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Pursuant to §4928.143, Revised Code,</w:t>
      </w:r>
      <w:r w:rsidRPr="00511CD1">
        <w:rPr>
          <w:rFonts w:eastAsia="Times New Roman" w:cs="Arial"/>
        </w:rPr>
        <w:tab/>
        <w:t>)</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in the Form of an Electric Security Plan.</w:t>
      </w:r>
      <w:r w:rsidRPr="00511CD1">
        <w:rPr>
          <w:rFonts w:eastAsia="Times New Roman" w:cs="Arial"/>
        </w:rPr>
        <w:tab/>
        <w:t>)</w:t>
      </w:r>
    </w:p>
    <w:p w:rsidR="000F1B57" w:rsidRPr="00511CD1" w:rsidRDefault="000F1B57" w:rsidP="000F1B57">
      <w:pPr>
        <w:tabs>
          <w:tab w:val="left" w:pos="4680"/>
        </w:tabs>
        <w:spacing w:after="0" w:line="240" w:lineRule="auto"/>
        <w:rPr>
          <w:rFonts w:eastAsia="Times New Roman" w:cs="Arial"/>
        </w:rPr>
      </w:pP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In the Matter of the Application of</w:t>
      </w:r>
      <w:r w:rsidRPr="00511CD1">
        <w:rPr>
          <w:rFonts w:eastAsia="Times New Roman" w:cs="Arial"/>
        </w:rPr>
        <w:tab/>
        <w:t>)</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Ohio Power Company for Approval of</w:t>
      </w:r>
      <w:r w:rsidRPr="00511CD1">
        <w:rPr>
          <w:rFonts w:eastAsia="Times New Roman" w:cs="Arial"/>
        </w:rPr>
        <w:tab/>
        <w:t>)</w:t>
      </w:r>
      <w:r w:rsidRPr="00511CD1">
        <w:rPr>
          <w:rFonts w:eastAsia="Times New Roman" w:cs="Arial"/>
        </w:rPr>
        <w:tab/>
        <w:t>Case No. 13-2386-EL-AAM</w:t>
      </w:r>
    </w:p>
    <w:p w:rsidR="000F1B57" w:rsidRPr="00511CD1" w:rsidRDefault="000F1B57" w:rsidP="000F1B57">
      <w:pPr>
        <w:tabs>
          <w:tab w:val="left" w:pos="4680"/>
        </w:tabs>
        <w:spacing w:after="0" w:line="240" w:lineRule="auto"/>
        <w:rPr>
          <w:rFonts w:eastAsia="Times New Roman" w:cs="Arial"/>
        </w:rPr>
      </w:pPr>
      <w:r w:rsidRPr="00511CD1">
        <w:rPr>
          <w:rFonts w:eastAsia="Times New Roman" w:cs="Arial"/>
        </w:rPr>
        <w:t>Certain Accounting Authority.</w:t>
      </w:r>
      <w:r w:rsidRPr="00511CD1">
        <w:rPr>
          <w:rFonts w:eastAsia="Times New Roman" w:cs="Arial"/>
        </w:rPr>
        <w:tab/>
        <w:t>)</w:t>
      </w:r>
    </w:p>
    <w:p w:rsidR="000F1B57" w:rsidRPr="00511CD1" w:rsidRDefault="000F1B57" w:rsidP="000F1B57">
      <w:pPr>
        <w:spacing w:after="0" w:line="240" w:lineRule="auto"/>
        <w:ind w:firstLine="720"/>
      </w:pPr>
    </w:p>
    <w:p w:rsidR="000F1B57" w:rsidRPr="00511CD1" w:rsidRDefault="000F1B57" w:rsidP="000F1B57">
      <w:pPr>
        <w:spacing w:after="240" w:line="240" w:lineRule="auto"/>
        <w:jc w:val="center"/>
        <w:rPr>
          <w:b/>
        </w:rPr>
      </w:pPr>
      <w:r w:rsidRPr="00511CD1">
        <w:rPr>
          <w:b/>
        </w:rPr>
        <w:t>______________________________________________________________________</w:t>
      </w:r>
    </w:p>
    <w:p w:rsidR="000F1B57" w:rsidRPr="00511CD1" w:rsidRDefault="000F1B57" w:rsidP="000F1B57">
      <w:pPr>
        <w:spacing w:after="0" w:line="240" w:lineRule="auto"/>
        <w:jc w:val="center"/>
        <w:rPr>
          <w:b/>
        </w:rPr>
      </w:pPr>
      <w:r>
        <w:rPr>
          <w:b/>
        </w:rPr>
        <w:t>REPLY</w:t>
      </w:r>
      <w:r w:rsidRPr="00511CD1">
        <w:rPr>
          <w:b/>
        </w:rPr>
        <w:t xml:space="preserve"> BRIEF OF INDUSTRIAL ENERGY USERS-OHIO</w:t>
      </w:r>
    </w:p>
    <w:p w:rsidR="000F1B57" w:rsidRPr="00511CD1" w:rsidRDefault="000F1B57" w:rsidP="000F1B57">
      <w:pPr>
        <w:spacing w:after="0" w:line="240" w:lineRule="auto"/>
        <w:jc w:val="center"/>
        <w:rPr>
          <w:b/>
        </w:rPr>
      </w:pPr>
      <w:r w:rsidRPr="00511CD1">
        <w:rPr>
          <w:b/>
        </w:rPr>
        <w:t>______________________________________________________________________</w:t>
      </w:r>
    </w:p>
    <w:p w:rsidR="00511CD1" w:rsidRDefault="00511CD1">
      <w:pPr>
        <w:spacing w:after="0"/>
        <w:rPr>
          <w:b/>
        </w:rPr>
      </w:pPr>
    </w:p>
    <w:p w:rsidR="008E3BF4" w:rsidRPr="00C245A3" w:rsidRDefault="00092CF6" w:rsidP="003E617E">
      <w:pPr>
        <w:pStyle w:val="Heading1"/>
      </w:pPr>
      <w:bookmarkStart w:id="2" w:name="_Toc395521657"/>
      <w:bookmarkStart w:id="3" w:name="_Toc395706871"/>
      <w:bookmarkStart w:id="4" w:name="_Toc395791166"/>
      <w:bookmarkStart w:id="5" w:name="_Toc395868793"/>
      <w:r w:rsidRPr="00C245A3">
        <w:t>Introduction</w:t>
      </w:r>
      <w:bookmarkEnd w:id="2"/>
      <w:bookmarkEnd w:id="3"/>
      <w:bookmarkEnd w:id="4"/>
      <w:bookmarkEnd w:id="5"/>
    </w:p>
    <w:p w:rsidR="00BE46AE" w:rsidRDefault="00092CF6" w:rsidP="00687C0F">
      <w:r w:rsidRPr="00876A53">
        <w:tab/>
        <w:t>In</w:t>
      </w:r>
      <w:r w:rsidR="007145DF">
        <w:t xml:space="preserve"> this </w:t>
      </w:r>
      <w:r w:rsidR="007C2FF7">
        <w:t>proceeding</w:t>
      </w:r>
      <w:r w:rsidR="007C2FF7" w:rsidRPr="00876A53">
        <w:t>, Ohio</w:t>
      </w:r>
      <w:r w:rsidRPr="00876A53">
        <w:t xml:space="preserve"> Power Company (“AEP-Ohio”) seeks authorization of an Electric Security Plan (“ESP” or “proposed ESP” as appropriate) for the period of June 1, 2015 to May 31, 2018.</w:t>
      </w:r>
      <w:r w:rsidRPr="00876A53">
        <w:rPr>
          <w:rStyle w:val="FootnoteReference"/>
        </w:rPr>
        <w:footnoteReference w:id="1"/>
      </w:r>
      <w:r w:rsidRPr="00876A53">
        <w:t xml:space="preserve">  </w:t>
      </w:r>
      <w:r>
        <w:t xml:space="preserve">As the initial briefs of the parties </w:t>
      </w:r>
      <w:r w:rsidR="007145DF">
        <w:t>demonstrate</w:t>
      </w:r>
      <w:r>
        <w:t>, t</w:t>
      </w:r>
      <w:r w:rsidRPr="00876A53">
        <w:t xml:space="preserve">he most significant </w:t>
      </w:r>
      <w:r w:rsidR="007145DF">
        <w:t xml:space="preserve">contested </w:t>
      </w:r>
      <w:r w:rsidR="00BE46AE">
        <w:t xml:space="preserve">issue </w:t>
      </w:r>
      <w:r w:rsidR="007145DF">
        <w:t xml:space="preserve">in this proceeding is </w:t>
      </w:r>
      <w:r w:rsidR="00BE46AE">
        <w:t xml:space="preserve">AEP-Ohio’s </w:t>
      </w:r>
      <w:r w:rsidR="007145DF">
        <w:t xml:space="preserve">request that the Public Utilities Commission of Ohio (“Commission”) authorize the </w:t>
      </w:r>
      <w:r w:rsidR="00BE46AE">
        <w:t>proposed</w:t>
      </w:r>
      <w:r w:rsidRPr="00876A53">
        <w:t xml:space="preserve"> Power Purchase Agreement Rider (“PPAR</w:t>
      </w:r>
      <w:r w:rsidR="004F67D6">
        <w:t>”</w:t>
      </w:r>
      <w:r>
        <w:t>).</w:t>
      </w:r>
      <w:r w:rsidRPr="00876A53">
        <w:t xml:space="preserve">  </w:t>
      </w:r>
      <w:r w:rsidR="007145DF">
        <w:t xml:space="preserve">AEP-Ohio </w:t>
      </w:r>
      <w:r w:rsidR="00BE46AE" w:rsidRPr="00876A53">
        <w:t>also proposes to classify some transmission costs as non-market</w:t>
      </w:r>
      <w:r w:rsidR="00593AE1">
        <w:t xml:space="preserve"> </w:t>
      </w:r>
      <w:r w:rsidR="00BE46AE" w:rsidRPr="00876A53">
        <w:t>based and collect these costs from retail customers through a nonbypassable Basic Transmission Cost Rider (“BTCR”).</w:t>
      </w:r>
      <w:r w:rsidR="00BE46AE" w:rsidRPr="00876A53">
        <w:rPr>
          <w:rStyle w:val="FootnoteReference"/>
        </w:rPr>
        <w:footnoteReference w:id="2"/>
      </w:r>
      <w:r w:rsidR="00BE46AE" w:rsidRPr="00876A53">
        <w:t xml:space="preserve">  Additionally, AEP-Ohio proposes a Purchase of Receivables (“POR”) program that includes a nonbypassable </w:t>
      </w:r>
      <w:r w:rsidR="00BE46AE" w:rsidRPr="00876A53">
        <w:lastRenderedPageBreak/>
        <w:t>Bad Debt Rider (“BDR”) to socialize the incremental bad debt costs in excess of amounts currently collected in distribution rates.</w:t>
      </w:r>
      <w:r w:rsidR="00BE46AE" w:rsidRPr="00876A53">
        <w:rPr>
          <w:rStyle w:val="FootnoteReference"/>
        </w:rPr>
        <w:footnoteReference w:id="3"/>
      </w:r>
      <w:r w:rsidR="00BE46AE" w:rsidRPr="00876A53">
        <w:t xml:space="preserve">  </w:t>
      </w:r>
    </w:p>
    <w:p w:rsidR="00B42425" w:rsidRDefault="00BE46AE" w:rsidP="003E617E">
      <w:pPr>
        <w:ind w:firstLine="720"/>
      </w:pPr>
      <w:r>
        <w:t xml:space="preserve">In its initial brief, AEP-Ohio </w:t>
      </w:r>
      <w:r w:rsidR="007145DF">
        <w:t xml:space="preserve">argues </w:t>
      </w:r>
      <w:r>
        <w:t>the PPAR</w:t>
      </w:r>
      <w:r w:rsidR="00EC271C">
        <w:t xml:space="preserve"> as</w:t>
      </w:r>
      <w:r>
        <w:t xml:space="preserve"> proposed </w:t>
      </w:r>
      <w:r w:rsidR="00EC271C">
        <w:t>is</w:t>
      </w:r>
      <w:r>
        <w:t xml:space="preserve"> lawful and reasonable.  No </w:t>
      </w:r>
      <w:r w:rsidR="007145DF">
        <w:t xml:space="preserve">other </w:t>
      </w:r>
      <w:r>
        <w:t xml:space="preserve">party supports the PPAR as proposed, and all but one recommend that the Commission refuse to authorize it in any form.  </w:t>
      </w:r>
      <w:r w:rsidR="005735ED">
        <w:t xml:space="preserve">Because </w:t>
      </w:r>
      <w:r w:rsidR="00D122C9">
        <w:t>authorization of the PPAR</w:t>
      </w:r>
      <w:r w:rsidR="005735ED">
        <w:t xml:space="preserve"> would violate Ohio and federal law and result in </w:t>
      </w:r>
      <w:r w:rsidR="00110177">
        <w:t xml:space="preserve">a </w:t>
      </w:r>
      <w:r w:rsidR="005735ED">
        <w:t>substantial shift of generation-related costs from AEP-Ohio to customers, t</w:t>
      </w:r>
      <w:r w:rsidR="00EC271C">
        <w:t xml:space="preserve">he Commission </w:t>
      </w:r>
      <w:r w:rsidR="00110177">
        <w:t>should</w:t>
      </w:r>
      <w:r w:rsidR="007145DF">
        <w:t xml:space="preserve"> </w:t>
      </w:r>
      <w:r w:rsidR="00EC271C">
        <w:t>not</w:t>
      </w:r>
      <w:r>
        <w:t xml:space="preserve"> </w:t>
      </w:r>
      <w:r w:rsidR="00EC271C">
        <w:t xml:space="preserve">authorize </w:t>
      </w:r>
      <w:r w:rsidR="00D122C9">
        <w:t>it</w:t>
      </w:r>
      <w:r w:rsidR="007145DF">
        <w:t>.</w:t>
      </w:r>
      <w:r>
        <w:t xml:space="preserve"> </w:t>
      </w:r>
    </w:p>
    <w:p w:rsidR="00092CF6" w:rsidRDefault="00BE46AE" w:rsidP="003E617E">
      <w:pPr>
        <w:ind w:firstLine="720"/>
      </w:pPr>
      <w:r>
        <w:t xml:space="preserve">In contrast to the overwhelming lack of support for the illegal and unreasonable PPAR, the parties offer varying </w:t>
      </w:r>
      <w:r w:rsidR="00110177">
        <w:t xml:space="preserve">amounts </w:t>
      </w:r>
      <w:r>
        <w:t>of support for the BTCR and POR program.</w:t>
      </w:r>
      <w:r w:rsidRPr="00BE46AE">
        <w:t xml:space="preserve"> </w:t>
      </w:r>
      <w:r w:rsidR="00B42425">
        <w:t xml:space="preserve"> As discussed below, the Commission should not authorize either as proposed because AEP-Ohio has failed to demonstrate that they are reasonable.</w:t>
      </w:r>
    </w:p>
    <w:p w:rsidR="005735ED" w:rsidRDefault="005735ED" w:rsidP="00B42425">
      <w:pPr>
        <w:ind w:firstLine="720"/>
      </w:pPr>
      <w:r>
        <w:t>AEP-Ohio</w:t>
      </w:r>
      <w:r w:rsidR="00BE46AE">
        <w:t xml:space="preserve"> also claims that the </w:t>
      </w:r>
      <w:r>
        <w:t xml:space="preserve">proposed </w:t>
      </w:r>
      <w:r w:rsidR="00BE46AE">
        <w:t>ESP</w:t>
      </w:r>
      <w:r w:rsidR="004F67D6">
        <w:t>,</w:t>
      </w:r>
      <w:r w:rsidR="00BE46AE">
        <w:t xml:space="preserve"> </w:t>
      </w:r>
      <w:r w:rsidR="00BE46AE" w:rsidRPr="00092CF6">
        <w:t xml:space="preserve">including its pricing and all other terms and conditions, including any deferrals and any future recovery of deferrals, is more favorable in the aggregate as compared to the expected results that would otherwise apply under section </w:t>
      </w:r>
      <w:r w:rsidR="00BE46AE">
        <w:t>R.</w:t>
      </w:r>
      <w:r w:rsidR="00B42425">
        <w:t>C. 4928.142 (“ESP v. MRO Test”).</w:t>
      </w:r>
      <w:r w:rsidR="00BE46AE">
        <w:rPr>
          <w:rStyle w:val="FootnoteReference"/>
        </w:rPr>
        <w:footnoteReference w:id="4"/>
      </w:r>
      <w:r w:rsidR="00BE46AE">
        <w:t xml:space="preserve">  </w:t>
      </w:r>
      <w:r w:rsidR="00B42425">
        <w:t xml:space="preserve">Although AEP-Ohio apparently now </w:t>
      </w:r>
      <w:r w:rsidR="007C2FF7">
        <w:t>concedes that</w:t>
      </w:r>
      <w:r w:rsidR="00B42425">
        <w:t xml:space="preserve"> the Commission must assign a value to the PPAR as part of the ESP v. MRO Test as Industrial Energy Users-Ohio (“IEU-Ohio”) demonstrated in its initial brief,</w:t>
      </w:r>
      <w:r>
        <w:rPr>
          <w:rStyle w:val="FootnoteReference"/>
        </w:rPr>
        <w:footnoteReference w:id="5"/>
      </w:r>
      <w:r w:rsidR="00B42425">
        <w:t xml:space="preserve"> AEP-Ohio has treated the PPAR as a </w:t>
      </w:r>
      <w:r w:rsidR="007145DF">
        <w:t xml:space="preserve">benefit of the </w:t>
      </w:r>
      <w:r w:rsidR="007145DF">
        <w:lastRenderedPageBreak/>
        <w:t xml:space="preserve">ESP </w:t>
      </w:r>
      <w:r w:rsidR="00B42425">
        <w:t>when the record does not support that conclusion.</w:t>
      </w:r>
      <w:r>
        <w:rPr>
          <w:rStyle w:val="FootnoteReference"/>
        </w:rPr>
        <w:footnoteReference w:id="6"/>
      </w:r>
      <w:r w:rsidR="00B42425">
        <w:t xml:space="preserve">  </w:t>
      </w:r>
      <w:r w:rsidR="00BE46AE">
        <w:t xml:space="preserve">When </w:t>
      </w:r>
      <w:r w:rsidR="009932B9">
        <w:t>all costs</w:t>
      </w:r>
      <w:r w:rsidR="00BE46AE">
        <w:t xml:space="preserve"> </w:t>
      </w:r>
      <w:r w:rsidR="009932B9">
        <w:t>of the proposed ESP are accounted from, it</w:t>
      </w:r>
      <w:r w:rsidR="00BE46AE">
        <w:t xml:space="preserve"> fails the ESP v. MRO Test.</w:t>
      </w:r>
      <w:r w:rsidR="003E617E">
        <w:t xml:space="preserve">  </w:t>
      </w:r>
    </w:p>
    <w:p w:rsidR="003E617E" w:rsidRDefault="005735ED" w:rsidP="00B42425">
      <w:pPr>
        <w:ind w:firstLine="720"/>
      </w:pPr>
      <w:r>
        <w:t xml:space="preserve">Because the proposed ESP contains several unlawful and unreasonable riders and does not pass the ESP v. MRO Test, the Commission may not approve it.  </w:t>
      </w:r>
      <w:r w:rsidR="003E617E">
        <w:t>To ensure that the ESP complies with Ohio law, including its pro-competitive policies</w:t>
      </w:r>
      <w:r w:rsidR="00D05177">
        <w:t>,</w:t>
      </w:r>
      <w:r w:rsidR="003E617E">
        <w:t xml:space="preserve"> the Commission </w:t>
      </w:r>
      <w:r w:rsidR="00D05177">
        <w:t xml:space="preserve">must modify the proposed </w:t>
      </w:r>
      <w:r w:rsidR="00B42425">
        <w:t xml:space="preserve">ESP </w:t>
      </w:r>
      <w:r w:rsidR="00D05177">
        <w:t>by removing the unlawful and unreasonable riders, particularly the PPAR.</w:t>
      </w:r>
      <w:r w:rsidR="002C661C">
        <w:rPr>
          <w:rStyle w:val="FootnoteReference"/>
        </w:rPr>
        <w:footnoteReference w:id="7"/>
      </w:r>
    </w:p>
    <w:p w:rsidR="00C245A3" w:rsidRPr="00C245A3" w:rsidRDefault="00C245A3" w:rsidP="003E617E">
      <w:pPr>
        <w:pStyle w:val="Heading1"/>
      </w:pPr>
      <w:bookmarkStart w:id="6" w:name="_Toc393878359"/>
      <w:bookmarkStart w:id="7" w:name="_Toc393524898"/>
      <w:bookmarkStart w:id="8" w:name="_Toc392930686"/>
      <w:bookmarkStart w:id="9" w:name="_Toc392930595"/>
      <w:bookmarkStart w:id="10" w:name="_Toc395521658"/>
      <w:bookmarkStart w:id="11" w:name="_Toc395706872"/>
      <w:bookmarkStart w:id="12" w:name="_Toc395791167"/>
      <w:bookmarkStart w:id="13" w:name="_Toc395868794"/>
      <w:r w:rsidRPr="00C245A3">
        <w:t xml:space="preserve">The Commission </w:t>
      </w:r>
      <w:r w:rsidR="002F7FE6">
        <w:t>should not authorize</w:t>
      </w:r>
      <w:r w:rsidRPr="00C245A3">
        <w:t xml:space="preserve"> the PPAR</w:t>
      </w:r>
      <w:bookmarkEnd w:id="6"/>
      <w:bookmarkEnd w:id="7"/>
      <w:bookmarkEnd w:id="8"/>
      <w:bookmarkEnd w:id="9"/>
      <w:bookmarkEnd w:id="10"/>
      <w:bookmarkEnd w:id="11"/>
      <w:bookmarkEnd w:id="12"/>
      <w:bookmarkEnd w:id="13"/>
    </w:p>
    <w:p w:rsidR="00092CF6" w:rsidRDefault="00092CF6" w:rsidP="00C245A3">
      <w:pPr>
        <w:ind w:firstLine="720"/>
      </w:pPr>
      <w:r>
        <w:t>Through the PPAR, AEP-Ohio seeks to guarantee that it will recover the cost of its contractual obligations to the Ohio Valley Electric Corporation (“OVEC”) under the Inter-Company Purchase Agreement</w:t>
      </w:r>
      <w:r w:rsidR="007145DF">
        <w:t xml:space="preserve"> (“ICPA”)</w:t>
      </w:r>
      <w:r w:rsidR="00C97B84">
        <w:t>.</w:t>
      </w:r>
      <w:r w:rsidR="008C426A">
        <w:rPr>
          <w:rStyle w:val="FootnoteReference"/>
        </w:rPr>
        <w:footnoteReference w:id="8"/>
      </w:r>
      <w:r w:rsidR="00C97B84">
        <w:t xml:space="preserve">  </w:t>
      </w:r>
      <w:r w:rsidR="00B42425">
        <w:t xml:space="preserve">Many pages of the briefs of AEP-Ohio, the </w:t>
      </w:r>
      <w:r w:rsidR="00593AE1">
        <w:t xml:space="preserve">Commission </w:t>
      </w:r>
      <w:r w:rsidR="00B42425">
        <w:t>Staff</w:t>
      </w:r>
      <w:r w:rsidR="00593AE1">
        <w:t xml:space="preserve"> (“Staff”)</w:t>
      </w:r>
      <w:r w:rsidR="00B42425">
        <w:t xml:space="preserve">, and the intervenors are devoted to the </w:t>
      </w:r>
      <w:r w:rsidR="007145DF">
        <w:t xml:space="preserve">expected </w:t>
      </w:r>
      <w:r w:rsidR="00B42425">
        <w:t>cost of the PPAR, but the Commission</w:t>
      </w:r>
      <w:r>
        <w:t xml:space="preserve"> need not </w:t>
      </w:r>
      <w:r w:rsidR="00424E0A">
        <w:t>place</w:t>
      </w:r>
      <w:r>
        <w:t xml:space="preserve"> itself in the intractable </w:t>
      </w:r>
      <w:r w:rsidR="00424E0A">
        <w:t xml:space="preserve">position </w:t>
      </w:r>
      <w:r>
        <w:t xml:space="preserve">of guessing </w:t>
      </w:r>
      <w:r w:rsidR="00C97B84">
        <w:t xml:space="preserve">whether the PPAR would </w:t>
      </w:r>
      <w:r w:rsidR="00424E0A">
        <w:t xml:space="preserve">result in </w:t>
      </w:r>
      <w:r w:rsidR="007145DF">
        <w:t xml:space="preserve">a </w:t>
      </w:r>
      <w:r w:rsidR="00593AE1">
        <w:t>charge</w:t>
      </w:r>
      <w:r w:rsidR="007145DF">
        <w:t xml:space="preserve"> or </w:t>
      </w:r>
      <w:r w:rsidR="00593AE1">
        <w:t xml:space="preserve">credit </w:t>
      </w:r>
      <w:r w:rsidR="007145DF">
        <w:t xml:space="preserve">to retail customers </w:t>
      </w:r>
      <w:r w:rsidR="005735ED">
        <w:t>because n</w:t>
      </w:r>
      <w:r>
        <w:t>o provision of R.C. 4928.143(B) authorizes the PPAR</w:t>
      </w:r>
      <w:r w:rsidR="007C2FF7">
        <w:t>.  Additionally,</w:t>
      </w:r>
      <w:r>
        <w:t xml:space="preserve"> authorization would violate the prohibitions of generation-related subsidies contained in R.C. 4928.02(H) and 4928.17, </w:t>
      </w:r>
      <w:r w:rsidR="005735ED">
        <w:t>and</w:t>
      </w:r>
      <w:r>
        <w:t xml:space="preserve"> the prohibition of </w:t>
      </w:r>
      <w:r w:rsidR="002C661C">
        <w:t xml:space="preserve">the </w:t>
      </w:r>
      <w:r>
        <w:t xml:space="preserve">Commission’s authorization of </w:t>
      </w:r>
      <w:r>
        <w:lastRenderedPageBreak/>
        <w:t>trans</w:t>
      </w:r>
      <w:r w:rsidR="005735ED">
        <w:t xml:space="preserve">ition revenue or its equivalent.  </w:t>
      </w:r>
      <w:r w:rsidR="006974B1">
        <w:t>Further</w:t>
      </w:r>
      <w:r w:rsidR="005735ED">
        <w:t>, a</w:t>
      </w:r>
      <w:r w:rsidR="00424E0A">
        <w:t xml:space="preserve"> </w:t>
      </w:r>
      <w:r w:rsidR="006974B1">
        <w:t>Commission order</w:t>
      </w:r>
      <w:r w:rsidR="005735ED">
        <w:t xml:space="preserve"> approving the PPAR</w:t>
      </w:r>
      <w:r>
        <w:t xml:space="preserve"> would be preempted by the Federal Power Act</w:t>
      </w:r>
      <w:r w:rsidR="00B42425">
        <w:t xml:space="preserve"> </w:t>
      </w:r>
      <w:r>
        <w:t>(“FPA”).</w:t>
      </w:r>
      <w:r w:rsidR="00B42425">
        <w:rPr>
          <w:rStyle w:val="FootnoteReference"/>
        </w:rPr>
        <w:footnoteReference w:id="9"/>
      </w:r>
      <w:r>
        <w:t xml:space="preserve">  </w:t>
      </w:r>
    </w:p>
    <w:p w:rsidR="00092CF6" w:rsidRDefault="00C97B84" w:rsidP="00C245A3">
      <w:pPr>
        <w:ind w:firstLine="720"/>
      </w:pPr>
      <w:r>
        <w:t xml:space="preserve">In its initial brief, </w:t>
      </w:r>
      <w:r w:rsidR="006974B1">
        <w:t>AEP-</w:t>
      </w:r>
      <w:r w:rsidR="00092CF6">
        <w:t xml:space="preserve">Ohio </w:t>
      </w:r>
      <w:r w:rsidR="006974B1">
        <w:t>limits its argument regarding the lawfulness of the PPAR to the claim that four provision of R.C. 4928.143(B)(2) authorize</w:t>
      </w:r>
      <w:r w:rsidR="00092CF6">
        <w:t xml:space="preserve"> </w:t>
      </w:r>
      <w:r w:rsidR="006974B1">
        <w:t xml:space="preserve">it. </w:t>
      </w:r>
      <w:r w:rsidR="0079159A">
        <w:t xml:space="preserve"> </w:t>
      </w:r>
      <w:r w:rsidR="006974B1">
        <w:t xml:space="preserve">These claims are not correct. </w:t>
      </w:r>
      <w:r w:rsidR="00407615">
        <w:t xml:space="preserve"> </w:t>
      </w:r>
      <w:r w:rsidR="006974B1">
        <w:t>Additionally,</w:t>
      </w:r>
      <w:r w:rsidR="00092CF6">
        <w:t xml:space="preserve"> </w:t>
      </w:r>
      <w:r w:rsidR="00110177">
        <w:t xml:space="preserve">ignoring the testimony of AEP-Ohio’s witnesses and the balance of the record, </w:t>
      </w:r>
      <w:r w:rsidR="00424E0A">
        <w:t xml:space="preserve">AEP-Ohio </w:t>
      </w:r>
      <w:r w:rsidR="00110177">
        <w:t xml:space="preserve">incorrectly </w:t>
      </w:r>
      <w:r w:rsidR="00424E0A">
        <w:t xml:space="preserve">claims </w:t>
      </w:r>
      <w:r w:rsidR="006974B1">
        <w:t>that</w:t>
      </w:r>
      <w:r w:rsidR="00092CF6">
        <w:t xml:space="preserve"> the PPAR will </w:t>
      </w:r>
      <w:r w:rsidR="0079159A">
        <w:t>provide benefits</w:t>
      </w:r>
      <w:r w:rsidR="00092CF6">
        <w:t xml:space="preserve"> to customers.  Because AEP-Ohio has failed to demonstrate that the PPAR would be lawful or reasonable, the Commission </w:t>
      </w:r>
      <w:r w:rsidR="00593AE1">
        <w:t xml:space="preserve">should </w:t>
      </w:r>
      <w:r w:rsidR="00092CF6">
        <w:t xml:space="preserve">not authorize it. </w:t>
      </w:r>
    </w:p>
    <w:p w:rsidR="00C97B84" w:rsidRDefault="00C97B84" w:rsidP="00C97B84">
      <w:pPr>
        <w:pStyle w:val="Heading2"/>
      </w:pPr>
      <w:bookmarkStart w:id="14" w:name="_Toc395521659"/>
      <w:bookmarkStart w:id="15" w:name="_Toc395706873"/>
      <w:bookmarkStart w:id="16" w:name="_Toc395791168"/>
      <w:bookmarkStart w:id="17" w:name="_Toc395868795"/>
      <w:r>
        <w:t>The PPAR is not authorized by R.C. 4928.143(B)(2)</w:t>
      </w:r>
      <w:bookmarkEnd w:id="14"/>
      <w:bookmarkEnd w:id="15"/>
      <w:bookmarkEnd w:id="16"/>
      <w:bookmarkEnd w:id="17"/>
    </w:p>
    <w:p w:rsidR="00092CF6" w:rsidRDefault="00092CF6" w:rsidP="00C245A3">
      <w:pPr>
        <w:ind w:firstLine="720"/>
      </w:pPr>
      <w:r>
        <w:t xml:space="preserve">In </w:t>
      </w:r>
      <w:r w:rsidR="008C3231">
        <w:t>its initial brief</w:t>
      </w:r>
      <w:r>
        <w:t xml:space="preserve">, AEP-Ohio argues that the PPAR may be authorized by four divisions of </w:t>
      </w:r>
      <w:r w:rsidR="00B13E9E">
        <w:t xml:space="preserve">R.C. </w:t>
      </w:r>
      <w:r>
        <w:t>4928.143(B).  Initially, AEP-Ohio claims that the Commission can authorize the PPAR under R.C. 4928.143(B)(2)(d)</w:t>
      </w:r>
      <w:r w:rsidR="00593AE1">
        <w:t xml:space="preserve"> because the PPAR </w:t>
      </w:r>
      <w:r>
        <w:t>“relates” to default service and bypassibility and promotes stability and certainty for all customers.</w:t>
      </w:r>
      <w:r>
        <w:rPr>
          <w:rStyle w:val="FootnoteReference"/>
        </w:rPr>
        <w:footnoteReference w:id="10"/>
      </w:r>
      <w:r>
        <w:t xml:space="preserve">  Second, </w:t>
      </w:r>
      <w:r w:rsidR="008C426A">
        <w:t xml:space="preserve">AEP-Ohio argues </w:t>
      </w:r>
      <w:r>
        <w:t xml:space="preserve">the </w:t>
      </w:r>
      <w:r w:rsidR="008C426A">
        <w:t xml:space="preserve">PPAR </w:t>
      </w:r>
      <w:r>
        <w:t>may be authorized under R</w:t>
      </w:r>
      <w:r w:rsidRPr="000F4E1F">
        <w:t>.C. 4928.143(B)(2)(</w:t>
      </w:r>
      <w:r>
        <w:t>a) because that division permits affiliate power agreements.</w:t>
      </w:r>
      <w:r>
        <w:rPr>
          <w:rStyle w:val="FootnoteReference"/>
        </w:rPr>
        <w:footnoteReference w:id="11"/>
      </w:r>
      <w:r>
        <w:t xml:space="preserve">  Third, it argues that R</w:t>
      </w:r>
      <w:r w:rsidRPr="000F4E1F">
        <w:t>.C. 4928.143(B)(2)(</w:t>
      </w:r>
      <w:r>
        <w:t xml:space="preserve">e) </w:t>
      </w:r>
      <w:r w:rsidR="008C426A">
        <w:t xml:space="preserve">may be relied upon to </w:t>
      </w:r>
      <w:r>
        <w:t xml:space="preserve">authorize the </w:t>
      </w:r>
      <w:r w:rsidR="008C426A">
        <w:t xml:space="preserve">PPAR </w:t>
      </w:r>
      <w:r>
        <w:t>because the rider would adjust</w:t>
      </w:r>
      <w:r w:rsidR="003E4F1F">
        <w:t xml:space="preserve"> automatically</w:t>
      </w:r>
      <w:r>
        <w:t>.</w:t>
      </w:r>
      <w:r>
        <w:rPr>
          <w:rStyle w:val="FootnoteReference"/>
        </w:rPr>
        <w:footnoteReference w:id="12"/>
      </w:r>
      <w:r>
        <w:t xml:space="preserve">  Fourth, </w:t>
      </w:r>
      <w:r w:rsidR="008C426A">
        <w:t xml:space="preserve">AEP-Ohio argues </w:t>
      </w:r>
      <w:r>
        <w:t>that R</w:t>
      </w:r>
      <w:r w:rsidRPr="000F4E1F">
        <w:t>.C. 4928.143(B)(2)(</w:t>
      </w:r>
      <w:r>
        <w:t xml:space="preserve">i) would authorize the PPAR because </w:t>
      </w:r>
      <w:r w:rsidR="008C426A">
        <w:t xml:space="preserve">the rider </w:t>
      </w:r>
      <w:r>
        <w:t>relates to economic development.</w:t>
      </w:r>
      <w:r w:rsidR="00593AE1">
        <w:rPr>
          <w:rStyle w:val="FootnoteReference"/>
        </w:rPr>
        <w:footnoteReference w:id="13"/>
      </w:r>
      <w:r>
        <w:t xml:space="preserve">  </w:t>
      </w:r>
      <w:r w:rsidR="008C426A">
        <w:t>AEP-Ohio’s</w:t>
      </w:r>
      <w:r w:rsidR="00110177">
        <w:t xml:space="preserve"> claims that a provision of R.C. 4928.143(B)(2)</w:t>
      </w:r>
      <w:r w:rsidR="008C426A">
        <w:t xml:space="preserve"> </w:t>
      </w:r>
      <w:r w:rsidR="00110177">
        <w:t xml:space="preserve">authorizes the PPAR </w:t>
      </w:r>
      <w:r>
        <w:t>are without merit.</w:t>
      </w:r>
    </w:p>
    <w:p w:rsidR="00092CF6" w:rsidRPr="00C245A3" w:rsidRDefault="00092CF6" w:rsidP="008D451F">
      <w:pPr>
        <w:pStyle w:val="Heading3"/>
      </w:pPr>
      <w:bookmarkStart w:id="18" w:name="_Toc395521660"/>
      <w:bookmarkStart w:id="19" w:name="_Toc395706874"/>
      <w:bookmarkStart w:id="20" w:name="_Toc395791169"/>
      <w:bookmarkStart w:id="21" w:name="_Toc395868796"/>
      <w:r w:rsidRPr="00C245A3">
        <w:lastRenderedPageBreak/>
        <w:t>R.C. 4928.143(B)(2)(d) does not provide a basis for authorizing the PPAR because the rider does not relate to default service or provide certainty or stability regarding retail electric service</w:t>
      </w:r>
      <w:bookmarkEnd w:id="18"/>
      <w:bookmarkEnd w:id="19"/>
      <w:bookmarkEnd w:id="20"/>
      <w:bookmarkEnd w:id="21"/>
    </w:p>
    <w:p w:rsidR="00092CF6" w:rsidRDefault="00092CF6" w:rsidP="00C245A3">
      <w:pPr>
        <w:ind w:firstLine="720"/>
      </w:pPr>
      <w:r w:rsidRPr="00876A53">
        <w:t xml:space="preserve">R.C. 4928.143(B)(2)(d) provides </w:t>
      </w:r>
      <w:r w:rsidR="008C426A">
        <w:t xml:space="preserve">that an ESP may include </w:t>
      </w:r>
      <w:r w:rsidRPr="00876A53">
        <w:t xml:space="preserve">terms, conditions, or charges </w:t>
      </w:r>
      <w:r w:rsidR="00D122C9">
        <w:t xml:space="preserve">related to certain listed items </w:t>
      </w:r>
      <w:r w:rsidRPr="00876A53">
        <w:t xml:space="preserve">that have the effect of stabilizing or providing certainty regarding retail electric service.  </w:t>
      </w:r>
      <w:r>
        <w:t xml:space="preserve">AEP-Ohio rests its argument that the PPAR </w:t>
      </w:r>
      <w:r w:rsidR="008C426A">
        <w:t xml:space="preserve">may be authorized pursuant to R.C. 4928.143(B)(2)(d) on the </w:t>
      </w:r>
      <w:r w:rsidR="003642F8">
        <w:t xml:space="preserve">claim </w:t>
      </w:r>
      <w:r w:rsidR="008C426A">
        <w:t xml:space="preserve">that the PPAR </w:t>
      </w:r>
      <w:r>
        <w:t>relates to default service and bypassability</w:t>
      </w:r>
      <w:r w:rsidR="003E4F1F">
        <w:t>.</w:t>
      </w:r>
      <w:r>
        <w:t xml:space="preserve"> </w:t>
      </w:r>
      <w:r w:rsidR="003E4F1F">
        <w:t xml:space="preserve"> The </w:t>
      </w:r>
      <w:r w:rsidR="003642F8">
        <w:t xml:space="preserve">proposed </w:t>
      </w:r>
      <w:r>
        <w:t xml:space="preserve">PPAR </w:t>
      </w:r>
      <w:r w:rsidR="003E4F1F">
        <w:t xml:space="preserve">charge, however, </w:t>
      </w:r>
      <w:r>
        <w:t xml:space="preserve">does not relate to default service, and the </w:t>
      </w:r>
      <w:r w:rsidR="008C426A">
        <w:t xml:space="preserve">fact that AEP-Ohio has proposed the PPAR as a </w:t>
      </w:r>
      <w:r w:rsidR="00407615">
        <w:t>nonbypassable</w:t>
      </w:r>
      <w:r w:rsidR="008C426A">
        <w:t xml:space="preserve"> charge </w:t>
      </w:r>
      <w:r>
        <w:t xml:space="preserve">is irrelevant because the rider would not provide stability or certainty in </w:t>
      </w:r>
      <w:r w:rsidR="008C426A">
        <w:t xml:space="preserve">the </w:t>
      </w:r>
      <w:r>
        <w:t>pricing of retail electric service.</w:t>
      </w:r>
    </w:p>
    <w:p w:rsidR="00092CF6" w:rsidRDefault="00092CF6" w:rsidP="00C245A3">
      <w:pPr>
        <w:ind w:firstLine="720"/>
      </w:pPr>
      <w:r>
        <w:t xml:space="preserve">AEP-Ohio’s </w:t>
      </w:r>
      <w:r w:rsidR="008D451F">
        <w:t xml:space="preserve">initial </w:t>
      </w:r>
      <w:r>
        <w:t xml:space="preserve">claim that the PPAR is related to default service is </w:t>
      </w:r>
      <w:r w:rsidR="008C426A">
        <w:t xml:space="preserve">directly contradicted </w:t>
      </w:r>
      <w:r w:rsidR="003642F8">
        <w:t xml:space="preserve">by </w:t>
      </w:r>
      <w:r>
        <w:t xml:space="preserve">its testimony at the hearing.  </w:t>
      </w:r>
      <w:r w:rsidRPr="00876A53">
        <w:t xml:space="preserve">During cross-examination, Mr. Allen </w:t>
      </w:r>
      <w:r w:rsidR="0079159A">
        <w:t xml:space="preserve">testified </w:t>
      </w:r>
      <w:r w:rsidR="0079159A" w:rsidRPr="00876A53">
        <w:t>that</w:t>
      </w:r>
      <w:r w:rsidRPr="00876A53">
        <w:t xml:space="preserve"> AEP-Ohio would not use the OVEC generation</w:t>
      </w:r>
      <w:r w:rsidR="008D451F">
        <w:t xml:space="preserve"> to support</w:t>
      </w:r>
      <w:r w:rsidRPr="00876A53">
        <w:t xml:space="preserve"> default service.</w:t>
      </w:r>
      <w:r w:rsidRPr="00876A53">
        <w:rPr>
          <w:rStyle w:val="FootnoteReference"/>
        </w:rPr>
        <w:footnoteReference w:id="14"/>
      </w:r>
      <w:r w:rsidRPr="00876A53">
        <w:t xml:space="preserve">  </w:t>
      </w:r>
      <w:r>
        <w:t xml:space="preserve">In his prefiled </w:t>
      </w:r>
      <w:r w:rsidR="008C426A">
        <w:t xml:space="preserve">written </w:t>
      </w:r>
      <w:r>
        <w:t xml:space="preserve">testimony, he also stated that AEP-Ohio’s interest in </w:t>
      </w:r>
      <w:r w:rsidR="000B5FB2">
        <w:t xml:space="preserve">the </w:t>
      </w:r>
      <w:r>
        <w:t>OVEC Entitlement would not be bid into the SSO auctions.</w:t>
      </w:r>
      <w:r w:rsidR="008C426A">
        <w:rPr>
          <w:rStyle w:val="FootnoteReference"/>
        </w:rPr>
        <w:footnoteReference w:id="15"/>
      </w:r>
      <w:r>
        <w:t xml:space="preserve">  Based on Mr. Allen’s testimony, </w:t>
      </w:r>
      <w:r w:rsidR="008D451F">
        <w:t xml:space="preserve">therefore, </w:t>
      </w:r>
      <w:r>
        <w:t>the OVEC Entitlement is unrelated to default service.</w:t>
      </w:r>
    </w:p>
    <w:p w:rsidR="00092CF6" w:rsidRDefault="00092CF6" w:rsidP="00C245A3">
      <w:pPr>
        <w:ind w:firstLine="720"/>
      </w:pPr>
      <w:r>
        <w:t xml:space="preserve">AEP-Ohio also claims that the </w:t>
      </w:r>
      <w:r w:rsidR="003642F8">
        <w:t xml:space="preserve">PPAR </w:t>
      </w:r>
      <w:r>
        <w:t>relates to bypassability and thus may be authorized by R.C. 4928.143(B)(2)(d).  AEP-Ohio</w:t>
      </w:r>
      <w:r w:rsidR="003642F8">
        <w:t xml:space="preserve"> is urging the Commission to interpret the </w:t>
      </w:r>
      <w:r w:rsidR="00110177">
        <w:t xml:space="preserve">division </w:t>
      </w:r>
      <w:r w:rsidR="003642F8">
        <w:t xml:space="preserve">as permitting any charge with a </w:t>
      </w:r>
      <w:r w:rsidR="00407615">
        <w:t>nonbypassable</w:t>
      </w:r>
      <w:r w:rsidR="003642F8">
        <w:t xml:space="preserve"> label attached to it to be a </w:t>
      </w:r>
      <w:r w:rsidR="0079159A">
        <w:t>lawful</w:t>
      </w:r>
      <w:r w:rsidR="003642F8">
        <w:t xml:space="preserve"> component of an ESP, a nonsensical result.  </w:t>
      </w:r>
      <w:r w:rsidR="00110177">
        <w:t xml:space="preserve">Instead, the division must be read in light of the fact that it is applicable to generation-related items of the ESP such as </w:t>
      </w:r>
      <w:r w:rsidR="00110177">
        <w:lastRenderedPageBreak/>
        <w:t xml:space="preserve">restrictions on shopping, backup service, and default service.  </w:t>
      </w:r>
      <w:r w:rsidR="003642F8">
        <w:t xml:space="preserve">As the record demonstrates, the PPAR </w:t>
      </w:r>
      <w:r>
        <w:t xml:space="preserve">has no relationship to the provision of retail electric services provided to customers (other than </w:t>
      </w:r>
      <w:r w:rsidR="00110177">
        <w:t>it would</w:t>
      </w:r>
      <w:r w:rsidR="00490A46">
        <w:t xml:space="preserve"> likely </w:t>
      </w:r>
      <w:r>
        <w:t>increas</w:t>
      </w:r>
      <w:r w:rsidR="001B7A67">
        <w:t xml:space="preserve">e </w:t>
      </w:r>
      <w:r>
        <w:t>their bill</w:t>
      </w:r>
      <w:r w:rsidR="00110177">
        <w:t>s</w:t>
      </w:r>
      <w:r>
        <w:t xml:space="preserve"> for electricity). </w:t>
      </w:r>
    </w:p>
    <w:p w:rsidR="008D451F" w:rsidRDefault="008D451F" w:rsidP="00C245A3">
      <w:pPr>
        <w:ind w:firstLine="720"/>
      </w:pPr>
      <w:r>
        <w:t xml:space="preserve">Even if the Commission </w:t>
      </w:r>
      <w:r w:rsidR="00490A46">
        <w:t>wrongly concluded t</w:t>
      </w:r>
      <w:r>
        <w:t xml:space="preserve">hat the PPAR </w:t>
      </w:r>
      <w:r w:rsidR="00490A46">
        <w:t xml:space="preserve">was </w:t>
      </w:r>
      <w:r>
        <w:t xml:space="preserve">related to default service or “bypassability,” </w:t>
      </w:r>
      <w:r w:rsidR="00092CF6">
        <w:t xml:space="preserve">AEP-Ohio </w:t>
      </w:r>
      <w:r w:rsidR="00490A46">
        <w:t xml:space="preserve">has failed to demonstrate </w:t>
      </w:r>
      <w:r w:rsidR="00092CF6">
        <w:t xml:space="preserve">that the charge has the effect of providing certainty or stability in the provision of retail electric service.  Although it repeatedly asserts that the </w:t>
      </w:r>
      <w:r w:rsidR="00490A46">
        <w:t xml:space="preserve">PPAR </w:t>
      </w:r>
      <w:r w:rsidR="00092CF6">
        <w:t>will provide a hedge for customers,</w:t>
      </w:r>
      <w:r w:rsidR="00092CF6">
        <w:rPr>
          <w:rStyle w:val="FootnoteReference"/>
        </w:rPr>
        <w:footnoteReference w:id="16"/>
      </w:r>
      <w:r w:rsidR="00092CF6">
        <w:t xml:space="preserve"> </w:t>
      </w:r>
      <w:r w:rsidR="00490A46">
        <w:t xml:space="preserve">in reality </w:t>
      </w:r>
      <w:r w:rsidR="00092CF6">
        <w:t xml:space="preserve">the </w:t>
      </w:r>
      <w:r w:rsidR="00490A46">
        <w:t xml:space="preserve">PPAR </w:t>
      </w:r>
      <w:r w:rsidR="002C661C">
        <w:t xml:space="preserve">would </w:t>
      </w:r>
      <w:r w:rsidR="00110177">
        <w:t xml:space="preserve">increase the </w:t>
      </w:r>
      <w:r w:rsidR="00092CF6">
        <w:t xml:space="preserve">volatility </w:t>
      </w:r>
      <w:r w:rsidR="00110177">
        <w:t>of the</w:t>
      </w:r>
      <w:r w:rsidR="00092CF6">
        <w:t xml:space="preserve"> prices all customers pay for retail electric services, as discussed below.  </w:t>
      </w:r>
    </w:p>
    <w:p w:rsidR="00092CF6" w:rsidRDefault="00092CF6" w:rsidP="00C245A3">
      <w:pPr>
        <w:ind w:firstLine="720"/>
      </w:pPr>
      <w:r>
        <w:t xml:space="preserve">Because AEP-Ohio has not </w:t>
      </w:r>
      <w:r w:rsidR="009C3697">
        <w:t xml:space="preserve">demonstrated the </w:t>
      </w:r>
      <w:r>
        <w:t>requirements of R.C. 4928.143(B)(2)(d)</w:t>
      </w:r>
      <w:r w:rsidR="009C3697">
        <w:t xml:space="preserve"> have been met</w:t>
      </w:r>
      <w:r>
        <w:t>, the Commission cannot lawfully authorize the PPAR under that division.</w:t>
      </w:r>
    </w:p>
    <w:p w:rsidR="00092CF6" w:rsidRDefault="00092CF6" w:rsidP="008D451F">
      <w:pPr>
        <w:pStyle w:val="Heading3"/>
      </w:pPr>
      <w:bookmarkStart w:id="22" w:name="_Toc395521661"/>
      <w:bookmarkStart w:id="23" w:name="_Toc395706875"/>
      <w:bookmarkStart w:id="24" w:name="_Toc395791170"/>
      <w:bookmarkStart w:id="25" w:name="_Toc395868797"/>
      <w:r w:rsidRPr="00C90790">
        <w:t>R.C. 4928.143(B)(2)(</w:t>
      </w:r>
      <w:r>
        <w:t>a</w:t>
      </w:r>
      <w:r w:rsidRPr="00C90790">
        <w:t>) does not provide a basis for authorizing the PPAR because</w:t>
      </w:r>
      <w:r>
        <w:t xml:space="preserve"> it does not recover the cost of purchased power supplied under the </w:t>
      </w:r>
      <w:bookmarkEnd w:id="22"/>
      <w:bookmarkEnd w:id="23"/>
      <w:r w:rsidR="00D30D29">
        <w:t>SSO</w:t>
      </w:r>
      <w:bookmarkEnd w:id="24"/>
      <w:bookmarkEnd w:id="25"/>
    </w:p>
    <w:p w:rsidR="00092CF6" w:rsidRDefault="00092CF6" w:rsidP="008D451F">
      <w:pPr>
        <w:ind w:firstLine="720"/>
      </w:pPr>
      <w:r>
        <w:t xml:space="preserve">AEP-Ohio </w:t>
      </w:r>
      <w:r w:rsidR="000B5FB2">
        <w:t xml:space="preserve">also </w:t>
      </w:r>
      <w:r>
        <w:t xml:space="preserve">argues that the PPAR may be authorized under </w:t>
      </w:r>
      <w:r w:rsidRPr="00C90790">
        <w:t>R.C. 4928.143(B)(2)(a)</w:t>
      </w:r>
      <w:r>
        <w:t xml:space="preserve"> because “[t]hat provision explicitly permits affiliate purchase power agreements.”</w:t>
      </w:r>
      <w:r>
        <w:rPr>
          <w:rStyle w:val="FootnoteReference"/>
        </w:rPr>
        <w:footnoteReference w:id="17"/>
      </w:r>
      <w:r>
        <w:t xml:space="preserve">  In making this argument, AEP-Ohio </w:t>
      </w:r>
      <w:r w:rsidR="009C3697">
        <w:t xml:space="preserve">ignores </w:t>
      </w:r>
      <w:r w:rsidR="000B5FB2">
        <w:t>the additional requirement that the PPA must concern power supplied under the offer</w:t>
      </w:r>
      <w:r w:rsidR="00687C0F">
        <w:t>.</w:t>
      </w:r>
    </w:p>
    <w:p w:rsidR="00092CF6" w:rsidRDefault="00092CF6" w:rsidP="00C245A3">
      <w:pPr>
        <w:ind w:firstLine="720"/>
      </w:pPr>
      <w:r>
        <w:t xml:space="preserve">With regard to purchased power agreements, the full text of </w:t>
      </w:r>
      <w:r w:rsidRPr="00C90790">
        <w:t>R.C. 4928.143(B)(2)(a)</w:t>
      </w:r>
      <w:r>
        <w:t xml:space="preserve"> states that an ESP may provide “[a]utomatic recovery of any of the following costs of the electric distribution utility, provided the cost is prudently incurred: </w:t>
      </w:r>
      <w:r>
        <w:lastRenderedPageBreak/>
        <w:t xml:space="preserve">… </w:t>
      </w:r>
      <w:r w:rsidRPr="008B1C3C">
        <w:rPr>
          <w:i/>
        </w:rPr>
        <w:t>the cost of purchased power supplied under the offer</w:t>
      </w:r>
      <w:r>
        <w:t xml:space="preserve">, including the cost of energy and capacity, and including purchased power acquired from an affiliate.”  (Emphasis added.)  </w:t>
      </w:r>
      <w:r w:rsidR="009C3697">
        <w:t xml:space="preserve">Thus, </w:t>
      </w:r>
      <w:r w:rsidR="00492179">
        <w:t>t</w:t>
      </w:r>
      <w:r>
        <w:t xml:space="preserve">he text of the division requires that </w:t>
      </w:r>
      <w:r w:rsidR="009C3697">
        <w:t xml:space="preserve">any </w:t>
      </w:r>
      <w:r>
        <w:t xml:space="preserve">purchased power be </w:t>
      </w:r>
      <w:r w:rsidR="009C3697">
        <w:t xml:space="preserve">utilized to </w:t>
      </w:r>
      <w:r w:rsidR="00110177">
        <w:t xml:space="preserve">the </w:t>
      </w:r>
      <w:r>
        <w:t>suppl</w:t>
      </w:r>
      <w:r w:rsidR="009C3697">
        <w:t xml:space="preserve">y </w:t>
      </w:r>
      <w:r w:rsidR="00175950">
        <w:t xml:space="preserve">standard service offer (“SSO”) </w:t>
      </w:r>
      <w:r w:rsidR="00110177">
        <w:t xml:space="preserve">available to </w:t>
      </w:r>
      <w:r>
        <w:t>customers.</w:t>
      </w:r>
    </w:p>
    <w:p w:rsidR="00092CF6" w:rsidRDefault="00092CF6" w:rsidP="00C245A3">
      <w:pPr>
        <w:ind w:firstLine="720"/>
      </w:pPr>
      <w:r>
        <w:t xml:space="preserve">According to Mr. Allen and as required by Commission order, the OVEC Entitlement must be sold into the </w:t>
      </w:r>
      <w:r w:rsidR="002C661C">
        <w:t xml:space="preserve">wholesale </w:t>
      </w:r>
      <w:r>
        <w:t>markets</w:t>
      </w:r>
      <w:r w:rsidR="002C661C">
        <w:t xml:space="preserve"> operated by PJM Interconnection, LLC (“PJM”)</w:t>
      </w:r>
      <w:r>
        <w:t>.</w:t>
      </w:r>
      <w:r>
        <w:rPr>
          <w:rStyle w:val="FootnoteReference"/>
        </w:rPr>
        <w:footnoteReference w:id="18"/>
      </w:r>
      <w:r>
        <w:t xml:space="preserve">  Further, </w:t>
      </w:r>
      <w:r w:rsidR="00175950">
        <w:t xml:space="preserve">a competitive bid process </w:t>
      </w:r>
      <w:r w:rsidR="00492179">
        <w:t>(“CBP”)</w:t>
      </w:r>
      <w:r>
        <w:t xml:space="preserve"> will </w:t>
      </w:r>
      <w:r w:rsidR="00175950">
        <w:t xml:space="preserve">be used to secure </w:t>
      </w:r>
      <w:r>
        <w:t xml:space="preserve">both capacity and energy used </w:t>
      </w:r>
      <w:r w:rsidR="00175950">
        <w:t xml:space="preserve">for </w:t>
      </w:r>
      <w:r w:rsidR="00492179">
        <w:t>the</w:t>
      </w:r>
      <w:r>
        <w:t xml:space="preserve"> SSO.</w:t>
      </w:r>
      <w:r>
        <w:rPr>
          <w:rStyle w:val="FootnoteReference"/>
        </w:rPr>
        <w:footnoteReference w:id="19"/>
      </w:r>
      <w:r>
        <w:t xml:space="preserve">  Thus, AEP-Ohio’s assertion that R.C. 4928.143(B)(2)(a) provides authorization for the PPAR </w:t>
      </w:r>
      <w:r w:rsidR="00175950">
        <w:t xml:space="preserve">is not </w:t>
      </w:r>
      <w:r>
        <w:t xml:space="preserve">correct because the PPAR is unrelated to the cost of power supplied under the </w:t>
      </w:r>
      <w:r w:rsidR="00175950">
        <w:t>SSO</w:t>
      </w:r>
      <w:r w:rsidR="00B13E9E">
        <w:t>.</w:t>
      </w:r>
    </w:p>
    <w:p w:rsidR="00092CF6" w:rsidRPr="00C245A3" w:rsidRDefault="00092CF6" w:rsidP="008D451F">
      <w:pPr>
        <w:pStyle w:val="Heading3"/>
      </w:pPr>
      <w:bookmarkStart w:id="26" w:name="_Toc395521662"/>
      <w:bookmarkStart w:id="27" w:name="_Toc395706876"/>
      <w:bookmarkStart w:id="28" w:name="_Toc395791171"/>
      <w:bookmarkStart w:id="29" w:name="_Toc395868798"/>
      <w:r w:rsidRPr="00C245A3">
        <w:t xml:space="preserve">R.C. 4928.143(B)(2)(e) does not provide a basis for authorizing the PPAR because it does not increase or decrease any component of the </w:t>
      </w:r>
      <w:r w:rsidR="00175950">
        <w:t xml:space="preserve">SSO </w:t>
      </w:r>
      <w:r w:rsidRPr="00C245A3">
        <w:t>price</w:t>
      </w:r>
      <w:bookmarkEnd w:id="26"/>
      <w:bookmarkEnd w:id="27"/>
      <w:bookmarkEnd w:id="28"/>
      <w:bookmarkEnd w:id="29"/>
    </w:p>
    <w:p w:rsidR="00092CF6" w:rsidRDefault="00092CF6" w:rsidP="00C245A3">
      <w:pPr>
        <w:ind w:firstLine="720"/>
      </w:pPr>
      <w:r>
        <w:t>R.C. 4928.143(B)(2)(e) authorizes “automatic increases and decreases in any component of the standard service offer price</w:t>
      </w:r>
      <w:r w:rsidR="00492179">
        <w:t>,</w:t>
      </w:r>
      <w:r>
        <w:t>”</w:t>
      </w:r>
      <w:r w:rsidR="00175950">
        <w:t xml:space="preserve"> and AEP-Ohio claims this </w:t>
      </w:r>
      <w:r w:rsidR="00110177">
        <w:t xml:space="preserve">division </w:t>
      </w:r>
      <w:r w:rsidR="00175950">
        <w:t xml:space="preserve">may be </w:t>
      </w:r>
      <w:r w:rsidR="00492179">
        <w:t>relied</w:t>
      </w:r>
      <w:r w:rsidR="00175950">
        <w:t xml:space="preserve"> upon to authorize the PPAR</w:t>
      </w:r>
      <w:r>
        <w:t>:</w:t>
      </w:r>
    </w:p>
    <w:p w:rsidR="00092CF6" w:rsidRDefault="00092CF6" w:rsidP="003E617E">
      <w:pPr>
        <w:spacing w:line="240" w:lineRule="auto"/>
        <w:ind w:left="720" w:right="720"/>
      </w:pPr>
      <w:r>
        <w:t xml:space="preserve">Separately, division (B)(2)(e) of the ESP statute also permits automatic increases or decreases and encompasses a mechanism relating to SSO service such as the PPA Rider.  This automatic pass through of increases or decreases accurately describes operation of the PPA Rider.  As with the discussion under division (B)(2)(a) above, when taking into account that the FERC-authorized costs associated with the OVEC contract need to be recovered at the retail level and given AEP Ohio’s existing authority to exclude OVEC from corporate separation and its obligation (under the 12-1126 </w:t>
      </w:r>
      <w:r w:rsidR="003E4F1F">
        <w:t>decision</w:t>
      </w:r>
      <w:r w:rsidR="00444614">
        <w:t>)</w:t>
      </w:r>
      <w:r>
        <w:t xml:space="preserve"> to liquidate OVEC power into the PJM markets, the net </w:t>
      </w:r>
      <w:r>
        <w:lastRenderedPageBreak/>
        <w:t>cost (or credit) associated with OVEC is precisely what would automatically be passed through the customers under the PPA Rider.</w:t>
      </w:r>
      <w:r>
        <w:rPr>
          <w:rStyle w:val="FootnoteReference"/>
        </w:rPr>
        <w:footnoteReference w:id="20"/>
      </w:r>
    </w:p>
    <w:p w:rsidR="00092CF6" w:rsidRDefault="00092CF6" w:rsidP="003E617E">
      <w:r>
        <w:t>There are several problems with AEP-Ohio</w:t>
      </w:r>
      <w:r w:rsidR="008D451F">
        <w:t>’s</w:t>
      </w:r>
      <w:r>
        <w:t xml:space="preserve"> argument.</w:t>
      </w:r>
    </w:p>
    <w:p w:rsidR="00092CF6" w:rsidRDefault="00092CF6" w:rsidP="003E617E">
      <w:r>
        <w:tab/>
        <w:t>Initially, AEP-Ohio</w:t>
      </w:r>
      <w:r w:rsidR="00D122C9">
        <w:t xml:space="preserve"> does not identify what “component” the PPAR would increase or decrease.  </w:t>
      </w:r>
      <w:r w:rsidR="001E489E">
        <w:t xml:space="preserve">The PPAR is unrelated to any cost recoverable in the proposed ESP.  </w:t>
      </w:r>
      <w:r w:rsidR="00D122C9">
        <w:t xml:space="preserve">If </w:t>
      </w:r>
      <w:r w:rsidR="001E489E">
        <w:t>AEP-Ohio instead</w:t>
      </w:r>
      <w:r w:rsidR="00D122C9">
        <w:t xml:space="preserve"> is assuming that </w:t>
      </w:r>
      <w:r w:rsidR="003E4F1F">
        <w:t xml:space="preserve">it </w:t>
      </w:r>
      <w:r w:rsidR="00175950">
        <w:t xml:space="preserve">may </w:t>
      </w:r>
      <w:r>
        <w:t xml:space="preserve">recover </w:t>
      </w:r>
      <w:r w:rsidR="00175950">
        <w:t xml:space="preserve">any </w:t>
      </w:r>
      <w:r>
        <w:t xml:space="preserve">OVEC related costs </w:t>
      </w:r>
      <w:r w:rsidR="00175950">
        <w:t xml:space="preserve">through the PPAR as part of </w:t>
      </w:r>
      <w:r>
        <w:t>an ESP</w:t>
      </w:r>
      <w:r w:rsidR="008D451F">
        <w:t xml:space="preserve"> </w:t>
      </w:r>
      <w:r w:rsidR="00175950">
        <w:t>pursuant to</w:t>
      </w:r>
      <w:r w:rsidR="00F23C81">
        <w:t xml:space="preserve"> authorization of a component under</w:t>
      </w:r>
      <w:r w:rsidR="00175950">
        <w:t xml:space="preserve"> </w:t>
      </w:r>
      <w:r w:rsidR="008D451F">
        <w:t>R.C 4928.143(B)(2)(a)</w:t>
      </w:r>
      <w:r w:rsidR="00D122C9">
        <w:t>, (d), or (i), that assumption must be rejected for the reasons discussed herein</w:t>
      </w:r>
      <w:r w:rsidR="00175950">
        <w:t xml:space="preserve">. </w:t>
      </w:r>
      <w:r w:rsidR="00492179">
        <w:t xml:space="preserve"> </w:t>
      </w:r>
    </w:p>
    <w:p w:rsidR="00092CF6" w:rsidRDefault="00092CF6" w:rsidP="003E617E">
      <w:r>
        <w:tab/>
      </w:r>
      <w:r w:rsidR="001E489E">
        <w:t>F</w:t>
      </w:r>
      <w:r w:rsidR="00D122C9">
        <w:t>ederal approval of the ICPA also does not provide a basis for authorization.  Unlike transmission costs for which express authorization exists for the recovery of those costs,</w:t>
      </w:r>
      <w:r w:rsidR="00D122C9">
        <w:rPr>
          <w:rStyle w:val="FootnoteReference"/>
        </w:rPr>
        <w:footnoteReference w:id="21"/>
      </w:r>
      <w:r w:rsidR="00D122C9">
        <w:t xml:space="preserve"> there is no provision authorizing recovery of costs unrelated to the</w:t>
      </w:r>
      <w:r w:rsidR="001E489E">
        <w:t xml:space="preserve"> provision of</w:t>
      </w:r>
      <w:r w:rsidR="00D122C9">
        <w:t xml:space="preserve"> electric service </w:t>
      </w:r>
      <w:r w:rsidR="001E489E">
        <w:t>simply</w:t>
      </w:r>
      <w:r w:rsidR="00D122C9">
        <w:t xml:space="preserve"> because they are approved by </w:t>
      </w:r>
      <w:r w:rsidR="00437CFB">
        <w:t xml:space="preserve">the </w:t>
      </w:r>
      <w:r w:rsidR="009932B9">
        <w:t>Federal Energy Regulatory Commission (“</w:t>
      </w:r>
      <w:r w:rsidR="00D122C9">
        <w:t>FERC</w:t>
      </w:r>
      <w:r w:rsidR="009932B9">
        <w:t>”)</w:t>
      </w:r>
      <w:r w:rsidR="00D122C9">
        <w:t xml:space="preserve">.  </w:t>
      </w:r>
      <w:r>
        <w:t>AEP-Ohio may want to recover the OVEC related costs</w:t>
      </w:r>
      <w:r w:rsidR="00EE6613">
        <w:t xml:space="preserve"> from</w:t>
      </w:r>
      <w:r>
        <w:t xml:space="preserve"> </w:t>
      </w:r>
      <w:r w:rsidR="00EE6613">
        <w:t>retail customers</w:t>
      </w:r>
      <w:r w:rsidR="00D122C9">
        <w:t>, but it has not pointed to any provision of R.C. 4928.143 that authorizes such a charge as part of an ESP</w:t>
      </w:r>
      <w:r w:rsidR="00EE6613">
        <w:t>.</w:t>
      </w:r>
    </w:p>
    <w:p w:rsidR="000608A2" w:rsidRDefault="000E26A1" w:rsidP="000E26A1">
      <w:r>
        <w:tab/>
      </w:r>
      <w:r w:rsidR="000608A2">
        <w:t>AEP-Ohio’s reference to FERC</w:t>
      </w:r>
      <w:r w:rsidR="00126209">
        <w:t>’s</w:t>
      </w:r>
      <w:r w:rsidR="000608A2">
        <w:t xml:space="preserve"> approval of the costs associated with the ICPA, moreover, highlights an additional problem with the PPAR.  </w:t>
      </w:r>
      <w:r w:rsidR="00C6720F">
        <w:t>Any c</w:t>
      </w:r>
      <w:r>
        <w:t>ost or credit</w:t>
      </w:r>
      <w:r w:rsidR="00C6720F">
        <w:t xml:space="preserve"> resulting from the PPAR would be </w:t>
      </w:r>
      <w:r>
        <w:t xml:space="preserve">a function of the costs governed by the FERC-approved ICPA and revenues produced under the FERC-approved PJM markets.  These wholesale </w:t>
      </w:r>
      <w:r>
        <w:lastRenderedPageBreak/>
        <w:t>markets are not subject to Commission jurisdiction, and AEP-Ohio and the Staff both recognize the limits of the Commission’s authority to review these costs and revenues.</w:t>
      </w:r>
      <w:r>
        <w:rPr>
          <w:rStyle w:val="FootnoteReference"/>
        </w:rPr>
        <w:footnoteReference w:id="22"/>
      </w:r>
      <w:r>
        <w:t xml:space="preserve">  </w:t>
      </w:r>
    </w:p>
    <w:p w:rsidR="000E26A1" w:rsidRDefault="000E26A1" w:rsidP="000608A2">
      <w:pPr>
        <w:ind w:firstLine="720"/>
      </w:pPr>
      <w:r>
        <w:t xml:space="preserve">AEP-Ohio offers that the Commission should nonetheless take comfort in the fact that </w:t>
      </w:r>
      <w:r w:rsidR="00CA0B2E">
        <w:t xml:space="preserve">the </w:t>
      </w:r>
      <w:r>
        <w:t>review process for transmission rates provide</w:t>
      </w:r>
      <w:r w:rsidR="00C6720F">
        <w:t>s</w:t>
      </w:r>
      <w:r>
        <w:t xml:space="preserve"> a “good track record.”</w:t>
      </w:r>
      <w:r w:rsidR="002C661C">
        <w:rPr>
          <w:rStyle w:val="FootnoteReference"/>
        </w:rPr>
        <w:footnoteReference w:id="23"/>
      </w:r>
      <w:r>
        <w:t xml:space="preserve">  This “good track record,” however, has been marked by repeated failures on the part of AEP-Ohio to estimate </w:t>
      </w:r>
      <w:r w:rsidR="000608A2">
        <w:t xml:space="preserve">properly </w:t>
      </w:r>
      <w:r>
        <w:t>the amount of re</w:t>
      </w:r>
      <w:r w:rsidR="00C6720F">
        <w:t>venue</w:t>
      </w:r>
      <w:r>
        <w:t xml:space="preserve"> needed to </w:t>
      </w:r>
      <w:r w:rsidR="00C6720F">
        <w:t>re</w:t>
      </w:r>
      <w:r>
        <w:t>cover its federally-approved transmission cost</w:t>
      </w:r>
      <w:r w:rsidR="00C6720F">
        <w:t>s</w:t>
      </w:r>
      <w:r>
        <w:t xml:space="preserve"> and Commission</w:t>
      </w:r>
      <w:r w:rsidR="00C6720F">
        <w:t xml:space="preserve"> intervention that</w:t>
      </w:r>
      <w:r>
        <w:t xml:space="preserve"> introduced a new nonbypassable charge to socialize </w:t>
      </w:r>
      <w:r w:rsidR="001E489E">
        <w:t>a</w:t>
      </w:r>
      <w:r>
        <w:t xml:space="preserve"> missed estimate.</w:t>
      </w:r>
      <w:r>
        <w:rPr>
          <w:rStyle w:val="FootnoteReference"/>
        </w:rPr>
        <w:footnoteReference w:id="24"/>
      </w:r>
      <w:r>
        <w:t xml:space="preserve">  One can only imagine what a “poor track record” might look like </w:t>
      </w:r>
      <w:r w:rsidR="000608A2">
        <w:t>if</w:t>
      </w:r>
      <w:r>
        <w:t xml:space="preserve"> this </w:t>
      </w:r>
      <w:r w:rsidR="00C6720F">
        <w:t xml:space="preserve">past performance </w:t>
      </w:r>
      <w:r>
        <w:t>represents a good one.</w:t>
      </w:r>
    </w:p>
    <w:p w:rsidR="000E26A1" w:rsidRPr="000608A2" w:rsidRDefault="000E26A1" w:rsidP="000608A2">
      <w:r>
        <w:tab/>
      </w:r>
      <w:r w:rsidR="000608A2">
        <w:t>Moreover</w:t>
      </w:r>
      <w:r>
        <w:t>,</w:t>
      </w:r>
      <w:r w:rsidR="000608A2">
        <w:t xml:space="preserve"> concern</w:t>
      </w:r>
      <w:r w:rsidR="00C6720F">
        <w:t>s</w:t>
      </w:r>
      <w:r w:rsidR="000608A2">
        <w:t xml:space="preserve"> about </w:t>
      </w:r>
      <w:r w:rsidR="00C6720F">
        <w:t xml:space="preserve">whether the PPAR would result in </w:t>
      </w:r>
      <w:r w:rsidR="000608A2">
        <w:t xml:space="preserve">the pass-through of improper costs </w:t>
      </w:r>
      <w:r w:rsidR="00C6720F">
        <w:t xml:space="preserve">are </w:t>
      </w:r>
      <w:r w:rsidR="000608A2">
        <w:t xml:space="preserve">not hypothetical. </w:t>
      </w:r>
      <w:r>
        <w:t xml:space="preserve"> </w:t>
      </w:r>
      <w:r w:rsidR="000608A2">
        <w:t xml:space="preserve">For example, </w:t>
      </w:r>
      <w:r>
        <w:t xml:space="preserve">OVEC </w:t>
      </w:r>
      <w:r w:rsidR="000608A2">
        <w:t xml:space="preserve">in its 2012 Annual Report </w:t>
      </w:r>
      <w:r>
        <w:t>indicated that it was penalized $2.2 million in liquidated damages by one of its coal transportation contractors for violating terms of a supply contract.</w:t>
      </w:r>
      <w:r>
        <w:rPr>
          <w:rStyle w:val="FootnoteReference"/>
        </w:rPr>
        <w:footnoteReference w:id="25"/>
      </w:r>
      <w:r>
        <w:t xml:space="preserve">  OVEC booked these damages as a current regulatory asset recoverable from Sponsoring Companies in the following twelve months.</w:t>
      </w:r>
      <w:r>
        <w:rPr>
          <w:rStyle w:val="FootnoteReference"/>
        </w:rPr>
        <w:footnoteReference w:id="26"/>
      </w:r>
      <w:r w:rsidR="000608A2">
        <w:t xml:space="preserve">  </w:t>
      </w:r>
      <w:r>
        <w:t xml:space="preserve">In theory, the risk that AEP-Ohio will recover </w:t>
      </w:r>
      <w:r w:rsidR="001E489E">
        <w:t xml:space="preserve">such imprudent </w:t>
      </w:r>
      <w:r>
        <w:t>costs could be addressed by FERC,</w:t>
      </w:r>
      <w:r w:rsidR="000608A2">
        <w:t xml:space="preserve"> but </w:t>
      </w:r>
      <w:r>
        <w:t xml:space="preserve">it is unlikely that either customers or the Commission can expend the resources to assure that supervision takes place.  </w:t>
      </w:r>
    </w:p>
    <w:p w:rsidR="00092CF6" w:rsidRDefault="008D451F" w:rsidP="00C245A3">
      <w:pPr>
        <w:ind w:firstLine="720"/>
      </w:pPr>
      <w:r>
        <w:lastRenderedPageBreak/>
        <w:t xml:space="preserve">Further, </w:t>
      </w:r>
      <w:r w:rsidR="00FB59E8">
        <w:t>u</w:t>
      </w:r>
      <w:r w:rsidR="00092CF6">
        <w:t xml:space="preserve">nder the </w:t>
      </w:r>
      <w:r>
        <w:t>FPA</w:t>
      </w:r>
      <w:r w:rsidR="00092CF6">
        <w:t xml:space="preserve">, the </w:t>
      </w:r>
      <w:r w:rsidR="00FB59E8">
        <w:t xml:space="preserve">Commission is prohibited from increasing AEP-Ohio’s compensation for wholesale </w:t>
      </w:r>
      <w:r w:rsidR="000608A2">
        <w:t xml:space="preserve">electric generation </w:t>
      </w:r>
      <w:r w:rsidR="00FB59E8">
        <w:t>services</w:t>
      </w:r>
      <w:r w:rsidR="001E489E">
        <w:t xml:space="preserve"> because </w:t>
      </w:r>
      <w:r w:rsidR="009F4122">
        <w:t>FERC has exclusive jurisdiction to establish a utility’s compensation for the provision of wholesale electric services.</w:t>
      </w:r>
      <w:r w:rsidR="001E489E" w:rsidRPr="001E489E">
        <w:rPr>
          <w:rStyle w:val="FootnoteReference"/>
        </w:rPr>
        <w:t xml:space="preserve"> </w:t>
      </w:r>
      <w:r w:rsidR="001E489E">
        <w:rPr>
          <w:rStyle w:val="FootnoteReference"/>
        </w:rPr>
        <w:footnoteReference w:id="27"/>
      </w:r>
      <w:r w:rsidR="009F4122">
        <w:t xml:space="preserve">  The PPAR would increase AEP-Ohio’s total compensation for wholesale energy and capacity services by permitting AEP-Ohio to recover the amount of costs assigned to it by OVEC that </w:t>
      </w:r>
      <w:r w:rsidR="00DE68A1">
        <w:t>is</w:t>
      </w:r>
      <w:r w:rsidR="009F4122">
        <w:t xml:space="preserve"> not recovered when AEP-Ohio liquidates the </w:t>
      </w:r>
      <w:r w:rsidR="003039C5">
        <w:t xml:space="preserve">OVEC Entitlement </w:t>
      </w:r>
      <w:r w:rsidR="009F4122">
        <w:t xml:space="preserve">into the wholesale markets established by PJM.  </w:t>
      </w:r>
      <w:r w:rsidR="00DE68A1">
        <w:t>Because the authorization of the PPAR would increase AEP-Ohio’s wholesale compensation, a</w:t>
      </w:r>
      <w:r w:rsidR="001E489E">
        <w:t xml:space="preserve"> Commission</w:t>
      </w:r>
      <w:r w:rsidR="00DE68A1">
        <w:t xml:space="preserve"> order authorizing the rider is preempted by the FPA</w:t>
      </w:r>
      <w:r w:rsidR="00437CFB">
        <w:t xml:space="preserve"> even if R.C. 4928.143(B)(2)(e) or another division</w:t>
      </w:r>
      <w:bookmarkStart w:id="30" w:name="_GoBack"/>
      <w:bookmarkEnd w:id="30"/>
      <w:r w:rsidR="00437CFB">
        <w:t xml:space="preserve"> authorized such a provision</w:t>
      </w:r>
      <w:r w:rsidR="001E489E">
        <w:t>.</w:t>
      </w:r>
    </w:p>
    <w:p w:rsidR="00092CF6" w:rsidRDefault="000608A2" w:rsidP="00C245A3">
      <w:pPr>
        <w:ind w:firstLine="720"/>
      </w:pPr>
      <w:r>
        <w:t xml:space="preserve">Implicit in AEP-Ohio’s claim that the Commission must authorize the PPAR to collect these costs through retail rates </w:t>
      </w:r>
      <w:r w:rsidR="008E2975">
        <w:t xml:space="preserve">may be </w:t>
      </w:r>
      <w:r>
        <w:t>a claim the costs would otherwise be</w:t>
      </w:r>
      <w:r w:rsidR="00092CF6">
        <w:t xml:space="preserve"> “trapped</w:t>
      </w:r>
      <w:r w:rsidR="00B2197A">
        <w:t>.</w:t>
      </w:r>
      <w:r w:rsidR="00092CF6">
        <w:t>”</w:t>
      </w:r>
      <w:r w:rsidR="00FB59E8">
        <w:rPr>
          <w:rStyle w:val="FootnoteReference"/>
        </w:rPr>
        <w:footnoteReference w:id="28"/>
      </w:r>
      <w:r w:rsidR="00092CF6">
        <w:t xml:space="preserve">  </w:t>
      </w:r>
      <w:r w:rsidR="008E2975">
        <w:t xml:space="preserve">Initially, they are not a trapped cost of supply because </w:t>
      </w:r>
      <w:r w:rsidR="009A7EB1">
        <w:t xml:space="preserve">AEP-Ohio </w:t>
      </w:r>
      <w:r w:rsidR="008E2975">
        <w:t>would not</w:t>
      </w:r>
      <w:r w:rsidR="009A7EB1">
        <w:t xml:space="preserve"> rely upon generation supply associated with the OVEC </w:t>
      </w:r>
      <w:r w:rsidR="009A7AE0">
        <w:t>Entitlement</w:t>
      </w:r>
      <w:r w:rsidR="009A7EB1">
        <w:t xml:space="preserve"> to provide the SSO. </w:t>
      </w:r>
      <w:r w:rsidR="009A7AE0">
        <w:t xml:space="preserve"> </w:t>
      </w:r>
      <w:r w:rsidR="009A7EB1">
        <w:t>Additionally, u</w:t>
      </w:r>
      <w:r w:rsidR="00092CF6">
        <w:t>nder the ICPA, AEP-Ohio currently has the ability to assign the OVEC Entitlement to a credit-worthy affiliate or third party.</w:t>
      </w:r>
      <w:r w:rsidR="00092CF6">
        <w:rPr>
          <w:rStyle w:val="FootnoteReference"/>
        </w:rPr>
        <w:footnoteReference w:id="29"/>
      </w:r>
      <w:r w:rsidR="00092CF6">
        <w:t xml:space="preserve">  </w:t>
      </w:r>
      <w:r w:rsidR="009A7EB1">
        <w:t xml:space="preserve">As a result, any costs that AEP-Ohio incurs as a result of the </w:t>
      </w:r>
      <w:r w:rsidR="00092CF6">
        <w:t>OVEC Entitlement</w:t>
      </w:r>
      <w:r w:rsidR="009A7EB1">
        <w:t xml:space="preserve"> are the results of </w:t>
      </w:r>
      <w:r w:rsidR="008E2975">
        <w:t xml:space="preserve">a </w:t>
      </w:r>
      <w:r w:rsidR="009A7EB1">
        <w:t>voluntary undertaking.</w:t>
      </w:r>
      <w:r w:rsidR="00092CF6">
        <w:t xml:space="preserve">  By denying the authorization of the PPAR, </w:t>
      </w:r>
      <w:r w:rsidR="008E2975">
        <w:t xml:space="preserve">therefore, </w:t>
      </w:r>
      <w:r w:rsidR="00092CF6">
        <w:t xml:space="preserve">the Commission </w:t>
      </w:r>
      <w:r w:rsidR="009A7EB1">
        <w:t xml:space="preserve">would not be </w:t>
      </w:r>
      <w:r w:rsidR="00092CF6">
        <w:t>trapping FERC-approved costs of p</w:t>
      </w:r>
      <w:r w:rsidR="00FB59E8">
        <w:t xml:space="preserve">roviding service to </w:t>
      </w:r>
      <w:r w:rsidR="009A7EB1">
        <w:t xml:space="preserve">retail </w:t>
      </w:r>
      <w:r w:rsidR="00FB59E8">
        <w:t>customers.</w:t>
      </w:r>
    </w:p>
    <w:p w:rsidR="00092CF6" w:rsidRDefault="009F4122" w:rsidP="00B2197A">
      <w:pPr>
        <w:ind w:firstLine="720"/>
      </w:pPr>
      <w:r>
        <w:t xml:space="preserve">Thus, </w:t>
      </w:r>
      <w:r w:rsidR="00FB59E8">
        <w:t xml:space="preserve">AEP-Ohio’s attempt to bootstrap approval based on </w:t>
      </w:r>
      <w:r w:rsidR="009A7AE0" w:rsidRPr="009A7AE0">
        <w:t>R.C. 4928.143(B)(2)(e)</w:t>
      </w:r>
      <w:r w:rsidR="009A7AE0">
        <w:t xml:space="preserve"> </w:t>
      </w:r>
      <w:r w:rsidR="00FB59E8">
        <w:t xml:space="preserve">must be rejected.  </w:t>
      </w:r>
      <w:r>
        <w:t>Neither this division nor federal law permits or requires the Commission to authorize the rider.</w:t>
      </w:r>
    </w:p>
    <w:p w:rsidR="00092CF6" w:rsidRPr="00C245A3" w:rsidRDefault="00092CF6" w:rsidP="00FB59E8">
      <w:pPr>
        <w:pStyle w:val="Heading3"/>
      </w:pPr>
      <w:bookmarkStart w:id="31" w:name="_Toc395521663"/>
      <w:bookmarkStart w:id="32" w:name="_Toc395706877"/>
      <w:bookmarkStart w:id="33" w:name="_Toc395791172"/>
      <w:bookmarkStart w:id="34" w:name="_Toc395868799"/>
      <w:r w:rsidRPr="00C245A3">
        <w:lastRenderedPageBreak/>
        <w:t xml:space="preserve">R.C. 4928.143(B)(2)(i) does not provide a basis for authorizing the PPAR because </w:t>
      </w:r>
      <w:r w:rsidR="002F7FE6">
        <w:t>it</w:t>
      </w:r>
      <w:r w:rsidRPr="00C245A3">
        <w:t xml:space="preserve"> would have no effect on economic development</w:t>
      </w:r>
      <w:bookmarkEnd w:id="31"/>
      <w:bookmarkEnd w:id="32"/>
      <w:bookmarkEnd w:id="33"/>
      <w:bookmarkEnd w:id="34"/>
    </w:p>
    <w:p w:rsidR="00092CF6" w:rsidRDefault="00092CF6" w:rsidP="00C245A3">
      <w:pPr>
        <w:ind w:firstLine="720"/>
      </w:pPr>
      <w:r>
        <w:t xml:space="preserve">Finally, AEP-Ohio </w:t>
      </w:r>
      <w:r w:rsidR="003F6B7A">
        <w:t>seeks authorization of</w:t>
      </w:r>
      <w:r>
        <w:t xml:space="preserve"> the PPAR </w:t>
      </w:r>
      <w:r w:rsidR="003F6B7A">
        <w:t xml:space="preserve">under R.C. 4928.143(B)(2)(i) </w:t>
      </w:r>
      <w:r>
        <w:t>on the basis that the operation of OVEC provides economic benefits to a six county region in Ohio</w:t>
      </w:r>
      <w:r w:rsidR="003F6B7A">
        <w:t>.</w:t>
      </w:r>
      <w:r>
        <w:rPr>
          <w:rStyle w:val="FootnoteReference"/>
        </w:rPr>
        <w:footnoteReference w:id="30"/>
      </w:r>
      <w:r>
        <w:t xml:space="preserve">  Its claim assumes that OVEC would not provide those economic benefits if the PPAR was not approved.  Mr. Vegas, however, testified that OVEC would continue to operate even if the Commission denied authorization of the PPAR.</w:t>
      </w:r>
      <w:r>
        <w:rPr>
          <w:rStyle w:val="FootnoteReference"/>
        </w:rPr>
        <w:footnoteReference w:id="31"/>
      </w:r>
      <w:r>
        <w:t xml:space="preserve">  Thus, the authorization </w:t>
      </w:r>
      <w:r w:rsidR="00B2197A">
        <w:t xml:space="preserve">of the PPAR </w:t>
      </w:r>
      <w:r>
        <w:t>would not be related to economic development or job retention.  Accordingly, AEP-Ohio has failed to show that R.C. 4928.143(B)(2)(i) authorizes the PPAR.</w:t>
      </w:r>
    </w:p>
    <w:p w:rsidR="00092CF6" w:rsidRPr="00C245A3" w:rsidRDefault="00FB59E8" w:rsidP="003E617E">
      <w:pPr>
        <w:pStyle w:val="Heading2"/>
      </w:pPr>
      <w:bookmarkStart w:id="35" w:name="_Toc395521664"/>
      <w:bookmarkStart w:id="36" w:name="_Toc395706878"/>
      <w:bookmarkStart w:id="37" w:name="_Toc395791173"/>
      <w:bookmarkStart w:id="38" w:name="_Toc395868800"/>
      <w:r>
        <w:t xml:space="preserve">The PPAR is unreasonable because </w:t>
      </w:r>
      <w:r w:rsidR="002F0DC9">
        <w:t xml:space="preserve">the PPAR </w:t>
      </w:r>
      <w:r>
        <w:t>fails to provide any benefit to customers, will likely increase their costs</w:t>
      </w:r>
      <w:r w:rsidR="00B2197A" w:rsidRPr="00B2197A">
        <w:t xml:space="preserve"> </w:t>
      </w:r>
      <w:r w:rsidR="00B2197A">
        <w:t>substantially</w:t>
      </w:r>
      <w:r>
        <w:t xml:space="preserve">, and will </w:t>
      </w:r>
      <w:r w:rsidR="002F0DC9">
        <w:t xml:space="preserve">impose </w:t>
      </w:r>
      <w:r>
        <w:t>additional market risk</w:t>
      </w:r>
      <w:r w:rsidR="002F0DC9">
        <w:t xml:space="preserve"> on customers</w:t>
      </w:r>
      <w:bookmarkEnd w:id="35"/>
      <w:bookmarkEnd w:id="36"/>
      <w:bookmarkEnd w:id="37"/>
      <w:bookmarkEnd w:id="38"/>
    </w:p>
    <w:p w:rsidR="00092CF6" w:rsidRDefault="00092CF6" w:rsidP="00C245A3">
      <w:pPr>
        <w:ind w:firstLine="720"/>
      </w:pPr>
      <w:r>
        <w:t xml:space="preserve">The Staff opposes the PPAR, in part, on the basis that its authorization would undo the Commission’s recent steps to implement the requirements of </w:t>
      </w:r>
      <w:r w:rsidR="00B2197A">
        <w:t>Amended Substitute Senate Bill 3 (“</w:t>
      </w:r>
      <w:r>
        <w:t>SB 3</w:t>
      </w:r>
      <w:r w:rsidR="00B2197A">
        <w:t xml:space="preserve">”) </w:t>
      </w:r>
      <w:r>
        <w:t xml:space="preserve">and </w:t>
      </w:r>
      <w:r w:rsidR="00B2197A" w:rsidRPr="00B2197A">
        <w:t xml:space="preserve">Amended Substitute Senate Bill </w:t>
      </w:r>
      <w:r w:rsidR="00B2197A">
        <w:t>221 (“</w:t>
      </w:r>
      <w:r>
        <w:t>SB 221</w:t>
      </w:r>
      <w:r w:rsidR="00B2197A">
        <w:t>”)</w:t>
      </w:r>
      <w:r>
        <w:t>.</w:t>
      </w:r>
      <w:r>
        <w:rPr>
          <w:rStyle w:val="FootnoteReference"/>
        </w:rPr>
        <w:footnoteReference w:id="32"/>
      </w:r>
      <w:r>
        <w:t xml:space="preserve">  As Staff points out, “AEP-Ohio asks … the Commission to </w:t>
      </w:r>
      <w:r w:rsidR="00B2197A">
        <w:t>reverse</w:t>
      </w:r>
      <w:r>
        <w:t xml:space="preserve"> course and begin ‘reregulating’ some of AEP-Ohio’s generation assets.  The PPA Rider will move AEP-Ohio in the exact opposite direction of market-based </w:t>
      </w:r>
      <w:r w:rsidR="00444614">
        <w:t>competition</w:t>
      </w:r>
      <w:r>
        <w:t>.”</w:t>
      </w:r>
      <w:r>
        <w:rPr>
          <w:rStyle w:val="FootnoteReference"/>
        </w:rPr>
        <w:footnoteReference w:id="33"/>
      </w:r>
      <w:r>
        <w:t xml:space="preserve">  </w:t>
      </w:r>
    </w:p>
    <w:p w:rsidR="00092CF6" w:rsidRDefault="00092CF6" w:rsidP="00C245A3">
      <w:pPr>
        <w:ind w:firstLine="720"/>
      </w:pPr>
      <w:r>
        <w:t>The Staff is only partially correct in asserting that AEP-Ohio is seeking to avoid the outcomes required by Ohio law.  As proposed, the PPAR would guarantee AEP-</w:t>
      </w:r>
      <w:r>
        <w:lastRenderedPageBreak/>
        <w:t>Ohio full cost recovery of the OVEC Entitlement.  Beyond that, however, AEP-Ohio is seeking authority that these costs be unregulated by this Commission.  According to AEP-Ohio, it is seeking a one-time determination that the costs of the OVEC Entitlement are prudently incurred and a commitment from the Commission that any additional PPAs for which it seeks authorization for cost recovery in the future will also be subject to a “one and done” approval process.</w:t>
      </w:r>
      <w:r w:rsidR="00B2197A">
        <w:rPr>
          <w:rStyle w:val="FootnoteReference"/>
        </w:rPr>
        <w:footnoteReference w:id="34"/>
      </w:r>
      <w:r>
        <w:t xml:space="preserve">  Moreover, the generation units that AEP-Ohio would look to for additional PPAs would be limited to those of its unregulated generation affiliate.</w:t>
      </w:r>
      <w:r w:rsidR="00EA13BE">
        <w:rPr>
          <w:rStyle w:val="FootnoteReference"/>
        </w:rPr>
        <w:footnoteReference w:id="35"/>
      </w:r>
      <w:r>
        <w:t xml:space="preserve">  Thus, AEP-Ohio is not asking the Commission to re-regulate generation costs through the PPAR; rather, it is seeking a near-blank check to pass through generation related costs of </w:t>
      </w:r>
      <w:r w:rsidR="00AB6031">
        <w:t xml:space="preserve">OVEC and </w:t>
      </w:r>
      <w:r>
        <w:t>its unregulated generation affiliate.</w:t>
      </w:r>
    </w:p>
    <w:p w:rsidR="002F0DC9" w:rsidRDefault="00092CF6" w:rsidP="002F0DC9">
      <w:pPr>
        <w:ind w:firstLine="720"/>
      </w:pPr>
      <w:r>
        <w:t xml:space="preserve">To justify this “blank check,” AEP-Ohio argues at length that the PPAR </w:t>
      </w:r>
      <w:r w:rsidR="002F0DC9">
        <w:t>complies with</w:t>
      </w:r>
      <w:r>
        <w:t xml:space="preserve"> the ESP statutory framework and</w:t>
      </w:r>
      <w:r w:rsidR="002F0DC9">
        <w:t xml:space="preserve"> that rejection of the PPAR would inappropriately limit</w:t>
      </w:r>
      <w:r>
        <w:t xml:space="preserve"> the Commission’s ability to address price stability.</w:t>
      </w:r>
      <w:r w:rsidR="002F0DC9">
        <w:rPr>
          <w:rStyle w:val="FootnoteReference"/>
        </w:rPr>
        <w:footnoteReference w:id="36"/>
      </w:r>
      <w:r w:rsidR="002F0DC9">
        <w:t xml:space="preserve">  </w:t>
      </w:r>
      <w:r>
        <w:t xml:space="preserve">Both claims are wrong.  </w:t>
      </w:r>
    </w:p>
    <w:p w:rsidR="00092CF6" w:rsidRDefault="00092CF6" w:rsidP="002F0DC9">
      <w:pPr>
        <w:ind w:firstLine="720"/>
      </w:pPr>
      <w:r>
        <w:t xml:space="preserve">First, the “statutory framework” for an ESP, R.C. 4928.143(B), does not provide authorization for a PPAR.  As the discussion above indicates, </w:t>
      </w:r>
      <w:r w:rsidR="002F0DC9">
        <w:t xml:space="preserve">none of the provisions of R.C. 4928.143(B)(2) that </w:t>
      </w:r>
      <w:r>
        <w:t xml:space="preserve">AEP-Ohio has </w:t>
      </w:r>
      <w:r w:rsidR="006D78F1">
        <w:t xml:space="preserve">identified </w:t>
      </w:r>
      <w:r>
        <w:t>authorize</w:t>
      </w:r>
      <w:r w:rsidR="002F0DC9">
        <w:t>s</w:t>
      </w:r>
      <w:r>
        <w:t xml:space="preserve"> the PPAR.</w:t>
      </w:r>
      <w:r w:rsidR="00EA13BE">
        <w:t xml:space="preserve">  Additionally, the PPAR would violate a prohibition </w:t>
      </w:r>
      <w:r w:rsidR="003039C5">
        <w:t xml:space="preserve">of </w:t>
      </w:r>
      <w:r w:rsidR="00EA13BE">
        <w:t xml:space="preserve">subsidies contained in R.C. 4928.02(H) and 4928.17, </w:t>
      </w:r>
      <w:r w:rsidR="003F6B7A">
        <w:t xml:space="preserve">violate </w:t>
      </w:r>
      <w:r w:rsidR="00EA13BE">
        <w:t xml:space="preserve">a prohibition of the authorization of transition revenue </w:t>
      </w:r>
      <w:r w:rsidR="006D78F1">
        <w:t xml:space="preserve">or its </w:t>
      </w:r>
      <w:r w:rsidR="009A7AE0">
        <w:t>equivalent</w:t>
      </w:r>
      <w:r w:rsidR="006D78F1">
        <w:t xml:space="preserve"> </w:t>
      </w:r>
      <w:r w:rsidR="00EA13BE">
        <w:t>contained in R.C. 4928.38, and exceed the Commission’s authority</w:t>
      </w:r>
      <w:r w:rsidR="00B13E9E">
        <w:t>,</w:t>
      </w:r>
      <w:r w:rsidR="00EA13BE">
        <w:t xml:space="preserve"> which is limited to the regulation of retail, rather th</w:t>
      </w:r>
      <w:r w:rsidR="002D221C">
        <w:t>an wholesale, electric services.</w:t>
      </w:r>
      <w:r w:rsidR="002D221C">
        <w:rPr>
          <w:rStyle w:val="FootnoteReference"/>
        </w:rPr>
        <w:footnoteReference w:id="37"/>
      </w:r>
      <w:r w:rsidR="00EA13BE">
        <w:t xml:space="preserve"> </w:t>
      </w:r>
      <w:r w:rsidR="002D221C">
        <w:t xml:space="preserve"> Additionally, it would </w:t>
      </w:r>
      <w:r w:rsidR="002D221C">
        <w:lastRenderedPageBreak/>
        <w:t>also violate federal law.</w:t>
      </w:r>
      <w:r w:rsidR="002D221C">
        <w:rPr>
          <w:rStyle w:val="FootnoteReference"/>
        </w:rPr>
        <w:footnoteReference w:id="38"/>
      </w:r>
      <w:r w:rsidR="002D221C">
        <w:t xml:space="preserve">  AEP-Ohio’s claim that </w:t>
      </w:r>
      <w:r w:rsidR="006D78F1">
        <w:t xml:space="preserve">PPAR satisfies </w:t>
      </w:r>
      <w:r w:rsidR="002D221C">
        <w:t xml:space="preserve">the statutory framework of </w:t>
      </w:r>
      <w:r w:rsidR="006D78F1">
        <w:t xml:space="preserve">an </w:t>
      </w:r>
      <w:r w:rsidR="002D221C">
        <w:t>ESP is plainly wrong.</w:t>
      </w:r>
    </w:p>
    <w:p w:rsidR="00092CF6" w:rsidRDefault="002F0DC9" w:rsidP="00C245A3">
      <w:pPr>
        <w:ind w:firstLine="720"/>
      </w:pPr>
      <w:r>
        <w:t>Second, the Commission will not</w:t>
      </w:r>
      <w:r w:rsidR="00092CF6">
        <w:t xml:space="preserve"> </w:t>
      </w:r>
      <w:r w:rsidR="002D221C">
        <w:t>limit</w:t>
      </w:r>
      <w:r w:rsidR="00092CF6">
        <w:t xml:space="preserve"> its abi</w:t>
      </w:r>
      <w:r>
        <w:t xml:space="preserve">lity to address price stability of the SSO </w:t>
      </w:r>
      <w:r w:rsidR="00092CF6">
        <w:t xml:space="preserve">if it refuses to </w:t>
      </w:r>
      <w:r w:rsidR="002D221C">
        <w:t>authorize</w:t>
      </w:r>
      <w:r w:rsidR="00092CF6">
        <w:t xml:space="preserve"> the PPAR.  </w:t>
      </w:r>
      <w:r w:rsidR="00AB6031">
        <w:t>For example, t</w:t>
      </w:r>
      <w:r>
        <w:t>he</w:t>
      </w:r>
      <w:r w:rsidR="00092CF6">
        <w:t xml:space="preserve"> </w:t>
      </w:r>
      <w:r w:rsidR="0079159A">
        <w:t>Staff has</w:t>
      </w:r>
      <w:r w:rsidR="00092CF6">
        <w:t xml:space="preserve"> proposed modification</w:t>
      </w:r>
      <w:r w:rsidR="003F6B7A">
        <w:t>s</w:t>
      </w:r>
      <w:r w:rsidR="00092CF6">
        <w:t xml:space="preserve"> to address price stability</w:t>
      </w:r>
      <w:r w:rsidR="003F6B7A">
        <w:t xml:space="preserve"> within the CBP process the Commission may authorize lawfully.</w:t>
      </w:r>
      <w:r w:rsidR="00092CF6">
        <w:rPr>
          <w:rStyle w:val="FootnoteReference"/>
        </w:rPr>
        <w:footnoteReference w:id="39"/>
      </w:r>
      <w:r w:rsidR="00092CF6">
        <w:t xml:space="preserve">  </w:t>
      </w:r>
    </w:p>
    <w:p w:rsidR="00092CF6" w:rsidRDefault="002F0DC9" w:rsidP="00C245A3">
      <w:pPr>
        <w:ind w:firstLine="720"/>
      </w:pPr>
      <w:r>
        <w:t>Moreover, customers already have practical tools to secure price stability</w:t>
      </w:r>
      <w:r w:rsidR="00092CF6">
        <w:t xml:space="preserve">.  As AEP-Ohio’s witness Dr. McDermott explained, customers have different </w:t>
      </w:r>
      <w:r w:rsidR="006D78F1">
        <w:t xml:space="preserve">risk </w:t>
      </w:r>
      <w:r w:rsidR="00092CF6">
        <w:t xml:space="preserve">preferences and the market for generation services </w:t>
      </w:r>
      <w:r w:rsidR="00AB6031">
        <w:t>respond</w:t>
      </w:r>
      <w:r w:rsidR="00092CF6">
        <w:t xml:space="preserve"> to those preferences.  To the extent that customers desire to hedge their cost of generation service, they can do so by selecting fixed price contracts.</w:t>
      </w:r>
      <w:r>
        <w:rPr>
          <w:rStyle w:val="FootnoteReference"/>
        </w:rPr>
        <w:footnoteReference w:id="40"/>
      </w:r>
      <w:r w:rsidR="00092CF6">
        <w:t xml:space="preserve">  </w:t>
      </w:r>
      <w:r w:rsidR="002D221C">
        <w:t>M</w:t>
      </w:r>
      <w:r w:rsidR="001C74B3">
        <w:t xml:space="preserve">any </w:t>
      </w:r>
      <w:r w:rsidR="00092CF6">
        <w:t>fixed price contracts are available to customers</w:t>
      </w:r>
      <w:r w:rsidR="002D221C">
        <w:t xml:space="preserve"> currently</w:t>
      </w:r>
      <w:r w:rsidR="00092CF6">
        <w:t>.</w:t>
      </w:r>
      <w:r w:rsidR="001C74B3">
        <w:rPr>
          <w:rStyle w:val="FootnoteReference"/>
        </w:rPr>
        <w:footnoteReference w:id="41"/>
      </w:r>
      <w:r w:rsidR="001C74B3">
        <w:t xml:space="preserve">  Thus, there are </w:t>
      </w:r>
      <w:r w:rsidR="003039C5">
        <w:t xml:space="preserve">lawful </w:t>
      </w:r>
      <w:r w:rsidR="001C74B3">
        <w:t>market-based options available to customers that desire to hedge price risk.</w:t>
      </w:r>
    </w:p>
    <w:p w:rsidR="00092CF6" w:rsidRDefault="002D221C" w:rsidP="00C245A3">
      <w:pPr>
        <w:ind w:firstLine="720"/>
      </w:pPr>
      <w:r>
        <w:t xml:space="preserve">To justify securing a “blank check” for generation-related costs it </w:t>
      </w:r>
      <w:r w:rsidR="006D78F1">
        <w:t xml:space="preserve">may </w:t>
      </w:r>
      <w:r>
        <w:t xml:space="preserve">not recover in the wholesale markets, </w:t>
      </w:r>
      <w:r w:rsidR="00092CF6">
        <w:t>AEP-Ohio</w:t>
      </w:r>
      <w:r>
        <w:t xml:space="preserve"> also provides </w:t>
      </w:r>
      <w:r w:rsidR="00092CF6">
        <w:t xml:space="preserve">a </w:t>
      </w:r>
      <w:r w:rsidR="001C74B3" w:rsidRPr="001C74B3">
        <w:t>“brief digression”</w:t>
      </w:r>
      <w:r w:rsidR="001C74B3" w:rsidRPr="001C74B3">
        <w:rPr>
          <w:vertAlign w:val="superscript"/>
        </w:rPr>
        <w:footnoteReference w:id="42"/>
      </w:r>
      <w:r w:rsidR="001C74B3" w:rsidRPr="001C74B3">
        <w:t xml:space="preserve"> </w:t>
      </w:r>
      <w:r>
        <w:t>on</w:t>
      </w:r>
      <w:r w:rsidR="00092CF6">
        <w:t xml:space="preserve"> the difficult path the Commission </w:t>
      </w:r>
      <w:r w:rsidR="00AB6031">
        <w:t>followed to implement SB 3 and SB 221</w:t>
      </w:r>
      <w:r w:rsidR="00092CF6">
        <w:t xml:space="preserve">.  After reiterating its </w:t>
      </w:r>
      <w:r w:rsidR="006D78F1">
        <w:t xml:space="preserve">incorrect </w:t>
      </w:r>
      <w:r w:rsidR="00092CF6">
        <w:t xml:space="preserve">claim that its rates were not market-based following the transition period provided by SB 3 and </w:t>
      </w:r>
      <w:r w:rsidR="006D78F1">
        <w:t xml:space="preserve">during </w:t>
      </w:r>
      <w:r w:rsidR="00092CF6">
        <w:t xml:space="preserve">its first ESP under SB 221, it cites the “cooperative partnership” between it and the Commission as </w:t>
      </w:r>
      <w:r w:rsidR="00AB6031">
        <w:t>if the “partnership” can</w:t>
      </w:r>
      <w:r w:rsidR="006D78F1">
        <w:t xml:space="preserve"> </w:t>
      </w:r>
      <w:r w:rsidR="00092CF6">
        <w:t>justif</w:t>
      </w:r>
      <w:r w:rsidR="006D78F1">
        <w:t xml:space="preserve">y </w:t>
      </w:r>
      <w:r w:rsidR="00092CF6">
        <w:lastRenderedPageBreak/>
        <w:t xml:space="preserve">authorizing a rider that is neither legal </w:t>
      </w:r>
      <w:r w:rsidR="00B13E9E">
        <w:t>n</w:t>
      </w:r>
      <w:r w:rsidR="00092CF6">
        <w:t>or reasonable.</w:t>
      </w:r>
      <w:r w:rsidR="00092CF6">
        <w:rPr>
          <w:rStyle w:val="FootnoteReference"/>
        </w:rPr>
        <w:footnoteReference w:id="43"/>
      </w:r>
      <w:r w:rsidR="00AB6031">
        <w:t xml:space="preserve">  </w:t>
      </w:r>
      <w:r w:rsidR="003039C5">
        <w:t>If the Commission’s order approving and modifying the proposed ESP is to comply with R.C. 4928.143, the Commission</w:t>
      </w:r>
      <w:r w:rsidR="00AB6031">
        <w:t xml:space="preserve"> cannot</w:t>
      </w:r>
      <w:r w:rsidR="003039C5">
        <w:t xml:space="preserve"> </w:t>
      </w:r>
      <w:r w:rsidR="00F23C81">
        <w:t xml:space="preserve">accept </w:t>
      </w:r>
      <w:r w:rsidR="003039C5">
        <w:t>this invitation from AEP-Ohio to approve the unlawful and unreasonable PPAR</w:t>
      </w:r>
      <w:r w:rsidR="00AB6031">
        <w:t>.</w:t>
      </w:r>
    </w:p>
    <w:p w:rsidR="00092CF6" w:rsidRDefault="00092CF6" w:rsidP="003E617E">
      <w:r>
        <w:tab/>
      </w:r>
      <w:r w:rsidR="002D221C">
        <w:t xml:space="preserve">Beyond the legal barriers it fails to address in its “brief digression,” </w:t>
      </w:r>
      <w:r>
        <w:t xml:space="preserve">AEP-Ohio </w:t>
      </w:r>
      <w:r w:rsidR="002D221C">
        <w:t>also</w:t>
      </w:r>
      <w:r>
        <w:t xml:space="preserve"> ignores several fundamental problems with its proposal</w:t>
      </w:r>
      <w:r w:rsidR="00B13E9E">
        <w:t>,</w:t>
      </w:r>
      <w:r>
        <w:t xml:space="preserve"> which </w:t>
      </w:r>
      <w:r w:rsidR="006D78F1">
        <w:t xml:space="preserve">undermine </w:t>
      </w:r>
      <w:r>
        <w:t xml:space="preserve">its claim that </w:t>
      </w:r>
      <w:r w:rsidR="002D221C">
        <w:t>the PPAR</w:t>
      </w:r>
      <w:r>
        <w:t xml:space="preserve"> will provide </w:t>
      </w:r>
      <w:r w:rsidR="002D221C">
        <w:t>price</w:t>
      </w:r>
      <w:r>
        <w:t xml:space="preserve"> stability.  </w:t>
      </w:r>
      <w:r w:rsidR="006D59F5">
        <w:t>These</w:t>
      </w:r>
      <w:r>
        <w:t xml:space="preserve"> problems </w:t>
      </w:r>
      <w:r w:rsidR="006D59F5">
        <w:t xml:space="preserve">include the injection of additional market risk into the bills of all customers, a lack of proof concerning the stabilizing effect of the rider, the failure to address adequately its own estimates that show the rider will be a </w:t>
      </w:r>
      <w:r w:rsidR="006D78F1">
        <w:t>net cost during the ESP term</w:t>
      </w:r>
      <w:r w:rsidR="009A7AE0">
        <w:t>,</w:t>
      </w:r>
      <w:r w:rsidR="006D78F1">
        <w:t xml:space="preserve"> </w:t>
      </w:r>
      <w:r w:rsidR="006D59F5">
        <w:t>and the fact that markets already provide the benefit the PPAR is claimed to provide</w:t>
      </w:r>
      <w:r>
        <w:t>.</w:t>
      </w:r>
    </w:p>
    <w:p w:rsidR="00092CF6" w:rsidRPr="00C245A3" w:rsidRDefault="00092CF6" w:rsidP="001C74B3">
      <w:pPr>
        <w:pStyle w:val="Heading3"/>
      </w:pPr>
      <w:bookmarkStart w:id="39" w:name="_Toc395521665"/>
      <w:bookmarkStart w:id="40" w:name="_Toc395706879"/>
      <w:bookmarkStart w:id="41" w:name="_Toc395791174"/>
      <w:bookmarkStart w:id="42" w:name="_Toc395868801"/>
      <w:r w:rsidRPr="00C245A3">
        <w:t xml:space="preserve">The PPAR injects additional price volatility </w:t>
      </w:r>
      <w:bookmarkEnd w:id="39"/>
      <w:r w:rsidR="002F7FE6">
        <w:t>in customer bills</w:t>
      </w:r>
      <w:bookmarkEnd w:id="40"/>
      <w:bookmarkEnd w:id="41"/>
      <w:bookmarkEnd w:id="42"/>
    </w:p>
    <w:p w:rsidR="00092CF6" w:rsidRDefault="00092CF6" w:rsidP="003E617E">
      <w:r>
        <w:tab/>
        <w:t>According to AEP-Ohio, the PPAR will promote rate stability whether it is a credit or a charge.</w:t>
      </w:r>
      <w:r>
        <w:rPr>
          <w:rStyle w:val="FootnoteReference"/>
        </w:rPr>
        <w:footnoteReference w:id="44"/>
      </w:r>
      <w:r>
        <w:t xml:space="preserve">  That claim is not correct.</w:t>
      </w:r>
      <w:r w:rsidRPr="005A5586">
        <w:t xml:space="preserve"> </w:t>
      </w:r>
    </w:p>
    <w:p w:rsidR="00092CF6" w:rsidRDefault="001C74B3" w:rsidP="00C245A3">
      <w:pPr>
        <w:ind w:firstLine="720"/>
      </w:pPr>
      <w:r>
        <w:t>Regardless of whether the PPAR results in a charge or credit</w:t>
      </w:r>
      <w:r w:rsidR="00092CF6">
        <w:t xml:space="preserve">, </w:t>
      </w:r>
      <w:r>
        <w:t>it</w:t>
      </w:r>
      <w:r w:rsidR="00092CF6">
        <w:t xml:space="preserve"> would increase the volatility of prices of both shopping and nonshopping customers.  </w:t>
      </w:r>
      <w:r w:rsidR="00092CF6" w:rsidRPr="00876A53">
        <w:t>Shopping customers, including residential customers, can secure long-term contracts of up to three years at a fixed rate.</w:t>
      </w:r>
      <w:r w:rsidR="00092CF6" w:rsidRPr="00876A53">
        <w:rPr>
          <w:rStyle w:val="FootnoteReference"/>
        </w:rPr>
        <w:footnoteReference w:id="45"/>
      </w:r>
      <w:r w:rsidR="00092CF6" w:rsidRPr="00876A53">
        <w:t xml:space="preserve">  Nonshopping customers would benefit from the stability provided by the laddering and staggering of the CBP.</w:t>
      </w:r>
      <w:r w:rsidR="00092CF6" w:rsidRPr="00876A53">
        <w:rPr>
          <w:rStyle w:val="FootnoteReference"/>
        </w:rPr>
        <w:footnoteReference w:id="46"/>
      </w:r>
      <w:r w:rsidR="00092CF6" w:rsidRPr="00876A53">
        <w:t xml:space="preserve">  Authorization of the PPAR, </w:t>
      </w:r>
      <w:r w:rsidR="00092CF6" w:rsidRPr="00876A53">
        <w:lastRenderedPageBreak/>
        <w:t>however, would increase price risk for both shopping and nonshopping customers</w:t>
      </w:r>
      <w:r w:rsidR="000B2D39">
        <w:t xml:space="preserve"> by adding the wholesale price risk of the OVEC Entitlement to their bills</w:t>
      </w:r>
      <w:r w:rsidR="00092CF6" w:rsidRPr="00876A53">
        <w:t>.</w:t>
      </w:r>
      <w:r w:rsidR="00092CF6" w:rsidRPr="00876A53">
        <w:rPr>
          <w:rStyle w:val="FootnoteReference"/>
        </w:rPr>
        <w:footnoteReference w:id="47"/>
      </w:r>
      <w:r w:rsidR="00092CF6" w:rsidRPr="00876A53">
        <w:t xml:space="preserve">  </w:t>
      </w:r>
    </w:p>
    <w:p w:rsidR="000E26A1" w:rsidRDefault="000E26A1" w:rsidP="000E26A1">
      <w:pPr>
        <w:pStyle w:val="Heading3"/>
      </w:pPr>
      <w:bookmarkStart w:id="43" w:name="_Toc395521666"/>
      <w:bookmarkStart w:id="44" w:name="_Toc395706880"/>
      <w:bookmarkStart w:id="45" w:name="_Toc395791175"/>
      <w:bookmarkStart w:id="46" w:name="_Toc395868802"/>
      <w:r>
        <w:t xml:space="preserve">The evidence does not support </w:t>
      </w:r>
      <w:r w:rsidR="006D78F1">
        <w:t xml:space="preserve">the claim that the PPAR would act as a </w:t>
      </w:r>
      <w:r>
        <w:t xml:space="preserve">hedge </w:t>
      </w:r>
      <w:r w:rsidR="002F7FE6">
        <w:t xml:space="preserve">or </w:t>
      </w:r>
      <w:r>
        <w:t>provide additional protection from extreme weather events</w:t>
      </w:r>
      <w:bookmarkEnd w:id="43"/>
      <w:bookmarkEnd w:id="44"/>
      <w:bookmarkEnd w:id="45"/>
      <w:bookmarkEnd w:id="46"/>
    </w:p>
    <w:p w:rsidR="000B2D39" w:rsidRDefault="000B2D39" w:rsidP="001C74B3">
      <w:pPr>
        <w:ind w:firstLine="720"/>
      </w:pPr>
      <w:r>
        <w:t xml:space="preserve">In response to the evidence that the PPAR would increase the price volatility of AEP-Ohio’s customers, </w:t>
      </w:r>
      <w:r w:rsidR="00092CF6">
        <w:t xml:space="preserve">AEP-Ohio seeks to cloud the ineffectiveness of the PPAR as a “hedge” by arguing that market prices are more volatile in an upward direction due to </w:t>
      </w:r>
      <w:r w:rsidR="00C6207B">
        <w:t xml:space="preserve">significantly harsher seasonal </w:t>
      </w:r>
      <w:r w:rsidR="00092CF6">
        <w:t>weather than downward due to milder than normal weather</w:t>
      </w:r>
      <w:r>
        <w:t xml:space="preserve"> and offered some examples of the sensitivity of the rider to changes in market prices of electricity</w:t>
      </w:r>
      <w:r w:rsidR="00092CF6">
        <w:t>.</w:t>
      </w:r>
      <w:r w:rsidR="00092CF6">
        <w:rPr>
          <w:rStyle w:val="FootnoteReference"/>
        </w:rPr>
        <w:footnoteReference w:id="48"/>
      </w:r>
      <w:r w:rsidR="00092CF6">
        <w:t xml:space="preserve">  </w:t>
      </w:r>
      <w:r>
        <w:t>This response, however, does not address the basic problem the intervenors have identified with the PPAR that the PPAR increases retail price volatility.  The problem is inherent in the design of the rider and is not resolved by AEP-Ohio’s attempt to show that there may be an upside to the rider if electric prices increase or decrease more than what is shown by a set of normalized weather assumptions.</w:t>
      </w:r>
    </w:p>
    <w:p w:rsidR="001C74B3" w:rsidRDefault="000B2D39" w:rsidP="001C74B3">
      <w:pPr>
        <w:ind w:firstLine="720"/>
      </w:pPr>
      <w:r>
        <w:t>Even if AEP-Ohio’s response did address the effect of the rider on price volatility, t</w:t>
      </w:r>
      <w:r w:rsidR="001C74B3" w:rsidRPr="001C74B3">
        <w:t>he examples concerning the sensitivity of the hedge offered by AEP-Ohio</w:t>
      </w:r>
      <w:r>
        <w:t xml:space="preserve"> </w:t>
      </w:r>
      <w:r w:rsidR="001C74B3" w:rsidRPr="001C74B3">
        <w:t>are not grounded in reality.  In practice, OVEC’s costs are sensitive to many factors including plant outages, weather, soft energy prices, and general economic conditions.</w:t>
      </w:r>
      <w:r w:rsidR="001C74B3" w:rsidRPr="001C74B3">
        <w:rPr>
          <w:vertAlign w:val="superscript"/>
        </w:rPr>
        <w:footnoteReference w:id="49"/>
      </w:r>
      <w:r w:rsidR="001C74B3" w:rsidRPr="001C74B3">
        <w:t xml:space="preserve">  These factors resulted in a 24% swing in the cost of OVEC generation between 2011 and </w:t>
      </w:r>
      <w:r w:rsidR="001C74B3" w:rsidRPr="001C74B3">
        <w:lastRenderedPageBreak/>
        <w:t>2012.</w:t>
      </w:r>
      <w:r w:rsidR="001C74B3" w:rsidRPr="001C74B3">
        <w:rPr>
          <w:vertAlign w:val="superscript"/>
        </w:rPr>
        <w:footnoteReference w:id="50"/>
      </w:r>
      <w:r w:rsidR="001C74B3" w:rsidRPr="001C74B3">
        <w:t xml:space="preserve">  </w:t>
      </w:r>
      <w:r>
        <w:t>Despite the fact that OVEC’s costs are sensitive to weather and other factors</w:t>
      </w:r>
      <w:r w:rsidR="006D59F5" w:rsidRPr="001C74B3">
        <w:t xml:space="preserve">, </w:t>
      </w:r>
      <w:r>
        <w:t xml:space="preserve">AEP-Ohio </w:t>
      </w:r>
      <w:r w:rsidR="006D59F5">
        <w:t xml:space="preserve">assumed </w:t>
      </w:r>
      <w:r>
        <w:t>that</w:t>
      </w:r>
      <w:r w:rsidR="006D59F5">
        <w:t xml:space="preserve"> costs remained constant</w:t>
      </w:r>
      <w:r>
        <w:t xml:space="preserve"> when market prices changed</w:t>
      </w:r>
      <w:r w:rsidR="006D59F5">
        <w:t>.</w:t>
      </w:r>
      <w:r w:rsidR="006D59F5" w:rsidRPr="001C74B3">
        <w:rPr>
          <w:vertAlign w:val="superscript"/>
        </w:rPr>
        <w:footnoteReference w:id="51"/>
      </w:r>
      <w:r w:rsidR="006D59F5">
        <w:t xml:space="preserve">  By ignoring the connection between prices and costs, </w:t>
      </w:r>
      <w:r w:rsidR="001C74B3" w:rsidRPr="001C74B3">
        <w:t>AEP-Ohio forced the data to produce the results it desired.</w:t>
      </w:r>
      <w:r>
        <w:t xml:space="preserve">  These contrived examples are not </w:t>
      </w:r>
      <w:r w:rsidR="00526AD7">
        <w:t>sound</w:t>
      </w:r>
      <w:r>
        <w:t xml:space="preserve"> evidence on which to </w:t>
      </w:r>
      <w:r w:rsidR="00A40342">
        <w:t>authorize</w:t>
      </w:r>
      <w:r>
        <w:t xml:space="preserve"> the PPAR.</w:t>
      </w:r>
    </w:p>
    <w:p w:rsidR="000E26A1" w:rsidRPr="001C74B3" w:rsidRDefault="000E26A1" w:rsidP="000E26A1">
      <w:pPr>
        <w:pStyle w:val="Heading3"/>
      </w:pPr>
      <w:bookmarkStart w:id="47" w:name="_Toc395521667"/>
      <w:bookmarkStart w:id="48" w:name="_Toc395706881"/>
      <w:bookmarkStart w:id="49" w:name="_Toc395791176"/>
      <w:bookmarkStart w:id="50" w:name="_Toc395868803"/>
      <w:r>
        <w:t>The PPAR, directionally, will impose a cost on customers</w:t>
      </w:r>
      <w:bookmarkEnd w:id="47"/>
      <w:bookmarkEnd w:id="48"/>
      <w:bookmarkEnd w:id="49"/>
      <w:bookmarkEnd w:id="50"/>
    </w:p>
    <w:p w:rsidR="006A2B87" w:rsidRDefault="001C74B3" w:rsidP="001C74B3">
      <w:pPr>
        <w:ind w:firstLine="720"/>
      </w:pPr>
      <w:r w:rsidRPr="001C74B3">
        <w:t>AEP-Ohio further attempts to justify the PPAR by arguing that the effect of the PPAR on customer bills will be either neutral to positive in the short run and a benefit in the long run.</w:t>
      </w:r>
      <w:r w:rsidRPr="001C74B3">
        <w:rPr>
          <w:vertAlign w:val="superscript"/>
        </w:rPr>
        <w:footnoteReference w:id="52"/>
      </w:r>
      <w:r w:rsidRPr="001C74B3">
        <w:t xml:space="preserve">  </w:t>
      </w:r>
      <w:r w:rsidR="003F6B7A">
        <w:t>(</w:t>
      </w:r>
      <w:r w:rsidRPr="001C74B3">
        <w:t>Given AEP-Ohio’s recent ability to estimate transmission</w:t>
      </w:r>
      <w:r>
        <w:t xml:space="preserve"> </w:t>
      </w:r>
      <w:r w:rsidR="000A075A">
        <w:t xml:space="preserve">costs </w:t>
      </w:r>
      <w:r>
        <w:t>and</w:t>
      </w:r>
      <w:r w:rsidR="000A075A">
        <w:t xml:space="preserve"> customer</w:t>
      </w:r>
      <w:r>
        <w:t xml:space="preserve"> migration, the Commission sh</w:t>
      </w:r>
      <w:r w:rsidRPr="001C74B3">
        <w:t>ould not place much weight on AEP-Ohio’s ability to predict even short-term results.</w:t>
      </w:r>
      <w:r w:rsidRPr="001C74B3">
        <w:rPr>
          <w:vertAlign w:val="superscript"/>
        </w:rPr>
        <w:footnoteReference w:id="53"/>
      </w:r>
      <w:r w:rsidR="003F6B7A">
        <w:t>)</w:t>
      </w:r>
      <w:r w:rsidRPr="001C74B3">
        <w:t xml:space="preserve">  As to the short run benefits of the PPAR, AEP-Ohio concedes that they will likely be minimal</w:t>
      </w:r>
      <w:r w:rsidR="003039C5">
        <w:t>: 7</w:t>
      </w:r>
      <w:r w:rsidR="003039C5">
        <w:rPr>
          <w:rFonts w:cs="Arial"/>
        </w:rPr>
        <w:t>¢</w:t>
      </w:r>
      <w:r w:rsidR="003039C5">
        <w:t>/megawatt-hour</w:t>
      </w:r>
      <w:r w:rsidRPr="001C74B3">
        <w:t>.</w:t>
      </w:r>
      <w:r w:rsidRPr="001C74B3">
        <w:rPr>
          <w:vertAlign w:val="superscript"/>
        </w:rPr>
        <w:footnoteReference w:id="54"/>
      </w:r>
      <w:r w:rsidRPr="001C74B3">
        <w:t xml:space="preserve">  </w:t>
      </w:r>
      <w:r w:rsidR="006A2B87">
        <w:t xml:space="preserve">Thus, its claim that the </w:t>
      </w:r>
      <w:r w:rsidR="003F6B7A">
        <w:t xml:space="preserve">PPAR </w:t>
      </w:r>
      <w:r w:rsidR="006A2B87">
        <w:t xml:space="preserve">will provide price stability </w:t>
      </w:r>
      <w:r w:rsidR="00526AD7">
        <w:t xml:space="preserve">or a financial benefit to customers </w:t>
      </w:r>
      <w:r w:rsidR="001F1533">
        <w:t xml:space="preserve">during the term of the proposed ESP </w:t>
      </w:r>
      <w:r w:rsidR="006A2B87">
        <w:t>is unsupported.</w:t>
      </w:r>
    </w:p>
    <w:p w:rsidR="001C74B3" w:rsidRDefault="006A2B87" w:rsidP="001C74B3">
      <w:pPr>
        <w:ind w:firstLine="720"/>
      </w:pPr>
      <w:r>
        <w:t xml:space="preserve">Further, AEP-Ohio seeks to avoid its own prior </w:t>
      </w:r>
      <w:r w:rsidR="001F1533">
        <w:t>estimates of the cost the PPAR would impose on customers</w:t>
      </w:r>
      <w:r>
        <w:t xml:space="preserve">.  </w:t>
      </w:r>
      <w:r w:rsidR="001C74B3" w:rsidRPr="001C74B3">
        <w:t xml:space="preserve">Before it provided its 7¢ solution, </w:t>
      </w:r>
      <w:r>
        <w:t>AEP-Ohio’s</w:t>
      </w:r>
      <w:r w:rsidR="001C74B3" w:rsidRPr="001C74B3">
        <w:t xml:space="preserve"> </w:t>
      </w:r>
      <w:r>
        <w:t>estimates</w:t>
      </w:r>
      <w:r w:rsidR="001C74B3" w:rsidRPr="001C74B3">
        <w:t xml:space="preserve"> demonstrate</w:t>
      </w:r>
      <w:r>
        <w:t>d</w:t>
      </w:r>
      <w:r w:rsidR="001C74B3" w:rsidRPr="001C74B3">
        <w:t xml:space="preserve"> that the PPAR </w:t>
      </w:r>
      <w:r w:rsidR="00526AD7">
        <w:t>initially</w:t>
      </w:r>
      <w:r w:rsidR="00526AD7" w:rsidRPr="001C74B3">
        <w:t xml:space="preserve"> would</w:t>
      </w:r>
      <w:r w:rsidR="001C74B3" w:rsidRPr="001C74B3">
        <w:t xml:space="preserve"> be a cost to customers.</w:t>
      </w:r>
      <w:r w:rsidR="001C74B3" w:rsidRPr="001C74B3">
        <w:rPr>
          <w:vertAlign w:val="superscript"/>
        </w:rPr>
        <w:footnoteReference w:id="55"/>
      </w:r>
      <w:r w:rsidR="001C74B3" w:rsidRPr="001C74B3">
        <w:t xml:space="preserve">  Further, its </w:t>
      </w:r>
      <w:r>
        <w:t>first</w:t>
      </w:r>
      <w:r w:rsidR="001C74B3" w:rsidRPr="001C74B3">
        <w:t xml:space="preserve"> estimate, a reasonable one according to Mr. Vegas, predicted that the cost of the PPAR </w:t>
      </w:r>
      <w:r w:rsidR="001C74B3" w:rsidRPr="001C74B3">
        <w:lastRenderedPageBreak/>
        <w:t>would be $52 million.</w:t>
      </w:r>
      <w:r w:rsidR="001C74B3" w:rsidRPr="001C74B3">
        <w:rPr>
          <w:vertAlign w:val="superscript"/>
        </w:rPr>
        <w:footnoteReference w:id="56"/>
      </w:r>
      <w:r w:rsidR="001C74B3" w:rsidRPr="001C74B3">
        <w:t xml:space="preserve">  Properly adjusted for output and costs, the PPAR</w:t>
      </w:r>
      <w:r w:rsidR="001C74B3">
        <w:t xml:space="preserve"> likely</w:t>
      </w:r>
      <w:r w:rsidR="001C74B3" w:rsidRPr="001C74B3">
        <w:t xml:space="preserve"> would increase customer bills between $82 million and $116 million.</w:t>
      </w:r>
      <w:r w:rsidR="001C74B3" w:rsidRPr="001C74B3">
        <w:rPr>
          <w:vertAlign w:val="superscript"/>
        </w:rPr>
        <w:footnoteReference w:id="57"/>
      </w:r>
      <w:r w:rsidR="001C74B3" w:rsidRPr="001C74B3">
        <w:t xml:space="preserve">  On the record of this case, AEP-Ohio failed to demonstrate that the PPAR </w:t>
      </w:r>
      <w:r w:rsidR="00B13E9E">
        <w:t>would</w:t>
      </w:r>
      <w:r w:rsidR="00B13E9E" w:rsidRPr="001C74B3">
        <w:t xml:space="preserve"> </w:t>
      </w:r>
      <w:r w:rsidR="001C74B3" w:rsidRPr="001C74B3">
        <w:t>produce a benefit to customers.</w:t>
      </w:r>
    </w:p>
    <w:p w:rsidR="000E26A1" w:rsidRDefault="00C20A43" w:rsidP="0055290B">
      <w:pPr>
        <w:pStyle w:val="Heading3"/>
      </w:pPr>
      <w:bookmarkStart w:id="51" w:name="_Toc395521668"/>
      <w:bookmarkStart w:id="52" w:name="_Toc395706882"/>
      <w:bookmarkStart w:id="53" w:name="_Toc395791177"/>
      <w:bookmarkStart w:id="54" w:name="_Toc395868804"/>
      <w:r>
        <w:t>L</w:t>
      </w:r>
      <w:r w:rsidR="0079159A">
        <w:t xml:space="preserve">awful </w:t>
      </w:r>
      <w:r w:rsidR="000E26A1">
        <w:t xml:space="preserve">solutions to </w:t>
      </w:r>
      <w:r w:rsidR="0079159A">
        <w:t xml:space="preserve">hedge </w:t>
      </w:r>
      <w:r w:rsidR="000E26A1">
        <w:t>price volatility are already available to customers</w:t>
      </w:r>
      <w:bookmarkEnd w:id="51"/>
      <w:bookmarkEnd w:id="52"/>
      <w:bookmarkEnd w:id="53"/>
      <w:bookmarkEnd w:id="54"/>
    </w:p>
    <w:p w:rsidR="00AB6031" w:rsidRDefault="006D427C" w:rsidP="00555236">
      <w:pPr>
        <w:ind w:firstLine="720"/>
      </w:pPr>
      <w:r>
        <w:t xml:space="preserve">As an additional </w:t>
      </w:r>
      <w:r w:rsidR="00092CF6">
        <w:t xml:space="preserve">justification for the PPAR, AEP-Ohio offers that the Commission should not rely </w:t>
      </w:r>
      <w:r w:rsidR="000A075A">
        <w:t xml:space="preserve">exclusively </w:t>
      </w:r>
      <w:r w:rsidR="00092CF6">
        <w:t xml:space="preserve">on the </w:t>
      </w:r>
      <w:r w:rsidR="000A075A">
        <w:t xml:space="preserve">markets operated by </w:t>
      </w:r>
      <w:r w:rsidR="00092CF6">
        <w:t xml:space="preserve">PJM to establish prices </w:t>
      </w:r>
      <w:r w:rsidR="00CA0B2E">
        <w:t xml:space="preserve">for </w:t>
      </w:r>
      <w:r w:rsidR="00092CF6">
        <w:t>retail customers.</w:t>
      </w:r>
      <w:r w:rsidR="00092CF6">
        <w:rPr>
          <w:rStyle w:val="FootnoteReference"/>
        </w:rPr>
        <w:footnoteReference w:id="58"/>
      </w:r>
      <w:r w:rsidR="00092CF6">
        <w:t xml:space="preserve">  In support of this position, AEP-Ohio enters into an extended criticism of PJM’s markets.</w:t>
      </w:r>
      <w:r w:rsidR="00526AD7">
        <w:rPr>
          <w:rStyle w:val="FootnoteReference"/>
        </w:rPr>
        <w:footnoteReference w:id="59"/>
      </w:r>
      <w:r w:rsidR="00092CF6">
        <w:t xml:space="preserve">  </w:t>
      </w:r>
      <w:r>
        <w:t xml:space="preserve">AEP-Ohio further argues that “it is self-evident that reasonable rates are not achieved by unmitigated exposure to volatile </w:t>
      </w:r>
      <w:r w:rsidR="00444614">
        <w:t>market rates.”</w:t>
      </w:r>
      <w:r>
        <w:rPr>
          <w:rStyle w:val="FootnoteReference"/>
        </w:rPr>
        <w:footnoteReference w:id="60"/>
      </w:r>
      <w:r>
        <w:t xml:space="preserve">  </w:t>
      </w:r>
    </w:p>
    <w:p w:rsidR="001F1533" w:rsidRDefault="00AB6031" w:rsidP="00555236">
      <w:pPr>
        <w:ind w:firstLine="720"/>
      </w:pPr>
      <w:r>
        <w:t>AEP-Ohio’s criticism of PJM markets is irrelevant to a determination of the lawfulness and reasonableness of the PPAR</w:t>
      </w:r>
      <w:r w:rsidR="006D427C">
        <w:t xml:space="preserve">.  </w:t>
      </w:r>
      <w:r>
        <w:t>Retail generation service has been declared a competitive service in Ohio as a matter of law.</w:t>
      </w:r>
      <w:r>
        <w:rPr>
          <w:rStyle w:val="FootnoteReference"/>
        </w:rPr>
        <w:footnoteReference w:id="61"/>
      </w:r>
      <w:r>
        <w:t xml:space="preserve">  </w:t>
      </w:r>
      <w:r w:rsidR="001F1533">
        <w:t xml:space="preserve">The Commission’s authority to price the ESP is limited by R.C. 4928.143.  </w:t>
      </w:r>
      <w:r>
        <w:t xml:space="preserve">Based on Ohio law, there is no lawful basis for approval of the PPAR as a provision of an ESP.  </w:t>
      </w:r>
    </w:p>
    <w:p w:rsidR="006A2B87" w:rsidRDefault="00AB6031" w:rsidP="00555236">
      <w:pPr>
        <w:ind w:firstLine="720"/>
      </w:pPr>
      <w:r>
        <w:t xml:space="preserve">Further, there is no demonstrated need for the PPAR to address the volatility of retail electric markets.  </w:t>
      </w:r>
      <w:r w:rsidR="003039C5">
        <w:t>As noted above, r</w:t>
      </w:r>
      <w:r w:rsidR="00AE3AEC">
        <w:t>etail markets</w:t>
      </w:r>
      <w:r w:rsidR="00147C31">
        <w:t xml:space="preserve"> </w:t>
      </w:r>
      <w:r w:rsidR="00AE3AEC">
        <w:t xml:space="preserve">provide products by which customers </w:t>
      </w:r>
      <w:r w:rsidR="003039C5">
        <w:t>elect the amount of price risk they want to undertake,</w:t>
      </w:r>
      <w:r w:rsidR="00AE3AEC">
        <w:t xml:space="preserve"> and </w:t>
      </w:r>
      <w:r w:rsidR="003039C5">
        <w:t xml:space="preserve">the Commission </w:t>
      </w:r>
      <w:r w:rsidR="003039C5">
        <w:lastRenderedPageBreak/>
        <w:t xml:space="preserve">can address price volatility through the terms of its authorization of </w:t>
      </w:r>
      <w:r w:rsidR="00AE3AEC">
        <w:t>the SSO product.</w:t>
      </w:r>
      <w:r w:rsidR="00AE3AEC">
        <w:rPr>
          <w:rStyle w:val="FootnoteReference"/>
        </w:rPr>
        <w:footnoteReference w:id="62"/>
      </w:r>
      <w:r w:rsidR="00AE3AEC">
        <w:t xml:space="preserve">  </w:t>
      </w:r>
      <w:r w:rsidR="006D427C">
        <w:t>As the Staff and others point out, these options assure that customers’ needs and risk tolerance are addressed by lawful means.</w:t>
      </w:r>
      <w:r w:rsidR="006D427C">
        <w:rPr>
          <w:rStyle w:val="FootnoteReference"/>
        </w:rPr>
        <w:footnoteReference w:id="63"/>
      </w:r>
      <w:r w:rsidR="006D427C">
        <w:t xml:space="preserve"> </w:t>
      </w:r>
      <w:r w:rsidR="00C6207B">
        <w:t xml:space="preserve"> </w:t>
      </w:r>
    </w:p>
    <w:p w:rsidR="006A2B87" w:rsidRDefault="006A2B87" w:rsidP="006A2B87">
      <w:pPr>
        <w:pStyle w:val="Heading2"/>
      </w:pPr>
      <w:bookmarkStart w:id="55" w:name="_Toc395521669"/>
      <w:bookmarkStart w:id="56" w:name="_Toc395706883"/>
      <w:bookmarkStart w:id="57" w:name="_Toc395791178"/>
      <w:bookmarkStart w:id="58" w:name="_Toc395868805"/>
      <w:r>
        <w:t xml:space="preserve">AEP-Ohio’s </w:t>
      </w:r>
      <w:r w:rsidR="004536A8">
        <w:t>c</w:t>
      </w:r>
      <w:r>
        <w:t xml:space="preserve">laim </w:t>
      </w:r>
      <w:r w:rsidR="00E37603">
        <w:t xml:space="preserve">that </w:t>
      </w:r>
      <w:r w:rsidR="004536A8">
        <w:t xml:space="preserve">the PPAR will hedge electricity prices ignores the </w:t>
      </w:r>
      <w:r w:rsidR="0079159A">
        <w:t>effects</w:t>
      </w:r>
      <w:r w:rsidR="004536A8">
        <w:t xml:space="preserve"> of the annual </w:t>
      </w:r>
      <w:r w:rsidR="00C6207B">
        <w:t>reconciliation</w:t>
      </w:r>
      <w:bookmarkEnd w:id="55"/>
      <w:bookmarkEnd w:id="56"/>
      <w:bookmarkEnd w:id="57"/>
      <w:bookmarkEnd w:id="58"/>
      <w:r w:rsidR="004536A8">
        <w:t xml:space="preserve"> </w:t>
      </w:r>
    </w:p>
    <w:p w:rsidR="00092CF6" w:rsidRDefault="00092CF6" w:rsidP="00C245A3">
      <w:pPr>
        <w:ind w:firstLine="720"/>
      </w:pPr>
      <w:r>
        <w:t xml:space="preserve">AEP-Ohio </w:t>
      </w:r>
      <w:r w:rsidR="00526AD7">
        <w:t xml:space="preserve">also </w:t>
      </w:r>
      <w:r>
        <w:t>urges the Commission to ignore the</w:t>
      </w:r>
      <w:r w:rsidR="004536A8">
        <w:t xml:space="preserve"> mathematical consequences that the annual </w:t>
      </w:r>
      <w:r w:rsidR="00C6207B">
        <w:t>reconciliation</w:t>
      </w:r>
      <w:r w:rsidR="004536A8">
        <w:t xml:space="preserve"> adjustment to </w:t>
      </w:r>
      <w:r w:rsidR="003676D4">
        <w:t>true-</w:t>
      </w:r>
      <w:r w:rsidR="004536A8">
        <w:t xml:space="preserve">up revenues collected or credited through the PPAR will have on the claimed hedge </w:t>
      </w:r>
      <w:r w:rsidR="00E00016">
        <w:t>resulting from the PPAR</w:t>
      </w:r>
      <w:r w:rsidR="00010AA3">
        <w:t>.</w:t>
      </w:r>
      <w:r>
        <w:rPr>
          <w:rStyle w:val="FootnoteReference"/>
        </w:rPr>
        <w:footnoteReference w:id="64"/>
      </w:r>
      <w:r>
        <w:t xml:space="preserve">  </w:t>
      </w:r>
      <w:r w:rsidRPr="00E223AC">
        <w:t xml:space="preserve">As proposed, AEP-Ohio will annually adjust the PPAR for prior </w:t>
      </w:r>
      <w:r w:rsidR="00E00016">
        <w:t xml:space="preserve">year </w:t>
      </w:r>
      <w:r w:rsidRPr="00E223AC">
        <w:t xml:space="preserve">under and over-recoveries </w:t>
      </w:r>
      <w:r w:rsidR="00E00016">
        <w:t>of revenues</w:t>
      </w:r>
      <w:r w:rsidRPr="00E223AC">
        <w:t xml:space="preserve">.  Whether large or small, the </w:t>
      </w:r>
      <w:r w:rsidR="00C6207B">
        <w:t>reconciliation</w:t>
      </w:r>
      <w:r w:rsidR="00E00016">
        <w:t xml:space="preserve"> </w:t>
      </w:r>
      <w:r w:rsidRPr="00E223AC">
        <w:t xml:space="preserve">adjustments would be the result of the </w:t>
      </w:r>
      <w:r w:rsidR="00E00016">
        <w:t xml:space="preserve">prior period over or </w:t>
      </w:r>
      <w:r w:rsidR="001F1533">
        <w:t>under-</w:t>
      </w:r>
      <w:r w:rsidR="00E00016">
        <w:t xml:space="preserve">recovery </w:t>
      </w:r>
      <w:r w:rsidRPr="00E223AC">
        <w:t>and have no</w:t>
      </w:r>
      <w:r w:rsidR="00E00016">
        <w:t xml:space="preserve"> relationship to generation price</w:t>
      </w:r>
      <w:r w:rsidR="001F1533">
        <w:t>s</w:t>
      </w:r>
      <w:r w:rsidR="00E00016">
        <w:t xml:space="preserve"> </w:t>
      </w:r>
      <w:r w:rsidRPr="00E223AC">
        <w:t xml:space="preserve">in the coming year.  As a result, whatever hedge </w:t>
      </w:r>
      <w:r w:rsidR="00E00016">
        <w:t xml:space="preserve">that </w:t>
      </w:r>
      <w:r w:rsidRPr="00E223AC">
        <w:t xml:space="preserve">might be </w:t>
      </w:r>
      <w:r w:rsidR="00E00016">
        <w:t xml:space="preserve">attributed to </w:t>
      </w:r>
      <w:r w:rsidRPr="00E223AC">
        <w:t xml:space="preserve">the PPAR may be offset by </w:t>
      </w:r>
      <w:r w:rsidR="00E00016">
        <w:t xml:space="preserve">the annual </w:t>
      </w:r>
      <w:r w:rsidR="0079159A">
        <w:t>reconciliation</w:t>
      </w:r>
      <w:r w:rsidR="00E00016">
        <w:t xml:space="preserve"> adjustment</w:t>
      </w:r>
      <w:r w:rsidRPr="00E223AC">
        <w:t xml:space="preserve">.  </w:t>
      </w:r>
    </w:p>
    <w:p w:rsidR="006D427C" w:rsidRDefault="006D427C" w:rsidP="00C245A3">
      <w:pPr>
        <w:ind w:firstLine="720"/>
      </w:pPr>
      <w:r>
        <w:t xml:space="preserve">Ignoring the lag </w:t>
      </w:r>
      <w:r w:rsidR="00E00016">
        <w:t xml:space="preserve">associated with the annual </w:t>
      </w:r>
      <w:r w:rsidR="00010AA3">
        <w:t>reconciliation</w:t>
      </w:r>
      <w:r w:rsidR="00E00016">
        <w:t xml:space="preserve"> adjustment </w:t>
      </w:r>
      <w:r>
        <w:t>also require</w:t>
      </w:r>
      <w:r w:rsidR="00E00016">
        <w:t>s</w:t>
      </w:r>
      <w:r>
        <w:t xml:space="preserve"> the Commission to ignore </w:t>
      </w:r>
      <w:r w:rsidR="00E00016">
        <w:t xml:space="preserve">the consequences of </w:t>
      </w:r>
      <w:r>
        <w:t xml:space="preserve">AEP-Ohio’s request </w:t>
      </w:r>
      <w:r w:rsidR="00E00016">
        <w:t xml:space="preserve">to be able to </w:t>
      </w:r>
      <w:r w:rsidR="00010AA3">
        <w:t>t</w:t>
      </w:r>
      <w:r>
        <w:t xml:space="preserve">erminate </w:t>
      </w:r>
      <w:r w:rsidR="00010AA3">
        <w:t xml:space="preserve">unilaterally </w:t>
      </w:r>
      <w:r>
        <w:t xml:space="preserve">the proposed ESP a year early.  </w:t>
      </w:r>
      <w:r w:rsidR="00E00016">
        <w:t xml:space="preserve">If AEP-Ohio has </w:t>
      </w:r>
      <w:r w:rsidR="001F1533">
        <w:t>over-</w:t>
      </w:r>
      <w:r w:rsidR="00E00016">
        <w:t>collected its revenue requirement associated with the PPAR in the second year of the ESP, any benefit that might flow to customers through the reconciliation adjustment in the third year of the ESP could be trumped by AEP-Ohio’s unilateral termination of the ESP a year early.</w:t>
      </w:r>
    </w:p>
    <w:p w:rsidR="00092CF6" w:rsidRDefault="006A2B87" w:rsidP="00C245A3">
      <w:pPr>
        <w:ind w:firstLine="720"/>
      </w:pPr>
      <w:r>
        <w:lastRenderedPageBreak/>
        <w:t>In summary, a</w:t>
      </w:r>
      <w:r w:rsidR="00092CF6">
        <w:t xml:space="preserve">uthorization of the PPAR </w:t>
      </w:r>
      <w:r>
        <w:t>would be illegal and unreasonable.  No provision of Ohio law authorizes the rider, and several prohibit it.  Further, AEP-Ohio has failed to demonstrate that the PPAR will provide a benefit of either lower prices or more stable prices</w:t>
      </w:r>
      <w:r w:rsidR="00092CF6">
        <w:t xml:space="preserve">.  </w:t>
      </w:r>
      <w:r w:rsidR="0057008F">
        <w:t>The Commission, moreover, should recognize that c</w:t>
      </w:r>
      <w:r w:rsidR="00092CF6">
        <w:t xml:space="preserve">ustomers have available to them the means to </w:t>
      </w:r>
      <w:r w:rsidR="000E6F46">
        <w:t xml:space="preserve">manage exposure to price volatility </w:t>
      </w:r>
      <w:r w:rsidR="00092CF6">
        <w:t xml:space="preserve">through the market or </w:t>
      </w:r>
      <w:r w:rsidR="0057008F">
        <w:t>a properly designed</w:t>
      </w:r>
      <w:r w:rsidR="00092CF6">
        <w:t xml:space="preserve"> SSO.  </w:t>
      </w:r>
      <w:r w:rsidR="003039C5">
        <w:t>Because authorization of the PPAR would not be lawful or reasonable</w:t>
      </w:r>
      <w:r w:rsidR="00092CF6">
        <w:t xml:space="preserve">, the Commission should reject </w:t>
      </w:r>
      <w:r w:rsidR="003039C5">
        <w:t xml:space="preserve">AEP-Ohio’s </w:t>
      </w:r>
      <w:r w:rsidR="00092CF6">
        <w:t>“unsolicited act of altruism.”</w:t>
      </w:r>
      <w:r w:rsidR="00092CF6">
        <w:rPr>
          <w:rStyle w:val="FootnoteReference"/>
        </w:rPr>
        <w:footnoteReference w:id="65"/>
      </w:r>
    </w:p>
    <w:p w:rsidR="00092CF6" w:rsidRPr="00C245A3" w:rsidRDefault="00092CF6" w:rsidP="003E617E">
      <w:pPr>
        <w:pStyle w:val="Heading2"/>
      </w:pPr>
      <w:bookmarkStart w:id="59" w:name="_Toc395521670"/>
      <w:bookmarkStart w:id="60" w:name="_Toc395706884"/>
      <w:bookmarkStart w:id="61" w:name="_Toc395791179"/>
      <w:bookmarkStart w:id="62" w:name="_Toc395868806"/>
      <w:r w:rsidRPr="00C245A3">
        <w:t xml:space="preserve">The Commission should not authorize the modified PPAR proposed by </w:t>
      </w:r>
      <w:bookmarkEnd w:id="59"/>
      <w:bookmarkEnd w:id="60"/>
      <w:r w:rsidR="001F1533">
        <w:t>the Ohio Energy Group</w:t>
      </w:r>
      <w:bookmarkEnd w:id="61"/>
      <w:bookmarkEnd w:id="62"/>
    </w:p>
    <w:p w:rsidR="00092CF6" w:rsidRDefault="00092CF6" w:rsidP="003E617E">
      <w:r>
        <w:tab/>
      </w:r>
      <w:r w:rsidR="000E6F46">
        <w:t>Ohio Energy Group (“</w:t>
      </w:r>
      <w:r>
        <w:t>OEG</w:t>
      </w:r>
      <w:r w:rsidR="000E6F46">
        <w:t>”)</w:t>
      </w:r>
      <w:r>
        <w:t xml:space="preserve"> offers its own take on the PPAR, presenting many of the same arguments in support of a PPAR as AEP-Ohio.  However, </w:t>
      </w:r>
      <w:r w:rsidR="00C22EA3">
        <w:t xml:space="preserve">OEG </w:t>
      </w:r>
      <w:r>
        <w:t>also argues that the Commission should substantially modify AEP-Ohio’s proposal in two significant ways.  First, OEG recommends that the PPAR be extended to nine and a half years.  Second, it recommends that</w:t>
      </w:r>
      <w:r w:rsidR="00895514">
        <w:t xml:space="preserve"> energy-intensive</w:t>
      </w:r>
      <w:r>
        <w:t xml:space="preserve"> </w:t>
      </w:r>
      <w:r w:rsidR="00895514">
        <w:t xml:space="preserve">commercial and industrial </w:t>
      </w:r>
      <w:r>
        <w:t>customers have the option of opting out of the rider.</w:t>
      </w:r>
      <w:r w:rsidR="0057008F">
        <w:rPr>
          <w:rStyle w:val="FootnoteReference"/>
        </w:rPr>
        <w:footnoteReference w:id="66"/>
      </w:r>
    </w:p>
    <w:p w:rsidR="0057008F" w:rsidRDefault="00092CF6" w:rsidP="003E617E">
      <w:r>
        <w:tab/>
        <w:t xml:space="preserve">OEG </w:t>
      </w:r>
      <w:r w:rsidR="00010AA3">
        <w:t xml:space="preserve">does </w:t>
      </w:r>
      <w:r w:rsidR="00C20A43">
        <w:t xml:space="preserve">not provide </w:t>
      </w:r>
      <w:r w:rsidR="0079159A">
        <w:t>any legal basis for authorization</w:t>
      </w:r>
      <w:r>
        <w:t xml:space="preserve"> </w:t>
      </w:r>
      <w:r w:rsidR="000E6F46">
        <w:t xml:space="preserve">of a </w:t>
      </w:r>
      <w:r>
        <w:t>PPAR</w:t>
      </w:r>
      <w:r w:rsidR="000E6F46">
        <w:t xml:space="preserve"> </w:t>
      </w:r>
      <w:r w:rsidR="0079159A">
        <w:t xml:space="preserve">under R.C. 4928.143(B)(2) </w:t>
      </w:r>
      <w:r w:rsidR="000E6F46">
        <w:t>(either as proposed by AEP-Ohio or as modified by OEG)</w:t>
      </w:r>
      <w:r>
        <w:t xml:space="preserve">.  It instead offers broad claims that </w:t>
      </w:r>
      <w:r w:rsidR="000E6F46">
        <w:t xml:space="preserve">such a </w:t>
      </w:r>
      <w:r>
        <w:t xml:space="preserve">rider </w:t>
      </w:r>
      <w:r w:rsidR="000E6F46">
        <w:t xml:space="preserve">would be </w:t>
      </w:r>
      <w:r>
        <w:t>consistent with the policies embedded in Ohio law.</w:t>
      </w:r>
      <w:r>
        <w:rPr>
          <w:rStyle w:val="FootnoteReference"/>
        </w:rPr>
        <w:footnoteReference w:id="67"/>
      </w:r>
      <w:r>
        <w:t xml:space="preserve">  As discussed above, </w:t>
      </w:r>
      <w:r w:rsidR="0079159A">
        <w:t>R.C. 4928.143(B)(2)</w:t>
      </w:r>
      <w:r>
        <w:t xml:space="preserve"> does not authorize a PPAR, and several provisions prohibit this sort of rider.  </w:t>
      </w:r>
    </w:p>
    <w:p w:rsidR="00C22EA3" w:rsidRDefault="00092CF6" w:rsidP="0057008F">
      <w:pPr>
        <w:ind w:firstLine="720"/>
      </w:pPr>
      <w:r>
        <w:lastRenderedPageBreak/>
        <w:t>OEG also argues that the PPAR will provide a benefit to customers.</w:t>
      </w:r>
      <w:r>
        <w:rPr>
          <w:rStyle w:val="FootnoteReference"/>
        </w:rPr>
        <w:footnoteReference w:id="68"/>
      </w:r>
      <w:r>
        <w:t xml:space="preserve">  As discussed above, those claims are not well</w:t>
      </w:r>
      <w:r w:rsidR="00B13E9E">
        <w:t>-</w:t>
      </w:r>
      <w:r>
        <w:t>grounded in the record.</w:t>
      </w:r>
      <w:r w:rsidR="000E6F46">
        <w:t xml:space="preserve"> </w:t>
      </w:r>
      <w:r w:rsidR="0079159A">
        <w:t xml:space="preserve"> </w:t>
      </w:r>
    </w:p>
    <w:p w:rsidR="00092CF6" w:rsidRDefault="00092CF6" w:rsidP="0057008F">
      <w:pPr>
        <w:ind w:firstLine="720"/>
      </w:pPr>
      <w:r>
        <w:t>Also like AEP-Ohio, OEG criticizes the Staff for opposing the PPAR and “ceding complete control of energy and capacity pricing to PJM.”</w:t>
      </w:r>
      <w:r>
        <w:rPr>
          <w:rStyle w:val="FootnoteReference"/>
        </w:rPr>
        <w:footnoteReference w:id="69"/>
      </w:r>
      <w:r>
        <w:t xml:space="preserve">  This claim suffers from the sa</w:t>
      </w:r>
      <w:r w:rsidR="0057008F">
        <w:t>me problems as AEP-Ohio’s: by approving the PPAR, the Commission would be granting AEP-Ohio authority to pass through OVEC costs with no Commission oversight and little expectation of FERC review</w:t>
      </w:r>
      <w:r>
        <w:t>.</w:t>
      </w:r>
      <w:r w:rsidR="00C453ED">
        <w:t xml:space="preserve">  Further, customers can secure retail agreement</w:t>
      </w:r>
      <w:r w:rsidR="00147C31">
        <w:t>s</w:t>
      </w:r>
      <w:r w:rsidR="00C453ED">
        <w:t xml:space="preserve"> that hedge prices.</w:t>
      </w:r>
    </w:p>
    <w:p w:rsidR="00114153" w:rsidRDefault="00092CF6" w:rsidP="003E617E">
      <w:r>
        <w:tab/>
      </w:r>
      <w:r w:rsidR="00C22EA3">
        <w:t xml:space="preserve">OEG’s </w:t>
      </w:r>
      <w:r>
        <w:t xml:space="preserve">recommendations for modifying the PPAR, however, are more telling of the limited benefits </w:t>
      </w:r>
      <w:r w:rsidR="00C22EA3">
        <w:t xml:space="preserve">it </w:t>
      </w:r>
      <w:r>
        <w:t xml:space="preserve">expects from AEP-Ohio’s proposal and the inherent problems </w:t>
      </w:r>
      <w:r w:rsidR="0057008F">
        <w:t>of</w:t>
      </w:r>
      <w:r>
        <w:t xml:space="preserve"> a nonbypassable rider.  By OEG’s estimate, the rider does not provide a benefit unless the rider is in place for a longer term than that offered by AEP-Ohio.  In </w:t>
      </w:r>
      <w:r w:rsidR="00895514">
        <w:t>the “near term</w:t>
      </w:r>
      <w:r>
        <w:t>,</w:t>
      </w:r>
      <w:r w:rsidR="00895514">
        <w:t>”</w:t>
      </w:r>
      <w:r>
        <w:t xml:space="preserve"> the PPAR would result in a cost to customers.</w:t>
      </w:r>
      <w:r w:rsidR="00895514">
        <w:rPr>
          <w:rStyle w:val="FootnoteReference"/>
        </w:rPr>
        <w:footnoteReference w:id="70"/>
      </w:r>
      <w:r>
        <w:t xml:space="preserve">  That does not mean, however, that the situation will turn around if the term of the PPAR is extended.  OEG’s witness conceded that long-term estimates bec</w:t>
      </w:r>
      <w:r w:rsidR="00CA0B2E">
        <w:t>o</w:t>
      </w:r>
      <w:r>
        <w:t>me more susceptible to error.</w:t>
      </w:r>
      <w:r w:rsidR="00895514">
        <w:rPr>
          <w:rStyle w:val="FootnoteReference"/>
        </w:rPr>
        <w:footnoteReference w:id="71"/>
      </w:r>
      <w:r>
        <w:t xml:space="preserve"> </w:t>
      </w:r>
      <w:r w:rsidR="00010AA3">
        <w:t xml:space="preserve"> </w:t>
      </w:r>
    </w:p>
    <w:p w:rsidR="00092CF6" w:rsidRDefault="00C22EA3" w:rsidP="00512637">
      <w:pPr>
        <w:ind w:firstLine="720"/>
      </w:pPr>
      <w:r>
        <w:t>Additionally,</w:t>
      </w:r>
      <w:r w:rsidR="000E6F46">
        <w:t xml:space="preserve"> OEG </w:t>
      </w:r>
      <w:r>
        <w:t xml:space="preserve">recommends </w:t>
      </w:r>
      <w:r w:rsidR="000E6F46">
        <w:t xml:space="preserve">that the PPAR </w:t>
      </w:r>
      <w:r w:rsidR="00010AA3">
        <w:t>be</w:t>
      </w:r>
      <w:r w:rsidR="000E6F46">
        <w:t xml:space="preserve"> a nonbypassable charge for all customer</w:t>
      </w:r>
      <w:r>
        <w:t>s</w:t>
      </w:r>
      <w:r w:rsidR="000E6F46">
        <w:t xml:space="preserve"> other than those with more than </w:t>
      </w:r>
      <w:r w:rsidR="00010AA3">
        <w:t>a ten</w:t>
      </w:r>
      <w:r w:rsidR="000E6F46">
        <w:t xml:space="preserve"> megawatt</w:t>
      </w:r>
      <w:r w:rsidR="00010AA3">
        <w:t xml:space="preserve"> load</w:t>
      </w:r>
      <w:r w:rsidR="000E6F46">
        <w:t xml:space="preserve"> a</w:t>
      </w:r>
      <w:r w:rsidR="00010AA3">
        <w:t>t a</w:t>
      </w:r>
      <w:r w:rsidR="000E6F46">
        <w:t xml:space="preserve"> single site</w:t>
      </w:r>
      <w:r w:rsidR="00010AA3">
        <w:t>; the energy intensive customers</w:t>
      </w:r>
      <w:r w:rsidR="000E6F46">
        <w:t xml:space="preserve"> could elect to opt out of the PPAR.</w:t>
      </w:r>
      <w:r w:rsidR="000E6F46">
        <w:rPr>
          <w:rStyle w:val="FootnoteReference"/>
        </w:rPr>
        <w:footnoteReference w:id="72"/>
      </w:r>
      <w:r w:rsidR="00092CF6">
        <w:t xml:space="preserve"> </w:t>
      </w:r>
      <w:r w:rsidR="00010AA3">
        <w:t xml:space="preserve"> </w:t>
      </w:r>
      <w:r w:rsidR="00114153">
        <w:t xml:space="preserve">Given the uncertainty of the benefits signaled by OEG’s request that there be authorization to opt-out of the </w:t>
      </w:r>
      <w:r w:rsidR="00114153">
        <w:lastRenderedPageBreak/>
        <w:t>rider</w:t>
      </w:r>
      <w:r w:rsidR="00092CF6">
        <w:t xml:space="preserve">, the Commission should place little weight on a claim that OEG, or anyone else, can safely estimate that </w:t>
      </w:r>
      <w:r w:rsidR="00C453ED">
        <w:t xml:space="preserve">the </w:t>
      </w:r>
      <w:r w:rsidR="00114153">
        <w:t>PPAR</w:t>
      </w:r>
      <w:r w:rsidR="00092CF6">
        <w:t xml:space="preserve"> will produce a customer benefit if parties just wait long enough.</w:t>
      </w:r>
    </w:p>
    <w:p w:rsidR="00C245A3" w:rsidRPr="00C245A3" w:rsidRDefault="00C245A3" w:rsidP="00C245A3">
      <w:pPr>
        <w:pStyle w:val="Heading1"/>
        <w:spacing w:before="180"/>
        <w:rPr>
          <w:szCs w:val="24"/>
        </w:rPr>
      </w:pPr>
      <w:bookmarkStart w:id="63" w:name="_Toc392930605"/>
      <w:bookmarkStart w:id="64" w:name="_Toc392930696"/>
      <w:bookmarkStart w:id="65" w:name="_Toc393524907"/>
      <w:bookmarkStart w:id="66" w:name="_Toc393878369"/>
      <w:bookmarkStart w:id="67" w:name="_Toc395521671"/>
      <w:bookmarkStart w:id="68" w:name="_Toc395706885"/>
      <w:bookmarkStart w:id="69" w:name="_Toc395791180"/>
      <w:bookmarkStart w:id="70" w:name="_Toc395868807"/>
      <w:r w:rsidRPr="00C245A3">
        <w:rPr>
          <w:szCs w:val="24"/>
        </w:rPr>
        <w:t xml:space="preserve">The Commission should </w:t>
      </w:r>
      <w:r w:rsidR="002F7FE6">
        <w:rPr>
          <w:szCs w:val="24"/>
        </w:rPr>
        <w:t>not authorize</w:t>
      </w:r>
      <w:r w:rsidR="002F7FE6" w:rsidRPr="00C245A3">
        <w:rPr>
          <w:szCs w:val="24"/>
        </w:rPr>
        <w:t xml:space="preserve"> </w:t>
      </w:r>
      <w:r w:rsidRPr="00C245A3">
        <w:rPr>
          <w:szCs w:val="24"/>
        </w:rPr>
        <w:t>AEP-Ohio’s proposed nonbypassable BTCR</w:t>
      </w:r>
      <w:bookmarkEnd w:id="63"/>
      <w:bookmarkEnd w:id="64"/>
      <w:bookmarkEnd w:id="65"/>
      <w:bookmarkEnd w:id="66"/>
      <w:bookmarkEnd w:id="67"/>
      <w:bookmarkEnd w:id="68"/>
      <w:bookmarkEnd w:id="69"/>
      <w:bookmarkEnd w:id="70"/>
      <w:r w:rsidRPr="00C245A3">
        <w:rPr>
          <w:szCs w:val="24"/>
        </w:rPr>
        <w:t xml:space="preserve"> </w:t>
      </w:r>
    </w:p>
    <w:p w:rsidR="00092CF6" w:rsidRDefault="00C86C33">
      <w:pPr>
        <w:ind w:firstLine="720"/>
      </w:pPr>
      <w:r>
        <w:t xml:space="preserve">AEP-Ohio proposes the BTCR and several changes in the manner in which transmission service obligations are assigned.  </w:t>
      </w:r>
      <w:r w:rsidR="00092CF6">
        <w:t xml:space="preserve">As discussed in IEU-Ohio’s Initial Brief, the proposed nonbypassable BTCR and associated re-bundling of a portion of transmission service should be rejected for </w:t>
      </w:r>
      <w:r w:rsidR="0057008F">
        <w:t xml:space="preserve">several </w:t>
      </w:r>
      <w:r w:rsidR="00092CF6">
        <w:t>reasons.</w:t>
      </w:r>
      <w:r w:rsidR="00092CF6">
        <w:rPr>
          <w:rStyle w:val="FootnoteReference"/>
        </w:rPr>
        <w:footnoteReference w:id="73"/>
      </w:r>
      <w:r w:rsidR="00092CF6">
        <w:t xml:space="preserve">  The </w:t>
      </w:r>
      <w:r w:rsidR="00C453ED">
        <w:t>Ohio Manufacturers’ Association Energy Group (“</w:t>
      </w:r>
      <w:r w:rsidR="00092CF6">
        <w:t>OMA</w:t>
      </w:r>
      <w:r w:rsidR="0057008F">
        <w:t>EG</w:t>
      </w:r>
      <w:r w:rsidR="00C453ED">
        <w:t>”)</w:t>
      </w:r>
      <w:r w:rsidR="00092CF6">
        <w:t xml:space="preserve"> similarly opposes the proposed nonbypassable BTCR.</w:t>
      </w:r>
      <w:r w:rsidR="00092CF6">
        <w:rPr>
          <w:vertAlign w:val="superscript"/>
        </w:rPr>
        <w:footnoteReference w:id="74"/>
      </w:r>
      <w:r w:rsidR="00092CF6">
        <w:t xml:space="preserve">  </w:t>
      </w:r>
    </w:p>
    <w:p w:rsidR="00092CF6" w:rsidRDefault="00092CF6">
      <w:pPr>
        <w:ind w:firstLine="720"/>
      </w:pPr>
      <w:r>
        <w:t xml:space="preserve">In support of </w:t>
      </w:r>
      <w:r w:rsidR="00C22EA3">
        <w:t>its</w:t>
      </w:r>
      <w:r>
        <w:t xml:space="preserve"> proposal to re-bundle a portion of transmission service (non-market based transmission service</w:t>
      </w:r>
      <w:r>
        <w:rPr>
          <w:vertAlign w:val="superscript"/>
        </w:rPr>
        <w:footnoteReference w:id="75"/>
      </w:r>
      <w:r>
        <w:t xml:space="preserve">) and collect the costs through the proposed </w:t>
      </w:r>
      <w:r>
        <w:lastRenderedPageBreak/>
        <w:t xml:space="preserve">nonbypassable BTCR, AEP-Ohio and several CRES providers argue in their initial briefs that the Commission should approve the proposal because it would be a benefit to both customers and CRES providers.  </w:t>
      </w:r>
      <w:r w:rsidR="00C453ED">
        <w:t>For example</w:t>
      </w:r>
      <w:r>
        <w:t xml:space="preserve">, AEP-Ohio argues that re-bundling these charges and collecting the non-market based costs on a dollar for dollar basis, </w:t>
      </w:r>
      <w:r>
        <w:rPr>
          <w:i/>
        </w:rPr>
        <w:t xml:space="preserve">i.e. </w:t>
      </w:r>
      <w:r>
        <w:t>as a “pass-through,” through the proposed nonbypassable BTCR will “ensure that all customers only pay the actual costs of non-market based transmission expenses.”</w:t>
      </w:r>
      <w:r>
        <w:rPr>
          <w:rStyle w:val="FootnoteReference"/>
        </w:rPr>
        <w:footnoteReference w:id="76"/>
      </w:r>
      <w:r>
        <w:t xml:space="preserve">  Several CRES providers make similar arguments.</w:t>
      </w:r>
      <w:r>
        <w:rPr>
          <w:rStyle w:val="FootnoteReference"/>
        </w:rPr>
        <w:footnoteReference w:id="77"/>
      </w:r>
      <w:r>
        <w:t xml:space="preserve">  </w:t>
      </w:r>
    </w:p>
    <w:p w:rsidR="00092CF6" w:rsidRDefault="00B35B16">
      <w:pPr>
        <w:ind w:firstLine="720"/>
      </w:pPr>
      <w:r>
        <w:t>If the Commission authorized</w:t>
      </w:r>
      <w:r w:rsidR="00092CF6">
        <w:t xml:space="preserve"> </w:t>
      </w:r>
      <w:r w:rsidR="00C22EA3">
        <w:t>AEP-Ohio</w:t>
      </w:r>
      <w:r>
        <w:t>’s</w:t>
      </w:r>
      <w:r w:rsidR="00C22EA3">
        <w:t xml:space="preserve"> proposal</w:t>
      </w:r>
      <w:r>
        <w:t>, the effect would be to</w:t>
      </w:r>
      <w:r w:rsidR="00C22EA3">
        <w:t xml:space="preserve"> limit customer choice</w:t>
      </w:r>
      <w:r w:rsidR="00D51289">
        <w:t xml:space="preserve"> and frustrate state policy</w:t>
      </w:r>
      <w:r w:rsidR="00C22EA3">
        <w:t xml:space="preserve">.  </w:t>
      </w:r>
      <w:r w:rsidR="00C453ED">
        <w:t xml:space="preserve">A “pass-through” already exists for customers, and many shopping customers have elected to pay for transmission service in this manner, although others </w:t>
      </w:r>
      <w:r w:rsidR="00147C31">
        <w:t>have</w:t>
      </w:r>
      <w:r w:rsidR="00C453ED">
        <w:t xml:space="preserve"> not.</w:t>
      </w:r>
      <w:r w:rsidR="00C453ED">
        <w:rPr>
          <w:vertAlign w:val="superscript"/>
        </w:rPr>
        <w:footnoteReference w:id="78"/>
      </w:r>
      <w:r w:rsidR="00C453ED">
        <w:t xml:space="preserve">  </w:t>
      </w:r>
      <w:r w:rsidR="00D51289">
        <w:t>Because</w:t>
      </w:r>
      <w:r w:rsidR="00092CF6">
        <w:t xml:space="preserve"> </w:t>
      </w:r>
      <w:r w:rsidR="008538DA">
        <w:t>customers have different needs, the ability to select either pass-through or fixed price contracts provides them opportunities to match products to their needs.</w:t>
      </w:r>
      <w:r w:rsidR="00092CF6">
        <w:rPr>
          <w:rStyle w:val="FootnoteReference"/>
        </w:rPr>
        <w:footnoteReference w:id="79"/>
      </w:r>
      <w:r w:rsidR="00092CF6">
        <w:t xml:space="preserve">  Depriving customers of </w:t>
      </w:r>
      <w:r w:rsidR="00D51289">
        <w:t xml:space="preserve">that </w:t>
      </w:r>
      <w:r w:rsidR="00092CF6">
        <w:t xml:space="preserve">choice is contrary to the state policy </w:t>
      </w:r>
      <w:r w:rsidR="0056291E">
        <w:t xml:space="preserve">to </w:t>
      </w:r>
      <w:r w:rsidR="00092CF6">
        <w:t>“[e]</w:t>
      </w:r>
      <w:r w:rsidR="0056291E">
        <w:t xml:space="preserve">nsure </w:t>
      </w:r>
      <w:r w:rsidR="00092CF6">
        <w:t>the availability of unbundled and comparable retail electric service that provides consumers with the supplier, price, terms, conditions, and quality options they elect to meet their respective needs.”</w:t>
      </w:r>
      <w:r w:rsidR="00092CF6">
        <w:rPr>
          <w:vertAlign w:val="superscript"/>
        </w:rPr>
        <w:footnoteReference w:id="80"/>
      </w:r>
      <w:r w:rsidR="00D51289">
        <w:t xml:space="preserve"> </w:t>
      </w:r>
      <w:r w:rsidR="00D51289" w:rsidRPr="00D51289">
        <w:t xml:space="preserve"> </w:t>
      </w:r>
    </w:p>
    <w:p w:rsidR="00092CF6" w:rsidRDefault="00092CF6">
      <w:pPr>
        <w:ind w:firstLine="720"/>
      </w:pPr>
      <w:r>
        <w:lastRenderedPageBreak/>
        <w:t>If CRES providers are truly concerned about the price risks for non-market based transmission services</w:t>
      </w:r>
      <w:r w:rsidR="00C20A43">
        <w:t>,</w:t>
      </w:r>
      <w:r>
        <w:t xml:space="preserve"> they can elect to offer contracts to shopping customers that contain </w:t>
      </w:r>
      <w:r w:rsidR="00C20A43">
        <w:t xml:space="preserve">only </w:t>
      </w:r>
      <w:r>
        <w:t xml:space="preserve">“pass-through” pricing for non-market based transmission services.  Of course, if </w:t>
      </w:r>
      <w:r w:rsidR="00C22EA3">
        <w:t>customers demand something other than a “pass-throug</w:t>
      </w:r>
      <w:r w:rsidR="003F7617">
        <w:t>h” of “</w:t>
      </w:r>
      <w:r w:rsidR="00C22EA3">
        <w:t>non-market</w:t>
      </w:r>
      <w:r w:rsidR="00C453ED">
        <w:t xml:space="preserve"> </w:t>
      </w:r>
      <w:r w:rsidR="00C22EA3">
        <w:t>based” transmission costs</w:t>
      </w:r>
      <w:r>
        <w:t xml:space="preserve">, CRES providers will </w:t>
      </w:r>
      <w:r w:rsidR="00114153">
        <w:t xml:space="preserve">have </w:t>
      </w:r>
      <w:r>
        <w:t>to come up with better estimates for non-market based transmission costs or allow other CRES providers to serve such customers.  The Commission</w:t>
      </w:r>
      <w:r w:rsidR="00C86C33">
        <w:t>,</w:t>
      </w:r>
      <w:r>
        <w:t xml:space="preserve"> </w:t>
      </w:r>
      <w:r w:rsidR="00C86C33">
        <w:t xml:space="preserve">however, should not </w:t>
      </w:r>
      <w:r>
        <w:t>transfer such pricing risk to all customers through AEP-Ohio’s proposal to re-bundle non-market based transmission service.</w:t>
      </w:r>
    </w:p>
    <w:p w:rsidR="00C245A3" w:rsidRPr="00C245A3" w:rsidRDefault="00C245A3" w:rsidP="003E617E">
      <w:pPr>
        <w:pStyle w:val="Heading1"/>
      </w:pPr>
      <w:bookmarkStart w:id="71" w:name="_Toc395868808"/>
      <w:bookmarkStart w:id="72" w:name="_Toc392930612"/>
      <w:bookmarkStart w:id="73" w:name="_Toc392930703"/>
      <w:bookmarkStart w:id="74" w:name="_Toc393524914"/>
      <w:bookmarkStart w:id="75" w:name="_Toc393878376"/>
      <w:bookmarkStart w:id="76" w:name="_Toc395521672"/>
      <w:bookmarkStart w:id="77" w:name="_Toc395706886"/>
      <w:bookmarkStart w:id="78" w:name="_Toc395791181"/>
      <w:r w:rsidRPr="00C245A3">
        <w:t xml:space="preserve">The Commission should </w:t>
      </w:r>
      <w:r w:rsidR="002F7FE6">
        <w:t>not authorize</w:t>
      </w:r>
      <w:r w:rsidR="002F7FE6" w:rsidRPr="00C245A3">
        <w:t xml:space="preserve"> </w:t>
      </w:r>
      <w:r w:rsidRPr="00C245A3">
        <w:t>the POR program</w:t>
      </w:r>
      <w:r w:rsidR="00C453ED">
        <w:t xml:space="preserve"> AS PROPOSED</w:t>
      </w:r>
      <w:bookmarkEnd w:id="71"/>
      <w:r w:rsidR="00C453ED">
        <w:t xml:space="preserve"> </w:t>
      </w:r>
      <w:bookmarkEnd w:id="72"/>
      <w:bookmarkEnd w:id="73"/>
      <w:bookmarkEnd w:id="74"/>
      <w:bookmarkEnd w:id="75"/>
      <w:bookmarkEnd w:id="76"/>
      <w:bookmarkEnd w:id="77"/>
      <w:bookmarkEnd w:id="78"/>
    </w:p>
    <w:p w:rsidR="00092CF6" w:rsidRDefault="00092CF6" w:rsidP="00C245A3">
      <w:pPr>
        <w:ind w:firstLine="720"/>
      </w:pPr>
      <w:r>
        <w:t>AEP-Ohio and several CRES providers (though not all) support AEP-Ohio’s POR program with some modifications.</w:t>
      </w:r>
      <w:r>
        <w:rPr>
          <w:rStyle w:val="FootnoteReference"/>
        </w:rPr>
        <w:footnoteReference w:id="81"/>
      </w:r>
      <w:r>
        <w:t xml:space="preserve">  Generally, they </w:t>
      </w:r>
      <w:r w:rsidR="00E0777D">
        <w:t>argue</w:t>
      </w:r>
      <w:r>
        <w:t xml:space="preserve"> that the POR program as </w:t>
      </w:r>
      <w:r w:rsidR="008538DA">
        <w:t>proposed</w:t>
      </w:r>
      <w:r>
        <w:t xml:space="preserve"> by AEP-Ohio will provide non-quantifiable benefits such as increased CRES provider participation, an increased variety of offers, and reduced customer confusion.  As IEU-Ohio demonstrated in its Initial Brief, the record does not support these claims.</w:t>
      </w:r>
      <w:r>
        <w:rPr>
          <w:rStyle w:val="FootnoteReference"/>
        </w:rPr>
        <w:footnoteReference w:id="82"/>
      </w:r>
    </w:p>
    <w:p w:rsidR="00092CF6" w:rsidRDefault="00092CF6" w:rsidP="00C245A3">
      <w:pPr>
        <w:ind w:firstLine="720"/>
      </w:pPr>
      <w:r>
        <w:t>AEP-Ohio advances two additional arguments in support of the POR program in its initial brief.  First, it claims that the POR program will standardize such programs in Ohio.</w:t>
      </w:r>
      <w:r>
        <w:rPr>
          <w:rStyle w:val="FootnoteReference"/>
        </w:rPr>
        <w:footnoteReference w:id="83"/>
      </w:r>
      <w:r>
        <w:t xml:space="preserve">  The record, however, does not support that claim: AEP-Ohio offered no evidence suggesting that its proposal was like those of other </w:t>
      </w:r>
      <w:r w:rsidR="004168C2">
        <w:t>electric distribution utilities (“</w:t>
      </w:r>
      <w:r>
        <w:t>EDU</w:t>
      </w:r>
      <w:r w:rsidR="004168C2">
        <w:t>”)</w:t>
      </w:r>
      <w:r>
        <w:t xml:space="preserve"> except Duke </w:t>
      </w:r>
      <w:r w:rsidR="00E0777D">
        <w:t xml:space="preserve">Energy Ohio (“Duke”) </w:t>
      </w:r>
      <w:r>
        <w:t xml:space="preserve">(and in the case of Duke, AEP-Ohio only </w:t>
      </w:r>
      <w:r>
        <w:lastRenderedPageBreak/>
        <w:t>claimed that a bad debt rider is available in Duke’s program; other programs are run by natural gas utilities),</w:t>
      </w:r>
      <w:r>
        <w:rPr>
          <w:rStyle w:val="FootnoteReference"/>
        </w:rPr>
        <w:footnoteReference w:id="84"/>
      </w:r>
      <w:r>
        <w:t xml:space="preserve"> its witness on the matter could not address the terms of the Duke program on which he relied as a basis for his claim that the BDR was similar to that of Duke’s,</w:t>
      </w:r>
      <w:r>
        <w:rPr>
          <w:rStyle w:val="FootnoteReference"/>
        </w:rPr>
        <w:footnoteReference w:id="85"/>
      </w:r>
      <w:r>
        <w:t xml:space="preserve"> and </w:t>
      </w:r>
      <w:r w:rsidR="00E27DEE">
        <w:t xml:space="preserve">the initial </w:t>
      </w:r>
      <w:r>
        <w:t xml:space="preserve">brief </w:t>
      </w:r>
      <w:r w:rsidR="00E27DEE">
        <w:t xml:space="preserve">of FirstEnergy Solutions Corp. (“FES”) </w:t>
      </w:r>
      <w:r>
        <w:t>shows that the existing Duke program and AEP-Ohio</w:t>
      </w:r>
      <w:r w:rsidR="00C22EA3">
        <w:t>’s</w:t>
      </w:r>
      <w:r>
        <w:t xml:space="preserve"> proposed program would be materially different.</w:t>
      </w:r>
      <w:r>
        <w:rPr>
          <w:rStyle w:val="FootnoteReference"/>
        </w:rPr>
        <w:footnoteReference w:id="86"/>
      </w:r>
      <w:r>
        <w:t xml:space="preserve">  Th</w:t>
      </w:r>
      <w:r w:rsidR="008538DA">
        <w:t>us, th</w:t>
      </w:r>
      <w:r>
        <w:t>e record does not support AEP-Ohio’s broad claim that its proposal aligns with the “consistent model for the Ohio market.”</w:t>
      </w:r>
      <w:r w:rsidR="008538DA">
        <w:rPr>
          <w:rStyle w:val="FootnoteReference"/>
        </w:rPr>
        <w:footnoteReference w:id="87"/>
      </w:r>
    </w:p>
    <w:p w:rsidR="00E0777D" w:rsidRDefault="00092CF6" w:rsidP="00C245A3">
      <w:pPr>
        <w:ind w:firstLine="720"/>
      </w:pPr>
      <w:r>
        <w:t>Second, it belatedly claims that the adoption of its POR program will reduce discrimination in the provision of CRES to at-risk populations.</w:t>
      </w:r>
      <w:r>
        <w:rPr>
          <w:rStyle w:val="FootnoteReference"/>
        </w:rPr>
        <w:footnoteReference w:id="88"/>
      </w:r>
      <w:r>
        <w:t xml:space="preserve">  </w:t>
      </w:r>
      <w:r w:rsidR="00E0777D">
        <w:t>Other</w:t>
      </w:r>
      <w:r>
        <w:t xml:space="preserve"> than an unsupported statement made by Mr. Gabbard,</w:t>
      </w:r>
      <w:r>
        <w:rPr>
          <w:rStyle w:val="FootnoteReference"/>
        </w:rPr>
        <w:footnoteReference w:id="89"/>
      </w:r>
      <w:r>
        <w:t xml:space="preserve"> AEP-Ohio </w:t>
      </w:r>
      <w:r w:rsidR="008538DA">
        <w:t>does</w:t>
      </w:r>
      <w:r>
        <w:t xml:space="preserve"> not demonstrate that there </w:t>
      </w:r>
      <w:r w:rsidR="008538DA">
        <w:t>is</w:t>
      </w:r>
      <w:r>
        <w:t xml:space="preserve"> any discrimination in the provision of CRES to at-risk populations.  Further, CRES providers are prohibited</w:t>
      </w:r>
      <w:r w:rsidR="00E0777D">
        <w:t xml:space="preserve"> by Commission rules</w:t>
      </w:r>
      <w:r>
        <w:t xml:space="preserve"> from knowingly enrolling percentage of </w:t>
      </w:r>
      <w:r w:rsidR="00C20A43">
        <w:t xml:space="preserve">income </w:t>
      </w:r>
      <w:r>
        <w:t>payment program and arrearage crediting program customers.</w:t>
      </w:r>
      <w:r>
        <w:rPr>
          <w:rStyle w:val="FootnoteReference"/>
        </w:rPr>
        <w:footnoteReference w:id="90"/>
      </w:r>
      <w:r>
        <w:t xml:space="preserve">  Without a change in the current rules, a POR program is irrelevant to these at-risk customers.  </w:t>
      </w:r>
    </w:p>
    <w:p w:rsidR="00092CF6" w:rsidRDefault="00092CF6" w:rsidP="00C245A3">
      <w:pPr>
        <w:ind w:firstLine="720"/>
      </w:pPr>
      <w:r>
        <w:t>Additionally, the Commission should expect either OCC, Ohio Partners for Affordable Energy (“OPAE”), or the Appalachian Peace and Justice Network (APJN”) to support the proposal</w:t>
      </w:r>
      <w:r w:rsidRPr="0017365B">
        <w:t xml:space="preserve"> </w:t>
      </w:r>
      <w:r>
        <w:t xml:space="preserve">if the POR program would provide a meaningful benefit to </w:t>
      </w:r>
      <w:r w:rsidR="00E27DEE">
        <w:t>at-</w:t>
      </w:r>
      <w:r>
        <w:t xml:space="preserve">risk </w:t>
      </w:r>
      <w:r>
        <w:lastRenderedPageBreak/>
        <w:t>customers, but they uniformly oppose it.</w:t>
      </w:r>
      <w:r>
        <w:rPr>
          <w:rStyle w:val="FootnoteReference"/>
        </w:rPr>
        <w:footnoteReference w:id="91"/>
      </w:r>
      <w:r>
        <w:t xml:space="preserve">  Instead, the only parties that support AEP-Ohio’s POR program are AEP-Ohio and the CRES providers (though not all) that would benefit from shifting the market risk associated with bad debt to all AEP-Ohio customers.</w:t>
      </w:r>
      <w:r>
        <w:rPr>
          <w:rStyle w:val="FootnoteReference"/>
        </w:rPr>
        <w:footnoteReference w:id="92"/>
      </w:r>
    </w:p>
    <w:p w:rsidR="00092CF6" w:rsidRDefault="00092CF6" w:rsidP="00C245A3">
      <w:pPr>
        <w:ind w:firstLine="720"/>
      </w:pPr>
      <w:r>
        <w:t xml:space="preserve">In addition to improperly subsidizing CRES providers, the POR program would upset legitimate efforts on the part of CRES providers to compete for customers in the AEP-Ohio service territory.  Some CRES providers have operated effectively in the </w:t>
      </w:r>
      <w:r w:rsidR="00E0777D">
        <w:t>AEP-Ohio service territory</w:t>
      </w:r>
      <w:r>
        <w:t xml:space="preserve"> </w:t>
      </w:r>
      <w:r w:rsidR="00E0777D">
        <w:t>without</w:t>
      </w:r>
      <w:r>
        <w:t xml:space="preserve"> </w:t>
      </w:r>
      <w:r w:rsidR="008538DA">
        <w:t xml:space="preserve">an </w:t>
      </w:r>
      <w:r>
        <w:t xml:space="preserve">undiscounted nonrecourse purchase of receivables </w:t>
      </w:r>
      <w:r w:rsidR="00C22EA3">
        <w:t xml:space="preserve">program </w:t>
      </w:r>
      <w:r>
        <w:t xml:space="preserve">and built collection practices to address their </w:t>
      </w:r>
      <w:r w:rsidR="00C22EA3">
        <w:t xml:space="preserve">own </w:t>
      </w:r>
      <w:r>
        <w:t>needs.</w:t>
      </w:r>
      <w:r>
        <w:rPr>
          <w:rStyle w:val="FootnoteReference"/>
        </w:rPr>
        <w:footnoteReference w:id="93"/>
      </w:r>
      <w:r>
        <w:t xml:space="preserve">  The Commission’s approval of the POR program would damage the “sweat equity” of those CRES providers that successfully played by the current rules.</w:t>
      </w:r>
    </w:p>
    <w:p w:rsidR="00092CF6" w:rsidRDefault="00C22EA3" w:rsidP="00C245A3">
      <w:pPr>
        <w:ind w:firstLine="720"/>
      </w:pPr>
      <w:r>
        <w:t>Although the Commission has expressed interest in having the EDUs present proposals for PORs,</w:t>
      </w:r>
      <w:r>
        <w:rPr>
          <w:rStyle w:val="FootnoteReference"/>
        </w:rPr>
        <w:footnoteReference w:id="94"/>
      </w:r>
      <w:r>
        <w:t xml:space="preserve"> the record in this case does not support approval of the proposal advanced by AEP-Ohio.  N</w:t>
      </w:r>
      <w:r w:rsidR="00092CF6">
        <w:t>either AEP-Ohio nor the CRES providers supporting the POR program have demonstrated that authorization would provide any substantive benefit to consumers.  Further, the record demonstrates that a POR program</w:t>
      </w:r>
      <w:r w:rsidR="00B13E9E">
        <w:t>,</w:t>
      </w:r>
      <w:r w:rsidR="00092CF6">
        <w:t xml:space="preserve"> with the BDR proposed by AEP-Ohio</w:t>
      </w:r>
      <w:r w:rsidR="00B13E9E">
        <w:t>,</w:t>
      </w:r>
      <w:r w:rsidR="00092CF6">
        <w:t xml:space="preserve"> would unlawfully and unreasonably shift market risk for generation-related services to customers.  </w:t>
      </w:r>
      <w:r w:rsidR="008538DA">
        <w:t>I</w:t>
      </w:r>
      <w:r w:rsidR="00092CF6">
        <w:t xml:space="preserve">t would not assist </w:t>
      </w:r>
      <w:r w:rsidR="00E27DEE">
        <w:t>at-</w:t>
      </w:r>
      <w:r w:rsidR="00092CF6">
        <w:t xml:space="preserve">risk populations, but would undermine the competitive advantage of those CRES providers that successfully </w:t>
      </w:r>
      <w:r w:rsidR="00092CF6">
        <w:lastRenderedPageBreak/>
        <w:t xml:space="preserve">built their business models based on the current rules.  </w:t>
      </w:r>
      <w:r>
        <w:t>Accordingly, the Commission should not authorize the POR program as proposed by AEP-Ohio.</w:t>
      </w:r>
    </w:p>
    <w:p w:rsidR="00C245A3" w:rsidRPr="00C245A3" w:rsidRDefault="00C245A3" w:rsidP="003E617E">
      <w:pPr>
        <w:pStyle w:val="Heading1"/>
      </w:pPr>
      <w:bookmarkStart w:id="79" w:name="_Toc395521673"/>
      <w:bookmarkStart w:id="80" w:name="_Toc395706887"/>
      <w:bookmarkStart w:id="81" w:name="_Toc395791182"/>
      <w:bookmarkStart w:id="82" w:name="_Toc395868809"/>
      <w:r w:rsidRPr="00C245A3">
        <w:t xml:space="preserve">The Commission should </w:t>
      </w:r>
      <w:r w:rsidR="002F7FE6">
        <w:t>not authorize</w:t>
      </w:r>
      <w:r w:rsidR="002F7FE6" w:rsidRPr="00C245A3">
        <w:t xml:space="preserve"> </w:t>
      </w:r>
      <w:r w:rsidRPr="00C245A3">
        <w:t xml:space="preserve">modification </w:t>
      </w:r>
      <w:r w:rsidR="00114153">
        <w:t>of</w:t>
      </w:r>
      <w:r w:rsidR="00114153" w:rsidRPr="00C245A3">
        <w:t xml:space="preserve"> </w:t>
      </w:r>
      <w:r w:rsidRPr="00C245A3">
        <w:t>the EDR</w:t>
      </w:r>
      <w:bookmarkEnd w:id="79"/>
      <w:bookmarkEnd w:id="80"/>
      <w:bookmarkEnd w:id="81"/>
      <w:bookmarkEnd w:id="82"/>
      <w:r w:rsidRPr="00C245A3">
        <w:t xml:space="preserve"> </w:t>
      </w:r>
    </w:p>
    <w:p w:rsidR="00092CF6" w:rsidRDefault="00092CF6" w:rsidP="00C245A3">
      <w:pPr>
        <w:ind w:firstLine="720"/>
      </w:pPr>
      <w:r>
        <w:t>OEC/EDF recommend that the Commission modify the EDR to require AEP-Ohio to “undertake a good faith effort to work with its reasonable arrangement customers—its contractual partner in encouraging economic development—so that they can take advantage of longer-lived cost-effective energy efficiency.”</w:t>
      </w:r>
      <w:r>
        <w:rPr>
          <w:rStyle w:val="FootnoteReference"/>
        </w:rPr>
        <w:footnoteReference w:id="95"/>
      </w:r>
      <w:r>
        <w:t xml:space="preserve">  The proposal offered by OEC/EDF, however, is unclear.  Further, market incentives already exist for customers to exploit all economically efficient outcomes, and existing Commission practice</w:t>
      </w:r>
      <w:r w:rsidR="00CA0B2E">
        <w:t>s</w:t>
      </w:r>
      <w:r>
        <w:t xml:space="preserve"> appear to accomplish the goal that OEC/EDF seek to accomplish with their recommendation.  Accordingly, there is no need for the Commission to adopt OEC/EDF’s recommendation.</w:t>
      </w:r>
    </w:p>
    <w:p w:rsidR="00092CF6" w:rsidRDefault="00092CF6" w:rsidP="00C245A3">
      <w:pPr>
        <w:ind w:firstLine="720"/>
      </w:pPr>
      <w:r>
        <w:t xml:space="preserve">Initially, the proposal by OEC/EDF is unclear.  According to </w:t>
      </w:r>
      <w:r w:rsidR="0020774A">
        <w:t>OEC/EDF’s</w:t>
      </w:r>
      <w:r>
        <w:t xml:space="preserve"> initial brief, </w:t>
      </w:r>
      <w:r w:rsidR="0020774A">
        <w:t>the EDR should be modified to require unique arrangements customers to “</w:t>
      </w:r>
      <w:r>
        <w:t>engage in all cost-effective energy efficiency programs.”</w:t>
      </w:r>
      <w:r w:rsidR="0020774A">
        <w:rPr>
          <w:rStyle w:val="FootnoteReference"/>
        </w:rPr>
        <w:footnoteReference w:id="96"/>
      </w:r>
      <w:r>
        <w:t xml:space="preserve">  In their supporting testimony, however, they do not </w:t>
      </w:r>
      <w:r w:rsidR="0020774A">
        <w:t>provide a method to measure whether a particular project would achieve this “goal.”</w:t>
      </w:r>
      <w:r>
        <w:rPr>
          <w:rStyle w:val="FootnoteReference"/>
        </w:rPr>
        <w:footnoteReference w:id="97"/>
      </w:r>
      <w:r>
        <w:t xml:space="preserve">  When cross-examined, </w:t>
      </w:r>
      <w:r w:rsidR="0020774A">
        <w:t>the only explanation that Ms.</w:t>
      </w:r>
      <w:r>
        <w:t xml:space="preserve"> Roberto offered </w:t>
      </w:r>
      <w:r w:rsidR="0020774A">
        <w:t xml:space="preserve">was </w:t>
      </w:r>
      <w:r>
        <w:t xml:space="preserve">that the payback period </w:t>
      </w:r>
      <w:r w:rsidR="0020774A">
        <w:t>of energy efficiency programs</w:t>
      </w:r>
      <w:r w:rsidR="00E0777D">
        <w:t xml:space="preserve"> that should be pursued</w:t>
      </w:r>
      <w:r w:rsidR="0020774A">
        <w:t xml:space="preserve"> </w:t>
      </w:r>
      <w:r w:rsidR="00E0777D">
        <w:t>sh</w:t>
      </w:r>
      <w:r>
        <w:t>ould be within the period of the authorized arrangement.</w:t>
      </w:r>
      <w:r>
        <w:rPr>
          <w:rStyle w:val="FootnoteReference"/>
        </w:rPr>
        <w:footnoteReference w:id="98"/>
      </w:r>
      <w:r w:rsidRPr="003E104E">
        <w:t xml:space="preserve"> </w:t>
      </w:r>
      <w:r>
        <w:t xml:space="preserve"> </w:t>
      </w:r>
      <w:r>
        <w:lastRenderedPageBreak/>
        <w:t xml:space="preserve">Without some additional specificity, the standard that is being proposed by OEC/EDF is </w:t>
      </w:r>
      <w:r w:rsidR="0020774A">
        <w:t>empty</w:t>
      </w:r>
      <w:r>
        <w:t xml:space="preserve">.  </w:t>
      </w:r>
    </w:p>
    <w:p w:rsidR="00092CF6" w:rsidRDefault="00092CF6" w:rsidP="00C245A3">
      <w:pPr>
        <w:ind w:firstLine="720"/>
      </w:pPr>
      <w:r>
        <w:t xml:space="preserve">Further, </w:t>
      </w:r>
      <w:r w:rsidR="0020774A">
        <w:t>there is no need to impose</w:t>
      </w:r>
      <w:r>
        <w:t xml:space="preserve"> a new condition on the proposed ESP’s EDR provision.  As OEC/EDF’s witness agreed, customers have an economic interest in deploying cost-effective energy efficiency measures.</w:t>
      </w:r>
      <w:r>
        <w:rPr>
          <w:rStyle w:val="FootnoteReference"/>
        </w:rPr>
        <w:footnoteReference w:id="99"/>
      </w:r>
      <w:r>
        <w:t xml:space="preserve">  Because customers already will deploy </w:t>
      </w:r>
      <w:r w:rsidR="00E27DEE">
        <w:t>cost-</w:t>
      </w:r>
      <w:r>
        <w:t xml:space="preserve">effective </w:t>
      </w:r>
      <w:r w:rsidR="00E27DEE">
        <w:t xml:space="preserve">energy efficiency measures </w:t>
      </w:r>
      <w:r>
        <w:t xml:space="preserve">if they are available, there is no reason for the Commission to bind </w:t>
      </w:r>
      <w:r w:rsidR="00E0777D">
        <w:t>customers with unique arrangements with</w:t>
      </w:r>
      <w:r>
        <w:t xml:space="preserve"> an </w:t>
      </w:r>
      <w:r w:rsidR="00C22EA3">
        <w:t xml:space="preserve">additional </w:t>
      </w:r>
      <w:r>
        <w:t>requirement.</w:t>
      </w:r>
    </w:p>
    <w:p w:rsidR="00092CF6" w:rsidRDefault="00216994" w:rsidP="0020774A">
      <w:pPr>
        <w:ind w:firstLine="720"/>
      </w:pPr>
      <w:r>
        <w:t>Moreover</w:t>
      </w:r>
      <w:r w:rsidR="00092CF6">
        <w:t>, the Commission already addresses the very concern raised by OEC/EDF in its orders approving unique arrangements for industrial customers</w:t>
      </w:r>
      <w:r w:rsidR="00E27DEE">
        <w:t xml:space="preserve"> on a case by case basis</w:t>
      </w:r>
      <w:r w:rsidR="00494A03">
        <w:t>.  In approving the orders for T</w:t>
      </w:r>
      <w:r w:rsidR="00092CF6">
        <w:t xml:space="preserve">he Timken Company and Eramet Marietta Inc., </w:t>
      </w:r>
      <w:r w:rsidR="00E0777D">
        <w:t xml:space="preserve">for example, </w:t>
      </w:r>
      <w:r w:rsidR="00092CF6">
        <w:t>the Commission directed the customers to commit the results of their demand reduction and energy efficiency efforts for integration with AEP-Ohio’s demand reduction, demand response, and energy efficiency programs.</w:t>
      </w:r>
      <w:r w:rsidR="00092CF6">
        <w:rPr>
          <w:rStyle w:val="FootnoteReference"/>
        </w:rPr>
        <w:footnoteReference w:id="100"/>
      </w:r>
      <w:r w:rsidR="00092CF6">
        <w:t xml:space="preserve">  </w:t>
      </w:r>
      <w:r w:rsidR="00494A03">
        <w:t>Because the Commission already addresses this issue as it is presented in individual cases</w:t>
      </w:r>
      <w:r w:rsidR="00092CF6">
        <w:t xml:space="preserve">, there is no need for the Commission to adjust the </w:t>
      </w:r>
      <w:r w:rsidR="00E0777D">
        <w:t>EDR</w:t>
      </w:r>
      <w:r w:rsidR="00092CF6">
        <w:t xml:space="preserve"> to accommodate the request of OEC/EDF.</w:t>
      </w:r>
    </w:p>
    <w:p w:rsidR="00092CF6" w:rsidRDefault="00092CF6" w:rsidP="00C245A3">
      <w:pPr>
        <w:ind w:firstLine="720"/>
      </w:pPr>
      <w:r>
        <w:lastRenderedPageBreak/>
        <w:t>Because OEC/EDF’s proposal to increase the requirements of the EDR is unclear</w:t>
      </w:r>
      <w:r w:rsidR="00E27DEE">
        <w:t xml:space="preserve"> and </w:t>
      </w:r>
      <w:r>
        <w:t>unnecessary, the Commission should reject it.</w:t>
      </w:r>
    </w:p>
    <w:p w:rsidR="00092CF6" w:rsidRPr="00C245A3" w:rsidRDefault="00092CF6" w:rsidP="003E617E">
      <w:pPr>
        <w:pStyle w:val="Heading1"/>
      </w:pPr>
      <w:bookmarkStart w:id="83" w:name="_Toc395521674"/>
      <w:bookmarkStart w:id="84" w:name="_Toc395706888"/>
      <w:bookmarkStart w:id="85" w:name="_Toc395791183"/>
      <w:bookmarkStart w:id="86" w:name="_Toc395868810"/>
      <w:r w:rsidRPr="00C245A3">
        <w:t xml:space="preserve">The Commission should </w:t>
      </w:r>
      <w:r w:rsidR="002F7FE6">
        <w:t>not authorize</w:t>
      </w:r>
      <w:r w:rsidR="002F7FE6" w:rsidRPr="00C245A3">
        <w:t xml:space="preserve"> </w:t>
      </w:r>
      <w:r w:rsidR="00D30D29">
        <w:t>ALTERATION OF</w:t>
      </w:r>
      <w:r w:rsidRPr="00C245A3">
        <w:t xml:space="preserve"> distribution cost recovery</w:t>
      </w:r>
      <w:bookmarkEnd w:id="83"/>
      <w:bookmarkEnd w:id="84"/>
      <w:bookmarkEnd w:id="85"/>
      <w:bookmarkEnd w:id="86"/>
    </w:p>
    <w:p w:rsidR="00092CF6" w:rsidRDefault="00FF12E6" w:rsidP="00C245A3">
      <w:pPr>
        <w:ind w:firstLine="720"/>
      </w:pPr>
      <w:r>
        <w:t>Based on the claim that “cost-causation” principles support a change</w:t>
      </w:r>
      <w:r w:rsidR="00E0777D">
        <w:t xml:space="preserve"> to AEP-Ohio’s </w:t>
      </w:r>
      <w:r w:rsidR="00E27DEE">
        <w:t xml:space="preserve">proposed </w:t>
      </w:r>
      <w:r w:rsidR="00E0777D">
        <w:t>method of allocating costs</w:t>
      </w:r>
      <w:r>
        <w:t xml:space="preserve">, </w:t>
      </w:r>
      <w:r w:rsidR="00092CF6">
        <w:t>OCC</w:t>
      </w:r>
      <w:r w:rsidR="00E12157">
        <w:t xml:space="preserve"> and OPA</w:t>
      </w:r>
      <w:r w:rsidR="00C20A43">
        <w:t>E</w:t>
      </w:r>
      <w:r w:rsidR="00092CF6">
        <w:rPr>
          <w:rStyle w:val="FootnoteReference"/>
        </w:rPr>
        <w:footnoteReference w:id="101"/>
      </w:r>
      <w:r w:rsidR="00E12157">
        <w:t xml:space="preserve"> propose</w:t>
      </w:r>
      <w:r w:rsidR="00092CF6">
        <w:t xml:space="preserve"> </w:t>
      </w:r>
      <w:r>
        <w:t xml:space="preserve">a change in the </w:t>
      </w:r>
      <w:r w:rsidR="00092CF6">
        <w:t xml:space="preserve">allocation of </w:t>
      </w:r>
      <w:r>
        <w:t xml:space="preserve">distribution </w:t>
      </w:r>
      <w:r w:rsidR="00092CF6">
        <w:t>costs</w:t>
      </w:r>
      <w:r w:rsidRPr="00FF12E6">
        <w:t xml:space="preserve"> </w:t>
      </w:r>
      <w:r w:rsidR="00E12157">
        <w:t xml:space="preserve">recovered through </w:t>
      </w:r>
      <w:r>
        <w:t>the Distribution Investment Rider (“DIR”)</w:t>
      </w:r>
      <w:r w:rsidR="00533A89">
        <w:t>,</w:t>
      </w:r>
      <w:r>
        <w:t xml:space="preserve"> the Enhanced Service </w:t>
      </w:r>
      <w:r w:rsidR="00B13E9E">
        <w:t>Reliability</w:t>
      </w:r>
      <w:r>
        <w:t xml:space="preserve"> Rider (“ESRR”)</w:t>
      </w:r>
      <w:r w:rsidR="00533A89">
        <w:t>,</w:t>
      </w:r>
      <w:r>
        <w:t xml:space="preserve"> the proposed Sustained and Skilled Workforce Rider (“SSWR”), and the Storm Damage Recovery Rider (“SDRR”)</w:t>
      </w:r>
      <w:r w:rsidR="00092CF6">
        <w:t>.</w:t>
      </w:r>
      <w:r>
        <w:rPr>
          <w:rStyle w:val="FootnoteReference"/>
        </w:rPr>
        <w:footnoteReference w:id="102"/>
      </w:r>
      <w:r w:rsidR="00216994">
        <w:t xml:space="preserve">  R</w:t>
      </w:r>
      <w:r w:rsidR="00092CF6">
        <w:t>elying on Mr. Wallach’s use of a cost of service study AEP-Ohio prepared to support its 2011 distribution rate case, OCC recommends that the Commission apply several allocation factors to assign recovery responsibility and thereby shift $31 million of the proposed distribution revenue increase to large commercial customers taking service under the GS-3 tariff.</w:t>
      </w:r>
      <w:r w:rsidR="00092CF6">
        <w:rPr>
          <w:rStyle w:val="FootnoteReference"/>
        </w:rPr>
        <w:footnoteReference w:id="103"/>
      </w:r>
      <w:r w:rsidR="00092CF6">
        <w:t xml:space="preserve">  According to OCC, the “specified allocations for each rider</w:t>
      </w:r>
      <w:r w:rsidR="00533A89">
        <w:t xml:space="preserve"> </w:t>
      </w:r>
      <w:r w:rsidR="00092CF6">
        <w:t>…</w:t>
      </w:r>
      <w:r w:rsidR="00533A89">
        <w:t xml:space="preserve"> </w:t>
      </w:r>
      <w:r w:rsidR="00092CF6">
        <w:t>are consistent with cost-causation principles.”</w:t>
      </w:r>
      <w:r w:rsidR="00092CF6">
        <w:rPr>
          <w:rStyle w:val="FootnoteReference"/>
        </w:rPr>
        <w:footnoteReference w:id="104"/>
      </w:r>
      <w:r w:rsidR="00092CF6">
        <w:t xml:space="preserve">  </w:t>
      </w:r>
      <w:r>
        <w:t>The record</w:t>
      </w:r>
      <w:r w:rsidR="00AC6595">
        <w:t>, however, demonstrates that reliance on the outdated cost of service study and the shifts in cost responsibility produced by its use are unreasonable</w:t>
      </w:r>
      <w:r w:rsidR="00092CF6">
        <w:t>.</w:t>
      </w:r>
      <w:r w:rsidR="00216994" w:rsidRPr="00216994">
        <w:rPr>
          <w:vertAlign w:val="superscript"/>
        </w:rPr>
        <w:footnoteReference w:id="105"/>
      </w:r>
    </w:p>
    <w:p w:rsidR="00092CF6" w:rsidRDefault="00092CF6" w:rsidP="00C245A3">
      <w:pPr>
        <w:ind w:firstLine="720"/>
      </w:pPr>
      <w:r>
        <w:t xml:space="preserve">Initially, the Commission should not revise the proposed collection mechanisms based on OCC’s use of AEP-Ohio’s cost of service study.  The test year for the cost of </w:t>
      </w:r>
      <w:r>
        <w:lastRenderedPageBreak/>
        <w:t>service study ended May 31, 2011.</w:t>
      </w:r>
      <w:r>
        <w:rPr>
          <w:rStyle w:val="FootnoteReference"/>
        </w:rPr>
        <w:footnoteReference w:id="106"/>
      </w:r>
      <w:r>
        <w:t xml:space="preserve">  Mr. Wallach did not attempt to update the study.</w:t>
      </w:r>
      <w:r>
        <w:rPr>
          <w:rStyle w:val="FootnoteReference"/>
        </w:rPr>
        <w:footnoteReference w:id="107"/>
      </w:r>
      <w:r>
        <w:t xml:space="preserve">  A comparison between the assumed </w:t>
      </w:r>
      <w:r w:rsidR="00E12157">
        <w:t>revenue</w:t>
      </w:r>
      <w:r>
        <w:t xml:space="preserve"> recovery and the actual recovery under current approved rates shows a $110 million annual difference.</w:t>
      </w:r>
      <w:r>
        <w:rPr>
          <w:rStyle w:val="FootnoteReference"/>
        </w:rPr>
        <w:footnoteReference w:id="108"/>
      </w:r>
      <w:r>
        <w:t xml:space="preserve">  Based on the </w:t>
      </w:r>
      <w:r w:rsidR="007051D7">
        <w:t>outdated nature of the cost of service study</w:t>
      </w:r>
      <w:r>
        <w:t xml:space="preserve"> and the discrepancy between projected and annual </w:t>
      </w:r>
      <w:r w:rsidR="007051D7">
        <w:t xml:space="preserve">distribution </w:t>
      </w:r>
      <w:r>
        <w:t>revenue recovery, the use of the 2011 vintage cost of service study would be unreasonable.</w:t>
      </w:r>
    </w:p>
    <w:p w:rsidR="00092CF6" w:rsidRDefault="00092CF6" w:rsidP="00C245A3">
      <w:pPr>
        <w:ind w:firstLine="720"/>
      </w:pPr>
      <w:r>
        <w:t xml:space="preserve">Additionally, the proposal offered by OCC will violate the </w:t>
      </w:r>
      <w:r w:rsidR="007051D7">
        <w:t xml:space="preserve">concept of rate gradualism </w:t>
      </w:r>
      <w:r>
        <w:t xml:space="preserve">typically </w:t>
      </w:r>
      <w:r w:rsidR="007051D7">
        <w:t xml:space="preserve">considered when </w:t>
      </w:r>
      <w:r>
        <w:t>adjust</w:t>
      </w:r>
      <w:r w:rsidR="007051D7">
        <w:t>ing</w:t>
      </w:r>
      <w:r>
        <w:t xml:space="preserve"> rates.  Although OCC’s Mr. Wallach offered that the bill impacts would be minor, he calculated the changes in revenue recovery for each class as a percentage of total revenue</w:t>
      </w:r>
      <w:r w:rsidR="00216994">
        <w:t xml:space="preserve"> increase</w:t>
      </w:r>
      <w:r>
        <w:t>.</w:t>
      </w:r>
      <w:r w:rsidR="00216994">
        <w:rPr>
          <w:rStyle w:val="FootnoteReference"/>
        </w:rPr>
        <w:footnoteReference w:id="109"/>
      </w:r>
      <w:r>
        <w:t xml:space="preserve">  When recalculated as a percentage change from the proposed rate</w:t>
      </w:r>
      <w:r w:rsidR="00216994">
        <w:t xml:space="preserve"> increase</w:t>
      </w:r>
      <w:r>
        <w:t xml:space="preserve">, the increase </w:t>
      </w:r>
      <w:r w:rsidR="00216994">
        <w:t xml:space="preserve">over the proposed </w:t>
      </w:r>
      <w:r>
        <w:t xml:space="preserve">charge for GS-3 customers was </w:t>
      </w:r>
      <w:r w:rsidR="00555236">
        <w:t xml:space="preserve">approximately </w:t>
      </w:r>
      <w:r>
        <w:t>24%.</w:t>
      </w:r>
      <w:r w:rsidR="007051D7">
        <w:rPr>
          <w:rStyle w:val="FootnoteReference"/>
        </w:rPr>
        <w:footnoteReference w:id="110"/>
      </w:r>
      <w:r>
        <w:t xml:space="preserve">  This substantial proposed shi</w:t>
      </w:r>
      <w:r w:rsidR="007051D7">
        <w:t>f</w:t>
      </w:r>
      <w:r>
        <w:t xml:space="preserve">t in the increase based on information that has little current value </w:t>
      </w:r>
      <w:r w:rsidR="007051D7">
        <w:t>is unreasonable and would fail to recognize the principle of rate gradualism.</w:t>
      </w:r>
    </w:p>
    <w:p w:rsidR="00092CF6" w:rsidRDefault="00092CF6" w:rsidP="00AC6595">
      <w:pPr>
        <w:ind w:firstLine="720"/>
      </w:pPr>
      <w:r>
        <w:t xml:space="preserve">Finally, </w:t>
      </w:r>
      <w:r w:rsidR="00AC6595">
        <w:t xml:space="preserve">Mr. Wallach’s justification for allocating </w:t>
      </w:r>
      <w:r w:rsidR="00555236">
        <w:t xml:space="preserve">the revenue requirement for the </w:t>
      </w:r>
      <w:r w:rsidR="00AC6595">
        <w:t xml:space="preserve">distribution riders in this case </w:t>
      </w:r>
      <w:r>
        <w:t xml:space="preserve">is inconsistent with the </w:t>
      </w:r>
      <w:r w:rsidR="00AC6595">
        <w:t>approach</w:t>
      </w:r>
      <w:r>
        <w:t xml:space="preserve"> </w:t>
      </w:r>
      <w:r w:rsidR="00C72796">
        <w:t>he</w:t>
      </w:r>
      <w:r>
        <w:t xml:space="preserve"> endorsed in a recent rate case in Wisconsin.  In that case, the Wisconsin commission staff proposed a revenue requirement and revenue allocation.  </w:t>
      </w:r>
      <w:r w:rsidR="00C72796">
        <w:t xml:space="preserve">Addressing a possible increase in the revenue requirement, </w:t>
      </w:r>
      <w:r>
        <w:t xml:space="preserve">Mr. Wallach recommended that the difference between the </w:t>
      </w:r>
      <w:r w:rsidR="00B13E9E">
        <w:lastRenderedPageBreak/>
        <w:t xml:space="preserve">Commission Staff </w:t>
      </w:r>
      <w:r>
        <w:t xml:space="preserve">revenue requirement and the </w:t>
      </w:r>
      <w:r w:rsidR="00B13E9E">
        <w:t xml:space="preserve">Commission’s </w:t>
      </w:r>
      <w:r>
        <w:t>ordered revenue requirement “be allocated to customer classes in equal proportion, such that all customer classes would experience an equal percentage change in revenues due to the difference between the Commission’s and the Commission staff audit revenue requirements.”</w:t>
      </w:r>
      <w:r>
        <w:rPr>
          <w:rStyle w:val="FootnoteReference"/>
        </w:rPr>
        <w:footnoteReference w:id="111"/>
      </w:r>
      <w:r w:rsidR="00E12157">
        <w:t xml:space="preserve">  This approach is effectively the same as that proposed </w:t>
      </w:r>
      <w:r w:rsidR="007051D7">
        <w:t xml:space="preserve">in this proceeding </w:t>
      </w:r>
      <w:r w:rsidR="00E12157">
        <w:t>by AEP-Ohio</w:t>
      </w:r>
      <w:r w:rsidR="00216994">
        <w:t>, yet Mr. Wallach abandons it in this case and recommends instead the unreasonable shift in revenue responsibility.</w:t>
      </w:r>
    </w:p>
    <w:p w:rsidR="00AC6595" w:rsidRDefault="00E12157" w:rsidP="00AC6595">
      <w:pPr>
        <w:ind w:firstLine="720"/>
      </w:pPr>
      <w:r>
        <w:t xml:space="preserve">For the reasons discussed above, OCC </w:t>
      </w:r>
      <w:r w:rsidR="00E27DEE">
        <w:t xml:space="preserve">and OPAE have </w:t>
      </w:r>
      <w:r>
        <w:t xml:space="preserve">failed to demonstrate that </w:t>
      </w:r>
      <w:r w:rsidR="00C72796">
        <w:t xml:space="preserve">their </w:t>
      </w:r>
      <w:r>
        <w:t xml:space="preserve">proposal to allocate </w:t>
      </w:r>
      <w:r w:rsidR="00216994">
        <w:t xml:space="preserve">revenue </w:t>
      </w:r>
      <w:r>
        <w:t>responsibility for the proposed distribution riders is reasonable, and the Commission should not adopt it.</w:t>
      </w:r>
    </w:p>
    <w:p w:rsidR="00C245A3" w:rsidRPr="00C245A3" w:rsidRDefault="00C245A3" w:rsidP="003E617E">
      <w:pPr>
        <w:pStyle w:val="Heading1"/>
      </w:pPr>
      <w:bookmarkStart w:id="87" w:name="_Toc392930616"/>
      <w:bookmarkStart w:id="88" w:name="_Toc392930707"/>
      <w:bookmarkStart w:id="89" w:name="_Toc393524918"/>
      <w:bookmarkStart w:id="90" w:name="_Toc393878381"/>
      <w:bookmarkStart w:id="91" w:name="_Toc395521675"/>
      <w:bookmarkStart w:id="92" w:name="_Toc395706889"/>
      <w:bookmarkStart w:id="93" w:name="_Toc395791184"/>
      <w:bookmarkStart w:id="94" w:name="_Toc395868811"/>
      <w:r w:rsidRPr="00C245A3">
        <w:t>The proposed ESP is not more favorable in the aggregate than an MRO</w:t>
      </w:r>
      <w:bookmarkEnd w:id="87"/>
      <w:bookmarkEnd w:id="88"/>
      <w:bookmarkEnd w:id="89"/>
      <w:bookmarkEnd w:id="90"/>
      <w:bookmarkEnd w:id="91"/>
      <w:bookmarkEnd w:id="92"/>
      <w:bookmarkEnd w:id="93"/>
      <w:bookmarkEnd w:id="94"/>
      <w:r w:rsidRPr="00C245A3">
        <w:t xml:space="preserve"> </w:t>
      </w:r>
    </w:p>
    <w:p w:rsidR="00E7092B" w:rsidRDefault="00092CF6" w:rsidP="00C245A3">
      <w:pPr>
        <w:ind w:firstLine="720"/>
      </w:pPr>
      <w:r>
        <w:t>Only AEP-Ohio</w:t>
      </w:r>
      <w:r w:rsidR="001349DA">
        <w:t xml:space="preserve">’s </w:t>
      </w:r>
      <w:r w:rsidR="00770787">
        <w:t xml:space="preserve">Initial Brief </w:t>
      </w:r>
      <w:r>
        <w:t>argues that the proposed ESP without modification is more favorable in the aggregate than an MRO.</w:t>
      </w:r>
      <w:r w:rsidR="00E12157">
        <w:rPr>
          <w:rStyle w:val="FootnoteReference"/>
        </w:rPr>
        <w:footnoteReference w:id="112"/>
      </w:r>
      <w:r>
        <w:t xml:space="preserve">  </w:t>
      </w:r>
      <w:r w:rsidR="00216994">
        <w:t>In addition to the $44 million quantitative benefit and several “non-quantitative” benefits</w:t>
      </w:r>
      <w:r w:rsidR="00B65874">
        <w:t xml:space="preserve"> </w:t>
      </w:r>
      <w:r w:rsidR="003F7617">
        <w:t>it</w:t>
      </w:r>
      <w:r w:rsidR="00B65874">
        <w:t xml:space="preserve"> claimed in its Application</w:t>
      </w:r>
      <w:r w:rsidR="00216994">
        <w:t>, it now asserts that there is an additional $8 million in quantitative benefits associated with the proposed ESP.</w:t>
      </w:r>
      <w:r w:rsidR="00B65874">
        <w:rPr>
          <w:rStyle w:val="FootnoteReference"/>
        </w:rPr>
        <w:footnoteReference w:id="113"/>
      </w:r>
      <w:r w:rsidR="00216994">
        <w:t xml:space="preserve">  </w:t>
      </w:r>
      <w:r w:rsidR="00E7092B">
        <w:t>IEU-Ohio,</w:t>
      </w:r>
      <w:r w:rsidR="00E7092B">
        <w:rPr>
          <w:rStyle w:val="FootnoteReference"/>
        </w:rPr>
        <w:footnoteReference w:id="114"/>
      </w:r>
      <w:r w:rsidR="00E7092B">
        <w:t xml:space="preserve"> OMAEG,</w:t>
      </w:r>
      <w:r w:rsidR="00E7092B">
        <w:rPr>
          <w:rStyle w:val="FootnoteReference"/>
        </w:rPr>
        <w:footnoteReference w:id="115"/>
      </w:r>
      <w:r w:rsidR="00E7092B">
        <w:t xml:space="preserve"> and OCC</w:t>
      </w:r>
      <w:r w:rsidR="00E7092B">
        <w:rPr>
          <w:rStyle w:val="FootnoteReference"/>
        </w:rPr>
        <w:footnoteReference w:id="116"/>
      </w:r>
      <w:r w:rsidR="00E7092B">
        <w:t xml:space="preserve"> </w:t>
      </w:r>
      <w:r w:rsidR="00B65874">
        <w:t xml:space="preserve">demonstrate </w:t>
      </w:r>
      <w:r w:rsidR="00E7092B">
        <w:t>that the proposed ESP fails the ESP v. MRO test.  Staff provided testimony that a substantially modified ESP would meet the requirements of the Test</w:t>
      </w:r>
      <w:r w:rsidR="00E7092B" w:rsidRPr="00170DD0">
        <w:t xml:space="preserve"> </w:t>
      </w:r>
      <w:r w:rsidR="00E12157">
        <w:t>but</w:t>
      </w:r>
      <w:r w:rsidR="00E7092B">
        <w:t xml:space="preserve"> did not address the effect of </w:t>
      </w:r>
      <w:r w:rsidR="00E7092B">
        <w:lastRenderedPageBreak/>
        <w:t>the PPAR on the ESP v. MRO Test because Staff recommended that the Commissio</w:t>
      </w:r>
      <w:r w:rsidR="00E12157">
        <w:t>n refuse to authorize the rider.</w:t>
      </w:r>
      <w:r w:rsidR="00E7092B">
        <w:rPr>
          <w:rStyle w:val="FootnoteReference"/>
        </w:rPr>
        <w:footnoteReference w:id="117"/>
      </w:r>
      <w:r w:rsidR="002F0ABB">
        <w:t xml:space="preserve">  </w:t>
      </w:r>
      <w:r w:rsidR="00E12157">
        <w:t>Staff</w:t>
      </w:r>
      <w:r w:rsidR="00E7092B">
        <w:t xml:space="preserve"> </w:t>
      </w:r>
      <w:r w:rsidR="00C72796">
        <w:t>does not address the ESP v. MRO Test in its initial brief</w:t>
      </w:r>
      <w:r w:rsidR="00E7092B">
        <w:t>.</w:t>
      </w:r>
    </w:p>
    <w:p w:rsidR="00C74529" w:rsidRDefault="00C74529" w:rsidP="00C74529">
      <w:pPr>
        <w:pStyle w:val="Heading2"/>
      </w:pPr>
      <w:bookmarkStart w:id="95" w:name="_Toc395521676"/>
      <w:bookmarkStart w:id="96" w:name="_Toc395521677"/>
      <w:bookmarkStart w:id="97" w:name="_Toc395706890"/>
      <w:bookmarkStart w:id="98" w:name="_Toc395791185"/>
      <w:bookmarkStart w:id="99" w:name="_Toc395868812"/>
      <w:bookmarkEnd w:id="95"/>
      <w:r>
        <w:t xml:space="preserve">The proposed ESP is not more favorable </w:t>
      </w:r>
      <w:r w:rsidR="00C461BB">
        <w:t>quantifiabl</w:t>
      </w:r>
      <w:r>
        <w:t>y than an MRO</w:t>
      </w:r>
      <w:bookmarkEnd w:id="96"/>
      <w:bookmarkEnd w:id="97"/>
      <w:bookmarkEnd w:id="98"/>
      <w:bookmarkEnd w:id="99"/>
    </w:p>
    <w:p w:rsidR="00092CF6" w:rsidRDefault="00E7092B" w:rsidP="00C245A3">
      <w:pPr>
        <w:ind w:firstLine="720"/>
      </w:pPr>
      <w:r>
        <w:t>From its initial position that the proposed ESP provided a quantifiable benefit of $44 million,</w:t>
      </w:r>
      <w:r w:rsidR="00B65874">
        <w:rPr>
          <w:rStyle w:val="FootnoteReference"/>
        </w:rPr>
        <w:footnoteReference w:id="118"/>
      </w:r>
      <w:r>
        <w:t xml:space="preserve"> </w:t>
      </w:r>
      <w:r w:rsidR="00092CF6">
        <w:t>AEP-Ohio has expanded its claims regarding the quantifiable benefits in two ways.  The first relates to the claimed benefit of the proposed distribution riders</w:t>
      </w:r>
      <w:r>
        <w:t xml:space="preserve">. </w:t>
      </w:r>
      <w:r w:rsidR="001349DA" w:rsidRPr="001349DA">
        <w:t xml:space="preserve"> </w:t>
      </w:r>
      <w:r w:rsidR="00092CF6">
        <w:t xml:space="preserve">In its </w:t>
      </w:r>
      <w:r>
        <w:t xml:space="preserve">initial </w:t>
      </w:r>
      <w:r w:rsidR="00092CF6">
        <w:t>brief, it asserts there is a “not so readily quantifiable” quantifiable benefit to the distribution riders.</w:t>
      </w:r>
      <w:r w:rsidR="00092CF6">
        <w:rPr>
          <w:rStyle w:val="FootnoteReference"/>
        </w:rPr>
        <w:footnoteReference w:id="119"/>
      </w:r>
      <w:r w:rsidR="00092CF6">
        <w:t xml:space="preserve">  The second relates to its claims regarding the PPAR.  In its brief, </w:t>
      </w:r>
      <w:r>
        <w:t>it</w:t>
      </w:r>
      <w:r w:rsidR="00092CF6">
        <w:t xml:space="preserve"> now relies on a late found $8 million claimed benefit of the PPAR.</w:t>
      </w:r>
      <w:r w:rsidR="00092CF6">
        <w:rPr>
          <w:rStyle w:val="FootnoteReference"/>
        </w:rPr>
        <w:footnoteReference w:id="120"/>
      </w:r>
      <w:r w:rsidR="00092CF6">
        <w:t xml:space="preserve">  </w:t>
      </w:r>
    </w:p>
    <w:p w:rsidR="00092CF6" w:rsidRDefault="00092CF6" w:rsidP="00C245A3">
      <w:pPr>
        <w:ind w:firstLine="720"/>
      </w:pPr>
      <w:r>
        <w:t xml:space="preserve">AEP-Ohio </w:t>
      </w:r>
      <w:r w:rsidR="00C72796">
        <w:t>does not</w:t>
      </w:r>
      <w:r>
        <w:t xml:space="preserve"> demonstrate that there is any quantifiable benefit of the distribution riders that makes the ESP more favorable </w:t>
      </w:r>
      <w:r w:rsidR="00C461BB">
        <w:t>quantifiably</w:t>
      </w:r>
      <w:r>
        <w:t xml:space="preserve"> (or </w:t>
      </w:r>
      <w:r w:rsidR="00C461BB">
        <w:t>non-quantifiably</w:t>
      </w:r>
      <w:r>
        <w:t xml:space="preserve">) than an MRO.  AEP-Ohio’s “proof” that the </w:t>
      </w:r>
      <w:r w:rsidR="00C20A43">
        <w:t xml:space="preserve">distribution riders </w:t>
      </w:r>
      <w:r>
        <w:t xml:space="preserve">would benefit customers was based on faulty claims about </w:t>
      </w:r>
      <w:r w:rsidR="00E7092B">
        <w:t>a</w:t>
      </w:r>
      <w:r>
        <w:t xml:space="preserve"> study it relied upon</w:t>
      </w:r>
      <w:r w:rsidR="00F22095">
        <w:t>, and</w:t>
      </w:r>
      <w:r w:rsidR="00E7092B">
        <w:t xml:space="preserve"> </w:t>
      </w:r>
      <w:r>
        <w:t>AEP-Ohio admitted that there was no guarantee that the distribution expenditures would improve distribution reliability.</w:t>
      </w:r>
      <w:r>
        <w:rPr>
          <w:rStyle w:val="FootnoteReference"/>
        </w:rPr>
        <w:footnoteReference w:id="121"/>
      </w:r>
      <w:r>
        <w:t xml:space="preserve">  Additionally, the Commission has previousl</w:t>
      </w:r>
      <w:r w:rsidR="00E7092B">
        <w:t>y held that the alleged benefit</w:t>
      </w:r>
      <w:r>
        <w:t xml:space="preserve"> of distribution riders </w:t>
      </w:r>
      <w:r w:rsidR="00E7092B">
        <w:t>is</w:t>
      </w:r>
      <w:r>
        <w:t xml:space="preserve"> a wash; the riders would be available in a distribution case </w:t>
      </w:r>
      <w:r w:rsidR="00565D7E">
        <w:t xml:space="preserve">if the </w:t>
      </w:r>
      <w:r w:rsidR="00565D7E">
        <w:lastRenderedPageBreak/>
        <w:t>EDU operated under an MRO</w:t>
      </w:r>
      <w:r>
        <w:t xml:space="preserve"> and thus are not a </w:t>
      </w:r>
      <w:r w:rsidR="00565D7E">
        <w:t xml:space="preserve">unique </w:t>
      </w:r>
      <w:r>
        <w:t xml:space="preserve">benefit </w:t>
      </w:r>
      <w:r w:rsidR="00565D7E">
        <w:t xml:space="preserve">attributable to </w:t>
      </w:r>
      <w:r>
        <w:t>the ESP</w:t>
      </w:r>
      <w:r w:rsidR="00565D7E">
        <w:t xml:space="preserve"> side of the ESP v. MRO Test</w:t>
      </w:r>
      <w:r>
        <w:t>.</w:t>
      </w:r>
      <w:r>
        <w:rPr>
          <w:rStyle w:val="FootnoteReference"/>
        </w:rPr>
        <w:footnoteReference w:id="122"/>
      </w:r>
    </w:p>
    <w:p w:rsidR="00092CF6" w:rsidRDefault="00365BEF" w:rsidP="00C245A3">
      <w:pPr>
        <w:ind w:firstLine="720"/>
      </w:pPr>
      <w:r>
        <w:t>I</w:t>
      </w:r>
      <w:r w:rsidR="00E7092B">
        <w:t xml:space="preserve">n its </w:t>
      </w:r>
      <w:r w:rsidR="00147C31">
        <w:t>initial b</w:t>
      </w:r>
      <w:r w:rsidR="00444614">
        <w:t>rief</w:t>
      </w:r>
      <w:r w:rsidR="00092CF6">
        <w:t xml:space="preserve">, AEP-Ohio </w:t>
      </w:r>
      <w:r>
        <w:t>also has failed to present any argument that sustains its claim that the distribution riders provide a quantifiable benefit</w:t>
      </w:r>
      <w:r w:rsidR="00092CF6">
        <w:t xml:space="preserve">.  Its only assertion that there is a </w:t>
      </w:r>
      <w:r w:rsidR="00C461BB">
        <w:t>quantifiable</w:t>
      </w:r>
      <w:r w:rsidR="00092CF6">
        <w:t xml:space="preserve"> benefit is that there may be less administrative overhead associated with the operation of the DIR than a rate case</w:t>
      </w:r>
      <w:r w:rsidR="00B65874">
        <w:t>.</w:t>
      </w:r>
      <w:r w:rsidR="00092CF6">
        <w:rPr>
          <w:rStyle w:val="FootnoteReference"/>
        </w:rPr>
        <w:footnoteReference w:id="123"/>
      </w:r>
      <w:r w:rsidR="00092CF6">
        <w:t xml:space="preserve">  Whatever that quantifiable benefit is, </w:t>
      </w:r>
      <w:r>
        <w:t xml:space="preserve">however, </w:t>
      </w:r>
      <w:r w:rsidR="00092CF6">
        <w:t xml:space="preserve">AEP-Ohio cannot identify it, and the linguistic and logical problems with its assertion that there are “not so readily quantifiable” quantifiable benefits </w:t>
      </w:r>
      <w:r w:rsidR="00E77B7F">
        <w:t xml:space="preserve">associated with the reduction in litigation costs </w:t>
      </w:r>
      <w:r w:rsidR="00092CF6">
        <w:t>have escaped AEP-Ohio.</w:t>
      </w:r>
    </w:p>
    <w:p w:rsidR="00E77B7F" w:rsidRDefault="00092CF6" w:rsidP="00C245A3">
      <w:pPr>
        <w:ind w:firstLine="720"/>
      </w:pPr>
      <w:r>
        <w:t xml:space="preserve">The </w:t>
      </w:r>
      <w:r w:rsidR="003F7617">
        <w:t xml:space="preserve">claim that the proposed ESP provides a </w:t>
      </w:r>
      <w:r>
        <w:t xml:space="preserve">new-found quantifiable benefit of $8 million associated with the PPAR also is not </w:t>
      </w:r>
      <w:r w:rsidR="00E77B7F">
        <w:t>credible</w:t>
      </w:r>
      <w:r>
        <w:t xml:space="preserve">.  As noted previously, AEP-Ohio itself did not claim that the PPAR was a </w:t>
      </w:r>
      <w:r w:rsidR="00C461BB">
        <w:t>quantifiable</w:t>
      </w:r>
      <w:r>
        <w:t xml:space="preserve"> benefit of the ESP as part of its application,</w:t>
      </w:r>
      <w:r w:rsidR="00EF0B82">
        <w:rPr>
          <w:rStyle w:val="FootnoteReference"/>
        </w:rPr>
        <w:footnoteReference w:id="124"/>
      </w:r>
      <w:r>
        <w:t xml:space="preserve"> and it excluded the PPAR from its analysis of bill impacts because the PPAR could be either a charge or a credit.</w:t>
      </w:r>
      <w:r w:rsidR="00EF0B82">
        <w:rPr>
          <w:rStyle w:val="FootnoteReference"/>
        </w:rPr>
        <w:footnoteReference w:id="125"/>
      </w:r>
      <w:r>
        <w:t xml:space="preserve">  </w:t>
      </w:r>
      <w:r w:rsidR="00E77B7F">
        <w:t>Thus, AEP-Ohio had little faith that the PPAR would provide a benefit to customers until the second day of the hearing in this proceeding.</w:t>
      </w:r>
    </w:p>
    <w:p w:rsidR="00092CF6" w:rsidRDefault="00092CF6" w:rsidP="00C245A3">
      <w:pPr>
        <w:ind w:firstLine="720"/>
      </w:pPr>
      <w:r>
        <w:lastRenderedPageBreak/>
        <w:t xml:space="preserve">Its late found reliance on an $8 million benefit, moreover, is not supported by the record.  </w:t>
      </w:r>
      <w:r w:rsidR="00E77B7F">
        <w:t xml:space="preserve">AEP-Ohio’s own estimates show that </w:t>
      </w:r>
      <w:r w:rsidR="00F22095">
        <w:t>the PPAR will result in a cost to customers at the beginning of the proposed ESP, regardless of which of the scenarios the Commission adopts.</w:t>
      </w:r>
      <w:r w:rsidR="00F22095">
        <w:rPr>
          <w:rStyle w:val="FootnoteReference"/>
        </w:rPr>
        <w:footnoteReference w:id="126"/>
      </w:r>
      <w:r w:rsidR="00F22095">
        <w:t xml:space="preserve">  </w:t>
      </w:r>
      <w:r w:rsidR="00E77B7F">
        <w:t xml:space="preserve">Further, </w:t>
      </w:r>
      <w:r w:rsidR="00F22095">
        <w:t>AEP-Ohio’s initial estimate was that the PPAR would cost customers an additional $52 million.</w:t>
      </w:r>
      <w:r w:rsidR="00F22095">
        <w:rPr>
          <w:rStyle w:val="FootnoteReference"/>
        </w:rPr>
        <w:footnoteReference w:id="127"/>
      </w:r>
      <w:r w:rsidR="00F22095">
        <w:t xml:space="preserve">  </w:t>
      </w:r>
      <w:r w:rsidR="00E77B7F">
        <w:t>C</w:t>
      </w:r>
      <w:r w:rsidR="00F22095">
        <w:t xml:space="preserve">onservative </w:t>
      </w:r>
      <w:r w:rsidR="00E77B7F">
        <w:t xml:space="preserve">corrections of the initial </w:t>
      </w:r>
      <w:r w:rsidR="00F22095">
        <w:t>estimate of the cost of the PPAR increase the cost to customers to $82 million.</w:t>
      </w:r>
      <w:r w:rsidR="00F22095">
        <w:rPr>
          <w:rStyle w:val="FootnoteReference"/>
        </w:rPr>
        <w:footnoteReference w:id="128"/>
      </w:r>
      <w:r w:rsidR="00F22095">
        <w:t xml:space="preserve">  Because there is no credible foundation for concluding that the PPAR will result in an $8 million benefit, the Commission should reject AEP-Ohio’s assertion that the PPAR is a </w:t>
      </w:r>
      <w:r w:rsidR="00C461BB">
        <w:t>quantifiable</w:t>
      </w:r>
      <w:r w:rsidR="00F22095">
        <w:t xml:space="preserve"> benefit of the ESP.</w:t>
      </w:r>
      <w:r>
        <w:t xml:space="preserve"> </w:t>
      </w:r>
    </w:p>
    <w:p w:rsidR="00C461BB" w:rsidRPr="00C461BB" w:rsidRDefault="00F22095" w:rsidP="00C461BB">
      <w:pPr>
        <w:ind w:firstLine="720"/>
      </w:pPr>
      <w:r>
        <w:t xml:space="preserve">In summary, AEP-Ohio has failed to demonstrate that the ESP is </w:t>
      </w:r>
      <w:r w:rsidR="00C461BB">
        <w:t>quantifiably</w:t>
      </w:r>
      <w:r>
        <w:t xml:space="preserve"> more favorable than an MRO.  Contrary to its claims, </w:t>
      </w:r>
      <w:r w:rsidR="00C461BB">
        <w:t>t</w:t>
      </w:r>
      <w:r w:rsidR="00C461BB" w:rsidRPr="00C461BB">
        <w:t>he credible evidence of the cost of the PPAR is that it is likely to result in an $82 million charge to customers.  The amount it adversely affects customers may range from $82 million to $116 million.</w:t>
      </w:r>
      <w:r w:rsidR="00C461BB" w:rsidRPr="00C461BB">
        <w:rPr>
          <w:vertAlign w:val="superscript"/>
        </w:rPr>
        <w:footnoteReference w:id="129"/>
      </w:r>
      <w:r w:rsidR="00C461BB" w:rsidRPr="00C461BB">
        <w:t xml:space="preserve">  When the cost of the PPAR is included on the ESP side of the ESP v. MRO Test, it offsets the $44.1 million benefit of the extension of the distribution credit</w:t>
      </w:r>
      <w:r w:rsidR="00E77B7F">
        <w:t xml:space="preserve"> rider</w:t>
      </w:r>
      <w:r w:rsidR="00C461BB" w:rsidRPr="00C461BB">
        <w:t>, and the proposed ESP is $38 million to $72 million worse than an MRO.</w:t>
      </w:r>
      <w:r w:rsidR="00C461BB">
        <w:rPr>
          <w:rStyle w:val="FootnoteReference"/>
        </w:rPr>
        <w:footnoteReference w:id="130"/>
      </w:r>
    </w:p>
    <w:p w:rsidR="00562EA3" w:rsidRDefault="00562EA3" w:rsidP="00C461BB">
      <w:pPr>
        <w:pStyle w:val="Heading2"/>
      </w:pPr>
      <w:bookmarkStart w:id="100" w:name="_Toc395521678"/>
      <w:bookmarkStart w:id="101" w:name="_Toc395706891"/>
      <w:bookmarkStart w:id="102" w:name="_Toc395791186"/>
      <w:bookmarkStart w:id="103" w:name="_Toc395868813"/>
      <w:r>
        <w:t xml:space="preserve">The </w:t>
      </w:r>
      <w:r w:rsidRPr="00562EA3">
        <w:t xml:space="preserve">proposed ESP </w:t>
      </w:r>
      <w:r>
        <w:t>does not provide non-</w:t>
      </w:r>
      <w:r w:rsidR="00C461BB">
        <w:t>quantifiable</w:t>
      </w:r>
      <w:r>
        <w:t xml:space="preserve"> </w:t>
      </w:r>
      <w:r w:rsidR="002F7FE6">
        <w:t xml:space="preserve">benefits </w:t>
      </w:r>
      <w:r>
        <w:t>to customers</w:t>
      </w:r>
      <w:bookmarkEnd w:id="100"/>
      <w:bookmarkEnd w:id="101"/>
      <w:bookmarkEnd w:id="102"/>
      <w:bookmarkEnd w:id="103"/>
      <w:r>
        <w:t xml:space="preserve"> </w:t>
      </w:r>
    </w:p>
    <w:p w:rsidR="00092CF6" w:rsidRDefault="00092CF6" w:rsidP="00C245A3">
      <w:pPr>
        <w:ind w:firstLine="720"/>
      </w:pPr>
      <w:r>
        <w:t xml:space="preserve">Unlike its attempt to expand the alleged </w:t>
      </w:r>
      <w:r w:rsidR="00C461BB">
        <w:t>quantifiable</w:t>
      </w:r>
      <w:r>
        <w:t xml:space="preserve"> benefits of the proposed ESP, AEP-Ohio relies in its initial brief on the same “non-quantifiable” benefits it </w:t>
      </w:r>
      <w:r>
        <w:lastRenderedPageBreak/>
        <w:t>advanced in Mr. Allen’s testimony.  According to AEP-Ohio, the non-quantifiable benefits of the ESP are that it provides a faster transition to an SSO based on a CBP, that the PPAR provides price stability, and that the POR program will likely increase competitive entry, provide CRES providers with more predictable payment, and increase payment options.</w:t>
      </w:r>
      <w:r>
        <w:rPr>
          <w:rStyle w:val="FootnoteReference"/>
        </w:rPr>
        <w:footnoteReference w:id="131"/>
      </w:r>
      <w:r>
        <w:t xml:space="preserve">  None of the claimed non-quantifiable benefits provides a basis for approving the proposed ESP.</w:t>
      </w:r>
    </w:p>
    <w:p w:rsidR="00092CF6" w:rsidRDefault="00565D7E" w:rsidP="00C245A3">
      <w:pPr>
        <w:ind w:firstLine="720"/>
      </w:pPr>
      <w:r>
        <w:rPr>
          <w:rFonts w:eastAsia="Calibri"/>
        </w:rPr>
        <w:t>As a preliminary matter</w:t>
      </w:r>
      <w:r w:rsidR="00805B33">
        <w:rPr>
          <w:rFonts w:eastAsia="Calibri"/>
        </w:rPr>
        <w:t xml:space="preserve">, AEP-Ohio does not provide </w:t>
      </w:r>
      <w:r>
        <w:rPr>
          <w:rFonts w:eastAsia="Calibri"/>
        </w:rPr>
        <w:t>a basis, or metric, by which</w:t>
      </w:r>
      <w:r w:rsidR="00805B33">
        <w:rPr>
          <w:rFonts w:eastAsia="Calibri"/>
        </w:rPr>
        <w:t xml:space="preserve"> the Commission </w:t>
      </w:r>
      <w:r>
        <w:rPr>
          <w:rFonts w:eastAsia="Calibri"/>
        </w:rPr>
        <w:t xml:space="preserve">is </w:t>
      </w:r>
      <w:r w:rsidR="00805B33">
        <w:rPr>
          <w:rFonts w:eastAsia="Calibri"/>
        </w:rPr>
        <w:t>to “weigh” the alleged non-quantifiable benefits of the proposed ESP and its quantified cost relative to the MRO.  AEP-Ohio has the burden of proof,</w:t>
      </w:r>
      <w:r w:rsidR="00805B33">
        <w:rPr>
          <w:rStyle w:val="FootnoteReference"/>
          <w:rFonts w:eastAsia="Calibri"/>
        </w:rPr>
        <w:footnoteReference w:id="132"/>
      </w:r>
      <w:r w:rsidR="00805B33">
        <w:rPr>
          <w:rFonts w:eastAsia="Calibri"/>
        </w:rPr>
        <w:t xml:space="preserve"> and in</w:t>
      </w:r>
      <w:r w:rsidR="00092CF6">
        <w:rPr>
          <w:rFonts w:eastAsia="Calibri"/>
        </w:rPr>
        <w:t xml:space="preserve"> this and every other </w:t>
      </w:r>
      <w:r w:rsidR="00092CF6" w:rsidRPr="00876A53">
        <w:rPr>
          <w:rFonts w:eastAsia="Calibri"/>
        </w:rPr>
        <w:t xml:space="preserve">contested case, R.C. 4903.09 requires the Commission to issue “findings of fact and [a] written opinion [] setting forth the reasons prompting the decision [] arrived at, based on said findings of fact.”  </w:t>
      </w:r>
      <w:r w:rsidR="003F7617">
        <w:rPr>
          <w:rFonts w:eastAsia="Calibri"/>
        </w:rPr>
        <w:t>Because AEP-Ohio did not</w:t>
      </w:r>
      <w:r w:rsidR="00092CF6">
        <w:rPr>
          <w:rFonts w:eastAsia="Calibri"/>
        </w:rPr>
        <w:t xml:space="preserve"> provide </w:t>
      </w:r>
      <w:r>
        <w:rPr>
          <w:rFonts w:eastAsia="Calibri"/>
        </w:rPr>
        <w:t>a method</w:t>
      </w:r>
      <w:r w:rsidR="00E77B7F">
        <w:rPr>
          <w:rFonts w:eastAsia="Calibri"/>
        </w:rPr>
        <w:t xml:space="preserve"> by which to “weigh” objective costs of the proposed ESP with subjectively “valued” non-quantifiable benefits (and harms)</w:t>
      </w:r>
      <w:r w:rsidR="00092CF6">
        <w:rPr>
          <w:rFonts w:eastAsia="Calibri"/>
        </w:rPr>
        <w:t>, AEP-Ohio’s r</w:t>
      </w:r>
      <w:r w:rsidR="00092CF6" w:rsidRPr="00876A53">
        <w:rPr>
          <w:rFonts w:eastAsia="Calibri"/>
        </w:rPr>
        <w:t>eliance on these non-quantifiable benefits would require the Commission to base its decision on unsupported beliefs and guesses.</w:t>
      </w:r>
      <w:r w:rsidR="00092CF6">
        <w:rPr>
          <w:rStyle w:val="FootnoteReference"/>
          <w:rFonts w:eastAsia="Calibri"/>
        </w:rPr>
        <w:footnoteReference w:id="133"/>
      </w:r>
      <w:r w:rsidR="00092CF6" w:rsidRPr="00876A53">
        <w:rPr>
          <w:rFonts w:eastAsia="Calibri"/>
        </w:rPr>
        <w:t xml:space="preserve">  </w:t>
      </w:r>
      <w:r w:rsidR="00092CF6">
        <w:rPr>
          <w:rFonts w:eastAsia="Calibri"/>
        </w:rPr>
        <w:t xml:space="preserve">On the record in this case, </w:t>
      </w:r>
      <w:r w:rsidR="003F7617">
        <w:rPr>
          <w:rFonts w:eastAsia="Calibri"/>
        </w:rPr>
        <w:t xml:space="preserve">therefore, </w:t>
      </w:r>
      <w:r w:rsidR="00092CF6">
        <w:rPr>
          <w:rFonts w:eastAsia="Calibri"/>
        </w:rPr>
        <w:t xml:space="preserve">AEP-Ohio has failed to carry its burden to demonstrate that the claimed </w:t>
      </w:r>
      <w:r w:rsidR="00E77B7F">
        <w:rPr>
          <w:rFonts w:eastAsia="Calibri"/>
        </w:rPr>
        <w:t xml:space="preserve">non-quantifiable </w:t>
      </w:r>
      <w:r w:rsidR="00092CF6">
        <w:rPr>
          <w:rFonts w:eastAsia="Calibri"/>
        </w:rPr>
        <w:t xml:space="preserve">benefits are sufficient to outweigh the substantial </w:t>
      </w:r>
      <w:r w:rsidR="00E77B7F">
        <w:rPr>
          <w:rFonts w:eastAsia="Calibri"/>
        </w:rPr>
        <w:t xml:space="preserve">objective </w:t>
      </w:r>
      <w:r w:rsidR="00092CF6">
        <w:rPr>
          <w:rFonts w:eastAsia="Calibri"/>
        </w:rPr>
        <w:t>costs of the proposed ESP.</w:t>
      </w:r>
    </w:p>
    <w:p w:rsidR="00092CF6" w:rsidRDefault="00562EA3" w:rsidP="00C245A3">
      <w:pPr>
        <w:ind w:firstLine="720"/>
      </w:pPr>
      <w:r>
        <w:t xml:space="preserve">Additionally, </w:t>
      </w:r>
      <w:r w:rsidR="00565D7E">
        <w:t xml:space="preserve">applicable law and </w:t>
      </w:r>
      <w:r>
        <w:t xml:space="preserve">the record do not support a finding that </w:t>
      </w:r>
      <w:r w:rsidR="003918E1">
        <w:t>the three items identified by AEP-Ohio provide non-quantifiable benefits to customers</w:t>
      </w:r>
      <w:r>
        <w:t>.</w:t>
      </w:r>
      <w:r w:rsidR="00092CF6">
        <w:t xml:space="preserve">  </w:t>
      </w:r>
      <w:r w:rsidR="003918E1">
        <w:t xml:space="preserve">For </w:t>
      </w:r>
      <w:r w:rsidR="003918E1">
        <w:lastRenderedPageBreak/>
        <w:t>example, AEP-Ohio argues that the faster mo</w:t>
      </w:r>
      <w:r w:rsidR="00555236">
        <w:t>v</w:t>
      </w:r>
      <w:r w:rsidR="003918E1">
        <w:t xml:space="preserve">e to an auction-based SSO provides a non-quantifiable benefit.  </w:t>
      </w:r>
      <w:r w:rsidR="00092CF6" w:rsidRPr="00093DA5">
        <w:t xml:space="preserve">Under the applicable requirements of an ESP or MRO, </w:t>
      </w:r>
      <w:r w:rsidR="003918E1">
        <w:t xml:space="preserve">however, </w:t>
      </w:r>
      <w:r w:rsidR="00092CF6" w:rsidRPr="00093DA5">
        <w:t>the SSO must be either market-tested (ESP)</w:t>
      </w:r>
      <w:r w:rsidR="003918E1">
        <w:rPr>
          <w:rStyle w:val="FootnoteReference"/>
        </w:rPr>
        <w:footnoteReference w:id="134"/>
      </w:r>
      <w:r w:rsidR="00092CF6" w:rsidRPr="00093DA5">
        <w:t xml:space="preserve"> or market-based (MRO).</w:t>
      </w:r>
      <w:r w:rsidR="003918E1">
        <w:rPr>
          <w:rStyle w:val="FootnoteReference"/>
        </w:rPr>
        <w:footnoteReference w:id="135"/>
      </w:r>
      <w:r w:rsidR="00092CF6" w:rsidRPr="00093DA5">
        <w:t xml:space="preserve">  The Commission cannot elevate the outcome already required by Ohio law, a market-</w:t>
      </w:r>
      <w:r w:rsidR="003918E1">
        <w:t xml:space="preserve">tested or </w:t>
      </w:r>
      <w:r w:rsidR="00565D7E">
        <w:t>market-</w:t>
      </w:r>
      <w:r w:rsidR="00092CF6" w:rsidRPr="00093DA5">
        <w:t xml:space="preserve">based SSO, to </w:t>
      </w:r>
      <w:r w:rsidR="00555236">
        <w:t>make</w:t>
      </w:r>
      <w:r w:rsidR="00555236" w:rsidRPr="00093DA5">
        <w:t xml:space="preserve"> </w:t>
      </w:r>
      <w:r w:rsidR="00092CF6" w:rsidRPr="00093DA5">
        <w:t>a finding that the proposed ESP, which burdens customers with unlawful charges, is more favorable in the aggregate than an MRO.</w:t>
      </w:r>
      <w:r w:rsidR="00092CF6" w:rsidRPr="008F3DEB">
        <w:t xml:space="preserve"> </w:t>
      </w:r>
      <w:r w:rsidR="00092CF6">
        <w:t xml:space="preserve"> </w:t>
      </w:r>
    </w:p>
    <w:p w:rsidR="00092CF6" w:rsidRPr="00876A53" w:rsidRDefault="00092CF6" w:rsidP="00C245A3">
      <w:pPr>
        <w:ind w:firstLine="720"/>
      </w:pPr>
      <w:r>
        <w:t xml:space="preserve">Even if the claimed benefit </w:t>
      </w:r>
      <w:r w:rsidR="003918E1">
        <w:t>of moving to a</w:t>
      </w:r>
      <w:r w:rsidR="00E77B7F">
        <w:t>n</w:t>
      </w:r>
      <w:r w:rsidR="003918E1">
        <w:t xml:space="preserve"> SSO price based on the results of a CBP </w:t>
      </w:r>
      <w:r>
        <w:t xml:space="preserve">were not illusory, AEP-Ohio seeks to double count a benefit that the Commission has already credited to </w:t>
      </w:r>
      <w:r w:rsidR="00F616F3">
        <w:t>the current</w:t>
      </w:r>
      <w:r>
        <w:t xml:space="preserve"> </w:t>
      </w:r>
      <w:r w:rsidR="0083043A">
        <w:t xml:space="preserve">ESP </w:t>
      </w:r>
      <w:r w:rsidR="00F616F3">
        <w:t>when the Commission approved it</w:t>
      </w:r>
      <w:r>
        <w:t>.</w:t>
      </w:r>
      <w:r w:rsidR="00770787">
        <w:rPr>
          <w:rStyle w:val="FootnoteReference"/>
        </w:rPr>
        <w:footnoteReference w:id="136"/>
      </w:r>
      <w:r>
        <w:t xml:space="preserve">  </w:t>
      </w:r>
      <w:r w:rsidRPr="00876A53">
        <w:t>As AEP-Ohio’s testimony</w:t>
      </w:r>
      <w:r>
        <w:t xml:space="preserve"> and brief indicate</w:t>
      </w:r>
      <w:r w:rsidRPr="00876A53">
        <w:t>, the Commission previously recognized the transition to an ESP based on a CBP as a non-quantifiable benefit of the ESP approved in AEP-Ohio’s last SSO case.</w:t>
      </w:r>
      <w:r w:rsidRPr="00876A53">
        <w:rPr>
          <w:rStyle w:val="FootnoteReference"/>
        </w:rPr>
        <w:footnoteReference w:id="137"/>
      </w:r>
      <w:r w:rsidRPr="00876A53">
        <w:t xml:space="preserve">  </w:t>
      </w:r>
      <w:r w:rsidR="003918E1">
        <w:t>The Commission</w:t>
      </w:r>
      <w:r w:rsidR="00805B33">
        <w:t>, however,</w:t>
      </w:r>
      <w:r w:rsidR="003918E1">
        <w:t xml:space="preserve"> has already rejected attempts by other EDUs to count the same claimed benefit in successive ESPs</w:t>
      </w:r>
      <w:r>
        <w:t>.</w:t>
      </w:r>
      <w:r>
        <w:rPr>
          <w:rStyle w:val="FootnoteReference"/>
        </w:rPr>
        <w:footnoteReference w:id="138"/>
      </w:r>
      <w:r>
        <w:t xml:space="preserve">  </w:t>
      </w:r>
      <w:r w:rsidR="00D30D29">
        <w:t>Accordingly</w:t>
      </w:r>
      <w:r w:rsidRPr="00876A53">
        <w:t>, the Commission cannot lawfully and reasonably “double count” the so-called faster move to market-based rates in this case.</w:t>
      </w:r>
    </w:p>
    <w:p w:rsidR="00092CF6" w:rsidRDefault="00D30D29" w:rsidP="00C245A3">
      <w:pPr>
        <w:ind w:firstLine="720"/>
      </w:pPr>
      <w:r>
        <w:t>The PPAR, likewise, is not a non-quantifiable benefit of the proposed ESP</w:t>
      </w:r>
      <w:r w:rsidR="00E77B7F">
        <w:t xml:space="preserve">. </w:t>
      </w:r>
      <w:r w:rsidR="00092CF6">
        <w:t xml:space="preserve"> Contrary to AEP-Ohio’s claims that customers will realize a non-quantifiable benefit of price stability if the Commission approves the proposed ESP with a PPAR, the PPAR’s </w:t>
      </w:r>
      <w:r w:rsidR="00092CF6">
        <w:lastRenderedPageBreak/>
        <w:t xml:space="preserve">only effect is to guarantee AEP-Ohio that it will not face any market risk from voluntary retention of </w:t>
      </w:r>
      <w:r w:rsidR="00DA1464">
        <w:t>the</w:t>
      </w:r>
      <w:r w:rsidR="00092CF6">
        <w:t xml:space="preserve"> OVEC</w:t>
      </w:r>
      <w:r w:rsidR="00DA1464">
        <w:t xml:space="preserve"> Entitlement</w:t>
      </w:r>
      <w:r w:rsidR="00092CF6">
        <w:t>.</w:t>
      </w:r>
      <w:r w:rsidR="00092CF6">
        <w:rPr>
          <w:rStyle w:val="FootnoteReference"/>
        </w:rPr>
        <w:footnoteReference w:id="139"/>
      </w:r>
      <w:r w:rsidR="00092CF6">
        <w:t xml:space="preserve">  </w:t>
      </w:r>
      <w:r w:rsidR="00805B33">
        <w:t>At the same time, t</w:t>
      </w:r>
      <w:r w:rsidR="00092CF6" w:rsidRPr="00876A53">
        <w:t>he PPAR</w:t>
      </w:r>
      <w:r w:rsidR="00E77B7F">
        <w:t xml:space="preserve"> </w:t>
      </w:r>
      <w:r w:rsidR="00092CF6" w:rsidRPr="00876A53">
        <w:t>will impose a significant new cost on customers through a nonbypassable rider and inject additional price volatility</w:t>
      </w:r>
      <w:r w:rsidR="00092CF6">
        <w:t xml:space="preserve"> into the total bill</w:t>
      </w:r>
      <w:r w:rsidR="003918E1">
        <w:t>s</w:t>
      </w:r>
      <w:r w:rsidR="00092CF6">
        <w:t xml:space="preserve"> of customers</w:t>
      </w:r>
      <w:r w:rsidR="00092CF6" w:rsidRPr="00876A53">
        <w:t>.</w:t>
      </w:r>
      <w:r w:rsidR="00092CF6">
        <w:rPr>
          <w:rStyle w:val="FootnoteReference"/>
        </w:rPr>
        <w:footnoteReference w:id="140"/>
      </w:r>
      <w:r w:rsidR="00092CF6">
        <w:t xml:space="preserve">  In addition to harming customers through higher bills and increased volatility, authorization of the PPAR would violate state energy policy, </w:t>
      </w:r>
      <w:r w:rsidR="00555236">
        <w:t xml:space="preserve">be </w:t>
      </w:r>
      <w:r w:rsidR="00092CF6">
        <w:t xml:space="preserve">anticompetitive, result in the illegal billing and collection of transition revenue, and result in </w:t>
      </w:r>
      <w:r w:rsidR="00805B33">
        <w:t xml:space="preserve">a </w:t>
      </w:r>
      <w:r w:rsidR="00092CF6">
        <w:t>violation of federal law.</w:t>
      </w:r>
      <w:r w:rsidR="00092CF6">
        <w:rPr>
          <w:rStyle w:val="FootnoteReference"/>
        </w:rPr>
        <w:footnoteReference w:id="141"/>
      </w:r>
      <w:r w:rsidR="00092CF6">
        <w:t xml:space="preserve">  Accordingly, the Commission cannot lawfully and reasonably count the PPAR as a non-quantifiable benefit of the proposed ESP.</w:t>
      </w:r>
    </w:p>
    <w:p w:rsidR="00092CF6" w:rsidRDefault="00DA1464" w:rsidP="00C245A3">
      <w:pPr>
        <w:ind w:firstLine="720"/>
      </w:pPr>
      <w:r>
        <w:t>AEP-Ohio also failed to demonstrate t</w:t>
      </w:r>
      <w:r w:rsidR="00092CF6">
        <w:t xml:space="preserve">he </w:t>
      </w:r>
      <w:r>
        <w:t xml:space="preserve">claimed benefits of </w:t>
      </w:r>
      <w:r w:rsidR="00092CF6">
        <w:t>the POR program</w:t>
      </w:r>
      <w:r w:rsidR="00E77B7F">
        <w:t xml:space="preserve"> and ignores the harms that it will cause</w:t>
      </w:r>
      <w:r w:rsidR="00092CF6">
        <w:t>.</w:t>
      </w:r>
      <w:r w:rsidR="00092CF6">
        <w:rPr>
          <w:rStyle w:val="FootnoteReference"/>
        </w:rPr>
        <w:footnoteReference w:id="142"/>
      </w:r>
      <w:r w:rsidR="00092CF6">
        <w:t xml:space="preserve">  </w:t>
      </w:r>
      <w:r w:rsidR="00805B33">
        <w:t xml:space="preserve">As to the alleged customer benefits, </w:t>
      </w:r>
      <w:r w:rsidR="00092CF6" w:rsidRPr="00876A53">
        <w:t>AEP-Ohio could not demonstrate that any additional CRES provider would enter the AEP-Ohio service territory if the Comm</w:t>
      </w:r>
      <w:r w:rsidR="003918E1">
        <w:t>ission authorized a POR program,</w:t>
      </w:r>
      <w:r w:rsidR="00092CF6" w:rsidRPr="00876A53">
        <w:rPr>
          <w:rStyle w:val="FootnoteReference"/>
        </w:rPr>
        <w:footnoteReference w:id="143"/>
      </w:r>
      <w:r w:rsidR="00092CF6" w:rsidRPr="00876A53">
        <w:t xml:space="preserve">  </w:t>
      </w:r>
      <w:r w:rsidR="003918E1">
        <w:t>and</w:t>
      </w:r>
      <w:r w:rsidR="00092CF6" w:rsidRPr="00876A53">
        <w:t xml:space="preserve"> AEP-Ohio could not point to any CRES provider not already serving customers that had contacted AEP-Ohio and requested a POR program.</w:t>
      </w:r>
      <w:r w:rsidR="00092CF6" w:rsidRPr="00876A53">
        <w:rPr>
          <w:rStyle w:val="FootnoteReference"/>
        </w:rPr>
        <w:footnoteReference w:id="144"/>
      </w:r>
      <w:r w:rsidR="00092CF6">
        <w:t xml:space="preserve">  Further, there is no shortage of CRES providers or offers from them.</w:t>
      </w:r>
      <w:r w:rsidR="00092CF6">
        <w:rPr>
          <w:rStyle w:val="FootnoteReference"/>
        </w:rPr>
        <w:footnoteReference w:id="145"/>
      </w:r>
    </w:p>
    <w:p w:rsidR="00092CF6" w:rsidRDefault="00092CF6" w:rsidP="00C245A3">
      <w:pPr>
        <w:ind w:firstLine="720"/>
      </w:pPr>
      <w:r>
        <w:lastRenderedPageBreak/>
        <w:t xml:space="preserve">Likewise, AEP-Ohio did not demonstrate that CRES providers would benefit from </w:t>
      </w:r>
      <w:r w:rsidR="00805B33">
        <w:t xml:space="preserve">its proposed </w:t>
      </w:r>
      <w:r>
        <w:t xml:space="preserve">POR program.  </w:t>
      </w:r>
      <w:r w:rsidR="00DA1464">
        <w:t>Other than showing that the POR program would result in an unlawful subsidy to CRES providers,</w:t>
      </w:r>
      <w:r w:rsidR="00DA1464">
        <w:rPr>
          <w:rStyle w:val="FootnoteReference"/>
        </w:rPr>
        <w:footnoteReference w:id="146"/>
      </w:r>
      <w:r w:rsidR="00DA1464">
        <w:t xml:space="preserve"> </w:t>
      </w:r>
      <w:r w:rsidRPr="00411730">
        <w:t xml:space="preserve">AEP-Ohio provides no substantive support for </w:t>
      </w:r>
      <w:r>
        <w:t>its</w:t>
      </w:r>
      <w:r w:rsidRPr="00411730">
        <w:t xml:space="preserve"> claims</w:t>
      </w:r>
      <w:r>
        <w:t xml:space="preserve"> that CRES providers would benefit from the POR program through </w:t>
      </w:r>
      <w:r w:rsidR="003918E1">
        <w:t xml:space="preserve">the transfer of customer responsibility to </w:t>
      </w:r>
      <w:r>
        <w:t>AEP-Ohio</w:t>
      </w:r>
      <w:r w:rsidRPr="00411730">
        <w:t>.</w:t>
      </w:r>
      <w:r w:rsidRPr="00411730">
        <w:rPr>
          <w:vertAlign w:val="superscript"/>
        </w:rPr>
        <w:footnoteReference w:id="147"/>
      </w:r>
      <w:r w:rsidRPr="00411730">
        <w:t xml:space="preserve">  </w:t>
      </w:r>
      <w:r>
        <w:t>Moreover, one CRES provider</w:t>
      </w:r>
      <w:r w:rsidR="00805B33">
        <w:t xml:space="preserve"> </w:t>
      </w:r>
      <w:r w:rsidR="00DA1464">
        <w:t>shows</w:t>
      </w:r>
      <w:r>
        <w:t xml:space="preserve"> that the POR program will adversely affect those CRES providers that have invested in </w:t>
      </w:r>
      <w:r w:rsidR="00805B33">
        <w:t xml:space="preserve">providing customer </w:t>
      </w:r>
      <w:r w:rsidR="00C72796">
        <w:t xml:space="preserve">support </w:t>
      </w:r>
      <w:r w:rsidR="00805B33">
        <w:t>service</w:t>
      </w:r>
      <w:r w:rsidR="00C72796">
        <w:t>s</w:t>
      </w:r>
      <w:r>
        <w:t>.</w:t>
      </w:r>
      <w:r w:rsidR="00B21328">
        <w:rPr>
          <w:rStyle w:val="FootnoteReference"/>
        </w:rPr>
        <w:footnoteReference w:id="148"/>
      </w:r>
      <w:r>
        <w:t xml:space="preserve">  AEP-Ohio chooses to ignore the potential adverse effect its program may have on the existing market that has substantially developed without </w:t>
      </w:r>
      <w:r w:rsidR="00555236">
        <w:t xml:space="preserve">a </w:t>
      </w:r>
      <w:r>
        <w:t xml:space="preserve">POR program with a </w:t>
      </w:r>
      <w:r w:rsidR="00904705">
        <w:t>BDR</w:t>
      </w:r>
      <w:r>
        <w:t>.</w:t>
      </w:r>
    </w:p>
    <w:p w:rsidR="00092CF6" w:rsidRDefault="00092CF6" w:rsidP="00C245A3">
      <w:pPr>
        <w:ind w:firstLine="720"/>
      </w:pPr>
      <w:r>
        <w:t xml:space="preserve">Further, AEP-Ohio ignores the fact that </w:t>
      </w:r>
      <w:r w:rsidR="00A067D2">
        <w:t xml:space="preserve">authorization of </w:t>
      </w:r>
      <w:r>
        <w:t xml:space="preserve">the BDR </w:t>
      </w:r>
      <w:r w:rsidR="00A067D2">
        <w:t xml:space="preserve">would be harmful </w:t>
      </w:r>
      <w:r>
        <w:t xml:space="preserve">to customers and competition.  Under the </w:t>
      </w:r>
      <w:r w:rsidR="00B21328">
        <w:t xml:space="preserve">proposed </w:t>
      </w:r>
      <w:r>
        <w:t xml:space="preserve">POR program, </w:t>
      </w:r>
      <w:r w:rsidR="00805B33">
        <w:t>custome</w:t>
      </w:r>
      <w:r w:rsidR="00904705">
        <w:t>r</w:t>
      </w:r>
      <w:r w:rsidR="00805B33">
        <w:t xml:space="preserve">s would be subsidizing the bad debt expense of CRES providers, and </w:t>
      </w:r>
      <w:r>
        <w:t xml:space="preserve">CRES providers would be relieved of the market check that the risk of bad debt places on them.  </w:t>
      </w:r>
      <w:r w:rsidRPr="004778FA">
        <w:t xml:space="preserve">This mechanism, thus, </w:t>
      </w:r>
      <w:r w:rsidR="00A067D2">
        <w:t xml:space="preserve">would </w:t>
      </w:r>
      <w:r w:rsidRPr="004778FA">
        <w:t>remove the market discipline that encourages CRES providers to evaluate their customers and price services appropriately.</w:t>
      </w:r>
      <w:r w:rsidRPr="004778FA">
        <w:rPr>
          <w:vertAlign w:val="superscript"/>
        </w:rPr>
        <w:footnoteReference w:id="149"/>
      </w:r>
      <w:r>
        <w:t xml:space="preserve">  </w:t>
      </w:r>
    </w:p>
    <w:p w:rsidR="00092CF6" w:rsidRDefault="00C72796" w:rsidP="00C245A3">
      <w:pPr>
        <w:ind w:firstLine="720"/>
      </w:pPr>
      <w:r>
        <w:t xml:space="preserve">Finally, the Commission should not accept </w:t>
      </w:r>
      <w:r w:rsidR="00092CF6">
        <w:t xml:space="preserve">AEP-Ohio’s </w:t>
      </w:r>
      <w:r w:rsidR="00DA63CC">
        <w:t xml:space="preserve">implied </w:t>
      </w:r>
      <w:r w:rsidR="00092CF6">
        <w:t xml:space="preserve">claim that the Staff supports AEP-Ohio’s </w:t>
      </w:r>
      <w:r w:rsidR="00D30D29">
        <w:t xml:space="preserve">position </w:t>
      </w:r>
      <w:r w:rsidR="00092CF6">
        <w:t xml:space="preserve">that the proposed ESP </w:t>
      </w:r>
      <w:r>
        <w:t>passes the ESP v. MRO Test</w:t>
      </w:r>
      <w:r w:rsidR="00092CF6">
        <w:t xml:space="preserve">.  </w:t>
      </w:r>
      <w:r>
        <w:t>According to AEP-Ohio,</w:t>
      </w:r>
      <w:r w:rsidR="00092CF6">
        <w:t xml:space="preserve"> “AEP Ohio witnesses [</w:t>
      </w:r>
      <w:r w:rsidR="00092CF6" w:rsidRPr="00CD0F82">
        <w:rPr>
          <w:i/>
        </w:rPr>
        <w:t>sic</w:t>
      </w:r>
      <w:r w:rsidR="00092CF6">
        <w:t xml:space="preserve">] Allen, other Company witnesses, </w:t>
      </w:r>
      <w:r w:rsidR="00092CF6" w:rsidRPr="00EA26FF">
        <w:rPr>
          <w:i/>
        </w:rPr>
        <w:t>and Staff witness Turkenton</w:t>
      </w:r>
      <w:r w:rsidR="00092CF6">
        <w:t xml:space="preserve"> provide</w:t>
      </w:r>
      <w:r w:rsidR="00092CF6" w:rsidRPr="008C41D7">
        <w:t xml:space="preserve"> testimony that confirms that AEP Ohio’s proposed ESP, including its pricing and all other terms and conditions, is more favorable </w:t>
      </w:r>
      <w:r w:rsidR="00092CF6" w:rsidRPr="008C41D7">
        <w:lastRenderedPageBreak/>
        <w:t>in the aggregate as compared to the expected results of an MRO.”</w:t>
      </w:r>
      <w:r w:rsidR="00092CF6">
        <w:rPr>
          <w:rStyle w:val="FootnoteReference"/>
        </w:rPr>
        <w:footnoteReference w:id="150"/>
      </w:r>
      <w:r w:rsidR="00092CF6" w:rsidRPr="008C41D7">
        <w:t xml:space="preserve">  </w:t>
      </w:r>
      <w:r w:rsidR="00092CF6">
        <w:t>Although the Staff did state that an ESP could pass the ESP v. MRO Test</w:t>
      </w:r>
      <w:r w:rsidR="00A067D2">
        <w:t xml:space="preserve"> and based its </w:t>
      </w:r>
      <w:r w:rsidR="00D30D29">
        <w:t xml:space="preserve">opinion </w:t>
      </w:r>
      <w:r w:rsidR="00A067D2">
        <w:t xml:space="preserve">on some </w:t>
      </w:r>
      <w:r w:rsidR="00B13E9E">
        <w:t xml:space="preserve">of </w:t>
      </w:r>
      <w:r w:rsidR="00A067D2">
        <w:t>the same cla</w:t>
      </w:r>
      <w:r w:rsidR="00D30D29">
        <w:t>i</w:t>
      </w:r>
      <w:r w:rsidR="00A067D2">
        <w:t>med benefits that AEP-Ohio relied upon</w:t>
      </w:r>
      <w:r w:rsidR="00092CF6">
        <w:t xml:space="preserve">, the ESP </w:t>
      </w:r>
      <w:r w:rsidR="00A067D2">
        <w:t xml:space="preserve">it recommended </w:t>
      </w:r>
      <w:r w:rsidR="00CB70B4">
        <w:t xml:space="preserve">in its testimony and initial brief </w:t>
      </w:r>
      <w:r w:rsidR="00A067D2">
        <w:t>for approval</w:t>
      </w:r>
      <w:r w:rsidR="00092CF6">
        <w:t xml:space="preserve"> </w:t>
      </w:r>
      <w:r w:rsidR="00A067D2">
        <w:t>included</w:t>
      </w:r>
      <w:r w:rsidR="00092CF6">
        <w:t xml:space="preserve"> substantial changes to the proposed ESP</w:t>
      </w:r>
      <w:r w:rsidR="00092CF6" w:rsidRPr="008C41D7">
        <w:t>.  In particular, the Staff recommended that the Commission reject the PPAR.</w:t>
      </w:r>
      <w:r w:rsidR="00092CF6">
        <w:rPr>
          <w:rStyle w:val="FootnoteReference"/>
        </w:rPr>
        <w:footnoteReference w:id="151"/>
      </w:r>
      <w:r w:rsidR="00092CF6" w:rsidRPr="008C41D7">
        <w:t xml:space="preserve">  </w:t>
      </w:r>
      <w:r w:rsidR="00A067D2">
        <w:t xml:space="preserve">AEP-Ohio’s </w:t>
      </w:r>
      <w:r w:rsidR="00092CF6">
        <w:t xml:space="preserve">implication that the Staff testimony “confirms that AEP Ohio’s proposed ESP … is more favorable in the aggregate as compared to the expected results of an MRO” </w:t>
      </w:r>
      <w:r>
        <w:t>takes Staff’s recommendation completely out of its context</w:t>
      </w:r>
      <w:r w:rsidR="00092CF6">
        <w:t>.</w:t>
      </w:r>
    </w:p>
    <w:p w:rsidR="00092CF6" w:rsidRPr="00915BEA" w:rsidRDefault="00092CF6" w:rsidP="00C245A3">
      <w:pPr>
        <w:ind w:firstLine="720"/>
        <w:rPr>
          <w:b/>
        </w:rPr>
      </w:pPr>
      <w:r w:rsidRPr="00915BEA">
        <w:t xml:space="preserve">In summary, AEP-Ohio has failed to demonstrate that the proposed ESP is more favorable in the aggregate than an MRO.  It ignores the substantial cost the PPAR will impose on customers.  </w:t>
      </w:r>
      <w:r w:rsidR="00DA1464">
        <w:t>When this cost is correctly included on the ESP side of the ESP v. MRO Test,</w:t>
      </w:r>
      <w:r w:rsidRPr="00915BEA">
        <w:t xml:space="preserve"> the proposed ESP </w:t>
      </w:r>
      <w:r>
        <w:t>is</w:t>
      </w:r>
      <w:r w:rsidRPr="00915BEA">
        <w:t xml:space="preserve"> worse than an MRO</w:t>
      </w:r>
      <w:r>
        <w:t xml:space="preserve"> based on an objective comparison of cost</w:t>
      </w:r>
      <w:r w:rsidRPr="00915BEA">
        <w:t xml:space="preserve">.  Further, </w:t>
      </w:r>
      <w:r>
        <w:t>AEP-Ohio’s</w:t>
      </w:r>
      <w:r w:rsidRPr="00915BEA">
        <w:t xml:space="preserve"> </w:t>
      </w:r>
      <w:r w:rsidR="00D30D29">
        <w:t>reliance on</w:t>
      </w:r>
      <w:r w:rsidRPr="00915BEA">
        <w:t xml:space="preserve"> </w:t>
      </w:r>
      <w:r w:rsidR="00C461BB">
        <w:t>non-quantifiable</w:t>
      </w:r>
      <w:r w:rsidRPr="00915BEA">
        <w:t xml:space="preserve"> benefits is based on subjective and unsupported claims and fails to account for the harms the PPAR and the POR program as proposed would cause.  </w:t>
      </w:r>
    </w:p>
    <w:p w:rsidR="00092CF6" w:rsidRPr="00C245A3" w:rsidRDefault="00092CF6" w:rsidP="003E617E">
      <w:pPr>
        <w:pStyle w:val="Heading1"/>
      </w:pPr>
      <w:bookmarkStart w:id="104" w:name="_Toc395521679"/>
      <w:bookmarkStart w:id="105" w:name="_Toc395706892"/>
      <w:bookmarkStart w:id="106" w:name="_Toc395791187"/>
      <w:bookmarkStart w:id="107" w:name="_Toc395868814"/>
      <w:r w:rsidRPr="00C245A3">
        <w:t>Conclusion</w:t>
      </w:r>
      <w:bookmarkEnd w:id="104"/>
      <w:bookmarkEnd w:id="105"/>
      <w:bookmarkEnd w:id="106"/>
      <w:bookmarkEnd w:id="107"/>
    </w:p>
    <w:p w:rsidR="00C073C8" w:rsidRDefault="00B21328" w:rsidP="00B21328">
      <w:pPr>
        <w:ind w:firstLine="720"/>
      </w:pPr>
      <w:r>
        <w:t>Based on the applicable law and the record in this case, the Commission should not authorize the PPAR, BTCR, and POR program</w:t>
      </w:r>
      <w:r w:rsidR="004A3299">
        <w:t>s</w:t>
      </w:r>
      <w:r>
        <w:t>.</w:t>
      </w:r>
      <w:r w:rsidR="00C073C8">
        <w:t xml:space="preserve"> </w:t>
      </w:r>
      <w:r w:rsidR="00DA1464">
        <w:t xml:space="preserve"> </w:t>
      </w:r>
      <w:r>
        <w:t>Further, it should find that the proposed ESP does not pass the ESP v. MRO test.</w:t>
      </w:r>
      <w:r w:rsidR="00C073C8" w:rsidRPr="00C073C8">
        <w:t xml:space="preserve"> </w:t>
      </w:r>
      <w:r w:rsidR="00FB16D2">
        <w:t xml:space="preserve"> </w:t>
      </w:r>
      <w:r>
        <w:t xml:space="preserve">Only </w:t>
      </w:r>
      <w:r w:rsidR="00DA1464">
        <w:t>if the Commission substantially modifies</w:t>
      </w:r>
      <w:r>
        <w:t xml:space="preserve"> the proposed ESP, particularly by removing the PPAR, will the proposed ESP pass the ESP v. MRO Test.  </w:t>
      </w:r>
      <w:r w:rsidR="00C073C8">
        <w:t xml:space="preserve">Additionally, the Commission should reject </w:t>
      </w:r>
      <w:r w:rsidR="00C073C8">
        <w:lastRenderedPageBreak/>
        <w:t xml:space="preserve">the recommendations of </w:t>
      </w:r>
      <w:r w:rsidR="00DA1464">
        <w:t xml:space="preserve">OEC/EDF </w:t>
      </w:r>
      <w:r w:rsidR="00C073C8">
        <w:t xml:space="preserve">and </w:t>
      </w:r>
      <w:r w:rsidR="00DA1464">
        <w:t xml:space="preserve">OCC </w:t>
      </w:r>
      <w:r w:rsidR="00C073C8">
        <w:t xml:space="preserve">to modify the </w:t>
      </w:r>
      <w:r w:rsidR="00DA1464">
        <w:t xml:space="preserve">EDR </w:t>
      </w:r>
      <w:r w:rsidR="00C073C8">
        <w:t>and</w:t>
      </w:r>
      <w:r w:rsidR="00DA1464" w:rsidRPr="00DA1464">
        <w:t xml:space="preserve"> </w:t>
      </w:r>
      <w:r w:rsidR="00DA1464">
        <w:t>allocation of responsibility for the distribution riders</w:t>
      </w:r>
      <w:r w:rsidR="00C073C8">
        <w:t xml:space="preserve">, respectively, because neither recommendation is reasonable.  </w:t>
      </w:r>
    </w:p>
    <w:p w:rsidR="00511CD1" w:rsidRPr="00511CD1" w:rsidRDefault="00511CD1" w:rsidP="00511CD1">
      <w:pPr>
        <w:spacing w:after="0"/>
      </w:pPr>
    </w:p>
    <w:p w:rsidR="00511CD1" w:rsidRPr="00511CD1" w:rsidRDefault="00511CD1" w:rsidP="00511CD1">
      <w:pPr>
        <w:spacing w:after="0" w:line="240" w:lineRule="auto"/>
        <w:ind w:left="720"/>
        <w:contextualSpacing/>
      </w:pPr>
    </w:p>
    <w:p w:rsidR="00511CD1" w:rsidRPr="00511CD1" w:rsidRDefault="00511CD1" w:rsidP="00511CD1">
      <w:pPr>
        <w:tabs>
          <w:tab w:val="left" w:pos="-1440"/>
          <w:tab w:val="left" w:pos="-720"/>
          <w:tab w:val="left" w:pos="4680"/>
          <w:tab w:val="left" w:pos="5040"/>
          <w:tab w:val="left" w:pos="8640"/>
        </w:tabs>
        <w:spacing w:after="0" w:line="240" w:lineRule="auto"/>
        <w:ind w:firstLine="4320"/>
        <w:rPr>
          <w:rFonts w:cs="Arial"/>
          <w:szCs w:val="20"/>
        </w:rPr>
      </w:pPr>
      <w:r w:rsidRPr="00511CD1">
        <w:rPr>
          <w:rFonts w:cs="Arial"/>
        </w:rPr>
        <w:t>Respectfully submitted,</w:t>
      </w:r>
    </w:p>
    <w:p w:rsidR="00511CD1" w:rsidRPr="00511CD1" w:rsidRDefault="00511CD1" w:rsidP="00511CD1">
      <w:pPr>
        <w:tabs>
          <w:tab w:val="left" w:pos="-1440"/>
          <w:tab w:val="left" w:pos="-720"/>
          <w:tab w:val="left" w:pos="4680"/>
          <w:tab w:val="left" w:pos="5040"/>
          <w:tab w:val="left" w:pos="8640"/>
        </w:tabs>
        <w:spacing w:after="0" w:line="240" w:lineRule="auto"/>
        <w:ind w:firstLine="720"/>
        <w:rPr>
          <w:rFonts w:cs="Arial"/>
          <w:szCs w:val="20"/>
        </w:rPr>
      </w:pPr>
    </w:p>
    <w:p w:rsidR="00511CD1" w:rsidRPr="00511CD1" w:rsidRDefault="00511CD1" w:rsidP="00511CD1">
      <w:pPr>
        <w:tabs>
          <w:tab w:val="left" w:pos="-1440"/>
          <w:tab w:val="left" w:pos="-720"/>
          <w:tab w:val="left" w:pos="4680"/>
          <w:tab w:val="left" w:pos="8640"/>
        </w:tabs>
        <w:spacing w:after="0" w:line="240" w:lineRule="auto"/>
        <w:ind w:firstLine="4320"/>
        <w:rPr>
          <w:rFonts w:cs="Arial"/>
          <w:szCs w:val="20"/>
        </w:rPr>
      </w:pPr>
      <w:r w:rsidRPr="00511CD1">
        <w:rPr>
          <w:rFonts w:cs="Arial"/>
          <w:u w:val="single"/>
        </w:rPr>
        <w:t>/s/ Frank P. Darr</w:t>
      </w:r>
      <w:r w:rsidRPr="00511CD1">
        <w:rPr>
          <w:rFonts w:cs="Arial"/>
          <w:u w:val="single"/>
        </w:rPr>
        <w:tab/>
      </w:r>
      <w:r w:rsidRPr="00511CD1">
        <w:rPr>
          <w:rFonts w:cs="Arial"/>
          <w:u w:val="single"/>
        </w:rPr>
        <w:tab/>
      </w:r>
    </w:p>
    <w:p w:rsidR="00511CD1" w:rsidRPr="00511CD1" w:rsidRDefault="00511CD1" w:rsidP="00511CD1">
      <w:pPr>
        <w:tabs>
          <w:tab w:val="left" w:pos="-1440"/>
          <w:tab w:val="left" w:pos="-720"/>
          <w:tab w:val="left" w:pos="4680"/>
          <w:tab w:val="left" w:pos="5040"/>
        </w:tabs>
        <w:spacing w:after="0" w:line="240" w:lineRule="auto"/>
        <w:ind w:firstLine="4320"/>
        <w:rPr>
          <w:rFonts w:cs="Arial"/>
        </w:rPr>
      </w:pPr>
      <w:r w:rsidRPr="00511CD1">
        <w:rPr>
          <w:rFonts w:cs="Arial"/>
        </w:rPr>
        <w:t>Frank P. Darr (Counsel of Record)</w:t>
      </w:r>
    </w:p>
    <w:p w:rsidR="00511CD1" w:rsidRPr="00511CD1" w:rsidRDefault="00511CD1" w:rsidP="00511CD1">
      <w:pPr>
        <w:tabs>
          <w:tab w:val="left" w:pos="-1440"/>
          <w:tab w:val="left" w:pos="-720"/>
          <w:tab w:val="left" w:pos="4680"/>
          <w:tab w:val="left" w:pos="5040"/>
        </w:tabs>
        <w:spacing w:after="0" w:line="240" w:lineRule="auto"/>
        <w:ind w:firstLine="4320"/>
        <w:rPr>
          <w:rFonts w:cs="Arial"/>
        </w:rPr>
      </w:pPr>
      <w:r w:rsidRPr="00511CD1">
        <w:rPr>
          <w:rFonts w:cs="Arial"/>
        </w:rPr>
        <w:t>Matthew Pritchard</w:t>
      </w:r>
    </w:p>
    <w:p w:rsidR="00511CD1" w:rsidRPr="00511CD1" w:rsidRDefault="00511CD1" w:rsidP="00511CD1">
      <w:pPr>
        <w:tabs>
          <w:tab w:val="left" w:pos="-1440"/>
          <w:tab w:val="left" w:pos="-720"/>
          <w:tab w:val="left" w:pos="4680"/>
          <w:tab w:val="left" w:pos="5040"/>
        </w:tabs>
        <w:spacing w:after="0" w:line="240" w:lineRule="auto"/>
        <w:ind w:firstLine="4320"/>
        <w:rPr>
          <w:rFonts w:cs="Arial"/>
          <w:sz w:val="16"/>
          <w:szCs w:val="20"/>
        </w:rPr>
      </w:pPr>
      <w:r w:rsidRPr="00511CD1">
        <w:rPr>
          <w:rFonts w:cs="Arial"/>
          <w:smallCaps/>
        </w:rPr>
        <w:t>McNees Wallace &amp; Nurick LLC</w:t>
      </w:r>
    </w:p>
    <w:p w:rsidR="00511CD1" w:rsidRPr="00511CD1" w:rsidRDefault="00511CD1" w:rsidP="00511CD1">
      <w:pPr>
        <w:tabs>
          <w:tab w:val="left" w:pos="-1440"/>
          <w:tab w:val="left" w:pos="-720"/>
          <w:tab w:val="left" w:pos="4680"/>
          <w:tab w:val="left" w:pos="5040"/>
        </w:tabs>
        <w:spacing w:after="0" w:line="240" w:lineRule="auto"/>
        <w:ind w:firstLine="4320"/>
        <w:rPr>
          <w:rFonts w:cs="Arial"/>
          <w:szCs w:val="20"/>
        </w:rPr>
      </w:pPr>
      <w:r w:rsidRPr="00511CD1">
        <w:rPr>
          <w:rFonts w:cs="Arial"/>
        </w:rPr>
        <w:t>Fifth Third Center</w:t>
      </w:r>
    </w:p>
    <w:p w:rsidR="00511CD1" w:rsidRPr="00511CD1" w:rsidRDefault="00511CD1" w:rsidP="00511CD1">
      <w:pPr>
        <w:tabs>
          <w:tab w:val="left" w:pos="-1440"/>
          <w:tab w:val="left" w:pos="-720"/>
          <w:tab w:val="left" w:pos="4680"/>
          <w:tab w:val="left" w:pos="5040"/>
        </w:tabs>
        <w:spacing w:after="0" w:line="240" w:lineRule="auto"/>
        <w:ind w:firstLine="4320"/>
        <w:rPr>
          <w:rFonts w:cs="Arial"/>
          <w:szCs w:val="20"/>
        </w:rPr>
      </w:pPr>
      <w:r w:rsidRPr="00511CD1">
        <w:rPr>
          <w:rFonts w:cs="Arial"/>
        </w:rPr>
        <w:t>21 East State Street, 17</w:t>
      </w:r>
      <w:r w:rsidRPr="00511CD1">
        <w:rPr>
          <w:rFonts w:cs="Arial"/>
          <w:vertAlign w:val="superscript"/>
        </w:rPr>
        <w:t>th</w:t>
      </w:r>
      <w:r w:rsidRPr="00511CD1">
        <w:rPr>
          <w:rFonts w:cs="Arial"/>
        </w:rPr>
        <w:t xml:space="preserve"> Floor</w:t>
      </w:r>
    </w:p>
    <w:p w:rsidR="00511CD1" w:rsidRPr="00511CD1" w:rsidRDefault="00511CD1" w:rsidP="00511CD1">
      <w:pPr>
        <w:tabs>
          <w:tab w:val="left" w:pos="-1440"/>
          <w:tab w:val="left" w:pos="-720"/>
          <w:tab w:val="left" w:pos="4680"/>
          <w:tab w:val="left" w:pos="5040"/>
        </w:tabs>
        <w:spacing w:after="0" w:line="240" w:lineRule="auto"/>
        <w:ind w:firstLine="4320"/>
        <w:rPr>
          <w:rFonts w:cs="Arial"/>
        </w:rPr>
      </w:pPr>
      <w:r w:rsidRPr="00511CD1">
        <w:rPr>
          <w:rFonts w:cs="Arial"/>
        </w:rPr>
        <w:t>Columbus, OH  43215-4228</w:t>
      </w:r>
    </w:p>
    <w:p w:rsidR="00511CD1" w:rsidRPr="00511CD1" w:rsidRDefault="00511CD1" w:rsidP="00511CD1">
      <w:pPr>
        <w:tabs>
          <w:tab w:val="left" w:pos="-1440"/>
          <w:tab w:val="left" w:pos="-720"/>
          <w:tab w:val="left" w:pos="4680"/>
          <w:tab w:val="left" w:pos="5040"/>
        </w:tabs>
        <w:spacing w:after="0" w:line="240" w:lineRule="auto"/>
        <w:ind w:firstLine="4320"/>
        <w:rPr>
          <w:rFonts w:cs="Arial"/>
          <w:szCs w:val="20"/>
        </w:rPr>
      </w:pPr>
      <w:r w:rsidRPr="00511CD1">
        <w:rPr>
          <w:rFonts w:cs="Arial"/>
        </w:rPr>
        <w:t>Telephone:  (614) 469-8000</w:t>
      </w:r>
    </w:p>
    <w:p w:rsidR="00511CD1" w:rsidRPr="00511CD1" w:rsidRDefault="00511CD1" w:rsidP="00511CD1">
      <w:pPr>
        <w:tabs>
          <w:tab w:val="left" w:pos="-1440"/>
          <w:tab w:val="left" w:pos="-720"/>
          <w:tab w:val="left" w:pos="4680"/>
          <w:tab w:val="left" w:pos="5040"/>
        </w:tabs>
        <w:spacing w:after="0" w:line="240" w:lineRule="auto"/>
        <w:ind w:firstLine="4320"/>
        <w:rPr>
          <w:rFonts w:cs="Arial"/>
        </w:rPr>
      </w:pPr>
      <w:r w:rsidRPr="00511CD1">
        <w:rPr>
          <w:rFonts w:cs="Arial"/>
        </w:rPr>
        <w:t>Telecopier:  (614) 469-4653</w:t>
      </w:r>
    </w:p>
    <w:p w:rsidR="00511CD1" w:rsidRPr="00511CD1" w:rsidRDefault="00511CD1" w:rsidP="00511CD1">
      <w:pPr>
        <w:tabs>
          <w:tab w:val="left" w:pos="-1440"/>
          <w:tab w:val="left" w:pos="-720"/>
          <w:tab w:val="left" w:pos="4680"/>
          <w:tab w:val="left" w:pos="5040"/>
        </w:tabs>
        <w:spacing w:after="0" w:line="240" w:lineRule="auto"/>
        <w:ind w:firstLine="4320"/>
        <w:rPr>
          <w:rFonts w:cs="Arial"/>
        </w:rPr>
      </w:pPr>
      <w:r w:rsidRPr="00511CD1">
        <w:rPr>
          <w:rFonts w:cs="Arial"/>
        </w:rPr>
        <w:t>fdarr@mwncmh.com</w:t>
      </w:r>
    </w:p>
    <w:p w:rsidR="00511CD1" w:rsidRDefault="004A3299" w:rsidP="00511CD1">
      <w:pPr>
        <w:tabs>
          <w:tab w:val="left" w:pos="-1440"/>
          <w:tab w:val="left" w:pos="-720"/>
          <w:tab w:val="left" w:pos="4680"/>
          <w:tab w:val="left" w:pos="5040"/>
        </w:tabs>
        <w:spacing w:after="0" w:line="240" w:lineRule="auto"/>
        <w:ind w:firstLine="4320"/>
        <w:rPr>
          <w:rFonts w:cs="Arial"/>
          <w:szCs w:val="20"/>
        </w:rPr>
      </w:pPr>
      <w:r>
        <w:rPr>
          <w:rFonts w:cs="Arial"/>
          <w:szCs w:val="20"/>
        </w:rPr>
        <w:t>mpritchard@mwncmh.com</w:t>
      </w:r>
    </w:p>
    <w:p w:rsidR="004A3299" w:rsidRPr="00511CD1" w:rsidRDefault="004A3299" w:rsidP="00511CD1">
      <w:pPr>
        <w:tabs>
          <w:tab w:val="left" w:pos="-1440"/>
          <w:tab w:val="left" w:pos="-720"/>
          <w:tab w:val="left" w:pos="4680"/>
          <w:tab w:val="left" w:pos="5040"/>
        </w:tabs>
        <w:spacing w:after="0" w:line="240" w:lineRule="auto"/>
        <w:ind w:firstLine="4320"/>
        <w:rPr>
          <w:rFonts w:cs="Arial"/>
          <w:szCs w:val="20"/>
        </w:rPr>
      </w:pPr>
    </w:p>
    <w:p w:rsidR="00511CD1" w:rsidRPr="00511CD1" w:rsidRDefault="00511CD1" w:rsidP="00511CD1">
      <w:pPr>
        <w:tabs>
          <w:tab w:val="left" w:pos="-1440"/>
          <w:tab w:val="left" w:pos="-720"/>
          <w:tab w:val="left" w:pos="4680"/>
          <w:tab w:val="left" w:pos="5040"/>
        </w:tabs>
        <w:spacing w:after="0" w:line="240" w:lineRule="auto"/>
        <w:ind w:right="-1008" w:firstLine="4320"/>
        <w:rPr>
          <w:rFonts w:cs="Arial"/>
          <w:b/>
          <w:szCs w:val="20"/>
        </w:rPr>
      </w:pPr>
      <w:r w:rsidRPr="00511CD1">
        <w:rPr>
          <w:rFonts w:cs="Arial"/>
          <w:b/>
          <w:szCs w:val="20"/>
        </w:rPr>
        <w:t>Attorney</w:t>
      </w:r>
      <w:r w:rsidR="004A3299">
        <w:rPr>
          <w:rFonts w:cs="Arial"/>
          <w:b/>
          <w:szCs w:val="20"/>
        </w:rPr>
        <w:t>s</w:t>
      </w:r>
      <w:r w:rsidRPr="00511CD1">
        <w:rPr>
          <w:rFonts w:cs="Arial"/>
          <w:b/>
          <w:szCs w:val="20"/>
        </w:rPr>
        <w:t xml:space="preserve"> for Industrial Energy Users-Ohio</w:t>
      </w:r>
    </w:p>
    <w:p w:rsidR="00511CD1" w:rsidRPr="00511CD1" w:rsidRDefault="00511CD1" w:rsidP="00511CD1">
      <w:pPr>
        <w:spacing w:after="0" w:line="240" w:lineRule="auto"/>
      </w:pPr>
    </w:p>
    <w:p w:rsidR="00511CD1" w:rsidRPr="00511CD1" w:rsidRDefault="00511CD1" w:rsidP="00511CD1">
      <w:pPr>
        <w:spacing w:after="0" w:line="240" w:lineRule="auto"/>
      </w:pPr>
      <w:r w:rsidRPr="00511CD1">
        <w:tab/>
        <w:t xml:space="preserve"> </w:t>
      </w:r>
    </w:p>
    <w:p w:rsidR="00511CD1" w:rsidRPr="00511CD1" w:rsidRDefault="00511CD1" w:rsidP="00511CD1">
      <w:pPr>
        <w:spacing w:after="0" w:line="240" w:lineRule="auto"/>
        <w:sectPr w:rsidR="00511CD1" w:rsidRPr="00511CD1" w:rsidSect="003E617E">
          <w:pgSz w:w="12240" w:h="15840" w:code="1"/>
          <w:pgMar w:top="1440" w:right="1440" w:bottom="1440" w:left="1440" w:header="720" w:footer="720" w:gutter="0"/>
          <w:pgNumType w:start="1"/>
          <w:cols w:space="720"/>
          <w:titlePg/>
          <w:docGrid w:linePitch="360"/>
        </w:sectPr>
      </w:pPr>
    </w:p>
    <w:p w:rsidR="00511CD1" w:rsidRPr="00511CD1" w:rsidRDefault="00511CD1" w:rsidP="00511CD1">
      <w:pPr>
        <w:spacing w:after="0" w:line="240" w:lineRule="auto"/>
        <w:jc w:val="center"/>
        <w:rPr>
          <w:rFonts w:ascii="Arial Bold" w:eastAsia="Times New Roman" w:hAnsi="Arial Bold" w:cs="Times New Roman"/>
          <w:b/>
          <w:caps/>
          <w:szCs w:val="20"/>
          <w:u w:val="single"/>
        </w:rPr>
      </w:pPr>
      <w:r w:rsidRPr="00511CD1">
        <w:rPr>
          <w:rFonts w:ascii="Arial Bold" w:eastAsia="Times New Roman" w:hAnsi="Arial Bold" w:cs="Times New Roman"/>
          <w:b/>
          <w:caps/>
          <w:szCs w:val="20"/>
          <w:u w:val="single"/>
        </w:rPr>
        <w:lastRenderedPageBreak/>
        <w:t>Certificate of Service</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ind w:firstLine="720"/>
        <w:rPr>
          <w:rFonts w:ascii="Times New Roman" w:eastAsia="Times New Roman" w:hAnsi="Times New Roman" w:cs="Times New Roman"/>
        </w:rPr>
      </w:pPr>
      <w:r>
        <w:rPr>
          <w:rFonts w:eastAsia="Times New Roman" w:cs="Arial"/>
        </w:rPr>
        <w:t>In a</w:t>
      </w:r>
      <w:r w:rsidRPr="00511CD1">
        <w:rPr>
          <w:rFonts w:eastAsia="Times New Roman" w:cs="Arial"/>
        </w:rPr>
        <w:t xml:space="preserve">ccordance with Rule 4901-1-05, Ohio Administrative Code, the </w:t>
      </w:r>
      <w:r>
        <w:rPr>
          <w:rFonts w:eastAsia="Times New Roman" w:cs="Arial"/>
        </w:rPr>
        <w:t>Commission’s</w:t>
      </w:r>
      <w:r w:rsidRPr="00511CD1">
        <w:rPr>
          <w:rFonts w:eastAsia="Times New Roman" w:cs="Arial"/>
        </w:rPr>
        <w:t xml:space="preserve"> e-filing system will electronically serve notice of the filing of this document upon the following parties.  In addition, I hereby certify that a service copy of the foregoing </w:t>
      </w:r>
      <w:r>
        <w:rPr>
          <w:rFonts w:eastAsia="Times New Roman" w:cs="Arial"/>
          <w:i/>
        </w:rPr>
        <w:t>Reply</w:t>
      </w:r>
      <w:r w:rsidRPr="00511CD1">
        <w:rPr>
          <w:rFonts w:eastAsia="Times New Roman" w:cs="Arial"/>
          <w:i/>
        </w:rPr>
        <w:t xml:space="preserve"> Brief of Industrial Energy Users-Ohio</w:t>
      </w:r>
      <w:r w:rsidRPr="00511CD1">
        <w:rPr>
          <w:rFonts w:eastAsia="Times New Roman" w:cs="Arial"/>
        </w:rPr>
        <w:t xml:space="preserve"> was sent by, or on behalf of, the undersigned counsel for IEU-Ohio to the following parties of record this </w:t>
      </w:r>
      <w:r>
        <w:rPr>
          <w:rFonts w:eastAsia="Times New Roman" w:cs="Arial"/>
        </w:rPr>
        <w:t>15</w:t>
      </w:r>
      <w:r w:rsidRPr="00511CD1">
        <w:rPr>
          <w:rFonts w:eastAsia="Times New Roman" w:cs="Arial"/>
          <w:vertAlign w:val="superscript"/>
        </w:rPr>
        <w:t>th</w:t>
      </w:r>
      <w:r>
        <w:rPr>
          <w:rFonts w:eastAsia="Times New Roman" w:cs="Arial"/>
        </w:rPr>
        <w:t xml:space="preserve"> </w:t>
      </w:r>
      <w:r w:rsidRPr="00511CD1">
        <w:rPr>
          <w:rFonts w:eastAsia="Times New Roman" w:cs="Arial"/>
        </w:rPr>
        <w:t xml:space="preserve">day of </w:t>
      </w:r>
      <w:r>
        <w:rPr>
          <w:rFonts w:eastAsia="Times New Roman" w:cs="Arial"/>
        </w:rPr>
        <w:t>August</w:t>
      </w:r>
      <w:r w:rsidRPr="00511CD1">
        <w:rPr>
          <w:rFonts w:eastAsia="Times New Roman" w:cs="Arial"/>
        </w:rPr>
        <w:t xml:space="preserve"> 2014, </w:t>
      </w:r>
      <w:r w:rsidRPr="00511CD1">
        <w:rPr>
          <w:rFonts w:eastAsia="Times New Roman" w:cs="Arial"/>
          <w:i/>
        </w:rPr>
        <w:t>via</w:t>
      </w:r>
      <w:r w:rsidRPr="00511CD1">
        <w:rPr>
          <w:rFonts w:eastAsia="Times New Roman" w:cs="Arial"/>
        </w:rPr>
        <w:t xml:space="preserve"> electronic transmission. </w:t>
      </w:r>
    </w:p>
    <w:p w:rsidR="00511CD1" w:rsidRPr="00511CD1" w:rsidRDefault="00511CD1" w:rsidP="00511CD1">
      <w:pPr>
        <w:tabs>
          <w:tab w:val="right" w:pos="8640"/>
        </w:tabs>
        <w:spacing w:after="0" w:line="240" w:lineRule="auto"/>
        <w:ind w:left="5040"/>
        <w:jc w:val="left"/>
        <w:rPr>
          <w:rFonts w:eastAsia="Times New Roman" w:cs="Arial"/>
          <w:u w:val="single"/>
        </w:rPr>
      </w:pPr>
      <w:r w:rsidRPr="00511CD1">
        <w:rPr>
          <w:rFonts w:eastAsia="Times New Roman" w:cs="Arial"/>
          <w:u w:val="single"/>
        </w:rPr>
        <w:t>/s/ Frank P. Darr</w:t>
      </w:r>
      <w:r w:rsidRPr="00511CD1">
        <w:rPr>
          <w:rFonts w:eastAsia="Times New Roman" w:cs="Arial"/>
          <w:u w:val="single"/>
        </w:rPr>
        <w:tab/>
      </w:r>
    </w:p>
    <w:p w:rsidR="00511CD1" w:rsidRPr="00511CD1" w:rsidRDefault="00511CD1" w:rsidP="00511CD1">
      <w:pPr>
        <w:tabs>
          <w:tab w:val="left" w:pos="2160"/>
          <w:tab w:val="left" w:pos="2280"/>
        </w:tabs>
        <w:spacing w:after="0" w:line="240" w:lineRule="auto"/>
        <w:jc w:val="left"/>
        <w:rPr>
          <w:rFonts w:eastAsia="Times New Roman" w:cs="Arial"/>
        </w:rPr>
      </w:pPr>
      <w:r w:rsidRPr="00511CD1">
        <w:rPr>
          <w:rFonts w:eastAsia="Times New Roman" w:cs="Arial"/>
        </w:rPr>
        <w:tab/>
      </w:r>
      <w:r w:rsidRPr="00511CD1">
        <w:rPr>
          <w:rFonts w:eastAsia="Times New Roman" w:cs="Arial"/>
        </w:rPr>
        <w:tab/>
      </w:r>
      <w:r w:rsidRPr="00511CD1">
        <w:rPr>
          <w:rFonts w:eastAsia="Times New Roman" w:cs="Arial"/>
        </w:rPr>
        <w:tab/>
      </w:r>
      <w:r w:rsidRPr="00511CD1">
        <w:rPr>
          <w:rFonts w:eastAsia="Times New Roman" w:cs="Arial"/>
        </w:rPr>
        <w:tab/>
      </w:r>
      <w:r w:rsidRPr="00511CD1">
        <w:rPr>
          <w:rFonts w:eastAsia="Times New Roman" w:cs="Arial"/>
        </w:rPr>
        <w:tab/>
      </w:r>
      <w:r w:rsidRPr="00511CD1">
        <w:rPr>
          <w:rFonts w:eastAsia="Times New Roman" w:cs="Arial"/>
        </w:rPr>
        <w:tab/>
      </w:r>
      <w:r w:rsidRPr="00511CD1">
        <w:rPr>
          <w:rFonts w:eastAsia="Times New Roman" w:cs="Arial"/>
        </w:rPr>
        <w:tab/>
        <w:t>Frank P. Darr</w:t>
      </w:r>
    </w:p>
    <w:p w:rsidR="00511CD1" w:rsidRPr="00511CD1" w:rsidRDefault="00511CD1" w:rsidP="00511CD1">
      <w:pPr>
        <w:autoSpaceDE w:val="0"/>
        <w:autoSpaceDN w:val="0"/>
        <w:adjustRightInd w:val="0"/>
        <w:spacing w:after="0" w:line="240" w:lineRule="auto"/>
        <w:jc w:val="left"/>
        <w:rPr>
          <w:rFonts w:eastAsia="Calibri" w:cs="Arial"/>
        </w:rPr>
        <w:sectPr w:rsidR="00511CD1" w:rsidRPr="00511CD1">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pPr>
    </w:p>
    <w:p w:rsidR="00511CD1" w:rsidRPr="00511CD1" w:rsidRDefault="00511CD1" w:rsidP="00511CD1">
      <w:pPr>
        <w:spacing w:after="0" w:line="240" w:lineRule="auto"/>
        <w:jc w:val="center"/>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Steven T. Nourse (0046705)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Matthew J. Satterwhite (0071972)</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American Electric Power Corporation</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 Riverside Plaza, 29</w:t>
      </w:r>
      <w:r w:rsidRPr="00511CD1">
        <w:rPr>
          <w:rFonts w:eastAsia="Times New Roman" w:cs="Times New Roman"/>
          <w:szCs w:val="20"/>
          <w:vertAlign w:val="superscript"/>
        </w:rPr>
        <w:t>th</w:t>
      </w:r>
      <w:r w:rsidRPr="00511CD1">
        <w:rPr>
          <w:rFonts w:eastAsia="Times New Roman" w:cs="Times New Roman"/>
          <w:szCs w:val="20"/>
        </w:rPr>
        <w:t xml:space="preserve"> Floor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43215-2373</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stnourse@aep.com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mjsatterwhite@aep.com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Daniel R. Conway (0023058)</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Porter Wright Morris &amp; Arthur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Huntington Center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41 South High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dconway@porterwright.com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Ohio Power Company</w:t>
      </w:r>
    </w:p>
    <w:p w:rsidR="00511CD1" w:rsidRPr="00511CD1" w:rsidRDefault="00511CD1" w:rsidP="00511CD1">
      <w:pPr>
        <w:spacing w:after="0" w:line="240" w:lineRule="auto"/>
        <w:jc w:val="left"/>
        <w:rPr>
          <w:rFonts w:eastAsia="Times New Roman" w:cs="Times New Roman"/>
          <w:b/>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David F. Boehm (0021881)</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Michael L. Kurtz (0033350)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Jody Kyler Cohn (0085402)</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Boehm, Kurtz &amp; Lowry</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36 East Seventh Street, Suite 1510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Cincinnati, Ohio  45202</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dboehm@BKLlawfirm.com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mkurtz@BKLlawfirm.com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jkylercohn@BKLlawfirm.com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b/>
          <w:smallCaps/>
          <w:szCs w:val="20"/>
        </w:rPr>
      </w:pPr>
      <w:r w:rsidRPr="00511CD1">
        <w:rPr>
          <w:rFonts w:eastAsia="Times New Roman" w:cs="Times New Roman"/>
          <w:b/>
          <w:smallCaps/>
          <w:szCs w:val="20"/>
        </w:rPr>
        <w:t>On Behalf of the Ohio Energy Group</w:t>
      </w:r>
    </w:p>
    <w:p w:rsidR="00511CD1" w:rsidRPr="00511CD1" w:rsidRDefault="00511CD1" w:rsidP="00511CD1">
      <w:pPr>
        <w:spacing w:after="0" w:line="240" w:lineRule="auto"/>
        <w:jc w:val="left"/>
        <w:rPr>
          <w:rFonts w:eastAsia="Times New Roman" w:cs="Times New Roman"/>
          <w:b/>
          <w:smallCaps/>
          <w:szCs w:val="20"/>
        </w:rPr>
      </w:pP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William L. Wright (0018010)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Werner Margard (0024858)</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Devin Parram (0082507)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Katherine Johnson (0091064)</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Assistant Attorneys’ General</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180 E. Broad Street, 6</w:t>
      </w:r>
      <w:r w:rsidRPr="00511CD1">
        <w:rPr>
          <w:rFonts w:eastAsia="Times New Roman" w:cs="Times New Roman"/>
          <w:szCs w:val="20"/>
          <w:vertAlign w:val="superscript"/>
        </w:rPr>
        <w:t>th</w:t>
      </w:r>
      <w:r w:rsidRPr="00511CD1">
        <w:rPr>
          <w:rFonts w:eastAsia="Times New Roman" w:cs="Times New Roman"/>
          <w:szCs w:val="20"/>
        </w:rPr>
        <w:t xml:space="preserve"> Floor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43215-3793</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William.wright@puc.state.oh.us</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werner.margard@puc.state.oh.us</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Devin.Parram@puc.state.oh.us</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katherine.johnson@puc.state.oh.us</w:t>
      </w:r>
    </w:p>
    <w:p w:rsidR="00511CD1" w:rsidRPr="00511CD1" w:rsidRDefault="00511CD1" w:rsidP="00511CD1">
      <w:pPr>
        <w:spacing w:after="0" w:line="240" w:lineRule="auto"/>
        <w:jc w:val="left"/>
        <w:rPr>
          <w:rFonts w:eastAsia="Times New Roman" w:cs="Times New Roman"/>
          <w:b/>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the Staff of the Public</w:t>
      </w:r>
    </w:p>
    <w:p w:rsidR="00511CD1" w:rsidRPr="00511CD1" w:rsidRDefault="00511CD1" w:rsidP="00511CD1">
      <w:pPr>
        <w:spacing w:after="0" w:line="240" w:lineRule="auto"/>
        <w:jc w:val="left"/>
        <w:rPr>
          <w:rFonts w:eastAsia="Times New Roman" w:cs="Times New Roman"/>
          <w:b/>
          <w:szCs w:val="20"/>
        </w:rPr>
      </w:pPr>
      <w:r w:rsidRPr="00511CD1">
        <w:rPr>
          <w:rFonts w:ascii="Arial Bold" w:eastAsia="Times New Roman" w:hAnsi="Arial Bold" w:cs="Times New Roman"/>
          <w:b/>
          <w:smallCaps/>
          <w:szCs w:val="20"/>
        </w:rPr>
        <w:t>Utilities Commission of Ohio</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Maureen R. Grady (0020847)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Assistant Consumers’ Counsel</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Office of the Ohio Consumers’ Counsel</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10 West Broad Street, Suite 1800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43215-3485</w:t>
      </w:r>
    </w:p>
    <w:p w:rsidR="00511CD1" w:rsidRPr="00511CD1" w:rsidRDefault="001E489E" w:rsidP="00511CD1">
      <w:pPr>
        <w:spacing w:after="0" w:line="240" w:lineRule="auto"/>
        <w:jc w:val="left"/>
        <w:rPr>
          <w:rFonts w:eastAsia="Times New Roman" w:cs="Times New Roman"/>
          <w:szCs w:val="20"/>
        </w:rPr>
      </w:pPr>
      <w:hyperlink r:id="rId23" w:history="1">
        <w:r w:rsidR="00511CD1" w:rsidRPr="00511CD1">
          <w:rPr>
            <w:rFonts w:eastAsia="Times New Roman" w:cs="Times New Roman"/>
            <w:szCs w:val="20"/>
          </w:rPr>
          <w:t>grady@occ.state.oh.us</w:t>
        </w:r>
      </w:hyperlink>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b/>
          <w:smallCaps/>
          <w:szCs w:val="20"/>
        </w:rPr>
      </w:pPr>
      <w:r w:rsidRPr="00511CD1">
        <w:rPr>
          <w:rFonts w:eastAsia="Times New Roman" w:cs="Times New Roman"/>
          <w:b/>
          <w:smallCaps/>
          <w:szCs w:val="20"/>
        </w:rPr>
        <w:t>On Behalf of the Office of the Ohio Consumers’ Counsel</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sectPr w:rsidR="00511CD1" w:rsidRPr="00511CD1" w:rsidSect="003E617E">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lastRenderedPageBreak/>
        <w:t>Rocco D’Ascenzo (0077651)</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Duke Energy Ohio, Inc.</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139 East Fourth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Cincinnati, Ohio  45202</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Rocco.D’Ascenzo@duke-energy.com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Elizabeth H. Watts</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Assistant General Counsel</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Duke Energy Ohio</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155 East Broad Street, 21</w:t>
      </w:r>
      <w:r w:rsidRPr="00511CD1">
        <w:rPr>
          <w:rFonts w:eastAsia="Times New Roman" w:cs="Times New Roman"/>
          <w:szCs w:val="20"/>
          <w:vertAlign w:val="superscript"/>
        </w:rPr>
        <w:t>st</w:t>
      </w:r>
      <w:r w:rsidRPr="00511CD1">
        <w:rPr>
          <w:rFonts w:eastAsia="Times New Roman" w:cs="Times New Roman"/>
          <w:szCs w:val="20"/>
        </w:rPr>
        <w:t xml:space="preserve"> Floor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Elizabeth.Watts@duke-energy.com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b/>
          <w:smallCaps/>
          <w:szCs w:val="20"/>
        </w:rPr>
        <w:t>On Behalf of Duke Energy Ohio, Inc.</w:t>
      </w:r>
      <w:r w:rsidRPr="00511CD1">
        <w:rPr>
          <w:rFonts w:eastAsia="Times New Roman" w:cs="Times New Roman"/>
          <w:szCs w:val="20"/>
        </w:rPr>
        <w:t xml:space="preserve"> </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Barth E. Royer (0016999)</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Bell &amp; Royer Co,, LPA</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33 South Grant Avenue</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43215-3927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BarthRoyer@aol.com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Gary A. Jeffries (0071742)</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Dominion Resources Services, Inc.</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501 Martindale Street, Suite 400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Pittsburg, PA  15212-5817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Gary.A.Jeffries@dom.com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Dominion Retail, Inc. d/b/a Dominion Energy Solutions</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Richard L. Sites (0019887)</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Ohio Hospital Association</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155 East Broad Street, 15</w:t>
      </w:r>
      <w:r w:rsidRPr="00511CD1">
        <w:rPr>
          <w:rFonts w:eastAsia="Times New Roman" w:cs="Times New Roman"/>
          <w:szCs w:val="20"/>
          <w:vertAlign w:val="superscript"/>
        </w:rPr>
        <w:t>th</w:t>
      </w:r>
      <w:r w:rsidRPr="00511CD1">
        <w:rPr>
          <w:rFonts w:eastAsia="Times New Roman" w:cs="Times New Roman"/>
          <w:szCs w:val="20"/>
        </w:rPr>
        <w:t xml:space="preserve"> Floor</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43215-3620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ricks@ohanet.org</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Thomas J. O’Brien (0066249)</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Dylan F. Borchers (0090690)</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Bricker &amp; Eckler LLP</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100 South Third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43215-4291</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tobrien@bricker.com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dborchers@bricker.com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The Ohio Hospital Association</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lastRenderedPageBreak/>
        <w:t>Phillip B. Sineneng (0083406)</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Thompson Hine LLP</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41 South High Street, Suite 1700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PhilipSineneng@ThompsonHine.com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Duke Energy Retail Sales, LLC and Duke Energy Commercial Asset Management, Inc.</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Mark A. Whitt (0067996)</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Andrew J. Campbell (0081485)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Gregory L. Williams (0088758)</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Whitt Sturtevant LLP</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The KeyBank Building, Suite 1590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88 East Broad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whit@whitt-sturtevant.com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campbell@whitt-sturtevant.com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williams@whitt-sturtevant.com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Vincent Parisi (0073283)</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Lawrence Friedeman (0018902)</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Interstate Gas Supply, Inc.</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6100 Emerald Parkway</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Dublin, Ohio  43016</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vparisi@igsenergy.com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lfriedeman@igsenergy.com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Interstate Gas Supply, Inc.</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Kimberly W. Bojko (0069402)</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Mallory M. Mohler (0089508)</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Carpenter Lipps &amp; Leland LLP</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280 Plaza, Suite 1300</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280 North High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Columbus, Ohio 43215</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Bojko@carpenterlipps.com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Mohler@carpenterlipps.com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OMA Energy Group</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eastAsia="Times New Roman" w:cs="Times New Roman"/>
          <w:szCs w:val="20"/>
        </w:rPr>
        <w:sectPr w:rsidR="00511CD1" w:rsidRPr="00511CD1" w:rsidSect="003E617E">
          <w:headerReference w:type="default" r:id="rId30"/>
          <w:footerReference w:type="default" r:id="rId31"/>
          <w:headerReference w:type="first" r:id="rId32"/>
          <w:footerReference w:type="first" r:id="rId33"/>
          <w:pgSz w:w="12240" w:h="15840" w:code="1"/>
          <w:pgMar w:top="1440" w:right="1440" w:bottom="1440" w:left="1440" w:header="720" w:footer="720" w:gutter="0"/>
          <w:cols w:num="2" w:space="720"/>
          <w:titlePg/>
          <w:docGrid w:linePitch="360"/>
        </w:sectPr>
      </w:pP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lastRenderedPageBreak/>
        <w:t>Mark A. Hayden (0081077)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Jacob A. McDermott (0087187)</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Scott J. Casto (0085756)</w:t>
      </w:r>
    </w:p>
    <w:p w:rsidR="00511CD1" w:rsidRPr="00511CD1" w:rsidRDefault="00511CD1" w:rsidP="00511CD1">
      <w:pPr>
        <w:spacing w:after="0" w:line="240" w:lineRule="auto"/>
        <w:jc w:val="left"/>
        <w:rPr>
          <w:rFonts w:eastAsia="Times New Roman" w:cs="Times New Roman"/>
          <w:smallCaps/>
          <w:szCs w:val="20"/>
        </w:rPr>
      </w:pPr>
      <w:r w:rsidRPr="00511CD1">
        <w:rPr>
          <w:rFonts w:eastAsia="Times New Roman" w:cs="Times New Roman"/>
          <w:smallCaps/>
          <w:szCs w:val="20"/>
        </w:rPr>
        <w:t>FirstEnergy Service Company</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76 South Main Street</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Akron, Ohio  44308</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haydenm@firstenergycorp.com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jmcdermott@firstenergycorp.com</w:t>
      </w:r>
    </w:p>
    <w:p w:rsidR="00511CD1" w:rsidRPr="00511CD1" w:rsidRDefault="00511CD1" w:rsidP="00511CD1">
      <w:pPr>
        <w:spacing w:after="0" w:line="240" w:lineRule="auto"/>
        <w:jc w:val="left"/>
        <w:rPr>
          <w:rFonts w:eastAsia="Times New Roman" w:cs="Times New Roman"/>
          <w:szCs w:val="20"/>
        </w:rPr>
      </w:pPr>
      <w:r w:rsidRPr="00511CD1">
        <w:rPr>
          <w:rFonts w:eastAsia="Times New Roman" w:cs="Times New Roman"/>
          <w:szCs w:val="20"/>
        </w:rPr>
        <w:t>scasto@firstenergycorp.com</w:t>
      </w:r>
    </w:p>
    <w:p w:rsidR="00511CD1" w:rsidRPr="00511CD1" w:rsidRDefault="00511CD1" w:rsidP="00511CD1">
      <w:pPr>
        <w:spacing w:after="0" w:line="240" w:lineRule="auto"/>
        <w:jc w:val="left"/>
        <w:rPr>
          <w:rFonts w:eastAsia="Times New Roman" w:cs="Times New Roman"/>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FirstEnergy Solutions Corp.</w:t>
      </w:r>
    </w:p>
    <w:p w:rsidR="00511CD1" w:rsidRPr="00511CD1" w:rsidRDefault="00511CD1" w:rsidP="00511CD1">
      <w:pPr>
        <w:spacing w:after="0" w:line="240" w:lineRule="auto"/>
        <w:jc w:val="left"/>
        <w:rPr>
          <w:rFonts w:ascii="Arial Bold" w:eastAsia="Times New Roman" w:hAnsi="Arial Bold" w:cs="Times New Roman"/>
          <w:b/>
          <w:smallCaps/>
          <w:szCs w:val="20"/>
        </w:rPr>
      </w:pP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Colleen L. Mooney (0015668)</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Cathryn N. Loucas (0073533)</w:t>
      </w:r>
    </w:p>
    <w:p w:rsidR="00511CD1" w:rsidRPr="00511CD1" w:rsidRDefault="00511CD1" w:rsidP="00511CD1">
      <w:pPr>
        <w:spacing w:after="0" w:line="240" w:lineRule="auto"/>
        <w:jc w:val="left"/>
        <w:rPr>
          <w:rFonts w:eastAsia="Times New Roman" w:cs="Arial"/>
          <w:smallCaps/>
          <w:szCs w:val="20"/>
        </w:rPr>
      </w:pPr>
      <w:r w:rsidRPr="00511CD1">
        <w:rPr>
          <w:rFonts w:eastAsia="Times New Roman" w:cs="Arial"/>
          <w:smallCaps/>
          <w:szCs w:val="20"/>
        </w:rPr>
        <w:t>Ohio Partners for Affordable Energy</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231 West Lima Street</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Findlay, Ohio  45839-1793</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cmooney@ohiopartners.org</w:t>
      </w:r>
    </w:p>
    <w:p w:rsidR="00511CD1" w:rsidRPr="00511CD1" w:rsidRDefault="00511CD1" w:rsidP="00511CD1">
      <w:pPr>
        <w:spacing w:after="0" w:line="240" w:lineRule="auto"/>
        <w:jc w:val="left"/>
        <w:rPr>
          <w:rFonts w:eastAsia="Times New Roman" w:cs="Arial"/>
          <w:smallCaps/>
          <w:szCs w:val="20"/>
        </w:rPr>
      </w:pPr>
      <w:r w:rsidRPr="00511CD1">
        <w:rPr>
          <w:rFonts w:eastAsia="Times New Roman" w:cs="Arial"/>
          <w:szCs w:val="20"/>
        </w:rPr>
        <w:t>cloucas@ohiopartners.org</w:t>
      </w:r>
    </w:p>
    <w:p w:rsidR="00511CD1" w:rsidRPr="00511CD1" w:rsidRDefault="00511CD1" w:rsidP="00511CD1">
      <w:pPr>
        <w:spacing w:after="0" w:line="240" w:lineRule="auto"/>
        <w:jc w:val="left"/>
        <w:rPr>
          <w:rFonts w:ascii="Arial Bold" w:eastAsia="Times New Roman" w:hAnsi="Arial Bold" w:cs="Times New Roman"/>
          <w:b/>
          <w:smallCaps/>
          <w:szCs w:val="20"/>
        </w:rPr>
      </w:pPr>
    </w:p>
    <w:p w:rsidR="00511CD1" w:rsidRPr="00511CD1" w:rsidRDefault="00511CD1" w:rsidP="00511CD1">
      <w:pPr>
        <w:spacing w:after="0" w:line="240" w:lineRule="auto"/>
        <w:jc w:val="left"/>
        <w:rPr>
          <w:rFonts w:ascii="Arial Bold" w:eastAsia="Times New Roman" w:hAnsi="Arial Bold" w:cs="Times New Roman"/>
          <w:b/>
          <w:smallCaps/>
          <w:szCs w:val="20"/>
        </w:rPr>
      </w:pPr>
      <w:r w:rsidRPr="00511CD1">
        <w:rPr>
          <w:rFonts w:ascii="Arial Bold" w:eastAsia="Times New Roman" w:hAnsi="Arial Bold" w:cs="Times New Roman"/>
          <w:b/>
          <w:smallCaps/>
          <w:szCs w:val="20"/>
        </w:rPr>
        <w:t>On Behalf of Ohio Partners for Affordable Energy</w:t>
      </w:r>
    </w:p>
    <w:p w:rsidR="00511CD1" w:rsidRPr="00511CD1" w:rsidRDefault="00511CD1" w:rsidP="00511CD1">
      <w:pPr>
        <w:spacing w:after="0" w:line="240" w:lineRule="auto"/>
        <w:jc w:val="left"/>
        <w:rPr>
          <w:rFonts w:ascii="Arial Bold" w:eastAsia="Times New Roman" w:hAnsi="Arial Bold" w:cs="Times New Roman"/>
          <w:b/>
          <w:smallCaps/>
          <w:szCs w:val="20"/>
        </w:rPr>
      </w:pP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Mark S. Yurick (0039176)</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Zachary D. Kravitz (0084238)</w:t>
      </w:r>
    </w:p>
    <w:p w:rsidR="00511CD1" w:rsidRPr="00511CD1" w:rsidRDefault="00511CD1" w:rsidP="00511CD1">
      <w:pPr>
        <w:spacing w:after="0" w:line="240" w:lineRule="auto"/>
        <w:jc w:val="left"/>
        <w:rPr>
          <w:rFonts w:eastAsia="Times New Roman" w:cs="Arial"/>
          <w:smallCaps/>
          <w:szCs w:val="20"/>
        </w:rPr>
      </w:pPr>
      <w:r w:rsidRPr="00511CD1">
        <w:rPr>
          <w:rFonts w:eastAsia="Times New Roman" w:cs="Arial"/>
          <w:smallCaps/>
          <w:szCs w:val="20"/>
        </w:rPr>
        <w:t>Taft, Stettinius &amp; Hollister LLP</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65 East State Street, Suite 1000</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Columbus, Ohio  43215</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myurick@taftlaw.com</w:t>
      </w:r>
    </w:p>
    <w:p w:rsidR="00511CD1" w:rsidRPr="00511CD1" w:rsidRDefault="00511CD1" w:rsidP="00511CD1">
      <w:pPr>
        <w:spacing w:after="0" w:line="240" w:lineRule="auto"/>
        <w:jc w:val="left"/>
        <w:rPr>
          <w:rFonts w:eastAsia="Times New Roman" w:cs="Arial"/>
          <w:szCs w:val="20"/>
        </w:rPr>
      </w:pPr>
      <w:r w:rsidRPr="00511CD1">
        <w:rPr>
          <w:rFonts w:eastAsia="Times New Roman" w:cs="Arial"/>
          <w:szCs w:val="20"/>
        </w:rPr>
        <w:t>zkravitz@taftlaw.com</w:t>
      </w:r>
    </w:p>
    <w:p w:rsidR="00511CD1" w:rsidRPr="00511CD1" w:rsidRDefault="00511CD1" w:rsidP="00511CD1">
      <w:pPr>
        <w:spacing w:after="0" w:line="240" w:lineRule="auto"/>
        <w:jc w:val="left"/>
        <w:rPr>
          <w:rFonts w:eastAsia="Times New Roman" w:cs="Arial"/>
          <w:szCs w:val="20"/>
        </w:rPr>
      </w:pPr>
    </w:p>
    <w:p w:rsidR="00511CD1" w:rsidRPr="00511CD1" w:rsidRDefault="00511CD1" w:rsidP="00511CD1">
      <w:pPr>
        <w:spacing w:after="0" w:line="240" w:lineRule="auto"/>
        <w:jc w:val="left"/>
        <w:rPr>
          <w:rFonts w:ascii="Arial Bold" w:eastAsia="Times New Roman" w:hAnsi="Arial Bold" w:cs="Arial"/>
          <w:b/>
          <w:smallCaps/>
          <w:szCs w:val="20"/>
        </w:rPr>
      </w:pPr>
      <w:r w:rsidRPr="00511CD1">
        <w:rPr>
          <w:rFonts w:ascii="Arial Bold" w:eastAsia="Times New Roman" w:hAnsi="Arial Bold" w:cs="Arial"/>
          <w:b/>
          <w:smallCaps/>
          <w:szCs w:val="20"/>
        </w:rPr>
        <w:t>On Behalf of The Kroger Co.</w:t>
      </w:r>
    </w:p>
    <w:p w:rsidR="00511CD1" w:rsidRPr="00511CD1" w:rsidRDefault="00511CD1" w:rsidP="00511CD1">
      <w:pPr>
        <w:spacing w:after="0" w:line="240" w:lineRule="auto"/>
        <w:jc w:val="left"/>
        <w:rPr>
          <w:rFonts w:ascii="Arial Bold" w:eastAsia="Times New Roman" w:hAnsi="Arial Bold" w:cs="Arial"/>
          <w:b/>
          <w:smallCaps/>
          <w:szCs w:val="20"/>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Judi L. Sobecki (0067186)</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The Dayton Power and Light Company</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1065 Woodman Drive</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Dayton, Ohio  45432</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judi.sobecki@aes.com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ascii="Arial Bold" w:eastAsia="Times New Roman" w:hAnsi="Arial Bold" w:cs="Arial"/>
          <w:b/>
          <w:smallCaps/>
        </w:rPr>
      </w:pPr>
      <w:r w:rsidRPr="00511CD1">
        <w:rPr>
          <w:rFonts w:ascii="Arial Bold" w:eastAsia="Times New Roman" w:hAnsi="Arial Bold" w:cs="Arial"/>
          <w:b/>
          <w:smallCaps/>
        </w:rPr>
        <w:t>On Behalf of The Dayton Power and Light Company</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br w:type="column"/>
      </w:r>
      <w:r w:rsidRPr="00511CD1">
        <w:rPr>
          <w:rFonts w:eastAsia="Times New Roman" w:cs="Arial"/>
        </w:rPr>
        <w:lastRenderedPageBreak/>
        <w:t>Joseph M. Clark (0080711)</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Direct Energy</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21 East State Street, 19th Floor</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joseph.clark@directenergy.com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ascii="Arial Bold" w:eastAsia="Times New Roman" w:hAnsi="Arial Bold" w:cs="Arial"/>
          <w:b/>
          <w:smallCaps/>
        </w:rPr>
      </w:pPr>
      <w:r w:rsidRPr="00511CD1">
        <w:rPr>
          <w:rFonts w:ascii="Arial Bold" w:eastAsia="Times New Roman" w:hAnsi="Arial Bold" w:cs="Arial"/>
          <w:b/>
          <w:smallCaps/>
        </w:rPr>
        <w:t>On</w:t>
      </w:r>
      <w:r w:rsidRPr="00511CD1">
        <w:rPr>
          <w:rFonts w:ascii="Arial Bold" w:eastAsia="Times New Roman" w:hAnsi="Arial Bold" w:cs="Arial"/>
          <w:b/>
        </w:rPr>
        <w:t xml:space="preserve"> </w:t>
      </w:r>
      <w:r w:rsidRPr="00511CD1">
        <w:rPr>
          <w:rFonts w:ascii="Arial Bold" w:eastAsia="Times New Roman" w:hAnsi="Arial Bold" w:cs="Arial"/>
          <w:b/>
          <w:smallCaps/>
        </w:rPr>
        <w:t>Behalf</w:t>
      </w:r>
      <w:r w:rsidRPr="00511CD1">
        <w:rPr>
          <w:rFonts w:ascii="Arial Bold" w:eastAsia="Times New Roman" w:hAnsi="Arial Bold" w:cs="Arial"/>
          <w:b/>
        </w:rPr>
        <w:t xml:space="preserve"> </w:t>
      </w:r>
      <w:r w:rsidRPr="00511CD1">
        <w:rPr>
          <w:rFonts w:ascii="Arial Bold" w:eastAsia="Times New Roman" w:hAnsi="Arial Bold" w:cs="Arial"/>
          <w:b/>
          <w:smallCaps/>
        </w:rPr>
        <w:t>of Direct Energy Services, LLC and Direct Energy Business, LLC</w:t>
      </w:r>
    </w:p>
    <w:p w:rsidR="00511CD1" w:rsidRPr="00511CD1" w:rsidRDefault="00511CD1" w:rsidP="00511CD1">
      <w:pPr>
        <w:tabs>
          <w:tab w:val="left" w:pos="4680"/>
        </w:tabs>
        <w:spacing w:after="0" w:line="240" w:lineRule="auto"/>
        <w:jc w:val="left"/>
        <w:rPr>
          <w:rFonts w:eastAsia="Times New Roman" w:cs="Arial"/>
          <w:smallCaps/>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Trent Dougherty (0079817)</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Ohio Environmental Council</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1207 Grandview Avenue, Suite 201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43212-3449</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tdougherty@theOEC.org</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John Finnigan (0018689)</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Senior Regulatory Attorney</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Environmental Defense Fund</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128 Winding Brook Lane</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Terrace Park, Ohio  45174</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jfinnigan@edf.org</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ascii="Arial Bold" w:eastAsia="Times New Roman" w:hAnsi="Arial Bold" w:cs="Arial"/>
          <w:b/>
          <w:smallCaps/>
        </w:rPr>
      </w:pPr>
      <w:r w:rsidRPr="00511CD1">
        <w:rPr>
          <w:rFonts w:ascii="Arial Bold" w:eastAsia="Times New Roman" w:hAnsi="Arial Bold" w:cs="Arial"/>
          <w:b/>
          <w:smallCaps/>
        </w:rPr>
        <w:t>On Behalf of the Ohio Environmental Council and Environmental Defense Fund</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Michael R. Smalz (0041897)</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Ohio Poverty Law Center</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555 Buttles Avenue</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43215-1137</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msmalz@ohiopovertylaw.com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Peggy P. Lee (0067912)</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Southeastern Ohio Legal Services</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964 E. State Street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Athens, Ohio 45701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plee@oslsa.org</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the Appalachian Peace and Justice Network</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sectPr w:rsidR="00511CD1" w:rsidRPr="00511CD1" w:rsidSect="003E617E">
          <w:headerReference w:type="default" r:id="rId34"/>
          <w:footerReference w:type="default" r:id="rId35"/>
          <w:headerReference w:type="first" r:id="rId36"/>
          <w:footerReference w:type="first" r:id="rId37"/>
          <w:pgSz w:w="12240" w:h="15840" w:code="1"/>
          <w:pgMar w:top="1440" w:right="1440" w:bottom="1440" w:left="1440" w:header="720" w:footer="720" w:gutter="0"/>
          <w:cols w:num="2" w:space="720"/>
          <w:titlePg/>
          <w:docGrid w:linePitch="360"/>
        </w:sect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lastRenderedPageBreak/>
        <w:t>M. Howard Petricoff (0008287)</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Gretchen L. Petrucci (0046608)</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Vorys, Sater, Seymour and Pease LLP</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52 East Gay Street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P.O. Box 1008</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43216-1008</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mhpetricoff@vorys.com</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glpetrucci@vorys.com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David I Fein</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Vice President, State Government Affairs-East</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Exelon Corporation</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10 South Dearborn Street, 47th Floor</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Chicago, IL  60603</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david.fein@exeloncorp.com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Cynthia Fonner Brady</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Assistant General Counsel</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Exelon Business Services Company</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4300 Winfield Road</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Warrenville, IL  60555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cynthia.brady@constellation.com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Lael Campbell</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Exelon</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101 Constitution Avenue, NW</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Washington, DC  20001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Lael.Campbell@constellation.com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Constellation NewEnergy, Inc. and Exelon Generation Company, LLC</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 Howard Petricoff</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Gretchen L. Petrucci</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Vorys, Sater, Seymour and Pease LLP</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52 East Gay Street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P.O. Box 1008</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43216-1008</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mhpetricoff@vorys.com</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glpetrucci@vorys.com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the Retail Energy Supply Association</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lastRenderedPageBreak/>
        <w:t>Nicholas McDaniel (0089817)</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Environmental Law &amp; Policy Center</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1207 Grandview Avenue, Suite 201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43212</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NMcDaniel@elpc.org</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ascii="Arial Bold" w:eastAsia="Times New Roman" w:hAnsi="Arial Bold" w:cs="Arial"/>
          <w:b/>
          <w:smallCaps/>
        </w:rPr>
      </w:pPr>
      <w:r w:rsidRPr="00511CD1">
        <w:rPr>
          <w:rFonts w:ascii="Arial Bold" w:eastAsia="Times New Roman" w:hAnsi="Arial Bold" w:cs="Arial"/>
          <w:b/>
          <w:smallCaps/>
        </w:rPr>
        <w:t>On Behalf of the Environmental Law and Policy Center</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Lisa M. Hawrot</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Spilman Thomas &amp; Battle, PLLC</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Century Centre Building</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1233 Main Street, Suite 4000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P.O. Box 831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Wheeling, WV  26003-8731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lhawrot@spilmanlaw.com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Derrick Price Williamson</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Spilman Thomas &amp; Battle, PLLC</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1100 Bent Creek Blvd., Suite 101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Mechanicsburg, PA  17050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dwilliamson@spilmanlaw.com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Steve W. Chriss</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Senior Manager, Energy Regulatory Analysis</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Wal-Mart Stores, Inc.</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2001 SE 10th Street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Bentonville, AR  72716-0550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Stephen.Chriss@walmart.com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Tai C. Shadrick</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Spilman Thomas &amp; Battle, PLLC</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300 Kanawha Blvd. East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Charleston, WV 25301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tshadrick@spilmanlaw.com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Wal-Mart Stores East, LP and Sam’s East, Inc.</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sectPr w:rsidR="00511CD1" w:rsidRPr="00511CD1" w:rsidSect="003E617E">
          <w:headerReference w:type="default" r:id="rId38"/>
          <w:footerReference w:type="default" r:id="rId39"/>
          <w:headerReference w:type="first" r:id="rId40"/>
          <w:footerReference w:type="first" r:id="rId41"/>
          <w:pgSz w:w="12240" w:h="15840" w:code="1"/>
          <w:pgMar w:top="1440" w:right="1440" w:bottom="1440" w:left="1440" w:header="720" w:footer="720" w:gutter="0"/>
          <w:cols w:num="2" w:space="720"/>
          <w:titlePg/>
          <w:docGrid w:linePitch="360"/>
        </w:sect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lastRenderedPageBreak/>
        <w:t>Samantha Williams</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Natural Resources Defense Council</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20 N. Wacker Drive, Suite 1600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Chicago, IL  60606</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swilliams@nrdc.org</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the Natural Resources Defense Council</w:t>
      </w:r>
    </w:p>
    <w:p w:rsidR="00511CD1" w:rsidRPr="00511CD1" w:rsidRDefault="00511CD1" w:rsidP="00511CD1">
      <w:pPr>
        <w:tabs>
          <w:tab w:val="left" w:pos="4680"/>
        </w:tabs>
        <w:spacing w:after="0" w:line="240" w:lineRule="auto"/>
        <w:jc w:val="left"/>
        <w:rPr>
          <w:rFonts w:eastAsia="Times New Roman" w:cs="Arial"/>
          <w:b/>
          <w:smallCaps/>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Kevin R. Schmidt (0086722)</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Energy Professionals of Ohio</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88 East Broad Street, Suite 1770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Schmidt@sppgrp.com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ascii="Arial Bold" w:eastAsia="Times New Roman" w:hAnsi="Arial Bold" w:cs="Arial"/>
          <w:b/>
          <w:smallCaps/>
        </w:rPr>
      </w:pPr>
      <w:r w:rsidRPr="00511CD1">
        <w:rPr>
          <w:rFonts w:ascii="Arial Bold" w:eastAsia="Times New Roman" w:hAnsi="Arial Bold" w:cs="Arial"/>
          <w:b/>
          <w:smallCaps/>
        </w:rPr>
        <w:t>On Behalf of the Energy Professionals of Ohio</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Stephanie M. Chmiel (0087555)</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Thompson Hine LLP</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41 S. High Street, Suite 1700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Stephanie.Chmiel@ThompsonHine.com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b/>
          <w:smallCaps/>
        </w:rPr>
        <w:t>On Behalf of Border Energy Electric Services, Inc</w:t>
      </w:r>
      <w:r w:rsidRPr="00511CD1">
        <w:rPr>
          <w:rFonts w:eastAsia="Times New Roman" w:cs="Arial"/>
        </w:rPr>
        <w:t>.</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Gregory J. Poulos (0070532)</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EnerNOC, Inc.</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471 E. Broad Street, Suite 1520</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gpoulos@enernoc.com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EnerNOC, Inc.</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J. Thomas Siwo (0088069)</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Bricker &amp; Eckler LLP</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100 South Third Street</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Ohio  43215-4291</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tsiwo@bricker.com</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b/>
          <w:smallCaps/>
        </w:rPr>
      </w:pPr>
      <w:r w:rsidRPr="00511CD1">
        <w:rPr>
          <w:rFonts w:eastAsia="Times New Roman" w:cs="Arial"/>
          <w:b/>
          <w:smallCaps/>
        </w:rPr>
        <w:t>On Behalf of Paulding Wind Farm II LLC</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br w:type="column"/>
      </w:r>
      <w:r w:rsidRPr="00511CD1">
        <w:rPr>
          <w:rFonts w:eastAsia="Times New Roman" w:cs="Arial"/>
        </w:rPr>
        <w:lastRenderedPageBreak/>
        <w:t>Sarah Parrot (0082197)</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 xml:space="preserve">Greta See </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Attorney Examiners</w:t>
      </w:r>
    </w:p>
    <w:p w:rsidR="00511CD1" w:rsidRPr="00511CD1" w:rsidRDefault="00511CD1" w:rsidP="00511CD1">
      <w:pPr>
        <w:tabs>
          <w:tab w:val="left" w:pos="4680"/>
        </w:tabs>
        <w:spacing w:after="0" w:line="240" w:lineRule="auto"/>
        <w:jc w:val="left"/>
        <w:rPr>
          <w:rFonts w:eastAsia="Times New Roman" w:cs="Arial"/>
          <w:smallCaps/>
        </w:rPr>
      </w:pPr>
      <w:r w:rsidRPr="00511CD1">
        <w:rPr>
          <w:rFonts w:eastAsia="Times New Roman" w:cs="Arial"/>
          <w:smallCaps/>
        </w:rPr>
        <w:t>Public Utilities Commission of Ohio</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180 East Broad Street, 12</w:t>
      </w:r>
      <w:r w:rsidRPr="00511CD1">
        <w:rPr>
          <w:rFonts w:eastAsia="Times New Roman" w:cs="Arial"/>
          <w:vertAlign w:val="superscript"/>
        </w:rPr>
        <w:t>th</w:t>
      </w:r>
      <w:r w:rsidRPr="00511CD1">
        <w:rPr>
          <w:rFonts w:eastAsia="Times New Roman" w:cs="Arial"/>
        </w:rPr>
        <w:t xml:space="preserve"> Floor</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Columbus, OH  43215</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sarah.parrot@puc.state.oh.us</w:t>
      </w:r>
    </w:p>
    <w:p w:rsidR="00511CD1" w:rsidRPr="00511CD1" w:rsidRDefault="00511CD1" w:rsidP="00511CD1">
      <w:pPr>
        <w:tabs>
          <w:tab w:val="left" w:pos="4680"/>
        </w:tabs>
        <w:spacing w:after="0" w:line="240" w:lineRule="auto"/>
        <w:jc w:val="left"/>
        <w:rPr>
          <w:rFonts w:eastAsia="Times New Roman" w:cs="Arial"/>
        </w:rPr>
      </w:pPr>
      <w:r w:rsidRPr="00511CD1">
        <w:rPr>
          <w:rFonts w:eastAsia="Times New Roman" w:cs="Arial"/>
        </w:rPr>
        <w:t>Greta.See@puc.state.oh.us</w:t>
      </w:r>
    </w:p>
    <w:p w:rsidR="00511CD1" w:rsidRPr="00511CD1" w:rsidRDefault="00511CD1" w:rsidP="00511CD1">
      <w:pPr>
        <w:tabs>
          <w:tab w:val="left" w:pos="4680"/>
        </w:tabs>
        <w:spacing w:after="0" w:line="240" w:lineRule="auto"/>
        <w:jc w:val="left"/>
        <w:rPr>
          <w:rFonts w:eastAsia="Times New Roman" w:cs="Arial"/>
        </w:rPr>
      </w:pPr>
    </w:p>
    <w:p w:rsidR="00511CD1" w:rsidRPr="00511CD1" w:rsidRDefault="00511CD1" w:rsidP="00511CD1">
      <w:pPr>
        <w:tabs>
          <w:tab w:val="left" w:pos="2160"/>
          <w:tab w:val="left" w:pos="2280"/>
        </w:tabs>
        <w:spacing w:after="0" w:line="240" w:lineRule="auto"/>
        <w:jc w:val="left"/>
        <w:rPr>
          <w:rFonts w:ascii="Arial Bold" w:eastAsia="Times New Roman" w:hAnsi="Arial Bold" w:cs="Arial"/>
          <w:b/>
          <w:smallCaps/>
        </w:rPr>
      </w:pPr>
      <w:r w:rsidRPr="00511CD1">
        <w:rPr>
          <w:rFonts w:eastAsia="Times New Roman" w:cs="Arial"/>
          <w:b/>
          <w:smallCaps/>
        </w:rPr>
        <w:t>Attorney Examiner</w:t>
      </w:r>
    </w:p>
    <w:p w:rsidR="00511CD1" w:rsidRPr="00511CD1" w:rsidRDefault="00511CD1" w:rsidP="00511CD1">
      <w:pPr>
        <w:spacing w:after="0" w:line="240" w:lineRule="auto"/>
        <w:jc w:val="left"/>
        <w:rPr>
          <w:rFonts w:eastAsia="Times New Roman" w:cs="Arial"/>
        </w:rPr>
      </w:pPr>
    </w:p>
    <w:p w:rsidR="00511CD1" w:rsidRPr="00511CD1" w:rsidRDefault="00511CD1" w:rsidP="00511CD1">
      <w:pPr>
        <w:spacing w:after="0" w:line="240" w:lineRule="auto"/>
        <w:jc w:val="left"/>
        <w:rPr>
          <w:rFonts w:eastAsia="Times New Roman" w:cs="Arial"/>
        </w:rPr>
      </w:pPr>
    </w:p>
    <w:p w:rsidR="00511CD1" w:rsidRPr="00511CD1" w:rsidRDefault="00511CD1" w:rsidP="00511CD1">
      <w:pPr>
        <w:spacing w:after="0" w:line="240" w:lineRule="auto"/>
        <w:jc w:val="left"/>
        <w:rPr>
          <w:rFonts w:eastAsia="Times New Roman" w:cs="Arial"/>
        </w:rPr>
      </w:pPr>
    </w:p>
    <w:p w:rsidR="00511CD1" w:rsidRPr="00511CD1" w:rsidRDefault="00511CD1" w:rsidP="00511CD1">
      <w:pPr>
        <w:spacing w:after="0" w:line="240" w:lineRule="auto"/>
      </w:pPr>
    </w:p>
    <w:p w:rsidR="00511CD1" w:rsidRDefault="00511CD1"/>
    <w:sectPr w:rsidR="00511CD1" w:rsidSect="009153FC">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9E" w:rsidRDefault="001E489E" w:rsidP="00092CF6">
      <w:pPr>
        <w:spacing w:after="0" w:line="240" w:lineRule="auto"/>
      </w:pPr>
      <w:r>
        <w:separator/>
      </w:r>
    </w:p>
  </w:endnote>
  <w:endnote w:type="continuationSeparator" w:id="0">
    <w:p w:rsidR="001E489E" w:rsidRDefault="001E489E" w:rsidP="0009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092CF6" w:rsidRDefault="00437CFB">
    <w:pPr>
      <w:pStyle w:val="Footer"/>
    </w:pPr>
    <w:r w:rsidRPr="00437CFB">
      <w:rPr>
        <w:noProof/>
        <w:sz w:val="16"/>
      </w:rPr>
      <w:t>{C45281:5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092CF6" w:rsidRDefault="00437CFB">
    <w:pPr>
      <w:pStyle w:val="Footer"/>
    </w:pPr>
    <w:r w:rsidRPr="00437CFB">
      <w:rPr>
        <w:noProof/>
        <w:sz w:val="16"/>
      </w:rPr>
      <w:t>{C45281:5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4C134D" w:rsidRDefault="00437CFB" w:rsidP="003E617E">
    <w:pPr>
      <w:pStyle w:val="Footer"/>
    </w:pPr>
    <w:r w:rsidRPr="00437CFB">
      <w:rPr>
        <w:noProof/>
        <w:sz w:val="16"/>
      </w:rPr>
      <w:t>{C45281:5 }</w:t>
    </w:r>
    <w:sdt>
      <w:sdtPr>
        <w:id w:val="1350220351"/>
        <w:docPartObj>
          <w:docPartGallery w:val="Page Numbers (Bottom of Page)"/>
          <w:docPartUnique/>
        </w:docPartObj>
      </w:sdtPr>
      <w:sdtEndPr>
        <w:rPr>
          <w:noProof/>
        </w:rPr>
      </w:sdtEndPr>
      <w:sdtContent>
        <w:r w:rsidR="001E489E">
          <w:tab/>
        </w:r>
        <w:r w:rsidR="001E489E" w:rsidRPr="004C134D">
          <w:fldChar w:fldCharType="begin"/>
        </w:r>
        <w:r w:rsidR="001E489E" w:rsidRPr="004C134D">
          <w:instrText xml:space="preserve"> PAGE   \* MERGEFORMAT </w:instrText>
        </w:r>
        <w:r w:rsidR="001E489E" w:rsidRPr="004C134D">
          <w:fldChar w:fldCharType="separate"/>
        </w:r>
        <w:r w:rsidR="001E489E">
          <w:rPr>
            <w:noProof/>
          </w:rPr>
          <w:t>68</w:t>
        </w:r>
        <w:r w:rsidR="001E489E" w:rsidRPr="004C134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4A225A" w:rsidRDefault="00437CFB" w:rsidP="003E617E">
    <w:pPr>
      <w:pStyle w:val="Footer"/>
    </w:pPr>
    <w:r w:rsidRPr="00437CFB">
      <w:rPr>
        <w:noProof/>
        <w:sz w:val="16"/>
      </w:rPr>
      <w:t>{C45281:5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4C134D" w:rsidRDefault="00437CFB" w:rsidP="003E617E">
    <w:pPr>
      <w:pStyle w:val="Footer"/>
    </w:pPr>
    <w:r w:rsidRPr="00437CFB">
      <w:rPr>
        <w:noProof/>
        <w:sz w:val="16"/>
      </w:rPr>
      <w:t>{C45281:5 }</w:t>
    </w:r>
    <w:sdt>
      <w:sdtPr>
        <w:id w:val="-127629741"/>
        <w:docPartObj>
          <w:docPartGallery w:val="Page Numbers (Bottom of Page)"/>
          <w:docPartUnique/>
        </w:docPartObj>
      </w:sdtPr>
      <w:sdtEndPr>
        <w:rPr>
          <w:noProof/>
        </w:rPr>
      </w:sdtEndPr>
      <w:sdtContent>
        <w:r w:rsidR="001E489E">
          <w:tab/>
        </w:r>
        <w:r w:rsidR="001E489E" w:rsidRPr="004C134D">
          <w:fldChar w:fldCharType="begin"/>
        </w:r>
        <w:r w:rsidR="001E489E" w:rsidRPr="004C134D">
          <w:instrText xml:space="preserve"> PAGE   \* MERGEFORMAT </w:instrText>
        </w:r>
        <w:r w:rsidR="001E489E" w:rsidRPr="004C134D">
          <w:fldChar w:fldCharType="separate"/>
        </w:r>
        <w:r>
          <w:rPr>
            <w:noProof/>
          </w:rPr>
          <w:t>11</w:t>
        </w:r>
        <w:r w:rsidR="001E489E" w:rsidRPr="004C134D">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4A225A" w:rsidRDefault="001E489E" w:rsidP="003E617E">
    <w:pPr>
      <w:pStyle w:val="Footer"/>
    </w:pPr>
    <w:r w:rsidRPr="00BC155B">
      <w:rPr>
        <w:noProof/>
        <w:sz w:val="16"/>
      </w:rPr>
      <w:t>{C45281:3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4C134D" w:rsidRDefault="00437CFB" w:rsidP="003E617E">
    <w:pPr>
      <w:pStyle w:val="Footer"/>
    </w:pPr>
    <w:r w:rsidRPr="00437CFB">
      <w:rPr>
        <w:noProof/>
        <w:sz w:val="16"/>
      </w:rPr>
      <w:t>{C45281:5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8C3388" w:rsidRDefault="00437CFB">
    <w:pPr>
      <w:pStyle w:val="Footer"/>
      <w:rPr>
        <w:rFonts w:cs="Arial"/>
      </w:rPr>
    </w:pPr>
    <w:r w:rsidRPr="00437CFB">
      <w:rPr>
        <w:rFonts w:cs="Arial"/>
        <w:noProof/>
        <w:sz w:val="16"/>
      </w:rPr>
      <w:t>{C45281:5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6F2FDB" w:rsidRDefault="00437CFB">
    <w:pPr>
      <w:pStyle w:val="Footer"/>
    </w:pPr>
    <w:r w:rsidRPr="00437CFB">
      <w:rPr>
        <w:noProof/>
        <w:sz w:val="16"/>
      </w:rPr>
      <w:t>{C45281:5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9E" w:rsidRDefault="001E489E" w:rsidP="00092CF6">
      <w:pPr>
        <w:spacing w:after="0" w:line="240" w:lineRule="auto"/>
        <w:rPr>
          <w:noProof/>
        </w:rPr>
      </w:pPr>
      <w:r>
        <w:rPr>
          <w:noProof/>
        </w:rPr>
        <w:separator/>
      </w:r>
    </w:p>
  </w:footnote>
  <w:footnote w:type="continuationSeparator" w:id="0">
    <w:p w:rsidR="001E489E" w:rsidRDefault="001E489E" w:rsidP="00092CF6">
      <w:pPr>
        <w:spacing w:after="0" w:line="240" w:lineRule="auto"/>
      </w:pPr>
      <w:r>
        <w:continuationSeparator/>
      </w:r>
    </w:p>
  </w:footnote>
  <w:footnote w:id="1">
    <w:p w:rsidR="001E489E" w:rsidRDefault="001E489E" w:rsidP="00134333">
      <w:pPr>
        <w:pStyle w:val="FootnoteText"/>
        <w:spacing w:after="120"/>
        <w:ind w:firstLine="0"/>
      </w:pPr>
      <w:r>
        <w:rPr>
          <w:rStyle w:val="FootnoteReference"/>
        </w:rPr>
        <w:footnoteRef/>
      </w:r>
      <w:r>
        <w:t xml:space="preserve"> AEP-Ohio Ex. 1 at 2.  AEP-Ohio also seeks authority to terminate the ESP one year early. </w:t>
      </w:r>
      <w:r w:rsidRPr="0065358A">
        <w:rPr>
          <w:i/>
        </w:rPr>
        <w:t xml:space="preserve"> Id.</w:t>
      </w:r>
      <w:r>
        <w:t xml:space="preserve"> at 15.</w:t>
      </w:r>
    </w:p>
  </w:footnote>
  <w:footnote w:id="2">
    <w:p w:rsidR="001E489E" w:rsidRDefault="001E489E" w:rsidP="00134333">
      <w:pPr>
        <w:pStyle w:val="FootnoteText"/>
        <w:spacing w:after="120"/>
        <w:ind w:firstLine="0"/>
      </w:pPr>
      <w:r>
        <w:rPr>
          <w:rStyle w:val="FootnoteReference"/>
        </w:rPr>
        <w:footnoteRef/>
      </w:r>
      <w:r w:rsidRPr="0065358A">
        <w:rPr>
          <w:i/>
        </w:rPr>
        <w:t xml:space="preserve"> Id.</w:t>
      </w:r>
      <w:r>
        <w:t xml:space="preserve"> at 12-13.</w:t>
      </w:r>
    </w:p>
  </w:footnote>
  <w:footnote w:id="3">
    <w:p w:rsidR="001E489E" w:rsidRDefault="001E489E" w:rsidP="00134333">
      <w:pPr>
        <w:pStyle w:val="FootnoteText"/>
        <w:spacing w:after="120"/>
        <w:ind w:firstLine="0"/>
      </w:pPr>
      <w:r>
        <w:rPr>
          <w:rStyle w:val="FootnoteReference"/>
        </w:rPr>
        <w:footnoteRef/>
      </w:r>
      <w:r w:rsidRPr="0065358A">
        <w:rPr>
          <w:i/>
        </w:rPr>
        <w:t xml:space="preserve"> Id.</w:t>
      </w:r>
      <w:r>
        <w:t xml:space="preserve"> at 14.  As appropriate, the POR program refers to the combination of the POR and BDR proposed by AEP-Ohio.</w:t>
      </w:r>
    </w:p>
  </w:footnote>
  <w:footnote w:id="4">
    <w:p w:rsidR="001E489E" w:rsidRPr="00C20A43" w:rsidRDefault="001E489E" w:rsidP="00134333">
      <w:pPr>
        <w:pStyle w:val="FootnoteText"/>
        <w:spacing w:after="120"/>
        <w:ind w:firstLine="0"/>
      </w:pPr>
      <w:r>
        <w:rPr>
          <w:rStyle w:val="FootnoteReference"/>
        </w:rPr>
        <w:footnoteRef/>
      </w:r>
      <w:r>
        <w:t xml:space="preserve"> AEP-Ohio Initial Brief at 139-46.</w:t>
      </w:r>
    </w:p>
  </w:footnote>
  <w:footnote w:id="5">
    <w:p w:rsidR="001E489E" w:rsidRDefault="001E489E" w:rsidP="005735ED">
      <w:pPr>
        <w:pStyle w:val="FootnoteText"/>
        <w:spacing w:after="120"/>
        <w:ind w:firstLine="0"/>
      </w:pPr>
      <w:r>
        <w:rPr>
          <w:rStyle w:val="FootnoteReference"/>
        </w:rPr>
        <w:footnoteRef/>
      </w:r>
      <w:r>
        <w:t xml:space="preserve"> IEU-Ohio Initial Brief at 53-54.</w:t>
      </w:r>
    </w:p>
  </w:footnote>
  <w:footnote w:id="6">
    <w:p w:rsidR="001E489E" w:rsidRDefault="001E489E" w:rsidP="005735ED">
      <w:pPr>
        <w:pStyle w:val="FootnoteText"/>
        <w:spacing w:after="120"/>
        <w:ind w:firstLine="0"/>
      </w:pPr>
      <w:r>
        <w:rPr>
          <w:rStyle w:val="FootnoteReference"/>
        </w:rPr>
        <w:footnoteRef/>
      </w:r>
      <w:r>
        <w:t xml:space="preserve"> AEP-Ohio Initial Brief at 142.</w:t>
      </w:r>
    </w:p>
  </w:footnote>
  <w:footnote w:id="7">
    <w:p w:rsidR="001E489E" w:rsidRDefault="001E489E" w:rsidP="009A2D22">
      <w:pPr>
        <w:pStyle w:val="FootnoteText"/>
        <w:spacing w:after="120"/>
        <w:ind w:firstLine="0"/>
      </w:pPr>
      <w:r>
        <w:rPr>
          <w:rStyle w:val="FootnoteReference"/>
        </w:rPr>
        <w:footnoteRef/>
      </w:r>
      <w:r>
        <w:t xml:space="preserve"> In their initial briefs, the Office of the Ohio Consumers’ Counsel (“OCC”) and the Ohio Environmental Council/Environmental Defense Fund (“OEC/EDF”) propose modifications of the proposed ESP to shift distribution cost recovery and increase requirements associated with the Economic Development Rider (“EDR”).  For the reasons discussed below, the Commission should not authorize those modifications.</w:t>
      </w:r>
    </w:p>
  </w:footnote>
  <w:footnote w:id="8">
    <w:p w:rsidR="001E489E" w:rsidRDefault="001E489E" w:rsidP="00555236">
      <w:pPr>
        <w:pStyle w:val="FootnoteText"/>
        <w:spacing w:after="120"/>
        <w:ind w:firstLine="0"/>
      </w:pPr>
      <w:r>
        <w:rPr>
          <w:rStyle w:val="FootnoteReference"/>
        </w:rPr>
        <w:footnoteRef/>
      </w:r>
      <w:r>
        <w:t xml:space="preserve"> AEP-Ohio’s contractual rights to obtain power from OVEC are referred to herein as the OVEC Entitlement.</w:t>
      </w:r>
    </w:p>
  </w:footnote>
  <w:footnote w:id="9">
    <w:p w:rsidR="001E489E" w:rsidRDefault="001E489E" w:rsidP="00B42425">
      <w:pPr>
        <w:pStyle w:val="FootnoteText"/>
        <w:spacing w:after="120"/>
        <w:ind w:firstLine="0"/>
      </w:pPr>
      <w:r>
        <w:rPr>
          <w:rStyle w:val="FootnoteReference"/>
        </w:rPr>
        <w:footnoteRef/>
      </w:r>
      <w:r>
        <w:t xml:space="preserve"> IEU-Ohio Initial Brief at 7-24.</w:t>
      </w:r>
    </w:p>
  </w:footnote>
  <w:footnote w:id="10">
    <w:p w:rsidR="001E489E" w:rsidRDefault="001E489E" w:rsidP="00134333">
      <w:pPr>
        <w:pStyle w:val="FootnoteText"/>
        <w:spacing w:after="120"/>
        <w:ind w:firstLine="0"/>
      </w:pPr>
      <w:r>
        <w:rPr>
          <w:rStyle w:val="FootnoteReference"/>
        </w:rPr>
        <w:footnoteRef/>
      </w:r>
      <w:r>
        <w:t xml:space="preserve"> </w:t>
      </w:r>
      <w:r w:rsidRPr="00F05566">
        <w:t>AEP-Ohio Initial Brief at 27-28.</w:t>
      </w:r>
      <w:r>
        <w:t xml:space="preserve"> </w:t>
      </w:r>
    </w:p>
  </w:footnote>
  <w:footnote w:id="11">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29.</w:t>
      </w:r>
    </w:p>
  </w:footnote>
  <w:footnote w:id="12">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30.</w:t>
      </w:r>
    </w:p>
  </w:footnote>
  <w:footnote w:id="13">
    <w:p w:rsidR="001E489E" w:rsidRDefault="001E489E" w:rsidP="00F05566">
      <w:pPr>
        <w:pStyle w:val="FootnoteText"/>
        <w:spacing w:after="120"/>
        <w:ind w:firstLine="0"/>
      </w:pPr>
      <w:r>
        <w:rPr>
          <w:rStyle w:val="FootnoteReference"/>
        </w:rPr>
        <w:footnoteRef/>
      </w:r>
      <w:r>
        <w:t xml:space="preserve"> </w:t>
      </w:r>
      <w:r w:rsidRPr="00F05566">
        <w:rPr>
          <w:i/>
        </w:rPr>
        <w:t>Id</w:t>
      </w:r>
      <w:r>
        <w:t>.</w:t>
      </w:r>
    </w:p>
  </w:footnote>
  <w:footnote w:id="14">
    <w:p w:rsidR="001E489E" w:rsidRDefault="001E489E" w:rsidP="00134333">
      <w:pPr>
        <w:pStyle w:val="FootnoteText"/>
        <w:spacing w:after="120"/>
        <w:ind w:firstLine="0"/>
      </w:pPr>
      <w:r>
        <w:rPr>
          <w:rStyle w:val="FootnoteReference"/>
        </w:rPr>
        <w:footnoteRef/>
      </w:r>
      <w:r>
        <w:t xml:space="preserve"> Tr. Vol. II at 566-67.</w:t>
      </w:r>
    </w:p>
  </w:footnote>
  <w:footnote w:id="15">
    <w:p w:rsidR="001E489E" w:rsidRDefault="001E489E" w:rsidP="00E912D2">
      <w:pPr>
        <w:pStyle w:val="FootnoteText"/>
        <w:spacing w:after="120"/>
        <w:ind w:firstLine="0"/>
      </w:pPr>
      <w:r>
        <w:rPr>
          <w:rStyle w:val="FootnoteReference"/>
        </w:rPr>
        <w:footnoteRef/>
      </w:r>
      <w:r>
        <w:t xml:space="preserve"> AEP-Ohio Ex. 7 at 10.</w:t>
      </w:r>
    </w:p>
  </w:footnote>
  <w:footnote w:id="16">
    <w:p w:rsidR="001E489E" w:rsidRDefault="001E489E" w:rsidP="00134333">
      <w:pPr>
        <w:pStyle w:val="FootnoteText"/>
        <w:spacing w:after="120"/>
        <w:ind w:firstLine="0"/>
      </w:pPr>
      <w:r>
        <w:rPr>
          <w:rStyle w:val="FootnoteReference"/>
        </w:rPr>
        <w:footnoteRef/>
      </w:r>
      <w:r>
        <w:t xml:space="preserve"> AEP-Ohio Initial Brief at 28.</w:t>
      </w:r>
    </w:p>
  </w:footnote>
  <w:footnote w:id="17">
    <w:p w:rsidR="001E489E" w:rsidRDefault="001E489E" w:rsidP="00134333">
      <w:pPr>
        <w:pStyle w:val="FootnoteText"/>
        <w:spacing w:after="120"/>
        <w:ind w:firstLine="0"/>
      </w:pPr>
      <w:r>
        <w:rPr>
          <w:rStyle w:val="FootnoteReference"/>
        </w:rPr>
        <w:footnoteRef/>
      </w:r>
      <w:r>
        <w:t xml:space="preserve"> </w:t>
      </w:r>
      <w:r w:rsidRPr="00B67BBC">
        <w:rPr>
          <w:i/>
        </w:rPr>
        <w:t>Id</w:t>
      </w:r>
      <w:r>
        <w:t>. at 29.</w:t>
      </w:r>
    </w:p>
  </w:footnote>
  <w:footnote w:id="18">
    <w:p w:rsidR="001E489E" w:rsidRDefault="001E489E" w:rsidP="00134333">
      <w:pPr>
        <w:pStyle w:val="FootnoteText"/>
        <w:spacing w:after="120"/>
        <w:ind w:firstLine="0"/>
      </w:pPr>
      <w:r>
        <w:rPr>
          <w:rStyle w:val="FootnoteReference"/>
        </w:rPr>
        <w:footnoteRef/>
      </w:r>
      <w:r>
        <w:t xml:space="preserve"> </w:t>
      </w:r>
      <w:r w:rsidRPr="00F248FA">
        <w:t>AEP-Ohio Ex. 7 at 10.</w:t>
      </w:r>
    </w:p>
  </w:footnote>
  <w:footnote w:id="19">
    <w:p w:rsidR="001E489E" w:rsidRDefault="001E489E" w:rsidP="00134333">
      <w:pPr>
        <w:pStyle w:val="FootnoteText"/>
        <w:spacing w:after="120"/>
        <w:ind w:firstLine="0"/>
      </w:pPr>
      <w:r>
        <w:rPr>
          <w:rStyle w:val="FootnoteReference"/>
        </w:rPr>
        <w:footnoteRef/>
      </w:r>
      <w:r>
        <w:t xml:space="preserve"> AEP-Ohio Ex. 1 at 7.</w:t>
      </w:r>
    </w:p>
  </w:footnote>
  <w:footnote w:id="20">
    <w:p w:rsidR="001E489E" w:rsidRDefault="001E489E" w:rsidP="00134333">
      <w:pPr>
        <w:pStyle w:val="FootnoteText"/>
        <w:spacing w:after="120"/>
        <w:ind w:firstLine="0"/>
      </w:pPr>
      <w:r>
        <w:rPr>
          <w:rStyle w:val="FootnoteReference"/>
        </w:rPr>
        <w:footnoteRef/>
      </w:r>
      <w:r>
        <w:t xml:space="preserve"> AEP-Ohio Initial Brief at 30.</w:t>
      </w:r>
    </w:p>
  </w:footnote>
  <w:footnote w:id="21">
    <w:p w:rsidR="001E489E" w:rsidRDefault="001E489E" w:rsidP="006C56C3">
      <w:pPr>
        <w:pStyle w:val="FootnoteText"/>
        <w:spacing w:after="120"/>
        <w:ind w:firstLine="0"/>
      </w:pPr>
      <w:r>
        <w:rPr>
          <w:rStyle w:val="FootnoteReference"/>
        </w:rPr>
        <w:footnoteRef/>
      </w:r>
      <w:r>
        <w:t xml:space="preserve"> R.C. 4928.05(A)(2).</w:t>
      </w:r>
    </w:p>
  </w:footnote>
  <w:footnote w:id="22">
    <w:p w:rsidR="001E489E" w:rsidRDefault="001E489E" w:rsidP="000E26A1">
      <w:pPr>
        <w:pStyle w:val="FootnoteText"/>
        <w:spacing w:after="120"/>
        <w:ind w:firstLine="0"/>
      </w:pPr>
      <w:r>
        <w:rPr>
          <w:rStyle w:val="FootnoteReference"/>
        </w:rPr>
        <w:footnoteRef/>
      </w:r>
      <w:r>
        <w:t xml:space="preserve"> AEP-Ohio Initial Brief at 42; Staff Initial Brief at 7.</w:t>
      </w:r>
    </w:p>
  </w:footnote>
  <w:footnote w:id="23">
    <w:p w:rsidR="001E489E" w:rsidRDefault="001E489E" w:rsidP="009A2D22">
      <w:pPr>
        <w:pStyle w:val="FootnoteText"/>
        <w:spacing w:after="120"/>
        <w:ind w:firstLine="0"/>
      </w:pPr>
      <w:r>
        <w:rPr>
          <w:rStyle w:val="FootnoteReference"/>
        </w:rPr>
        <w:footnoteRef/>
      </w:r>
      <w:r>
        <w:t xml:space="preserve"> AEP-Ohio Initial Brief at 42.</w:t>
      </w:r>
    </w:p>
  </w:footnote>
  <w:footnote w:id="24">
    <w:p w:rsidR="001E489E" w:rsidRDefault="001E489E" w:rsidP="000E26A1">
      <w:pPr>
        <w:pStyle w:val="FootnoteText"/>
        <w:spacing w:after="120"/>
        <w:ind w:firstLine="0"/>
      </w:pPr>
      <w:r>
        <w:rPr>
          <w:rStyle w:val="FootnoteReference"/>
        </w:rPr>
        <w:footnoteRef/>
      </w:r>
      <w:r>
        <w:t xml:space="preserve"> </w:t>
      </w:r>
      <w:r>
        <w:rPr>
          <w:i/>
        </w:rPr>
        <w:t>See In the Matter of the Application of Ohio Power Company to Update its Transmission Cost Recovery Rider</w:t>
      </w:r>
      <w:r>
        <w:t>, Case No. 12-1046-EL-RDR, Application (June 15, 2012) (requesting a reconciliation adjustment of $36 million),</w:t>
      </w:r>
      <w:r>
        <w:rPr>
          <w:i/>
        </w:rPr>
        <w:t>appeal pending</w:t>
      </w:r>
      <w:r>
        <w:t xml:space="preserve">, Supreme Ct. Case No. 2013-154; </w:t>
      </w:r>
      <w:r>
        <w:rPr>
          <w:i/>
        </w:rPr>
        <w:t>In the Matter of the Application of Ohio Power Company to Update its Transmission Cost Recovery Rider Rates</w:t>
      </w:r>
      <w:r>
        <w:t xml:space="preserve">, Case No. 14-1094-EL-UNC, Application (June 16, 2014) (identifying an under-recovery of $57 million).  </w:t>
      </w:r>
    </w:p>
  </w:footnote>
  <w:footnote w:id="25">
    <w:p w:rsidR="001E489E" w:rsidRDefault="001E489E" w:rsidP="000E26A1">
      <w:pPr>
        <w:pStyle w:val="FootnoteText"/>
        <w:spacing w:after="120"/>
        <w:ind w:firstLine="0"/>
      </w:pPr>
      <w:r>
        <w:rPr>
          <w:rStyle w:val="FootnoteReference"/>
        </w:rPr>
        <w:footnoteRef/>
      </w:r>
      <w:r>
        <w:t xml:space="preserve"> IEU-Ohio Ex. 6 at 13.</w:t>
      </w:r>
    </w:p>
  </w:footnote>
  <w:footnote w:id="26">
    <w:p w:rsidR="001E489E" w:rsidRDefault="001E489E" w:rsidP="000E26A1">
      <w:pPr>
        <w:pStyle w:val="FootnoteText"/>
        <w:spacing w:after="120"/>
        <w:ind w:firstLine="0"/>
      </w:pPr>
      <w:r>
        <w:rPr>
          <w:rStyle w:val="FootnoteReference"/>
        </w:rPr>
        <w:footnoteRef/>
      </w:r>
      <w:r>
        <w:t xml:space="preserve"> </w:t>
      </w:r>
      <w:r>
        <w:rPr>
          <w:i/>
        </w:rPr>
        <w:t>Id.</w:t>
      </w:r>
    </w:p>
  </w:footnote>
  <w:footnote w:id="27">
    <w:p w:rsidR="001E489E" w:rsidRDefault="001E489E" w:rsidP="001E489E">
      <w:pPr>
        <w:pStyle w:val="FootnoteText"/>
        <w:spacing w:after="120"/>
        <w:ind w:firstLine="0"/>
      </w:pPr>
      <w:r>
        <w:rPr>
          <w:rStyle w:val="FootnoteReference"/>
        </w:rPr>
        <w:footnoteRef/>
      </w:r>
      <w:r>
        <w:t xml:space="preserve"> </w:t>
      </w:r>
      <w:r w:rsidRPr="00FB59E8">
        <w:t>IEU-Ohio Initial Brief at 20-24</w:t>
      </w:r>
      <w:r>
        <w:t>;</w:t>
      </w:r>
      <w:r w:rsidRPr="009F4122">
        <w:t xml:space="preserve"> </w:t>
      </w:r>
      <w:r>
        <w:t>Staff Initial Brief at 15-18.</w:t>
      </w:r>
    </w:p>
  </w:footnote>
  <w:footnote w:id="28">
    <w:p w:rsidR="001E489E" w:rsidRDefault="001E489E" w:rsidP="00FB59E8">
      <w:pPr>
        <w:pStyle w:val="FootnoteText"/>
        <w:spacing w:after="120"/>
        <w:ind w:firstLine="0"/>
      </w:pPr>
      <w:r>
        <w:rPr>
          <w:rStyle w:val="FootnoteReference"/>
        </w:rPr>
        <w:footnoteRef/>
      </w:r>
      <w:r>
        <w:t xml:space="preserve"> </w:t>
      </w:r>
      <w:r w:rsidRPr="00FB59E8">
        <w:rPr>
          <w:i/>
        </w:rPr>
        <w:t>Nantahala Power and Light Co. v. Thornburg</w:t>
      </w:r>
      <w:r>
        <w:t>, 476 U.S. 953, 971 (1986).</w:t>
      </w:r>
    </w:p>
  </w:footnote>
  <w:footnote w:id="29">
    <w:p w:rsidR="001E489E" w:rsidRDefault="001E489E" w:rsidP="00134333">
      <w:pPr>
        <w:pStyle w:val="FootnoteText"/>
        <w:spacing w:after="120"/>
        <w:ind w:firstLine="0"/>
      </w:pPr>
      <w:r>
        <w:rPr>
          <w:rStyle w:val="FootnoteReference"/>
        </w:rPr>
        <w:footnoteRef/>
      </w:r>
      <w:r>
        <w:t xml:space="preserve"> </w:t>
      </w:r>
      <w:r w:rsidRPr="00512637">
        <w:t>IEU-Ohio Initial Brief</w:t>
      </w:r>
      <w:r>
        <w:t xml:space="preserve"> at 34-36.</w:t>
      </w:r>
    </w:p>
  </w:footnote>
  <w:footnote w:id="30">
    <w:p w:rsidR="001E489E" w:rsidRDefault="001E489E" w:rsidP="00134333">
      <w:pPr>
        <w:pStyle w:val="FootnoteText"/>
        <w:spacing w:after="120"/>
        <w:ind w:firstLine="0"/>
      </w:pPr>
      <w:r>
        <w:rPr>
          <w:rStyle w:val="FootnoteReference"/>
        </w:rPr>
        <w:footnoteRef/>
      </w:r>
      <w:r>
        <w:t xml:space="preserve"> AEP-Ohio Initial Brief at 24 &amp; 30.</w:t>
      </w:r>
    </w:p>
  </w:footnote>
  <w:footnote w:id="31">
    <w:p w:rsidR="001E489E" w:rsidRDefault="001E489E" w:rsidP="00134333">
      <w:pPr>
        <w:pStyle w:val="FootnoteText"/>
        <w:spacing w:after="120"/>
        <w:ind w:firstLine="0"/>
      </w:pPr>
      <w:r>
        <w:rPr>
          <w:rStyle w:val="FootnoteReference"/>
        </w:rPr>
        <w:footnoteRef/>
      </w:r>
      <w:r>
        <w:t xml:space="preserve"> </w:t>
      </w:r>
      <w:r w:rsidRPr="002C6D6C">
        <w:t>Tr. Vol. I at 40.</w:t>
      </w:r>
    </w:p>
  </w:footnote>
  <w:footnote w:id="32">
    <w:p w:rsidR="001E489E" w:rsidRDefault="001E489E" w:rsidP="00134333">
      <w:pPr>
        <w:pStyle w:val="FootnoteText"/>
        <w:spacing w:after="120"/>
        <w:ind w:firstLine="0"/>
      </w:pPr>
      <w:r>
        <w:rPr>
          <w:rStyle w:val="FootnoteReference"/>
        </w:rPr>
        <w:footnoteRef/>
      </w:r>
      <w:r>
        <w:t xml:space="preserve"> Staff Initial Brief at 2-3.</w:t>
      </w:r>
    </w:p>
  </w:footnote>
  <w:footnote w:id="33">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4.</w:t>
      </w:r>
    </w:p>
  </w:footnote>
  <w:footnote w:id="34">
    <w:p w:rsidR="001E489E" w:rsidRDefault="001E489E" w:rsidP="00EA13BE">
      <w:pPr>
        <w:pStyle w:val="FootnoteText"/>
        <w:spacing w:after="120"/>
        <w:ind w:firstLine="0"/>
      </w:pPr>
      <w:r>
        <w:rPr>
          <w:rStyle w:val="FootnoteReference"/>
        </w:rPr>
        <w:footnoteRef/>
      </w:r>
      <w:r>
        <w:t xml:space="preserve"> AEP-Ohio Initial Brief at 31.</w:t>
      </w:r>
    </w:p>
  </w:footnote>
  <w:footnote w:id="35">
    <w:p w:rsidR="001E489E" w:rsidRDefault="001E489E" w:rsidP="00EA13BE">
      <w:pPr>
        <w:pStyle w:val="FootnoteText"/>
        <w:spacing w:after="120"/>
        <w:ind w:firstLine="0"/>
      </w:pPr>
      <w:r>
        <w:rPr>
          <w:rStyle w:val="FootnoteReference"/>
        </w:rPr>
        <w:footnoteRef/>
      </w:r>
      <w:r>
        <w:t xml:space="preserve"> </w:t>
      </w:r>
      <w:r w:rsidRPr="00EA13BE">
        <w:t>Tr. Vol. I at 110-11.</w:t>
      </w:r>
    </w:p>
  </w:footnote>
  <w:footnote w:id="36">
    <w:p w:rsidR="001E489E" w:rsidRDefault="001E489E" w:rsidP="00EA13BE">
      <w:pPr>
        <w:pStyle w:val="FootnoteText"/>
        <w:spacing w:after="120"/>
        <w:ind w:firstLine="0"/>
      </w:pPr>
      <w:r>
        <w:rPr>
          <w:rStyle w:val="FootnoteReference"/>
        </w:rPr>
        <w:footnoteRef/>
      </w:r>
      <w:r>
        <w:t xml:space="preserve"> AEP-Ohio Initial Brief at 33-43.</w:t>
      </w:r>
    </w:p>
  </w:footnote>
  <w:footnote w:id="37">
    <w:p w:rsidR="001E489E" w:rsidRDefault="001E489E" w:rsidP="002D221C">
      <w:pPr>
        <w:pStyle w:val="FootnoteText"/>
        <w:spacing w:after="120"/>
        <w:ind w:firstLine="0"/>
      </w:pPr>
      <w:r>
        <w:rPr>
          <w:rStyle w:val="FootnoteReference"/>
        </w:rPr>
        <w:footnoteRef/>
      </w:r>
      <w:r>
        <w:t xml:space="preserve"> </w:t>
      </w:r>
      <w:r w:rsidRPr="00A026DB">
        <w:rPr>
          <w:i/>
        </w:rPr>
        <w:t>See</w:t>
      </w:r>
      <w:r>
        <w:t xml:space="preserve"> IEU-Ohio Initial Brief at 13-20.</w:t>
      </w:r>
    </w:p>
  </w:footnote>
  <w:footnote w:id="38">
    <w:p w:rsidR="001E489E" w:rsidRDefault="001E489E" w:rsidP="002D221C">
      <w:pPr>
        <w:pStyle w:val="FootnoteText"/>
        <w:spacing w:after="120"/>
        <w:ind w:firstLine="0"/>
      </w:pPr>
      <w:r>
        <w:rPr>
          <w:rStyle w:val="FootnoteReference"/>
        </w:rPr>
        <w:footnoteRef/>
      </w:r>
      <w:r>
        <w:t xml:space="preserve"> </w:t>
      </w:r>
      <w:r w:rsidRPr="003F7617">
        <w:rPr>
          <w:i/>
        </w:rPr>
        <w:t>Id</w:t>
      </w:r>
      <w:r>
        <w:t>. at 20-24.</w:t>
      </w:r>
    </w:p>
  </w:footnote>
  <w:footnote w:id="39">
    <w:p w:rsidR="001E489E" w:rsidRDefault="001E489E" w:rsidP="00134333">
      <w:pPr>
        <w:pStyle w:val="FootnoteText"/>
        <w:spacing w:after="120"/>
        <w:ind w:firstLine="0"/>
      </w:pPr>
      <w:r>
        <w:rPr>
          <w:rStyle w:val="FootnoteReference"/>
        </w:rPr>
        <w:footnoteRef/>
      </w:r>
      <w:r>
        <w:t xml:space="preserve"> Staff Ex. 16.</w:t>
      </w:r>
    </w:p>
  </w:footnote>
  <w:footnote w:id="40">
    <w:p w:rsidR="001E489E" w:rsidRDefault="001E489E" w:rsidP="001C74B3">
      <w:pPr>
        <w:pStyle w:val="FootnoteText"/>
        <w:spacing w:after="120"/>
        <w:ind w:firstLine="0"/>
      </w:pPr>
      <w:r>
        <w:rPr>
          <w:rStyle w:val="FootnoteReference"/>
        </w:rPr>
        <w:footnoteRef/>
      </w:r>
      <w:r>
        <w:t xml:space="preserve"> IEU-Ohio Ex. 16.</w:t>
      </w:r>
    </w:p>
  </w:footnote>
  <w:footnote w:id="41">
    <w:p w:rsidR="001E489E" w:rsidRDefault="001E489E" w:rsidP="006F4873">
      <w:pPr>
        <w:pStyle w:val="FootnoteText"/>
        <w:spacing w:after="120"/>
        <w:ind w:firstLine="0"/>
        <w:jc w:val="left"/>
      </w:pPr>
      <w:r>
        <w:rPr>
          <w:rStyle w:val="FootnoteReference"/>
        </w:rPr>
        <w:footnoteRef/>
      </w:r>
      <w:r>
        <w:t xml:space="preserve"> AEP-Ohio Ex. 33 at WAA-R4.  </w:t>
      </w:r>
      <w:r w:rsidRPr="009A2D22">
        <w:rPr>
          <w:i/>
        </w:rPr>
        <w:t>See also</w:t>
      </w:r>
      <w:r>
        <w:t xml:space="preserve">, </w:t>
      </w:r>
      <w:hyperlink r:id="rId1" w:history="1">
        <w:r w:rsidRPr="0079159A">
          <w:rPr>
            <w:rStyle w:val="Hyperlink"/>
          </w:rPr>
          <w:t>http://energychoice.ohio.gov/</w:t>
        </w:r>
        <w:r w:rsidRPr="00E34D79">
          <w:rPr>
            <w:rStyle w:val="Hyperlink"/>
          </w:rPr>
          <w:t>ApplesToApplesCategory.aspx</w:t>
        </w:r>
      </w:hyperlink>
      <w:r w:rsidRPr="006F4873">
        <w:t>?</w:t>
      </w:r>
      <w:r w:rsidRPr="002D221C">
        <w:t>Category=Electric</w:t>
      </w:r>
    </w:p>
  </w:footnote>
  <w:footnote w:id="42">
    <w:p w:rsidR="001E489E" w:rsidRDefault="001E489E" w:rsidP="001C74B3">
      <w:pPr>
        <w:pStyle w:val="FootnoteText"/>
        <w:spacing w:after="120"/>
        <w:ind w:firstLine="0"/>
      </w:pPr>
      <w:r>
        <w:rPr>
          <w:rStyle w:val="FootnoteReference"/>
        </w:rPr>
        <w:footnoteRef/>
      </w:r>
      <w:r>
        <w:t xml:space="preserve"> AEP-Ohio Initial Brief at 36.</w:t>
      </w:r>
    </w:p>
  </w:footnote>
  <w:footnote w:id="43">
    <w:p w:rsidR="001E489E" w:rsidRDefault="001E489E" w:rsidP="00134333">
      <w:pPr>
        <w:pStyle w:val="FootnoteText"/>
        <w:spacing w:after="120"/>
        <w:ind w:firstLine="0"/>
      </w:pPr>
      <w:r>
        <w:rPr>
          <w:rStyle w:val="FootnoteReference"/>
        </w:rPr>
        <w:footnoteRef/>
      </w:r>
      <w:r>
        <w:t xml:space="preserve"> </w:t>
      </w:r>
      <w:r w:rsidRPr="009A2D22">
        <w:rPr>
          <w:i/>
        </w:rPr>
        <w:t>Id</w:t>
      </w:r>
      <w:r>
        <w:t>. at 33-43.</w:t>
      </w:r>
    </w:p>
  </w:footnote>
  <w:footnote w:id="44">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43.</w:t>
      </w:r>
    </w:p>
  </w:footnote>
  <w:footnote w:id="45">
    <w:p w:rsidR="001E489E" w:rsidRDefault="001E489E" w:rsidP="00134333">
      <w:pPr>
        <w:pStyle w:val="FootnoteText"/>
        <w:spacing w:after="120"/>
        <w:ind w:firstLine="0"/>
      </w:pPr>
      <w:r>
        <w:rPr>
          <w:rStyle w:val="FootnoteReference"/>
        </w:rPr>
        <w:footnoteRef/>
      </w:r>
      <w:r>
        <w:t xml:space="preserve"> AEP-Ohio Ex. 33 at Ex. WAA-R3; Tr. Vol. XIII at 3284-85.</w:t>
      </w:r>
    </w:p>
  </w:footnote>
  <w:footnote w:id="46">
    <w:p w:rsidR="001E489E" w:rsidRDefault="001E489E" w:rsidP="00134333">
      <w:pPr>
        <w:pStyle w:val="FootnoteText"/>
        <w:spacing w:after="120"/>
        <w:ind w:firstLine="0"/>
      </w:pPr>
      <w:r>
        <w:rPr>
          <w:rStyle w:val="FootnoteReference"/>
        </w:rPr>
        <w:footnoteRef/>
      </w:r>
      <w:r>
        <w:t xml:space="preserve"> Staff Ex. 16 </w:t>
      </w:r>
      <w:r w:rsidRPr="0084703D">
        <w:rPr>
          <w:i/>
        </w:rPr>
        <w:t>passim</w:t>
      </w:r>
      <w:r>
        <w:t>; Tr. Vol. XIII at 3279-80.</w:t>
      </w:r>
    </w:p>
  </w:footnote>
  <w:footnote w:id="47">
    <w:p w:rsidR="001E489E" w:rsidRDefault="001E489E" w:rsidP="00134333">
      <w:pPr>
        <w:pStyle w:val="FootnoteText"/>
        <w:spacing w:after="120"/>
        <w:ind w:firstLine="0"/>
      </w:pPr>
      <w:r>
        <w:rPr>
          <w:rStyle w:val="FootnoteReference"/>
        </w:rPr>
        <w:footnoteRef/>
      </w:r>
      <w:r>
        <w:t xml:space="preserve"> </w:t>
      </w:r>
      <w:r w:rsidRPr="00610F60">
        <w:t>Tr. Vol. XIII</w:t>
      </w:r>
      <w:r>
        <w:t xml:space="preserve"> at 3141.  As one witness supporting a modified PPAR pointed out, none of the factors driving the PPAR rate is known.  Tr. Vol. XI at 2594.</w:t>
      </w:r>
    </w:p>
  </w:footnote>
  <w:footnote w:id="48">
    <w:p w:rsidR="001E489E" w:rsidRDefault="001E489E" w:rsidP="00B67BBC">
      <w:pPr>
        <w:pStyle w:val="FootnoteText"/>
        <w:spacing w:after="120"/>
        <w:ind w:firstLine="0"/>
      </w:pPr>
      <w:r>
        <w:rPr>
          <w:rStyle w:val="FootnoteReference"/>
        </w:rPr>
        <w:footnoteRef/>
      </w:r>
      <w:r>
        <w:t xml:space="preserve"> AEP-Ohio Initial Brief at 47-50.</w:t>
      </w:r>
    </w:p>
  </w:footnote>
  <w:footnote w:id="49">
    <w:p w:rsidR="001E489E" w:rsidRDefault="001E489E" w:rsidP="001C74B3">
      <w:pPr>
        <w:pStyle w:val="FootnoteText"/>
        <w:spacing w:after="120"/>
        <w:ind w:firstLine="0"/>
      </w:pPr>
      <w:r>
        <w:rPr>
          <w:rStyle w:val="FootnoteReference"/>
        </w:rPr>
        <w:footnoteRef/>
      </w:r>
      <w:r>
        <w:t xml:space="preserve"> </w:t>
      </w:r>
      <w:r w:rsidRPr="001646ED">
        <w:t>Tr. Vol. II at 544-49.</w:t>
      </w:r>
    </w:p>
  </w:footnote>
  <w:footnote w:id="50">
    <w:p w:rsidR="001E489E" w:rsidRDefault="001E489E" w:rsidP="001C74B3">
      <w:pPr>
        <w:pStyle w:val="FootnoteText"/>
        <w:spacing w:after="120"/>
        <w:ind w:firstLine="0"/>
      </w:pPr>
      <w:r>
        <w:rPr>
          <w:rStyle w:val="FootnoteReference"/>
        </w:rPr>
        <w:footnoteRef/>
      </w:r>
      <w:r>
        <w:t xml:space="preserve"> </w:t>
      </w:r>
      <w:r w:rsidRPr="003E3650">
        <w:t>IEU-Ohio Ex. 1B at Ex. KMM-3, page 2</w:t>
      </w:r>
      <w:r>
        <w:t>.</w:t>
      </w:r>
    </w:p>
  </w:footnote>
  <w:footnote w:id="51">
    <w:p w:rsidR="001E489E" w:rsidRDefault="001E489E" w:rsidP="006D59F5">
      <w:pPr>
        <w:pStyle w:val="FootnoteText"/>
        <w:spacing w:after="120"/>
        <w:ind w:firstLine="0"/>
      </w:pPr>
      <w:r>
        <w:rPr>
          <w:rStyle w:val="FootnoteReference"/>
        </w:rPr>
        <w:footnoteRef/>
      </w:r>
      <w:r>
        <w:t xml:space="preserve"> AEP-Ohio Ex. 33 at Ex. WAA-R2; Tr. Vol. XIII at 3214.</w:t>
      </w:r>
    </w:p>
  </w:footnote>
  <w:footnote w:id="52">
    <w:p w:rsidR="001E489E" w:rsidRDefault="001E489E" w:rsidP="001C74B3">
      <w:pPr>
        <w:pStyle w:val="FootnoteText"/>
        <w:spacing w:after="120"/>
        <w:ind w:firstLine="0"/>
      </w:pPr>
      <w:r>
        <w:rPr>
          <w:rStyle w:val="FootnoteReference"/>
        </w:rPr>
        <w:footnoteRef/>
      </w:r>
      <w:r>
        <w:t xml:space="preserve"> AEP-Ohio Initial Brief at 52-60.</w:t>
      </w:r>
    </w:p>
  </w:footnote>
  <w:footnote w:id="53">
    <w:p w:rsidR="001E489E" w:rsidRDefault="001E489E" w:rsidP="001C74B3">
      <w:pPr>
        <w:pStyle w:val="FootnoteText"/>
        <w:spacing w:after="120"/>
        <w:ind w:firstLine="0"/>
      </w:pPr>
      <w:r>
        <w:rPr>
          <w:rStyle w:val="FootnoteReference"/>
        </w:rPr>
        <w:footnoteRef/>
      </w:r>
      <w:r>
        <w:t xml:space="preserve"> </w:t>
      </w:r>
      <w:r w:rsidRPr="00B67BBC">
        <w:rPr>
          <w:i/>
        </w:rPr>
        <w:t>See</w:t>
      </w:r>
      <w:r>
        <w:t xml:space="preserve"> IEU-Ohio Initial Brief at 25 n.89.</w:t>
      </w:r>
    </w:p>
  </w:footnote>
  <w:footnote w:id="54">
    <w:p w:rsidR="001E489E" w:rsidRDefault="001E489E" w:rsidP="001C74B3">
      <w:pPr>
        <w:pStyle w:val="FootnoteText"/>
        <w:spacing w:after="120"/>
        <w:ind w:firstLine="0"/>
      </w:pPr>
      <w:r>
        <w:rPr>
          <w:rStyle w:val="FootnoteReference"/>
        </w:rPr>
        <w:footnoteRef/>
      </w:r>
      <w:r>
        <w:t xml:space="preserve"> AEP-Ohio Ex. 8A.</w:t>
      </w:r>
    </w:p>
  </w:footnote>
  <w:footnote w:id="55">
    <w:p w:rsidR="001E489E" w:rsidRDefault="001E489E" w:rsidP="001C74B3">
      <w:pPr>
        <w:pStyle w:val="FootnoteText"/>
        <w:spacing w:after="120"/>
        <w:ind w:firstLine="0"/>
      </w:pPr>
      <w:r>
        <w:rPr>
          <w:rStyle w:val="FootnoteReference"/>
        </w:rPr>
        <w:footnoteRef/>
      </w:r>
      <w:r>
        <w:t xml:space="preserve"> IEU-Ohio Ex. 1B at KMM Exs. 5-7.</w:t>
      </w:r>
    </w:p>
  </w:footnote>
  <w:footnote w:id="56">
    <w:p w:rsidR="001E489E" w:rsidRDefault="001E489E" w:rsidP="001C74B3">
      <w:pPr>
        <w:pStyle w:val="FootnoteText"/>
        <w:spacing w:after="120"/>
        <w:ind w:firstLine="0"/>
      </w:pPr>
      <w:r>
        <w:rPr>
          <w:rStyle w:val="FootnoteReference"/>
        </w:rPr>
        <w:footnoteRef/>
      </w:r>
      <w:r>
        <w:t xml:space="preserve"> </w:t>
      </w:r>
      <w:r w:rsidRPr="00B67BBC">
        <w:rPr>
          <w:i/>
        </w:rPr>
        <w:t>Id</w:t>
      </w:r>
      <w:r>
        <w:t>.</w:t>
      </w:r>
      <w:r w:rsidRPr="004E2034">
        <w:t xml:space="preserve"> at Ex. KMM-5.</w:t>
      </w:r>
    </w:p>
  </w:footnote>
  <w:footnote w:id="57">
    <w:p w:rsidR="001E489E" w:rsidRDefault="001E489E" w:rsidP="001C74B3">
      <w:pPr>
        <w:pStyle w:val="FootnoteText"/>
        <w:spacing w:after="120"/>
        <w:ind w:firstLine="0"/>
      </w:pPr>
      <w:r>
        <w:rPr>
          <w:rStyle w:val="FootnoteReference"/>
        </w:rPr>
        <w:footnoteRef/>
      </w:r>
      <w:r>
        <w:t xml:space="preserve"> IEU-Ohio Ex. 1B at 20-21</w:t>
      </w:r>
      <w:r w:rsidRPr="004E2034">
        <w:t>; OCC Ex. 15A at 10-28.</w:t>
      </w:r>
    </w:p>
  </w:footnote>
  <w:footnote w:id="58">
    <w:p w:rsidR="001E489E" w:rsidRDefault="001E489E" w:rsidP="00134333">
      <w:pPr>
        <w:pStyle w:val="FootnoteText"/>
        <w:spacing w:after="120"/>
        <w:ind w:firstLine="0"/>
      </w:pPr>
      <w:r>
        <w:rPr>
          <w:rStyle w:val="FootnoteReference"/>
        </w:rPr>
        <w:footnoteRef/>
      </w:r>
      <w:r>
        <w:t xml:space="preserve"> AEP-Ohio Initial Brief at 64-67.</w:t>
      </w:r>
    </w:p>
  </w:footnote>
  <w:footnote w:id="59">
    <w:p w:rsidR="001E489E" w:rsidRDefault="001E489E" w:rsidP="00A40342">
      <w:pPr>
        <w:pStyle w:val="FootnoteText"/>
        <w:spacing w:after="120"/>
        <w:ind w:firstLine="0"/>
      </w:pPr>
      <w:r>
        <w:rPr>
          <w:rStyle w:val="FootnoteReference"/>
        </w:rPr>
        <w:footnoteRef/>
      </w:r>
      <w:r>
        <w:t xml:space="preserve"> </w:t>
      </w:r>
      <w:r w:rsidRPr="00A40342">
        <w:rPr>
          <w:i/>
        </w:rPr>
        <w:t>Id</w:t>
      </w:r>
      <w:r>
        <w:t>.</w:t>
      </w:r>
    </w:p>
  </w:footnote>
  <w:footnote w:id="60">
    <w:p w:rsidR="001E489E" w:rsidRDefault="001E489E" w:rsidP="006D427C">
      <w:pPr>
        <w:pStyle w:val="FootnoteText"/>
        <w:spacing w:after="120"/>
        <w:ind w:firstLine="0"/>
      </w:pPr>
      <w:r>
        <w:rPr>
          <w:rStyle w:val="FootnoteReference"/>
        </w:rPr>
        <w:footnoteRef/>
      </w:r>
      <w:r>
        <w:t xml:space="preserve"> </w:t>
      </w:r>
      <w:r w:rsidRPr="002963E1">
        <w:rPr>
          <w:i/>
        </w:rPr>
        <w:t>Id</w:t>
      </w:r>
      <w:r>
        <w:t>. at 44.</w:t>
      </w:r>
    </w:p>
  </w:footnote>
  <w:footnote w:id="61">
    <w:p w:rsidR="001E489E" w:rsidRDefault="001E489E" w:rsidP="00AB6031">
      <w:pPr>
        <w:pStyle w:val="FootnoteText"/>
        <w:spacing w:after="120"/>
        <w:ind w:firstLine="0"/>
      </w:pPr>
      <w:r>
        <w:rPr>
          <w:rStyle w:val="FootnoteReference"/>
        </w:rPr>
        <w:footnoteRef/>
      </w:r>
      <w:r>
        <w:t xml:space="preserve"> R.C. 4928.03.</w:t>
      </w:r>
    </w:p>
  </w:footnote>
  <w:footnote w:id="62">
    <w:p w:rsidR="001E489E" w:rsidRDefault="001E489E" w:rsidP="00AE3AEC">
      <w:pPr>
        <w:pStyle w:val="FootnoteText"/>
        <w:spacing w:after="120"/>
        <w:ind w:firstLine="0"/>
      </w:pPr>
      <w:r>
        <w:rPr>
          <w:rStyle w:val="FootnoteReference"/>
        </w:rPr>
        <w:footnoteRef/>
      </w:r>
      <w:r>
        <w:t xml:space="preserve"> Staff Brief at 5-6.</w:t>
      </w:r>
    </w:p>
  </w:footnote>
  <w:footnote w:id="63">
    <w:p w:rsidR="001E489E" w:rsidRDefault="001E489E" w:rsidP="006D427C">
      <w:pPr>
        <w:pStyle w:val="FootnoteText"/>
        <w:spacing w:after="120"/>
        <w:ind w:firstLine="0"/>
      </w:pPr>
      <w:r>
        <w:rPr>
          <w:rStyle w:val="FootnoteReference"/>
        </w:rPr>
        <w:footnoteRef/>
      </w:r>
      <w:r>
        <w:t xml:space="preserve"> </w:t>
      </w:r>
      <w:r w:rsidRPr="00555236">
        <w:rPr>
          <w:i/>
        </w:rPr>
        <w:t>Id</w:t>
      </w:r>
      <w:r>
        <w:t>.; OPAE/APJN Initial Brief at 42-43.</w:t>
      </w:r>
    </w:p>
  </w:footnote>
  <w:footnote w:id="64">
    <w:p w:rsidR="001E489E" w:rsidRDefault="001E489E" w:rsidP="00134333">
      <w:pPr>
        <w:pStyle w:val="FootnoteText"/>
        <w:spacing w:after="120"/>
        <w:ind w:firstLine="0"/>
      </w:pPr>
      <w:r>
        <w:rPr>
          <w:rStyle w:val="FootnoteReference"/>
        </w:rPr>
        <w:footnoteRef/>
      </w:r>
      <w:r>
        <w:rPr>
          <w:i/>
        </w:rPr>
        <w:t xml:space="preserve"> </w:t>
      </w:r>
      <w:r>
        <w:t>AEP-Ohio Initial Brief at 46.</w:t>
      </w:r>
    </w:p>
  </w:footnote>
  <w:footnote w:id="65">
    <w:p w:rsidR="001E489E" w:rsidRDefault="001E489E" w:rsidP="00134333">
      <w:pPr>
        <w:pStyle w:val="FootnoteText"/>
        <w:spacing w:after="120"/>
        <w:ind w:firstLine="0"/>
      </w:pPr>
      <w:r>
        <w:rPr>
          <w:rStyle w:val="FootnoteReference"/>
        </w:rPr>
        <w:footnoteRef/>
      </w:r>
      <w:r>
        <w:t xml:space="preserve"> </w:t>
      </w:r>
      <w:r w:rsidRPr="00F05566">
        <w:t>OHA Initial Brief at 10</w:t>
      </w:r>
      <w:r w:rsidRPr="00C453ED">
        <w:t>.</w:t>
      </w:r>
    </w:p>
  </w:footnote>
  <w:footnote w:id="66">
    <w:p w:rsidR="001E489E" w:rsidRDefault="001E489E" w:rsidP="0057008F">
      <w:pPr>
        <w:pStyle w:val="FootnoteText"/>
        <w:spacing w:after="120"/>
        <w:ind w:firstLine="0"/>
      </w:pPr>
      <w:r>
        <w:rPr>
          <w:rStyle w:val="FootnoteReference"/>
        </w:rPr>
        <w:footnoteRef/>
      </w:r>
      <w:r>
        <w:t xml:space="preserve"> OEG Initial Brief at 15-17.</w:t>
      </w:r>
    </w:p>
  </w:footnote>
  <w:footnote w:id="67">
    <w:p w:rsidR="001E489E" w:rsidRDefault="001E489E" w:rsidP="00134333">
      <w:pPr>
        <w:pStyle w:val="FootnoteText"/>
        <w:spacing w:after="120"/>
        <w:ind w:firstLine="0"/>
      </w:pPr>
      <w:r>
        <w:rPr>
          <w:rStyle w:val="FootnoteReference"/>
        </w:rPr>
        <w:footnoteRef/>
      </w:r>
      <w:r>
        <w:t xml:space="preserve"> </w:t>
      </w:r>
      <w:r w:rsidRPr="0057008F">
        <w:rPr>
          <w:i/>
        </w:rPr>
        <w:t>Id</w:t>
      </w:r>
      <w:r>
        <w:t>. at 1-5.</w:t>
      </w:r>
    </w:p>
  </w:footnote>
  <w:footnote w:id="68">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6-10 &amp; 13-15.</w:t>
      </w:r>
    </w:p>
  </w:footnote>
  <w:footnote w:id="69">
    <w:p w:rsidR="001E489E" w:rsidRDefault="001E489E" w:rsidP="00134333">
      <w:pPr>
        <w:pStyle w:val="FootnoteText"/>
        <w:spacing w:after="120"/>
        <w:ind w:firstLine="0"/>
      </w:pPr>
      <w:r>
        <w:rPr>
          <w:rStyle w:val="FootnoteReference"/>
        </w:rPr>
        <w:footnoteRef/>
      </w:r>
      <w:r>
        <w:t xml:space="preserve"> </w:t>
      </w:r>
      <w:r w:rsidRPr="00315521">
        <w:rPr>
          <w:i/>
        </w:rPr>
        <w:t>Id.</w:t>
      </w:r>
      <w:r>
        <w:t xml:space="preserve"> at 10-13.</w:t>
      </w:r>
    </w:p>
  </w:footnote>
  <w:footnote w:id="70">
    <w:p w:rsidR="001E489E" w:rsidRDefault="001E489E" w:rsidP="00895514">
      <w:pPr>
        <w:pStyle w:val="FootnoteText"/>
        <w:spacing w:after="120"/>
        <w:ind w:firstLine="0"/>
      </w:pPr>
      <w:r>
        <w:rPr>
          <w:rStyle w:val="FootnoteReference"/>
        </w:rPr>
        <w:footnoteRef/>
      </w:r>
      <w:r>
        <w:t xml:space="preserve"> OEG Ex. 3 at 14.</w:t>
      </w:r>
    </w:p>
  </w:footnote>
  <w:footnote w:id="71">
    <w:p w:rsidR="001E489E" w:rsidRDefault="001E489E" w:rsidP="00895514">
      <w:pPr>
        <w:pStyle w:val="FootnoteText"/>
        <w:spacing w:after="120"/>
        <w:ind w:firstLine="0"/>
      </w:pPr>
      <w:r>
        <w:rPr>
          <w:rStyle w:val="FootnoteReference"/>
        </w:rPr>
        <w:footnoteRef/>
      </w:r>
      <w:r>
        <w:t xml:space="preserve"> </w:t>
      </w:r>
      <w:r w:rsidRPr="00895514">
        <w:rPr>
          <w:i/>
        </w:rPr>
        <w:t>Id</w:t>
      </w:r>
      <w:r>
        <w:t>. at 16-17.</w:t>
      </w:r>
    </w:p>
  </w:footnote>
  <w:footnote w:id="72">
    <w:p w:rsidR="001E489E" w:rsidRDefault="001E489E" w:rsidP="00A40342">
      <w:pPr>
        <w:pStyle w:val="FootnoteText"/>
        <w:spacing w:after="120"/>
        <w:ind w:firstLine="0"/>
      </w:pPr>
      <w:r>
        <w:rPr>
          <w:rStyle w:val="FootnoteReference"/>
        </w:rPr>
        <w:footnoteRef/>
      </w:r>
      <w:r>
        <w:t xml:space="preserve"> OEG Initial Brief at 17.</w:t>
      </w:r>
    </w:p>
  </w:footnote>
  <w:footnote w:id="73">
    <w:p w:rsidR="001E489E" w:rsidRDefault="001E489E" w:rsidP="00134333">
      <w:pPr>
        <w:pStyle w:val="FootnoteText"/>
        <w:spacing w:after="120"/>
        <w:ind w:firstLine="0"/>
      </w:pPr>
      <w:r>
        <w:rPr>
          <w:rStyle w:val="FootnoteReference"/>
        </w:rPr>
        <w:footnoteRef/>
      </w:r>
      <w:r>
        <w:t xml:space="preserve">  These include its conflict with state policy of providing customers with choice, the inefficient price signals that the BTCR would send, the potential for shopping customers to be double-billed.  IEU-Ohio also demonstrated that the BTCR will not result in uniform treatment of transmission costs across the state because the proposed BTCR varies from the nonbypassable transmission riders in place for the other EDUs, which all have riders that vary from each other.  IEU-Ohio also demonstrated that shopping and competition is already robust in AEP-Ohio’s service area.  </w:t>
      </w:r>
    </w:p>
    <w:p w:rsidR="001E489E" w:rsidRDefault="001E489E" w:rsidP="004B20D5">
      <w:pPr>
        <w:pStyle w:val="FootnoteText"/>
        <w:spacing w:after="120"/>
        <w:ind w:firstLine="0"/>
      </w:pPr>
      <w:r w:rsidRPr="006A0B6B">
        <w:t>The Pennsylvania Public Utilities Commission recently rejected a proposal by RESA and FES to re-bundle Network Integration Transmission Services (“NITS”), one of the identified non-market based transmission costs in this case, and have the incumbent distribution utility provide and collect the costs of that service from all customers through a nonbypassable charge.  The Pennsylvania Commission found that the competitive suppliers had failed to meet their burden of proof to alter the status quo and re-bundle the NITS portion of transmission service.  The Pennsylvania Commission further found that there was merit to the industrial users group’s proposal that had NITS been re-bundled, large commercial and industrial customers should be carved out from the re-bundling due to their sophistication in being able to negotiate contracts and their need to craft contract terms that meet their individual company’s needs (</w:t>
      </w:r>
      <w:r w:rsidRPr="006A0B6B">
        <w:rPr>
          <w:i/>
        </w:rPr>
        <w:t xml:space="preserve">i.e. </w:t>
      </w:r>
      <w:r w:rsidRPr="006A0B6B">
        <w:t>they should be able to elect between a fixed price and a “pass-through” for transmission costs).</w:t>
      </w:r>
      <w:r>
        <w:t xml:space="preserve">  </w:t>
      </w:r>
      <w:r w:rsidRPr="006A0B6B">
        <w:rPr>
          <w:i/>
        </w:rPr>
        <w:t>Joint Petition of Metropolitan Edison Company, Pennsylvania Electric Company, Pennsylvania Power Company and West Penn Power Company for Approval of the Default Service Programs</w:t>
      </w:r>
      <w:r>
        <w:t xml:space="preserve">, Case Nos. P-2013-2391368, </w:t>
      </w:r>
      <w:r w:rsidRPr="00A40342">
        <w:rPr>
          <w:i/>
        </w:rPr>
        <w:t>et al</w:t>
      </w:r>
      <w:r>
        <w:t>., Opinion and Order at 23-53 (Pa. Pub. Util. Comm’n July 24, 2014).</w:t>
      </w:r>
    </w:p>
  </w:footnote>
  <w:footnote w:id="74">
    <w:p w:rsidR="001E489E" w:rsidRDefault="001E489E" w:rsidP="00134333">
      <w:pPr>
        <w:pStyle w:val="FootnoteText"/>
        <w:tabs>
          <w:tab w:val="left" w:pos="8165"/>
        </w:tabs>
        <w:spacing w:after="120"/>
        <w:ind w:firstLine="0"/>
      </w:pPr>
      <w:r>
        <w:rPr>
          <w:rStyle w:val="FootnoteReference"/>
        </w:rPr>
        <w:footnoteRef/>
      </w:r>
      <w:r>
        <w:t xml:space="preserve"> OMAEG Initial Brief at 11-13.</w:t>
      </w:r>
      <w:r>
        <w:tab/>
      </w:r>
    </w:p>
  </w:footnote>
  <w:footnote w:id="75">
    <w:p w:rsidR="001E489E" w:rsidRDefault="001E489E" w:rsidP="00134333">
      <w:pPr>
        <w:pStyle w:val="FootnoteText"/>
        <w:spacing w:after="120"/>
        <w:ind w:firstLine="0"/>
      </w:pPr>
      <w:r>
        <w:rPr>
          <w:rStyle w:val="FootnoteReference"/>
        </w:rPr>
        <w:footnoteRef/>
      </w:r>
      <w:r>
        <w:t xml:space="preserve"> AEP-Ohio Ex. 1 at 12-13; IEU-Ohio Ex. 1B at 28.  “Non-market based transmission charges” are identified by AEP-Ohio as the following items: ID# 1100 Network Integration Transmission Service; ID#1108 Transmission Enhancement; ID# 1320 Transmission Owner Scheduling, System Control and Dispatch Service; ID# 1330 Reactive Supply and Voltage Control from Generation and Other Source Service; ID# 1450 Load Reconciliation for Transmission Owner Scheduling, System Control and Dispatch Service; ID# 2130 Firm Point-to-Point Transmission Service; and ID# 2140 Non-Firm Point to-Point.    Transmission Service.  AEP-Ohio Ex. 15 at Att. F (highlighted items); </w:t>
      </w:r>
      <w:r>
        <w:rPr>
          <w:i/>
          <w:iCs/>
        </w:rPr>
        <w:t>see also</w:t>
      </w:r>
      <w:r>
        <w:t xml:space="preserve">, IEU-Ohio Ex. 10.  In its Initial Brief, AEP-Ohio agreed with the arguments of several CRES providers that Generation Deactivation Charges should be classified as non-market based and recovered through the BTCR.  AEP-Ohio Initial Brief at 117.  </w:t>
      </w:r>
    </w:p>
  </w:footnote>
  <w:footnote w:id="76">
    <w:p w:rsidR="001E489E" w:rsidRDefault="001E489E" w:rsidP="00134333">
      <w:pPr>
        <w:pStyle w:val="FootnoteText"/>
        <w:spacing w:after="120"/>
        <w:ind w:firstLine="0"/>
      </w:pPr>
      <w:r>
        <w:rPr>
          <w:rStyle w:val="FootnoteReference"/>
        </w:rPr>
        <w:footnoteRef/>
      </w:r>
      <w:r>
        <w:t xml:space="preserve"> AEP-Ohio Initial Brief at 116.</w:t>
      </w:r>
    </w:p>
  </w:footnote>
  <w:footnote w:id="77">
    <w:p w:rsidR="001E489E" w:rsidRDefault="001E489E" w:rsidP="00134333">
      <w:pPr>
        <w:pStyle w:val="FootnoteText"/>
        <w:spacing w:after="120"/>
        <w:ind w:firstLine="0"/>
      </w:pPr>
      <w:r>
        <w:rPr>
          <w:rStyle w:val="FootnoteReference"/>
        </w:rPr>
        <w:footnoteRef/>
      </w:r>
      <w:r>
        <w:t xml:space="preserve"> RESA Initial Brief at 19-21; IGS Initial Brief at 19-20; FES Initial Brief at 5.</w:t>
      </w:r>
    </w:p>
  </w:footnote>
  <w:footnote w:id="78">
    <w:p w:rsidR="001E489E" w:rsidRDefault="001E489E" w:rsidP="00C453ED">
      <w:pPr>
        <w:pStyle w:val="FootnoteText"/>
        <w:spacing w:after="120"/>
        <w:ind w:firstLine="0"/>
      </w:pPr>
      <w:r>
        <w:rPr>
          <w:rStyle w:val="FootnoteReference"/>
        </w:rPr>
        <w:footnoteRef/>
      </w:r>
      <w:r>
        <w:t xml:space="preserve"> IEU-Ohio Ex. 1B at 31.</w:t>
      </w:r>
    </w:p>
  </w:footnote>
  <w:footnote w:id="79">
    <w:p w:rsidR="001E489E" w:rsidRDefault="001E489E" w:rsidP="00134333">
      <w:pPr>
        <w:pStyle w:val="FootnoteText"/>
        <w:spacing w:after="120"/>
        <w:ind w:firstLine="0"/>
      </w:pPr>
      <w:r>
        <w:rPr>
          <w:rStyle w:val="FootnoteReference"/>
        </w:rPr>
        <w:footnoteRef/>
      </w:r>
      <w:r>
        <w:t xml:space="preserve"> IEU-Ohio Initial Brief at 37-44.</w:t>
      </w:r>
    </w:p>
  </w:footnote>
  <w:footnote w:id="80">
    <w:p w:rsidR="001E489E" w:rsidRDefault="001E489E" w:rsidP="00134333">
      <w:pPr>
        <w:pStyle w:val="FootnoteText"/>
        <w:spacing w:after="120"/>
        <w:ind w:firstLine="0"/>
      </w:pPr>
      <w:r>
        <w:rPr>
          <w:rStyle w:val="FootnoteReference"/>
        </w:rPr>
        <w:footnoteRef/>
      </w:r>
      <w:r>
        <w:t xml:space="preserve"> R.C. 4928.02(B).</w:t>
      </w:r>
    </w:p>
  </w:footnote>
  <w:footnote w:id="81">
    <w:p w:rsidR="001E489E" w:rsidRDefault="001E489E" w:rsidP="00134333">
      <w:pPr>
        <w:pStyle w:val="FootnoteText"/>
        <w:spacing w:after="120"/>
        <w:ind w:firstLine="0"/>
      </w:pPr>
      <w:r>
        <w:rPr>
          <w:rStyle w:val="FootnoteReference"/>
        </w:rPr>
        <w:footnoteRef/>
      </w:r>
      <w:r>
        <w:t xml:space="preserve"> Direct Energy recommends that the Commission expand the scope of the items that could be included as accounts receivable.  Direct Energy Initial Brief at 8-9.  </w:t>
      </w:r>
    </w:p>
  </w:footnote>
  <w:footnote w:id="82">
    <w:p w:rsidR="001E489E" w:rsidRDefault="001E489E" w:rsidP="00134333">
      <w:pPr>
        <w:pStyle w:val="FootnoteText"/>
        <w:spacing w:after="120"/>
        <w:ind w:firstLine="0"/>
      </w:pPr>
      <w:r>
        <w:rPr>
          <w:rStyle w:val="FootnoteReference"/>
        </w:rPr>
        <w:footnoteRef/>
      </w:r>
      <w:r>
        <w:t xml:space="preserve"> IEU-Ohio Initial Brief at 46-48.</w:t>
      </w:r>
    </w:p>
  </w:footnote>
  <w:footnote w:id="83">
    <w:p w:rsidR="001E489E" w:rsidRDefault="001E489E" w:rsidP="00134333">
      <w:pPr>
        <w:pStyle w:val="FootnoteText"/>
        <w:spacing w:after="120"/>
        <w:ind w:firstLine="0"/>
      </w:pPr>
      <w:r>
        <w:rPr>
          <w:rStyle w:val="FootnoteReference"/>
        </w:rPr>
        <w:footnoteRef/>
      </w:r>
      <w:r>
        <w:t xml:space="preserve"> AEP-Ohio Initial Brief at 126.</w:t>
      </w:r>
    </w:p>
  </w:footnote>
  <w:footnote w:id="84">
    <w:p w:rsidR="001E489E" w:rsidRDefault="001E489E" w:rsidP="00134333">
      <w:pPr>
        <w:pStyle w:val="FootnoteText"/>
        <w:spacing w:after="120"/>
        <w:ind w:firstLine="0"/>
      </w:pPr>
      <w:r>
        <w:rPr>
          <w:rStyle w:val="FootnoteReference"/>
        </w:rPr>
        <w:footnoteRef/>
      </w:r>
      <w:r>
        <w:t xml:space="preserve"> AEP-Ohio Ex. 11 at 8.</w:t>
      </w:r>
    </w:p>
  </w:footnote>
  <w:footnote w:id="85">
    <w:p w:rsidR="001E489E" w:rsidRDefault="001E489E" w:rsidP="00134333">
      <w:pPr>
        <w:pStyle w:val="FootnoteText"/>
        <w:spacing w:after="120"/>
        <w:ind w:firstLine="0"/>
      </w:pPr>
      <w:r>
        <w:rPr>
          <w:rStyle w:val="FootnoteReference"/>
        </w:rPr>
        <w:footnoteRef/>
      </w:r>
      <w:r>
        <w:t xml:space="preserve"> </w:t>
      </w:r>
      <w:r w:rsidRPr="008B4AE5">
        <w:t>Tr. Vol. III</w:t>
      </w:r>
      <w:r>
        <w:t xml:space="preserve"> at 875-76.</w:t>
      </w:r>
    </w:p>
  </w:footnote>
  <w:footnote w:id="86">
    <w:p w:rsidR="001E489E" w:rsidRDefault="001E489E" w:rsidP="00134333">
      <w:pPr>
        <w:pStyle w:val="FootnoteText"/>
        <w:spacing w:after="120"/>
        <w:ind w:firstLine="0"/>
      </w:pPr>
      <w:r>
        <w:rPr>
          <w:rStyle w:val="FootnoteReference"/>
        </w:rPr>
        <w:footnoteRef/>
      </w:r>
      <w:r>
        <w:t xml:space="preserve"> FES Initial Brief at 3.</w:t>
      </w:r>
    </w:p>
  </w:footnote>
  <w:footnote w:id="87">
    <w:p w:rsidR="001E489E" w:rsidRDefault="001E489E" w:rsidP="008538DA">
      <w:pPr>
        <w:pStyle w:val="FootnoteText"/>
        <w:spacing w:after="120"/>
        <w:ind w:firstLine="0"/>
      </w:pPr>
      <w:r>
        <w:rPr>
          <w:rStyle w:val="FootnoteReference"/>
        </w:rPr>
        <w:footnoteRef/>
      </w:r>
      <w:r>
        <w:t xml:space="preserve"> AEP-Ohio Initial Brief at 126.</w:t>
      </w:r>
    </w:p>
  </w:footnote>
  <w:footnote w:id="88">
    <w:p w:rsidR="001E489E" w:rsidRDefault="001E489E" w:rsidP="00134333">
      <w:pPr>
        <w:pStyle w:val="FootnoteText"/>
        <w:spacing w:after="120"/>
        <w:ind w:firstLine="0"/>
      </w:pPr>
      <w:r>
        <w:rPr>
          <w:rStyle w:val="FootnoteReference"/>
        </w:rPr>
        <w:footnoteRef/>
      </w:r>
      <w:r>
        <w:t xml:space="preserve"> </w:t>
      </w:r>
      <w:r w:rsidRPr="002963E1">
        <w:rPr>
          <w:i/>
        </w:rPr>
        <w:t>Id</w:t>
      </w:r>
      <w:r>
        <w:t>. at 129.</w:t>
      </w:r>
    </w:p>
  </w:footnote>
  <w:footnote w:id="89">
    <w:p w:rsidR="001E489E" w:rsidRDefault="001E489E" w:rsidP="00134333">
      <w:pPr>
        <w:pStyle w:val="FootnoteText"/>
        <w:spacing w:after="120"/>
        <w:ind w:firstLine="0"/>
      </w:pPr>
      <w:r>
        <w:rPr>
          <w:rStyle w:val="FootnoteReference"/>
        </w:rPr>
        <w:footnoteRef/>
      </w:r>
      <w:r>
        <w:t xml:space="preserve"> Tr. Vol. III at 799.</w:t>
      </w:r>
    </w:p>
  </w:footnote>
  <w:footnote w:id="90">
    <w:p w:rsidR="001E489E" w:rsidRDefault="001E489E" w:rsidP="00134333">
      <w:pPr>
        <w:pStyle w:val="FootnoteText"/>
        <w:spacing w:after="120"/>
        <w:ind w:firstLine="0"/>
      </w:pPr>
      <w:r>
        <w:rPr>
          <w:rStyle w:val="FootnoteReference"/>
        </w:rPr>
        <w:footnoteRef/>
      </w:r>
      <w:r>
        <w:t xml:space="preserve"> Rule 4901:1-21-06(B)(1), OAC.</w:t>
      </w:r>
    </w:p>
  </w:footnote>
  <w:footnote w:id="91">
    <w:p w:rsidR="001E489E" w:rsidRDefault="001E489E" w:rsidP="00134333">
      <w:pPr>
        <w:pStyle w:val="FootnoteText"/>
        <w:spacing w:after="120"/>
        <w:ind w:firstLine="0"/>
      </w:pPr>
      <w:r>
        <w:rPr>
          <w:rStyle w:val="FootnoteReference"/>
        </w:rPr>
        <w:footnoteRef/>
      </w:r>
      <w:r>
        <w:t xml:space="preserve"> OCC Initial Brief at 90-100; OPAE/APJN Initial Brief at 18-30.</w:t>
      </w:r>
    </w:p>
  </w:footnote>
  <w:footnote w:id="92">
    <w:p w:rsidR="001E489E" w:rsidRDefault="001E489E" w:rsidP="00134333">
      <w:pPr>
        <w:pStyle w:val="FootnoteText"/>
        <w:spacing w:after="120"/>
        <w:ind w:firstLine="0"/>
      </w:pPr>
      <w:r>
        <w:rPr>
          <w:rStyle w:val="FootnoteReference"/>
        </w:rPr>
        <w:footnoteRef/>
      </w:r>
      <w:r>
        <w:t xml:space="preserve"> </w:t>
      </w:r>
      <w:r w:rsidRPr="00C80625">
        <w:t>IEU-Ohio Ex. 2 at 13.</w:t>
      </w:r>
    </w:p>
  </w:footnote>
  <w:footnote w:id="93">
    <w:p w:rsidR="001E489E" w:rsidRDefault="001E489E" w:rsidP="00134333">
      <w:pPr>
        <w:pStyle w:val="FootnoteText"/>
        <w:spacing w:after="120"/>
        <w:ind w:firstLine="0"/>
      </w:pPr>
      <w:r>
        <w:rPr>
          <w:rStyle w:val="FootnoteReference"/>
        </w:rPr>
        <w:footnoteRef/>
      </w:r>
      <w:r>
        <w:t xml:space="preserve"> FES Initial Brief at 2-3.</w:t>
      </w:r>
    </w:p>
  </w:footnote>
  <w:footnote w:id="94">
    <w:p w:rsidR="001E489E" w:rsidRDefault="001E489E" w:rsidP="00C22EA3">
      <w:pPr>
        <w:pStyle w:val="FootnoteText"/>
        <w:spacing w:after="120"/>
        <w:ind w:firstLine="0"/>
      </w:pPr>
      <w:r>
        <w:rPr>
          <w:rStyle w:val="FootnoteReference"/>
        </w:rPr>
        <w:footnoteRef/>
      </w:r>
      <w:r>
        <w:t xml:space="preserve"> </w:t>
      </w:r>
      <w:r w:rsidRPr="00123479">
        <w:rPr>
          <w:i/>
        </w:rPr>
        <w:t>In the Matter of the Commission’s Investigation of Ohio’s Retail Electric Service Market</w:t>
      </w:r>
      <w:r w:rsidRPr="00123479">
        <w:t>, Case No. 12-3151-EL-UNC, Finding and Order at 21 (Mar. 26, 2014).</w:t>
      </w:r>
    </w:p>
  </w:footnote>
  <w:footnote w:id="95">
    <w:p w:rsidR="001E489E" w:rsidRDefault="001E489E" w:rsidP="00134333">
      <w:pPr>
        <w:pStyle w:val="FootnoteText"/>
        <w:spacing w:after="120"/>
        <w:ind w:firstLine="0"/>
      </w:pPr>
      <w:r>
        <w:rPr>
          <w:rStyle w:val="FootnoteReference"/>
        </w:rPr>
        <w:footnoteRef/>
      </w:r>
      <w:r>
        <w:t xml:space="preserve"> OEC/EDF Initial Brief at 10.</w:t>
      </w:r>
    </w:p>
  </w:footnote>
  <w:footnote w:id="96">
    <w:p w:rsidR="001E489E" w:rsidRDefault="001E489E" w:rsidP="0020774A">
      <w:pPr>
        <w:pStyle w:val="FootnoteText"/>
        <w:spacing w:after="120"/>
        <w:ind w:firstLine="0"/>
      </w:pPr>
      <w:r>
        <w:rPr>
          <w:rStyle w:val="FootnoteReference"/>
        </w:rPr>
        <w:footnoteRef/>
      </w:r>
      <w:r>
        <w:t xml:space="preserve"> </w:t>
      </w:r>
      <w:r w:rsidRPr="007C6E54">
        <w:rPr>
          <w:i/>
        </w:rPr>
        <w:t>Id</w:t>
      </w:r>
      <w:r>
        <w:t>. at 9.</w:t>
      </w:r>
    </w:p>
  </w:footnote>
  <w:footnote w:id="97">
    <w:p w:rsidR="001E489E" w:rsidRDefault="001E489E" w:rsidP="00134333">
      <w:pPr>
        <w:pStyle w:val="FootnoteText"/>
        <w:spacing w:after="120"/>
        <w:ind w:firstLine="0"/>
      </w:pPr>
      <w:r>
        <w:rPr>
          <w:rStyle w:val="FootnoteReference"/>
        </w:rPr>
        <w:footnoteRef/>
      </w:r>
      <w:r>
        <w:t xml:space="preserve"> OEC/EDF Ex. 1 at 9-11.</w:t>
      </w:r>
    </w:p>
  </w:footnote>
  <w:footnote w:id="98">
    <w:p w:rsidR="001E489E" w:rsidRDefault="001E489E" w:rsidP="00134333">
      <w:pPr>
        <w:pStyle w:val="FootnoteText"/>
        <w:spacing w:after="120"/>
        <w:ind w:firstLine="0"/>
      </w:pPr>
      <w:r>
        <w:rPr>
          <w:rStyle w:val="FootnoteReference"/>
        </w:rPr>
        <w:footnoteRef/>
      </w:r>
      <w:r>
        <w:t xml:space="preserve"> Tr. Vol. XII at 2795.</w:t>
      </w:r>
    </w:p>
  </w:footnote>
  <w:footnote w:id="99">
    <w:p w:rsidR="001E489E" w:rsidRDefault="001E489E" w:rsidP="00134333">
      <w:pPr>
        <w:pStyle w:val="FootnoteText"/>
        <w:spacing w:after="120"/>
        <w:ind w:firstLine="0"/>
      </w:pPr>
      <w:r>
        <w:rPr>
          <w:rStyle w:val="FootnoteReference"/>
        </w:rPr>
        <w:footnoteRef/>
      </w:r>
      <w:r>
        <w:t xml:space="preserve"> Tr. Vol. XII at 2797.</w:t>
      </w:r>
    </w:p>
  </w:footnote>
  <w:footnote w:id="100">
    <w:p w:rsidR="001E489E" w:rsidRDefault="001E489E" w:rsidP="00134333">
      <w:pPr>
        <w:pStyle w:val="FootnoteText"/>
        <w:spacing w:after="120"/>
        <w:ind w:firstLine="0"/>
      </w:pPr>
      <w:r>
        <w:rPr>
          <w:rStyle w:val="FootnoteReference"/>
        </w:rPr>
        <w:footnoteRef/>
      </w:r>
      <w:r>
        <w:t xml:space="preserve"> Tr. Vol. XII at 2764-67; </w:t>
      </w:r>
      <w:r w:rsidRPr="00E912D2">
        <w:rPr>
          <w:i/>
        </w:rPr>
        <w:t>In the Matter of the Joint Application of the Timken Company and The Ohio Power Company for Approval of a Unique Arrangement for the Timken Company’s Canton, Ohio, Facilities</w:t>
      </w:r>
      <w:r>
        <w:t xml:space="preserve">, Case No. 10-3066-EL-AEC, Opinion and Order (Apr. 27, 2011); </w:t>
      </w:r>
      <w:r w:rsidRPr="00E912D2">
        <w:rPr>
          <w:i/>
        </w:rPr>
        <w:t>In the Matter of the Application for Establishment of a Reasonable Arrangement Between Eramet Marietta, Inc. and Columbus Southern Power Company</w:t>
      </w:r>
      <w:r>
        <w:t xml:space="preserve">, Case No. 09-516-EL-AEC, Opinion and Order (Oct. 15, 2009); </w:t>
      </w:r>
      <w:r w:rsidRPr="00E912D2">
        <w:rPr>
          <w:i/>
        </w:rPr>
        <w:t>In the Matter of the Application of Columbus Southern Power Company and Eramet Marietta Inc. for Approval of a Special Arrangement with a Mercantile Customer</w:t>
      </w:r>
      <w:r>
        <w:t xml:space="preserve">, Case No. 09-2329-EL-EEC, </w:t>
      </w:r>
      <w:r w:rsidRPr="00E912D2">
        <w:rPr>
          <w:i/>
        </w:rPr>
        <w:t>et al</w:t>
      </w:r>
      <w:r>
        <w:t>., Finding and Order (Dec. 29, 2010).</w:t>
      </w:r>
    </w:p>
  </w:footnote>
  <w:footnote w:id="101">
    <w:p w:rsidR="001E489E" w:rsidRDefault="001E489E" w:rsidP="00134333">
      <w:pPr>
        <w:pStyle w:val="FootnoteText"/>
        <w:spacing w:after="120"/>
        <w:ind w:firstLine="0"/>
      </w:pPr>
      <w:r>
        <w:rPr>
          <w:rStyle w:val="FootnoteReference"/>
        </w:rPr>
        <w:footnoteRef/>
      </w:r>
      <w:r>
        <w:t xml:space="preserve"> OPAE relies upon OCC’s position and testimony.  OPAE Initial Brief at 38-39.</w:t>
      </w:r>
    </w:p>
  </w:footnote>
  <w:footnote w:id="102">
    <w:p w:rsidR="001E489E" w:rsidRDefault="001E489E" w:rsidP="00FF12E6">
      <w:pPr>
        <w:pStyle w:val="FootnoteText"/>
        <w:spacing w:after="120"/>
        <w:ind w:firstLine="0"/>
      </w:pPr>
      <w:r>
        <w:rPr>
          <w:rStyle w:val="FootnoteReference"/>
        </w:rPr>
        <w:footnoteRef/>
      </w:r>
      <w:r>
        <w:t xml:space="preserve"> OCC Initial Brief at 107-09.</w:t>
      </w:r>
    </w:p>
  </w:footnote>
  <w:footnote w:id="103">
    <w:p w:rsidR="001E489E" w:rsidRDefault="001E489E" w:rsidP="00134333">
      <w:pPr>
        <w:pStyle w:val="FootnoteText"/>
        <w:spacing w:after="120"/>
        <w:ind w:firstLine="0"/>
      </w:pPr>
      <w:r>
        <w:rPr>
          <w:rStyle w:val="FootnoteReference"/>
        </w:rPr>
        <w:footnoteRef/>
      </w:r>
      <w:r>
        <w:t xml:space="preserve"> </w:t>
      </w:r>
      <w:r w:rsidRPr="009A2D22">
        <w:rPr>
          <w:i/>
        </w:rPr>
        <w:t>Id</w:t>
      </w:r>
      <w:r>
        <w:t xml:space="preserve">. at 107-08; Tr. Vol. X at 2408. </w:t>
      </w:r>
    </w:p>
  </w:footnote>
  <w:footnote w:id="104">
    <w:p w:rsidR="001E489E" w:rsidRDefault="001E489E" w:rsidP="00134333">
      <w:pPr>
        <w:pStyle w:val="FootnoteText"/>
        <w:spacing w:after="120"/>
        <w:ind w:firstLine="0"/>
      </w:pPr>
      <w:r>
        <w:rPr>
          <w:rStyle w:val="FootnoteReference"/>
        </w:rPr>
        <w:footnoteRef/>
      </w:r>
      <w:r>
        <w:t xml:space="preserve"> </w:t>
      </w:r>
      <w:r w:rsidRPr="00FF12E6">
        <w:t>OCC Initial Brief</w:t>
      </w:r>
      <w:r>
        <w:t xml:space="preserve"> at 108.</w:t>
      </w:r>
    </w:p>
  </w:footnote>
  <w:footnote w:id="105">
    <w:p w:rsidR="001E489E" w:rsidRDefault="001E489E" w:rsidP="00216994">
      <w:pPr>
        <w:pStyle w:val="FootnoteText"/>
        <w:spacing w:after="120"/>
        <w:ind w:firstLine="0"/>
      </w:pPr>
      <w:r>
        <w:rPr>
          <w:rStyle w:val="FootnoteReference"/>
        </w:rPr>
        <w:footnoteRef/>
      </w:r>
      <w:r>
        <w:t xml:space="preserve"> IEU-Ohio takes no position on the lawfulness of the modifications of the existing riders and the proposed new rider.  In its Initial Brief, IEU-Ohio showed that the evidence did not support a finding that the proposed distribution riders provided a benefit that supported a finding that the proposed ESP satisfied the ESP v. MRO Test.  IEU-Ohio Initial Brief at 64-66. </w:t>
      </w:r>
    </w:p>
  </w:footnote>
  <w:footnote w:id="106">
    <w:p w:rsidR="001E489E" w:rsidRDefault="001E489E" w:rsidP="00134333">
      <w:pPr>
        <w:pStyle w:val="FootnoteText"/>
        <w:spacing w:after="120"/>
        <w:ind w:firstLine="0"/>
      </w:pPr>
      <w:r>
        <w:rPr>
          <w:rStyle w:val="FootnoteReference"/>
        </w:rPr>
        <w:footnoteRef/>
      </w:r>
      <w:r>
        <w:t xml:space="preserve"> Tr. Vol. X at 2416.</w:t>
      </w:r>
    </w:p>
  </w:footnote>
  <w:footnote w:id="107">
    <w:p w:rsidR="001E489E" w:rsidRDefault="001E489E" w:rsidP="00134333">
      <w:pPr>
        <w:pStyle w:val="FootnoteText"/>
        <w:spacing w:after="120"/>
        <w:ind w:firstLine="0"/>
      </w:pPr>
      <w:r>
        <w:rPr>
          <w:rStyle w:val="FootnoteReference"/>
        </w:rPr>
        <w:footnoteRef/>
      </w:r>
      <w:r>
        <w:t xml:space="preserve"> Tr. Vol. X at 2417.</w:t>
      </w:r>
    </w:p>
  </w:footnote>
  <w:footnote w:id="108">
    <w:p w:rsidR="001E489E" w:rsidRDefault="001E489E" w:rsidP="00134333">
      <w:pPr>
        <w:pStyle w:val="FootnoteText"/>
        <w:spacing w:after="120"/>
        <w:ind w:firstLine="0"/>
      </w:pPr>
      <w:r>
        <w:rPr>
          <w:rStyle w:val="FootnoteReference"/>
        </w:rPr>
        <w:footnoteRef/>
      </w:r>
      <w:r>
        <w:t xml:space="preserve"> Tr. Vol. X at 2418-19.</w:t>
      </w:r>
    </w:p>
  </w:footnote>
  <w:footnote w:id="109">
    <w:p w:rsidR="001E489E" w:rsidRDefault="001E489E" w:rsidP="00A40342">
      <w:pPr>
        <w:pStyle w:val="FootnoteText"/>
        <w:spacing w:after="120"/>
        <w:ind w:firstLine="0"/>
      </w:pPr>
      <w:r>
        <w:rPr>
          <w:rStyle w:val="FootnoteReference"/>
        </w:rPr>
        <w:footnoteRef/>
      </w:r>
      <w:r>
        <w:t xml:space="preserve"> OCC Ex. 14 at Attachment Wallach-2.</w:t>
      </w:r>
    </w:p>
  </w:footnote>
  <w:footnote w:id="110">
    <w:p w:rsidR="001E489E" w:rsidRDefault="001E489E" w:rsidP="00E912D2">
      <w:pPr>
        <w:pStyle w:val="FootnoteText"/>
        <w:spacing w:after="120"/>
        <w:ind w:firstLine="0"/>
      </w:pPr>
      <w:r>
        <w:rPr>
          <w:rStyle w:val="FootnoteReference"/>
        </w:rPr>
        <w:footnoteRef/>
      </w:r>
      <w:r>
        <w:t xml:space="preserve"> Tr. Vol. X at 2420.</w:t>
      </w:r>
    </w:p>
  </w:footnote>
  <w:footnote w:id="111">
    <w:p w:rsidR="001E489E" w:rsidRDefault="001E489E" w:rsidP="00134333">
      <w:pPr>
        <w:pStyle w:val="FootnoteText"/>
        <w:spacing w:after="120"/>
        <w:ind w:firstLine="0"/>
      </w:pPr>
      <w:r>
        <w:rPr>
          <w:rStyle w:val="FootnoteReference"/>
        </w:rPr>
        <w:footnoteRef/>
      </w:r>
      <w:r>
        <w:t xml:space="preserve"> IEU-Ohio Ex. 11 at 5-6.</w:t>
      </w:r>
    </w:p>
  </w:footnote>
  <w:footnote w:id="112">
    <w:p w:rsidR="001E489E" w:rsidRDefault="001E489E" w:rsidP="00E12157">
      <w:pPr>
        <w:pStyle w:val="FootnoteText"/>
        <w:spacing w:after="120"/>
        <w:ind w:firstLine="0"/>
      </w:pPr>
      <w:r>
        <w:rPr>
          <w:rStyle w:val="FootnoteReference"/>
        </w:rPr>
        <w:footnoteRef/>
      </w:r>
      <w:r>
        <w:t xml:space="preserve"> AEP-Ohio Initial Brief at 139.</w:t>
      </w:r>
    </w:p>
  </w:footnote>
  <w:footnote w:id="113">
    <w:p w:rsidR="001E489E" w:rsidRDefault="001E489E" w:rsidP="00A40342">
      <w:pPr>
        <w:pStyle w:val="FootnoteText"/>
        <w:spacing w:after="120"/>
        <w:ind w:firstLine="0"/>
      </w:pPr>
      <w:r>
        <w:rPr>
          <w:rStyle w:val="FootnoteReference"/>
        </w:rPr>
        <w:footnoteRef/>
      </w:r>
      <w:r>
        <w:t xml:space="preserve"> </w:t>
      </w:r>
      <w:r w:rsidRPr="00A40342">
        <w:rPr>
          <w:i/>
        </w:rPr>
        <w:t>Id</w:t>
      </w:r>
      <w:r>
        <w:t>. at 142.</w:t>
      </w:r>
    </w:p>
  </w:footnote>
  <w:footnote w:id="114">
    <w:p w:rsidR="001E489E" w:rsidRDefault="001E489E" w:rsidP="00E7092B">
      <w:pPr>
        <w:pStyle w:val="FootnoteText"/>
        <w:spacing w:after="120"/>
        <w:ind w:firstLine="0"/>
      </w:pPr>
      <w:r>
        <w:rPr>
          <w:rStyle w:val="FootnoteReference"/>
        </w:rPr>
        <w:footnoteRef/>
      </w:r>
      <w:r>
        <w:t xml:space="preserve"> IEU-Ohio Initial Brief at 51-67.</w:t>
      </w:r>
    </w:p>
  </w:footnote>
  <w:footnote w:id="115">
    <w:p w:rsidR="001E489E" w:rsidRDefault="001E489E" w:rsidP="00E7092B">
      <w:pPr>
        <w:pStyle w:val="FootnoteText"/>
        <w:spacing w:after="120"/>
        <w:ind w:firstLine="0"/>
      </w:pPr>
      <w:r>
        <w:rPr>
          <w:rStyle w:val="FootnoteReference"/>
        </w:rPr>
        <w:footnoteRef/>
      </w:r>
      <w:r>
        <w:t xml:space="preserve"> OMAEG Initial Brief at 21-26.</w:t>
      </w:r>
    </w:p>
  </w:footnote>
  <w:footnote w:id="116">
    <w:p w:rsidR="001E489E" w:rsidRDefault="001E489E" w:rsidP="00E7092B">
      <w:pPr>
        <w:pStyle w:val="FootnoteText"/>
        <w:spacing w:after="120"/>
        <w:ind w:firstLine="0"/>
      </w:pPr>
      <w:r>
        <w:rPr>
          <w:rStyle w:val="FootnoteReference"/>
        </w:rPr>
        <w:footnoteRef/>
      </w:r>
      <w:r>
        <w:t xml:space="preserve"> OCC Initial Brief at 6-27.</w:t>
      </w:r>
    </w:p>
  </w:footnote>
  <w:footnote w:id="117">
    <w:p w:rsidR="001E489E" w:rsidRDefault="001E489E" w:rsidP="00E7092B">
      <w:pPr>
        <w:pStyle w:val="FootnoteText"/>
        <w:spacing w:after="120"/>
        <w:ind w:firstLine="0"/>
      </w:pPr>
      <w:r>
        <w:rPr>
          <w:rStyle w:val="FootnoteReference"/>
        </w:rPr>
        <w:footnoteRef/>
      </w:r>
      <w:r>
        <w:t xml:space="preserve"> Staff Ex. 15 at 5.</w:t>
      </w:r>
    </w:p>
  </w:footnote>
  <w:footnote w:id="118">
    <w:p w:rsidR="001E489E" w:rsidRDefault="001E489E" w:rsidP="00A40342">
      <w:pPr>
        <w:pStyle w:val="FootnoteText"/>
        <w:spacing w:after="120"/>
        <w:ind w:firstLine="0"/>
      </w:pPr>
      <w:r>
        <w:rPr>
          <w:rStyle w:val="FootnoteReference"/>
        </w:rPr>
        <w:footnoteRef/>
      </w:r>
      <w:r>
        <w:t xml:space="preserve"> AEP-Ohio Ex. 7 at 5.</w:t>
      </w:r>
    </w:p>
  </w:footnote>
  <w:footnote w:id="119">
    <w:p w:rsidR="001E489E" w:rsidRDefault="001E489E" w:rsidP="00134333">
      <w:pPr>
        <w:pStyle w:val="FootnoteText"/>
        <w:spacing w:after="120"/>
        <w:ind w:firstLine="0"/>
      </w:pPr>
      <w:r>
        <w:rPr>
          <w:rStyle w:val="FootnoteReference"/>
        </w:rPr>
        <w:footnoteRef/>
      </w:r>
      <w:r>
        <w:t xml:space="preserve"> AEP-Ohio Initial Brief at 141-42.</w:t>
      </w:r>
    </w:p>
  </w:footnote>
  <w:footnote w:id="120">
    <w:p w:rsidR="001E489E" w:rsidRDefault="001E489E" w:rsidP="00134333">
      <w:pPr>
        <w:pStyle w:val="FootnoteText"/>
        <w:spacing w:after="120"/>
        <w:ind w:firstLine="0"/>
      </w:pPr>
      <w:r>
        <w:rPr>
          <w:rStyle w:val="FootnoteReference"/>
        </w:rPr>
        <w:footnoteRef/>
      </w:r>
      <w:r>
        <w:t xml:space="preserve"> </w:t>
      </w:r>
      <w:r w:rsidRPr="00315521">
        <w:rPr>
          <w:i/>
        </w:rPr>
        <w:t>Id</w:t>
      </w:r>
      <w:r>
        <w:t>. at 142.</w:t>
      </w:r>
    </w:p>
  </w:footnote>
  <w:footnote w:id="121">
    <w:p w:rsidR="001E489E" w:rsidRDefault="001E489E" w:rsidP="00134333">
      <w:pPr>
        <w:pStyle w:val="FootnoteText"/>
        <w:spacing w:after="120"/>
        <w:ind w:firstLine="0"/>
      </w:pPr>
      <w:r>
        <w:rPr>
          <w:rStyle w:val="FootnoteReference"/>
        </w:rPr>
        <w:footnoteRef/>
      </w:r>
      <w:r>
        <w:t xml:space="preserve"> IEU-Ohio Initial Brief at 64-66 and citations therein.</w:t>
      </w:r>
    </w:p>
  </w:footnote>
  <w:footnote w:id="122">
    <w:p w:rsidR="001E489E" w:rsidRDefault="001E489E" w:rsidP="00134333">
      <w:pPr>
        <w:pStyle w:val="FootnoteText"/>
        <w:spacing w:after="120"/>
        <w:ind w:firstLine="0"/>
      </w:pPr>
      <w:r>
        <w:rPr>
          <w:rStyle w:val="FootnoteReference"/>
        </w:rPr>
        <w:footnoteRef/>
      </w:r>
      <w:r>
        <w:t xml:space="preserve"> </w:t>
      </w:r>
      <w:r w:rsidRPr="00B67BBC">
        <w:rPr>
          <w:i/>
        </w:rPr>
        <w:t>In the Matter of Ohio Edison Company, The Cleveland Electric Illuminating Company, and The Toledo Edison Company for Authority to Provide for a Standard Service Offer Pursuant to Section 4928.143,</w:t>
      </w:r>
      <w:r w:rsidRPr="00B67BBC">
        <w:t xml:space="preserve"> </w:t>
      </w:r>
      <w:r w:rsidRPr="00B67BBC">
        <w:rPr>
          <w:i/>
        </w:rPr>
        <w:t>Revised Code, in the Form of an Electric Security Plan</w:t>
      </w:r>
      <w:r w:rsidRPr="00B67BBC">
        <w:t xml:space="preserve">, Case No. 12-1230-EL-SSO, Opinion and Order at </w:t>
      </w:r>
      <w:r>
        <w:t>56</w:t>
      </w:r>
      <w:r w:rsidRPr="00B67BBC">
        <w:t xml:space="preserve"> (July 18, 2012) (“</w:t>
      </w:r>
      <w:r w:rsidRPr="00B67BBC">
        <w:rPr>
          <w:i/>
        </w:rPr>
        <w:t>FirstEnergy ESP III</w:t>
      </w:r>
      <w:r>
        <w:t>”).</w:t>
      </w:r>
    </w:p>
  </w:footnote>
  <w:footnote w:id="123">
    <w:p w:rsidR="001E489E" w:rsidRDefault="001E489E" w:rsidP="00134333">
      <w:pPr>
        <w:pStyle w:val="FootnoteText"/>
        <w:spacing w:after="120"/>
        <w:ind w:firstLine="0"/>
      </w:pPr>
      <w:r>
        <w:rPr>
          <w:rStyle w:val="FootnoteReference"/>
        </w:rPr>
        <w:footnoteRef/>
      </w:r>
      <w:r>
        <w:t xml:space="preserve"> </w:t>
      </w:r>
      <w:r w:rsidRPr="00315521">
        <w:rPr>
          <w:i/>
        </w:rPr>
        <w:t>Id.</w:t>
      </w:r>
      <w:r>
        <w:rPr>
          <w:i/>
        </w:rPr>
        <w:t xml:space="preserve"> </w:t>
      </w:r>
      <w:r w:rsidRPr="00365BEF">
        <w:t>(“Although perhaps not so readily quantifiable as other pricing elements of the proposed ESP, the reduced time and expense related to the streamlined process used to implement the DIR through an ESP amounts to a cost advantage for all participants in that process compared to what would be necessary in an MRO environment.”).</w:t>
      </w:r>
    </w:p>
  </w:footnote>
  <w:footnote w:id="124">
    <w:p w:rsidR="001E489E" w:rsidRDefault="001E489E" w:rsidP="00EF0B82">
      <w:pPr>
        <w:pStyle w:val="FootnoteText"/>
        <w:spacing w:after="120"/>
        <w:ind w:firstLine="0"/>
      </w:pPr>
      <w:r>
        <w:rPr>
          <w:rStyle w:val="FootnoteReference"/>
        </w:rPr>
        <w:footnoteRef/>
      </w:r>
      <w:r>
        <w:t xml:space="preserve"> </w:t>
      </w:r>
      <w:r w:rsidRPr="00EF0B82">
        <w:t>AEP-Ohio Ex. 7 at 5.</w:t>
      </w:r>
    </w:p>
  </w:footnote>
  <w:footnote w:id="125">
    <w:p w:rsidR="001E489E" w:rsidRDefault="001E489E" w:rsidP="00EF0B82">
      <w:pPr>
        <w:pStyle w:val="FootnoteText"/>
        <w:spacing w:after="120"/>
        <w:ind w:firstLine="0"/>
      </w:pPr>
      <w:r>
        <w:rPr>
          <w:rStyle w:val="FootnoteReference"/>
        </w:rPr>
        <w:footnoteRef/>
      </w:r>
      <w:r>
        <w:t xml:space="preserve"> </w:t>
      </w:r>
      <w:r w:rsidRPr="00DD1355">
        <w:t>Tr. Vol. III at 930.</w:t>
      </w:r>
    </w:p>
  </w:footnote>
  <w:footnote w:id="126">
    <w:p w:rsidR="001E489E" w:rsidRDefault="001E489E" w:rsidP="00F22095">
      <w:pPr>
        <w:pStyle w:val="FootnoteText"/>
        <w:spacing w:after="120"/>
        <w:ind w:firstLine="0"/>
      </w:pPr>
      <w:r>
        <w:rPr>
          <w:rStyle w:val="FootnoteReference"/>
        </w:rPr>
        <w:footnoteRef/>
      </w:r>
      <w:r>
        <w:t xml:space="preserve"> OEG Ex. 3 at 14-15.</w:t>
      </w:r>
    </w:p>
  </w:footnote>
  <w:footnote w:id="127">
    <w:p w:rsidR="001E489E" w:rsidRDefault="001E489E" w:rsidP="00F22095">
      <w:pPr>
        <w:pStyle w:val="FootnoteText"/>
        <w:spacing w:after="120"/>
        <w:ind w:firstLine="0"/>
      </w:pPr>
      <w:r>
        <w:rPr>
          <w:rStyle w:val="FootnoteReference"/>
        </w:rPr>
        <w:footnoteRef/>
      </w:r>
      <w:r>
        <w:t xml:space="preserve"> IEU-Ohio Ex. 1B at Ex. KMM-5.</w:t>
      </w:r>
    </w:p>
  </w:footnote>
  <w:footnote w:id="128">
    <w:p w:rsidR="001E489E" w:rsidRDefault="001E489E" w:rsidP="00F22095">
      <w:pPr>
        <w:pStyle w:val="FootnoteText"/>
        <w:spacing w:after="120"/>
        <w:ind w:firstLine="0"/>
      </w:pPr>
      <w:r>
        <w:rPr>
          <w:rStyle w:val="FootnoteReference"/>
        </w:rPr>
        <w:footnoteRef/>
      </w:r>
      <w:r>
        <w:t xml:space="preserve"> </w:t>
      </w:r>
      <w:r w:rsidRPr="00F53983">
        <w:t>IEU-Ohio Ex. 1B</w:t>
      </w:r>
      <w:r>
        <w:t xml:space="preserve"> at 23.</w:t>
      </w:r>
    </w:p>
  </w:footnote>
  <w:footnote w:id="129">
    <w:p w:rsidR="001E489E" w:rsidRDefault="001E489E" w:rsidP="00C461BB">
      <w:pPr>
        <w:pStyle w:val="FootnoteText"/>
        <w:spacing w:after="120"/>
        <w:ind w:firstLine="0"/>
      </w:pPr>
      <w:r>
        <w:rPr>
          <w:rStyle w:val="FootnoteReference"/>
        </w:rPr>
        <w:footnoteRef/>
      </w:r>
      <w:r>
        <w:t xml:space="preserve"> </w:t>
      </w:r>
      <w:r w:rsidRPr="00F53983">
        <w:rPr>
          <w:i/>
        </w:rPr>
        <w:t>Id</w:t>
      </w:r>
      <w:r>
        <w:t xml:space="preserve">. at 21; OCC Ex. 15 at 26. </w:t>
      </w:r>
    </w:p>
  </w:footnote>
  <w:footnote w:id="130">
    <w:p w:rsidR="001E489E" w:rsidRDefault="001E489E" w:rsidP="00C461BB">
      <w:pPr>
        <w:pStyle w:val="FootnoteText"/>
        <w:spacing w:after="120"/>
        <w:ind w:firstLine="0"/>
      </w:pPr>
      <w:r>
        <w:rPr>
          <w:rStyle w:val="FootnoteReference"/>
        </w:rPr>
        <w:footnoteRef/>
      </w:r>
      <w:r>
        <w:t xml:space="preserve"> IEU-Ohio Initial Brief at 54-56.</w:t>
      </w:r>
    </w:p>
  </w:footnote>
  <w:footnote w:id="131">
    <w:p w:rsidR="001E489E" w:rsidRDefault="001E489E" w:rsidP="00134333">
      <w:pPr>
        <w:pStyle w:val="FootnoteText"/>
        <w:spacing w:after="120"/>
        <w:ind w:firstLine="0"/>
      </w:pPr>
      <w:r>
        <w:rPr>
          <w:rStyle w:val="FootnoteReference"/>
        </w:rPr>
        <w:footnoteRef/>
      </w:r>
      <w:r>
        <w:t xml:space="preserve"> AEP-Ohio Initial Brief at 142-43.</w:t>
      </w:r>
    </w:p>
  </w:footnote>
  <w:footnote w:id="132">
    <w:p w:rsidR="001E489E" w:rsidRDefault="001E489E" w:rsidP="00805B33">
      <w:pPr>
        <w:pStyle w:val="FootnoteText"/>
        <w:spacing w:after="120"/>
        <w:ind w:firstLine="0"/>
      </w:pPr>
      <w:r>
        <w:rPr>
          <w:rStyle w:val="FootnoteReference"/>
        </w:rPr>
        <w:footnoteRef/>
      </w:r>
      <w:r>
        <w:t xml:space="preserve"> R.C. 4928.143(C)(1).</w:t>
      </w:r>
    </w:p>
  </w:footnote>
  <w:footnote w:id="133">
    <w:p w:rsidR="001E489E" w:rsidRDefault="001E489E" w:rsidP="00134333">
      <w:pPr>
        <w:pStyle w:val="FootnoteText"/>
        <w:spacing w:after="120"/>
        <w:ind w:firstLine="0"/>
      </w:pPr>
      <w:r>
        <w:rPr>
          <w:rStyle w:val="FootnoteReference"/>
        </w:rPr>
        <w:footnoteRef/>
      </w:r>
      <w:r>
        <w:t xml:space="preserve"> </w:t>
      </w:r>
      <w:r w:rsidRPr="008F3DEB">
        <w:rPr>
          <w:i/>
          <w:iCs/>
        </w:rPr>
        <w:t>Consumers' Counsel v. Pub. Util. Comm’n of Ohio</w:t>
      </w:r>
      <w:r w:rsidRPr="008F3DEB">
        <w:t>, 61 Ohio St.3d 396, 406 (1991) (</w:t>
      </w:r>
      <w:r w:rsidRPr="008F3DEB">
        <w:rPr>
          <w:i/>
          <w:iCs/>
        </w:rPr>
        <w:t>quoting Columbus v. Pub. Util. Comm’n of Ohio</w:t>
      </w:r>
      <w:r w:rsidRPr="008F3DEB">
        <w:t>, 58 Ohio St.2d 103, 104 (1979) (Brown, J., dissenting)).</w:t>
      </w:r>
    </w:p>
  </w:footnote>
  <w:footnote w:id="134">
    <w:p w:rsidR="001E489E" w:rsidRDefault="001E489E" w:rsidP="003918E1">
      <w:pPr>
        <w:pStyle w:val="FootnoteText"/>
        <w:spacing w:after="120"/>
        <w:ind w:firstLine="0"/>
      </w:pPr>
      <w:r>
        <w:rPr>
          <w:rStyle w:val="FootnoteReference"/>
        </w:rPr>
        <w:footnoteRef/>
      </w:r>
      <w:r>
        <w:t xml:space="preserve"> The ESP must be more favorable in the aggregate than an MRO.  R.C. 4928.143(C)(1).</w:t>
      </w:r>
    </w:p>
  </w:footnote>
  <w:footnote w:id="135">
    <w:p w:rsidR="001E489E" w:rsidRDefault="001E489E" w:rsidP="003918E1">
      <w:pPr>
        <w:pStyle w:val="FootnoteText"/>
        <w:spacing w:after="120"/>
        <w:ind w:firstLine="0"/>
      </w:pPr>
      <w:r>
        <w:rPr>
          <w:rStyle w:val="FootnoteReference"/>
        </w:rPr>
        <w:footnoteRef/>
      </w:r>
      <w:r>
        <w:t xml:space="preserve"> The MRO price is established through a competitive auction process.  R.C. 4928.142.</w:t>
      </w:r>
    </w:p>
  </w:footnote>
  <w:footnote w:id="136">
    <w:p w:rsidR="001E489E" w:rsidRDefault="001E489E" w:rsidP="009A2D22">
      <w:pPr>
        <w:pStyle w:val="FootnoteText"/>
        <w:spacing w:after="120"/>
        <w:ind w:firstLine="0"/>
      </w:pPr>
      <w:r>
        <w:rPr>
          <w:rStyle w:val="FootnoteReference"/>
        </w:rPr>
        <w:footnoteRef/>
      </w:r>
      <w:r>
        <w:t xml:space="preserve"> IEU-Ohio Initial Brief at 59.  </w:t>
      </w:r>
      <w:r w:rsidRPr="0083043A">
        <w:rPr>
          <w:i/>
        </w:rPr>
        <w:t>See</w:t>
      </w:r>
      <w:r>
        <w:t xml:space="preserve"> </w:t>
      </w:r>
      <w:r w:rsidRPr="0083043A">
        <w:rPr>
          <w:i/>
        </w:rPr>
        <w:t>In the Matter of the Application of Columbus Southern Power Company and Ohio Power Company for Authority to Establish a Standard Service Offer Pursuant to Section 4928.143, Revised Code, in the Form of an Electric Security Plan</w:t>
      </w:r>
      <w:r w:rsidRPr="0083043A">
        <w:t xml:space="preserve">, Case Nos. 11-346-EL-SSO, </w:t>
      </w:r>
      <w:r w:rsidRPr="0083043A">
        <w:rPr>
          <w:i/>
        </w:rPr>
        <w:t>et al</w:t>
      </w:r>
      <w:r w:rsidRPr="0083043A">
        <w:t xml:space="preserve">., Opinion and Order at </w:t>
      </w:r>
      <w:r>
        <w:t>76</w:t>
      </w:r>
      <w:r w:rsidRPr="0083043A">
        <w:t xml:space="preserve"> (Aug. 8, 2012) (“ESP II”).</w:t>
      </w:r>
    </w:p>
  </w:footnote>
  <w:footnote w:id="137">
    <w:p w:rsidR="001E489E" w:rsidRDefault="001E489E" w:rsidP="00134333">
      <w:pPr>
        <w:pStyle w:val="FootnoteText"/>
        <w:spacing w:after="120"/>
        <w:ind w:firstLine="0"/>
      </w:pPr>
      <w:r w:rsidRPr="004F1376">
        <w:rPr>
          <w:rStyle w:val="FootnoteReference"/>
        </w:rPr>
        <w:footnoteRef/>
      </w:r>
      <w:r w:rsidRPr="0065358A">
        <w:rPr>
          <w:i/>
        </w:rPr>
        <w:t xml:space="preserve"> </w:t>
      </w:r>
      <w:r>
        <w:t>AEP-Ohio Ex. 7 at 5; AEP-Ohio Initial Brief at 146.</w:t>
      </w:r>
    </w:p>
  </w:footnote>
  <w:footnote w:id="138">
    <w:p w:rsidR="001E489E" w:rsidRDefault="001E489E" w:rsidP="00134333">
      <w:pPr>
        <w:pStyle w:val="FootnoteText"/>
        <w:spacing w:after="120"/>
        <w:ind w:firstLine="0"/>
      </w:pPr>
      <w:r>
        <w:rPr>
          <w:rStyle w:val="FootnoteReference"/>
        </w:rPr>
        <w:footnoteRef/>
      </w:r>
      <w:r>
        <w:t xml:space="preserve"> </w:t>
      </w:r>
      <w:r w:rsidRPr="00093DA5">
        <w:rPr>
          <w:i/>
        </w:rPr>
        <w:t>FirstEnergy ESP III</w:t>
      </w:r>
      <w:r w:rsidRPr="00093DA5">
        <w:t>, Opinion and Order at 55 (July 18, 2012).</w:t>
      </w:r>
    </w:p>
  </w:footnote>
  <w:footnote w:id="139">
    <w:p w:rsidR="001E489E" w:rsidRDefault="001E489E" w:rsidP="00134333">
      <w:pPr>
        <w:pStyle w:val="FootnoteText"/>
        <w:spacing w:after="120"/>
        <w:ind w:firstLine="0"/>
      </w:pPr>
      <w:r>
        <w:rPr>
          <w:rStyle w:val="FootnoteReference"/>
        </w:rPr>
        <w:footnoteRef/>
      </w:r>
      <w:r>
        <w:t xml:space="preserve"> Constellation New Energy Initial Brief at 10-13.</w:t>
      </w:r>
    </w:p>
  </w:footnote>
  <w:footnote w:id="140">
    <w:p w:rsidR="001E489E" w:rsidRDefault="001E489E" w:rsidP="00134333">
      <w:pPr>
        <w:pStyle w:val="FootnoteText"/>
        <w:spacing w:after="120"/>
        <w:ind w:firstLine="0"/>
      </w:pPr>
      <w:r>
        <w:rPr>
          <w:rStyle w:val="FootnoteReference"/>
        </w:rPr>
        <w:footnoteRef/>
      </w:r>
      <w:r>
        <w:t xml:space="preserve"> See discussion above.</w:t>
      </w:r>
    </w:p>
  </w:footnote>
  <w:footnote w:id="141">
    <w:p w:rsidR="001E489E" w:rsidRDefault="001E489E" w:rsidP="00134333">
      <w:pPr>
        <w:pStyle w:val="FootnoteText"/>
        <w:spacing w:after="120"/>
        <w:ind w:firstLine="0"/>
      </w:pPr>
      <w:r>
        <w:rPr>
          <w:rStyle w:val="FootnoteReference"/>
        </w:rPr>
        <w:footnoteRef/>
      </w:r>
      <w:r>
        <w:t xml:space="preserve"> IEU-Ohio Initial Brief at 7-24; Constellation New Energy Initial Brief at 2-19; Staff Initial Brief at 2-24; OCC Initial Brief at 54-77.</w:t>
      </w:r>
    </w:p>
  </w:footnote>
  <w:footnote w:id="142">
    <w:p w:rsidR="001E489E" w:rsidRDefault="001E489E" w:rsidP="00134333">
      <w:pPr>
        <w:pStyle w:val="FootnoteText"/>
        <w:spacing w:after="120"/>
        <w:ind w:firstLine="0"/>
      </w:pPr>
      <w:r>
        <w:rPr>
          <w:rStyle w:val="FootnoteReference"/>
        </w:rPr>
        <w:footnoteRef/>
      </w:r>
      <w:r>
        <w:t xml:space="preserve"> AEP-Ohio Ex. 2 at 7-8.</w:t>
      </w:r>
    </w:p>
  </w:footnote>
  <w:footnote w:id="143">
    <w:p w:rsidR="001E489E" w:rsidRDefault="001E489E" w:rsidP="00134333">
      <w:pPr>
        <w:pStyle w:val="FootnoteText"/>
        <w:spacing w:after="120"/>
        <w:ind w:firstLine="0"/>
      </w:pPr>
      <w:r>
        <w:rPr>
          <w:rStyle w:val="FootnoteReference"/>
        </w:rPr>
        <w:footnoteRef/>
      </w:r>
      <w:r>
        <w:t xml:space="preserve"> Tr. Vol. III at 872.</w:t>
      </w:r>
    </w:p>
  </w:footnote>
  <w:footnote w:id="144">
    <w:p w:rsidR="001E489E" w:rsidRDefault="001E489E" w:rsidP="00134333">
      <w:pPr>
        <w:pStyle w:val="FootnoteText"/>
        <w:spacing w:after="120"/>
        <w:ind w:firstLine="0"/>
      </w:pPr>
      <w:r>
        <w:rPr>
          <w:rStyle w:val="FootnoteReference"/>
        </w:rPr>
        <w:footnoteRef/>
      </w:r>
      <w:r>
        <w:t xml:space="preserve"> Tr. V</w:t>
      </w:r>
      <w:r w:rsidRPr="00E52F2D">
        <w:t>ol. III</w:t>
      </w:r>
      <w:r>
        <w:t xml:space="preserve"> at 873.  </w:t>
      </w:r>
      <w:r w:rsidRPr="003918E1">
        <w:t xml:space="preserve">Further, the CRES provider’s decision involves many more factors than the existence of a POR program, many of which are more important. </w:t>
      </w:r>
      <w:r>
        <w:t xml:space="preserve"> </w:t>
      </w:r>
      <w:r w:rsidRPr="00411730">
        <w:t>Tr. Vol. XI at 2659-64.</w:t>
      </w:r>
    </w:p>
  </w:footnote>
  <w:footnote w:id="145">
    <w:p w:rsidR="001E489E" w:rsidRDefault="001E489E" w:rsidP="00134333">
      <w:pPr>
        <w:pStyle w:val="FootnoteText"/>
        <w:spacing w:after="120"/>
        <w:ind w:firstLine="0"/>
      </w:pPr>
      <w:r>
        <w:rPr>
          <w:rStyle w:val="FootnoteReference"/>
        </w:rPr>
        <w:footnoteRef/>
      </w:r>
      <w:r>
        <w:t xml:space="preserve"> AEP-Ohio Ex. 33 at Ex. WAA-R3.</w:t>
      </w:r>
    </w:p>
  </w:footnote>
  <w:footnote w:id="146">
    <w:p w:rsidR="001E489E" w:rsidRDefault="001E489E" w:rsidP="00DA1464">
      <w:pPr>
        <w:pStyle w:val="FootnoteText"/>
        <w:spacing w:after="120"/>
        <w:ind w:firstLine="0"/>
      </w:pPr>
      <w:r>
        <w:rPr>
          <w:rStyle w:val="FootnoteReference"/>
        </w:rPr>
        <w:footnoteRef/>
      </w:r>
      <w:r>
        <w:t xml:space="preserve"> OCC Initial Brief at 90.</w:t>
      </w:r>
    </w:p>
  </w:footnote>
  <w:footnote w:id="147">
    <w:p w:rsidR="001E489E" w:rsidRDefault="001E489E" w:rsidP="00134333">
      <w:pPr>
        <w:pStyle w:val="FootnoteText"/>
        <w:spacing w:after="120"/>
        <w:ind w:firstLine="0"/>
      </w:pPr>
      <w:r>
        <w:rPr>
          <w:rStyle w:val="FootnoteReference"/>
        </w:rPr>
        <w:footnoteRef/>
      </w:r>
      <w:r>
        <w:t xml:space="preserve"> IEU-Ohio Ex. 2 at 9.</w:t>
      </w:r>
    </w:p>
  </w:footnote>
  <w:footnote w:id="148">
    <w:p w:rsidR="001E489E" w:rsidRDefault="001E489E" w:rsidP="00B21328">
      <w:pPr>
        <w:pStyle w:val="FootnoteText"/>
        <w:spacing w:after="120"/>
        <w:ind w:firstLine="0"/>
      </w:pPr>
      <w:r>
        <w:rPr>
          <w:rStyle w:val="FootnoteReference"/>
        </w:rPr>
        <w:footnoteRef/>
      </w:r>
      <w:r>
        <w:t xml:space="preserve"> </w:t>
      </w:r>
      <w:r w:rsidRPr="00B21328">
        <w:t>FES Initial Brief at 2-3.</w:t>
      </w:r>
    </w:p>
  </w:footnote>
  <w:footnote w:id="149">
    <w:p w:rsidR="001E489E" w:rsidRDefault="001E489E" w:rsidP="00134333">
      <w:pPr>
        <w:pStyle w:val="FootnoteText"/>
        <w:spacing w:after="120"/>
        <w:ind w:firstLine="0"/>
      </w:pPr>
      <w:r>
        <w:rPr>
          <w:rStyle w:val="FootnoteReference"/>
        </w:rPr>
        <w:footnoteRef/>
      </w:r>
      <w:r>
        <w:t xml:space="preserve"> IEU-Ohio Ex. 2 at 13.</w:t>
      </w:r>
    </w:p>
  </w:footnote>
  <w:footnote w:id="150">
    <w:p w:rsidR="001E489E" w:rsidRDefault="001E489E" w:rsidP="00134333">
      <w:pPr>
        <w:pStyle w:val="FootnoteText"/>
        <w:spacing w:after="120"/>
        <w:ind w:firstLine="0"/>
      </w:pPr>
      <w:r>
        <w:rPr>
          <w:rStyle w:val="FootnoteReference"/>
        </w:rPr>
        <w:footnoteRef/>
      </w:r>
      <w:r>
        <w:t xml:space="preserve"> </w:t>
      </w:r>
      <w:r w:rsidRPr="008C41D7">
        <w:t>AEP</w:t>
      </w:r>
      <w:r>
        <w:t>-</w:t>
      </w:r>
      <w:r w:rsidRPr="008C41D7">
        <w:t>Ohio Initial Brief at 139</w:t>
      </w:r>
      <w:r>
        <w:t xml:space="preserve"> (emphasis added).</w:t>
      </w:r>
    </w:p>
  </w:footnote>
  <w:footnote w:id="151">
    <w:p w:rsidR="001E489E" w:rsidRDefault="001E489E" w:rsidP="00134333">
      <w:pPr>
        <w:pStyle w:val="FootnoteText"/>
        <w:spacing w:after="120"/>
        <w:ind w:firstLine="0"/>
      </w:pPr>
      <w:r>
        <w:rPr>
          <w:rStyle w:val="FootnoteReference"/>
        </w:rPr>
        <w:footnoteRef/>
      </w:r>
      <w:r>
        <w:t xml:space="preserve"> </w:t>
      </w:r>
      <w:r w:rsidRPr="008C41D7">
        <w:t>Staff Ex. 15 at 5</w:t>
      </w:r>
      <w:r w:rsidR="00CB70B4">
        <w:t xml:space="preserve">; Staff Brief </w:t>
      </w:r>
      <w:r w:rsidR="00CB70B4" w:rsidRPr="00CB70B4">
        <w:rPr>
          <w:i/>
        </w:rPr>
        <w:t>passim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rsidP="003E61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Pr="00DA1A3D" w:rsidRDefault="001E489E" w:rsidP="003E61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rsidP="003E61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rsidP="003E61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9E" w:rsidRDefault="001E4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71568"/>
    <w:multiLevelType w:val="multilevel"/>
    <w:tmpl w:val="A508D10C"/>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dgnword-docGUID" w:val="{C2607A3E-15D2-423C-834E-66B513C9125E}"/>
    <w:docVar w:name="dgnword-eventsink" w:val="105481648"/>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092CF6"/>
    <w:rsid w:val="00000FFB"/>
    <w:rsid w:val="00010AA3"/>
    <w:rsid w:val="00034971"/>
    <w:rsid w:val="00043A47"/>
    <w:rsid w:val="000608A2"/>
    <w:rsid w:val="00062E52"/>
    <w:rsid w:val="00092CF6"/>
    <w:rsid w:val="000A075A"/>
    <w:rsid w:val="000A6080"/>
    <w:rsid w:val="000B2D39"/>
    <w:rsid w:val="000B5FB2"/>
    <w:rsid w:val="000E26A1"/>
    <w:rsid w:val="000E6F46"/>
    <w:rsid w:val="000F1B57"/>
    <w:rsid w:val="00110177"/>
    <w:rsid w:val="00114153"/>
    <w:rsid w:val="00126209"/>
    <w:rsid w:val="00134333"/>
    <w:rsid w:val="00134487"/>
    <w:rsid w:val="001349DA"/>
    <w:rsid w:val="00147C31"/>
    <w:rsid w:val="00157411"/>
    <w:rsid w:val="00171413"/>
    <w:rsid w:val="00175950"/>
    <w:rsid w:val="00196B43"/>
    <w:rsid w:val="001A1138"/>
    <w:rsid w:val="001A5829"/>
    <w:rsid w:val="001B7A67"/>
    <w:rsid w:val="001C74B3"/>
    <w:rsid w:val="001E489E"/>
    <w:rsid w:val="001E7099"/>
    <w:rsid w:val="001F1533"/>
    <w:rsid w:val="001F4967"/>
    <w:rsid w:val="0020774A"/>
    <w:rsid w:val="00216994"/>
    <w:rsid w:val="0025136E"/>
    <w:rsid w:val="002963E1"/>
    <w:rsid w:val="002C661C"/>
    <w:rsid w:val="002D221C"/>
    <w:rsid w:val="002E11F9"/>
    <w:rsid w:val="002F0ABB"/>
    <w:rsid w:val="002F0DC9"/>
    <w:rsid w:val="002F4785"/>
    <w:rsid w:val="002F7FE6"/>
    <w:rsid w:val="0030238E"/>
    <w:rsid w:val="003039C5"/>
    <w:rsid w:val="00315521"/>
    <w:rsid w:val="003642F8"/>
    <w:rsid w:val="00365BEF"/>
    <w:rsid w:val="003676D4"/>
    <w:rsid w:val="003918E1"/>
    <w:rsid w:val="003E4F1F"/>
    <w:rsid w:val="003E617E"/>
    <w:rsid w:val="003F6B7A"/>
    <w:rsid w:val="003F7617"/>
    <w:rsid w:val="00407615"/>
    <w:rsid w:val="004168C2"/>
    <w:rsid w:val="00424E0A"/>
    <w:rsid w:val="00437CFB"/>
    <w:rsid w:val="00444614"/>
    <w:rsid w:val="004536A8"/>
    <w:rsid w:val="00490A46"/>
    <w:rsid w:val="00492179"/>
    <w:rsid w:val="00494A03"/>
    <w:rsid w:val="004A3299"/>
    <w:rsid w:val="004A3C7D"/>
    <w:rsid w:val="004B20D5"/>
    <w:rsid w:val="004E3C17"/>
    <w:rsid w:val="004F67D6"/>
    <w:rsid w:val="00511CD1"/>
    <w:rsid w:val="00512637"/>
    <w:rsid w:val="00526AD7"/>
    <w:rsid w:val="00533A89"/>
    <w:rsid w:val="005355BC"/>
    <w:rsid w:val="0055290B"/>
    <w:rsid w:val="00555236"/>
    <w:rsid w:val="0056291E"/>
    <w:rsid w:val="00562EA3"/>
    <w:rsid w:val="00565D7E"/>
    <w:rsid w:val="0057008F"/>
    <w:rsid w:val="005735ED"/>
    <w:rsid w:val="00593AE1"/>
    <w:rsid w:val="0061638F"/>
    <w:rsid w:val="0063002B"/>
    <w:rsid w:val="00687C0F"/>
    <w:rsid w:val="006974B1"/>
    <w:rsid w:val="006A0B6B"/>
    <w:rsid w:val="006A2B87"/>
    <w:rsid w:val="006A7166"/>
    <w:rsid w:val="006C56C3"/>
    <w:rsid w:val="006D3F0B"/>
    <w:rsid w:val="006D427C"/>
    <w:rsid w:val="006D59F5"/>
    <w:rsid w:val="006D78F1"/>
    <w:rsid w:val="006F4873"/>
    <w:rsid w:val="007051D7"/>
    <w:rsid w:val="007060A5"/>
    <w:rsid w:val="007106E1"/>
    <w:rsid w:val="007145DF"/>
    <w:rsid w:val="00722E43"/>
    <w:rsid w:val="007549FA"/>
    <w:rsid w:val="00770787"/>
    <w:rsid w:val="0079159A"/>
    <w:rsid w:val="007A332D"/>
    <w:rsid w:val="007C2FF7"/>
    <w:rsid w:val="007C6E54"/>
    <w:rsid w:val="00805B33"/>
    <w:rsid w:val="0083043A"/>
    <w:rsid w:val="00832606"/>
    <w:rsid w:val="008538DA"/>
    <w:rsid w:val="00895514"/>
    <w:rsid w:val="008B2D73"/>
    <w:rsid w:val="008C3231"/>
    <w:rsid w:val="008C426A"/>
    <w:rsid w:val="008D0B3B"/>
    <w:rsid w:val="008D451F"/>
    <w:rsid w:val="008E2975"/>
    <w:rsid w:val="008E3BF4"/>
    <w:rsid w:val="00904705"/>
    <w:rsid w:val="009153FC"/>
    <w:rsid w:val="00931CEB"/>
    <w:rsid w:val="009645CB"/>
    <w:rsid w:val="00985FC3"/>
    <w:rsid w:val="009932B9"/>
    <w:rsid w:val="009A2D22"/>
    <w:rsid w:val="009A7AE0"/>
    <w:rsid w:val="009A7EB1"/>
    <w:rsid w:val="009C3697"/>
    <w:rsid w:val="009F4122"/>
    <w:rsid w:val="009F5B60"/>
    <w:rsid w:val="00A026DB"/>
    <w:rsid w:val="00A067D2"/>
    <w:rsid w:val="00A40342"/>
    <w:rsid w:val="00A63A43"/>
    <w:rsid w:val="00AB6031"/>
    <w:rsid w:val="00AC6595"/>
    <w:rsid w:val="00AE3AEC"/>
    <w:rsid w:val="00AE79C1"/>
    <w:rsid w:val="00B13E9E"/>
    <w:rsid w:val="00B21328"/>
    <w:rsid w:val="00B2197A"/>
    <w:rsid w:val="00B35B16"/>
    <w:rsid w:val="00B42425"/>
    <w:rsid w:val="00B65874"/>
    <w:rsid w:val="00B67BBC"/>
    <w:rsid w:val="00BA317E"/>
    <w:rsid w:val="00BC155B"/>
    <w:rsid w:val="00BC6373"/>
    <w:rsid w:val="00BE24A3"/>
    <w:rsid w:val="00BE46AE"/>
    <w:rsid w:val="00C0405A"/>
    <w:rsid w:val="00C073C8"/>
    <w:rsid w:val="00C20A43"/>
    <w:rsid w:val="00C22EA3"/>
    <w:rsid w:val="00C245A3"/>
    <w:rsid w:val="00C4186E"/>
    <w:rsid w:val="00C453ED"/>
    <w:rsid w:val="00C461BB"/>
    <w:rsid w:val="00C56F1D"/>
    <w:rsid w:val="00C6207B"/>
    <w:rsid w:val="00C6720F"/>
    <w:rsid w:val="00C72796"/>
    <w:rsid w:val="00C74529"/>
    <w:rsid w:val="00C80CA8"/>
    <w:rsid w:val="00C86C33"/>
    <w:rsid w:val="00C97B84"/>
    <w:rsid w:val="00CA0B2E"/>
    <w:rsid w:val="00CB70B4"/>
    <w:rsid w:val="00CD7E67"/>
    <w:rsid w:val="00D05177"/>
    <w:rsid w:val="00D122C9"/>
    <w:rsid w:val="00D30D29"/>
    <w:rsid w:val="00D51289"/>
    <w:rsid w:val="00DA1464"/>
    <w:rsid w:val="00DA63CC"/>
    <w:rsid w:val="00DB5350"/>
    <w:rsid w:val="00DE68A1"/>
    <w:rsid w:val="00DE730D"/>
    <w:rsid w:val="00E00016"/>
    <w:rsid w:val="00E027F0"/>
    <w:rsid w:val="00E0777D"/>
    <w:rsid w:val="00E12157"/>
    <w:rsid w:val="00E259C1"/>
    <w:rsid w:val="00E27DEE"/>
    <w:rsid w:val="00E37603"/>
    <w:rsid w:val="00E7092B"/>
    <w:rsid w:val="00E77B7F"/>
    <w:rsid w:val="00E912D2"/>
    <w:rsid w:val="00E924DA"/>
    <w:rsid w:val="00EA13BE"/>
    <w:rsid w:val="00EC271C"/>
    <w:rsid w:val="00EE6613"/>
    <w:rsid w:val="00EF0B82"/>
    <w:rsid w:val="00F05566"/>
    <w:rsid w:val="00F22095"/>
    <w:rsid w:val="00F23C81"/>
    <w:rsid w:val="00F53983"/>
    <w:rsid w:val="00F60FA6"/>
    <w:rsid w:val="00F616F3"/>
    <w:rsid w:val="00FB16D2"/>
    <w:rsid w:val="00FB59E8"/>
    <w:rsid w:val="00FF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17E"/>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E617E"/>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3E617E"/>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3E617E"/>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E617E"/>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3E617E"/>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3E617E"/>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3E617E"/>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3E617E"/>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92CF6"/>
    <w:pPr>
      <w:spacing w:after="0" w:line="240" w:lineRule="auto"/>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92CF6"/>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092CF6"/>
    <w:rPr>
      <w:vertAlign w:val="superscript"/>
    </w:rPr>
  </w:style>
  <w:style w:type="character" w:styleId="CommentReference">
    <w:name w:val="annotation reference"/>
    <w:basedOn w:val="DefaultParagraphFont"/>
    <w:uiPriority w:val="99"/>
    <w:semiHidden/>
    <w:unhideWhenUsed/>
    <w:rsid w:val="00092CF6"/>
    <w:rPr>
      <w:sz w:val="16"/>
      <w:szCs w:val="16"/>
    </w:rPr>
  </w:style>
  <w:style w:type="paragraph" w:styleId="CommentText">
    <w:name w:val="annotation text"/>
    <w:basedOn w:val="Normal"/>
    <w:link w:val="CommentTextChar"/>
    <w:uiPriority w:val="99"/>
    <w:semiHidden/>
    <w:unhideWhenUsed/>
    <w:rsid w:val="00092CF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92CF6"/>
    <w:rPr>
      <w:rFonts w:eastAsia="Times New Roman" w:cs="Times New Roman"/>
      <w:sz w:val="20"/>
      <w:szCs w:val="20"/>
    </w:rPr>
  </w:style>
  <w:style w:type="paragraph" w:styleId="BalloonText">
    <w:name w:val="Balloon Text"/>
    <w:basedOn w:val="Normal"/>
    <w:link w:val="BalloonTextChar"/>
    <w:uiPriority w:val="99"/>
    <w:semiHidden/>
    <w:unhideWhenUsed/>
    <w:rsid w:val="0009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F6"/>
    <w:rPr>
      <w:rFonts w:ascii="Tahoma" w:hAnsi="Tahoma" w:cs="Tahoma"/>
      <w:sz w:val="16"/>
      <w:szCs w:val="16"/>
    </w:rPr>
  </w:style>
  <w:style w:type="paragraph" w:styleId="Header">
    <w:name w:val="header"/>
    <w:basedOn w:val="Normal"/>
    <w:link w:val="HeaderChar"/>
    <w:uiPriority w:val="99"/>
    <w:unhideWhenUsed/>
    <w:rsid w:val="0009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F6"/>
  </w:style>
  <w:style w:type="paragraph" w:styleId="Footer">
    <w:name w:val="footer"/>
    <w:basedOn w:val="Normal"/>
    <w:link w:val="FooterChar"/>
    <w:uiPriority w:val="99"/>
    <w:unhideWhenUsed/>
    <w:rsid w:val="0009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F6"/>
  </w:style>
  <w:style w:type="character" w:customStyle="1" w:styleId="Heading1Char">
    <w:name w:val="Heading 1 Char"/>
    <w:basedOn w:val="DefaultParagraphFont"/>
    <w:link w:val="Heading1"/>
    <w:uiPriority w:val="9"/>
    <w:rsid w:val="003E617E"/>
    <w:rPr>
      <w:rFonts w:eastAsiaTheme="majorEastAsia" w:cs="Arial"/>
      <w:b/>
      <w:bCs/>
      <w:caps/>
      <w:szCs w:val="28"/>
      <w:u w:val="single"/>
    </w:rPr>
  </w:style>
  <w:style w:type="character" w:customStyle="1" w:styleId="Heading2Char">
    <w:name w:val="Heading 2 Char"/>
    <w:basedOn w:val="DefaultParagraphFont"/>
    <w:link w:val="Heading2"/>
    <w:uiPriority w:val="9"/>
    <w:rsid w:val="003E617E"/>
    <w:rPr>
      <w:rFonts w:eastAsiaTheme="majorEastAsia" w:cs="Arial"/>
      <w:b/>
      <w:bCs/>
      <w:szCs w:val="26"/>
    </w:rPr>
  </w:style>
  <w:style w:type="character" w:customStyle="1" w:styleId="Heading3Char">
    <w:name w:val="Heading 3 Char"/>
    <w:basedOn w:val="DefaultParagraphFont"/>
    <w:link w:val="Heading3"/>
    <w:uiPriority w:val="9"/>
    <w:rsid w:val="003E617E"/>
    <w:rPr>
      <w:rFonts w:eastAsiaTheme="majorEastAsia" w:cs="Arial"/>
      <w:b/>
      <w:bCs/>
    </w:rPr>
  </w:style>
  <w:style w:type="character" w:customStyle="1" w:styleId="Heading4Char">
    <w:name w:val="Heading 4 Char"/>
    <w:basedOn w:val="DefaultParagraphFont"/>
    <w:link w:val="Heading4"/>
    <w:uiPriority w:val="9"/>
    <w:rsid w:val="003E617E"/>
    <w:rPr>
      <w:rFonts w:eastAsiaTheme="majorEastAsia" w:cs="Arial"/>
      <w:b/>
      <w:bCs/>
      <w:i/>
      <w:iCs/>
    </w:rPr>
  </w:style>
  <w:style w:type="character" w:customStyle="1" w:styleId="Heading5Char">
    <w:name w:val="Heading 5 Char"/>
    <w:basedOn w:val="DefaultParagraphFont"/>
    <w:link w:val="Heading5"/>
    <w:uiPriority w:val="9"/>
    <w:semiHidden/>
    <w:rsid w:val="003E617E"/>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E617E"/>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E617E"/>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E617E"/>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E617E"/>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3E617E"/>
  </w:style>
  <w:style w:type="character" w:customStyle="1" w:styleId="BodyTextChar">
    <w:name w:val="Body Text Char"/>
    <w:basedOn w:val="DefaultParagraphFont"/>
    <w:link w:val="BodyText"/>
    <w:uiPriority w:val="99"/>
    <w:semiHidden/>
    <w:rsid w:val="003E617E"/>
  </w:style>
  <w:style w:type="paragraph" w:styleId="CommentSubject">
    <w:name w:val="annotation subject"/>
    <w:basedOn w:val="CommentText"/>
    <w:next w:val="CommentText"/>
    <w:link w:val="CommentSubjectChar"/>
    <w:uiPriority w:val="99"/>
    <w:semiHidden/>
    <w:unhideWhenUsed/>
    <w:rsid w:val="009C3697"/>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9C3697"/>
    <w:rPr>
      <w:rFonts w:eastAsia="Times New Roman" w:cs="Times New Roman"/>
      <w:b/>
      <w:bCs/>
      <w:sz w:val="20"/>
      <w:szCs w:val="20"/>
    </w:rPr>
  </w:style>
  <w:style w:type="character" w:styleId="Hyperlink">
    <w:name w:val="Hyperlink"/>
    <w:basedOn w:val="DefaultParagraphFont"/>
    <w:uiPriority w:val="99"/>
    <w:unhideWhenUsed/>
    <w:rsid w:val="0079159A"/>
    <w:rPr>
      <w:color w:val="0000FF" w:themeColor="hyperlink"/>
      <w:u w:val="single"/>
    </w:rPr>
  </w:style>
  <w:style w:type="paragraph" w:styleId="TOCHeading">
    <w:name w:val="TOC Heading"/>
    <w:basedOn w:val="Normal"/>
    <w:next w:val="TOC1"/>
    <w:uiPriority w:val="39"/>
    <w:unhideWhenUsed/>
    <w:qFormat/>
    <w:rsid w:val="000F1B57"/>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0F1B57"/>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0F1B57"/>
    <w:pPr>
      <w:tabs>
        <w:tab w:val="right" w:leader="dot" w:pos="9360"/>
      </w:tabs>
      <w:spacing w:after="100"/>
      <w:ind w:left="1440" w:right="720" w:hanging="720"/>
    </w:pPr>
  </w:style>
  <w:style w:type="paragraph" w:styleId="TOC3">
    <w:name w:val="toc 3"/>
    <w:basedOn w:val="Normal"/>
    <w:next w:val="Normal"/>
    <w:autoRedefine/>
    <w:uiPriority w:val="39"/>
    <w:unhideWhenUsed/>
    <w:rsid w:val="000F1B57"/>
    <w:pPr>
      <w:tabs>
        <w:tab w:val="left" w:pos="960"/>
        <w:tab w:val="right" w:leader="dot" w:pos="9360"/>
      </w:tabs>
      <w:spacing w:after="100"/>
      <w:ind w:left="2160" w:right="720" w:hanging="720"/>
    </w:pPr>
  </w:style>
  <w:style w:type="paragraph" w:styleId="TOC4">
    <w:name w:val="toc 4"/>
    <w:basedOn w:val="Normal"/>
    <w:next w:val="Normal"/>
    <w:autoRedefine/>
    <w:uiPriority w:val="39"/>
    <w:semiHidden/>
    <w:unhideWhenUsed/>
    <w:rsid w:val="000F1B57"/>
    <w:pPr>
      <w:spacing w:after="100"/>
      <w:ind w:left="720"/>
    </w:pPr>
  </w:style>
  <w:style w:type="paragraph" w:styleId="TOC5">
    <w:name w:val="toc 5"/>
    <w:basedOn w:val="Normal"/>
    <w:next w:val="Normal"/>
    <w:autoRedefine/>
    <w:uiPriority w:val="39"/>
    <w:semiHidden/>
    <w:unhideWhenUsed/>
    <w:rsid w:val="000F1B57"/>
    <w:pPr>
      <w:spacing w:after="100"/>
      <w:ind w:left="960"/>
    </w:pPr>
  </w:style>
  <w:style w:type="paragraph" w:styleId="TOC6">
    <w:name w:val="toc 6"/>
    <w:basedOn w:val="Normal"/>
    <w:next w:val="Normal"/>
    <w:autoRedefine/>
    <w:uiPriority w:val="39"/>
    <w:semiHidden/>
    <w:unhideWhenUsed/>
    <w:rsid w:val="000F1B57"/>
    <w:pPr>
      <w:spacing w:after="100"/>
      <w:ind w:left="1200"/>
    </w:pPr>
  </w:style>
  <w:style w:type="paragraph" w:styleId="TOC7">
    <w:name w:val="toc 7"/>
    <w:basedOn w:val="Normal"/>
    <w:next w:val="Normal"/>
    <w:autoRedefine/>
    <w:uiPriority w:val="39"/>
    <w:semiHidden/>
    <w:unhideWhenUsed/>
    <w:rsid w:val="000F1B57"/>
    <w:pPr>
      <w:spacing w:after="100"/>
      <w:ind w:left="1440"/>
    </w:pPr>
  </w:style>
  <w:style w:type="paragraph" w:styleId="TOC8">
    <w:name w:val="toc 8"/>
    <w:basedOn w:val="Normal"/>
    <w:next w:val="Normal"/>
    <w:autoRedefine/>
    <w:uiPriority w:val="39"/>
    <w:semiHidden/>
    <w:unhideWhenUsed/>
    <w:rsid w:val="000F1B57"/>
    <w:pPr>
      <w:spacing w:after="100"/>
      <w:ind w:left="1680"/>
    </w:pPr>
  </w:style>
  <w:style w:type="paragraph" w:styleId="TOC9">
    <w:name w:val="toc 9"/>
    <w:basedOn w:val="Normal"/>
    <w:next w:val="Normal"/>
    <w:autoRedefine/>
    <w:uiPriority w:val="39"/>
    <w:semiHidden/>
    <w:unhideWhenUsed/>
    <w:rsid w:val="000F1B57"/>
    <w:pPr>
      <w:spacing w:after="100"/>
      <w:ind w:left="1920"/>
    </w:pPr>
  </w:style>
  <w:style w:type="paragraph" w:customStyle="1" w:styleId="TOCPage">
    <w:name w:val="TOC Page"/>
    <w:basedOn w:val="Normal"/>
    <w:rsid w:val="000F1B57"/>
    <w:pPr>
      <w:spacing w:after="240" w:line="240" w:lineRule="auto"/>
      <w:jc w:val="right"/>
    </w:pPr>
    <w:rPr>
      <w:rFonts w:eastAsia="Times New Roman"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17E"/>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E617E"/>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3E617E"/>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3E617E"/>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3E617E"/>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3E617E"/>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3E617E"/>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3E617E"/>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3E617E"/>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92CF6"/>
    <w:pPr>
      <w:spacing w:after="0" w:line="240" w:lineRule="auto"/>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92CF6"/>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092CF6"/>
    <w:rPr>
      <w:vertAlign w:val="superscript"/>
    </w:rPr>
  </w:style>
  <w:style w:type="character" w:styleId="CommentReference">
    <w:name w:val="annotation reference"/>
    <w:basedOn w:val="DefaultParagraphFont"/>
    <w:uiPriority w:val="99"/>
    <w:semiHidden/>
    <w:unhideWhenUsed/>
    <w:rsid w:val="00092CF6"/>
    <w:rPr>
      <w:sz w:val="16"/>
      <w:szCs w:val="16"/>
    </w:rPr>
  </w:style>
  <w:style w:type="paragraph" w:styleId="CommentText">
    <w:name w:val="annotation text"/>
    <w:basedOn w:val="Normal"/>
    <w:link w:val="CommentTextChar"/>
    <w:uiPriority w:val="99"/>
    <w:semiHidden/>
    <w:unhideWhenUsed/>
    <w:rsid w:val="00092CF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92CF6"/>
    <w:rPr>
      <w:rFonts w:eastAsia="Times New Roman" w:cs="Times New Roman"/>
      <w:sz w:val="20"/>
      <w:szCs w:val="20"/>
    </w:rPr>
  </w:style>
  <w:style w:type="paragraph" w:styleId="BalloonText">
    <w:name w:val="Balloon Text"/>
    <w:basedOn w:val="Normal"/>
    <w:link w:val="BalloonTextChar"/>
    <w:uiPriority w:val="99"/>
    <w:semiHidden/>
    <w:unhideWhenUsed/>
    <w:rsid w:val="0009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F6"/>
    <w:rPr>
      <w:rFonts w:ascii="Tahoma" w:hAnsi="Tahoma" w:cs="Tahoma"/>
      <w:sz w:val="16"/>
      <w:szCs w:val="16"/>
    </w:rPr>
  </w:style>
  <w:style w:type="paragraph" w:styleId="Header">
    <w:name w:val="header"/>
    <w:basedOn w:val="Normal"/>
    <w:link w:val="HeaderChar"/>
    <w:uiPriority w:val="99"/>
    <w:unhideWhenUsed/>
    <w:rsid w:val="0009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F6"/>
  </w:style>
  <w:style w:type="paragraph" w:styleId="Footer">
    <w:name w:val="footer"/>
    <w:basedOn w:val="Normal"/>
    <w:link w:val="FooterChar"/>
    <w:uiPriority w:val="99"/>
    <w:unhideWhenUsed/>
    <w:rsid w:val="0009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F6"/>
  </w:style>
  <w:style w:type="character" w:customStyle="1" w:styleId="Heading1Char">
    <w:name w:val="Heading 1 Char"/>
    <w:basedOn w:val="DefaultParagraphFont"/>
    <w:link w:val="Heading1"/>
    <w:uiPriority w:val="9"/>
    <w:rsid w:val="003E617E"/>
    <w:rPr>
      <w:rFonts w:eastAsiaTheme="majorEastAsia" w:cs="Arial"/>
      <w:b/>
      <w:bCs/>
      <w:caps/>
      <w:szCs w:val="28"/>
      <w:u w:val="single"/>
    </w:rPr>
  </w:style>
  <w:style w:type="character" w:customStyle="1" w:styleId="Heading2Char">
    <w:name w:val="Heading 2 Char"/>
    <w:basedOn w:val="DefaultParagraphFont"/>
    <w:link w:val="Heading2"/>
    <w:uiPriority w:val="9"/>
    <w:rsid w:val="003E617E"/>
    <w:rPr>
      <w:rFonts w:eastAsiaTheme="majorEastAsia" w:cs="Arial"/>
      <w:b/>
      <w:bCs/>
      <w:szCs w:val="26"/>
    </w:rPr>
  </w:style>
  <w:style w:type="character" w:customStyle="1" w:styleId="Heading3Char">
    <w:name w:val="Heading 3 Char"/>
    <w:basedOn w:val="DefaultParagraphFont"/>
    <w:link w:val="Heading3"/>
    <w:uiPriority w:val="9"/>
    <w:rsid w:val="003E617E"/>
    <w:rPr>
      <w:rFonts w:eastAsiaTheme="majorEastAsia" w:cs="Arial"/>
      <w:b/>
      <w:bCs/>
    </w:rPr>
  </w:style>
  <w:style w:type="character" w:customStyle="1" w:styleId="Heading4Char">
    <w:name w:val="Heading 4 Char"/>
    <w:basedOn w:val="DefaultParagraphFont"/>
    <w:link w:val="Heading4"/>
    <w:uiPriority w:val="9"/>
    <w:rsid w:val="003E617E"/>
    <w:rPr>
      <w:rFonts w:eastAsiaTheme="majorEastAsia" w:cs="Arial"/>
      <w:b/>
      <w:bCs/>
      <w:i/>
      <w:iCs/>
    </w:rPr>
  </w:style>
  <w:style w:type="character" w:customStyle="1" w:styleId="Heading5Char">
    <w:name w:val="Heading 5 Char"/>
    <w:basedOn w:val="DefaultParagraphFont"/>
    <w:link w:val="Heading5"/>
    <w:uiPriority w:val="9"/>
    <w:semiHidden/>
    <w:rsid w:val="003E617E"/>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E617E"/>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E617E"/>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E617E"/>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E617E"/>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3E617E"/>
  </w:style>
  <w:style w:type="character" w:customStyle="1" w:styleId="BodyTextChar">
    <w:name w:val="Body Text Char"/>
    <w:basedOn w:val="DefaultParagraphFont"/>
    <w:link w:val="BodyText"/>
    <w:uiPriority w:val="99"/>
    <w:semiHidden/>
    <w:rsid w:val="003E617E"/>
  </w:style>
  <w:style w:type="paragraph" w:styleId="CommentSubject">
    <w:name w:val="annotation subject"/>
    <w:basedOn w:val="CommentText"/>
    <w:next w:val="CommentText"/>
    <w:link w:val="CommentSubjectChar"/>
    <w:uiPriority w:val="99"/>
    <w:semiHidden/>
    <w:unhideWhenUsed/>
    <w:rsid w:val="009C3697"/>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9C3697"/>
    <w:rPr>
      <w:rFonts w:eastAsia="Times New Roman" w:cs="Times New Roman"/>
      <w:b/>
      <w:bCs/>
      <w:sz w:val="20"/>
      <w:szCs w:val="20"/>
    </w:rPr>
  </w:style>
  <w:style w:type="character" w:styleId="Hyperlink">
    <w:name w:val="Hyperlink"/>
    <w:basedOn w:val="DefaultParagraphFont"/>
    <w:uiPriority w:val="99"/>
    <w:unhideWhenUsed/>
    <w:rsid w:val="0079159A"/>
    <w:rPr>
      <w:color w:val="0000FF" w:themeColor="hyperlink"/>
      <w:u w:val="single"/>
    </w:rPr>
  </w:style>
  <w:style w:type="paragraph" w:styleId="TOCHeading">
    <w:name w:val="TOC Heading"/>
    <w:basedOn w:val="Normal"/>
    <w:next w:val="TOC1"/>
    <w:uiPriority w:val="39"/>
    <w:unhideWhenUsed/>
    <w:qFormat/>
    <w:rsid w:val="000F1B57"/>
    <w:pPr>
      <w:keepNext/>
      <w:keepLines/>
      <w:spacing w:before="480" w:after="240" w:line="240" w:lineRule="auto"/>
      <w:jc w:val="center"/>
    </w:pPr>
    <w:rPr>
      <w:rFonts w:cs="Arial"/>
      <w:b/>
      <w:color w:val="365F91" w:themeColor="accent1" w:themeShade="BF"/>
    </w:rPr>
  </w:style>
  <w:style w:type="paragraph" w:styleId="TOC1">
    <w:name w:val="toc 1"/>
    <w:basedOn w:val="Normal"/>
    <w:next w:val="Normal"/>
    <w:autoRedefine/>
    <w:uiPriority w:val="39"/>
    <w:unhideWhenUsed/>
    <w:rsid w:val="000F1B57"/>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0F1B57"/>
    <w:pPr>
      <w:tabs>
        <w:tab w:val="right" w:leader="dot" w:pos="9360"/>
      </w:tabs>
      <w:spacing w:after="100"/>
      <w:ind w:left="1440" w:right="720" w:hanging="720"/>
    </w:pPr>
  </w:style>
  <w:style w:type="paragraph" w:styleId="TOC3">
    <w:name w:val="toc 3"/>
    <w:basedOn w:val="Normal"/>
    <w:next w:val="Normal"/>
    <w:autoRedefine/>
    <w:uiPriority w:val="39"/>
    <w:unhideWhenUsed/>
    <w:rsid w:val="000F1B57"/>
    <w:pPr>
      <w:tabs>
        <w:tab w:val="left" w:pos="960"/>
        <w:tab w:val="right" w:leader="dot" w:pos="9360"/>
      </w:tabs>
      <w:spacing w:after="100"/>
      <w:ind w:left="2160" w:right="720" w:hanging="720"/>
    </w:pPr>
  </w:style>
  <w:style w:type="paragraph" w:styleId="TOC4">
    <w:name w:val="toc 4"/>
    <w:basedOn w:val="Normal"/>
    <w:next w:val="Normal"/>
    <w:autoRedefine/>
    <w:uiPriority w:val="39"/>
    <w:semiHidden/>
    <w:unhideWhenUsed/>
    <w:rsid w:val="000F1B57"/>
    <w:pPr>
      <w:spacing w:after="100"/>
      <w:ind w:left="720"/>
    </w:pPr>
  </w:style>
  <w:style w:type="paragraph" w:styleId="TOC5">
    <w:name w:val="toc 5"/>
    <w:basedOn w:val="Normal"/>
    <w:next w:val="Normal"/>
    <w:autoRedefine/>
    <w:uiPriority w:val="39"/>
    <w:semiHidden/>
    <w:unhideWhenUsed/>
    <w:rsid w:val="000F1B57"/>
    <w:pPr>
      <w:spacing w:after="100"/>
      <w:ind w:left="960"/>
    </w:pPr>
  </w:style>
  <w:style w:type="paragraph" w:styleId="TOC6">
    <w:name w:val="toc 6"/>
    <w:basedOn w:val="Normal"/>
    <w:next w:val="Normal"/>
    <w:autoRedefine/>
    <w:uiPriority w:val="39"/>
    <w:semiHidden/>
    <w:unhideWhenUsed/>
    <w:rsid w:val="000F1B57"/>
    <w:pPr>
      <w:spacing w:after="100"/>
      <w:ind w:left="1200"/>
    </w:pPr>
  </w:style>
  <w:style w:type="paragraph" w:styleId="TOC7">
    <w:name w:val="toc 7"/>
    <w:basedOn w:val="Normal"/>
    <w:next w:val="Normal"/>
    <w:autoRedefine/>
    <w:uiPriority w:val="39"/>
    <w:semiHidden/>
    <w:unhideWhenUsed/>
    <w:rsid w:val="000F1B57"/>
    <w:pPr>
      <w:spacing w:after="100"/>
      <w:ind w:left="1440"/>
    </w:pPr>
  </w:style>
  <w:style w:type="paragraph" w:styleId="TOC8">
    <w:name w:val="toc 8"/>
    <w:basedOn w:val="Normal"/>
    <w:next w:val="Normal"/>
    <w:autoRedefine/>
    <w:uiPriority w:val="39"/>
    <w:semiHidden/>
    <w:unhideWhenUsed/>
    <w:rsid w:val="000F1B57"/>
    <w:pPr>
      <w:spacing w:after="100"/>
      <w:ind w:left="1680"/>
    </w:pPr>
  </w:style>
  <w:style w:type="paragraph" w:styleId="TOC9">
    <w:name w:val="toc 9"/>
    <w:basedOn w:val="Normal"/>
    <w:next w:val="Normal"/>
    <w:autoRedefine/>
    <w:uiPriority w:val="39"/>
    <w:semiHidden/>
    <w:unhideWhenUsed/>
    <w:rsid w:val="000F1B57"/>
    <w:pPr>
      <w:spacing w:after="100"/>
      <w:ind w:left="1920"/>
    </w:pPr>
  </w:style>
  <w:style w:type="paragraph" w:customStyle="1" w:styleId="TOCPage">
    <w:name w:val="TOC Page"/>
    <w:basedOn w:val="Normal"/>
    <w:rsid w:val="000F1B57"/>
    <w:pPr>
      <w:spacing w:after="240" w:line="240" w:lineRule="auto"/>
      <w:jc w:val="right"/>
    </w:pPr>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21077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grady@occ.state.oh.us"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nergychoice.ohio.gov/ApplesToApplesCateg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3D5C-F8DE-4EDE-8C52-1509157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47</Pages>
  <Words>10163</Words>
  <Characters>56756</Characters>
  <Application>Microsoft Office Word</Application>
  <DocSecurity>0</DocSecurity>
  <PresentationFormat/>
  <Lines>1248</Lines>
  <Paragraphs>472</Paragraphs>
  <ScaleCrop>false</ScaleCrop>
  <HeadingPairs>
    <vt:vector size="2" baseType="variant">
      <vt:variant>
        <vt:lpstr>Title</vt:lpstr>
      </vt:variant>
      <vt:variant>
        <vt:i4>1</vt:i4>
      </vt:variant>
    </vt:vector>
  </HeadingPairs>
  <TitlesOfParts>
    <vt:vector size="1" baseType="lpstr">
      <vt:lpstr>reply brief (C45281-5).DOCX</vt:lpstr>
    </vt:vector>
  </TitlesOfParts>
  <Company>Some Company, Inc.</Company>
  <LinksUpToDate>false</LinksUpToDate>
  <CharactersWithSpaces>66807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brief (C45281-5).DOCX</dc:title>
  <dc:subject>C45281:5 /font=8</dc:subject>
  <dc:creator>_</dc:creator>
  <cp:keywords/>
  <dc:description/>
  <cp:lastModifiedBy>_</cp:lastModifiedBy>
  <cp:revision>74</cp:revision>
  <cp:lastPrinted>2014-08-15T17:48:00Z</cp:lastPrinted>
  <dcterms:created xsi:type="dcterms:W3CDTF">2014-08-03T14:51:00Z</dcterms:created>
  <dcterms:modified xsi:type="dcterms:W3CDTF">2014-08-15T18:18:00Z</dcterms:modified>
</cp:coreProperties>
</file>