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B618B" w:rsidRPr="008F138D" w:rsidP="00A73295">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8F138D">
        <w:rPr>
          <w:rFonts w:ascii="Times New Roman" w:hAnsi="Times New Roman" w:cs="Times New Roman"/>
          <w:b/>
          <w:sz w:val="24"/>
          <w:szCs w:val="24"/>
        </w:rPr>
        <w:t>BEFORE</w:t>
      </w:r>
    </w:p>
    <w:p w:rsidR="000B618B" w:rsidRPr="008F138D" w:rsidP="00A73295">
      <w:pPr>
        <w:widowControl w:val="0"/>
        <w:autoSpaceDE w:val="0"/>
        <w:autoSpaceDN w:val="0"/>
        <w:adjustRightInd w:val="0"/>
        <w:spacing w:after="0" w:line="240" w:lineRule="auto"/>
        <w:jc w:val="center"/>
        <w:rPr>
          <w:rFonts w:ascii="Times New Roman" w:hAnsi="Times New Roman" w:cs="Times New Roman"/>
          <w:b/>
          <w:sz w:val="24"/>
          <w:szCs w:val="24"/>
        </w:rPr>
      </w:pPr>
      <w:r w:rsidRPr="008F138D">
        <w:rPr>
          <w:rFonts w:ascii="Times New Roman" w:hAnsi="Times New Roman" w:cs="Times New Roman"/>
          <w:b/>
          <w:sz w:val="24"/>
          <w:szCs w:val="24"/>
        </w:rPr>
        <w:t>THE PUBLIC UTILITIES COMMISSION OF OHIO</w:t>
      </w:r>
    </w:p>
    <w:p w:rsidR="000B618B" w:rsidP="00A73295">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4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79"/>
        <w:gridCol w:w="361"/>
        <w:gridCol w:w="4715"/>
      </w:tblGrid>
      <w:tr w:rsidTr="00001EF3">
        <w:tblPrEx>
          <w:tblW w:w="94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936"/>
        </w:trPr>
        <w:tc>
          <w:tcPr>
            <w:tcW w:w="4379" w:type="dxa"/>
          </w:tcPr>
          <w:p w:rsidR="000B618B" w:rsidP="00350CD3">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In the Matter of the Application of FirstEnergy Solutions Corp. to Become a Certified Retail Electric Supplier in the State of Ohio</w:t>
            </w:r>
          </w:p>
        </w:tc>
        <w:tc>
          <w:tcPr>
            <w:tcW w:w="361" w:type="dxa"/>
          </w:tcPr>
          <w:p w:rsidR="000B618B" w:rsidP="00A73295">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p w:rsidR="000B618B">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p w:rsidR="000B618B">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p w:rsidR="000B618B">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tc>
        <w:tc>
          <w:tcPr>
            <w:tcW w:w="4715" w:type="dxa"/>
          </w:tcPr>
          <w:p w:rsidR="000B618B">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p>
          <w:p w:rsidR="000B618B">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Case No. 00-1742-EL-CRS</w:t>
            </w:r>
          </w:p>
        </w:tc>
      </w:tr>
    </w:tbl>
    <w:p w:rsidR="000B618B" w:rsidP="00A73295">
      <w:pPr>
        <w:widowControl w:val="0"/>
        <w:pBdr>
          <w:bottom w:val="single" w:sz="12" w:space="1" w:color="auto"/>
        </w:pBdr>
        <w:autoSpaceDE w:val="0"/>
        <w:autoSpaceDN w:val="0"/>
        <w:adjustRightInd w:val="0"/>
        <w:spacing w:after="0" w:line="240" w:lineRule="auto"/>
        <w:rPr>
          <w:rFonts w:ascii="Times New Roman" w:hAnsi="Times New Roman" w:cs="Times New Roman"/>
          <w:b/>
          <w:sz w:val="24"/>
          <w:szCs w:val="24"/>
        </w:rPr>
      </w:pPr>
    </w:p>
    <w:p w:rsidR="000B618B" w:rsidP="00A73295">
      <w:pPr>
        <w:widowControl w:val="0"/>
        <w:autoSpaceDE w:val="0"/>
        <w:autoSpaceDN w:val="0"/>
        <w:adjustRightInd w:val="0"/>
        <w:spacing w:after="0" w:line="240" w:lineRule="auto"/>
        <w:rPr>
          <w:rFonts w:ascii="Times New Roman" w:hAnsi="Times New Roman" w:cs="Times New Roman"/>
          <w:b/>
          <w:sz w:val="24"/>
          <w:szCs w:val="24"/>
        </w:rPr>
      </w:pPr>
    </w:p>
    <w:p w:rsidR="000B618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REPLY IN SUPPORT OF MOTION TO INTERVENE</w:t>
      </w:r>
    </w:p>
    <w:p w:rsidR="00A04A9D">
      <w:pPr>
        <w:widowControl w:val="0"/>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0B618B">
      <w:pPr>
        <w:widowControl w:val="0"/>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840B36" w:rsidP="00350CD3">
      <w:pPr>
        <w:widowControl w:val="0"/>
        <w:pBdr>
          <w:bottom w:val="single" w:sz="12" w:space="1" w:color="auto"/>
        </w:pBdr>
        <w:autoSpaceDE w:val="0"/>
        <w:autoSpaceDN w:val="0"/>
        <w:adjustRightInd w:val="0"/>
        <w:spacing w:after="0" w:line="240" w:lineRule="auto"/>
        <w:rPr>
          <w:rFonts w:ascii="Times New Roman" w:hAnsi="Times New Roman" w:cs="Times New Roman"/>
          <w:b/>
          <w:sz w:val="24"/>
          <w:szCs w:val="24"/>
        </w:rPr>
      </w:pPr>
    </w:p>
    <w:p w:rsidR="000B618B" w:rsidP="00A73295">
      <w:pPr>
        <w:widowControl w:val="0"/>
        <w:autoSpaceDE w:val="0"/>
        <w:autoSpaceDN w:val="0"/>
        <w:adjustRightInd w:val="0"/>
        <w:spacing w:after="0" w:line="240" w:lineRule="auto"/>
        <w:rPr>
          <w:rFonts w:ascii="Times New Roman" w:hAnsi="Times New Roman" w:cs="Times New Roman"/>
          <w:sz w:val="24"/>
          <w:szCs w:val="24"/>
        </w:rPr>
      </w:pPr>
    </w:p>
    <w:p w:rsidR="000B618B" w:rsidRPr="008F138D" w:rsidP="00B02C8F">
      <w:pPr>
        <w:widowControl w:val="0"/>
        <w:numPr>
          <w:ilvl w:val="0"/>
          <w:numId w:val="1"/>
        </w:numPr>
        <w:autoSpaceDE w:val="0"/>
        <w:autoSpaceDN w:val="0"/>
        <w:adjustRightInd w:val="0"/>
        <w:spacing w:after="0" w:line="240" w:lineRule="auto"/>
        <w:ind w:left="720"/>
        <w:rPr>
          <w:rFonts w:ascii="Times New Roman" w:hAnsi="Times New Roman" w:cs="Times New Roman"/>
          <w:b/>
          <w:sz w:val="24"/>
          <w:szCs w:val="24"/>
        </w:rPr>
      </w:pPr>
      <w:r w:rsidRPr="008F138D">
        <w:rPr>
          <w:rFonts w:ascii="Times New Roman" w:hAnsi="Times New Roman" w:cs="Times New Roman"/>
          <w:b/>
          <w:sz w:val="24"/>
          <w:szCs w:val="24"/>
        </w:rPr>
        <w:t>INTRODUCTION</w:t>
      </w:r>
    </w:p>
    <w:p w:rsidR="000B618B">
      <w:pPr>
        <w:widowControl w:val="0"/>
        <w:autoSpaceDE w:val="0"/>
        <w:autoSpaceDN w:val="0"/>
        <w:adjustRightInd w:val="0"/>
        <w:spacing w:after="0" w:line="240" w:lineRule="auto"/>
        <w:ind w:left="1080"/>
        <w:rPr>
          <w:rFonts w:ascii="Times New Roman" w:hAnsi="Times New Roman" w:cs="Times New Roman"/>
          <w:sz w:val="24"/>
          <w:szCs w:val="24"/>
        </w:rPr>
      </w:pPr>
    </w:p>
    <w:p w:rsidR="00A829CF" w:rsidP="00350CD3">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same time</w:t>
      </w:r>
      <w:r w:rsidRPr="001A7FD6">
        <w:rPr>
          <w:rFonts w:ascii="Times New Roman" w:hAnsi="Times New Roman" w:cs="Times New Roman"/>
          <w:sz w:val="24"/>
          <w:szCs w:val="24"/>
        </w:rPr>
        <w:t xml:space="preserve"> FirstEnergy</w:t>
      </w:r>
      <w:r>
        <w:rPr>
          <w:rFonts w:ascii="Times New Roman" w:hAnsi="Times New Roman" w:cs="Times New Roman"/>
          <w:sz w:val="24"/>
          <w:szCs w:val="24"/>
        </w:rPr>
        <w:t xml:space="preserve"> Solutions Corp. (“FES”</w:t>
      </w:r>
      <w:r w:rsidR="00E43DC4">
        <w:rPr>
          <w:rFonts w:ascii="Times New Roman" w:hAnsi="Times New Roman" w:cs="Times New Roman"/>
          <w:sz w:val="24"/>
          <w:szCs w:val="24"/>
        </w:rPr>
        <w:t xml:space="preserve">) wants the federal and state </w:t>
      </w:r>
      <w:r w:rsidRPr="001A7FD6">
        <w:rPr>
          <w:rFonts w:ascii="Times New Roman" w:hAnsi="Times New Roman" w:cs="Times New Roman"/>
          <w:sz w:val="24"/>
          <w:szCs w:val="24"/>
        </w:rPr>
        <w:t>government</w:t>
      </w:r>
      <w:r w:rsidR="00E43DC4">
        <w:rPr>
          <w:rFonts w:ascii="Times New Roman" w:hAnsi="Times New Roman" w:cs="Times New Roman"/>
          <w:sz w:val="24"/>
          <w:szCs w:val="24"/>
        </w:rPr>
        <w:t xml:space="preserve">s to be concerned for its business and authorize assistance </w:t>
      </w:r>
      <w:r w:rsidRPr="001A7FD6">
        <w:rPr>
          <w:rFonts w:ascii="Times New Roman" w:hAnsi="Times New Roman" w:cs="Times New Roman"/>
          <w:sz w:val="24"/>
          <w:szCs w:val="24"/>
        </w:rPr>
        <w:t>customer-funded subsidies for its uneconomic coal-</w:t>
      </w:r>
      <w:r w:rsidR="00E43DC4">
        <w:rPr>
          <w:rFonts w:ascii="Times New Roman" w:hAnsi="Times New Roman" w:cs="Times New Roman"/>
          <w:sz w:val="24"/>
          <w:szCs w:val="24"/>
        </w:rPr>
        <w:t>fired and nuclear generation, FES</w:t>
      </w:r>
      <w:r w:rsidRPr="001A7FD6">
        <w:rPr>
          <w:rFonts w:ascii="Times New Roman" w:hAnsi="Times New Roman" w:cs="Times New Roman"/>
          <w:sz w:val="24"/>
          <w:szCs w:val="24"/>
        </w:rPr>
        <w:t xml:space="preserve"> sees no role for </w:t>
      </w:r>
      <w:r w:rsidR="00E43DC4">
        <w:rPr>
          <w:rFonts w:ascii="Times New Roman" w:hAnsi="Times New Roman" w:cs="Times New Roman"/>
          <w:sz w:val="24"/>
          <w:szCs w:val="24"/>
        </w:rPr>
        <w:t xml:space="preserve">the </w:t>
      </w:r>
      <w:r w:rsidRPr="001A7FD6">
        <w:rPr>
          <w:rFonts w:ascii="Times New Roman" w:hAnsi="Times New Roman" w:cs="Times New Roman"/>
          <w:sz w:val="24"/>
          <w:szCs w:val="24"/>
        </w:rPr>
        <w:t>govern</w:t>
      </w:r>
      <w:r w:rsidR="00D63A25">
        <w:rPr>
          <w:rFonts w:ascii="Times New Roman" w:hAnsi="Times New Roman" w:cs="Times New Roman"/>
          <w:sz w:val="24"/>
          <w:szCs w:val="24"/>
        </w:rPr>
        <w:t xml:space="preserve">ment to protect </w:t>
      </w:r>
      <w:r w:rsidR="0021219C">
        <w:rPr>
          <w:rFonts w:ascii="Times New Roman" w:hAnsi="Times New Roman" w:cs="Times New Roman"/>
          <w:sz w:val="24"/>
          <w:szCs w:val="24"/>
        </w:rPr>
        <w:t>FES</w:t>
      </w:r>
      <w:r w:rsidR="00350CD3">
        <w:rPr>
          <w:rFonts w:ascii="Times New Roman" w:hAnsi="Times New Roman" w:cs="Times New Roman"/>
          <w:sz w:val="24"/>
          <w:szCs w:val="24"/>
        </w:rPr>
        <w:t>’s</w:t>
      </w:r>
      <w:r w:rsidR="0021219C">
        <w:rPr>
          <w:rFonts w:ascii="Times New Roman" w:hAnsi="Times New Roman" w:cs="Times New Roman"/>
          <w:sz w:val="24"/>
          <w:szCs w:val="24"/>
        </w:rPr>
        <w:t xml:space="preserve"> </w:t>
      </w:r>
      <w:r w:rsidR="00D63A25">
        <w:rPr>
          <w:rFonts w:ascii="Times New Roman" w:hAnsi="Times New Roman" w:cs="Times New Roman"/>
          <w:sz w:val="24"/>
          <w:szCs w:val="24"/>
        </w:rPr>
        <w:t>consumers from the</w:t>
      </w:r>
      <w:r w:rsidRPr="001A7FD6">
        <w:rPr>
          <w:rFonts w:ascii="Times New Roman" w:hAnsi="Times New Roman" w:cs="Times New Roman"/>
          <w:sz w:val="24"/>
          <w:szCs w:val="24"/>
        </w:rPr>
        <w:t xml:space="preserve"> bankruptcy </w:t>
      </w:r>
      <w:r w:rsidR="0021219C">
        <w:rPr>
          <w:rFonts w:ascii="Times New Roman" w:hAnsi="Times New Roman" w:cs="Times New Roman"/>
          <w:sz w:val="24"/>
          <w:szCs w:val="24"/>
        </w:rPr>
        <w:t>it</w:t>
      </w:r>
      <w:r w:rsidRPr="001A7FD6">
        <w:rPr>
          <w:rFonts w:ascii="Times New Roman" w:hAnsi="Times New Roman" w:cs="Times New Roman"/>
          <w:sz w:val="24"/>
          <w:szCs w:val="24"/>
        </w:rPr>
        <w:t xml:space="preserve"> has publicized as likely at some point</w:t>
      </w:r>
      <w:r>
        <w:rPr>
          <w:rFonts w:ascii="Times New Roman" w:hAnsi="Times New Roman" w:cs="Times New Roman"/>
          <w:sz w:val="24"/>
          <w:szCs w:val="24"/>
        </w:rPr>
        <w:t xml:space="preserve">.  </w:t>
      </w:r>
      <w:r w:rsidR="00AE0E26">
        <w:rPr>
          <w:rFonts w:ascii="Times New Roman" w:hAnsi="Times New Roman" w:cs="Times New Roman"/>
          <w:sz w:val="24"/>
          <w:szCs w:val="24"/>
        </w:rPr>
        <w:t>The Office of the Ohio Consumers’ Counsel</w:t>
      </w:r>
      <w:r w:rsidR="000B618B">
        <w:rPr>
          <w:rFonts w:ascii="Times New Roman" w:hAnsi="Times New Roman" w:cs="Times New Roman"/>
          <w:sz w:val="24"/>
          <w:szCs w:val="24"/>
        </w:rPr>
        <w:t xml:space="preserve">’s </w:t>
      </w:r>
      <w:r w:rsidR="00350CD3">
        <w:rPr>
          <w:rFonts w:ascii="Times New Roman" w:hAnsi="Times New Roman" w:cs="Times New Roman"/>
          <w:sz w:val="24"/>
          <w:szCs w:val="24"/>
        </w:rPr>
        <w:t xml:space="preserve">(“OCC”) </w:t>
      </w:r>
      <w:r w:rsidR="000B618B">
        <w:rPr>
          <w:rFonts w:ascii="Times New Roman" w:hAnsi="Times New Roman" w:cs="Times New Roman"/>
          <w:sz w:val="24"/>
          <w:szCs w:val="24"/>
        </w:rPr>
        <w:t xml:space="preserve">intervention is necessary to protect the interests of residential customers </w:t>
      </w:r>
      <w:r>
        <w:rPr>
          <w:rFonts w:ascii="Times New Roman" w:hAnsi="Times New Roman" w:cs="Times New Roman"/>
          <w:sz w:val="24"/>
          <w:szCs w:val="24"/>
        </w:rPr>
        <w:t>regarding</w:t>
      </w:r>
      <w:r w:rsidR="00AE0E26">
        <w:rPr>
          <w:rFonts w:ascii="Times New Roman" w:hAnsi="Times New Roman" w:cs="Times New Roman"/>
          <w:sz w:val="24"/>
          <w:szCs w:val="24"/>
        </w:rPr>
        <w:t xml:space="preserve"> </w:t>
      </w:r>
      <w:r>
        <w:rPr>
          <w:rFonts w:ascii="Times New Roman" w:hAnsi="Times New Roman" w:cs="Times New Roman"/>
          <w:sz w:val="24"/>
          <w:szCs w:val="24"/>
        </w:rPr>
        <w:t>FES that, by its own statements</w:t>
      </w:r>
      <w:r w:rsidR="00AE0E26">
        <w:rPr>
          <w:rFonts w:ascii="Times New Roman" w:hAnsi="Times New Roman" w:cs="Times New Roman"/>
          <w:sz w:val="24"/>
          <w:szCs w:val="24"/>
        </w:rPr>
        <w:t>,</w:t>
      </w:r>
      <w:r>
        <w:rPr>
          <w:rFonts w:ascii="Times New Roman" w:hAnsi="Times New Roman" w:cs="Times New Roman"/>
          <w:sz w:val="24"/>
          <w:szCs w:val="24"/>
        </w:rPr>
        <w:t xml:space="preserve"> is a failing enterprise.</w:t>
      </w:r>
      <w:r w:rsidR="00AE0E26">
        <w:rPr>
          <w:rFonts w:ascii="Times New Roman" w:hAnsi="Times New Roman" w:cs="Times New Roman"/>
          <w:sz w:val="24"/>
          <w:szCs w:val="24"/>
        </w:rPr>
        <w:t xml:space="preserve"> </w:t>
      </w:r>
      <w:r w:rsidR="000B618B">
        <w:rPr>
          <w:rFonts w:ascii="Times New Roman" w:hAnsi="Times New Roman" w:cs="Times New Roman"/>
          <w:sz w:val="24"/>
          <w:szCs w:val="24"/>
        </w:rPr>
        <w:t>Following a second financial downgrading</w:t>
      </w:r>
      <w:r w:rsidR="00AE0E26">
        <w:rPr>
          <w:rFonts w:ascii="Times New Roman" w:hAnsi="Times New Roman" w:cs="Times New Roman"/>
          <w:sz w:val="24"/>
          <w:szCs w:val="24"/>
        </w:rPr>
        <w:t xml:space="preserve"> of </w:t>
      </w:r>
      <w:r w:rsidR="000B618B">
        <w:rPr>
          <w:rFonts w:ascii="Times New Roman" w:hAnsi="Times New Roman" w:cs="Times New Roman"/>
          <w:sz w:val="24"/>
          <w:szCs w:val="24"/>
        </w:rPr>
        <w:t>FES’</w:t>
      </w:r>
      <w:r w:rsidR="00350CD3">
        <w:rPr>
          <w:rFonts w:ascii="Times New Roman" w:hAnsi="Times New Roman" w:cs="Times New Roman"/>
          <w:sz w:val="24"/>
          <w:szCs w:val="24"/>
        </w:rPr>
        <w:t>s</w:t>
      </w:r>
      <w:r w:rsidR="000B618B">
        <w:rPr>
          <w:rFonts w:ascii="Times New Roman" w:hAnsi="Times New Roman" w:cs="Times New Roman"/>
          <w:sz w:val="24"/>
          <w:szCs w:val="24"/>
        </w:rPr>
        <w:t xml:space="preserve"> credit rating, FirstEnergy Corp.’s (“FirstEnergy”) Chief Executive Officer has publically announced FES’</w:t>
      </w:r>
      <w:r w:rsidR="00350CD3">
        <w:rPr>
          <w:rFonts w:ascii="Times New Roman" w:hAnsi="Times New Roman" w:cs="Times New Roman"/>
          <w:sz w:val="24"/>
          <w:szCs w:val="24"/>
        </w:rPr>
        <w:t>s</w:t>
      </w:r>
      <w:r w:rsidR="000B618B">
        <w:rPr>
          <w:rFonts w:ascii="Times New Roman" w:hAnsi="Times New Roman" w:cs="Times New Roman"/>
          <w:sz w:val="24"/>
          <w:szCs w:val="24"/>
        </w:rPr>
        <w:t xml:space="preserve"> plan to exit the merchant generation business and has publicized a potential bankruptcy.  Clearly, any intent to exit the merchant generation business and any future bankruptcy </w:t>
      </w:r>
      <w:r w:rsidR="00AE0E26">
        <w:rPr>
          <w:rFonts w:ascii="Times New Roman" w:hAnsi="Times New Roman" w:cs="Times New Roman"/>
          <w:sz w:val="24"/>
          <w:szCs w:val="24"/>
        </w:rPr>
        <w:t>c</w:t>
      </w:r>
      <w:r w:rsidR="000B618B">
        <w:rPr>
          <w:rFonts w:ascii="Times New Roman" w:hAnsi="Times New Roman" w:cs="Times New Roman"/>
          <w:sz w:val="24"/>
          <w:szCs w:val="24"/>
        </w:rPr>
        <w:t xml:space="preserve">ould adversely affect </w:t>
      </w:r>
      <w:r w:rsidR="00890320">
        <w:rPr>
          <w:rFonts w:ascii="Times New Roman" w:hAnsi="Times New Roman" w:cs="Times New Roman"/>
          <w:sz w:val="24"/>
          <w:szCs w:val="24"/>
        </w:rPr>
        <w:t xml:space="preserve">residential </w:t>
      </w:r>
      <w:r w:rsidR="00AE0E26">
        <w:rPr>
          <w:rFonts w:ascii="Times New Roman" w:hAnsi="Times New Roman" w:cs="Times New Roman"/>
          <w:sz w:val="24"/>
          <w:szCs w:val="24"/>
        </w:rPr>
        <w:t xml:space="preserve">consumers and their </w:t>
      </w:r>
      <w:r w:rsidR="000B618B">
        <w:rPr>
          <w:rFonts w:ascii="Times New Roman" w:hAnsi="Times New Roman" w:cs="Times New Roman"/>
          <w:sz w:val="24"/>
          <w:szCs w:val="24"/>
        </w:rPr>
        <w:t xml:space="preserve">customer contracts.  </w:t>
      </w:r>
      <w:r w:rsidR="00AE0E26">
        <w:rPr>
          <w:rFonts w:ascii="Times New Roman" w:hAnsi="Times New Roman" w:cs="Times New Roman"/>
          <w:sz w:val="24"/>
          <w:szCs w:val="24"/>
        </w:rPr>
        <w:t xml:space="preserve">Yet, FES opposes OCC’s intervention, stating </w:t>
      </w:r>
      <w:r w:rsidR="0074234E">
        <w:rPr>
          <w:rFonts w:ascii="Times New Roman" w:hAnsi="Times New Roman" w:cs="Times New Roman"/>
          <w:sz w:val="24"/>
          <w:szCs w:val="24"/>
        </w:rPr>
        <w:t xml:space="preserve">it has no grounds to intervene and no basis to be concerned.  </w:t>
      </w:r>
      <w:r w:rsidR="00C969FE">
        <w:rPr>
          <w:rFonts w:ascii="Times New Roman" w:hAnsi="Times New Roman" w:cs="Times New Roman"/>
          <w:sz w:val="24"/>
          <w:szCs w:val="24"/>
        </w:rPr>
        <w:t>T</w:t>
      </w:r>
      <w:r w:rsidR="00D658AB">
        <w:rPr>
          <w:rFonts w:ascii="Times New Roman" w:hAnsi="Times New Roman" w:cs="Times New Roman"/>
          <w:sz w:val="24"/>
          <w:szCs w:val="24"/>
        </w:rPr>
        <w:t>he Public Utilities Commission of Ohio (“PUCO”) should be concerned for consumers.</w:t>
      </w:r>
      <w:r w:rsidR="00AE0E26">
        <w:rPr>
          <w:rFonts w:ascii="Times New Roman" w:hAnsi="Times New Roman" w:cs="Times New Roman"/>
          <w:sz w:val="24"/>
          <w:szCs w:val="24"/>
        </w:rPr>
        <w:t xml:space="preserve"> </w:t>
      </w:r>
    </w:p>
    <w:p w:rsidR="00B02C8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B618B" w:rsidP="00350CD3">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890320">
        <w:rPr>
          <w:rFonts w:ascii="Times New Roman" w:hAnsi="Times New Roman" w:cs="Times New Roman"/>
          <w:sz w:val="24"/>
          <w:szCs w:val="24"/>
        </w:rPr>
        <w:t>CC, as the statutory representative of Ohio electric utility c</w:t>
      </w:r>
      <w:r w:rsidR="00AE0E26">
        <w:rPr>
          <w:rFonts w:ascii="Times New Roman" w:hAnsi="Times New Roman" w:cs="Times New Roman"/>
          <w:sz w:val="24"/>
          <w:szCs w:val="24"/>
        </w:rPr>
        <w:t>onsumers</w:t>
      </w:r>
      <w:r w:rsidR="00890320">
        <w:rPr>
          <w:rFonts w:ascii="Times New Roman" w:hAnsi="Times New Roman" w:cs="Times New Roman"/>
          <w:sz w:val="24"/>
          <w:szCs w:val="24"/>
        </w:rPr>
        <w:t xml:space="preserve">, has </w:t>
      </w:r>
      <w:r>
        <w:rPr>
          <w:rFonts w:ascii="Times New Roman" w:hAnsi="Times New Roman" w:cs="Times New Roman"/>
          <w:sz w:val="24"/>
          <w:szCs w:val="24"/>
        </w:rPr>
        <w:t>a real and substantial interest in FES’</w:t>
      </w:r>
      <w:r w:rsidR="00350CD3">
        <w:rPr>
          <w:rFonts w:ascii="Times New Roman" w:hAnsi="Times New Roman" w:cs="Times New Roman"/>
          <w:sz w:val="24"/>
          <w:szCs w:val="24"/>
        </w:rPr>
        <w:t>s</w:t>
      </w:r>
      <w:r w:rsidR="00890320">
        <w:rPr>
          <w:rFonts w:ascii="Times New Roman" w:hAnsi="Times New Roman" w:cs="Times New Roman"/>
          <w:sz w:val="24"/>
          <w:szCs w:val="24"/>
        </w:rPr>
        <w:t xml:space="preserve"> certification proceeding</w:t>
      </w:r>
      <w:r w:rsidR="00AE0E26">
        <w:rPr>
          <w:rFonts w:ascii="Times New Roman" w:hAnsi="Times New Roman" w:cs="Times New Roman"/>
          <w:sz w:val="24"/>
          <w:szCs w:val="24"/>
        </w:rPr>
        <w:t xml:space="preserve"> that affords FES the authority to serve residential consum</w:t>
      </w:r>
      <w:r>
        <w:rPr>
          <w:rFonts w:ascii="Times New Roman" w:hAnsi="Times New Roman" w:cs="Times New Roman"/>
          <w:sz w:val="24"/>
          <w:szCs w:val="24"/>
        </w:rPr>
        <w:t>e</w:t>
      </w:r>
      <w:r w:rsidR="00AE0E26">
        <w:rPr>
          <w:rFonts w:ascii="Times New Roman" w:hAnsi="Times New Roman" w:cs="Times New Roman"/>
          <w:sz w:val="24"/>
          <w:szCs w:val="24"/>
        </w:rPr>
        <w:t>rs</w:t>
      </w:r>
      <w:r>
        <w:rPr>
          <w:rFonts w:ascii="Times New Roman" w:hAnsi="Times New Roman" w:cs="Times New Roman"/>
          <w:sz w:val="24"/>
          <w:szCs w:val="24"/>
        </w:rPr>
        <w:t xml:space="preserve"> and enter into new electric service contracts</w:t>
      </w:r>
      <w:r w:rsidR="003C681D">
        <w:rPr>
          <w:rFonts w:ascii="Times New Roman" w:hAnsi="Times New Roman" w:cs="Times New Roman"/>
          <w:sz w:val="24"/>
          <w:szCs w:val="24"/>
        </w:rPr>
        <w:t xml:space="preserve"> with consumers</w:t>
      </w:r>
      <w:r>
        <w:rPr>
          <w:rFonts w:ascii="Times New Roman" w:hAnsi="Times New Roman" w:cs="Times New Roman"/>
          <w:sz w:val="24"/>
          <w:szCs w:val="24"/>
        </w:rPr>
        <w:t xml:space="preserve">.  These interests are not adequately protected by </w:t>
      </w:r>
      <w:r w:rsidR="00AE0E26">
        <w:rPr>
          <w:rFonts w:ascii="Times New Roman" w:hAnsi="Times New Roman" w:cs="Times New Roman"/>
          <w:sz w:val="24"/>
          <w:szCs w:val="24"/>
        </w:rPr>
        <w:t>any</w:t>
      </w:r>
      <w:r>
        <w:rPr>
          <w:rFonts w:ascii="Times New Roman" w:hAnsi="Times New Roman" w:cs="Times New Roman"/>
          <w:sz w:val="24"/>
          <w:szCs w:val="24"/>
        </w:rPr>
        <w:t xml:space="preserve"> existing parties, and therefore, OCC’s intervention should be granted</w:t>
      </w:r>
      <w:r w:rsidR="00C05948">
        <w:rPr>
          <w:rFonts w:ascii="Times New Roman" w:hAnsi="Times New Roman" w:cs="Times New Roman"/>
          <w:sz w:val="24"/>
          <w:szCs w:val="24"/>
        </w:rPr>
        <w:t>.</w:t>
      </w:r>
      <w:r>
        <w:rPr>
          <w:rFonts w:ascii="Times New Roman" w:hAnsi="Times New Roman" w:cs="Times New Roman"/>
          <w:sz w:val="24"/>
          <w:szCs w:val="24"/>
        </w:rPr>
        <w:t xml:space="preserve"> </w:t>
      </w:r>
    </w:p>
    <w:p w:rsidR="00B02C8F" w:rsidP="00B02C8F">
      <w:pPr>
        <w:widowControl w:val="0"/>
        <w:autoSpaceDE w:val="0"/>
        <w:autoSpaceDN w:val="0"/>
        <w:adjustRightInd w:val="0"/>
        <w:spacing w:after="0" w:line="240" w:lineRule="auto"/>
        <w:ind w:firstLine="720"/>
        <w:rPr>
          <w:rFonts w:ascii="Times New Roman" w:hAnsi="Times New Roman" w:cs="Times New Roman"/>
          <w:sz w:val="24"/>
          <w:szCs w:val="24"/>
        </w:rPr>
      </w:pPr>
    </w:p>
    <w:p w:rsidR="000B618B" w:rsidP="00B02C8F">
      <w:pPr>
        <w:widowControl w:val="0"/>
        <w:numPr>
          <w:ilvl w:val="0"/>
          <w:numId w:val="1"/>
        </w:numPr>
        <w:autoSpaceDE w:val="0"/>
        <w:autoSpaceDN w:val="0"/>
        <w:adjustRightInd w:val="0"/>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A</w:t>
      </w:r>
      <w:r w:rsidRPr="008F138D">
        <w:rPr>
          <w:rFonts w:ascii="Times New Roman" w:hAnsi="Times New Roman" w:cs="Times New Roman"/>
          <w:b/>
          <w:sz w:val="24"/>
          <w:szCs w:val="24"/>
        </w:rPr>
        <w:t>RGUMENT</w:t>
      </w:r>
    </w:p>
    <w:p w:rsidR="000B618B" w:rsidRPr="000B618B" w:rsidP="00B02C8F">
      <w:pPr>
        <w:pStyle w:val="ListParagraph"/>
        <w:widowControl w:val="0"/>
        <w:numPr>
          <w:ilvl w:val="0"/>
          <w:numId w:val="3"/>
        </w:numPr>
        <w:autoSpaceDE w:val="0"/>
        <w:autoSpaceDN w:val="0"/>
        <w:adjustRightInd w:val="0"/>
        <w:spacing w:after="0" w:line="240" w:lineRule="auto"/>
        <w:ind w:left="1440" w:right="720" w:hanging="720"/>
        <w:rPr>
          <w:rFonts w:ascii="Times New Roman" w:hAnsi="Times New Roman" w:cs="Times New Roman"/>
          <w:b/>
          <w:sz w:val="24"/>
          <w:szCs w:val="24"/>
        </w:rPr>
      </w:pPr>
      <w:r w:rsidRPr="00890320">
        <w:rPr>
          <w:rFonts w:ascii="Times New Roman" w:hAnsi="Times New Roman" w:cs="Times New Roman"/>
          <w:b/>
          <w:sz w:val="24"/>
          <w:szCs w:val="24"/>
        </w:rPr>
        <w:t>FES’</w:t>
      </w:r>
      <w:r w:rsidR="00350CD3">
        <w:rPr>
          <w:rFonts w:ascii="Times New Roman" w:hAnsi="Times New Roman" w:cs="Times New Roman"/>
          <w:b/>
          <w:sz w:val="24"/>
          <w:szCs w:val="24"/>
        </w:rPr>
        <w:t>s</w:t>
      </w:r>
      <w:r>
        <w:rPr>
          <w:rFonts w:ascii="Times New Roman" w:hAnsi="Times New Roman" w:cs="Times New Roman"/>
          <w:b/>
          <w:sz w:val="24"/>
          <w:szCs w:val="24"/>
        </w:rPr>
        <w:t xml:space="preserve"> failure to comply with the PUCO’s rules</w:t>
      </w:r>
      <w:r w:rsidR="006D7F1D">
        <w:rPr>
          <w:rFonts w:ascii="Times New Roman" w:hAnsi="Times New Roman" w:cs="Times New Roman"/>
          <w:b/>
          <w:sz w:val="24"/>
          <w:szCs w:val="24"/>
        </w:rPr>
        <w:t>,</w:t>
      </w:r>
      <w:r>
        <w:rPr>
          <w:rFonts w:ascii="Times New Roman" w:hAnsi="Times New Roman" w:cs="Times New Roman"/>
          <w:b/>
          <w:sz w:val="24"/>
          <w:szCs w:val="24"/>
        </w:rPr>
        <w:t xml:space="preserve"> </w:t>
      </w:r>
      <w:r w:rsidR="00A829CF">
        <w:rPr>
          <w:rFonts w:ascii="Times New Roman" w:hAnsi="Times New Roman" w:cs="Times New Roman"/>
          <w:b/>
          <w:sz w:val="24"/>
          <w:szCs w:val="24"/>
        </w:rPr>
        <w:t xml:space="preserve">stated </w:t>
      </w:r>
      <w:r w:rsidR="006D7F1D">
        <w:rPr>
          <w:rFonts w:ascii="Times New Roman" w:hAnsi="Times New Roman" w:cs="Times New Roman"/>
          <w:b/>
          <w:sz w:val="24"/>
          <w:szCs w:val="24"/>
        </w:rPr>
        <w:t xml:space="preserve">intent to exit the merchant generation business, and impending reorganization </w:t>
      </w:r>
      <w:r>
        <w:rPr>
          <w:rFonts w:ascii="Times New Roman" w:hAnsi="Times New Roman" w:cs="Times New Roman"/>
          <w:b/>
          <w:sz w:val="24"/>
          <w:szCs w:val="24"/>
        </w:rPr>
        <w:t>creates a case or controversy in which OCC should be allowed to intervene</w:t>
      </w:r>
      <w:r w:rsidR="00A60A1F">
        <w:rPr>
          <w:rFonts w:ascii="Times New Roman" w:hAnsi="Times New Roman" w:cs="Times New Roman"/>
          <w:b/>
          <w:sz w:val="24"/>
          <w:szCs w:val="24"/>
        </w:rPr>
        <w:t xml:space="preserve"> for Ohio consumers</w:t>
      </w:r>
      <w:r>
        <w:rPr>
          <w:rFonts w:ascii="Times New Roman" w:hAnsi="Times New Roman" w:cs="Times New Roman"/>
          <w:b/>
          <w:sz w:val="24"/>
          <w:szCs w:val="24"/>
        </w:rPr>
        <w:t xml:space="preserve">. </w:t>
      </w:r>
    </w:p>
    <w:p w:rsidR="000B618B" w:rsidP="00350CD3">
      <w:pPr>
        <w:widowControl w:val="0"/>
        <w:autoSpaceDE w:val="0"/>
        <w:autoSpaceDN w:val="0"/>
        <w:adjustRightInd w:val="0"/>
        <w:spacing w:after="0" w:line="240" w:lineRule="auto"/>
        <w:rPr>
          <w:rFonts w:ascii="Times New Roman" w:hAnsi="Times New Roman" w:cs="Times New Roman"/>
          <w:b/>
          <w:sz w:val="24"/>
          <w:szCs w:val="24"/>
        </w:rPr>
      </w:pPr>
    </w:p>
    <w:p w:rsidR="000B618B" w:rsidP="00350CD3">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hopes of excluding OCC from these proceedings, FES claims there is no real “case and controversy” and no active or pending proceeding in which to intervene.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However, this argument </w:t>
      </w:r>
      <w:r w:rsidR="00A829CF">
        <w:rPr>
          <w:rFonts w:ascii="Times New Roman" w:hAnsi="Times New Roman" w:cs="Times New Roman"/>
          <w:sz w:val="24"/>
          <w:szCs w:val="24"/>
        </w:rPr>
        <w:t xml:space="preserve">simply </w:t>
      </w:r>
      <w:r>
        <w:rPr>
          <w:rFonts w:ascii="Times New Roman" w:hAnsi="Times New Roman" w:cs="Times New Roman"/>
          <w:sz w:val="24"/>
          <w:szCs w:val="24"/>
        </w:rPr>
        <w:t>ignores FES’</w:t>
      </w:r>
      <w:r w:rsidR="00350CD3">
        <w:rPr>
          <w:rFonts w:ascii="Times New Roman" w:hAnsi="Times New Roman" w:cs="Times New Roman"/>
          <w:sz w:val="24"/>
          <w:szCs w:val="24"/>
        </w:rPr>
        <w:t>s</w:t>
      </w:r>
      <w:r>
        <w:rPr>
          <w:rFonts w:ascii="Times New Roman" w:hAnsi="Times New Roman" w:cs="Times New Roman"/>
          <w:sz w:val="24"/>
          <w:szCs w:val="24"/>
        </w:rPr>
        <w:t xml:space="preserve"> own ongoing certification before the PUCO.  </w:t>
      </w:r>
      <w:r w:rsidR="00A829CF">
        <w:rPr>
          <w:rFonts w:ascii="Times New Roman" w:hAnsi="Times New Roman" w:cs="Times New Roman"/>
          <w:sz w:val="24"/>
          <w:szCs w:val="24"/>
        </w:rPr>
        <w:t>FES has a current certificate that was issued in the above-captioned proceeding that creates an ongoing duty to follow the PUCO rules, file annual reports, and notify the PUCO of material changes to the information contained in its most recent renewal application.</w:t>
      </w:r>
      <w:r>
        <w:rPr>
          <w:rStyle w:val="FootnoteReference"/>
          <w:rFonts w:ascii="Times New Roman" w:hAnsi="Times New Roman" w:cs="Times New Roman"/>
          <w:sz w:val="24"/>
          <w:szCs w:val="24"/>
        </w:rPr>
        <w:footnoteReference w:id="3"/>
      </w:r>
      <w:r w:rsidR="00A829CF">
        <w:rPr>
          <w:rFonts w:ascii="Times New Roman" w:hAnsi="Times New Roman" w:cs="Times New Roman"/>
          <w:sz w:val="24"/>
          <w:szCs w:val="24"/>
        </w:rPr>
        <w:t xml:space="preserve">  FES has failed to comply with the PUCO’s rules.  Further, a</w:t>
      </w:r>
      <w:r>
        <w:rPr>
          <w:rFonts w:ascii="Times New Roman" w:hAnsi="Times New Roman" w:cs="Times New Roman"/>
          <w:sz w:val="24"/>
          <w:szCs w:val="24"/>
        </w:rPr>
        <w:t>s conceded by FES, it ha</w:t>
      </w:r>
      <w:r w:rsidR="00A829CF">
        <w:rPr>
          <w:rFonts w:ascii="Times New Roman" w:hAnsi="Times New Roman" w:cs="Times New Roman"/>
          <w:sz w:val="24"/>
          <w:szCs w:val="24"/>
        </w:rPr>
        <w:t>s</w:t>
      </w:r>
      <w:r>
        <w:rPr>
          <w:rFonts w:ascii="Times New Roman" w:hAnsi="Times New Roman" w:cs="Times New Roman"/>
          <w:sz w:val="24"/>
          <w:szCs w:val="24"/>
        </w:rPr>
        <w:t xml:space="preserve"> been continuously renewing its CRES application over sixteen years and the deadline to renew its current certificate is October 3, 2018.    Because FES continuously renews its application and because it has a duty to continually </w:t>
      </w:r>
      <w:r w:rsidR="00A829CF">
        <w:rPr>
          <w:rFonts w:ascii="Times New Roman" w:hAnsi="Times New Roman" w:cs="Times New Roman"/>
          <w:sz w:val="24"/>
          <w:szCs w:val="24"/>
        </w:rPr>
        <w:t>notify the PUCO</w:t>
      </w:r>
      <w:r>
        <w:rPr>
          <w:rFonts w:ascii="Times New Roman" w:hAnsi="Times New Roman" w:cs="Times New Roman"/>
          <w:sz w:val="24"/>
          <w:szCs w:val="24"/>
        </w:rPr>
        <w:t xml:space="preserve"> of material changes, there is a case or controversy in which OCC </w:t>
      </w:r>
      <w:r w:rsidR="00A829CF">
        <w:rPr>
          <w:rFonts w:ascii="Times New Roman" w:hAnsi="Times New Roman" w:cs="Times New Roman"/>
          <w:sz w:val="24"/>
          <w:szCs w:val="24"/>
        </w:rPr>
        <w:t xml:space="preserve">is entitled </w:t>
      </w:r>
      <w:r>
        <w:rPr>
          <w:rFonts w:ascii="Times New Roman" w:hAnsi="Times New Roman" w:cs="Times New Roman"/>
          <w:sz w:val="24"/>
          <w:szCs w:val="24"/>
        </w:rPr>
        <w:t>to intervene</w:t>
      </w:r>
      <w:r w:rsidR="00D968D7">
        <w:rPr>
          <w:rFonts w:ascii="Times New Roman" w:hAnsi="Times New Roman" w:cs="Times New Roman"/>
          <w:sz w:val="24"/>
          <w:szCs w:val="24"/>
        </w:rPr>
        <w:t xml:space="preserve"> under R.C. 4903.221</w:t>
      </w:r>
      <w:r>
        <w:rPr>
          <w:rFonts w:ascii="Times New Roman" w:hAnsi="Times New Roman" w:cs="Times New Roman"/>
          <w:sz w:val="24"/>
          <w:szCs w:val="24"/>
        </w:rPr>
        <w:t xml:space="preserve">. </w:t>
      </w:r>
    </w:p>
    <w:p w:rsidR="00B02C8F" w:rsidP="00350CD3">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B618B" w:rsidP="00350CD3">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29CF">
        <w:rPr>
          <w:rFonts w:ascii="Times New Roman" w:hAnsi="Times New Roman" w:cs="Times New Roman"/>
          <w:sz w:val="24"/>
          <w:szCs w:val="24"/>
        </w:rPr>
        <w:t>Specifically</w:t>
      </w:r>
      <w:r>
        <w:rPr>
          <w:rFonts w:ascii="Times New Roman" w:hAnsi="Times New Roman" w:cs="Times New Roman"/>
          <w:sz w:val="24"/>
          <w:szCs w:val="24"/>
        </w:rPr>
        <w:t>,</w:t>
      </w:r>
      <w:r w:rsidR="00C05948">
        <w:rPr>
          <w:rFonts w:ascii="Times New Roman" w:hAnsi="Times New Roman" w:cs="Times New Roman"/>
          <w:sz w:val="24"/>
          <w:szCs w:val="24"/>
        </w:rPr>
        <w:t xml:space="preserve"> </w:t>
      </w:r>
      <w:r>
        <w:rPr>
          <w:rFonts w:ascii="Times New Roman" w:hAnsi="Times New Roman" w:cs="Times New Roman"/>
          <w:sz w:val="24"/>
          <w:szCs w:val="24"/>
        </w:rPr>
        <w:t>FES is required to notify the PUCO if its “</w:t>
      </w:r>
      <w:r w:rsidRPr="00262114">
        <w:rPr>
          <w:rFonts w:ascii="Times New Roman" w:hAnsi="Times New Roman" w:cs="Times New Roman"/>
          <w:sz w:val="24"/>
          <w:szCs w:val="24"/>
        </w:rPr>
        <w:t>bond rating falls below BBB as reported by Standard &amp; Poor</w:t>
      </w:r>
      <w:r w:rsidR="00350CD3">
        <w:rPr>
          <w:rFonts w:ascii="Times New Roman" w:hAnsi="Times New Roman" w:cs="Times New Roman"/>
          <w:sz w:val="24"/>
          <w:szCs w:val="24"/>
        </w:rPr>
        <w:t>’</w:t>
      </w:r>
      <w:r w:rsidRPr="00262114">
        <w:rPr>
          <w:rFonts w:ascii="Times New Roman" w:hAnsi="Times New Roman" w:cs="Times New Roman"/>
          <w:sz w:val="24"/>
          <w:szCs w:val="24"/>
        </w:rPr>
        <w:t>s</w:t>
      </w:r>
      <w:r>
        <w:rPr>
          <w:rFonts w:ascii="Times New Roman" w:hAnsi="Times New Roman" w:cs="Times New Roman"/>
          <w:sz w:val="24"/>
          <w:szCs w:val="24"/>
        </w:rPr>
        <w:t xml:space="preserve"> </w:t>
      </w:r>
      <w:r w:rsidR="00350CD3">
        <w:rPr>
          <w:rFonts w:ascii="Times New Roman" w:hAnsi="Times New Roman" w:cs="Times New Roman"/>
          <w:sz w:val="24"/>
          <w:szCs w:val="24"/>
        </w:rPr>
        <w:t>[</w:t>
      </w:r>
      <w:r>
        <w:rPr>
          <w:rFonts w:ascii="Times New Roman" w:hAnsi="Times New Roman" w:cs="Times New Roman"/>
          <w:sz w:val="24"/>
          <w:szCs w:val="24"/>
        </w:rPr>
        <w:t>“S&amp;P</w:t>
      </w:r>
      <w:r w:rsidR="00350CD3">
        <w:rPr>
          <w:rFonts w:ascii="Times New Roman" w:hAnsi="Times New Roman" w:cs="Times New Roman"/>
          <w:sz w:val="24"/>
          <w:szCs w:val="24"/>
        </w:rPr>
        <w:t>”]</w:t>
      </w:r>
      <w:r w:rsidRPr="00262114">
        <w:rPr>
          <w:rFonts w:ascii="Times New Roman" w:hAnsi="Times New Roman" w:cs="Times New Roman"/>
          <w:sz w:val="24"/>
          <w:szCs w:val="24"/>
        </w:rPr>
        <w:t>, or below Baa3 as reported by Mo</w:t>
      </w:r>
      <w:r>
        <w:rPr>
          <w:rFonts w:ascii="Times New Roman" w:hAnsi="Times New Roman" w:cs="Times New Roman"/>
          <w:sz w:val="24"/>
          <w:szCs w:val="24"/>
        </w:rPr>
        <w:t>ody’</w:t>
      </w:r>
      <w:r w:rsidRPr="00262114">
        <w:rPr>
          <w:rFonts w:ascii="Times New Roman" w:hAnsi="Times New Roman" w:cs="Times New Roman"/>
          <w:sz w:val="24"/>
          <w:szCs w:val="24"/>
        </w:rPr>
        <w:t>s investors service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As FES indicates, its bond rating as reported by Moody’s Investment Services already dropped below investment grade to Caa1</w:t>
      </w:r>
      <w:r w:rsidR="00A829CF">
        <w:rPr>
          <w:rFonts w:ascii="Times New Roman" w:hAnsi="Times New Roman" w:cs="Times New Roman"/>
          <w:sz w:val="24"/>
          <w:szCs w:val="24"/>
        </w:rPr>
        <w:t xml:space="preserve"> in 2016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FES properly notified the PUCO.</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However, in August 2017, S&amp;P also downgraded FES to below investment grade with a rating of CCC-.</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FES’</w:t>
      </w:r>
      <w:r w:rsidR="00350CD3">
        <w:rPr>
          <w:rFonts w:ascii="Times New Roman" w:hAnsi="Times New Roman" w:cs="Times New Roman"/>
          <w:sz w:val="24"/>
          <w:szCs w:val="24"/>
        </w:rPr>
        <w:t>s</w:t>
      </w:r>
      <w:r>
        <w:rPr>
          <w:rFonts w:ascii="Times New Roman" w:hAnsi="Times New Roman" w:cs="Times New Roman"/>
          <w:sz w:val="24"/>
          <w:szCs w:val="24"/>
        </w:rPr>
        <w:t xml:space="preserve"> earlier second quarter Quarterly </w:t>
      </w:r>
      <w:r w:rsidR="00350CD3">
        <w:rPr>
          <w:rFonts w:ascii="Times New Roman" w:hAnsi="Times New Roman" w:cs="Times New Roman"/>
          <w:sz w:val="24"/>
          <w:szCs w:val="24"/>
        </w:rPr>
        <w:t>H</w:t>
      </w:r>
      <w:r>
        <w:rPr>
          <w:rFonts w:ascii="Times New Roman" w:hAnsi="Times New Roman" w:cs="Times New Roman"/>
          <w:sz w:val="24"/>
          <w:szCs w:val="24"/>
        </w:rPr>
        <w:t>ighlights also indicates a S&amp;P rating of CCC.</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Because FES indicated a S&amp;P rating of BB- in its most recent renewal application,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FES was required to notify the PUCO of this downgrade within 30 days.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FES has failed to do so.  FES’</w:t>
      </w:r>
      <w:r w:rsidR="00350CD3">
        <w:rPr>
          <w:rFonts w:ascii="Times New Roman" w:hAnsi="Times New Roman" w:cs="Times New Roman"/>
          <w:sz w:val="24"/>
          <w:szCs w:val="24"/>
        </w:rPr>
        <w:t>s</w:t>
      </w:r>
      <w:r>
        <w:rPr>
          <w:rFonts w:ascii="Times New Roman" w:hAnsi="Times New Roman" w:cs="Times New Roman"/>
          <w:sz w:val="24"/>
          <w:szCs w:val="24"/>
        </w:rPr>
        <w:t xml:space="preserve"> failure to comply with the PUCO’s rules, which are intended to ensure financial stability, creates a case </w:t>
      </w:r>
      <w:r w:rsidR="00A357AE">
        <w:rPr>
          <w:rFonts w:ascii="Times New Roman" w:hAnsi="Times New Roman" w:cs="Times New Roman"/>
          <w:sz w:val="24"/>
          <w:szCs w:val="24"/>
        </w:rPr>
        <w:t>or</w:t>
      </w:r>
      <w:r>
        <w:rPr>
          <w:rFonts w:ascii="Times New Roman" w:hAnsi="Times New Roman" w:cs="Times New Roman"/>
          <w:sz w:val="24"/>
          <w:szCs w:val="24"/>
        </w:rPr>
        <w:t xml:space="preserve"> controversy in this proceeding in which OCC has a real and substantial interest. </w:t>
      </w:r>
    </w:p>
    <w:p w:rsidR="000B618B" w:rsidP="00350CD3">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Moreover, Chuck Jones, FirstEnergy CEO, has made public FES’</w:t>
      </w:r>
      <w:r w:rsidR="00350CD3">
        <w:rPr>
          <w:rFonts w:ascii="Times New Roman" w:hAnsi="Times New Roman" w:cs="Times New Roman"/>
          <w:sz w:val="24"/>
          <w:szCs w:val="24"/>
        </w:rPr>
        <w:t>s</w:t>
      </w:r>
      <w:r>
        <w:rPr>
          <w:rFonts w:ascii="Times New Roman" w:hAnsi="Times New Roman" w:cs="Times New Roman"/>
          <w:sz w:val="24"/>
          <w:szCs w:val="24"/>
        </w:rPr>
        <w:t xml:space="preserve"> intent to exit the merchant generation business and has initiated discussions with creditors.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A357AE">
        <w:rPr>
          <w:rFonts w:ascii="Times New Roman" w:hAnsi="Times New Roman" w:cs="Times New Roman"/>
          <w:sz w:val="24"/>
          <w:szCs w:val="24"/>
        </w:rPr>
        <w:t>Evidently, m</w:t>
      </w:r>
      <w:r>
        <w:rPr>
          <w:rFonts w:ascii="Times New Roman" w:hAnsi="Times New Roman" w:cs="Times New Roman"/>
          <w:sz w:val="24"/>
          <w:szCs w:val="24"/>
        </w:rPr>
        <w:t xml:space="preserve">ore information is required to determine what FES means by its intent to exit the merchant generation business.  </w:t>
      </w:r>
      <w:r w:rsidR="00C05948">
        <w:rPr>
          <w:rFonts w:ascii="Times New Roman" w:hAnsi="Times New Roman" w:cs="Times New Roman"/>
          <w:sz w:val="24"/>
          <w:szCs w:val="24"/>
        </w:rPr>
        <w:t>However, a</w:t>
      </w:r>
      <w:r>
        <w:rPr>
          <w:rFonts w:ascii="Times New Roman" w:hAnsi="Times New Roman" w:cs="Times New Roman"/>
          <w:sz w:val="24"/>
          <w:szCs w:val="24"/>
        </w:rPr>
        <w:t>ny intent to cease providing CRES services would assuredly affect residential customers in contract with FES and creates a “real and substantial interest” in this ongoing proceeding.</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0B618B" w:rsidP="00350CD3">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 the act of FES initiating discussions with creditors regarding structured settlement is a clear indication </w:t>
      </w:r>
      <w:r w:rsidR="00117D5C">
        <w:rPr>
          <w:rFonts w:ascii="Times New Roman" w:hAnsi="Times New Roman" w:cs="Times New Roman"/>
          <w:sz w:val="24"/>
          <w:szCs w:val="24"/>
        </w:rPr>
        <w:t xml:space="preserve">that </w:t>
      </w:r>
      <w:r>
        <w:rPr>
          <w:rFonts w:ascii="Times New Roman" w:hAnsi="Times New Roman" w:cs="Times New Roman"/>
          <w:sz w:val="24"/>
          <w:szCs w:val="24"/>
        </w:rPr>
        <w:t>FES intends to file for reorganization.  The possibility of FES filing for reorganization is more than a “hypothetical future event</w:t>
      </w:r>
      <w:r w:rsidR="00890320">
        <w:rPr>
          <w:rFonts w:ascii="Times New Roman" w:hAnsi="Times New Roman" w:cs="Times New Roman"/>
          <w:sz w:val="24"/>
          <w:szCs w:val="24"/>
        </w:rPr>
        <w:t>,</w:t>
      </w:r>
      <w:r>
        <w:rPr>
          <w:rFonts w:ascii="Times New Roman" w:hAnsi="Times New Roman" w:cs="Times New Roman"/>
          <w:sz w:val="24"/>
          <w:szCs w:val="24"/>
        </w:rPr>
        <w:t>”</w:t>
      </w:r>
      <w:r w:rsidR="00890320">
        <w:rPr>
          <w:rFonts w:ascii="Times New Roman" w:hAnsi="Times New Roman" w:cs="Times New Roman"/>
          <w:sz w:val="24"/>
          <w:szCs w:val="24"/>
        </w:rPr>
        <w:t xml:space="preserve"> contrary to FES’</w:t>
      </w:r>
      <w:r w:rsidR="00350CD3">
        <w:rPr>
          <w:rFonts w:ascii="Times New Roman" w:hAnsi="Times New Roman" w:cs="Times New Roman"/>
          <w:sz w:val="24"/>
          <w:szCs w:val="24"/>
        </w:rPr>
        <w:t>s</w:t>
      </w:r>
      <w:r w:rsidR="00890320">
        <w:rPr>
          <w:rFonts w:ascii="Times New Roman" w:hAnsi="Times New Roman" w:cs="Times New Roman"/>
          <w:sz w:val="24"/>
          <w:szCs w:val="24"/>
        </w:rPr>
        <w:t xml:space="preserve"> framing of the issue.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FirstEnergy, in its October 26, 2017 quarterly report to the Securities and Exchange Commission (“SEC”), stated</w:t>
      </w:r>
      <w:r w:rsidR="00350CD3">
        <w:rPr>
          <w:rFonts w:ascii="Times New Roman" w:hAnsi="Times New Roman" w:cs="Times New Roman"/>
          <w:sz w:val="24"/>
          <w:szCs w:val="24"/>
        </w:rPr>
        <w:t>:</w:t>
      </w:r>
      <w:r>
        <w:rPr>
          <w:rFonts w:ascii="Times New Roman" w:hAnsi="Times New Roman" w:cs="Times New Roman"/>
          <w:sz w:val="24"/>
          <w:szCs w:val="24"/>
        </w:rPr>
        <w:t xml:space="preserve"> “</w:t>
      </w:r>
      <w:r w:rsidRPr="002A581F">
        <w:rPr>
          <w:rFonts w:ascii="Times New Roman" w:eastAsia="Times New Roman" w:hAnsi="Times New Roman" w:cs="Times New Roman"/>
          <w:sz w:val="24"/>
          <w:szCs w:val="24"/>
        </w:rPr>
        <w:t>the risks and uncertainties associated with the lack of viable alternative strategies regarding the Competitive Energy Services (CES) segment, thereby causing FirstEnergy Solutions Corp. (FES), and likely FirstEnergy Nuclear Operating Company (FENOC), to restructure its substantial debt and other financial obligations with its creditors or seek protection under United States bankruptcy laws and the losses, liabilities and claims arising from such bankruptcy proceeding, including any ob</w:t>
      </w:r>
      <w:r>
        <w:rPr>
          <w:rFonts w:ascii="Times New Roman" w:eastAsia="Times New Roman" w:hAnsi="Times New Roman" w:cs="Times New Roman"/>
          <w:sz w:val="24"/>
          <w:szCs w:val="24"/>
        </w:rPr>
        <w:t>ligations at FirstEnergy Corp.”</w:t>
      </w:r>
      <w:r>
        <w:rPr>
          <w:rStyle w:val="FootnoteReference"/>
          <w:rFonts w:ascii="Times New Roman" w:eastAsia="Times New Roman" w:hAnsi="Times New Roman" w:cs="Times New Roman"/>
          <w:sz w:val="24"/>
          <w:szCs w:val="24"/>
        </w:rPr>
        <w:footnoteReference w:id="14"/>
      </w:r>
      <w:r>
        <w:rPr>
          <w:rFonts w:ascii="Times New Roman" w:hAnsi="Times New Roman" w:cs="Times New Roman"/>
          <w:sz w:val="24"/>
          <w:szCs w:val="24"/>
        </w:rPr>
        <w:t xml:space="preserve">  </w:t>
      </w:r>
    </w:p>
    <w:p w:rsidR="000B618B" w:rsidRPr="00890320" w:rsidP="00350CD3">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Not only is FES required to notify the PUCO if it intends to file for reorganization,</w:t>
      </w:r>
      <w:r w:rsidRPr="000B618B">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but this reorganization necessarily is an event in which </w:t>
      </w:r>
      <w:r w:rsidR="00117D5C">
        <w:rPr>
          <w:rFonts w:ascii="Times New Roman" w:hAnsi="Times New Roman" w:cs="Times New Roman"/>
          <w:sz w:val="24"/>
          <w:szCs w:val="24"/>
        </w:rPr>
        <w:t xml:space="preserve">its </w:t>
      </w:r>
      <w:r>
        <w:rPr>
          <w:rFonts w:ascii="Times New Roman" w:hAnsi="Times New Roman" w:cs="Times New Roman"/>
          <w:sz w:val="24"/>
          <w:szCs w:val="24"/>
        </w:rPr>
        <w:t xml:space="preserve">Ohio residential customers have a real </w:t>
      </w:r>
      <w:r w:rsidR="001D053B">
        <w:rPr>
          <w:rFonts w:ascii="Times New Roman" w:hAnsi="Times New Roman" w:cs="Times New Roman"/>
          <w:sz w:val="24"/>
          <w:szCs w:val="24"/>
        </w:rPr>
        <w:t xml:space="preserve">and substantial </w:t>
      </w:r>
      <w:r>
        <w:rPr>
          <w:rFonts w:ascii="Times New Roman" w:hAnsi="Times New Roman" w:cs="Times New Roman"/>
          <w:sz w:val="24"/>
          <w:szCs w:val="24"/>
        </w:rPr>
        <w:t>interest.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Therefore, FES’</w:t>
      </w:r>
      <w:r w:rsidR="00350CD3">
        <w:rPr>
          <w:rFonts w:ascii="Times New Roman" w:hAnsi="Times New Roman" w:cs="Times New Roman"/>
          <w:sz w:val="24"/>
          <w:szCs w:val="24"/>
        </w:rPr>
        <w:t>s</w:t>
      </w:r>
      <w:r>
        <w:rPr>
          <w:rFonts w:ascii="Times New Roman" w:hAnsi="Times New Roman" w:cs="Times New Roman"/>
          <w:sz w:val="24"/>
          <w:szCs w:val="24"/>
        </w:rPr>
        <w:t xml:space="preserve"> failure to comply with the PUCO’s rules</w:t>
      </w:r>
      <w:r w:rsidR="00C05948">
        <w:rPr>
          <w:rFonts w:ascii="Times New Roman" w:hAnsi="Times New Roman" w:cs="Times New Roman"/>
          <w:sz w:val="24"/>
          <w:szCs w:val="24"/>
        </w:rPr>
        <w:t xml:space="preserve"> – </w:t>
      </w:r>
      <w:r>
        <w:rPr>
          <w:rFonts w:ascii="Times New Roman" w:hAnsi="Times New Roman" w:cs="Times New Roman"/>
          <w:sz w:val="24"/>
          <w:szCs w:val="24"/>
        </w:rPr>
        <w:t>failing to report its S&amp;P downgrade and in</w:t>
      </w:r>
      <w:r w:rsidR="00C05948">
        <w:rPr>
          <w:rFonts w:ascii="Times New Roman" w:hAnsi="Times New Roman" w:cs="Times New Roman"/>
          <w:sz w:val="24"/>
          <w:szCs w:val="24"/>
        </w:rPr>
        <w:t xml:space="preserve">tent to file for reorganization – </w:t>
      </w:r>
      <w:r>
        <w:rPr>
          <w:rFonts w:ascii="Times New Roman" w:hAnsi="Times New Roman" w:cs="Times New Roman"/>
          <w:sz w:val="24"/>
          <w:szCs w:val="24"/>
        </w:rPr>
        <w:t xml:space="preserve">creates a case or controversy and proceeding in which the OCC may intervene. </w:t>
      </w:r>
    </w:p>
    <w:p w:rsidR="00134B2C">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B618B" w:rsidP="00B02C8F">
      <w:pPr>
        <w:widowControl w:val="0"/>
        <w:numPr>
          <w:ilvl w:val="0"/>
          <w:numId w:val="3"/>
        </w:numPr>
        <w:autoSpaceDE w:val="0"/>
        <w:autoSpaceDN w:val="0"/>
        <w:adjustRightInd w:val="0"/>
        <w:spacing w:after="0" w:line="240" w:lineRule="auto"/>
        <w:ind w:left="1440" w:right="720" w:hanging="720"/>
        <w:rPr>
          <w:rFonts w:ascii="Times New Roman" w:hAnsi="Times New Roman" w:cs="Times New Roman"/>
          <w:b/>
          <w:sz w:val="24"/>
          <w:szCs w:val="24"/>
        </w:rPr>
      </w:pPr>
      <w:r>
        <w:rPr>
          <w:rFonts w:ascii="Times New Roman" w:hAnsi="Times New Roman" w:cs="Times New Roman"/>
          <w:b/>
          <w:sz w:val="24"/>
          <w:szCs w:val="24"/>
        </w:rPr>
        <w:t xml:space="preserve">Because OCC has a real and substantial interest </w:t>
      </w:r>
      <w:r w:rsidR="00A60A1F">
        <w:rPr>
          <w:rFonts w:ascii="Times New Roman" w:hAnsi="Times New Roman" w:cs="Times New Roman"/>
          <w:b/>
          <w:sz w:val="24"/>
          <w:szCs w:val="24"/>
        </w:rPr>
        <w:t xml:space="preserve">for Ohio consumers </w:t>
      </w:r>
      <w:r>
        <w:rPr>
          <w:rFonts w:ascii="Times New Roman" w:hAnsi="Times New Roman" w:cs="Times New Roman"/>
          <w:b/>
          <w:sz w:val="24"/>
          <w:szCs w:val="24"/>
        </w:rPr>
        <w:t xml:space="preserve">in these proceedings, intervention should be granted. </w:t>
      </w:r>
    </w:p>
    <w:p w:rsidR="000B618B" w:rsidP="00350CD3">
      <w:pPr>
        <w:widowControl w:val="0"/>
        <w:autoSpaceDE w:val="0"/>
        <w:autoSpaceDN w:val="0"/>
        <w:adjustRightInd w:val="0"/>
        <w:spacing w:after="0" w:line="240" w:lineRule="auto"/>
        <w:rPr>
          <w:rFonts w:ascii="Times New Roman" w:hAnsi="Times New Roman" w:cs="Times New Roman"/>
          <w:b/>
          <w:sz w:val="24"/>
          <w:szCs w:val="24"/>
        </w:rPr>
      </w:pPr>
    </w:p>
    <w:p w:rsidR="000B618B" w:rsidP="00B02C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05948">
        <w:rPr>
          <w:rFonts w:ascii="Times New Roman" w:hAnsi="Times New Roman" w:cs="Times New Roman"/>
          <w:sz w:val="24"/>
          <w:szCs w:val="24"/>
        </w:rPr>
        <w:t>he Supreme Court of Ohio has held that “</w:t>
      </w:r>
      <w:r w:rsidRPr="002A581F" w:rsidR="00C05948">
        <w:rPr>
          <w:rFonts w:ascii="Times New Roman" w:hAnsi="Times New Roman" w:cs="Times New Roman"/>
          <w:sz w:val="24"/>
          <w:szCs w:val="24"/>
        </w:rPr>
        <w:t>whether or not a hearing is held, intervention ought to be liberally allowed so that the positions of all persons with a real and substantial interest in the proceedings can be considered by the PUCO.</w:t>
      </w:r>
      <w:r w:rsidR="00C05948">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00890320">
        <w:rPr>
          <w:rFonts w:ascii="Times New Roman" w:hAnsi="Times New Roman" w:cs="Times New Roman"/>
          <w:sz w:val="24"/>
          <w:szCs w:val="24"/>
        </w:rPr>
        <w:t xml:space="preserve"> </w:t>
      </w:r>
      <w:r w:rsidR="00C05948">
        <w:rPr>
          <w:rFonts w:ascii="Times New Roman" w:hAnsi="Times New Roman" w:cs="Times New Roman"/>
          <w:sz w:val="24"/>
          <w:szCs w:val="24"/>
        </w:rPr>
        <w:t xml:space="preserve"> However,</w:t>
      </w:r>
      <w:r w:rsidR="00C05948">
        <w:rPr>
          <w:rFonts w:ascii="Times New Roman" w:hAnsi="Times New Roman" w:cs="Times New Roman"/>
          <w:b/>
          <w:sz w:val="24"/>
          <w:szCs w:val="24"/>
        </w:rPr>
        <w:t xml:space="preserve"> </w:t>
      </w:r>
      <w:r w:rsidR="00C05948">
        <w:rPr>
          <w:rFonts w:ascii="Times New Roman" w:hAnsi="Times New Roman" w:cs="Times New Roman"/>
          <w:sz w:val="24"/>
          <w:szCs w:val="24"/>
        </w:rPr>
        <w:t>i</w:t>
      </w:r>
      <w:r>
        <w:rPr>
          <w:rFonts w:ascii="Times New Roman" w:hAnsi="Times New Roman" w:cs="Times New Roman"/>
          <w:sz w:val="24"/>
          <w:szCs w:val="24"/>
        </w:rPr>
        <w:t xml:space="preserve">n </w:t>
      </w:r>
      <w:r w:rsidR="00117D5C">
        <w:rPr>
          <w:rFonts w:ascii="Times New Roman" w:hAnsi="Times New Roman" w:cs="Times New Roman"/>
          <w:sz w:val="24"/>
          <w:szCs w:val="24"/>
        </w:rPr>
        <w:t>an effort</w:t>
      </w:r>
      <w:r w:rsidR="00C05948">
        <w:rPr>
          <w:rFonts w:ascii="Times New Roman" w:hAnsi="Times New Roman" w:cs="Times New Roman"/>
          <w:sz w:val="24"/>
          <w:szCs w:val="24"/>
        </w:rPr>
        <w:t xml:space="preserve"> to </w:t>
      </w:r>
      <w:r>
        <w:rPr>
          <w:rFonts w:ascii="Times New Roman" w:hAnsi="Times New Roman" w:cs="Times New Roman"/>
          <w:sz w:val="24"/>
          <w:szCs w:val="24"/>
        </w:rPr>
        <w:t>exclude OCC from these proceedings, FES cites several cases where the PUCO has denied intervention.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0144B0">
        <w:rPr>
          <w:rFonts w:ascii="Times New Roman" w:hAnsi="Times New Roman" w:cs="Times New Roman"/>
          <w:sz w:val="24"/>
          <w:szCs w:val="24"/>
        </w:rPr>
        <w:t>Those</w:t>
      </w:r>
      <w:r>
        <w:rPr>
          <w:rFonts w:ascii="Times New Roman" w:hAnsi="Times New Roman" w:cs="Times New Roman"/>
          <w:sz w:val="24"/>
          <w:szCs w:val="24"/>
        </w:rPr>
        <w:t xml:space="preserve"> cases are inapposite. </w:t>
      </w:r>
      <w:r w:rsidR="00890320">
        <w:rPr>
          <w:rFonts w:ascii="Times New Roman" w:hAnsi="Times New Roman" w:cs="Times New Roman"/>
          <w:sz w:val="24"/>
          <w:szCs w:val="24"/>
        </w:rPr>
        <w:t xml:space="preserve"> </w:t>
      </w:r>
      <w:r>
        <w:rPr>
          <w:rFonts w:ascii="Times New Roman" w:hAnsi="Times New Roman" w:cs="Times New Roman"/>
          <w:sz w:val="24"/>
          <w:szCs w:val="24"/>
        </w:rPr>
        <w:t>Only two of the cited cases involved proceedings for a certificate to provide competitive retail natural gas service (“CRNGS”) and none of them involved certification for retail generation providers and power marketers.</w:t>
      </w:r>
    </w:p>
    <w:p w:rsidR="000B618B" w:rsidP="00350CD3">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FES cites to a 2003 case where OCC was denied intervention, this case is inapplicable and has no bearing on the PUCO’s decision here.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In Case No. 02-2583-GA-CRS, OCC was denied intervention because the PUCO had already suspended the applicant’s CRES application, conducted a review, and concluded that no hearing was necessary.</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Because the PUCO granted the applicant’s application without a hearing, OCC’s intervention was no longer necessary.</w:t>
      </w:r>
      <w:r w:rsidR="009D125B">
        <w:rPr>
          <w:rFonts w:ascii="Times New Roman" w:hAnsi="Times New Roman" w:cs="Times New Roman"/>
          <w:sz w:val="24"/>
          <w:szCs w:val="24"/>
        </w:rPr>
        <w:t xml:space="preserve"> </w:t>
      </w:r>
      <w:r>
        <w:rPr>
          <w:rFonts w:ascii="Times New Roman" w:hAnsi="Times New Roman" w:cs="Times New Roman"/>
          <w:sz w:val="24"/>
          <w:szCs w:val="24"/>
        </w:rPr>
        <w:t xml:space="preserve"> Therefore, there was no occasion for the PUCO to reach the que</w:t>
      </w:r>
      <w:r w:rsidR="00890320">
        <w:rPr>
          <w:rFonts w:ascii="Times New Roman" w:hAnsi="Times New Roman" w:cs="Times New Roman"/>
          <w:sz w:val="24"/>
          <w:szCs w:val="24"/>
        </w:rPr>
        <w:t>stion of whether OCC had</w:t>
      </w:r>
      <w:r w:rsidR="00117D5C">
        <w:rPr>
          <w:rFonts w:ascii="Times New Roman" w:hAnsi="Times New Roman" w:cs="Times New Roman"/>
          <w:sz w:val="24"/>
          <w:szCs w:val="24"/>
        </w:rPr>
        <w:t xml:space="preserve"> a</w:t>
      </w:r>
      <w:r>
        <w:rPr>
          <w:rFonts w:ascii="Times New Roman" w:hAnsi="Times New Roman" w:cs="Times New Roman"/>
          <w:sz w:val="24"/>
          <w:szCs w:val="24"/>
        </w:rPr>
        <w:t xml:space="preserve"> “real and substantial interest” </w:t>
      </w:r>
      <w:r w:rsidR="00890320">
        <w:rPr>
          <w:rFonts w:ascii="Times New Roman" w:hAnsi="Times New Roman" w:cs="Times New Roman"/>
          <w:sz w:val="24"/>
          <w:szCs w:val="24"/>
        </w:rPr>
        <w:t xml:space="preserve">or </w:t>
      </w:r>
      <w:r>
        <w:rPr>
          <w:rFonts w:ascii="Times New Roman" w:hAnsi="Times New Roman" w:cs="Times New Roman"/>
          <w:sz w:val="24"/>
          <w:szCs w:val="24"/>
        </w:rPr>
        <w:t>whether OCC was “adequately represented by existing parties” in that case</w:t>
      </w:r>
      <w:r w:rsidR="00890320">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C84781" w:rsidP="00350CD3">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B618B" w:rsidRPr="005A15EE" w:rsidP="00C84781">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Rather, where a party has a “real and substantial interest” in the proceedings and where that interest is not “adequately represented by existing parties,” the PUCO routinely grants intervention.  In a proceeding like the one at hand, the PUCO granted OCC intervention in Duke Energy Retail Sales, LLC’s renewal application to provide competitive retail electric service (“CRES”) in Ohio.</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890320">
        <w:rPr>
          <w:rFonts w:ascii="Times New Roman" w:hAnsi="Times New Roman" w:cs="Times New Roman"/>
          <w:sz w:val="24"/>
          <w:szCs w:val="24"/>
        </w:rPr>
        <w:t xml:space="preserve"> </w:t>
      </w:r>
      <w:r>
        <w:rPr>
          <w:rFonts w:ascii="Times New Roman" w:hAnsi="Times New Roman" w:cs="Times New Roman"/>
          <w:sz w:val="24"/>
          <w:szCs w:val="24"/>
        </w:rPr>
        <w:t>In its entry, the PUCO found “that OCC has</w:t>
      </w:r>
      <w:r w:rsidRPr="00D0778E">
        <w:rPr>
          <w:rFonts w:ascii="Times New Roman" w:hAnsi="Times New Roman" w:cs="Times New Roman"/>
          <w:sz w:val="24"/>
          <w:szCs w:val="24"/>
        </w:rPr>
        <w:t xml:space="preserve"> a real and substantial interest in this</w:t>
      </w:r>
      <w:r>
        <w:rPr>
          <w:rFonts w:ascii="Times New Roman" w:hAnsi="Times New Roman" w:cs="Times New Roman"/>
          <w:sz w:val="24"/>
          <w:szCs w:val="24"/>
        </w:rPr>
        <w:t xml:space="preserve"> </w:t>
      </w:r>
      <w:r w:rsidRPr="00D0778E">
        <w:rPr>
          <w:rFonts w:ascii="Times New Roman" w:hAnsi="Times New Roman" w:cs="Times New Roman"/>
          <w:sz w:val="24"/>
          <w:szCs w:val="24"/>
        </w:rPr>
        <w:t>proceeding and that it is so situated that disposition of this</w:t>
      </w:r>
      <w:r>
        <w:rPr>
          <w:rFonts w:ascii="Times New Roman" w:hAnsi="Times New Roman" w:cs="Times New Roman"/>
          <w:sz w:val="24"/>
          <w:szCs w:val="24"/>
        </w:rPr>
        <w:t xml:space="preserve"> </w:t>
      </w:r>
      <w:r w:rsidRPr="00D0778E">
        <w:rPr>
          <w:rFonts w:ascii="Times New Roman" w:hAnsi="Times New Roman" w:cs="Times New Roman"/>
          <w:sz w:val="24"/>
          <w:szCs w:val="24"/>
        </w:rPr>
        <w:t>proceeding may impair its ability to protect that interest.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Likewise, OCC was also granted intervention in Commerce Energy, Inc.’s renewal </w:t>
      </w:r>
      <w:r w:rsidRPr="005A15EE">
        <w:rPr>
          <w:rFonts w:ascii="Times New Roman" w:hAnsi="Times New Roman" w:cs="Times New Roman"/>
          <w:sz w:val="24"/>
          <w:szCs w:val="24"/>
        </w:rPr>
        <w:t xml:space="preserve">application for </w:t>
      </w:r>
      <w:r>
        <w:rPr>
          <w:rFonts w:ascii="Times New Roman" w:hAnsi="Times New Roman" w:cs="Times New Roman"/>
          <w:sz w:val="24"/>
          <w:szCs w:val="24"/>
        </w:rPr>
        <w:t>its certificate to provide CRNGS</w:t>
      </w:r>
      <w:r w:rsidRPr="005A15EE">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Pr="005A15EE">
        <w:rPr>
          <w:rFonts w:ascii="Times New Roman" w:hAnsi="Times New Roman" w:cs="Times New Roman"/>
          <w:sz w:val="24"/>
          <w:szCs w:val="24"/>
        </w:rPr>
        <w:t xml:space="preserve"> </w:t>
      </w:r>
    </w:p>
    <w:p w:rsidR="00B02C8F" w:rsidP="00350CD3">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Here, </w:t>
      </w:r>
      <w:r w:rsidR="00C05948">
        <w:rPr>
          <w:rFonts w:ascii="Times New Roman" w:hAnsi="Times New Roman" w:cs="Times New Roman"/>
          <w:sz w:val="24"/>
          <w:szCs w:val="24"/>
        </w:rPr>
        <w:t xml:space="preserve">OCC’s intervention is necessary to protect Ohio’s residential </w:t>
      </w:r>
      <w:r w:rsidR="00117D5C">
        <w:rPr>
          <w:rFonts w:ascii="Times New Roman" w:hAnsi="Times New Roman" w:cs="Times New Roman"/>
          <w:sz w:val="24"/>
          <w:szCs w:val="24"/>
        </w:rPr>
        <w:t>consumers</w:t>
      </w:r>
      <w:r w:rsidR="00C05948">
        <w:rPr>
          <w:rFonts w:ascii="Times New Roman" w:hAnsi="Times New Roman" w:cs="Times New Roman"/>
          <w:sz w:val="24"/>
          <w:szCs w:val="24"/>
        </w:rPr>
        <w:t xml:space="preserve">.  There is ample evidence showing concern that FES intends to exit the merchant generation business and/or file for reorganization </w:t>
      </w:r>
      <w:r w:rsidR="00117D5C">
        <w:rPr>
          <w:rFonts w:ascii="Times New Roman" w:hAnsi="Times New Roman" w:cs="Times New Roman"/>
          <w:sz w:val="24"/>
          <w:szCs w:val="24"/>
        </w:rPr>
        <w:t>“</w:t>
      </w:r>
      <w:r w:rsidRPr="002A581F" w:rsidR="00117D5C">
        <w:rPr>
          <w:rFonts w:ascii="Times New Roman" w:eastAsia="Times New Roman" w:hAnsi="Times New Roman" w:cs="Times New Roman"/>
          <w:sz w:val="24"/>
          <w:szCs w:val="24"/>
        </w:rPr>
        <w:t>to restructure its substantial debt and other financial obligations with its creditors or seek protection under United States bankruptcy laws and the losses, liabilities and claims arising from such bankruptcy proceeding, including any ob</w:t>
      </w:r>
      <w:r w:rsidR="00117D5C">
        <w:rPr>
          <w:rFonts w:ascii="Times New Roman" w:eastAsia="Times New Roman" w:hAnsi="Times New Roman" w:cs="Times New Roman"/>
          <w:sz w:val="24"/>
          <w:szCs w:val="24"/>
        </w:rPr>
        <w:t>ligations at FirstEnergy Corp.”</w:t>
      </w:r>
      <w:r>
        <w:rPr>
          <w:rStyle w:val="FootnoteReference"/>
          <w:rFonts w:ascii="Times New Roman" w:eastAsia="Times New Roman" w:hAnsi="Times New Roman" w:cs="Times New Roman"/>
          <w:sz w:val="24"/>
          <w:szCs w:val="24"/>
        </w:rPr>
        <w:footnoteReference w:id="24"/>
      </w:r>
      <w:r w:rsidR="00117D5C">
        <w:rPr>
          <w:rFonts w:ascii="Times New Roman" w:hAnsi="Times New Roman" w:cs="Times New Roman"/>
          <w:sz w:val="24"/>
          <w:szCs w:val="24"/>
        </w:rPr>
        <w:t xml:space="preserve"> </w:t>
      </w:r>
      <w:r w:rsidR="00C05948">
        <w:rPr>
          <w:rFonts w:ascii="Times New Roman" w:hAnsi="Times New Roman" w:cs="Times New Roman"/>
          <w:sz w:val="24"/>
          <w:szCs w:val="24"/>
        </w:rPr>
        <w:t xml:space="preserve"> </w:t>
      </w:r>
      <w:r w:rsidR="00117D5C">
        <w:rPr>
          <w:rFonts w:ascii="Times New Roman" w:hAnsi="Times New Roman" w:cs="Times New Roman"/>
          <w:sz w:val="24"/>
          <w:szCs w:val="24"/>
        </w:rPr>
        <w:t xml:space="preserve">The point is that the PUCO does not have any </w:t>
      </w:r>
      <w:r w:rsidR="00BB21DA">
        <w:rPr>
          <w:rFonts w:ascii="Times New Roman" w:hAnsi="Times New Roman" w:cs="Times New Roman"/>
          <w:sz w:val="24"/>
          <w:szCs w:val="24"/>
        </w:rPr>
        <w:t xml:space="preserve">filed </w:t>
      </w:r>
      <w:r w:rsidR="00117D5C">
        <w:rPr>
          <w:rFonts w:ascii="Times New Roman" w:hAnsi="Times New Roman" w:cs="Times New Roman"/>
          <w:sz w:val="24"/>
          <w:szCs w:val="24"/>
        </w:rPr>
        <w:t xml:space="preserve">information on what FES will seek and how that will affect its obligations, including the servicing of its customer contracts. </w:t>
      </w:r>
      <w:r w:rsidR="00C05948">
        <w:rPr>
          <w:rFonts w:ascii="Times New Roman" w:hAnsi="Times New Roman" w:cs="Times New Roman"/>
          <w:sz w:val="24"/>
          <w:szCs w:val="24"/>
        </w:rPr>
        <w:t xml:space="preserve">Further, </w:t>
      </w:r>
      <w:r w:rsidR="00BB21DA">
        <w:rPr>
          <w:rFonts w:ascii="Times New Roman" w:hAnsi="Times New Roman" w:cs="Times New Roman"/>
          <w:sz w:val="24"/>
          <w:szCs w:val="24"/>
        </w:rPr>
        <w:t xml:space="preserve">there is no documentation regarding how FES will interpret its broadly written contract terms and </w:t>
      </w:r>
    </w:p>
    <w:p w:rsidR="00B02C8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B618B" w:rsidP="00B02C8F">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whether the bankruptcy will allow FES to terminate residential customer contracts.</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00C05948">
        <w:rPr>
          <w:rFonts w:ascii="Times New Roman" w:hAnsi="Times New Roman" w:cs="Times New Roman"/>
          <w:sz w:val="24"/>
          <w:szCs w:val="24"/>
        </w:rPr>
        <w:t xml:space="preserve">Ohio’s residential customers could be adversely affected if they were unrepresented in a situation where FES files for bankruptcy.  Therefore, </w:t>
      </w:r>
      <w:r>
        <w:rPr>
          <w:rFonts w:ascii="Times New Roman" w:hAnsi="Times New Roman" w:cs="Times New Roman"/>
          <w:sz w:val="24"/>
          <w:szCs w:val="24"/>
        </w:rPr>
        <w:t>OCC has a real and substantial interest in protecting residential customers from potential adverse effects</w:t>
      </w:r>
      <w:r w:rsidR="000872FA">
        <w:rPr>
          <w:rFonts w:ascii="Times New Roman" w:hAnsi="Times New Roman" w:cs="Times New Roman"/>
          <w:sz w:val="24"/>
          <w:szCs w:val="24"/>
        </w:rPr>
        <w:t xml:space="preserve"> of any bankruptcy and/</w:t>
      </w:r>
      <w:r w:rsidR="00C05948">
        <w:rPr>
          <w:rFonts w:ascii="Times New Roman" w:hAnsi="Times New Roman" w:cs="Times New Roman"/>
          <w:sz w:val="24"/>
          <w:szCs w:val="24"/>
        </w:rPr>
        <w:t>or reorganization</w:t>
      </w:r>
      <w:r>
        <w:rPr>
          <w:rFonts w:ascii="Times New Roman" w:hAnsi="Times New Roman" w:cs="Times New Roman"/>
          <w:sz w:val="24"/>
          <w:szCs w:val="24"/>
        </w:rPr>
        <w:t>, including interruptions in service and financial</w:t>
      </w:r>
      <w:r w:rsidR="00C05948">
        <w:rPr>
          <w:rFonts w:ascii="Times New Roman" w:hAnsi="Times New Roman" w:cs="Times New Roman"/>
          <w:sz w:val="24"/>
          <w:szCs w:val="24"/>
        </w:rPr>
        <w:t xml:space="preserve"> harm. </w:t>
      </w:r>
    </w:p>
    <w:p w:rsidR="000B618B" w:rsidP="00350CD3">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disposition of this proceeding </w:t>
      </w:r>
      <w:r w:rsidR="008D25A8">
        <w:rPr>
          <w:rFonts w:ascii="Times New Roman" w:hAnsi="Times New Roman" w:cs="Times New Roman"/>
          <w:sz w:val="24"/>
          <w:szCs w:val="24"/>
        </w:rPr>
        <w:t xml:space="preserve">without </w:t>
      </w:r>
      <w:r w:rsidR="00A60A1F">
        <w:rPr>
          <w:rFonts w:ascii="Times New Roman" w:hAnsi="Times New Roman" w:cs="Times New Roman"/>
          <w:sz w:val="24"/>
          <w:szCs w:val="24"/>
        </w:rPr>
        <w:t xml:space="preserve">granting </w:t>
      </w:r>
      <w:r w:rsidR="008D25A8">
        <w:rPr>
          <w:rFonts w:ascii="Times New Roman" w:hAnsi="Times New Roman" w:cs="Times New Roman"/>
          <w:sz w:val="24"/>
          <w:szCs w:val="24"/>
        </w:rPr>
        <w:t xml:space="preserve">OCC’s intervention </w:t>
      </w:r>
      <w:r>
        <w:rPr>
          <w:rFonts w:ascii="Times New Roman" w:hAnsi="Times New Roman" w:cs="Times New Roman"/>
          <w:sz w:val="24"/>
          <w:szCs w:val="24"/>
        </w:rPr>
        <w:t xml:space="preserve">will impair </w:t>
      </w:r>
      <w:r w:rsidR="00A60A1F">
        <w:rPr>
          <w:rFonts w:ascii="Times New Roman" w:hAnsi="Times New Roman" w:cs="Times New Roman"/>
          <w:sz w:val="24"/>
          <w:szCs w:val="24"/>
        </w:rPr>
        <w:t xml:space="preserve">OCC’s </w:t>
      </w:r>
      <w:r>
        <w:rPr>
          <w:rFonts w:ascii="Times New Roman" w:hAnsi="Times New Roman" w:cs="Times New Roman"/>
          <w:sz w:val="24"/>
          <w:szCs w:val="24"/>
        </w:rPr>
        <w:t>ability to protect the interests of Ohio residential c</w:t>
      </w:r>
      <w:r w:rsidR="000872FA">
        <w:rPr>
          <w:rFonts w:ascii="Times New Roman" w:hAnsi="Times New Roman" w:cs="Times New Roman"/>
          <w:sz w:val="24"/>
          <w:szCs w:val="24"/>
        </w:rPr>
        <w:t>onsumers</w:t>
      </w:r>
      <w:r>
        <w:rPr>
          <w:rFonts w:ascii="Times New Roman" w:hAnsi="Times New Roman" w:cs="Times New Roman"/>
          <w:sz w:val="24"/>
          <w:szCs w:val="24"/>
        </w:rPr>
        <w:t>.  Although FES claims that it “is particularly sensitive to ensuring the provision of excellent service to its retail customers,”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there is currently no party representing the interests of Ohio residential customers in these proceedings</w:t>
      </w:r>
      <w:r w:rsidR="000872FA">
        <w:rPr>
          <w:rFonts w:ascii="Times New Roman" w:hAnsi="Times New Roman" w:cs="Times New Roman"/>
          <w:sz w:val="24"/>
          <w:szCs w:val="24"/>
        </w:rPr>
        <w:t xml:space="preserve"> to hold FES accountable for those claims</w:t>
      </w:r>
      <w:r>
        <w:rPr>
          <w:rFonts w:ascii="Times New Roman" w:hAnsi="Times New Roman" w:cs="Times New Roman"/>
          <w:sz w:val="24"/>
          <w:szCs w:val="24"/>
        </w:rPr>
        <w:t xml:space="preserve">.  </w:t>
      </w:r>
      <w:r w:rsidR="000872FA">
        <w:rPr>
          <w:rFonts w:ascii="Times New Roman" w:hAnsi="Times New Roman" w:cs="Times New Roman"/>
          <w:sz w:val="24"/>
          <w:szCs w:val="24"/>
        </w:rPr>
        <w:t>Moreover, t</w:t>
      </w:r>
      <w:r>
        <w:rPr>
          <w:rFonts w:ascii="Times New Roman" w:hAnsi="Times New Roman" w:cs="Times New Roman"/>
          <w:sz w:val="24"/>
          <w:szCs w:val="24"/>
        </w:rPr>
        <w:t>hose interests are n</w:t>
      </w:r>
      <w:r w:rsidR="00890320">
        <w:rPr>
          <w:rFonts w:ascii="Times New Roman" w:hAnsi="Times New Roman" w:cs="Times New Roman"/>
          <w:sz w:val="24"/>
          <w:szCs w:val="24"/>
        </w:rPr>
        <w:t xml:space="preserve">ot adequately represented by a marketer </w:t>
      </w:r>
      <w:r>
        <w:rPr>
          <w:rFonts w:ascii="Times New Roman" w:hAnsi="Times New Roman" w:cs="Times New Roman"/>
          <w:sz w:val="24"/>
          <w:szCs w:val="24"/>
        </w:rPr>
        <w:t>whose loyalty and advocacy includes the financial interest of stockholders.  Indeed, FES’</w:t>
      </w:r>
      <w:r w:rsidR="008D25A8">
        <w:rPr>
          <w:rFonts w:ascii="Times New Roman" w:hAnsi="Times New Roman" w:cs="Times New Roman"/>
          <w:sz w:val="24"/>
          <w:szCs w:val="24"/>
        </w:rPr>
        <w:t>s</w:t>
      </w:r>
      <w:r>
        <w:rPr>
          <w:rFonts w:ascii="Times New Roman" w:hAnsi="Times New Roman" w:cs="Times New Roman"/>
          <w:sz w:val="24"/>
          <w:szCs w:val="24"/>
        </w:rPr>
        <w:t xml:space="preserve"> arguments in opposition to protections proposed by OCC illustrate that FES cannot adequately represent the interests of </w:t>
      </w:r>
      <w:r w:rsidR="000872FA">
        <w:rPr>
          <w:rFonts w:ascii="Times New Roman" w:hAnsi="Times New Roman" w:cs="Times New Roman"/>
          <w:sz w:val="24"/>
          <w:szCs w:val="24"/>
        </w:rPr>
        <w:t xml:space="preserve">its </w:t>
      </w:r>
      <w:r>
        <w:rPr>
          <w:rFonts w:ascii="Times New Roman" w:hAnsi="Times New Roman" w:cs="Times New Roman"/>
          <w:sz w:val="24"/>
          <w:szCs w:val="24"/>
        </w:rPr>
        <w:t xml:space="preserve">residential customers.  Consequently, OCC’s motion to intervene should be granted. </w:t>
      </w:r>
    </w:p>
    <w:p w:rsidR="009D125B" w:rsidP="00350CD3">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Lastly, any argument in opposition of OCC’s recommendation for customer notice</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is not germane to whether OCC meets the criteria set forth in R.C. 4903.221 and Ohio Adm. Code 4901-1-11 for intervention.  </w:t>
      </w:r>
    </w:p>
    <w:p w:rsidR="000B618B" w:rsidP="00B02C8F">
      <w:pPr>
        <w:widowControl w:val="0"/>
        <w:numPr>
          <w:ilvl w:val="0"/>
          <w:numId w:val="1"/>
        </w:numPr>
        <w:autoSpaceDE w:val="0"/>
        <w:autoSpaceDN w:val="0"/>
        <w:adjustRightInd w:val="0"/>
        <w:spacing w:before="240" w:after="0" w:line="240" w:lineRule="auto"/>
        <w:ind w:left="720"/>
        <w:rPr>
          <w:rFonts w:ascii="Times New Roman" w:hAnsi="Times New Roman" w:cs="Times New Roman"/>
          <w:b/>
          <w:sz w:val="24"/>
          <w:szCs w:val="24"/>
        </w:rPr>
      </w:pPr>
      <w:r w:rsidRPr="00C75A89">
        <w:rPr>
          <w:rFonts w:ascii="Times New Roman" w:hAnsi="Times New Roman" w:cs="Times New Roman"/>
          <w:b/>
          <w:sz w:val="24"/>
          <w:szCs w:val="24"/>
        </w:rPr>
        <w:t>CONCLUSION</w:t>
      </w:r>
    </w:p>
    <w:p w:rsidR="000B618B" w:rsidRPr="00C75A89" w:rsidP="00BA6B4C">
      <w:pPr>
        <w:widowControl w:val="0"/>
        <w:autoSpaceDE w:val="0"/>
        <w:autoSpaceDN w:val="0"/>
        <w:adjustRightInd w:val="0"/>
        <w:spacing w:after="0" w:line="240" w:lineRule="auto"/>
        <w:ind w:left="1080"/>
        <w:rPr>
          <w:rFonts w:ascii="Times New Roman" w:hAnsi="Times New Roman" w:cs="Times New Roman"/>
          <w:b/>
          <w:sz w:val="24"/>
          <w:szCs w:val="24"/>
        </w:rPr>
      </w:pPr>
    </w:p>
    <w:p w:rsidR="00891550" w:rsidP="00350CD3">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advocate for residential utility </w:t>
      </w:r>
      <w:r w:rsidR="0035543F">
        <w:rPr>
          <w:rFonts w:ascii="Times New Roman" w:hAnsi="Times New Roman" w:cs="Times New Roman"/>
          <w:sz w:val="24"/>
          <w:szCs w:val="24"/>
        </w:rPr>
        <w:t>consumers</w:t>
      </w:r>
      <w:r>
        <w:rPr>
          <w:rFonts w:ascii="Times New Roman" w:hAnsi="Times New Roman" w:cs="Times New Roman"/>
          <w:sz w:val="24"/>
          <w:szCs w:val="24"/>
        </w:rPr>
        <w:t xml:space="preserve">, OCC has a very real and substantial interest in this proceeding.  That interest is not adequately represented by the existing parties.  As OCC meets the criteria set forth in R.C. 4903.221 and Ohio Adm. Code 4901-1-11, and in </w:t>
      </w:r>
      <w:r w:rsidR="009664B4">
        <w:rPr>
          <w:rFonts w:ascii="Times New Roman" w:hAnsi="Times New Roman" w:cs="Times New Roman"/>
          <w:sz w:val="24"/>
          <w:szCs w:val="24"/>
        </w:rPr>
        <w:t xml:space="preserve">light of Court and PUCO precedent for </w:t>
      </w:r>
      <w:r>
        <w:rPr>
          <w:rFonts w:ascii="Times New Roman" w:hAnsi="Times New Roman" w:cs="Times New Roman"/>
          <w:sz w:val="24"/>
          <w:szCs w:val="24"/>
        </w:rPr>
        <w:t xml:space="preserve">intervention, OCC’s motion to intervene should be granted. </w:t>
      </w:r>
    </w:p>
    <w:p w:rsidR="00601E44"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1550"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Respectfully submitted, </w:t>
      </w:r>
    </w:p>
    <w:p w:rsidR="00875933" w:rsidP="00350CD3">
      <w:pPr>
        <w:widowControl w:val="0"/>
        <w:autoSpaceDE w:val="0"/>
        <w:autoSpaceDN w:val="0"/>
        <w:adjustRightInd w:val="0"/>
        <w:spacing w:after="0" w:line="240" w:lineRule="auto"/>
        <w:ind w:firstLine="720"/>
        <w:rPr>
          <w:rFonts w:ascii="Times New Roman" w:hAnsi="Times New Roman" w:cs="Times New Roman"/>
          <w:sz w:val="24"/>
          <w:szCs w:val="24"/>
        </w:rPr>
      </w:pPr>
    </w:p>
    <w:p w:rsidR="00891550"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WESTON (0016973)</w:t>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OHIO CONSUMERS’ COUNSEL</w:t>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/s/ </w:t>
      </w:r>
      <w:r>
        <w:rPr>
          <w:rFonts w:ascii="Times New Roman" w:hAnsi="Times New Roman" w:cs="Times New Roman"/>
          <w:i/>
          <w:sz w:val="24"/>
          <w:szCs w:val="24"/>
          <w:u w:val="single"/>
        </w:rPr>
        <w:t>Terry L. Etter</w:t>
      </w:r>
      <w:r>
        <w:rPr>
          <w:rFonts w:ascii="Times New Roman" w:hAnsi="Times New Roman" w:cs="Times New Roman"/>
          <w:i/>
          <w:sz w:val="24"/>
          <w:szCs w:val="24"/>
          <w:u w:val="single"/>
        </w:rPr>
        <w:tab/>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L. Etter (0067445)</w:t>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875933" w:rsidP="00350CD3">
      <w:pPr>
        <w:widowControl w:val="0"/>
        <w:autoSpaceDE w:val="0"/>
        <w:autoSpaceDN w:val="0"/>
        <w:adjustRightInd w:val="0"/>
        <w:spacing w:after="0" w:line="240" w:lineRule="auto"/>
        <w:ind w:firstLine="720"/>
        <w:rPr>
          <w:rFonts w:ascii="Times New Roman" w:hAnsi="Times New Roman" w:cs="Times New Roman"/>
          <w:sz w:val="24"/>
          <w:szCs w:val="24"/>
        </w:rPr>
      </w:pPr>
    </w:p>
    <w:p w:rsidR="003C0A9F" w:rsidP="00350CD3">
      <w:pPr>
        <w:widowControl w:val="0"/>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Office of the Ohio Consumers’ Counsel</w:t>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10 West Broad Street, Suite 1800</w:t>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43215-3485</w:t>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614-46</w:t>
      </w:r>
      <w:r w:rsidR="00875933">
        <w:rPr>
          <w:rFonts w:ascii="Times New Roman" w:hAnsi="Times New Roman" w:cs="Times New Roman"/>
          <w:sz w:val="24"/>
          <w:szCs w:val="24"/>
        </w:rPr>
        <w:t>6</w:t>
      </w:r>
      <w:r>
        <w:rPr>
          <w:rFonts w:ascii="Times New Roman" w:hAnsi="Times New Roman" w:cs="Times New Roman"/>
          <w:sz w:val="24"/>
          <w:szCs w:val="24"/>
        </w:rPr>
        <w:t>-7964 (Etter Direct)</w:t>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HYPERLINK "mailto:Terry.etter@occ.ohio.gov" </w:instrText>
      </w:r>
      <w:r>
        <w:fldChar w:fldCharType="separate"/>
      </w:r>
      <w:r w:rsidRPr="00B53DB2" w:rsidR="00C84781">
        <w:rPr>
          <w:rStyle w:val="Hyperlink"/>
          <w:rFonts w:ascii="Times New Roman" w:hAnsi="Times New Roman" w:cs="Times New Roman"/>
          <w:sz w:val="24"/>
          <w:szCs w:val="24"/>
        </w:rPr>
        <w:t>Terry.etter@occ.ohio.gov</w:t>
      </w:r>
      <w:r>
        <w:fldChar w:fldCharType="end"/>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(willing to accept service by e-mail)</w:t>
      </w:r>
    </w:p>
    <w:p w:rsidR="003C0A9F" w:rsidP="00350CD3">
      <w:pPr>
        <w:widowControl w:val="0"/>
        <w:autoSpaceDE w:val="0"/>
        <w:autoSpaceDN w:val="0"/>
        <w:adjustRightInd w:val="0"/>
        <w:spacing w:after="0" w:line="240" w:lineRule="auto"/>
        <w:ind w:firstLine="720"/>
        <w:rPr>
          <w:rFonts w:ascii="Times New Roman" w:hAnsi="Times New Roman" w:cs="Times New Roman"/>
          <w:sz w:val="24"/>
          <w:szCs w:val="24"/>
        </w:rPr>
      </w:pPr>
    </w:p>
    <w:p w:rsidR="00601E44" w:rsidP="00350CD3">
      <w:pPr>
        <w:widowControl w:val="0"/>
        <w:autoSpaceDE w:val="0"/>
        <w:autoSpaceDN w:val="0"/>
        <w:adjustRightInd w:val="0"/>
        <w:spacing w:after="0" w:line="240" w:lineRule="auto"/>
        <w:ind w:firstLine="720"/>
        <w:rPr>
          <w:rFonts w:ascii="Times New Roman" w:hAnsi="Times New Roman" w:cs="Times New Roman"/>
          <w:sz w:val="24"/>
          <w:szCs w:val="24"/>
        </w:rPr>
      </w:pPr>
    </w:p>
    <w:p w:rsidR="00875933"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5933">
        <w:rPr>
          <w:rFonts w:ascii="Times New Roman" w:hAnsi="Times New Roman" w:cs="Times New Roman"/>
          <w:sz w:val="24"/>
          <w:szCs w:val="24"/>
        </w:rPr>
        <w:t>Kimberly W. Bojko (0069402)</w:t>
      </w:r>
    </w:p>
    <w:p w:rsidR="008D25A8" w:rsidRPr="00875933" w:rsidP="00B02C8F">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Counsel of Record</w:t>
      </w:r>
    </w:p>
    <w:p w:rsidR="00875933" w:rsidRPr="00875933" w:rsidP="00350CD3">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Carpenter Lipps &amp; Leland LLP</w:t>
      </w:r>
    </w:p>
    <w:p w:rsidR="00875933" w:rsidRPr="00875933" w:rsidP="00350CD3">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280 North High Street, Suite 1300</w:t>
      </w:r>
    </w:p>
    <w:p w:rsidR="00875933" w:rsidRPr="00875933" w:rsidP="00350CD3">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Columbus, Ohio 43215</w:t>
      </w:r>
    </w:p>
    <w:p w:rsidR="00875933" w:rsidRPr="00875933" w:rsidP="00350CD3">
      <w:pPr>
        <w:widowControl w:val="0"/>
        <w:autoSpaceDE w:val="0"/>
        <w:autoSpaceDN w:val="0"/>
        <w:adjustRightInd w:val="0"/>
        <w:spacing w:after="0" w:line="240" w:lineRule="auto"/>
        <w:ind w:left="3600" w:firstLine="720"/>
        <w:rPr>
          <w:rFonts w:ascii="Times New Roman" w:hAnsi="Times New Roman" w:cs="Times New Roman"/>
          <w:sz w:val="24"/>
          <w:szCs w:val="24"/>
        </w:rPr>
      </w:pPr>
      <w:r w:rsidRPr="00875933">
        <w:rPr>
          <w:rFonts w:ascii="Times New Roman" w:hAnsi="Times New Roman" w:cs="Times New Roman"/>
          <w:sz w:val="24"/>
          <w:szCs w:val="24"/>
        </w:rPr>
        <w:t>Telephone: (614) 365-4100</w:t>
      </w:r>
    </w:p>
    <w:p w:rsidR="00875933" w:rsidP="00350CD3">
      <w:pPr>
        <w:widowControl w:val="0"/>
        <w:autoSpaceDE w:val="0"/>
        <w:autoSpaceDN w:val="0"/>
        <w:adjustRightInd w:val="0"/>
        <w:spacing w:after="0" w:line="240" w:lineRule="auto"/>
        <w:ind w:left="3600" w:firstLine="720"/>
        <w:rPr>
          <w:rFonts w:ascii="Times New Roman" w:hAnsi="Times New Roman" w:cs="Times New Roman"/>
          <w:sz w:val="24"/>
          <w:szCs w:val="24"/>
        </w:rPr>
      </w:pPr>
      <w:r>
        <w:fldChar w:fldCharType="begin"/>
      </w:r>
      <w:r>
        <w:instrText xml:space="preserve"> HYPERLINK "mailto:bojko@carpenterlipps.com" </w:instrText>
      </w:r>
      <w:r>
        <w:fldChar w:fldCharType="separate"/>
      </w:r>
      <w:r w:rsidRPr="00B53DB2" w:rsidR="00C84781">
        <w:rPr>
          <w:rStyle w:val="Hyperlink"/>
          <w:rFonts w:ascii="Times New Roman" w:hAnsi="Times New Roman" w:cs="Times New Roman"/>
          <w:sz w:val="24"/>
          <w:szCs w:val="24"/>
        </w:rPr>
        <w:t>bojko@carpenterlipps.com</w:t>
      </w:r>
      <w:r>
        <w:fldChar w:fldCharType="end"/>
      </w:r>
    </w:p>
    <w:p w:rsidR="00875933" w:rsidP="00350CD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(willing to accept service by e-mail)</w:t>
      </w:r>
    </w:p>
    <w:p w:rsidR="00875933" w:rsidP="00350CD3">
      <w:pPr>
        <w:widowControl w:val="0"/>
        <w:autoSpaceDE w:val="0"/>
        <w:autoSpaceDN w:val="0"/>
        <w:adjustRightInd w:val="0"/>
        <w:spacing w:after="0" w:line="240" w:lineRule="auto"/>
        <w:ind w:firstLine="720"/>
        <w:rPr>
          <w:rFonts w:ascii="Times New Roman" w:hAnsi="Times New Roman" w:cs="Times New Roman"/>
          <w:sz w:val="24"/>
          <w:szCs w:val="24"/>
        </w:rPr>
      </w:pPr>
    </w:p>
    <w:p w:rsidR="00875933" w:rsidP="00350CD3">
      <w:pPr>
        <w:widowControl w:val="0"/>
        <w:autoSpaceDE w:val="0"/>
        <w:autoSpaceDN w:val="0"/>
        <w:adjustRightInd w:val="0"/>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Outside Counsel for the </w:t>
      </w:r>
    </w:p>
    <w:p w:rsidR="00875933" w:rsidRPr="00875933" w:rsidP="00350CD3">
      <w:pPr>
        <w:widowControl w:val="0"/>
        <w:autoSpaceDE w:val="0"/>
        <w:autoSpaceDN w:val="0"/>
        <w:adjustRightInd w:val="0"/>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Office of the Ohio Consumers’ Counsel</w:t>
      </w:r>
    </w:p>
    <w:p w:rsidR="000B618B" w:rsidRPr="001A75A5" w:rsidP="00350CD3">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618B" w:rsidRPr="00840B36" w:rsidP="00A73295">
      <w:pPr>
        <w:widowControl w:val="0"/>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br w:type="page"/>
      </w:r>
      <w:r w:rsidRPr="00840B36">
        <w:rPr>
          <w:rFonts w:ascii="Times New Roman" w:hAnsi="Times New Roman" w:cs="Times New Roman"/>
          <w:b/>
          <w:sz w:val="24"/>
          <w:szCs w:val="24"/>
          <w:u w:val="single"/>
        </w:rPr>
        <w:t>CERTIFICATE OF SERVICE</w:t>
      </w:r>
    </w:p>
    <w:p w:rsidR="000B618B" w:rsidRPr="00C75A89" w:rsidP="00350CD3">
      <w:pPr>
        <w:widowControl w:val="0"/>
        <w:autoSpaceDE w:val="0"/>
        <w:autoSpaceDN w:val="0"/>
        <w:adjustRightInd w:val="0"/>
        <w:spacing w:after="0" w:line="240" w:lineRule="auto"/>
        <w:rPr>
          <w:rFonts w:ascii="Times New Roman" w:hAnsi="Times New Roman" w:cs="Times New Roman"/>
          <w:b/>
          <w:sz w:val="24"/>
          <w:szCs w:val="24"/>
        </w:rPr>
      </w:pPr>
    </w:p>
    <w:p w:rsidR="000B618B" w:rsidP="00A73295">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hereby certify that a copy of this Reply was served on the person stated below via electronic transmission this 27th day of November 2017. </w:t>
      </w:r>
    </w:p>
    <w:p w:rsidR="000B618B" w:rsidP="00BA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2C8F" w:rsidP="00BA6B4C">
      <w:pPr>
        <w:widowControl w:val="0"/>
        <w:autoSpaceDE w:val="0"/>
        <w:autoSpaceDN w:val="0"/>
        <w:adjustRightInd w:val="0"/>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u w:val="single"/>
        </w:rPr>
        <w:t>/s/ Terry L. Etter</w:t>
      </w:r>
    </w:p>
    <w:p w:rsidR="00B02C8F" w:rsidP="00BA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L. Etter</w:t>
      </w:r>
    </w:p>
    <w:p w:rsidR="000B618B" w:rsidP="00BA6B4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r w:rsidRPr="00C75A89">
        <w:rPr>
          <w:rFonts w:ascii="Times New Roman" w:hAnsi="Times New Roman" w:cs="Times New Roman"/>
          <w:sz w:val="24"/>
          <w:szCs w:val="24"/>
          <w:u w:val="single"/>
        </w:rPr>
        <w:t xml:space="preserve"> </w:t>
      </w:r>
    </w:p>
    <w:p w:rsidR="000B618B" w:rsidRPr="00B02C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p>
    <w:p w:rsidR="000B618B" w:rsidRPr="00B02C8F">
      <w:pPr>
        <w:widowControl w:val="0"/>
        <w:autoSpaceDE w:val="0"/>
        <w:autoSpaceDN w:val="0"/>
        <w:adjustRightInd w:val="0"/>
        <w:spacing w:after="0" w:line="240" w:lineRule="auto"/>
        <w:rPr>
          <w:rFonts w:ascii="Times New Roman" w:hAnsi="Times New Roman" w:cs="Times New Roman"/>
          <w:sz w:val="24"/>
          <w:szCs w:val="24"/>
        </w:rPr>
      </w:pP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r>
      <w:r w:rsidRPr="00B02C8F">
        <w:rPr>
          <w:rFonts w:ascii="Times New Roman" w:hAnsi="Times New Roman" w:cs="Times New Roman"/>
          <w:sz w:val="24"/>
          <w:szCs w:val="24"/>
        </w:rPr>
        <w:tab/>
        <w:t xml:space="preserve"> </w:t>
      </w:r>
    </w:p>
    <w:p w:rsidR="00B02C8F" w:rsidRPr="00B02C8F" w:rsidP="00B02C8F">
      <w:pPr>
        <w:pStyle w:val="CommentText"/>
        <w:jc w:val="center"/>
        <w:rPr>
          <w:rFonts w:ascii="Times New Roman" w:hAnsi="Times New Roman" w:cs="Times New Roman"/>
          <w:b/>
          <w:u w:val="single"/>
        </w:rPr>
      </w:pPr>
      <w:r w:rsidRPr="00B02C8F">
        <w:rPr>
          <w:rFonts w:ascii="Times New Roman" w:hAnsi="Times New Roman" w:cs="Times New Roman"/>
          <w:b/>
          <w:u w:val="single"/>
        </w:rPr>
        <w:t>SERVICE LIST</w:t>
      </w:r>
    </w:p>
    <w:p w:rsidR="00B02C8F" w:rsidRPr="00B02C8F" w:rsidP="00B02C8F">
      <w:pPr>
        <w:pStyle w:val="CommentText"/>
        <w:jc w:val="center"/>
        <w:rPr>
          <w:rFonts w:ascii="Times New Roman" w:hAnsi="Times New Roman" w:cs="Times New Roman"/>
          <w:b/>
          <w:u w:val="single"/>
        </w:rPr>
      </w:pPr>
    </w:p>
    <w:tbl>
      <w:tblPr>
        <w:tblW w:w="0" w:type="auto"/>
        <w:tblInd w:w="0" w:type="dxa"/>
        <w:tblCellMar>
          <w:top w:w="0" w:type="dxa"/>
          <w:left w:w="108" w:type="dxa"/>
          <w:bottom w:w="0" w:type="dxa"/>
          <w:right w:w="108" w:type="dxa"/>
        </w:tblCellMar>
        <w:tblLook w:val="04A0"/>
      </w:tblPr>
      <w:tblGrid>
        <w:gridCol w:w="4428"/>
        <w:gridCol w:w="4428"/>
      </w:tblGrid>
      <w:tr w:rsidTr="0060073B">
        <w:tblPrEx>
          <w:tblW w:w="0" w:type="auto"/>
          <w:tblInd w:w="0" w:type="dxa"/>
          <w:tblCellMar>
            <w:top w:w="0" w:type="dxa"/>
            <w:left w:w="108" w:type="dxa"/>
            <w:bottom w:w="0" w:type="dxa"/>
            <w:right w:w="108" w:type="dxa"/>
          </w:tblCellMar>
          <w:tblLook w:val="04A0"/>
        </w:tblPrEx>
        <w:tc>
          <w:tcPr>
            <w:tcW w:w="4428" w:type="dxa"/>
            <w:shd w:val="clear" w:color="auto" w:fill="auto"/>
          </w:tcPr>
          <w:p w:rsidR="00B02C8F" w:rsidRPr="00B02C8F" w:rsidP="00B02C8F">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rsidRPr="00B02C8F">
              <w:rPr>
                <w:rFonts w:ascii="Times New Roman" w:hAnsi="Times New Roman" w:eastAsiaTheme="minorEastAsia" w:cs="Times New Roman"/>
                <w:sz w:val="24"/>
                <w:szCs w:val="24"/>
                <w:lang w:val="en-US" w:eastAsia="en-US" w:bidi="ar-SA"/>
              </w:rPr>
              <w:t>William Wright</w:t>
            </w:r>
          </w:p>
          <w:p w:rsidR="00B02C8F" w:rsidRPr="00B02C8F" w:rsidP="00B02C8F">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rsidRPr="00B02C8F">
              <w:rPr>
                <w:rFonts w:ascii="Times New Roman" w:hAnsi="Times New Roman" w:eastAsiaTheme="minorEastAsia" w:cs="Times New Roman"/>
                <w:sz w:val="24"/>
                <w:szCs w:val="24"/>
                <w:lang w:val="en-US" w:eastAsia="en-US" w:bidi="ar-SA"/>
              </w:rPr>
              <w:t>Public Utilities Commission of Ohio</w:t>
            </w:r>
          </w:p>
          <w:p w:rsidR="00B02C8F" w:rsidRPr="00B02C8F" w:rsidP="00B02C8F">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rsidRPr="00B02C8F">
              <w:rPr>
                <w:rFonts w:ascii="Times New Roman" w:hAnsi="Times New Roman" w:eastAsiaTheme="minorEastAsia" w:cs="Times New Roman"/>
                <w:sz w:val="24"/>
                <w:szCs w:val="24"/>
                <w:lang w:val="en-US" w:eastAsia="en-US" w:bidi="ar-SA"/>
              </w:rPr>
              <w:t>30 E. Broad St., 16</w:t>
            </w:r>
            <w:r w:rsidRPr="00B02C8F">
              <w:rPr>
                <w:rFonts w:ascii="Times New Roman" w:hAnsi="Times New Roman" w:eastAsiaTheme="minorEastAsia" w:cs="Times New Roman"/>
                <w:sz w:val="24"/>
                <w:szCs w:val="24"/>
                <w:vertAlign w:val="superscript"/>
                <w:lang w:val="en-US" w:eastAsia="en-US" w:bidi="ar-SA"/>
              </w:rPr>
              <w:t>th</w:t>
            </w:r>
            <w:r w:rsidRPr="00B02C8F">
              <w:rPr>
                <w:rFonts w:ascii="Times New Roman" w:hAnsi="Times New Roman" w:eastAsiaTheme="minorEastAsia" w:cs="Times New Roman"/>
                <w:sz w:val="24"/>
                <w:szCs w:val="24"/>
                <w:lang w:val="en-US" w:eastAsia="en-US" w:bidi="ar-SA"/>
              </w:rPr>
              <w:t xml:space="preserve"> Fl.</w:t>
            </w:r>
          </w:p>
          <w:p w:rsidR="00B02C8F" w:rsidRPr="00B02C8F" w:rsidP="00B02C8F">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rsidRPr="00B02C8F">
              <w:rPr>
                <w:rFonts w:ascii="Times New Roman" w:hAnsi="Times New Roman" w:eastAsiaTheme="minorEastAsia" w:cs="Times New Roman"/>
                <w:sz w:val="24"/>
                <w:szCs w:val="24"/>
                <w:lang w:val="en-US" w:eastAsia="en-US" w:bidi="ar-SA"/>
              </w:rPr>
              <w:t>Columbus, OH 43215</w:t>
            </w:r>
          </w:p>
          <w:p w:rsidR="00B02C8F" w:rsidRPr="00B02C8F" w:rsidP="00B02C8F">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fldChar w:fldCharType="begin"/>
            </w:r>
            <w:r>
              <w:rPr>
                <w:rFonts w:asciiTheme="minorHAnsi" w:eastAsiaTheme="minorEastAsia" w:hAnsiTheme="minorHAnsi" w:cstheme="minorBidi"/>
                <w:sz w:val="24"/>
                <w:szCs w:val="24"/>
                <w:lang w:val="en-US" w:eastAsia="en-US" w:bidi="ar-SA"/>
              </w:rPr>
              <w:instrText xml:space="preserve"> HYPERLINK "mailto:William.wright@ohioattorneygeneral.gov" </w:instrText>
            </w:r>
            <w:r>
              <w:fldChar w:fldCharType="separate"/>
            </w:r>
            <w:r w:rsidRPr="00B02C8F">
              <w:rPr>
                <w:rStyle w:val="Hyperlink"/>
                <w:rFonts w:ascii="Times New Roman" w:hAnsi="Times New Roman" w:eastAsiaTheme="minorEastAsia" w:cs="Times New Roman"/>
                <w:color w:val="0000FF"/>
                <w:sz w:val="24"/>
                <w:szCs w:val="24"/>
                <w:u w:val="single"/>
                <w:lang w:val="en-US" w:eastAsia="en-US" w:bidi="ar-SA"/>
              </w:rPr>
              <w:t>William.wright@ohioattorneygeneral.gov</w:t>
            </w:r>
            <w:r>
              <w:fldChar w:fldCharType="end"/>
            </w:r>
          </w:p>
          <w:p w:rsidR="00B02C8F" w:rsidRPr="00B02C8F" w:rsidP="00B02C8F">
            <w:pPr>
              <w:pStyle w:val="CommentText"/>
              <w:spacing w:after="0" w:line="240" w:lineRule="auto"/>
              <w:jc w:val="center"/>
              <w:rPr>
                <w:rStyle w:val="DefaultParagraphFont"/>
                <w:rFonts w:ascii="Times New Roman" w:hAnsi="Times New Roman" w:eastAsiaTheme="minorEastAsia" w:cs="Times New Roman"/>
                <w:b/>
                <w:sz w:val="24"/>
                <w:szCs w:val="24"/>
                <w:u w:val="single"/>
                <w:lang w:val="en-US" w:eastAsia="en-US" w:bidi="ar-SA"/>
              </w:rPr>
            </w:pPr>
          </w:p>
        </w:tc>
        <w:tc>
          <w:tcPr>
            <w:tcW w:w="4428" w:type="dxa"/>
            <w:shd w:val="clear" w:color="auto" w:fill="auto"/>
          </w:tcPr>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 xml:space="preserve">James F. Lang </w:t>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 xml:space="preserve">N. Trevor Alexander </w:t>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Mark T. Keaney</w:t>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Calfee, Halter &amp; Griswold LLP</w:t>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The Calfee Building</w:t>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1405 East Sixth Street</w:t>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Cleveland, OH 44114</w:t>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"mailto:jlang@calfee.com" </w:instrText>
            </w:r>
            <w:r>
              <w:fldChar w:fldCharType="separate"/>
            </w:r>
            <w:r w:rsidRPr="00B53DB2">
              <w:rPr>
                <w:rStyle w:val="Hyperlink"/>
                <w:rFonts w:ascii="Times New Roman" w:hAnsi="Times New Roman" w:eastAsiaTheme="minorHAnsi" w:cs="Times New Roman"/>
                <w:color w:val="0563C1" w:themeColor="hyperlink"/>
                <w:sz w:val="24"/>
                <w:szCs w:val="24"/>
                <w:u w:val="single"/>
                <w:lang w:val="en-US" w:eastAsia="en-US" w:bidi="ar-SA"/>
              </w:rPr>
              <w:t>jlang@calfee.com</w:t>
            </w:r>
            <w:r>
              <w:fldChar w:fldCharType="end"/>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"mailto:talexander@calfee.com" </w:instrText>
            </w:r>
            <w:r>
              <w:fldChar w:fldCharType="separate"/>
            </w:r>
            <w:r w:rsidRPr="00B53DB2">
              <w:rPr>
                <w:rStyle w:val="Hyperlink"/>
                <w:rFonts w:ascii="Times New Roman" w:hAnsi="Times New Roman" w:eastAsiaTheme="minorHAnsi" w:cs="Times New Roman"/>
                <w:color w:val="0563C1" w:themeColor="hyperlink"/>
                <w:sz w:val="24"/>
                <w:szCs w:val="24"/>
                <w:u w:val="single"/>
                <w:lang w:val="en-US" w:eastAsia="en-US" w:bidi="ar-SA"/>
              </w:rPr>
              <w:t>talexander@calfee.com</w:t>
            </w:r>
            <w:r>
              <w:fldChar w:fldCharType="end"/>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"mailto:mkeaney@calfee.com" </w:instrText>
            </w:r>
            <w:r>
              <w:fldChar w:fldCharType="separate"/>
            </w:r>
            <w:r w:rsidRPr="00B53DB2">
              <w:rPr>
                <w:rStyle w:val="Hyperlink"/>
                <w:rFonts w:ascii="Times New Roman" w:hAnsi="Times New Roman" w:eastAsiaTheme="minorHAnsi" w:cs="Times New Roman"/>
                <w:color w:val="0563C1" w:themeColor="hyperlink"/>
                <w:sz w:val="24"/>
                <w:szCs w:val="24"/>
                <w:u w:val="single"/>
                <w:lang w:val="en-US" w:eastAsia="en-US" w:bidi="ar-SA"/>
              </w:rPr>
              <w:t>mkeaney@calfee.com</w:t>
            </w:r>
            <w:r>
              <w:fldChar w:fldCharType="end"/>
            </w:r>
          </w:p>
          <w:p w:rsidR="00B02C8F" w:rsidP="00B02C8F">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p>
          <w:p w:rsidR="00B02C8F" w:rsidP="00B02C8F">
            <w:pPr>
              <w:autoSpaceDE w:val="0"/>
              <w:autoSpaceDN w:val="0"/>
              <w:adjustRightInd w:val="0"/>
              <w:spacing w:after="0" w:line="240" w:lineRule="auto"/>
              <w:ind w:left="612"/>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HAnsi" w:cs="Times New Roman"/>
                <w:i/>
                <w:iCs/>
                <w:sz w:val="24"/>
                <w:szCs w:val="24"/>
                <w:lang w:val="en-US" w:eastAsia="en-US" w:bidi="ar-SA"/>
              </w:rPr>
              <w:t>Attorneys for FirstEnergy Solutions Corp.</w:t>
            </w:r>
          </w:p>
          <w:p w:rsidR="00B02C8F" w:rsidRPr="00B02C8F" w:rsidP="00B02C8F">
            <w:pPr>
              <w:pStyle w:val="CommentText"/>
              <w:spacing w:after="0" w:line="240" w:lineRule="auto"/>
              <w:ind w:left="612"/>
              <w:rPr>
                <w:rStyle w:val="DefaultParagraphFont"/>
                <w:rFonts w:ascii="Times New Roman" w:hAnsi="Times New Roman" w:eastAsiaTheme="minorEastAsia" w:cs="Times New Roman"/>
                <w:b/>
                <w:sz w:val="24"/>
                <w:szCs w:val="24"/>
                <w:u w:val="single"/>
                <w:lang w:val="en-US" w:eastAsia="en-US" w:bidi="ar-SA"/>
              </w:rPr>
            </w:pPr>
          </w:p>
        </w:tc>
      </w:tr>
    </w:tbl>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0B618B">
      <w:pPr>
        <w:widowControl w:val="0"/>
        <w:autoSpaceDE w:val="0"/>
        <w:autoSpaceDN w:val="0"/>
        <w:adjustRightInd w:val="0"/>
        <w:spacing w:after="0" w:line="240" w:lineRule="auto"/>
        <w:rPr>
          <w:rFonts w:ascii="Times New Roman" w:hAnsi="Times New Roman" w:cs="Times New Roman"/>
          <w:sz w:val="24"/>
          <w:szCs w:val="24"/>
        </w:rPr>
      </w:pPr>
    </w:p>
    <w:p w:rsidR="00471E8C"/>
    <w:sectPr w:rsidSect="00B02C8F">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11662050"/>
      <w:docPartObj>
        <w:docPartGallery w:val="Page Numbers (Bottom of Page)"/>
        <w:docPartUnique/>
      </w:docPartObj>
    </w:sdtPr>
    <w:sdtContent>
      <w:p w:rsidR="000872FA" w:rsidRPr="001A75A5">
        <w:pPr>
          <w:pStyle w:val="Footer"/>
          <w:jc w:val="center"/>
          <w:rPr>
            <w:rFonts w:ascii="Times New Roman" w:hAnsi="Times New Roman" w:cs="Times New Roman"/>
            <w:sz w:val="24"/>
            <w:szCs w:val="24"/>
          </w:rPr>
        </w:pPr>
        <w:r w:rsidRPr="001A75A5">
          <w:rPr>
            <w:rFonts w:ascii="Times New Roman" w:hAnsi="Times New Roman" w:cs="Times New Roman"/>
            <w:sz w:val="24"/>
            <w:szCs w:val="24"/>
          </w:rPr>
          <w:fldChar w:fldCharType="begin"/>
        </w:r>
        <w:r w:rsidRPr="001A75A5">
          <w:rPr>
            <w:rFonts w:ascii="Times New Roman" w:hAnsi="Times New Roman" w:cs="Times New Roman"/>
            <w:sz w:val="24"/>
            <w:szCs w:val="24"/>
          </w:rPr>
          <w:instrText xml:space="preserve"> PAGE   \* MERGEFORMAT </w:instrText>
        </w:r>
        <w:r w:rsidRPr="001A75A5">
          <w:rPr>
            <w:rFonts w:ascii="Times New Roman" w:hAnsi="Times New Roman" w:cs="Times New Roman"/>
            <w:sz w:val="24"/>
            <w:szCs w:val="24"/>
          </w:rPr>
          <w:fldChar w:fldCharType="separate"/>
        </w:r>
        <w:r w:rsidR="00C84781">
          <w:rPr>
            <w:rFonts w:ascii="Times New Roman" w:hAnsi="Times New Roman" w:cs="Times New Roman"/>
            <w:noProof/>
            <w:sz w:val="24"/>
            <w:szCs w:val="24"/>
          </w:rPr>
          <w:t>2</w:t>
        </w:r>
        <w:r w:rsidRPr="001A75A5">
          <w:rPr>
            <w:rFonts w:ascii="Times New Roman" w:hAnsi="Times New Roman" w:cs="Times New Roman"/>
            <w:sz w:val="24"/>
            <w:szCs w:val="24"/>
          </w:rPr>
          <w:fldChar w:fldCharType="end"/>
        </w:r>
      </w:p>
    </w:sdtContent>
  </w:sdt>
  <w:p w:rsidR="000872FA" w:rsidRPr="001A75A5">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0F12" w:rsidP="000B618B">
      <w:pPr>
        <w:spacing w:after="0" w:line="240" w:lineRule="auto"/>
      </w:pPr>
      <w:r>
        <w:separator/>
      </w:r>
    </w:p>
  </w:footnote>
  <w:footnote w:type="continuationSeparator" w:id="1">
    <w:p w:rsidR="00D70F12" w:rsidP="000B618B">
      <w:pPr>
        <w:spacing w:after="0" w:line="240" w:lineRule="auto"/>
      </w:pPr>
      <w:r>
        <w:continuationSeparator/>
      </w:r>
    </w:p>
  </w:footnote>
  <w:footnote w:id="2">
    <w:p w:rsidR="000872FA" w:rsidRPr="009D125B" w:rsidP="00791FB5">
      <w:pPr>
        <w:pStyle w:val="FootnoteText"/>
        <w:spacing w:after="120"/>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FES Memorandum Contra at 5 (Nov. 20, 2017) (“Memorandum Contra”).</w:t>
      </w:r>
    </w:p>
  </w:footnote>
  <w:footnote w:id="3">
    <w:p w:rsidR="000872FA" w:rsidRPr="009D125B" w:rsidP="00A829CF">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See</w:t>
      </w:r>
      <w:r w:rsidRPr="009D125B">
        <w:rPr>
          <w:rFonts w:ascii="Times New Roman" w:hAnsi="Times New Roman" w:cs="Times New Roman"/>
        </w:rPr>
        <w:t xml:space="preserve"> Ohio Adm. Code 4901:1-24-11.</w:t>
      </w:r>
      <w:r w:rsidR="00D968D7">
        <w:rPr>
          <w:rFonts w:ascii="Times New Roman" w:hAnsi="Times New Roman" w:cs="Times New Roman"/>
        </w:rPr>
        <w:t xml:space="preserve">  </w:t>
      </w:r>
    </w:p>
  </w:footnote>
  <w:footnote w:id="4">
    <w:p w:rsidR="000872FA" w:rsidRPr="009D125B" w:rsidP="00791FB5">
      <w:pPr>
        <w:pStyle w:val="FootnoteText"/>
        <w:spacing w:after="120"/>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Ohio Adm. Code 4901:1-24-11(B)(5).</w:t>
      </w:r>
    </w:p>
  </w:footnote>
  <w:footnote w:id="5">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Memorandum Contra at 2. </w:t>
      </w:r>
    </w:p>
  </w:footnote>
  <w:footnote w:id="6">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350CD3" w:rsidR="00350CD3">
        <w:rPr>
          <w:rFonts w:ascii="Times New Roman" w:hAnsi="Times New Roman" w:cs="Times New Roman"/>
        </w:rPr>
        <w:t xml:space="preserve"> </w:t>
      </w:r>
      <w:r w:rsidRPr="009D125B" w:rsidR="00350CD3">
        <w:rPr>
          <w:rFonts w:ascii="Times New Roman" w:hAnsi="Times New Roman" w:cs="Times New Roman"/>
        </w:rPr>
        <w:t>Notice of Material Change (November 28, 2016)</w:t>
      </w:r>
      <w:r w:rsidRPr="009D125B">
        <w:rPr>
          <w:rFonts w:ascii="Times New Roman" w:hAnsi="Times New Roman" w:cs="Times New Roman"/>
        </w:rPr>
        <w:t xml:space="preserve">. </w:t>
      </w:r>
    </w:p>
  </w:footnote>
  <w:footnote w:id="7">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See</w:t>
      </w:r>
      <w:r w:rsidRPr="009D125B">
        <w:rPr>
          <w:rFonts w:ascii="Times New Roman" w:hAnsi="Times New Roman" w:cs="Times New Roman"/>
        </w:rPr>
        <w:t xml:space="preserve"> S&amp;P Rating of FES attached as Attachment A.</w:t>
      </w:r>
    </w:p>
  </w:footnote>
  <w:footnote w:id="8">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See</w:t>
      </w:r>
      <w:r w:rsidRPr="009D125B">
        <w:rPr>
          <w:rFonts w:ascii="Times New Roman" w:hAnsi="Times New Roman" w:cs="Times New Roman"/>
        </w:rPr>
        <w:t xml:space="preserve"> FirstEnergy Quarterly Highlights 2Q 2017 Earnings Call at 33, attached as Attachment B. </w:t>
      </w:r>
    </w:p>
  </w:footnote>
  <w:footnote w:id="9">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See</w:t>
      </w:r>
      <w:r w:rsidRPr="009D125B">
        <w:rPr>
          <w:rFonts w:ascii="Times New Roman" w:hAnsi="Times New Roman" w:cs="Times New Roman"/>
        </w:rPr>
        <w:t xml:space="preserve"> Exhibit C-6 to FES’</w:t>
      </w:r>
      <w:r w:rsidR="00350CD3">
        <w:rPr>
          <w:rFonts w:ascii="Times New Roman" w:hAnsi="Times New Roman" w:cs="Times New Roman"/>
        </w:rPr>
        <w:t>s</w:t>
      </w:r>
      <w:r w:rsidRPr="009D125B">
        <w:rPr>
          <w:rFonts w:ascii="Times New Roman" w:hAnsi="Times New Roman" w:cs="Times New Roman"/>
        </w:rPr>
        <w:t xml:space="preserve"> October 3, 2016 CRES renewal application. </w:t>
      </w:r>
    </w:p>
  </w:footnote>
  <w:footnote w:id="10">
    <w:p w:rsidR="000872FA" w:rsidRPr="009D125B" w:rsidP="00791FB5">
      <w:pPr>
        <w:pStyle w:val="FootnoteText"/>
        <w:spacing w:after="120"/>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See</w:t>
      </w:r>
      <w:r w:rsidRPr="009D125B">
        <w:rPr>
          <w:rFonts w:ascii="Times New Roman" w:hAnsi="Times New Roman" w:cs="Times New Roman"/>
        </w:rPr>
        <w:t xml:space="preserve"> Ohio Adm. Code 4901:1-24-11(B)(5).</w:t>
      </w:r>
    </w:p>
  </w:footnote>
  <w:footnote w:id="11">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fldChar w:fldCharType="begin"/>
      </w:r>
      <w:r>
        <w:instrText xml:space="preserve"> HYPERLINK "http://www.cleveland.com/business/index.ssf/2017/08/firstenergy_solutions_downgrad.html" </w:instrText>
      </w:r>
      <w:r>
        <w:fldChar w:fldCharType="separate"/>
      </w:r>
      <w:r w:rsidRPr="009D125B">
        <w:rPr>
          <w:rStyle w:val="Hyperlink"/>
          <w:rFonts w:ascii="Times New Roman" w:hAnsi="Times New Roman" w:cs="Times New Roman"/>
        </w:rPr>
        <w:t>http://www.cleveland.com/business/index.ssf/2017/08/firstenergy_solutions_downgrad.html</w:t>
      </w:r>
      <w:r>
        <w:fldChar w:fldCharType="end"/>
      </w:r>
      <w:r w:rsidRPr="009D125B">
        <w:rPr>
          <w:rFonts w:ascii="Times New Roman" w:hAnsi="Times New Roman" w:cs="Times New Roman"/>
        </w:rPr>
        <w:t xml:space="preserve">.  </w:t>
      </w:r>
    </w:p>
  </w:footnote>
  <w:footnote w:id="12">
    <w:p w:rsidR="000872FA" w:rsidRPr="009D125B" w:rsidP="00791FB5">
      <w:pPr>
        <w:pStyle w:val="FootnoteText"/>
        <w:spacing w:after="120"/>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See</w:t>
      </w:r>
      <w:r w:rsidRPr="009D125B">
        <w:rPr>
          <w:rFonts w:ascii="Times New Roman" w:hAnsi="Times New Roman" w:cs="Times New Roman"/>
        </w:rPr>
        <w:t xml:space="preserve"> Ohio Adm. Code 4901-1-11(A)(2).</w:t>
      </w:r>
    </w:p>
  </w:footnote>
  <w:footnote w:id="13">
    <w:p w:rsidR="000872FA" w:rsidRPr="009D125B" w:rsidP="00791FB5">
      <w:pPr>
        <w:pStyle w:val="FootnoteText"/>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Memorandum Contra at 5. </w:t>
      </w:r>
    </w:p>
  </w:footnote>
  <w:footnote w:id="14">
    <w:p w:rsidR="000872FA" w:rsidRPr="009D125B" w:rsidP="00B02C8F">
      <w:pPr>
        <w:pStyle w:val="FootnoteText"/>
        <w:spacing w:after="120"/>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Pr>
          <w:rFonts w:ascii="Times New Roman" w:hAnsi="Times New Roman" w:cs="Times New Roman"/>
        </w:rPr>
        <w:t xml:space="preserve">Attachment B at 2. </w:t>
      </w:r>
      <w:r w:rsidRPr="009D125B">
        <w:rPr>
          <w:rFonts w:ascii="Times New Roman" w:hAnsi="Times New Roman" w:cs="Times New Roman"/>
        </w:rPr>
        <w:t>FES asserts that the SEC filings FirstEnergy is required to make prejudice FES compared to other private CRES providers. The truth of FES’</w:t>
      </w:r>
      <w:r w:rsidR="008D25A8">
        <w:rPr>
          <w:rFonts w:ascii="Times New Roman" w:hAnsi="Times New Roman" w:cs="Times New Roman"/>
        </w:rPr>
        <w:t>s</w:t>
      </w:r>
      <w:r w:rsidRPr="009D125B">
        <w:rPr>
          <w:rFonts w:ascii="Times New Roman" w:hAnsi="Times New Roman" w:cs="Times New Roman"/>
        </w:rPr>
        <w:t xml:space="preserve"> financial instability does not prejudice FES – it promotes transparency and is in the public interest. </w:t>
      </w:r>
    </w:p>
  </w:footnote>
  <w:footnote w:id="15">
    <w:p w:rsidR="000872FA" w:rsidRPr="009D125B" w:rsidP="00791FB5">
      <w:pPr>
        <w:pStyle w:val="FootnoteText"/>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Ohio Adm. Code 4901:1-24-11(B)(6).</w:t>
      </w:r>
    </w:p>
  </w:footnote>
  <w:footnote w:id="16">
    <w:p w:rsidR="000872FA" w:rsidRPr="009D125B" w:rsidP="00B02C8F">
      <w:pPr>
        <w:pStyle w:val="FootnoteText"/>
        <w:spacing w:after="120"/>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9D125B">
        <w:rPr>
          <w:rFonts w:ascii="Times New Roman" w:hAnsi="Times New Roman" w:cs="Times New Roman"/>
          <w:i/>
        </w:rPr>
        <w:t>Ohio Consumers' Counsel v. Pub. Util. Comm.</w:t>
      </w:r>
      <w:r w:rsidRPr="009D125B">
        <w:rPr>
          <w:rFonts w:ascii="Times New Roman" w:hAnsi="Times New Roman" w:cs="Times New Roman"/>
        </w:rPr>
        <w:t xml:space="preserve">, 111 Ohio St.3d 384, 2006-Ohio-5853, 856 N.E.2d 940, ¶ 20; </w:t>
      </w:r>
      <w:r w:rsidRPr="00B02C8F">
        <w:rPr>
          <w:rFonts w:ascii="Times New Roman" w:hAnsi="Times New Roman" w:cs="Times New Roman"/>
          <w:i/>
        </w:rPr>
        <w:t>see</w:t>
      </w:r>
      <w:r w:rsidRPr="009D125B">
        <w:rPr>
          <w:rFonts w:ascii="Times New Roman" w:hAnsi="Times New Roman" w:cs="Times New Roman"/>
        </w:rPr>
        <w:t xml:space="preserve"> </w:t>
      </w:r>
      <w:r w:rsidRPr="009D125B">
        <w:rPr>
          <w:rFonts w:ascii="Times New Roman" w:hAnsi="Times New Roman" w:cs="Times New Roman"/>
          <w:i/>
        </w:rPr>
        <w:t>In the Matter of the Application of The Dayton Power and Light Company To Establish a Fuel Rider</w:t>
      </w:r>
      <w:r w:rsidRPr="009D125B">
        <w:rPr>
          <w:rFonts w:ascii="Times New Roman" w:hAnsi="Times New Roman" w:cs="Times New Roman"/>
        </w:rPr>
        <w:t xml:space="preserve">, Case No. 09-1012-EL-FAC, Entry at 2-3 (Sept. 26, 2011) (granting FES intervention). </w:t>
      </w:r>
    </w:p>
  </w:footnote>
  <w:footnote w:id="17">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Memorandum Contra at 4, n. 4.</w:t>
      </w:r>
    </w:p>
  </w:footnote>
  <w:footnote w:id="18">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Id</w:t>
      </w:r>
      <w:r w:rsidRPr="009D125B">
        <w:rPr>
          <w:rFonts w:ascii="Times New Roman" w:hAnsi="Times New Roman" w:cs="Times New Roman"/>
        </w:rPr>
        <w:t xml:space="preserve">. </w:t>
      </w:r>
    </w:p>
  </w:footnote>
  <w:footnote w:id="19">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9D125B">
        <w:rPr>
          <w:rFonts w:ascii="Times New Roman" w:hAnsi="Times New Roman" w:cs="Times New Roman"/>
          <w:i/>
        </w:rPr>
        <w:t>In the Matter of the Application of My Choice Energy for a Certificate to Provide Competitive Retail Natural Gas Service in Ohio</w:t>
      </w:r>
      <w:r w:rsidRPr="009D125B">
        <w:rPr>
          <w:rFonts w:ascii="Times New Roman" w:hAnsi="Times New Roman" w:cs="Times New Roman"/>
        </w:rPr>
        <w:t xml:space="preserve">, Case No. 02-2583-GA-CRS, Entry (Feb. 20, 2003). </w:t>
      </w:r>
    </w:p>
  </w:footnote>
  <w:footnote w:id="20">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See</w:t>
      </w:r>
      <w:r w:rsidRPr="009D125B">
        <w:rPr>
          <w:rFonts w:ascii="Times New Roman" w:hAnsi="Times New Roman" w:cs="Times New Roman"/>
        </w:rPr>
        <w:t xml:space="preserve"> Ohio Adm. Code 4901-1-11(A)(2).</w:t>
      </w:r>
    </w:p>
  </w:footnote>
  <w:footnote w:id="21">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9D125B">
        <w:rPr>
          <w:rFonts w:ascii="Times New Roman" w:hAnsi="Times New Roman" w:cs="Times New Roman"/>
          <w:i/>
        </w:rPr>
        <w:t>In the Matter of the Application of Duke Energy Retail Sales, LLC, for Certification as a Competitive Retail Electric Service Provider in Ohio</w:t>
      </w:r>
      <w:r w:rsidRPr="009D125B">
        <w:rPr>
          <w:rFonts w:ascii="Times New Roman" w:hAnsi="Times New Roman" w:cs="Times New Roman"/>
        </w:rPr>
        <w:t xml:space="preserve">, Case No. 04-1323-EL-CRS, Entry at 5 (Dec. 3, 2008). </w:t>
      </w:r>
    </w:p>
  </w:footnote>
  <w:footnote w:id="22">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02C8F">
        <w:rPr>
          <w:rFonts w:ascii="Times New Roman" w:hAnsi="Times New Roman" w:cs="Times New Roman"/>
          <w:i/>
        </w:rPr>
        <w:t>Id</w:t>
      </w:r>
      <w:r w:rsidRPr="009D125B">
        <w:rPr>
          <w:rFonts w:ascii="Times New Roman" w:hAnsi="Times New Roman" w:cs="Times New Roman"/>
        </w:rPr>
        <w:t xml:space="preserve">. </w:t>
      </w:r>
    </w:p>
  </w:footnote>
  <w:footnote w:id="23">
    <w:p w:rsidR="000872FA" w:rsidRPr="009D125B" w:rsidP="00791FB5">
      <w:pPr>
        <w:pStyle w:val="FootnoteText"/>
        <w:widowControl w:val="0"/>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9D125B">
        <w:rPr>
          <w:rFonts w:ascii="Times New Roman" w:hAnsi="Times New Roman" w:cs="Times New Roman"/>
          <w:i/>
        </w:rPr>
        <w:t>In the Matter of the Application of Commerce Energy, Inc. d/b/a Just Energy for Certification as a Competitive Retail Natural Gas Provider</w:t>
      </w:r>
      <w:r w:rsidRPr="009D125B">
        <w:rPr>
          <w:rFonts w:ascii="Times New Roman" w:hAnsi="Times New Roman" w:cs="Times New Roman"/>
        </w:rPr>
        <w:t>, Case No. 02-1828-GA-CRS, Entry at 2 (Sept. 30, 2010).</w:t>
      </w:r>
    </w:p>
  </w:footnote>
  <w:footnote w:id="24">
    <w:p w:rsidR="000872FA" w:rsidRPr="00BB21DA" w:rsidP="00117D5C">
      <w:pPr>
        <w:pStyle w:val="FootnoteText"/>
        <w:spacing w:after="120"/>
        <w:jc w:val="both"/>
        <w:rPr>
          <w:rFonts w:ascii="Times New Roman" w:hAnsi="Times New Roman" w:cs="Times New Roman"/>
        </w:rPr>
      </w:pPr>
      <w:r w:rsidRPr="009D125B">
        <w:rPr>
          <w:rStyle w:val="FootnoteReference"/>
          <w:rFonts w:ascii="Times New Roman" w:hAnsi="Times New Roman" w:cs="Times New Roman"/>
        </w:rPr>
        <w:footnoteRef/>
      </w:r>
      <w:r w:rsidRPr="009D125B">
        <w:rPr>
          <w:rFonts w:ascii="Times New Roman" w:hAnsi="Times New Roman" w:cs="Times New Roman"/>
        </w:rPr>
        <w:t xml:space="preserve"> </w:t>
      </w:r>
      <w:r w:rsidRPr="00BB21DA">
        <w:rPr>
          <w:rFonts w:ascii="Times New Roman" w:hAnsi="Times New Roman" w:cs="Times New Roman"/>
        </w:rPr>
        <w:t xml:space="preserve">Attachment B at 2. </w:t>
      </w:r>
    </w:p>
  </w:footnote>
  <w:footnote w:id="25">
    <w:p w:rsidR="00BB21DA" w:rsidRPr="00B02C8F" w:rsidP="00BB21DA">
      <w:pPr>
        <w:autoSpaceDE w:val="0"/>
        <w:autoSpaceDN w:val="0"/>
        <w:adjustRightInd w:val="0"/>
        <w:spacing w:after="120" w:line="240" w:lineRule="auto"/>
        <w:rPr>
          <w:rFonts w:ascii="Times New Roman" w:hAnsi="Times New Roman" w:cs="Times New Roman"/>
          <w:sz w:val="20"/>
          <w:szCs w:val="20"/>
        </w:rPr>
      </w:pPr>
      <w:r w:rsidRPr="00B02C8F">
        <w:rPr>
          <w:rStyle w:val="FootnoteReference"/>
          <w:rFonts w:ascii="Times New Roman" w:hAnsi="Times New Roman" w:cs="Times New Roman"/>
          <w:sz w:val="20"/>
          <w:szCs w:val="20"/>
        </w:rPr>
        <w:footnoteRef/>
      </w:r>
      <w:r w:rsidRPr="00B02C8F">
        <w:rPr>
          <w:rFonts w:ascii="Times New Roman" w:hAnsi="Times New Roman" w:cs="Times New Roman"/>
          <w:sz w:val="20"/>
          <w:szCs w:val="20"/>
        </w:rPr>
        <w:t xml:space="preserve"> </w:t>
      </w:r>
      <w:r w:rsidRPr="00B02C8F">
        <w:rPr>
          <w:rFonts w:ascii="Times New Roman" w:hAnsi="Times New Roman" w:cs="Times New Roman"/>
          <w:i/>
          <w:sz w:val="20"/>
          <w:szCs w:val="20"/>
        </w:rPr>
        <w:t>See</w:t>
      </w:r>
      <w:r w:rsidRPr="00B02C8F">
        <w:rPr>
          <w:rFonts w:ascii="Times New Roman" w:hAnsi="Times New Roman" w:cs="Times New Roman"/>
          <w:sz w:val="20"/>
          <w:szCs w:val="20"/>
        </w:rPr>
        <w:t xml:space="preserve"> FES’</w:t>
      </w:r>
      <w:r w:rsidRPr="00B02C8F" w:rsidR="008D25A8">
        <w:rPr>
          <w:rFonts w:ascii="Times New Roman" w:hAnsi="Times New Roman" w:cs="Times New Roman"/>
          <w:sz w:val="20"/>
          <w:szCs w:val="20"/>
        </w:rPr>
        <w:t>s</w:t>
      </w:r>
      <w:r w:rsidRPr="00B02C8F">
        <w:rPr>
          <w:rFonts w:ascii="Times New Roman" w:hAnsi="Times New Roman" w:cs="Times New Roman"/>
          <w:sz w:val="20"/>
          <w:szCs w:val="20"/>
        </w:rPr>
        <w:t xml:space="preserve"> Variable Price Residential Contract for CEI customers (</w:t>
      </w:r>
      <w:r w:rsidRPr="00B02C8F">
        <w:rPr>
          <w:rFonts w:ascii="Times New Roman" w:hAnsi="Times New Roman" w:cs="Times New Roman"/>
          <w:i/>
          <w:sz w:val="20"/>
          <w:szCs w:val="20"/>
        </w:rPr>
        <w:t>e.g., see</w:t>
      </w:r>
      <w:r w:rsidRPr="00B02C8F">
        <w:rPr>
          <w:rFonts w:ascii="Times New Roman" w:hAnsi="Times New Roman" w:cs="Times New Roman"/>
          <w:sz w:val="20"/>
          <w:szCs w:val="20"/>
        </w:rPr>
        <w:t xml:space="preserve"> Force </w:t>
      </w:r>
      <w:r w:rsidRPr="00B02C8F">
        <w:rPr>
          <w:rFonts w:ascii="Times New Roman" w:hAnsi="Times New Roman" w:eastAsiaTheme="minorHAnsi" w:cs="Times New Roman"/>
          <w:bCs/>
          <w:sz w:val="20"/>
          <w:szCs w:val="20"/>
        </w:rPr>
        <w:t>Majeure Termination provision</w:t>
      </w:r>
      <w:r w:rsidRPr="00B02C8F">
        <w:rPr>
          <w:rFonts w:ascii="Times New Roman" w:hAnsi="Times New Roman" w:eastAsiaTheme="minorHAnsi" w:cs="Times New Roman"/>
          <w:sz w:val="20"/>
          <w:szCs w:val="20"/>
        </w:rPr>
        <w:t xml:space="preserve">: “FES will make commercially reasonable efforts to provide your electric service, </w:t>
      </w:r>
      <w:r w:rsidRPr="00B02C8F">
        <w:rPr>
          <w:rFonts w:ascii="Times New Roman" w:hAnsi="Times New Roman" w:eastAsiaTheme="minorHAnsi" w:cs="Times New Roman"/>
          <w:i/>
          <w:sz w:val="20"/>
          <w:szCs w:val="20"/>
        </w:rPr>
        <w:t>but does not guarantee a continuous supply of electricity</w:t>
      </w:r>
      <w:r w:rsidRPr="00B02C8F">
        <w:rPr>
          <w:rFonts w:ascii="Times New Roman" w:hAnsi="Times New Roman" w:eastAsiaTheme="minorHAnsi" w:cs="Times New Roman"/>
          <w:sz w:val="20"/>
          <w:szCs w:val="20"/>
        </w:rPr>
        <w:t>. Certain causes and events are out of FES’s reasonable control (</w:t>
      </w:r>
      <w:r w:rsidRPr="00B02C8F" w:rsidR="008D25A8">
        <w:rPr>
          <w:rFonts w:ascii="Times New Roman" w:hAnsi="Times New Roman" w:eastAsiaTheme="minorHAnsi" w:cs="Times New Roman"/>
          <w:sz w:val="20"/>
          <w:szCs w:val="20"/>
        </w:rPr>
        <w:t>‘</w:t>
      </w:r>
      <w:r w:rsidRPr="00B02C8F">
        <w:rPr>
          <w:rFonts w:ascii="Times New Roman" w:hAnsi="Times New Roman" w:eastAsiaTheme="minorHAnsi" w:cs="Times New Roman"/>
          <w:sz w:val="20"/>
          <w:szCs w:val="20"/>
        </w:rPr>
        <w:t>Force Majeure Event(s)</w:t>
      </w:r>
      <w:r w:rsidRPr="00B02C8F" w:rsidR="008D25A8">
        <w:rPr>
          <w:rFonts w:ascii="Times New Roman" w:hAnsi="Times New Roman" w:eastAsiaTheme="minorHAnsi" w:cs="Times New Roman"/>
          <w:sz w:val="20"/>
          <w:szCs w:val="20"/>
        </w:rPr>
        <w:t>’</w:t>
      </w:r>
      <w:r w:rsidRPr="00B02C8F">
        <w:rPr>
          <w:rFonts w:ascii="Times New Roman" w:hAnsi="Times New Roman" w:eastAsiaTheme="minorHAnsi" w:cs="Times New Roman"/>
          <w:sz w:val="20"/>
          <w:szCs w:val="20"/>
        </w:rPr>
        <w:t xml:space="preserve">) and may result in interruptions in service. FES will not be liable for any such interruptions caused by a Force Majeure Event, including but not limited to, acts of God, war, civil disturbance, insurrection, terrorism, fire, flood, earthquake, acts of default of common carriers, strikes, boycotts, unforeseen maintenance, unforeseen shutdowns or deficiencies of sources of supply, inability to access the local distribution utility system, nonperformance by the EDU </w:t>
      </w:r>
      <w:r w:rsidRPr="00B02C8F">
        <w:rPr>
          <w:rFonts w:ascii="Times New Roman" w:hAnsi="Times New Roman" w:eastAsiaTheme="minorHAnsi" w:cs="Times New Roman"/>
          <w:i/>
          <w:sz w:val="20"/>
          <w:szCs w:val="20"/>
        </w:rPr>
        <w:t>or other similar circumstances beyond FES’</w:t>
      </w:r>
      <w:r w:rsidRPr="00B02C8F" w:rsidR="00D968D7">
        <w:rPr>
          <w:rFonts w:ascii="Times New Roman" w:hAnsi="Times New Roman" w:eastAsiaTheme="minorHAnsi" w:cs="Times New Roman"/>
          <w:i/>
          <w:sz w:val="20"/>
          <w:szCs w:val="20"/>
        </w:rPr>
        <w:t>s</w:t>
      </w:r>
      <w:r w:rsidRPr="00B02C8F">
        <w:rPr>
          <w:rFonts w:ascii="Times New Roman" w:hAnsi="Times New Roman" w:eastAsiaTheme="minorHAnsi" w:cs="Times New Roman"/>
          <w:i/>
          <w:sz w:val="20"/>
          <w:szCs w:val="20"/>
        </w:rPr>
        <w:t xml:space="preserve"> reasonable control</w:t>
      </w:r>
      <w:r w:rsidRPr="00B02C8F">
        <w:rPr>
          <w:rFonts w:ascii="Times New Roman" w:hAnsi="Times New Roman" w:eastAsiaTheme="minorHAnsi" w:cs="Times New Roman"/>
          <w:sz w:val="20"/>
          <w:szCs w:val="20"/>
        </w:rPr>
        <w:t>.” (emphasis added)).</w:t>
      </w:r>
      <w:r w:rsidRPr="00B02C8F">
        <w:rPr>
          <w:rFonts w:ascii="Times New Roman" w:hAnsi="Times New Roman" w:cs="Times New Roman"/>
          <w:sz w:val="20"/>
          <w:szCs w:val="20"/>
        </w:rPr>
        <w:t xml:space="preserve"> </w:t>
      </w:r>
    </w:p>
  </w:footnote>
  <w:footnote w:id="26">
    <w:p w:rsidR="000872FA" w:rsidP="000872FA">
      <w:pPr>
        <w:pStyle w:val="FootnoteText"/>
        <w:spacing w:after="120"/>
      </w:pPr>
      <w:r w:rsidRPr="00BB21DA">
        <w:rPr>
          <w:rStyle w:val="FootnoteReference"/>
          <w:rFonts w:ascii="Times New Roman" w:hAnsi="Times New Roman" w:cs="Times New Roman"/>
        </w:rPr>
        <w:footnoteRef/>
      </w:r>
      <w:r w:rsidRPr="00BB21DA">
        <w:rPr>
          <w:rFonts w:ascii="Times New Roman" w:hAnsi="Times New Roman" w:cs="Times New Roman"/>
        </w:rPr>
        <w:t xml:space="preserve"> </w:t>
      </w:r>
      <w:r w:rsidRPr="009D125B">
        <w:rPr>
          <w:rFonts w:ascii="Times New Roman" w:hAnsi="Times New Roman" w:cs="Times New Roman"/>
        </w:rPr>
        <w:t xml:space="preserve">Memorandum Contra at </w:t>
      </w:r>
      <w:r>
        <w:rPr>
          <w:rFonts w:ascii="Times New Roman" w:hAnsi="Times New Roman" w:cs="Times New Roman"/>
        </w:rPr>
        <w:t>1</w:t>
      </w:r>
      <w:r w:rsidRPr="009D125B">
        <w:rPr>
          <w:rFonts w:ascii="Times New Roman" w:hAnsi="Times New Roman" w:cs="Times New Roman"/>
        </w:rPr>
        <w:t>0</w:t>
      </w:r>
      <w:r>
        <w:rPr>
          <w:rFonts w:ascii="Times New Roman" w:hAnsi="Times New Roman" w:cs="Times New Roman"/>
        </w:rPr>
        <w:t>.</w:t>
      </w:r>
    </w:p>
  </w:footnote>
  <w:footnote w:id="27">
    <w:p w:rsidR="000872FA" w:rsidRPr="009D125B" w:rsidP="000872FA">
      <w:pPr>
        <w:pStyle w:val="FootnoteText"/>
        <w:spacing w:after="120"/>
        <w:rPr>
          <w:rFonts w:ascii="Times New Roman" w:hAnsi="Times New Roman" w:cs="Times New Roman"/>
        </w:rPr>
      </w:pPr>
      <w:r w:rsidRPr="009D125B">
        <w:rPr>
          <w:rStyle w:val="FootnoteReference"/>
          <w:rFonts w:ascii="Times New Roman" w:hAnsi="Times New Roman" w:cs="Times New Roman"/>
        </w:rPr>
        <w:footnoteRef/>
      </w:r>
      <w:r>
        <w:rPr>
          <w:rFonts w:ascii="Times New Roman" w:hAnsi="Times New Roman" w:cs="Times New Roman"/>
        </w:rPr>
        <w:t xml:space="preserve"> </w:t>
      </w:r>
      <w:r w:rsidRPr="00B02C8F">
        <w:rPr>
          <w:rFonts w:ascii="Times New Roman" w:hAnsi="Times New Roman" w:cs="Times New Roman"/>
          <w:i/>
        </w:rPr>
        <w:t>Id</w:t>
      </w:r>
      <w:r>
        <w:rPr>
          <w:rFonts w:ascii="Times New Roman" w:hAnsi="Times New Roman" w:cs="Times New Roman"/>
        </w:rPr>
        <w:t xml:space="preserve">. at </w:t>
      </w:r>
      <w:r w:rsidRPr="009D125B">
        <w:rPr>
          <w:rFonts w:ascii="Times New Roman" w:hAnsi="Times New Roman" w:cs="Times New Roman"/>
        </w:rPr>
        <w:t>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A83A73"/>
    <w:multiLevelType w:val="hybridMultilevel"/>
    <w:tmpl w:val="47CCBCB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CA54088"/>
    <w:multiLevelType w:val="hybridMultilevel"/>
    <w:tmpl w:val="4B64A4A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7D6017DC"/>
    <w:multiLevelType w:val="hybridMultilevel"/>
    <w:tmpl w:val="DC9A80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8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18B"/>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nhideWhenUsed/>
    <w:rsid w:val="000B618B"/>
    <w:pPr>
      <w:spacing w:after="0" w:line="240" w:lineRule="auto"/>
    </w:pPr>
    <w:rPr>
      <w:sz w:val="20"/>
      <w:szCs w:val="20"/>
    </w:rPr>
  </w:style>
  <w:style w:type="character" w:customStyle="1" w:styleId="FootnoteTextChar">
    <w:name w:val="Footnote Text Char"/>
    <w:aliases w:val="Footnote Text Char Char4 Char Char,Footnote Text Char Char4 Char1 Char Char Char,Footnote Text Char2 Char,Footnote Text Char4 Char Char,Footnote Text Char4 Char1 Char Char Char,Footnote Text Char5 Char1 Char Char Char Char Char Char"/>
    <w:basedOn w:val="DefaultParagraphFont"/>
    <w:link w:val="FootnoteText"/>
    <w:rsid w:val="000B618B"/>
    <w:rPr>
      <w:rFonts w:eastAsiaTheme="minorEastAsia"/>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0B618B"/>
    <w:rPr>
      <w:vertAlign w:val="superscript"/>
    </w:rPr>
  </w:style>
  <w:style w:type="paragraph" w:styleId="Footer">
    <w:name w:val="footer"/>
    <w:basedOn w:val="Normal"/>
    <w:link w:val="FooterChar"/>
    <w:uiPriority w:val="99"/>
    <w:unhideWhenUsed/>
    <w:rsid w:val="000B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8B"/>
    <w:rPr>
      <w:rFonts w:eastAsiaTheme="minorEastAsia"/>
      <w:sz w:val="22"/>
      <w:szCs w:val="22"/>
    </w:rPr>
  </w:style>
  <w:style w:type="character" w:styleId="Hyperlink">
    <w:name w:val="Hyperlink"/>
    <w:basedOn w:val="DefaultParagraphFont"/>
    <w:uiPriority w:val="99"/>
    <w:unhideWhenUsed/>
    <w:rsid w:val="000B618B"/>
    <w:rPr>
      <w:color w:val="0563C1" w:themeColor="hyperlink"/>
      <w:u w:val="single"/>
    </w:rPr>
  </w:style>
  <w:style w:type="paragraph" w:styleId="BalloonText">
    <w:name w:val="Balloon Text"/>
    <w:basedOn w:val="Normal"/>
    <w:link w:val="BalloonTextChar"/>
    <w:uiPriority w:val="99"/>
    <w:semiHidden/>
    <w:unhideWhenUsed/>
    <w:rsid w:val="000B61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18B"/>
    <w:rPr>
      <w:rFonts w:ascii="Times New Roman" w:hAnsi="Times New Roman" w:eastAsiaTheme="minorEastAsia" w:cs="Times New Roman"/>
      <w:sz w:val="18"/>
      <w:szCs w:val="18"/>
    </w:rPr>
  </w:style>
  <w:style w:type="character" w:styleId="CommentReference">
    <w:name w:val="annotation reference"/>
    <w:basedOn w:val="DefaultParagraphFont"/>
    <w:uiPriority w:val="99"/>
    <w:semiHidden/>
    <w:unhideWhenUsed/>
    <w:rsid w:val="000B618B"/>
    <w:rPr>
      <w:sz w:val="18"/>
      <w:szCs w:val="18"/>
    </w:rPr>
  </w:style>
  <w:style w:type="paragraph" w:styleId="CommentText">
    <w:name w:val="annotation text"/>
    <w:basedOn w:val="Normal"/>
    <w:link w:val="CommentTextChar"/>
    <w:semiHidden/>
    <w:unhideWhenUsed/>
    <w:rsid w:val="000B618B"/>
    <w:pPr>
      <w:spacing w:line="240" w:lineRule="auto"/>
    </w:pPr>
    <w:rPr>
      <w:sz w:val="24"/>
      <w:szCs w:val="24"/>
    </w:rPr>
  </w:style>
  <w:style w:type="character" w:customStyle="1" w:styleId="CommentTextChar">
    <w:name w:val="Comment Text Char"/>
    <w:basedOn w:val="DefaultParagraphFont"/>
    <w:link w:val="CommentText"/>
    <w:semiHidden/>
    <w:rsid w:val="000B618B"/>
    <w:rPr>
      <w:rFonts w:eastAsiaTheme="minorEastAsia"/>
    </w:rPr>
  </w:style>
  <w:style w:type="paragraph" w:styleId="CommentSubject">
    <w:name w:val="annotation subject"/>
    <w:basedOn w:val="CommentText"/>
    <w:next w:val="CommentText"/>
    <w:link w:val="CommentSubjectChar"/>
    <w:uiPriority w:val="99"/>
    <w:semiHidden/>
    <w:unhideWhenUsed/>
    <w:rsid w:val="000B618B"/>
    <w:rPr>
      <w:b/>
      <w:bCs/>
      <w:sz w:val="20"/>
      <w:szCs w:val="20"/>
    </w:rPr>
  </w:style>
  <w:style w:type="character" w:customStyle="1" w:styleId="CommentSubjectChar">
    <w:name w:val="Comment Subject Char"/>
    <w:basedOn w:val="CommentTextChar"/>
    <w:link w:val="CommentSubject"/>
    <w:uiPriority w:val="99"/>
    <w:semiHidden/>
    <w:rsid w:val="000B618B"/>
    <w:rPr>
      <w:rFonts w:eastAsiaTheme="minorEastAsia"/>
      <w:b/>
      <w:bCs/>
      <w:sz w:val="20"/>
      <w:szCs w:val="20"/>
    </w:rPr>
  </w:style>
  <w:style w:type="paragraph" w:styleId="ListParagraph">
    <w:name w:val="List Paragraph"/>
    <w:basedOn w:val="Normal"/>
    <w:uiPriority w:val="34"/>
    <w:qFormat/>
    <w:rsid w:val="000B618B"/>
    <w:pPr>
      <w:ind w:left="720"/>
      <w:contextualSpacing/>
    </w:pPr>
  </w:style>
  <w:style w:type="paragraph" w:styleId="Revision">
    <w:name w:val="Revision"/>
    <w:hidden/>
    <w:uiPriority w:val="99"/>
    <w:semiHidden/>
    <w:rsid w:val="00890320"/>
    <w:rPr>
      <w:rFonts w:eastAsiaTheme="minorEastAsia"/>
      <w:sz w:val="22"/>
      <w:szCs w:val="22"/>
    </w:rPr>
  </w:style>
  <w:style w:type="paragraph" w:styleId="Header">
    <w:name w:val="header"/>
    <w:basedOn w:val="Normal"/>
    <w:link w:val="HeaderChar"/>
    <w:uiPriority w:val="99"/>
    <w:unhideWhenUsed/>
    <w:rsid w:val="00D9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D7"/>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OCC Reply in support MTI (FES Case No. 00-1742) (708366) (002) ls v2__ te.docx</vt:lpstr>
    </vt:vector>
  </TitlesOfParts>
  <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2017-11-27T21:49:13Z</dcterms:created>
  <dcterms:modified xsi:type="dcterms:W3CDTF">2017-11-27T21:49:13Z</dcterms:modified>
</cp:coreProperties>
</file>