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899" w:rsidRPr="0099789E" w:rsidRDefault="00BD5899" w:rsidP="00FA3649">
      <w:pPr>
        <w:spacing w:after="0" w:line="240" w:lineRule="auto"/>
        <w:jc w:val="center"/>
        <w:rPr>
          <w:rFonts w:ascii="Times New Roman" w:hAnsi="Times New Roman" w:cs="Times New Roman"/>
          <w:b/>
          <w:bCs/>
          <w:sz w:val="24"/>
          <w:szCs w:val="24"/>
        </w:rPr>
      </w:pPr>
      <w:bookmarkStart w:id="0" w:name="_GoBack"/>
      <w:bookmarkEnd w:id="0"/>
      <w:r w:rsidRPr="0099789E">
        <w:rPr>
          <w:rFonts w:ascii="Times New Roman" w:hAnsi="Times New Roman" w:cs="Times New Roman"/>
          <w:b/>
          <w:bCs/>
          <w:sz w:val="24"/>
          <w:szCs w:val="24"/>
        </w:rPr>
        <w:t>BEFORE</w:t>
      </w:r>
    </w:p>
    <w:p w:rsidR="00BD5899" w:rsidRPr="0099789E" w:rsidRDefault="00BD5899" w:rsidP="00FA3649">
      <w:pPr>
        <w:spacing w:after="0" w:line="240" w:lineRule="auto"/>
        <w:jc w:val="center"/>
        <w:rPr>
          <w:rFonts w:ascii="Times New Roman" w:hAnsi="Times New Roman" w:cs="Times New Roman"/>
          <w:b/>
          <w:bCs/>
          <w:sz w:val="24"/>
          <w:szCs w:val="24"/>
        </w:rPr>
      </w:pPr>
      <w:r w:rsidRPr="0099789E">
        <w:rPr>
          <w:rFonts w:ascii="Times New Roman" w:hAnsi="Times New Roman" w:cs="Times New Roman"/>
          <w:b/>
          <w:bCs/>
          <w:sz w:val="24"/>
          <w:szCs w:val="24"/>
        </w:rPr>
        <w:t>THE PUBLIC UTILITIES COMMISSION OF OHIO</w:t>
      </w:r>
    </w:p>
    <w:p w:rsidR="00BD5899" w:rsidRPr="0099789E" w:rsidRDefault="00BD5899" w:rsidP="00FA3649">
      <w:pPr>
        <w:spacing w:after="0" w:line="240" w:lineRule="auto"/>
        <w:jc w:val="center"/>
        <w:rPr>
          <w:rFonts w:ascii="Times New Roman" w:hAnsi="Times New Roman" w:cs="Times New Roman"/>
          <w:b/>
          <w:bCs/>
          <w:sz w:val="24"/>
          <w:szCs w:val="24"/>
        </w:rPr>
      </w:pPr>
    </w:p>
    <w:p w:rsidR="00BD5899" w:rsidRPr="0099789E" w:rsidRDefault="00BD5899" w:rsidP="00FA3649">
      <w:pPr>
        <w:spacing w:after="0" w:line="240" w:lineRule="auto"/>
        <w:rPr>
          <w:rFonts w:ascii="Times New Roman" w:hAnsi="Times New Roman" w:cs="Times New Roman"/>
          <w:sz w:val="24"/>
          <w:szCs w:val="24"/>
        </w:rPr>
      </w:pPr>
      <w:r w:rsidRPr="0099789E">
        <w:rPr>
          <w:rFonts w:ascii="Times New Roman" w:hAnsi="Times New Roman" w:cs="Times New Roman"/>
          <w:sz w:val="24"/>
          <w:szCs w:val="24"/>
        </w:rPr>
        <w:t>In the Matter of the Commission’s Review</w:t>
      </w:r>
      <w:r w:rsidRPr="0099789E">
        <w:rPr>
          <w:rFonts w:ascii="Times New Roman" w:hAnsi="Times New Roman" w:cs="Times New Roman"/>
          <w:sz w:val="24"/>
          <w:szCs w:val="24"/>
        </w:rPr>
        <w:tab/>
        <w:t>)</w:t>
      </w:r>
    </w:p>
    <w:p w:rsidR="00BD5899" w:rsidRPr="0099789E" w:rsidRDefault="00BD5899" w:rsidP="00FA3649">
      <w:pPr>
        <w:spacing w:after="0" w:line="240" w:lineRule="auto"/>
        <w:rPr>
          <w:rFonts w:ascii="Times New Roman" w:hAnsi="Times New Roman" w:cs="Times New Roman"/>
          <w:sz w:val="24"/>
          <w:szCs w:val="24"/>
        </w:rPr>
      </w:pPr>
      <w:r w:rsidRPr="0099789E">
        <w:rPr>
          <w:rFonts w:ascii="Times New Roman" w:hAnsi="Times New Roman" w:cs="Times New Roman"/>
          <w:sz w:val="24"/>
          <w:szCs w:val="24"/>
        </w:rPr>
        <w:t>of its Rules for Competitive Retail</w:t>
      </w:r>
      <w:r w:rsidRPr="0099789E">
        <w:rPr>
          <w:rFonts w:ascii="Times New Roman" w:hAnsi="Times New Roman" w:cs="Times New Roman"/>
          <w:sz w:val="24"/>
          <w:szCs w:val="24"/>
        </w:rPr>
        <w:tab/>
      </w:r>
      <w:r w:rsidRPr="0099789E">
        <w:rPr>
          <w:rFonts w:ascii="Times New Roman" w:hAnsi="Times New Roman" w:cs="Times New Roman"/>
          <w:sz w:val="24"/>
          <w:szCs w:val="24"/>
        </w:rPr>
        <w:tab/>
        <w:t>)</w:t>
      </w:r>
      <w:r w:rsidRPr="0099789E">
        <w:rPr>
          <w:rFonts w:ascii="Times New Roman" w:hAnsi="Times New Roman" w:cs="Times New Roman"/>
          <w:sz w:val="24"/>
          <w:szCs w:val="24"/>
        </w:rPr>
        <w:tab/>
      </w:r>
    </w:p>
    <w:p w:rsidR="00BD5899" w:rsidRPr="0099789E" w:rsidRDefault="00BD5899" w:rsidP="00FA3649">
      <w:pPr>
        <w:spacing w:after="0" w:line="240" w:lineRule="auto"/>
        <w:rPr>
          <w:rFonts w:ascii="Times New Roman" w:hAnsi="Times New Roman" w:cs="Times New Roman"/>
          <w:sz w:val="24"/>
          <w:szCs w:val="24"/>
        </w:rPr>
      </w:pPr>
      <w:r w:rsidRPr="0099789E">
        <w:rPr>
          <w:rFonts w:ascii="Times New Roman" w:hAnsi="Times New Roman" w:cs="Times New Roman"/>
          <w:sz w:val="24"/>
          <w:szCs w:val="24"/>
        </w:rPr>
        <w:t>Natural Gas Service Contained in Chapters</w:t>
      </w:r>
      <w:r w:rsidRPr="0099789E">
        <w:rPr>
          <w:rFonts w:ascii="Times New Roman" w:hAnsi="Times New Roman" w:cs="Times New Roman"/>
          <w:sz w:val="24"/>
          <w:szCs w:val="24"/>
        </w:rPr>
        <w:tab/>
        <w:t>)</w:t>
      </w:r>
      <w:r w:rsidRPr="0099789E">
        <w:rPr>
          <w:rFonts w:ascii="Times New Roman" w:hAnsi="Times New Roman" w:cs="Times New Roman"/>
          <w:sz w:val="24"/>
          <w:szCs w:val="24"/>
        </w:rPr>
        <w:tab/>
        <w:t>Case No. 12-925-GA-ORD</w:t>
      </w:r>
    </w:p>
    <w:p w:rsidR="00BD5899" w:rsidRPr="0099789E" w:rsidRDefault="00BD5899" w:rsidP="00FA3649">
      <w:pPr>
        <w:spacing w:after="0" w:line="240" w:lineRule="auto"/>
        <w:rPr>
          <w:rFonts w:ascii="Times New Roman" w:hAnsi="Times New Roman" w:cs="Times New Roman"/>
          <w:sz w:val="24"/>
          <w:szCs w:val="24"/>
        </w:rPr>
      </w:pPr>
      <w:r w:rsidRPr="0099789E">
        <w:rPr>
          <w:rFonts w:ascii="Times New Roman" w:hAnsi="Times New Roman" w:cs="Times New Roman"/>
          <w:sz w:val="24"/>
          <w:szCs w:val="24"/>
        </w:rPr>
        <w:t>4901:1-27 Through 4901:1-34 of the Ohio</w:t>
      </w:r>
      <w:r w:rsidRPr="0099789E">
        <w:rPr>
          <w:rFonts w:ascii="Times New Roman" w:hAnsi="Times New Roman" w:cs="Times New Roman"/>
          <w:sz w:val="24"/>
          <w:szCs w:val="24"/>
        </w:rPr>
        <w:tab/>
        <w:t>)</w:t>
      </w:r>
      <w:r w:rsidRPr="0099789E">
        <w:rPr>
          <w:rFonts w:ascii="Times New Roman" w:hAnsi="Times New Roman" w:cs="Times New Roman"/>
          <w:sz w:val="24"/>
          <w:szCs w:val="24"/>
        </w:rPr>
        <w:tab/>
      </w:r>
    </w:p>
    <w:p w:rsidR="00BD5899" w:rsidRPr="0099789E" w:rsidRDefault="00BD5899" w:rsidP="00FA3649">
      <w:pPr>
        <w:spacing w:after="0" w:line="240" w:lineRule="auto"/>
        <w:rPr>
          <w:rFonts w:ascii="Times New Roman" w:hAnsi="Times New Roman" w:cs="Times New Roman"/>
          <w:sz w:val="24"/>
          <w:szCs w:val="24"/>
        </w:rPr>
      </w:pPr>
      <w:r w:rsidRPr="0099789E">
        <w:rPr>
          <w:rFonts w:ascii="Times New Roman" w:hAnsi="Times New Roman" w:cs="Times New Roman"/>
          <w:sz w:val="24"/>
          <w:szCs w:val="24"/>
        </w:rPr>
        <w:t>Administrative Code</w:t>
      </w:r>
      <w:r>
        <w:rPr>
          <w:rFonts w:ascii="Times New Roman" w:hAnsi="Times New Roman" w:cs="Times New Roman"/>
          <w:sz w:val="24"/>
          <w:szCs w:val="24"/>
        </w:rPr>
        <w:t>.</w:t>
      </w:r>
      <w:r w:rsidRPr="0099789E">
        <w:rPr>
          <w:rFonts w:ascii="Times New Roman" w:hAnsi="Times New Roman" w:cs="Times New Roman"/>
          <w:sz w:val="24"/>
          <w:szCs w:val="24"/>
        </w:rPr>
        <w:tab/>
      </w:r>
      <w:r w:rsidRPr="0099789E">
        <w:rPr>
          <w:rFonts w:ascii="Times New Roman" w:hAnsi="Times New Roman" w:cs="Times New Roman"/>
          <w:b/>
          <w:bCs/>
          <w:sz w:val="24"/>
          <w:szCs w:val="24"/>
        </w:rPr>
        <w:tab/>
      </w:r>
      <w:r w:rsidRPr="0099789E">
        <w:rPr>
          <w:rFonts w:ascii="Times New Roman" w:hAnsi="Times New Roman" w:cs="Times New Roman"/>
          <w:b/>
          <w:bCs/>
          <w:sz w:val="24"/>
          <w:szCs w:val="24"/>
        </w:rPr>
        <w:tab/>
      </w:r>
      <w:r w:rsidRPr="0099789E">
        <w:rPr>
          <w:rFonts w:ascii="Times New Roman" w:hAnsi="Times New Roman" w:cs="Times New Roman"/>
          <w:b/>
          <w:bCs/>
          <w:sz w:val="24"/>
          <w:szCs w:val="24"/>
        </w:rPr>
        <w:tab/>
      </w:r>
      <w:r w:rsidRPr="0099789E">
        <w:rPr>
          <w:rFonts w:ascii="Times New Roman" w:hAnsi="Times New Roman" w:cs="Times New Roman"/>
          <w:sz w:val="24"/>
          <w:szCs w:val="24"/>
        </w:rPr>
        <w:t>)</w:t>
      </w:r>
    </w:p>
    <w:p w:rsidR="00BD5899" w:rsidRPr="0099789E" w:rsidRDefault="00BD5899" w:rsidP="00FA3649">
      <w:pPr>
        <w:pBdr>
          <w:bottom w:val="single" w:sz="4" w:space="1" w:color="auto"/>
        </w:pBdr>
        <w:spacing w:after="0" w:line="240" w:lineRule="auto"/>
        <w:rPr>
          <w:rFonts w:ascii="Times New Roman" w:hAnsi="Times New Roman" w:cs="Times New Roman"/>
          <w:b/>
          <w:bCs/>
          <w:sz w:val="24"/>
          <w:szCs w:val="24"/>
        </w:rPr>
      </w:pPr>
    </w:p>
    <w:p w:rsidR="00BD5899" w:rsidRPr="0099789E" w:rsidRDefault="00BD5899" w:rsidP="00FA3649">
      <w:pPr>
        <w:spacing w:after="0" w:line="240" w:lineRule="auto"/>
        <w:rPr>
          <w:rFonts w:ascii="Times New Roman" w:hAnsi="Times New Roman" w:cs="Times New Roman"/>
          <w:b/>
          <w:bCs/>
          <w:sz w:val="24"/>
          <w:szCs w:val="24"/>
        </w:rPr>
      </w:pPr>
    </w:p>
    <w:p w:rsidR="00BD5899" w:rsidRPr="0099789E" w:rsidRDefault="00BD5899" w:rsidP="00FA364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REPLY </w:t>
      </w:r>
      <w:r w:rsidRPr="0099789E">
        <w:rPr>
          <w:rFonts w:ascii="Times New Roman" w:hAnsi="Times New Roman" w:cs="Times New Roman"/>
          <w:b/>
          <w:bCs/>
          <w:sz w:val="24"/>
          <w:szCs w:val="24"/>
        </w:rPr>
        <w:t>COMMENTS</w:t>
      </w:r>
    </w:p>
    <w:p w:rsidR="00BD5899" w:rsidRPr="0099789E" w:rsidRDefault="00BD5899" w:rsidP="00FA3649">
      <w:pPr>
        <w:spacing w:after="0" w:line="240" w:lineRule="auto"/>
        <w:jc w:val="center"/>
        <w:rPr>
          <w:rFonts w:ascii="Times New Roman" w:hAnsi="Times New Roman" w:cs="Times New Roman"/>
          <w:b/>
          <w:bCs/>
          <w:sz w:val="24"/>
          <w:szCs w:val="24"/>
        </w:rPr>
      </w:pPr>
      <w:r w:rsidRPr="0099789E">
        <w:rPr>
          <w:rFonts w:ascii="Times New Roman" w:hAnsi="Times New Roman" w:cs="Times New Roman"/>
          <w:b/>
          <w:bCs/>
          <w:sz w:val="24"/>
          <w:szCs w:val="24"/>
        </w:rPr>
        <w:t>OF</w:t>
      </w:r>
    </w:p>
    <w:p w:rsidR="00BD5899" w:rsidRPr="0099789E" w:rsidRDefault="00BD5899" w:rsidP="00FA3649">
      <w:pPr>
        <w:spacing w:after="0" w:line="240" w:lineRule="auto"/>
        <w:jc w:val="center"/>
        <w:rPr>
          <w:rFonts w:ascii="Times New Roman" w:hAnsi="Times New Roman" w:cs="Times New Roman"/>
          <w:b/>
          <w:bCs/>
          <w:sz w:val="24"/>
          <w:szCs w:val="24"/>
        </w:rPr>
      </w:pPr>
      <w:r w:rsidRPr="0099789E">
        <w:rPr>
          <w:rFonts w:ascii="Times New Roman" w:hAnsi="Times New Roman" w:cs="Times New Roman"/>
          <w:b/>
          <w:bCs/>
          <w:sz w:val="24"/>
          <w:szCs w:val="24"/>
        </w:rPr>
        <w:t>THE OFFICE OF THE OHIO CONSUMERS’ COUNSEL</w:t>
      </w:r>
    </w:p>
    <w:p w:rsidR="00BD5899" w:rsidRPr="0099789E" w:rsidRDefault="00BD5899" w:rsidP="00FA3649">
      <w:pPr>
        <w:pBdr>
          <w:bottom w:val="single" w:sz="4" w:space="1" w:color="auto"/>
        </w:pBdr>
        <w:spacing w:after="0" w:line="240" w:lineRule="auto"/>
        <w:jc w:val="center"/>
        <w:rPr>
          <w:rFonts w:ascii="Times New Roman" w:hAnsi="Times New Roman" w:cs="Times New Roman"/>
          <w:b/>
          <w:bCs/>
          <w:sz w:val="24"/>
          <w:szCs w:val="24"/>
        </w:rPr>
      </w:pPr>
    </w:p>
    <w:p w:rsidR="00BD5899" w:rsidRPr="0099789E" w:rsidRDefault="00BD5899" w:rsidP="00FA3649">
      <w:pPr>
        <w:spacing w:after="0" w:line="240" w:lineRule="auto"/>
        <w:ind w:left="4320"/>
        <w:rPr>
          <w:rFonts w:ascii="Times New Roman" w:hAnsi="Times New Roman" w:cs="Times New Roman"/>
          <w:sz w:val="24"/>
          <w:szCs w:val="24"/>
        </w:rPr>
      </w:pPr>
    </w:p>
    <w:p w:rsidR="00BD5899" w:rsidRPr="0099789E" w:rsidRDefault="00BD5899" w:rsidP="00FA3649">
      <w:pPr>
        <w:spacing w:after="0" w:line="240" w:lineRule="auto"/>
        <w:ind w:left="4320"/>
        <w:rPr>
          <w:rFonts w:ascii="Times New Roman" w:hAnsi="Times New Roman" w:cs="Times New Roman"/>
          <w:sz w:val="24"/>
          <w:szCs w:val="24"/>
        </w:rPr>
      </w:pPr>
    </w:p>
    <w:p w:rsidR="00BD5899" w:rsidRPr="0099789E" w:rsidRDefault="00BD5899" w:rsidP="00FA3649">
      <w:pPr>
        <w:spacing w:after="0" w:line="240" w:lineRule="auto"/>
        <w:ind w:left="4320"/>
        <w:rPr>
          <w:rFonts w:ascii="Times New Roman" w:hAnsi="Times New Roman" w:cs="Times New Roman"/>
          <w:sz w:val="24"/>
          <w:szCs w:val="24"/>
        </w:rPr>
      </w:pPr>
    </w:p>
    <w:p w:rsidR="00BD5899" w:rsidRPr="0099789E" w:rsidRDefault="00BD5899" w:rsidP="00FA3649">
      <w:pPr>
        <w:spacing w:after="0" w:line="240" w:lineRule="auto"/>
        <w:ind w:left="4320"/>
        <w:rPr>
          <w:rFonts w:ascii="Times New Roman" w:hAnsi="Times New Roman" w:cs="Times New Roman"/>
          <w:sz w:val="24"/>
          <w:szCs w:val="24"/>
        </w:rPr>
      </w:pPr>
    </w:p>
    <w:p w:rsidR="00BD5899" w:rsidRPr="0099789E" w:rsidRDefault="00BD5899" w:rsidP="00FA3649">
      <w:pPr>
        <w:spacing w:after="0" w:line="240" w:lineRule="auto"/>
        <w:ind w:left="4320"/>
        <w:rPr>
          <w:rFonts w:ascii="Times New Roman" w:hAnsi="Times New Roman" w:cs="Times New Roman"/>
          <w:sz w:val="24"/>
          <w:szCs w:val="24"/>
        </w:rPr>
      </w:pPr>
    </w:p>
    <w:p w:rsidR="00BD5899" w:rsidRPr="0099789E" w:rsidRDefault="00BD5899" w:rsidP="003D1049">
      <w:pPr>
        <w:pStyle w:val="Footer"/>
        <w:tabs>
          <w:tab w:val="left" w:pos="4320"/>
        </w:tabs>
        <w:spacing w:before="240"/>
        <w:ind w:left="4320"/>
        <w:rPr>
          <w:rFonts w:ascii="Times New Roman" w:hAnsi="Times New Roman" w:cs="Times New Roman"/>
          <w:sz w:val="24"/>
          <w:szCs w:val="24"/>
        </w:rPr>
      </w:pPr>
      <w:r w:rsidRPr="0099789E">
        <w:rPr>
          <w:rFonts w:ascii="Times New Roman" w:hAnsi="Times New Roman" w:cs="Times New Roman"/>
          <w:sz w:val="24"/>
          <w:szCs w:val="24"/>
        </w:rPr>
        <w:t>BRUCE J. WESTON</w:t>
      </w:r>
    </w:p>
    <w:p w:rsidR="00BD5899" w:rsidRPr="0099789E" w:rsidRDefault="00BD5899" w:rsidP="003D1049">
      <w:pPr>
        <w:tabs>
          <w:tab w:val="left" w:pos="4320"/>
        </w:tabs>
        <w:ind w:left="4320"/>
        <w:rPr>
          <w:rFonts w:ascii="Times New Roman" w:hAnsi="Times New Roman" w:cs="Times New Roman"/>
          <w:sz w:val="24"/>
          <w:szCs w:val="24"/>
        </w:rPr>
      </w:pPr>
      <w:r w:rsidRPr="0099789E">
        <w:rPr>
          <w:rFonts w:ascii="Times New Roman" w:hAnsi="Times New Roman" w:cs="Times New Roman"/>
          <w:sz w:val="24"/>
          <w:szCs w:val="24"/>
        </w:rPr>
        <w:t>OHIO CONSUMERS’ COUNSEL</w:t>
      </w:r>
    </w:p>
    <w:p w:rsidR="00BD5899" w:rsidRPr="0099789E" w:rsidRDefault="00BD5899" w:rsidP="003D1049">
      <w:pPr>
        <w:spacing w:after="0" w:line="240" w:lineRule="auto"/>
        <w:ind w:left="4320"/>
        <w:rPr>
          <w:rFonts w:ascii="Times New Roman" w:hAnsi="Times New Roman" w:cs="Times New Roman"/>
          <w:sz w:val="24"/>
          <w:szCs w:val="24"/>
        </w:rPr>
      </w:pPr>
      <w:r w:rsidRPr="0099789E">
        <w:rPr>
          <w:rFonts w:ascii="Times New Roman" w:hAnsi="Times New Roman" w:cs="Times New Roman"/>
          <w:sz w:val="24"/>
          <w:szCs w:val="24"/>
        </w:rPr>
        <w:t>Joseph P. Serio, Counsel of Record</w:t>
      </w:r>
    </w:p>
    <w:p w:rsidR="00BD5899" w:rsidRPr="0099789E" w:rsidRDefault="00BD5899" w:rsidP="003D1049">
      <w:pPr>
        <w:spacing w:after="0" w:line="240" w:lineRule="auto"/>
        <w:ind w:left="4320"/>
        <w:rPr>
          <w:rFonts w:ascii="Times New Roman" w:hAnsi="Times New Roman" w:cs="Times New Roman"/>
          <w:sz w:val="24"/>
          <w:szCs w:val="24"/>
        </w:rPr>
      </w:pPr>
      <w:r w:rsidRPr="0099789E">
        <w:rPr>
          <w:rFonts w:ascii="Times New Roman" w:hAnsi="Times New Roman" w:cs="Times New Roman"/>
          <w:sz w:val="24"/>
          <w:szCs w:val="24"/>
        </w:rPr>
        <w:t>Assistant Consumers’ Counsel</w:t>
      </w:r>
    </w:p>
    <w:p w:rsidR="00BD5899" w:rsidRPr="0099789E" w:rsidRDefault="00BD5899" w:rsidP="003D1049">
      <w:pPr>
        <w:spacing w:after="0" w:line="240" w:lineRule="auto"/>
        <w:ind w:left="4320"/>
        <w:rPr>
          <w:rFonts w:ascii="Times New Roman" w:hAnsi="Times New Roman" w:cs="Times New Roman"/>
          <w:sz w:val="24"/>
          <w:szCs w:val="24"/>
        </w:rPr>
      </w:pPr>
      <w:r w:rsidRPr="0099789E">
        <w:rPr>
          <w:rFonts w:ascii="Times New Roman" w:hAnsi="Times New Roman" w:cs="Times New Roman"/>
          <w:sz w:val="24"/>
          <w:szCs w:val="24"/>
        </w:rPr>
        <w:tab/>
      </w:r>
    </w:p>
    <w:p w:rsidR="00BD5899" w:rsidRPr="0099789E" w:rsidRDefault="00BD5899" w:rsidP="003D1049">
      <w:pPr>
        <w:spacing w:after="0" w:line="240" w:lineRule="auto"/>
        <w:ind w:left="4320"/>
        <w:rPr>
          <w:rFonts w:ascii="Times New Roman" w:hAnsi="Times New Roman" w:cs="Times New Roman"/>
          <w:b/>
          <w:bCs/>
          <w:sz w:val="24"/>
          <w:szCs w:val="24"/>
        </w:rPr>
      </w:pPr>
      <w:r w:rsidRPr="0099789E">
        <w:rPr>
          <w:rFonts w:ascii="Times New Roman" w:hAnsi="Times New Roman" w:cs="Times New Roman"/>
          <w:b/>
          <w:bCs/>
          <w:sz w:val="24"/>
          <w:szCs w:val="24"/>
        </w:rPr>
        <w:t>Office of the Ohio Consumers’ Counsel</w:t>
      </w:r>
    </w:p>
    <w:p w:rsidR="00BD5899" w:rsidRPr="0099789E" w:rsidRDefault="00BD5899" w:rsidP="003D1049">
      <w:pPr>
        <w:spacing w:after="0" w:line="240" w:lineRule="auto"/>
        <w:ind w:left="4320"/>
        <w:rPr>
          <w:rFonts w:ascii="Times New Roman" w:hAnsi="Times New Roman" w:cs="Times New Roman"/>
          <w:sz w:val="24"/>
          <w:szCs w:val="24"/>
        </w:rPr>
      </w:pPr>
      <w:r w:rsidRPr="0099789E">
        <w:rPr>
          <w:rFonts w:ascii="Times New Roman" w:hAnsi="Times New Roman" w:cs="Times New Roman"/>
          <w:sz w:val="24"/>
          <w:szCs w:val="24"/>
        </w:rPr>
        <w:t>10 West Broad Street, Suite 1800</w:t>
      </w:r>
    </w:p>
    <w:p w:rsidR="00BD5899" w:rsidRPr="0099789E" w:rsidRDefault="00BD5899" w:rsidP="003D1049">
      <w:pPr>
        <w:spacing w:after="0" w:line="240" w:lineRule="auto"/>
        <w:ind w:left="4320"/>
        <w:rPr>
          <w:rFonts w:ascii="Times New Roman" w:hAnsi="Times New Roman" w:cs="Times New Roman"/>
          <w:sz w:val="24"/>
          <w:szCs w:val="24"/>
        </w:rPr>
      </w:pPr>
      <w:r w:rsidRPr="0099789E">
        <w:rPr>
          <w:rFonts w:ascii="Times New Roman" w:hAnsi="Times New Roman" w:cs="Times New Roman"/>
          <w:sz w:val="24"/>
          <w:szCs w:val="24"/>
        </w:rPr>
        <w:t>Columbus, Ohio</w:t>
      </w:r>
      <w:r w:rsidR="00D752E3">
        <w:rPr>
          <w:rFonts w:ascii="Times New Roman" w:hAnsi="Times New Roman" w:cs="Times New Roman"/>
          <w:sz w:val="24"/>
          <w:szCs w:val="24"/>
        </w:rPr>
        <w:t xml:space="preserve"> </w:t>
      </w:r>
      <w:r w:rsidRPr="0099789E">
        <w:rPr>
          <w:rFonts w:ascii="Times New Roman" w:hAnsi="Times New Roman" w:cs="Times New Roman"/>
          <w:sz w:val="24"/>
          <w:szCs w:val="24"/>
        </w:rPr>
        <w:t>43215-3485</w:t>
      </w:r>
    </w:p>
    <w:p w:rsidR="00BD5899" w:rsidRPr="0099789E" w:rsidRDefault="00BD5899" w:rsidP="003D1049">
      <w:pPr>
        <w:spacing w:after="0" w:line="240" w:lineRule="auto"/>
        <w:ind w:left="4320"/>
        <w:rPr>
          <w:rFonts w:ascii="Times New Roman" w:hAnsi="Times New Roman" w:cs="Times New Roman"/>
          <w:sz w:val="24"/>
          <w:szCs w:val="24"/>
        </w:rPr>
      </w:pPr>
      <w:r w:rsidRPr="0099789E">
        <w:rPr>
          <w:rFonts w:ascii="Times New Roman" w:hAnsi="Times New Roman" w:cs="Times New Roman"/>
          <w:sz w:val="24"/>
          <w:szCs w:val="24"/>
        </w:rPr>
        <w:t>Telephone:  Serio - (614) 466-9565</w:t>
      </w:r>
    </w:p>
    <w:p w:rsidR="00BD5899" w:rsidRPr="0099789E" w:rsidRDefault="003A109F" w:rsidP="003D1049">
      <w:pPr>
        <w:spacing w:after="0" w:line="240" w:lineRule="auto"/>
        <w:ind w:left="4320"/>
        <w:rPr>
          <w:rFonts w:ascii="Times New Roman" w:hAnsi="Times New Roman" w:cs="Times New Roman"/>
          <w:sz w:val="24"/>
          <w:szCs w:val="24"/>
        </w:rPr>
      </w:pPr>
      <w:hyperlink r:id="rId8" w:history="1">
        <w:r w:rsidR="00BD5899" w:rsidRPr="0099789E">
          <w:rPr>
            <w:rStyle w:val="Hyperlink"/>
            <w:rFonts w:ascii="Times New Roman" w:hAnsi="Times New Roman" w:cs="Times New Roman"/>
            <w:sz w:val="24"/>
            <w:szCs w:val="24"/>
          </w:rPr>
          <w:t>serio@occ.state.oh.us</w:t>
        </w:r>
      </w:hyperlink>
    </w:p>
    <w:p w:rsidR="00BD5899" w:rsidRPr="0099789E" w:rsidRDefault="00BD5899" w:rsidP="00FA3649">
      <w:pPr>
        <w:spacing w:after="0" w:line="240" w:lineRule="auto"/>
        <w:ind w:left="4320"/>
        <w:rPr>
          <w:rFonts w:ascii="Times New Roman" w:hAnsi="Times New Roman" w:cs="Times New Roman"/>
          <w:sz w:val="24"/>
          <w:szCs w:val="24"/>
        </w:rPr>
      </w:pPr>
    </w:p>
    <w:p w:rsidR="00BD5899" w:rsidRDefault="00BD5899" w:rsidP="00FA3649">
      <w:pPr>
        <w:pStyle w:val="NoSpacing"/>
        <w:rPr>
          <w:rFonts w:ascii="Times New Roman" w:hAnsi="Times New Roman" w:cs="Times New Roman"/>
          <w:sz w:val="24"/>
          <w:szCs w:val="24"/>
        </w:rPr>
      </w:pPr>
    </w:p>
    <w:p w:rsidR="00BD5899" w:rsidRDefault="00BD5899" w:rsidP="00FA3649">
      <w:pPr>
        <w:pStyle w:val="NoSpacing"/>
        <w:rPr>
          <w:rFonts w:ascii="Times New Roman" w:hAnsi="Times New Roman" w:cs="Times New Roman"/>
          <w:sz w:val="24"/>
          <w:szCs w:val="24"/>
        </w:rPr>
      </w:pPr>
    </w:p>
    <w:p w:rsidR="00BD5899" w:rsidRDefault="00BD5899" w:rsidP="00FA3649">
      <w:pPr>
        <w:pStyle w:val="NoSpacing"/>
        <w:rPr>
          <w:rFonts w:ascii="Times New Roman" w:hAnsi="Times New Roman" w:cs="Times New Roman"/>
          <w:sz w:val="24"/>
          <w:szCs w:val="24"/>
        </w:rPr>
      </w:pPr>
    </w:p>
    <w:p w:rsidR="00BD5899" w:rsidRDefault="00BD5899" w:rsidP="00FA3649">
      <w:pPr>
        <w:pStyle w:val="NoSpacing"/>
        <w:rPr>
          <w:rFonts w:ascii="Times New Roman" w:hAnsi="Times New Roman" w:cs="Times New Roman"/>
          <w:sz w:val="24"/>
          <w:szCs w:val="24"/>
        </w:rPr>
      </w:pPr>
    </w:p>
    <w:p w:rsidR="00BD5899" w:rsidRDefault="00BD5899" w:rsidP="00FA3649">
      <w:pPr>
        <w:pStyle w:val="NoSpacing"/>
        <w:rPr>
          <w:rFonts w:ascii="Times New Roman" w:hAnsi="Times New Roman" w:cs="Times New Roman"/>
          <w:sz w:val="24"/>
          <w:szCs w:val="24"/>
        </w:rPr>
      </w:pPr>
    </w:p>
    <w:p w:rsidR="00BD5899" w:rsidRDefault="00BD5899" w:rsidP="00FA3649">
      <w:pPr>
        <w:pStyle w:val="NoSpacing"/>
        <w:rPr>
          <w:rFonts w:ascii="Times New Roman" w:hAnsi="Times New Roman" w:cs="Times New Roman"/>
          <w:sz w:val="24"/>
          <w:szCs w:val="24"/>
        </w:rPr>
      </w:pPr>
    </w:p>
    <w:p w:rsidR="00BD5899" w:rsidRDefault="00BD5899" w:rsidP="00FA3649">
      <w:pPr>
        <w:pStyle w:val="NoSpacing"/>
        <w:rPr>
          <w:rFonts w:ascii="Times New Roman" w:hAnsi="Times New Roman" w:cs="Times New Roman"/>
          <w:sz w:val="24"/>
          <w:szCs w:val="24"/>
        </w:rPr>
      </w:pPr>
    </w:p>
    <w:p w:rsidR="00BD5899" w:rsidRDefault="00BD5899" w:rsidP="00FA3649">
      <w:pPr>
        <w:pStyle w:val="NoSpacing"/>
        <w:rPr>
          <w:rFonts w:ascii="Times New Roman" w:hAnsi="Times New Roman" w:cs="Times New Roman"/>
          <w:sz w:val="24"/>
          <w:szCs w:val="24"/>
        </w:rPr>
      </w:pPr>
    </w:p>
    <w:p w:rsidR="00BD5899" w:rsidRDefault="00BD5899" w:rsidP="00FA3649">
      <w:pPr>
        <w:pStyle w:val="NoSpacing"/>
        <w:rPr>
          <w:rFonts w:ascii="Times New Roman" w:hAnsi="Times New Roman" w:cs="Times New Roman"/>
          <w:sz w:val="24"/>
          <w:szCs w:val="24"/>
        </w:rPr>
      </w:pPr>
    </w:p>
    <w:p w:rsidR="00BD5899" w:rsidRPr="0099789E" w:rsidRDefault="00BD5899" w:rsidP="00FA3649">
      <w:pPr>
        <w:pStyle w:val="NoSpacing"/>
        <w:rPr>
          <w:rFonts w:ascii="Times New Roman" w:hAnsi="Times New Roman" w:cs="Times New Roman"/>
          <w:sz w:val="24"/>
          <w:szCs w:val="24"/>
        </w:rPr>
      </w:pPr>
      <w:r>
        <w:rPr>
          <w:rFonts w:ascii="Times New Roman" w:hAnsi="Times New Roman" w:cs="Times New Roman"/>
          <w:sz w:val="24"/>
          <w:szCs w:val="24"/>
        </w:rPr>
        <w:t>February 6</w:t>
      </w:r>
      <w:r w:rsidRPr="0099789E">
        <w:rPr>
          <w:rFonts w:ascii="Times New Roman" w:hAnsi="Times New Roman" w:cs="Times New Roman"/>
          <w:sz w:val="24"/>
          <w:szCs w:val="24"/>
        </w:rPr>
        <w:t>, 2013</w:t>
      </w:r>
    </w:p>
    <w:p w:rsidR="00BD5899" w:rsidRPr="0099789E" w:rsidRDefault="00BD5899" w:rsidP="00FA3649">
      <w:pPr>
        <w:pStyle w:val="NoSpacing"/>
        <w:rPr>
          <w:rFonts w:ascii="Times New Roman" w:hAnsi="Times New Roman" w:cs="Times New Roman"/>
          <w:b/>
          <w:bCs/>
          <w:sz w:val="24"/>
          <w:szCs w:val="24"/>
        </w:rPr>
      </w:pPr>
    </w:p>
    <w:p w:rsidR="00BD5899" w:rsidRPr="0099789E" w:rsidRDefault="00BD5899" w:rsidP="000B3396">
      <w:pPr>
        <w:pStyle w:val="NoSpacing"/>
        <w:rPr>
          <w:rFonts w:ascii="Times New Roman" w:hAnsi="Times New Roman" w:cs="Times New Roman"/>
          <w:b/>
          <w:bCs/>
          <w:sz w:val="24"/>
          <w:szCs w:val="24"/>
        </w:rPr>
        <w:sectPr w:rsidR="00BD5899" w:rsidRPr="0099789E" w:rsidSect="00562C2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BD5899" w:rsidRPr="0099789E" w:rsidRDefault="00BD5899" w:rsidP="00FA3649">
      <w:pPr>
        <w:pStyle w:val="NoSpacing"/>
        <w:jc w:val="center"/>
        <w:rPr>
          <w:rFonts w:ascii="Times New Roman" w:hAnsi="Times New Roman" w:cs="Times New Roman"/>
          <w:b/>
          <w:bCs/>
          <w:sz w:val="24"/>
          <w:szCs w:val="24"/>
        </w:rPr>
      </w:pPr>
      <w:r w:rsidRPr="0099789E">
        <w:rPr>
          <w:rFonts w:ascii="Times New Roman" w:hAnsi="Times New Roman" w:cs="Times New Roman"/>
          <w:b/>
          <w:bCs/>
          <w:sz w:val="24"/>
          <w:szCs w:val="24"/>
        </w:rPr>
        <w:lastRenderedPageBreak/>
        <w:t>TABLE OF CONTENTS</w:t>
      </w:r>
    </w:p>
    <w:p w:rsidR="00BD5899" w:rsidRPr="0099789E" w:rsidRDefault="00BD5899" w:rsidP="00FA3649">
      <w:pPr>
        <w:pStyle w:val="NoSpacing"/>
        <w:jc w:val="right"/>
        <w:rPr>
          <w:rFonts w:ascii="Times New Roman" w:hAnsi="Times New Roman" w:cs="Times New Roman"/>
          <w:b/>
          <w:bCs/>
          <w:sz w:val="24"/>
          <w:szCs w:val="24"/>
          <w:u w:val="single"/>
        </w:rPr>
      </w:pPr>
      <w:r w:rsidRPr="0099789E">
        <w:rPr>
          <w:rFonts w:ascii="Times New Roman" w:hAnsi="Times New Roman" w:cs="Times New Roman"/>
          <w:b/>
          <w:bCs/>
          <w:sz w:val="24"/>
          <w:szCs w:val="24"/>
          <w:u w:val="single"/>
        </w:rPr>
        <w:t>Page</w:t>
      </w:r>
    </w:p>
    <w:p w:rsidR="00BD5899" w:rsidRPr="0099789E" w:rsidRDefault="00BD5899" w:rsidP="000B3396">
      <w:pPr>
        <w:pStyle w:val="NoSpacing"/>
        <w:rPr>
          <w:rFonts w:ascii="Times New Roman" w:hAnsi="Times New Roman" w:cs="Times New Roman"/>
          <w:b/>
          <w:bCs/>
          <w:sz w:val="24"/>
          <w:szCs w:val="24"/>
        </w:rPr>
      </w:pPr>
    </w:p>
    <w:p w:rsidR="008A1BD6" w:rsidRDefault="00C266C0" w:rsidP="008A1BD6">
      <w:pPr>
        <w:pStyle w:val="TOC1"/>
        <w:tabs>
          <w:tab w:val="clear" w:pos="8820"/>
          <w:tab w:val="decimal" w:leader="dot" w:pos="8640"/>
        </w:tabs>
        <w:rPr>
          <w:rFonts w:asciiTheme="minorHAnsi" w:eastAsiaTheme="minorEastAsia" w:hAnsiTheme="minorHAnsi" w:cstheme="minorBidi"/>
          <w:caps w:val="0"/>
          <w:noProof/>
          <w:sz w:val="22"/>
          <w:szCs w:val="22"/>
        </w:rPr>
      </w:pPr>
      <w:r>
        <w:rPr>
          <w:b/>
          <w:bCs/>
        </w:rPr>
        <w:fldChar w:fldCharType="begin"/>
      </w:r>
      <w:r>
        <w:rPr>
          <w:b/>
          <w:bCs/>
        </w:rPr>
        <w:instrText xml:space="preserve"> TOC \o "1-3" \h \z \u </w:instrText>
      </w:r>
      <w:r>
        <w:rPr>
          <w:b/>
          <w:bCs/>
        </w:rPr>
        <w:fldChar w:fldCharType="separate"/>
      </w:r>
      <w:hyperlink w:anchor="_Toc347928808" w:history="1">
        <w:r w:rsidR="008A1BD6" w:rsidRPr="00BD29F8">
          <w:rPr>
            <w:rStyle w:val="Hyperlink"/>
            <w:noProof/>
          </w:rPr>
          <w:t>I.</w:t>
        </w:r>
        <w:r w:rsidR="008A1BD6">
          <w:rPr>
            <w:rFonts w:asciiTheme="minorHAnsi" w:eastAsiaTheme="minorEastAsia" w:hAnsiTheme="minorHAnsi" w:cstheme="minorBidi"/>
            <w:caps w:val="0"/>
            <w:noProof/>
            <w:sz w:val="22"/>
            <w:szCs w:val="22"/>
          </w:rPr>
          <w:tab/>
        </w:r>
        <w:r w:rsidR="008A1BD6" w:rsidRPr="00BD29F8">
          <w:rPr>
            <w:rStyle w:val="Hyperlink"/>
            <w:noProof/>
          </w:rPr>
          <w:t>INTRODUCTION</w:t>
        </w:r>
        <w:r w:rsidR="008A1BD6">
          <w:rPr>
            <w:noProof/>
            <w:webHidden/>
          </w:rPr>
          <w:tab/>
        </w:r>
        <w:r w:rsidR="008A1BD6">
          <w:rPr>
            <w:noProof/>
            <w:webHidden/>
          </w:rPr>
          <w:fldChar w:fldCharType="begin"/>
        </w:r>
        <w:r w:rsidR="008A1BD6">
          <w:rPr>
            <w:noProof/>
            <w:webHidden/>
          </w:rPr>
          <w:instrText xml:space="preserve"> PAGEREF _Toc347928808 \h </w:instrText>
        </w:r>
        <w:r w:rsidR="008A1BD6">
          <w:rPr>
            <w:noProof/>
            <w:webHidden/>
          </w:rPr>
        </w:r>
        <w:r w:rsidR="008A1BD6">
          <w:rPr>
            <w:noProof/>
            <w:webHidden/>
          </w:rPr>
          <w:fldChar w:fldCharType="separate"/>
        </w:r>
        <w:r w:rsidR="00022C4F">
          <w:rPr>
            <w:noProof/>
            <w:webHidden/>
          </w:rPr>
          <w:t>1</w:t>
        </w:r>
        <w:r w:rsidR="008A1BD6">
          <w:rPr>
            <w:noProof/>
            <w:webHidden/>
          </w:rPr>
          <w:fldChar w:fldCharType="end"/>
        </w:r>
      </w:hyperlink>
    </w:p>
    <w:p w:rsidR="008A1BD6" w:rsidRDefault="003A109F" w:rsidP="008A1BD6">
      <w:pPr>
        <w:pStyle w:val="TOC1"/>
        <w:tabs>
          <w:tab w:val="clear" w:pos="8820"/>
          <w:tab w:val="decimal" w:leader="dot" w:pos="8640"/>
        </w:tabs>
        <w:rPr>
          <w:rFonts w:asciiTheme="minorHAnsi" w:eastAsiaTheme="minorEastAsia" w:hAnsiTheme="minorHAnsi" w:cstheme="minorBidi"/>
          <w:caps w:val="0"/>
          <w:noProof/>
          <w:sz w:val="22"/>
          <w:szCs w:val="22"/>
        </w:rPr>
      </w:pPr>
      <w:hyperlink w:anchor="_Toc347928809" w:history="1">
        <w:r w:rsidR="008A1BD6" w:rsidRPr="00BD29F8">
          <w:rPr>
            <w:rStyle w:val="Hyperlink"/>
            <w:noProof/>
          </w:rPr>
          <w:t>II.</w:t>
        </w:r>
        <w:r w:rsidR="008A1BD6">
          <w:rPr>
            <w:rFonts w:asciiTheme="minorHAnsi" w:eastAsiaTheme="minorEastAsia" w:hAnsiTheme="minorHAnsi" w:cstheme="minorBidi"/>
            <w:caps w:val="0"/>
            <w:noProof/>
            <w:sz w:val="22"/>
            <w:szCs w:val="22"/>
          </w:rPr>
          <w:tab/>
        </w:r>
        <w:r w:rsidR="008A1BD6" w:rsidRPr="00BD29F8">
          <w:rPr>
            <w:rStyle w:val="Hyperlink"/>
            <w:noProof/>
          </w:rPr>
          <w:t>REPLY COMMENTS TO QUESTIONS LISTED ON Attachment A</w:t>
        </w:r>
        <w:r w:rsidR="008A1BD6">
          <w:rPr>
            <w:noProof/>
            <w:webHidden/>
          </w:rPr>
          <w:tab/>
        </w:r>
        <w:r w:rsidR="008A1BD6">
          <w:rPr>
            <w:noProof/>
            <w:webHidden/>
          </w:rPr>
          <w:fldChar w:fldCharType="begin"/>
        </w:r>
        <w:r w:rsidR="008A1BD6">
          <w:rPr>
            <w:noProof/>
            <w:webHidden/>
          </w:rPr>
          <w:instrText xml:space="preserve"> PAGEREF _Toc347928809 \h </w:instrText>
        </w:r>
        <w:r w:rsidR="008A1BD6">
          <w:rPr>
            <w:noProof/>
            <w:webHidden/>
          </w:rPr>
        </w:r>
        <w:r w:rsidR="008A1BD6">
          <w:rPr>
            <w:noProof/>
            <w:webHidden/>
          </w:rPr>
          <w:fldChar w:fldCharType="separate"/>
        </w:r>
        <w:r w:rsidR="00022C4F">
          <w:rPr>
            <w:noProof/>
            <w:webHidden/>
          </w:rPr>
          <w:t>3</w:t>
        </w:r>
        <w:r w:rsidR="008A1BD6">
          <w:rPr>
            <w:noProof/>
            <w:webHidden/>
          </w:rPr>
          <w:fldChar w:fldCharType="end"/>
        </w:r>
      </w:hyperlink>
    </w:p>
    <w:p w:rsidR="008A1BD6" w:rsidRDefault="003A109F" w:rsidP="008A1BD6">
      <w:pPr>
        <w:pStyle w:val="TOC2"/>
        <w:ind w:right="720"/>
        <w:rPr>
          <w:rFonts w:asciiTheme="minorHAnsi" w:eastAsiaTheme="minorEastAsia" w:hAnsiTheme="minorHAnsi" w:cstheme="minorBidi"/>
          <w:noProof/>
          <w:sz w:val="22"/>
          <w:szCs w:val="22"/>
        </w:rPr>
      </w:pPr>
      <w:hyperlink w:anchor="_Toc347928810" w:history="1">
        <w:r w:rsidR="008A1BD6" w:rsidRPr="00BD29F8">
          <w:rPr>
            <w:rStyle w:val="Hyperlink"/>
            <w:noProof/>
          </w:rPr>
          <w:t>A.</w:t>
        </w:r>
        <w:r w:rsidR="008A1BD6">
          <w:rPr>
            <w:rFonts w:asciiTheme="minorHAnsi" w:eastAsiaTheme="minorEastAsia" w:hAnsiTheme="minorHAnsi" w:cstheme="minorBidi"/>
            <w:noProof/>
            <w:sz w:val="22"/>
            <w:szCs w:val="22"/>
          </w:rPr>
          <w:tab/>
        </w:r>
        <w:r w:rsidR="008A1BD6" w:rsidRPr="00BD29F8">
          <w:rPr>
            <w:rStyle w:val="Hyperlink"/>
            <w:noProof/>
          </w:rPr>
          <w:t>Are Competitive Retail Natural Gas Service Providers Who Conduct Sales Through Agents That Are Compensated Primarily Or Exclusively On A Commission Basis, Incentivizing These Agents To Take Unfair Advantage Of Potential Customers Through Deceptive Sales Practices?  Would Sales Agents Be Less Incentivized If They Were Employees Of The Seller And/Or Provided With Some Level Of Base Salary?</w:t>
        </w:r>
        <w:r w:rsidR="008A1BD6">
          <w:rPr>
            <w:noProof/>
            <w:webHidden/>
          </w:rPr>
          <w:tab/>
        </w:r>
        <w:r w:rsidR="008A1BD6">
          <w:rPr>
            <w:noProof/>
            <w:webHidden/>
          </w:rPr>
          <w:fldChar w:fldCharType="begin"/>
        </w:r>
        <w:r w:rsidR="008A1BD6">
          <w:rPr>
            <w:noProof/>
            <w:webHidden/>
          </w:rPr>
          <w:instrText xml:space="preserve"> PAGEREF _Toc347928810 \h </w:instrText>
        </w:r>
        <w:r w:rsidR="008A1BD6">
          <w:rPr>
            <w:noProof/>
            <w:webHidden/>
          </w:rPr>
        </w:r>
        <w:r w:rsidR="008A1BD6">
          <w:rPr>
            <w:noProof/>
            <w:webHidden/>
          </w:rPr>
          <w:fldChar w:fldCharType="separate"/>
        </w:r>
        <w:r w:rsidR="00022C4F">
          <w:rPr>
            <w:noProof/>
            <w:webHidden/>
          </w:rPr>
          <w:t>3</w:t>
        </w:r>
        <w:r w:rsidR="008A1BD6">
          <w:rPr>
            <w:noProof/>
            <w:webHidden/>
          </w:rPr>
          <w:fldChar w:fldCharType="end"/>
        </w:r>
      </w:hyperlink>
    </w:p>
    <w:p w:rsidR="008A1BD6" w:rsidRDefault="003A109F" w:rsidP="008A1BD6">
      <w:pPr>
        <w:pStyle w:val="TOC2"/>
        <w:ind w:right="720"/>
        <w:rPr>
          <w:rFonts w:asciiTheme="minorHAnsi" w:eastAsiaTheme="minorEastAsia" w:hAnsiTheme="minorHAnsi" w:cstheme="minorBidi"/>
          <w:noProof/>
          <w:sz w:val="22"/>
          <w:szCs w:val="22"/>
        </w:rPr>
      </w:pPr>
      <w:hyperlink w:anchor="_Toc347928811" w:history="1">
        <w:r w:rsidR="008A1BD6" w:rsidRPr="00BD29F8">
          <w:rPr>
            <w:rStyle w:val="Hyperlink"/>
            <w:noProof/>
          </w:rPr>
          <w:t>B.</w:t>
        </w:r>
        <w:r w:rsidR="008A1BD6">
          <w:rPr>
            <w:rFonts w:asciiTheme="minorHAnsi" w:eastAsiaTheme="minorEastAsia" w:hAnsiTheme="minorHAnsi" w:cstheme="minorBidi"/>
            <w:noProof/>
            <w:sz w:val="22"/>
            <w:szCs w:val="22"/>
          </w:rPr>
          <w:tab/>
        </w:r>
        <w:r w:rsidR="008A1BD6" w:rsidRPr="00BD29F8">
          <w:rPr>
            <w:rStyle w:val="Hyperlink"/>
            <w:noProof/>
          </w:rPr>
          <w:t>Should Aggregation Incentives, Such As Financial Contributions To The Community, Be Disclosed In These Opt-Out Notices Or Is Media Coverage Of Aggregation Incentives Adequate?</w:t>
        </w:r>
        <w:r w:rsidR="008A1BD6">
          <w:rPr>
            <w:noProof/>
            <w:webHidden/>
          </w:rPr>
          <w:tab/>
        </w:r>
        <w:r w:rsidR="008A1BD6">
          <w:rPr>
            <w:noProof/>
            <w:webHidden/>
          </w:rPr>
          <w:fldChar w:fldCharType="begin"/>
        </w:r>
        <w:r w:rsidR="008A1BD6">
          <w:rPr>
            <w:noProof/>
            <w:webHidden/>
          </w:rPr>
          <w:instrText xml:space="preserve"> PAGEREF _Toc347928811 \h </w:instrText>
        </w:r>
        <w:r w:rsidR="008A1BD6">
          <w:rPr>
            <w:noProof/>
            <w:webHidden/>
          </w:rPr>
        </w:r>
        <w:r w:rsidR="008A1BD6">
          <w:rPr>
            <w:noProof/>
            <w:webHidden/>
          </w:rPr>
          <w:fldChar w:fldCharType="separate"/>
        </w:r>
        <w:r w:rsidR="00022C4F">
          <w:rPr>
            <w:noProof/>
            <w:webHidden/>
          </w:rPr>
          <w:t>6</w:t>
        </w:r>
        <w:r w:rsidR="008A1BD6">
          <w:rPr>
            <w:noProof/>
            <w:webHidden/>
          </w:rPr>
          <w:fldChar w:fldCharType="end"/>
        </w:r>
      </w:hyperlink>
    </w:p>
    <w:p w:rsidR="008A1BD6" w:rsidRDefault="003A109F" w:rsidP="008A1BD6">
      <w:pPr>
        <w:pStyle w:val="TOC2"/>
        <w:ind w:right="720"/>
        <w:rPr>
          <w:rFonts w:asciiTheme="minorHAnsi" w:eastAsiaTheme="minorEastAsia" w:hAnsiTheme="minorHAnsi" w:cstheme="minorBidi"/>
          <w:noProof/>
          <w:sz w:val="22"/>
          <w:szCs w:val="22"/>
        </w:rPr>
      </w:pPr>
      <w:hyperlink w:anchor="_Toc347928812" w:history="1">
        <w:r w:rsidR="008A1BD6" w:rsidRPr="00BD29F8">
          <w:rPr>
            <w:rStyle w:val="Hyperlink"/>
            <w:noProof/>
          </w:rPr>
          <w:t>C.</w:t>
        </w:r>
        <w:r w:rsidR="008A1BD6">
          <w:rPr>
            <w:rFonts w:asciiTheme="minorHAnsi" w:eastAsiaTheme="minorEastAsia" w:hAnsiTheme="minorHAnsi" w:cstheme="minorBidi"/>
            <w:noProof/>
            <w:sz w:val="22"/>
            <w:szCs w:val="22"/>
          </w:rPr>
          <w:tab/>
        </w:r>
        <w:r w:rsidR="008A1BD6" w:rsidRPr="00BD29F8">
          <w:rPr>
            <w:rStyle w:val="Hyperlink"/>
            <w:noProof/>
          </w:rPr>
          <w:t>Should The Commission’s Rules Regulate The Availability Of Certain Lengths And Types Of Contracts For Certain Customer Classes?  Should The Commission’s Rules Require A Supplier To Disclose All Inducements To Contract?</w:t>
        </w:r>
        <w:r w:rsidR="008A1BD6">
          <w:rPr>
            <w:noProof/>
            <w:webHidden/>
          </w:rPr>
          <w:tab/>
        </w:r>
        <w:r w:rsidR="008A1BD6">
          <w:rPr>
            <w:noProof/>
            <w:webHidden/>
          </w:rPr>
          <w:fldChar w:fldCharType="begin"/>
        </w:r>
        <w:r w:rsidR="008A1BD6">
          <w:rPr>
            <w:noProof/>
            <w:webHidden/>
          </w:rPr>
          <w:instrText xml:space="preserve"> PAGEREF _Toc347928812 \h </w:instrText>
        </w:r>
        <w:r w:rsidR="008A1BD6">
          <w:rPr>
            <w:noProof/>
            <w:webHidden/>
          </w:rPr>
        </w:r>
        <w:r w:rsidR="008A1BD6">
          <w:rPr>
            <w:noProof/>
            <w:webHidden/>
          </w:rPr>
          <w:fldChar w:fldCharType="separate"/>
        </w:r>
        <w:r w:rsidR="00022C4F">
          <w:rPr>
            <w:noProof/>
            <w:webHidden/>
          </w:rPr>
          <w:t>7</w:t>
        </w:r>
        <w:r w:rsidR="008A1BD6">
          <w:rPr>
            <w:noProof/>
            <w:webHidden/>
          </w:rPr>
          <w:fldChar w:fldCharType="end"/>
        </w:r>
      </w:hyperlink>
    </w:p>
    <w:p w:rsidR="008A1BD6" w:rsidRDefault="003A109F" w:rsidP="008A1BD6">
      <w:pPr>
        <w:pStyle w:val="TOC2"/>
        <w:ind w:right="720"/>
        <w:rPr>
          <w:rFonts w:asciiTheme="minorHAnsi" w:eastAsiaTheme="minorEastAsia" w:hAnsiTheme="minorHAnsi" w:cstheme="minorBidi"/>
          <w:noProof/>
          <w:sz w:val="22"/>
          <w:szCs w:val="22"/>
        </w:rPr>
      </w:pPr>
      <w:hyperlink w:anchor="_Toc347928813" w:history="1">
        <w:r w:rsidR="008A1BD6" w:rsidRPr="00BD29F8">
          <w:rPr>
            <w:rStyle w:val="Hyperlink"/>
            <w:noProof/>
          </w:rPr>
          <w:t>D.</w:t>
        </w:r>
        <w:r w:rsidR="008A1BD6">
          <w:rPr>
            <w:rFonts w:asciiTheme="minorHAnsi" w:eastAsiaTheme="minorEastAsia" w:hAnsiTheme="minorHAnsi" w:cstheme="minorBidi"/>
            <w:noProof/>
            <w:sz w:val="22"/>
            <w:szCs w:val="22"/>
          </w:rPr>
          <w:tab/>
        </w:r>
        <w:r w:rsidR="008A1BD6" w:rsidRPr="00BD29F8">
          <w:rPr>
            <w:rStyle w:val="Hyperlink"/>
            <w:noProof/>
          </w:rPr>
          <w:t>Should The Rule Also Require The Sales Pitch Segment Of The Call To Also Be Recorded?  Should The Rules Be Clarified To Require Greater Customer Protections?</w:t>
        </w:r>
        <w:r w:rsidR="008A1BD6">
          <w:rPr>
            <w:noProof/>
            <w:webHidden/>
          </w:rPr>
          <w:tab/>
        </w:r>
        <w:r w:rsidR="008A1BD6">
          <w:rPr>
            <w:noProof/>
            <w:webHidden/>
          </w:rPr>
          <w:fldChar w:fldCharType="begin"/>
        </w:r>
        <w:r w:rsidR="008A1BD6">
          <w:rPr>
            <w:noProof/>
            <w:webHidden/>
          </w:rPr>
          <w:instrText xml:space="preserve"> PAGEREF _Toc347928813 \h </w:instrText>
        </w:r>
        <w:r w:rsidR="008A1BD6">
          <w:rPr>
            <w:noProof/>
            <w:webHidden/>
          </w:rPr>
        </w:r>
        <w:r w:rsidR="008A1BD6">
          <w:rPr>
            <w:noProof/>
            <w:webHidden/>
          </w:rPr>
          <w:fldChar w:fldCharType="separate"/>
        </w:r>
        <w:r w:rsidR="00022C4F">
          <w:rPr>
            <w:noProof/>
            <w:webHidden/>
          </w:rPr>
          <w:t>8</w:t>
        </w:r>
        <w:r w:rsidR="008A1BD6">
          <w:rPr>
            <w:noProof/>
            <w:webHidden/>
          </w:rPr>
          <w:fldChar w:fldCharType="end"/>
        </w:r>
      </w:hyperlink>
    </w:p>
    <w:p w:rsidR="008A1BD6" w:rsidRDefault="003A109F" w:rsidP="008A1BD6">
      <w:pPr>
        <w:pStyle w:val="TOC2"/>
        <w:ind w:right="720"/>
        <w:rPr>
          <w:rFonts w:asciiTheme="minorHAnsi" w:eastAsiaTheme="minorEastAsia" w:hAnsiTheme="minorHAnsi" w:cstheme="minorBidi"/>
          <w:noProof/>
          <w:sz w:val="22"/>
          <w:szCs w:val="22"/>
        </w:rPr>
      </w:pPr>
      <w:hyperlink w:anchor="_Toc347928814" w:history="1">
        <w:r w:rsidR="008A1BD6" w:rsidRPr="00BD29F8">
          <w:rPr>
            <w:rStyle w:val="Hyperlink"/>
            <w:noProof/>
          </w:rPr>
          <w:t>E.</w:t>
        </w:r>
        <w:r w:rsidR="008A1BD6">
          <w:rPr>
            <w:rFonts w:asciiTheme="minorHAnsi" w:eastAsiaTheme="minorEastAsia" w:hAnsiTheme="minorHAnsi" w:cstheme="minorBidi"/>
            <w:noProof/>
            <w:sz w:val="22"/>
            <w:szCs w:val="22"/>
          </w:rPr>
          <w:tab/>
        </w:r>
        <w:r w:rsidR="008A1BD6" w:rsidRPr="00BD29F8">
          <w:rPr>
            <w:rStyle w:val="Hyperlink"/>
            <w:noProof/>
          </w:rPr>
          <w:t>Are There Best Practices From Other States That Should Be Incorporated In The Rules To Facilitate This Promotion?  Other State Commissions Post Supplier Complaint Data On Their Web Sites Identifying The Numbers And Types Of Consumer Complaints Received By The Commission’s Call Center.  If Normalized, Should Complaint Data Be Added To The Apples To Apples Chart?</w:t>
        </w:r>
        <w:r w:rsidR="008A1BD6">
          <w:rPr>
            <w:noProof/>
            <w:webHidden/>
          </w:rPr>
          <w:tab/>
        </w:r>
        <w:r w:rsidR="008A1BD6">
          <w:rPr>
            <w:noProof/>
            <w:webHidden/>
          </w:rPr>
          <w:fldChar w:fldCharType="begin"/>
        </w:r>
        <w:r w:rsidR="008A1BD6">
          <w:rPr>
            <w:noProof/>
            <w:webHidden/>
          </w:rPr>
          <w:instrText xml:space="preserve"> PAGEREF _Toc347928814 \h </w:instrText>
        </w:r>
        <w:r w:rsidR="008A1BD6">
          <w:rPr>
            <w:noProof/>
            <w:webHidden/>
          </w:rPr>
        </w:r>
        <w:r w:rsidR="008A1BD6">
          <w:rPr>
            <w:noProof/>
            <w:webHidden/>
          </w:rPr>
          <w:fldChar w:fldCharType="separate"/>
        </w:r>
        <w:r w:rsidR="00022C4F">
          <w:rPr>
            <w:noProof/>
            <w:webHidden/>
          </w:rPr>
          <w:t>9</w:t>
        </w:r>
        <w:r w:rsidR="008A1BD6">
          <w:rPr>
            <w:noProof/>
            <w:webHidden/>
          </w:rPr>
          <w:fldChar w:fldCharType="end"/>
        </w:r>
      </w:hyperlink>
    </w:p>
    <w:p w:rsidR="008A1BD6" w:rsidRDefault="003A109F" w:rsidP="008A1BD6">
      <w:pPr>
        <w:pStyle w:val="TOC2"/>
        <w:ind w:right="720"/>
        <w:rPr>
          <w:rFonts w:asciiTheme="minorHAnsi" w:eastAsiaTheme="minorEastAsia" w:hAnsiTheme="minorHAnsi" w:cstheme="minorBidi"/>
          <w:noProof/>
          <w:sz w:val="22"/>
          <w:szCs w:val="22"/>
        </w:rPr>
      </w:pPr>
      <w:hyperlink w:anchor="_Toc347928815" w:history="1">
        <w:r w:rsidR="008A1BD6" w:rsidRPr="00BD29F8">
          <w:rPr>
            <w:rStyle w:val="Hyperlink"/>
            <w:noProof/>
          </w:rPr>
          <w:t>F.</w:t>
        </w:r>
        <w:r w:rsidR="008A1BD6">
          <w:rPr>
            <w:rFonts w:asciiTheme="minorHAnsi" w:eastAsiaTheme="minorEastAsia" w:hAnsiTheme="minorHAnsi" w:cstheme="minorBidi"/>
            <w:noProof/>
            <w:sz w:val="22"/>
            <w:szCs w:val="22"/>
          </w:rPr>
          <w:tab/>
        </w:r>
        <w:r w:rsidR="008A1BD6" w:rsidRPr="00BD29F8">
          <w:rPr>
            <w:rStyle w:val="Hyperlink"/>
            <w:noProof/>
          </w:rPr>
          <w:t>Are Additional Rules Necessary To Protect Customers As Local Distribution Companies Begin To Exit The Merchant Function?</w:t>
        </w:r>
        <w:r w:rsidR="008A1BD6">
          <w:rPr>
            <w:noProof/>
            <w:webHidden/>
          </w:rPr>
          <w:tab/>
        </w:r>
        <w:r w:rsidR="008A1BD6">
          <w:rPr>
            <w:noProof/>
            <w:webHidden/>
          </w:rPr>
          <w:fldChar w:fldCharType="begin"/>
        </w:r>
        <w:r w:rsidR="008A1BD6">
          <w:rPr>
            <w:noProof/>
            <w:webHidden/>
          </w:rPr>
          <w:instrText xml:space="preserve"> PAGEREF _Toc347928815 \h </w:instrText>
        </w:r>
        <w:r w:rsidR="008A1BD6">
          <w:rPr>
            <w:noProof/>
            <w:webHidden/>
          </w:rPr>
        </w:r>
        <w:r w:rsidR="008A1BD6">
          <w:rPr>
            <w:noProof/>
            <w:webHidden/>
          </w:rPr>
          <w:fldChar w:fldCharType="separate"/>
        </w:r>
        <w:r w:rsidR="00022C4F">
          <w:rPr>
            <w:noProof/>
            <w:webHidden/>
          </w:rPr>
          <w:t>11</w:t>
        </w:r>
        <w:r w:rsidR="008A1BD6">
          <w:rPr>
            <w:noProof/>
            <w:webHidden/>
          </w:rPr>
          <w:fldChar w:fldCharType="end"/>
        </w:r>
      </w:hyperlink>
    </w:p>
    <w:p w:rsidR="008A1BD6" w:rsidRDefault="003A109F" w:rsidP="008A1BD6">
      <w:pPr>
        <w:pStyle w:val="TOC1"/>
        <w:tabs>
          <w:tab w:val="clear" w:pos="8820"/>
          <w:tab w:val="decimal" w:leader="dot" w:pos="8640"/>
        </w:tabs>
        <w:rPr>
          <w:rFonts w:asciiTheme="minorHAnsi" w:eastAsiaTheme="minorEastAsia" w:hAnsiTheme="minorHAnsi" w:cstheme="minorBidi"/>
          <w:caps w:val="0"/>
          <w:noProof/>
          <w:sz w:val="22"/>
          <w:szCs w:val="22"/>
        </w:rPr>
      </w:pPr>
      <w:hyperlink w:anchor="_Toc347928816" w:history="1">
        <w:r w:rsidR="008A1BD6" w:rsidRPr="00BD29F8">
          <w:rPr>
            <w:rStyle w:val="Hyperlink"/>
            <w:noProof/>
          </w:rPr>
          <w:t>III.</w:t>
        </w:r>
        <w:r w:rsidR="008A1BD6">
          <w:rPr>
            <w:rFonts w:asciiTheme="minorHAnsi" w:eastAsiaTheme="minorEastAsia" w:hAnsiTheme="minorHAnsi" w:cstheme="minorBidi"/>
            <w:caps w:val="0"/>
            <w:noProof/>
            <w:sz w:val="22"/>
            <w:szCs w:val="22"/>
          </w:rPr>
          <w:tab/>
        </w:r>
        <w:r w:rsidR="008A1BD6" w:rsidRPr="00BD29F8">
          <w:rPr>
            <w:rStyle w:val="Hyperlink"/>
            <w:noProof/>
          </w:rPr>
          <w:t>REPLY COMMENTS ON 4901:1-27</w:t>
        </w:r>
        <w:r w:rsidR="008A1BD6">
          <w:rPr>
            <w:noProof/>
            <w:webHidden/>
          </w:rPr>
          <w:tab/>
        </w:r>
        <w:r w:rsidR="008A1BD6">
          <w:rPr>
            <w:noProof/>
            <w:webHidden/>
          </w:rPr>
          <w:fldChar w:fldCharType="begin"/>
        </w:r>
        <w:r w:rsidR="008A1BD6">
          <w:rPr>
            <w:noProof/>
            <w:webHidden/>
          </w:rPr>
          <w:instrText xml:space="preserve"> PAGEREF _Toc347928816 \h </w:instrText>
        </w:r>
        <w:r w:rsidR="008A1BD6">
          <w:rPr>
            <w:noProof/>
            <w:webHidden/>
          </w:rPr>
        </w:r>
        <w:r w:rsidR="008A1BD6">
          <w:rPr>
            <w:noProof/>
            <w:webHidden/>
          </w:rPr>
          <w:fldChar w:fldCharType="separate"/>
        </w:r>
        <w:r w:rsidR="00022C4F">
          <w:rPr>
            <w:noProof/>
            <w:webHidden/>
          </w:rPr>
          <w:t>12</w:t>
        </w:r>
        <w:r w:rsidR="008A1BD6">
          <w:rPr>
            <w:noProof/>
            <w:webHidden/>
          </w:rPr>
          <w:fldChar w:fldCharType="end"/>
        </w:r>
      </w:hyperlink>
    </w:p>
    <w:p w:rsidR="008A1BD6" w:rsidRDefault="003A109F" w:rsidP="008A1BD6">
      <w:pPr>
        <w:pStyle w:val="TOC1"/>
        <w:tabs>
          <w:tab w:val="clear" w:pos="8820"/>
          <w:tab w:val="decimal" w:leader="dot" w:pos="8640"/>
        </w:tabs>
        <w:rPr>
          <w:rFonts w:asciiTheme="minorHAnsi" w:eastAsiaTheme="minorEastAsia" w:hAnsiTheme="minorHAnsi" w:cstheme="minorBidi"/>
          <w:caps w:val="0"/>
          <w:noProof/>
          <w:sz w:val="22"/>
          <w:szCs w:val="22"/>
        </w:rPr>
      </w:pPr>
      <w:hyperlink w:anchor="_Toc347928817" w:history="1">
        <w:r w:rsidR="008A1BD6" w:rsidRPr="00BD29F8">
          <w:rPr>
            <w:rStyle w:val="Hyperlink"/>
            <w:noProof/>
          </w:rPr>
          <w:t>IV.</w:t>
        </w:r>
        <w:r w:rsidR="008A1BD6">
          <w:rPr>
            <w:rFonts w:asciiTheme="minorHAnsi" w:eastAsiaTheme="minorEastAsia" w:hAnsiTheme="minorHAnsi" w:cstheme="minorBidi"/>
            <w:caps w:val="0"/>
            <w:noProof/>
            <w:sz w:val="22"/>
            <w:szCs w:val="22"/>
          </w:rPr>
          <w:tab/>
        </w:r>
        <w:r w:rsidR="008A1BD6" w:rsidRPr="00BD29F8">
          <w:rPr>
            <w:rStyle w:val="Hyperlink"/>
            <w:noProof/>
          </w:rPr>
          <w:t>Comments on 4901:1-29</w:t>
        </w:r>
        <w:r w:rsidR="008A1BD6">
          <w:rPr>
            <w:noProof/>
            <w:webHidden/>
          </w:rPr>
          <w:tab/>
        </w:r>
        <w:r w:rsidR="008A1BD6">
          <w:rPr>
            <w:noProof/>
            <w:webHidden/>
          </w:rPr>
          <w:fldChar w:fldCharType="begin"/>
        </w:r>
        <w:r w:rsidR="008A1BD6">
          <w:rPr>
            <w:noProof/>
            <w:webHidden/>
          </w:rPr>
          <w:instrText xml:space="preserve"> PAGEREF _Toc347928817 \h </w:instrText>
        </w:r>
        <w:r w:rsidR="008A1BD6">
          <w:rPr>
            <w:noProof/>
            <w:webHidden/>
          </w:rPr>
        </w:r>
        <w:r w:rsidR="008A1BD6">
          <w:rPr>
            <w:noProof/>
            <w:webHidden/>
          </w:rPr>
          <w:fldChar w:fldCharType="separate"/>
        </w:r>
        <w:r w:rsidR="00022C4F">
          <w:rPr>
            <w:noProof/>
            <w:webHidden/>
          </w:rPr>
          <w:t>14</w:t>
        </w:r>
        <w:r w:rsidR="008A1BD6">
          <w:rPr>
            <w:noProof/>
            <w:webHidden/>
          </w:rPr>
          <w:fldChar w:fldCharType="end"/>
        </w:r>
      </w:hyperlink>
    </w:p>
    <w:p w:rsidR="008A1BD6" w:rsidRDefault="003A109F" w:rsidP="008A1BD6">
      <w:pPr>
        <w:pStyle w:val="TOC3"/>
        <w:ind w:right="720"/>
        <w:rPr>
          <w:rFonts w:asciiTheme="minorHAnsi" w:eastAsiaTheme="minorEastAsia" w:hAnsiTheme="minorHAnsi" w:cstheme="minorBidi"/>
          <w:noProof/>
          <w:sz w:val="22"/>
          <w:szCs w:val="22"/>
        </w:rPr>
      </w:pPr>
      <w:hyperlink w:anchor="_Toc347928818" w:history="1">
        <w:r w:rsidR="008A1BD6" w:rsidRPr="00BD29F8">
          <w:rPr>
            <w:rStyle w:val="Hyperlink"/>
            <w:noProof/>
          </w:rPr>
          <w:t xml:space="preserve">4901:1-29-01 </w:t>
        </w:r>
        <w:r w:rsidR="00D752E3">
          <w:rPr>
            <w:rStyle w:val="Hyperlink"/>
            <w:noProof/>
          </w:rPr>
          <w:t>-</w:t>
        </w:r>
        <w:r w:rsidR="008A1BD6" w:rsidRPr="00BD29F8">
          <w:rPr>
            <w:rStyle w:val="Hyperlink"/>
            <w:noProof/>
          </w:rPr>
          <w:t xml:space="preserve"> Definitions.</w:t>
        </w:r>
        <w:r w:rsidR="008A1BD6">
          <w:rPr>
            <w:noProof/>
            <w:webHidden/>
          </w:rPr>
          <w:tab/>
        </w:r>
        <w:r w:rsidR="008A1BD6">
          <w:rPr>
            <w:noProof/>
            <w:webHidden/>
          </w:rPr>
          <w:fldChar w:fldCharType="begin"/>
        </w:r>
        <w:r w:rsidR="008A1BD6">
          <w:rPr>
            <w:noProof/>
            <w:webHidden/>
          </w:rPr>
          <w:instrText xml:space="preserve"> PAGEREF _Toc347928818 \h </w:instrText>
        </w:r>
        <w:r w:rsidR="008A1BD6">
          <w:rPr>
            <w:noProof/>
            <w:webHidden/>
          </w:rPr>
        </w:r>
        <w:r w:rsidR="008A1BD6">
          <w:rPr>
            <w:noProof/>
            <w:webHidden/>
          </w:rPr>
          <w:fldChar w:fldCharType="separate"/>
        </w:r>
        <w:r w:rsidR="00022C4F">
          <w:rPr>
            <w:noProof/>
            <w:webHidden/>
          </w:rPr>
          <w:t>14</w:t>
        </w:r>
        <w:r w:rsidR="008A1BD6">
          <w:rPr>
            <w:noProof/>
            <w:webHidden/>
          </w:rPr>
          <w:fldChar w:fldCharType="end"/>
        </w:r>
      </w:hyperlink>
    </w:p>
    <w:p w:rsidR="008A1BD6" w:rsidRDefault="003A109F" w:rsidP="008A1BD6">
      <w:pPr>
        <w:pStyle w:val="TOC3"/>
        <w:ind w:right="720"/>
        <w:rPr>
          <w:rFonts w:asciiTheme="minorHAnsi" w:eastAsiaTheme="minorEastAsia" w:hAnsiTheme="minorHAnsi" w:cstheme="minorBidi"/>
          <w:noProof/>
          <w:sz w:val="22"/>
          <w:szCs w:val="22"/>
        </w:rPr>
      </w:pPr>
      <w:hyperlink w:anchor="_Toc347928819" w:history="1">
        <w:r w:rsidR="008A1BD6" w:rsidRPr="00BD29F8">
          <w:rPr>
            <w:rStyle w:val="Hyperlink"/>
            <w:noProof/>
          </w:rPr>
          <w:t>4901:1-29-03 - General Provisions.</w:t>
        </w:r>
        <w:r w:rsidR="008A1BD6">
          <w:rPr>
            <w:noProof/>
            <w:webHidden/>
          </w:rPr>
          <w:tab/>
        </w:r>
        <w:r w:rsidR="008A1BD6">
          <w:rPr>
            <w:noProof/>
            <w:webHidden/>
          </w:rPr>
          <w:fldChar w:fldCharType="begin"/>
        </w:r>
        <w:r w:rsidR="008A1BD6">
          <w:rPr>
            <w:noProof/>
            <w:webHidden/>
          </w:rPr>
          <w:instrText xml:space="preserve"> PAGEREF _Toc347928819 \h </w:instrText>
        </w:r>
        <w:r w:rsidR="008A1BD6">
          <w:rPr>
            <w:noProof/>
            <w:webHidden/>
          </w:rPr>
        </w:r>
        <w:r w:rsidR="008A1BD6">
          <w:rPr>
            <w:noProof/>
            <w:webHidden/>
          </w:rPr>
          <w:fldChar w:fldCharType="separate"/>
        </w:r>
        <w:r w:rsidR="00022C4F">
          <w:rPr>
            <w:noProof/>
            <w:webHidden/>
          </w:rPr>
          <w:t>16</w:t>
        </w:r>
        <w:r w:rsidR="008A1BD6">
          <w:rPr>
            <w:noProof/>
            <w:webHidden/>
          </w:rPr>
          <w:fldChar w:fldCharType="end"/>
        </w:r>
      </w:hyperlink>
    </w:p>
    <w:p w:rsidR="008A1BD6" w:rsidRDefault="003A109F" w:rsidP="008A1BD6">
      <w:pPr>
        <w:pStyle w:val="TOC3"/>
        <w:ind w:right="720"/>
        <w:rPr>
          <w:rFonts w:asciiTheme="minorHAnsi" w:eastAsiaTheme="minorEastAsia" w:hAnsiTheme="minorHAnsi" w:cstheme="minorBidi"/>
          <w:noProof/>
          <w:sz w:val="22"/>
          <w:szCs w:val="22"/>
        </w:rPr>
      </w:pPr>
      <w:hyperlink w:anchor="_Toc347928820" w:history="1">
        <w:r w:rsidR="008A1BD6" w:rsidRPr="00BD29F8">
          <w:rPr>
            <w:rStyle w:val="Hyperlink"/>
            <w:noProof/>
          </w:rPr>
          <w:t>4901:1-29-05 - Marketing and Solicitation.</w:t>
        </w:r>
        <w:r w:rsidR="008A1BD6">
          <w:rPr>
            <w:noProof/>
            <w:webHidden/>
          </w:rPr>
          <w:tab/>
        </w:r>
        <w:r w:rsidR="008A1BD6">
          <w:rPr>
            <w:noProof/>
            <w:webHidden/>
          </w:rPr>
          <w:fldChar w:fldCharType="begin"/>
        </w:r>
        <w:r w:rsidR="008A1BD6">
          <w:rPr>
            <w:noProof/>
            <w:webHidden/>
          </w:rPr>
          <w:instrText xml:space="preserve"> PAGEREF _Toc347928820 \h </w:instrText>
        </w:r>
        <w:r w:rsidR="008A1BD6">
          <w:rPr>
            <w:noProof/>
            <w:webHidden/>
          </w:rPr>
        </w:r>
        <w:r w:rsidR="008A1BD6">
          <w:rPr>
            <w:noProof/>
            <w:webHidden/>
          </w:rPr>
          <w:fldChar w:fldCharType="separate"/>
        </w:r>
        <w:r w:rsidR="00022C4F">
          <w:rPr>
            <w:noProof/>
            <w:webHidden/>
          </w:rPr>
          <w:t>17</w:t>
        </w:r>
        <w:r w:rsidR="008A1BD6">
          <w:rPr>
            <w:noProof/>
            <w:webHidden/>
          </w:rPr>
          <w:fldChar w:fldCharType="end"/>
        </w:r>
      </w:hyperlink>
    </w:p>
    <w:p w:rsidR="008A1BD6" w:rsidRDefault="003A109F" w:rsidP="008A1BD6">
      <w:pPr>
        <w:pStyle w:val="TOC3"/>
        <w:ind w:right="720"/>
        <w:rPr>
          <w:rFonts w:asciiTheme="minorHAnsi" w:eastAsiaTheme="minorEastAsia" w:hAnsiTheme="minorHAnsi" w:cstheme="minorBidi"/>
          <w:noProof/>
          <w:sz w:val="22"/>
          <w:szCs w:val="22"/>
        </w:rPr>
      </w:pPr>
      <w:hyperlink w:anchor="_Toc347928821" w:history="1">
        <w:r w:rsidR="008A1BD6" w:rsidRPr="00BD29F8">
          <w:rPr>
            <w:rStyle w:val="Hyperlink"/>
            <w:noProof/>
          </w:rPr>
          <w:t>4901:1-29-06 - Customer Enrollments and Consent.</w:t>
        </w:r>
        <w:r w:rsidR="008A1BD6">
          <w:rPr>
            <w:noProof/>
            <w:webHidden/>
          </w:rPr>
          <w:tab/>
        </w:r>
        <w:r w:rsidR="008A1BD6">
          <w:rPr>
            <w:noProof/>
            <w:webHidden/>
          </w:rPr>
          <w:fldChar w:fldCharType="begin"/>
        </w:r>
        <w:r w:rsidR="008A1BD6">
          <w:rPr>
            <w:noProof/>
            <w:webHidden/>
          </w:rPr>
          <w:instrText xml:space="preserve"> PAGEREF _Toc347928821 \h </w:instrText>
        </w:r>
        <w:r w:rsidR="008A1BD6">
          <w:rPr>
            <w:noProof/>
            <w:webHidden/>
          </w:rPr>
        </w:r>
        <w:r w:rsidR="008A1BD6">
          <w:rPr>
            <w:noProof/>
            <w:webHidden/>
          </w:rPr>
          <w:fldChar w:fldCharType="separate"/>
        </w:r>
        <w:r w:rsidR="00022C4F">
          <w:rPr>
            <w:noProof/>
            <w:webHidden/>
          </w:rPr>
          <w:t>20</w:t>
        </w:r>
        <w:r w:rsidR="008A1BD6">
          <w:rPr>
            <w:noProof/>
            <w:webHidden/>
          </w:rPr>
          <w:fldChar w:fldCharType="end"/>
        </w:r>
      </w:hyperlink>
    </w:p>
    <w:p w:rsidR="008A1BD6" w:rsidRDefault="003A109F" w:rsidP="008A1BD6">
      <w:pPr>
        <w:pStyle w:val="TOC3"/>
        <w:ind w:right="720"/>
        <w:rPr>
          <w:rFonts w:asciiTheme="minorHAnsi" w:eastAsiaTheme="minorEastAsia" w:hAnsiTheme="minorHAnsi" w:cstheme="minorBidi"/>
          <w:noProof/>
          <w:sz w:val="22"/>
          <w:szCs w:val="22"/>
        </w:rPr>
      </w:pPr>
      <w:hyperlink w:anchor="_Toc347928822" w:history="1">
        <w:r w:rsidR="008A1BD6" w:rsidRPr="00BD29F8">
          <w:rPr>
            <w:rStyle w:val="Hyperlink"/>
            <w:noProof/>
          </w:rPr>
          <w:t>4901:1-29-09</w:t>
        </w:r>
        <w:r w:rsidR="00D752E3">
          <w:rPr>
            <w:rStyle w:val="Hyperlink"/>
            <w:noProof/>
          </w:rPr>
          <w:t xml:space="preserve"> -</w:t>
        </w:r>
        <w:r w:rsidR="008A1BD6" w:rsidRPr="00BD29F8">
          <w:rPr>
            <w:rStyle w:val="Hyperlink"/>
            <w:noProof/>
          </w:rPr>
          <w:t xml:space="preserve"> Customer Information.</w:t>
        </w:r>
        <w:r w:rsidR="008A1BD6">
          <w:rPr>
            <w:noProof/>
            <w:webHidden/>
          </w:rPr>
          <w:tab/>
        </w:r>
        <w:r w:rsidR="008A1BD6">
          <w:rPr>
            <w:noProof/>
            <w:webHidden/>
          </w:rPr>
          <w:fldChar w:fldCharType="begin"/>
        </w:r>
        <w:r w:rsidR="008A1BD6">
          <w:rPr>
            <w:noProof/>
            <w:webHidden/>
          </w:rPr>
          <w:instrText xml:space="preserve"> PAGEREF _Toc347928822 \h </w:instrText>
        </w:r>
        <w:r w:rsidR="008A1BD6">
          <w:rPr>
            <w:noProof/>
            <w:webHidden/>
          </w:rPr>
        </w:r>
        <w:r w:rsidR="008A1BD6">
          <w:rPr>
            <w:noProof/>
            <w:webHidden/>
          </w:rPr>
          <w:fldChar w:fldCharType="separate"/>
        </w:r>
        <w:r w:rsidR="00022C4F">
          <w:rPr>
            <w:noProof/>
            <w:webHidden/>
          </w:rPr>
          <w:t>24</w:t>
        </w:r>
        <w:r w:rsidR="008A1BD6">
          <w:rPr>
            <w:noProof/>
            <w:webHidden/>
          </w:rPr>
          <w:fldChar w:fldCharType="end"/>
        </w:r>
      </w:hyperlink>
    </w:p>
    <w:p w:rsidR="008A1BD6" w:rsidRDefault="003A109F" w:rsidP="008A1BD6">
      <w:pPr>
        <w:pStyle w:val="TOC3"/>
        <w:ind w:right="720"/>
        <w:rPr>
          <w:rFonts w:asciiTheme="minorHAnsi" w:eastAsiaTheme="minorEastAsia" w:hAnsiTheme="minorHAnsi" w:cstheme="minorBidi"/>
          <w:noProof/>
          <w:sz w:val="22"/>
          <w:szCs w:val="22"/>
        </w:rPr>
      </w:pPr>
      <w:hyperlink w:anchor="_Toc347928823" w:history="1">
        <w:r w:rsidR="008A1BD6" w:rsidRPr="00BD29F8">
          <w:rPr>
            <w:rStyle w:val="Hyperlink"/>
            <w:noProof/>
          </w:rPr>
          <w:t>4901:1-29-10 - Contract Administration and Renewals.</w:t>
        </w:r>
        <w:r w:rsidR="008A1BD6">
          <w:rPr>
            <w:noProof/>
            <w:webHidden/>
          </w:rPr>
          <w:tab/>
        </w:r>
        <w:r w:rsidR="008A1BD6">
          <w:rPr>
            <w:noProof/>
            <w:webHidden/>
          </w:rPr>
          <w:fldChar w:fldCharType="begin"/>
        </w:r>
        <w:r w:rsidR="008A1BD6">
          <w:rPr>
            <w:noProof/>
            <w:webHidden/>
          </w:rPr>
          <w:instrText xml:space="preserve"> PAGEREF _Toc347928823 \h </w:instrText>
        </w:r>
        <w:r w:rsidR="008A1BD6">
          <w:rPr>
            <w:noProof/>
            <w:webHidden/>
          </w:rPr>
        </w:r>
        <w:r w:rsidR="008A1BD6">
          <w:rPr>
            <w:noProof/>
            <w:webHidden/>
          </w:rPr>
          <w:fldChar w:fldCharType="separate"/>
        </w:r>
        <w:r w:rsidR="00022C4F">
          <w:rPr>
            <w:noProof/>
            <w:webHidden/>
          </w:rPr>
          <w:t>29</w:t>
        </w:r>
        <w:r w:rsidR="008A1BD6">
          <w:rPr>
            <w:noProof/>
            <w:webHidden/>
          </w:rPr>
          <w:fldChar w:fldCharType="end"/>
        </w:r>
      </w:hyperlink>
    </w:p>
    <w:p w:rsidR="008A1BD6" w:rsidRDefault="003A109F" w:rsidP="008A1BD6">
      <w:pPr>
        <w:pStyle w:val="TOC3"/>
        <w:ind w:right="720"/>
        <w:rPr>
          <w:rFonts w:asciiTheme="minorHAnsi" w:eastAsiaTheme="minorEastAsia" w:hAnsiTheme="minorHAnsi" w:cstheme="minorBidi"/>
          <w:noProof/>
          <w:sz w:val="22"/>
          <w:szCs w:val="22"/>
        </w:rPr>
      </w:pPr>
      <w:hyperlink w:anchor="_Toc347928824" w:history="1">
        <w:r w:rsidR="008A1BD6" w:rsidRPr="00BD29F8">
          <w:rPr>
            <w:rStyle w:val="Hyperlink"/>
            <w:noProof/>
          </w:rPr>
          <w:t>4901:1-29-11 - Contract Disclosure.</w:t>
        </w:r>
        <w:r w:rsidR="008A1BD6">
          <w:rPr>
            <w:noProof/>
            <w:webHidden/>
          </w:rPr>
          <w:tab/>
        </w:r>
        <w:r w:rsidR="008A1BD6">
          <w:rPr>
            <w:noProof/>
            <w:webHidden/>
          </w:rPr>
          <w:fldChar w:fldCharType="begin"/>
        </w:r>
        <w:r w:rsidR="008A1BD6">
          <w:rPr>
            <w:noProof/>
            <w:webHidden/>
          </w:rPr>
          <w:instrText xml:space="preserve"> PAGEREF _Toc347928824 \h </w:instrText>
        </w:r>
        <w:r w:rsidR="008A1BD6">
          <w:rPr>
            <w:noProof/>
            <w:webHidden/>
          </w:rPr>
        </w:r>
        <w:r w:rsidR="008A1BD6">
          <w:rPr>
            <w:noProof/>
            <w:webHidden/>
          </w:rPr>
          <w:fldChar w:fldCharType="separate"/>
        </w:r>
        <w:r w:rsidR="00022C4F">
          <w:rPr>
            <w:noProof/>
            <w:webHidden/>
          </w:rPr>
          <w:t>29</w:t>
        </w:r>
        <w:r w:rsidR="008A1BD6">
          <w:rPr>
            <w:noProof/>
            <w:webHidden/>
          </w:rPr>
          <w:fldChar w:fldCharType="end"/>
        </w:r>
      </w:hyperlink>
    </w:p>
    <w:p w:rsidR="008A1BD6" w:rsidRDefault="003A109F" w:rsidP="008A1BD6">
      <w:pPr>
        <w:pStyle w:val="TOC3"/>
        <w:ind w:right="720"/>
        <w:rPr>
          <w:rFonts w:asciiTheme="minorHAnsi" w:eastAsiaTheme="minorEastAsia" w:hAnsiTheme="minorHAnsi" w:cstheme="minorBidi"/>
          <w:noProof/>
          <w:sz w:val="22"/>
          <w:szCs w:val="22"/>
        </w:rPr>
      </w:pPr>
      <w:hyperlink w:anchor="_Toc347928825" w:history="1">
        <w:r w:rsidR="008A1BD6" w:rsidRPr="00BD29F8">
          <w:rPr>
            <w:rStyle w:val="Hyperlink"/>
            <w:noProof/>
          </w:rPr>
          <w:t>4901:1-29-12 - Customer Billing and Payments.</w:t>
        </w:r>
        <w:r w:rsidR="008A1BD6">
          <w:rPr>
            <w:noProof/>
            <w:webHidden/>
          </w:rPr>
          <w:tab/>
        </w:r>
        <w:r w:rsidR="008A1BD6">
          <w:rPr>
            <w:noProof/>
            <w:webHidden/>
          </w:rPr>
          <w:fldChar w:fldCharType="begin"/>
        </w:r>
        <w:r w:rsidR="008A1BD6">
          <w:rPr>
            <w:noProof/>
            <w:webHidden/>
          </w:rPr>
          <w:instrText xml:space="preserve"> PAGEREF _Toc347928825 \h </w:instrText>
        </w:r>
        <w:r w:rsidR="008A1BD6">
          <w:rPr>
            <w:noProof/>
            <w:webHidden/>
          </w:rPr>
        </w:r>
        <w:r w:rsidR="008A1BD6">
          <w:rPr>
            <w:noProof/>
            <w:webHidden/>
          </w:rPr>
          <w:fldChar w:fldCharType="separate"/>
        </w:r>
        <w:r w:rsidR="00022C4F">
          <w:rPr>
            <w:noProof/>
            <w:webHidden/>
          </w:rPr>
          <w:t>30</w:t>
        </w:r>
        <w:r w:rsidR="008A1BD6">
          <w:rPr>
            <w:noProof/>
            <w:webHidden/>
          </w:rPr>
          <w:fldChar w:fldCharType="end"/>
        </w:r>
      </w:hyperlink>
    </w:p>
    <w:p w:rsidR="008A1BD6" w:rsidRDefault="003A109F" w:rsidP="008A1BD6">
      <w:pPr>
        <w:pStyle w:val="TOC1"/>
        <w:tabs>
          <w:tab w:val="clear" w:pos="8820"/>
          <w:tab w:val="decimal" w:leader="dot" w:pos="8640"/>
        </w:tabs>
        <w:rPr>
          <w:rFonts w:asciiTheme="minorHAnsi" w:eastAsiaTheme="minorEastAsia" w:hAnsiTheme="minorHAnsi" w:cstheme="minorBidi"/>
          <w:caps w:val="0"/>
          <w:noProof/>
          <w:sz w:val="22"/>
          <w:szCs w:val="22"/>
        </w:rPr>
      </w:pPr>
      <w:hyperlink w:anchor="_Toc347928826" w:history="1">
        <w:r w:rsidR="008A1BD6" w:rsidRPr="00BD29F8">
          <w:rPr>
            <w:rStyle w:val="Hyperlink"/>
            <w:noProof/>
          </w:rPr>
          <w:t>V.</w:t>
        </w:r>
        <w:r w:rsidR="008A1BD6">
          <w:rPr>
            <w:rFonts w:asciiTheme="minorHAnsi" w:eastAsiaTheme="minorEastAsia" w:hAnsiTheme="minorHAnsi" w:cstheme="minorBidi"/>
            <w:caps w:val="0"/>
            <w:noProof/>
            <w:sz w:val="22"/>
            <w:szCs w:val="22"/>
          </w:rPr>
          <w:tab/>
        </w:r>
        <w:r w:rsidR="008A1BD6" w:rsidRPr="00BD29F8">
          <w:rPr>
            <w:rStyle w:val="Hyperlink"/>
            <w:noProof/>
          </w:rPr>
          <w:t>CONCLUSION</w:t>
        </w:r>
        <w:r w:rsidR="008A1BD6">
          <w:rPr>
            <w:noProof/>
            <w:webHidden/>
          </w:rPr>
          <w:tab/>
        </w:r>
        <w:r w:rsidR="008A1BD6">
          <w:rPr>
            <w:noProof/>
            <w:webHidden/>
          </w:rPr>
          <w:fldChar w:fldCharType="begin"/>
        </w:r>
        <w:r w:rsidR="008A1BD6">
          <w:rPr>
            <w:noProof/>
            <w:webHidden/>
          </w:rPr>
          <w:instrText xml:space="preserve"> PAGEREF _Toc347928826 \h </w:instrText>
        </w:r>
        <w:r w:rsidR="008A1BD6">
          <w:rPr>
            <w:noProof/>
            <w:webHidden/>
          </w:rPr>
        </w:r>
        <w:r w:rsidR="008A1BD6">
          <w:rPr>
            <w:noProof/>
            <w:webHidden/>
          </w:rPr>
          <w:fldChar w:fldCharType="separate"/>
        </w:r>
        <w:r w:rsidR="00022C4F">
          <w:rPr>
            <w:noProof/>
            <w:webHidden/>
          </w:rPr>
          <w:t>31</w:t>
        </w:r>
        <w:r w:rsidR="008A1BD6">
          <w:rPr>
            <w:noProof/>
            <w:webHidden/>
          </w:rPr>
          <w:fldChar w:fldCharType="end"/>
        </w:r>
      </w:hyperlink>
    </w:p>
    <w:p w:rsidR="00BD5899" w:rsidRPr="0099789E" w:rsidRDefault="00C266C0" w:rsidP="008A1BD6">
      <w:pPr>
        <w:pStyle w:val="NoSpacing"/>
        <w:tabs>
          <w:tab w:val="decimal" w:leader="dot" w:pos="8640"/>
        </w:tabs>
        <w:ind w:right="720"/>
        <w:rPr>
          <w:rFonts w:ascii="Times New Roman" w:hAnsi="Times New Roman" w:cs="Times New Roman"/>
          <w:b/>
          <w:bCs/>
          <w:sz w:val="24"/>
          <w:szCs w:val="24"/>
        </w:rPr>
      </w:pPr>
      <w:r>
        <w:rPr>
          <w:rFonts w:ascii="t" w:hAnsi="t" w:cs="Times New Roman"/>
          <w:b/>
          <w:bCs/>
          <w:caps/>
          <w:sz w:val="24"/>
          <w:szCs w:val="24"/>
        </w:rPr>
        <w:fldChar w:fldCharType="end"/>
      </w:r>
    </w:p>
    <w:p w:rsidR="00BD5899" w:rsidRPr="0099789E" w:rsidRDefault="00BD5899" w:rsidP="008A1BD6">
      <w:pPr>
        <w:pStyle w:val="NoSpacing"/>
        <w:tabs>
          <w:tab w:val="decimal" w:leader="dot" w:pos="8640"/>
        </w:tabs>
        <w:ind w:right="720"/>
        <w:rPr>
          <w:rFonts w:ascii="Times New Roman" w:hAnsi="Times New Roman" w:cs="Times New Roman"/>
          <w:b/>
          <w:bCs/>
          <w:sz w:val="24"/>
          <w:szCs w:val="24"/>
        </w:rPr>
      </w:pPr>
    </w:p>
    <w:p w:rsidR="00BD5899" w:rsidRPr="0099789E" w:rsidRDefault="00BD5899" w:rsidP="000B3396">
      <w:pPr>
        <w:pStyle w:val="NoSpacing"/>
        <w:rPr>
          <w:rFonts w:ascii="Times New Roman" w:hAnsi="Times New Roman" w:cs="Times New Roman"/>
          <w:b/>
          <w:bCs/>
          <w:sz w:val="24"/>
          <w:szCs w:val="24"/>
        </w:rPr>
      </w:pPr>
    </w:p>
    <w:p w:rsidR="00BD5899" w:rsidRPr="0099789E" w:rsidRDefault="00BD5899" w:rsidP="0081131F">
      <w:pPr>
        <w:spacing w:after="0" w:line="240" w:lineRule="auto"/>
        <w:jc w:val="center"/>
        <w:rPr>
          <w:rFonts w:ascii="Times New Roman" w:hAnsi="Times New Roman" w:cs="Times New Roman"/>
          <w:b/>
          <w:bCs/>
          <w:sz w:val="24"/>
          <w:szCs w:val="24"/>
        </w:rPr>
        <w:sectPr w:rsidR="00BD5899" w:rsidRPr="0099789E" w:rsidSect="00C266C0">
          <w:headerReference w:type="default" r:id="rId15"/>
          <w:footerReference w:type="default" r:id="rId16"/>
          <w:pgSz w:w="12240" w:h="15840"/>
          <w:pgMar w:top="1440" w:right="1800" w:bottom="1440" w:left="1800" w:header="720" w:footer="720" w:gutter="0"/>
          <w:pgNumType w:fmt="lowerRoman" w:start="1"/>
          <w:cols w:space="720"/>
          <w:docGrid w:linePitch="360"/>
        </w:sectPr>
      </w:pPr>
    </w:p>
    <w:p w:rsidR="00BD5899" w:rsidRPr="0099789E" w:rsidRDefault="00BD5899" w:rsidP="0081131F">
      <w:pPr>
        <w:spacing w:after="0" w:line="240" w:lineRule="auto"/>
        <w:jc w:val="center"/>
        <w:rPr>
          <w:rFonts w:ascii="Times New Roman" w:hAnsi="Times New Roman" w:cs="Times New Roman"/>
          <w:b/>
          <w:bCs/>
          <w:sz w:val="24"/>
          <w:szCs w:val="24"/>
        </w:rPr>
      </w:pPr>
      <w:r w:rsidRPr="0099789E">
        <w:rPr>
          <w:rFonts w:ascii="Times New Roman" w:hAnsi="Times New Roman" w:cs="Times New Roman"/>
          <w:b/>
          <w:bCs/>
          <w:sz w:val="24"/>
          <w:szCs w:val="24"/>
        </w:rPr>
        <w:lastRenderedPageBreak/>
        <w:t>BEFORE</w:t>
      </w:r>
    </w:p>
    <w:p w:rsidR="00BD5899" w:rsidRPr="0099789E" w:rsidRDefault="00BD5899" w:rsidP="0081131F">
      <w:pPr>
        <w:spacing w:after="0" w:line="240" w:lineRule="auto"/>
        <w:jc w:val="center"/>
        <w:rPr>
          <w:rFonts w:ascii="Times New Roman" w:hAnsi="Times New Roman" w:cs="Times New Roman"/>
          <w:b/>
          <w:bCs/>
          <w:sz w:val="24"/>
          <w:szCs w:val="24"/>
        </w:rPr>
      </w:pPr>
      <w:r w:rsidRPr="0099789E">
        <w:rPr>
          <w:rFonts w:ascii="Times New Roman" w:hAnsi="Times New Roman" w:cs="Times New Roman"/>
          <w:b/>
          <w:bCs/>
          <w:sz w:val="24"/>
          <w:szCs w:val="24"/>
        </w:rPr>
        <w:t>THE PUBLIC UTILITIES COMMISSION OF OHIO</w:t>
      </w:r>
    </w:p>
    <w:p w:rsidR="00BD5899" w:rsidRPr="0099789E" w:rsidRDefault="00BD5899" w:rsidP="0081131F">
      <w:pPr>
        <w:spacing w:after="0" w:line="240" w:lineRule="auto"/>
        <w:jc w:val="center"/>
        <w:rPr>
          <w:rFonts w:ascii="Times New Roman" w:hAnsi="Times New Roman" w:cs="Times New Roman"/>
          <w:b/>
          <w:bCs/>
          <w:sz w:val="24"/>
          <w:szCs w:val="24"/>
        </w:rPr>
      </w:pPr>
    </w:p>
    <w:p w:rsidR="00BD5899" w:rsidRPr="0099789E" w:rsidRDefault="00BD5899" w:rsidP="0081131F">
      <w:pPr>
        <w:spacing w:after="0" w:line="240" w:lineRule="auto"/>
        <w:rPr>
          <w:rFonts w:ascii="Times New Roman" w:hAnsi="Times New Roman" w:cs="Times New Roman"/>
          <w:sz w:val="24"/>
          <w:szCs w:val="24"/>
        </w:rPr>
      </w:pPr>
      <w:r w:rsidRPr="0099789E">
        <w:rPr>
          <w:rFonts w:ascii="Times New Roman" w:hAnsi="Times New Roman" w:cs="Times New Roman"/>
          <w:sz w:val="24"/>
          <w:szCs w:val="24"/>
        </w:rPr>
        <w:t>In the Matter of the Commission’s Review</w:t>
      </w:r>
      <w:r w:rsidRPr="0099789E">
        <w:rPr>
          <w:rFonts w:ascii="Times New Roman" w:hAnsi="Times New Roman" w:cs="Times New Roman"/>
          <w:sz w:val="24"/>
          <w:szCs w:val="24"/>
        </w:rPr>
        <w:tab/>
        <w:t>)</w:t>
      </w:r>
    </w:p>
    <w:p w:rsidR="00BD5899" w:rsidRPr="0099789E" w:rsidRDefault="00BD5899" w:rsidP="0081131F">
      <w:pPr>
        <w:spacing w:after="0" w:line="240" w:lineRule="auto"/>
        <w:rPr>
          <w:rFonts w:ascii="Times New Roman" w:hAnsi="Times New Roman" w:cs="Times New Roman"/>
          <w:sz w:val="24"/>
          <w:szCs w:val="24"/>
        </w:rPr>
      </w:pPr>
      <w:r w:rsidRPr="0099789E">
        <w:rPr>
          <w:rFonts w:ascii="Times New Roman" w:hAnsi="Times New Roman" w:cs="Times New Roman"/>
          <w:sz w:val="24"/>
          <w:szCs w:val="24"/>
        </w:rPr>
        <w:t>of its Rules for Competitive Retail</w:t>
      </w:r>
      <w:r w:rsidRPr="0099789E">
        <w:rPr>
          <w:rFonts w:ascii="Times New Roman" w:hAnsi="Times New Roman" w:cs="Times New Roman"/>
          <w:sz w:val="24"/>
          <w:szCs w:val="24"/>
        </w:rPr>
        <w:tab/>
      </w:r>
      <w:r w:rsidRPr="0099789E">
        <w:rPr>
          <w:rFonts w:ascii="Times New Roman" w:hAnsi="Times New Roman" w:cs="Times New Roman"/>
          <w:sz w:val="24"/>
          <w:szCs w:val="24"/>
        </w:rPr>
        <w:tab/>
        <w:t>)</w:t>
      </w:r>
      <w:r w:rsidRPr="0099789E">
        <w:rPr>
          <w:rFonts w:ascii="Times New Roman" w:hAnsi="Times New Roman" w:cs="Times New Roman"/>
          <w:sz w:val="24"/>
          <w:szCs w:val="24"/>
        </w:rPr>
        <w:tab/>
      </w:r>
    </w:p>
    <w:p w:rsidR="00BD5899" w:rsidRPr="0099789E" w:rsidRDefault="00BD5899" w:rsidP="0081131F">
      <w:pPr>
        <w:spacing w:after="0" w:line="240" w:lineRule="auto"/>
        <w:rPr>
          <w:rFonts w:ascii="Times New Roman" w:hAnsi="Times New Roman" w:cs="Times New Roman"/>
          <w:sz w:val="24"/>
          <w:szCs w:val="24"/>
        </w:rPr>
      </w:pPr>
      <w:r w:rsidRPr="0099789E">
        <w:rPr>
          <w:rFonts w:ascii="Times New Roman" w:hAnsi="Times New Roman" w:cs="Times New Roman"/>
          <w:sz w:val="24"/>
          <w:szCs w:val="24"/>
        </w:rPr>
        <w:t>Natural Gas Service Contained in Chapters</w:t>
      </w:r>
      <w:r w:rsidRPr="0099789E">
        <w:rPr>
          <w:rFonts w:ascii="Times New Roman" w:hAnsi="Times New Roman" w:cs="Times New Roman"/>
          <w:sz w:val="24"/>
          <w:szCs w:val="24"/>
        </w:rPr>
        <w:tab/>
        <w:t>)</w:t>
      </w:r>
      <w:r w:rsidRPr="0099789E">
        <w:rPr>
          <w:rFonts w:ascii="Times New Roman" w:hAnsi="Times New Roman" w:cs="Times New Roman"/>
          <w:sz w:val="24"/>
          <w:szCs w:val="24"/>
        </w:rPr>
        <w:tab/>
        <w:t>Case No. 12-925-GA-ORD</w:t>
      </w:r>
    </w:p>
    <w:p w:rsidR="00BD5899" w:rsidRPr="0099789E" w:rsidRDefault="00BD5899" w:rsidP="0081131F">
      <w:pPr>
        <w:spacing w:after="0" w:line="240" w:lineRule="auto"/>
        <w:rPr>
          <w:rFonts w:ascii="Times New Roman" w:hAnsi="Times New Roman" w:cs="Times New Roman"/>
          <w:sz w:val="24"/>
          <w:szCs w:val="24"/>
        </w:rPr>
      </w:pPr>
      <w:r w:rsidRPr="0099789E">
        <w:rPr>
          <w:rFonts w:ascii="Times New Roman" w:hAnsi="Times New Roman" w:cs="Times New Roman"/>
          <w:sz w:val="24"/>
          <w:szCs w:val="24"/>
        </w:rPr>
        <w:t>4901:1-27 Through 4901:1-34 of the Ohio</w:t>
      </w:r>
      <w:r w:rsidRPr="0099789E">
        <w:rPr>
          <w:rFonts w:ascii="Times New Roman" w:hAnsi="Times New Roman" w:cs="Times New Roman"/>
          <w:sz w:val="24"/>
          <w:szCs w:val="24"/>
        </w:rPr>
        <w:tab/>
        <w:t>)</w:t>
      </w:r>
      <w:r w:rsidRPr="0099789E">
        <w:rPr>
          <w:rFonts w:ascii="Times New Roman" w:hAnsi="Times New Roman" w:cs="Times New Roman"/>
          <w:sz w:val="24"/>
          <w:szCs w:val="24"/>
        </w:rPr>
        <w:tab/>
      </w:r>
    </w:p>
    <w:p w:rsidR="00BD5899" w:rsidRPr="0099789E" w:rsidRDefault="00BD5899" w:rsidP="0081131F">
      <w:pPr>
        <w:spacing w:after="0" w:line="240" w:lineRule="auto"/>
        <w:rPr>
          <w:rFonts w:ascii="Times New Roman" w:hAnsi="Times New Roman" w:cs="Times New Roman"/>
          <w:sz w:val="24"/>
          <w:szCs w:val="24"/>
        </w:rPr>
      </w:pPr>
      <w:r w:rsidRPr="0099789E">
        <w:rPr>
          <w:rFonts w:ascii="Times New Roman" w:hAnsi="Times New Roman" w:cs="Times New Roman"/>
          <w:sz w:val="24"/>
          <w:szCs w:val="24"/>
        </w:rPr>
        <w:t>Administrative Code</w:t>
      </w:r>
      <w:r>
        <w:rPr>
          <w:rFonts w:ascii="Times New Roman" w:hAnsi="Times New Roman" w:cs="Times New Roman"/>
          <w:sz w:val="24"/>
          <w:szCs w:val="24"/>
        </w:rPr>
        <w:t>.</w:t>
      </w:r>
      <w:r w:rsidRPr="0099789E">
        <w:rPr>
          <w:rFonts w:ascii="Times New Roman" w:hAnsi="Times New Roman" w:cs="Times New Roman"/>
          <w:sz w:val="24"/>
          <w:szCs w:val="24"/>
        </w:rPr>
        <w:tab/>
      </w:r>
      <w:r w:rsidRPr="0099789E">
        <w:rPr>
          <w:rFonts w:ascii="Times New Roman" w:hAnsi="Times New Roman" w:cs="Times New Roman"/>
          <w:b/>
          <w:bCs/>
          <w:sz w:val="24"/>
          <w:szCs w:val="24"/>
        </w:rPr>
        <w:tab/>
      </w:r>
      <w:r w:rsidRPr="0099789E">
        <w:rPr>
          <w:rFonts w:ascii="Times New Roman" w:hAnsi="Times New Roman" w:cs="Times New Roman"/>
          <w:b/>
          <w:bCs/>
          <w:sz w:val="24"/>
          <w:szCs w:val="24"/>
        </w:rPr>
        <w:tab/>
      </w:r>
      <w:r w:rsidRPr="0099789E">
        <w:rPr>
          <w:rFonts w:ascii="Times New Roman" w:hAnsi="Times New Roman" w:cs="Times New Roman"/>
          <w:b/>
          <w:bCs/>
          <w:sz w:val="24"/>
          <w:szCs w:val="24"/>
        </w:rPr>
        <w:tab/>
      </w:r>
      <w:r w:rsidRPr="0099789E">
        <w:rPr>
          <w:rFonts w:ascii="Times New Roman" w:hAnsi="Times New Roman" w:cs="Times New Roman"/>
          <w:sz w:val="24"/>
          <w:szCs w:val="24"/>
        </w:rPr>
        <w:t>)</w:t>
      </w:r>
    </w:p>
    <w:p w:rsidR="00BD5899" w:rsidRPr="0099789E" w:rsidRDefault="00BD5899" w:rsidP="0081131F">
      <w:pPr>
        <w:pBdr>
          <w:bottom w:val="single" w:sz="4" w:space="1" w:color="auto"/>
        </w:pBdr>
        <w:spacing w:after="0" w:line="240" w:lineRule="auto"/>
        <w:rPr>
          <w:rFonts w:ascii="Times New Roman" w:hAnsi="Times New Roman" w:cs="Times New Roman"/>
          <w:b/>
          <w:bCs/>
          <w:sz w:val="24"/>
          <w:szCs w:val="24"/>
        </w:rPr>
      </w:pPr>
    </w:p>
    <w:p w:rsidR="00BD5899" w:rsidRPr="0099789E" w:rsidRDefault="00BD5899" w:rsidP="0081131F">
      <w:pPr>
        <w:spacing w:after="0" w:line="240" w:lineRule="auto"/>
        <w:rPr>
          <w:rFonts w:ascii="Times New Roman" w:hAnsi="Times New Roman" w:cs="Times New Roman"/>
          <w:b/>
          <w:bCs/>
          <w:sz w:val="24"/>
          <w:szCs w:val="24"/>
        </w:rPr>
      </w:pPr>
    </w:p>
    <w:p w:rsidR="00BD5899" w:rsidRPr="0099789E" w:rsidRDefault="00BD5899" w:rsidP="0081131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REPLY </w:t>
      </w:r>
      <w:r w:rsidRPr="0099789E">
        <w:rPr>
          <w:rFonts w:ascii="Times New Roman" w:hAnsi="Times New Roman" w:cs="Times New Roman"/>
          <w:b/>
          <w:bCs/>
          <w:sz w:val="24"/>
          <w:szCs w:val="24"/>
        </w:rPr>
        <w:t>COMMENTS</w:t>
      </w:r>
    </w:p>
    <w:p w:rsidR="00BD5899" w:rsidRPr="0099789E" w:rsidRDefault="00BD5899" w:rsidP="0081131F">
      <w:pPr>
        <w:spacing w:after="0" w:line="240" w:lineRule="auto"/>
        <w:jc w:val="center"/>
        <w:rPr>
          <w:rFonts w:ascii="Times New Roman" w:hAnsi="Times New Roman" w:cs="Times New Roman"/>
          <w:b/>
          <w:bCs/>
          <w:sz w:val="24"/>
          <w:szCs w:val="24"/>
        </w:rPr>
      </w:pPr>
      <w:r w:rsidRPr="0099789E">
        <w:rPr>
          <w:rFonts w:ascii="Times New Roman" w:hAnsi="Times New Roman" w:cs="Times New Roman"/>
          <w:b/>
          <w:bCs/>
          <w:sz w:val="24"/>
          <w:szCs w:val="24"/>
        </w:rPr>
        <w:t>OF</w:t>
      </w:r>
    </w:p>
    <w:p w:rsidR="00BD5899" w:rsidRPr="0099789E" w:rsidRDefault="00BD5899" w:rsidP="0081131F">
      <w:pPr>
        <w:spacing w:after="0" w:line="240" w:lineRule="auto"/>
        <w:jc w:val="center"/>
        <w:rPr>
          <w:rFonts w:ascii="Times New Roman" w:hAnsi="Times New Roman" w:cs="Times New Roman"/>
          <w:b/>
          <w:bCs/>
          <w:sz w:val="24"/>
          <w:szCs w:val="24"/>
        </w:rPr>
      </w:pPr>
      <w:r w:rsidRPr="0099789E">
        <w:rPr>
          <w:rFonts w:ascii="Times New Roman" w:hAnsi="Times New Roman" w:cs="Times New Roman"/>
          <w:b/>
          <w:bCs/>
          <w:sz w:val="24"/>
          <w:szCs w:val="24"/>
        </w:rPr>
        <w:t>THE OFFICE OF THE OHIO CONSUMERS’ COUNSEL</w:t>
      </w:r>
    </w:p>
    <w:p w:rsidR="00BD5899" w:rsidRPr="0099789E" w:rsidRDefault="00BD5899" w:rsidP="0081131F">
      <w:pPr>
        <w:pBdr>
          <w:bottom w:val="single" w:sz="4" w:space="1" w:color="auto"/>
        </w:pBdr>
        <w:spacing w:after="0" w:line="240" w:lineRule="auto"/>
        <w:jc w:val="center"/>
        <w:rPr>
          <w:rFonts w:ascii="Times New Roman" w:hAnsi="Times New Roman" w:cs="Times New Roman"/>
          <w:b/>
          <w:bCs/>
          <w:sz w:val="24"/>
          <w:szCs w:val="24"/>
        </w:rPr>
      </w:pPr>
    </w:p>
    <w:p w:rsidR="00BD5899" w:rsidRPr="0099789E" w:rsidRDefault="00BD5899" w:rsidP="0081131F">
      <w:pPr>
        <w:spacing w:after="0" w:line="240" w:lineRule="auto"/>
        <w:rPr>
          <w:rFonts w:ascii="Times New Roman" w:hAnsi="Times New Roman" w:cs="Times New Roman"/>
          <w:b/>
          <w:bCs/>
          <w:sz w:val="24"/>
          <w:szCs w:val="24"/>
        </w:rPr>
      </w:pPr>
    </w:p>
    <w:p w:rsidR="00BD5899" w:rsidRPr="00562C23" w:rsidRDefault="00BD5899" w:rsidP="00562C23">
      <w:pPr>
        <w:pStyle w:val="Heading1"/>
      </w:pPr>
      <w:bookmarkStart w:id="1" w:name="_Toc347751986"/>
      <w:bookmarkStart w:id="2" w:name="_Toc347928808"/>
      <w:r w:rsidRPr="00562C23">
        <w:t>I.</w:t>
      </w:r>
      <w:r w:rsidRPr="00562C23">
        <w:tab/>
        <w:t>INTRODUCTION</w:t>
      </w:r>
      <w:bookmarkEnd w:id="1"/>
      <w:bookmarkEnd w:id="2"/>
    </w:p>
    <w:p w:rsidR="00BD5899" w:rsidRDefault="00BD5899" w:rsidP="008064FD">
      <w:pPr>
        <w:pStyle w:val="NoSpacing"/>
        <w:spacing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 xml:space="preserve">In this </w:t>
      </w:r>
      <w:r>
        <w:rPr>
          <w:rFonts w:ascii="Times New Roman" w:hAnsi="Times New Roman" w:cs="Times New Roman"/>
          <w:sz w:val="24"/>
          <w:szCs w:val="24"/>
        </w:rPr>
        <w:t xml:space="preserve">important </w:t>
      </w:r>
      <w:r w:rsidRPr="0099789E">
        <w:rPr>
          <w:rFonts w:ascii="Times New Roman" w:hAnsi="Times New Roman" w:cs="Times New Roman"/>
          <w:sz w:val="24"/>
          <w:szCs w:val="24"/>
        </w:rPr>
        <w:t>case</w:t>
      </w:r>
      <w:r>
        <w:rPr>
          <w:rFonts w:ascii="Times New Roman" w:hAnsi="Times New Roman" w:cs="Times New Roman"/>
          <w:sz w:val="24"/>
          <w:szCs w:val="24"/>
        </w:rPr>
        <w:t>,</w:t>
      </w:r>
      <w:r w:rsidRPr="0099789E">
        <w:rPr>
          <w:rFonts w:ascii="Times New Roman" w:hAnsi="Times New Roman" w:cs="Times New Roman"/>
          <w:sz w:val="24"/>
          <w:szCs w:val="24"/>
        </w:rPr>
        <w:t xml:space="preserve"> the Public Utilities Commission of Ohio (“PUCO” or “Commission”)</w:t>
      </w:r>
      <w:r>
        <w:rPr>
          <w:rFonts w:ascii="Times New Roman" w:hAnsi="Times New Roman" w:cs="Times New Roman"/>
          <w:sz w:val="24"/>
          <w:szCs w:val="24"/>
        </w:rPr>
        <w:t xml:space="preserve"> is reviewing the rules that govern the practices used by </w:t>
      </w:r>
      <w:r w:rsidRPr="0099789E">
        <w:rPr>
          <w:rFonts w:ascii="Times New Roman" w:hAnsi="Times New Roman" w:cs="Times New Roman"/>
          <w:sz w:val="24"/>
          <w:szCs w:val="24"/>
        </w:rPr>
        <w:t xml:space="preserve">Competitive Retail Natural Gas </w:t>
      </w:r>
      <w:r>
        <w:rPr>
          <w:rFonts w:ascii="Times New Roman" w:hAnsi="Times New Roman" w:cs="Times New Roman"/>
          <w:sz w:val="24"/>
          <w:szCs w:val="24"/>
        </w:rPr>
        <w:t>Suppliers (“CRNGS” or “Marketers”) when they sell the commodity of natural gas to Ohio consumers.  The PUCO has a</w:t>
      </w:r>
      <w:r w:rsidRPr="0099789E">
        <w:rPr>
          <w:rFonts w:ascii="Times New Roman" w:hAnsi="Times New Roman" w:cs="Times New Roman"/>
          <w:sz w:val="24"/>
          <w:szCs w:val="24"/>
        </w:rPr>
        <w:t xml:space="preserve"> duty under R.C. 119.032 to review the rules contained in Ohio Admin. Code Chapters 4901:1-27 through 4901:1-34.</w:t>
      </w:r>
      <w:r>
        <w:rPr>
          <w:rFonts w:ascii="Times New Roman" w:hAnsi="Times New Roman" w:cs="Times New Roman"/>
          <w:sz w:val="24"/>
          <w:szCs w:val="24"/>
        </w:rPr>
        <w:t xml:space="preserve"> </w:t>
      </w:r>
      <w:r w:rsidRPr="0099789E">
        <w:rPr>
          <w:rFonts w:ascii="Times New Roman" w:hAnsi="Times New Roman" w:cs="Times New Roman"/>
          <w:sz w:val="24"/>
          <w:szCs w:val="24"/>
        </w:rPr>
        <w:t xml:space="preserve"> The PUCO reviews these rules every five years to determine whether to continue the rules without change, amend the rules, or rescind the rules.</w:t>
      </w:r>
      <w:r w:rsidRPr="0099789E">
        <w:rPr>
          <w:rFonts w:ascii="Times New Roman" w:hAnsi="Times New Roman" w:cs="Times New Roman"/>
          <w:sz w:val="24"/>
          <w:szCs w:val="24"/>
          <w:vertAlign w:val="superscript"/>
        </w:rPr>
        <w:footnoteReference w:id="2"/>
      </w:r>
    </w:p>
    <w:p w:rsidR="00BD5899" w:rsidRPr="0099789E" w:rsidRDefault="00BD5899" w:rsidP="008064FD">
      <w:pPr>
        <w:pStyle w:val="NoSpacing"/>
        <w:spacing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This case is significant for residential customers because the CRNGS rules govern the certifica</w:t>
      </w:r>
      <w:r>
        <w:rPr>
          <w:rFonts w:ascii="Times New Roman" w:hAnsi="Times New Roman" w:cs="Times New Roman"/>
          <w:sz w:val="24"/>
          <w:szCs w:val="24"/>
        </w:rPr>
        <w:t xml:space="preserve">tion process for </w:t>
      </w:r>
      <w:r w:rsidR="004E397E">
        <w:rPr>
          <w:rFonts w:ascii="Times New Roman" w:hAnsi="Times New Roman" w:cs="Times New Roman"/>
          <w:sz w:val="24"/>
          <w:szCs w:val="24"/>
        </w:rPr>
        <w:t>Marketers</w:t>
      </w:r>
      <w:r>
        <w:rPr>
          <w:rFonts w:ascii="Times New Roman" w:hAnsi="Times New Roman" w:cs="Times New Roman"/>
          <w:sz w:val="24"/>
          <w:szCs w:val="24"/>
        </w:rPr>
        <w:t xml:space="preserve"> </w:t>
      </w:r>
      <w:r w:rsidRPr="0099789E">
        <w:rPr>
          <w:rFonts w:ascii="Times New Roman" w:hAnsi="Times New Roman" w:cs="Times New Roman"/>
          <w:sz w:val="24"/>
          <w:szCs w:val="24"/>
        </w:rPr>
        <w:t>and government aggregators and define the necessary consumer protections that help ensure Ohioans are not subjected to unfair, misleading, deceptive, or unconscionable acts or practices related to the marketing, enrollment processes and the administration of competitive contracts</w:t>
      </w:r>
      <w:r>
        <w:rPr>
          <w:rFonts w:ascii="Times New Roman" w:hAnsi="Times New Roman" w:cs="Times New Roman"/>
          <w:sz w:val="24"/>
          <w:szCs w:val="24"/>
        </w:rPr>
        <w:t xml:space="preserve"> by CRNG providers</w:t>
      </w:r>
      <w:r w:rsidRPr="0099789E">
        <w:rPr>
          <w:rFonts w:ascii="Times New Roman" w:hAnsi="Times New Roman" w:cs="Times New Roman"/>
          <w:sz w:val="24"/>
          <w:szCs w:val="24"/>
        </w:rPr>
        <w:t>.</w:t>
      </w:r>
      <w:r w:rsidRPr="0099789E">
        <w:rPr>
          <w:rStyle w:val="FootnoteReference"/>
          <w:rFonts w:ascii="Times New Roman" w:hAnsi="Times New Roman" w:cs="Times New Roman"/>
          <w:sz w:val="24"/>
          <w:szCs w:val="24"/>
        </w:rPr>
        <w:footnoteReference w:id="3"/>
      </w:r>
      <w:r w:rsidRPr="0099789E">
        <w:rPr>
          <w:rFonts w:ascii="Times New Roman" w:hAnsi="Times New Roman" w:cs="Times New Roman"/>
          <w:sz w:val="24"/>
          <w:szCs w:val="24"/>
        </w:rPr>
        <w:t xml:space="preserve">  This case is also significant for residential customers to the extent that several of the proposed changes in the CRNGS rules are intended to more closely align the </w:t>
      </w:r>
      <w:r>
        <w:rPr>
          <w:rFonts w:ascii="Times New Roman" w:hAnsi="Times New Roman" w:cs="Times New Roman"/>
          <w:sz w:val="24"/>
          <w:szCs w:val="24"/>
        </w:rPr>
        <w:t xml:space="preserve">CRNGS </w:t>
      </w:r>
      <w:r w:rsidRPr="0099789E">
        <w:rPr>
          <w:rFonts w:ascii="Times New Roman" w:hAnsi="Times New Roman" w:cs="Times New Roman"/>
          <w:sz w:val="24"/>
          <w:szCs w:val="24"/>
        </w:rPr>
        <w:t>consumer protections with the Competitive Retail Electric Service (“CRES”) rule</w:t>
      </w:r>
      <w:r>
        <w:rPr>
          <w:rFonts w:ascii="Times New Roman" w:hAnsi="Times New Roman" w:cs="Times New Roman"/>
          <w:sz w:val="24"/>
          <w:szCs w:val="24"/>
        </w:rPr>
        <w:t xml:space="preserve"> consumer protections</w:t>
      </w:r>
      <w:r w:rsidRPr="0099789E">
        <w:rPr>
          <w:rFonts w:ascii="Times New Roman" w:hAnsi="Times New Roman" w:cs="Times New Roman"/>
          <w:sz w:val="24"/>
          <w:szCs w:val="24"/>
        </w:rPr>
        <w:t xml:space="preserve"> promulgated in Ohio Admin. Code 4901:1-24.</w:t>
      </w:r>
      <w:r w:rsidRPr="0099789E">
        <w:rPr>
          <w:rStyle w:val="FootnoteReference"/>
          <w:rFonts w:ascii="Times New Roman" w:hAnsi="Times New Roman" w:cs="Times New Roman"/>
          <w:sz w:val="24"/>
          <w:szCs w:val="24"/>
        </w:rPr>
        <w:footnoteReference w:id="4"/>
      </w:r>
      <w:r w:rsidRPr="0099789E">
        <w:rPr>
          <w:rFonts w:ascii="Times New Roman" w:hAnsi="Times New Roman" w:cs="Times New Roman"/>
          <w:sz w:val="24"/>
          <w:szCs w:val="24"/>
        </w:rPr>
        <w:t xml:space="preserve">  More uniformity in the marketing, enrollment, and contract administration rules can help facilitate better public education efforts oriented at explaining retail natural gas choices to consumers</w:t>
      </w:r>
      <w:r>
        <w:rPr>
          <w:rFonts w:ascii="Times New Roman" w:hAnsi="Times New Roman" w:cs="Times New Roman"/>
          <w:sz w:val="24"/>
          <w:szCs w:val="24"/>
        </w:rPr>
        <w:t xml:space="preserve"> and lead to improved quality of service</w:t>
      </w:r>
      <w:r w:rsidRPr="0099789E">
        <w:rPr>
          <w:rFonts w:ascii="Times New Roman" w:hAnsi="Times New Roman" w:cs="Times New Roman"/>
          <w:sz w:val="24"/>
          <w:szCs w:val="24"/>
        </w:rPr>
        <w:t>.</w:t>
      </w:r>
    </w:p>
    <w:p w:rsidR="00BD5899" w:rsidRDefault="00BD5899" w:rsidP="00A24C57">
      <w:pPr>
        <w:autoSpaceDE w:val="0"/>
        <w:autoSpaceDN w:val="0"/>
        <w:adjustRightInd w:val="0"/>
        <w:spacing w:after="0"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 xml:space="preserve">By Entry issued on July 2, 2012, the Commission scheduled a workshop to be held at </w:t>
      </w:r>
      <w:r>
        <w:rPr>
          <w:rFonts w:ascii="Times New Roman" w:hAnsi="Times New Roman" w:cs="Times New Roman"/>
          <w:sz w:val="24"/>
          <w:szCs w:val="24"/>
        </w:rPr>
        <w:t xml:space="preserve">its </w:t>
      </w:r>
      <w:r w:rsidRPr="0099789E">
        <w:rPr>
          <w:rFonts w:ascii="Times New Roman" w:hAnsi="Times New Roman" w:cs="Times New Roman"/>
          <w:sz w:val="24"/>
          <w:szCs w:val="24"/>
        </w:rPr>
        <w:t xml:space="preserve">offices on August 6, 2012, to elicit feedback on any proposed revisions to the rules </w:t>
      </w:r>
      <w:r>
        <w:rPr>
          <w:rFonts w:ascii="Times New Roman" w:hAnsi="Times New Roman" w:cs="Times New Roman"/>
          <w:sz w:val="24"/>
          <w:szCs w:val="24"/>
        </w:rPr>
        <w:t xml:space="preserve">that the </w:t>
      </w:r>
      <w:r w:rsidRPr="0099789E">
        <w:rPr>
          <w:rFonts w:ascii="Times New Roman" w:hAnsi="Times New Roman" w:cs="Times New Roman"/>
          <w:sz w:val="24"/>
          <w:szCs w:val="24"/>
        </w:rPr>
        <w:t xml:space="preserve">PUCO Staff may have and to permit stakeholders to propose their own revisions to the rules for </w:t>
      </w:r>
      <w:r>
        <w:rPr>
          <w:rFonts w:ascii="Times New Roman" w:hAnsi="Times New Roman" w:cs="Times New Roman"/>
          <w:sz w:val="24"/>
          <w:szCs w:val="24"/>
        </w:rPr>
        <w:t>the Staff’</w:t>
      </w:r>
      <w:r w:rsidRPr="0099789E">
        <w:rPr>
          <w:rFonts w:ascii="Times New Roman" w:hAnsi="Times New Roman" w:cs="Times New Roman"/>
          <w:sz w:val="24"/>
          <w:szCs w:val="24"/>
        </w:rPr>
        <w:t xml:space="preserve">s consideration.  On November 7, 2012, the Commission </w:t>
      </w:r>
      <w:r>
        <w:rPr>
          <w:rFonts w:ascii="Times New Roman" w:hAnsi="Times New Roman" w:cs="Times New Roman"/>
          <w:sz w:val="24"/>
          <w:szCs w:val="24"/>
        </w:rPr>
        <w:t xml:space="preserve">ordered </w:t>
      </w:r>
      <w:r w:rsidRPr="0099789E">
        <w:rPr>
          <w:rFonts w:ascii="Times New Roman" w:hAnsi="Times New Roman" w:cs="Times New Roman"/>
          <w:sz w:val="24"/>
          <w:szCs w:val="24"/>
        </w:rPr>
        <w:t>that all interested persons file Initial Comments on the proposed rules by January 7, 2013, and Reply Comments by February 6, 2013.  In addition, the Commission requested comments concerning Attachment A to the Entry that pose</w:t>
      </w:r>
      <w:r>
        <w:rPr>
          <w:rFonts w:ascii="Times New Roman" w:hAnsi="Times New Roman" w:cs="Times New Roman"/>
          <w:sz w:val="24"/>
          <w:szCs w:val="24"/>
        </w:rPr>
        <w:t>s</w:t>
      </w:r>
      <w:r w:rsidRPr="0099789E">
        <w:rPr>
          <w:rFonts w:ascii="Times New Roman" w:hAnsi="Times New Roman" w:cs="Times New Roman"/>
          <w:sz w:val="24"/>
          <w:szCs w:val="24"/>
        </w:rPr>
        <w:t xml:space="preserve"> a number of questions concerning oth</w:t>
      </w:r>
      <w:r>
        <w:rPr>
          <w:rFonts w:ascii="Times New Roman" w:hAnsi="Times New Roman" w:cs="Times New Roman"/>
          <w:sz w:val="24"/>
          <w:szCs w:val="24"/>
        </w:rPr>
        <w:t>er potential changes in rules.</w:t>
      </w:r>
    </w:p>
    <w:p w:rsidR="00BD5899" w:rsidRDefault="00BD5899" w:rsidP="005F54C2">
      <w:pPr>
        <w:autoSpaceDE w:val="0"/>
        <w:autoSpaceDN w:val="0"/>
        <w:adjustRightInd w:val="0"/>
        <w:spacing w:after="0"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The Office of the Ohio Consumers’ Counsel (“OCC”)</w:t>
      </w:r>
      <w:r>
        <w:rPr>
          <w:rFonts w:ascii="Times New Roman" w:hAnsi="Times New Roman" w:cs="Times New Roman"/>
          <w:sz w:val="24"/>
          <w:szCs w:val="24"/>
        </w:rPr>
        <w:t xml:space="preserve"> filed </w:t>
      </w:r>
      <w:r w:rsidRPr="0099789E">
        <w:rPr>
          <w:rFonts w:ascii="Times New Roman" w:hAnsi="Times New Roman" w:cs="Times New Roman"/>
          <w:sz w:val="24"/>
          <w:szCs w:val="24"/>
        </w:rPr>
        <w:t xml:space="preserve">Initial Comments </w:t>
      </w:r>
      <w:r>
        <w:rPr>
          <w:rFonts w:ascii="Times New Roman" w:hAnsi="Times New Roman" w:cs="Times New Roman"/>
          <w:sz w:val="24"/>
          <w:szCs w:val="24"/>
        </w:rPr>
        <w:t>on January 7, 2013.  Other parties filing Initial Comments were: Ohio Partners for Affor</w:t>
      </w:r>
      <w:r w:rsidR="00986A32">
        <w:rPr>
          <w:rFonts w:ascii="Times New Roman" w:hAnsi="Times New Roman" w:cs="Times New Roman"/>
          <w:sz w:val="24"/>
          <w:szCs w:val="24"/>
        </w:rPr>
        <w:t>d</w:t>
      </w:r>
      <w:r>
        <w:rPr>
          <w:rFonts w:ascii="Times New Roman" w:hAnsi="Times New Roman" w:cs="Times New Roman"/>
          <w:sz w:val="24"/>
          <w:szCs w:val="24"/>
        </w:rPr>
        <w:t>able Energy (“OPAE”), Duke Energy Retail Sales, LLC (“Duke Retail”); Duke Energy Ohio (“Duke”); Dominion Retail, Inc. (“Dominion Retail”); Ohio Gas Marketers Group and The Retail Energy Suppliers Association (“OGMG/RESA”); The East Oho Gas Company d/b/a Dominion East Ohio (“Dominion”) and Vectren Energy Delivery of Ohio (“Vectren”); Northeast Ohio Public Energy Council (“NOPEC”); Interstate Gas Supply (“IGS”); Border Energy Gas Services (“Border”); Hess corporation (“Hess”); Columbia Gas of Ohio, Inc. (“Columbia”); and Eagle Energy, LLC (“Eagle”).  OCC files these Reply Comments to the Initial comments filed by these other parties on behalf of all residential natural gas consumers in Ohio.</w:t>
      </w:r>
    </w:p>
    <w:p w:rsidR="00BD5899" w:rsidRPr="0099789E" w:rsidRDefault="00BD5899" w:rsidP="00986A32">
      <w:pPr>
        <w:autoSpaceDE w:val="0"/>
        <w:autoSpaceDN w:val="0"/>
        <w:adjustRightInd w:val="0"/>
        <w:spacing w:after="0" w:line="240" w:lineRule="auto"/>
        <w:ind w:firstLine="720"/>
        <w:rPr>
          <w:rFonts w:ascii="Times New Roman" w:hAnsi="Times New Roman" w:cs="Times New Roman"/>
          <w:sz w:val="24"/>
          <w:szCs w:val="24"/>
        </w:rPr>
      </w:pPr>
    </w:p>
    <w:p w:rsidR="00BD5899" w:rsidRPr="0099789E" w:rsidRDefault="00BD5899" w:rsidP="0051291D">
      <w:pPr>
        <w:pStyle w:val="Heading1"/>
      </w:pPr>
      <w:bookmarkStart w:id="3" w:name="_Toc347751987"/>
      <w:bookmarkStart w:id="4" w:name="_Toc347928809"/>
      <w:r w:rsidRPr="0099789E">
        <w:t>II.</w:t>
      </w:r>
      <w:r w:rsidRPr="0099789E">
        <w:tab/>
      </w:r>
      <w:r>
        <w:t xml:space="preserve">REPLY </w:t>
      </w:r>
      <w:r w:rsidRPr="0099789E">
        <w:t>COMMENTS</w:t>
      </w:r>
      <w:r w:rsidR="00986A32">
        <w:t xml:space="preserve"> </w:t>
      </w:r>
      <w:r>
        <w:t>TO QUESTIONS LISTED</w:t>
      </w:r>
      <w:r w:rsidR="00986A32">
        <w:t xml:space="preserve"> </w:t>
      </w:r>
      <w:r w:rsidRPr="0099789E">
        <w:t>ON Attachment A</w:t>
      </w:r>
      <w:bookmarkEnd w:id="3"/>
      <w:bookmarkEnd w:id="4"/>
    </w:p>
    <w:p w:rsidR="00BD5899" w:rsidRPr="0099789E" w:rsidRDefault="00BD5899" w:rsidP="00094045">
      <w:pPr>
        <w:spacing w:after="0"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In its Entry initiating this proceeding, the Commission noted that there may be ambiguity in Chapter 4901:1-29, O.A.C. relative to distinguishing the activities of consultants and brokers.</w:t>
      </w:r>
      <w:r w:rsidRPr="0099789E">
        <w:rPr>
          <w:rStyle w:val="FootnoteReference"/>
          <w:rFonts w:ascii="Times New Roman" w:hAnsi="Times New Roman" w:cs="Times New Roman"/>
          <w:sz w:val="24"/>
          <w:szCs w:val="24"/>
        </w:rPr>
        <w:footnoteReference w:id="5"/>
      </w:r>
      <w:r w:rsidRPr="0099789E">
        <w:rPr>
          <w:rFonts w:ascii="Times New Roman" w:hAnsi="Times New Roman" w:cs="Times New Roman"/>
          <w:sz w:val="24"/>
          <w:szCs w:val="24"/>
        </w:rPr>
        <w:t xml:space="preserve">  More specifically, the Commission stated that it would be appropriate to further explore this and other issue</w:t>
      </w:r>
      <w:r>
        <w:rPr>
          <w:rFonts w:ascii="Times New Roman" w:hAnsi="Times New Roman" w:cs="Times New Roman"/>
          <w:sz w:val="24"/>
          <w:szCs w:val="24"/>
        </w:rPr>
        <w:t>s</w:t>
      </w:r>
      <w:r w:rsidRPr="0099789E">
        <w:rPr>
          <w:rFonts w:ascii="Times New Roman" w:hAnsi="Times New Roman" w:cs="Times New Roman"/>
          <w:sz w:val="24"/>
          <w:szCs w:val="24"/>
        </w:rPr>
        <w:t xml:space="preserve"> in this case.  The Commission listed eigh</w:t>
      </w:r>
      <w:r>
        <w:rPr>
          <w:rFonts w:ascii="Times New Roman" w:hAnsi="Times New Roman" w:cs="Times New Roman"/>
          <w:sz w:val="24"/>
          <w:szCs w:val="24"/>
        </w:rPr>
        <w:t>t</w:t>
      </w:r>
      <w:r w:rsidRPr="0099789E">
        <w:rPr>
          <w:rFonts w:ascii="Times New Roman" w:hAnsi="Times New Roman" w:cs="Times New Roman"/>
          <w:sz w:val="24"/>
          <w:szCs w:val="24"/>
        </w:rPr>
        <w:t xml:space="preserve"> issues</w:t>
      </w:r>
      <w:r>
        <w:rPr>
          <w:rFonts w:ascii="Times New Roman" w:hAnsi="Times New Roman" w:cs="Times New Roman"/>
          <w:sz w:val="24"/>
          <w:szCs w:val="24"/>
        </w:rPr>
        <w:t>/questions</w:t>
      </w:r>
      <w:r w:rsidRPr="0099789E">
        <w:rPr>
          <w:rFonts w:ascii="Times New Roman" w:hAnsi="Times New Roman" w:cs="Times New Roman"/>
          <w:sz w:val="24"/>
          <w:szCs w:val="24"/>
        </w:rPr>
        <w:t xml:space="preserve"> in Attachment A </w:t>
      </w:r>
      <w:r>
        <w:rPr>
          <w:rFonts w:ascii="Times New Roman" w:hAnsi="Times New Roman" w:cs="Times New Roman"/>
          <w:sz w:val="24"/>
          <w:szCs w:val="24"/>
        </w:rPr>
        <w:t xml:space="preserve">that </w:t>
      </w:r>
      <w:r w:rsidRPr="0099789E">
        <w:rPr>
          <w:rFonts w:ascii="Times New Roman" w:hAnsi="Times New Roman" w:cs="Times New Roman"/>
          <w:sz w:val="24"/>
          <w:szCs w:val="24"/>
        </w:rPr>
        <w:t>warranted some discussion.</w:t>
      </w:r>
      <w:r>
        <w:rPr>
          <w:rStyle w:val="FootnoteReference"/>
          <w:rFonts w:ascii="Times New Roman" w:hAnsi="Times New Roman" w:cs="Times New Roman"/>
          <w:sz w:val="24"/>
          <w:szCs w:val="24"/>
        </w:rPr>
        <w:footnoteReference w:id="6"/>
      </w:r>
    </w:p>
    <w:p w:rsidR="00BD5899" w:rsidRPr="0099789E" w:rsidRDefault="00BD5899" w:rsidP="00AA1CB9">
      <w:pPr>
        <w:pStyle w:val="Heading2"/>
      </w:pPr>
      <w:bookmarkStart w:id="5" w:name="_Toc347751988"/>
      <w:bookmarkStart w:id="6" w:name="_Toc347928810"/>
      <w:r>
        <w:t>A.</w:t>
      </w:r>
      <w:r>
        <w:tab/>
      </w:r>
      <w:r w:rsidRPr="0099789E">
        <w:t>Are Competitive Retail Natural Gas Service Provide</w:t>
      </w:r>
      <w:r>
        <w:t>r</w:t>
      </w:r>
      <w:r w:rsidRPr="0099789E">
        <w:t xml:space="preserve">s Who Conduct Sales Through Agents That Are Compensated Primarily Or Exclusively On A Commission Basis, Incentivizing These Agents To Take Unfair Advantage Of Potential Customers Through Deceptive Sales Practices? </w:t>
      </w:r>
      <w:r>
        <w:t xml:space="preserve"> </w:t>
      </w:r>
      <w:r w:rsidRPr="0099789E">
        <w:t>Would Sales Agents Be Less Incentivized If They Were Employees Of The Seller And/Or Provided With Some Level Of Base Salary?</w:t>
      </w:r>
      <w:bookmarkEnd w:id="5"/>
      <w:bookmarkEnd w:id="6"/>
    </w:p>
    <w:p w:rsidR="00BD5899" w:rsidRDefault="00BD5899" w:rsidP="00B914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answers to the PUCO’s questions are “yes” and “yes.”  </w:t>
      </w:r>
    </w:p>
    <w:p w:rsidR="00BD5899" w:rsidRDefault="00BD5899" w:rsidP="00B914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Dominion Retail commented that the Commission should not overstep its authority by dictating terms by which a supplier compensates employees or outside agents, or requires marketing efforts be conducted by only employees of the supplier.</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OGMG/RESA assert that CRNG suppliers must evaluate the most cost effective ways of acquiring customers and commission-based incentives can be an important part of motivating a sales team.</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Dominion and Vectren commented that there is more incentive for agents to take advantage of potential customers when the compensation is exclusively based on commissions.</w:t>
      </w:r>
      <w:r>
        <w:rPr>
          <w:rStyle w:val="FootnoteReference"/>
          <w:rFonts w:ascii="Times New Roman" w:hAnsi="Times New Roman" w:cs="Times New Roman"/>
          <w:sz w:val="24"/>
          <w:szCs w:val="24"/>
        </w:rPr>
        <w:footnoteReference w:id="9"/>
      </w:r>
    </w:p>
    <w:p w:rsidR="00BD5899" w:rsidRDefault="00BD5899" w:rsidP="00B914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 reiterates that CRNGS sales agents who are compensated primarily or exclusively on a commission basis are </w:t>
      </w:r>
      <w:r w:rsidRPr="00F55746">
        <w:rPr>
          <w:rFonts w:ascii="Times New Roman" w:hAnsi="Times New Roman" w:cs="Times New Roman"/>
          <w:sz w:val="24"/>
          <w:szCs w:val="24"/>
        </w:rPr>
        <w:t>incentivized t</w:t>
      </w:r>
      <w:r>
        <w:rPr>
          <w:rFonts w:ascii="Times New Roman" w:hAnsi="Times New Roman" w:cs="Times New Roman"/>
          <w:sz w:val="24"/>
          <w:szCs w:val="24"/>
        </w:rPr>
        <w:t>o take advantage of potential customers through deceptive sales practices.</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Pr="0099789E">
        <w:rPr>
          <w:rFonts w:ascii="Times New Roman" w:hAnsi="Times New Roman" w:cs="Times New Roman"/>
          <w:sz w:val="24"/>
          <w:szCs w:val="24"/>
        </w:rPr>
        <w:t>Sales</w:t>
      </w:r>
      <w:r>
        <w:rPr>
          <w:rFonts w:ascii="Times New Roman" w:hAnsi="Times New Roman" w:cs="Times New Roman"/>
          <w:sz w:val="24"/>
          <w:szCs w:val="24"/>
        </w:rPr>
        <w:t xml:space="preserve">-based compensation </w:t>
      </w:r>
      <w:r w:rsidRPr="0099789E">
        <w:rPr>
          <w:rFonts w:ascii="Times New Roman" w:hAnsi="Times New Roman" w:cs="Times New Roman"/>
          <w:sz w:val="24"/>
          <w:szCs w:val="24"/>
        </w:rPr>
        <w:t>incentives should not be structured in a manner that can contradict the policies in the state to prevent false, misleading, deceptive or unconscionable sales practices.</w:t>
      </w:r>
      <w:r w:rsidRPr="0099789E">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OCC believes that sales agents that are compensated primarily or exclusively on a commission basis have more incentive to engage in deceptive sales practices because a majority of, or all of their salary is based on the results of signing up customers.  The pressure to earn greater compensation can lead to greater temptation to engage in sales practices that are deceptive and unfair</w:t>
      </w:r>
      <w:r w:rsidR="004E397E">
        <w:rPr>
          <w:rFonts w:ascii="Times New Roman" w:hAnsi="Times New Roman" w:cs="Times New Roman"/>
          <w:sz w:val="24"/>
          <w:szCs w:val="24"/>
        </w:rPr>
        <w:t xml:space="preserve"> in order to get customers to sign up to take service</w:t>
      </w:r>
      <w:r>
        <w:rPr>
          <w:rFonts w:ascii="Times New Roman" w:hAnsi="Times New Roman" w:cs="Times New Roman"/>
          <w:sz w:val="24"/>
          <w:szCs w:val="24"/>
        </w:rPr>
        <w:t xml:space="preserve">. </w:t>
      </w:r>
    </w:p>
    <w:p w:rsidR="00BD5899" w:rsidRDefault="00BD5899" w:rsidP="00B914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the extent that such commission-based compensation is combined with door-to-door solicitation, the potential violation of rules is compounded.  As noted in the Initial Comments by Eagle, the problems and concerns associated with door-to door solicitations far outweigh any benefits.</w:t>
      </w:r>
      <w:r>
        <w:rPr>
          <w:rStyle w:val="FootnoteReference"/>
          <w:rFonts w:ascii="Times New Roman" w:hAnsi="Times New Roman" w:cs="Times New Roman"/>
          <w:sz w:val="24"/>
          <w:szCs w:val="24"/>
        </w:rPr>
        <w:footnoteReference w:id="12"/>
      </w:r>
    </w:p>
    <w:p w:rsidR="00BD5899" w:rsidRPr="0099789E" w:rsidRDefault="00BD5899" w:rsidP="00B914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the extent that Dominion Retail is concerned that the PUCO not overstep its authority, the PUC does have the discretion and authority to approve certification applications and applications for renewal of certificates.  </w:t>
      </w:r>
      <w:r w:rsidR="004E397E">
        <w:rPr>
          <w:rFonts w:ascii="Times New Roman" w:hAnsi="Times New Roman" w:cs="Times New Roman"/>
          <w:sz w:val="24"/>
          <w:szCs w:val="24"/>
        </w:rPr>
        <w:t>If</w:t>
      </w:r>
      <w:r>
        <w:rPr>
          <w:rFonts w:ascii="Times New Roman" w:hAnsi="Times New Roman" w:cs="Times New Roman"/>
          <w:sz w:val="24"/>
          <w:szCs w:val="24"/>
        </w:rPr>
        <w:t xml:space="preserve"> a CRGNS relies on agents who are compensated primarily or exclusively on a commission basis, and that leads to instances of deceptive sales practices, then the PUCO does have the authority to consider that </w:t>
      </w:r>
      <w:r w:rsidR="004E397E">
        <w:rPr>
          <w:rFonts w:ascii="Times New Roman" w:hAnsi="Times New Roman" w:cs="Times New Roman"/>
          <w:sz w:val="24"/>
          <w:szCs w:val="24"/>
        </w:rPr>
        <w:t xml:space="preserve">compensation </w:t>
      </w:r>
      <w:r>
        <w:rPr>
          <w:rFonts w:ascii="Times New Roman" w:hAnsi="Times New Roman" w:cs="Times New Roman"/>
          <w:sz w:val="24"/>
          <w:szCs w:val="24"/>
        </w:rPr>
        <w:t xml:space="preserve">policy as part of its certificate approval </w:t>
      </w:r>
      <w:r w:rsidR="004E397E">
        <w:rPr>
          <w:rFonts w:ascii="Times New Roman" w:hAnsi="Times New Roman" w:cs="Times New Roman"/>
          <w:sz w:val="24"/>
          <w:szCs w:val="24"/>
        </w:rPr>
        <w:t xml:space="preserve">or renewal </w:t>
      </w:r>
      <w:r>
        <w:rPr>
          <w:rFonts w:ascii="Times New Roman" w:hAnsi="Times New Roman" w:cs="Times New Roman"/>
          <w:sz w:val="24"/>
          <w:szCs w:val="24"/>
        </w:rPr>
        <w:t xml:space="preserve">process.  Finally the PUCO also does have the authority necessary to enforce the rules set forth in Ohio Admin. Code 4901:1-29. </w:t>
      </w:r>
    </w:p>
    <w:p w:rsidR="00BD5899" w:rsidRDefault="00BD5899" w:rsidP="00EE4A1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Initial Comments OCC recommended</w:t>
      </w:r>
      <w:r w:rsidRPr="0099789E">
        <w:rPr>
          <w:rFonts w:ascii="Times New Roman" w:hAnsi="Times New Roman" w:cs="Times New Roman"/>
          <w:sz w:val="24"/>
          <w:szCs w:val="24"/>
        </w:rPr>
        <w:t xml:space="preserve"> that CRNGS must be held responsible for the actions of their sales </w:t>
      </w:r>
      <w:r>
        <w:rPr>
          <w:rFonts w:ascii="Times New Roman" w:hAnsi="Times New Roman" w:cs="Times New Roman"/>
          <w:sz w:val="24"/>
          <w:szCs w:val="24"/>
        </w:rPr>
        <w:t>personnel</w:t>
      </w:r>
      <w:r w:rsidRPr="0099789E">
        <w:rPr>
          <w:rFonts w:ascii="Times New Roman" w:hAnsi="Times New Roman" w:cs="Times New Roman"/>
          <w:sz w:val="24"/>
          <w:szCs w:val="24"/>
        </w:rPr>
        <w:t xml:space="preserve"> regardless if the solicitors are employees or agents of the CRNGS provider or government aggregator.</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OPAE noted that the PUCO should ensure that its certification review process keeps pace with the surge in supplier activities in other states and carefully review background and qualification.</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OCC supports OPAE’s comments.  OCC </w:t>
      </w:r>
      <w:r w:rsidRPr="0099789E">
        <w:rPr>
          <w:rFonts w:ascii="Times New Roman" w:hAnsi="Times New Roman" w:cs="Times New Roman"/>
          <w:sz w:val="24"/>
          <w:szCs w:val="24"/>
        </w:rPr>
        <w:t>also recommended that Applicants for certification as CRNGS or government aggregators disclose more information about sales practices in other jurisdictions related to customer complaints, notices of probable non-compliance, and slamming.</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This additional information is necessary to enable both customers and the Commission to best evaluate the performance and behavior of </w:t>
      </w:r>
      <w:r w:rsidR="004E397E">
        <w:rPr>
          <w:rFonts w:ascii="Times New Roman" w:hAnsi="Times New Roman" w:cs="Times New Roman"/>
          <w:sz w:val="24"/>
          <w:szCs w:val="24"/>
        </w:rPr>
        <w:t>Marketers</w:t>
      </w:r>
      <w:r>
        <w:rPr>
          <w:rFonts w:ascii="Times New Roman" w:hAnsi="Times New Roman" w:cs="Times New Roman"/>
          <w:sz w:val="24"/>
          <w:szCs w:val="24"/>
        </w:rPr>
        <w:t>.</w:t>
      </w:r>
    </w:p>
    <w:p w:rsidR="00BD5899" w:rsidRDefault="00BD5899" w:rsidP="00EE4A1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Given the concern that seems to underlie the PUCO’s question, t</w:t>
      </w:r>
      <w:r w:rsidRPr="00AA1CB9">
        <w:rPr>
          <w:rFonts w:ascii="Times New Roman" w:hAnsi="Times New Roman" w:cs="Times New Roman"/>
          <w:sz w:val="24"/>
          <w:szCs w:val="24"/>
        </w:rPr>
        <w:t>he Commission should consider requiring</w:t>
      </w:r>
      <w:r>
        <w:rPr>
          <w:rFonts w:ascii="Times New Roman" w:hAnsi="Times New Roman" w:cs="Times New Roman"/>
          <w:sz w:val="24"/>
          <w:szCs w:val="24"/>
        </w:rPr>
        <w:t xml:space="preserve"> </w:t>
      </w:r>
      <w:r w:rsidR="004E397E">
        <w:rPr>
          <w:rFonts w:ascii="Times New Roman" w:hAnsi="Times New Roman" w:cs="Times New Roman"/>
          <w:sz w:val="24"/>
          <w:szCs w:val="24"/>
        </w:rPr>
        <w:t>Marketers</w:t>
      </w:r>
      <w:r>
        <w:rPr>
          <w:rFonts w:ascii="Times New Roman" w:hAnsi="Times New Roman" w:cs="Times New Roman"/>
          <w:sz w:val="24"/>
          <w:szCs w:val="24"/>
        </w:rPr>
        <w:t xml:space="preserve"> to make customers whose contracts are up for automatic renewal aware of</w:t>
      </w:r>
      <w:r w:rsidRPr="00AA1CB9">
        <w:rPr>
          <w:rFonts w:ascii="Times New Roman" w:hAnsi="Times New Roman" w:cs="Times New Roman"/>
          <w:sz w:val="24"/>
          <w:szCs w:val="24"/>
        </w:rPr>
        <w:t xml:space="preserve"> their lowest priced fixed or variable contracts </w:t>
      </w:r>
      <w:r>
        <w:rPr>
          <w:rFonts w:ascii="Times New Roman" w:hAnsi="Times New Roman" w:cs="Times New Roman"/>
          <w:sz w:val="24"/>
          <w:szCs w:val="24"/>
        </w:rPr>
        <w:t xml:space="preserve">(as </w:t>
      </w:r>
      <w:r w:rsidRPr="00AA1CB9">
        <w:rPr>
          <w:rFonts w:ascii="Times New Roman" w:hAnsi="Times New Roman" w:cs="Times New Roman"/>
          <w:sz w:val="24"/>
          <w:szCs w:val="24"/>
        </w:rPr>
        <w:t>posted on the PUCO’s Apple to Apple Website</w:t>
      </w:r>
      <w:r>
        <w:rPr>
          <w:rFonts w:ascii="Times New Roman" w:hAnsi="Times New Roman" w:cs="Times New Roman"/>
          <w:sz w:val="24"/>
          <w:szCs w:val="24"/>
        </w:rPr>
        <w:t>).  Providing this current data will help customers make more informed decisions</w:t>
      </w:r>
      <w:r w:rsidRPr="00AA1CB9">
        <w:rPr>
          <w:rFonts w:ascii="Times New Roman" w:hAnsi="Times New Roman" w:cs="Times New Roman"/>
          <w:sz w:val="24"/>
          <w:szCs w:val="24"/>
        </w:rPr>
        <w:t>.</w:t>
      </w:r>
    </w:p>
    <w:p w:rsidR="00BD5899" w:rsidRPr="0099789E" w:rsidRDefault="00BD5899" w:rsidP="00EE4A1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Moreover, CRNGS</w:t>
      </w:r>
      <w:r w:rsidRPr="0099789E">
        <w:rPr>
          <w:rFonts w:ascii="Times New Roman" w:hAnsi="Times New Roman" w:cs="Times New Roman"/>
          <w:sz w:val="24"/>
          <w:szCs w:val="24"/>
        </w:rPr>
        <w:t xml:space="preserve"> who misrepresent offers in one </w:t>
      </w:r>
      <w:r>
        <w:rPr>
          <w:rFonts w:ascii="Times New Roman" w:hAnsi="Times New Roman" w:cs="Times New Roman"/>
          <w:sz w:val="24"/>
          <w:szCs w:val="24"/>
        </w:rPr>
        <w:t>state</w:t>
      </w:r>
      <w:r w:rsidRPr="0099789E">
        <w:rPr>
          <w:rFonts w:ascii="Times New Roman" w:hAnsi="Times New Roman" w:cs="Times New Roman"/>
          <w:sz w:val="24"/>
          <w:szCs w:val="24"/>
        </w:rPr>
        <w:t xml:space="preserve"> are probably inclined to misrepresent offers in another</w:t>
      </w:r>
      <w:r>
        <w:rPr>
          <w:rFonts w:ascii="Times New Roman" w:hAnsi="Times New Roman" w:cs="Times New Roman"/>
          <w:sz w:val="24"/>
          <w:szCs w:val="24"/>
        </w:rPr>
        <w:t xml:space="preserve"> state where they operate</w:t>
      </w:r>
      <w:r w:rsidRPr="0099789E">
        <w:rPr>
          <w:rFonts w:ascii="Times New Roman" w:hAnsi="Times New Roman" w:cs="Times New Roman"/>
          <w:sz w:val="24"/>
          <w:szCs w:val="24"/>
        </w:rPr>
        <w:t xml:space="preserve">.  </w:t>
      </w:r>
      <w:r>
        <w:rPr>
          <w:rFonts w:ascii="Times New Roman" w:hAnsi="Times New Roman" w:cs="Times New Roman"/>
          <w:sz w:val="24"/>
          <w:szCs w:val="24"/>
        </w:rPr>
        <w:t>OCC recommends that, i</w:t>
      </w:r>
      <w:r w:rsidRPr="0099789E">
        <w:rPr>
          <w:rFonts w:ascii="Times New Roman" w:hAnsi="Times New Roman" w:cs="Times New Roman"/>
          <w:sz w:val="24"/>
          <w:szCs w:val="24"/>
        </w:rPr>
        <w:t xml:space="preserve">f </w:t>
      </w:r>
      <w:r>
        <w:rPr>
          <w:rFonts w:ascii="Times New Roman" w:hAnsi="Times New Roman" w:cs="Times New Roman"/>
          <w:sz w:val="24"/>
          <w:szCs w:val="24"/>
        </w:rPr>
        <w:t>any CRNGS</w:t>
      </w:r>
      <w:r w:rsidRPr="0099789E">
        <w:rPr>
          <w:rFonts w:ascii="Times New Roman" w:hAnsi="Times New Roman" w:cs="Times New Roman"/>
          <w:sz w:val="24"/>
          <w:szCs w:val="24"/>
        </w:rPr>
        <w:t xml:space="preserve"> are performing false, misleading, or unconscionable sales practices</w:t>
      </w:r>
      <w:r>
        <w:rPr>
          <w:rFonts w:ascii="Times New Roman" w:hAnsi="Times New Roman" w:cs="Times New Roman"/>
          <w:sz w:val="24"/>
          <w:szCs w:val="24"/>
        </w:rPr>
        <w:t xml:space="preserve"> in other states</w:t>
      </w:r>
      <w:r w:rsidRPr="0099789E">
        <w:rPr>
          <w:rFonts w:ascii="Times New Roman" w:hAnsi="Times New Roman" w:cs="Times New Roman"/>
          <w:sz w:val="24"/>
          <w:szCs w:val="24"/>
        </w:rPr>
        <w:t xml:space="preserve">, the Commission should </w:t>
      </w:r>
      <w:r>
        <w:rPr>
          <w:rFonts w:ascii="Times New Roman" w:hAnsi="Times New Roman" w:cs="Times New Roman"/>
          <w:sz w:val="24"/>
          <w:szCs w:val="24"/>
        </w:rPr>
        <w:t xml:space="preserve">consider that information as part of </w:t>
      </w:r>
      <w:r w:rsidRPr="00A1682F">
        <w:rPr>
          <w:rFonts w:ascii="Times New Roman" w:hAnsi="Times New Roman" w:cs="Times New Roman"/>
          <w:sz w:val="24"/>
          <w:szCs w:val="24"/>
        </w:rPr>
        <w:t>its certification process.</w:t>
      </w:r>
    </w:p>
    <w:p w:rsidR="00BD5899" w:rsidRPr="0099789E" w:rsidRDefault="00BD5899" w:rsidP="00AA1CB9">
      <w:pPr>
        <w:pStyle w:val="Heading2"/>
      </w:pPr>
      <w:bookmarkStart w:id="7" w:name="_Toc347751989"/>
      <w:bookmarkStart w:id="8" w:name="_Toc347928811"/>
      <w:r>
        <w:t>B.</w:t>
      </w:r>
      <w:r>
        <w:tab/>
      </w:r>
      <w:r w:rsidRPr="0099789E">
        <w:t>Should Aggregation Incentives, Such As Financial Contributions To The Community, Be Disclosed In These Opt-Out Notices Or Is Media Coverage Of Aggregation Incentives Adequate?</w:t>
      </w:r>
      <w:bookmarkEnd w:id="7"/>
      <w:bookmarkEnd w:id="8"/>
    </w:p>
    <w:p w:rsidR="00BD5899" w:rsidRDefault="00BD5899" w:rsidP="000A7B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answers to the PUCO’s questions are “yes” (for disclosure) and “no” (for reliance solely on media coverage).</w:t>
      </w:r>
    </w:p>
    <w:p w:rsidR="00BD5899" w:rsidRDefault="00BD5899" w:rsidP="000A7B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Dominion Retail asserted there is no legitimate purpose to be served by requiring government aggregators to disclose inducements the community has received for selecting a particular CRNGS.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OGMG/RESA assert that financial contributions to communities should not be disclosed in opt-out notices.  NOPEC claims that media and other marketing coverage are adequate to inform customers about the community incentives.</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Columbia supports the incentives being disclosed in opt-out notices to promote transparency and public education.</w:t>
      </w:r>
      <w:r>
        <w:rPr>
          <w:rStyle w:val="FootnoteReference"/>
          <w:rFonts w:ascii="Times New Roman" w:hAnsi="Times New Roman" w:cs="Times New Roman"/>
          <w:sz w:val="24"/>
          <w:szCs w:val="24"/>
        </w:rPr>
        <w:footnoteReference w:id="18"/>
      </w:r>
    </w:p>
    <w:p w:rsidR="00BD5899" w:rsidRDefault="00BD5899" w:rsidP="000A7B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OCC continues to assert that a</w:t>
      </w:r>
      <w:r w:rsidRPr="0099789E">
        <w:rPr>
          <w:rFonts w:ascii="Times New Roman" w:hAnsi="Times New Roman" w:cs="Times New Roman"/>
          <w:sz w:val="24"/>
          <w:szCs w:val="24"/>
        </w:rPr>
        <w:t xml:space="preserve"> critical component of Ohio law is the requirement that an aggregator prominently disclose rates, charges, and other terms and conditions related to the enrollment of customers.</w:t>
      </w:r>
      <w:r w:rsidRPr="0099789E">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As a general matter, o</w:t>
      </w:r>
      <w:r w:rsidRPr="0099789E">
        <w:rPr>
          <w:rFonts w:ascii="Times New Roman" w:hAnsi="Times New Roman" w:cs="Times New Roman"/>
          <w:sz w:val="24"/>
          <w:szCs w:val="24"/>
        </w:rPr>
        <w:t xml:space="preserve">penness and transparency in government </w:t>
      </w:r>
      <w:r>
        <w:rPr>
          <w:rFonts w:ascii="Times New Roman" w:hAnsi="Times New Roman" w:cs="Times New Roman"/>
          <w:sz w:val="24"/>
          <w:szCs w:val="24"/>
        </w:rPr>
        <w:t>are best served by requirements for</w:t>
      </w:r>
      <w:r w:rsidRPr="0099789E">
        <w:rPr>
          <w:rFonts w:ascii="Times New Roman" w:hAnsi="Times New Roman" w:cs="Times New Roman"/>
          <w:sz w:val="24"/>
          <w:szCs w:val="24"/>
        </w:rPr>
        <w:t xml:space="preserve"> disclosure of any </w:t>
      </w:r>
      <w:r>
        <w:rPr>
          <w:rFonts w:ascii="Times New Roman" w:hAnsi="Times New Roman" w:cs="Times New Roman"/>
          <w:sz w:val="24"/>
          <w:szCs w:val="24"/>
        </w:rPr>
        <w:t>information that could impact governmental decisions.  As such, any incentive</w:t>
      </w:r>
      <w:r w:rsidRPr="0099789E">
        <w:rPr>
          <w:rFonts w:ascii="Times New Roman" w:hAnsi="Times New Roman" w:cs="Times New Roman"/>
          <w:sz w:val="24"/>
          <w:szCs w:val="24"/>
        </w:rPr>
        <w:t xml:space="preserve"> being provided to the community</w:t>
      </w:r>
      <w:r>
        <w:rPr>
          <w:rFonts w:ascii="Times New Roman" w:hAnsi="Times New Roman" w:cs="Times New Roman"/>
          <w:sz w:val="24"/>
          <w:szCs w:val="24"/>
        </w:rPr>
        <w:t xml:space="preserve"> by a Marketer is an important piece of information that customers should be made aware of so that they can make a decision based on all available information</w:t>
      </w:r>
      <w:r w:rsidRPr="0099789E">
        <w:rPr>
          <w:rFonts w:ascii="Times New Roman" w:hAnsi="Times New Roman" w:cs="Times New Roman"/>
          <w:sz w:val="24"/>
          <w:szCs w:val="24"/>
        </w:rPr>
        <w:t xml:space="preserve">.  </w:t>
      </w:r>
    </w:p>
    <w:p w:rsidR="00BD5899" w:rsidRDefault="00BD5899" w:rsidP="000A7B4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Moreover, requiring customers to rely on the media to provide information is not a reasonable approach because there may or may not be coverage of these types of issues throughout Ohio.  For example, while a large urban newspaper may devote coverage and resources to informing their subscribers about these issues, smaller weekly rural newspapers may not.  All customers throughout Ohio who are el</w:t>
      </w:r>
      <w:r w:rsidR="004E397E">
        <w:rPr>
          <w:rFonts w:ascii="Times New Roman" w:hAnsi="Times New Roman" w:cs="Times New Roman"/>
          <w:sz w:val="24"/>
          <w:szCs w:val="24"/>
        </w:rPr>
        <w:t>igible to participate in Choice</w:t>
      </w:r>
      <w:r>
        <w:rPr>
          <w:rFonts w:ascii="Times New Roman" w:hAnsi="Times New Roman" w:cs="Times New Roman"/>
          <w:sz w:val="24"/>
          <w:szCs w:val="24"/>
        </w:rPr>
        <w:t xml:space="preserve">, regardless of where they live -- should be afforded the same level of reasonable and consistent protection.  Moreover, relying on the media may not be sufficient because the media may not even know of the incentives.  </w:t>
      </w:r>
    </w:p>
    <w:p w:rsidR="00BD5899" w:rsidRPr="0099789E" w:rsidRDefault="00BD5899" w:rsidP="000A7B48">
      <w:pPr>
        <w:spacing w:after="0"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The Commission should require transparency in the disclosure of the rates and the terms and conditions for service to individual customers and for incentives</w:t>
      </w:r>
      <w:r>
        <w:rPr>
          <w:rFonts w:ascii="Times New Roman" w:hAnsi="Times New Roman" w:cs="Times New Roman"/>
          <w:sz w:val="24"/>
          <w:szCs w:val="24"/>
        </w:rPr>
        <w:t>, if any,</w:t>
      </w:r>
      <w:r w:rsidRPr="0099789E">
        <w:rPr>
          <w:rFonts w:ascii="Times New Roman" w:hAnsi="Times New Roman" w:cs="Times New Roman"/>
          <w:sz w:val="24"/>
          <w:szCs w:val="24"/>
        </w:rPr>
        <w:t xml:space="preserve"> provided to the community.</w:t>
      </w:r>
    </w:p>
    <w:p w:rsidR="00BD5899" w:rsidRPr="0099789E" w:rsidRDefault="00BD5899" w:rsidP="00AA1CB9">
      <w:pPr>
        <w:pStyle w:val="Heading2"/>
      </w:pPr>
      <w:bookmarkStart w:id="9" w:name="_Toc347751990"/>
      <w:bookmarkStart w:id="10" w:name="_Toc347928812"/>
      <w:r>
        <w:t>C.</w:t>
      </w:r>
      <w:r>
        <w:tab/>
      </w:r>
      <w:r w:rsidRPr="0099789E">
        <w:t xml:space="preserve">Should The </w:t>
      </w:r>
      <w:r>
        <w:t>Commission’</w:t>
      </w:r>
      <w:r w:rsidRPr="0099789E">
        <w:t>s</w:t>
      </w:r>
      <w:r>
        <w:t xml:space="preserve"> </w:t>
      </w:r>
      <w:r w:rsidRPr="0099789E">
        <w:t>Rules Regulate The Availability Of Certain Lengths And Types Of Contracts For Certain Customer Classes?</w:t>
      </w:r>
      <w:r>
        <w:t xml:space="preserve">  </w:t>
      </w:r>
      <w:r w:rsidRPr="0099789E">
        <w:t xml:space="preserve">Should The </w:t>
      </w:r>
      <w:r>
        <w:t>Commission’</w:t>
      </w:r>
      <w:r w:rsidRPr="0099789E">
        <w:t>s</w:t>
      </w:r>
      <w:r>
        <w:t xml:space="preserve"> </w:t>
      </w:r>
      <w:r w:rsidRPr="0099789E">
        <w:t>Rules Require A Supplier To Disclose All Inducements To Contract?</w:t>
      </w:r>
      <w:bookmarkEnd w:id="9"/>
      <w:bookmarkEnd w:id="10"/>
    </w:p>
    <w:p w:rsidR="00BD5899" w:rsidRDefault="00BD5899" w:rsidP="0099789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answers to the PUCO’s questions are “yes” and “yes.”  </w:t>
      </w:r>
    </w:p>
    <w:p w:rsidR="00BD5899" w:rsidRDefault="00BD5899" w:rsidP="0099789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Dominion Retail agreed that the rules should require that all inducements offered to customers to contract with a </w:t>
      </w:r>
      <w:r w:rsidR="004E397E">
        <w:rPr>
          <w:rFonts w:ascii="Times New Roman" w:hAnsi="Times New Roman" w:cs="Times New Roman"/>
          <w:sz w:val="24"/>
          <w:szCs w:val="24"/>
        </w:rPr>
        <w:t>Marketer</w:t>
      </w:r>
      <w:r>
        <w:rPr>
          <w:rFonts w:ascii="Times New Roman" w:hAnsi="Times New Roman" w:cs="Times New Roman"/>
          <w:sz w:val="24"/>
          <w:szCs w:val="24"/>
        </w:rPr>
        <w:t xml:space="preserve"> should be disclosed.</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OCC agrees with Dominion Retail and reiterates that the Commission’s rules should require CRNGS to disclose all inducements to enter into a contract.  Such a requirement would provide potential customers with additional information that could be helpful to enabling customers to make decisions based on all possible available information.  A full disclosure requirement is also consistent with the objectives of openness and transparency.</w:t>
      </w:r>
    </w:p>
    <w:p w:rsidR="00BD5899" w:rsidRDefault="00BD5899" w:rsidP="0099789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Also t</w:t>
      </w:r>
      <w:r w:rsidRPr="0099789E">
        <w:rPr>
          <w:rFonts w:ascii="Times New Roman" w:hAnsi="Times New Roman" w:cs="Times New Roman"/>
          <w:sz w:val="24"/>
          <w:szCs w:val="24"/>
        </w:rPr>
        <w:t>he Commission</w:t>
      </w:r>
      <w:r>
        <w:rPr>
          <w:rFonts w:ascii="Times New Roman" w:hAnsi="Times New Roman" w:cs="Times New Roman"/>
          <w:sz w:val="24"/>
          <w:szCs w:val="24"/>
        </w:rPr>
        <w:t>’s</w:t>
      </w:r>
      <w:r w:rsidRPr="0099789E">
        <w:rPr>
          <w:rFonts w:ascii="Times New Roman" w:hAnsi="Times New Roman" w:cs="Times New Roman"/>
          <w:sz w:val="24"/>
          <w:szCs w:val="24"/>
        </w:rPr>
        <w:t xml:space="preserve"> rules should either ban or significantly limit the use of evergreen CRNGS contracts with residential customers.</w:t>
      </w:r>
      <w:r>
        <w:rPr>
          <w:rFonts w:ascii="Times New Roman" w:hAnsi="Times New Roman" w:cs="Times New Roman"/>
          <w:sz w:val="24"/>
          <w:szCs w:val="24"/>
        </w:rPr>
        <w:t xml:space="preserve">  “Evergreen” contracts are ones where the contact is automatically renewed for periods of time, based on a customers’ failure to act.  Evergreen contracts can renew themselves for indefinite periods of time.</w:t>
      </w:r>
    </w:p>
    <w:p w:rsidR="00BD5899" w:rsidRDefault="00BD5899" w:rsidP="0099789E">
      <w:pPr>
        <w:pStyle w:val="NoSpacing"/>
        <w:spacing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 xml:space="preserve">While these contracts may </w:t>
      </w:r>
      <w:r>
        <w:rPr>
          <w:rFonts w:ascii="Times New Roman" w:hAnsi="Times New Roman" w:cs="Times New Roman"/>
          <w:sz w:val="24"/>
          <w:szCs w:val="24"/>
        </w:rPr>
        <w:t>be effective for CRNGS</w:t>
      </w:r>
      <w:r w:rsidRPr="0099789E">
        <w:rPr>
          <w:rFonts w:ascii="Times New Roman" w:hAnsi="Times New Roman" w:cs="Times New Roman"/>
          <w:sz w:val="24"/>
          <w:szCs w:val="24"/>
        </w:rPr>
        <w:t xml:space="preserve">, the potential harm for customers can be significant. </w:t>
      </w:r>
      <w:r>
        <w:rPr>
          <w:rFonts w:ascii="Times New Roman" w:hAnsi="Times New Roman" w:cs="Times New Roman"/>
          <w:sz w:val="24"/>
          <w:szCs w:val="24"/>
        </w:rPr>
        <w:t xml:space="preserve"> T</w:t>
      </w:r>
      <w:r w:rsidRPr="0099789E">
        <w:rPr>
          <w:rFonts w:ascii="Times New Roman" w:hAnsi="Times New Roman" w:cs="Times New Roman"/>
          <w:sz w:val="24"/>
          <w:szCs w:val="24"/>
        </w:rPr>
        <w:t xml:space="preserve">he Commission must protect the public interest to the extent that </w:t>
      </w:r>
      <w:r>
        <w:rPr>
          <w:rFonts w:ascii="Times New Roman" w:hAnsi="Times New Roman" w:cs="Times New Roman"/>
          <w:sz w:val="24"/>
          <w:szCs w:val="24"/>
        </w:rPr>
        <w:t xml:space="preserve">some </w:t>
      </w:r>
      <w:r w:rsidRPr="0099789E">
        <w:rPr>
          <w:rFonts w:ascii="Times New Roman" w:hAnsi="Times New Roman" w:cs="Times New Roman"/>
          <w:sz w:val="24"/>
          <w:szCs w:val="24"/>
        </w:rPr>
        <w:t>customers w</w:t>
      </w:r>
      <w:r>
        <w:rPr>
          <w:rFonts w:ascii="Times New Roman" w:hAnsi="Times New Roman" w:cs="Times New Roman"/>
          <w:sz w:val="24"/>
          <w:szCs w:val="24"/>
        </w:rPr>
        <w:t>ho are</w:t>
      </w:r>
      <w:r w:rsidRPr="0099789E">
        <w:rPr>
          <w:rFonts w:ascii="Times New Roman" w:hAnsi="Times New Roman" w:cs="Times New Roman"/>
          <w:sz w:val="24"/>
          <w:szCs w:val="24"/>
        </w:rPr>
        <w:t xml:space="preserve"> in evergreen contracts </w:t>
      </w:r>
      <w:r>
        <w:rPr>
          <w:rFonts w:ascii="Times New Roman" w:hAnsi="Times New Roman" w:cs="Times New Roman"/>
          <w:sz w:val="24"/>
          <w:szCs w:val="24"/>
        </w:rPr>
        <w:t>may be</w:t>
      </w:r>
      <w:r w:rsidRPr="0099789E">
        <w:rPr>
          <w:rFonts w:ascii="Times New Roman" w:hAnsi="Times New Roman" w:cs="Times New Roman"/>
          <w:sz w:val="24"/>
          <w:szCs w:val="24"/>
        </w:rPr>
        <w:t xml:space="preserve"> unaware of the </w:t>
      </w:r>
      <w:r>
        <w:rPr>
          <w:rFonts w:ascii="Times New Roman" w:hAnsi="Times New Roman" w:cs="Times New Roman"/>
          <w:sz w:val="24"/>
          <w:szCs w:val="24"/>
        </w:rPr>
        <w:t xml:space="preserve">changes in the market since first signing a contract.  For example, there may have been significant changes in the </w:t>
      </w:r>
      <w:r w:rsidRPr="0099789E">
        <w:rPr>
          <w:rFonts w:ascii="Times New Roman" w:hAnsi="Times New Roman" w:cs="Times New Roman"/>
          <w:sz w:val="24"/>
          <w:szCs w:val="24"/>
        </w:rPr>
        <w:t xml:space="preserve">price they were paying for natural gas compared with the utility-sponsored </w:t>
      </w:r>
      <w:r>
        <w:rPr>
          <w:rFonts w:ascii="Times New Roman" w:hAnsi="Times New Roman" w:cs="Times New Roman"/>
          <w:sz w:val="24"/>
          <w:szCs w:val="24"/>
        </w:rPr>
        <w:t xml:space="preserve">standard option rates.  </w:t>
      </w:r>
    </w:p>
    <w:p w:rsidR="00BD5899" w:rsidRPr="0099789E" w:rsidRDefault="00BD5899" w:rsidP="0099789E">
      <w:pPr>
        <w:pStyle w:val="NoSpacing"/>
        <w:spacing w:line="480" w:lineRule="auto"/>
        <w:ind w:firstLine="720"/>
        <w:rPr>
          <w:rFonts w:ascii="Times New Roman" w:hAnsi="Times New Roman" w:cs="Times New Roman"/>
          <w:sz w:val="24"/>
          <w:szCs w:val="24"/>
          <w:highlight w:val="yellow"/>
        </w:rPr>
      </w:pPr>
      <w:r>
        <w:rPr>
          <w:rFonts w:ascii="Times New Roman" w:hAnsi="Times New Roman" w:cs="Times New Roman"/>
          <w:sz w:val="24"/>
          <w:szCs w:val="24"/>
        </w:rPr>
        <w:t>OCC recommended in Initial C</w:t>
      </w:r>
      <w:r w:rsidRPr="0099789E">
        <w:rPr>
          <w:rFonts w:ascii="Times New Roman" w:hAnsi="Times New Roman" w:cs="Times New Roman"/>
          <w:sz w:val="24"/>
          <w:szCs w:val="24"/>
        </w:rPr>
        <w:t>omments that CRNG</w:t>
      </w:r>
      <w:r>
        <w:rPr>
          <w:rFonts w:ascii="Times New Roman" w:hAnsi="Times New Roman" w:cs="Times New Roman"/>
          <w:sz w:val="24"/>
          <w:szCs w:val="24"/>
        </w:rPr>
        <w:t xml:space="preserve">S </w:t>
      </w:r>
      <w:r w:rsidRPr="0099789E">
        <w:rPr>
          <w:rFonts w:ascii="Times New Roman" w:hAnsi="Times New Roman" w:cs="Times New Roman"/>
          <w:sz w:val="24"/>
          <w:szCs w:val="24"/>
        </w:rPr>
        <w:t>be required to demonstrate that contracts with residential customers provide</w:t>
      </w:r>
      <w:r>
        <w:rPr>
          <w:rFonts w:ascii="Times New Roman" w:hAnsi="Times New Roman" w:cs="Times New Roman"/>
          <w:sz w:val="24"/>
          <w:szCs w:val="24"/>
        </w:rPr>
        <w:t xml:space="preserve"> timely </w:t>
      </w:r>
      <w:r w:rsidRPr="0099789E">
        <w:rPr>
          <w:rFonts w:ascii="Times New Roman" w:hAnsi="Times New Roman" w:cs="Times New Roman"/>
          <w:sz w:val="24"/>
          <w:szCs w:val="24"/>
        </w:rPr>
        <w:t>adequate, accurate, and understandable pricing and terms and conditions of service as required by Ohio law.</w:t>
      </w:r>
      <w:r w:rsidRPr="0099789E">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The Commission should initiate a requirement where CRNGS be required to provide a written notice to customers if the rate they are being charged </w:t>
      </w:r>
      <w:r w:rsidR="004E397E">
        <w:rPr>
          <w:rFonts w:ascii="Times New Roman" w:hAnsi="Times New Roman" w:cs="Times New Roman"/>
          <w:sz w:val="24"/>
          <w:szCs w:val="24"/>
        </w:rPr>
        <w:t>by a</w:t>
      </w:r>
      <w:r>
        <w:rPr>
          <w:rFonts w:ascii="Times New Roman" w:hAnsi="Times New Roman" w:cs="Times New Roman"/>
          <w:sz w:val="24"/>
          <w:szCs w:val="24"/>
        </w:rPr>
        <w:t xml:space="preserve"> CRNGS exceeds the Utility standard offer rate for two consecutive months.  Due to the potential for customers to remain in contracts long after they actually made a decision regarding their natural gas provider -- because of the roll-over effect of evergreen contract provisions, the PUCO should eliminate or severely restrict the use of evergreen contracts.</w:t>
      </w:r>
    </w:p>
    <w:p w:rsidR="00BD5899" w:rsidRPr="0099789E" w:rsidRDefault="00BD5899" w:rsidP="00AA1CB9">
      <w:pPr>
        <w:pStyle w:val="Heading2"/>
      </w:pPr>
      <w:bookmarkStart w:id="11" w:name="_Toc347751991"/>
      <w:bookmarkStart w:id="12" w:name="_Toc347928813"/>
      <w:r>
        <w:t>D.</w:t>
      </w:r>
      <w:r>
        <w:tab/>
      </w:r>
      <w:r w:rsidRPr="0099789E">
        <w:t>Should The Rule Also Require The Sales Pitch Segment Of The Call To Also Be Recorded?</w:t>
      </w:r>
      <w:r>
        <w:t xml:space="preserve">  </w:t>
      </w:r>
      <w:r w:rsidRPr="0099789E">
        <w:t>Should The Rules Be Clarified To Require Greater Customer Protections?</w:t>
      </w:r>
      <w:bookmarkEnd w:id="11"/>
      <w:bookmarkEnd w:id="12"/>
    </w:p>
    <w:p w:rsidR="00BD5899" w:rsidRDefault="00BD5899" w:rsidP="00F557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answers to the PUCO’s questions are “yes” and “yes.” </w:t>
      </w:r>
    </w:p>
    <w:p w:rsidR="00BD5899" w:rsidRDefault="00BD5899" w:rsidP="00F557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OGMG/RESA assert that capturing the call from the beginning would require rearranging equipment and that, “the only use of the recording that leads up to the verification would be to attack the verification.</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Rather than viewed as attacking the verification, the use of a recording that leads up to the verification can be important in making sure that a customer fully understood the terms and conditions of an offer and that the customers did not agree to terms based on </w:t>
      </w:r>
      <w:r w:rsidRPr="0099789E">
        <w:rPr>
          <w:rFonts w:ascii="Times New Roman" w:hAnsi="Times New Roman" w:cs="Times New Roman"/>
          <w:sz w:val="24"/>
          <w:szCs w:val="24"/>
        </w:rPr>
        <w:t>unfair, misleading, deceptive, or unconscionable acts or practices</w:t>
      </w:r>
      <w:r>
        <w:rPr>
          <w:rFonts w:ascii="Times New Roman" w:hAnsi="Times New Roman" w:cs="Times New Roman"/>
          <w:sz w:val="24"/>
          <w:szCs w:val="24"/>
        </w:rPr>
        <w:t xml:space="preserve"> as required by </w:t>
      </w:r>
      <w:r w:rsidRPr="00F55746">
        <w:rPr>
          <w:rFonts w:ascii="Times New Roman" w:hAnsi="Times New Roman" w:cs="Times New Roman"/>
        </w:rPr>
        <w:t>Ohio Admin. Code 4901:1-29-02 (A)(1)-(3)</w:t>
      </w:r>
      <w:r>
        <w:rPr>
          <w:rFonts w:ascii="Times New Roman" w:hAnsi="Times New Roman" w:cs="Times New Roman"/>
          <w:sz w:val="24"/>
          <w:szCs w:val="24"/>
        </w:rPr>
        <w:t xml:space="preserve">.  </w:t>
      </w:r>
    </w:p>
    <w:p w:rsidR="00BD5899" w:rsidRDefault="00BD5899" w:rsidP="00F557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Dominion Retail claims the recording of the entire phone conversation is consistent with its current practice.</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Thus it does not appear that such a requirement is beyond the capabilities of CRNGS.</w:t>
      </w:r>
    </w:p>
    <w:p w:rsidR="00BD5899" w:rsidRPr="0099789E" w:rsidRDefault="00BD5899" w:rsidP="00F5574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w:t>
      </w:r>
      <w:r w:rsidRPr="0099789E">
        <w:rPr>
          <w:rFonts w:ascii="Times New Roman" w:hAnsi="Times New Roman" w:cs="Times New Roman"/>
          <w:sz w:val="24"/>
          <w:szCs w:val="24"/>
        </w:rPr>
        <w:t xml:space="preserve">ecording of the entire phone conversation would be helpful to </w:t>
      </w:r>
      <w:r>
        <w:rPr>
          <w:rFonts w:ascii="Times New Roman" w:hAnsi="Times New Roman" w:cs="Times New Roman"/>
          <w:sz w:val="24"/>
          <w:szCs w:val="24"/>
        </w:rPr>
        <w:t xml:space="preserve">help </w:t>
      </w:r>
      <w:r w:rsidRPr="0099789E">
        <w:rPr>
          <w:rFonts w:ascii="Times New Roman" w:hAnsi="Times New Roman" w:cs="Times New Roman"/>
          <w:sz w:val="24"/>
          <w:szCs w:val="24"/>
        </w:rPr>
        <w:t>ensure that CRNGS products and services are being marketed</w:t>
      </w:r>
      <w:r>
        <w:rPr>
          <w:rFonts w:ascii="Times New Roman" w:hAnsi="Times New Roman" w:cs="Times New Roman"/>
          <w:sz w:val="24"/>
          <w:szCs w:val="24"/>
        </w:rPr>
        <w:t xml:space="preserve"> to the public</w:t>
      </w:r>
      <w:r w:rsidRPr="0099789E">
        <w:rPr>
          <w:rFonts w:ascii="Times New Roman" w:hAnsi="Times New Roman" w:cs="Times New Roman"/>
          <w:sz w:val="24"/>
          <w:szCs w:val="24"/>
        </w:rPr>
        <w:t xml:space="preserve"> with the level of integrity required by Ohio law and the Commission’s rules.</w:t>
      </w:r>
      <w:r>
        <w:rPr>
          <w:rFonts w:ascii="Times New Roman" w:hAnsi="Times New Roman" w:cs="Times New Roman"/>
          <w:sz w:val="24"/>
          <w:szCs w:val="24"/>
        </w:rPr>
        <w:t xml:space="preserve">  Contrary to the OGMG/RESA’s assertion that the recording would be used to attack verifications, if customers are being provided false or misleading marketing of CRNGS products, the recording would be useful to help eradicate such practices.</w:t>
      </w:r>
    </w:p>
    <w:p w:rsidR="00BD5899" w:rsidRPr="0099789E" w:rsidRDefault="00BD5899" w:rsidP="00AA1CB9">
      <w:pPr>
        <w:pStyle w:val="Heading2"/>
      </w:pPr>
      <w:bookmarkStart w:id="13" w:name="_Toc347751992"/>
      <w:bookmarkStart w:id="14" w:name="_Toc347928814"/>
      <w:r>
        <w:t>E.</w:t>
      </w:r>
      <w:r>
        <w:tab/>
      </w:r>
      <w:r w:rsidRPr="0099789E">
        <w:t xml:space="preserve">Are There Best Practices From Other States That Should Be Incorporated In The Rules To Facilitate This Promotion? </w:t>
      </w:r>
      <w:r>
        <w:t xml:space="preserve"> </w:t>
      </w:r>
      <w:r w:rsidRPr="0099789E">
        <w:t>Other State Commissions Post Supplier Complaint Data On Their Web Sites Identifying The Numbers And Types Of Consumer Compla</w:t>
      </w:r>
      <w:r>
        <w:t>ints Received By The Commission’</w:t>
      </w:r>
      <w:r w:rsidRPr="0099789E">
        <w:t>s Call Center.</w:t>
      </w:r>
      <w:r>
        <w:t xml:space="preserve">  </w:t>
      </w:r>
      <w:r w:rsidRPr="0099789E">
        <w:t>If Normalized, Should Complaint Data Be Added To The Apples To Apples Chart?</w:t>
      </w:r>
      <w:bookmarkEnd w:id="13"/>
      <w:bookmarkEnd w:id="14"/>
    </w:p>
    <w:p w:rsidR="00BD5899" w:rsidRDefault="00BD5899" w:rsidP="00F55746">
      <w:pPr>
        <w:autoSpaceDE w:val="0"/>
        <w:autoSpaceDN w:val="0"/>
        <w:adjustRightInd w:val="0"/>
        <w:spacing w:after="0" w:line="480" w:lineRule="auto"/>
        <w:rPr>
          <w:rFonts w:ascii="Times New Roman" w:hAnsi="Times New Roman" w:cs="Times New Roman"/>
          <w:sz w:val="24"/>
          <w:szCs w:val="24"/>
        </w:rPr>
      </w:pPr>
      <w:r w:rsidRPr="0099789E">
        <w:rPr>
          <w:rFonts w:ascii="Times New Roman" w:hAnsi="Times New Roman" w:cs="Times New Roman"/>
          <w:sz w:val="24"/>
          <w:szCs w:val="24"/>
        </w:rPr>
        <w:tab/>
      </w:r>
      <w:r>
        <w:rPr>
          <w:rFonts w:ascii="Times New Roman" w:hAnsi="Times New Roman" w:cs="Times New Roman"/>
          <w:sz w:val="24"/>
          <w:szCs w:val="24"/>
        </w:rPr>
        <w:t xml:space="preserve">The answers to the PUCO’s questions are “yes” and “yes.” </w:t>
      </w:r>
    </w:p>
    <w:p w:rsidR="00BD5899" w:rsidRDefault="00BD589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Dominion Retail opposes the posting of complaint data on the Apples to Apples Chart because a complaint may just be a misunderstanding.</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OGMG/RESA claims that customer complaints can be subjective and may just be inquiries to the Commission.</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On the other hand, Columbia supports complaint data being added to the Apples to Apples comparison chart so that customers are fully informed before they make a decision.</w:t>
      </w:r>
      <w:r>
        <w:rPr>
          <w:rStyle w:val="FootnoteReference"/>
          <w:rFonts w:ascii="Times New Roman" w:hAnsi="Times New Roman" w:cs="Times New Roman"/>
          <w:sz w:val="24"/>
          <w:szCs w:val="24"/>
        </w:rPr>
        <w:footnoteReference w:id="26"/>
      </w:r>
    </w:p>
    <w:p w:rsidR="00BD5899" w:rsidRDefault="00BD589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the extent that a complaint is merely a misunderstanding, then that clarifying information should also be made available to the PUCO.  The key point is that a customer complaint indicates possible customer concern and the PUCO should be made aware of all such customer concerns.  </w:t>
      </w:r>
    </w:p>
    <w:p w:rsidR="00BD5899" w:rsidRDefault="00BD5899">
      <w:pPr>
        <w:autoSpaceDE w:val="0"/>
        <w:autoSpaceDN w:val="0"/>
        <w:adjustRightInd w:val="0"/>
        <w:spacing w:after="0"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 xml:space="preserve">OCC </w:t>
      </w:r>
      <w:r>
        <w:rPr>
          <w:rFonts w:ascii="Times New Roman" w:hAnsi="Times New Roman" w:cs="Times New Roman"/>
          <w:sz w:val="24"/>
          <w:szCs w:val="24"/>
        </w:rPr>
        <w:t xml:space="preserve">advocates for the adoption of </w:t>
      </w:r>
      <w:r w:rsidRPr="0099789E">
        <w:rPr>
          <w:rFonts w:ascii="Times New Roman" w:hAnsi="Times New Roman" w:cs="Times New Roman"/>
          <w:sz w:val="24"/>
          <w:szCs w:val="24"/>
        </w:rPr>
        <w:t>‘best practices” from other states be</w:t>
      </w:r>
      <w:r>
        <w:rPr>
          <w:rFonts w:ascii="Times New Roman" w:hAnsi="Times New Roman" w:cs="Times New Roman"/>
          <w:sz w:val="24"/>
          <w:szCs w:val="24"/>
        </w:rPr>
        <w:t xml:space="preserve">ing </w:t>
      </w:r>
      <w:r w:rsidRPr="0099789E">
        <w:rPr>
          <w:rFonts w:ascii="Times New Roman" w:hAnsi="Times New Roman" w:cs="Times New Roman"/>
          <w:sz w:val="24"/>
          <w:szCs w:val="24"/>
        </w:rPr>
        <w:t xml:space="preserve">incorporated into Ohio’s rules governing CRNGS.  Incorporating best practices enables Ohio to benefit from the experiences of other states.  </w:t>
      </w:r>
      <w:r>
        <w:rPr>
          <w:rFonts w:ascii="Times New Roman" w:hAnsi="Times New Roman" w:cs="Times New Roman"/>
          <w:sz w:val="24"/>
          <w:szCs w:val="24"/>
        </w:rPr>
        <w:t xml:space="preserve">As a result of the increase in marketing activities in other states, The National Association of State Utility Consumer Advocates “NASUCA”), of which OCC is a member, recently passed Resolution No 2012-04 Urging the Adoption of State Laws and Regulations Regulating Competitive </w:t>
      </w:r>
      <w:r w:rsidR="004E397E">
        <w:rPr>
          <w:rFonts w:ascii="Times New Roman" w:hAnsi="Times New Roman" w:cs="Times New Roman"/>
          <w:sz w:val="24"/>
          <w:szCs w:val="24"/>
        </w:rPr>
        <w:t>E</w:t>
      </w:r>
      <w:r>
        <w:rPr>
          <w:rFonts w:ascii="Times New Roman" w:hAnsi="Times New Roman" w:cs="Times New Roman"/>
          <w:sz w:val="24"/>
          <w:szCs w:val="24"/>
        </w:rPr>
        <w:t xml:space="preserve">nergy Supply Markets: Including Measures Designed to Promote Honesty and Clarity In Marketing and to Give </w:t>
      </w:r>
      <w:r w:rsidR="004E397E">
        <w:rPr>
          <w:rFonts w:ascii="Times New Roman" w:hAnsi="Times New Roman" w:cs="Times New Roman"/>
          <w:sz w:val="24"/>
          <w:szCs w:val="24"/>
        </w:rPr>
        <w:t>C</w:t>
      </w:r>
      <w:r>
        <w:rPr>
          <w:rFonts w:ascii="Times New Roman" w:hAnsi="Times New Roman" w:cs="Times New Roman"/>
          <w:sz w:val="24"/>
          <w:szCs w:val="24"/>
        </w:rPr>
        <w:t>onsumers a Reasonable Ability to Select a Competing Provider.</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w:t>
      </w:r>
    </w:p>
    <w:p w:rsidR="00BD5899" w:rsidRDefault="00BD5899">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 also supports making complaint information available on the PUCO Apples-to-Apples chart.  </w:t>
      </w:r>
      <w:r w:rsidR="004E397E">
        <w:rPr>
          <w:rFonts w:ascii="Times New Roman" w:hAnsi="Times New Roman" w:cs="Times New Roman"/>
          <w:sz w:val="24"/>
          <w:szCs w:val="24"/>
        </w:rPr>
        <w:t>T</w:t>
      </w:r>
      <w:r>
        <w:rPr>
          <w:rFonts w:ascii="Times New Roman" w:hAnsi="Times New Roman" w:cs="Times New Roman"/>
          <w:sz w:val="24"/>
          <w:szCs w:val="24"/>
        </w:rPr>
        <w:t xml:space="preserve">he complaint information should </w:t>
      </w:r>
      <w:r w:rsidR="004E397E">
        <w:rPr>
          <w:rFonts w:ascii="Times New Roman" w:hAnsi="Times New Roman" w:cs="Times New Roman"/>
          <w:sz w:val="24"/>
          <w:szCs w:val="24"/>
        </w:rPr>
        <w:t xml:space="preserve">also </w:t>
      </w:r>
      <w:r>
        <w:rPr>
          <w:rFonts w:ascii="Times New Roman" w:hAnsi="Times New Roman" w:cs="Times New Roman"/>
          <w:sz w:val="24"/>
          <w:szCs w:val="24"/>
        </w:rPr>
        <w:t>be made available to OCC and to others that are assisting the public in comparing retail offers for natural gas.</w:t>
      </w:r>
    </w:p>
    <w:p w:rsidR="00BD5899" w:rsidRDefault="00BD5899">
      <w:pPr>
        <w:autoSpaceDE w:val="0"/>
        <w:autoSpaceDN w:val="0"/>
        <w:adjustRightInd w:val="0"/>
        <w:spacing w:after="0"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 xml:space="preserve">To the extent that Ohio </w:t>
      </w:r>
      <w:r w:rsidR="004E397E">
        <w:rPr>
          <w:rFonts w:ascii="Times New Roman" w:hAnsi="Times New Roman" w:cs="Times New Roman"/>
          <w:sz w:val="24"/>
          <w:szCs w:val="24"/>
        </w:rPr>
        <w:t>Marketer</w:t>
      </w:r>
      <w:r w:rsidRPr="0099789E">
        <w:rPr>
          <w:rFonts w:ascii="Times New Roman" w:hAnsi="Times New Roman" w:cs="Times New Roman"/>
          <w:sz w:val="24"/>
          <w:szCs w:val="24"/>
        </w:rPr>
        <w:t xml:space="preserve"> complaint data can be provided to customers on either the PUCO website </w:t>
      </w:r>
      <w:r>
        <w:rPr>
          <w:rFonts w:ascii="Times New Roman" w:hAnsi="Times New Roman" w:cs="Times New Roman"/>
          <w:sz w:val="24"/>
          <w:szCs w:val="24"/>
        </w:rPr>
        <w:t xml:space="preserve">and </w:t>
      </w:r>
      <w:r w:rsidRPr="0099789E">
        <w:rPr>
          <w:rFonts w:ascii="Times New Roman" w:hAnsi="Times New Roman" w:cs="Times New Roman"/>
          <w:sz w:val="24"/>
          <w:szCs w:val="24"/>
        </w:rPr>
        <w:t xml:space="preserve">in other fact sheets, Ohio customers </w:t>
      </w:r>
      <w:r>
        <w:rPr>
          <w:rFonts w:ascii="Times New Roman" w:hAnsi="Times New Roman" w:cs="Times New Roman"/>
          <w:sz w:val="24"/>
          <w:szCs w:val="24"/>
        </w:rPr>
        <w:t>would then be</w:t>
      </w:r>
      <w:r w:rsidRPr="0099789E">
        <w:rPr>
          <w:rFonts w:ascii="Times New Roman" w:hAnsi="Times New Roman" w:cs="Times New Roman"/>
          <w:sz w:val="24"/>
          <w:szCs w:val="24"/>
        </w:rPr>
        <w:t xml:space="preserve"> provided with additional information upon which to make a decision regarding a Choice contract with a CRNGS.</w:t>
      </w:r>
      <w:r>
        <w:rPr>
          <w:rFonts w:ascii="Times New Roman" w:hAnsi="Times New Roman" w:cs="Times New Roman"/>
          <w:sz w:val="24"/>
          <w:szCs w:val="24"/>
        </w:rPr>
        <w:t xml:space="preserve">  Even though a </w:t>
      </w:r>
      <w:r w:rsidR="004E397E">
        <w:rPr>
          <w:rFonts w:ascii="Times New Roman" w:hAnsi="Times New Roman" w:cs="Times New Roman"/>
          <w:sz w:val="24"/>
          <w:szCs w:val="24"/>
        </w:rPr>
        <w:t>Marketer</w:t>
      </w:r>
      <w:r>
        <w:rPr>
          <w:rFonts w:ascii="Times New Roman" w:hAnsi="Times New Roman" w:cs="Times New Roman"/>
          <w:sz w:val="24"/>
          <w:szCs w:val="24"/>
        </w:rPr>
        <w:t xml:space="preserve"> may be in compliance with “the letter” of the Commission’s rules, customers may find complaint information helpful to discern marketing and enrollment patterns that are contrary to the customer’s values and beliefs.</w:t>
      </w:r>
    </w:p>
    <w:p w:rsidR="00BD5899" w:rsidRPr="0099789E" w:rsidRDefault="00BD5899" w:rsidP="00AA1CB9">
      <w:pPr>
        <w:pStyle w:val="Heading2"/>
      </w:pPr>
      <w:bookmarkStart w:id="15" w:name="_Toc347751993"/>
      <w:bookmarkStart w:id="16" w:name="_Toc347928815"/>
      <w:r>
        <w:t>F.</w:t>
      </w:r>
      <w:r>
        <w:tab/>
      </w:r>
      <w:r w:rsidRPr="0099789E">
        <w:t>Are Additional Rules Necessary To Protect Customers As Local Distribution Companies Begin To Exit The Merchant Function?</w:t>
      </w:r>
      <w:bookmarkEnd w:id="15"/>
      <w:bookmarkEnd w:id="16"/>
    </w:p>
    <w:p w:rsidR="00BD5899" w:rsidRDefault="00BD5899" w:rsidP="00562C2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answer to the PUCO’s questions is yes. </w:t>
      </w:r>
    </w:p>
    <w:p w:rsidR="00BD5899" w:rsidRDefault="00BD5899" w:rsidP="00562C2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First, this question characterizes natural gas utilities as beginning to exit the merchant function.  But there has been no PUCO ruling allowing an exit from the merchant function for residential customers.  And it can be plainly seen in the PUCO’s Apples-to-Apples information that the </w:t>
      </w:r>
      <w:r w:rsidR="004E397E">
        <w:rPr>
          <w:rFonts w:ascii="Times New Roman" w:hAnsi="Times New Roman" w:cs="Times New Roman"/>
          <w:sz w:val="24"/>
          <w:szCs w:val="24"/>
        </w:rPr>
        <w:t>U</w:t>
      </w:r>
      <w:r>
        <w:rPr>
          <w:rFonts w:ascii="Times New Roman" w:hAnsi="Times New Roman" w:cs="Times New Roman"/>
          <w:sz w:val="24"/>
          <w:szCs w:val="24"/>
        </w:rPr>
        <w:t xml:space="preserve">tility standard offer that would be eliminated in an exit is typically providing the best price to consumers.  </w:t>
      </w:r>
    </w:p>
    <w:p w:rsidR="00BD5899" w:rsidRDefault="00BD5899" w:rsidP="00E64AFC">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Indeed, the settlements in two recent cases involving natural gas utilities and do not specify an end to the residential standard offer.</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(An exit from the merchant function would mean that the natural gas utilities would no longer offer a standard offer option for customers to purchase their natural gas.)  To date, the standard offer option has served Ohio consumers well over the years by providing them </w:t>
      </w:r>
      <w:r w:rsidR="004E397E">
        <w:rPr>
          <w:rFonts w:ascii="Times New Roman" w:hAnsi="Times New Roman" w:cs="Times New Roman"/>
          <w:sz w:val="24"/>
          <w:szCs w:val="24"/>
        </w:rPr>
        <w:t xml:space="preserve">what has generally been </w:t>
      </w:r>
      <w:r>
        <w:rPr>
          <w:rFonts w:ascii="Times New Roman" w:hAnsi="Times New Roman" w:cs="Times New Roman"/>
          <w:sz w:val="24"/>
          <w:szCs w:val="24"/>
        </w:rPr>
        <w:t>the low</w:t>
      </w:r>
      <w:r w:rsidR="004E397E">
        <w:rPr>
          <w:rFonts w:ascii="Times New Roman" w:hAnsi="Times New Roman" w:cs="Times New Roman"/>
          <w:sz w:val="24"/>
          <w:szCs w:val="24"/>
        </w:rPr>
        <w:t>est</w:t>
      </w:r>
      <w:r>
        <w:rPr>
          <w:rFonts w:ascii="Times New Roman" w:hAnsi="Times New Roman" w:cs="Times New Roman"/>
          <w:sz w:val="24"/>
          <w:szCs w:val="24"/>
        </w:rPr>
        <w:t xml:space="preserve"> cost-option for natural gas.  The benefit of a standard offer option for Ohioans can be seen in a recent </w:t>
      </w:r>
      <w:r w:rsidRPr="00103093">
        <w:rPr>
          <w:rFonts w:ascii="Times New Roman" w:hAnsi="Times New Roman" w:cs="Times New Roman"/>
          <w:sz w:val="24"/>
          <w:szCs w:val="24"/>
        </w:rPr>
        <w:t>widely reported</w:t>
      </w:r>
      <w:r>
        <w:rPr>
          <w:rFonts w:ascii="Times New Roman" w:hAnsi="Times New Roman" w:cs="Times New Roman"/>
          <w:sz w:val="24"/>
          <w:szCs w:val="24"/>
        </w:rPr>
        <w:t xml:space="preserve"> news story</w:t>
      </w:r>
      <w:r w:rsidRPr="00103093">
        <w:rPr>
          <w:rFonts w:ascii="Times New Roman" w:hAnsi="Times New Roman" w:cs="Times New Roman"/>
          <w:sz w:val="24"/>
          <w:szCs w:val="24"/>
        </w:rPr>
        <w:t xml:space="preserve"> that, based on 15 years of information obt</w:t>
      </w:r>
      <w:r>
        <w:rPr>
          <w:rFonts w:ascii="Times New Roman" w:hAnsi="Times New Roman" w:cs="Times New Roman"/>
          <w:sz w:val="24"/>
          <w:szCs w:val="24"/>
        </w:rPr>
        <w:t>ained from an Ohio natural gas u</w:t>
      </w:r>
      <w:r w:rsidRPr="00103093">
        <w:rPr>
          <w:rFonts w:ascii="Times New Roman" w:hAnsi="Times New Roman" w:cs="Times New Roman"/>
          <w:sz w:val="24"/>
          <w:szCs w:val="24"/>
        </w:rPr>
        <w:t xml:space="preserve">tility, customers who chose to purchase their natural gas from alternative suppliers paid </w:t>
      </w:r>
      <w:r>
        <w:rPr>
          <w:rFonts w:ascii="Times New Roman" w:hAnsi="Times New Roman" w:cs="Times New Roman"/>
          <w:sz w:val="24"/>
          <w:szCs w:val="24"/>
        </w:rPr>
        <w:t>$885 million</w:t>
      </w:r>
      <w:r w:rsidRPr="00103093">
        <w:rPr>
          <w:rFonts w:ascii="Times New Roman" w:hAnsi="Times New Roman" w:cs="Times New Roman"/>
          <w:sz w:val="24"/>
          <w:szCs w:val="24"/>
        </w:rPr>
        <w:t xml:space="preserve"> more than what those customers would have paid had they purchased their natural gas from the public utility’s standard offer</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9"/>
      </w:r>
    </w:p>
    <w:p w:rsidR="00BD5899" w:rsidRDefault="00BD5899" w:rsidP="00F55746">
      <w:pPr>
        <w:autoSpaceDE w:val="0"/>
        <w:autoSpaceDN w:val="0"/>
        <w:adjustRightInd w:val="0"/>
        <w:spacing w:after="0"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As detailed in OCC</w:t>
      </w:r>
      <w:r>
        <w:rPr>
          <w:rFonts w:ascii="Times New Roman" w:hAnsi="Times New Roman" w:cs="Times New Roman"/>
          <w:sz w:val="24"/>
          <w:szCs w:val="24"/>
        </w:rPr>
        <w:t>’s</w:t>
      </w:r>
      <w:r w:rsidRPr="0099789E">
        <w:rPr>
          <w:rFonts w:ascii="Times New Roman" w:hAnsi="Times New Roman" w:cs="Times New Roman"/>
          <w:sz w:val="24"/>
          <w:szCs w:val="24"/>
        </w:rPr>
        <w:t xml:space="preserve"> Application for Rehearing in Case No. 11-5590-GA-ORD, additional rules are necessary in a</w:t>
      </w:r>
      <w:r>
        <w:rPr>
          <w:rFonts w:ascii="Times New Roman" w:hAnsi="Times New Roman" w:cs="Times New Roman"/>
          <w:sz w:val="24"/>
          <w:szCs w:val="24"/>
        </w:rPr>
        <w:t xml:space="preserve"> proceeding where elimination of the customers’ option for a standard offer is being considered.  In such a proceeding, </w:t>
      </w:r>
      <w:r w:rsidRPr="0099789E">
        <w:rPr>
          <w:rFonts w:ascii="Times New Roman" w:hAnsi="Times New Roman" w:cs="Times New Roman"/>
          <w:sz w:val="24"/>
          <w:szCs w:val="24"/>
        </w:rPr>
        <w:t>due process protection</w:t>
      </w:r>
      <w:r>
        <w:rPr>
          <w:rFonts w:ascii="Times New Roman" w:hAnsi="Times New Roman" w:cs="Times New Roman"/>
          <w:sz w:val="24"/>
          <w:szCs w:val="24"/>
        </w:rPr>
        <w:t xml:space="preserve"> is vital, to ensure that the PUCO hears evidence from all sides before it makes a decision on such an important matter for Ohioans.</w:t>
      </w:r>
    </w:p>
    <w:p w:rsidR="00BD5899" w:rsidRDefault="00BD5899" w:rsidP="004F7A16">
      <w:pPr>
        <w:autoSpaceDE w:val="0"/>
        <w:autoSpaceDN w:val="0"/>
        <w:adjustRightInd w:val="0"/>
        <w:spacing w:after="0"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 xml:space="preserve">Any Exit the Merchant </w:t>
      </w:r>
      <w:r w:rsidR="004E397E">
        <w:rPr>
          <w:rFonts w:ascii="Times New Roman" w:hAnsi="Times New Roman" w:cs="Times New Roman"/>
          <w:sz w:val="24"/>
          <w:szCs w:val="24"/>
        </w:rPr>
        <w:t>F</w:t>
      </w:r>
      <w:r w:rsidRPr="0099789E">
        <w:rPr>
          <w:rFonts w:ascii="Times New Roman" w:hAnsi="Times New Roman" w:cs="Times New Roman"/>
          <w:sz w:val="24"/>
          <w:szCs w:val="24"/>
        </w:rPr>
        <w:t>unction rules should address these areas of concern to ensure that</w:t>
      </w:r>
      <w:r>
        <w:rPr>
          <w:rFonts w:ascii="Times New Roman" w:hAnsi="Times New Roman" w:cs="Times New Roman"/>
          <w:sz w:val="24"/>
          <w:szCs w:val="24"/>
        </w:rPr>
        <w:t>,</w:t>
      </w:r>
      <w:r w:rsidRPr="0099789E">
        <w:rPr>
          <w:rFonts w:ascii="Times New Roman" w:hAnsi="Times New Roman" w:cs="Times New Roman"/>
          <w:sz w:val="24"/>
          <w:szCs w:val="24"/>
        </w:rPr>
        <w:t xml:space="preserve"> fo</w:t>
      </w:r>
      <w:r w:rsidR="004E397E">
        <w:rPr>
          <w:rFonts w:ascii="Times New Roman" w:hAnsi="Times New Roman" w:cs="Times New Roman"/>
          <w:sz w:val="24"/>
          <w:szCs w:val="24"/>
        </w:rPr>
        <w:t xml:space="preserve">r example, customers have due process rights including ample </w:t>
      </w:r>
      <w:r w:rsidRPr="0099789E">
        <w:rPr>
          <w:rFonts w:ascii="Times New Roman" w:hAnsi="Times New Roman" w:cs="Times New Roman"/>
          <w:sz w:val="24"/>
          <w:szCs w:val="24"/>
        </w:rPr>
        <w:t xml:space="preserve">notice of local public hearings, a full evidentiary hearing and reasonable opportunity to submit Briefs and Reply Briefs. </w:t>
      </w:r>
    </w:p>
    <w:p w:rsidR="00986A32" w:rsidRDefault="00986A32" w:rsidP="00986A32">
      <w:pPr>
        <w:autoSpaceDE w:val="0"/>
        <w:autoSpaceDN w:val="0"/>
        <w:adjustRightInd w:val="0"/>
        <w:spacing w:after="0" w:line="240" w:lineRule="auto"/>
        <w:ind w:firstLine="720"/>
        <w:rPr>
          <w:rFonts w:ascii="Times New Roman" w:hAnsi="Times New Roman" w:cs="Times New Roman"/>
          <w:sz w:val="24"/>
          <w:szCs w:val="24"/>
        </w:rPr>
      </w:pPr>
    </w:p>
    <w:p w:rsidR="00BD5899" w:rsidRPr="0099789E" w:rsidRDefault="00BD5899" w:rsidP="0051291D">
      <w:pPr>
        <w:pStyle w:val="Heading1"/>
      </w:pPr>
      <w:bookmarkStart w:id="17" w:name="_Toc347751994"/>
      <w:bookmarkStart w:id="18" w:name="_Toc347928816"/>
      <w:r w:rsidRPr="0099789E">
        <w:t>III.</w:t>
      </w:r>
      <w:r w:rsidRPr="0099789E">
        <w:tab/>
      </w:r>
      <w:r>
        <w:t xml:space="preserve">REPLY </w:t>
      </w:r>
      <w:r w:rsidRPr="0099789E">
        <w:t>COMMENTS ON 4901:1-27</w:t>
      </w:r>
      <w:bookmarkEnd w:id="17"/>
      <w:bookmarkEnd w:id="18"/>
    </w:p>
    <w:p w:rsidR="00BD5899" w:rsidRDefault="00BD5899" w:rsidP="00F92D5F">
      <w:pPr>
        <w:pStyle w:val="NoSpacing"/>
        <w:spacing w:line="480" w:lineRule="auto"/>
        <w:ind w:firstLine="720"/>
        <w:rPr>
          <w:rFonts w:ascii="Times New Roman" w:hAnsi="Times New Roman" w:cs="Times New Roman"/>
          <w:sz w:val="24"/>
          <w:szCs w:val="24"/>
        </w:rPr>
      </w:pPr>
      <w:r w:rsidRPr="00BF2223">
        <w:rPr>
          <w:rFonts w:ascii="Times New Roman" w:hAnsi="Times New Roman" w:cs="Times New Roman"/>
          <w:sz w:val="24"/>
          <w:szCs w:val="24"/>
        </w:rPr>
        <w:t xml:space="preserve">The PUCO Staff proposed </w:t>
      </w:r>
      <w:r>
        <w:rPr>
          <w:rFonts w:ascii="Times New Roman" w:hAnsi="Times New Roman" w:cs="Times New Roman"/>
          <w:sz w:val="24"/>
          <w:szCs w:val="24"/>
        </w:rPr>
        <w:t xml:space="preserve">changes to </w:t>
      </w:r>
      <w:r w:rsidRPr="00BF2223">
        <w:rPr>
          <w:rFonts w:ascii="Times New Roman" w:hAnsi="Times New Roman" w:cs="Times New Roman"/>
          <w:sz w:val="24"/>
          <w:szCs w:val="24"/>
        </w:rPr>
        <w:t>Ohio Admin. Code 4901:1-2</w:t>
      </w:r>
      <w:r>
        <w:rPr>
          <w:rFonts w:ascii="Times New Roman" w:hAnsi="Times New Roman" w:cs="Times New Roman"/>
          <w:sz w:val="24"/>
          <w:szCs w:val="24"/>
        </w:rPr>
        <w:t>7</w:t>
      </w:r>
      <w:r w:rsidRPr="00BF2223">
        <w:rPr>
          <w:rFonts w:ascii="Times New Roman" w:hAnsi="Times New Roman" w:cs="Times New Roman"/>
          <w:sz w:val="24"/>
          <w:szCs w:val="24"/>
        </w:rPr>
        <w:t xml:space="preserve">-05, which sets forth the requirements for a </w:t>
      </w:r>
      <w:r>
        <w:rPr>
          <w:rFonts w:ascii="Times New Roman" w:hAnsi="Times New Roman" w:cs="Times New Roman"/>
          <w:sz w:val="24"/>
          <w:szCs w:val="24"/>
        </w:rPr>
        <w:t xml:space="preserve">CRNGS </w:t>
      </w:r>
      <w:r w:rsidRPr="00BF2223">
        <w:rPr>
          <w:rFonts w:ascii="Times New Roman" w:hAnsi="Times New Roman" w:cs="Times New Roman"/>
          <w:sz w:val="24"/>
          <w:szCs w:val="24"/>
        </w:rPr>
        <w:t>certification application.  More specifically, Ohio Admin. Code 4901:1-2</w:t>
      </w:r>
      <w:r>
        <w:rPr>
          <w:rFonts w:ascii="Times New Roman" w:hAnsi="Times New Roman" w:cs="Times New Roman"/>
          <w:sz w:val="24"/>
          <w:szCs w:val="24"/>
        </w:rPr>
        <w:t>7</w:t>
      </w:r>
      <w:r w:rsidRPr="00BF2223">
        <w:rPr>
          <w:rFonts w:ascii="Times New Roman" w:hAnsi="Times New Roman" w:cs="Times New Roman"/>
          <w:sz w:val="24"/>
          <w:szCs w:val="24"/>
        </w:rPr>
        <w:t xml:space="preserve">-05(B)(1)(f) requires applicants to disclose </w:t>
      </w:r>
      <w:r>
        <w:rPr>
          <w:rFonts w:ascii="Times New Roman" w:hAnsi="Times New Roman" w:cs="Times New Roman"/>
          <w:sz w:val="24"/>
          <w:szCs w:val="24"/>
        </w:rPr>
        <w:t>whether its participation in a C</w:t>
      </w:r>
      <w:r w:rsidRPr="00BF2223">
        <w:rPr>
          <w:rFonts w:ascii="Times New Roman" w:hAnsi="Times New Roman" w:cs="Times New Roman"/>
          <w:sz w:val="24"/>
          <w:szCs w:val="24"/>
        </w:rPr>
        <w:t xml:space="preserve">hoice program has ever been terminated, if a certification has been revoked or suspended, if the applicant has been in default for failure to deliver, any past legal rulings against the applicant, </w:t>
      </w:r>
      <w:r>
        <w:rPr>
          <w:rFonts w:ascii="Times New Roman" w:hAnsi="Times New Roman" w:cs="Times New Roman"/>
          <w:sz w:val="24"/>
          <w:szCs w:val="24"/>
        </w:rPr>
        <w:t>and any pending legal actions.</w:t>
      </w:r>
    </w:p>
    <w:p w:rsidR="00BD5899" w:rsidRDefault="00BD5899" w:rsidP="004058B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OGMG/</w:t>
      </w:r>
      <w:r w:rsidRPr="00BF2223">
        <w:rPr>
          <w:rFonts w:ascii="Times New Roman" w:hAnsi="Times New Roman" w:cs="Times New Roman"/>
          <w:sz w:val="24"/>
          <w:szCs w:val="24"/>
        </w:rPr>
        <w:t>RESA contend</w:t>
      </w:r>
      <w:r>
        <w:rPr>
          <w:rFonts w:ascii="Times New Roman" w:hAnsi="Times New Roman" w:cs="Times New Roman"/>
          <w:sz w:val="24"/>
          <w:szCs w:val="24"/>
        </w:rPr>
        <w:t xml:space="preserve"> </w:t>
      </w:r>
      <w:r w:rsidRPr="00BF2223">
        <w:rPr>
          <w:rFonts w:ascii="Times New Roman" w:hAnsi="Times New Roman" w:cs="Times New Roman"/>
          <w:sz w:val="24"/>
          <w:szCs w:val="24"/>
        </w:rPr>
        <w:t xml:space="preserve">that </w:t>
      </w:r>
      <w:r>
        <w:rPr>
          <w:rFonts w:ascii="Times New Roman" w:hAnsi="Times New Roman" w:cs="Times New Roman"/>
          <w:sz w:val="24"/>
          <w:szCs w:val="24"/>
        </w:rPr>
        <w:t>clarification is necessary to exclude those situations involving hot-line style calls, workers compensation claims, tax disputes, etc.</w:t>
      </w:r>
      <w:r w:rsidRPr="00BF2223">
        <w:rPr>
          <w:rFonts w:ascii="Times New Roman" w:hAnsi="Times New Roman" w:cs="Times New Roman"/>
          <w:sz w:val="24"/>
          <w:szCs w:val="24"/>
          <w:vertAlign w:val="superscript"/>
        </w:rPr>
        <w:footnoteReference w:id="30"/>
      </w:r>
      <w:r>
        <w:rPr>
          <w:rFonts w:ascii="Times New Roman" w:hAnsi="Times New Roman" w:cs="Times New Roman"/>
          <w:sz w:val="24"/>
          <w:szCs w:val="24"/>
        </w:rPr>
        <w:t xml:space="preserve">  OGMG/RESA argue that the disclosure should be limited to legal actions or past rulings related to the applicant’s technical, managerial, and financial abilities.</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OGMG/RESA recommend that the Commission clarify that an applicant need not include in the statements information related to any calls, inquiries, or resolutions from calls to the Commission hotline.</w:t>
      </w:r>
      <w:r>
        <w:rPr>
          <w:rStyle w:val="FootnoteReference"/>
          <w:rFonts w:ascii="Times New Roman" w:hAnsi="Times New Roman" w:cs="Times New Roman"/>
          <w:sz w:val="24"/>
          <w:szCs w:val="24"/>
        </w:rPr>
        <w:footnoteReference w:id="32"/>
      </w:r>
    </w:p>
    <w:p w:rsidR="00BD5899" w:rsidRDefault="00BD589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 PUCO should not make the clarification sought by the Marketers.  Information about the concerns and experiences of other Ohio customers can be helpful and should be provided.  There is no reason to believe that</w:t>
      </w:r>
      <w:r w:rsidRPr="001110EF">
        <w:rPr>
          <w:rFonts w:ascii="Times New Roman" w:hAnsi="Times New Roman" w:cs="Times New Roman"/>
          <w:sz w:val="24"/>
          <w:szCs w:val="24"/>
        </w:rPr>
        <w:t xml:space="preserve"> </w:t>
      </w:r>
      <w:r>
        <w:rPr>
          <w:rFonts w:ascii="Times New Roman" w:hAnsi="Times New Roman" w:cs="Times New Roman"/>
          <w:sz w:val="24"/>
          <w:szCs w:val="24"/>
        </w:rPr>
        <w:t xml:space="preserve">hot-line style calls, workers compensation claims, tax disputes, </w:t>
      </w:r>
      <w:r w:rsidR="00986A32">
        <w:rPr>
          <w:rFonts w:ascii="Times New Roman" w:hAnsi="Times New Roman" w:cs="Times New Roman"/>
          <w:sz w:val="24"/>
          <w:szCs w:val="24"/>
        </w:rPr>
        <w:t>etc.</w:t>
      </w:r>
      <w:r>
        <w:rPr>
          <w:rFonts w:ascii="Times New Roman" w:hAnsi="Times New Roman" w:cs="Times New Roman"/>
          <w:sz w:val="24"/>
          <w:szCs w:val="24"/>
        </w:rPr>
        <w:t xml:space="preserve"> may not impact an applicant’s technical, managerial or financial abilities.  Also, t</w:t>
      </w:r>
      <w:r w:rsidRPr="00BF2223">
        <w:rPr>
          <w:rFonts w:ascii="Times New Roman" w:hAnsi="Times New Roman" w:cs="Times New Roman"/>
          <w:sz w:val="24"/>
          <w:szCs w:val="24"/>
        </w:rPr>
        <w:t xml:space="preserve">here is much to be learned from applicants concerning their </w:t>
      </w:r>
      <w:r>
        <w:rPr>
          <w:rFonts w:ascii="Times New Roman" w:hAnsi="Times New Roman" w:cs="Times New Roman"/>
          <w:sz w:val="24"/>
          <w:szCs w:val="24"/>
        </w:rPr>
        <w:t>C</w:t>
      </w:r>
      <w:r w:rsidRPr="00BF2223">
        <w:rPr>
          <w:rFonts w:ascii="Times New Roman" w:hAnsi="Times New Roman" w:cs="Times New Roman"/>
          <w:sz w:val="24"/>
          <w:szCs w:val="24"/>
        </w:rPr>
        <w:t>hoice</w:t>
      </w:r>
      <w:r>
        <w:rPr>
          <w:rFonts w:ascii="Times New Roman" w:hAnsi="Times New Roman" w:cs="Times New Roman"/>
          <w:sz w:val="24"/>
          <w:szCs w:val="24"/>
        </w:rPr>
        <w:t>-</w:t>
      </w:r>
      <w:r w:rsidRPr="00BF2223">
        <w:rPr>
          <w:rFonts w:ascii="Times New Roman" w:hAnsi="Times New Roman" w:cs="Times New Roman"/>
          <w:sz w:val="24"/>
          <w:szCs w:val="24"/>
        </w:rPr>
        <w:t xml:space="preserve">related interactions with consumers in other jurisdictions.  OCC previously explained </w:t>
      </w:r>
      <w:r>
        <w:rPr>
          <w:rFonts w:ascii="Times New Roman" w:hAnsi="Times New Roman" w:cs="Times New Roman"/>
          <w:sz w:val="24"/>
          <w:szCs w:val="24"/>
        </w:rPr>
        <w:t>in Initial C</w:t>
      </w:r>
      <w:r w:rsidRPr="00BF2223">
        <w:rPr>
          <w:rFonts w:ascii="Times New Roman" w:hAnsi="Times New Roman" w:cs="Times New Roman"/>
          <w:sz w:val="24"/>
          <w:szCs w:val="24"/>
        </w:rPr>
        <w:t>omments that applicants should be required to disclose notices of probable non-compliance that were provided by other state public utility commissions (“PUCs”), summaries of complaints filed with PUCs in other jurisdictions, and instances of slamming.</w:t>
      </w:r>
      <w:r w:rsidRPr="00BF2223">
        <w:rPr>
          <w:rFonts w:ascii="Times New Roman" w:hAnsi="Times New Roman" w:cs="Times New Roman"/>
          <w:sz w:val="24"/>
          <w:szCs w:val="24"/>
          <w:vertAlign w:val="superscript"/>
        </w:rPr>
        <w:footnoteReference w:id="33"/>
      </w:r>
      <w:r w:rsidRPr="00BF2223">
        <w:rPr>
          <w:rFonts w:ascii="Times New Roman" w:hAnsi="Times New Roman" w:cs="Times New Roman"/>
          <w:sz w:val="24"/>
          <w:szCs w:val="24"/>
        </w:rPr>
        <w:t xml:space="preserve">  To this end,</w:t>
      </w:r>
      <w:r>
        <w:rPr>
          <w:rFonts w:ascii="Times New Roman" w:hAnsi="Times New Roman" w:cs="Times New Roman"/>
          <w:sz w:val="24"/>
          <w:szCs w:val="24"/>
        </w:rPr>
        <w:t xml:space="preserve"> OCC recommended a new rule in Initial C</w:t>
      </w:r>
      <w:r w:rsidRPr="00BF2223">
        <w:rPr>
          <w:rFonts w:ascii="Times New Roman" w:hAnsi="Times New Roman" w:cs="Times New Roman"/>
          <w:sz w:val="24"/>
          <w:szCs w:val="24"/>
        </w:rPr>
        <w:t xml:space="preserve">omments that would </w:t>
      </w:r>
      <w:r>
        <w:rPr>
          <w:rFonts w:ascii="Times New Roman" w:hAnsi="Times New Roman" w:cs="Times New Roman"/>
          <w:sz w:val="24"/>
          <w:szCs w:val="24"/>
        </w:rPr>
        <w:t xml:space="preserve">explicitly </w:t>
      </w:r>
      <w:r w:rsidRPr="00BF2223">
        <w:rPr>
          <w:rFonts w:ascii="Times New Roman" w:hAnsi="Times New Roman" w:cs="Times New Roman"/>
          <w:sz w:val="24"/>
          <w:szCs w:val="24"/>
        </w:rPr>
        <w:t xml:space="preserve">require disclosure of </w:t>
      </w:r>
      <w:r>
        <w:rPr>
          <w:rFonts w:ascii="Times New Roman" w:hAnsi="Times New Roman" w:cs="Times New Roman"/>
          <w:sz w:val="24"/>
          <w:szCs w:val="24"/>
        </w:rPr>
        <w:t xml:space="preserve">all of </w:t>
      </w:r>
      <w:r w:rsidRPr="00BF2223">
        <w:rPr>
          <w:rFonts w:ascii="Times New Roman" w:hAnsi="Times New Roman" w:cs="Times New Roman"/>
          <w:sz w:val="24"/>
          <w:szCs w:val="24"/>
        </w:rPr>
        <w:t>this information.</w:t>
      </w:r>
      <w:r w:rsidRPr="00BF2223">
        <w:rPr>
          <w:rFonts w:ascii="Times New Roman" w:hAnsi="Times New Roman" w:cs="Times New Roman"/>
          <w:sz w:val="24"/>
          <w:szCs w:val="24"/>
          <w:vertAlign w:val="superscript"/>
        </w:rPr>
        <w:footnoteReference w:id="34"/>
      </w:r>
    </w:p>
    <w:p w:rsidR="00BD5899" w:rsidRDefault="00BD5899">
      <w:pPr>
        <w:pStyle w:val="NoSpacing"/>
        <w:spacing w:line="480" w:lineRule="auto"/>
        <w:ind w:firstLine="720"/>
        <w:rPr>
          <w:rFonts w:ascii="Times New Roman" w:hAnsi="Times New Roman" w:cs="Times New Roman"/>
          <w:sz w:val="24"/>
          <w:szCs w:val="24"/>
        </w:rPr>
      </w:pPr>
      <w:r w:rsidRPr="00BF2223">
        <w:rPr>
          <w:rFonts w:ascii="Times New Roman" w:hAnsi="Times New Roman" w:cs="Times New Roman"/>
          <w:sz w:val="24"/>
          <w:szCs w:val="24"/>
        </w:rPr>
        <w:t>In addition, OCC asserts that applicants for CR</w:t>
      </w:r>
      <w:r>
        <w:rPr>
          <w:rFonts w:ascii="Times New Roman" w:hAnsi="Times New Roman" w:cs="Times New Roman"/>
          <w:sz w:val="24"/>
          <w:szCs w:val="24"/>
        </w:rPr>
        <w:t>NGS</w:t>
      </w:r>
      <w:r w:rsidRPr="00BF2223">
        <w:rPr>
          <w:rFonts w:ascii="Times New Roman" w:hAnsi="Times New Roman" w:cs="Times New Roman"/>
          <w:sz w:val="24"/>
          <w:szCs w:val="24"/>
        </w:rPr>
        <w:t xml:space="preserve"> certification should not have the latitude to </w:t>
      </w:r>
      <w:r w:rsidR="004E397E">
        <w:rPr>
          <w:rFonts w:ascii="Times New Roman" w:hAnsi="Times New Roman" w:cs="Times New Roman"/>
          <w:sz w:val="24"/>
          <w:szCs w:val="24"/>
        </w:rPr>
        <w:t xml:space="preserve">unilaterally </w:t>
      </w:r>
      <w:r w:rsidRPr="00BF2223">
        <w:rPr>
          <w:rFonts w:ascii="Times New Roman" w:hAnsi="Times New Roman" w:cs="Times New Roman"/>
          <w:sz w:val="24"/>
          <w:szCs w:val="24"/>
        </w:rPr>
        <w:t>determine if the reason why they were term</w:t>
      </w:r>
      <w:r>
        <w:rPr>
          <w:rFonts w:ascii="Times New Roman" w:hAnsi="Times New Roman" w:cs="Times New Roman"/>
          <w:sz w:val="24"/>
          <w:szCs w:val="24"/>
        </w:rPr>
        <w:t>inated from participation in a C</w:t>
      </w:r>
      <w:r w:rsidRPr="00BF2223">
        <w:rPr>
          <w:rFonts w:ascii="Times New Roman" w:hAnsi="Times New Roman" w:cs="Times New Roman"/>
          <w:sz w:val="24"/>
          <w:szCs w:val="24"/>
        </w:rPr>
        <w:t xml:space="preserve">hoice program was related to technical, financial, or managerial abilities.  </w:t>
      </w:r>
      <w:r>
        <w:rPr>
          <w:rFonts w:ascii="Times New Roman" w:hAnsi="Times New Roman" w:cs="Times New Roman"/>
          <w:sz w:val="24"/>
          <w:szCs w:val="24"/>
        </w:rPr>
        <w:t>Technical, financial or managerial abilities</w:t>
      </w:r>
      <w:r w:rsidRPr="001110EF">
        <w:rPr>
          <w:rFonts w:ascii="Times New Roman" w:hAnsi="Times New Roman" w:cs="Times New Roman"/>
          <w:sz w:val="24"/>
          <w:szCs w:val="24"/>
        </w:rPr>
        <w:t xml:space="preserve"> are application requirements, but the Commission needs information regarding violation of rules and laws (</w:t>
      </w:r>
      <w:r>
        <w:rPr>
          <w:rFonts w:ascii="Times New Roman" w:hAnsi="Times New Roman" w:cs="Times New Roman"/>
          <w:sz w:val="24"/>
          <w:szCs w:val="24"/>
        </w:rPr>
        <w:t>e.g. marketing malpractices</w:t>
      </w:r>
      <w:r w:rsidRPr="001110EF">
        <w:rPr>
          <w:rFonts w:ascii="Times New Roman" w:hAnsi="Times New Roman" w:cs="Times New Roman"/>
          <w:sz w:val="24"/>
          <w:szCs w:val="24"/>
        </w:rPr>
        <w:t>) which cannot be demonstrated through “technical, financial, or managerial abilities</w:t>
      </w:r>
      <w:r>
        <w:rPr>
          <w:rFonts w:ascii="Times New Roman" w:hAnsi="Times New Roman" w:cs="Times New Roman"/>
          <w:sz w:val="24"/>
          <w:szCs w:val="24"/>
        </w:rPr>
        <w:t xml:space="preserve"> in order to properly evaluate an application.  </w:t>
      </w:r>
      <w:r w:rsidRPr="001110EF">
        <w:rPr>
          <w:rFonts w:ascii="Times New Roman" w:hAnsi="Times New Roman" w:cs="Times New Roman"/>
          <w:sz w:val="24"/>
          <w:szCs w:val="24"/>
        </w:rPr>
        <w:t xml:space="preserve">These subjects should not be interpreted to limit the </w:t>
      </w:r>
      <w:r>
        <w:rPr>
          <w:rFonts w:ascii="Times New Roman" w:hAnsi="Times New Roman" w:cs="Times New Roman"/>
          <w:sz w:val="24"/>
          <w:szCs w:val="24"/>
        </w:rPr>
        <w:t>provision of information, in certification cases, regarding customer service.</w:t>
      </w:r>
    </w:p>
    <w:p w:rsidR="00BD5899" w:rsidRDefault="00BD5899" w:rsidP="00384344">
      <w:pPr>
        <w:pStyle w:val="NoSpacing"/>
        <w:spacing w:line="480" w:lineRule="auto"/>
        <w:ind w:firstLine="720"/>
        <w:rPr>
          <w:rFonts w:ascii="Times New Roman" w:hAnsi="Times New Roman" w:cs="Times New Roman"/>
          <w:sz w:val="24"/>
          <w:szCs w:val="24"/>
        </w:rPr>
      </w:pPr>
      <w:r w:rsidRPr="00BF2223">
        <w:rPr>
          <w:rFonts w:ascii="Times New Roman" w:hAnsi="Times New Roman" w:cs="Times New Roman"/>
          <w:sz w:val="24"/>
          <w:szCs w:val="24"/>
        </w:rPr>
        <w:t>The Commission has the expertise to evaluate applications and to determine whether or not an applicant is fit to be a certified CR</w:t>
      </w:r>
      <w:r>
        <w:rPr>
          <w:rFonts w:ascii="Times New Roman" w:hAnsi="Times New Roman" w:cs="Times New Roman"/>
          <w:sz w:val="24"/>
          <w:szCs w:val="24"/>
        </w:rPr>
        <w:t xml:space="preserve">NGS </w:t>
      </w:r>
      <w:r w:rsidRPr="00BF2223">
        <w:rPr>
          <w:rFonts w:ascii="Times New Roman" w:hAnsi="Times New Roman" w:cs="Times New Roman"/>
          <w:sz w:val="24"/>
          <w:szCs w:val="24"/>
        </w:rPr>
        <w:t>in Ohio.  Certainly</w:t>
      </w:r>
      <w:r>
        <w:rPr>
          <w:rFonts w:ascii="Times New Roman" w:hAnsi="Times New Roman" w:cs="Times New Roman"/>
          <w:sz w:val="24"/>
          <w:szCs w:val="24"/>
        </w:rPr>
        <w:t>,</w:t>
      </w:r>
      <w:r w:rsidRPr="00BF2223">
        <w:rPr>
          <w:rFonts w:ascii="Times New Roman" w:hAnsi="Times New Roman" w:cs="Times New Roman"/>
          <w:sz w:val="24"/>
          <w:szCs w:val="24"/>
        </w:rPr>
        <w:t xml:space="preserve"> more information is preferable </w:t>
      </w:r>
      <w:r>
        <w:rPr>
          <w:rFonts w:ascii="Times New Roman" w:hAnsi="Times New Roman" w:cs="Times New Roman"/>
          <w:sz w:val="24"/>
          <w:szCs w:val="24"/>
        </w:rPr>
        <w:t xml:space="preserve">to less information </w:t>
      </w:r>
      <w:r w:rsidRPr="00BF2223">
        <w:rPr>
          <w:rFonts w:ascii="Times New Roman" w:hAnsi="Times New Roman" w:cs="Times New Roman"/>
          <w:sz w:val="24"/>
          <w:szCs w:val="24"/>
        </w:rPr>
        <w:t xml:space="preserve">when it comes to evaluating a </w:t>
      </w:r>
      <w:r w:rsidR="004E397E">
        <w:rPr>
          <w:rFonts w:ascii="Times New Roman" w:hAnsi="Times New Roman" w:cs="Times New Roman"/>
          <w:sz w:val="24"/>
          <w:szCs w:val="24"/>
        </w:rPr>
        <w:t>Marketers</w:t>
      </w:r>
      <w:r w:rsidRPr="00BF2223">
        <w:rPr>
          <w:rFonts w:ascii="Times New Roman" w:hAnsi="Times New Roman" w:cs="Times New Roman"/>
          <w:sz w:val="24"/>
          <w:szCs w:val="24"/>
        </w:rPr>
        <w:t xml:space="preserve"> fitness to provide service to</w:t>
      </w:r>
      <w:r>
        <w:rPr>
          <w:rFonts w:ascii="Times New Roman" w:hAnsi="Times New Roman" w:cs="Times New Roman"/>
          <w:sz w:val="24"/>
          <w:szCs w:val="24"/>
        </w:rPr>
        <w:t xml:space="preserve"> Ohio</w:t>
      </w:r>
      <w:r w:rsidRPr="00BF2223">
        <w:rPr>
          <w:rFonts w:ascii="Times New Roman" w:hAnsi="Times New Roman" w:cs="Times New Roman"/>
          <w:sz w:val="24"/>
          <w:szCs w:val="24"/>
        </w:rPr>
        <w:t xml:space="preserve"> customers.</w:t>
      </w:r>
    </w:p>
    <w:p w:rsidR="00986A32" w:rsidRDefault="00986A32" w:rsidP="00986A32">
      <w:pPr>
        <w:pStyle w:val="NoSpacing"/>
        <w:ind w:firstLine="720"/>
        <w:rPr>
          <w:rFonts w:ascii="Times New Roman" w:hAnsi="Times New Roman" w:cs="Times New Roman"/>
          <w:sz w:val="24"/>
          <w:szCs w:val="24"/>
        </w:rPr>
      </w:pPr>
    </w:p>
    <w:p w:rsidR="00BD5899" w:rsidRPr="0099789E" w:rsidRDefault="00BD5899" w:rsidP="0051291D">
      <w:pPr>
        <w:pStyle w:val="Heading1"/>
      </w:pPr>
      <w:bookmarkStart w:id="19" w:name="_Toc347751995"/>
      <w:bookmarkStart w:id="20" w:name="_Toc347928817"/>
      <w:r w:rsidRPr="0099789E">
        <w:t>IV.</w:t>
      </w:r>
      <w:r w:rsidRPr="0099789E">
        <w:tab/>
        <w:t>Comments on 4901:1-29</w:t>
      </w:r>
      <w:bookmarkEnd w:id="19"/>
      <w:bookmarkEnd w:id="20"/>
    </w:p>
    <w:p w:rsidR="00BD5899" w:rsidRPr="0099789E" w:rsidRDefault="00BD5899" w:rsidP="00AA1CB9">
      <w:pPr>
        <w:pStyle w:val="Heading3"/>
        <w:rPr>
          <w:rFonts w:cs="Times New Roman"/>
        </w:rPr>
      </w:pPr>
      <w:bookmarkStart w:id="21" w:name="_Toc347751996"/>
      <w:bookmarkStart w:id="22" w:name="_Toc347928818"/>
      <w:r w:rsidRPr="0099789E">
        <w:t xml:space="preserve">4901:1-29-01 </w:t>
      </w:r>
      <w:r w:rsidR="00D61820">
        <w:t>-</w:t>
      </w:r>
      <w:r w:rsidRPr="0099789E">
        <w:t xml:space="preserve"> Definitions</w:t>
      </w:r>
      <w:r>
        <w:t>.</w:t>
      </w:r>
      <w:bookmarkEnd w:id="21"/>
      <w:bookmarkEnd w:id="22"/>
    </w:p>
    <w:p w:rsidR="00BD5899" w:rsidRDefault="00BD5899" w:rsidP="001F58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OGMG/RESA commented concerning the need to establish separate definitions for “direct enrollment” and “door-to-door solicitations.”</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According to this recommendation, door-to-door solicitations would be defined as a face-to-face solicitation of a customer initiated by a CRNGS or governmental aggregator at the home or place of business of the customer through canvassing without an appointment and/or previous personal relationship.</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Direct enrollment would be defined as the face-to-face enrollment of a customer initiated by a CRNGS or governmental aggregator at a place other than the supplier’s place of business when such solicitation is made by previous arrangement or when the consumer solicited is previously known to the seller.</w:t>
      </w:r>
      <w:r>
        <w:rPr>
          <w:rStyle w:val="FootnoteReference"/>
          <w:rFonts w:ascii="Times New Roman" w:hAnsi="Times New Roman" w:cs="Times New Roman"/>
          <w:sz w:val="24"/>
          <w:szCs w:val="24"/>
        </w:rPr>
        <w:footnoteReference w:id="37"/>
      </w:r>
    </w:p>
    <w:p w:rsidR="00BD5899" w:rsidRDefault="00BD5899" w:rsidP="001F58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 recommends that the Commission reject this proposal by OGMG/RESA because the definition is subjective and could be used to more narrowly define the responsibilities and liability of CRNGS involved in the direct (i.e. the face-to-face marketing, solicitation and enrollment) of customers.  Regardless of where this face- to-face interaction occurs or if the customer supposedly knows the seller, the consumer protections that ban false, misleading, or unconscionable sales practices must be in effect.  </w:t>
      </w:r>
    </w:p>
    <w:p w:rsidR="00BD5899" w:rsidRDefault="00BD5899" w:rsidP="001F58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Because there is a face-to-face contact with the public, critical requirements such as the criminal background check, the disclosure requirements, and the verification by a third-party verification are essential in the evaluation of CRNGS application for certification.  OCC supports the current definition for direct solicitation with very minor modifications to ensure there the issues associated with direct solicitations are addressed.</w:t>
      </w:r>
    </w:p>
    <w:p w:rsidR="00BD5899" w:rsidRDefault="00BD5899" w:rsidP="001F58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further enhance the definition of direct solicitation, OCC recommends that the words “or enrollment” be inserted after the word “solicitation.”  This proposed change helps clarify that the solicitation and enrollment are separate processes.  In other words, an enrollment need not occur for a CRNGS to be found engaging in conduct that involves providing false or misleading information to the public or to conduct unconscionable sales practices.</w:t>
      </w:r>
    </w:p>
    <w:p w:rsidR="00BD5899" w:rsidRDefault="00BD5899" w:rsidP="001F58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OCC also reiterates an earlier recommendation that a </w:t>
      </w:r>
      <w:r w:rsidRPr="0099789E">
        <w:rPr>
          <w:rFonts w:ascii="Times New Roman" w:hAnsi="Times New Roman" w:cs="Times New Roman"/>
          <w:sz w:val="24"/>
          <w:szCs w:val="24"/>
        </w:rPr>
        <w:t xml:space="preserve">definition for “agents” </w:t>
      </w:r>
      <w:r>
        <w:rPr>
          <w:rFonts w:ascii="Times New Roman" w:hAnsi="Times New Roman" w:cs="Times New Roman"/>
          <w:sz w:val="24"/>
          <w:szCs w:val="24"/>
        </w:rPr>
        <w:t>be included in the rules.</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Without a definition, a CRNGS </w:t>
      </w:r>
      <w:r w:rsidRPr="0099789E">
        <w:rPr>
          <w:rFonts w:ascii="Times New Roman" w:hAnsi="Times New Roman" w:cs="Times New Roman"/>
          <w:sz w:val="24"/>
          <w:szCs w:val="24"/>
        </w:rPr>
        <w:t>may be inclined to view these agents as “independent contractors,” and therefore</w:t>
      </w:r>
      <w:r>
        <w:rPr>
          <w:rFonts w:ascii="Times New Roman" w:hAnsi="Times New Roman" w:cs="Times New Roman"/>
          <w:sz w:val="24"/>
          <w:szCs w:val="24"/>
        </w:rPr>
        <w:t xml:space="preserve"> attempt to </w:t>
      </w:r>
      <w:r w:rsidRPr="0099789E">
        <w:rPr>
          <w:rFonts w:ascii="Times New Roman" w:hAnsi="Times New Roman" w:cs="Times New Roman"/>
          <w:sz w:val="24"/>
          <w:szCs w:val="24"/>
        </w:rPr>
        <w:t>absolve themselves of any liability associated with the action of the agents in enrolling customer</w:t>
      </w:r>
      <w:r>
        <w:rPr>
          <w:rFonts w:ascii="Times New Roman" w:hAnsi="Times New Roman" w:cs="Times New Roman"/>
          <w:sz w:val="24"/>
          <w:szCs w:val="24"/>
        </w:rPr>
        <w:t>s for CRNGS service.  A definition for “agents” would help prevent a CRNGS from potentially using “independent contractors” in an attempt to circumvent PUCO review, and to distance itself from the actions of the “independent contractor.”  The PUCO should act to ensure that such a loophole does not exist.</w:t>
      </w:r>
    </w:p>
    <w:p w:rsidR="00BD5899" w:rsidRDefault="00BD5899" w:rsidP="001F58A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the National Energy Marketers Association (“NEMA”) recently issued National </w:t>
      </w:r>
      <w:r w:rsidR="004E397E">
        <w:rPr>
          <w:rFonts w:ascii="Times New Roman" w:hAnsi="Times New Roman" w:cs="Times New Roman"/>
          <w:sz w:val="24"/>
          <w:szCs w:val="24"/>
        </w:rPr>
        <w:t>M</w:t>
      </w:r>
      <w:r>
        <w:rPr>
          <w:rFonts w:ascii="Times New Roman" w:hAnsi="Times New Roman" w:cs="Times New Roman"/>
          <w:sz w:val="24"/>
          <w:szCs w:val="24"/>
        </w:rPr>
        <w:t>arketing Standards of Conduct and a Customer Bill of Rights.</w:t>
      </w:r>
      <w:r>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w:t>
      </w:r>
      <w:r w:rsidR="004E397E">
        <w:rPr>
          <w:rFonts w:ascii="Times New Roman" w:hAnsi="Times New Roman" w:cs="Times New Roman"/>
          <w:sz w:val="24"/>
          <w:szCs w:val="24"/>
        </w:rPr>
        <w:t xml:space="preserve"> </w:t>
      </w:r>
      <w:r>
        <w:rPr>
          <w:rFonts w:ascii="Times New Roman" w:hAnsi="Times New Roman" w:cs="Times New Roman"/>
          <w:sz w:val="24"/>
          <w:szCs w:val="24"/>
        </w:rPr>
        <w:t>The Press Release announcing that action specifically stated that “Suppliers shall be responsible for the conduct of their agents.”</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OCC agrees with NEMA</w:t>
      </w:r>
      <w:r w:rsidR="004E397E">
        <w:rPr>
          <w:rFonts w:ascii="Times New Roman" w:hAnsi="Times New Roman" w:cs="Times New Roman"/>
          <w:sz w:val="24"/>
          <w:szCs w:val="24"/>
        </w:rPr>
        <w:t xml:space="preserve"> that Marketers should be responsible for conduct of their agents</w:t>
      </w:r>
      <w:r>
        <w:rPr>
          <w:rFonts w:ascii="Times New Roman" w:hAnsi="Times New Roman" w:cs="Times New Roman"/>
          <w:sz w:val="24"/>
          <w:szCs w:val="24"/>
        </w:rPr>
        <w:t xml:space="preserve">. </w:t>
      </w:r>
    </w:p>
    <w:p w:rsidR="00BD5899" w:rsidRPr="0099789E" w:rsidRDefault="00BD5899" w:rsidP="003C61EA">
      <w:pPr>
        <w:pStyle w:val="Heading3"/>
        <w:rPr>
          <w:rFonts w:cs="Times New Roman"/>
        </w:rPr>
      </w:pPr>
      <w:bookmarkStart w:id="23" w:name="_Toc347751997"/>
      <w:bookmarkStart w:id="24" w:name="_Toc347928819"/>
      <w:r w:rsidRPr="0099789E">
        <w:t>4901:1-29-03 - General Provisions</w:t>
      </w:r>
      <w:r>
        <w:t>.</w:t>
      </w:r>
      <w:bookmarkEnd w:id="23"/>
      <w:bookmarkEnd w:id="24"/>
    </w:p>
    <w:p w:rsidR="00BD5899" w:rsidRDefault="00BD5899" w:rsidP="002A50FC">
      <w:pPr>
        <w:pStyle w:val="NoSpacing"/>
        <w:spacing w:line="480" w:lineRule="auto"/>
        <w:ind w:firstLine="720"/>
        <w:rPr>
          <w:rFonts w:ascii="Times New Roman" w:hAnsi="Times New Roman" w:cs="Times New Roman"/>
          <w:sz w:val="24"/>
          <w:szCs w:val="24"/>
        </w:rPr>
      </w:pPr>
      <w:r w:rsidRPr="00DD5FC1">
        <w:rPr>
          <w:rFonts w:ascii="Times New Roman" w:hAnsi="Times New Roman" w:cs="Times New Roman"/>
          <w:sz w:val="24"/>
          <w:szCs w:val="24"/>
        </w:rPr>
        <w:t>Ohio Adm. Code 4901:1-29</w:t>
      </w:r>
      <w:r>
        <w:rPr>
          <w:rFonts w:ascii="Times New Roman" w:hAnsi="Times New Roman" w:cs="Times New Roman"/>
          <w:sz w:val="24"/>
          <w:szCs w:val="24"/>
        </w:rPr>
        <w:t>-03(C) prohibits CRNGS</w:t>
      </w:r>
      <w:r w:rsidRPr="00DD5FC1">
        <w:rPr>
          <w:rFonts w:ascii="Times New Roman" w:hAnsi="Times New Roman" w:cs="Times New Roman"/>
          <w:sz w:val="24"/>
          <w:szCs w:val="24"/>
        </w:rPr>
        <w:t xml:space="preserve"> or government aggregators from causing or arranging for the disconnection of service, or to employ the threat of such actions, or as a consequence of contract termination, customer non-payment, or for any other reason.  However, OGMG/RESA commented that this provision does not apply when the CRNG</w:t>
      </w:r>
      <w:r>
        <w:rPr>
          <w:rFonts w:ascii="Times New Roman" w:hAnsi="Times New Roman" w:cs="Times New Roman"/>
          <w:sz w:val="24"/>
          <w:szCs w:val="24"/>
        </w:rPr>
        <w:t>S</w:t>
      </w:r>
      <w:r w:rsidRPr="00DD5FC1">
        <w:rPr>
          <w:rFonts w:ascii="Times New Roman" w:hAnsi="Times New Roman" w:cs="Times New Roman"/>
          <w:sz w:val="24"/>
          <w:szCs w:val="24"/>
        </w:rPr>
        <w:t xml:space="preserve"> is using a purchase of supplier receivables program.</w:t>
      </w:r>
      <w:r w:rsidRPr="00DD5FC1">
        <w:rPr>
          <w:rFonts w:ascii="Times New Roman" w:hAnsi="Times New Roman" w:cs="Times New Roman"/>
          <w:sz w:val="24"/>
          <w:szCs w:val="24"/>
          <w:vertAlign w:val="superscript"/>
        </w:rPr>
        <w:footnoteReference w:id="41"/>
      </w:r>
      <w:r w:rsidRPr="00DD5FC1">
        <w:rPr>
          <w:rFonts w:ascii="Times New Roman" w:hAnsi="Times New Roman" w:cs="Times New Roman"/>
          <w:sz w:val="24"/>
          <w:szCs w:val="24"/>
        </w:rPr>
        <w:t xml:space="preserve">  In this </w:t>
      </w:r>
      <w:r>
        <w:rPr>
          <w:rFonts w:ascii="Times New Roman" w:hAnsi="Times New Roman" w:cs="Times New Roman"/>
          <w:sz w:val="24"/>
          <w:szCs w:val="24"/>
        </w:rPr>
        <w:t>regard, OGMG/</w:t>
      </w:r>
      <w:r w:rsidRPr="00DD5FC1">
        <w:rPr>
          <w:rFonts w:ascii="Times New Roman" w:hAnsi="Times New Roman" w:cs="Times New Roman"/>
          <w:sz w:val="24"/>
          <w:szCs w:val="24"/>
        </w:rPr>
        <w:t xml:space="preserve">RESA </w:t>
      </w:r>
      <w:r>
        <w:rPr>
          <w:rFonts w:ascii="Times New Roman" w:hAnsi="Times New Roman" w:cs="Times New Roman"/>
          <w:sz w:val="24"/>
          <w:szCs w:val="24"/>
        </w:rPr>
        <w:t xml:space="preserve">suggest that if a CRNGS </w:t>
      </w:r>
      <w:r w:rsidRPr="00DD5FC1">
        <w:rPr>
          <w:rFonts w:ascii="Times New Roman" w:hAnsi="Times New Roman" w:cs="Times New Roman"/>
          <w:sz w:val="24"/>
          <w:szCs w:val="24"/>
        </w:rPr>
        <w:t xml:space="preserve">participates in the purchase of receivable program, </w:t>
      </w:r>
      <w:r>
        <w:rPr>
          <w:rFonts w:ascii="Times New Roman" w:hAnsi="Times New Roman" w:cs="Times New Roman"/>
          <w:sz w:val="24"/>
          <w:szCs w:val="24"/>
        </w:rPr>
        <w:t>then the CRNGS</w:t>
      </w:r>
      <w:r w:rsidRPr="00DD5FC1">
        <w:rPr>
          <w:rFonts w:ascii="Times New Roman" w:hAnsi="Times New Roman" w:cs="Times New Roman"/>
          <w:sz w:val="24"/>
          <w:szCs w:val="24"/>
        </w:rPr>
        <w:t xml:space="preserve"> should be permitted to cause or arrange for disconnection of a customer’s service or to be able to make such threats.</w:t>
      </w:r>
      <w:r w:rsidRPr="00DD5FC1">
        <w:rPr>
          <w:rFonts w:ascii="Times New Roman" w:hAnsi="Times New Roman" w:cs="Times New Roman"/>
          <w:sz w:val="24"/>
          <w:szCs w:val="24"/>
          <w:vertAlign w:val="superscript"/>
        </w:rPr>
        <w:footnoteReference w:id="42"/>
      </w:r>
    </w:p>
    <w:p w:rsidR="00BD5899" w:rsidRDefault="00BD5899" w:rsidP="002A50FC">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But the OGMG/</w:t>
      </w:r>
      <w:r w:rsidRPr="00DD5FC1">
        <w:rPr>
          <w:rFonts w:ascii="Times New Roman" w:hAnsi="Times New Roman" w:cs="Times New Roman"/>
          <w:sz w:val="24"/>
          <w:szCs w:val="24"/>
        </w:rPr>
        <w:t>RESA suggestion is contrary to the statutory provisions concerning the minimum service requirements for competitive services.</w:t>
      </w:r>
      <w:r w:rsidRPr="00DD5FC1">
        <w:rPr>
          <w:rFonts w:ascii="Times New Roman" w:hAnsi="Times New Roman" w:cs="Times New Roman"/>
          <w:sz w:val="24"/>
          <w:szCs w:val="24"/>
          <w:vertAlign w:val="superscript"/>
        </w:rPr>
        <w:footnoteReference w:id="43"/>
      </w:r>
      <w:r>
        <w:rPr>
          <w:rFonts w:ascii="Times New Roman" w:hAnsi="Times New Roman" w:cs="Times New Roman"/>
          <w:sz w:val="24"/>
          <w:szCs w:val="24"/>
        </w:rPr>
        <w:t xml:space="preserve">  Pursuant to R.C.</w:t>
      </w:r>
      <w:r w:rsidR="00A221B2">
        <w:rPr>
          <w:rFonts w:ascii="Times New Roman" w:hAnsi="Times New Roman" w:cs="Times New Roman"/>
          <w:sz w:val="24"/>
          <w:szCs w:val="24"/>
        </w:rPr>
        <w:t xml:space="preserve"> </w:t>
      </w:r>
      <w:r w:rsidRPr="00DD5FC1">
        <w:rPr>
          <w:rFonts w:ascii="Times New Roman" w:hAnsi="Times New Roman" w:cs="Times New Roman"/>
          <w:sz w:val="24"/>
          <w:szCs w:val="24"/>
        </w:rPr>
        <w:t>492</w:t>
      </w:r>
      <w:r>
        <w:rPr>
          <w:rFonts w:ascii="Times New Roman" w:hAnsi="Times New Roman" w:cs="Times New Roman"/>
          <w:sz w:val="24"/>
          <w:szCs w:val="24"/>
        </w:rPr>
        <w:t>9</w:t>
      </w:r>
      <w:r w:rsidRPr="00DD5FC1">
        <w:rPr>
          <w:rFonts w:ascii="Times New Roman" w:hAnsi="Times New Roman" w:cs="Times New Roman"/>
          <w:sz w:val="24"/>
          <w:szCs w:val="24"/>
        </w:rPr>
        <w:t>.</w:t>
      </w:r>
      <w:r>
        <w:rPr>
          <w:rFonts w:ascii="Times New Roman" w:hAnsi="Times New Roman" w:cs="Times New Roman"/>
          <w:sz w:val="24"/>
          <w:szCs w:val="24"/>
        </w:rPr>
        <w:t>22</w:t>
      </w:r>
      <w:r w:rsidRPr="00DD5FC1">
        <w:rPr>
          <w:rFonts w:ascii="Times New Roman" w:hAnsi="Times New Roman" w:cs="Times New Roman"/>
          <w:sz w:val="24"/>
          <w:szCs w:val="24"/>
        </w:rPr>
        <w:t xml:space="preserve">(D), the Commission is required to establish minimum service requirements consistent with policies and procedures in R.C. 4933.121, R.C. 4933.122, and Commission rules.  These laws and rules concern the disconnection of electric service by </w:t>
      </w:r>
      <w:r>
        <w:rPr>
          <w:rFonts w:ascii="Times New Roman" w:hAnsi="Times New Roman" w:cs="Times New Roman"/>
          <w:sz w:val="24"/>
          <w:szCs w:val="24"/>
        </w:rPr>
        <w:t xml:space="preserve">a gas company </w:t>
      </w:r>
      <w:r w:rsidRPr="00DD5FC1">
        <w:rPr>
          <w:rFonts w:ascii="Times New Roman" w:hAnsi="Times New Roman" w:cs="Times New Roman"/>
          <w:sz w:val="24"/>
          <w:szCs w:val="24"/>
        </w:rPr>
        <w:t xml:space="preserve">and not </w:t>
      </w:r>
      <w:r>
        <w:rPr>
          <w:rFonts w:ascii="Times New Roman" w:hAnsi="Times New Roman" w:cs="Times New Roman"/>
          <w:sz w:val="24"/>
          <w:szCs w:val="24"/>
        </w:rPr>
        <w:t xml:space="preserve">CRNGS or governmental aggregators.  The OGMG/RESA recommendation </w:t>
      </w:r>
      <w:r w:rsidRPr="00DD5FC1">
        <w:rPr>
          <w:rFonts w:ascii="Times New Roman" w:hAnsi="Times New Roman" w:cs="Times New Roman"/>
          <w:sz w:val="24"/>
          <w:szCs w:val="24"/>
        </w:rPr>
        <w:t>to expand the authority of CR</w:t>
      </w:r>
      <w:r>
        <w:rPr>
          <w:rFonts w:ascii="Times New Roman" w:hAnsi="Times New Roman" w:cs="Times New Roman"/>
          <w:sz w:val="24"/>
          <w:szCs w:val="24"/>
        </w:rPr>
        <w:t xml:space="preserve">NGS </w:t>
      </w:r>
      <w:r w:rsidRPr="00DD5FC1">
        <w:rPr>
          <w:rFonts w:ascii="Times New Roman" w:hAnsi="Times New Roman" w:cs="Times New Roman"/>
          <w:sz w:val="24"/>
          <w:szCs w:val="24"/>
        </w:rPr>
        <w:t>providers to cause</w:t>
      </w:r>
      <w:r>
        <w:rPr>
          <w:rFonts w:ascii="Times New Roman" w:hAnsi="Times New Roman" w:cs="Times New Roman"/>
          <w:sz w:val="24"/>
          <w:szCs w:val="24"/>
        </w:rPr>
        <w:t xml:space="preserve">, </w:t>
      </w:r>
      <w:r w:rsidRPr="00DD5FC1">
        <w:rPr>
          <w:rFonts w:ascii="Times New Roman" w:hAnsi="Times New Roman" w:cs="Times New Roman"/>
          <w:sz w:val="24"/>
          <w:szCs w:val="24"/>
        </w:rPr>
        <w:t>arrange</w:t>
      </w:r>
      <w:r>
        <w:rPr>
          <w:rFonts w:ascii="Times New Roman" w:hAnsi="Times New Roman" w:cs="Times New Roman"/>
          <w:sz w:val="24"/>
          <w:szCs w:val="24"/>
        </w:rPr>
        <w:t xml:space="preserve">, or threaten </w:t>
      </w:r>
      <w:r w:rsidRPr="00DD5FC1">
        <w:rPr>
          <w:rFonts w:ascii="Times New Roman" w:hAnsi="Times New Roman" w:cs="Times New Roman"/>
          <w:sz w:val="24"/>
          <w:szCs w:val="24"/>
        </w:rPr>
        <w:t>for disconnection of distribu</w:t>
      </w:r>
      <w:r>
        <w:rPr>
          <w:rFonts w:ascii="Times New Roman" w:hAnsi="Times New Roman" w:cs="Times New Roman"/>
          <w:sz w:val="24"/>
          <w:szCs w:val="24"/>
        </w:rPr>
        <w:t xml:space="preserve">tion service should be rejected because the inherent protection built into </w:t>
      </w:r>
      <w:r w:rsidRPr="00DD5FC1">
        <w:rPr>
          <w:rFonts w:ascii="Times New Roman" w:hAnsi="Times New Roman" w:cs="Times New Roman"/>
          <w:sz w:val="24"/>
          <w:szCs w:val="24"/>
        </w:rPr>
        <w:t>R.C. 4933.121, R.C. 4933.122, and Commission rules</w:t>
      </w:r>
      <w:r>
        <w:rPr>
          <w:rFonts w:ascii="Times New Roman" w:hAnsi="Times New Roman" w:cs="Times New Roman"/>
          <w:sz w:val="24"/>
          <w:szCs w:val="24"/>
        </w:rPr>
        <w:t xml:space="preserve">, </w:t>
      </w:r>
      <w:r w:rsidR="004E397E">
        <w:rPr>
          <w:rFonts w:ascii="Times New Roman" w:hAnsi="Times New Roman" w:cs="Times New Roman"/>
          <w:sz w:val="24"/>
          <w:szCs w:val="24"/>
        </w:rPr>
        <w:t>d</w:t>
      </w:r>
      <w:r>
        <w:rPr>
          <w:rFonts w:ascii="Times New Roman" w:hAnsi="Times New Roman" w:cs="Times New Roman"/>
          <w:sz w:val="24"/>
          <w:szCs w:val="24"/>
        </w:rPr>
        <w:t xml:space="preserve">o not apply to CRNGS.  Therefore customers would not have the same level of protection against threatened disconnection by a CRNGS as they have when threatened disconnection by an LDC. </w:t>
      </w:r>
    </w:p>
    <w:p w:rsidR="00BD5899" w:rsidRPr="00562C23" w:rsidRDefault="00BD5899" w:rsidP="00562C23">
      <w:pPr>
        <w:pStyle w:val="Heading3"/>
      </w:pPr>
      <w:bookmarkStart w:id="25" w:name="_Toc347751998"/>
      <w:bookmarkStart w:id="26" w:name="_Toc347928820"/>
      <w:r w:rsidRPr="00562C23">
        <w:t>4901:1-29-05 - Marketing and Solicitation.</w:t>
      </w:r>
      <w:bookmarkEnd w:id="25"/>
      <w:bookmarkEnd w:id="26"/>
    </w:p>
    <w:p w:rsidR="00BD5899" w:rsidRDefault="00BD5899" w:rsidP="00174E6A">
      <w:pPr>
        <w:spacing w:after="240"/>
        <w:ind w:left="720" w:firstLine="720"/>
        <w:rPr>
          <w:rFonts w:ascii="Times New Roman" w:hAnsi="Times New Roman" w:cs="Times New Roman"/>
          <w:b/>
          <w:bCs/>
          <w:sz w:val="24"/>
          <w:szCs w:val="24"/>
        </w:rPr>
      </w:pPr>
      <w:r w:rsidRPr="00074411">
        <w:rPr>
          <w:rFonts w:ascii="Times New Roman" w:hAnsi="Times New Roman" w:cs="Times New Roman"/>
          <w:b/>
          <w:bCs/>
          <w:sz w:val="24"/>
          <w:szCs w:val="24"/>
        </w:rPr>
        <w:t>4901:1-29-05(</w:t>
      </w:r>
      <w:r>
        <w:rPr>
          <w:rFonts w:ascii="Times New Roman" w:hAnsi="Times New Roman" w:cs="Times New Roman"/>
          <w:b/>
          <w:bCs/>
          <w:sz w:val="24"/>
          <w:szCs w:val="24"/>
        </w:rPr>
        <w:t>C</w:t>
      </w:r>
      <w:r w:rsidRPr="00074411">
        <w:rPr>
          <w:rFonts w:ascii="Times New Roman" w:hAnsi="Times New Roman" w:cs="Times New Roman"/>
          <w:b/>
          <w:bCs/>
          <w:sz w:val="24"/>
          <w:szCs w:val="24"/>
        </w:rPr>
        <w:t>)</w:t>
      </w:r>
      <w:r>
        <w:rPr>
          <w:rFonts w:ascii="Times New Roman" w:hAnsi="Times New Roman" w:cs="Times New Roman"/>
          <w:b/>
          <w:bCs/>
          <w:sz w:val="24"/>
          <w:szCs w:val="24"/>
        </w:rPr>
        <w:t>(5).</w:t>
      </w:r>
    </w:p>
    <w:p w:rsidR="00BD5899" w:rsidRDefault="00BD5899" w:rsidP="00137E8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Duke Retail</w:t>
      </w:r>
      <w:r w:rsidRPr="00137E8D">
        <w:rPr>
          <w:rFonts w:ascii="Times New Roman" w:hAnsi="Times New Roman" w:cs="Times New Roman"/>
          <w:sz w:val="24"/>
          <w:szCs w:val="24"/>
        </w:rPr>
        <w:t xml:space="preserve"> expressed concern regarding the sufficiency of Ohio Admin. Code 4901:1-2</w:t>
      </w:r>
      <w:r>
        <w:rPr>
          <w:rFonts w:ascii="Times New Roman" w:hAnsi="Times New Roman" w:cs="Times New Roman"/>
          <w:sz w:val="24"/>
          <w:szCs w:val="24"/>
        </w:rPr>
        <w:t>9</w:t>
      </w:r>
      <w:r w:rsidRPr="00137E8D">
        <w:rPr>
          <w:rFonts w:ascii="Times New Roman" w:hAnsi="Times New Roman" w:cs="Times New Roman"/>
          <w:sz w:val="24"/>
          <w:szCs w:val="24"/>
        </w:rPr>
        <w:t>-05(C)(</w:t>
      </w:r>
      <w:r>
        <w:rPr>
          <w:rFonts w:ascii="Times New Roman" w:hAnsi="Times New Roman" w:cs="Times New Roman"/>
          <w:sz w:val="24"/>
          <w:szCs w:val="24"/>
        </w:rPr>
        <w:t>5</w:t>
      </w:r>
      <w:r w:rsidRPr="00137E8D">
        <w:rPr>
          <w:rFonts w:ascii="Times New Roman" w:hAnsi="Times New Roman" w:cs="Times New Roman"/>
          <w:sz w:val="24"/>
          <w:szCs w:val="24"/>
        </w:rPr>
        <w:t>) in precluding CR</w:t>
      </w:r>
      <w:r>
        <w:rPr>
          <w:rFonts w:ascii="Times New Roman" w:hAnsi="Times New Roman" w:cs="Times New Roman"/>
          <w:sz w:val="24"/>
          <w:szCs w:val="24"/>
        </w:rPr>
        <w:t xml:space="preserve">NGS </w:t>
      </w:r>
      <w:r w:rsidRPr="00137E8D">
        <w:rPr>
          <w:rFonts w:ascii="Times New Roman" w:hAnsi="Times New Roman" w:cs="Times New Roman"/>
          <w:sz w:val="24"/>
          <w:szCs w:val="24"/>
        </w:rPr>
        <w:t>from leading customers to believe that they are soliciting on behalf of an Ohio</w:t>
      </w:r>
      <w:r>
        <w:rPr>
          <w:rFonts w:ascii="Times New Roman" w:hAnsi="Times New Roman" w:cs="Times New Roman"/>
          <w:sz w:val="24"/>
          <w:szCs w:val="24"/>
        </w:rPr>
        <w:t xml:space="preserve"> LDC</w:t>
      </w:r>
      <w:r w:rsidRPr="00137E8D">
        <w:rPr>
          <w:rFonts w:ascii="Times New Roman" w:hAnsi="Times New Roman" w:cs="Times New Roman"/>
          <w:sz w:val="24"/>
          <w:szCs w:val="24"/>
        </w:rPr>
        <w:t xml:space="preserve"> when no such relationship exists.</w:t>
      </w:r>
      <w:r w:rsidRPr="00137E8D">
        <w:rPr>
          <w:rFonts w:ascii="Times New Roman" w:hAnsi="Times New Roman" w:cs="Times New Roman"/>
          <w:sz w:val="24"/>
          <w:szCs w:val="24"/>
          <w:vertAlign w:val="superscript"/>
        </w:rPr>
        <w:footnoteReference w:id="44"/>
      </w:r>
      <w:r>
        <w:rPr>
          <w:rFonts w:ascii="Times New Roman" w:hAnsi="Times New Roman" w:cs="Times New Roman"/>
          <w:sz w:val="24"/>
          <w:szCs w:val="24"/>
        </w:rPr>
        <w:t xml:space="preserve">  Duke Retail</w:t>
      </w:r>
      <w:r w:rsidRPr="00137E8D">
        <w:rPr>
          <w:rFonts w:ascii="Times New Roman" w:hAnsi="Times New Roman" w:cs="Times New Roman"/>
          <w:sz w:val="24"/>
          <w:szCs w:val="24"/>
        </w:rPr>
        <w:t xml:space="preserve"> suggests that the current rules are not stringent</w:t>
      </w:r>
      <w:r>
        <w:rPr>
          <w:rFonts w:ascii="Times New Roman" w:hAnsi="Times New Roman" w:cs="Times New Roman"/>
          <w:sz w:val="24"/>
          <w:szCs w:val="24"/>
        </w:rPr>
        <w:t xml:space="preserve"> enough, and should require CRNGS</w:t>
      </w:r>
      <w:r w:rsidRPr="00137E8D">
        <w:rPr>
          <w:rFonts w:ascii="Times New Roman" w:hAnsi="Times New Roman" w:cs="Times New Roman"/>
          <w:sz w:val="24"/>
          <w:szCs w:val="24"/>
        </w:rPr>
        <w:t xml:space="preserve"> to affirmatively state that there is no such relationship.</w:t>
      </w:r>
      <w:r w:rsidRPr="00137E8D">
        <w:rPr>
          <w:rFonts w:ascii="Times New Roman" w:hAnsi="Times New Roman" w:cs="Times New Roman"/>
          <w:sz w:val="24"/>
          <w:szCs w:val="24"/>
          <w:vertAlign w:val="superscript"/>
        </w:rPr>
        <w:footnoteReference w:id="45"/>
      </w:r>
      <w:r>
        <w:rPr>
          <w:rFonts w:ascii="Times New Roman" w:hAnsi="Times New Roman" w:cs="Times New Roman"/>
          <w:sz w:val="24"/>
          <w:szCs w:val="24"/>
        </w:rPr>
        <w:t xml:space="preserve">  </w:t>
      </w:r>
      <w:r w:rsidR="004E397E">
        <w:rPr>
          <w:rFonts w:ascii="Times New Roman" w:hAnsi="Times New Roman" w:cs="Times New Roman"/>
          <w:sz w:val="24"/>
          <w:szCs w:val="24"/>
        </w:rPr>
        <w:t>OCC agrees</w:t>
      </w:r>
      <w:r>
        <w:rPr>
          <w:rFonts w:ascii="Times New Roman" w:hAnsi="Times New Roman" w:cs="Times New Roman"/>
          <w:sz w:val="24"/>
          <w:szCs w:val="24"/>
        </w:rPr>
        <w:t>.</w:t>
      </w:r>
    </w:p>
    <w:p w:rsidR="00BD5899" w:rsidRDefault="00BD5899" w:rsidP="00137E8D">
      <w:pPr>
        <w:pStyle w:val="NoSpacing"/>
        <w:spacing w:line="480" w:lineRule="auto"/>
        <w:ind w:firstLine="720"/>
        <w:rPr>
          <w:rFonts w:ascii="Times New Roman" w:hAnsi="Times New Roman" w:cs="Times New Roman"/>
          <w:sz w:val="24"/>
          <w:szCs w:val="24"/>
        </w:rPr>
      </w:pPr>
      <w:r w:rsidRPr="00137E8D">
        <w:rPr>
          <w:rFonts w:ascii="Times New Roman" w:hAnsi="Times New Roman" w:cs="Times New Roman"/>
          <w:sz w:val="24"/>
          <w:szCs w:val="24"/>
        </w:rPr>
        <w:t>The issues assoc</w:t>
      </w:r>
      <w:r>
        <w:rPr>
          <w:rFonts w:ascii="Times New Roman" w:hAnsi="Times New Roman" w:cs="Times New Roman"/>
          <w:sz w:val="24"/>
          <w:szCs w:val="24"/>
        </w:rPr>
        <w:t>iated with CRNGS</w:t>
      </w:r>
      <w:r w:rsidRPr="00137E8D">
        <w:rPr>
          <w:rFonts w:ascii="Times New Roman" w:hAnsi="Times New Roman" w:cs="Times New Roman"/>
          <w:sz w:val="24"/>
          <w:szCs w:val="24"/>
        </w:rPr>
        <w:t xml:space="preserve"> representing t</w:t>
      </w:r>
      <w:r>
        <w:rPr>
          <w:rFonts w:ascii="Times New Roman" w:hAnsi="Times New Roman" w:cs="Times New Roman"/>
          <w:sz w:val="24"/>
          <w:szCs w:val="24"/>
        </w:rPr>
        <w:t>hat they are affiliated with a u</w:t>
      </w:r>
      <w:r w:rsidRPr="00137E8D">
        <w:rPr>
          <w:rFonts w:ascii="Times New Roman" w:hAnsi="Times New Roman" w:cs="Times New Roman"/>
          <w:sz w:val="24"/>
          <w:szCs w:val="24"/>
        </w:rPr>
        <w:t xml:space="preserve">tility </w:t>
      </w:r>
      <w:r>
        <w:rPr>
          <w:rFonts w:ascii="Times New Roman" w:hAnsi="Times New Roman" w:cs="Times New Roman"/>
          <w:sz w:val="24"/>
          <w:szCs w:val="24"/>
        </w:rPr>
        <w:t>are</w:t>
      </w:r>
      <w:r w:rsidRPr="00137E8D">
        <w:rPr>
          <w:rFonts w:ascii="Times New Roman" w:hAnsi="Times New Roman" w:cs="Times New Roman"/>
          <w:sz w:val="24"/>
          <w:szCs w:val="24"/>
        </w:rPr>
        <w:t xml:space="preserve"> not uncommon.</w:t>
      </w:r>
      <w:r w:rsidRPr="00137E8D">
        <w:rPr>
          <w:rFonts w:ascii="Times New Roman" w:hAnsi="Times New Roman" w:cs="Times New Roman"/>
          <w:sz w:val="24"/>
          <w:szCs w:val="24"/>
          <w:vertAlign w:val="superscript"/>
        </w:rPr>
        <w:footnoteReference w:id="46"/>
      </w:r>
      <w:r w:rsidRPr="00137E8D">
        <w:rPr>
          <w:rFonts w:ascii="Times New Roman" w:hAnsi="Times New Roman" w:cs="Times New Roman"/>
          <w:sz w:val="24"/>
          <w:szCs w:val="24"/>
        </w:rPr>
        <w:t xml:space="preserve">  Ensuring that the consumers are protected against unreasonable sales practices such as CR</w:t>
      </w:r>
      <w:r>
        <w:rPr>
          <w:rFonts w:ascii="Times New Roman" w:hAnsi="Times New Roman" w:cs="Times New Roman"/>
          <w:sz w:val="24"/>
          <w:szCs w:val="24"/>
        </w:rPr>
        <w:t xml:space="preserve">NGS </w:t>
      </w:r>
      <w:r w:rsidRPr="00137E8D">
        <w:rPr>
          <w:rFonts w:ascii="Times New Roman" w:hAnsi="Times New Roman" w:cs="Times New Roman"/>
          <w:sz w:val="24"/>
          <w:szCs w:val="24"/>
        </w:rPr>
        <w:t>providers misrepresenti</w:t>
      </w:r>
      <w:r>
        <w:rPr>
          <w:rFonts w:ascii="Times New Roman" w:hAnsi="Times New Roman" w:cs="Times New Roman"/>
          <w:sz w:val="24"/>
          <w:szCs w:val="24"/>
        </w:rPr>
        <w:t>ng their affiliation with an LDC</w:t>
      </w:r>
      <w:r w:rsidRPr="00137E8D">
        <w:rPr>
          <w:rFonts w:ascii="Times New Roman" w:hAnsi="Times New Roman" w:cs="Times New Roman"/>
          <w:sz w:val="24"/>
          <w:szCs w:val="24"/>
        </w:rPr>
        <w:t xml:space="preserve"> is in the public interest.</w:t>
      </w:r>
      <w:r w:rsidRPr="00137E8D">
        <w:rPr>
          <w:rFonts w:ascii="Times New Roman" w:hAnsi="Times New Roman" w:cs="Times New Roman"/>
          <w:sz w:val="24"/>
          <w:szCs w:val="24"/>
          <w:vertAlign w:val="superscript"/>
        </w:rPr>
        <w:footnoteReference w:id="47"/>
      </w:r>
      <w:r>
        <w:rPr>
          <w:rFonts w:ascii="Times New Roman" w:hAnsi="Times New Roman" w:cs="Times New Roman"/>
          <w:sz w:val="24"/>
          <w:szCs w:val="24"/>
        </w:rPr>
        <w:t xml:space="preserve">  Accordingly, OCC supports Duke Retail</w:t>
      </w:r>
      <w:r w:rsidRPr="00137E8D">
        <w:rPr>
          <w:rFonts w:ascii="Times New Roman" w:hAnsi="Times New Roman" w:cs="Times New Roman"/>
          <w:sz w:val="24"/>
          <w:szCs w:val="24"/>
        </w:rPr>
        <w:t>’s recommendation</w:t>
      </w:r>
      <w:r>
        <w:rPr>
          <w:rFonts w:ascii="Times New Roman" w:hAnsi="Times New Roman" w:cs="Times New Roman"/>
          <w:sz w:val="24"/>
          <w:szCs w:val="24"/>
        </w:rPr>
        <w:t xml:space="preserve"> to strengthen the separation between the Utility and its affiliate</w:t>
      </w:r>
      <w:r w:rsidRPr="00137E8D">
        <w:rPr>
          <w:rFonts w:ascii="Times New Roman" w:hAnsi="Times New Roman" w:cs="Times New Roman"/>
          <w:sz w:val="24"/>
          <w:szCs w:val="24"/>
        </w:rPr>
        <w:t>.</w:t>
      </w:r>
    </w:p>
    <w:p w:rsidR="00BD5899" w:rsidRDefault="00BD5899" w:rsidP="00D637A2">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Duke Energy </w:t>
      </w:r>
      <w:r w:rsidRPr="00D637A2">
        <w:rPr>
          <w:rFonts w:ascii="Times New Roman" w:hAnsi="Times New Roman" w:cs="Times New Roman"/>
          <w:sz w:val="24"/>
          <w:szCs w:val="24"/>
        </w:rPr>
        <w:t xml:space="preserve">discussed the </w:t>
      </w:r>
      <w:r>
        <w:rPr>
          <w:rFonts w:ascii="Times New Roman" w:hAnsi="Times New Roman" w:cs="Times New Roman"/>
          <w:sz w:val="24"/>
          <w:szCs w:val="24"/>
        </w:rPr>
        <w:t xml:space="preserve">need for specific </w:t>
      </w:r>
      <w:r w:rsidRPr="00D637A2">
        <w:rPr>
          <w:rFonts w:ascii="Times New Roman" w:hAnsi="Times New Roman" w:cs="Times New Roman"/>
          <w:sz w:val="24"/>
          <w:szCs w:val="24"/>
        </w:rPr>
        <w:t xml:space="preserve">hours </w:t>
      </w:r>
      <w:r>
        <w:rPr>
          <w:rFonts w:ascii="Times New Roman" w:hAnsi="Times New Roman" w:cs="Times New Roman"/>
          <w:sz w:val="24"/>
          <w:szCs w:val="24"/>
        </w:rPr>
        <w:t>during which</w:t>
      </w:r>
      <w:r w:rsidRPr="00D637A2">
        <w:rPr>
          <w:rFonts w:ascii="Times New Roman" w:hAnsi="Times New Roman" w:cs="Times New Roman"/>
          <w:sz w:val="24"/>
          <w:szCs w:val="24"/>
        </w:rPr>
        <w:t xml:space="preserve"> door-to-door solicitations </w:t>
      </w:r>
      <w:r>
        <w:rPr>
          <w:rFonts w:ascii="Times New Roman" w:hAnsi="Times New Roman" w:cs="Times New Roman"/>
          <w:sz w:val="24"/>
          <w:szCs w:val="24"/>
        </w:rPr>
        <w:t xml:space="preserve">can occur </w:t>
      </w:r>
      <w:r w:rsidRPr="00D637A2">
        <w:rPr>
          <w:rFonts w:ascii="Times New Roman" w:hAnsi="Times New Roman" w:cs="Times New Roman"/>
          <w:sz w:val="24"/>
          <w:szCs w:val="24"/>
        </w:rPr>
        <w:t xml:space="preserve">in jurisdictions where local laws and ordinances </w:t>
      </w:r>
      <w:r>
        <w:rPr>
          <w:rFonts w:ascii="Times New Roman" w:hAnsi="Times New Roman" w:cs="Times New Roman"/>
          <w:sz w:val="24"/>
          <w:szCs w:val="24"/>
        </w:rPr>
        <w:t>do not</w:t>
      </w:r>
      <w:r w:rsidRPr="00D637A2">
        <w:rPr>
          <w:rFonts w:ascii="Times New Roman" w:hAnsi="Times New Roman" w:cs="Times New Roman"/>
          <w:sz w:val="24"/>
          <w:szCs w:val="24"/>
        </w:rPr>
        <w:t xml:space="preserve"> specify the hours in which solicitations can occur.</w:t>
      </w:r>
      <w:r w:rsidRPr="00D637A2">
        <w:rPr>
          <w:rFonts w:ascii="Times New Roman" w:hAnsi="Times New Roman" w:cs="Times New Roman"/>
          <w:sz w:val="24"/>
          <w:szCs w:val="24"/>
          <w:vertAlign w:val="superscript"/>
        </w:rPr>
        <w:footnoteReference w:id="48"/>
      </w:r>
      <w:r>
        <w:rPr>
          <w:rFonts w:ascii="Times New Roman" w:hAnsi="Times New Roman" w:cs="Times New Roman"/>
          <w:sz w:val="24"/>
          <w:szCs w:val="24"/>
        </w:rPr>
        <w:t xml:space="preserve">  </w:t>
      </w:r>
      <w:r w:rsidRPr="00D637A2">
        <w:rPr>
          <w:rFonts w:ascii="Times New Roman" w:hAnsi="Times New Roman" w:cs="Times New Roman"/>
          <w:sz w:val="24"/>
          <w:szCs w:val="24"/>
        </w:rPr>
        <w:t xml:space="preserve">Duke </w:t>
      </w:r>
      <w:r>
        <w:rPr>
          <w:rFonts w:ascii="Times New Roman" w:hAnsi="Times New Roman" w:cs="Times New Roman"/>
          <w:sz w:val="24"/>
          <w:szCs w:val="24"/>
        </w:rPr>
        <w:t xml:space="preserve">Energy </w:t>
      </w:r>
      <w:r w:rsidRPr="00D637A2">
        <w:rPr>
          <w:rFonts w:ascii="Times New Roman" w:hAnsi="Times New Roman" w:cs="Times New Roman"/>
          <w:sz w:val="24"/>
          <w:szCs w:val="24"/>
        </w:rPr>
        <w:t>recommends that a rule be added that prohibits door-to-door</w:t>
      </w:r>
      <w:r>
        <w:rPr>
          <w:rFonts w:ascii="Times New Roman" w:hAnsi="Times New Roman" w:cs="Times New Roman"/>
          <w:sz w:val="24"/>
          <w:szCs w:val="24"/>
        </w:rPr>
        <w:t xml:space="preserve"> marketing after dusk. </w:t>
      </w:r>
      <w:r w:rsidR="004E397E">
        <w:rPr>
          <w:rFonts w:ascii="Times New Roman" w:hAnsi="Times New Roman" w:cs="Times New Roman"/>
          <w:sz w:val="24"/>
          <w:szCs w:val="24"/>
        </w:rPr>
        <w:t xml:space="preserve"> </w:t>
      </w:r>
      <w:r w:rsidRPr="00D637A2">
        <w:rPr>
          <w:rFonts w:ascii="Times New Roman" w:hAnsi="Times New Roman" w:cs="Times New Roman"/>
          <w:sz w:val="24"/>
          <w:szCs w:val="24"/>
        </w:rPr>
        <w:t>Duke</w:t>
      </w:r>
      <w:r>
        <w:rPr>
          <w:rFonts w:ascii="Times New Roman" w:hAnsi="Times New Roman" w:cs="Times New Roman"/>
          <w:sz w:val="24"/>
          <w:szCs w:val="24"/>
        </w:rPr>
        <w:t xml:space="preserve"> Energy also </w:t>
      </w:r>
      <w:r w:rsidRPr="00D637A2">
        <w:rPr>
          <w:rFonts w:ascii="Times New Roman" w:hAnsi="Times New Roman" w:cs="Times New Roman"/>
          <w:sz w:val="24"/>
          <w:szCs w:val="24"/>
        </w:rPr>
        <w:t>suggests that door-to-door marketing should not occur before 9:00 a.m., or after 9:00 p.m. local.</w:t>
      </w:r>
      <w:r w:rsidRPr="00D637A2">
        <w:rPr>
          <w:rFonts w:ascii="Times New Roman" w:hAnsi="Times New Roman" w:cs="Times New Roman"/>
          <w:sz w:val="24"/>
          <w:szCs w:val="24"/>
          <w:vertAlign w:val="superscript"/>
        </w:rPr>
        <w:footnoteReference w:id="49"/>
      </w:r>
      <w:r w:rsidRPr="00D637A2">
        <w:rPr>
          <w:rFonts w:ascii="Times New Roman" w:hAnsi="Times New Roman" w:cs="Times New Roman"/>
          <w:sz w:val="24"/>
          <w:szCs w:val="24"/>
        </w:rPr>
        <w:t xml:space="preserve">  OCC suggests that 9:00 a.m. is too early for marketing to begin considering many family members work at night and may be awakened by door to door marketers.  </w:t>
      </w:r>
    </w:p>
    <w:p w:rsidR="00BD5899" w:rsidRPr="00D637A2" w:rsidRDefault="00BD5899" w:rsidP="00D637A2">
      <w:pPr>
        <w:pStyle w:val="NoSpacing"/>
        <w:spacing w:line="480" w:lineRule="auto"/>
        <w:ind w:firstLine="720"/>
        <w:rPr>
          <w:rFonts w:ascii="Times New Roman" w:hAnsi="Times New Roman" w:cs="Times New Roman"/>
          <w:sz w:val="24"/>
          <w:szCs w:val="24"/>
        </w:rPr>
      </w:pPr>
      <w:r w:rsidRPr="00D637A2">
        <w:rPr>
          <w:rFonts w:ascii="Times New Roman" w:hAnsi="Times New Roman" w:cs="Times New Roman"/>
          <w:sz w:val="24"/>
          <w:szCs w:val="24"/>
        </w:rPr>
        <w:t>In addition, 9:00 p.m. is well after dusk in the winter months, and it is not in the pub</w:t>
      </w:r>
      <w:r>
        <w:rPr>
          <w:rFonts w:ascii="Times New Roman" w:hAnsi="Times New Roman" w:cs="Times New Roman"/>
          <w:sz w:val="24"/>
          <w:szCs w:val="24"/>
        </w:rPr>
        <w:t>lic interest for CRNGS</w:t>
      </w:r>
      <w:r w:rsidRPr="00D637A2">
        <w:rPr>
          <w:rFonts w:ascii="Times New Roman" w:hAnsi="Times New Roman" w:cs="Times New Roman"/>
          <w:sz w:val="24"/>
          <w:szCs w:val="24"/>
        </w:rPr>
        <w:t xml:space="preserve"> to be soliciting customers in the dark when customers may not be able to see th</w:t>
      </w:r>
      <w:r>
        <w:rPr>
          <w:rFonts w:ascii="Times New Roman" w:hAnsi="Times New Roman" w:cs="Times New Roman"/>
          <w:sz w:val="24"/>
          <w:szCs w:val="24"/>
        </w:rPr>
        <w:t>e identification of the CRNGS representative or sales agent</w:t>
      </w:r>
      <w:r w:rsidRPr="00D637A2">
        <w:rPr>
          <w:rFonts w:ascii="Times New Roman" w:hAnsi="Times New Roman" w:cs="Times New Roman"/>
          <w:sz w:val="24"/>
          <w:szCs w:val="24"/>
        </w:rPr>
        <w:t xml:space="preserve">.  OCC recommends the adoption of the Duke </w:t>
      </w:r>
      <w:r>
        <w:rPr>
          <w:rFonts w:ascii="Times New Roman" w:hAnsi="Times New Roman" w:cs="Times New Roman"/>
          <w:sz w:val="24"/>
          <w:szCs w:val="24"/>
        </w:rPr>
        <w:t xml:space="preserve">Energy </w:t>
      </w:r>
      <w:r w:rsidRPr="00D637A2">
        <w:rPr>
          <w:rFonts w:ascii="Times New Roman" w:hAnsi="Times New Roman" w:cs="Times New Roman"/>
          <w:sz w:val="24"/>
          <w:szCs w:val="24"/>
        </w:rPr>
        <w:t>proposal</w:t>
      </w:r>
      <w:r>
        <w:rPr>
          <w:rFonts w:ascii="Times New Roman" w:hAnsi="Times New Roman" w:cs="Times New Roman"/>
          <w:sz w:val="24"/>
          <w:szCs w:val="24"/>
        </w:rPr>
        <w:t xml:space="preserve"> for specific times during which door to door solicitations may occur in jurisdictions where there is no such ordinance.  OCC recommends that Ohio Admin. Code 4901:1-29-05(C)(5); be modified so that “morning hours”</w:t>
      </w:r>
      <w:r w:rsidRPr="00D637A2">
        <w:rPr>
          <w:rFonts w:ascii="Times New Roman" w:hAnsi="Times New Roman" w:cs="Times New Roman"/>
          <w:sz w:val="24"/>
          <w:szCs w:val="24"/>
        </w:rPr>
        <w:t xml:space="preserve"> should be changed to 10:00 a.m. and the evening hour be specified as “dusk” to account for seasonal differences.</w:t>
      </w:r>
    </w:p>
    <w:p w:rsidR="00BD5899" w:rsidRDefault="00BD5899" w:rsidP="001F58AC">
      <w:pPr>
        <w:pStyle w:val="NoSpacing"/>
        <w:spacing w:line="480" w:lineRule="auto"/>
        <w:ind w:left="720" w:firstLine="720"/>
        <w:rPr>
          <w:rFonts w:ascii="Times New Roman" w:hAnsi="Times New Roman" w:cs="Times New Roman"/>
          <w:b/>
          <w:bCs/>
          <w:sz w:val="24"/>
          <w:szCs w:val="24"/>
        </w:rPr>
      </w:pPr>
      <w:r w:rsidRPr="00D637A2">
        <w:rPr>
          <w:rFonts w:ascii="Times New Roman" w:hAnsi="Times New Roman" w:cs="Times New Roman"/>
          <w:b/>
          <w:bCs/>
          <w:sz w:val="24"/>
          <w:szCs w:val="24"/>
        </w:rPr>
        <w:t>4901:1-29-05(C)(</w:t>
      </w:r>
      <w:r>
        <w:rPr>
          <w:rFonts w:ascii="Times New Roman" w:hAnsi="Times New Roman" w:cs="Times New Roman"/>
          <w:b/>
          <w:bCs/>
          <w:sz w:val="24"/>
          <w:szCs w:val="24"/>
        </w:rPr>
        <w:t>8</w:t>
      </w:r>
      <w:r w:rsidRPr="00D637A2">
        <w:rPr>
          <w:rFonts w:ascii="Times New Roman" w:hAnsi="Times New Roman" w:cs="Times New Roman"/>
          <w:b/>
          <w:bCs/>
          <w:sz w:val="24"/>
          <w:szCs w:val="24"/>
        </w:rPr>
        <w:t>)</w:t>
      </w:r>
      <w:r>
        <w:rPr>
          <w:rFonts w:ascii="Times New Roman" w:hAnsi="Times New Roman" w:cs="Times New Roman"/>
          <w:b/>
          <w:bCs/>
          <w:sz w:val="24"/>
          <w:szCs w:val="24"/>
        </w:rPr>
        <w:t>.</w:t>
      </w:r>
    </w:p>
    <w:p w:rsidR="00BD5899" w:rsidRDefault="00BD5899" w:rsidP="00924F97">
      <w:pPr>
        <w:pStyle w:val="NoSpacing"/>
        <w:spacing w:line="480" w:lineRule="auto"/>
        <w:ind w:firstLine="720"/>
        <w:rPr>
          <w:rFonts w:ascii="Times New Roman" w:hAnsi="Times New Roman" w:cs="Times New Roman"/>
          <w:sz w:val="24"/>
          <w:szCs w:val="24"/>
        </w:rPr>
      </w:pPr>
      <w:r w:rsidRPr="00924F97">
        <w:rPr>
          <w:rFonts w:ascii="Times New Roman" w:hAnsi="Times New Roman" w:cs="Times New Roman"/>
          <w:sz w:val="24"/>
          <w:szCs w:val="24"/>
        </w:rPr>
        <w:t xml:space="preserve">The PUCO Staff proposed an amendment to Ohio Admin. Code 4901:1-29-05(C)(8) that </w:t>
      </w:r>
      <w:r>
        <w:rPr>
          <w:rFonts w:ascii="Times New Roman" w:hAnsi="Times New Roman" w:cs="Times New Roman"/>
          <w:sz w:val="24"/>
          <w:szCs w:val="24"/>
        </w:rPr>
        <w:t xml:space="preserve">an </w:t>
      </w:r>
      <w:r w:rsidRPr="00924F97">
        <w:rPr>
          <w:rFonts w:ascii="Times New Roman" w:hAnsi="Times New Roman" w:cs="Times New Roman"/>
          <w:sz w:val="24"/>
          <w:szCs w:val="24"/>
        </w:rPr>
        <w:t xml:space="preserve">unfair, misleading, deceptive, or unconscionable acts or practices </w:t>
      </w:r>
      <w:r>
        <w:rPr>
          <w:rFonts w:ascii="Times New Roman" w:hAnsi="Times New Roman" w:cs="Times New Roman"/>
          <w:sz w:val="24"/>
          <w:szCs w:val="24"/>
        </w:rPr>
        <w:t xml:space="preserve">would include a CRNGS </w:t>
      </w:r>
      <w:r w:rsidRPr="00924F97">
        <w:rPr>
          <w:rFonts w:ascii="Times New Roman" w:hAnsi="Times New Roman" w:cs="Times New Roman"/>
          <w:sz w:val="24"/>
          <w:szCs w:val="24"/>
        </w:rPr>
        <w:t>or government aggregator engaging in direct solicitation of a customer without complying with all applicable ordinances and laws of the customer’s jurisdiction.</w:t>
      </w:r>
      <w:r>
        <w:rPr>
          <w:rFonts w:ascii="Times New Roman" w:hAnsi="Times New Roman" w:cs="Times New Roman"/>
          <w:sz w:val="24"/>
          <w:szCs w:val="24"/>
        </w:rPr>
        <w:t xml:space="preserve">  OGMG/RESA o</w:t>
      </w:r>
      <w:r w:rsidRPr="00924F97">
        <w:rPr>
          <w:rFonts w:ascii="Times New Roman" w:hAnsi="Times New Roman" w:cs="Times New Roman"/>
          <w:sz w:val="24"/>
          <w:szCs w:val="24"/>
        </w:rPr>
        <w:t>ppose</w:t>
      </w:r>
      <w:r>
        <w:rPr>
          <w:rFonts w:ascii="Times New Roman" w:hAnsi="Times New Roman" w:cs="Times New Roman"/>
          <w:sz w:val="24"/>
          <w:szCs w:val="24"/>
        </w:rPr>
        <w:t xml:space="preserve"> the</w:t>
      </w:r>
      <w:r w:rsidRPr="00924F97">
        <w:rPr>
          <w:rFonts w:ascii="Times New Roman" w:hAnsi="Times New Roman" w:cs="Times New Roman"/>
          <w:sz w:val="24"/>
          <w:szCs w:val="24"/>
        </w:rPr>
        <w:t xml:space="preserve"> Staff’s proposed change assert</w:t>
      </w:r>
      <w:r>
        <w:rPr>
          <w:rFonts w:ascii="Times New Roman" w:hAnsi="Times New Roman" w:cs="Times New Roman"/>
          <w:sz w:val="24"/>
          <w:szCs w:val="24"/>
        </w:rPr>
        <w:t xml:space="preserve">ing </w:t>
      </w:r>
      <w:r w:rsidRPr="00924F97">
        <w:rPr>
          <w:rFonts w:ascii="Times New Roman" w:hAnsi="Times New Roman" w:cs="Times New Roman"/>
          <w:sz w:val="24"/>
          <w:szCs w:val="24"/>
        </w:rPr>
        <w:t>that the Commission lacks the expertise in “municipal law; let alone what the case law may be in the particular area”</w:t>
      </w:r>
      <w:r w:rsidRPr="00924F97">
        <w:rPr>
          <w:rFonts w:ascii="Times New Roman" w:hAnsi="Times New Roman" w:cs="Times New Roman"/>
          <w:sz w:val="24"/>
          <w:szCs w:val="24"/>
          <w:vertAlign w:val="superscript"/>
        </w:rPr>
        <w:footnoteReference w:id="50"/>
      </w:r>
      <w:r w:rsidRPr="00924F97">
        <w:rPr>
          <w:rFonts w:ascii="Times New Roman" w:hAnsi="Times New Roman" w:cs="Times New Roman"/>
          <w:sz w:val="24"/>
          <w:szCs w:val="24"/>
        </w:rPr>
        <w:t xml:space="preserve"> to know when and if violations have occurred.</w:t>
      </w:r>
      <w:r>
        <w:rPr>
          <w:rFonts w:ascii="Times New Roman" w:hAnsi="Times New Roman" w:cs="Times New Roman"/>
          <w:sz w:val="24"/>
          <w:szCs w:val="24"/>
        </w:rPr>
        <w:t xml:space="preserve"> </w:t>
      </w:r>
      <w:r w:rsidRPr="00924F97">
        <w:rPr>
          <w:rFonts w:ascii="Times New Roman" w:hAnsi="Times New Roman" w:cs="Times New Roman"/>
          <w:sz w:val="24"/>
          <w:szCs w:val="24"/>
        </w:rPr>
        <w:t xml:space="preserve"> </w:t>
      </w:r>
      <w:r>
        <w:rPr>
          <w:rFonts w:ascii="Times New Roman" w:hAnsi="Times New Roman" w:cs="Times New Roman"/>
          <w:sz w:val="24"/>
          <w:szCs w:val="24"/>
        </w:rPr>
        <w:t>OGMG/</w:t>
      </w:r>
      <w:r w:rsidRPr="00924F97">
        <w:rPr>
          <w:rFonts w:ascii="Times New Roman" w:hAnsi="Times New Roman" w:cs="Times New Roman"/>
          <w:sz w:val="24"/>
          <w:szCs w:val="24"/>
        </w:rPr>
        <w:t>RESA’s opposition is perplexing as it seems to overlook the fact that the responsibility is on the CR</w:t>
      </w:r>
      <w:r>
        <w:rPr>
          <w:rFonts w:ascii="Times New Roman" w:hAnsi="Times New Roman" w:cs="Times New Roman"/>
          <w:sz w:val="24"/>
          <w:szCs w:val="24"/>
        </w:rPr>
        <w:t xml:space="preserve">NGS </w:t>
      </w:r>
      <w:r w:rsidRPr="00924F97">
        <w:rPr>
          <w:rFonts w:ascii="Times New Roman" w:hAnsi="Times New Roman" w:cs="Times New Roman"/>
          <w:sz w:val="24"/>
          <w:szCs w:val="24"/>
        </w:rPr>
        <w:t xml:space="preserve">provider </w:t>
      </w:r>
      <w:r>
        <w:rPr>
          <w:rFonts w:ascii="Times New Roman" w:hAnsi="Times New Roman" w:cs="Times New Roman"/>
          <w:sz w:val="24"/>
          <w:szCs w:val="24"/>
        </w:rPr>
        <w:t xml:space="preserve">and governmental aggregators </w:t>
      </w:r>
      <w:r w:rsidRPr="00924F97">
        <w:rPr>
          <w:rFonts w:ascii="Times New Roman" w:hAnsi="Times New Roman" w:cs="Times New Roman"/>
          <w:sz w:val="24"/>
          <w:szCs w:val="24"/>
        </w:rPr>
        <w:t xml:space="preserve">to know the local laws, rules, and ordinances applicable to their marketing practices.  </w:t>
      </w:r>
    </w:p>
    <w:p w:rsidR="00BD5899" w:rsidRDefault="00BD5899" w:rsidP="00924F97">
      <w:pPr>
        <w:pStyle w:val="NoSpacing"/>
        <w:spacing w:line="480" w:lineRule="auto"/>
        <w:ind w:firstLine="720"/>
        <w:rPr>
          <w:rFonts w:ascii="Times New Roman" w:hAnsi="Times New Roman" w:cs="Times New Roman"/>
          <w:sz w:val="24"/>
          <w:szCs w:val="24"/>
        </w:rPr>
      </w:pPr>
      <w:r w:rsidRPr="00924F97">
        <w:rPr>
          <w:rFonts w:ascii="Times New Roman" w:hAnsi="Times New Roman" w:cs="Times New Roman"/>
          <w:sz w:val="24"/>
          <w:szCs w:val="24"/>
        </w:rPr>
        <w:t xml:space="preserve">And contrary to </w:t>
      </w:r>
      <w:r>
        <w:rPr>
          <w:rFonts w:ascii="Times New Roman" w:hAnsi="Times New Roman" w:cs="Times New Roman"/>
          <w:sz w:val="24"/>
          <w:szCs w:val="24"/>
        </w:rPr>
        <w:t xml:space="preserve">the OGMG/ </w:t>
      </w:r>
      <w:r w:rsidRPr="00924F97">
        <w:rPr>
          <w:rFonts w:ascii="Times New Roman" w:hAnsi="Times New Roman" w:cs="Times New Roman"/>
          <w:sz w:val="24"/>
          <w:szCs w:val="24"/>
        </w:rPr>
        <w:t>RESA</w:t>
      </w:r>
      <w:r>
        <w:rPr>
          <w:rFonts w:ascii="Times New Roman" w:hAnsi="Times New Roman" w:cs="Times New Roman"/>
          <w:sz w:val="24"/>
          <w:szCs w:val="24"/>
        </w:rPr>
        <w:t>’s</w:t>
      </w:r>
      <w:r w:rsidRPr="00924F97">
        <w:rPr>
          <w:rFonts w:ascii="Times New Roman" w:hAnsi="Times New Roman" w:cs="Times New Roman"/>
          <w:sz w:val="24"/>
          <w:szCs w:val="24"/>
        </w:rPr>
        <w:t xml:space="preserve"> assertion that the Commission is not in a position to judge the violation of an ordinance,</w:t>
      </w:r>
      <w:r w:rsidRPr="00924F97">
        <w:rPr>
          <w:rFonts w:ascii="Times New Roman" w:hAnsi="Times New Roman" w:cs="Times New Roman"/>
          <w:sz w:val="24"/>
          <w:szCs w:val="24"/>
          <w:vertAlign w:val="superscript"/>
        </w:rPr>
        <w:footnoteReference w:id="51"/>
      </w:r>
      <w:r>
        <w:rPr>
          <w:rFonts w:ascii="Times New Roman" w:hAnsi="Times New Roman" w:cs="Times New Roman"/>
          <w:sz w:val="24"/>
          <w:szCs w:val="24"/>
        </w:rPr>
        <w:t xml:space="preserve"> </w:t>
      </w:r>
      <w:r w:rsidRPr="00924F97">
        <w:rPr>
          <w:rFonts w:ascii="Times New Roman" w:hAnsi="Times New Roman" w:cs="Times New Roman"/>
          <w:sz w:val="24"/>
          <w:szCs w:val="24"/>
        </w:rPr>
        <w:t>the Commission has a public duty pursuant to the certification of CR</w:t>
      </w:r>
      <w:r>
        <w:rPr>
          <w:rFonts w:ascii="Times New Roman" w:hAnsi="Times New Roman" w:cs="Times New Roman"/>
          <w:sz w:val="24"/>
          <w:szCs w:val="24"/>
        </w:rPr>
        <w:t xml:space="preserve">NGS and governmental aggregators </w:t>
      </w:r>
      <w:r w:rsidRPr="00924F97">
        <w:rPr>
          <w:rFonts w:ascii="Times New Roman" w:hAnsi="Times New Roman" w:cs="Times New Roman"/>
          <w:sz w:val="24"/>
          <w:szCs w:val="24"/>
        </w:rPr>
        <w:t>to protect customers from unfair, deceptive, or unconscionable acts or practices.</w:t>
      </w:r>
      <w:r w:rsidRPr="00924F97">
        <w:rPr>
          <w:rFonts w:ascii="Times New Roman" w:hAnsi="Times New Roman" w:cs="Times New Roman"/>
          <w:sz w:val="24"/>
          <w:szCs w:val="24"/>
          <w:vertAlign w:val="superscript"/>
        </w:rPr>
        <w:footnoteReference w:id="52"/>
      </w:r>
      <w:r w:rsidRPr="00924F97">
        <w:rPr>
          <w:rFonts w:ascii="Times New Roman" w:hAnsi="Times New Roman" w:cs="Times New Roman"/>
          <w:sz w:val="24"/>
          <w:szCs w:val="24"/>
        </w:rPr>
        <w:t xml:space="preserve">  Accordingly, OCC </w:t>
      </w:r>
      <w:r>
        <w:rPr>
          <w:rFonts w:ascii="Times New Roman" w:hAnsi="Times New Roman" w:cs="Times New Roman"/>
          <w:sz w:val="24"/>
          <w:szCs w:val="24"/>
        </w:rPr>
        <w:t>supports the proposed Staff recommendation and urges the Commission to reject the OGMG/RESA proposal</w:t>
      </w:r>
      <w:r w:rsidRPr="00924F97">
        <w:rPr>
          <w:rFonts w:ascii="Times New Roman" w:hAnsi="Times New Roman" w:cs="Times New Roman"/>
          <w:sz w:val="24"/>
          <w:szCs w:val="24"/>
        </w:rPr>
        <w:t>.</w:t>
      </w:r>
    </w:p>
    <w:p w:rsidR="00BD5899" w:rsidRDefault="00BD5899" w:rsidP="001F58AC">
      <w:pPr>
        <w:pStyle w:val="NoSpacing"/>
        <w:spacing w:after="240"/>
        <w:ind w:left="720" w:firstLine="720"/>
        <w:rPr>
          <w:rFonts w:ascii="Times New Roman" w:hAnsi="Times New Roman" w:cs="Times New Roman"/>
          <w:b/>
          <w:bCs/>
          <w:sz w:val="24"/>
          <w:szCs w:val="24"/>
        </w:rPr>
      </w:pPr>
      <w:r w:rsidRPr="005F2DEF">
        <w:rPr>
          <w:rFonts w:ascii="Times New Roman" w:hAnsi="Times New Roman" w:cs="Times New Roman"/>
          <w:b/>
          <w:bCs/>
          <w:sz w:val="24"/>
          <w:szCs w:val="24"/>
        </w:rPr>
        <w:t xml:space="preserve">4901:1-29-05(C)(1) </w:t>
      </w:r>
      <w:r w:rsidR="00D61820">
        <w:rPr>
          <w:rFonts w:ascii="Times New Roman" w:hAnsi="Times New Roman" w:cs="Times New Roman"/>
          <w:b/>
          <w:bCs/>
          <w:sz w:val="24"/>
          <w:szCs w:val="24"/>
        </w:rPr>
        <w:t>-</w:t>
      </w:r>
      <w:r w:rsidRPr="005F2DEF">
        <w:rPr>
          <w:rFonts w:ascii="Times New Roman" w:hAnsi="Times New Roman" w:cs="Times New Roman"/>
          <w:b/>
          <w:bCs/>
          <w:sz w:val="24"/>
          <w:szCs w:val="24"/>
        </w:rPr>
        <w:t xml:space="preserve"> (C )(11)</w:t>
      </w:r>
      <w:r>
        <w:rPr>
          <w:rFonts w:ascii="Times New Roman" w:hAnsi="Times New Roman" w:cs="Times New Roman"/>
          <w:b/>
          <w:bCs/>
          <w:sz w:val="24"/>
          <w:szCs w:val="24"/>
        </w:rPr>
        <w:t>.</w:t>
      </w:r>
    </w:p>
    <w:p w:rsidR="00BD5899" w:rsidRPr="00D637A2" w:rsidRDefault="00BD5899" w:rsidP="00FD4BA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OGMG/</w:t>
      </w:r>
      <w:r w:rsidRPr="00D637A2">
        <w:rPr>
          <w:rFonts w:ascii="Times New Roman" w:hAnsi="Times New Roman" w:cs="Times New Roman"/>
          <w:sz w:val="24"/>
          <w:szCs w:val="24"/>
        </w:rPr>
        <w:t>RESA proposed the removal of four items from the list of marketing acts and practices that are defined by Ohio Admin. Code 4901:1-29-05(C) as being unfair, misleading, deceptive, or unconscionable.</w:t>
      </w:r>
      <w:r w:rsidRPr="00D637A2">
        <w:rPr>
          <w:rFonts w:ascii="Times New Roman" w:hAnsi="Times New Roman" w:cs="Times New Roman"/>
          <w:sz w:val="24"/>
          <w:szCs w:val="24"/>
          <w:vertAlign w:val="superscript"/>
        </w:rPr>
        <w:footnoteReference w:id="53"/>
      </w:r>
      <w:r w:rsidRPr="00D637A2">
        <w:rPr>
          <w:rFonts w:ascii="Times New Roman" w:hAnsi="Times New Roman" w:cs="Times New Roman"/>
          <w:sz w:val="24"/>
          <w:szCs w:val="24"/>
        </w:rPr>
        <w:t xml:space="preserve">  These items include</w:t>
      </w:r>
      <w:r>
        <w:rPr>
          <w:rFonts w:ascii="Times New Roman" w:hAnsi="Times New Roman" w:cs="Times New Roman"/>
          <w:sz w:val="24"/>
          <w:szCs w:val="24"/>
        </w:rPr>
        <w:t>: 1)</w:t>
      </w:r>
      <w:r w:rsidRPr="00D637A2">
        <w:rPr>
          <w:rFonts w:ascii="Times New Roman" w:hAnsi="Times New Roman" w:cs="Times New Roman"/>
          <w:sz w:val="24"/>
          <w:szCs w:val="24"/>
        </w:rPr>
        <w:t xml:space="preserve"> failing to provide a telephone number and address for customers to re</w:t>
      </w:r>
      <w:r>
        <w:rPr>
          <w:rFonts w:ascii="Times New Roman" w:hAnsi="Times New Roman" w:cs="Times New Roman"/>
          <w:sz w:val="24"/>
          <w:szCs w:val="24"/>
        </w:rPr>
        <w:t>quest more detailed information; 2)</w:t>
      </w:r>
      <w:r w:rsidRPr="00D637A2">
        <w:rPr>
          <w:rFonts w:ascii="Times New Roman" w:hAnsi="Times New Roman" w:cs="Times New Roman"/>
          <w:sz w:val="24"/>
          <w:szCs w:val="24"/>
        </w:rPr>
        <w:t xml:space="preserve"> not adhering to current standards regarding the do</w:t>
      </w:r>
      <w:r>
        <w:rPr>
          <w:rFonts w:ascii="Times New Roman" w:hAnsi="Times New Roman" w:cs="Times New Roman"/>
          <w:sz w:val="24"/>
          <w:szCs w:val="24"/>
        </w:rPr>
        <w:t>-</w:t>
      </w:r>
      <w:r w:rsidRPr="00D637A2">
        <w:rPr>
          <w:rFonts w:ascii="Times New Roman" w:hAnsi="Times New Roman" w:cs="Times New Roman"/>
          <w:sz w:val="24"/>
          <w:szCs w:val="24"/>
        </w:rPr>
        <w:t>not</w:t>
      </w:r>
      <w:r>
        <w:rPr>
          <w:rFonts w:ascii="Times New Roman" w:hAnsi="Times New Roman" w:cs="Times New Roman"/>
          <w:sz w:val="24"/>
          <w:szCs w:val="24"/>
        </w:rPr>
        <w:t>-</w:t>
      </w:r>
      <w:r w:rsidRPr="00D637A2">
        <w:rPr>
          <w:rFonts w:ascii="Times New Roman" w:hAnsi="Times New Roman" w:cs="Times New Roman"/>
          <w:sz w:val="24"/>
          <w:szCs w:val="24"/>
        </w:rPr>
        <w:t>cal</w:t>
      </w:r>
      <w:r>
        <w:rPr>
          <w:rFonts w:ascii="Times New Roman" w:hAnsi="Times New Roman" w:cs="Times New Roman"/>
          <w:sz w:val="24"/>
          <w:szCs w:val="24"/>
        </w:rPr>
        <w:t xml:space="preserve">l list; 3) </w:t>
      </w:r>
      <w:r w:rsidRPr="00D637A2">
        <w:rPr>
          <w:rFonts w:ascii="Times New Roman" w:hAnsi="Times New Roman" w:cs="Times New Roman"/>
          <w:sz w:val="24"/>
          <w:szCs w:val="24"/>
        </w:rPr>
        <w:t>not engaging in telemarketing befo</w:t>
      </w:r>
      <w:r>
        <w:rPr>
          <w:rFonts w:ascii="Times New Roman" w:hAnsi="Times New Roman" w:cs="Times New Roman"/>
          <w:sz w:val="24"/>
          <w:szCs w:val="24"/>
        </w:rPr>
        <w:t>re 9:00 a.m. or after 9:00 p.m.; and 4)</w:t>
      </w:r>
      <w:r w:rsidRPr="00D637A2">
        <w:rPr>
          <w:rFonts w:ascii="Times New Roman" w:hAnsi="Times New Roman" w:cs="Times New Roman"/>
          <w:sz w:val="24"/>
          <w:szCs w:val="24"/>
        </w:rPr>
        <w:t xml:space="preserve"> not complying with local laws and ordinances while performing door to door solicitations.</w:t>
      </w:r>
      <w:r w:rsidRPr="00D637A2">
        <w:rPr>
          <w:rFonts w:ascii="Times New Roman" w:hAnsi="Times New Roman" w:cs="Times New Roman"/>
          <w:sz w:val="24"/>
          <w:szCs w:val="24"/>
          <w:vertAlign w:val="superscript"/>
        </w:rPr>
        <w:footnoteReference w:id="54"/>
      </w:r>
    </w:p>
    <w:p w:rsidR="00BD5899" w:rsidRDefault="00BD5899" w:rsidP="00FD4BAD">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 Commission should reject the OGMG/</w:t>
      </w:r>
      <w:r w:rsidRPr="00D637A2">
        <w:rPr>
          <w:rFonts w:ascii="Times New Roman" w:hAnsi="Times New Roman" w:cs="Times New Roman"/>
          <w:sz w:val="24"/>
          <w:szCs w:val="24"/>
        </w:rPr>
        <w:t>RESA proposal because of the potential harm to consumers.  Customers should have readily available phone numbers and addresse</w:t>
      </w:r>
      <w:r>
        <w:rPr>
          <w:rFonts w:ascii="Times New Roman" w:hAnsi="Times New Roman" w:cs="Times New Roman"/>
          <w:sz w:val="24"/>
          <w:szCs w:val="24"/>
        </w:rPr>
        <w:t>s</w:t>
      </w:r>
      <w:r w:rsidRPr="00D637A2">
        <w:rPr>
          <w:rFonts w:ascii="Times New Roman" w:hAnsi="Times New Roman" w:cs="Times New Roman"/>
          <w:sz w:val="24"/>
          <w:szCs w:val="24"/>
        </w:rPr>
        <w:t xml:space="preserve"> for obtaining more detailed information and to have quest</w:t>
      </w:r>
      <w:r>
        <w:rPr>
          <w:rFonts w:ascii="Times New Roman" w:hAnsi="Times New Roman" w:cs="Times New Roman"/>
          <w:sz w:val="24"/>
          <w:szCs w:val="24"/>
        </w:rPr>
        <w:t xml:space="preserve">ions answered by CRNGS </w:t>
      </w:r>
      <w:r w:rsidRPr="00D637A2">
        <w:rPr>
          <w:rFonts w:ascii="Times New Roman" w:hAnsi="Times New Roman" w:cs="Times New Roman"/>
          <w:sz w:val="24"/>
          <w:szCs w:val="24"/>
        </w:rPr>
        <w:t xml:space="preserve">or governmental aggregators who are providing advertising and marketing materials to consumers.  In addition, customers have a right to privacy in their own homes and </w:t>
      </w:r>
      <w:r>
        <w:rPr>
          <w:rFonts w:ascii="Times New Roman" w:hAnsi="Times New Roman" w:cs="Times New Roman"/>
          <w:sz w:val="24"/>
          <w:szCs w:val="24"/>
        </w:rPr>
        <w:t xml:space="preserve">a right </w:t>
      </w:r>
      <w:r w:rsidRPr="00D637A2">
        <w:rPr>
          <w:rFonts w:ascii="Times New Roman" w:hAnsi="Times New Roman" w:cs="Times New Roman"/>
          <w:sz w:val="24"/>
          <w:szCs w:val="24"/>
        </w:rPr>
        <w:t>to not be bothered with unwanted telemark</w:t>
      </w:r>
      <w:r>
        <w:rPr>
          <w:rFonts w:ascii="Times New Roman" w:hAnsi="Times New Roman" w:cs="Times New Roman"/>
          <w:sz w:val="24"/>
          <w:szCs w:val="24"/>
        </w:rPr>
        <w:t>eting calls at all hours, and for</w:t>
      </w:r>
      <w:r w:rsidRPr="00D637A2">
        <w:rPr>
          <w:rFonts w:ascii="Times New Roman" w:hAnsi="Times New Roman" w:cs="Times New Roman"/>
          <w:sz w:val="24"/>
          <w:szCs w:val="24"/>
        </w:rPr>
        <w:t xml:space="preserve"> the assurance for safety knowing that </w:t>
      </w:r>
      <w:r>
        <w:rPr>
          <w:rFonts w:ascii="Times New Roman" w:hAnsi="Times New Roman" w:cs="Times New Roman"/>
          <w:sz w:val="24"/>
          <w:szCs w:val="24"/>
        </w:rPr>
        <w:t>CRNGS door-to-door solicitors</w:t>
      </w:r>
      <w:r w:rsidRPr="00D637A2">
        <w:rPr>
          <w:rFonts w:ascii="Times New Roman" w:hAnsi="Times New Roman" w:cs="Times New Roman"/>
          <w:sz w:val="24"/>
          <w:szCs w:val="24"/>
        </w:rPr>
        <w:t xml:space="preserve"> are adhering local laws and ordinances concerning these practices.  The Commission</w:t>
      </w:r>
      <w:r>
        <w:rPr>
          <w:rFonts w:ascii="Times New Roman" w:hAnsi="Times New Roman" w:cs="Times New Roman"/>
          <w:sz w:val="24"/>
          <w:szCs w:val="24"/>
        </w:rPr>
        <w:t xml:space="preserve"> should reject </w:t>
      </w:r>
      <w:r w:rsidRPr="00D637A2">
        <w:rPr>
          <w:rFonts w:ascii="Times New Roman" w:hAnsi="Times New Roman" w:cs="Times New Roman"/>
          <w:sz w:val="24"/>
          <w:szCs w:val="24"/>
        </w:rPr>
        <w:t xml:space="preserve">the OGMG/RESA recommendation and ensure that the </w:t>
      </w:r>
      <w:r>
        <w:rPr>
          <w:rFonts w:ascii="Times New Roman" w:hAnsi="Times New Roman" w:cs="Times New Roman"/>
          <w:sz w:val="24"/>
          <w:szCs w:val="24"/>
        </w:rPr>
        <w:t>CRNGS</w:t>
      </w:r>
      <w:r w:rsidRPr="00D637A2">
        <w:rPr>
          <w:rFonts w:ascii="Times New Roman" w:hAnsi="Times New Roman" w:cs="Times New Roman"/>
          <w:sz w:val="24"/>
          <w:szCs w:val="24"/>
        </w:rPr>
        <w:t xml:space="preserve"> and government aggregators comply with Ohio Admin. Code 4901:1-29-05(C)(1) through (C)(11).</w:t>
      </w:r>
    </w:p>
    <w:p w:rsidR="00BD5899" w:rsidRPr="0099789E" w:rsidRDefault="00BD5899" w:rsidP="00AA1CB9">
      <w:pPr>
        <w:pStyle w:val="Heading3"/>
        <w:rPr>
          <w:rFonts w:cs="Times New Roman"/>
        </w:rPr>
      </w:pPr>
      <w:bookmarkStart w:id="27" w:name="_Toc347751999"/>
      <w:bookmarkStart w:id="28" w:name="_Toc347928821"/>
      <w:r w:rsidRPr="0099789E">
        <w:t>4901:1-29-06 - Customer Enrollments and Consent</w:t>
      </w:r>
      <w:bookmarkEnd w:id="27"/>
      <w:r>
        <w:t>.</w:t>
      </w:r>
      <w:bookmarkEnd w:id="28"/>
    </w:p>
    <w:p w:rsidR="00BD5899" w:rsidRDefault="00BD5899" w:rsidP="001F58AC">
      <w:pPr>
        <w:pStyle w:val="NoSpacing"/>
        <w:spacing w:line="480" w:lineRule="auto"/>
        <w:ind w:left="720" w:firstLine="720"/>
        <w:rPr>
          <w:rFonts w:ascii="Times New Roman" w:hAnsi="Times New Roman" w:cs="Times New Roman"/>
          <w:b/>
          <w:bCs/>
          <w:sz w:val="24"/>
          <w:szCs w:val="24"/>
        </w:rPr>
      </w:pPr>
      <w:r w:rsidRPr="00F45558">
        <w:rPr>
          <w:rFonts w:ascii="Times New Roman" w:hAnsi="Times New Roman" w:cs="Times New Roman"/>
          <w:b/>
          <w:bCs/>
          <w:sz w:val="24"/>
          <w:szCs w:val="24"/>
        </w:rPr>
        <w:t>4901:1-29-06(B)</w:t>
      </w:r>
      <w:r>
        <w:rPr>
          <w:rFonts w:ascii="Times New Roman" w:hAnsi="Times New Roman" w:cs="Times New Roman"/>
          <w:b/>
          <w:bCs/>
          <w:sz w:val="24"/>
          <w:szCs w:val="24"/>
        </w:rPr>
        <w:t>.</w:t>
      </w:r>
    </w:p>
    <w:p w:rsidR="00BD5899" w:rsidRDefault="00BD5899" w:rsidP="00F55746">
      <w:pPr>
        <w:pStyle w:val="NoSpacing"/>
        <w:spacing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Ohio Admin. Code 4901:1-29-06 governs th</w:t>
      </w:r>
      <w:r>
        <w:rPr>
          <w:rFonts w:ascii="Times New Roman" w:hAnsi="Times New Roman" w:cs="Times New Roman"/>
          <w:sz w:val="24"/>
          <w:szCs w:val="24"/>
        </w:rPr>
        <w:t xml:space="preserve">e procedures for CRNGS </w:t>
      </w:r>
      <w:r w:rsidRPr="0099789E">
        <w:rPr>
          <w:rFonts w:ascii="Times New Roman" w:hAnsi="Times New Roman" w:cs="Times New Roman"/>
          <w:sz w:val="24"/>
          <w:szCs w:val="24"/>
        </w:rPr>
        <w:t xml:space="preserve">and government aggregators to enroll customers and the coordination process with the </w:t>
      </w:r>
      <w:r>
        <w:rPr>
          <w:rFonts w:ascii="Times New Roman" w:hAnsi="Times New Roman" w:cs="Times New Roman"/>
          <w:sz w:val="24"/>
          <w:szCs w:val="24"/>
        </w:rPr>
        <w:t>LDC</w:t>
      </w:r>
      <w:r w:rsidRPr="0099789E">
        <w:rPr>
          <w:rFonts w:ascii="Times New Roman" w:hAnsi="Times New Roman" w:cs="Times New Roman"/>
          <w:sz w:val="24"/>
          <w:szCs w:val="24"/>
        </w:rPr>
        <w:t>.</w:t>
      </w:r>
      <w:r>
        <w:rPr>
          <w:rFonts w:ascii="Times New Roman" w:hAnsi="Times New Roman" w:cs="Times New Roman"/>
          <w:sz w:val="24"/>
          <w:szCs w:val="24"/>
        </w:rPr>
        <w:t xml:space="preserve">  Duke Retail addressed an issue concerning the high monthly charges that customers pay for natural gas service to the Utility using the straight fixed variable (“SFV”) rate design and the impact on CRNGS.</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Duke </w:t>
      </w:r>
      <w:r w:rsidR="004E397E">
        <w:rPr>
          <w:rFonts w:ascii="Times New Roman" w:hAnsi="Times New Roman" w:cs="Times New Roman"/>
          <w:sz w:val="24"/>
          <w:szCs w:val="24"/>
        </w:rPr>
        <w:t xml:space="preserve">Retail </w:t>
      </w:r>
      <w:r>
        <w:rPr>
          <w:rFonts w:ascii="Times New Roman" w:hAnsi="Times New Roman" w:cs="Times New Roman"/>
          <w:sz w:val="24"/>
          <w:szCs w:val="24"/>
        </w:rPr>
        <w:t>notes that customers are disconnecting service in the summer when there is little or no summertime need for natural gas and reconnecting again in the fall when natural gas is needed for heating.</w:t>
      </w:r>
      <w:r>
        <w:rPr>
          <w:rStyle w:val="FootnoteReference"/>
          <w:rFonts w:ascii="Times New Roman" w:hAnsi="Times New Roman" w:cs="Times New Roman"/>
          <w:sz w:val="24"/>
          <w:szCs w:val="24"/>
        </w:rPr>
        <w:footnoteReference w:id="56"/>
      </w:r>
    </w:p>
    <w:p w:rsidR="00BD5899" w:rsidRDefault="00BD5899" w:rsidP="00F55746">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Duke Retail recommends that if customers reconnect service at the same address in the fall, the customer should automatically revert to the pre-existing contract with the CRNGS provider.</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The OCC opposes the Duke Retail recommendation for a customer to be automatically reassigned to the same CRNGS because the termination of service would also have the effect of terminating the CRGNS contract.  The customer should revert to the standard option with the opportunity to select the same or a different </w:t>
      </w:r>
      <w:r w:rsidR="004E397E">
        <w:rPr>
          <w:rFonts w:ascii="Times New Roman" w:hAnsi="Times New Roman" w:cs="Times New Roman"/>
          <w:sz w:val="24"/>
          <w:szCs w:val="24"/>
        </w:rPr>
        <w:t>Marketer</w:t>
      </w:r>
      <w:r>
        <w:rPr>
          <w:rFonts w:ascii="Times New Roman" w:hAnsi="Times New Roman" w:cs="Times New Roman"/>
          <w:sz w:val="24"/>
          <w:szCs w:val="24"/>
        </w:rPr>
        <w:t xml:space="preserve">, if the customer so decides to do so at that time. </w:t>
      </w:r>
    </w:p>
    <w:p w:rsidR="00BD5899" w:rsidRDefault="00BD5899" w:rsidP="001F58AC">
      <w:pPr>
        <w:pStyle w:val="NoSpacing"/>
        <w:spacing w:after="240"/>
        <w:ind w:left="720" w:firstLine="720"/>
        <w:rPr>
          <w:rFonts w:ascii="Times New Roman" w:hAnsi="Times New Roman" w:cs="Times New Roman"/>
          <w:b/>
          <w:bCs/>
          <w:sz w:val="24"/>
          <w:szCs w:val="24"/>
        </w:rPr>
      </w:pPr>
      <w:r w:rsidRPr="00A4498E">
        <w:rPr>
          <w:rFonts w:ascii="Times New Roman" w:hAnsi="Times New Roman" w:cs="Times New Roman"/>
          <w:b/>
          <w:bCs/>
          <w:sz w:val="24"/>
          <w:szCs w:val="24"/>
        </w:rPr>
        <w:t>4901:1-29-06(</w:t>
      </w:r>
      <w:r>
        <w:rPr>
          <w:rFonts w:ascii="Times New Roman" w:hAnsi="Times New Roman" w:cs="Times New Roman"/>
          <w:b/>
          <w:bCs/>
          <w:sz w:val="24"/>
          <w:szCs w:val="24"/>
        </w:rPr>
        <w:t>C</w:t>
      </w:r>
      <w:r w:rsidRPr="00A4498E">
        <w:rPr>
          <w:rFonts w:ascii="Times New Roman" w:hAnsi="Times New Roman" w:cs="Times New Roman"/>
          <w:b/>
          <w:bCs/>
          <w:sz w:val="24"/>
          <w:szCs w:val="24"/>
        </w:rPr>
        <w:t>)</w:t>
      </w:r>
      <w:r>
        <w:rPr>
          <w:rFonts w:ascii="Times New Roman" w:hAnsi="Times New Roman" w:cs="Times New Roman"/>
          <w:b/>
          <w:bCs/>
          <w:sz w:val="24"/>
          <w:szCs w:val="24"/>
        </w:rPr>
        <w:t>.</w:t>
      </w:r>
    </w:p>
    <w:p w:rsidR="00BD5899" w:rsidRPr="0099789E" w:rsidRDefault="00BD5899" w:rsidP="007D79C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Pr="0099789E">
        <w:rPr>
          <w:rFonts w:ascii="Times New Roman" w:hAnsi="Times New Roman" w:cs="Times New Roman"/>
          <w:sz w:val="24"/>
          <w:szCs w:val="24"/>
        </w:rPr>
        <w:t xml:space="preserve">Staff proposed significant improvements in paragraph (C)(6) involving the door-to-door solicitation and enrollment procedures by </w:t>
      </w:r>
      <w:r>
        <w:rPr>
          <w:rFonts w:ascii="Times New Roman" w:hAnsi="Times New Roman" w:cs="Times New Roman"/>
          <w:sz w:val="24"/>
          <w:szCs w:val="24"/>
        </w:rPr>
        <w:t xml:space="preserve">requiring third-party verification </w:t>
      </w:r>
      <w:r w:rsidRPr="0099789E">
        <w:rPr>
          <w:rFonts w:ascii="Times New Roman" w:hAnsi="Times New Roman" w:cs="Times New Roman"/>
          <w:sz w:val="24"/>
          <w:szCs w:val="24"/>
        </w:rPr>
        <w:t>(“TPV”</w:t>
      </w:r>
      <w:r>
        <w:rPr>
          <w:rFonts w:ascii="Times New Roman" w:hAnsi="Times New Roman" w:cs="Times New Roman"/>
          <w:sz w:val="24"/>
          <w:szCs w:val="24"/>
        </w:rPr>
        <w:t xml:space="preserve"> or “Verification”</w:t>
      </w:r>
      <w:r w:rsidRPr="0099789E">
        <w:rPr>
          <w:rFonts w:ascii="Times New Roman" w:hAnsi="Times New Roman" w:cs="Times New Roman"/>
          <w:sz w:val="24"/>
          <w:szCs w:val="24"/>
        </w:rPr>
        <w:t xml:space="preserve">) on </w:t>
      </w:r>
      <w:r>
        <w:rPr>
          <w:rFonts w:ascii="Times New Roman" w:hAnsi="Times New Roman" w:cs="Times New Roman"/>
          <w:sz w:val="24"/>
          <w:szCs w:val="24"/>
        </w:rPr>
        <w:t xml:space="preserve">all </w:t>
      </w:r>
      <w:r w:rsidRPr="0099789E">
        <w:rPr>
          <w:rFonts w:ascii="Times New Roman" w:hAnsi="Times New Roman" w:cs="Times New Roman"/>
          <w:sz w:val="24"/>
          <w:szCs w:val="24"/>
        </w:rPr>
        <w:t>enroll</w:t>
      </w:r>
      <w:r>
        <w:rPr>
          <w:rFonts w:ascii="Times New Roman" w:hAnsi="Times New Roman" w:cs="Times New Roman"/>
          <w:sz w:val="24"/>
          <w:szCs w:val="24"/>
        </w:rPr>
        <w:t xml:space="preserve">ments performed </w:t>
      </w:r>
      <w:r w:rsidRPr="0099789E">
        <w:rPr>
          <w:rFonts w:ascii="Times New Roman" w:hAnsi="Times New Roman" w:cs="Times New Roman"/>
          <w:sz w:val="24"/>
          <w:szCs w:val="24"/>
        </w:rPr>
        <w:t>through door-to-door solicitations</w:t>
      </w:r>
      <w:r>
        <w:rPr>
          <w:rFonts w:ascii="Times New Roman" w:hAnsi="Times New Roman" w:cs="Times New Roman"/>
          <w:sz w:val="24"/>
          <w:szCs w:val="24"/>
        </w:rPr>
        <w:t>.</w:t>
      </w:r>
    </w:p>
    <w:p w:rsidR="00BD5899" w:rsidRDefault="00BD5899" w:rsidP="0099204B">
      <w:pPr>
        <w:pStyle w:val="NoSpacing"/>
        <w:spacing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Under the proposed rule the V</w:t>
      </w:r>
      <w:r>
        <w:rPr>
          <w:rFonts w:ascii="Times New Roman" w:hAnsi="Times New Roman" w:cs="Times New Roman"/>
          <w:sz w:val="24"/>
          <w:szCs w:val="24"/>
        </w:rPr>
        <w:t>erification</w:t>
      </w:r>
      <w:r w:rsidRPr="0099789E">
        <w:rPr>
          <w:rFonts w:ascii="Times New Roman" w:hAnsi="Times New Roman" w:cs="Times New Roman"/>
          <w:sz w:val="24"/>
          <w:szCs w:val="24"/>
        </w:rPr>
        <w:t xml:space="preserve"> must be conducted in accordance with </w:t>
      </w:r>
      <w:r>
        <w:rPr>
          <w:rFonts w:ascii="Times New Roman" w:hAnsi="Times New Roman" w:cs="Times New Roman"/>
          <w:sz w:val="24"/>
          <w:szCs w:val="24"/>
        </w:rPr>
        <w:t>Ohio Adm. Code</w:t>
      </w:r>
      <w:r w:rsidRPr="0099789E">
        <w:rPr>
          <w:rFonts w:ascii="Times New Roman" w:hAnsi="Times New Roman" w:cs="Times New Roman"/>
          <w:sz w:val="24"/>
          <w:szCs w:val="24"/>
        </w:rPr>
        <w:t xml:space="preserve"> 4901:1-29-06(C)(6)(b)(i)-(v).</w:t>
      </w:r>
      <w:r w:rsidRPr="0099789E">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Border</w:t>
      </w:r>
      <w:r w:rsidRPr="0099204B">
        <w:rPr>
          <w:rFonts w:ascii="Times New Roman" w:hAnsi="Times New Roman" w:cs="Times New Roman"/>
          <w:sz w:val="24"/>
          <w:szCs w:val="24"/>
        </w:rPr>
        <w:t xml:space="preserve"> recommended that</w:t>
      </w:r>
      <w:r>
        <w:rPr>
          <w:rFonts w:ascii="Times New Roman" w:hAnsi="Times New Roman" w:cs="Times New Roman"/>
          <w:sz w:val="24"/>
          <w:szCs w:val="24"/>
        </w:rPr>
        <w:t>,</w:t>
      </w:r>
      <w:r w:rsidRPr="0099204B">
        <w:rPr>
          <w:rFonts w:ascii="Times New Roman" w:hAnsi="Times New Roman" w:cs="Times New Roman"/>
          <w:sz w:val="24"/>
          <w:szCs w:val="24"/>
        </w:rPr>
        <w:t xml:space="preserve"> as an alternative to the TPV, a sales associate could initiate a video recording of the customer affirming </w:t>
      </w:r>
      <w:r>
        <w:rPr>
          <w:rFonts w:ascii="Times New Roman" w:hAnsi="Times New Roman" w:cs="Times New Roman"/>
          <w:sz w:val="24"/>
          <w:szCs w:val="24"/>
        </w:rPr>
        <w:t>the decision to switch to a CRNGS</w:t>
      </w:r>
      <w:r w:rsidRPr="0099204B">
        <w:rPr>
          <w:rFonts w:ascii="Times New Roman" w:hAnsi="Times New Roman" w:cs="Times New Roman"/>
          <w:sz w:val="24"/>
          <w:szCs w:val="24"/>
        </w:rPr>
        <w:t>.</w:t>
      </w:r>
      <w:r w:rsidRPr="0099204B">
        <w:rPr>
          <w:rFonts w:ascii="Times New Roman" w:hAnsi="Times New Roman" w:cs="Times New Roman"/>
          <w:sz w:val="24"/>
          <w:szCs w:val="24"/>
          <w:vertAlign w:val="superscript"/>
        </w:rPr>
        <w:footnoteReference w:id="59"/>
      </w:r>
      <w:r>
        <w:rPr>
          <w:rFonts w:ascii="Times New Roman" w:hAnsi="Times New Roman" w:cs="Times New Roman"/>
          <w:sz w:val="24"/>
          <w:szCs w:val="24"/>
        </w:rPr>
        <w:t xml:space="preserve">  OGMG/RESA commented that if the TPV is being used, customers should not have to be provided a copy of the acknowledgement form that lists the questions included in the TPV.  </w:t>
      </w:r>
    </w:p>
    <w:p w:rsidR="00BD5899" w:rsidRPr="0099204B" w:rsidRDefault="00BD5899" w:rsidP="0099204B">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privacy concerns with Border’s recommendation that customers be videotaped (or have their property </w:t>
      </w:r>
      <w:r w:rsidRPr="0099204B">
        <w:rPr>
          <w:rFonts w:ascii="Times New Roman" w:hAnsi="Times New Roman" w:cs="Times New Roman"/>
          <w:sz w:val="24"/>
          <w:szCs w:val="24"/>
        </w:rPr>
        <w:t xml:space="preserve">videotaped).  </w:t>
      </w:r>
      <w:r>
        <w:rPr>
          <w:rFonts w:ascii="Times New Roman" w:hAnsi="Times New Roman" w:cs="Times New Roman"/>
          <w:sz w:val="24"/>
          <w:szCs w:val="24"/>
        </w:rPr>
        <w:t>Being asked to affirm an enrollment in a videotape can be intimidating.  To the extent that CRNGS would retain such videos, privacy concerns also arise.  OCC</w:t>
      </w:r>
      <w:r w:rsidRPr="0099204B">
        <w:rPr>
          <w:rFonts w:ascii="Times New Roman" w:hAnsi="Times New Roman" w:cs="Times New Roman"/>
          <w:sz w:val="24"/>
          <w:szCs w:val="24"/>
        </w:rPr>
        <w:t xml:space="preserve"> recommends that customers should affirm the decision to switch suppliers </w:t>
      </w:r>
      <w:r>
        <w:rPr>
          <w:rFonts w:ascii="Times New Roman" w:hAnsi="Times New Roman" w:cs="Times New Roman"/>
          <w:sz w:val="24"/>
          <w:szCs w:val="24"/>
        </w:rPr>
        <w:t xml:space="preserve">in a TPV process </w:t>
      </w:r>
      <w:r w:rsidRPr="0099204B">
        <w:rPr>
          <w:rFonts w:ascii="Times New Roman" w:hAnsi="Times New Roman" w:cs="Times New Roman"/>
          <w:sz w:val="24"/>
          <w:szCs w:val="24"/>
        </w:rPr>
        <w:t xml:space="preserve">without being in the presence of the door-to-door </w:t>
      </w:r>
      <w:r w:rsidR="004E397E">
        <w:rPr>
          <w:rFonts w:ascii="Times New Roman" w:hAnsi="Times New Roman" w:cs="Times New Roman"/>
          <w:sz w:val="24"/>
          <w:szCs w:val="24"/>
        </w:rPr>
        <w:t>M</w:t>
      </w:r>
      <w:r w:rsidRPr="0099204B">
        <w:rPr>
          <w:rFonts w:ascii="Times New Roman" w:hAnsi="Times New Roman" w:cs="Times New Roman"/>
          <w:sz w:val="24"/>
          <w:szCs w:val="24"/>
        </w:rPr>
        <w:t xml:space="preserve">arketer who initiated the enrollment.  </w:t>
      </w:r>
      <w:r>
        <w:rPr>
          <w:rFonts w:ascii="Times New Roman" w:hAnsi="Times New Roman" w:cs="Times New Roman"/>
          <w:sz w:val="24"/>
          <w:szCs w:val="24"/>
        </w:rPr>
        <w:t>Regarding the OGMG/RESA proposal, the acknowledgement form is a good checklist that should be used to help ensure sales representatives are disclosing the requirements in the Commission rules.  OCC supports the continued use of the acknowledgement form along with the TPV.</w:t>
      </w:r>
    </w:p>
    <w:p w:rsidR="00BD5899" w:rsidRDefault="00BD5899" w:rsidP="00562C23">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Border also </w:t>
      </w:r>
      <w:r w:rsidRPr="00874102">
        <w:rPr>
          <w:rFonts w:ascii="Times New Roman" w:hAnsi="Times New Roman" w:cs="Times New Roman"/>
          <w:sz w:val="24"/>
          <w:szCs w:val="24"/>
        </w:rPr>
        <w:t xml:space="preserve">commented </w:t>
      </w:r>
      <w:r>
        <w:rPr>
          <w:rFonts w:ascii="Times New Roman" w:hAnsi="Times New Roman" w:cs="Times New Roman"/>
          <w:sz w:val="24"/>
          <w:szCs w:val="24"/>
        </w:rPr>
        <w:t xml:space="preserve">concerning the requirement that the </w:t>
      </w:r>
      <w:r w:rsidRPr="00874102">
        <w:rPr>
          <w:rFonts w:ascii="Times New Roman" w:hAnsi="Times New Roman" w:cs="Times New Roman"/>
          <w:sz w:val="24"/>
          <w:szCs w:val="24"/>
        </w:rPr>
        <w:t>TPV confirm that the sales agent has left the property.</w:t>
      </w:r>
      <w:r w:rsidRPr="00874102">
        <w:rPr>
          <w:rFonts w:ascii="Times New Roman" w:hAnsi="Times New Roman" w:cs="Times New Roman"/>
          <w:sz w:val="24"/>
          <w:szCs w:val="24"/>
          <w:vertAlign w:val="superscript"/>
        </w:rPr>
        <w:footnoteReference w:id="60"/>
      </w:r>
      <w:r>
        <w:rPr>
          <w:rFonts w:ascii="Times New Roman" w:hAnsi="Times New Roman" w:cs="Times New Roman"/>
          <w:sz w:val="24"/>
          <w:szCs w:val="24"/>
        </w:rPr>
        <w:t xml:space="preserve">  OGMG/RESA filed similar comments on this topic.</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The </w:t>
      </w:r>
      <w:r w:rsidRPr="00874102">
        <w:rPr>
          <w:rFonts w:ascii="Times New Roman" w:hAnsi="Times New Roman" w:cs="Times New Roman"/>
          <w:sz w:val="24"/>
          <w:szCs w:val="24"/>
        </w:rPr>
        <w:t xml:space="preserve">proposed rule prohibits a sales agent from returning to a customer’s property before, during, or after the TPV process.  But </w:t>
      </w:r>
      <w:r>
        <w:rPr>
          <w:rFonts w:ascii="Times New Roman" w:hAnsi="Times New Roman" w:cs="Times New Roman"/>
          <w:sz w:val="24"/>
          <w:szCs w:val="24"/>
        </w:rPr>
        <w:t xml:space="preserve">OGMG/RESA </w:t>
      </w:r>
      <w:r w:rsidRPr="00874102">
        <w:rPr>
          <w:rFonts w:ascii="Times New Roman" w:hAnsi="Times New Roman" w:cs="Times New Roman"/>
          <w:sz w:val="24"/>
          <w:szCs w:val="24"/>
        </w:rPr>
        <w:t xml:space="preserve">claim that there are legitimate reasons for the sales </w:t>
      </w:r>
      <w:r>
        <w:rPr>
          <w:rFonts w:ascii="Times New Roman" w:hAnsi="Times New Roman" w:cs="Times New Roman"/>
          <w:sz w:val="24"/>
          <w:szCs w:val="24"/>
        </w:rPr>
        <w:t xml:space="preserve">agent to return to the property -- </w:t>
      </w:r>
      <w:r w:rsidRPr="00874102">
        <w:rPr>
          <w:rFonts w:ascii="Times New Roman" w:hAnsi="Times New Roman" w:cs="Times New Roman"/>
          <w:sz w:val="24"/>
          <w:szCs w:val="24"/>
        </w:rPr>
        <w:t>for instance, to answer additional questions customers may have.</w:t>
      </w:r>
      <w:r w:rsidRPr="00874102">
        <w:rPr>
          <w:rFonts w:ascii="Times New Roman" w:hAnsi="Times New Roman" w:cs="Times New Roman"/>
          <w:sz w:val="24"/>
          <w:szCs w:val="24"/>
          <w:vertAlign w:val="superscript"/>
        </w:rPr>
        <w:footnoteReference w:id="62"/>
      </w:r>
    </w:p>
    <w:p w:rsidR="00BD5899" w:rsidRDefault="00BD5899" w:rsidP="00562C23">
      <w:pPr>
        <w:pStyle w:val="NoSpacing"/>
        <w:spacing w:line="480" w:lineRule="auto"/>
        <w:ind w:firstLine="720"/>
        <w:rPr>
          <w:rFonts w:ascii="Times New Roman" w:hAnsi="Times New Roman" w:cs="Times New Roman"/>
          <w:sz w:val="24"/>
          <w:szCs w:val="24"/>
        </w:rPr>
      </w:pPr>
      <w:r w:rsidRPr="00874102">
        <w:rPr>
          <w:rFonts w:ascii="Times New Roman" w:hAnsi="Times New Roman" w:cs="Times New Roman"/>
          <w:sz w:val="24"/>
          <w:szCs w:val="24"/>
        </w:rPr>
        <w:t>However, the potential for coercion or intimidation increases if a sales agent is permitted to return to the property to try to get the customer to enroll for a second time.  One potential reason a TPV would not result in a verified enrollment could be because in the process of verifying the information the sales agent provided the customer, the customer realized there were factual errors and no longer felt comfortable switching</w:t>
      </w:r>
      <w:r>
        <w:rPr>
          <w:rFonts w:ascii="Times New Roman" w:hAnsi="Times New Roman" w:cs="Times New Roman"/>
          <w:sz w:val="24"/>
          <w:szCs w:val="24"/>
        </w:rPr>
        <w:t>, or the customer may simply decide not to enroll</w:t>
      </w:r>
      <w:r w:rsidRPr="00874102">
        <w:rPr>
          <w:rFonts w:ascii="Times New Roman" w:hAnsi="Times New Roman" w:cs="Times New Roman"/>
          <w:sz w:val="24"/>
          <w:szCs w:val="24"/>
        </w:rPr>
        <w:t>.  Allowing sales agents a second opportunity to coerce a customer enrollment is not in the public interest.</w:t>
      </w:r>
      <w:r>
        <w:rPr>
          <w:rFonts w:ascii="Times New Roman" w:hAnsi="Times New Roman" w:cs="Times New Roman"/>
          <w:sz w:val="24"/>
          <w:szCs w:val="24"/>
        </w:rPr>
        <w:t xml:space="preserve">  The Commission should reject the Border and OGMG/RESA proposal.</w:t>
      </w:r>
    </w:p>
    <w:p w:rsidR="00BD5899" w:rsidRDefault="00BD5899" w:rsidP="00F55746">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OGMG/RESA also suggested that a new provision be added concerning door-to-door solicitations that CRNGS must have sales representatives trained in a manner established by the CRNGS and overseen by an employee of the CRNGS.</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However, OGMG/RESA propose that liability for trained door-to-door agents should be limited just to the door-to-door agents who work exclusively for the CRNGS provider.</w:t>
      </w:r>
      <w:r>
        <w:rPr>
          <w:rStyle w:val="FootnoteReference"/>
          <w:rFonts w:ascii="Times New Roman" w:hAnsi="Times New Roman" w:cs="Times New Roman"/>
          <w:sz w:val="24"/>
          <w:szCs w:val="24"/>
        </w:rPr>
        <w:footnoteReference w:id="64"/>
      </w:r>
      <w:r>
        <w:rPr>
          <w:rFonts w:ascii="Times New Roman" w:hAnsi="Times New Roman" w:cs="Times New Roman"/>
          <w:sz w:val="24"/>
          <w:szCs w:val="24"/>
        </w:rPr>
        <w:t xml:space="preserve">  Such a provision would have the effect of creating a loophole to protect and separate a CRNGS from agents acting on their behalf.  </w:t>
      </w:r>
    </w:p>
    <w:p w:rsidR="00BD5899" w:rsidRDefault="00BD5899" w:rsidP="00F55746">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While OCC supports CRNGS having a well-trained and well supervised sales force, the liability of the CRNGS should extend to all sales agents who are working on behalf of the CRNGS and not just those who are employed exclusively for the CRNGS.  Otherwise, an unscrupulous CRNGS might try to absolve themselves from responsibility for agents who are initiating false, misleading, and unconscionable sales practices, by claiming the agents are not exclusively working for the CRNGS.</w:t>
      </w:r>
    </w:p>
    <w:p w:rsidR="00BD5899" w:rsidRDefault="00BD5899" w:rsidP="00FA3470">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OGMG/RESA also commented concerning the Staff’s proposed rule Ohio Admin. Code 4901:1-29-06(C)(6)(e) that requires door-to-door solicitors to leave the premise when asked to do so.</w:t>
      </w:r>
      <w:r>
        <w:rPr>
          <w:rStyle w:val="FootnoteReference"/>
          <w:rFonts w:ascii="Times New Roman" w:hAnsi="Times New Roman" w:cs="Times New Roman"/>
          <w:sz w:val="24"/>
          <w:szCs w:val="24"/>
        </w:rPr>
        <w:footnoteReference w:id="65"/>
      </w:r>
      <w:r>
        <w:rPr>
          <w:rFonts w:ascii="Times New Roman" w:hAnsi="Times New Roman" w:cs="Times New Roman"/>
          <w:sz w:val="24"/>
          <w:szCs w:val="24"/>
        </w:rPr>
        <w:t xml:space="preserve">  OGMG/RESA </w:t>
      </w:r>
      <w:r w:rsidRPr="00761895">
        <w:rPr>
          <w:rFonts w:ascii="Times New Roman" w:hAnsi="Times New Roman" w:cs="Times New Roman"/>
          <w:sz w:val="24"/>
          <w:szCs w:val="24"/>
        </w:rPr>
        <w:t>recommends that customers must “expressly” request that the agent leave the premises before an agent actually be required to leave.</w:t>
      </w:r>
      <w:r w:rsidRPr="00761895">
        <w:rPr>
          <w:rFonts w:ascii="Times New Roman" w:hAnsi="Times New Roman" w:cs="Times New Roman"/>
          <w:sz w:val="24"/>
          <w:szCs w:val="24"/>
          <w:vertAlign w:val="superscript"/>
        </w:rPr>
        <w:footnoteReference w:id="66"/>
      </w:r>
      <w:r>
        <w:rPr>
          <w:rFonts w:ascii="Times New Roman" w:hAnsi="Times New Roman" w:cs="Times New Roman"/>
          <w:sz w:val="24"/>
          <w:szCs w:val="24"/>
        </w:rPr>
        <w:t xml:space="preserve">  T</w:t>
      </w:r>
      <w:r w:rsidRPr="00761895">
        <w:rPr>
          <w:rFonts w:ascii="Times New Roman" w:hAnsi="Times New Roman" w:cs="Times New Roman"/>
          <w:sz w:val="24"/>
          <w:szCs w:val="24"/>
        </w:rPr>
        <w:t xml:space="preserve">he </w:t>
      </w:r>
      <w:r>
        <w:rPr>
          <w:rFonts w:ascii="Times New Roman" w:hAnsi="Times New Roman" w:cs="Times New Roman"/>
          <w:sz w:val="24"/>
          <w:szCs w:val="24"/>
        </w:rPr>
        <w:t xml:space="preserve">Commission should adopt the </w:t>
      </w:r>
      <w:r w:rsidRPr="00761895">
        <w:rPr>
          <w:rFonts w:ascii="Times New Roman" w:hAnsi="Times New Roman" w:cs="Times New Roman"/>
          <w:sz w:val="24"/>
          <w:szCs w:val="24"/>
        </w:rPr>
        <w:t>PUCO Staff</w:t>
      </w:r>
      <w:r>
        <w:rPr>
          <w:rFonts w:ascii="Times New Roman" w:hAnsi="Times New Roman" w:cs="Times New Roman"/>
          <w:sz w:val="24"/>
          <w:szCs w:val="24"/>
        </w:rPr>
        <w:t>’s proposed</w:t>
      </w:r>
      <w:r w:rsidRPr="00761895">
        <w:rPr>
          <w:rFonts w:ascii="Times New Roman" w:hAnsi="Times New Roman" w:cs="Times New Roman"/>
          <w:sz w:val="24"/>
          <w:szCs w:val="24"/>
        </w:rPr>
        <w:t xml:space="preserve"> rule as drafted</w:t>
      </w:r>
      <w:r>
        <w:rPr>
          <w:rFonts w:ascii="Times New Roman" w:hAnsi="Times New Roman" w:cs="Times New Roman"/>
          <w:sz w:val="24"/>
          <w:szCs w:val="24"/>
        </w:rPr>
        <w:t>, and should reject</w:t>
      </w:r>
      <w:r w:rsidRPr="00761895">
        <w:rPr>
          <w:rFonts w:ascii="Times New Roman" w:hAnsi="Times New Roman" w:cs="Times New Roman"/>
          <w:sz w:val="24"/>
          <w:szCs w:val="24"/>
        </w:rPr>
        <w:t xml:space="preserve"> any change in the rule that can be interpreted to not require sales agents to leave a property </w:t>
      </w:r>
      <w:r w:rsidRPr="00761895">
        <w:rPr>
          <w:rFonts w:ascii="Times New Roman" w:hAnsi="Times New Roman" w:cs="Times New Roman"/>
          <w:b/>
          <w:bCs/>
          <w:sz w:val="24"/>
          <w:szCs w:val="24"/>
        </w:rPr>
        <w:t>immediately</w:t>
      </w:r>
      <w:r>
        <w:rPr>
          <w:rFonts w:ascii="Times New Roman" w:hAnsi="Times New Roman" w:cs="Times New Roman"/>
          <w:sz w:val="24"/>
          <w:szCs w:val="24"/>
        </w:rPr>
        <w:t xml:space="preserve"> upon request.</w:t>
      </w:r>
    </w:p>
    <w:p w:rsidR="00BD5899" w:rsidRDefault="00BD5899" w:rsidP="001F58AC">
      <w:pPr>
        <w:pStyle w:val="NoSpacing"/>
        <w:spacing w:line="480" w:lineRule="auto"/>
        <w:ind w:left="720" w:firstLine="720"/>
        <w:rPr>
          <w:rFonts w:ascii="Times New Roman" w:hAnsi="Times New Roman" w:cs="Times New Roman"/>
          <w:b/>
          <w:bCs/>
          <w:sz w:val="24"/>
          <w:szCs w:val="24"/>
        </w:rPr>
      </w:pPr>
      <w:r>
        <w:rPr>
          <w:rFonts w:ascii="Times New Roman" w:hAnsi="Times New Roman" w:cs="Times New Roman"/>
          <w:b/>
          <w:bCs/>
          <w:sz w:val="24"/>
          <w:szCs w:val="24"/>
        </w:rPr>
        <w:t>4901:1-29-06(K).</w:t>
      </w:r>
    </w:p>
    <w:p w:rsidR="00BD5899" w:rsidRDefault="00BD5899" w:rsidP="00FA3470">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 PUCO Staff proposed a new rule, Ohio Admin. Code 4901:1-29-06(K), that requires customer consent to material changes in existing contracts.  OGMG/RESA object to this new proposed rule because they claim it will result in negative consequences for customers that outweigh any benefits.</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OGMG/RESA suggests that if the Commission does not reject the proposed rule as they recommend, the language should specifically be amended to exclude contract renewals.</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Finally, OGMG/RESA </w:t>
      </w:r>
      <w:r w:rsidRPr="006E4B29">
        <w:rPr>
          <w:rFonts w:ascii="Times New Roman" w:hAnsi="Times New Roman" w:cs="Times New Roman"/>
          <w:sz w:val="24"/>
          <w:szCs w:val="24"/>
        </w:rPr>
        <w:t>commented that customers are assumed to have read and understand the terms of their contracts.</w:t>
      </w:r>
      <w:r w:rsidRPr="006E4B29">
        <w:rPr>
          <w:rFonts w:ascii="Times New Roman" w:hAnsi="Times New Roman" w:cs="Times New Roman"/>
          <w:sz w:val="24"/>
          <w:szCs w:val="24"/>
          <w:vertAlign w:val="superscript"/>
        </w:rPr>
        <w:footnoteReference w:id="69"/>
      </w:r>
    </w:p>
    <w:p w:rsidR="00BD5899" w:rsidRDefault="00BD5899" w:rsidP="00FA3470">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issue of the understandability of CRNGS contracts, including automatic renewal provisions, was </w:t>
      </w:r>
      <w:r w:rsidRPr="006E4B29">
        <w:rPr>
          <w:rFonts w:ascii="Times New Roman" w:hAnsi="Times New Roman" w:cs="Times New Roman"/>
          <w:sz w:val="24"/>
          <w:szCs w:val="24"/>
        </w:rPr>
        <w:t xml:space="preserve">raised </w:t>
      </w:r>
      <w:r>
        <w:rPr>
          <w:rFonts w:ascii="Times New Roman" w:hAnsi="Times New Roman" w:cs="Times New Roman"/>
          <w:sz w:val="24"/>
          <w:szCs w:val="24"/>
        </w:rPr>
        <w:t>by OCC in the Initial Comments.</w:t>
      </w:r>
      <w:r>
        <w:rPr>
          <w:rStyle w:val="FootnoteReference"/>
          <w:rFonts w:ascii="Times New Roman" w:hAnsi="Times New Roman" w:cs="Times New Roman"/>
          <w:sz w:val="24"/>
          <w:szCs w:val="24"/>
        </w:rPr>
        <w:footnoteReference w:id="70"/>
      </w:r>
      <w:r>
        <w:rPr>
          <w:rFonts w:ascii="Times New Roman" w:hAnsi="Times New Roman" w:cs="Times New Roman"/>
          <w:sz w:val="24"/>
          <w:szCs w:val="24"/>
        </w:rPr>
        <w:t xml:space="preserve">  OCC recommended that CRNGS be required to demonstrate the adequacy and understandability of the contracts.</w:t>
      </w:r>
      <w:r>
        <w:rPr>
          <w:rStyle w:val="FootnoteReference"/>
          <w:rFonts w:ascii="Times New Roman" w:hAnsi="Times New Roman" w:cs="Times New Roman"/>
          <w:sz w:val="24"/>
          <w:szCs w:val="24"/>
        </w:rPr>
        <w:footnoteReference w:id="71"/>
      </w:r>
      <w:r>
        <w:rPr>
          <w:rFonts w:ascii="Times New Roman" w:hAnsi="Times New Roman" w:cs="Times New Roman"/>
          <w:sz w:val="24"/>
          <w:szCs w:val="24"/>
        </w:rPr>
        <w:t xml:space="preserve">  Given that Ohioans have spent more than $885 million more for natural gas than if customers had remained with the Utility’s standard offer, there are clear reasons for concern about the understandability of these contracts.</w:t>
      </w:r>
      <w:r>
        <w:rPr>
          <w:rStyle w:val="FootnoteReference"/>
          <w:rFonts w:ascii="Times New Roman" w:hAnsi="Times New Roman" w:cs="Times New Roman"/>
          <w:sz w:val="24"/>
          <w:szCs w:val="24"/>
        </w:rPr>
        <w:footnoteReference w:id="72"/>
      </w:r>
      <w:r>
        <w:rPr>
          <w:rFonts w:ascii="Times New Roman" w:hAnsi="Times New Roman" w:cs="Times New Roman"/>
          <w:sz w:val="24"/>
          <w:szCs w:val="24"/>
        </w:rPr>
        <w:t xml:space="preserve">  Requiring customer consent for material changes in contracts, including renewals, helps ensure that consumers actually make an informed decision and have access to reasonably priced natural gas service as required by statute.</w:t>
      </w:r>
      <w:r>
        <w:rPr>
          <w:rStyle w:val="FootnoteReference"/>
          <w:rFonts w:ascii="Times New Roman" w:hAnsi="Times New Roman" w:cs="Times New Roman"/>
          <w:sz w:val="24"/>
          <w:szCs w:val="24"/>
        </w:rPr>
        <w:footnoteReference w:id="73"/>
      </w:r>
    </w:p>
    <w:p w:rsidR="00BD5899" w:rsidRDefault="00BD5899" w:rsidP="00FA3470">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 Commission should reject the OGMG/RESA recommendation to eliminate the Staff’s proposed Ohio Admin. Code 4901:1-29-06(E).  The Commission should adopt the OCC’s recommendation concerning verifying the adequacy and understandability of contracts for residential consumers.</w:t>
      </w:r>
      <w:r>
        <w:rPr>
          <w:rStyle w:val="FootnoteReference"/>
          <w:rFonts w:ascii="Times New Roman" w:hAnsi="Times New Roman" w:cs="Times New Roman"/>
          <w:sz w:val="24"/>
          <w:szCs w:val="24"/>
        </w:rPr>
        <w:footnoteReference w:id="74"/>
      </w:r>
    </w:p>
    <w:p w:rsidR="00BD5899" w:rsidRPr="00DD1681" w:rsidRDefault="00BD5899" w:rsidP="00562C23">
      <w:pPr>
        <w:pStyle w:val="Heading3"/>
      </w:pPr>
      <w:bookmarkStart w:id="29" w:name="_Toc347752000"/>
      <w:bookmarkStart w:id="30" w:name="_Toc347928822"/>
      <w:r>
        <w:t>4901:1-29-09</w:t>
      </w:r>
      <w:r w:rsidR="00D61820">
        <w:t xml:space="preserve"> -</w:t>
      </w:r>
      <w:r w:rsidRPr="00DD1681">
        <w:t xml:space="preserve"> C</w:t>
      </w:r>
      <w:r>
        <w:t>ustomer Information</w:t>
      </w:r>
      <w:r w:rsidRPr="00DD1681">
        <w:t>.</w:t>
      </w:r>
      <w:bookmarkEnd w:id="29"/>
      <w:bookmarkEnd w:id="30"/>
    </w:p>
    <w:p w:rsidR="00BD5899" w:rsidRDefault="00BD5899" w:rsidP="001F58AC">
      <w:pPr>
        <w:pStyle w:val="NoSpacing"/>
        <w:spacing w:line="480" w:lineRule="auto"/>
        <w:ind w:left="720" w:firstLine="720"/>
        <w:rPr>
          <w:rFonts w:ascii="Times New Roman" w:hAnsi="Times New Roman" w:cs="Times New Roman"/>
          <w:b/>
          <w:bCs/>
          <w:sz w:val="24"/>
          <w:szCs w:val="24"/>
        </w:rPr>
      </w:pPr>
      <w:r w:rsidRPr="00761895">
        <w:rPr>
          <w:rFonts w:ascii="Times New Roman" w:hAnsi="Times New Roman" w:cs="Times New Roman"/>
          <w:b/>
          <w:bCs/>
          <w:sz w:val="24"/>
          <w:szCs w:val="24"/>
        </w:rPr>
        <w:t>4901:1-29-09(A)</w:t>
      </w:r>
      <w:r>
        <w:rPr>
          <w:rFonts w:ascii="Times New Roman" w:hAnsi="Times New Roman" w:cs="Times New Roman"/>
          <w:b/>
          <w:bCs/>
          <w:sz w:val="24"/>
          <w:szCs w:val="24"/>
        </w:rPr>
        <w:t>.</w:t>
      </w:r>
    </w:p>
    <w:p w:rsidR="00BD5899" w:rsidRDefault="00BD5899" w:rsidP="001734D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Ohio Admin. Code 4901:1-29-09 (A)(1) prohibits CRNGS or government aggregators from disclosing a customer account number or any information for any purpose other than the for the operation, maintenance, assignment, and transfer of a customer’s account.  In addition, the rule prohibits the disclosure of a customer’s social security number for any purpose other than to provide a credit check without explicit customer consent.  OGMG/RESA commented that the rule should not prohibit CRNGS who have a business relationship with a customer from offering other products and services provided by CRNGS or its agents, vendors, and affiliates.</w:t>
      </w:r>
      <w:r>
        <w:rPr>
          <w:rStyle w:val="FootnoteReference"/>
          <w:rFonts w:ascii="Times New Roman" w:hAnsi="Times New Roman" w:cs="Times New Roman"/>
          <w:sz w:val="24"/>
          <w:szCs w:val="24"/>
        </w:rPr>
        <w:footnoteReference w:id="75"/>
      </w:r>
      <w:r w:rsidR="004E397E">
        <w:rPr>
          <w:rFonts w:ascii="Times New Roman" w:hAnsi="Times New Roman" w:cs="Times New Roman"/>
          <w:sz w:val="24"/>
          <w:szCs w:val="24"/>
        </w:rPr>
        <w:t xml:space="preserve">  The Rule does not preclude a Marketer who has a business relationship with a customer from offering other products or services that the Marketer, its agents, vendors or affiliates might offer.  However, the Rule merely precludes use of the customer’s social security number which was only obtained to provide natural gas commodity service.</w:t>
      </w:r>
    </w:p>
    <w:p w:rsidR="00BD5899" w:rsidRDefault="00BD5899" w:rsidP="001734DE">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A CRNGS should not be able to disclose the customer’s utility account number, social security number or other identifying information for offering other products and services by the CRNGS or affiliates without explicit consent from the customer.  Utility customer account numbers and social security numbers were provided to the CRNGS for the specific purpose of obtaining natural gas supply.  Allowing the proliferation of this information to be used for other marketing purposes can result in significant harm for customers.  This ill-advised recommendation by OGMG/RESA should be rejected.</w:t>
      </w:r>
    </w:p>
    <w:p w:rsidR="00BD5899" w:rsidRDefault="00BD5899" w:rsidP="001F58AC">
      <w:pPr>
        <w:pStyle w:val="NoSpacing"/>
        <w:spacing w:line="480" w:lineRule="auto"/>
        <w:ind w:left="720" w:firstLine="720"/>
        <w:rPr>
          <w:rFonts w:ascii="Times New Roman" w:hAnsi="Times New Roman" w:cs="Times New Roman"/>
          <w:b/>
          <w:bCs/>
          <w:sz w:val="24"/>
          <w:szCs w:val="24"/>
        </w:rPr>
      </w:pPr>
      <w:r w:rsidRPr="00761895">
        <w:rPr>
          <w:rFonts w:ascii="Times New Roman" w:hAnsi="Times New Roman" w:cs="Times New Roman"/>
          <w:b/>
          <w:bCs/>
          <w:sz w:val="24"/>
          <w:szCs w:val="24"/>
        </w:rPr>
        <w:t>4901:1-29-0</w:t>
      </w:r>
      <w:r>
        <w:rPr>
          <w:rFonts w:ascii="Times New Roman" w:hAnsi="Times New Roman" w:cs="Times New Roman"/>
          <w:b/>
          <w:bCs/>
          <w:sz w:val="24"/>
          <w:szCs w:val="24"/>
        </w:rPr>
        <w:t>9</w:t>
      </w:r>
      <w:r w:rsidRPr="00761895">
        <w:rPr>
          <w:rFonts w:ascii="Times New Roman" w:hAnsi="Times New Roman" w:cs="Times New Roman"/>
          <w:b/>
          <w:bCs/>
          <w:sz w:val="24"/>
          <w:szCs w:val="24"/>
        </w:rPr>
        <w:t>(B) and (C)</w:t>
      </w:r>
      <w:r>
        <w:rPr>
          <w:rFonts w:ascii="Times New Roman" w:hAnsi="Times New Roman" w:cs="Times New Roman"/>
          <w:b/>
          <w:bCs/>
          <w:sz w:val="24"/>
          <w:szCs w:val="24"/>
        </w:rPr>
        <w:t>.</w:t>
      </w:r>
    </w:p>
    <w:p w:rsidR="00BD5899" w:rsidRDefault="00BD5899" w:rsidP="00032E8A">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IGS proposes amendments concerning proposed Ohio Admin. Code 4901:1-29-09(B) and (C).</w:t>
      </w:r>
      <w:r>
        <w:rPr>
          <w:rStyle w:val="FootnoteReference"/>
          <w:rFonts w:ascii="Times New Roman" w:hAnsi="Times New Roman" w:cs="Times New Roman"/>
          <w:sz w:val="24"/>
          <w:szCs w:val="24"/>
        </w:rPr>
        <w:footnoteReference w:id="76"/>
      </w:r>
      <w:r>
        <w:rPr>
          <w:rFonts w:ascii="Times New Roman" w:hAnsi="Times New Roman" w:cs="Times New Roman"/>
          <w:sz w:val="24"/>
          <w:szCs w:val="24"/>
        </w:rPr>
        <w:t xml:space="preserve">  IGS proposes that CRNGS be provided with the utility account numbers by the Utility and not customers as part of the enrollment process as contemplated in the rules.</w:t>
      </w:r>
      <w:r>
        <w:rPr>
          <w:rStyle w:val="FootnoteReference"/>
          <w:rFonts w:ascii="Times New Roman" w:hAnsi="Times New Roman" w:cs="Times New Roman"/>
          <w:sz w:val="24"/>
          <w:szCs w:val="24"/>
        </w:rPr>
        <w:footnoteReference w:id="77"/>
      </w:r>
      <w:r>
        <w:rPr>
          <w:rFonts w:ascii="Times New Roman" w:hAnsi="Times New Roman" w:cs="Times New Roman"/>
          <w:sz w:val="24"/>
          <w:szCs w:val="24"/>
        </w:rPr>
        <w:t xml:space="preserve">  IGS proposes that the Utilities include this information with the eligible customer list that is provided to all CRNGS by the Utilities.</w:t>
      </w:r>
      <w:r>
        <w:rPr>
          <w:rStyle w:val="FootnoteReference"/>
          <w:rFonts w:ascii="Times New Roman" w:hAnsi="Times New Roman" w:cs="Times New Roman"/>
          <w:sz w:val="24"/>
          <w:szCs w:val="24"/>
        </w:rPr>
        <w:footnoteReference w:id="78"/>
      </w:r>
      <w:r>
        <w:rPr>
          <w:rFonts w:ascii="Times New Roman" w:hAnsi="Times New Roman" w:cs="Times New Roman"/>
          <w:sz w:val="24"/>
          <w:szCs w:val="24"/>
        </w:rPr>
        <w:t xml:space="preserve">  IGS claims that account number access simply enhances the customer experience and makes competitive products and services more accessible to consumers.</w:t>
      </w:r>
      <w:r>
        <w:rPr>
          <w:rStyle w:val="FootnoteReference"/>
          <w:rFonts w:ascii="Times New Roman" w:hAnsi="Times New Roman" w:cs="Times New Roman"/>
          <w:sz w:val="24"/>
          <w:szCs w:val="24"/>
        </w:rPr>
        <w:footnoteReference w:id="79"/>
      </w:r>
    </w:p>
    <w:p w:rsidR="00BD5899" w:rsidRDefault="00BD5899" w:rsidP="004C69B3">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CRNGS would like to obtain access to the customer’s Utility account numbers, the potential negative consequences or harm for customers could be devastating.  The use of the Utility account number as part of the enrollment verification process is a highly effective way to help prevent slamming.  </w:t>
      </w:r>
      <w:r w:rsidRPr="00032E8A">
        <w:rPr>
          <w:rFonts w:ascii="Times New Roman" w:hAnsi="Times New Roman" w:cs="Times New Roman"/>
          <w:sz w:val="24"/>
          <w:szCs w:val="24"/>
        </w:rPr>
        <w:t xml:space="preserve">“Slamming” is defined as the </w:t>
      </w:r>
      <w:r>
        <w:rPr>
          <w:rFonts w:ascii="Times New Roman" w:hAnsi="Times New Roman" w:cs="Times New Roman"/>
          <w:sz w:val="24"/>
          <w:szCs w:val="24"/>
        </w:rPr>
        <w:t xml:space="preserve">unethical </w:t>
      </w:r>
      <w:r w:rsidRPr="00032E8A">
        <w:rPr>
          <w:rFonts w:ascii="Times New Roman" w:hAnsi="Times New Roman" w:cs="Times New Roman"/>
          <w:sz w:val="24"/>
          <w:szCs w:val="24"/>
        </w:rPr>
        <w:t xml:space="preserve">process of changing </w:t>
      </w:r>
      <w:r>
        <w:rPr>
          <w:rFonts w:ascii="Times New Roman" w:hAnsi="Times New Roman" w:cs="Times New Roman"/>
          <w:sz w:val="24"/>
          <w:szCs w:val="24"/>
        </w:rPr>
        <w:t xml:space="preserve">a </w:t>
      </w:r>
      <w:r w:rsidRPr="00032E8A">
        <w:rPr>
          <w:rFonts w:ascii="Times New Roman" w:hAnsi="Times New Roman" w:cs="Times New Roman"/>
          <w:sz w:val="24"/>
          <w:szCs w:val="24"/>
        </w:rPr>
        <w:t xml:space="preserve">customer’s </w:t>
      </w:r>
      <w:r>
        <w:rPr>
          <w:rFonts w:ascii="Times New Roman" w:hAnsi="Times New Roman" w:cs="Times New Roman"/>
          <w:sz w:val="24"/>
          <w:szCs w:val="24"/>
        </w:rPr>
        <w:t xml:space="preserve">supplier </w:t>
      </w:r>
      <w:r w:rsidRPr="00032E8A">
        <w:rPr>
          <w:rFonts w:ascii="Times New Roman" w:hAnsi="Times New Roman" w:cs="Times New Roman"/>
          <w:sz w:val="24"/>
          <w:szCs w:val="24"/>
        </w:rPr>
        <w:t xml:space="preserve">without </w:t>
      </w:r>
      <w:r>
        <w:rPr>
          <w:rFonts w:ascii="Times New Roman" w:hAnsi="Times New Roman" w:cs="Times New Roman"/>
          <w:sz w:val="24"/>
          <w:szCs w:val="24"/>
        </w:rPr>
        <w:t xml:space="preserve">customer </w:t>
      </w:r>
      <w:r w:rsidRPr="00032E8A">
        <w:rPr>
          <w:rFonts w:ascii="Times New Roman" w:hAnsi="Times New Roman" w:cs="Times New Roman"/>
          <w:sz w:val="24"/>
          <w:szCs w:val="24"/>
        </w:rPr>
        <w:t xml:space="preserve">consent. </w:t>
      </w:r>
      <w:r>
        <w:rPr>
          <w:rFonts w:ascii="Times New Roman" w:hAnsi="Times New Roman" w:cs="Times New Roman"/>
          <w:sz w:val="24"/>
          <w:szCs w:val="24"/>
        </w:rPr>
        <w:t xml:space="preserve"> Since the Utility account number is a unique identifying piece of information common between the Utility and customer, the disclosure of the account number by the customer as part of the enrollment helps validate that the customer is actually engaged in the enrollment.  </w:t>
      </w:r>
    </w:p>
    <w:p w:rsidR="00BD5899" w:rsidRDefault="00BD5899" w:rsidP="004C69B3">
      <w:pPr>
        <w:pStyle w:val="NoSpacing"/>
        <w:spacing w:line="480" w:lineRule="auto"/>
        <w:ind w:firstLine="720"/>
        <w:rPr>
          <w:rFonts w:ascii="Times New Roman" w:hAnsi="Times New Roman" w:cs="Times New Roman"/>
          <w:sz w:val="24"/>
          <w:szCs w:val="24"/>
        </w:rPr>
      </w:pPr>
      <w:r w:rsidRPr="0009039F">
        <w:rPr>
          <w:rFonts w:ascii="Times New Roman" w:hAnsi="Times New Roman" w:cs="Times New Roman"/>
          <w:sz w:val="24"/>
          <w:szCs w:val="24"/>
        </w:rPr>
        <w:t xml:space="preserve">IGS acknowledges that a “nefarious supplier” could use the account numbers to </w:t>
      </w:r>
      <w:r>
        <w:rPr>
          <w:rFonts w:ascii="Times New Roman" w:hAnsi="Times New Roman" w:cs="Times New Roman"/>
          <w:sz w:val="24"/>
          <w:szCs w:val="24"/>
        </w:rPr>
        <w:t>enroll customers without obtaining consent.</w:t>
      </w:r>
      <w:r w:rsidRPr="0009039F">
        <w:rPr>
          <w:rFonts w:ascii="Times New Roman" w:hAnsi="Times New Roman" w:cs="Times New Roman"/>
          <w:sz w:val="24"/>
          <w:szCs w:val="24"/>
          <w:vertAlign w:val="superscript"/>
        </w:rPr>
        <w:footnoteReference w:id="80"/>
      </w:r>
      <w:r>
        <w:rPr>
          <w:rFonts w:ascii="Times New Roman" w:hAnsi="Times New Roman" w:cs="Times New Roman"/>
          <w:sz w:val="24"/>
          <w:szCs w:val="24"/>
        </w:rPr>
        <w:t xml:space="preserve">  </w:t>
      </w:r>
      <w:r w:rsidRPr="0009039F">
        <w:rPr>
          <w:rFonts w:ascii="Times New Roman" w:hAnsi="Times New Roman" w:cs="Times New Roman"/>
          <w:sz w:val="24"/>
          <w:szCs w:val="24"/>
        </w:rPr>
        <w:t>However, IGS also notes that a supplier who performs slamming could risk being fined forfeitures and the revocation of their certification.</w:t>
      </w:r>
      <w:r w:rsidRPr="0009039F">
        <w:rPr>
          <w:rFonts w:ascii="Times New Roman" w:hAnsi="Times New Roman" w:cs="Times New Roman"/>
          <w:sz w:val="24"/>
          <w:szCs w:val="24"/>
          <w:vertAlign w:val="superscript"/>
        </w:rPr>
        <w:footnoteReference w:id="81"/>
      </w:r>
      <w:r>
        <w:rPr>
          <w:rFonts w:ascii="Times New Roman" w:hAnsi="Times New Roman" w:cs="Times New Roman"/>
          <w:sz w:val="24"/>
          <w:szCs w:val="24"/>
        </w:rPr>
        <w:t xml:space="preserve">  While the fact that enforcement mechanisms that can be used after-the-fact against nefarious </w:t>
      </w:r>
      <w:r w:rsidR="008A1BD6">
        <w:rPr>
          <w:rFonts w:ascii="Times New Roman" w:hAnsi="Times New Roman" w:cs="Times New Roman"/>
          <w:sz w:val="24"/>
          <w:szCs w:val="24"/>
        </w:rPr>
        <w:t>Marketers</w:t>
      </w:r>
      <w:r>
        <w:rPr>
          <w:rFonts w:ascii="Times New Roman" w:hAnsi="Times New Roman" w:cs="Times New Roman"/>
          <w:sz w:val="24"/>
          <w:szCs w:val="24"/>
        </w:rPr>
        <w:t xml:space="preserve"> can be appreciated, the PUCO should support the development and use of appropriate consumer protections and practices that prevent customers from being harmed by slamming in the first place.  It is better for the Commission to enforce rules that prevent problems rather than having to deal with the fallout from rules being violated -- in this case the consequences of slamming.</w:t>
      </w:r>
    </w:p>
    <w:p w:rsidR="00BD5899" w:rsidRDefault="00BD5899" w:rsidP="004C69B3">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OGMG/RESA recommended that the Commission initiate a new rule that enables enrollments to occur with the social security number, customer account number, customer birth dates, or driver’s license number.</w:t>
      </w:r>
      <w:r>
        <w:rPr>
          <w:rStyle w:val="FootnoteReference"/>
          <w:rFonts w:ascii="Times New Roman" w:hAnsi="Times New Roman" w:cs="Times New Roman"/>
          <w:sz w:val="24"/>
          <w:szCs w:val="24"/>
        </w:rPr>
        <w:footnoteReference w:id="82"/>
      </w:r>
      <w:r>
        <w:rPr>
          <w:rFonts w:ascii="Times New Roman" w:hAnsi="Times New Roman" w:cs="Times New Roman"/>
          <w:sz w:val="24"/>
          <w:szCs w:val="24"/>
        </w:rPr>
        <w:t xml:space="preserve">  </w:t>
      </w:r>
      <w:r w:rsidRPr="00614F3B">
        <w:rPr>
          <w:rFonts w:ascii="Times New Roman" w:hAnsi="Times New Roman" w:cs="Times New Roman"/>
          <w:sz w:val="24"/>
          <w:szCs w:val="24"/>
        </w:rPr>
        <w:t>Eagle Energy commented that a provision should be added to the rules to prohibit CRNGS providers from requesting social security numbers.</w:t>
      </w:r>
      <w:r w:rsidRPr="00614F3B">
        <w:rPr>
          <w:rFonts w:ascii="Times New Roman" w:hAnsi="Times New Roman" w:cs="Times New Roman"/>
          <w:sz w:val="24"/>
          <w:szCs w:val="24"/>
          <w:vertAlign w:val="superscript"/>
        </w:rPr>
        <w:footnoteReference w:id="83"/>
      </w:r>
      <w:r>
        <w:rPr>
          <w:rFonts w:ascii="Times New Roman" w:hAnsi="Times New Roman" w:cs="Times New Roman"/>
          <w:sz w:val="24"/>
          <w:szCs w:val="24"/>
        </w:rPr>
        <w:t xml:space="preserve">  OCC supports Eagle Energy’s recommended ban on the requests for social security numbers as an essential way to protect customer privacy.  </w:t>
      </w:r>
    </w:p>
    <w:p w:rsidR="00BD5899" w:rsidRDefault="00BD5899" w:rsidP="004C69B3">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enrollments using customer birth dates and/or driver’s license numbers lack the inherent protections that are afforded by the utility account number which is on the gas bill.  OCC reasons that copies of recent gas bills are likely to be information that customers would have close by when they are making </w:t>
      </w:r>
      <w:r w:rsidRPr="00A02A82">
        <w:rPr>
          <w:rFonts w:ascii="Times New Roman" w:hAnsi="Times New Roman" w:cs="Times New Roman"/>
          <w:b/>
          <w:bCs/>
          <w:sz w:val="24"/>
          <w:szCs w:val="24"/>
        </w:rPr>
        <w:t>an informed</w:t>
      </w:r>
      <w:r>
        <w:rPr>
          <w:rFonts w:ascii="Times New Roman" w:hAnsi="Times New Roman" w:cs="Times New Roman"/>
          <w:sz w:val="24"/>
          <w:szCs w:val="24"/>
        </w:rPr>
        <w:t xml:space="preserve"> choice for a CRNG supplier.</w:t>
      </w:r>
    </w:p>
    <w:p w:rsidR="00A221B2" w:rsidRDefault="00BD5899" w:rsidP="00F378E9">
      <w:pPr>
        <w:pStyle w:val="NoSpacing"/>
        <w:spacing w:line="480" w:lineRule="auto"/>
        <w:ind w:firstLine="720"/>
        <w:rPr>
          <w:rFonts w:ascii="Times New Roman" w:hAnsi="Times New Roman" w:cs="Times New Roman"/>
          <w:sz w:val="24"/>
          <w:szCs w:val="24"/>
        </w:rPr>
      </w:pPr>
      <w:r w:rsidRPr="00032E8A">
        <w:rPr>
          <w:rFonts w:ascii="Times New Roman" w:hAnsi="Times New Roman" w:cs="Times New Roman"/>
          <w:sz w:val="24"/>
          <w:szCs w:val="24"/>
        </w:rPr>
        <w:t>R.C. 492</w:t>
      </w:r>
      <w:r>
        <w:rPr>
          <w:rFonts w:ascii="Times New Roman" w:hAnsi="Times New Roman" w:cs="Times New Roman"/>
          <w:sz w:val="24"/>
          <w:szCs w:val="24"/>
        </w:rPr>
        <w:t>9</w:t>
      </w:r>
      <w:r w:rsidRPr="00032E8A">
        <w:rPr>
          <w:rFonts w:ascii="Times New Roman" w:hAnsi="Times New Roman" w:cs="Times New Roman"/>
          <w:sz w:val="24"/>
          <w:szCs w:val="24"/>
        </w:rPr>
        <w:t>.</w:t>
      </w:r>
      <w:r>
        <w:rPr>
          <w:rFonts w:ascii="Times New Roman" w:hAnsi="Times New Roman" w:cs="Times New Roman"/>
          <w:sz w:val="24"/>
          <w:szCs w:val="24"/>
        </w:rPr>
        <w:t>22</w:t>
      </w:r>
      <w:r w:rsidRPr="00032E8A">
        <w:rPr>
          <w:rFonts w:ascii="Times New Roman" w:hAnsi="Times New Roman" w:cs="Times New Roman"/>
          <w:sz w:val="24"/>
          <w:szCs w:val="24"/>
        </w:rPr>
        <w:t>(D)(</w:t>
      </w:r>
      <w:r>
        <w:rPr>
          <w:rFonts w:ascii="Times New Roman" w:hAnsi="Times New Roman" w:cs="Times New Roman"/>
          <w:sz w:val="24"/>
          <w:szCs w:val="24"/>
        </w:rPr>
        <w:t>3</w:t>
      </w:r>
      <w:r w:rsidRPr="00032E8A">
        <w:rPr>
          <w:rFonts w:ascii="Times New Roman" w:hAnsi="Times New Roman" w:cs="Times New Roman"/>
          <w:sz w:val="24"/>
          <w:szCs w:val="24"/>
        </w:rPr>
        <w:t xml:space="preserve">) imposes a </w:t>
      </w:r>
      <w:r>
        <w:rPr>
          <w:rFonts w:ascii="Times New Roman" w:hAnsi="Times New Roman" w:cs="Times New Roman"/>
          <w:sz w:val="24"/>
          <w:szCs w:val="24"/>
        </w:rPr>
        <w:t xml:space="preserve">legislated </w:t>
      </w:r>
      <w:r w:rsidRPr="00032E8A">
        <w:rPr>
          <w:rFonts w:ascii="Times New Roman" w:hAnsi="Times New Roman" w:cs="Times New Roman"/>
          <w:sz w:val="24"/>
          <w:szCs w:val="24"/>
        </w:rPr>
        <w:t xml:space="preserve">prohibition against switching or authorizing the switching of a customer’s supplier of </w:t>
      </w:r>
      <w:r>
        <w:rPr>
          <w:rFonts w:ascii="Times New Roman" w:hAnsi="Times New Roman" w:cs="Times New Roman"/>
          <w:sz w:val="24"/>
          <w:szCs w:val="24"/>
        </w:rPr>
        <w:t xml:space="preserve">natural gas service </w:t>
      </w:r>
      <w:r w:rsidRPr="00032E8A">
        <w:rPr>
          <w:rFonts w:ascii="Times New Roman" w:hAnsi="Times New Roman" w:cs="Times New Roman"/>
          <w:sz w:val="24"/>
          <w:szCs w:val="24"/>
        </w:rPr>
        <w:t>without the prior consent of the customer</w:t>
      </w:r>
      <w:r>
        <w:rPr>
          <w:rFonts w:ascii="Times New Roman" w:hAnsi="Times New Roman" w:cs="Times New Roman"/>
          <w:sz w:val="24"/>
          <w:szCs w:val="24"/>
        </w:rPr>
        <w:t xml:space="preserve"> using appropriate confirmation practices.  </w:t>
      </w:r>
      <w:r w:rsidRPr="00032E8A">
        <w:rPr>
          <w:rFonts w:ascii="Times New Roman" w:hAnsi="Times New Roman" w:cs="Times New Roman"/>
          <w:sz w:val="24"/>
          <w:szCs w:val="24"/>
        </w:rPr>
        <w:t xml:space="preserve">OCC is strongly opposed to the unethical practice of slamming and </w:t>
      </w:r>
      <w:r>
        <w:rPr>
          <w:rFonts w:ascii="Times New Roman" w:hAnsi="Times New Roman" w:cs="Times New Roman"/>
          <w:sz w:val="24"/>
          <w:szCs w:val="24"/>
        </w:rPr>
        <w:t xml:space="preserve">contends that the public interest is served when consumer protections prevent this practice.  </w:t>
      </w:r>
    </w:p>
    <w:p w:rsidR="00BD5899" w:rsidRDefault="00BD5899" w:rsidP="00F378E9">
      <w:pPr>
        <w:pStyle w:val="NoSpacing"/>
        <w:spacing w:line="480" w:lineRule="auto"/>
        <w:ind w:firstLine="720"/>
        <w:rPr>
          <w:rFonts w:ascii="Times New Roman" w:hAnsi="Times New Roman" w:cs="Times New Roman"/>
          <w:sz w:val="24"/>
          <w:szCs w:val="24"/>
        </w:rPr>
      </w:pPr>
      <w:r w:rsidRPr="00032E8A">
        <w:rPr>
          <w:rFonts w:ascii="Times New Roman" w:hAnsi="Times New Roman" w:cs="Times New Roman"/>
          <w:sz w:val="24"/>
          <w:szCs w:val="24"/>
        </w:rPr>
        <w:t xml:space="preserve">Unlike the IGS proposal </w:t>
      </w:r>
      <w:r>
        <w:rPr>
          <w:rFonts w:ascii="Times New Roman" w:hAnsi="Times New Roman" w:cs="Times New Roman"/>
          <w:sz w:val="24"/>
          <w:szCs w:val="24"/>
        </w:rPr>
        <w:t xml:space="preserve">that </w:t>
      </w:r>
      <w:r w:rsidRPr="00032E8A">
        <w:rPr>
          <w:rFonts w:ascii="Times New Roman" w:hAnsi="Times New Roman" w:cs="Times New Roman"/>
          <w:sz w:val="24"/>
          <w:szCs w:val="24"/>
        </w:rPr>
        <w:t xml:space="preserve">in essence </w:t>
      </w:r>
      <w:r>
        <w:rPr>
          <w:rFonts w:ascii="Times New Roman" w:hAnsi="Times New Roman" w:cs="Times New Roman"/>
          <w:sz w:val="24"/>
          <w:szCs w:val="24"/>
        </w:rPr>
        <w:t xml:space="preserve">supports </w:t>
      </w:r>
      <w:r w:rsidRPr="00032E8A">
        <w:rPr>
          <w:rFonts w:ascii="Times New Roman" w:hAnsi="Times New Roman" w:cs="Times New Roman"/>
          <w:sz w:val="24"/>
          <w:szCs w:val="24"/>
        </w:rPr>
        <w:t xml:space="preserve">the Commission </w:t>
      </w:r>
      <w:r>
        <w:rPr>
          <w:rFonts w:ascii="Times New Roman" w:hAnsi="Times New Roman" w:cs="Times New Roman"/>
          <w:sz w:val="24"/>
          <w:szCs w:val="24"/>
        </w:rPr>
        <w:t xml:space="preserve">taking action </w:t>
      </w:r>
      <w:r w:rsidRPr="00032E8A">
        <w:rPr>
          <w:rFonts w:ascii="Times New Roman" w:hAnsi="Times New Roman" w:cs="Times New Roman"/>
          <w:b/>
          <w:bCs/>
          <w:sz w:val="24"/>
          <w:szCs w:val="24"/>
        </w:rPr>
        <w:t>afte</w:t>
      </w:r>
      <w:r w:rsidRPr="00032E8A">
        <w:rPr>
          <w:rFonts w:ascii="Times New Roman" w:hAnsi="Times New Roman" w:cs="Times New Roman"/>
          <w:sz w:val="24"/>
          <w:szCs w:val="24"/>
        </w:rPr>
        <w:t xml:space="preserve">r </w:t>
      </w:r>
      <w:r>
        <w:rPr>
          <w:rFonts w:ascii="Times New Roman" w:hAnsi="Times New Roman" w:cs="Times New Roman"/>
          <w:sz w:val="24"/>
          <w:szCs w:val="24"/>
        </w:rPr>
        <w:t xml:space="preserve">slamming </w:t>
      </w:r>
      <w:r w:rsidRPr="00032E8A">
        <w:rPr>
          <w:rFonts w:ascii="Times New Roman" w:hAnsi="Times New Roman" w:cs="Times New Roman"/>
          <w:sz w:val="24"/>
          <w:szCs w:val="24"/>
        </w:rPr>
        <w:t xml:space="preserve">takes place, </w:t>
      </w:r>
      <w:r>
        <w:rPr>
          <w:rFonts w:ascii="Times New Roman" w:hAnsi="Times New Roman" w:cs="Times New Roman"/>
          <w:sz w:val="24"/>
          <w:szCs w:val="24"/>
        </w:rPr>
        <w:t xml:space="preserve">the </w:t>
      </w:r>
      <w:r w:rsidRPr="00032E8A">
        <w:rPr>
          <w:rFonts w:ascii="Times New Roman" w:hAnsi="Times New Roman" w:cs="Times New Roman"/>
          <w:sz w:val="24"/>
          <w:szCs w:val="24"/>
        </w:rPr>
        <w:t>OCC seeks to prevent slamming from occurring in the first place.  The current process of requiring the use of account numbers to authorize changing suppliers has been in place for many years and OCC is aware of few instances of slamming</w:t>
      </w:r>
      <w:r>
        <w:rPr>
          <w:rFonts w:ascii="Times New Roman" w:hAnsi="Times New Roman" w:cs="Times New Roman"/>
          <w:sz w:val="24"/>
          <w:szCs w:val="24"/>
        </w:rPr>
        <w:t xml:space="preserve">.  </w:t>
      </w:r>
      <w:r w:rsidRPr="00032E8A">
        <w:rPr>
          <w:rFonts w:ascii="Times New Roman" w:hAnsi="Times New Roman" w:cs="Times New Roman"/>
          <w:sz w:val="24"/>
          <w:szCs w:val="24"/>
        </w:rPr>
        <w:t xml:space="preserve">Therefore, the use of the account numbers as the unique identifier that is needed to demonstrate the customer’s authorization for changing suppliers appears to be effective.  </w:t>
      </w:r>
      <w:r>
        <w:rPr>
          <w:rFonts w:ascii="Times New Roman" w:hAnsi="Times New Roman" w:cs="Times New Roman"/>
          <w:sz w:val="24"/>
          <w:szCs w:val="24"/>
        </w:rPr>
        <w:t xml:space="preserve">The Commission should reject the IGS proposal to have the utilities provide account numbers and should continue the practice of having customers provide the account number during the </w:t>
      </w:r>
      <w:r w:rsidRPr="00761895">
        <w:rPr>
          <w:rFonts w:ascii="Times New Roman" w:hAnsi="Times New Roman" w:cs="Times New Roman"/>
          <w:sz w:val="24"/>
          <w:szCs w:val="24"/>
        </w:rPr>
        <w:t>enrollment process.</w:t>
      </w:r>
    </w:p>
    <w:p w:rsidR="00BD5899" w:rsidRDefault="00BD5899" w:rsidP="001F58AC">
      <w:pPr>
        <w:pStyle w:val="NoSpacing"/>
        <w:spacing w:line="480" w:lineRule="auto"/>
        <w:ind w:left="720" w:firstLine="720"/>
        <w:rPr>
          <w:rFonts w:ascii="Times New Roman" w:hAnsi="Times New Roman" w:cs="Times New Roman"/>
          <w:b/>
          <w:bCs/>
          <w:sz w:val="24"/>
          <w:szCs w:val="24"/>
        </w:rPr>
      </w:pPr>
      <w:r w:rsidRPr="00761895">
        <w:rPr>
          <w:rFonts w:ascii="Times New Roman" w:hAnsi="Times New Roman" w:cs="Times New Roman"/>
          <w:b/>
          <w:bCs/>
          <w:sz w:val="24"/>
          <w:szCs w:val="24"/>
        </w:rPr>
        <w:t>4901:1-29-09(C)(5)</w:t>
      </w:r>
      <w:r>
        <w:rPr>
          <w:rFonts w:ascii="Times New Roman" w:hAnsi="Times New Roman" w:cs="Times New Roman"/>
          <w:b/>
          <w:bCs/>
          <w:sz w:val="24"/>
          <w:szCs w:val="24"/>
        </w:rPr>
        <w:t>.</w:t>
      </w:r>
    </w:p>
    <w:p w:rsidR="00BD5899" w:rsidRDefault="00BD5899" w:rsidP="00F378E9">
      <w:pPr>
        <w:pStyle w:val="NoSpacing"/>
        <w:spacing w:line="480" w:lineRule="auto"/>
        <w:ind w:firstLine="720"/>
        <w:rPr>
          <w:rFonts w:ascii="Times New Roman" w:hAnsi="Times New Roman" w:cs="Times New Roman"/>
          <w:sz w:val="24"/>
          <w:szCs w:val="24"/>
        </w:rPr>
      </w:pPr>
      <w:r w:rsidRPr="006F03B4">
        <w:rPr>
          <w:rFonts w:ascii="Times New Roman" w:hAnsi="Times New Roman" w:cs="Times New Roman"/>
          <w:sz w:val="24"/>
          <w:szCs w:val="24"/>
        </w:rPr>
        <w:t xml:space="preserve">Ohio Admin. Code 4901:1-29-09(C)(5) </w:t>
      </w:r>
      <w:r>
        <w:rPr>
          <w:rFonts w:ascii="Times New Roman" w:hAnsi="Times New Roman" w:cs="Times New Roman"/>
          <w:sz w:val="24"/>
          <w:szCs w:val="24"/>
        </w:rPr>
        <w:t>requires the Utilities to disclose to customers, at least four times per year, their right to object to the Utilities sharing with CRNGS the customers’ personal identifying information (about themselves and their natural gas account).  This consumer right is commonly referred to as the “opt-off” list.  Dominion and Vectren commented that the disclosure should only be provided twice a year because the benefits do not match the costs.</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OGMG/RESA commented that the information should be conveyed to customers in a way that is more supportive of the competitive market.</w:t>
      </w:r>
      <w:r>
        <w:rPr>
          <w:rStyle w:val="FootnoteReference"/>
          <w:rFonts w:ascii="Times New Roman" w:hAnsi="Times New Roman" w:cs="Times New Roman"/>
          <w:sz w:val="24"/>
          <w:szCs w:val="24"/>
        </w:rPr>
        <w:footnoteReference w:id="85"/>
      </w:r>
    </w:p>
    <w:p w:rsidR="00BD5899" w:rsidRDefault="00BD5899" w:rsidP="00F378E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However, the legislated intent of this notice is for each Utility to provide clear and frequent notice to customers of their right to object to having their customer information provided to CRNGS.</w:t>
      </w:r>
      <w:r>
        <w:rPr>
          <w:rStyle w:val="FootnoteReference"/>
          <w:rFonts w:ascii="Times New Roman" w:hAnsi="Times New Roman" w:cs="Times New Roman"/>
          <w:sz w:val="24"/>
          <w:szCs w:val="24"/>
        </w:rPr>
        <w:footnoteReference w:id="86"/>
      </w:r>
      <w:r>
        <w:rPr>
          <w:rFonts w:ascii="Times New Roman" w:hAnsi="Times New Roman" w:cs="Times New Roman"/>
          <w:sz w:val="24"/>
          <w:szCs w:val="24"/>
        </w:rPr>
        <w:t xml:space="preserve">  Therefore, the Commission should reject the OGMG/RESA proposal to encourage customers to participate in Choice because the intent of the notice is to clearly inform customers about their right to object to having </w:t>
      </w:r>
      <w:r w:rsidR="008A1BD6">
        <w:rPr>
          <w:rFonts w:ascii="Times New Roman" w:hAnsi="Times New Roman" w:cs="Times New Roman"/>
          <w:sz w:val="24"/>
          <w:szCs w:val="24"/>
        </w:rPr>
        <w:t xml:space="preserve">their </w:t>
      </w:r>
      <w:r>
        <w:rPr>
          <w:rFonts w:ascii="Times New Roman" w:hAnsi="Times New Roman" w:cs="Times New Roman"/>
          <w:sz w:val="24"/>
          <w:szCs w:val="24"/>
        </w:rPr>
        <w:t xml:space="preserve">customer information disclosed to CRNGS.  The intent of the </w:t>
      </w:r>
      <w:r w:rsidR="008A1BD6">
        <w:rPr>
          <w:rFonts w:ascii="Times New Roman" w:hAnsi="Times New Roman" w:cs="Times New Roman"/>
          <w:sz w:val="24"/>
          <w:szCs w:val="24"/>
        </w:rPr>
        <w:t>R</w:t>
      </w:r>
      <w:r>
        <w:rPr>
          <w:rFonts w:ascii="Times New Roman" w:hAnsi="Times New Roman" w:cs="Times New Roman"/>
          <w:sz w:val="24"/>
          <w:szCs w:val="24"/>
        </w:rPr>
        <w:t xml:space="preserve">ule is not to encourage or to push customers to Choice, but instead to make sure that customers have all of the information necessary to make an informed decision regarding Choice.  Customers should retain the right to </w:t>
      </w:r>
      <w:r w:rsidR="008A1BD6">
        <w:rPr>
          <w:rFonts w:ascii="Times New Roman" w:hAnsi="Times New Roman" w:cs="Times New Roman"/>
          <w:sz w:val="24"/>
          <w:szCs w:val="24"/>
        </w:rPr>
        <w:t xml:space="preserve">not have their customer information distributed to Marketers and to </w:t>
      </w:r>
      <w:r>
        <w:rPr>
          <w:rFonts w:ascii="Times New Roman" w:hAnsi="Times New Roman" w:cs="Times New Roman"/>
          <w:sz w:val="24"/>
          <w:szCs w:val="24"/>
        </w:rPr>
        <w:t>select the standard option instead of Choice.  In addition, OCC notes that the legislature requires the notice to be sent “frequently.”  OCC does not believe that there is sufficient basis to reduce the number of notices from the current four times a year to half that number as recommended by Dominion and Vectren.  That recommendation should be rejected.</w:t>
      </w:r>
    </w:p>
    <w:p w:rsidR="00BD5899" w:rsidRPr="007B5992" w:rsidRDefault="00BD5899" w:rsidP="00562C23">
      <w:pPr>
        <w:pStyle w:val="Heading3"/>
      </w:pPr>
      <w:bookmarkStart w:id="31" w:name="_Toc347752001"/>
      <w:bookmarkStart w:id="32" w:name="_Toc347928823"/>
      <w:r w:rsidRPr="007B5992">
        <w:t>4901:1-29-1</w:t>
      </w:r>
      <w:r>
        <w:t>0</w:t>
      </w:r>
      <w:r w:rsidRPr="007B5992">
        <w:t xml:space="preserve"> - Contract </w:t>
      </w:r>
      <w:r>
        <w:t>Administration and Renewals</w:t>
      </w:r>
      <w:r w:rsidRPr="007B5992">
        <w:t>.</w:t>
      </w:r>
      <w:bookmarkEnd w:id="31"/>
      <w:bookmarkEnd w:id="32"/>
    </w:p>
    <w:p w:rsidR="00BD5899" w:rsidRDefault="00BD5899" w:rsidP="00F378E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 PUCO Staff proposed Ohio Admin. Code 4901:1-29-10(G) to include requirements for contract renewals.  The requirements for disclosure depend upon the term of the contract renewal, if there are material changes in the contract terms and conditions, and the amount of any early termination charges.  In Initial Comments, OCC raised questions concerning the adequacy and understandability of the CRNGS contracts that are being used with residential consumers.</w:t>
      </w:r>
      <w:r>
        <w:rPr>
          <w:rStyle w:val="FootnoteReference"/>
          <w:rFonts w:ascii="Times New Roman" w:hAnsi="Times New Roman" w:cs="Times New Roman"/>
          <w:sz w:val="24"/>
          <w:szCs w:val="24"/>
        </w:rPr>
        <w:footnoteReference w:id="87"/>
      </w:r>
    </w:p>
    <w:p w:rsidR="00BD5899" w:rsidRDefault="00BD5899" w:rsidP="00F378E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While not readdressing those comments here, OCC is concerned if the renewal contracts result in customers paying more for the commodity of natural gas than they would pay under the standard offer.  The Commission should continue to require customer consent for material changes in contracts as addressed earlier in these comments.  The Commission should also establish a provision in the rules alerting customers that are paying a higher variable monthly rate compared to the alternative standard option, that a lower cost option is available.  OCC suggests that if for any two consecutive months a customers is charged a monthly variable CRNGS rate that exceeds the standard option rate, then the CRNGS be required to notify customers in-writing that the lower cost standard option is available.</w:t>
      </w:r>
    </w:p>
    <w:p w:rsidR="00BD5899" w:rsidRPr="0099789E" w:rsidRDefault="00BD5899" w:rsidP="00562C23">
      <w:pPr>
        <w:pStyle w:val="Heading3"/>
      </w:pPr>
      <w:bookmarkStart w:id="33" w:name="_Toc347752002"/>
      <w:bookmarkStart w:id="34" w:name="_Toc347928824"/>
      <w:r w:rsidRPr="0099789E">
        <w:t>4901:1-29-11 - Contract Disclosure.</w:t>
      </w:r>
      <w:bookmarkEnd w:id="33"/>
      <w:bookmarkEnd w:id="34"/>
    </w:p>
    <w:p w:rsidR="00BD5899" w:rsidRPr="00984796" w:rsidRDefault="00BD5899" w:rsidP="00F92D5F">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OGMG/RESA </w:t>
      </w:r>
      <w:r w:rsidRPr="00984796">
        <w:rPr>
          <w:rFonts w:ascii="Times New Roman" w:hAnsi="Times New Roman" w:cs="Times New Roman"/>
          <w:sz w:val="24"/>
          <w:szCs w:val="24"/>
        </w:rPr>
        <w:t>commented that Ohio Admin. Code 4901:1-2</w:t>
      </w:r>
      <w:r>
        <w:rPr>
          <w:rFonts w:ascii="Times New Roman" w:hAnsi="Times New Roman" w:cs="Times New Roman"/>
          <w:sz w:val="24"/>
          <w:szCs w:val="24"/>
        </w:rPr>
        <w:t>9</w:t>
      </w:r>
      <w:r w:rsidRPr="00984796">
        <w:rPr>
          <w:rFonts w:ascii="Times New Roman" w:hAnsi="Times New Roman" w:cs="Times New Roman"/>
          <w:sz w:val="24"/>
          <w:szCs w:val="24"/>
        </w:rPr>
        <w:t>-1</w:t>
      </w:r>
      <w:r>
        <w:rPr>
          <w:rFonts w:ascii="Times New Roman" w:hAnsi="Times New Roman" w:cs="Times New Roman"/>
          <w:sz w:val="24"/>
          <w:szCs w:val="24"/>
        </w:rPr>
        <w:t>1</w:t>
      </w:r>
      <w:r w:rsidRPr="00984796">
        <w:rPr>
          <w:rFonts w:ascii="Times New Roman" w:hAnsi="Times New Roman" w:cs="Times New Roman"/>
          <w:sz w:val="24"/>
          <w:szCs w:val="24"/>
        </w:rPr>
        <w:t>(</w:t>
      </w:r>
      <w:r>
        <w:rPr>
          <w:rFonts w:ascii="Times New Roman" w:hAnsi="Times New Roman" w:cs="Times New Roman"/>
          <w:sz w:val="24"/>
          <w:szCs w:val="24"/>
        </w:rPr>
        <w:t>J</w:t>
      </w:r>
      <w:r w:rsidRPr="00984796">
        <w:rPr>
          <w:rFonts w:ascii="Times New Roman" w:hAnsi="Times New Roman" w:cs="Times New Roman"/>
          <w:sz w:val="24"/>
          <w:szCs w:val="24"/>
        </w:rPr>
        <w:t>)(</w:t>
      </w:r>
      <w:r>
        <w:rPr>
          <w:rFonts w:ascii="Times New Roman" w:hAnsi="Times New Roman" w:cs="Times New Roman"/>
          <w:sz w:val="24"/>
          <w:szCs w:val="24"/>
        </w:rPr>
        <w:t>1</w:t>
      </w:r>
      <w:r w:rsidRPr="00984796">
        <w:rPr>
          <w:rFonts w:ascii="Times New Roman" w:hAnsi="Times New Roman" w:cs="Times New Roman"/>
          <w:sz w:val="24"/>
          <w:szCs w:val="24"/>
        </w:rPr>
        <w:t>)</w:t>
      </w:r>
      <w:r>
        <w:rPr>
          <w:rFonts w:ascii="Times New Roman" w:hAnsi="Times New Roman" w:cs="Times New Roman"/>
          <w:sz w:val="24"/>
          <w:szCs w:val="24"/>
        </w:rPr>
        <w:t xml:space="preserve"> should be amended to specify that not all products are priced based on the cost per Ccf or Mcf.</w:t>
      </w:r>
      <w:r>
        <w:rPr>
          <w:rStyle w:val="FootnoteReference"/>
          <w:rFonts w:ascii="Times New Roman" w:hAnsi="Times New Roman" w:cs="Times New Roman"/>
          <w:sz w:val="24"/>
          <w:szCs w:val="24"/>
        </w:rPr>
        <w:footnoteReference w:id="88"/>
      </w:r>
      <w:r>
        <w:rPr>
          <w:rFonts w:ascii="Times New Roman" w:hAnsi="Times New Roman" w:cs="Times New Roman"/>
          <w:sz w:val="24"/>
          <w:szCs w:val="24"/>
        </w:rPr>
        <w:t xml:space="preserve">  </w:t>
      </w:r>
      <w:r w:rsidRPr="00984796">
        <w:rPr>
          <w:rFonts w:ascii="Times New Roman" w:hAnsi="Times New Roman" w:cs="Times New Roman"/>
          <w:sz w:val="24"/>
          <w:szCs w:val="24"/>
        </w:rPr>
        <w:t>To the extent that CR</w:t>
      </w:r>
      <w:r>
        <w:rPr>
          <w:rFonts w:ascii="Times New Roman" w:hAnsi="Times New Roman" w:cs="Times New Roman"/>
          <w:sz w:val="24"/>
          <w:szCs w:val="24"/>
        </w:rPr>
        <w:t>NGS</w:t>
      </w:r>
      <w:r w:rsidRPr="00984796">
        <w:rPr>
          <w:rFonts w:ascii="Times New Roman" w:hAnsi="Times New Roman" w:cs="Times New Roman"/>
          <w:sz w:val="24"/>
          <w:szCs w:val="24"/>
        </w:rPr>
        <w:t xml:space="preserve"> are not offering products that are priced on a per </w:t>
      </w:r>
      <w:r>
        <w:rPr>
          <w:rFonts w:ascii="Times New Roman" w:hAnsi="Times New Roman" w:cs="Times New Roman"/>
          <w:sz w:val="24"/>
          <w:szCs w:val="24"/>
        </w:rPr>
        <w:t xml:space="preserve">Ccf for Mcf basis, </w:t>
      </w:r>
      <w:r w:rsidRPr="00984796">
        <w:rPr>
          <w:rFonts w:ascii="Times New Roman" w:hAnsi="Times New Roman" w:cs="Times New Roman"/>
          <w:sz w:val="24"/>
          <w:szCs w:val="24"/>
        </w:rPr>
        <w:t xml:space="preserve">the Commission </w:t>
      </w:r>
      <w:r>
        <w:rPr>
          <w:rFonts w:ascii="Times New Roman" w:hAnsi="Times New Roman" w:cs="Times New Roman"/>
          <w:sz w:val="24"/>
          <w:szCs w:val="24"/>
        </w:rPr>
        <w:t xml:space="preserve">must </w:t>
      </w:r>
      <w:r w:rsidRPr="00984796">
        <w:rPr>
          <w:rFonts w:ascii="Times New Roman" w:hAnsi="Times New Roman" w:cs="Times New Roman"/>
          <w:sz w:val="24"/>
          <w:szCs w:val="24"/>
        </w:rPr>
        <w:t xml:space="preserve">ensure that customers have </w:t>
      </w:r>
      <w:r>
        <w:rPr>
          <w:rFonts w:ascii="Times New Roman" w:hAnsi="Times New Roman" w:cs="Times New Roman"/>
          <w:sz w:val="24"/>
          <w:szCs w:val="24"/>
        </w:rPr>
        <w:t>some mechanism do be able to determine the comparability of</w:t>
      </w:r>
      <w:r w:rsidRPr="00984796">
        <w:rPr>
          <w:rFonts w:ascii="Times New Roman" w:hAnsi="Times New Roman" w:cs="Times New Roman"/>
          <w:sz w:val="24"/>
          <w:szCs w:val="24"/>
        </w:rPr>
        <w:t xml:space="preserve"> prices.  OCC also reiterates its concern with the adequacy and understandability of the terms and conditions of these contracts.</w:t>
      </w:r>
      <w:r w:rsidRPr="00984796">
        <w:rPr>
          <w:rFonts w:ascii="Times New Roman" w:hAnsi="Times New Roman" w:cs="Times New Roman"/>
          <w:sz w:val="24"/>
          <w:szCs w:val="24"/>
          <w:vertAlign w:val="superscript"/>
        </w:rPr>
        <w:footnoteReference w:id="89"/>
      </w:r>
      <w:r>
        <w:rPr>
          <w:rFonts w:ascii="Times New Roman" w:hAnsi="Times New Roman" w:cs="Times New Roman"/>
          <w:sz w:val="24"/>
          <w:szCs w:val="24"/>
        </w:rPr>
        <w:t xml:space="preserve">  The PUCO Staff proposal to removal the text “in clear and understandable language” in (J) should not be adopted by the Commission because the end result would potentially be more customer confusion and not less.</w:t>
      </w:r>
    </w:p>
    <w:p w:rsidR="00BD5899" w:rsidRPr="0099789E" w:rsidRDefault="00BD5899" w:rsidP="00562C23">
      <w:pPr>
        <w:pStyle w:val="Heading3"/>
      </w:pPr>
      <w:bookmarkStart w:id="35" w:name="_Toc347752003"/>
      <w:bookmarkStart w:id="36" w:name="_Toc347928825"/>
      <w:r w:rsidRPr="0099789E">
        <w:t>4901:1-29-12</w:t>
      </w:r>
      <w:r>
        <w:t xml:space="preserve"> -</w:t>
      </w:r>
      <w:r w:rsidRPr="0099789E">
        <w:t xml:space="preserve"> Customer Billing and Payments.</w:t>
      </w:r>
      <w:bookmarkEnd w:id="35"/>
      <w:bookmarkEnd w:id="36"/>
    </w:p>
    <w:p w:rsidR="00BD5899" w:rsidRPr="000770B3" w:rsidRDefault="00BD5899" w:rsidP="000770B3">
      <w:pPr>
        <w:pStyle w:val="NoSpacing"/>
        <w:spacing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Ohio Admin. Code 4901:1-29-12</w:t>
      </w:r>
      <w:r>
        <w:rPr>
          <w:rFonts w:ascii="Times New Roman" w:hAnsi="Times New Roman" w:cs="Times New Roman"/>
          <w:sz w:val="24"/>
          <w:szCs w:val="24"/>
        </w:rPr>
        <w:t>(B)(1) – (15)</w:t>
      </w:r>
      <w:r w:rsidR="008A1BD6">
        <w:rPr>
          <w:rFonts w:ascii="Times New Roman" w:hAnsi="Times New Roman" w:cs="Times New Roman"/>
          <w:sz w:val="24"/>
          <w:szCs w:val="24"/>
        </w:rPr>
        <w:t xml:space="preserve"> </w:t>
      </w:r>
      <w:r>
        <w:rPr>
          <w:rFonts w:ascii="Times New Roman" w:hAnsi="Times New Roman" w:cs="Times New Roman"/>
          <w:sz w:val="24"/>
          <w:szCs w:val="24"/>
        </w:rPr>
        <w:t>enumerates</w:t>
      </w:r>
      <w:r w:rsidRPr="0099789E">
        <w:rPr>
          <w:rFonts w:ascii="Times New Roman" w:hAnsi="Times New Roman" w:cs="Times New Roman"/>
          <w:sz w:val="24"/>
          <w:szCs w:val="24"/>
        </w:rPr>
        <w:t xml:space="preserve"> the requirements for billing and payments rendered by </w:t>
      </w:r>
      <w:r>
        <w:rPr>
          <w:rFonts w:ascii="Times New Roman" w:hAnsi="Times New Roman" w:cs="Times New Roman"/>
          <w:sz w:val="24"/>
          <w:szCs w:val="24"/>
        </w:rPr>
        <w:t xml:space="preserve">or on behalf of a CRNGS </w:t>
      </w:r>
      <w:r w:rsidRPr="0099789E">
        <w:rPr>
          <w:rFonts w:ascii="Times New Roman" w:hAnsi="Times New Roman" w:cs="Times New Roman"/>
          <w:sz w:val="24"/>
          <w:szCs w:val="24"/>
        </w:rPr>
        <w:t xml:space="preserve">or government aggregator.  </w:t>
      </w:r>
      <w:r>
        <w:rPr>
          <w:rFonts w:ascii="Times New Roman" w:hAnsi="Times New Roman" w:cs="Times New Roman"/>
          <w:sz w:val="24"/>
          <w:szCs w:val="24"/>
        </w:rPr>
        <w:t>OGMG/RESA recommended the deletion of the OCC toll free number in (B)(12) because OCC no longer operates a call center.</w:t>
      </w:r>
      <w:r>
        <w:rPr>
          <w:rStyle w:val="FootnoteReference"/>
          <w:rFonts w:ascii="Times New Roman" w:hAnsi="Times New Roman" w:cs="Times New Roman"/>
          <w:sz w:val="24"/>
          <w:szCs w:val="24"/>
        </w:rPr>
        <w:footnoteReference w:id="90"/>
      </w:r>
      <w:r>
        <w:rPr>
          <w:rFonts w:ascii="Times New Roman" w:hAnsi="Times New Roman" w:cs="Times New Roman"/>
          <w:sz w:val="24"/>
          <w:szCs w:val="24"/>
        </w:rPr>
        <w:t xml:space="preserve">  The PUCO should once again reject </w:t>
      </w:r>
      <w:r w:rsidRPr="000770B3">
        <w:rPr>
          <w:rFonts w:ascii="Times New Roman" w:hAnsi="Times New Roman" w:cs="Times New Roman"/>
          <w:sz w:val="24"/>
          <w:szCs w:val="24"/>
        </w:rPr>
        <w:t>this recommendation.</w:t>
      </w:r>
    </w:p>
    <w:p w:rsidR="00BD5899" w:rsidRDefault="00BD5899">
      <w:pPr>
        <w:pStyle w:val="NoSpacing"/>
        <w:spacing w:line="480" w:lineRule="auto"/>
        <w:ind w:firstLine="720"/>
        <w:rPr>
          <w:rFonts w:ascii="Times New Roman" w:hAnsi="Times New Roman" w:cs="Times New Roman"/>
          <w:sz w:val="24"/>
          <w:szCs w:val="24"/>
        </w:rPr>
      </w:pPr>
      <w:r w:rsidRPr="000770B3">
        <w:rPr>
          <w:rFonts w:ascii="Times New Roman" w:hAnsi="Times New Roman" w:cs="Times New Roman"/>
          <w:sz w:val="24"/>
          <w:szCs w:val="24"/>
        </w:rPr>
        <w:t>In Case Number 11-4910-AU-ORD</w:t>
      </w:r>
      <w:r>
        <w:rPr>
          <w:rFonts w:ascii="Times New Roman" w:hAnsi="Times New Roman" w:cs="Times New Roman"/>
          <w:sz w:val="24"/>
          <w:szCs w:val="24"/>
        </w:rPr>
        <w:t>,</w:t>
      </w:r>
      <w:r w:rsidRPr="000770B3">
        <w:rPr>
          <w:rFonts w:ascii="Times New Roman" w:hAnsi="Times New Roman" w:cs="Times New Roman"/>
          <w:sz w:val="24"/>
          <w:szCs w:val="24"/>
        </w:rPr>
        <w:t xml:space="preserve"> the PUCO</w:t>
      </w:r>
      <w:r>
        <w:rPr>
          <w:rFonts w:ascii="Times New Roman" w:hAnsi="Times New Roman" w:cs="Times New Roman"/>
          <w:sz w:val="24"/>
          <w:szCs w:val="24"/>
        </w:rPr>
        <w:t xml:space="preserve"> addressed this issue, after OCC no longer operated a call center.  The PUCO</w:t>
      </w:r>
      <w:r w:rsidRPr="000770B3">
        <w:rPr>
          <w:rFonts w:ascii="Times New Roman" w:hAnsi="Times New Roman" w:cs="Times New Roman"/>
          <w:sz w:val="24"/>
          <w:szCs w:val="24"/>
        </w:rPr>
        <w:t xml:space="preserve"> found that</w:t>
      </w:r>
      <w:r>
        <w:rPr>
          <w:rFonts w:ascii="Times New Roman" w:hAnsi="Times New Roman" w:cs="Times New Roman"/>
          <w:sz w:val="24"/>
          <w:szCs w:val="24"/>
        </w:rPr>
        <w:t>,</w:t>
      </w:r>
      <w:r w:rsidRPr="000770B3">
        <w:rPr>
          <w:rFonts w:ascii="Times New Roman" w:hAnsi="Times New Roman" w:cs="Times New Roman"/>
          <w:sz w:val="24"/>
          <w:szCs w:val="24"/>
        </w:rPr>
        <w:t xml:space="preserve"> while R.C. 4911.021 specifies OCC shall not operate a telephone call center for consumer complaints, the statute does not “prohibit OCC from serving as a resource for residential consumers.”</w:t>
      </w:r>
      <w:r w:rsidRPr="000770B3">
        <w:rPr>
          <w:rFonts w:ascii="Times New Roman" w:hAnsi="Times New Roman" w:cs="Times New Roman"/>
          <w:sz w:val="24"/>
          <w:szCs w:val="24"/>
          <w:vertAlign w:val="superscript"/>
        </w:rPr>
        <w:footnoteReference w:id="91"/>
      </w:r>
      <w:r w:rsidRPr="000770B3">
        <w:rPr>
          <w:rFonts w:ascii="Times New Roman" w:hAnsi="Times New Roman" w:cs="Times New Roman"/>
          <w:sz w:val="24"/>
          <w:szCs w:val="24"/>
        </w:rPr>
        <w:t xml:space="preserve">  In fact, the Commission acknowledged that there are provisions throughout Title 49 of the Ohio Revised Code that mandate that OCC contact information be on residential bills.</w:t>
      </w:r>
      <w:r w:rsidRPr="000770B3">
        <w:rPr>
          <w:rFonts w:ascii="Times New Roman" w:hAnsi="Times New Roman" w:cs="Times New Roman"/>
          <w:sz w:val="24"/>
          <w:szCs w:val="24"/>
          <w:vertAlign w:val="superscript"/>
        </w:rPr>
        <w:footnoteReference w:id="92"/>
      </w:r>
      <w:r w:rsidRPr="000770B3">
        <w:rPr>
          <w:rFonts w:ascii="Times New Roman" w:hAnsi="Times New Roman" w:cs="Times New Roman"/>
          <w:sz w:val="24"/>
          <w:szCs w:val="24"/>
        </w:rPr>
        <w:t xml:space="preserve">  The PUCO asserted that a state entity, such as OCC, “should be available to provide customer assistance.”</w:t>
      </w:r>
      <w:r w:rsidRPr="000770B3">
        <w:rPr>
          <w:rFonts w:ascii="Times New Roman" w:hAnsi="Times New Roman" w:cs="Times New Roman"/>
          <w:sz w:val="24"/>
          <w:szCs w:val="24"/>
          <w:vertAlign w:val="superscript"/>
        </w:rPr>
        <w:footnoteReference w:id="93"/>
      </w:r>
      <w:r w:rsidRPr="000770B3">
        <w:rPr>
          <w:rFonts w:ascii="Times New Roman" w:hAnsi="Times New Roman" w:cs="Times New Roman"/>
          <w:sz w:val="24"/>
          <w:szCs w:val="24"/>
        </w:rPr>
        <w:t xml:space="preserve">  OCC is avail</w:t>
      </w:r>
      <w:r>
        <w:rPr>
          <w:rFonts w:ascii="Times New Roman" w:hAnsi="Times New Roman" w:cs="Times New Roman"/>
          <w:sz w:val="24"/>
          <w:szCs w:val="24"/>
        </w:rPr>
        <w:t>able to provide this assistance as the PUCO noted --</w:t>
      </w:r>
      <w:r w:rsidRPr="000770B3">
        <w:rPr>
          <w:rFonts w:ascii="Times New Roman" w:hAnsi="Times New Roman" w:cs="Times New Roman"/>
          <w:sz w:val="24"/>
          <w:szCs w:val="24"/>
        </w:rPr>
        <w:t xml:space="preserve"> contrary to </w:t>
      </w:r>
      <w:r>
        <w:rPr>
          <w:rFonts w:ascii="Times New Roman" w:hAnsi="Times New Roman" w:cs="Times New Roman"/>
          <w:sz w:val="24"/>
          <w:szCs w:val="24"/>
        </w:rPr>
        <w:t>OGMG/</w:t>
      </w:r>
      <w:r w:rsidRPr="000770B3">
        <w:rPr>
          <w:rFonts w:ascii="Times New Roman" w:hAnsi="Times New Roman" w:cs="Times New Roman"/>
          <w:sz w:val="24"/>
          <w:szCs w:val="24"/>
        </w:rPr>
        <w:t>RESA’s assertions.</w:t>
      </w:r>
      <w:r>
        <w:rPr>
          <w:rFonts w:ascii="Times New Roman" w:hAnsi="Times New Roman" w:cs="Times New Roman"/>
          <w:sz w:val="24"/>
          <w:szCs w:val="24"/>
        </w:rPr>
        <w:t xml:space="preserve">  For example, OCC</w:t>
      </w:r>
      <w:r w:rsidRPr="000770B3">
        <w:rPr>
          <w:rFonts w:ascii="Times New Roman" w:hAnsi="Times New Roman" w:cs="Times New Roman"/>
          <w:sz w:val="24"/>
          <w:szCs w:val="24"/>
        </w:rPr>
        <w:t xml:space="preserve"> provides educational material to customers upon request.  </w:t>
      </w:r>
    </w:p>
    <w:p w:rsidR="00BD5899" w:rsidRDefault="00BD589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The OGMG/RESA</w:t>
      </w:r>
      <w:r w:rsidRPr="000770B3">
        <w:rPr>
          <w:rFonts w:ascii="Times New Roman" w:hAnsi="Times New Roman" w:cs="Times New Roman"/>
          <w:sz w:val="24"/>
          <w:szCs w:val="24"/>
        </w:rPr>
        <w:t xml:space="preserve"> recommendation to remove the OCC toll-free number </w:t>
      </w:r>
      <w:r>
        <w:rPr>
          <w:rFonts w:ascii="Times New Roman" w:hAnsi="Times New Roman" w:cs="Times New Roman"/>
          <w:sz w:val="24"/>
          <w:szCs w:val="24"/>
        </w:rPr>
        <w:t>from CRNGS or governmental aggregator bills should be rejected.</w:t>
      </w:r>
    </w:p>
    <w:p w:rsidR="00BD5899" w:rsidRPr="0099789E" w:rsidRDefault="00BD5899" w:rsidP="00F55746">
      <w:pPr>
        <w:pStyle w:val="Heading1"/>
      </w:pPr>
      <w:bookmarkStart w:id="37" w:name="_Toc347752004"/>
      <w:bookmarkStart w:id="38" w:name="_Toc347928826"/>
      <w:r>
        <w:t>V</w:t>
      </w:r>
      <w:r w:rsidRPr="0099789E">
        <w:t>.</w:t>
      </w:r>
      <w:r w:rsidRPr="0099789E">
        <w:tab/>
        <w:t>CONCLUSION</w:t>
      </w:r>
      <w:bookmarkEnd w:id="37"/>
      <w:bookmarkEnd w:id="38"/>
    </w:p>
    <w:p w:rsidR="00BD5899" w:rsidRDefault="00BD5899" w:rsidP="002F3504">
      <w:pPr>
        <w:spacing w:after="0"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 xml:space="preserve">OCC appreciates the opportunity to provide these </w:t>
      </w:r>
      <w:r>
        <w:rPr>
          <w:rFonts w:ascii="Times New Roman" w:hAnsi="Times New Roman" w:cs="Times New Roman"/>
          <w:sz w:val="24"/>
          <w:szCs w:val="24"/>
        </w:rPr>
        <w:t xml:space="preserve">reply </w:t>
      </w:r>
      <w:r w:rsidRPr="0099789E">
        <w:rPr>
          <w:rFonts w:ascii="Times New Roman" w:hAnsi="Times New Roman" w:cs="Times New Roman"/>
          <w:sz w:val="24"/>
          <w:szCs w:val="24"/>
        </w:rPr>
        <w:t xml:space="preserve">comments regarding the proposed changes to Ohio Admin. Code Chapters 4901:1-27 through 4901:1-34.  The Commission’s adoption of OCC’s recommendations in these </w:t>
      </w:r>
      <w:r>
        <w:rPr>
          <w:rFonts w:ascii="Times New Roman" w:hAnsi="Times New Roman" w:cs="Times New Roman"/>
          <w:sz w:val="24"/>
          <w:szCs w:val="24"/>
        </w:rPr>
        <w:t>c</w:t>
      </w:r>
      <w:r w:rsidRPr="0099789E">
        <w:rPr>
          <w:rFonts w:ascii="Times New Roman" w:hAnsi="Times New Roman" w:cs="Times New Roman"/>
          <w:sz w:val="24"/>
          <w:szCs w:val="24"/>
        </w:rPr>
        <w:t xml:space="preserve">omments will provide necessary consumer protections </w:t>
      </w:r>
      <w:r>
        <w:rPr>
          <w:rFonts w:ascii="Times New Roman" w:hAnsi="Times New Roman" w:cs="Times New Roman"/>
          <w:sz w:val="24"/>
          <w:szCs w:val="24"/>
        </w:rPr>
        <w:t xml:space="preserve">by deterring </w:t>
      </w:r>
      <w:r w:rsidRPr="0099789E">
        <w:rPr>
          <w:rFonts w:ascii="Times New Roman" w:hAnsi="Times New Roman" w:cs="Times New Roman"/>
          <w:sz w:val="24"/>
          <w:szCs w:val="24"/>
        </w:rPr>
        <w:t xml:space="preserve">unfair, misleading, deceptive, or unconscionable acts or practices related to the CRNGS interactions with customers.  </w:t>
      </w:r>
      <w:r>
        <w:rPr>
          <w:rFonts w:ascii="Times New Roman" w:hAnsi="Times New Roman" w:cs="Times New Roman"/>
          <w:sz w:val="24"/>
          <w:szCs w:val="24"/>
        </w:rPr>
        <w:t xml:space="preserve">And these recommendations also serve the interest of </w:t>
      </w:r>
      <w:r w:rsidRPr="00AA1CB9">
        <w:rPr>
          <w:rFonts w:ascii="Times New Roman" w:hAnsi="Times New Roman" w:cs="Times New Roman"/>
          <w:sz w:val="24"/>
          <w:szCs w:val="24"/>
        </w:rPr>
        <w:t>those</w:t>
      </w:r>
      <w:r>
        <w:rPr>
          <w:rFonts w:ascii="Times New Roman" w:hAnsi="Times New Roman" w:cs="Times New Roman"/>
          <w:sz w:val="24"/>
          <w:szCs w:val="24"/>
        </w:rPr>
        <w:t xml:space="preserve"> CRNGS who are compliant with Ohio law and rule, by deterring non-compliant conduct from any CRNGS that would unfairly compete by enrolling customers in violation of PUCO standards.  </w:t>
      </w:r>
    </w:p>
    <w:p w:rsidR="00BD5899" w:rsidRDefault="00BD5899" w:rsidP="002F3504">
      <w:pPr>
        <w:spacing w:after="0"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Additionally, the Commission’s adoption of OCC</w:t>
      </w:r>
      <w:r>
        <w:rPr>
          <w:rFonts w:ascii="Times New Roman" w:hAnsi="Times New Roman" w:cs="Times New Roman"/>
          <w:sz w:val="24"/>
          <w:szCs w:val="24"/>
        </w:rPr>
        <w:t xml:space="preserve">’s reply </w:t>
      </w:r>
      <w:r w:rsidRPr="0099789E">
        <w:rPr>
          <w:rFonts w:ascii="Times New Roman" w:hAnsi="Times New Roman" w:cs="Times New Roman"/>
          <w:sz w:val="24"/>
          <w:szCs w:val="24"/>
        </w:rPr>
        <w:t>comments</w:t>
      </w:r>
      <w:r>
        <w:rPr>
          <w:rFonts w:ascii="Times New Roman" w:hAnsi="Times New Roman" w:cs="Times New Roman"/>
          <w:sz w:val="24"/>
          <w:szCs w:val="24"/>
        </w:rPr>
        <w:t xml:space="preserve"> -- </w:t>
      </w:r>
      <w:r w:rsidRPr="0099789E">
        <w:rPr>
          <w:rFonts w:ascii="Times New Roman" w:hAnsi="Times New Roman" w:cs="Times New Roman"/>
          <w:sz w:val="24"/>
          <w:szCs w:val="24"/>
        </w:rPr>
        <w:t xml:space="preserve">concerning the general questions asked in </w:t>
      </w:r>
      <w:r>
        <w:rPr>
          <w:rFonts w:ascii="Times New Roman" w:hAnsi="Times New Roman" w:cs="Times New Roman"/>
          <w:sz w:val="24"/>
          <w:szCs w:val="24"/>
        </w:rPr>
        <w:t xml:space="preserve">the PUCO’s </w:t>
      </w:r>
      <w:r w:rsidRPr="0099789E">
        <w:rPr>
          <w:rFonts w:ascii="Times New Roman" w:hAnsi="Times New Roman" w:cs="Times New Roman"/>
          <w:sz w:val="24"/>
          <w:szCs w:val="24"/>
        </w:rPr>
        <w:t>Attachment A</w:t>
      </w:r>
      <w:r>
        <w:rPr>
          <w:rFonts w:ascii="Times New Roman" w:hAnsi="Times New Roman" w:cs="Times New Roman"/>
          <w:sz w:val="24"/>
          <w:szCs w:val="24"/>
        </w:rPr>
        <w:t xml:space="preserve"> -- </w:t>
      </w:r>
      <w:r w:rsidRPr="0099789E">
        <w:rPr>
          <w:rFonts w:ascii="Times New Roman" w:hAnsi="Times New Roman" w:cs="Times New Roman"/>
          <w:sz w:val="24"/>
          <w:szCs w:val="24"/>
        </w:rPr>
        <w:t xml:space="preserve">will result in better consumer protections and less potential for Ohioans to be subjected to deceptive and misleading marketing practices that may be occurring in other jurisdictions. </w:t>
      </w:r>
    </w:p>
    <w:p w:rsidR="00BD5899" w:rsidRDefault="00BD5899" w:rsidP="002F3504">
      <w:pPr>
        <w:spacing w:after="0" w:line="480" w:lineRule="auto"/>
        <w:ind w:firstLine="720"/>
        <w:rPr>
          <w:rFonts w:ascii="Times New Roman" w:hAnsi="Times New Roman" w:cs="Times New Roman"/>
          <w:sz w:val="24"/>
          <w:szCs w:val="24"/>
        </w:rPr>
      </w:pPr>
    </w:p>
    <w:p w:rsidR="00BD5899" w:rsidRPr="0099789E" w:rsidRDefault="00BD5899" w:rsidP="00F55746">
      <w:pPr>
        <w:rPr>
          <w:rFonts w:ascii="Times New Roman" w:hAnsi="Times New Roman" w:cs="Times New Roman"/>
          <w:sz w:val="24"/>
          <w:szCs w:val="24"/>
        </w:rPr>
      </w:pPr>
      <w:r w:rsidRPr="0099789E">
        <w:rPr>
          <w:rFonts w:ascii="Times New Roman" w:hAnsi="Times New Roman" w:cs="Times New Roman"/>
          <w:sz w:val="24"/>
          <w:szCs w:val="24"/>
        </w:rPr>
        <w:tab/>
      </w:r>
      <w:r w:rsidRPr="0099789E">
        <w:rPr>
          <w:rFonts w:ascii="Times New Roman" w:hAnsi="Times New Roman" w:cs="Times New Roman"/>
          <w:sz w:val="24"/>
          <w:szCs w:val="24"/>
        </w:rPr>
        <w:tab/>
      </w:r>
      <w:r w:rsidRPr="0099789E">
        <w:rPr>
          <w:rFonts w:ascii="Times New Roman" w:hAnsi="Times New Roman" w:cs="Times New Roman"/>
          <w:sz w:val="24"/>
          <w:szCs w:val="24"/>
        </w:rPr>
        <w:tab/>
      </w:r>
      <w:r w:rsidRPr="0099789E">
        <w:rPr>
          <w:rFonts w:ascii="Times New Roman" w:hAnsi="Times New Roman" w:cs="Times New Roman"/>
          <w:sz w:val="24"/>
          <w:szCs w:val="24"/>
        </w:rPr>
        <w:tab/>
      </w:r>
      <w:r w:rsidRPr="0099789E">
        <w:rPr>
          <w:rFonts w:ascii="Times New Roman" w:hAnsi="Times New Roman" w:cs="Times New Roman"/>
          <w:sz w:val="24"/>
          <w:szCs w:val="24"/>
        </w:rPr>
        <w:tab/>
      </w:r>
      <w:r w:rsidRPr="0099789E">
        <w:rPr>
          <w:rFonts w:ascii="Times New Roman" w:hAnsi="Times New Roman" w:cs="Times New Roman"/>
          <w:sz w:val="24"/>
          <w:szCs w:val="24"/>
        </w:rPr>
        <w:tab/>
        <w:t>Respectfully submitted,</w:t>
      </w:r>
    </w:p>
    <w:p w:rsidR="00BD5899" w:rsidRPr="0099789E" w:rsidRDefault="00BD5899" w:rsidP="00F55746">
      <w:pPr>
        <w:pStyle w:val="Footer"/>
        <w:tabs>
          <w:tab w:val="left" w:pos="4320"/>
        </w:tabs>
        <w:spacing w:before="240"/>
        <w:ind w:left="4320"/>
        <w:rPr>
          <w:rFonts w:ascii="Times New Roman" w:hAnsi="Times New Roman" w:cs="Times New Roman"/>
          <w:sz w:val="24"/>
          <w:szCs w:val="24"/>
        </w:rPr>
      </w:pPr>
      <w:r w:rsidRPr="0099789E">
        <w:rPr>
          <w:rFonts w:ascii="Times New Roman" w:hAnsi="Times New Roman" w:cs="Times New Roman"/>
          <w:sz w:val="24"/>
          <w:szCs w:val="24"/>
        </w:rPr>
        <w:t>BRUCE J. WESTON</w:t>
      </w:r>
    </w:p>
    <w:p w:rsidR="00BD5899" w:rsidRPr="0099789E" w:rsidRDefault="00BD5899" w:rsidP="00F55746">
      <w:pPr>
        <w:tabs>
          <w:tab w:val="left" w:pos="4320"/>
        </w:tabs>
        <w:ind w:left="4320"/>
        <w:rPr>
          <w:rFonts w:ascii="Times New Roman" w:hAnsi="Times New Roman" w:cs="Times New Roman"/>
          <w:sz w:val="24"/>
          <w:szCs w:val="24"/>
        </w:rPr>
      </w:pPr>
      <w:r w:rsidRPr="0099789E">
        <w:rPr>
          <w:rFonts w:ascii="Times New Roman" w:hAnsi="Times New Roman" w:cs="Times New Roman"/>
          <w:sz w:val="24"/>
          <w:szCs w:val="24"/>
        </w:rPr>
        <w:t>OHIO CONSUMERS’ COUNSEL</w:t>
      </w:r>
    </w:p>
    <w:p w:rsidR="00BD5899" w:rsidRPr="0099789E" w:rsidRDefault="00BD5899" w:rsidP="00F55746">
      <w:pPr>
        <w:spacing w:after="0" w:line="240" w:lineRule="auto"/>
        <w:ind w:left="4320"/>
        <w:rPr>
          <w:rFonts w:ascii="Times New Roman" w:hAnsi="Times New Roman" w:cs="Times New Roman"/>
          <w:sz w:val="24"/>
          <w:szCs w:val="24"/>
        </w:rPr>
      </w:pPr>
      <w:r w:rsidRPr="0099789E">
        <w:rPr>
          <w:rFonts w:ascii="Times New Roman" w:hAnsi="Times New Roman" w:cs="Times New Roman"/>
          <w:i/>
          <w:iCs/>
          <w:sz w:val="24"/>
          <w:szCs w:val="24"/>
          <w:u w:val="single"/>
        </w:rPr>
        <w:t>/s/ Joseph P. Serio</w:t>
      </w:r>
      <w:r w:rsidRPr="0099789E">
        <w:rPr>
          <w:rFonts w:ascii="Times New Roman" w:hAnsi="Times New Roman" w:cs="Times New Roman"/>
          <w:sz w:val="24"/>
          <w:szCs w:val="24"/>
        </w:rPr>
        <w:t>___________________</w:t>
      </w:r>
    </w:p>
    <w:p w:rsidR="00BD5899" w:rsidRPr="0099789E" w:rsidRDefault="00BD5899" w:rsidP="00F55746">
      <w:pPr>
        <w:spacing w:after="0" w:line="240" w:lineRule="auto"/>
        <w:ind w:left="4320"/>
        <w:rPr>
          <w:rFonts w:ascii="Times New Roman" w:hAnsi="Times New Roman" w:cs="Times New Roman"/>
          <w:sz w:val="24"/>
          <w:szCs w:val="24"/>
        </w:rPr>
      </w:pPr>
      <w:r w:rsidRPr="0099789E">
        <w:rPr>
          <w:rFonts w:ascii="Times New Roman" w:hAnsi="Times New Roman" w:cs="Times New Roman"/>
          <w:sz w:val="24"/>
          <w:szCs w:val="24"/>
        </w:rPr>
        <w:t>Joseph P. Serio, Counsel of Record</w:t>
      </w:r>
    </w:p>
    <w:p w:rsidR="00BD5899" w:rsidRPr="0099789E" w:rsidRDefault="00BD5899" w:rsidP="00F55746">
      <w:pPr>
        <w:spacing w:after="0" w:line="240" w:lineRule="auto"/>
        <w:ind w:left="4320"/>
        <w:rPr>
          <w:rFonts w:ascii="Times New Roman" w:hAnsi="Times New Roman" w:cs="Times New Roman"/>
          <w:sz w:val="24"/>
          <w:szCs w:val="24"/>
        </w:rPr>
      </w:pPr>
      <w:r w:rsidRPr="0099789E">
        <w:rPr>
          <w:rFonts w:ascii="Times New Roman" w:hAnsi="Times New Roman" w:cs="Times New Roman"/>
          <w:sz w:val="24"/>
          <w:szCs w:val="24"/>
        </w:rPr>
        <w:t>Assistant Consumers’ Counsel</w:t>
      </w:r>
    </w:p>
    <w:p w:rsidR="00BD5899" w:rsidRPr="0099789E" w:rsidRDefault="00BD5899" w:rsidP="00F55746">
      <w:pPr>
        <w:spacing w:after="0" w:line="240" w:lineRule="auto"/>
        <w:ind w:left="4320"/>
        <w:rPr>
          <w:rFonts w:ascii="Times New Roman" w:hAnsi="Times New Roman" w:cs="Times New Roman"/>
          <w:sz w:val="24"/>
          <w:szCs w:val="24"/>
        </w:rPr>
      </w:pPr>
      <w:r w:rsidRPr="0099789E">
        <w:rPr>
          <w:rFonts w:ascii="Times New Roman" w:hAnsi="Times New Roman" w:cs="Times New Roman"/>
          <w:sz w:val="24"/>
          <w:szCs w:val="24"/>
        </w:rPr>
        <w:tab/>
      </w:r>
    </w:p>
    <w:p w:rsidR="00BD5899" w:rsidRPr="0099789E" w:rsidRDefault="00BD5899" w:rsidP="00F55746">
      <w:pPr>
        <w:spacing w:after="0" w:line="240" w:lineRule="auto"/>
        <w:ind w:left="4320"/>
        <w:rPr>
          <w:rFonts w:ascii="Times New Roman" w:hAnsi="Times New Roman" w:cs="Times New Roman"/>
          <w:b/>
          <w:bCs/>
          <w:sz w:val="24"/>
          <w:szCs w:val="24"/>
        </w:rPr>
      </w:pPr>
      <w:r w:rsidRPr="0099789E">
        <w:rPr>
          <w:rFonts w:ascii="Times New Roman" w:hAnsi="Times New Roman" w:cs="Times New Roman"/>
          <w:b/>
          <w:bCs/>
          <w:sz w:val="24"/>
          <w:szCs w:val="24"/>
        </w:rPr>
        <w:t>Office of the Ohio Consumers’ Counsel</w:t>
      </w:r>
    </w:p>
    <w:p w:rsidR="00BD5899" w:rsidRPr="0099789E" w:rsidRDefault="00BD5899" w:rsidP="00F55746">
      <w:pPr>
        <w:spacing w:after="0" w:line="240" w:lineRule="auto"/>
        <w:ind w:left="4320"/>
        <w:rPr>
          <w:rFonts w:ascii="Times New Roman" w:hAnsi="Times New Roman" w:cs="Times New Roman"/>
          <w:sz w:val="24"/>
          <w:szCs w:val="24"/>
        </w:rPr>
      </w:pPr>
      <w:r w:rsidRPr="0099789E">
        <w:rPr>
          <w:rFonts w:ascii="Times New Roman" w:hAnsi="Times New Roman" w:cs="Times New Roman"/>
          <w:sz w:val="24"/>
          <w:szCs w:val="24"/>
        </w:rPr>
        <w:t>10 West Broad Street, Suite 1800</w:t>
      </w:r>
    </w:p>
    <w:p w:rsidR="00BD5899" w:rsidRPr="0099789E" w:rsidRDefault="00BD5899" w:rsidP="00F55746">
      <w:pPr>
        <w:spacing w:after="0" w:line="240" w:lineRule="auto"/>
        <w:ind w:left="4320"/>
        <w:rPr>
          <w:rFonts w:ascii="Times New Roman" w:hAnsi="Times New Roman" w:cs="Times New Roman"/>
          <w:sz w:val="24"/>
          <w:szCs w:val="24"/>
        </w:rPr>
      </w:pPr>
      <w:r w:rsidRPr="0099789E">
        <w:rPr>
          <w:rFonts w:ascii="Times New Roman" w:hAnsi="Times New Roman" w:cs="Times New Roman"/>
          <w:sz w:val="24"/>
          <w:szCs w:val="24"/>
        </w:rPr>
        <w:t>Columbus, Ohio</w:t>
      </w:r>
      <w:r w:rsidR="00986A32">
        <w:rPr>
          <w:rFonts w:ascii="Times New Roman" w:hAnsi="Times New Roman" w:cs="Times New Roman"/>
          <w:sz w:val="24"/>
          <w:szCs w:val="24"/>
        </w:rPr>
        <w:t xml:space="preserve"> </w:t>
      </w:r>
      <w:r w:rsidRPr="0099789E">
        <w:rPr>
          <w:rFonts w:ascii="Times New Roman" w:hAnsi="Times New Roman" w:cs="Times New Roman"/>
          <w:sz w:val="24"/>
          <w:szCs w:val="24"/>
        </w:rPr>
        <w:t>43215-3485</w:t>
      </w:r>
    </w:p>
    <w:p w:rsidR="00BD5899" w:rsidRPr="0099789E" w:rsidRDefault="00BD5899" w:rsidP="00F55746">
      <w:pPr>
        <w:spacing w:after="0" w:line="240" w:lineRule="auto"/>
        <w:ind w:left="4320"/>
        <w:rPr>
          <w:rFonts w:ascii="Times New Roman" w:hAnsi="Times New Roman" w:cs="Times New Roman"/>
          <w:sz w:val="24"/>
          <w:szCs w:val="24"/>
        </w:rPr>
      </w:pPr>
      <w:r w:rsidRPr="0099789E">
        <w:rPr>
          <w:rFonts w:ascii="Times New Roman" w:hAnsi="Times New Roman" w:cs="Times New Roman"/>
          <w:sz w:val="24"/>
          <w:szCs w:val="24"/>
        </w:rPr>
        <w:t>Telephone:  Serio - (614) 466-9565</w:t>
      </w:r>
    </w:p>
    <w:p w:rsidR="00BD5899" w:rsidRPr="0099789E" w:rsidRDefault="003A109F" w:rsidP="00F55746">
      <w:pPr>
        <w:spacing w:after="0" w:line="240" w:lineRule="auto"/>
        <w:ind w:left="4320"/>
        <w:rPr>
          <w:rFonts w:ascii="Times New Roman" w:hAnsi="Times New Roman" w:cs="Times New Roman"/>
          <w:sz w:val="24"/>
          <w:szCs w:val="24"/>
        </w:rPr>
      </w:pPr>
      <w:hyperlink r:id="rId17" w:history="1">
        <w:r w:rsidR="00BD5899" w:rsidRPr="0099789E">
          <w:rPr>
            <w:rStyle w:val="Hyperlink"/>
            <w:rFonts w:ascii="Times New Roman" w:hAnsi="Times New Roman" w:cs="Times New Roman"/>
            <w:sz w:val="24"/>
            <w:szCs w:val="24"/>
          </w:rPr>
          <w:t>serio@occ.state.oh.us</w:t>
        </w:r>
      </w:hyperlink>
    </w:p>
    <w:p w:rsidR="00BD5899" w:rsidRPr="0099789E" w:rsidRDefault="00BD5899" w:rsidP="00F55746">
      <w:pPr>
        <w:autoSpaceDE w:val="0"/>
        <w:autoSpaceDN w:val="0"/>
        <w:adjustRightInd w:val="0"/>
        <w:jc w:val="center"/>
        <w:rPr>
          <w:rFonts w:ascii="Times New Roman" w:hAnsi="Times New Roman" w:cs="Times New Roman"/>
          <w:sz w:val="24"/>
          <w:szCs w:val="24"/>
        </w:rPr>
      </w:pPr>
      <w:r w:rsidRPr="0099789E">
        <w:rPr>
          <w:rFonts w:ascii="Times New Roman" w:hAnsi="Times New Roman" w:cs="Times New Roman"/>
          <w:sz w:val="24"/>
          <w:szCs w:val="24"/>
        </w:rPr>
        <w:br w:type="page"/>
      </w:r>
      <w:r w:rsidRPr="0099789E">
        <w:rPr>
          <w:rFonts w:ascii="Times New Roman" w:hAnsi="Times New Roman" w:cs="Times New Roman"/>
          <w:b/>
          <w:bCs/>
          <w:sz w:val="24"/>
          <w:szCs w:val="24"/>
          <w:u w:val="single"/>
        </w:rPr>
        <w:t>CERTIFICATE OF SERVICE</w:t>
      </w:r>
    </w:p>
    <w:p w:rsidR="00BD5899" w:rsidRPr="0099789E" w:rsidRDefault="00BD5899" w:rsidP="00F55746">
      <w:pPr>
        <w:spacing w:line="480" w:lineRule="auto"/>
        <w:ind w:firstLine="720"/>
        <w:rPr>
          <w:rFonts w:ascii="Times New Roman" w:hAnsi="Times New Roman" w:cs="Times New Roman"/>
          <w:sz w:val="24"/>
          <w:szCs w:val="24"/>
        </w:rPr>
      </w:pPr>
      <w:r w:rsidRPr="0099789E">
        <w:rPr>
          <w:rFonts w:ascii="Times New Roman" w:hAnsi="Times New Roman" w:cs="Times New Roman"/>
          <w:sz w:val="24"/>
          <w:szCs w:val="24"/>
        </w:rPr>
        <w:t xml:space="preserve">I hereby certify that a copy of the foregoing </w:t>
      </w:r>
      <w:r>
        <w:rPr>
          <w:rFonts w:ascii="Times New Roman" w:hAnsi="Times New Roman" w:cs="Times New Roman"/>
          <w:sz w:val="24"/>
          <w:szCs w:val="24"/>
        </w:rPr>
        <w:t xml:space="preserve">Reply </w:t>
      </w:r>
      <w:r w:rsidRPr="0099789E">
        <w:rPr>
          <w:rFonts w:ascii="Times New Roman" w:hAnsi="Times New Roman" w:cs="Times New Roman"/>
          <w:sz w:val="24"/>
          <w:szCs w:val="24"/>
        </w:rPr>
        <w:t xml:space="preserve">Comments was served via electronic service upon the parties this </w:t>
      </w:r>
      <w:r>
        <w:rPr>
          <w:rFonts w:ascii="Times New Roman" w:hAnsi="Times New Roman" w:cs="Times New Roman"/>
          <w:sz w:val="24"/>
          <w:szCs w:val="24"/>
        </w:rPr>
        <w:t>6</w:t>
      </w:r>
      <w:r w:rsidRPr="0099789E">
        <w:rPr>
          <w:rFonts w:ascii="Times New Roman" w:hAnsi="Times New Roman" w:cs="Times New Roman"/>
          <w:sz w:val="24"/>
          <w:szCs w:val="24"/>
          <w:vertAlign w:val="superscript"/>
        </w:rPr>
        <w:t>th</w:t>
      </w:r>
      <w:r w:rsidR="00986A32">
        <w:rPr>
          <w:rFonts w:ascii="Times New Roman" w:hAnsi="Times New Roman" w:cs="Times New Roman"/>
          <w:sz w:val="24"/>
          <w:szCs w:val="24"/>
          <w:vertAlign w:val="superscript"/>
        </w:rPr>
        <w:t xml:space="preserve"> </w:t>
      </w:r>
      <w:r w:rsidRPr="0099789E">
        <w:rPr>
          <w:rFonts w:ascii="Times New Roman" w:hAnsi="Times New Roman" w:cs="Times New Roman"/>
          <w:sz w:val="24"/>
          <w:szCs w:val="24"/>
        </w:rPr>
        <w:t xml:space="preserve">day of </w:t>
      </w:r>
      <w:r>
        <w:rPr>
          <w:rFonts w:ascii="Times New Roman" w:hAnsi="Times New Roman" w:cs="Times New Roman"/>
          <w:sz w:val="24"/>
          <w:szCs w:val="24"/>
        </w:rPr>
        <w:t xml:space="preserve">February </w:t>
      </w:r>
      <w:r w:rsidRPr="0099789E">
        <w:rPr>
          <w:rFonts w:ascii="Times New Roman" w:hAnsi="Times New Roman" w:cs="Times New Roman"/>
          <w:sz w:val="24"/>
          <w:szCs w:val="24"/>
        </w:rPr>
        <w:t xml:space="preserve">2013.  </w:t>
      </w:r>
    </w:p>
    <w:p w:rsidR="00BD5899" w:rsidRPr="0099789E" w:rsidRDefault="00BD5899" w:rsidP="00F55746">
      <w:pPr>
        <w:rPr>
          <w:rFonts w:ascii="Times New Roman" w:hAnsi="Times New Roman" w:cs="Times New Roman"/>
          <w:sz w:val="24"/>
          <w:szCs w:val="24"/>
        </w:rPr>
      </w:pPr>
    </w:p>
    <w:p w:rsidR="00BD5899" w:rsidRPr="0099789E" w:rsidRDefault="00BD5899" w:rsidP="00F55746">
      <w:pPr>
        <w:tabs>
          <w:tab w:val="left" w:pos="4320"/>
        </w:tabs>
        <w:spacing w:after="0"/>
        <w:rPr>
          <w:rFonts w:ascii="Times New Roman" w:hAnsi="Times New Roman" w:cs="Times New Roman"/>
          <w:i/>
          <w:iCs/>
          <w:sz w:val="24"/>
          <w:szCs w:val="24"/>
          <w:u w:val="single"/>
        </w:rPr>
      </w:pPr>
      <w:r w:rsidRPr="0099789E">
        <w:rPr>
          <w:rFonts w:ascii="Times New Roman" w:hAnsi="Times New Roman" w:cs="Times New Roman"/>
          <w:sz w:val="24"/>
          <w:szCs w:val="24"/>
        </w:rPr>
        <w:tab/>
      </w:r>
      <w:r w:rsidRPr="0099789E">
        <w:rPr>
          <w:rFonts w:ascii="Times New Roman" w:hAnsi="Times New Roman" w:cs="Times New Roman"/>
          <w:i/>
          <w:iCs/>
          <w:sz w:val="24"/>
          <w:szCs w:val="24"/>
          <w:u w:val="single"/>
        </w:rPr>
        <w:t>/s/ Joseph P. Serio</w:t>
      </w:r>
      <w:r w:rsidRPr="0099789E">
        <w:rPr>
          <w:rFonts w:ascii="Times New Roman" w:hAnsi="Times New Roman" w:cs="Times New Roman"/>
          <w:i/>
          <w:iCs/>
          <w:sz w:val="24"/>
          <w:szCs w:val="24"/>
          <w:u w:val="single"/>
        </w:rPr>
        <w:tab/>
      </w:r>
      <w:r w:rsidRPr="0099789E">
        <w:rPr>
          <w:rFonts w:ascii="Times New Roman" w:hAnsi="Times New Roman" w:cs="Times New Roman"/>
          <w:i/>
          <w:iCs/>
          <w:sz w:val="24"/>
          <w:szCs w:val="24"/>
          <w:u w:val="single"/>
        </w:rPr>
        <w:tab/>
      </w:r>
      <w:r w:rsidRPr="0099789E">
        <w:rPr>
          <w:rFonts w:ascii="Times New Roman" w:hAnsi="Times New Roman" w:cs="Times New Roman"/>
          <w:i/>
          <w:iCs/>
          <w:sz w:val="24"/>
          <w:szCs w:val="24"/>
          <w:u w:val="single"/>
        </w:rPr>
        <w:tab/>
      </w:r>
      <w:r w:rsidRPr="0099789E">
        <w:rPr>
          <w:rFonts w:ascii="Times New Roman" w:hAnsi="Times New Roman" w:cs="Times New Roman"/>
          <w:i/>
          <w:iCs/>
          <w:sz w:val="24"/>
          <w:szCs w:val="24"/>
          <w:u w:val="single"/>
        </w:rPr>
        <w:tab/>
      </w:r>
    </w:p>
    <w:p w:rsidR="00BD5899" w:rsidRPr="0099789E" w:rsidRDefault="00BD5899" w:rsidP="00F55746">
      <w:pPr>
        <w:tabs>
          <w:tab w:val="left" w:pos="4320"/>
        </w:tabs>
        <w:spacing w:after="0"/>
        <w:rPr>
          <w:rFonts w:ascii="Times New Roman" w:hAnsi="Times New Roman" w:cs="Times New Roman"/>
          <w:sz w:val="24"/>
          <w:szCs w:val="24"/>
        </w:rPr>
      </w:pPr>
      <w:r w:rsidRPr="0099789E">
        <w:rPr>
          <w:rFonts w:ascii="Times New Roman" w:hAnsi="Times New Roman" w:cs="Times New Roman"/>
          <w:sz w:val="24"/>
          <w:szCs w:val="24"/>
        </w:rPr>
        <w:tab/>
        <w:t>Joseph P. Serio</w:t>
      </w:r>
    </w:p>
    <w:p w:rsidR="00BD5899" w:rsidRPr="0099789E" w:rsidRDefault="00BD5899" w:rsidP="00F55746">
      <w:pPr>
        <w:tabs>
          <w:tab w:val="left" w:pos="4320"/>
        </w:tabs>
        <w:spacing w:after="0"/>
        <w:rPr>
          <w:rFonts w:ascii="Times New Roman" w:hAnsi="Times New Roman" w:cs="Times New Roman"/>
          <w:sz w:val="24"/>
          <w:szCs w:val="24"/>
        </w:rPr>
      </w:pPr>
      <w:r w:rsidRPr="0099789E">
        <w:rPr>
          <w:rFonts w:ascii="Times New Roman" w:hAnsi="Times New Roman" w:cs="Times New Roman"/>
          <w:sz w:val="24"/>
          <w:szCs w:val="24"/>
        </w:rPr>
        <w:tab/>
        <w:t>Assistant Consumers’ Counsel</w:t>
      </w:r>
    </w:p>
    <w:p w:rsidR="00BD5899" w:rsidRPr="0099789E" w:rsidRDefault="00BD5899" w:rsidP="00F55746">
      <w:pPr>
        <w:pStyle w:val="CommentText"/>
        <w:spacing w:after="0"/>
        <w:jc w:val="center"/>
        <w:rPr>
          <w:rFonts w:ascii="Times New Roman" w:hAnsi="Times New Roman" w:cs="Times New Roman"/>
          <w:b/>
          <w:bCs/>
          <w:sz w:val="24"/>
          <w:szCs w:val="24"/>
          <w:u w:val="single"/>
        </w:rPr>
      </w:pPr>
    </w:p>
    <w:p w:rsidR="00BD5899" w:rsidRPr="0099789E" w:rsidRDefault="00BD5899" w:rsidP="00F55746">
      <w:pPr>
        <w:pStyle w:val="CommentText"/>
        <w:spacing w:after="0"/>
        <w:jc w:val="center"/>
        <w:rPr>
          <w:rFonts w:ascii="Times New Roman" w:hAnsi="Times New Roman" w:cs="Times New Roman"/>
          <w:b/>
          <w:bCs/>
          <w:sz w:val="24"/>
          <w:szCs w:val="24"/>
          <w:u w:val="single"/>
        </w:rPr>
      </w:pPr>
    </w:p>
    <w:p w:rsidR="00BD5899" w:rsidRPr="0099789E" w:rsidRDefault="00BD5899" w:rsidP="00F55746">
      <w:pPr>
        <w:pStyle w:val="CommentText"/>
        <w:spacing w:after="0"/>
        <w:jc w:val="center"/>
        <w:rPr>
          <w:rFonts w:ascii="Times New Roman" w:hAnsi="Times New Roman" w:cs="Times New Roman"/>
          <w:b/>
          <w:bCs/>
          <w:sz w:val="24"/>
          <w:szCs w:val="24"/>
          <w:u w:val="single"/>
        </w:rPr>
      </w:pPr>
      <w:r w:rsidRPr="0099789E">
        <w:rPr>
          <w:rFonts w:ascii="Times New Roman" w:hAnsi="Times New Roman" w:cs="Times New Roman"/>
          <w:b/>
          <w:bCs/>
          <w:sz w:val="24"/>
          <w:szCs w:val="24"/>
          <w:u w:val="single"/>
        </w:rPr>
        <w:t>SERVICE LIST</w:t>
      </w:r>
    </w:p>
    <w:p w:rsidR="00BD5899" w:rsidRDefault="00BD5899" w:rsidP="00F55746">
      <w:pPr>
        <w:pStyle w:val="CommentText"/>
        <w:spacing w:after="0"/>
        <w:jc w:val="center"/>
        <w:rPr>
          <w:rFonts w:ascii="Times New Roman" w:hAnsi="Times New Roman" w:cs="Times New Roman"/>
          <w:b/>
          <w:bCs/>
          <w:sz w:val="24"/>
          <w:szCs w:val="24"/>
          <w:u w:val="single"/>
        </w:rPr>
      </w:pPr>
    </w:p>
    <w:p w:rsidR="00BD5899" w:rsidRDefault="00BD5899" w:rsidP="00F55746">
      <w:pPr>
        <w:pStyle w:val="CommentText"/>
        <w:spacing w:after="0"/>
        <w:jc w:val="center"/>
        <w:rPr>
          <w:rFonts w:ascii="Times New Roman" w:hAnsi="Times New Roman" w:cs="Times New Roman"/>
          <w:b/>
          <w:bCs/>
          <w:sz w:val="24"/>
          <w:szCs w:val="24"/>
          <w:u w:val="single"/>
        </w:rPr>
      </w:pPr>
    </w:p>
    <w:p w:rsidR="00BD5899" w:rsidRPr="0099789E" w:rsidRDefault="00BD5899" w:rsidP="00F55746">
      <w:pPr>
        <w:pStyle w:val="CommentText"/>
        <w:spacing w:after="0"/>
        <w:jc w:val="center"/>
        <w:rPr>
          <w:rFonts w:ascii="Times New Roman" w:hAnsi="Times New Roman" w:cs="Times New Roman"/>
          <w:b/>
          <w:bCs/>
          <w:sz w:val="24"/>
          <w:szCs w:val="24"/>
          <w:u w:val="single"/>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BD5899" w:rsidRPr="0099789E">
        <w:tc>
          <w:tcPr>
            <w:tcW w:w="4428" w:type="dxa"/>
            <w:tcBorders>
              <w:top w:val="nil"/>
              <w:left w:val="nil"/>
              <w:bottom w:val="nil"/>
              <w:right w:val="nil"/>
            </w:tcBorders>
          </w:tcPr>
          <w:p w:rsidR="00BD5899" w:rsidRPr="0099789E" w:rsidRDefault="00BD5899" w:rsidP="006271BA">
            <w:pPr>
              <w:autoSpaceDE w:val="0"/>
              <w:autoSpaceDN w:val="0"/>
              <w:adjustRightInd w:val="0"/>
              <w:spacing w:after="0" w:line="240" w:lineRule="auto"/>
              <w:rPr>
                <w:rFonts w:ascii="Times New Roman" w:hAnsi="Times New Roman" w:cs="Times New Roman"/>
                <w:sz w:val="24"/>
                <w:szCs w:val="24"/>
              </w:rPr>
            </w:pPr>
            <w:r w:rsidRPr="0099789E">
              <w:rPr>
                <w:rFonts w:ascii="Times New Roman" w:hAnsi="Times New Roman" w:cs="Times New Roman"/>
                <w:sz w:val="24"/>
                <w:szCs w:val="24"/>
              </w:rPr>
              <w:t>William Wright</w:t>
            </w:r>
          </w:p>
          <w:p w:rsidR="00BD5899" w:rsidRPr="0099789E" w:rsidRDefault="00BD5899" w:rsidP="006271BA">
            <w:pPr>
              <w:autoSpaceDE w:val="0"/>
              <w:autoSpaceDN w:val="0"/>
              <w:adjustRightInd w:val="0"/>
              <w:spacing w:after="0" w:line="240" w:lineRule="auto"/>
              <w:rPr>
                <w:rFonts w:ascii="Times New Roman" w:hAnsi="Times New Roman" w:cs="Times New Roman"/>
                <w:sz w:val="24"/>
                <w:szCs w:val="24"/>
              </w:rPr>
            </w:pPr>
            <w:r w:rsidRPr="0099789E">
              <w:rPr>
                <w:rFonts w:ascii="Times New Roman" w:hAnsi="Times New Roman" w:cs="Times New Roman"/>
                <w:sz w:val="24"/>
                <w:szCs w:val="24"/>
              </w:rPr>
              <w:t>Chief, Public Utilities Section</w:t>
            </w:r>
          </w:p>
          <w:p w:rsidR="00BD5899" w:rsidRPr="0099789E" w:rsidRDefault="00BD5899" w:rsidP="006271BA">
            <w:pPr>
              <w:autoSpaceDE w:val="0"/>
              <w:autoSpaceDN w:val="0"/>
              <w:adjustRightInd w:val="0"/>
              <w:spacing w:after="0" w:line="240" w:lineRule="auto"/>
              <w:rPr>
                <w:rFonts w:ascii="Times New Roman" w:hAnsi="Times New Roman" w:cs="Times New Roman"/>
                <w:sz w:val="24"/>
                <w:szCs w:val="24"/>
              </w:rPr>
            </w:pPr>
            <w:r w:rsidRPr="0099789E">
              <w:rPr>
                <w:rFonts w:ascii="Times New Roman" w:hAnsi="Times New Roman" w:cs="Times New Roman"/>
                <w:sz w:val="24"/>
                <w:szCs w:val="24"/>
              </w:rPr>
              <w:t>Public Utilities Commission of Ohio</w:t>
            </w:r>
          </w:p>
          <w:p w:rsidR="00BD5899" w:rsidRPr="0099789E" w:rsidRDefault="00BD5899" w:rsidP="006271BA">
            <w:pPr>
              <w:autoSpaceDE w:val="0"/>
              <w:autoSpaceDN w:val="0"/>
              <w:adjustRightInd w:val="0"/>
              <w:spacing w:after="0" w:line="240" w:lineRule="auto"/>
              <w:rPr>
                <w:rFonts w:ascii="Times New Roman" w:hAnsi="Times New Roman" w:cs="Times New Roman"/>
                <w:sz w:val="24"/>
                <w:szCs w:val="24"/>
              </w:rPr>
            </w:pPr>
            <w:r w:rsidRPr="0099789E">
              <w:rPr>
                <w:rFonts w:ascii="Times New Roman" w:hAnsi="Times New Roman" w:cs="Times New Roman"/>
                <w:sz w:val="24"/>
                <w:szCs w:val="24"/>
              </w:rPr>
              <w:t>180 East Broad Street, 6</w:t>
            </w:r>
            <w:r w:rsidRPr="0099789E">
              <w:rPr>
                <w:rFonts w:ascii="Times New Roman" w:hAnsi="Times New Roman" w:cs="Times New Roman"/>
                <w:sz w:val="24"/>
                <w:szCs w:val="24"/>
                <w:vertAlign w:val="superscript"/>
              </w:rPr>
              <w:t>th</w:t>
            </w:r>
            <w:r w:rsidRPr="0099789E">
              <w:rPr>
                <w:rFonts w:ascii="Times New Roman" w:hAnsi="Times New Roman" w:cs="Times New Roman"/>
                <w:sz w:val="24"/>
                <w:szCs w:val="24"/>
              </w:rPr>
              <w:t xml:space="preserve"> Floor</w:t>
            </w:r>
          </w:p>
          <w:p w:rsidR="00BD5899" w:rsidRPr="0099789E" w:rsidRDefault="00BD5899" w:rsidP="006271BA">
            <w:pPr>
              <w:autoSpaceDE w:val="0"/>
              <w:autoSpaceDN w:val="0"/>
              <w:adjustRightInd w:val="0"/>
              <w:spacing w:after="0" w:line="240" w:lineRule="auto"/>
              <w:rPr>
                <w:rFonts w:ascii="Times New Roman" w:hAnsi="Times New Roman" w:cs="Times New Roman"/>
                <w:sz w:val="24"/>
                <w:szCs w:val="24"/>
              </w:rPr>
            </w:pPr>
            <w:r w:rsidRPr="0099789E">
              <w:rPr>
                <w:rFonts w:ascii="Times New Roman" w:hAnsi="Times New Roman" w:cs="Times New Roman"/>
                <w:sz w:val="24"/>
                <w:szCs w:val="24"/>
              </w:rPr>
              <w:t>Columbus, OH43215</w:t>
            </w:r>
          </w:p>
          <w:p w:rsidR="00BD5899" w:rsidRPr="0099789E" w:rsidRDefault="003A109F" w:rsidP="006271BA">
            <w:pPr>
              <w:autoSpaceDE w:val="0"/>
              <w:autoSpaceDN w:val="0"/>
              <w:adjustRightInd w:val="0"/>
              <w:spacing w:after="0" w:line="240" w:lineRule="auto"/>
              <w:rPr>
                <w:rFonts w:ascii="Times New Roman" w:hAnsi="Times New Roman" w:cs="Times New Roman"/>
                <w:sz w:val="24"/>
                <w:szCs w:val="24"/>
              </w:rPr>
            </w:pPr>
            <w:hyperlink r:id="rId18" w:history="1">
              <w:r w:rsidR="00BD5899" w:rsidRPr="0099789E">
                <w:rPr>
                  <w:rStyle w:val="Hyperlink"/>
                  <w:rFonts w:ascii="Times New Roman" w:hAnsi="Times New Roman" w:cs="Times New Roman"/>
                  <w:sz w:val="24"/>
                  <w:szCs w:val="24"/>
                </w:rPr>
                <w:t>william.wright@puc.state.oh.us</w:t>
              </w:r>
            </w:hyperlink>
          </w:p>
          <w:p w:rsidR="00BD5899" w:rsidRPr="0099789E" w:rsidRDefault="003A109F" w:rsidP="006271BA">
            <w:pPr>
              <w:spacing w:after="0" w:line="240" w:lineRule="auto"/>
              <w:rPr>
                <w:rFonts w:ascii="Times New Roman" w:hAnsi="Times New Roman" w:cs="Times New Roman"/>
                <w:sz w:val="24"/>
                <w:szCs w:val="24"/>
              </w:rPr>
            </w:pPr>
            <w:hyperlink r:id="rId19" w:history="1">
              <w:r w:rsidR="00BD5899" w:rsidRPr="0099789E">
                <w:rPr>
                  <w:rStyle w:val="Hyperlink"/>
                  <w:rFonts w:ascii="Times New Roman" w:hAnsi="Times New Roman" w:cs="Times New Roman"/>
                  <w:sz w:val="24"/>
                  <w:szCs w:val="24"/>
                </w:rPr>
                <w:t>Katie.stenman@puc.state.oh.us</w:t>
              </w:r>
            </w:hyperlink>
          </w:p>
          <w:p w:rsidR="00BD5899" w:rsidRDefault="00BD5899" w:rsidP="006271BA">
            <w:pPr>
              <w:spacing w:after="0" w:line="240" w:lineRule="auto"/>
              <w:rPr>
                <w:rFonts w:ascii="Times New Roman" w:hAnsi="Times New Roman" w:cs="Times New Roman"/>
                <w:sz w:val="24"/>
                <w:szCs w:val="24"/>
              </w:rPr>
            </w:pPr>
          </w:p>
          <w:p w:rsidR="00BD5899" w:rsidRDefault="00BD5899" w:rsidP="006271BA">
            <w:pPr>
              <w:spacing w:after="0" w:line="240" w:lineRule="auto"/>
              <w:rPr>
                <w:rFonts w:ascii="Times New Roman" w:hAnsi="Times New Roman" w:cs="Times New Roman"/>
                <w:sz w:val="24"/>
                <w:szCs w:val="24"/>
              </w:rPr>
            </w:pPr>
          </w:p>
          <w:p w:rsidR="00BD5899" w:rsidRPr="0099789E" w:rsidRDefault="00BD5899" w:rsidP="006271BA">
            <w:pPr>
              <w:spacing w:after="0" w:line="240" w:lineRule="auto"/>
              <w:rPr>
                <w:rFonts w:ascii="Times New Roman" w:hAnsi="Times New Roman" w:cs="Times New Roman"/>
                <w:sz w:val="24"/>
                <w:szCs w:val="24"/>
              </w:rPr>
            </w:pPr>
          </w:p>
        </w:tc>
        <w:tc>
          <w:tcPr>
            <w:tcW w:w="4428" w:type="dxa"/>
            <w:tcBorders>
              <w:top w:val="nil"/>
              <w:left w:val="nil"/>
              <w:bottom w:val="nil"/>
              <w:right w:val="nil"/>
            </w:tcBorders>
          </w:tcPr>
          <w:p w:rsidR="00BD5899" w:rsidRPr="0099789E" w:rsidRDefault="00BD5899" w:rsidP="006271BA">
            <w:pPr>
              <w:spacing w:after="0" w:line="240" w:lineRule="auto"/>
              <w:rPr>
                <w:rFonts w:ascii="Times New Roman" w:hAnsi="Times New Roman" w:cs="Times New Roman"/>
                <w:sz w:val="24"/>
                <w:szCs w:val="24"/>
              </w:rPr>
            </w:pPr>
            <w:r w:rsidRPr="0099789E">
              <w:rPr>
                <w:rFonts w:ascii="Times New Roman" w:hAnsi="Times New Roman" w:cs="Times New Roman"/>
                <w:sz w:val="24"/>
                <w:szCs w:val="24"/>
              </w:rPr>
              <w:t>Colleen L. Mooney</w:t>
            </w:r>
          </w:p>
          <w:p w:rsidR="00BD5899" w:rsidRPr="0099789E" w:rsidRDefault="00BD5899" w:rsidP="006271BA">
            <w:pPr>
              <w:autoSpaceDE w:val="0"/>
              <w:autoSpaceDN w:val="0"/>
              <w:adjustRightInd w:val="0"/>
              <w:spacing w:after="0" w:line="240" w:lineRule="auto"/>
              <w:rPr>
                <w:rFonts w:ascii="Times New Roman" w:hAnsi="Times New Roman" w:cs="Times New Roman"/>
                <w:color w:val="000000"/>
                <w:sz w:val="24"/>
                <w:szCs w:val="24"/>
              </w:rPr>
            </w:pPr>
            <w:r w:rsidRPr="0099789E">
              <w:rPr>
                <w:rFonts w:ascii="Times New Roman" w:hAnsi="Times New Roman" w:cs="Times New Roman"/>
                <w:color w:val="000000"/>
                <w:sz w:val="24"/>
                <w:szCs w:val="24"/>
              </w:rPr>
              <w:t>Ohio Partners for Affordable Energy</w:t>
            </w:r>
          </w:p>
          <w:p w:rsidR="00BD5899" w:rsidRPr="0099789E" w:rsidRDefault="00BD5899" w:rsidP="006271BA">
            <w:pPr>
              <w:autoSpaceDE w:val="0"/>
              <w:autoSpaceDN w:val="0"/>
              <w:adjustRightInd w:val="0"/>
              <w:spacing w:after="0" w:line="240" w:lineRule="auto"/>
              <w:rPr>
                <w:rFonts w:ascii="Times New Roman" w:hAnsi="Times New Roman" w:cs="Times New Roman"/>
                <w:color w:val="000000"/>
                <w:sz w:val="24"/>
                <w:szCs w:val="24"/>
              </w:rPr>
            </w:pPr>
            <w:r w:rsidRPr="0099789E">
              <w:rPr>
                <w:rFonts w:ascii="Times New Roman" w:hAnsi="Times New Roman" w:cs="Times New Roman"/>
                <w:color w:val="000000"/>
                <w:sz w:val="24"/>
                <w:szCs w:val="24"/>
              </w:rPr>
              <w:t>231 West Lima Street</w:t>
            </w:r>
          </w:p>
          <w:p w:rsidR="00BD5899" w:rsidRPr="0099789E" w:rsidRDefault="00BD5899" w:rsidP="006271BA">
            <w:pPr>
              <w:autoSpaceDE w:val="0"/>
              <w:autoSpaceDN w:val="0"/>
              <w:adjustRightInd w:val="0"/>
              <w:spacing w:after="0" w:line="240" w:lineRule="auto"/>
              <w:rPr>
                <w:rFonts w:ascii="Times New Roman" w:hAnsi="Times New Roman" w:cs="Times New Roman"/>
                <w:color w:val="000000"/>
                <w:sz w:val="24"/>
                <w:szCs w:val="24"/>
              </w:rPr>
            </w:pPr>
            <w:r w:rsidRPr="0099789E">
              <w:rPr>
                <w:rFonts w:ascii="Times New Roman" w:hAnsi="Times New Roman" w:cs="Times New Roman"/>
                <w:color w:val="000000"/>
                <w:sz w:val="24"/>
                <w:szCs w:val="24"/>
              </w:rPr>
              <w:t>Findlay, OH45839-1793</w:t>
            </w:r>
          </w:p>
          <w:p w:rsidR="00BD5899" w:rsidRPr="0099789E" w:rsidRDefault="003A109F" w:rsidP="006271BA">
            <w:pPr>
              <w:spacing w:after="0" w:line="240" w:lineRule="auto"/>
              <w:rPr>
                <w:rFonts w:ascii="Times New Roman" w:hAnsi="Times New Roman" w:cs="Times New Roman"/>
                <w:color w:val="0000FF"/>
                <w:sz w:val="24"/>
                <w:szCs w:val="24"/>
              </w:rPr>
            </w:pPr>
            <w:hyperlink r:id="rId20" w:history="1">
              <w:r w:rsidR="00BD5899" w:rsidRPr="0099789E">
                <w:rPr>
                  <w:rStyle w:val="Hyperlink"/>
                  <w:rFonts w:ascii="Times New Roman" w:hAnsi="Times New Roman" w:cs="Times New Roman"/>
                  <w:sz w:val="24"/>
                  <w:szCs w:val="24"/>
                </w:rPr>
                <w:t>cmooney2@columbus.rr.com</w:t>
              </w:r>
            </w:hyperlink>
          </w:p>
          <w:p w:rsidR="00BD5899" w:rsidRPr="0099789E" w:rsidRDefault="00BD5899" w:rsidP="006271BA">
            <w:pPr>
              <w:spacing w:after="0" w:line="240" w:lineRule="auto"/>
              <w:rPr>
                <w:rFonts w:ascii="Times New Roman" w:hAnsi="Times New Roman" w:cs="Times New Roman"/>
                <w:sz w:val="24"/>
                <w:szCs w:val="24"/>
              </w:rPr>
            </w:pPr>
          </w:p>
        </w:tc>
      </w:tr>
      <w:tr w:rsidR="00BD5899" w:rsidRPr="0099789E">
        <w:tc>
          <w:tcPr>
            <w:tcW w:w="4428" w:type="dxa"/>
            <w:tcBorders>
              <w:top w:val="nil"/>
              <w:left w:val="nil"/>
              <w:bottom w:val="nil"/>
              <w:right w:val="nil"/>
            </w:tcBorders>
          </w:tcPr>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Jeanne W. Kingery</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Duke Energy Retail Sales, LLC</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155 East Broad Street, 21</w:t>
            </w:r>
            <w:r w:rsidRPr="006271BA">
              <w:rPr>
                <w:rFonts w:ascii="Times New Roman" w:hAnsi="Times New Roman" w:cs="Times New Roman"/>
                <w:sz w:val="24"/>
                <w:szCs w:val="24"/>
                <w:vertAlign w:val="superscript"/>
              </w:rPr>
              <w:t>st</w:t>
            </w:r>
            <w:r>
              <w:rPr>
                <w:rFonts w:ascii="Times New Roman" w:hAnsi="Times New Roman" w:cs="Times New Roman"/>
                <w:sz w:val="24"/>
                <w:szCs w:val="24"/>
              </w:rPr>
              <w:t>Fl</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Columbus, Ohio  43215</w:t>
            </w:r>
          </w:p>
          <w:p w:rsidR="00BD5899" w:rsidRDefault="003A109F" w:rsidP="006271BA">
            <w:pPr>
              <w:autoSpaceDE w:val="0"/>
              <w:autoSpaceDN w:val="0"/>
              <w:adjustRightInd w:val="0"/>
              <w:spacing w:after="0" w:line="240" w:lineRule="auto"/>
              <w:rPr>
                <w:rFonts w:ascii="Times New Roman" w:hAnsi="Times New Roman" w:cs="Times New Roman"/>
                <w:sz w:val="24"/>
                <w:szCs w:val="24"/>
              </w:rPr>
            </w:pPr>
            <w:hyperlink r:id="rId21" w:history="1">
              <w:r w:rsidR="00BD5899" w:rsidRPr="007348C1">
                <w:rPr>
                  <w:rStyle w:val="Hyperlink"/>
                  <w:rFonts w:ascii="Times New Roman" w:hAnsi="Times New Roman" w:cs="Times New Roman"/>
                  <w:sz w:val="24"/>
                  <w:szCs w:val="24"/>
                </w:rPr>
                <w:t>Jeanne.kingery@duke-energy.com</w:t>
              </w:r>
            </w:hyperlink>
          </w:p>
          <w:p w:rsidR="00BD5899" w:rsidRPr="0099789E" w:rsidRDefault="00BD5899" w:rsidP="006271BA">
            <w:pPr>
              <w:autoSpaceDE w:val="0"/>
              <w:autoSpaceDN w:val="0"/>
              <w:adjustRightInd w:val="0"/>
              <w:spacing w:after="0" w:line="240" w:lineRule="auto"/>
              <w:rPr>
                <w:rFonts w:ascii="Times New Roman" w:hAnsi="Times New Roman" w:cs="Times New Roman"/>
                <w:sz w:val="24"/>
                <w:szCs w:val="24"/>
              </w:rPr>
            </w:pPr>
          </w:p>
        </w:tc>
        <w:tc>
          <w:tcPr>
            <w:tcW w:w="4428" w:type="dxa"/>
            <w:tcBorders>
              <w:top w:val="nil"/>
              <w:left w:val="nil"/>
              <w:bottom w:val="nil"/>
              <w:right w:val="nil"/>
            </w:tcBorders>
          </w:tcPr>
          <w:p w:rsidR="00BD5899" w:rsidRDefault="00BD5899" w:rsidP="006271BA">
            <w:pPr>
              <w:spacing w:after="0" w:line="240" w:lineRule="auto"/>
              <w:rPr>
                <w:rFonts w:ascii="Times New Roman" w:hAnsi="Times New Roman" w:cs="Times New Roman"/>
                <w:sz w:val="24"/>
                <w:szCs w:val="24"/>
              </w:rPr>
            </w:pPr>
            <w:r>
              <w:rPr>
                <w:rFonts w:ascii="Times New Roman" w:hAnsi="Times New Roman" w:cs="Times New Roman"/>
                <w:sz w:val="24"/>
                <w:szCs w:val="24"/>
              </w:rPr>
              <w:t>Amy B. Spiller</w:t>
            </w:r>
          </w:p>
          <w:p w:rsidR="00BD5899" w:rsidRDefault="00BD5899" w:rsidP="006271BA">
            <w:pPr>
              <w:spacing w:after="0" w:line="240" w:lineRule="auto"/>
              <w:rPr>
                <w:rFonts w:ascii="Times New Roman" w:hAnsi="Times New Roman" w:cs="Times New Roman"/>
                <w:sz w:val="24"/>
                <w:szCs w:val="24"/>
              </w:rPr>
            </w:pPr>
            <w:r>
              <w:rPr>
                <w:rFonts w:ascii="Times New Roman" w:hAnsi="Times New Roman" w:cs="Times New Roman"/>
                <w:sz w:val="24"/>
                <w:szCs w:val="24"/>
              </w:rPr>
              <w:t>Elizabeth H. Watts</w:t>
            </w:r>
          </w:p>
          <w:p w:rsidR="00BD5899" w:rsidRDefault="00BD5899" w:rsidP="006271BA">
            <w:pPr>
              <w:spacing w:after="0" w:line="240" w:lineRule="auto"/>
              <w:rPr>
                <w:rFonts w:ascii="Times New Roman" w:hAnsi="Times New Roman" w:cs="Times New Roman"/>
                <w:sz w:val="24"/>
                <w:szCs w:val="24"/>
              </w:rPr>
            </w:pPr>
            <w:r>
              <w:rPr>
                <w:rFonts w:ascii="Times New Roman" w:hAnsi="Times New Roman" w:cs="Times New Roman"/>
                <w:sz w:val="24"/>
                <w:szCs w:val="24"/>
              </w:rPr>
              <w:t>Duke Energy Business Services, LLC</w:t>
            </w:r>
          </w:p>
          <w:p w:rsidR="00BD5899" w:rsidRDefault="00BD5899" w:rsidP="006271BA">
            <w:pPr>
              <w:spacing w:after="0" w:line="240" w:lineRule="auto"/>
              <w:rPr>
                <w:rFonts w:ascii="Times New Roman" w:hAnsi="Times New Roman" w:cs="Times New Roman"/>
                <w:sz w:val="24"/>
                <w:szCs w:val="24"/>
              </w:rPr>
            </w:pPr>
            <w:r>
              <w:rPr>
                <w:rFonts w:ascii="Times New Roman" w:hAnsi="Times New Roman" w:cs="Times New Roman"/>
                <w:sz w:val="24"/>
                <w:szCs w:val="24"/>
              </w:rPr>
              <w:t>139 East Fourth Street, 1301 Main</w:t>
            </w:r>
          </w:p>
          <w:p w:rsidR="00BD5899" w:rsidRDefault="00BD5899" w:rsidP="006271BA">
            <w:pPr>
              <w:spacing w:after="0" w:line="240" w:lineRule="auto"/>
              <w:rPr>
                <w:rFonts w:ascii="Times New Roman" w:hAnsi="Times New Roman" w:cs="Times New Roman"/>
                <w:sz w:val="24"/>
                <w:szCs w:val="24"/>
              </w:rPr>
            </w:pPr>
            <w:r>
              <w:rPr>
                <w:rFonts w:ascii="Times New Roman" w:hAnsi="Times New Roman" w:cs="Times New Roman"/>
                <w:sz w:val="24"/>
                <w:szCs w:val="24"/>
              </w:rPr>
              <w:t>Cincinnati, Ohio  45202</w:t>
            </w:r>
          </w:p>
          <w:p w:rsidR="00BD5899" w:rsidRDefault="003A109F" w:rsidP="006271BA">
            <w:pPr>
              <w:spacing w:after="0" w:line="240" w:lineRule="auto"/>
              <w:rPr>
                <w:rFonts w:ascii="Times New Roman" w:hAnsi="Times New Roman" w:cs="Times New Roman"/>
                <w:sz w:val="24"/>
                <w:szCs w:val="24"/>
              </w:rPr>
            </w:pPr>
            <w:hyperlink r:id="rId22" w:history="1">
              <w:r w:rsidR="00BD5899" w:rsidRPr="007348C1">
                <w:rPr>
                  <w:rStyle w:val="Hyperlink"/>
                  <w:rFonts w:ascii="Times New Roman" w:hAnsi="Times New Roman" w:cs="Times New Roman"/>
                  <w:sz w:val="24"/>
                  <w:szCs w:val="24"/>
                </w:rPr>
                <w:t>Amy.spiller@duke-energy.com</w:t>
              </w:r>
            </w:hyperlink>
          </w:p>
          <w:p w:rsidR="00BD5899" w:rsidRDefault="003A109F" w:rsidP="006271BA">
            <w:pPr>
              <w:spacing w:after="0" w:line="240" w:lineRule="auto"/>
              <w:rPr>
                <w:rFonts w:ascii="Times New Roman" w:hAnsi="Times New Roman" w:cs="Times New Roman"/>
                <w:sz w:val="24"/>
                <w:szCs w:val="24"/>
              </w:rPr>
            </w:pPr>
            <w:hyperlink r:id="rId23" w:history="1">
              <w:r w:rsidR="00BD5899" w:rsidRPr="007348C1">
                <w:rPr>
                  <w:rStyle w:val="Hyperlink"/>
                  <w:rFonts w:ascii="Times New Roman" w:hAnsi="Times New Roman" w:cs="Times New Roman"/>
                  <w:sz w:val="24"/>
                  <w:szCs w:val="24"/>
                </w:rPr>
                <w:t>Elizabeth.watts@duke-energy.com</w:t>
              </w:r>
            </w:hyperlink>
          </w:p>
          <w:p w:rsidR="00BD5899" w:rsidRDefault="00BD5899" w:rsidP="006271BA">
            <w:pPr>
              <w:spacing w:after="0" w:line="240" w:lineRule="auto"/>
              <w:rPr>
                <w:rFonts w:ascii="Times New Roman" w:hAnsi="Times New Roman" w:cs="Times New Roman"/>
                <w:sz w:val="24"/>
                <w:szCs w:val="24"/>
              </w:rPr>
            </w:pPr>
          </w:p>
          <w:p w:rsidR="00BD5899" w:rsidRDefault="00BD5899" w:rsidP="006271BA">
            <w:pPr>
              <w:spacing w:after="0" w:line="240" w:lineRule="auto"/>
              <w:rPr>
                <w:rFonts w:ascii="Times New Roman" w:hAnsi="Times New Roman" w:cs="Times New Roman"/>
                <w:sz w:val="24"/>
                <w:szCs w:val="24"/>
              </w:rPr>
            </w:pPr>
          </w:p>
          <w:p w:rsidR="00BD5899" w:rsidRPr="0099789E" w:rsidRDefault="00BD5899" w:rsidP="006271BA">
            <w:pPr>
              <w:spacing w:after="0" w:line="240" w:lineRule="auto"/>
              <w:rPr>
                <w:rFonts w:ascii="Times New Roman" w:hAnsi="Times New Roman" w:cs="Times New Roman"/>
                <w:sz w:val="24"/>
                <w:szCs w:val="24"/>
              </w:rPr>
            </w:pPr>
          </w:p>
        </w:tc>
      </w:tr>
      <w:tr w:rsidR="00BD5899" w:rsidRPr="0099789E">
        <w:tc>
          <w:tcPr>
            <w:tcW w:w="4428" w:type="dxa"/>
            <w:tcBorders>
              <w:top w:val="nil"/>
              <w:left w:val="nil"/>
              <w:bottom w:val="nil"/>
              <w:right w:val="nil"/>
            </w:tcBorders>
          </w:tcPr>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Barth E. Royer (Counid of Record)</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BELL &amp;, ROYER CO., LPA</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 South Grant Avenue</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Columbus, Ohio 43215-3927</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(614) 228-0704-Phone</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(614)228-0201-Fax</w:t>
            </w:r>
          </w:p>
          <w:p w:rsidR="00BD5899" w:rsidRDefault="003A109F" w:rsidP="006271BA">
            <w:pPr>
              <w:autoSpaceDE w:val="0"/>
              <w:autoSpaceDN w:val="0"/>
              <w:adjustRightInd w:val="0"/>
              <w:spacing w:after="0" w:line="240" w:lineRule="auto"/>
              <w:rPr>
                <w:rFonts w:ascii="Times New Roman" w:hAnsi="Times New Roman" w:cs="Times New Roman"/>
                <w:sz w:val="24"/>
                <w:szCs w:val="24"/>
              </w:rPr>
            </w:pPr>
            <w:hyperlink r:id="rId24" w:history="1">
              <w:r w:rsidR="00BD5899" w:rsidRPr="007348C1">
                <w:rPr>
                  <w:rStyle w:val="Hyperlink"/>
                  <w:rFonts w:ascii="Times New Roman" w:hAnsi="Times New Roman" w:cs="Times New Roman"/>
                  <w:sz w:val="24"/>
                  <w:szCs w:val="24"/>
                </w:rPr>
                <w:t>BarthRoyer@aol.com</w:t>
              </w:r>
            </w:hyperlink>
          </w:p>
          <w:p w:rsidR="00BD5899" w:rsidRDefault="00BD5899" w:rsidP="006271BA">
            <w:pPr>
              <w:autoSpaceDE w:val="0"/>
              <w:autoSpaceDN w:val="0"/>
              <w:adjustRightInd w:val="0"/>
              <w:spacing w:after="0" w:line="240" w:lineRule="auto"/>
              <w:rPr>
                <w:rFonts w:ascii="Times New Roman" w:hAnsi="Times New Roman" w:cs="Times New Roman"/>
                <w:sz w:val="24"/>
                <w:szCs w:val="24"/>
              </w:rPr>
            </w:pPr>
          </w:p>
          <w:p w:rsidR="00BD5899" w:rsidRDefault="00BD5899" w:rsidP="006271BA">
            <w:pPr>
              <w:autoSpaceDE w:val="0"/>
              <w:autoSpaceDN w:val="0"/>
              <w:adjustRightInd w:val="0"/>
              <w:spacing w:after="0" w:line="240" w:lineRule="auto"/>
              <w:rPr>
                <w:rFonts w:ascii="Times New Roman" w:hAnsi="Times New Roman" w:cs="Times New Roman"/>
                <w:sz w:val="24"/>
                <w:szCs w:val="24"/>
              </w:rPr>
            </w:pPr>
          </w:p>
        </w:tc>
        <w:tc>
          <w:tcPr>
            <w:tcW w:w="4428" w:type="dxa"/>
            <w:tcBorders>
              <w:top w:val="nil"/>
              <w:left w:val="nil"/>
              <w:bottom w:val="nil"/>
              <w:right w:val="nil"/>
            </w:tcBorders>
          </w:tcPr>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Gary A. Jeffries</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Assistant General Counsel</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Dominion Resources Services, Inc.</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501 Martindale Street, Suite 400</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Pittsburgh, PA 15212-5817</w:t>
            </w:r>
          </w:p>
          <w:p w:rsidR="00BD5899" w:rsidRDefault="003A109F" w:rsidP="006271BA">
            <w:pPr>
              <w:spacing w:after="0" w:line="240" w:lineRule="auto"/>
              <w:rPr>
                <w:rFonts w:ascii="Times New Roman" w:hAnsi="Times New Roman" w:cs="Times New Roman"/>
                <w:sz w:val="24"/>
                <w:szCs w:val="24"/>
              </w:rPr>
            </w:pPr>
            <w:hyperlink r:id="rId25" w:history="1">
              <w:r w:rsidR="00BD5899" w:rsidRPr="007348C1">
                <w:rPr>
                  <w:rStyle w:val="Hyperlink"/>
                  <w:rFonts w:ascii="Times New Roman" w:hAnsi="Times New Roman" w:cs="Times New Roman"/>
                  <w:sz w:val="24"/>
                  <w:szCs w:val="24"/>
                </w:rPr>
                <w:t>Garv.A.Jeffries@dom.com</w:t>
              </w:r>
            </w:hyperlink>
          </w:p>
          <w:p w:rsidR="00BD5899" w:rsidRDefault="00BD5899" w:rsidP="006271BA">
            <w:pPr>
              <w:spacing w:after="0" w:line="240" w:lineRule="auto"/>
              <w:rPr>
                <w:rFonts w:ascii="Times New Roman" w:hAnsi="Times New Roman" w:cs="Times New Roman"/>
                <w:sz w:val="24"/>
                <w:szCs w:val="24"/>
              </w:rPr>
            </w:pPr>
          </w:p>
        </w:tc>
      </w:tr>
      <w:tr w:rsidR="00BD5899" w:rsidRPr="0099789E">
        <w:tc>
          <w:tcPr>
            <w:tcW w:w="4428" w:type="dxa"/>
            <w:tcBorders>
              <w:top w:val="nil"/>
              <w:left w:val="nil"/>
              <w:bottom w:val="nil"/>
              <w:right w:val="nil"/>
            </w:tcBorders>
          </w:tcPr>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 Howard Petricoff</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Stephen M. Howard</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VORYS, SATER SEYMOUR AND PEASE LLP</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52 </w:t>
            </w:r>
            <w:r>
              <w:rPr>
                <w:rFonts w:ascii="Times New Roman" w:hAnsi="Times New Roman" w:cs="Times New Roman"/>
                <w:sz w:val="24"/>
                <w:szCs w:val="24"/>
              </w:rPr>
              <w:t>East Gay Street</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 Box 1008</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Columbus, Ohio 43216-1008</w:t>
            </w:r>
          </w:p>
          <w:p w:rsidR="00BD5899" w:rsidRDefault="003A109F" w:rsidP="006271BA">
            <w:pPr>
              <w:autoSpaceDE w:val="0"/>
              <w:autoSpaceDN w:val="0"/>
              <w:adjustRightInd w:val="0"/>
              <w:spacing w:after="0" w:line="240" w:lineRule="auto"/>
              <w:rPr>
                <w:rFonts w:ascii="Times New Roman" w:hAnsi="Times New Roman" w:cs="Times New Roman"/>
                <w:sz w:val="24"/>
                <w:szCs w:val="24"/>
              </w:rPr>
            </w:pPr>
            <w:hyperlink r:id="rId26" w:history="1">
              <w:r w:rsidR="00BD5899" w:rsidRPr="007348C1">
                <w:rPr>
                  <w:rStyle w:val="Hyperlink"/>
                  <w:rFonts w:ascii="Times New Roman" w:hAnsi="Times New Roman" w:cs="Times New Roman"/>
                  <w:sz w:val="24"/>
                  <w:szCs w:val="24"/>
                </w:rPr>
                <w:t>mhpetricoff@vorys.com</w:t>
              </w:r>
            </w:hyperlink>
          </w:p>
          <w:p w:rsidR="00BD5899" w:rsidRDefault="003A109F" w:rsidP="006271BA">
            <w:pPr>
              <w:autoSpaceDE w:val="0"/>
              <w:autoSpaceDN w:val="0"/>
              <w:adjustRightInd w:val="0"/>
              <w:spacing w:after="0" w:line="240" w:lineRule="auto"/>
              <w:rPr>
                <w:rFonts w:ascii="Times New Roman" w:hAnsi="Times New Roman" w:cs="Times New Roman"/>
                <w:sz w:val="24"/>
                <w:szCs w:val="24"/>
              </w:rPr>
            </w:pPr>
            <w:hyperlink r:id="rId27" w:history="1">
              <w:r w:rsidR="00BD5899" w:rsidRPr="007348C1">
                <w:rPr>
                  <w:rStyle w:val="Hyperlink"/>
                  <w:rFonts w:ascii="Times New Roman" w:hAnsi="Times New Roman" w:cs="Times New Roman"/>
                  <w:sz w:val="24"/>
                  <w:szCs w:val="24"/>
                </w:rPr>
                <w:t>smhoward@vorys.com</w:t>
              </w:r>
            </w:hyperlink>
          </w:p>
          <w:p w:rsidR="00BD5899" w:rsidRDefault="00BD5899" w:rsidP="006271BA">
            <w:pPr>
              <w:autoSpaceDE w:val="0"/>
              <w:autoSpaceDN w:val="0"/>
              <w:adjustRightInd w:val="0"/>
              <w:spacing w:after="0" w:line="240" w:lineRule="auto"/>
              <w:rPr>
                <w:rFonts w:ascii="Times New Roman" w:hAnsi="Times New Roman" w:cs="Times New Roman"/>
                <w:sz w:val="24"/>
                <w:szCs w:val="24"/>
              </w:rPr>
            </w:pPr>
          </w:p>
        </w:tc>
        <w:tc>
          <w:tcPr>
            <w:tcW w:w="4428" w:type="dxa"/>
            <w:tcBorders>
              <w:top w:val="nil"/>
              <w:left w:val="nil"/>
              <w:bottom w:val="nil"/>
              <w:right w:val="nil"/>
            </w:tcBorders>
          </w:tcPr>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Mark A. Whitt (Counsel of Record)</w:t>
            </w:r>
          </w:p>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Andrew J. Campbell</w:t>
            </w:r>
          </w:p>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Gregory L. Williams</w:t>
            </w:r>
          </w:p>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WHITT STURTEVANT LLP</w:t>
            </w:r>
          </w:p>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The KeyBank Building</w:t>
            </w:r>
          </w:p>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88 East Broad Street, Suite 1590</w:t>
            </w:r>
          </w:p>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Columbus, Ohio 43215</w:t>
            </w:r>
          </w:p>
          <w:p w:rsidR="00BD5899" w:rsidRDefault="003A109F" w:rsidP="006271BA">
            <w:pPr>
              <w:autoSpaceDE w:val="0"/>
              <w:autoSpaceDN w:val="0"/>
              <w:adjustRightInd w:val="0"/>
              <w:spacing w:after="0" w:line="240" w:lineRule="auto"/>
              <w:rPr>
                <w:rFonts w:ascii="Times New Roman" w:hAnsi="Times New Roman" w:cs="Times New Roman"/>
                <w:sz w:val="24"/>
                <w:szCs w:val="24"/>
              </w:rPr>
            </w:pPr>
            <w:hyperlink r:id="rId28" w:history="1">
              <w:r w:rsidR="00BD5899" w:rsidRPr="007348C1">
                <w:rPr>
                  <w:rStyle w:val="Hyperlink"/>
                  <w:rFonts w:ascii="Times New Roman" w:hAnsi="Times New Roman" w:cs="Times New Roman"/>
                  <w:sz w:val="24"/>
                  <w:szCs w:val="24"/>
                </w:rPr>
                <w:t>whitt@whitt-sturtevant.com</w:t>
              </w:r>
            </w:hyperlink>
          </w:p>
          <w:p w:rsidR="00BD5899" w:rsidRDefault="003A109F" w:rsidP="006271BA">
            <w:pPr>
              <w:autoSpaceDE w:val="0"/>
              <w:autoSpaceDN w:val="0"/>
              <w:adjustRightInd w:val="0"/>
              <w:spacing w:after="0" w:line="240" w:lineRule="auto"/>
              <w:rPr>
                <w:rFonts w:ascii="Times New Roman" w:hAnsi="Times New Roman" w:cs="Times New Roman"/>
                <w:sz w:val="24"/>
                <w:szCs w:val="24"/>
              </w:rPr>
            </w:pPr>
            <w:hyperlink r:id="rId29" w:history="1">
              <w:r w:rsidR="00BD5899" w:rsidRPr="007348C1">
                <w:rPr>
                  <w:rStyle w:val="Hyperlink"/>
                  <w:rFonts w:ascii="Times New Roman" w:hAnsi="Times New Roman" w:cs="Times New Roman"/>
                  <w:sz w:val="24"/>
                  <w:szCs w:val="24"/>
                </w:rPr>
                <w:t>campbell@whitt-sturtevant.com</w:t>
              </w:r>
            </w:hyperlink>
          </w:p>
          <w:p w:rsidR="00BD5899" w:rsidRDefault="003A109F" w:rsidP="006271BA">
            <w:pPr>
              <w:autoSpaceDE w:val="0"/>
              <w:autoSpaceDN w:val="0"/>
              <w:adjustRightInd w:val="0"/>
              <w:spacing w:after="0" w:line="240" w:lineRule="auto"/>
              <w:rPr>
                <w:rFonts w:ascii="Times New Roman" w:hAnsi="Times New Roman" w:cs="Times New Roman"/>
                <w:sz w:val="24"/>
                <w:szCs w:val="24"/>
              </w:rPr>
            </w:pPr>
            <w:hyperlink r:id="rId30" w:history="1">
              <w:r w:rsidR="00BD5899" w:rsidRPr="007348C1">
                <w:rPr>
                  <w:rStyle w:val="Hyperlink"/>
                  <w:rFonts w:ascii="Times New Roman" w:hAnsi="Times New Roman" w:cs="Times New Roman"/>
                  <w:sz w:val="24"/>
                  <w:szCs w:val="24"/>
                </w:rPr>
                <w:t>williams@whitt-sturtevant.com</w:t>
              </w:r>
            </w:hyperlink>
          </w:p>
          <w:p w:rsidR="00BD5899" w:rsidRDefault="00BD5899" w:rsidP="006271BA">
            <w:pPr>
              <w:autoSpaceDE w:val="0"/>
              <w:autoSpaceDN w:val="0"/>
              <w:adjustRightInd w:val="0"/>
              <w:spacing w:after="0" w:line="240" w:lineRule="auto"/>
              <w:rPr>
                <w:rFonts w:ascii="Times New Roman" w:hAnsi="Times New Roman" w:cs="Times New Roman"/>
                <w:sz w:val="24"/>
                <w:szCs w:val="24"/>
              </w:rPr>
            </w:pPr>
          </w:p>
          <w:p w:rsidR="00BD5899" w:rsidRDefault="00BD5899" w:rsidP="006271BA">
            <w:pPr>
              <w:autoSpaceDE w:val="0"/>
              <w:autoSpaceDN w:val="0"/>
              <w:adjustRightInd w:val="0"/>
              <w:spacing w:after="0" w:line="240" w:lineRule="auto"/>
              <w:rPr>
                <w:rFonts w:ascii="Times New Roman" w:hAnsi="Times New Roman" w:cs="Times New Roman"/>
                <w:sz w:val="24"/>
                <w:szCs w:val="24"/>
              </w:rPr>
            </w:pPr>
          </w:p>
          <w:p w:rsidR="00BD5899" w:rsidRDefault="00BD5899" w:rsidP="006271BA">
            <w:pPr>
              <w:autoSpaceDE w:val="0"/>
              <w:autoSpaceDN w:val="0"/>
              <w:adjustRightInd w:val="0"/>
              <w:spacing w:after="0" w:line="240" w:lineRule="auto"/>
              <w:rPr>
                <w:rFonts w:ascii="Times New Roman" w:hAnsi="Times New Roman" w:cs="Times New Roman"/>
                <w:sz w:val="24"/>
                <w:szCs w:val="24"/>
              </w:rPr>
            </w:pPr>
          </w:p>
        </w:tc>
      </w:tr>
      <w:tr w:rsidR="00BD5899" w:rsidRPr="0099789E">
        <w:tc>
          <w:tcPr>
            <w:tcW w:w="4428" w:type="dxa"/>
            <w:tcBorders>
              <w:top w:val="nil"/>
              <w:left w:val="nil"/>
              <w:bottom w:val="nil"/>
              <w:right w:val="nil"/>
            </w:tcBorders>
          </w:tcPr>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Glenn S. Krassen</w:t>
            </w:r>
          </w:p>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BRICKER &amp; ECKLER LLP</w:t>
            </w:r>
          </w:p>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1001 Lakeside Avenue East, Suite 1350</w:t>
            </w:r>
          </w:p>
          <w:p w:rsidR="00BD5899" w:rsidRPr="006271BA" w:rsidRDefault="00BD5899" w:rsidP="006271BA">
            <w:pPr>
              <w:tabs>
                <w:tab w:val="right" w:pos="4212"/>
              </w:tabs>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Cleveland, Ohio 44114</w:t>
            </w:r>
            <w:r w:rsidRPr="006271BA">
              <w:rPr>
                <w:rFonts w:ascii="Times New Roman" w:hAnsi="Times New Roman" w:cs="Times New Roman"/>
                <w:sz w:val="24"/>
                <w:szCs w:val="24"/>
              </w:rPr>
              <w:tab/>
            </w:r>
          </w:p>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gkrassen@bricker.com</w:t>
            </w:r>
          </w:p>
        </w:tc>
        <w:tc>
          <w:tcPr>
            <w:tcW w:w="4428" w:type="dxa"/>
            <w:tcBorders>
              <w:top w:val="nil"/>
              <w:left w:val="nil"/>
              <w:bottom w:val="nil"/>
              <w:right w:val="nil"/>
            </w:tcBorders>
          </w:tcPr>
          <w:p w:rsidR="00BD5899" w:rsidRPr="006271BA" w:rsidRDefault="00BD5899" w:rsidP="006271BA">
            <w:pPr>
              <w:autoSpaceDE w:val="0"/>
              <w:autoSpaceDN w:val="0"/>
              <w:adjustRightInd w:val="0"/>
              <w:spacing w:after="0" w:line="240" w:lineRule="auto"/>
              <w:rPr>
                <w:rFonts w:ascii="Times New Roman" w:hAnsi="Times New Roman" w:cs="Times New Roman"/>
                <w:color w:val="000000"/>
                <w:sz w:val="24"/>
                <w:szCs w:val="24"/>
              </w:rPr>
            </w:pPr>
            <w:r w:rsidRPr="006271BA">
              <w:rPr>
                <w:rFonts w:ascii="Times New Roman" w:hAnsi="Times New Roman" w:cs="Times New Roman"/>
                <w:color w:val="000000"/>
                <w:sz w:val="24"/>
                <w:szCs w:val="24"/>
              </w:rPr>
              <w:t>Matthew S. White (0082859)</w:t>
            </w:r>
          </w:p>
          <w:p w:rsidR="00BD5899" w:rsidRPr="006271BA" w:rsidRDefault="00BD5899" w:rsidP="006271BA">
            <w:pPr>
              <w:autoSpaceDE w:val="0"/>
              <w:autoSpaceDN w:val="0"/>
              <w:adjustRightInd w:val="0"/>
              <w:spacing w:after="0" w:line="240" w:lineRule="auto"/>
              <w:rPr>
                <w:rFonts w:ascii="Times New Roman" w:hAnsi="Times New Roman" w:cs="Times New Roman"/>
                <w:color w:val="000000"/>
                <w:sz w:val="24"/>
                <w:szCs w:val="24"/>
              </w:rPr>
            </w:pPr>
            <w:r w:rsidRPr="006271BA">
              <w:rPr>
                <w:rFonts w:ascii="Times New Roman" w:hAnsi="Times New Roman" w:cs="Times New Roman"/>
                <w:color w:val="000000"/>
                <w:sz w:val="24"/>
                <w:szCs w:val="24"/>
              </w:rPr>
              <w:t>Vincent A. Parisi</w:t>
            </w:r>
          </w:p>
          <w:p w:rsidR="00BD5899" w:rsidRPr="006271BA" w:rsidRDefault="00BD5899" w:rsidP="006271BA">
            <w:pPr>
              <w:autoSpaceDE w:val="0"/>
              <w:autoSpaceDN w:val="0"/>
              <w:adjustRightInd w:val="0"/>
              <w:spacing w:after="0" w:line="240" w:lineRule="auto"/>
              <w:rPr>
                <w:rFonts w:ascii="Times New Roman" w:hAnsi="Times New Roman" w:cs="Times New Roman"/>
                <w:color w:val="000000"/>
                <w:sz w:val="24"/>
                <w:szCs w:val="24"/>
              </w:rPr>
            </w:pPr>
            <w:r w:rsidRPr="006271BA">
              <w:rPr>
                <w:rFonts w:ascii="Times New Roman" w:hAnsi="Times New Roman" w:cs="Times New Roman"/>
                <w:color w:val="000000"/>
                <w:sz w:val="24"/>
                <w:szCs w:val="24"/>
              </w:rPr>
              <w:t>Interstate Gas Supply, Inc.</w:t>
            </w:r>
          </w:p>
          <w:p w:rsidR="00BD5899" w:rsidRPr="006271BA" w:rsidRDefault="00BD5899" w:rsidP="006271BA">
            <w:pPr>
              <w:autoSpaceDE w:val="0"/>
              <w:autoSpaceDN w:val="0"/>
              <w:adjustRightInd w:val="0"/>
              <w:spacing w:after="0" w:line="240" w:lineRule="auto"/>
              <w:rPr>
                <w:rFonts w:ascii="Times New Roman" w:hAnsi="Times New Roman" w:cs="Times New Roman"/>
                <w:color w:val="000000"/>
                <w:sz w:val="24"/>
                <w:szCs w:val="24"/>
              </w:rPr>
            </w:pPr>
            <w:r w:rsidRPr="006271BA">
              <w:rPr>
                <w:rFonts w:ascii="Times New Roman" w:hAnsi="Times New Roman" w:cs="Times New Roman"/>
                <w:color w:val="000000"/>
                <w:sz w:val="24"/>
                <w:szCs w:val="24"/>
              </w:rPr>
              <w:t>6100 Emerald Parkway</w:t>
            </w:r>
          </w:p>
          <w:p w:rsidR="00BD5899" w:rsidRPr="006271BA" w:rsidRDefault="00BD5899" w:rsidP="006271BA">
            <w:pPr>
              <w:autoSpaceDE w:val="0"/>
              <w:autoSpaceDN w:val="0"/>
              <w:adjustRightInd w:val="0"/>
              <w:spacing w:after="0" w:line="240" w:lineRule="auto"/>
              <w:rPr>
                <w:rFonts w:ascii="Times New Roman" w:hAnsi="Times New Roman" w:cs="Times New Roman"/>
                <w:color w:val="000000"/>
                <w:sz w:val="24"/>
                <w:szCs w:val="24"/>
              </w:rPr>
            </w:pPr>
            <w:r w:rsidRPr="006271BA">
              <w:rPr>
                <w:rFonts w:ascii="Times New Roman" w:hAnsi="Times New Roman" w:cs="Times New Roman"/>
                <w:color w:val="000000"/>
                <w:sz w:val="24"/>
                <w:szCs w:val="24"/>
              </w:rPr>
              <w:t>Dublin OH 43026</w:t>
            </w:r>
          </w:p>
          <w:p w:rsidR="00BD5899" w:rsidRDefault="003A109F" w:rsidP="006271BA">
            <w:pPr>
              <w:autoSpaceDE w:val="0"/>
              <w:autoSpaceDN w:val="0"/>
              <w:adjustRightInd w:val="0"/>
              <w:spacing w:after="0" w:line="240" w:lineRule="auto"/>
              <w:rPr>
                <w:rFonts w:ascii="Times New Roman" w:hAnsi="Times New Roman" w:cs="Times New Roman"/>
                <w:color w:val="0000FF"/>
                <w:sz w:val="24"/>
                <w:szCs w:val="24"/>
              </w:rPr>
            </w:pPr>
            <w:hyperlink r:id="rId31" w:history="1">
              <w:r w:rsidR="00BD5899" w:rsidRPr="007348C1">
                <w:rPr>
                  <w:rStyle w:val="Hyperlink"/>
                  <w:rFonts w:ascii="Times New Roman" w:hAnsi="Times New Roman" w:cs="Times New Roman"/>
                  <w:sz w:val="24"/>
                  <w:szCs w:val="24"/>
                </w:rPr>
                <w:t>mswhite@igsenergy.com</w:t>
              </w:r>
            </w:hyperlink>
          </w:p>
          <w:p w:rsidR="00BD5899" w:rsidRDefault="003A109F" w:rsidP="006271BA">
            <w:pPr>
              <w:autoSpaceDE w:val="0"/>
              <w:autoSpaceDN w:val="0"/>
              <w:adjustRightInd w:val="0"/>
              <w:spacing w:after="0" w:line="240" w:lineRule="auto"/>
              <w:rPr>
                <w:rFonts w:ascii="Times New Roman" w:hAnsi="Times New Roman" w:cs="Times New Roman"/>
                <w:color w:val="0000FF"/>
                <w:sz w:val="24"/>
                <w:szCs w:val="24"/>
              </w:rPr>
            </w:pPr>
            <w:hyperlink r:id="rId32" w:history="1">
              <w:r w:rsidR="00BD5899" w:rsidRPr="007348C1">
                <w:rPr>
                  <w:rStyle w:val="Hyperlink"/>
                  <w:rFonts w:ascii="Times New Roman" w:hAnsi="Times New Roman" w:cs="Times New Roman"/>
                  <w:sz w:val="24"/>
                  <w:szCs w:val="24"/>
                </w:rPr>
                <w:t>vparisi@igsenergy.com</w:t>
              </w:r>
            </w:hyperlink>
          </w:p>
          <w:p w:rsidR="00BD5899" w:rsidRDefault="00BD5899" w:rsidP="006271BA">
            <w:pPr>
              <w:autoSpaceDE w:val="0"/>
              <w:autoSpaceDN w:val="0"/>
              <w:adjustRightInd w:val="0"/>
              <w:spacing w:after="0" w:line="240" w:lineRule="auto"/>
              <w:rPr>
                <w:rFonts w:ascii="Times New Roman" w:hAnsi="Times New Roman" w:cs="Times New Roman"/>
                <w:sz w:val="24"/>
                <w:szCs w:val="24"/>
              </w:rPr>
            </w:pPr>
          </w:p>
          <w:p w:rsidR="00BD5899" w:rsidRDefault="00BD5899" w:rsidP="006271BA">
            <w:pPr>
              <w:autoSpaceDE w:val="0"/>
              <w:autoSpaceDN w:val="0"/>
              <w:adjustRightInd w:val="0"/>
              <w:spacing w:after="0" w:line="240" w:lineRule="auto"/>
              <w:rPr>
                <w:rFonts w:ascii="Times New Roman" w:hAnsi="Times New Roman" w:cs="Times New Roman"/>
                <w:sz w:val="24"/>
                <w:szCs w:val="24"/>
              </w:rPr>
            </w:pPr>
          </w:p>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p>
        </w:tc>
      </w:tr>
      <w:tr w:rsidR="00BD5899" w:rsidRPr="0099789E">
        <w:tc>
          <w:tcPr>
            <w:tcW w:w="4428" w:type="dxa"/>
            <w:tcBorders>
              <w:top w:val="nil"/>
              <w:left w:val="nil"/>
              <w:bottom w:val="nil"/>
              <w:right w:val="nil"/>
            </w:tcBorders>
          </w:tcPr>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Stephanie M. Chmiel</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THOMPSON HINE LLP</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41 South High Street, Suite 1700</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Columbus, Ohio 43215-6101</w:t>
            </w:r>
          </w:p>
          <w:p w:rsidR="00BD5899" w:rsidRDefault="00BD5899" w:rsidP="006271BA">
            <w:pPr>
              <w:autoSpaceDE w:val="0"/>
              <w:autoSpaceDN w:val="0"/>
              <w:adjustRightInd w:val="0"/>
              <w:spacing w:after="0" w:line="240" w:lineRule="auto"/>
              <w:rPr>
                <w:rFonts w:ascii="Times New Roman" w:hAnsi="Times New Roman" w:cs="Times New Roman"/>
                <w:sz w:val="24"/>
                <w:szCs w:val="24"/>
              </w:rPr>
            </w:pPr>
          </w:p>
          <w:p w:rsidR="00BD5899" w:rsidRDefault="00BD5899" w:rsidP="006271BA">
            <w:pPr>
              <w:autoSpaceDE w:val="0"/>
              <w:autoSpaceDN w:val="0"/>
              <w:adjustRightInd w:val="0"/>
              <w:spacing w:after="0" w:line="240" w:lineRule="auto"/>
              <w:rPr>
                <w:rFonts w:ascii="Times New Roman" w:hAnsi="Times New Roman" w:cs="Times New Roman"/>
                <w:sz w:val="24"/>
                <w:szCs w:val="24"/>
              </w:rPr>
            </w:pPr>
          </w:p>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p>
        </w:tc>
        <w:tc>
          <w:tcPr>
            <w:tcW w:w="4428" w:type="dxa"/>
            <w:tcBorders>
              <w:top w:val="nil"/>
              <w:left w:val="nil"/>
              <w:bottom w:val="nil"/>
              <w:right w:val="nil"/>
            </w:tcBorders>
          </w:tcPr>
          <w:p w:rsidR="00BD5899" w:rsidRDefault="00BD5899" w:rsidP="006271B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David A. Cetola</w:t>
            </w:r>
          </w:p>
          <w:p w:rsidR="00BD5899" w:rsidRDefault="00BD5899" w:rsidP="006271B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Director of Regulatory Affairs</w:t>
            </w:r>
          </w:p>
          <w:p w:rsidR="00BD5899" w:rsidRDefault="00BD5899" w:rsidP="006271B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Hess Corporation</w:t>
            </w:r>
          </w:p>
          <w:p w:rsidR="00BD5899" w:rsidRDefault="00BD5899" w:rsidP="006271B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One Hess Plaza</w:t>
            </w:r>
          </w:p>
          <w:p w:rsidR="00BD5899" w:rsidRPr="006271BA" w:rsidRDefault="00BD5899" w:rsidP="006271B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Woodbridge, NJ 07095</w:t>
            </w:r>
          </w:p>
        </w:tc>
      </w:tr>
      <w:tr w:rsidR="00BD5899" w:rsidRPr="0099789E">
        <w:tc>
          <w:tcPr>
            <w:tcW w:w="4428" w:type="dxa"/>
            <w:tcBorders>
              <w:top w:val="nil"/>
              <w:left w:val="nil"/>
              <w:bottom w:val="nil"/>
              <w:right w:val="nil"/>
            </w:tcBorders>
          </w:tcPr>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Stephen B. Seiple, Assistant</w:t>
            </w:r>
          </w:p>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General Counsel</w:t>
            </w:r>
          </w:p>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Brooke E. Leslie, Senior Counsel</w:t>
            </w:r>
          </w:p>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200 Civic Center Drive,</w:t>
            </w:r>
          </w:p>
          <w:p w:rsidR="00BD5899" w:rsidRPr="006271BA" w:rsidRDefault="00BD5899" w:rsidP="006271BA">
            <w:pPr>
              <w:autoSpaceDE w:val="0"/>
              <w:autoSpaceDN w:val="0"/>
              <w:adjustRightInd w:val="0"/>
              <w:spacing w:after="0" w:line="240" w:lineRule="auto"/>
              <w:rPr>
                <w:rFonts w:ascii="Times New Roman" w:hAnsi="Times New Roman" w:cs="Times New Roman"/>
                <w:sz w:val="24"/>
                <w:szCs w:val="24"/>
              </w:rPr>
            </w:pPr>
            <w:r w:rsidRPr="006271BA">
              <w:rPr>
                <w:rFonts w:ascii="Times New Roman" w:hAnsi="Times New Roman" w:cs="Times New Roman"/>
                <w:sz w:val="24"/>
                <w:szCs w:val="24"/>
              </w:rPr>
              <w:t>Columbus, Ohio 43216</w:t>
            </w:r>
          </w:p>
          <w:p w:rsidR="00BD5899" w:rsidRDefault="003A109F" w:rsidP="006271BA">
            <w:pPr>
              <w:autoSpaceDE w:val="0"/>
              <w:autoSpaceDN w:val="0"/>
              <w:adjustRightInd w:val="0"/>
              <w:spacing w:after="0" w:line="240" w:lineRule="auto"/>
              <w:rPr>
                <w:rFonts w:ascii="Times New Roman" w:hAnsi="Times New Roman" w:cs="Times New Roman"/>
                <w:sz w:val="24"/>
                <w:szCs w:val="24"/>
              </w:rPr>
            </w:pPr>
            <w:hyperlink r:id="rId33" w:history="1">
              <w:r w:rsidR="00BD5899" w:rsidRPr="007348C1">
                <w:rPr>
                  <w:rStyle w:val="Hyperlink"/>
                  <w:rFonts w:ascii="Times New Roman" w:hAnsi="Times New Roman" w:cs="Times New Roman"/>
                  <w:sz w:val="24"/>
                  <w:szCs w:val="24"/>
                </w:rPr>
                <w:t>sseiple@nisource.com</w:t>
              </w:r>
            </w:hyperlink>
          </w:p>
          <w:p w:rsidR="00BD5899" w:rsidRDefault="003A109F" w:rsidP="006271BA">
            <w:pPr>
              <w:autoSpaceDE w:val="0"/>
              <w:autoSpaceDN w:val="0"/>
              <w:adjustRightInd w:val="0"/>
              <w:spacing w:after="0" w:line="240" w:lineRule="auto"/>
              <w:rPr>
                <w:rFonts w:ascii="Times New Roman" w:hAnsi="Times New Roman" w:cs="Times New Roman"/>
                <w:sz w:val="24"/>
                <w:szCs w:val="24"/>
              </w:rPr>
            </w:pPr>
            <w:hyperlink r:id="rId34" w:history="1">
              <w:r w:rsidR="00BD5899" w:rsidRPr="007348C1">
                <w:rPr>
                  <w:rStyle w:val="Hyperlink"/>
                  <w:rFonts w:ascii="Times New Roman" w:hAnsi="Times New Roman" w:cs="Times New Roman"/>
                  <w:sz w:val="24"/>
                  <w:szCs w:val="24"/>
                </w:rPr>
                <w:t>bleslie@nisource.com</w:t>
              </w:r>
            </w:hyperlink>
          </w:p>
          <w:p w:rsidR="00BD5899" w:rsidRDefault="00BD5899" w:rsidP="006271BA">
            <w:pPr>
              <w:autoSpaceDE w:val="0"/>
              <w:autoSpaceDN w:val="0"/>
              <w:adjustRightInd w:val="0"/>
              <w:spacing w:after="0" w:line="240" w:lineRule="auto"/>
              <w:rPr>
                <w:rFonts w:ascii="Times New Roman" w:hAnsi="Times New Roman" w:cs="Times New Roman"/>
                <w:sz w:val="24"/>
                <w:szCs w:val="24"/>
              </w:rPr>
            </w:pPr>
          </w:p>
        </w:tc>
        <w:tc>
          <w:tcPr>
            <w:tcW w:w="4428" w:type="dxa"/>
            <w:tcBorders>
              <w:top w:val="nil"/>
              <w:left w:val="nil"/>
              <w:bottom w:val="nil"/>
              <w:right w:val="nil"/>
            </w:tcBorders>
          </w:tcPr>
          <w:p w:rsidR="00BD5899" w:rsidRDefault="00BD5899" w:rsidP="006271BA">
            <w:pPr>
              <w:autoSpaceDE w:val="0"/>
              <w:autoSpaceDN w:val="0"/>
              <w:adjustRightInd w:val="0"/>
              <w:spacing w:after="0" w:line="240" w:lineRule="auto"/>
              <w:rPr>
                <w:rFonts w:ascii="Times New Roman" w:hAnsi="Times New Roman" w:cs="Times New Roman"/>
                <w:color w:val="000000"/>
                <w:sz w:val="24"/>
                <w:szCs w:val="24"/>
              </w:rPr>
            </w:pPr>
          </w:p>
          <w:p w:rsidR="00BD5899" w:rsidRDefault="00BD5899" w:rsidP="006271BA">
            <w:pPr>
              <w:autoSpaceDE w:val="0"/>
              <w:autoSpaceDN w:val="0"/>
              <w:adjustRightInd w:val="0"/>
              <w:spacing w:after="0" w:line="240" w:lineRule="auto"/>
              <w:rPr>
                <w:rFonts w:ascii="Times New Roman" w:hAnsi="Times New Roman" w:cs="Times New Roman"/>
                <w:color w:val="000000"/>
                <w:sz w:val="24"/>
                <w:szCs w:val="24"/>
              </w:rPr>
            </w:pPr>
          </w:p>
          <w:p w:rsidR="00BD5899" w:rsidRDefault="00BD5899" w:rsidP="006271BA">
            <w:pPr>
              <w:autoSpaceDE w:val="0"/>
              <w:autoSpaceDN w:val="0"/>
              <w:adjustRightInd w:val="0"/>
              <w:spacing w:after="0" w:line="240" w:lineRule="auto"/>
              <w:rPr>
                <w:rFonts w:ascii="Times New Roman" w:hAnsi="Times New Roman" w:cs="Times New Roman"/>
                <w:color w:val="000000"/>
                <w:sz w:val="24"/>
                <w:szCs w:val="24"/>
              </w:rPr>
            </w:pPr>
          </w:p>
        </w:tc>
      </w:tr>
    </w:tbl>
    <w:p w:rsidR="00BD5899" w:rsidRPr="0099789E" w:rsidRDefault="00BD5899" w:rsidP="00AA1CB9">
      <w:pPr>
        <w:pStyle w:val="Heading2"/>
      </w:pPr>
    </w:p>
    <w:sectPr w:rsidR="00BD5899" w:rsidRPr="0099789E" w:rsidSect="00562C23">
      <w:headerReference w:type="default" r:id="rId3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97E" w:rsidRDefault="004E397E" w:rsidP="00B0675D">
      <w:pPr>
        <w:spacing w:after="0" w:line="240" w:lineRule="auto"/>
      </w:pPr>
      <w:r>
        <w:separator/>
      </w:r>
    </w:p>
  </w:endnote>
  <w:endnote w:type="continuationSeparator" w:id="0">
    <w:p w:rsidR="004E397E" w:rsidRDefault="004E397E" w:rsidP="00B0675D">
      <w:pPr>
        <w:spacing w:after="0" w:line="240" w:lineRule="auto"/>
      </w:pPr>
      <w:r>
        <w:continuationSeparator/>
      </w:r>
    </w:p>
  </w:endnote>
  <w:endnote w:type="continuationNotice" w:id="1">
    <w:p w:rsidR="004E397E" w:rsidRDefault="004E39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4F" w:rsidRDefault="00022C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7E" w:rsidRDefault="004E397E">
    <w:pPr>
      <w:pStyle w:val="Footer"/>
      <w:jc w:val="center"/>
    </w:pPr>
  </w:p>
  <w:p w:rsidR="004E397E" w:rsidRDefault="004E39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4F" w:rsidRDefault="00022C4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7E" w:rsidRPr="00036F88" w:rsidRDefault="004E397E">
    <w:pPr>
      <w:pStyle w:val="Footer"/>
      <w:jc w:val="center"/>
      <w:rPr>
        <w:rFonts w:ascii="Times New Roman" w:hAnsi="Times New Roman" w:cs="Times New Roman"/>
        <w:sz w:val="20"/>
        <w:szCs w:val="20"/>
      </w:rPr>
    </w:pPr>
    <w:r w:rsidRPr="00036F88">
      <w:rPr>
        <w:rFonts w:ascii="Times New Roman" w:hAnsi="Times New Roman" w:cs="Times New Roman"/>
        <w:sz w:val="20"/>
        <w:szCs w:val="20"/>
      </w:rPr>
      <w:fldChar w:fldCharType="begin"/>
    </w:r>
    <w:r w:rsidRPr="00036F88">
      <w:rPr>
        <w:rFonts w:ascii="Times New Roman" w:hAnsi="Times New Roman" w:cs="Times New Roman"/>
        <w:sz w:val="20"/>
        <w:szCs w:val="20"/>
      </w:rPr>
      <w:instrText xml:space="preserve"> PAGE   \* MERGEFORMAT </w:instrText>
    </w:r>
    <w:r w:rsidRPr="00036F88">
      <w:rPr>
        <w:rFonts w:ascii="Times New Roman" w:hAnsi="Times New Roman" w:cs="Times New Roman"/>
        <w:sz w:val="20"/>
        <w:szCs w:val="20"/>
      </w:rPr>
      <w:fldChar w:fldCharType="separate"/>
    </w:r>
    <w:r w:rsidR="003A109F">
      <w:rPr>
        <w:rFonts w:ascii="Times New Roman" w:hAnsi="Times New Roman" w:cs="Times New Roman"/>
        <w:noProof/>
        <w:sz w:val="20"/>
        <w:szCs w:val="20"/>
      </w:rPr>
      <w:t>i</w:t>
    </w:r>
    <w:r w:rsidRPr="00036F88">
      <w:rPr>
        <w:rFonts w:ascii="Times New Roman" w:hAnsi="Times New Roman" w:cs="Times New Roman"/>
        <w:sz w:val="20"/>
        <w:szCs w:val="20"/>
      </w:rPr>
      <w:fldChar w:fldCharType="end"/>
    </w:r>
  </w:p>
  <w:p w:rsidR="004E397E" w:rsidRPr="00036F88" w:rsidRDefault="004E397E">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97E" w:rsidRDefault="004E397E" w:rsidP="00B0675D">
      <w:pPr>
        <w:spacing w:after="0" w:line="240" w:lineRule="auto"/>
      </w:pPr>
      <w:r>
        <w:separator/>
      </w:r>
    </w:p>
  </w:footnote>
  <w:footnote w:type="continuationSeparator" w:id="0">
    <w:p w:rsidR="004E397E" w:rsidRDefault="004E397E" w:rsidP="00B0675D">
      <w:pPr>
        <w:spacing w:after="0" w:line="240" w:lineRule="auto"/>
      </w:pPr>
      <w:r>
        <w:continuationSeparator/>
      </w:r>
    </w:p>
  </w:footnote>
  <w:footnote w:type="continuationNotice" w:id="1">
    <w:p w:rsidR="004E397E" w:rsidRDefault="004E397E">
      <w:pPr>
        <w:spacing w:after="0" w:line="240" w:lineRule="auto"/>
      </w:pPr>
    </w:p>
  </w:footnote>
  <w:footnote w:id="2">
    <w:p w:rsidR="004E397E" w:rsidRDefault="004E397E" w:rsidP="00A221B2">
      <w:pPr>
        <w:pStyle w:val="FootnoteText"/>
        <w:spacing w:after="120"/>
      </w:pPr>
      <w:r w:rsidRPr="00416F09">
        <w:rPr>
          <w:rStyle w:val="FootnoteReference"/>
          <w:rFonts w:ascii="Times New Roman" w:hAnsi="Times New Roman" w:cs="Times New Roman"/>
        </w:rPr>
        <w:footnoteRef/>
      </w:r>
      <w:r w:rsidRPr="00416F09">
        <w:rPr>
          <w:rFonts w:ascii="Times New Roman" w:hAnsi="Times New Roman" w:cs="Times New Roman"/>
        </w:rPr>
        <w:t xml:space="preserve"> See R.C. 119.032(C).</w:t>
      </w:r>
    </w:p>
  </w:footnote>
  <w:footnote w:id="3">
    <w:p w:rsidR="004E397E" w:rsidRDefault="004E397E" w:rsidP="00A221B2">
      <w:pPr>
        <w:pStyle w:val="FootnoteText"/>
        <w:spacing w:after="120"/>
      </w:pPr>
      <w:r w:rsidRPr="00F55746">
        <w:rPr>
          <w:rStyle w:val="FootnoteReference"/>
          <w:rFonts w:ascii="Times New Roman" w:hAnsi="Times New Roman" w:cs="Times New Roman"/>
        </w:rPr>
        <w:footnoteRef/>
      </w:r>
      <w:r w:rsidRPr="00F55746">
        <w:rPr>
          <w:rFonts w:ascii="Times New Roman" w:hAnsi="Times New Roman" w:cs="Times New Roman"/>
        </w:rPr>
        <w:t xml:space="preserve"> See Ohio Admin. Code 4901:1-29-02 (A)(1)-(3).</w:t>
      </w:r>
    </w:p>
  </w:footnote>
  <w:footnote w:id="4">
    <w:p w:rsidR="004E397E" w:rsidRDefault="004E397E" w:rsidP="00A221B2">
      <w:pPr>
        <w:pStyle w:val="FootnoteText"/>
        <w:spacing w:after="120"/>
      </w:pPr>
      <w:r w:rsidRPr="00416F09">
        <w:rPr>
          <w:rStyle w:val="FootnoteReference"/>
          <w:rFonts w:ascii="Times New Roman" w:hAnsi="Times New Roman" w:cs="Times New Roman"/>
        </w:rPr>
        <w:footnoteRef/>
      </w:r>
      <w:r w:rsidRPr="00416F09">
        <w:rPr>
          <w:rFonts w:ascii="Times New Roman" w:hAnsi="Times New Roman" w:cs="Times New Roman"/>
          <w:i/>
          <w:iCs/>
        </w:rPr>
        <w:t xml:space="preserve"> In the Matter of the Commission’s Review of its Rules for Competitive Retail Natural Gas Services Contained in Chapters 4901:1-27 Through 4901:1-34 of the Ohio Administrative Code, </w:t>
      </w:r>
      <w:r w:rsidRPr="00416F09">
        <w:rPr>
          <w:rFonts w:ascii="Times New Roman" w:hAnsi="Times New Roman" w:cs="Times New Roman"/>
        </w:rPr>
        <w:t>Case No. 12-925-GA-ORD, Entry at 4 (November 7, 2012)</w:t>
      </w:r>
      <w:r>
        <w:rPr>
          <w:rFonts w:ascii="Times New Roman" w:hAnsi="Times New Roman" w:cs="Times New Roman"/>
        </w:rPr>
        <w:t>.</w:t>
      </w:r>
    </w:p>
  </w:footnote>
  <w:footnote w:id="5">
    <w:p w:rsidR="004E397E" w:rsidRDefault="004E397E" w:rsidP="00A221B2">
      <w:pPr>
        <w:pStyle w:val="FootnoteText"/>
        <w:spacing w:after="120"/>
      </w:pPr>
      <w:r w:rsidRPr="001B5D20">
        <w:rPr>
          <w:rStyle w:val="FootnoteReference"/>
          <w:rFonts w:ascii="Times New Roman" w:hAnsi="Times New Roman" w:cs="Times New Roman"/>
        </w:rPr>
        <w:footnoteRef/>
      </w:r>
      <w:r>
        <w:rPr>
          <w:rFonts w:ascii="Times New Roman" w:hAnsi="Times New Roman" w:cs="Times New Roman"/>
        </w:rPr>
        <w:t xml:space="preserve"> </w:t>
      </w:r>
      <w:r w:rsidRPr="001B5D20">
        <w:rPr>
          <w:rFonts w:ascii="Times New Roman" w:hAnsi="Times New Roman" w:cs="Times New Roman"/>
        </w:rPr>
        <w:t xml:space="preserve">Entry at Attachment A page 1 of 2, (November 7, 2012) citing </w:t>
      </w:r>
      <w:r w:rsidRPr="001B5D20">
        <w:rPr>
          <w:rFonts w:ascii="Times New Roman" w:hAnsi="Times New Roman" w:cs="Times New Roman"/>
          <w:i/>
          <w:iCs/>
        </w:rPr>
        <w:t>In the Matter of the Complaint of Buckeye Energy Brokers, Inc., v. Palmer Energy Company</w:t>
      </w:r>
      <w:r w:rsidRPr="001B5D20">
        <w:rPr>
          <w:rFonts w:ascii="Times New Roman" w:hAnsi="Times New Roman" w:cs="Times New Roman"/>
        </w:rPr>
        <w:t>, Case No. 10-693-GE-CSS.</w:t>
      </w:r>
    </w:p>
  </w:footnote>
  <w:footnote w:id="6">
    <w:p w:rsidR="004E397E" w:rsidRDefault="004E397E" w:rsidP="00A221B2">
      <w:pPr>
        <w:pStyle w:val="FootnoteText"/>
        <w:spacing w:after="120"/>
      </w:pPr>
      <w:r>
        <w:rPr>
          <w:rStyle w:val="FootnoteReference"/>
        </w:rPr>
        <w:footnoteRef/>
      </w:r>
      <w:r>
        <w:t xml:space="preserve"> </w:t>
      </w:r>
      <w:r w:rsidRPr="001B5D20">
        <w:rPr>
          <w:rFonts w:ascii="Times New Roman" w:hAnsi="Times New Roman" w:cs="Times New Roman"/>
        </w:rPr>
        <w:t>Please note that OCC is not responding to question Nos. 6 and 7.</w:t>
      </w:r>
    </w:p>
  </w:footnote>
  <w:footnote w:id="7">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Dominion Retail Initial Comments at 3 (January 7, 2013).</w:t>
      </w:r>
    </w:p>
  </w:footnote>
  <w:footnote w:id="8">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OGMG/RESA Initial Comments at 3 (January 7, 2013).</w:t>
      </w:r>
    </w:p>
  </w:footnote>
  <w:footnote w:id="9">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Dominion and Vectren</w:t>
      </w:r>
      <w:r w:rsidRPr="001F58AC">
        <w:rPr>
          <w:rFonts w:ascii="Times New Roman" w:hAnsi="Times New Roman" w:cs="Times New Roman"/>
        </w:rPr>
        <w:t xml:space="preserve"> Initial Comments at 11 (January 7, 2013).</w:t>
      </w:r>
    </w:p>
  </w:footnote>
  <w:footnote w:id="10">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OCC Initial Comments at 3 (January 7, 2013).</w:t>
      </w:r>
    </w:p>
  </w:footnote>
  <w:footnote w:id="11">
    <w:p w:rsidR="004E397E" w:rsidRDefault="004E397E" w:rsidP="00A221B2">
      <w:pPr>
        <w:pStyle w:val="FootnoteText"/>
        <w:spacing w:after="120"/>
      </w:pPr>
      <w:r w:rsidRPr="00F55746">
        <w:rPr>
          <w:rStyle w:val="FootnoteReference"/>
          <w:rFonts w:ascii="Times New Roman" w:hAnsi="Times New Roman" w:cs="Times New Roman"/>
        </w:rPr>
        <w:footnoteRef/>
      </w:r>
      <w:r>
        <w:rPr>
          <w:rFonts w:ascii="Times New Roman" w:hAnsi="Times New Roman" w:cs="Times New Roman"/>
        </w:rPr>
        <w:t xml:space="preserve"> </w:t>
      </w:r>
      <w:r w:rsidRPr="00F55746">
        <w:rPr>
          <w:rFonts w:ascii="Times New Roman" w:hAnsi="Times New Roman" w:cs="Times New Roman"/>
        </w:rPr>
        <w:t>R.C. 4929.22.</w:t>
      </w:r>
    </w:p>
  </w:footnote>
  <w:footnote w:id="12">
    <w:p w:rsidR="004E397E" w:rsidRDefault="004E397E" w:rsidP="00A221B2">
      <w:pPr>
        <w:pStyle w:val="FootnoteText"/>
        <w:spacing w:after="120"/>
      </w:pPr>
      <w:r w:rsidRPr="00E64AFC">
        <w:rPr>
          <w:rStyle w:val="FootnoteReference"/>
          <w:rFonts w:ascii="Times New Roman" w:hAnsi="Times New Roman" w:cs="Times New Roman"/>
        </w:rPr>
        <w:footnoteRef/>
      </w:r>
      <w:r>
        <w:rPr>
          <w:rFonts w:ascii="Times New Roman" w:hAnsi="Times New Roman" w:cs="Times New Roman"/>
        </w:rPr>
        <w:t xml:space="preserve"> Eagle I</w:t>
      </w:r>
      <w:r w:rsidRPr="00E64AFC">
        <w:rPr>
          <w:rFonts w:ascii="Times New Roman" w:hAnsi="Times New Roman" w:cs="Times New Roman"/>
        </w:rPr>
        <w:t xml:space="preserve">nitial Comments at 3 (January 7, 2013). </w:t>
      </w:r>
    </w:p>
  </w:footnote>
  <w:footnote w:id="13">
    <w:p w:rsidR="004E397E" w:rsidRDefault="004E397E" w:rsidP="00A221B2">
      <w:pPr>
        <w:pStyle w:val="FootnoteText"/>
        <w:spacing w:after="120"/>
      </w:pPr>
      <w:r w:rsidRPr="00A11D57">
        <w:rPr>
          <w:rStyle w:val="FootnoteReference"/>
          <w:rFonts w:ascii="Times New Roman" w:hAnsi="Times New Roman" w:cs="Times New Roman"/>
        </w:rPr>
        <w:footnoteRef/>
      </w:r>
      <w:r w:rsidRPr="00A11D57">
        <w:rPr>
          <w:rFonts w:ascii="Times New Roman" w:hAnsi="Times New Roman" w:cs="Times New Roman"/>
        </w:rPr>
        <w:t xml:space="preserve"> See </w:t>
      </w:r>
      <w:r>
        <w:rPr>
          <w:rFonts w:ascii="Times New Roman" w:hAnsi="Times New Roman" w:cs="Times New Roman"/>
        </w:rPr>
        <w:t>OCC Reply Comments below at 13-15.</w:t>
      </w:r>
    </w:p>
  </w:footnote>
  <w:footnote w:id="14">
    <w:p w:rsidR="004E397E" w:rsidRDefault="004E397E" w:rsidP="00A221B2">
      <w:pPr>
        <w:pStyle w:val="FootnoteText"/>
        <w:spacing w:after="120"/>
      </w:pPr>
      <w:r w:rsidRPr="00A17244">
        <w:rPr>
          <w:rStyle w:val="FootnoteReference"/>
          <w:rFonts w:ascii="Times New Roman" w:hAnsi="Times New Roman" w:cs="Times New Roman"/>
        </w:rPr>
        <w:footnoteRef/>
      </w:r>
      <w:r w:rsidRPr="00A17244">
        <w:rPr>
          <w:rFonts w:ascii="Times New Roman" w:hAnsi="Times New Roman" w:cs="Times New Roman"/>
        </w:rPr>
        <w:t xml:space="preserve"> OPAE Initial Co</w:t>
      </w:r>
      <w:r>
        <w:rPr>
          <w:rFonts w:ascii="Times New Roman" w:hAnsi="Times New Roman" w:cs="Times New Roman"/>
        </w:rPr>
        <w:t>mments at 11 (January 7, 2013).</w:t>
      </w:r>
    </w:p>
  </w:footnote>
  <w:footnote w:id="15">
    <w:p w:rsidR="004E397E" w:rsidRDefault="004E397E" w:rsidP="00A221B2">
      <w:pPr>
        <w:pStyle w:val="FootnoteText"/>
        <w:spacing w:after="120"/>
      </w:pPr>
      <w:r w:rsidRPr="00A11D57">
        <w:rPr>
          <w:rStyle w:val="FootnoteReference"/>
          <w:rFonts w:ascii="Times New Roman" w:hAnsi="Times New Roman" w:cs="Times New Roman"/>
        </w:rPr>
        <w:footnoteRef/>
      </w:r>
      <w:r>
        <w:rPr>
          <w:rFonts w:ascii="Times New Roman" w:hAnsi="Times New Roman" w:cs="Times New Roman"/>
        </w:rPr>
        <w:t xml:space="preserve">  See OCC Reply Comments below at 13-15.</w:t>
      </w:r>
    </w:p>
  </w:footnote>
  <w:footnote w:id="16">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Dominion Retail Initial Comments at 3 (January 7, 2013).</w:t>
      </w:r>
    </w:p>
  </w:footnote>
  <w:footnote w:id="17">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NOPEC Initial Comments at 7 (January 7, 2013).</w:t>
      </w:r>
    </w:p>
  </w:footnote>
  <w:footnote w:id="18">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Columbia</w:t>
      </w:r>
      <w:r>
        <w:rPr>
          <w:rFonts w:ascii="Times New Roman" w:hAnsi="Times New Roman" w:cs="Times New Roman"/>
        </w:rPr>
        <w:t xml:space="preserve"> </w:t>
      </w:r>
      <w:r w:rsidRPr="001F58AC">
        <w:rPr>
          <w:rFonts w:ascii="Times New Roman" w:hAnsi="Times New Roman" w:cs="Times New Roman"/>
        </w:rPr>
        <w:t>Initial Comments at 2 (January 7, 2013).</w:t>
      </w:r>
    </w:p>
  </w:footnote>
  <w:footnote w:id="19">
    <w:p w:rsidR="004E397E" w:rsidRDefault="004E397E" w:rsidP="00A221B2">
      <w:pPr>
        <w:pStyle w:val="FootnoteText"/>
        <w:spacing w:after="120"/>
      </w:pPr>
      <w:r w:rsidRPr="001B5D20">
        <w:rPr>
          <w:rStyle w:val="FootnoteReference"/>
          <w:rFonts w:ascii="Times New Roman" w:hAnsi="Times New Roman" w:cs="Times New Roman"/>
        </w:rPr>
        <w:footnoteRef/>
      </w:r>
      <w:r>
        <w:rPr>
          <w:rFonts w:ascii="Times New Roman" w:hAnsi="Times New Roman" w:cs="Times New Roman"/>
        </w:rPr>
        <w:t xml:space="preserve"> </w:t>
      </w:r>
      <w:r w:rsidRPr="001B5D20">
        <w:rPr>
          <w:rFonts w:ascii="Times New Roman" w:hAnsi="Times New Roman" w:cs="Times New Roman"/>
        </w:rPr>
        <w:t>R.C. 4929.26(D).</w:t>
      </w:r>
    </w:p>
  </w:footnote>
  <w:footnote w:id="20">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Dominion Retail Initial Comments at 4 (January 7, 2013).</w:t>
      </w:r>
    </w:p>
  </w:footnote>
  <w:footnote w:id="21">
    <w:p w:rsidR="004E397E" w:rsidRDefault="004E397E" w:rsidP="00A221B2">
      <w:pPr>
        <w:pStyle w:val="FootnoteText"/>
        <w:spacing w:after="120"/>
      </w:pPr>
      <w:r w:rsidRPr="001B5D20">
        <w:rPr>
          <w:rStyle w:val="FootnoteReference"/>
          <w:rFonts w:ascii="Times New Roman" w:hAnsi="Times New Roman" w:cs="Times New Roman"/>
        </w:rPr>
        <w:footnoteRef/>
      </w:r>
      <w:r>
        <w:rPr>
          <w:rFonts w:ascii="Times New Roman" w:hAnsi="Times New Roman" w:cs="Times New Roman"/>
        </w:rPr>
        <w:t xml:space="preserve"> </w:t>
      </w:r>
      <w:r w:rsidRPr="001B5D20">
        <w:rPr>
          <w:rFonts w:ascii="Times New Roman" w:hAnsi="Times New Roman" w:cs="Times New Roman"/>
        </w:rPr>
        <w:t>R.C 4929.22(A)(1).</w:t>
      </w:r>
    </w:p>
  </w:footnote>
  <w:footnote w:id="22">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OGMG/RESA Initial Comments at 7 (January 7, 2013).</w:t>
      </w:r>
    </w:p>
  </w:footnote>
  <w:footnote w:id="23">
    <w:p w:rsidR="004E397E" w:rsidRDefault="004E397E" w:rsidP="00A221B2">
      <w:pPr>
        <w:pStyle w:val="FootnoteText"/>
        <w:spacing w:after="120"/>
      </w:pPr>
      <w:r w:rsidRPr="001B5D20">
        <w:rPr>
          <w:rStyle w:val="FootnoteReference"/>
          <w:rFonts w:ascii="Times New Roman" w:hAnsi="Times New Roman" w:cs="Times New Roman"/>
        </w:rPr>
        <w:footnoteRef/>
      </w:r>
      <w:r>
        <w:rPr>
          <w:rFonts w:ascii="Times New Roman" w:hAnsi="Times New Roman" w:cs="Times New Roman"/>
        </w:rPr>
        <w:t xml:space="preserve"> </w:t>
      </w:r>
      <w:r w:rsidRPr="001B5D20">
        <w:rPr>
          <w:rFonts w:ascii="Times New Roman" w:hAnsi="Times New Roman" w:cs="Times New Roman"/>
        </w:rPr>
        <w:t>Dominion Retail Initial Comments at 5 (January 7, 2013).</w:t>
      </w:r>
    </w:p>
  </w:footnote>
  <w:footnote w:id="24">
    <w:p w:rsidR="004E397E" w:rsidRDefault="004E397E" w:rsidP="00A221B2">
      <w:pPr>
        <w:pStyle w:val="FootnoteText"/>
        <w:spacing w:after="120"/>
      </w:pPr>
      <w:r w:rsidRPr="00C01D44">
        <w:rPr>
          <w:rStyle w:val="FootnoteReference"/>
          <w:rFonts w:ascii="Times New Roman" w:hAnsi="Times New Roman" w:cs="Times New Roman"/>
        </w:rPr>
        <w:footnoteRef/>
      </w:r>
      <w:r>
        <w:rPr>
          <w:rFonts w:ascii="Times New Roman" w:hAnsi="Times New Roman" w:cs="Times New Roman"/>
        </w:rPr>
        <w:t xml:space="preserve"> Id.</w:t>
      </w:r>
    </w:p>
  </w:footnote>
  <w:footnote w:id="25">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OGMG/RESA Initial Comments at 9-10 (January 7, 2013).</w:t>
      </w:r>
    </w:p>
  </w:footnote>
  <w:footnote w:id="26">
    <w:p w:rsidR="004E397E" w:rsidRDefault="004E397E" w:rsidP="00A221B2">
      <w:pPr>
        <w:pStyle w:val="FootnoteText"/>
        <w:spacing w:after="120"/>
      </w:pPr>
      <w:r w:rsidRPr="001B5D20">
        <w:rPr>
          <w:rStyle w:val="FootnoteReference"/>
          <w:rFonts w:ascii="Times New Roman" w:hAnsi="Times New Roman" w:cs="Times New Roman"/>
        </w:rPr>
        <w:footnoteRef/>
      </w:r>
      <w:r>
        <w:rPr>
          <w:rFonts w:ascii="Times New Roman" w:hAnsi="Times New Roman" w:cs="Times New Roman"/>
        </w:rPr>
        <w:t xml:space="preserve"> </w:t>
      </w:r>
      <w:r w:rsidRPr="001B5D20">
        <w:rPr>
          <w:rFonts w:ascii="Times New Roman" w:hAnsi="Times New Roman" w:cs="Times New Roman"/>
        </w:rPr>
        <w:t>Columbia</w:t>
      </w:r>
      <w:r>
        <w:rPr>
          <w:rFonts w:ascii="Times New Roman" w:hAnsi="Times New Roman" w:cs="Times New Roman"/>
        </w:rPr>
        <w:t xml:space="preserve"> Initial Comments</w:t>
      </w:r>
      <w:r w:rsidRPr="001B5D20">
        <w:rPr>
          <w:rFonts w:ascii="Times New Roman" w:hAnsi="Times New Roman" w:cs="Times New Roman"/>
        </w:rPr>
        <w:t xml:space="preserve"> at 3 (January 7, 2013).</w:t>
      </w:r>
    </w:p>
  </w:footnote>
  <w:footnote w:id="27">
    <w:p w:rsidR="004E397E" w:rsidRDefault="004E397E" w:rsidP="00A221B2">
      <w:pPr>
        <w:pStyle w:val="FootnoteText"/>
        <w:spacing w:after="120"/>
      </w:pPr>
      <w:r w:rsidRPr="009E23B0">
        <w:rPr>
          <w:rStyle w:val="FootnoteReference"/>
          <w:rFonts w:ascii="Times New Roman" w:hAnsi="Times New Roman" w:cs="Times New Roman"/>
        </w:rPr>
        <w:footnoteRef/>
      </w:r>
      <w:r w:rsidRPr="009E23B0">
        <w:rPr>
          <w:rFonts w:ascii="Times New Roman" w:hAnsi="Times New Roman" w:cs="Times New Roman"/>
        </w:rPr>
        <w:t xml:space="preserve"> See attached NASUCA Resolution</w:t>
      </w:r>
      <w:r>
        <w:rPr>
          <w:rFonts w:ascii="Times New Roman" w:hAnsi="Times New Roman" w:cs="Times New Roman"/>
        </w:rPr>
        <w:t xml:space="preserve"> (Attachment 1)</w:t>
      </w:r>
      <w:r w:rsidRPr="009E23B0">
        <w:rPr>
          <w:rFonts w:ascii="Times New Roman" w:hAnsi="Times New Roman" w:cs="Times New Roman"/>
        </w:rPr>
        <w:t>.</w:t>
      </w:r>
    </w:p>
  </w:footnote>
  <w:footnote w:id="28">
    <w:p w:rsidR="004E397E" w:rsidRDefault="004E397E" w:rsidP="00A221B2">
      <w:pPr>
        <w:autoSpaceDE w:val="0"/>
        <w:autoSpaceDN w:val="0"/>
        <w:adjustRightInd w:val="0"/>
        <w:spacing w:after="120" w:line="240" w:lineRule="auto"/>
      </w:pPr>
      <w:r w:rsidRPr="00D20E17">
        <w:rPr>
          <w:rStyle w:val="FootnoteReference"/>
          <w:rFonts w:ascii="Times New Roman" w:hAnsi="Times New Roman" w:cs="Times New Roman"/>
          <w:sz w:val="20"/>
          <w:szCs w:val="20"/>
        </w:rPr>
        <w:footnoteRef/>
      </w:r>
      <w:r>
        <w:rPr>
          <w:rFonts w:ascii="Times New Roman" w:hAnsi="Times New Roman" w:cs="Times New Roman"/>
          <w:i/>
          <w:iCs/>
          <w:sz w:val="20"/>
          <w:szCs w:val="20"/>
        </w:rPr>
        <w:t xml:space="preserve"> </w:t>
      </w:r>
      <w:r w:rsidRPr="00D20E17">
        <w:rPr>
          <w:rFonts w:ascii="Times New Roman" w:hAnsi="Times New Roman" w:cs="Times New Roman"/>
          <w:i/>
          <w:iCs/>
          <w:sz w:val="20"/>
          <w:szCs w:val="20"/>
        </w:rPr>
        <w:t>In the Matter of the Joint Motion to Modify the June 18, 2008 Opinion and</w:t>
      </w:r>
      <w:r>
        <w:rPr>
          <w:rFonts w:ascii="Times New Roman" w:hAnsi="Times New Roman" w:cs="Times New Roman"/>
          <w:i/>
          <w:iCs/>
          <w:sz w:val="20"/>
          <w:szCs w:val="20"/>
        </w:rPr>
        <w:t xml:space="preserve"> </w:t>
      </w:r>
      <w:r w:rsidRPr="00D20E17">
        <w:rPr>
          <w:rFonts w:ascii="Times New Roman" w:hAnsi="Times New Roman" w:cs="Times New Roman"/>
          <w:i/>
          <w:iCs/>
          <w:sz w:val="20"/>
          <w:szCs w:val="20"/>
        </w:rPr>
        <w:t xml:space="preserve">Order in Case No. 07-1224-GA-EXM, </w:t>
      </w:r>
      <w:r w:rsidRPr="00D20E17">
        <w:rPr>
          <w:rFonts w:ascii="Times New Roman" w:hAnsi="Times New Roman" w:cs="Times New Roman"/>
          <w:sz w:val="20"/>
          <w:szCs w:val="20"/>
        </w:rPr>
        <w:t xml:space="preserve">Case No. 12-1842-GA-EXM, Joint Motion to Modify Order Granting Exemption at Joint Exhibit 1, Stipulation and Recommendation (June 15, 2012); and </w:t>
      </w:r>
      <w:r w:rsidRPr="00D20E17">
        <w:rPr>
          <w:rFonts w:ascii="Times New Roman" w:hAnsi="Times New Roman" w:cs="Times New Roman"/>
          <w:i/>
          <w:iCs/>
          <w:sz w:val="20"/>
          <w:szCs w:val="20"/>
        </w:rPr>
        <w:t xml:space="preserve">In the Matter of the Joint Motion to Modify the December 2, 2009 Opinion and Order and the September 7, 2011 Second Opinion and Order in Case No. 08-1344-GA-EXM, </w:t>
      </w:r>
      <w:r w:rsidRPr="00D20E17">
        <w:rPr>
          <w:rFonts w:ascii="Times New Roman" w:hAnsi="Times New Roman" w:cs="Times New Roman"/>
          <w:sz w:val="20"/>
          <w:szCs w:val="20"/>
        </w:rPr>
        <w:t xml:space="preserve">Case No. </w:t>
      </w:r>
      <w:r>
        <w:rPr>
          <w:rFonts w:ascii="Times New Roman" w:hAnsi="Times New Roman" w:cs="Times New Roman"/>
          <w:sz w:val="20"/>
          <w:szCs w:val="20"/>
        </w:rPr>
        <w:t xml:space="preserve">12-2637-GA-EXM, </w:t>
      </w:r>
      <w:r w:rsidRPr="00BC0DA9">
        <w:rPr>
          <w:rFonts w:ascii="Times New Roman" w:hAnsi="Times New Roman" w:cs="Times New Roman"/>
          <w:sz w:val="20"/>
          <w:szCs w:val="20"/>
        </w:rPr>
        <w:t>Amended Joint Motion To Modify Order Granting Exemption</w:t>
      </w:r>
      <w:r>
        <w:rPr>
          <w:rFonts w:ascii="Times New Roman" w:hAnsi="Times New Roman" w:cs="Times New Roman"/>
          <w:sz w:val="20"/>
          <w:szCs w:val="20"/>
        </w:rPr>
        <w:t xml:space="preserve"> (November 27, 2012). </w:t>
      </w:r>
    </w:p>
  </w:footnote>
  <w:footnote w:id="29">
    <w:p w:rsidR="004E397E" w:rsidRDefault="004E397E" w:rsidP="00A221B2">
      <w:pPr>
        <w:pStyle w:val="FootnoteText"/>
        <w:spacing w:after="120"/>
      </w:pPr>
      <w:r w:rsidRPr="00747A2C">
        <w:rPr>
          <w:rStyle w:val="FootnoteReference"/>
          <w:rFonts w:ascii="Times New Roman" w:hAnsi="Times New Roman" w:cs="Times New Roman"/>
        </w:rPr>
        <w:footnoteRef/>
      </w:r>
      <w:r>
        <w:rPr>
          <w:rFonts w:ascii="Times New Roman" w:hAnsi="Times New Roman" w:cs="Times New Roman"/>
        </w:rPr>
        <w:t xml:space="preserve"> See Columbus Dispatch, “Ohioans burned by gas choice,” by Dan Gearino at A-1 and A-9 (Sunday November 11, 2012).</w:t>
      </w:r>
    </w:p>
  </w:footnote>
  <w:footnote w:id="30">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OGMG/</w:t>
      </w:r>
      <w:r w:rsidRPr="001F58AC">
        <w:rPr>
          <w:rFonts w:ascii="Times New Roman" w:hAnsi="Times New Roman" w:cs="Times New Roman"/>
        </w:rPr>
        <w:t>RESA Initial Comments at 11 (January 7, 2013).</w:t>
      </w:r>
    </w:p>
  </w:footnote>
  <w:footnote w:id="31">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32">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33">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OCC Initial Comments at 9-11 (January 7, 2013).</w:t>
      </w:r>
    </w:p>
  </w:footnote>
  <w:footnote w:id="34">
    <w:p w:rsidR="004E397E" w:rsidRDefault="004E397E" w:rsidP="00A221B2">
      <w:pPr>
        <w:pStyle w:val="FootnoteText"/>
        <w:spacing w:after="120"/>
      </w:pPr>
      <w:r w:rsidRPr="001B6F27">
        <w:rPr>
          <w:rStyle w:val="FootnoteReference"/>
          <w:rFonts w:ascii="Times New Roman" w:hAnsi="Times New Roman" w:cs="Times New Roman"/>
        </w:rPr>
        <w:footnoteRef/>
      </w:r>
      <w:r w:rsidRPr="001F58AC">
        <w:rPr>
          <w:rFonts w:ascii="Times New Roman" w:hAnsi="Times New Roman" w:cs="Times New Roman"/>
        </w:rPr>
        <w:t>Id.</w:t>
      </w:r>
    </w:p>
  </w:footnote>
  <w:footnote w:id="35">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OGMG/</w:t>
      </w:r>
      <w:r w:rsidRPr="001F58AC">
        <w:rPr>
          <w:rFonts w:ascii="Times New Roman" w:hAnsi="Times New Roman" w:cs="Times New Roman"/>
        </w:rPr>
        <w:t>RESA Initial Comments at 16-17 (January 7, 2013).</w:t>
      </w:r>
    </w:p>
  </w:footnote>
  <w:footnote w:id="36">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37">
    <w:p w:rsidR="004E397E" w:rsidRDefault="004E397E" w:rsidP="00A221B2">
      <w:pPr>
        <w:pStyle w:val="FootnoteText"/>
        <w:spacing w:after="120"/>
      </w:pPr>
      <w:r w:rsidRPr="001B6F27">
        <w:rPr>
          <w:rStyle w:val="FootnoteReference"/>
          <w:rFonts w:ascii="Times New Roman" w:hAnsi="Times New Roman" w:cs="Times New Roman"/>
        </w:rPr>
        <w:footnoteRef/>
      </w:r>
      <w:r w:rsidRPr="001F58AC">
        <w:rPr>
          <w:rFonts w:ascii="Times New Roman" w:hAnsi="Times New Roman" w:cs="Times New Roman"/>
        </w:rPr>
        <w:t xml:space="preserve"> Id</w:t>
      </w:r>
      <w:r>
        <w:rPr>
          <w:rFonts w:ascii="Times New Roman" w:hAnsi="Times New Roman" w:cs="Times New Roman"/>
        </w:rPr>
        <w:t>.</w:t>
      </w:r>
    </w:p>
  </w:footnote>
  <w:footnote w:id="38">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OCC Initial Comments at 11 (January 7, 2013</w:t>
      </w:r>
      <w:r w:rsidRPr="001B5D20">
        <w:rPr>
          <w:rFonts w:ascii="Times New Roman" w:hAnsi="Times New Roman" w:cs="Times New Roman"/>
        </w:rPr>
        <w:t>)</w:t>
      </w:r>
      <w:r>
        <w:rPr>
          <w:rFonts w:ascii="Times New Roman" w:hAnsi="Times New Roman" w:cs="Times New Roman"/>
        </w:rPr>
        <w:t>.</w:t>
      </w:r>
    </w:p>
  </w:footnote>
  <w:footnote w:id="39">
    <w:p w:rsidR="004E397E" w:rsidRDefault="004E397E" w:rsidP="00A221B2">
      <w:pPr>
        <w:pStyle w:val="FootnoteText"/>
        <w:spacing w:after="120"/>
      </w:pPr>
      <w:r w:rsidRPr="007036DB">
        <w:rPr>
          <w:rStyle w:val="FootnoteReference"/>
          <w:rFonts w:ascii="Times New Roman" w:hAnsi="Times New Roman" w:cs="Times New Roman"/>
        </w:rPr>
        <w:footnoteRef/>
      </w:r>
      <w:r w:rsidRPr="007036DB">
        <w:rPr>
          <w:rFonts w:ascii="Times New Roman" w:hAnsi="Times New Roman" w:cs="Times New Roman"/>
        </w:rPr>
        <w:t xml:space="preserve"> See, www.enrgymarketers.com</w:t>
      </w:r>
      <w:r>
        <w:rPr>
          <w:rFonts w:ascii="Times New Roman" w:hAnsi="Times New Roman" w:cs="Times New Roman"/>
        </w:rPr>
        <w:t>/documents/nem_natl_mktg_stds_release.pdf.</w:t>
      </w:r>
    </w:p>
  </w:footnote>
  <w:footnote w:id="40">
    <w:p w:rsidR="004E397E" w:rsidRDefault="004E397E" w:rsidP="00A221B2">
      <w:pPr>
        <w:pStyle w:val="FootnoteText"/>
        <w:spacing w:after="120"/>
      </w:pPr>
      <w:r w:rsidRPr="00F320BD">
        <w:rPr>
          <w:rStyle w:val="FootnoteReference"/>
          <w:rFonts w:ascii="Times New Roman" w:hAnsi="Times New Roman" w:cs="Times New Roman"/>
        </w:rPr>
        <w:footnoteRef/>
      </w:r>
      <w:r w:rsidRPr="00F320BD">
        <w:rPr>
          <w:rFonts w:ascii="Times New Roman" w:hAnsi="Times New Roman" w:cs="Times New Roman"/>
        </w:rPr>
        <w:t xml:space="preserve"> Id.</w:t>
      </w:r>
      <w:r>
        <w:rPr>
          <w:rFonts w:ascii="Times New Roman" w:hAnsi="Times New Roman" w:cs="Times New Roman"/>
        </w:rPr>
        <w:t>,  See also Attached Press Release (Attachment 2).</w:t>
      </w:r>
    </w:p>
  </w:footnote>
  <w:footnote w:id="41">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OGMG/</w:t>
      </w:r>
      <w:r w:rsidRPr="001F58AC">
        <w:rPr>
          <w:rFonts w:ascii="Times New Roman" w:hAnsi="Times New Roman" w:cs="Times New Roman"/>
        </w:rPr>
        <w:t>RESA Initial Comments at 18 (January 7, 2013).</w:t>
      </w:r>
    </w:p>
  </w:footnote>
  <w:footnote w:id="42">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43">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R.C. 4928.10(D).</w:t>
      </w:r>
    </w:p>
  </w:footnote>
  <w:footnote w:id="44">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Duke Energy Retail Sales Initial Comments at 7 (January 7, 2013).</w:t>
      </w:r>
    </w:p>
  </w:footnote>
  <w:footnote w:id="45">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46">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OCC Initial Comments at 6 (January 7, 2013).</w:t>
      </w:r>
    </w:p>
  </w:footnote>
  <w:footnote w:id="47">
    <w:p w:rsidR="004E397E" w:rsidRDefault="004E397E" w:rsidP="00A221B2">
      <w:pPr>
        <w:pStyle w:val="FootnoteText"/>
        <w:spacing w:after="120"/>
      </w:pPr>
      <w:r w:rsidRPr="00364EA3">
        <w:rPr>
          <w:rStyle w:val="FootnoteReference"/>
          <w:rFonts w:ascii="Times New Roman" w:hAnsi="Times New Roman" w:cs="Times New Roman"/>
        </w:rPr>
        <w:footnoteRef/>
      </w:r>
      <w:r w:rsidRPr="00364EA3">
        <w:rPr>
          <w:rFonts w:ascii="Times New Roman" w:hAnsi="Times New Roman" w:cs="Times New Roman"/>
        </w:rPr>
        <w:t xml:space="preserve"> R.C. 4929.02</w:t>
      </w:r>
      <w:r>
        <w:rPr>
          <w:rFonts w:ascii="Times New Roman" w:hAnsi="Times New Roman" w:cs="Times New Roman"/>
        </w:rPr>
        <w:t xml:space="preserve">; </w:t>
      </w:r>
      <w:r w:rsidRPr="00F55746">
        <w:rPr>
          <w:rFonts w:ascii="Times New Roman" w:hAnsi="Times New Roman" w:cs="Times New Roman"/>
        </w:rPr>
        <w:t>Ohio Admin. Code 4901:1-29-02(A)(1)-(3).</w:t>
      </w:r>
    </w:p>
  </w:footnote>
  <w:footnote w:id="48">
    <w:p w:rsidR="004E397E" w:rsidRDefault="004E397E" w:rsidP="00A221B2">
      <w:pPr>
        <w:pStyle w:val="FootnoteText"/>
        <w:spacing w:after="120"/>
      </w:pPr>
      <w:r w:rsidRPr="001B6F27">
        <w:rPr>
          <w:rStyle w:val="FootnoteReference"/>
          <w:rFonts w:ascii="Times New Roman" w:hAnsi="Times New Roman" w:cs="Times New Roman"/>
        </w:rPr>
        <w:footnoteRef/>
      </w:r>
      <w:r w:rsidRPr="001F58AC">
        <w:rPr>
          <w:rFonts w:ascii="Times New Roman" w:hAnsi="Times New Roman" w:cs="Times New Roman"/>
        </w:rPr>
        <w:t xml:space="preserve"> Duke Energy Ohio Initial Comments at 1 (January 7, 2013).</w:t>
      </w:r>
    </w:p>
  </w:footnote>
  <w:footnote w:id="49">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50">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OGMG/RESA Initial Comments at 21-22 (January 7, 2013).</w:t>
      </w:r>
    </w:p>
  </w:footnote>
  <w:footnote w:id="51">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52">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R.C. 4929.22(A).</w:t>
      </w:r>
    </w:p>
  </w:footnote>
  <w:footnote w:id="53">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OGMG/RESA Initial Comments at 25-26 (January 7, 2013</w:t>
      </w:r>
      <w:r w:rsidRPr="001B5D20">
        <w:rPr>
          <w:rFonts w:ascii="Times New Roman" w:hAnsi="Times New Roman" w:cs="Times New Roman"/>
        </w:rPr>
        <w:t>)</w:t>
      </w:r>
      <w:r>
        <w:rPr>
          <w:rFonts w:ascii="Times New Roman" w:hAnsi="Times New Roman" w:cs="Times New Roman"/>
        </w:rPr>
        <w:t>.</w:t>
      </w:r>
    </w:p>
  </w:footnote>
  <w:footnote w:id="54">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55">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 xml:space="preserve">Duke </w:t>
      </w:r>
      <w:r>
        <w:rPr>
          <w:rFonts w:ascii="Times New Roman" w:hAnsi="Times New Roman" w:cs="Times New Roman"/>
        </w:rPr>
        <w:t xml:space="preserve">Retail </w:t>
      </w:r>
      <w:r w:rsidRPr="001F58AC">
        <w:rPr>
          <w:rFonts w:ascii="Times New Roman" w:hAnsi="Times New Roman" w:cs="Times New Roman"/>
        </w:rPr>
        <w:t>Initial Comments at 7-8 (January 7, 2013).</w:t>
      </w:r>
    </w:p>
  </w:footnote>
  <w:footnote w:id="56">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57">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Id.</w:t>
      </w:r>
    </w:p>
  </w:footnote>
  <w:footnote w:id="58">
    <w:p w:rsidR="004E397E" w:rsidRDefault="004E397E" w:rsidP="00A221B2">
      <w:pPr>
        <w:pStyle w:val="FootnoteText"/>
        <w:spacing w:after="120"/>
      </w:pPr>
      <w:r w:rsidRPr="001B5D20">
        <w:rPr>
          <w:rStyle w:val="FootnoteReference"/>
          <w:rFonts w:ascii="Times New Roman" w:hAnsi="Times New Roman" w:cs="Times New Roman"/>
        </w:rPr>
        <w:footnoteRef/>
      </w:r>
      <w:r>
        <w:rPr>
          <w:rFonts w:ascii="Times New Roman" w:hAnsi="Times New Roman" w:cs="Times New Roman"/>
        </w:rPr>
        <w:t xml:space="preserve"> </w:t>
      </w:r>
      <w:r w:rsidRPr="001B5D20">
        <w:rPr>
          <w:rFonts w:ascii="Times New Roman" w:hAnsi="Times New Roman" w:cs="Times New Roman"/>
        </w:rPr>
        <w:t>Id.</w:t>
      </w:r>
    </w:p>
  </w:footnote>
  <w:footnote w:id="59">
    <w:p w:rsidR="004E397E" w:rsidRDefault="004E397E" w:rsidP="00A221B2">
      <w:pPr>
        <w:pStyle w:val="FootnoteText"/>
        <w:spacing w:after="120"/>
      </w:pPr>
      <w:r w:rsidRPr="001B6F27">
        <w:rPr>
          <w:rStyle w:val="FootnoteReference"/>
          <w:rFonts w:ascii="Times New Roman" w:hAnsi="Times New Roman" w:cs="Times New Roman"/>
        </w:rPr>
        <w:footnoteRef/>
      </w:r>
      <w:r w:rsidRPr="001F58AC">
        <w:rPr>
          <w:rFonts w:ascii="Times New Roman" w:hAnsi="Times New Roman" w:cs="Times New Roman"/>
        </w:rPr>
        <w:t xml:space="preserve"> Border Initial Comments at 1 (January 7, 2013).</w:t>
      </w:r>
    </w:p>
  </w:footnote>
  <w:footnote w:id="60">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61">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OGMG/RESA Initial Comments at 27-28 (January 7, 2013</w:t>
      </w:r>
      <w:r w:rsidRPr="001B5D20">
        <w:rPr>
          <w:rFonts w:ascii="Times New Roman" w:hAnsi="Times New Roman" w:cs="Times New Roman"/>
        </w:rPr>
        <w:t>)</w:t>
      </w:r>
      <w:r>
        <w:rPr>
          <w:rFonts w:ascii="Times New Roman" w:hAnsi="Times New Roman" w:cs="Times New Roman"/>
        </w:rPr>
        <w:t>.</w:t>
      </w:r>
    </w:p>
  </w:footnote>
  <w:footnote w:id="62">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63">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OGMG/RESA Initial Comments at 29 (January 7, 2013).</w:t>
      </w:r>
    </w:p>
  </w:footnote>
  <w:footnote w:id="64">
    <w:p w:rsidR="004E397E" w:rsidRDefault="004E397E" w:rsidP="00A221B2">
      <w:pPr>
        <w:pStyle w:val="FootnoteText"/>
        <w:spacing w:after="120"/>
      </w:pPr>
      <w:r w:rsidRPr="001B5D20">
        <w:rPr>
          <w:rStyle w:val="FootnoteReference"/>
          <w:rFonts w:ascii="Times New Roman" w:hAnsi="Times New Roman" w:cs="Times New Roman"/>
        </w:rPr>
        <w:footnoteRef/>
      </w:r>
      <w:r w:rsidRPr="001B5D20">
        <w:rPr>
          <w:rFonts w:ascii="Times New Roman" w:hAnsi="Times New Roman" w:cs="Times New Roman"/>
        </w:rPr>
        <w:t xml:space="preserve"> Id.</w:t>
      </w:r>
    </w:p>
  </w:footnote>
  <w:footnote w:id="65">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OGMG/RESA Initial Comments at 29 (January 29, 2013).</w:t>
      </w:r>
    </w:p>
  </w:footnote>
  <w:footnote w:id="66">
    <w:p w:rsidR="004E397E" w:rsidRDefault="004E397E" w:rsidP="00A221B2">
      <w:pPr>
        <w:pStyle w:val="FootnoteText"/>
        <w:spacing w:after="120"/>
      </w:pPr>
      <w:r w:rsidRPr="001B6F27">
        <w:rPr>
          <w:rStyle w:val="FootnoteReference"/>
          <w:rFonts w:ascii="Times New Roman" w:hAnsi="Times New Roman" w:cs="Times New Roman"/>
        </w:rPr>
        <w:footnoteRef/>
      </w:r>
      <w:r w:rsidRPr="001F58AC">
        <w:rPr>
          <w:rFonts w:ascii="Times New Roman" w:hAnsi="Times New Roman" w:cs="Times New Roman"/>
        </w:rPr>
        <w:t xml:space="preserve"> Id.</w:t>
      </w:r>
    </w:p>
  </w:footnote>
  <w:footnote w:id="67">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Id.</w:t>
      </w:r>
      <w:r w:rsidRPr="001F58AC">
        <w:rPr>
          <w:rFonts w:ascii="Times New Roman" w:hAnsi="Times New Roman" w:cs="Times New Roman"/>
        </w:rPr>
        <w:t xml:space="preserve"> at 30</w:t>
      </w:r>
      <w:r w:rsidRPr="001B5D20">
        <w:rPr>
          <w:rFonts w:ascii="Times New Roman" w:hAnsi="Times New Roman" w:cs="Times New Roman"/>
        </w:rPr>
        <w:t>.</w:t>
      </w:r>
    </w:p>
  </w:footnote>
  <w:footnote w:id="68">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69">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70">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OCC Initial Comments at 19-21 (January 7, 2013).</w:t>
      </w:r>
    </w:p>
  </w:footnote>
  <w:footnote w:id="71">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72">
    <w:p w:rsidR="004E397E" w:rsidRDefault="004E397E" w:rsidP="00A221B2">
      <w:pPr>
        <w:pStyle w:val="FootnoteText"/>
        <w:spacing w:after="120"/>
      </w:pPr>
      <w:r w:rsidRPr="00D24FD2">
        <w:rPr>
          <w:rStyle w:val="FootnoteReference"/>
          <w:rFonts w:ascii="Times New Roman" w:hAnsi="Times New Roman" w:cs="Times New Roman"/>
        </w:rPr>
        <w:footnoteRef/>
      </w:r>
      <w:r>
        <w:rPr>
          <w:rFonts w:ascii="Times New Roman" w:hAnsi="Times New Roman" w:cs="Times New Roman"/>
        </w:rPr>
        <w:t xml:space="preserve"> See Columbus Dispatch, “Ohioans burned by gas choice,” by Dan Gearino at A-1 and A-9 (Sunday November 11, 2012).</w:t>
      </w:r>
    </w:p>
  </w:footnote>
  <w:footnote w:id="73">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R.C. 4929.02(A)(1</w:t>
      </w:r>
      <w:r w:rsidRPr="00F92D5F">
        <w:rPr>
          <w:rFonts w:ascii="Times New Roman" w:hAnsi="Times New Roman" w:cs="Times New Roman"/>
        </w:rPr>
        <w:t>)</w:t>
      </w:r>
      <w:r>
        <w:rPr>
          <w:rFonts w:ascii="Times New Roman" w:hAnsi="Times New Roman" w:cs="Times New Roman"/>
        </w:rPr>
        <w:t>.</w:t>
      </w:r>
    </w:p>
  </w:footnote>
  <w:footnote w:id="74">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75">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OGMG/RESA Initial Comments at 32 (January 7, 2013</w:t>
      </w:r>
      <w:r w:rsidRPr="00F92D5F">
        <w:rPr>
          <w:rFonts w:ascii="Times New Roman" w:hAnsi="Times New Roman" w:cs="Times New Roman"/>
        </w:rPr>
        <w:t>)</w:t>
      </w:r>
      <w:r>
        <w:rPr>
          <w:rFonts w:ascii="Times New Roman" w:hAnsi="Times New Roman" w:cs="Times New Roman"/>
        </w:rPr>
        <w:t>.</w:t>
      </w:r>
    </w:p>
  </w:footnote>
  <w:footnote w:id="76">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IGS Initial Comments at 6 (January 7, 2013</w:t>
      </w:r>
      <w:r w:rsidRPr="00F92D5F">
        <w:rPr>
          <w:rFonts w:ascii="Times New Roman" w:hAnsi="Times New Roman" w:cs="Times New Roman"/>
        </w:rPr>
        <w:t>)</w:t>
      </w:r>
      <w:r>
        <w:rPr>
          <w:rFonts w:ascii="Times New Roman" w:hAnsi="Times New Roman" w:cs="Times New Roman"/>
        </w:rPr>
        <w:t>.</w:t>
      </w:r>
    </w:p>
  </w:footnote>
  <w:footnote w:id="77">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78">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79">
    <w:p w:rsidR="004E397E" w:rsidRDefault="004E397E" w:rsidP="00A221B2">
      <w:pPr>
        <w:pStyle w:val="FootnoteText"/>
        <w:spacing w:after="120"/>
      </w:pPr>
      <w:r w:rsidRPr="001B6F27">
        <w:rPr>
          <w:rStyle w:val="FootnoteReference"/>
          <w:rFonts w:ascii="Times New Roman" w:hAnsi="Times New Roman" w:cs="Times New Roman"/>
        </w:rPr>
        <w:footnoteRef/>
      </w:r>
      <w:r w:rsidRPr="001F58AC">
        <w:rPr>
          <w:rFonts w:ascii="Times New Roman" w:hAnsi="Times New Roman" w:cs="Times New Roman"/>
        </w:rPr>
        <w:t xml:space="preserve"> Id</w:t>
      </w:r>
      <w:r>
        <w:rPr>
          <w:rFonts w:ascii="Times New Roman" w:hAnsi="Times New Roman" w:cs="Times New Roman"/>
        </w:rPr>
        <w:t>.</w:t>
      </w:r>
    </w:p>
  </w:footnote>
  <w:footnote w:id="80">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IGS Initial Comments at 4 (January 7, 2013).</w:t>
      </w:r>
    </w:p>
  </w:footnote>
  <w:footnote w:id="81">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I</w:t>
      </w:r>
      <w:r w:rsidRPr="001F58AC">
        <w:rPr>
          <w:rFonts w:ascii="Times New Roman" w:hAnsi="Times New Roman" w:cs="Times New Roman"/>
        </w:rPr>
        <w:t>d.</w:t>
      </w:r>
    </w:p>
  </w:footnote>
  <w:footnote w:id="82">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OGMG/RESA Initial Comments at 34 (January 7, 2013</w:t>
      </w:r>
      <w:r w:rsidRPr="00F92D5F">
        <w:rPr>
          <w:rFonts w:ascii="Times New Roman" w:hAnsi="Times New Roman" w:cs="Times New Roman"/>
        </w:rPr>
        <w:t>)</w:t>
      </w:r>
      <w:r>
        <w:rPr>
          <w:rFonts w:ascii="Times New Roman" w:hAnsi="Times New Roman" w:cs="Times New Roman"/>
        </w:rPr>
        <w:t>.</w:t>
      </w:r>
    </w:p>
  </w:footnote>
  <w:footnote w:id="83">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Eagle Energy Initial Comments at 11 (January 7, 2013</w:t>
      </w:r>
      <w:r w:rsidRPr="00F92D5F">
        <w:rPr>
          <w:rFonts w:ascii="Times New Roman" w:hAnsi="Times New Roman" w:cs="Times New Roman"/>
        </w:rPr>
        <w:t>)</w:t>
      </w:r>
      <w:r>
        <w:rPr>
          <w:rFonts w:ascii="Times New Roman" w:hAnsi="Times New Roman" w:cs="Times New Roman"/>
        </w:rPr>
        <w:t>.</w:t>
      </w:r>
    </w:p>
  </w:footnote>
  <w:footnote w:id="84">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Dominion and Vectren Initial Comments at 8-9 (January 7, 2013).</w:t>
      </w:r>
    </w:p>
  </w:footnote>
  <w:footnote w:id="85">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OGMG/RESA Initial Comments at 33 (January 7, 2013).</w:t>
      </w:r>
    </w:p>
  </w:footnote>
  <w:footnote w:id="86">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R.C. 4929.22(F).</w:t>
      </w:r>
    </w:p>
  </w:footnote>
  <w:footnote w:id="87">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OCC Initial Comments at 19-21 (January 7, 2013).</w:t>
      </w:r>
    </w:p>
  </w:footnote>
  <w:footnote w:id="88">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OGMG/RESA Initial Comments at 35 (January 7, 2013).</w:t>
      </w:r>
    </w:p>
  </w:footnote>
  <w:footnote w:id="89">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 at 19-21 (January 7, 2013).</w:t>
      </w:r>
    </w:p>
  </w:footnote>
  <w:footnote w:id="90">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OGMG/RESA Initial Comments at 36 (January 7, 2013</w:t>
      </w:r>
      <w:r>
        <w:rPr>
          <w:rFonts w:ascii="Times New Roman" w:hAnsi="Times New Roman" w:cs="Times New Roman"/>
        </w:rPr>
        <w:t>).</w:t>
      </w:r>
    </w:p>
  </w:footnote>
  <w:footnote w:id="91">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i/>
          <w:iCs/>
        </w:rPr>
        <w:t xml:space="preserve"> </w:t>
      </w:r>
      <w:r w:rsidRPr="001F58AC">
        <w:rPr>
          <w:rFonts w:ascii="Times New Roman" w:hAnsi="Times New Roman" w:cs="Times New Roman"/>
          <w:i/>
          <w:iCs/>
        </w:rPr>
        <w:t>In the Matter of the Amendment of Certain Rules of the Ohio Administrative Code to Implement Section 4911.021, Revised Code</w:t>
      </w:r>
      <w:r w:rsidRPr="001F58AC">
        <w:rPr>
          <w:rFonts w:ascii="Times New Roman" w:hAnsi="Times New Roman" w:cs="Times New Roman"/>
        </w:rPr>
        <w:t>, Case No. 11-4910-AU-ORD, Finding and Order, at ¶ 9 (November 29, 2011).</w:t>
      </w:r>
    </w:p>
  </w:footnote>
  <w:footnote w:id="92">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 w:id="93">
    <w:p w:rsidR="004E397E" w:rsidRDefault="004E397E" w:rsidP="00A221B2">
      <w:pPr>
        <w:pStyle w:val="FootnoteText"/>
        <w:spacing w:after="120"/>
      </w:pPr>
      <w:r w:rsidRPr="001B6F27">
        <w:rPr>
          <w:rStyle w:val="FootnoteReference"/>
          <w:rFonts w:ascii="Times New Roman" w:hAnsi="Times New Roman" w:cs="Times New Roman"/>
        </w:rPr>
        <w:footnoteRef/>
      </w:r>
      <w:r>
        <w:rPr>
          <w:rFonts w:ascii="Times New Roman" w:hAnsi="Times New Roman" w:cs="Times New Roman"/>
        </w:rPr>
        <w:t xml:space="preserve"> </w:t>
      </w:r>
      <w:r w:rsidRPr="001F58AC">
        <w:rPr>
          <w:rFonts w:ascii="Times New Roman" w:hAnsi="Times New Roman" w:cs="Times New Roman"/>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4F" w:rsidRDefault="00022C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4F" w:rsidRDefault="00022C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C4F" w:rsidRDefault="00022C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7E" w:rsidRDefault="004E397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97E" w:rsidRDefault="004E3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BEC108"/>
    <w:lvl w:ilvl="0">
      <w:start w:val="1"/>
      <w:numFmt w:val="decimal"/>
      <w:lvlText w:val="%1."/>
      <w:lvlJc w:val="left"/>
      <w:pPr>
        <w:tabs>
          <w:tab w:val="num" w:pos="1800"/>
        </w:tabs>
        <w:ind w:left="1800" w:hanging="360"/>
      </w:pPr>
    </w:lvl>
  </w:abstractNum>
  <w:abstractNum w:abstractNumId="1">
    <w:nsid w:val="FFFFFF7D"/>
    <w:multiLevelType w:val="singleLevel"/>
    <w:tmpl w:val="B4385140"/>
    <w:lvl w:ilvl="0">
      <w:start w:val="1"/>
      <w:numFmt w:val="decimal"/>
      <w:lvlText w:val="%1."/>
      <w:lvlJc w:val="left"/>
      <w:pPr>
        <w:tabs>
          <w:tab w:val="num" w:pos="1440"/>
        </w:tabs>
        <w:ind w:left="1440" w:hanging="360"/>
      </w:pPr>
    </w:lvl>
  </w:abstractNum>
  <w:abstractNum w:abstractNumId="2">
    <w:nsid w:val="FFFFFF7E"/>
    <w:multiLevelType w:val="singleLevel"/>
    <w:tmpl w:val="36EAFBC8"/>
    <w:lvl w:ilvl="0">
      <w:start w:val="1"/>
      <w:numFmt w:val="decimal"/>
      <w:lvlText w:val="%1."/>
      <w:lvlJc w:val="left"/>
      <w:pPr>
        <w:tabs>
          <w:tab w:val="num" w:pos="1080"/>
        </w:tabs>
        <w:ind w:left="1080" w:hanging="360"/>
      </w:pPr>
    </w:lvl>
  </w:abstractNum>
  <w:abstractNum w:abstractNumId="3">
    <w:nsid w:val="FFFFFF7F"/>
    <w:multiLevelType w:val="singleLevel"/>
    <w:tmpl w:val="685E45A4"/>
    <w:lvl w:ilvl="0">
      <w:start w:val="1"/>
      <w:numFmt w:val="decimal"/>
      <w:lvlText w:val="%1."/>
      <w:lvlJc w:val="left"/>
      <w:pPr>
        <w:tabs>
          <w:tab w:val="num" w:pos="720"/>
        </w:tabs>
        <w:ind w:left="720" w:hanging="360"/>
      </w:pPr>
    </w:lvl>
  </w:abstractNum>
  <w:abstractNum w:abstractNumId="4">
    <w:nsid w:val="FFFFFF80"/>
    <w:multiLevelType w:val="singleLevel"/>
    <w:tmpl w:val="AB042484"/>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84C0585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A80A25EE"/>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63AEA43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2DB84B70"/>
    <w:lvl w:ilvl="0">
      <w:start w:val="1"/>
      <w:numFmt w:val="decimal"/>
      <w:lvlText w:val="%1."/>
      <w:lvlJc w:val="left"/>
      <w:pPr>
        <w:tabs>
          <w:tab w:val="num" w:pos="360"/>
        </w:tabs>
        <w:ind w:left="360" w:hanging="360"/>
      </w:pPr>
    </w:lvl>
  </w:abstractNum>
  <w:abstractNum w:abstractNumId="9">
    <w:nsid w:val="FFFFFF89"/>
    <w:multiLevelType w:val="singleLevel"/>
    <w:tmpl w:val="7AEAE7C8"/>
    <w:lvl w:ilvl="0">
      <w:start w:val="1"/>
      <w:numFmt w:val="bullet"/>
      <w:lvlText w:val=""/>
      <w:lvlJc w:val="left"/>
      <w:pPr>
        <w:tabs>
          <w:tab w:val="num" w:pos="360"/>
        </w:tabs>
        <w:ind w:left="360" w:hanging="360"/>
      </w:pPr>
      <w:rPr>
        <w:rFonts w:ascii="Symbol" w:hAnsi="Symbol" w:cs="Symbol" w:hint="default"/>
      </w:rPr>
    </w:lvl>
  </w:abstractNum>
  <w:abstractNum w:abstractNumId="10">
    <w:nsid w:val="066035F9"/>
    <w:multiLevelType w:val="hybridMultilevel"/>
    <w:tmpl w:val="A73EA07C"/>
    <w:lvl w:ilvl="0" w:tplc="476AFE6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7CC2ED6"/>
    <w:multiLevelType w:val="hybridMultilevel"/>
    <w:tmpl w:val="81983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203668CB"/>
    <w:multiLevelType w:val="hybridMultilevel"/>
    <w:tmpl w:val="23C4653C"/>
    <w:lvl w:ilvl="0" w:tplc="32704CA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25532C5F"/>
    <w:multiLevelType w:val="hybridMultilevel"/>
    <w:tmpl w:val="BC50C8AA"/>
    <w:lvl w:ilvl="0" w:tplc="E1866A48">
      <w:start w:val="1"/>
      <w:numFmt w:val="decimalZero"/>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5C128E4"/>
    <w:multiLevelType w:val="hybridMultilevel"/>
    <w:tmpl w:val="33B05074"/>
    <w:lvl w:ilvl="0" w:tplc="D80616B8">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33CE12B7"/>
    <w:multiLevelType w:val="hybridMultilevel"/>
    <w:tmpl w:val="909C35BC"/>
    <w:lvl w:ilvl="0" w:tplc="02CCA60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43A12A3C"/>
    <w:multiLevelType w:val="hybridMultilevel"/>
    <w:tmpl w:val="9C665F56"/>
    <w:lvl w:ilvl="0" w:tplc="0E6A6024">
      <w:start w:val="1"/>
      <w:numFmt w:val="decimalZero"/>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4A486CBD"/>
    <w:multiLevelType w:val="hybridMultilevel"/>
    <w:tmpl w:val="502E84D4"/>
    <w:lvl w:ilvl="0" w:tplc="D34223FE">
      <w:start w:val="2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57755D09"/>
    <w:multiLevelType w:val="hybridMultilevel"/>
    <w:tmpl w:val="A446B358"/>
    <w:lvl w:ilvl="0" w:tplc="E24AD534">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76B266FE"/>
    <w:multiLevelType w:val="hybridMultilevel"/>
    <w:tmpl w:val="65EA591C"/>
    <w:lvl w:ilvl="0" w:tplc="0A4438C6">
      <w:start w:val="2"/>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16"/>
  </w:num>
  <w:num w:numId="3">
    <w:abstractNumId w:val="11"/>
  </w:num>
  <w:num w:numId="4">
    <w:abstractNumId w:val="18"/>
  </w:num>
  <w:num w:numId="5">
    <w:abstractNumId w:val="15"/>
  </w:num>
  <w:num w:numId="6">
    <w:abstractNumId w:val="19"/>
  </w:num>
  <w:num w:numId="7">
    <w:abstractNumId w:val="12"/>
  </w:num>
  <w:num w:numId="8">
    <w:abstractNumId w:val="10"/>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9F7"/>
    <w:rsid w:val="000037A0"/>
    <w:rsid w:val="00006F02"/>
    <w:rsid w:val="00016090"/>
    <w:rsid w:val="0001717D"/>
    <w:rsid w:val="0002227E"/>
    <w:rsid w:val="00022C4F"/>
    <w:rsid w:val="00023C61"/>
    <w:rsid w:val="000307F3"/>
    <w:rsid w:val="00031600"/>
    <w:rsid w:val="000322C8"/>
    <w:rsid w:val="00032E8A"/>
    <w:rsid w:val="000345EF"/>
    <w:rsid w:val="00036A61"/>
    <w:rsid w:val="00036F88"/>
    <w:rsid w:val="00044551"/>
    <w:rsid w:val="0004616E"/>
    <w:rsid w:val="00046487"/>
    <w:rsid w:val="0005176C"/>
    <w:rsid w:val="0005227B"/>
    <w:rsid w:val="00056479"/>
    <w:rsid w:val="00060A75"/>
    <w:rsid w:val="00074411"/>
    <w:rsid w:val="000770B3"/>
    <w:rsid w:val="00077C50"/>
    <w:rsid w:val="00081DE2"/>
    <w:rsid w:val="000879FC"/>
    <w:rsid w:val="0009039F"/>
    <w:rsid w:val="00094045"/>
    <w:rsid w:val="00094998"/>
    <w:rsid w:val="00097E67"/>
    <w:rsid w:val="000A25AB"/>
    <w:rsid w:val="000A6A2F"/>
    <w:rsid w:val="000A7B48"/>
    <w:rsid w:val="000B00FA"/>
    <w:rsid w:val="000B25F6"/>
    <w:rsid w:val="000B3396"/>
    <w:rsid w:val="000B447C"/>
    <w:rsid w:val="000C0347"/>
    <w:rsid w:val="000C7CDF"/>
    <w:rsid w:val="000D007E"/>
    <w:rsid w:val="000D0B1A"/>
    <w:rsid w:val="000D4FDE"/>
    <w:rsid w:val="000E3718"/>
    <w:rsid w:val="000F237D"/>
    <w:rsid w:val="000F2DEC"/>
    <w:rsid w:val="000F7E99"/>
    <w:rsid w:val="00103093"/>
    <w:rsid w:val="001073C5"/>
    <w:rsid w:val="001110EF"/>
    <w:rsid w:val="001115F2"/>
    <w:rsid w:val="00113A40"/>
    <w:rsid w:val="00114433"/>
    <w:rsid w:val="001147DE"/>
    <w:rsid w:val="00125929"/>
    <w:rsid w:val="00126908"/>
    <w:rsid w:val="00126C2A"/>
    <w:rsid w:val="0013061A"/>
    <w:rsid w:val="00131092"/>
    <w:rsid w:val="001346E2"/>
    <w:rsid w:val="001357DC"/>
    <w:rsid w:val="00136907"/>
    <w:rsid w:val="00136EBE"/>
    <w:rsid w:val="00137019"/>
    <w:rsid w:val="00137480"/>
    <w:rsid w:val="00137E8D"/>
    <w:rsid w:val="001418DF"/>
    <w:rsid w:val="00150362"/>
    <w:rsid w:val="001529B6"/>
    <w:rsid w:val="001548E0"/>
    <w:rsid w:val="00162A01"/>
    <w:rsid w:val="00162A04"/>
    <w:rsid w:val="001734DE"/>
    <w:rsid w:val="00174E6A"/>
    <w:rsid w:val="001770A1"/>
    <w:rsid w:val="00180A58"/>
    <w:rsid w:val="00180D3C"/>
    <w:rsid w:val="00181CB9"/>
    <w:rsid w:val="001A12F3"/>
    <w:rsid w:val="001A2451"/>
    <w:rsid w:val="001A4D98"/>
    <w:rsid w:val="001B02DD"/>
    <w:rsid w:val="001B199F"/>
    <w:rsid w:val="001B5D20"/>
    <w:rsid w:val="001B628D"/>
    <w:rsid w:val="001B6F27"/>
    <w:rsid w:val="001D1612"/>
    <w:rsid w:val="001E0E87"/>
    <w:rsid w:val="001F0F4C"/>
    <w:rsid w:val="001F58AC"/>
    <w:rsid w:val="00201C5D"/>
    <w:rsid w:val="00202986"/>
    <w:rsid w:val="0021160D"/>
    <w:rsid w:val="002221C6"/>
    <w:rsid w:val="00222406"/>
    <w:rsid w:val="00222D98"/>
    <w:rsid w:val="00224AE6"/>
    <w:rsid w:val="002313E0"/>
    <w:rsid w:val="00237F43"/>
    <w:rsid w:val="00242E43"/>
    <w:rsid w:val="00245DA5"/>
    <w:rsid w:val="00247714"/>
    <w:rsid w:val="002524CE"/>
    <w:rsid w:val="00253BDE"/>
    <w:rsid w:val="00260CB4"/>
    <w:rsid w:val="002656BB"/>
    <w:rsid w:val="00273484"/>
    <w:rsid w:val="00274F37"/>
    <w:rsid w:val="002842D4"/>
    <w:rsid w:val="0029343D"/>
    <w:rsid w:val="00295A4F"/>
    <w:rsid w:val="0029795C"/>
    <w:rsid w:val="002A34CA"/>
    <w:rsid w:val="002A40CB"/>
    <w:rsid w:val="002A50FC"/>
    <w:rsid w:val="002B1C54"/>
    <w:rsid w:val="002B395D"/>
    <w:rsid w:val="002B4670"/>
    <w:rsid w:val="002B6576"/>
    <w:rsid w:val="002C0E68"/>
    <w:rsid w:val="002C7551"/>
    <w:rsid w:val="002D0D81"/>
    <w:rsid w:val="002D337C"/>
    <w:rsid w:val="002D4B83"/>
    <w:rsid w:val="002D74D5"/>
    <w:rsid w:val="002D7DEB"/>
    <w:rsid w:val="002E1321"/>
    <w:rsid w:val="002E3A87"/>
    <w:rsid w:val="002E3E61"/>
    <w:rsid w:val="002E517B"/>
    <w:rsid w:val="002E7E07"/>
    <w:rsid w:val="002F3504"/>
    <w:rsid w:val="00303213"/>
    <w:rsid w:val="00303B11"/>
    <w:rsid w:val="003108CE"/>
    <w:rsid w:val="003125F0"/>
    <w:rsid w:val="00317C98"/>
    <w:rsid w:val="003212C3"/>
    <w:rsid w:val="00321E33"/>
    <w:rsid w:val="003221CF"/>
    <w:rsid w:val="003315BD"/>
    <w:rsid w:val="003377AF"/>
    <w:rsid w:val="0033783B"/>
    <w:rsid w:val="0034538B"/>
    <w:rsid w:val="00350E4E"/>
    <w:rsid w:val="00355089"/>
    <w:rsid w:val="003560AA"/>
    <w:rsid w:val="00364EA3"/>
    <w:rsid w:val="00367111"/>
    <w:rsid w:val="00371D59"/>
    <w:rsid w:val="003720DF"/>
    <w:rsid w:val="003728F4"/>
    <w:rsid w:val="00372F2E"/>
    <w:rsid w:val="003759B4"/>
    <w:rsid w:val="00376ED2"/>
    <w:rsid w:val="0038093E"/>
    <w:rsid w:val="003811A7"/>
    <w:rsid w:val="00384344"/>
    <w:rsid w:val="00384F5F"/>
    <w:rsid w:val="0039043E"/>
    <w:rsid w:val="003955F3"/>
    <w:rsid w:val="003A031D"/>
    <w:rsid w:val="003A109F"/>
    <w:rsid w:val="003A3AE5"/>
    <w:rsid w:val="003A529F"/>
    <w:rsid w:val="003B471D"/>
    <w:rsid w:val="003C10BD"/>
    <w:rsid w:val="003C2151"/>
    <w:rsid w:val="003C2944"/>
    <w:rsid w:val="003C31FB"/>
    <w:rsid w:val="003C3298"/>
    <w:rsid w:val="003C5B60"/>
    <w:rsid w:val="003C5D73"/>
    <w:rsid w:val="003C61EA"/>
    <w:rsid w:val="003D1049"/>
    <w:rsid w:val="003D60A0"/>
    <w:rsid w:val="003E2549"/>
    <w:rsid w:val="003E4C2C"/>
    <w:rsid w:val="003E65CD"/>
    <w:rsid w:val="003F7F07"/>
    <w:rsid w:val="00400C23"/>
    <w:rsid w:val="00401B9B"/>
    <w:rsid w:val="004058BF"/>
    <w:rsid w:val="00413C2D"/>
    <w:rsid w:val="004152D6"/>
    <w:rsid w:val="00416F09"/>
    <w:rsid w:val="0042427D"/>
    <w:rsid w:val="00424F37"/>
    <w:rsid w:val="00427FB5"/>
    <w:rsid w:val="004405CF"/>
    <w:rsid w:val="004425B0"/>
    <w:rsid w:val="00446C37"/>
    <w:rsid w:val="004514B1"/>
    <w:rsid w:val="004519E7"/>
    <w:rsid w:val="00452A10"/>
    <w:rsid w:val="004652AB"/>
    <w:rsid w:val="004659F5"/>
    <w:rsid w:val="00466E25"/>
    <w:rsid w:val="004756E9"/>
    <w:rsid w:val="00475FFF"/>
    <w:rsid w:val="00477484"/>
    <w:rsid w:val="0048359F"/>
    <w:rsid w:val="00484448"/>
    <w:rsid w:val="00484922"/>
    <w:rsid w:val="00491EF0"/>
    <w:rsid w:val="00494D0A"/>
    <w:rsid w:val="00497879"/>
    <w:rsid w:val="00497D28"/>
    <w:rsid w:val="004A13D7"/>
    <w:rsid w:val="004A18A8"/>
    <w:rsid w:val="004A2A34"/>
    <w:rsid w:val="004A4A6D"/>
    <w:rsid w:val="004A4C97"/>
    <w:rsid w:val="004A79EA"/>
    <w:rsid w:val="004B5BA2"/>
    <w:rsid w:val="004B5CA2"/>
    <w:rsid w:val="004C2250"/>
    <w:rsid w:val="004C28EA"/>
    <w:rsid w:val="004C39F7"/>
    <w:rsid w:val="004C463E"/>
    <w:rsid w:val="004C6184"/>
    <w:rsid w:val="004C69B3"/>
    <w:rsid w:val="004C79FE"/>
    <w:rsid w:val="004D2C21"/>
    <w:rsid w:val="004D3929"/>
    <w:rsid w:val="004E311E"/>
    <w:rsid w:val="004E38D1"/>
    <w:rsid w:val="004E397E"/>
    <w:rsid w:val="004E40FC"/>
    <w:rsid w:val="004E6CCA"/>
    <w:rsid w:val="004E7BD6"/>
    <w:rsid w:val="004F7A16"/>
    <w:rsid w:val="00501BAC"/>
    <w:rsid w:val="0050273B"/>
    <w:rsid w:val="00502A0E"/>
    <w:rsid w:val="00503FDF"/>
    <w:rsid w:val="0050725E"/>
    <w:rsid w:val="005114E2"/>
    <w:rsid w:val="0051291D"/>
    <w:rsid w:val="00523F37"/>
    <w:rsid w:val="00526F67"/>
    <w:rsid w:val="00535A65"/>
    <w:rsid w:val="00544F82"/>
    <w:rsid w:val="005513E3"/>
    <w:rsid w:val="00560937"/>
    <w:rsid w:val="00562C23"/>
    <w:rsid w:val="0056403D"/>
    <w:rsid w:val="005709B7"/>
    <w:rsid w:val="00577873"/>
    <w:rsid w:val="005914AD"/>
    <w:rsid w:val="00595D2D"/>
    <w:rsid w:val="005B617B"/>
    <w:rsid w:val="005C4FD6"/>
    <w:rsid w:val="005C59AB"/>
    <w:rsid w:val="005C729E"/>
    <w:rsid w:val="005D52E0"/>
    <w:rsid w:val="005D7DE0"/>
    <w:rsid w:val="005E2310"/>
    <w:rsid w:val="005E4C36"/>
    <w:rsid w:val="005E7133"/>
    <w:rsid w:val="005F2DEF"/>
    <w:rsid w:val="005F537F"/>
    <w:rsid w:val="005F54C2"/>
    <w:rsid w:val="0060374F"/>
    <w:rsid w:val="0061267F"/>
    <w:rsid w:val="00614F3B"/>
    <w:rsid w:val="0062340B"/>
    <w:rsid w:val="0062354E"/>
    <w:rsid w:val="006271BA"/>
    <w:rsid w:val="00627460"/>
    <w:rsid w:val="0062769D"/>
    <w:rsid w:val="00627C82"/>
    <w:rsid w:val="00630C9F"/>
    <w:rsid w:val="006365DF"/>
    <w:rsid w:val="006404FE"/>
    <w:rsid w:val="0064290F"/>
    <w:rsid w:val="00643F56"/>
    <w:rsid w:val="00646BA9"/>
    <w:rsid w:val="00647ECA"/>
    <w:rsid w:val="006516F9"/>
    <w:rsid w:val="00653B66"/>
    <w:rsid w:val="00661D30"/>
    <w:rsid w:val="0066306A"/>
    <w:rsid w:val="00664054"/>
    <w:rsid w:val="00666E29"/>
    <w:rsid w:val="00670270"/>
    <w:rsid w:val="0067296D"/>
    <w:rsid w:val="0067739E"/>
    <w:rsid w:val="00686DAA"/>
    <w:rsid w:val="006941EA"/>
    <w:rsid w:val="00694B2B"/>
    <w:rsid w:val="006A02B1"/>
    <w:rsid w:val="006A1130"/>
    <w:rsid w:val="006A56D1"/>
    <w:rsid w:val="006A6568"/>
    <w:rsid w:val="006B4627"/>
    <w:rsid w:val="006B6E1C"/>
    <w:rsid w:val="006C28BF"/>
    <w:rsid w:val="006C4425"/>
    <w:rsid w:val="006D1CE0"/>
    <w:rsid w:val="006D253A"/>
    <w:rsid w:val="006D5B37"/>
    <w:rsid w:val="006D749C"/>
    <w:rsid w:val="006D76E0"/>
    <w:rsid w:val="006D7CB7"/>
    <w:rsid w:val="006E0A11"/>
    <w:rsid w:val="006E1E78"/>
    <w:rsid w:val="006E2ED2"/>
    <w:rsid w:val="006E4B29"/>
    <w:rsid w:val="006E7FD1"/>
    <w:rsid w:val="006F03B4"/>
    <w:rsid w:val="006F16C9"/>
    <w:rsid w:val="006F61AD"/>
    <w:rsid w:val="007036DB"/>
    <w:rsid w:val="00704480"/>
    <w:rsid w:val="007046E7"/>
    <w:rsid w:val="007067FD"/>
    <w:rsid w:val="00707C06"/>
    <w:rsid w:val="00710296"/>
    <w:rsid w:val="0071153F"/>
    <w:rsid w:val="007161AE"/>
    <w:rsid w:val="00721072"/>
    <w:rsid w:val="00722620"/>
    <w:rsid w:val="00726AB4"/>
    <w:rsid w:val="007322A0"/>
    <w:rsid w:val="007324DD"/>
    <w:rsid w:val="007348C1"/>
    <w:rsid w:val="00736849"/>
    <w:rsid w:val="00745C4E"/>
    <w:rsid w:val="00747A2C"/>
    <w:rsid w:val="00751498"/>
    <w:rsid w:val="00751ABF"/>
    <w:rsid w:val="00752510"/>
    <w:rsid w:val="0075553B"/>
    <w:rsid w:val="00757086"/>
    <w:rsid w:val="00761895"/>
    <w:rsid w:val="00763321"/>
    <w:rsid w:val="00763666"/>
    <w:rsid w:val="00764821"/>
    <w:rsid w:val="00766FB4"/>
    <w:rsid w:val="007850F0"/>
    <w:rsid w:val="00790D29"/>
    <w:rsid w:val="00795BB0"/>
    <w:rsid w:val="007964F3"/>
    <w:rsid w:val="00796E81"/>
    <w:rsid w:val="00797F7E"/>
    <w:rsid w:val="007A292D"/>
    <w:rsid w:val="007A5639"/>
    <w:rsid w:val="007A608B"/>
    <w:rsid w:val="007B0CA3"/>
    <w:rsid w:val="007B1657"/>
    <w:rsid w:val="007B5992"/>
    <w:rsid w:val="007C0EDC"/>
    <w:rsid w:val="007C2156"/>
    <w:rsid w:val="007C59D9"/>
    <w:rsid w:val="007C6B71"/>
    <w:rsid w:val="007C79EB"/>
    <w:rsid w:val="007D76E7"/>
    <w:rsid w:val="007D79CF"/>
    <w:rsid w:val="007F1D5D"/>
    <w:rsid w:val="007F7F08"/>
    <w:rsid w:val="008064FD"/>
    <w:rsid w:val="00806854"/>
    <w:rsid w:val="00806BE6"/>
    <w:rsid w:val="0080763B"/>
    <w:rsid w:val="0081131F"/>
    <w:rsid w:val="00813E4E"/>
    <w:rsid w:val="008140E8"/>
    <w:rsid w:val="00833E5F"/>
    <w:rsid w:val="00834F1E"/>
    <w:rsid w:val="00835898"/>
    <w:rsid w:val="0083634A"/>
    <w:rsid w:val="00844B02"/>
    <w:rsid w:val="00846EE4"/>
    <w:rsid w:val="00847E4C"/>
    <w:rsid w:val="00850F41"/>
    <w:rsid w:val="00852A1D"/>
    <w:rsid w:val="00852B4D"/>
    <w:rsid w:val="00855C4E"/>
    <w:rsid w:val="0086264A"/>
    <w:rsid w:val="00865AB8"/>
    <w:rsid w:val="008667A4"/>
    <w:rsid w:val="00867CDD"/>
    <w:rsid w:val="00871160"/>
    <w:rsid w:val="00872A99"/>
    <w:rsid w:val="008737A2"/>
    <w:rsid w:val="00874102"/>
    <w:rsid w:val="0087759C"/>
    <w:rsid w:val="0088037C"/>
    <w:rsid w:val="008805F7"/>
    <w:rsid w:val="00887477"/>
    <w:rsid w:val="008907DC"/>
    <w:rsid w:val="00892675"/>
    <w:rsid w:val="008938A5"/>
    <w:rsid w:val="008975BF"/>
    <w:rsid w:val="008A1BD6"/>
    <w:rsid w:val="008C7B86"/>
    <w:rsid w:val="008D04CA"/>
    <w:rsid w:val="008D0BC3"/>
    <w:rsid w:val="008D0D3C"/>
    <w:rsid w:val="008D29C5"/>
    <w:rsid w:val="008D6150"/>
    <w:rsid w:val="008E2ACE"/>
    <w:rsid w:val="008E4014"/>
    <w:rsid w:val="008F23B9"/>
    <w:rsid w:val="008F61A2"/>
    <w:rsid w:val="008F7DF7"/>
    <w:rsid w:val="00901DA4"/>
    <w:rsid w:val="0091002B"/>
    <w:rsid w:val="00911DF9"/>
    <w:rsid w:val="0091550F"/>
    <w:rsid w:val="0092272E"/>
    <w:rsid w:val="00922A0B"/>
    <w:rsid w:val="00924F5F"/>
    <w:rsid w:val="00924F97"/>
    <w:rsid w:val="00935667"/>
    <w:rsid w:val="0094233C"/>
    <w:rsid w:val="00944B7B"/>
    <w:rsid w:val="00947750"/>
    <w:rsid w:val="009508A8"/>
    <w:rsid w:val="00950CE2"/>
    <w:rsid w:val="00955B28"/>
    <w:rsid w:val="00960BD5"/>
    <w:rsid w:val="0096622E"/>
    <w:rsid w:val="009718D0"/>
    <w:rsid w:val="00976400"/>
    <w:rsid w:val="009778C7"/>
    <w:rsid w:val="00980138"/>
    <w:rsid w:val="009815F0"/>
    <w:rsid w:val="0098442A"/>
    <w:rsid w:val="00984796"/>
    <w:rsid w:val="00986A32"/>
    <w:rsid w:val="0099092D"/>
    <w:rsid w:val="0099204B"/>
    <w:rsid w:val="0099789E"/>
    <w:rsid w:val="00997EA8"/>
    <w:rsid w:val="009A167B"/>
    <w:rsid w:val="009A7FDB"/>
    <w:rsid w:val="009B52FE"/>
    <w:rsid w:val="009B7F78"/>
    <w:rsid w:val="009C2E12"/>
    <w:rsid w:val="009C5979"/>
    <w:rsid w:val="009C6438"/>
    <w:rsid w:val="009D1125"/>
    <w:rsid w:val="009E080D"/>
    <w:rsid w:val="009E0A68"/>
    <w:rsid w:val="009E23B0"/>
    <w:rsid w:val="009E3B74"/>
    <w:rsid w:val="009E41F2"/>
    <w:rsid w:val="009F0A03"/>
    <w:rsid w:val="009F2FCD"/>
    <w:rsid w:val="009F719B"/>
    <w:rsid w:val="00A00ACC"/>
    <w:rsid w:val="00A02A82"/>
    <w:rsid w:val="00A11D57"/>
    <w:rsid w:val="00A13799"/>
    <w:rsid w:val="00A13D5C"/>
    <w:rsid w:val="00A163DD"/>
    <w:rsid w:val="00A1682F"/>
    <w:rsid w:val="00A17244"/>
    <w:rsid w:val="00A17E88"/>
    <w:rsid w:val="00A21110"/>
    <w:rsid w:val="00A221B2"/>
    <w:rsid w:val="00A24C57"/>
    <w:rsid w:val="00A2782F"/>
    <w:rsid w:val="00A3366D"/>
    <w:rsid w:val="00A34741"/>
    <w:rsid w:val="00A4498E"/>
    <w:rsid w:val="00A45C87"/>
    <w:rsid w:val="00A45E36"/>
    <w:rsid w:val="00A46B6F"/>
    <w:rsid w:val="00A47E5C"/>
    <w:rsid w:val="00A50BFF"/>
    <w:rsid w:val="00A51CA4"/>
    <w:rsid w:val="00A525FC"/>
    <w:rsid w:val="00A555B1"/>
    <w:rsid w:val="00A5591C"/>
    <w:rsid w:val="00A5712B"/>
    <w:rsid w:val="00A63CB8"/>
    <w:rsid w:val="00A653CE"/>
    <w:rsid w:val="00A659D4"/>
    <w:rsid w:val="00A73B21"/>
    <w:rsid w:val="00A8163A"/>
    <w:rsid w:val="00A829E1"/>
    <w:rsid w:val="00A87F90"/>
    <w:rsid w:val="00A90EF0"/>
    <w:rsid w:val="00A91A2F"/>
    <w:rsid w:val="00A92954"/>
    <w:rsid w:val="00A948AF"/>
    <w:rsid w:val="00A94DA2"/>
    <w:rsid w:val="00A95448"/>
    <w:rsid w:val="00A970A0"/>
    <w:rsid w:val="00AA19AD"/>
    <w:rsid w:val="00AA1CB9"/>
    <w:rsid w:val="00AA582F"/>
    <w:rsid w:val="00AA7474"/>
    <w:rsid w:val="00AB62FF"/>
    <w:rsid w:val="00AC7752"/>
    <w:rsid w:val="00AC7FD5"/>
    <w:rsid w:val="00AD036D"/>
    <w:rsid w:val="00AD0CD0"/>
    <w:rsid w:val="00AD2C70"/>
    <w:rsid w:val="00AD37BE"/>
    <w:rsid w:val="00AD5606"/>
    <w:rsid w:val="00AD6269"/>
    <w:rsid w:val="00AE26E7"/>
    <w:rsid w:val="00AF349B"/>
    <w:rsid w:val="00AF3F57"/>
    <w:rsid w:val="00AF4DC2"/>
    <w:rsid w:val="00AF6560"/>
    <w:rsid w:val="00B04589"/>
    <w:rsid w:val="00B0673D"/>
    <w:rsid w:val="00B0675D"/>
    <w:rsid w:val="00B10DE0"/>
    <w:rsid w:val="00B154A1"/>
    <w:rsid w:val="00B16B3E"/>
    <w:rsid w:val="00B246E3"/>
    <w:rsid w:val="00B3665F"/>
    <w:rsid w:val="00B41116"/>
    <w:rsid w:val="00B52EAB"/>
    <w:rsid w:val="00B5739E"/>
    <w:rsid w:val="00B60987"/>
    <w:rsid w:val="00B714FE"/>
    <w:rsid w:val="00B71CA2"/>
    <w:rsid w:val="00B77222"/>
    <w:rsid w:val="00B90987"/>
    <w:rsid w:val="00B91437"/>
    <w:rsid w:val="00BA25D9"/>
    <w:rsid w:val="00BA72C9"/>
    <w:rsid w:val="00BB0209"/>
    <w:rsid w:val="00BB702A"/>
    <w:rsid w:val="00BC0DA9"/>
    <w:rsid w:val="00BC1AE6"/>
    <w:rsid w:val="00BC2D1F"/>
    <w:rsid w:val="00BD520D"/>
    <w:rsid w:val="00BD5899"/>
    <w:rsid w:val="00BD5E7D"/>
    <w:rsid w:val="00BE128A"/>
    <w:rsid w:val="00BE454A"/>
    <w:rsid w:val="00BE5012"/>
    <w:rsid w:val="00BE5040"/>
    <w:rsid w:val="00BE6251"/>
    <w:rsid w:val="00BE698B"/>
    <w:rsid w:val="00BF0E14"/>
    <w:rsid w:val="00BF2223"/>
    <w:rsid w:val="00BF2D97"/>
    <w:rsid w:val="00C01D44"/>
    <w:rsid w:val="00C05C4E"/>
    <w:rsid w:val="00C07D3F"/>
    <w:rsid w:val="00C1350D"/>
    <w:rsid w:val="00C13687"/>
    <w:rsid w:val="00C150B8"/>
    <w:rsid w:val="00C16604"/>
    <w:rsid w:val="00C266C0"/>
    <w:rsid w:val="00C348A6"/>
    <w:rsid w:val="00C36385"/>
    <w:rsid w:val="00C418F0"/>
    <w:rsid w:val="00C4771A"/>
    <w:rsid w:val="00C479B2"/>
    <w:rsid w:val="00C50C27"/>
    <w:rsid w:val="00C62C1D"/>
    <w:rsid w:val="00C67E9F"/>
    <w:rsid w:val="00C712EB"/>
    <w:rsid w:val="00C716FA"/>
    <w:rsid w:val="00C77377"/>
    <w:rsid w:val="00C809DC"/>
    <w:rsid w:val="00C939F4"/>
    <w:rsid w:val="00C95601"/>
    <w:rsid w:val="00C97D05"/>
    <w:rsid w:val="00CA4BB3"/>
    <w:rsid w:val="00CB25AA"/>
    <w:rsid w:val="00CB422B"/>
    <w:rsid w:val="00CB539D"/>
    <w:rsid w:val="00CC0664"/>
    <w:rsid w:val="00CC31FE"/>
    <w:rsid w:val="00CC4177"/>
    <w:rsid w:val="00CC74D3"/>
    <w:rsid w:val="00CD0A32"/>
    <w:rsid w:val="00CD5BAA"/>
    <w:rsid w:val="00CD665A"/>
    <w:rsid w:val="00CD6846"/>
    <w:rsid w:val="00CE0F22"/>
    <w:rsid w:val="00CE532B"/>
    <w:rsid w:val="00CE73A0"/>
    <w:rsid w:val="00CE79D3"/>
    <w:rsid w:val="00CF1709"/>
    <w:rsid w:val="00CF3F86"/>
    <w:rsid w:val="00D02D44"/>
    <w:rsid w:val="00D109E8"/>
    <w:rsid w:val="00D11FC3"/>
    <w:rsid w:val="00D12137"/>
    <w:rsid w:val="00D12B76"/>
    <w:rsid w:val="00D16715"/>
    <w:rsid w:val="00D20E17"/>
    <w:rsid w:val="00D21E40"/>
    <w:rsid w:val="00D24756"/>
    <w:rsid w:val="00D24FD2"/>
    <w:rsid w:val="00D26EEC"/>
    <w:rsid w:val="00D31B03"/>
    <w:rsid w:val="00D36544"/>
    <w:rsid w:val="00D36FBC"/>
    <w:rsid w:val="00D562E9"/>
    <w:rsid w:val="00D56AC5"/>
    <w:rsid w:val="00D60621"/>
    <w:rsid w:val="00D61757"/>
    <w:rsid w:val="00D61820"/>
    <w:rsid w:val="00D6244A"/>
    <w:rsid w:val="00D637A2"/>
    <w:rsid w:val="00D67C80"/>
    <w:rsid w:val="00D70007"/>
    <w:rsid w:val="00D74245"/>
    <w:rsid w:val="00D750E2"/>
    <w:rsid w:val="00D752E3"/>
    <w:rsid w:val="00D84A55"/>
    <w:rsid w:val="00D8519E"/>
    <w:rsid w:val="00D85C4E"/>
    <w:rsid w:val="00D952B6"/>
    <w:rsid w:val="00D95C58"/>
    <w:rsid w:val="00DA0323"/>
    <w:rsid w:val="00DA68B6"/>
    <w:rsid w:val="00DA73AB"/>
    <w:rsid w:val="00DA7415"/>
    <w:rsid w:val="00DB46B3"/>
    <w:rsid w:val="00DB5DB2"/>
    <w:rsid w:val="00DC1250"/>
    <w:rsid w:val="00DC21D7"/>
    <w:rsid w:val="00DC5138"/>
    <w:rsid w:val="00DD165A"/>
    <w:rsid w:val="00DD1681"/>
    <w:rsid w:val="00DD3F99"/>
    <w:rsid w:val="00DD4187"/>
    <w:rsid w:val="00DD5FC1"/>
    <w:rsid w:val="00DF3DAD"/>
    <w:rsid w:val="00DF414A"/>
    <w:rsid w:val="00E000BD"/>
    <w:rsid w:val="00E002D0"/>
    <w:rsid w:val="00E0422E"/>
    <w:rsid w:val="00E04762"/>
    <w:rsid w:val="00E06627"/>
    <w:rsid w:val="00E0769A"/>
    <w:rsid w:val="00E126EA"/>
    <w:rsid w:val="00E12F44"/>
    <w:rsid w:val="00E15AE3"/>
    <w:rsid w:val="00E20117"/>
    <w:rsid w:val="00E27007"/>
    <w:rsid w:val="00E31A95"/>
    <w:rsid w:val="00E36DF5"/>
    <w:rsid w:val="00E43AD5"/>
    <w:rsid w:val="00E44237"/>
    <w:rsid w:val="00E46E17"/>
    <w:rsid w:val="00E55EAF"/>
    <w:rsid w:val="00E61BC7"/>
    <w:rsid w:val="00E624F4"/>
    <w:rsid w:val="00E62A0B"/>
    <w:rsid w:val="00E64AFC"/>
    <w:rsid w:val="00E70F50"/>
    <w:rsid w:val="00E70FC5"/>
    <w:rsid w:val="00E83490"/>
    <w:rsid w:val="00E8573B"/>
    <w:rsid w:val="00E9087A"/>
    <w:rsid w:val="00E917DB"/>
    <w:rsid w:val="00E91E9F"/>
    <w:rsid w:val="00EA0B47"/>
    <w:rsid w:val="00EA3E91"/>
    <w:rsid w:val="00EB25A8"/>
    <w:rsid w:val="00EB5DC8"/>
    <w:rsid w:val="00EC147E"/>
    <w:rsid w:val="00EC1AD1"/>
    <w:rsid w:val="00EC2134"/>
    <w:rsid w:val="00ED0172"/>
    <w:rsid w:val="00ED154D"/>
    <w:rsid w:val="00ED391B"/>
    <w:rsid w:val="00ED5E99"/>
    <w:rsid w:val="00ED6670"/>
    <w:rsid w:val="00EE0B19"/>
    <w:rsid w:val="00EE10A1"/>
    <w:rsid w:val="00EE4A1B"/>
    <w:rsid w:val="00EF059D"/>
    <w:rsid w:val="00EF4393"/>
    <w:rsid w:val="00EF49FE"/>
    <w:rsid w:val="00EF5124"/>
    <w:rsid w:val="00EF66A0"/>
    <w:rsid w:val="00F01989"/>
    <w:rsid w:val="00F06DF8"/>
    <w:rsid w:val="00F07CF4"/>
    <w:rsid w:val="00F11199"/>
    <w:rsid w:val="00F231C4"/>
    <w:rsid w:val="00F2514E"/>
    <w:rsid w:val="00F254B5"/>
    <w:rsid w:val="00F320BD"/>
    <w:rsid w:val="00F364B9"/>
    <w:rsid w:val="00F378E9"/>
    <w:rsid w:val="00F40770"/>
    <w:rsid w:val="00F418DA"/>
    <w:rsid w:val="00F45558"/>
    <w:rsid w:val="00F45A68"/>
    <w:rsid w:val="00F4665F"/>
    <w:rsid w:val="00F5387E"/>
    <w:rsid w:val="00F541C3"/>
    <w:rsid w:val="00F55746"/>
    <w:rsid w:val="00F5581C"/>
    <w:rsid w:val="00F56A1C"/>
    <w:rsid w:val="00F61614"/>
    <w:rsid w:val="00F663ED"/>
    <w:rsid w:val="00F70433"/>
    <w:rsid w:val="00F7402E"/>
    <w:rsid w:val="00F74D3D"/>
    <w:rsid w:val="00F77B43"/>
    <w:rsid w:val="00F8026F"/>
    <w:rsid w:val="00F80563"/>
    <w:rsid w:val="00F84ADD"/>
    <w:rsid w:val="00F90796"/>
    <w:rsid w:val="00F92080"/>
    <w:rsid w:val="00F92D5F"/>
    <w:rsid w:val="00F9537C"/>
    <w:rsid w:val="00F962DA"/>
    <w:rsid w:val="00F971E8"/>
    <w:rsid w:val="00FA3470"/>
    <w:rsid w:val="00FA3649"/>
    <w:rsid w:val="00FA48B3"/>
    <w:rsid w:val="00FB4454"/>
    <w:rsid w:val="00FB678E"/>
    <w:rsid w:val="00FD4BAD"/>
    <w:rsid w:val="00FD6997"/>
    <w:rsid w:val="00FE0ECA"/>
    <w:rsid w:val="00FE2882"/>
    <w:rsid w:val="00FE729D"/>
    <w:rsid w:val="00FF0C8B"/>
    <w:rsid w:val="00FF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986A32"/>
    <w:pPr>
      <w:spacing w:after="200" w:line="276" w:lineRule="auto"/>
    </w:pPr>
    <w:rPr>
      <w:rFonts w:cs="Calibri"/>
    </w:rPr>
  </w:style>
  <w:style w:type="paragraph" w:styleId="Heading1">
    <w:name w:val="heading 1"/>
    <w:basedOn w:val="Normal"/>
    <w:next w:val="Normal"/>
    <w:link w:val="Heading1Char"/>
    <w:autoRedefine/>
    <w:uiPriority w:val="99"/>
    <w:qFormat/>
    <w:rsid w:val="00986A32"/>
    <w:pPr>
      <w:keepNext/>
      <w:keepLines/>
      <w:spacing w:after="240" w:line="240" w:lineRule="auto"/>
      <w:ind w:left="720" w:hanging="720"/>
      <w:outlineLvl w:val="0"/>
    </w:pPr>
    <w:rPr>
      <w:rFonts w:ascii="Times New Roman Bold" w:hAnsi="Times New Roman Bold" w:cs="Times New Roman"/>
      <w:b/>
      <w:bCs/>
      <w:caps/>
      <w:sz w:val="24"/>
      <w:szCs w:val="24"/>
    </w:rPr>
  </w:style>
  <w:style w:type="paragraph" w:styleId="Heading2">
    <w:name w:val="heading 2"/>
    <w:basedOn w:val="Normal"/>
    <w:next w:val="Normal"/>
    <w:link w:val="Heading2Char1"/>
    <w:autoRedefine/>
    <w:uiPriority w:val="99"/>
    <w:qFormat/>
    <w:locked/>
    <w:rsid w:val="00AA1CB9"/>
    <w:pPr>
      <w:keepNext/>
      <w:spacing w:after="240" w:line="240" w:lineRule="auto"/>
      <w:ind w:left="1440" w:hanging="720"/>
      <w:outlineLvl w:val="1"/>
    </w:pPr>
    <w:rPr>
      <w:rFonts w:ascii="Times New Roman Bold" w:hAnsi="Times New Roman Bold" w:cs="Times New Roman Bold"/>
      <w:b/>
      <w:bCs/>
      <w:sz w:val="24"/>
      <w:szCs w:val="24"/>
    </w:rPr>
  </w:style>
  <w:style w:type="paragraph" w:styleId="Heading3">
    <w:name w:val="heading 3"/>
    <w:basedOn w:val="Normal"/>
    <w:next w:val="Normal"/>
    <w:link w:val="Heading3Char"/>
    <w:autoRedefine/>
    <w:uiPriority w:val="99"/>
    <w:qFormat/>
    <w:locked/>
    <w:rsid w:val="00562C23"/>
    <w:pPr>
      <w:keepNext/>
      <w:spacing w:after="240" w:line="240" w:lineRule="auto"/>
      <w:ind w:left="720"/>
      <w:outlineLvl w:val="2"/>
    </w:pPr>
    <w:rPr>
      <w:rFonts w:ascii="Times New Roman Bold" w:eastAsia="Times New Roman" w:hAnsi="Times New Roman Bold" w:cs="Times New Roman Bol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6A32"/>
    <w:rPr>
      <w:rFonts w:ascii="Times New Roman Bold" w:hAnsi="Times New Roman Bold"/>
      <w:b/>
      <w:bCs/>
      <w:caps/>
      <w:sz w:val="24"/>
      <w:szCs w:val="24"/>
    </w:rPr>
  </w:style>
  <w:style w:type="character" w:customStyle="1" w:styleId="Heading2Char">
    <w:name w:val="Heading 2 Char"/>
    <w:basedOn w:val="DefaultParagraphFont"/>
    <w:uiPriority w:val="99"/>
    <w:locked/>
    <w:rsid w:val="00664054"/>
    <w:rPr>
      <w:rFonts w:ascii="Times New Roman Bold" w:hAnsi="Times New Roman Bold" w:cs="Times New Roman Bold"/>
      <w:b/>
      <w:bCs/>
      <w:sz w:val="36"/>
      <w:szCs w:val="36"/>
    </w:rPr>
  </w:style>
  <w:style w:type="character" w:customStyle="1" w:styleId="Heading3Char">
    <w:name w:val="Heading 3 Char"/>
    <w:basedOn w:val="DefaultParagraphFont"/>
    <w:link w:val="Heading3"/>
    <w:uiPriority w:val="99"/>
    <w:locked/>
    <w:rsid w:val="00562C23"/>
    <w:rPr>
      <w:rFonts w:ascii="Times New Roman Bold" w:hAnsi="Times New Roman Bold" w:cs="Times New Roman Bold"/>
      <w:b/>
      <w:bCs/>
      <w:sz w:val="24"/>
      <w:szCs w:val="24"/>
    </w:rPr>
  </w:style>
  <w:style w:type="paragraph" w:styleId="NoSpacing">
    <w:name w:val="No Spacing"/>
    <w:uiPriority w:val="99"/>
    <w:qFormat/>
    <w:rsid w:val="004C39F7"/>
    <w:rPr>
      <w:rFonts w:cs="Calibri"/>
    </w:rPr>
  </w:style>
  <w:style w:type="paragraph" w:styleId="Header">
    <w:name w:val="header"/>
    <w:basedOn w:val="Normal"/>
    <w:link w:val="HeaderChar"/>
    <w:uiPriority w:val="99"/>
    <w:rsid w:val="00B0675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0675D"/>
  </w:style>
  <w:style w:type="paragraph" w:styleId="Footer">
    <w:name w:val="footer"/>
    <w:basedOn w:val="Normal"/>
    <w:link w:val="FooterChar"/>
    <w:uiPriority w:val="99"/>
    <w:rsid w:val="00B0675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0675D"/>
  </w:style>
  <w:style w:type="paragraph" w:styleId="BalloonText">
    <w:name w:val="Balloon Text"/>
    <w:basedOn w:val="Normal"/>
    <w:link w:val="BalloonTextChar"/>
    <w:uiPriority w:val="99"/>
    <w:semiHidden/>
    <w:rsid w:val="00B06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0675D"/>
    <w:rPr>
      <w:rFonts w:ascii="Tahoma" w:hAnsi="Tahoma" w:cs="Tahoma"/>
      <w:sz w:val="16"/>
      <w:szCs w:val="16"/>
    </w:rPr>
  </w:style>
  <w:style w:type="character" w:styleId="CommentReference">
    <w:name w:val="annotation reference"/>
    <w:basedOn w:val="DefaultParagraphFont"/>
    <w:uiPriority w:val="99"/>
    <w:semiHidden/>
    <w:rsid w:val="004405CF"/>
    <w:rPr>
      <w:sz w:val="16"/>
      <w:szCs w:val="16"/>
    </w:rPr>
  </w:style>
  <w:style w:type="paragraph" w:styleId="CommentText">
    <w:name w:val="annotation text"/>
    <w:basedOn w:val="Normal"/>
    <w:link w:val="CommentTextChar"/>
    <w:uiPriority w:val="99"/>
    <w:semiHidden/>
    <w:rsid w:val="004405C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405CF"/>
    <w:rPr>
      <w:sz w:val="20"/>
      <w:szCs w:val="20"/>
    </w:rPr>
  </w:style>
  <w:style w:type="paragraph" w:styleId="CommentSubject">
    <w:name w:val="annotation subject"/>
    <w:basedOn w:val="CommentText"/>
    <w:next w:val="CommentText"/>
    <w:link w:val="CommentSubjectChar"/>
    <w:uiPriority w:val="99"/>
    <w:semiHidden/>
    <w:rsid w:val="004405CF"/>
    <w:rPr>
      <w:b/>
      <w:bCs/>
    </w:rPr>
  </w:style>
  <w:style w:type="character" w:customStyle="1" w:styleId="CommentSubjectChar">
    <w:name w:val="Comment Subject Char"/>
    <w:basedOn w:val="CommentTextChar"/>
    <w:link w:val="CommentSubject"/>
    <w:uiPriority w:val="99"/>
    <w:semiHidden/>
    <w:locked/>
    <w:rsid w:val="004405CF"/>
    <w:rPr>
      <w:b/>
      <w:bCs/>
      <w:sz w:val="20"/>
      <w:szCs w:val="20"/>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
    <w:basedOn w:val="Normal"/>
    <w:link w:val="FootnoteTextChar"/>
    <w:uiPriority w:val="99"/>
    <w:semiHidden/>
    <w:rsid w:val="008064FD"/>
    <w:pPr>
      <w:spacing w:after="0" w:line="240" w:lineRule="auto"/>
    </w:pPr>
    <w:rPr>
      <w:sz w:val="20"/>
      <w:szCs w:val="20"/>
    </w:rPr>
  </w:style>
  <w:style w:type="character" w:customStyle="1" w:styleId="FootnoteTextChar">
    <w:name w:val="Footnote Text Char"/>
    <w:aliases w:val="Footnote Text Char4 Char Char,Footnote Text Char Char4 Char Char,Footnote Text Char4 Char1 Char Char Char,Footnote Text Char Char4 Char1 Char Char Char,Footnote Text Char5 Char1 Char Char Char Char Char Char,Footnote Text Char2 Char"/>
    <w:basedOn w:val="DefaultParagraphFont"/>
    <w:link w:val="FootnoteText"/>
    <w:uiPriority w:val="99"/>
    <w:semiHidden/>
    <w:locked/>
    <w:rsid w:val="004C2250"/>
    <w:rPr>
      <w:lang w:val="en-US" w:eastAsia="en-US"/>
    </w:rPr>
  </w:style>
  <w:style w:type="character" w:styleId="FootnoteReference">
    <w:name w:val="footnote reference"/>
    <w:aliases w:val="o"/>
    <w:basedOn w:val="DefaultParagraphFont"/>
    <w:uiPriority w:val="99"/>
    <w:semiHidden/>
    <w:rsid w:val="008064FD"/>
    <w:rPr>
      <w:vertAlign w:val="superscript"/>
    </w:rPr>
  </w:style>
  <w:style w:type="character" w:styleId="Hyperlink">
    <w:name w:val="Hyperlink"/>
    <w:basedOn w:val="DefaultParagraphFont"/>
    <w:uiPriority w:val="99"/>
    <w:rsid w:val="002524CE"/>
    <w:rPr>
      <w:color w:val="0000FF"/>
      <w:u w:val="single"/>
    </w:rPr>
  </w:style>
  <w:style w:type="paragraph" w:styleId="TOCHeading">
    <w:name w:val="TOC Heading"/>
    <w:basedOn w:val="Heading1"/>
    <w:next w:val="Normal"/>
    <w:uiPriority w:val="99"/>
    <w:qFormat/>
    <w:rsid w:val="00201C5D"/>
    <w:pPr>
      <w:spacing w:before="480" w:after="0" w:line="276" w:lineRule="auto"/>
      <w:outlineLvl w:val="9"/>
    </w:pPr>
    <w:rPr>
      <w:rFonts w:ascii="Cambria" w:hAnsi="Cambria" w:cs="Cambria"/>
      <w:caps w:val="0"/>
      <w:color w:val="365F91"/>
      <w:sz w:val="28"/>
      <w:szCs w:val="28"/>
      <w:lang w:eastAsia="ja-JP"/>
    </w:rPr>
  </w:style>
  <w:style w:type="paragraph" w:styleId="TOC1">
    <w:name w:val="toc 1"/>
    <w:basedOn w:val="Normal"/>
    <w:next w:val="Normal"/>
    <w:autoRedefine/>
    <w:uiPriority w:val="39"/>
    <w:rsid w:val="00C266C0"/>
    <w:pPr>
      <w:tabs>
        <w:tab w:val="left" w:pos="720"/>
        <w:tab w:val="decimal" w:leader="dot" w:pos="8820"/>
      </w:tabs>
      <w:spacing w:after="240" w:line="240" w:lineRule="auto"/>
      <w:ind w:left="720" w:right="720" w:hanging="720"/>
    </w:pPr>
    <w:rPr>
      <w:rFonts w:ascii="t" w:hAnsi="t" w:cs="Times New Roman"/>
      <w:caps/>
      <w:sz w:val="24"/>
      <w:szCs w:val="24"/>
    </w:rPr>
  </w:style>
  <w:style w:type="paragraph" w:styleId="TOC2">
    <w:name w:val="toc 2"/>
    <w:basedOn w:val="Normal"/>
    <w:next w:val="Normal"/>
    <w:autoRedefine/>
    <w:uiPriority w:val="39"/>
    <w:rsid w:val="00C266C0"/>
    <w:pPr>
      <w:tabs>
        <w:tab w:val="left" w:pos="720"/>
        <w:tab w:val="left" w:pos="1440"/>
        <w:tab w:val="decimal" w:leader="dot" w:pos="8640"/>
      </w:tabs>
      <w:spacing w:after="240" w:line="240" w:lineRule="auto"/>
      <w:ind w:left="1440" w:hanging="720"/>
    </w:pPr>
    <w:rPr>
      <w:rFonts w:ascii="Times New Roman" w:hAnsi="Times New Roman" w:cs="Times New Roman"/>
      <w:sz w:val="24"/>
      <w:szCs w:val="24"/>
    </w:rPr>
  </w:style>
  <w:style w:type="character" w:customStyle="1" w:styleId="Heading2Char1">
    <w:name w:val="Heading 2 Char1"/>
    <w:link w:val="Heading2"/>
    <w:uiPriority w:val="99"/>
    <w:locked/>
    <w:rsid w:val="00AA1CB9"/>
    <w:rPr>
      <w:rFonts w:ascii="Times New Roman Bold" w:hAnsi="Times New Roman Bold" w:cs="Times New Roman Bold"/>
      <w:b/>
      <w:bCs/>
      <w:sz w:val="24"/>
      <w:szCs w:val="24"/>
    </w:rPr>
  </w:style>
  <w:style w:type="table" w:styleId="TableGrid">
    <w:name w:val="Table Grid"/>
    <w:basedOn w:val="TableNormal"/>
    <w:uiPriority w:val="99"/>
    <w:locked/>
    <w:rsid w:val="007210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Normal"/>
    <w:next w:val="Normal"/>
    <w:autoRedefine/>
    <w:uiPriority w:val="39"/>
    <w:locked/>
    <w:rsid w:val="00C266C0"/>
    <w:pPr>
      <w:tabs>
        <w:tab w:val="left" w:pos="720"/>
        <w:tab w:val="decimal" w:leader="dot" w:pos="8640"/>
      </w:tabs>
      <w:spacing w:after="240" w:line="240" w:lineRule="auto"/>
      <w:ind w:left="720"/>
    </w:pPr>
    <w:rPr>
      <w:rFonts w:ascii="Times New Roman" w:hAnsi="Times New Roman" w:cs="Times New Roman"/>
      <w:sz w:val="24"/>
      <w:szCs w:val="24"/>
    </w:rPr>
  </w:style>
  <w:style w:type="character" w:styleId="FollowedHyperlink">
    <w:name w:val="FollowedHyperlink"/>
    <w:basedOn w:val="DefaultParagraphFont"/>
    <w:uiPriority w:val="99"/>
    <w:semiHidden/>
    <w:rsid w:val="009C2E1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4487">
      <w:marLeft w:val="0"/>
      <w:marRight w:val="0"/>
      <w:marTop w:val="0"/>
      <w:marBottom w:val="0"/>
      <w:divBdr>
        <w:top w:val="none" w:sz="0" w:space="0" w:color="auto"/>
        <w:left w:val="none" w:sz="0" w:space="0" w:color="auto"/>
        <w:bottom w:val="none" w:sz="0" w:space="0" w:color="auto"/>
        <w:right w:val="none" w:sz="0" w:space="0" w:color="auto"/>
      </w:divBdr>
      <w:divsChild>
        <w:div w:id="128474485">
          <w:marLeft w:val="0"/>
          <w:marRight w:val="-5040"/>
          <w:marTop w:val="0"/>
          <w:marBottom w:val="0"/>
          <w:divBdr>
            <w:top w:val="none" w:sz="0" w:space="0" w:color="auto"/>
            <w:left w:val="none" w:sz="0" w:space="0" w:color="auto"/>
            <w:bottom w:val="none" w:sz="0" w:space="0" w:color="auto"/>
            <w:right w:val="none" w:sz="0" w:space="0" w:color="auto"/>
          </w:divBdr>
          <w:divsChild>
            <w:div w:id="128474484">
              <w:marLeft w:val="0"/>
              <w:marRight w:val="5040"/>
              <w:marTop w:val="0"/>
              <w:marBottom w:val="0"/>
              <w:divBdr>
                <w:top w:val="none" w:sz="0" w:space="0" w:color="auto"/>
                <w:left w:val="none" w:sz="0" w:space="0" w:color="auto"/>
                <w:bottom w:val="none" w:sz="0" w:space="0" w:color="auto"/>
                <w:right w:val="none" w:sz="0" w:space="0" w:color="auto"/>
              </w:divBdr>
              <w:divsChild>
                <w:div w:id="1284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io@occ.state.oh.us" TargetMode="External"/><Relationship Id="rId13" Type="http://schemas.openxmlformats.org/officeDocument/2006/relationships/header" Target="header3.xml"/><Relationship Id="rId18" Type="http://schemas.openxmlformats.org/officeDocument/2006/relationships/hyperlink" Target="mailto:william.wright@puc.state.oh.us" TargetMode="External"/><Relationship Id="rId26" Type="http://schemas.openxmlformats.org/officeDocument/2006/relationships/hyperlink" Target="mailto:mhpetricoff@vorys.com" TargetMode="External"/><Relationship Id="rId3" Type="http://schemas.microsoft.com/office/2007/relationships/stylesWithEffects" Target="stylesWithEffects.xml"/><Relationship Id="rId21" Type="http://schemas.openxmlformats.org/officeDocument/2006/relationships/hyperlink" Target="mailto:Jeanne.kingery@duke-energy.com" TargetMode="External"/><Relationship Id="rId34" Type="http://schemas.openxmlformats.org/officeDocument/2006/relationships/hyperlink" Target="mailto:bleslie@nisource.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erio@occ.state.oh.us" TargetMode="External"/><Relationship Id="rId25" Type="http://schemas.openxmlformats.org/officeDocument/2006/relationships/hyperlink" Target="mailto:Garv.A.Jeffries@dom.com" TargetMode="External"/><Relationship Id="rId33" Type="http://schemas.openxmlformats.org/officeDocument/2006/relationships/hyperlink" Target="mailto:sseiple@nisource.co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cmooney2@columbus.rr.com" TargetMode="External"/><Relationship Id="rId29" Type="http://schemas.openxmlformats.org/officeDocument/2006/relationships/hyperlink" Target="mailto:campbell@whitt-sturtevant.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BarthRoyer@aol.com" TargetMode="External"/><Relationship Id="rId32" Type="http://schemas.openxmlformats.org/officeDocument/2006/relationships/hyperlink" Target="mailto:vparisi@igsenergy.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Elizabeth.watts@duke-energy.com" TargetMode="External"/><Relationship Id="rId28" Type="http://schemas.openxmlformats.org/officeDocument/2006/relationships/hyperlink" Target="mailto:whitt@whitt-sturtevant.com"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Katie.stenman@puc.state.oh.us" TargetMode="External"/><Relationship Id="rId31" Type="http://schemas.openxmlformats.org/officeDocument/2006/relationships/hyperlink" Target="mailto:mswhite@igsenergy.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Amy.spiller@duke-energy.com" TargetMode="External"/><Relationship Id="rId27" Type="http://schemas.openxmlformats.org/officeDocument/2006/relationships/hyperlink" Target="mailto:smhoward@vorys.com" TargetMode="External"/><Relationship Id="rId30" Type="http://schemas.openxmlformats.org/officeDocument/2006/relationships/hyperlink" Target="mailto:williams@whitt-sturtevant.com" TargetMode="Externa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8263</Words>
  <Characters>46704</Characters>
  <Application>Microsoft Office Word</Application>
  <DocSecurity>0</DocSecurity>
  <Lines>852</Lines>
  <Paragraphs>270</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54968</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2013-02-06T19:49:00Z</cp:lastPrinted>
  <dcterms:created xsi:type="dcterms:W3CDTF">2013-02-06T20:47:00Z</dcterms:created>
  <dcterms:modified xsi:type="dcterms:W3CDTF">2013-02-06T20:47:00Z</dcterms:modified>
  <cp:category> </cp:category>
  <cp:contentStatus> </cp:contentStatus>
</cp:coreProperties>
</file>