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31" w:rsidRDefault="00431F5D">
      <w:pPr>
        <w:spacing w:line="240" w:lineRule="auto"/>
        <w:jc w:val="center"/>
        <w:rPr>
          <w:rFonts w:ascii="Arial" w:hAnsi="Arial" w:cs="Arial"/>
          <w:b/>
          <w:smallCaps/>
          <w:sz w:val="32"/>
          <w:szCs w:val="32"/>
        </w:rPr>
      </w:pPr>
      <w:r>
        <w:rPr>
          <w:rFonts w:ascii="Arial" w:hAnsi="Arial" w:cs="Arial"/>
          <w:b/>
          <w:smallCaps/>
          <w:sz w:val="32"/>
          <w:szCs w:val="32"/>
        </w:rPr>
        <w:t>Before</w:t>
      </w:r>
    </w:p>
    <w:p w:rsidR="00824431" w:rsidRDefault="00431F5D">
      <w:pPr>
        <w:spacing w:line="240" w:lineRule="auto"/>
        <w:jc w:val="center"/>
        <w:rPr>
          <w:rFonts w:ascii="Arial" w:hAnsi="Arial" w:cs="Arial"/>
          <w:b/>
          <w:smallCaps/>
          <w:sz w:val="32"/>
          <w:szCs w:val="32"/>
        </w:rPr>
      </w:pPr>
      <w:r>
        <w:rPr>
          <w:rFonts w:ascii="Arial" w:hAnsi="Arial" w:cs="Arial"/>
          <w:b/>
          <w:smallCaps/>
          <w:sz w:val="32"/>
          <w:szCs w:val="32"/>
        </w:rPr>
        <w:t>The Public Utilities Commission of Ohio</w:t>
      </w:r>
    </w:p>
    <w:p w:rsidR="00824431" w:rsidRDefault="00824431">
      <w:pPr>
        <w:autoSpaceDE w:val="0"/>
        <w:autoSpaceDN w:val="0"/>
        <w:adjustRightInd w:val="0"/>
        <w:spacing w:line="240" w:lineRule="auto"/>
        <w:rPr>
          <w:rFonts w:ascii="Arial" w:hAnsi="Arial" w:cs="Arial"/>
          <w:szCs w:val="24"/>
        </w:rPr>
      </w:pPr>
    </w:p>
    <w:p w:rsidR="00824431" w:rsidRDefault="00824431">
      <w:pPr>
        <w:autoSpaceDE w:val="0"/>
        <w:autoSpaceDN w:val="0"/>
        <w:adjustRightInd w:val="0"/>
        <w:spacing w:line="240" w:lineRule="auto"/>
        <w:rPr>
          <w:rFonts w:ascii="Arial" w:hAnsi="Arial" w:cs="Arial"/>
          <w:szCs w:val="24"/>
        </w:rPr>
      </w:pP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In the Matter of the Application of</w:t>
      </w:r>
      <w:r>
        <w:rPr>
          <w:rFonts w:ascii="Arial" w:hAnsi="Arial" w:cs="Arial"/>
          <w:szCs w:val="24"/>
        </w:rPr>
        <w:tab/>
        <w:t>)</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 xml:space="preserve">Ohio Power Company to Adopt a </w:t>
      </w:r>
      <w:r>
        <w:rPr>
          <w:rFonts w:ascii="Arial" w:hAnsi="Arial" w:cs="Arial"/>
          <w:szCs w:val="24"/>
        </w:rPr>
        <w:tab/>
        <w:t>)</w:t>
      </w:r>
      <w:r>
        <w:rPr>
          <w:rFonts w:ascii="Arial" w:hAnsi="Arial" w:cs="Arial"/>
          <w:szCs w:val="24"/>
        </w:rPr>
        <w:tab/>
        <w:t>Case No. 14-1186-EL-RDR</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Final Implementation Plan for the</w:t>
      </w:r>
      <w:r>
        <w:rPr>
          <w:rFonts w:ascii="Arial" w:hAnsi="Arial" w:cs="Arial"/>
          <w:szCs w:val="24"/>
        </w:rPr>
        <w:tab/>
        <w:t>)</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Retail Stability Rider</w:t>
      </w:r>
      <w:r>
        <w:rPr>
          <w:rFonts w:ascii="Arial" w:hAnsi="Arial" w:cs="Arial"/>
          <w:szCs w:val="24"/>
        </w:rPr>
        <w:tab/>
        <w:t>)</w:t>
      </w:r>
    </w:p>
    <w:p w:rsidR="00824431" w:rsidRDefault="00824431">
      <w:pPr>
        <w:tabs>
          <w:tab w:val="left" w:pos="-1440"/>
          <w:tab w:val="left" w:pos="-720"/>
          <w:tab w:val="left" w:pos="4680"/>
          <w:tab w:val="left" w:pos="5760"/>
          <w:tab w:val="center" w:pos="7200"/>
        </w:tabs>
        <w:overflowPunct w:val="0"/>
        <w:autoSpaceDE w:val="0"/>
        <w:autoSpaceDN w:val="0"/>
        <w:adjustRightInd w:val="0"/>
        <w:spacing w:line="240" w:lineRule="auto"/>
        <w:rPr>
          <w:rFonts w:ascii="Arial" w:hAnsi="Arial" w:cs="Arial"/>
          <w:szCs w:val="24"/>
        </w:rPr>
      </w:pPr>
    </w:p>
    <w:p w:rsidR="00824431" w:rsidRDefault="00824431">
      <w:pPr>
        <w:tabs>
          <w:tab w:val="left" w:pos="-1440"/>
          <w:tab w:val="left" w:pos="-720"/>
          <w:tab w:val="left" w:pos="5040"/>
          <w:tab w:val="center" w:pos="7200"/>
        </w:tabs>
        <w:overflowPunct w:val="0"/>
        <w:autoSpaceDE w:val="0"/>
        <w:autoSpaceDN w:val="0"/>
        <w:adjustRightInd w:val="0"/>
        <w:spacing w:line="240" w:lineRule="auto"/>
        <w:rPr>
          <w:rFonts w:ascii="Arial" w:hAnsi="Arial" w:cs="Arial"/>
          <w:smallCaps/>
          <w:szCs w:val="24"/>
        </w:rPr>
      </w:pPr>
    </w:p>
    <w:p w:rsidR="00824431" w:rsidRDefault="00824431">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ascii="Arial" w:hAnsi="Arial" w:cs="Arial"/>
          <w:b/>
          <w:smallCaps/>
          <w:szCs w:val="24"/>
        </w:rPr>
      </w:pPr>
    </w:p>
    <w:p w:rsidR="00824431" w:rsidRDefault="00431F5D">
      <w:pPr>
        <w:pBdr>
          <w:bottom w:val="single" w:sz="12" w:space="1" w:color="auto"/>
        </w:pBdr>
        <w:spacing w:line="240" w:lineRule="auto"/>
        <w:jc w:val="center"/>
        <w:rPr>
          <w:rFonts w:ascii="Arial" w:hAnsi="Arial" w:cs="Arial"/>
          <w:b/>
          <w:smallCaps/>
          <w:sz w:val="32"/>
          <w:szCs w:val="32"/>
        </w:rPr>
      </w:pPr>
      <w:r>
        <w:rPr>
          <w:rFonts w:ascii="Arial" w:hAnsi="Arial" w:cs="Arial"/>
          <w:b/>
          <w:smallCaps/>
          <w:sz w:val="32"/>
          <w:szCs w:val="32"/>
        </w:rPr>
        <w:t>Industrial Energy Users-Ohio’s Reply in Support of an Order Permitting the Filing of Additional Authority in Support of its Motion to Dismiss</w:t>
      </w:r>
    </w:p>
    <w:p w:rsidR="00824431" w:rsidRDefault="00824431">
      <w:pPr>
        <w:pBdr>
          <w:bottom w:val="single" w:sz="12" w:space="1" w:color="auto"/>
        </w:pBdr>
        <w:spacing w:line="240" w:lineRule="auto"/>
        <w:jc w:val="center"/>
        <w:rPr>
          <w:rFonts w:ascii="Arial" w:hAnsi="Arial" w:cs="Arial"/>
          <w:b/>
          <w:smallCaps/>
          <w:sz w:val="32"/>
          <w:szCs w:val="32"/>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824431">
      <w:pPr>
        <w:spacing w:line="240" w:lineRule="auto"/>
        <w:rPr>
          <w:rFonts w:ascii="Arial" w:hAnsi="Arial" w:cs="Arial"/>
          <w:szCs w:val="24"/>
        </w:rPr>
      </w:pPr>
    </w:p>
    <w:p w:rsidR="00824431" w:rsidRDefault="00431F5D">
      <w:pPr>
        <w:spacing w:line="240" w:lineRule="auto"/>
        <w:ind w:left="4320"/>
        <w:rPr>
          <w:rFonts w:ascii="Arial" w:hAnsi="Arial" w:cs="Arial"/>
          <w:szCs w:val="24"/>
        </w:rPr>
      </w:pPr>
      <w:r>
        <w:rPr>
          <w:rFonts w:ascii="Arial" w:hAnsi="Arial" w:cs="Arial"/>
          <w:szCs w:val="24"/>
        </w:rPr>
        <w:t xml:space="preserve">Samuel C. Randazzo (Counsel of Record) </w:t>
      </w:r>
    </w:p>
    <w:p w:rsidR="00824431" w:rsidRDefault="00431F5D">
      <w:pPr>
        <w:tabs>
          <w:tab w:val="right" w:pos="8640"/>
        </w:tabs>
        <w:spacing w:line="240" w:lineRule="auto"/>
        <w:ind w:left="4320"/>
        <w:rPr>
          <w:rFonts w:ascii="Arial" w:hAnsi="Arial" w:cs="Arial"/>
          <w:szCs w:val="24"/>
        </w:rPr>
      </w:pPr>
      <w:r>
        <w:rPr>
          <w:rFonts w:ascii="Arial" w:hAnsi="Arial" w:cs="Arial"/>
          <w:szCs w:val="24"/>
        </w:rPr>
        <w:t xml:space="preserve">  (Reg. No. 0016386)</w:t>
      </w:r>
    </w:p>
    <w:p w:rsidR="00824431" w:rsidRDefault="00431F5D">
      <w:pPr>
        <w:widowControl w:val="0"/>
        <w:spacing w:line="240" w:lineRule="auto"/>
        <w:ind w:left="4320"/>
        <w:rPr>
          <w:rFonts w:ascii="Arial" w:hAnsi="Arial" w:cs="Arial"/>
          <w:bCs/>
          <w:szCs w:val="24"/>
        </w:rPr>
      </w:pPr>
      <w:r>
        <w:rPr>
          <w:rFonts w:ascii="Arial" w:hAnsi="Arial" w:cs="Arial"/>
          <w:bCs/>
          <w:szCs w:val="24"/>
        </w:rPr>
        <w:t>Frank P. Darr (Reg. No. 0025469)</w:t>
      </w:r>
    </w:p>
    <w:p w:rsidR="00824431" w:rsidRDefault="00431F5D">
      <w:pPr>
        <w:widowControl w:val="0"/>
        <w:spacing w:line="240" w:lineRule="auto"/>
        <w:ind w:left="4320"/>
        <w:rPr>
          <w:rFonts w:ascii="Arial" w:hAnsi="Arial" w:cs="Arial"/>
          <w:b/>
          <w:bCs/>
          <w:szCs w:val="24"/>
        </w:rPr>
      </w:pPr>
      <w:r>
        <w:rPr>
          <w:rFonts w:ascii="Arial" w:hAnsi="Arial" w:cs="Arial"/>
          <w:bCs/>
          <w:szCs w:val="24"/>
        </w:rPr>
        <w:t>Matthew R. Pritchard (Reg. No. 0088070)</w:t>
      </w:r>
    </w:p>
    <w:p w:rsidR="00824431" w:rsidRDefault="00431F5D">
      <w:pPr>
        <w:widowControl w:val="0"/>
        <w:spacing w:line="240" w:lineRule="auto"/>
        <w:ind w:left="4320"/>
        <w:rPr>
          <w:rFonts w:ascii="Arial" w:hAnsi="Arial" w:cs="Arial"/>
          <w:b/>
          <w:bCs/>
          <w:smallCaps/>
          <w:szCs w:val="24"/>
        </w:rPr>
      </w:pPr>
      <w:r>
        <w:rPr>
          <w:rFonts w:ascii="Arial" w:hAnsi="Arial" w:cs="Arial"/>
          <w:bCs/>
          <w:smallCaps/>
          <w:szCs w:val="24"/>
        </w:rPr>
        <w:t>McNees Wallace &amp; Nurick LLC</w:t>
      </w:r>
    </w:p>
    <w:p w:rsidR="00824431" w:rsidRDefault="00431F5D">
      <w:pPr>
        <w:widowControl w:val="0"/>
        <w:spacing w:line="240" w:lineRule="auto"/>
        <w:ind w:left="4320"/>
        <w:rPr>
          <w:rFonts w:ascii="Arial" w:hAnsi="Arial" w:cs="Arial"/>
          <w:b/>
          <w:bCs/>
          <w:szCs w:val="24"/>
        </w:rPr>
      </w:pPr>
      <w:r>
        <w:rPr>
          <w:rFonts w:ascii="Arial" w:hAnsi="Arial" w:cs="Arial"/>
          <w:bCs/>
          <w:szCs w:val="24"/>
        </w:rPr>
        <w:t>21 East State Street, 17</w:t>
      </w:r>
      <w:r>
        <w:rPr>
          <w:rFonts w:ascii="Arial" w:hAnsi="Arial" w:cs="Arial"/>
          <w:bCs/>
          <w:szCs w:val="24"/>
          <w:vertAlign w:val="superscript"/>
        </w:rPr>
        <w:t>TH</w:t>
      </w:r>
      <w:r>
        <w:rPr>
          <w:rFonts w:ascii="Arial" w:hAnsi="Arial" w:cs="Arial"/>
          <w:bCs/>
          <w:szCs w:val="24"/>
        </w:rPr>
        <w:t xml:space="preserve"> Floor</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szCs w:val="24"/>
        </w:rPr>
      </w:pPr>
      <w:r>
        <w:rPr>
          <w:rFonts w:ascii="Arial" w:hAnsi="Arial" w:cs="Arial"/>
          <w:szCs w:val="24"/>
        </w:rPr>
        <w:t>Columbus, OH  43215</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szCs w:val="24"/>
        </w:rPr>
      </w:pPr>
      <w:r>
        <w:rPr>
          <w:rFonts w:ascii="Arial" w:hAnsi="Arial" w:cs="Arial"/>
          <w:szCs w:val="24"/>
        </w:rPr>
        <w:t>Telephone:  (614) 469-8000</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Telecopier:  (614) 469-4653</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szCs w:val="24"/>
        </w:rPr>
        <w:t>sam@mwncmh.com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szCs w:val="24"/>
        </w:rPr>
        <w:t>fdarr@mwncmh.com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smallCaps/>
          <w:color w:val="000000" w:themeColor="text1"/>
          <w:szCs w:val="24"/>
        </w:rPr>
      </w:pPr>
      <w:r>
        <w:rPr>
          <w:rFonts w:ascii="Arial" w:hAnsi="Arial" w:cs="Arial"/>
          <w:color w:val="000000" w:themeColor="text1"/>
          <w:szCs w:val="24"/>
        </w:rPr>
        <w:t>mpritchard@mwncmh.com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824431">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b/>
          <w:smallCaps/>
          <w:szCs w:val="24"/>
        </w:rPr>
      </w:pPr>
    </w:p>
    <w:p w:rsidR="00824431" w:rsidRDefault="00431F5D">
      <w:pPr>
        <w:spacing w:line="240" w:lineRule="auto"/>
        <w:ind w:left="4320" w:hanging="4320"/>
        <w:rPr>
          <w:rFonts w:ascii="Arial" w:hAnsi="Arial" w:cs="Arial"/>
          <w:b/>
          <w:szCs w:val="24"/>
        </w:rPr>
      </w:pPr>
      <w:r>
        <w:rPr>
          <w:rFonts w:ascii="Arial" w:hAnsi="Arial" w:cs="Arial"/>
          <w:b/>
          <w:szCs w:val="24"/>
        </w:rPr>
        <w:t>October 9, 2014</w:t>
      </w:r>
      <w:r>
        <w:rPr>
          <w:rFonts w:ascii="Arial" w:hAnsi="Arial" w:cs="Arial"/>
          <w:b/>
          <w:szCs w:val="24"/>
        </w:rPr>
        <w:tab/>
        <w:t>Attorneys for Industrial Energy Users-Ohio</w:t>
      </w:r>
    </w:p>
    <w:p w:rsidR="00824431" w:rsidRDefault="00824431">
      <w:pPr>
        <w:spacing w:line="240" w:lineRule="auto"/>
        <w:jc w:val="center"/>
        <w:rPr>
          <w:rFonts w:ascii="Arial" w:hAnsi="Arial" w:cs="Arial"/>
          <w:b/>
          <w:smallCaps/>
          <w:szCs w:val="24"/>
        </w:rPr>
        <w:sectPr w:rsidR="00824431">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pgNumType w:start="1"/>
          <w:cols w:space="720"/>
          <w:titlePg/>
          <w:docGrid w:linePitch="326"/>
        </w:sectPr>
      </w:pPr>
    </w:p>
    <w:p w:rsidR="00824431" w:rsidRDefault="00431F5D">
      <w:pPr>
        <w:spacing w:line="240" w:lineRule="auto"/>
        <w:jc w:val="center"/>
        <w:rPr>
          <w:rFonts w:ascii="Arial" w:hAnsi="Arial" w:cs="Arial"/>
          <w:b/>
          <w:smallCaps/>
          <w:sz w:val="28"/>
          <w:szCs w:val="28"/>
        </w:rPr>
      </w:pPr>
      <w:r>
        <w:rPr>
          <w:rFonts w:ascii="Arial" w:hAnsi="Arial" w:cs="Arial"/>
          <w:b/>
          <w:smallCaps/>
          <w:sz w:val="28"/>
          <w:szCs w:val="28"/>
        </w:rPr>
        <w:lastRenderedPageBreak/>
        <w:t>Before</w:t>
      </w:r>
    </w:p>
    <w:p w:rsidR="00824431" w:rsidRDefault="00431F5D">
      <w:pPr>
        <w:spacing w:line="240" w:lineRule="auto"/>
        <w:jc w:val="center"/>
        <w:rPr>
          <w:rFonts w:ascii="Arial" w:hAnsi="Arial" w:cs="Arial"/>
          <w:b/>
          <w:smallCaps/>
          <w:sz w:val="28"/>
          <w:szCs w:val="28"/>
        </w:rPr>
      </w:pPr>
      <w:r>
        <w:rPr>
          <w:rFonts w:ascii="Arial" w:hAnsi="Arial" w:cs="Arial"/>
          <w:b/>
          <w:smallCaps/>
          <w:sz w:val="28"/>
          <w:szCs w:val="28"/>
        </w:rPr>
        <w:t>The Public Utilities Commission of Ohio</w:t>
      </w:r>
    </w:p>
    <w:p w:rsidR="00824431" w:rsidRDefault="00824431">
      <w:pPr>
        <w:autoSpaceDE w:val="0"/>
        <w:autoSpaceDN w:val="0"/>
        <w:adjustRightInd w:val="0"/>
        <w:spacing w:line="240" w:lineRule="auto"/>
        <w:rPr>
          <w:rFonts w:ascii="Arial" w:hAnsi="Arial" w:cs="Arial"/>
          <w:szCs w:val="24"/>
        </w:rPr>
      </w:pPr>
    </w:p>
    <w:p w:rsidR="00824431" w:rsidRDefault="00824431">
      <w:pPr>
        <w:autoSpaceDE w:val="0"/>
        <w:autoSpaceDN w:val="0"/>
        <w:adjustRightInd w:val="0"/>
        <w:spacing w:line="240" w:lineRule="auto"/>
        <w:rPr>
          <w:rFonts w:ascii="Arial" w:hAnsi="Arial" w:cs="Arial"/>
          <w:szCs w:val="24"/>
        </w:rPr>
      </w:pP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In the Matter of the Application of</w:t>
      </w:r>
      <w:r>
        <w:rPr>
          <w:rFonts w:ascii="Arial" w:hAnsi="Arial" w:cs="Arial"/>
          <w:szCs w:val="24"/>
        </w:rPr>
        <w:tab/>
        <w:t>)</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 xml:space="preserve">Ohio Power Company to Adopt a </w:t>
      </w:r>
      <w:r>
        <w:rPr>
          <w:rFonts w:ascii="Arial" w:hAnsi="Arial" w:cs="Arial"/>
          <w:szCs w:val="24"/>
        </w:rPr>
        <w:tab/>
        <w:t>)</w:t>
      </w:r>
      <w:r>
        <w:rPr>
          <w:rFonts w:ascii="Arial" w:hAnsi="Arial" w:cs="Arial"/>
          <w:szCs w:val="24"/>
        </w:rPr>
        <w:tab/>
        <w:t>Case No. 14-1186-EL-RDR</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Final Implementation Plan for the</w:t>
      </w:r>
      <w:r>
        <w:rPr>
          <w:rFonts w:ascii="Arial" w:hAnsi="Arial" w:cs="Arial"/>
          <w:szCs w:val="24"/>
        </w:rPr>
        <w:tab/>
        <w:t>)</w:t>
      </w:r>
    </w:p>
    <w:p w:rsidR="00824431" w:rsidRDefault="00431F5D">
      <w:pPr>
        <w:tabs>
          <w:tab w:val="left" w:pos="-1440"/>
          <w:tab w:val="left" w:pos="-720"/>
          <w:tab w:val="left" w:pos="4320"/>
          <w:tab w:val="left" w:pos="4860"/>
        </w:tabs>
        <w:overflowPunct w:val="0"/>
        <w:autoSpaceDE w:val="0"/>
        <w:autoSpaceDN w:val="0"/>
        <w:adjustRightInd w:val="0"/>
        <w:spacing w:line="240" w:lineRule="auto"/>
        <w:rPr>
          <w:rFonts w:ascii="Arial" w:hAnsi="Arial" w:cs="Arial"/>
          <w:szCs w:val="24"/>
        </w:rPr>
      </w:pPr>
      <w:r>
        <w:rPr>
          <w:rFonts w:ascii="Arial" w:hAnsi="Arial" w:cs="Arial"/>
          <w:szCs w:val="24"/>
        </w:rPr>
        <w:t>Retail Stability Rider</w:t>
      </w:r>
      <w:r>
        <w:rPr>
          <w:rFonts w:ascii="Arial" w:hAnsi="Arial" w:cs="Arial"/>
          <w:szCs w:val="24"/>
        </w:rPr>
        <w:tab/>
        <w:t>)</w:t>
      </w:r>
    </w:p>
    <w:p w:rsidR="00824431" w:rsidRDefault="00824431">
      <w:pPr>
        <w:tabs>
          <w:tab w:val="left" w:pos="-1440"/>
          <w:tab w:val="left" w:pos="-720"/>
          <w:tab w:val="left" w:pos="4680"/>
          <w:tab w:val="left" w:pos="5760"/>
          <w:tab w:val="center" w:pos="7200"/>
        </w:tabs>
        <w:overflowPunct w:val="0"/>
        <w:autoSpaceDE w:val="0"/>
        <w:autoSpaceDN w:val="0"/>
        <w:adjustRightInd w:val="0"/>
        <w:spacing w:line="240" w:lineRule="auto"/>
        <w:rPr>
          <w:rFonts w:ascii="Arial" w:hAnsi="Arial" w:cs="Arial"/>
          <w:szCs w:val="24"/>
        </w:rPr>
      </w:pPr>
    </w:p>
    <w:p w:rsidR="00824431" w:rsidRDefault="00824431">
      <w:pPr>
        <w:tabs>
          <w:tab w:val="left" w:pos="-1440"/>
          <w:tab w:val="left" w:pos="-720"/>
          <w:tab w:val="left" w:pos="5040"/>
          <w:tab w:val="center" w:pos="7200"/>
        </w:tabs>
        <w:overflowPunct w:val="0"/>
        <w:autoSpaceDE w:val="0"/>
        <w:autoSpaceDN w:val="0"/>
        <w:adjustRightInd w:val="0"/>
        <w:spacing w:line="240" w:lineRule="auto"/>
        <w:rPr>
          <w:rFonts w:ascii="Arial" w:hAnsi="Arial" w:cs="Arial"/>
          <w:smallCaps/>
          <w:szCs w:val="24"/>
        </w:rPr>
      </w:pPr>
    </w:p>
    <w:p w:rsidR="00824431" w:rsidRDefault="00824431">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ascii="Arial" w:hAnsi="Arial" w:cs="Arial"/>
          <w:b/>
          <w:smallCaps/>
          <w:szCs w:val="24"/>
        </w:rPr>
      </w:pPr>
    </w:p>
    <w:p w:rsidR="004005BD" w:rsidRDefault="00431F5D">
      <w:pPr>
        <w:pBdr>
          <w:bottom w:val="single" w:sz="12" w:space="1" w:color="auto"/>
        </w:pBdr>
        <w:spacing w:line="240" w:lineRule="auto"/>
        <w:jc w:val="center"/>
        <w:rPr>
          <w:rFonts w:ascii="Arial" w:hAnsi="Arial" w:cs="Arial"/>
          <w:b/>
          <w:smallCaps/>
          <w:sz w:val="28"/>
          <w:szCs w:val="28"/>
        </w:rPr>
      </w:pPr>
      <w:r>
        <w:rPr>
          <w:rFonts w:ascii="Arial" w:hAnsi="Arial" w:cs="Arial"/>
          <w:b/>
          <w:smallCaps/>
          <w:sz w:val="28"/>
          <w:szCs w:val="28"/>
        </w:rPr>
        <w:t xml:space="preserve">Industrial Energy Users-Ohio’s Reply in Support of an </w:t>
      </w:r>
    </w:p>
    <w:p w:rsidR="004005BD" w:rsidRDefault="00431F5D">
      <w:pPr>
        <w:pBdr>
          <w:bottom w:val="single" w:sz="12" w:space="1" w:color="auto"/>
        </w:pBdr>
        <w:spacing w:line="240" w:lineRule="auto"/>
        <w:jc w:val="center"/>
        <w:rPr>
          <w:rFonts w:ascii="Arial" w:hAnsi="Arial" w:cs="Arial"/>
          <w:b/>
          <w:smallCaps/>
          <w:sz w:val="28"/>
          <w:szCs w:val="28"/>
        </w:rPr>
      </w:pPr>
      <w:r>
        <w:rPr>
          <w:rFonts w:ascii="Arial" w:hAnsi="Arial" w:cs="Arial"/>
          <w:b/>
          <w:smallCaps/>
          <w:sz w:val="28"/>
          <w:szCs w:val="28"/>
        </w:rPr>
        <w:t xml:space="preserve">Order Permitting the Filing of </w:t>
      </w:r>
      <w:r w:rsidR="004005BD">
        <w:rPr>
          <w:rFonts w:ascii="Arial" w:hAnsi="Arial" w:cs="Arial"/>
          <w:b/>
          <w:smallCaps/>
          <w:sz w:val="28"/>
          <w:szCs w:val="28"/>
        </w:rPr>
        <w:t>Additional Authority in Support</w:t>
      </w:r>
    </w:p>
    <w:p w:rsidR="00824431" w:rsidRDefault="00431F5D">
      <w:pPr>
        <w:pBdr>
          <w:bottom w:val="single" w:sz="12" w:space="1" w:color="auto"/>
        </w:pBdr>
        <w:spacing w:line="240" w:lineRule="auto"/>
        <w:jc w:val="center"/>
        <w:rPr>
          <w:rFonts w:ascii="Arial" w:hAnsi="Arial" w:cs="Arial"/>
          <w:b/>
          <w:smallCaps/>
          <w:sz w:val="28"/>
          <w:szCs w:val="28"/>
        </w:rPr>
      </w:pPr>
      <w:r>
        <w:rPr>
          <w:rFonts w:ascii="Arial" w:hAnsi="Arial" w:cs="Arial"/>
          <w:b/>
          <w:smallCaps/>
          <w:sz w:val="28"/>
          <w:szCs w:val="28"/>
        </w:rPr>
        <w:t>of its Motion to Dismiss</w:t>
      </w:r>
    </w:p>
    <w:p w:rsidR="00824431" w:rsidRDefault="00824431">
      <w:pPr>
        <w:pBdr>
          <w:bottom w:val="single" w:sz="12" w:space="1" w:color="auto"/>
        </w:pBdr>
        <w:spacing w:line="240" w:lineRule="auto"/>
        <w:jc w:val="center"/>
        <w:rPr>
          <w:rFonts w:ascii="Arial" w:hAnsi="Arial" w:cs="Arial"/>
          <w:b/>
          <w:smallCaps/>
          <w:sz w:val="28"/>
          <w:szCs w:val="28"/>
        </w:rPr>
      </w:pPr>
    </w:p>
    <w:p w:rsidR="00824431" w:rsidRDefault="00824431">
      <w:pPr>
        <w:spacing w:line="240" w:lineRule="auto"/>
        <w:jc w:val="center"/>
        <w:rPr>
          <w:rFonts w:ascii="Arial" w:hAnsi="Arial" w:cs="Arial"/>
          <w:szCs w:val="24"/>
        </w:rPr>
      </w:pPr>
    </w:p>
    <w:p w:rsidR="00824431" w:rsidRDefault="00431F5D">
      <w:pPr>
        <w:jc w:val="both"/>
        <w:rPr>
          <w:rFonts w:ascii="Arial" w:hAnsi="Arial" w:cs="Arial"/>
        </w:rPr>
      </w:pPr>
      <w:r>
        <w:rPr>
          <w:rFonts w:ascii="Arial" w:hAnsi="Arial" w:cs="Arial"/>
          <w:b/>
        </w:rPr>
        <w:tab/>
      </w:r>
      <w:r>
        <w:rPr>
          <w:rFonts w:ascii="Arial" w:hAnsi="Arial" w:cs="Arial"/>
        </w:rPr>
        <w:t>On August 19, 2014, Industrial Energy Users-Ohio (“IEU-Ohio”) filed a Motion to Dismiss Ohio Power Company’s (“AEP-Ohio”) application in the above-captioned matter on grounds that the Public Utilities Commission of Ohio (“Commission”) lacked jurisdiction to approve AEP-Ohio’s application on both state and federal grounds.  In a Memorandum Contra filed on September 3, 2014, AEP-Ohio expressed its opposition to IEU-Ohio’s Motion to Dismiss.  After IEU-Ohio filed its Reply in Support of its Motion to Dismiss, the United States Third Circuit Court of Appeals affirmed the decision of the United States District Court for the District of New Jersey</w:t>
      </w:r>
      <w:r w:rsidR="001875A4">
        <w:rPr>
          <w:rFonts w:ascii="Arial" w:hAnsi="Arial" w:cs="Arial"/>
        </w:rPr>
        <w:t>,</w:t>
      </w:r>
      <w:r>
        <w:rPr>
          <w:rFonts w:ascii="Arial" w:hAnsi="Arial" w:cs="Arial"/>
        </w:rPr>
        <w:t xml:space="preserve"> finding that a state commission was preempted by the Federal Power Act (“FPA”) from increasing the compensation of a generation owner for the provision of wholesale capacity.</w:t>
      </w:r>
      <w:r>
        <w:rPr>
          <w:rStyle w:val="FootnoteReference"/>
          <w:rFonts w:ascii="Arial" w:hAnsi="Arial" w:cs="Arial"/>
        </w:rPr>
        <w:footnoteReference w:id="1"/>
      </w:r>
      <w:r>
        <w:rPr>
          <w:rFonts w:ascii="Arial" w:hAnsi="Arial" w:cs="Arial"/>
        </w:rPr>
        <w:t xml:space="preserve">  Because the Commission’s rules do not expressly allow or prohibit the filing of additional authority in support of a motion, IEU-Ohio filed a Motion for an Order Permitting the Filing of Additional Authority in Support of its Motion to Dismiss (“Additional Authority Motion”) and attached the additional authority to its motion.</w:t>
      </w:r>
    </w:p>
    <w:p w:rsidR="00824431" w:rsidRDefault="00431F5D">
      <w:pPr>
        <w:jc w:val="both"/>
        <w:rPr>
          <w:rFonts w:ascii="Arial" w:hAnsi="Arial" w:cs="Arial"/>
        </w:rPr>
      </w:pPr>
      <w:r>
        <w:rPr>
          <w:rFonts w:ascii="Arial" w:hAnsi="Arial" w:cs="Arial"/>
        </w:rPr>
        <w:lastRenderedPageBreak/>
        <w:tab/>
        <w:t xml:space="preserve">On October 2, 2014, AEP-Ohio filed a Memorandum Contra to IEU-Ohio’s Additional Authority Motion (“Memo Contra”).  AEP-Ohio argues that the Additional Authority Motion should be denied because it contains surreply arguments which are not permitted by Rule 4901-1-12, Ohio Administrative Code (“O.A.C.”). It also repeats three arguments previously raised in its Memorandum Contra IEU-Ohio’s Motion to Dismiss:  that the preemption argument supported by the additional authority has already been litigated and the doctrine of </w:t>
      </w:r>
      <w:r>
        <w:rPr>
          <w:rFonts w:ascii="Arial" w:hAnsi="Arial" w:cs="Arial"/>
          <w:i/>
        </w:rPr>
        <w:t>res judicata</w:t>
      </w:r>
      <w:r>
        <w:rPr>
          <w:rFonts w:ascii="Arial" w:hAnsi="Arial" w:cs="Arial"/>
        </w:rPr>
        <w:t xml:space="preserve"> prevents the Commission from considering that argument in this case; that the Federal Energy Regulatory Commission (“FERC”) has already approved the Commission’s actions and </w:t>
      </w:r>
      <w:r w:rsidR="001B3453">
        <w:rPr>
          <w:rFonts w:ascii="Arial" w:hAnsi="Arial" w:cs="Arial"/>
        </w:rPr>
        <w:t xml:space="preserve">thus </w:t>
      </w:r>
      <w:r>
        <w:rPr>
          <w:rFonts w:ascii="Arial" w:hAnsi="Arial" w:cs="Arial"/>
        </w:rPr>
        <w:t>FERC’s approval defeats a preemption claim; and that if the Commission allows the additional authority to be filed it should be ignored as inapposite.  Because none of AEP-Ohio’s arguments ha</w:t>
      </w:r>
      <w:r w:rsidR="001B3453">
        <w:rPr>
          <w:rFonts w:ascii="Arial" w:hAnsi="Arial" w:cs="Arial"/>
        </w:rPr>
        <w:t>s</w:t>
      </w:r>
      <w:r>
        <w:rPr>
          <w:rFonts w:ascii="Arial" w:hAnsi="Arial" w:cs="Arial"/>
        </w:rPr>
        <w:t xml:space="preserve"> merit, IEU-Ohio’s Additional Authority Motion should be granted.</w:t>
      </w:r>
    </w:p>
    <w:p w:rsidR="00824431" w:rsidRDefault="00431F5D">
      <w:pPr>
        <w:jc w:val="both"/>
        <w:rPr>
          <w:rFonts w:ascii="Arial" w:hAnsi="Arial" w:cs="Arial"/>
        </w:rPr>
      </w:pPr>
      <w:r>
        <w:rPr>
          <w:rFonts w:ascii="Arial" w:hAnsi="Arial" w:cs="Arial"/>
        </w:rPr>
        <w:tab/>
        <w:t>Initially, AEP-Ohio argues that the Additional Authority Motion should be denied because it contains surreply arguments.  Clearly, IEU-Ohio has not sought to file a surreply.  Rather, it is aware of additional authority in support of its motion that it seeks to assure is before the Commission so that it can decide the Motion to Dismiss properly.</w:t>
      </w:r>
    </w:p>
    <w:p w:rsidR="00824431" w:rsidRDefault="00431F5D">
      <w:pPr>
        <w:jc w:val="both"/>
        <w:rPr>
          <w:rFonts w:ascii="Arial" w:hAnsi="Arial" w:cs="Arial"/>
        </w:rPr>
      </w:pPr>
      <w:r>
        <w:rPr>
          <w:rFonts w:ascii="Arial" w:hAnsi="Arial" w:cs="Arial"/>
        </w:rPr>
        <w:tab/>
        <w:t>Further, IEU-Ohio’s Motion and Memorandum in Support do not constitute an additional reply to the arguments advanced by AEP-Ohio.  Rather</w:t>
      </w:r>
      <w:r w:rsidR="001875A4">
        <w:rPr>
          <w:rFonts w:ascii="Arial" w:hAnsi="Arial" w:cs="Arial"/>
        </w:rPr>
        <w:t>,</w:t>
      </w:r>
      <w:r>
        <w:rPr>
          <w:rFonts w:ascii="Arial" w:hAnsi="Arial" w:cs="Arial"/>
        </w:rPr>
        <w:t xml:space="preserve"> they explain the context and relevance for seeking to file additional authority in support of its Motion to Dismiss.  In IEU-Ohio’s Memorandum in Support of the Additional Authority Motion, IEU-Ohio included a reference to its preemption argument and a brief description of the New Jersey District Court decision cited by IEU-Ohio in its Motion to Dismiss in order to lay the background as to why the additional authority (</w:t>
      </w:r>
      <w:r>
        <w:rPr>
          <w:rFonts w:ascii="Arial" w:hAnsi="Arial" w:cs="Arial"/>
          <w:i/>
        </w:rPr>
        <w:t>Solomon</w:t>
      </w:r>
      <w:r>
        <w:rPr>
          <w:rFonts w:ascii="Arial" w:hAnsi="Arial" w:cs="Arial"/>
        </w:rPr>
        <w:t xml:space="preserve">) is relevant to the </w:t>
      </w:r>
      <w:r>
        <w:rPr>
          <w:rFonts w:ascii="Arial" w:hAnsi="Arial" w:cs="Arial"/>
        </w:rPr>
        <w:lastRenderedPageBreak/>
        <w:t>Motion to Dismiss.</w:t>
      </w:r>
      <w:r>
        <w:rPr>
          <w:rStyle w:val="FootnoteReference"/>
          <w:rFonts w:ascii="Arial" w:hAnsi="Arial" w:cs="Arial"/>
        </w:rPr>
        <w:footnoteReference w:id="2"/>
      </w:r>
      <w:r>
        <w:rPr>
          <w:rFonts w:ascii="Arial" w:hAnsi="Arial" w:cs="Arial"/>
        </w:rPr>
        <w:t xml:space="preserve">  IEU-Ohio’s reference to this relevant background material can hardly be considered surreply arguments, and the explanation is consistent with Commission rules that require a supporting memorandum.</w:t>
      </w:r>
      <w:r>
        <w:rPr>
          <w:rStyle w:val="FootnoteReference"/>
          <w:rFonts w:ascii="Arial" w:hAnsi="Arial" w:cs="Arial"/>
        </w:rPr>
        <w:footnoteReference w:id="3"/>
      </w:r>
      <w:r>
        <w:rPr>
          <w:rFonts w:ascii="Arial" w:hAnsi="Arial" w:cs="Arial"/>
        </w:rPr>
        <w:t xml:space="preserve">  IEU-Ohio’s Memorandum in Support is limited to the background facts necessary to demonstrate that the additional authority is relevant to IEU-Ohio’s Motion to Dismiss.  </w:t>
      </w:r>
    </w:p>
    <w:p w:rsidR="00824431" w:rsidRDefault="00431F5D">
      <w:pPr>
        <w:jc w:val="both"/>
        <w:rPr>
          <w:rFonts w:ascii="Arial" w:hAnsi="Arial" w:cs="Arial"/>
        </w:rPr>
      </w:pPr>
      <w:r>
        <w:rPr>
          <w:rFonts w:ascii="Arial" w:hAnsi="Arial" w:cs="Arial"/>
        </w:rPr>
        <w:tab/>
        <w:t xml:space="preserve">AEP-Ohio’s substantive arguments against allowing IEU-Ohio to file the additional authority are also meritless.  Initially, AEP-Ohio argues that the Additional Authority Motion should be denied because the doctrine of </w:t>
      </w:r>
      <w:r>
        <w:rPr>
          <w:rFonts w:ascii="Arial" w:hAnsi="Arial" w:cs="Arial"/>
          <w:i/>
        </w:rPr>
        <w:t xml:space="preserve">res judicata </w:t>
      </w:r>
      <w:r>
        <w:rPr>
          <w:rFonts w:ascii="Arial" w:hAnsi="Arial" w:cs="Arial"/>
        </w:rPr>
        <w:t>precludes IEU</w:t>
      </w:r>
      <w:r>
        <w:rPr>
          <w:rFonts w:ascii="Arial" w:hAnsi="Arial" w:cs="Arial"/>
        </w:rPr>
        <w:noBreakHyphen/>
        <w:t>Ohio from arguing that the Commission lacks jurisdiction to approve AEP-Ohio’s application in this case because the Commission is preempted by the FPA.</w:t>
      </w:r>
      <w:r>
        <w:rPr>
          <w:rStyle w:val="FootnoteReference"/>
          <w:rFonts w:ascii="Arial" w:hAnsi="Arial" w:cs="Arial"/>
        </w:rPr>
        <w:footnoteReference w:id="4"/>
      </w:r>
      <w:r>
        <w:rPr>
          <w:rFonts w:ascii="Arial" w:hAnsi="Arial" w:cs="Arial"/>
        </w:rPr>
        <w:t xml:space="preserve">  As shown in IEU-Ohio’s Reply in Support of its Motion to Dismiss, </w:t>
      </w:r>
      <w:r>
        <w:rPr>
          <w:rFonts w:ascii="Arial" w:hAnsi="Arial" w:cs="Arial"/>
          <w:i/>
        </w:rPr>
        <w:t>res judicata</w:t>
      </w:r>
      <w:r>
        <w:rPr>
          <w:rFonts w:ascii="Arial" w:hAnsi="Arial" w:cs="Arial"/>
        </w:rPr>
        <w:t xml:space="preserve"> does not apply to the Motion to Dismiss since the motion goes to whether the Commission has subject matter jurisdiction to address the merits of AEP-Ohio’s application for authorization to impose the Capacity Shopping Tax.</w:t>
      </w:r>
      <w:r>
        <w:rPr>
          <w:rStyle w:val="FootnoteReference"/>
          <w:rFonts w:ascii="Arial" w:hAnsi="Arial" w:cs="Arial"/>
        </w:rPr>
        <w:footnoteReference w:id="5"/>
      </w:r>
      <w:r>
        <w:rPr>
          <w:rFonts w:ascii="Arial" w:hAnsi="Arial" w:cs="Arial"/>
        </w:rPr>
        <w:t xml:space="preserve">  Once again, AEP</w:t>
      </w:r>
      <w:r>
        <w:rPr>
          <w:rFonts w:ascii="Arial" w:hAnsi="Arial" w:cs="Arial"/>
        </w:rPr>
        <w:noBreakHyphen/>
        <w:t>Ohio’s argument is without merit.</w:t>
      </w:r>
    </w:p>
    <w:p w:rsidR="00824431" w:rsidRDefault="00431F5D">
      <w:pPr>
        <w:jc w:val="both"/>
        <w:rPr>
          <w:rFonts w:ascii="Arial" w:hAnsi="Arial" w:cs="Arial"/>
        </w:rPr>
      </w:pPr>
      <w:r>
        <w:rPr>
          <w:rFonts w:ascii="Arial" w:hAnsi="Arial" w:cs="Arial"/>
        </w:rPr>
        <w:tab/>
        <w:t>Additionally, AEP-Ohio again repeats its incorrect assertion that FERC approved the state</w:t>
      </w:r>
      <w:r w:rsidR="001875A4">
        <w:rPr>
          <w:rFonts w:ascii="Arial" w:hAnsi="Arial" w:cs="Arial"/>
        </w:rPr>
        <w:t xml:space="preserve"> </w:t>
      </w:r>
      <w:r>
        <w:rPr>
          <w:rFonts w:ascii="Arial" w:hAnsi="Arial" w:cs="Arial"/>
        </w:rPr>
        <w:t>compensation mechanism approved by the Commission.</w:t>
      </w:r>
      <w:r>
        <w:rPr>
          <w:rStyle w:val="FootnoteReference"/>
          <w:rFonts w:ascii="Arial" w:hAnsi="Arial" w:cs="Arial"/>
        </w:rPr>
        <w:footnoteReference w:id="6"/>
      </w:r>
      <w:r>
        <w:rPr>
          <w:rFonts w:ascii="Arial" w:hAnsi="Arial" w:cs="Arial"/>
        </w:rPr>
        <w:t xml:space="preserve">  FERC did nothing </w:t>
      </w:r>
      <w:r>
        <w:rPr>
          <w:rFonts w:ascii="Arial" w:hAnsi="Arial" w:cs="Arial"/>
        </w:rPr>
        <w:lastRenderedPageBreak/>
        <w:t xml:space="preserve">of the sort.  Following the </w:t>
      </w:r>
      <w:r>
        <w:rPr>
          <w:rFonts w:ascii="Arial" w:hAnsi="Arial" w:cs="Arial"/>
          <w:i/>
        </w:rPr>
        <w:t>Capacity Case</w:t>
      </w:r>
      <w:r>
        <w:rPr>
          <w:rFonts w:ascii="Arial" w:hAnsi="Arial" w:cs="Arial"/>
        </w:rPr>
        <w:t>,</w:t>
      </w:r>
      <w:r>
        <w:rPr>
          <w:rStyle w:val="FootnoteReference"/>
          <w:rFonts w:ascii="Arial" w:hAnsi="Arial" w:cs="Arial"/>
        </w:rPr>
        <w:footnoteReference w:id="7"/>
      </w:r>
      <w:r>
        <w:rPr>
          <w:rFonts w:ascii="Arial" w:hAnsi="Arial" w:cs="Arial"/>
        </w:rPr>
        <w:t xml:space="preserve"> AEP Service Corp. (“AEPSC”), on behalf of AEP-Ohio, sought FERC approval of an appendix to the Reliability Assurance Agreement (“RAA”) that referenced the $188/megawatt-day (“MW-day”) price that included both retail and wholesale compensation.</w:t>
      </w:r>
      <w:r>
        <w:rPr>
          <w:rStyle w:val="FootnoteReference"/>
          <w:rFonts w:ascii="Arial" w:hAnsi="Arial" w:cs="Arial"/>
        </w:rPr>
        <w:footnoteReference w:id="8"/>
      </w:r>
      <w:r>
        <w:rPr>
          <w:rFonts w:ascii="Arial" w:hAnsi="Arial" w:cs="Arial"/>
        </w:rPr>
        <w:t xml:space="preserve">  Various parties filed protests at FERC, which prompted AEPSC to </w:t>
      </w:r>
      <w:r>
        <w:rPr>
          <w:rFonts w:ascii="Arial" w:hAnsi="Arial" w:cs="Arial"/>
          <w:b/>
          <w:i/>
          <w:u w:val="single"/>
        </w:rPr>
        <w:t>voluntarily</w:t>
      </w:r>
      <w:r>
        <w:rPr>
          <w:rFonts w:ascii="Arial" w:hAnsi="Arial" w:cs="Arial"/>
        </w:rPr>
        <w:t xml:space="preserve"> agree to accept a modified appendix.</w:t>
      </w:r>
      <w:r>
        <w:rPr>
          <w:rStyle w:val="FootnoteReference"/>
          <w:rFonts w:ascii="Arial" w:hAnsi="Arial" w:cs="Arial"/>
        </w:rPr>
        <w:footnoteReference w:id="9"/>
      </w:r>
      <w:r>
        <w:rPr>
          <w:rFonts w:ascii="Arial" w:hAnsi="Arial" w:cs="Arial"/>
        </w:rPr>
        <w:t xml:space="preserve">  As part of AEP-Ohio’s </w:t>
      </w:r>
      <w:r>
        <w:rPr>
          <w:rFonts w:ascii="Arial" w:hAnsi="Arial" w:cs="Arial"/>
          <w:b/>
          <w:i/>
          <w:u w:val="single"/>
        </w:rPr>
        <w:t>voluntary acceptance</w:t>
      </w:r>
      <w:r>
        <w:rPr>
          <w:rFonts w:ascii="Arial" w:hAnsi="Arial" w:cs="Arial"/>
        </w:rPr>
        <w:t xml:space="preserve"> of the modified appendix, AEPSC asserted:</w:t>
      </w:r>
    </w:p>
    <w:p w:rsidR="00824431" w:rsidRDefault="00431F5D">
      <w:pPr>
        <w:spacing w:line="240" w:lineRule="auto"/>
        <w:ind w:left="720" w:right="720"/>
        <w:jc w:val="both"/>
        <w:rPr>
          <w:rFonts w:ascii="Arial" w:hAnsi="Arial" w:cs="Arial"/>
        </w:rPr>
      </w:pPr>
      <w:r>
        <w:rPr>
          <w:rFonts w:ascii="Arial" w:hAnsi="Arial" w:cs="Arial"/>
        </w:rPr>
        <w:t xml:space="preserve">Ohio Power’s right to recover </w:t>
      </w:r>
      <w:r>
        <w:rPr>
          <w:rFonts w:ascii="Arial" w:hAnsi="Arial" w:cs="Arial"/>
          <w:i/>
        </w:rPr>
        <w:t>from retail customers</w:t>
      </w:r>
      <w:r>
        <w:rPr>
          <w:rFonts w:ascii="Arial" w:hAnsi="Arial" w:cs="Arial"/>
        </w:rPr>
        <w:t xml:space="preserve"> the difference between $188.88/MW-day and the wholesale charges assessed to CRES providers will be in accordance with the retail rate component adopted by the Ohio Commission, </w:t>
      </w:r>
      <w:r>
        <w:rPr>
          <w:rFonts w:ascii="Arial" w:hAnsi="Arial" w:cs="Arial"/>
          <w:b/>
          <w:i/>
          <w:u w:val="single"/>
        </w:rPr>
        <w:t>which is not before [FERC] in this proceeding.</w:t>
      </w:r>
      <w:r>
        <w:rPr>
          <w:rFonts w:ascii="Arial" w:hAnsi="Arial" w:cs="Arial"/>
        </w:rPr>
        <w:t xml:space="preserve"> (emphasis in original).</w:t>
      </w:r>
      <w:r>
        <w:rPr>
          <w:rStyle w:val="FootnoteReference"/>
          <w:rFonts w:ascii="Arial" w:hAnsi="Arial" w:cs="Arial"/>
        </w:rPr>
        <w:footnoteReference w:id="10"/>
      </w:r>
    </w:p>
    <w:p w:rsidR="00824431" w:rsidRDefault="00824431">
      <w:pPr>
        <w:spacing w:line="240" w:lineRule="auto"/>
        <w:jc w:val="both"/>
        <w:rPr>
          <w:rFonts w:ascii="Arial" w:hAnsi="Arial" w:cs="Arial"/>
        </w:rPr>
      </w:pPr>
    </w:p>
    <w:p w:rsidR="00824431" w:rsidRDefault="00431F5D">
      <w:pPr>
        <w:jc w:val="both"/>
        <w:rPr>
          <w:rFonts w:ascii="Arial" w:hAnsi="Arial" w:cs="Arial"/>
        </w:rPr>
      </w:pPr>
      <w:r>
        <w:rPr>
          <w:rFonts w:ascii="Arial" w:hAnsi="Arial" w:cs="Arial"/>
        </w:rPr>
        <w:t xml:space="preserve">In approving the modified appendix, FERC only confirmed that the wholesale price that </w:t>
      </w:r>
      <w:r w:rsidR="00EE2FC4">
        <w:rPr>
          <w:rFonts w:ascii="Arial" w:hAnsi="Arial" w:cs="Arial"/>
        </w:rPr>
        <w:t xml:space="preserve">competitive retail electric service (“CRES”) </w:t>
      </w:r>
      <w:r>
        <w:rPr>
          <w:rFonts w:ascii="Arial" w:hAnsi="Arial" w:cs="Arial"/>
        </w:rPr>
        <w:t>providers would pay for capacity was the Reliability Pricing Model (“RPM”) Price.  AEP-Ohio’s assertion that FERC approved the state compensation mechanism approved by the Commission is plainly false</w:t>
      </w:r>
      <w:r>
        <w:rPr>
          <w:rStyle w:val="FootnoteReference"/>
          <w:rFonts w:ascii="Arial" w:hAnsi="Arial" w:cs="Arial"/>
        </w:rPr>
        <w:footnoteReference w:id="11"/>
      </w:r>
      <w:r>
        <w:rPr>
          <w:rFonts w:ascii="Arial" w:hAnsi="Arial" w:cs="Arial"/>
        </w:rPr>
        <w:t xml:space="preserve"> and is contradicted by AEPSC’s assertions in the FERC proceeding and by AEP-Ohio’s Memo Contra in this case where AEP-Ohio correctly identifies that FERC accepted “an </w:t>
      </w:r>
      <w:r>
        <w:rPr>
          <w:rFonts w:ascii="Arial" w:hAnsi="Arial" w:cs="Arial"/>
        </w:rPr>
        <w:lastRenderedPageBreak/>
        <w:t xml:space="preserve">appendix to the RAA </w:t>
      </w:r>
      <w:r>
        <w:rPr>
          <w:rFonts w:ascii="Arial" w:hAnsi="Arial" w:cs="Arial"/>
          <w:i/>
          <w:u w:val="single"/>
        </w:rPr>
        <w:t>that expressly set out the wholesale component</w:t>
      </w:r>
      <w:r>
        <w:rPr>
          <w:rFonts w:ascii="Arial" w:hAnsi="Arial" w:cs="Arial"/>
        </w:rPr>
        <w:t xml:space="preserve"> of the state compensation mechanism adopted by the Commission.”</w:t>
      </w:r>
      <w:r>
        <w:rPr>
          <w:rStyle w:val="FootnoteReference"/>
          <w:rFonts w:ascii="Arial" w:hAnsi="Arial" w:cs="Arial"/>
        </w:rPr>
        <w:footnoteReference w:id="12"/>
      </w:r>
      <w:r>
        <w:rPr>
          <w:rFonts w:ascii="Arial" w:hAnsi="Arial" w:cs="Arial"/>
        </w:rPr>
        <w:t xml:space="preserve"> </w:t>
      </w:r>
    </w:p>
    <w:p w:rsidR="00824431" w:rsidRDefault="00431F5D">
      <w:pPr>
        <w:jc w:val="both"/>
        <w:rPr>
          <w:rFonts w:ascii="Arial" w:hAnsi="Arial" w:cs="Arial"/>
        </w:rPr>
      </w:pPr>
      <w:r>
        <w:rPr>
          <w:rFonts w:ascii="Arial" w:hAnsi="Arial" w:cs="Arial"/>
        </w:rPr>
        <w:tab/>
        <w:t>Finally, AEP-Ohio argues that even if the Commission accepts the filing of the additional authority, the Commission should ignore it because it is inapposite.</w:t>
      </w:r>
      <w:r>
        <w:rPr>
          <w:rStyle w:val="FootnoteReference"/>
          <w:rFonts w:ascii="Arial" w:hAnsi="Arial" w:cs="Arial"/>
        </w:rPr>
        <w:footnoteReference w:id="13"/>
      </w:r>
      <w:r w:rsidR="00EE2FC4">
        <w:rPr>
          <w:rFonts w:ascii="Arial" w:hAnsi="Arial" w:cs="Arial"/>
        </w:rPr>
        <w:t xml:space="preserve">  AEP</w:t>
      </w:r>
      <w:r w:rsidR="00EE2FC4">
        <w:rPr>
          <w:rFonts w:ascii="Arial" w:hAnsi="Arial" w:cs="Arial"/>
        </w:rPr>
        <w:noBreakHyphen/>
      </w:r>
      <w:r>
        <w:rPr>
          <w:rFonts w:ascii="Arial" w:hAnsi="Arial" w:cs="Arial"/>
        </w:rPr>
        <w:t xml:space="preserve">Ohio attempts to distinguish </w:t>
      </w:r>
      <w:r>
        <w:rPr>
          <w:rFonts w:ascii="Arial" w:hAnsi="Arial" w:cs="Arial"/>
          <w:i/>
        </w:rPr>
        <w:t>Solomon</w:t>
      </w:r>
      <w:r>
        <w:rPr>
          <w:rFonts w:ascii="Arial" w:hAnsi="Arial" w:cs="Arial"/>
        </w:rPr>
        <w:t xml:space="preserve"> by arguing that the Capacity Shopping Tax is a retail rate and the FPA does not preempt state regulation of retail rates.</w:t>
      </w:r>
      <w:r>
        <w:rPr>
          <w:rStyle w:val="FootnoteReference"/>
          <w:rFonts w:ascii="Arial" w:hAnsi="Arial" w:cs="Arial"/>
        </w:rPr>
        <w:footnoteReference w:id="14"/>
      </w:r>
      <w:r>
        <w:rPr>
          <w:rFonts w:ascii="Arial" w:hAnsi="Arial" w:cs="Arial"/>
        </w:rPr>
        <w:t xml:space="preserve">  As the court in </w:t>
      </w:r>
      <w:r>
        <w:rPr>
          <w:rFonts w:ascii="Arial" w:hAnsi="Arial" w:cs="Arial"/>
          <w:i/>
        </w:rPr>
        <w:t>Solomon</w:t>
      </w:r>
      <w:r>
        <w:rPr>
          <w:rFonts w:ascii="Arial" w:hAnsi="Arial" w:cs="Arial"/>
        </w:rPr>
        <w:t xml:space="preserve"> held, New Jersey’s regulation was preempted because under the New Jersey regulation “generators will both receive the federal price for interstate capacity sales [</w:t>
      </w:r>
      <w:r>
        <w:rPr>
          <w:rFonts w:ascii="Arial" w:hAnsi="Arial" w:cs="Arial"/>
          <w:i/>
        </w:rPr>
        <w:t xml:space="preserve">i.e. </w:t>
      </w:r>
      <w:r>
        <w:rPr>
          <w:rFonts w:ascii="Arial" w:hAnsi="Arial" w:cs="Arial"/>
        </w:rPr>
        <w:t>the RPM Price] and also receive an additional amount fixed by the [Board of Public Utilities].”</w:t>
      </w:r>
      <w:r>
        <w:rPr>
          <w:rStyle w:val="FootnoteReference"/>
          <w:rFonts w:ascii="Arial" w:hAnsi="Arial" w:cs="Arial"/>
        </w:rPr>
        <w:footnoteReference w:id="15"/>
      </w:r>
      <w:r>
        <w:rPr>
          <w:rFonts w:ascii="Arial" w:hAnsi="Arial" w:cs="Arial"/>
        </w:rPr>
        <w:t xml:space="preserve">  As is the case here, the Commission has authorized AEP-Ohio to collect the RPM Price for capacity from </w:t>
      </w:r>
      <w:r w:rsidR="00EE2FC4">
        <w:rPr>
          <w:rFonts w:ascii="Arial" w:hAnsi="Arial" w:cs="Arial"/>
        </w:rPr>
        <w:t xml:space="preserve">CRES </w:t>
      </w:r>
      <w:r>
        <w:rPr>
          <w:rFonts w:ascii="Arial" w:hAnsi="Arial" w:cs="Arial"/>
        </w:rPr>
        <w:t>providers and the difference up to $188.88/MW-day from retail customers.  The compensation structures authorized by the New Jersey Board and this Commission are functionally identical.  Because “only FERC has the authority to set interstate capacity prices,” however, the Commission is preempted from approving AEP-Ohio’s application in this matter.</w:t>
      </w:r>
      <w:r>
        <w:rPr>
          <w:rStyle w:val="FootnoteReference"/>
          <w:rFonts w:ascii="Arial" w:hAnsi="Arial" w:cs="Arial"/>
        </w:rPr>
        <w:footnoteReference w:id="16"/>
      </w:r>
    </w:p>
    <w:p w:rsidR="001B3453" w:rsidRDefault="001B3453">
      <w:pPr>
        <w:spacing w:after="120" w:line="240" w:lineRule="auto"/>
        <w:rPr>
          <w:rFonts w:ascii="Arial" w:hAnsi="Arial" w:cs="Arial"/>
        </w:rPr>
      </w:pPr>
      <w:r>
        <w:rPr>
          <w:rFonts w:ascii="Arial" w:hAnsi="Arial" w:cs="Arial"/>
        </w:rPr>
        <w:br w:type="page"/>
      </w:r>
    </w:p>
    <w:p w:rsidR="00824431" w:rsidRDefault="00431F5D">
      <w:pPr>
        <w:jc w:val="both"/>
        <w:rPr>
          <w:rFonts w:ascii="Arial" w:hAnsi="Arial" w:cs="Arial"/>
          <w:szCs w:val="24"/>
        </w:rPr>
      </w:pPr>
      <w:r>
        <w:rPr>
          <w:rFonts w:ascii="Arial" w:hAnsi="Arial" w:cs="Arial"/>
        </w:rPr>
        <w:lastRenderedPageBreak/>
        <w:tab/>
        <w:t>For these reasons, the Commission should grant IEU-Ohio’s Additional Authority Motion.</w:t>
      </w:r>
    </w:p>
    <w:p w:rsidR="00824431" w:rsidRDefault="00431F5D">
      <w:pPr>
        <w:tabs>
          <w:tab w:val="left" w:pos="720"/>
          <w:tab w:val="left" w:pos="4320"/>
          <w:tab w:val="right" w:pos="8640"/>
        </w:tabs>
        <w:spacing w:line="240" w:lineRule="auto"/>
        <w:ind w:left="4320"/>
        <w:rPr>
          <w:rFonts w:ascii="Arial" w:hAnsi="Arial" w:cs="Arial"/>
          <w:szCs w:val="24"/>
        </w:rPr>
      </w:pPr>
      <w:r>
        <w:rPr>
          <w:rFonts w:ascii="Arial" w:hAnsi="Arial" w:cs="Arial"/>
          <w:szCs w:val="24"/>
        </w:rPr>
        <w:t>Respectfully submitted,</w:t>
      </w:r>
    </w:p>
    <w:p w:rsidR="00824431" w:rsidRDefault="00824431">
      <w:pPr>
        <w:tabs>
          <w:tab w:val="left" w:pos="720"/>
          <w:tab w:val="left" w:pos="4320"/>
          <w:tab w:val="right" w:pos="8640"/>
        </w:tabs>
        <w:spacing w:line="240" w:lineRule="auto"/>
        <w:ind w:left="4320"/>
        <w:rPr>
          <w:rFonts w:ascii="Arial" w:hAnsi="Arial" w:cs="Arial"/>
          <w:szCs w:val="24"/>
        </w:rPr>
      </w:pPr>
    </w:p>
    <w:p w:rsidR="00824431" w:rsidRDefault="00431F5D">
      <w:pPr>
        <w:tabs>
          <w:tab w:val="left" w:pos="720"/>
          <w:tab w:val="left" w:pos="4320"/>
          <w:tab w:val="right" w:pos="8640"/>
        </w:tabs>
        <w:spacing w:line="240" w:lineRule="auto"/>
        <w:rPr>
          <w:rFonts w:ascii="Arial" w:hAnsi="Arial" w:cs="Arial"/>
          <w:i/>
          <w:szCs w:val="24"/>
        </w:rPr>
      </w:pPr>
      <w:r>
        <w:rPr>
          <w:rFonts w:ascii="Arial" w:hAnsi="Arial" w:cs="Arial"/>
          <w:i/>
          <w:szCs w:val="24"/>
        </w:rPr>
        <w:tab/>
      </w:r>
      <w:r>
        <w:rPr>
          <w:rFonts w:ascii="Arial" w:hAnsi="Arial" w:cs="Arial"/>
          <w:i/>
          <w:szCs w:val="24"/>
        </w:rPr>
        <w:tab/>
      </w:r>
      <w:r>
        <w:rPr>
          <w:rFonts w:ascii="Arial" w:hAnsi="Arial" w:cs="Arial"/>
          <w:i/>
          <w:szCs w:val="24"/>
          <w:u w:val="single"/>
        </w:rPr>
        <w:t>/s/ Matthew R. Pritchard</w:t>
      </w:r>
      <w:r>
        <w:rPr>
          <w:rFonts w:ascii="Arial" w:hAnsi="Arial" w:cs="Arial"/>
          <w:i/>
          <w:szCs w:val="24"/>
          <w:u w:val="single"/>
        </w:rPr>
        <w:tab/>
      </w:r>
      <w:r>
        <w:rPr>
          <w:rFonts w:ascii="Arial" w:hAnsi="Arial" w:cs="Arial"/>
          <w:i/>
          <w:szCs w:val="24"/>
          <w:u w:val="single"/>
        </w:rPr>
        <w:tab/>
      </w:r>
    </w:p>
    <w:p w:rsidR="00824431" w:rsidRDefault="00431F5D">
      <w:pPr>
        <w:tabs>
          <w:tab w:val="left" w:pos="4320"/>
          <w:tab w:val="right" w:pos="8640"/>
        </w:tabs>
        <w:spacing w:line="240" w:lineRule="auto"/>
        <w:ind w:left="4320"/>
        <w:rPr>
          <w:rFonts w:ascii="Arial" w:hAnsi="Arial" w:cs="Arial"/>
          <w:szCs w:val="24"/>
        </w:rPr>
      </w:pPr>
      <w:r>
        <w:rPr>
          <w:rFonts w:ascii="Arial" w:hAnsi="Arial" w:cs="Arial"/>
          <w:szCs w:val="24"/>
        </w:rPr>
        <w:t>Samuel C. Randazzo (Counsel of Record) (Reg. No. 0016386)</w:t>
      </w:r>
    </w:p>
    <w:p w:rsidR="00824431" w:rsidRDefault="00431F5D">
      <w:pPr>
        <w:widowControl w:val="0"/>
        <w:tabs>
          <w:tab w:val="left" w:pos="4320"/>
        </w:tabs>
        <w:spacing w:line="240" w:lineRule="auto"/>
        <w:ind w:left="4320"/>
        <w:rPr>
          <w:rFonts w:ascii="Arial" w:hAnsi="Arial" w:cs="Arial"/>
          <w:bCs/>
          <w:szCs w:val="24"/>
        </w:rPr>
      </w:pPr>
      <w:r>
        <w:rPr>
          <w:rFonts w:ascii="Arial" w:hAnsi="Arial" w:cs="Arial"/>
          <w:bCs/>
          <w:szCs w:val="24"/>
        </w:rPr>
        <w:t>Frank P. Darr (Reg. No. 0025469)</w:t>
      </w:r>
    </w:p>
    <w:p w:rsidR="00824431" w:rsidRDefault="00431F5D">
      <w:pPr>
        <w:widowControl w:val="0"/>
        <w:tabs>
          <w:tab w:val="left" w:pos="4320"/>
        </w:tabs>
        <w:spacing w:line="240" w:lineRule="auto"/>
        <w:ind w:left="4320"/>
        <w:rPr>
          <w:rFonts w:ascii="Arial" w:hAnsi="Arial" w:cs="Arial"/>
          <w:b/>
          <w:bCs/>
          <w:szCs w:val="24"/>
        </w:rPr>
      </w:pPr>
      <w:r>
        <w:rPr>
          <w:rFonts w:ascii="Arial" w:hAnsi="Arial" w:cs="Arial"/>
          <w:bCs/>
          <w:szCs w:val="24"/>
        </w:rPr>
        <w:t>Matthew R. Pritchard (Reg. No. 0088070)</w:t>
      </w:r>
    </w:p>
    <w:p w:rsidR="00824431" w:rsidRDefault="00431F5D">
      <w:pPr>
        <w:widowControl w:val="0"/>
        <w:tabs>
          <w:tab w:val="left" w:pos="4320"/>
        </w:tabs>
        <w:spacing w:line="240" w:lineRule="auto"/>
        <w:ind w:left="4320"/>
        <w:rPr>
          <w:rFonts w:ascii="Arial" w:hAnsi="Arial" w:cs="Arial"/>
          <w:b/>
          <w:bCs/>
          <w:smallCaps/>
          <w:szCs w:val="24"/>
        </w:rPr>
      </w:pPr>
      <w:r>
        <w:rPr>
          <w:rFonts w:ascii="Arial" w:hAnsi="Arial" w:cs="Arial"/>
          <w:bCs/>
          <w:smallCaps/>
          <w:szCs w:val="24"/>
        </w:rPr>
        <w:t>McNees Wallace &amp; Nurick LLC</w:t>
      </w:r>
    </w:p>
    <w:p w:rsidR="00824431" w:rsidRDefault="00431F5D">
      <w:pPr>
        <w:widowControl w:val="0"/>
        <w:tabs>
          <w:tab w:val="left" w:pos="4320"/>
        </w:tabs>
        <w:spacing w:line="240" w:lineRule="auto"/>
        <w:ind w:left="4320"/>
        <w:rPr>
          <w:rFonts w:ascii="Arial" w:hAnsi="Arial" w:cs="Arial"/>
          <w:b/>
          <w:bCs/>
          <w:szCs w:val="24"/>
        </w:rPr>
      </w:pPr>
      <w:r>
        <w:rPr>
          <w:rFonts w:ascii="Arial" w:hAnsi="Arial" w:cs="Arial"/>
          <w:bCs/>
          <w:szCs w:val="24"/>
        </w:rPr>
        <w:t>21 East State Street, 17</w:t>
      </w:r>
      <w:r>
        <w:rPr>
          <w:rFonts w:ascii="Arial" w:hAnsi="Arial" w:cs="Arial"/>
          <w:bCs/>
          <w:szCs w:val="24"/>
          <w:vertAlign w:val="superscript"/>
        </w:rPr>
        <w:t>TH</w:t>
      </w:r>
      <w:r>
        <w:rPr>
          <w:rFonts w:ascii="Arial" w:hAnsi="Arial" w:cs="Arial"/>
          <w:bCs/>
          <w:szCs w:val="24"/>
        </w:rPr>
        <w:t xml:space="preserve"> Floor</w:t>
      </w:r>
    </w:p>
    <w:p w:rsidR="00824431" w:rsidRDefault="00431F5D">
      <w:pPr>
        <w:tabs>
          <w:tab w:val="left" w:pos="-1440"/>
          <w:tab w:val="left" w:pos="-720"/>
          <w:tab w:val="left" w:pos="4320"/>
          <w:tab w:val="left" w:pos="5040"/>
          <w:tab w:val="center" w:pos="7200"/>
        </w:tabs>
        <w:overflowPunct w:val="0"/>
        <w:autoSpaceDE w:val="0"/>
        <w:autoSpaceDN w:val="0"/>
        <w:adjustRightInd w:val="0"/>
        <w:spacing w:line="240" w:lineRule="auto"/>
        <w:ind w:left="4320"/>
        <w:rPr>
          <w:rFonts w:ascii="Arial" w:hAnsi="Arial" w:cs="Arial"/>
          <w:szCs w:val="24"/>
        </w:rPr>
      </w:pPr>
      <w:r>
        <w:rPr>
          <w:rFonts w:ascii="Arial" w:hAnsi="Arial" w:cs="Arial"/>
          <w:szCs w:val="24"/>
        </w:rPr>
        <w:t>Columbus, OH  43215</w:t>
      </w:r>
    </w:p>
    <w:p w:rsidR="00824431" w:rsidRDefault="00431F5D">
      <w:pPr>
        <w:tabs>
          <w:tab w:val="left" w:pos="-1440"/>
          <w:tab w:val="left" w:pos="-720"/>
          <w:tab w:val="left" w:pos="4320"/>
          <w:tab w:val="left" w:pos="5040"/>
          <w:tab w:val="center" w:pos="7200"/>
        </w:tabs>
        <w:overflowPunct w:val="0"/>
        <w:autoSpaceDE w:val="0"/>
        <w:autoSpaceDN w:val="0"/>
        <w:adjustRightInd w:val="0"/>
        <w:spacing w:line="240" w:lineRule="auto"/>
        <w:ind w:left="4320"/>
        <w:rPr>
          <w:rFonts w:ascii="Arial" w:hAnsi="Arial" w:cs="Arial"/>
          <w:szCs w:val="24"/>
        </w:rPr>
      </w:pPr>
      <w:r>
        <w:rPr>
          <w:rFonts w:ascii="Arial" w:hAnsi="Arial" w:cs="Arial"/>
          <w:szCs w:val="24"/>
        </w:rPr>
        <w:t>Phone:  (614) 469-8000 / Fax:  (614) 469-4653</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szCs w:val="24"/>
        </w:rPr>
        <w:t>sam@mwncmh.com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szCs w:val="24"/>
        </w:rPr>
        <w:t>fdarr@mwncmh.com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smallCaps/>
          <w:color w:val="000000" w:themeColor="text1"/>
          <w:szCs w:val="24"/>
        </w:rPr>
      </w:pPr>
      <w:r>
        <w:rPr>
          <w:rFonts w:ascii="Arial" w:hAnsi="Arial" w:cs="Arial"/>
          <w:color w:val="000000" w:themeColor="text1"/>
          <w:szCs w:val="24"/>
        </w:rPr>
        <w:t>mpritchard@mwncmh.com</w:t>
      </w:r>
    </w:p>
    <w:p w:rsidR="00824431" w:rsidRDefault="00431F5D">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color w:val="000000" w:themeColor="text1"/>
          <w:szCs w:val="24"/>
        </w:rPr>
      </w:pPr>
      <w:r>
        <w:rPr>
          <w:rFonts w:ascii="Arial" w:hAnsi="Arial" w:cs="Arial"/>
          <w:color w:val="000000" w:themeColor="text1"/>
          <w:szCs w:val="24"/>
        </w:rPr>
        <w:t>(willing to accept service by e-mail)</w:t>
      </w:r>
    </w:p>
    <w:p w:rsidR="00824431" w:rsidRDefault="00824431">
      <w:pPr>
        <w:tabs>
          <w:tab w:val="left" w:pos="-1440"/>
          <w:tab w:val="left" w:pos="-720"/>
          <w:tab w:val="left" w:pos="5040"/>
          <w:tab w:val="center" w:pos="7200"/>
        </w:tabs>
        <w:overflowPunct w:val="0"/>
        <w:autoSpaceDE w:val="0"/>
        <w:autoSpaceDN w:val="0"/>
        <w:adjustRightInd w:val="0"/>
        <w:spacing w:line="240" w:lineRule="auto"/>
        <w:ind w:left="4320"/>
        <w:rPr>
          <w:rFonts w:ascii="Arial" w:hAnsi="Arial" w:cs="Arial"/>
          <w:b/>
          <w:smallCaps/>
          <w:szCs w:val="24"/>
        </w:rPr>
      </w:pPr>
    </w:p>
    <w:p w:rsidR="00824431" w:rsidRDefault="00431F5D">
      <w:pPr>
        <w:spacing w:line="240" w:lineRule="auto"/>
        <w:ind w:left="4320"/>
        <w:rPr>
          <w:rFonts w:ascii="Arial" w:eastAsia="Calibri" w:hAnsi="Arial" w:cs="Arial"/>
          <w:b/>
          <w:bCs/>
          <w:szCs w:val="24"/>
        </w:rPr>
      </w:pPr>
      <w:r>
        <w:rPr>
          <w:rFonts w:ascii="Arial" w:hAnsi="Arial" w:cs="Arial"/>
          <w:b/>
          <w:szCs w:val="24"/>
        </w:rPr>
        <w:t>Attorneys for Industrial Energy Users-Ohio</w:t>
      </w:r>
    </w:p>
    <w:p w:rsidR="00824431" w:rsidRDefault="00824431">
      <w:pPr>
        <w:pBdr>
          <w:bottom w:val="single" w:sz="12" w:space="1" w:color="auto"/>
        </w:pBdr>
        <w:ind w:firstLine="720"/>
        <w:rPr>
          <w:rFonts w:ascii="Arial" w:hAnsi="Arial" w:cs="Arial"/>
          <w:szCs w:val="24"/>
        </w:rPr>
        <w:sectPr w:rsidR="00824431" w:rsidSect="001875A4">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00824431" w:rsidRDefault="00431F5D">
      <w:pPr>
        <w:jc w:val="center"/>
        <w:rPr>
          <w:rFonts w:ascii="Arial Bold" w:hAnsi="Arial Bold" w:cs="Arial"/>
          <w:b/>
          <w:caps/>
          <w:smallCaps/>
          <w:sz w:val="28"/>
          <w:szCs w:val="28"/>
          <w:u w:val="single"/>
        </w:rPr>
      </w:pPr>
      <w:r>
        <w:rPr>
          <w:rFonts w:ascii="Arial Bold" w:hAnsi="Arial Bold" w:cs="Arial"/>
          <w:b/>
          <w:smallCaps/>
          <w:sz w:val="28"/>
          <w:szCs w:val="28"/>
          <w:u w:val="single"/>
        </w:rPr>
        <w:lastRenderedPageBreak/>
        <w:t>Certificate of Service</w:t>
      </w:r>
    </w:p>
    <w:p w:rsidR="00824431" w:rsidRDefault="00431F5D" w:rsidP="0006587D">
      <w:pPr>
        <w:ind w:firstLine="720"/>
        <w:jc w:val="both"/>
        <w:rPr>
          <w:rFonts w:ascii="Arial" w:hAnsi="Arial" w:cs="Arial"/>
          <w:szCs w:val="24"/>
        </w:rPr>
      </w:pPr>
      <w:r>
        <w:rPr>
          <w:rFonts w:ascii="Arial" w:hAnsi="Arial" w:cs="Arial"/>
          <w:szCs w:val="24"/>
        </w:rPr>
        <w:t xml:space="preserve">In accordance with Rule 4901-1-05, Ohio Administrative Code, the Commission's e-filing system will electronically serve notice of the filing of this document upon the following parties.  In addition, I hereby certify that a service copy of the foregoing </w:t>
      </w:r>
      <w:r>
        <w:rPr>
          <w:rFonts w:ascii="Arial" w:hAnsi="Arial" w:cs="Arial"/>
          <w:i/>
          <w:szCs w:val="24"/>
        </w:rPr>
        <w:t xml:space="preserve">Industrial Energy Users-Ohio’s Reply in Support of an Order Permitting the Filing of Additional Authority in Support of its Motion to Dismiss </w:t>
      </w:r>
      <w:r>
        <w:rPr>
          <w:rFonts w:ascii="Arial" w:hAnsi="Arial" w:cs="Arial"/>
          <w:szCs w:val="24"/>
        </w:rPr>
        <w:t>was sent by, or on behalf of, the undersigned counsel for IEU-Ohio to the following parties of record this 9</w:t>
      </w:r>
      <w:r w:rsidRPr="001B3453">
        <w:rPr>
          <w:rFonts w:ascii="Arial" w:hAnsi="Arial" w:cs="Arial"/>
          <w:szCs w:val="24"/>
          <w:vertAlign w:val="superscript"/>
        </w:rPr>
        <w:t>th</w:t>
      </w:r>
      <w:r>
        <w:rPr>
          <w:rFonts w:ascii="Arial" w:hAnsi="Arial" w:cs="Arial"/>
          <w:szCs w:val="24"/>
        </w:rPr>
        <w:t xml:space="preserve"> day of October 2014, via electronic transmission. </w:t>
      </w:r>
    </w:p>
    <w:p w:rsidR="00824431" w:rsidRDefault="00431F5D">
      <w:pPr>
        <w:spacing w:line="240" w:lineRule="auto"/>
        <w:ind w:left="5040" w:firstLine="720"/>
        <w:rPr>
          <w:rFonts w:ascii="Arial" w:hAnsi="Arial" w:cs="Arial"/>
          <w:szCs w:val="24"/>
          <w:u w:val="single"/>
        </w:rPr>
      </w:pPr>
      <w:r>
        <w:rPr>
          <w:rFonts w:ascii="Arial" w:hAnsi="Arial" w:cs="Arial"/>
          <w:szCs w:val="24"/>
          <w:u w:val="single"/>
        </w:rPr>
        <w:t>/s/ Matthew R. Pritchard</w:t>
      </w:r>
      <w:r>
        <w:rPr>
          <w:rFonts w:ascii="Arial" w:hAnsi="Arial" w:cs="Arial"/>
          <w:szCs w:val="24"/>
          <w:u w:val="single"/>
        </w:rPr>
        <w:tab/>
      </w:r>
      <w:r>
        <w:rPr>
          <w:rFonts w:ascii="Arial" w:hAnsi="Arial" w:cs="Arial"/>
          <w:szCs w:val="24"/>
          <w:u w:val="single"/>
        </w:rPr>
        <w:tab/>
      </w:r>
    </w:p>
    <w:p w:rsidR="00824431" w:rsidRDefault="00431F5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Matthew R. Pritchard</w:t>
      </w:r>
    </w:p>
    <w:p w:rsidR="00EE2FC4" w:rsidRDefault="00EE2FC4">
      <w:pPr>
        <w:spacing w:line="240" w:lineRule="auto"/>
        <w:rPr>
          <w:rFonts w:ascii="Arial" w:hAnsi="Arial" w:cs="Arial"/>
          <w:sz w:val="22"/>
          <w:szCs w:val="22"/>
        </w:rPr>
        <w:sectPr w:rsidR="00EE2FC4" w:rsidSect="00EE2FC4">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p>
    <w:p w:rsidR="00824431" w:rsidRPr="0006587D" w:rsidRDefault="00431F5D">
      <w:pPr>
        <w:spacing w:line="240" w:lineRule="auto"/>
        <w:rPr>
          <w:rFonts w:ascii="Arial" w:hAnsi="Arial" w:cs="Arial"/>
          <w:sz w:val="22"/>
          <w:szCs w:val="22"/>
        </w:rPr>
      </w:pPr>
      <w:r w:rsidRPr="0006587D">
        <w:rPr>
          <w:rFonts w:ascii="Arial" w:hAnsi="Arial" w:cs="Arial"/>
          <w:sz w:val="22"/>
          <w:szCs w:val="22"/>
        </w:rPr>
        <w:lastRenderedPageBreak/>
        <w:t>Steven T. Nourse (Reg. No. 0046705)</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Matthew J. Satterwhite (Reg. No. 0071972)</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American Electric Power Service Corporation</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1 Riverside Plaza, 29</w:t>
      </w:r>
      <w:r w:rsidRPr="0006587D">
        <w:rPr>
          <w:rFonts w:ascii="Arial" w:hAnsi="Arial" w:cs="Arial"/>
          <w:sz w:val="22"/>
          <w:szCs w:val="22"/>
          <w:vertAlign w:val="superscript"/>
        </w:rPr>
        <w:t>th</w:t>
      </w:r>
      <w:r w:rsidRPr="0006587D">
        <w:rPr>
          <w:rFonts w:ascii="Arial" w:hAnsi="Arial" w:cs="Arial"/>
          <w:sz w:val="22"/>
          <w:szCs w:val="22"/>
        </w:rPr>
        <w:t xml:space="preserve"> Floor</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Columbus, OH  43215</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stnourse@aep.com</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mjsatterwhite@aep.com</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b/>
          <w:smallCaps/>
          <w:sz w:val="22"/>
          <w:szCs w:val="22"/>
        </w:rPr>
      </w:pPr>
      <w:r w:rsidRPr="0006587D">
        <w:rPr>
          <w:rFonts w:ascii="Arial" w:hAnsi="Arial" w:cs="Arial"/>
          <w:b/>
          <w:smallCaps/>
          <w:sz w:val="22"/>
          <w:szCs w:val="22"/>
        </w:rPr>
        <w:t>Attorneys for Ohio Power Company</w:t>
      </w:r>
    </w:p>
    <w:p w:rsidR="00824431" w:rsidRPr="0006587D" w:rsidRDefault="00824431">
      <w:pPr>
        <w:spacing w:line="240" w:lineRule="auto"/>
        <w:rPr>
          <w:rFonts w:ascii="Arial" w:hAnsi="Arial" w:cs="Arial"/>
          <w:sz w:val="22"/>
          <w:szCs w:val="22"/>
        </w:rPr>
      </w:pPr>
      <w:bookmarkStart w:id="0" w:name="_GoBack"/>
      <w:bookmarkEnd w:id="0"/>
    </w:p>
    <w:p w:rsidR="00824431" w:rsidRPr="0006587D" w:rsidRDefault="00431F5D">
      <w:pPr>
        <w:spacing w:line="240" w:lineRule="auto"/>
        <w:rPr>
          <w:rFonts w:ascii="Arial" w:hAnsi="Arial" w:cs="Arial"/>
          <w:sz w:val="22"/>
          <w:szCs w:val="22"/>
        </w:rPr>
      </w:pPr>
      <w:r w:rsidRPr="0006587D">
        <w:rPr>
          <w:rFonts w:ascii="Arial" w:hAnsi="Arial" w:cs="Arial"/>
          <w:sz w:val="22"/>
          <w:szCs w:val="22"/>
        </w:rPr>
        <w:t>David F. Boehm (Reg. No. 0021881)</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Michael L. Kurtz (Reg. No. 0033350)</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Jody Kyler Cohn (Reg. No. 0085402)</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Boehm, Kurtz &amp; Lowry</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36 E. Seventh St., Suite 1510</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Cincinnati, OH  45202</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dboehm@BKLlawfirm.com</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mkurtz@BKLlawfirm.com</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jkyler@BKLlawfirm.com</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b/>
          <w:smallCaps/>
          <w:sz w:val="22"/>
          <w:szCs w:val="22"/>
        </w:rPr>
      </w:pPr>
      <w:r w:rsidRPr="0006587D">
        <w:rPr>
          <w:rFonts w:ascii="Arial" w:hAnsi="Arial" w:cs="Arial"/>
          <w:b/>
          <w:smallCaps/>
          <w:sz w:val="22"/>
          <w:szCs w:val="22"/>
        </w:rPr>
        <w:t>Attorneys for the Ohio Energy Group</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sz w:val="22"/>
          <w:szCs w:val="22"/>
        </w:rPr>
      </w:pPr>
      <w:r w:rsidRPr="0006587D">
        <w:rPr>
          <w:rFonts w:ascii="Arial" w:hAnsi="Arial" w:cs="Arial"/>
          <w:sz w:val="22"/>
          <w:szCs w:val="22"/>
        </w:rPr>
        <w:br w:type="column"/>
      </w:r>
      <w:r w:rsidRPr="0006587D">
        <w:rPr>
          <w:rFonts w:ascii="Arial" w:hAnsi="Arial" w:cs="Arial"/>
          <w:sz w:val="22"/>
          <w:szCs w:val="22"/>
        </w:rPr>
        <w:lastRenderedPageBreak/>
        <w:t>Richard L. Sites (Reg. No. 0019887)</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General Counsel &amp; Senior Director of Health Policy</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Ohio Hospital Association</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155 East Broad Street, 15</w:t>
      </w:r>
      <w:r w:rsidRPr="0006587D">
        <w:rPr>
          <w:rFonts w:ascii="Arial" w:hAnsi="Arial" w:cs="Arial"/>
          <w:sz w:val="22"/>
          <w:szCs w:val="22"/>
          <w:vertAlign w:val="superscript"/>
        </w:rPr>
        <w:t>th</w:t>
      </w:r>
      <w:r w:rsidRPr="0006587D">
        <w:rPr>
          <w:rFonts w:ascii="Arial" w:hAnsi="Arial" w:cs="Arial"/>
          <w:sz w:val="22"/>
          <w:szCs w:val="22"/>
        </w:rPr>
        <w:t xml:space="preserve"> Floor</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Columbus, OH  43215-3620</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ricks@ohanet.org</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sz w:val="22"/>
          <w:szCs w:val="22"/>
        </w:rPr>
      </w:pPr>
      <w:r w:rsidRPr="0006587D">
        <w:rPr>
          <w:rFonts w:ascii="Arial" w:hAnsi="Arial" w:cs="Arial"/>
          <w:sz w:val="22"/>
          <w:szCs w:val="22"/>
        </w:rPr>
        <w:t>Thomas J. O’Brien (Reg. No. 0066249)</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Bricker &amp; Eckler LLP</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100 South Third Street</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Columbus, OH  43215-4291</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tobrien@bricker.com</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b/>
          <w:smallCaps/>
          <w:sz w:val="22"/>
          <w:szCs w:val="22"/>
        </w:rPr>
      </w:pPr>
      <w:r w:rsidRPr="0006587D">
        <w:rPr>
          <w:rFonts w:ascii="Arial" w:hAnsi="Arial" w:cs="Arial"/>
          <w:b/>
          <w:smallCaps/>
          <w:sz w:val="22"/>
          <w:szCs w:val="22"/>
        </w:rPr>
        <w:t>Attorneys for the Ohio Hospital Association</w:t>
      </w:r>
    </w:p>
    <w:p w:rsidR="00824431"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sz w:val="22"/>
          <w:szCs w:val="22"/>
        </w:rPr>
      </w:pPr>
      <w:r w:rsidRPr="0006587D">
        <w:rPr>
          <w:rFonts w:ascii="Arial" w:hAnsi="Arial" w:cs="Arial"/>
          <w:sz w:val="22"/>
          <w:szCs w:val="22"/>
        </w:rPr>
        <w:t>Kimberly W. Bojko (Reg. No. 0069402)</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Rebecca L. Hussey (Reg. No. 0079444)</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Jonathan A. Allison (Reg. No. 0062720)</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Carpenter Lipps &amp; Leland LLP</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280 Plaza, Suite 1300</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280 North High Street</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Columbus, OH  43215</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Bojko@carpenterlipps.com</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Hussey@carpenterlipps.com</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Allison@carpenterlipps.com</w:t>
      </w:r>
    </w:p>
    <w:p w:rsidR="00824431" w:rsidRPr="0006587D" w:rsidRDefault="00824431">
      <w:pPr>
        <w:spacing w:line="240" w:lineRule="auto"/>
        <w:rPr>
          <w:rFonts w:ascii="Arial" w:hAnsi="Arial" w:cs="Arial"/>
          <w:sz w:val="22"/>
          <w:szCs w:val="22"/>
        </w:rPr>
      </w:pPr>
    </w:p>
    <w:p w:rsidR="00824431" w:rsidRPr="0006587D" w:rsidRDefault="00431F5D">
      <w:pPr>
        <w:spacing w:line="240" w:lineRule="auto"/>
        <w:rPr>
          <w:rFonts w:ascii="Arial" w:hAnsi="Arial" w:cs="Arial"/>
          <w:b/>
          <w:smallCaps/>
          <w:sz w:val="22"/>
          <w:szCs w:val="22"/>
        </w:rPr>
      </w:pPr>
      <w:r w:rsidRPr="0006587D">
        <w:rPr>
          <w:rFonts w:ascii="Arial" w:hAnsi="Arial" w:cs="Arial"/>
          <w:b/>
          <w:smallCaps/>
          <w:sz w:val="22"/>
          <w:szCs w:val="22"/>
        </w:rPr>
        <w:t>Attorneys for the OMA Energy Group</w:t>
      </w:r>
    </w:p>
    <w:p w:rsidR="00824431" w:rsidRPr="0006587D" w:rsidRDefault="00824431">
      <w:pPr>
        <w:autoSpaceDE w:val="0"/>
        <w:autoSpaceDN w:val="0"/>
        <w:adjustRightInd w:val="0"/>
        <w:spacing w:line="240" w:lineRule="auto"/>
        <w:rPr>
          <w:rFonts w:ascii="Arial" w:hAnsi="Arial" w:cs="Arial"/>
          <w:color w:val="000000" w:themeColor="text1"/>
          <w:sz w:val="22"/>
          <w:szCs w:val="22"/>
        </w:rPr>
      </w:pP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lastRenderedPageBreak/>
        <w:t>Mark S. Yurick (Reg. No. 0039176)</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(Counsel of Record)</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Zachary D. Kravitz (Reg. No. 0084238)</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TAFT STETTINIUS &amp; HOLLISTER LLP</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65 East State Street, Suite 1000</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Columbus, OH  43215</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myurick@taftlaw.com</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zkravitz@taftlaw.com</w:t>
      </w:r>
    </w:p>
    <w:p w:rsidR="00824431" w:rsidRPr="0006587D" w:rsidRDefault="00824431">
      <w:pPr>
        <w:tabs>
          <w:tab w:val="left" w:pos="2160"/>
          <w:tab w:val="left" w:pos="2280"/>
        </w:tabs>
        <w:spacing w:line="240" w:lineRule="auto"/>
        <w:rPr>
          <w:rFonts w:ascii="Arial" w:hAnsi="Arial" w:cs="Arial"/>
          <w:color w:val="000000" w:themeColor="text1"/>
          <w:sz w:val="22"/>
          <w:szCs w:val="22"/>
        </w:rPr>
      </w:pPr>
    </w:p>
    <w:p w:rsidR="00824431" w:rsidRPr="0006587D" w:rsidRDefault="00431F5D">
      <w:pPr>
        <w:spacing w:line="240" w:lineRule="auto"/>
        <w:rPr>
          <w:rFonts w:ascii="Arial" w:hAnsi="Arial" w:cs="Arial"/>
          <w:sz w:val="22"/>
          <w:szCs w:val="22"/>
        </w:rPr>
      </w:pPr>
      <w:r w:rsidRPr="0006587D">
        <w:rPr>
          <w:rFonts w:ascii="Arial" w:hAnsi="Arial" w:cs="Arial"/>
          <w:b/>
          <w:smallCaps/>
          <w:sz w:val="22"/>
          <w:szCs w:val="22"/>
        </w:rPr>
        <w:t>Attorney for The Kroger Co.</w:t>
      </w:r>
    </w:p>
    <w:p w:rsidR="00824431" w:rsidRPr="0006587D" w:rsidRDefault="00824431">
      <w:pPr>
        <w:spacing w:line="240" w:lineRule="auto"/>
        <w:rPr>
          <w:rFonts w:ascii="Arial" w:hAnsi="Arial" w:cs="Arial"/>
          <w:sz w:val="22"/>
          <w:szCs w:val="22"/>
        </w:rPr>
      </w:pP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Maureen R. Grady (Reg. No. 0020847)</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Terry L. Etter (Reg. No. 0067445)</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Assistant Consumers’ Counsel</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Office of the Ohio Consumers’ Counsel</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10 West Broad Street, Suite 1800</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Columbus, OH  43215-3485</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Maureen.grady@occ.state.oh.us</w:t>
      </w:r>
    </w:p>
    <w:p w:rsidR="00824431" w:rsidRPr="0006587D" w:rsidRDefault="00431F5D">
      <w:pPr>
        <w:autoSpaceDE w:val="0"/>
        <w:autoSpaceDN w:val="0"/>
        <w:adjustRightInd w:val="0"/>
        <w:spacing w:line="240" w:lineRule="auto"/>
        <w:rPr>
          <w:rFonts w:ascii="Arial" w:hAnsi="Arial" w:cs="Arial"/>
          <w:color w:val="000000" w:themeColor="text1"/>
          <w:sz w:val="22"/>
          <w:szCs w:val="22"/>
        </w:rPr>
      </w:pPr>
      <w:r w:rsidRPr="0006587D">
        <w:rPr>
          <w:rFonts w:ascii="Arial" w:hAnsi="Arial" w:cs="Arial"/>
          <w:color w:val="000000" w:themeColor="text1"/>
          <w:sz w:val="22"/>
          <w:szCs w:val="22"/>
        </w:rPr>
        <w:t>etter@occ.state.oh.us</w:t>
      </w:r>
    </w:p>
    <w:p w:rsidR="00824431" w:rsidRPr="0006587D" w:rsidRDefault="00824431">
      <w:pPr>
        <w:tabs>
          <w:tab w:val="left" w:pos="2160"/>
          <w:tab w:val="left" w:pos="2280"/>
        </w:tabs>
        <w:spacing w:line="240" w:lineRule="auto"/>
        <w:rPr>
          <w:rFonts w:ascii="Arial" w:hAnsi="Arial" w:cs="Arial"/>
          <w:color w:val="000000" w:themeColor="text1"/>
          <w:sz w:val="22"/>
          <w:szCs w:val="22"/>
        </w:rPr>
      </w:pPr>
    </w:p>
    <w:p w:rsidR="00824431" w:rsidRPr="0006587D" w:rsidRDefault="00431F5D">
      <w:pPr>
        <w:spacing w:line="240" w:lineRule="auto"/>
        <w:rPr>
          <w:rFonts w:ascii="Arial" w:hAnsi="Arial" w:cs="Arial"/>
          <w:sz w:val="22"/>
          <w:szCs w:val="22"/>
        </w:rPr>
      </w:pPr>
      <w:r w:rsidRPr="0006587D">
        <w:rPr>
          <w:rFonts w:ascii="Arial" w:hAnsi="Arial" w:cs="Arial"/>
          <w:b/>
          <w:smallCaps/>
          <w:sz w:val="22"/>
          <w:szCs w:val="22"/>
        </w:rPr>
        <w:t>Attorney for the Office of the Ohio Consumers’ Counsel</w:t>
      </w:r>
    </w:p>
    <w:p w:rsidR="00824431" w:rsidRPr="0006587D" w:rsidRDefault="00824431">
      <w:pPr>
        <w:spacing w:line="240" w:lineRule="auto"/>
        <w:rPr>
          <w:rFonts w:ascii="Arial" w:hAnsi="Arial" w:cs="Arial"/>
          <w:sz w:val="22"/>
          <w:szCs w:val="22"/>
        </w:rPr>
      </w:pPr>
    </w:p>
    <w:p w:rsidR="00824431" w:rsidRPr="0006587D" w:rsidRDefault="00FE5C22">
      <w:pPr>
        <w:autoSpaceDE w:val="0"/>
        <w:autoSpaceDN w:val="0"/>
        <w:adjustRightInd w:val="0"/>
        <w:snapToGrid w:val="0"/>
        <w:spacing w:line="240" w:lineRule="auto"/>
        <w:rPr>
          <w:rFonts w:ascii="Arial" w:hAnsi="Arial" w:cs="Arial"/>
          <w:sz w:val="22"/>
          <w:szCs w:val="22"/>
        </w:rPr>
      </w:pPr>
      <w:r>
        <w:rPr>
          <w:rFonts w:ascii="Arial" w:hAnsi="Arial" w:cs="Arial"/>
          <w:sz w:val="22"/>
          <w:szCs w:val="22"/>
        </w:rPr>
        <w:br w:type="column"/>
      </w:r>
      <w:r w:rsidR="00431F5D" w:rsidRPr="0006587D">
        <w:rPr>
          <w:rFonts w:ascii="Arial" w:hAnsi="Arial" w:cs="Arial"/>
          <w:sz w:val="22"/>
          <w:szCs w:val="22"/>
        </w:rPr>
        <w:lastRenderedPageBreak/>
        <w:t>Werner Margard</w:t>
      </w:r>
      <w:r w:rsidR="009A7FF6">
        <w:rPr>
          <w:rFonts w:ascii="Arial" w:hAnsi="Arial" w:cs="Arial"/>
          <w:sz w:val="22"/>
          <w:szCs w:val="22"/>
        </w:rPr>
        <w:t xml:space="preserve"> (Reg. No. 0024858)</w:t>
      </w:r>
    </w:p>
    <w:p w:rsidR="00824431" w:rsidRPr="0006587D" w:rsidRDefault="00431F5D">
      <w:pPr>
        <w:autoSpaceDE w:val="0"/>
        <w:autoSpaceDN w:val="0"/>
        <w:adjustRightInd w:val="0"/>
        <w:snapToGrid w:val="0"/>
        <w:spacing w:line="240" w:lineRule="auto"/>
        <w:rPr>
          <w:rFonts w:ascii="Arial" w:hAnsi="Arial" w:cs="Arial"/>
          <w:sz w:val="22"/>
          <w:szCs w:val="22"/>
        </w:rPr>
      </w:pPr>
      <w:r w:rsidRPr="0006587D">
        <w:rPr>
          <w:rFonts w:ascii="Arial" w:hAnsi="Arial" w:cs="Arial"/>
          <w:sz w:val="22"/>
          <w:szCs w:val="22"/>
        </w:rPr>
        <w:t xml:space="preserve">Assistant Attorney General </w:t>
      </w:r>
    </w:p>
    <w:p w:rsidR="00824431" w:rsidRPr="0006587D" w:rsidRDefault="00431F5D">
      <w:pPr>
        <w:autoSpaceDE w:val="0"/>
        <w:autoSpaceDN w:val="0"/>
        <w:adjustRightInd w:val="0"/>
        <w:snapToGrid w:val="0"/>
        <w:spacing w:line="240" w:lineRule="auto"/>
        <w:rPr>
          <w:rFonts w:ascii="Arial" w:hAnsi="Arial" w:cs="Arial"/>
          <w:sz w:val="22"/>
          <w:szCs w:val="22"/>
        </w:rPr>
      </w:pPr>
      <w:r w:rsidRPr="0006587D">
        <w:rPr>
          <w:rFonts w:ascii="Arial" w:hAnsi="Arial" w:cs="Arial"/>
          <w:sz w:val="22"/>
          <w:szCs w:val="22"/>
        </w:rPr>
        <w:t>Public Utilities Section</w:t>
      </w:r>
    </w:p>
    <w:p w:rsidR="00824431" w:rsidRPr="0006587D" w:rsidRDefault="00431F5D">
      <w:pPr>
        <w:autoSpaceDE w:val="0"/>
        <w:autoSpaceDN w:val="0"/>
        <w:adjustRightInd w:val="0"/>
        <w:snapToGrid w:val="0"/>
        <w:spacing w:line="240" w:lineRule="auto"/>
        <w:rPr>
          <w:rFonts w:ascii="Arial" w:hAnsi="Arial" w:cs="Arial"/>
          <w:sz w:val="22"/>
          <w:szCs w:val="22"/>
        </w:rPr>
      </w:pPr>
      <w:r w:rsidRPr="0006587D">
        <w:rPr>
          <w:rFonts w:ascii="Arial" w:hAnsi="Arial" w:cs="Arial"/>
          <w:sz w:val="22"/>
          <w:szCs w:val="22"/>
        </w:rPr>
        <w:t>180 East Broad Street, 6th Floor</w:t>
      </w:r>
    </w:p>
    <w:p w:rsidR="00824431" w:rsidRPr="0006587D" w:rsidRDefault="00431F5D">
      <w:pPr>
        <w:autoSpaceDE w:val="0"/>
        <w:autoSpaceDN w:val="0"/>
        <w:adjustRightInd w:val="0"/>
        <w:snapToGrid w:val="0"/>
        <w:spacing w:line="240" w:lineRule="auto"/>
        <w:rPr>
          <w:rFonts w:ascii="Arial" w:hAnsi="Arial" w:cs="Arial"/>
          <w:sz w:val="22"/>
          <w:szCs w:val="22"/>
        </w:rPr>
      </w:pPr>
      <w:r w:rsidRPr="0006587D">
        <w:rPr>
          <w:rFonts w:ascii="Arial" w:hAnsi="Arial" w:cs="Arial"/>
          <w:sz w:val="22"/>
          <w:szCs w:val="22"/>
        </w:rPr>
        <w:t>Columbus, OH 43215-3793</w:t>
      </w:r>
    </w:p>
    <w:p w:rsidR="00824431" w:rsidRPr="0006587D" w:rsidRDefault="00431F5D">
      <w:pPr>
        <w:spacing w:line="240" w:lineRule="auto"/>
        <w:rPr>
          <w:rFonts w:ascii="Arial" w:hAnsi="Arial" w:cs="Arial"/>
          <w:smallCaps/>
          <w:sz w:val="22"/>
          <w:szCs w:val="22"/>
        </w:rPr>
      </w:pPr>
      <w:r w:rsidRPr="0006587D">
        <w:rPr>
          <w:rFonts w:ascii="Arial" w:hAnsi="Arial" w:cs="Arial"/>
          <w:sz w:val="22"/>
          <w:szCs w:val="22"/>
        </w:rPr>
        <w:t xml:space="preserve">werner.margard@puc.state.oh.us </w:t>
      </w:r>
    </w:p>
    <w:p w:rsidR="00EE2FC4" w:rsidRPr="0006587D" w:rsidRDefault="00EE2FC4">
      <w:pPr>
        <w:spacing w:line="240" w:lineRule="auto"/>
        <w:rPr>
          <w:rFonts w:ascii="Arial" w:hAnsi="Arial" w:cs="Arial"/>
          <w:smallCaps/>
          <w:sz w:val="22"/>
          <w:szCs w:val="22"/>
        </w:rPr>
      </w:pPr>
    </w:p>
    <w:p w:rsidR="00824431" w:rsidRPr="0006587D" w:rsidRDefault="00431F5D">
      <w:pPr>
        <w:spacing w:line="240" w:lineRule="auto"/>
        <w:rPr>
          <w:rFonts w:ascii="Arial" w:hAnsi="Arial" w:cs="Arial"/>
          <w:sz w:val="22"/>
          <w:szCs w:val="22"/>
        </w:rPr>
      </w:pPr>
      <w:r w:rsidRPr="0006587D">
        <w:rPr>
          <w:rFonts w:ascii="Arial" w:hAnsi="Arial" w:cs="Arial"/>
          <w:b/>
          <w:smallCaps/>
          <w:sz w:val="22"/>
          <w:szCs w:val="22"/>
        </w:rPr>
        <w:t>Attorney for the Staff of the Public Utilities Commission of Ohio</w:t>
      </w:r>
    </w:p>
    <w:p w:rsidR="00FE5C22" w:rsidRDefault="00FE5C22">
      <w:pPr>
        <w:spacing w:line="240" w:lineRule="auto"/>
        <w:rPr>
          <w:rFonts w:ascii="Arial" w:hAnsi="Arial" w:cs="Arial"/>
          <w:sz w:val="22"/>
          <w:szCs w:val="22"/>
        </w:rPr>
      </w:pPr>
    </w:p>
    <w:p w:rsidR="00FE5C22" w:rsidRDefault="00431F5D">
      <w:pPr>
        <w:spacing w:line="240" w:lineRule="auto"/>
        <w:rPr>
          <w:rFonts w:ascii="Arial" w:hAnsi="Arial" w:cs="Arial"/>
          <w:sz w:val="22"/>
          <w:szCs w:val="22"/>
        </w:rPr>
      </w:pPr>
      <w:r w:rsidRPr="0006587D">
        <w:rPr>
          <w:rFonts w:ascii="Arial" w:hAnsi="Arial" w:cs="Arial"/>
          <w:sz w:val="22"/>
          <w:szCs w:val="22"/>
        </w:rPr>
        <w:t>Sarah Parrot (Reg. No. 0082197)</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 xml:space="preserve">Greta See </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Attorney Examiners</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Public Utilities Commission of Ohio</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180 East Broad Street</w:t>
      </w:r>
    </w:p>
    <w:p w:rsidR="00824431" w:rsidRPr="0006587D" w:rsidRDefault="00431F5D">
      <w:pPr>
        <w:spacing w:line="240" w:lineRule="auto"/>
        <w:rPr>
          <w:rFonts w:ascii="Arial" w:hAnsi="Arial" w:cs="Arial"/>
          <w:sz w:val="22"/>
          <w:szCs w:val="22"/>
        </w:rPr>
      </w:pPr>
      <w:r w:rsidRPr="0006587D">
        <w:rPr>
          <w:rFonts w:ascii="Arial" w:hAnsi="Arial" w:cs="Arial"/>
          <w:sz w:val="22"/>
          <w:szCs w:val="22"/>
        </w:rPr>
        <w:t>Columbus, OH  43215</w:t>
      </w:r>
    </w:p>
    <w:p w:rsidR="00824431" w:rsidRPr="0006587D" w:rsidRDefault="00431F5D">
      <w:pPr>
        <w:tabs>
          <w:tab w:val="left" w:pos="2160"/>
          <w:tab w:val="left" w:pos="2280"/>
        </w:tabs>
        <w:spacing w:line="240" w:lineRule="auto"/>
        <w:rPr>
          <w:rFonts w:ascii="Arial" w:hAnsi="Arial" w:cs="Arial"/>
          <w:sz w:val="22"/>
          <w:szCs w:val="22"/>
        </w:rPr>
      </w:pPr>
      <w:r w:rsidRPr="0006587D">
        <w:rPr>
          <w:rFonts w:ascii="Arial" w:hAnsi="Arial" w:cs="Arial"/>
          <w:sz w:val="22"/>
          <w:szCs w:val="22"/>
        </w:rPr>
        <w:t>Greta.See@puc.state.oh.us</w:t>
      </w:r>
    </w:p>
    <w:p w:rsidR="00824431" w:rsidRPr="0006587D" w:rsidRDefault="00431F5D">
      <w:pPr>
        <w:tabs>
          <w:tab w:val="left" w:pos="2160"/>
          <w:tab w:val="left" w:pos="2280"/>
        </w:tabs>
        <w:spacing w:line="240" w:lineRule="auto"/>
        <w:rPr>
          <w:rFonts w:ascii="Arial" w:hAnsi="Arial" w:cs="Arial"/>
          <w:sz w:val="22"/>
          <w:szCs w:val="22"/>
        </w:rPr>
      </w:pPr>
      <w:r w:rsidRPr="0006587D">
        <w:rPr>
          <w:rFonts w:ascii="Arial" w:hAnsi="Arial" w:cs="Arial"/>
          <w:sz w:val="22"/>
          <w:szCs w:val="22"/>
        </w:rPr>
        <w:t>sarah.parrot@puc.state.oh.us</w:t>
      </w:r>
    </w:p>
    <w:p w:rsidR="00824431" w:rsidRPr="0006587D" w:rsidRDefault="00824431">
      <w:pPr>
        <w:tabs>
          <w:tab w:val="left" w:pos="2160"/>
          <w:tab w:val="left" w:pos="2280"/>
        </w:tabs>
        <w:spacing w:line="240" w:lineRule="auto"/>
        <w:rPr>
          <w:rFonts w:ascii="Arial" w:hAnsi="Arial" w:cs="Arial"/>
          <w:sz w:val="22"/>
          <w:szCs w:val="22"/>
        </w:rPr>
      </w:pPr>
    </w:p>
    <w:p w:rsidR="00824431" w:rsidRPr="0006587D" w:rsidRDefault="00431F5D">
      <w:pPr>
        <w:spacing w:line="240" w:lineRule="auto"/>
        <w:rPr>
          <w:rFonts w:ascii="Arial" w:hAnsi="Arial" w:cs="Arial"/>
          <w:sz w:val="22"/>
          <w:szCs w:val="22"/>
        </w:rPr>
      </w:pPr>
      <w:r w:rsidRPr="0006587D">
        <w:rPr>
          <w:rFonts w:ascii="Arial" w:hAnsi="Arial" w:cs="Arial"/>
          <w:b/>
          <w:smallCaps/>
          <w:sz w:val="22"/>
          <w:szCs w:val="22"/>
        </w:rPr>
        <w:t>Attorney Examiners</w:t>
      </w:r>
    </w:p>
    <w:p w:rsidR="00824431" w:rsidRPr="0006587D" w:rsidRDefault="00824431">
      <w:pPr>
        <w:rPr>
          <w:rFonts w:ascii="Arial" w:hAnsi="Arial" w:cs="Arial"/>
          <w:sz w:val="22"/>
          <w:szCs w:val="22"/>
        </w:rPr>
      </w:pPr>
    </w:p>
    <w:p w:rsidR="00824431" w:rsidRPr="0006587D" w:rsidRDefault="00824431">
      <w:pPr>
        <w:jc w:val="both"/>
        <w:rPr>
          <w:rFonts w:ascii="Arial" w:hAnsi="Arial" w:cs="Arial"/>
          <w:sz w:val="22"/>
          <w:szCs w:val="22"/>
        </w:rPr>
      </w:pPr>
    </w:p>
    <w:sectPr w:rsidR="00824431" w:rsidRPr="0006587D" w:rsidSect="00EE2FC4">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31" w:rsidRDefault="00431F5D">
      <w:pPr>
        <w:spacing w:line="240" w:lineRule="auto"/>
      </w:pPr>
      <w:r>
        <w:separator/>
      </w:r>
    </w:p>
  </w:endnote>
  <w:endnote w:type="continuationSeparator" w:id="0">
    <w:p w:rsidR="00824431" w:rsidRDefault="00431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Footer"/>
    </w:pPr>
  </w:p>
  <w:p w:rsidR="00824431" w:rsidRDefault="008244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4005BD">
    <w:pPr>
      <w:pStyle w:val="Footer"/>
    </w:pPr>
    <w:r w:rsidRPr="004005BD">
      <w:rPr>
        <w:noProof/>
        <w:sz w:val="16"/>
      </w:rPr>
      <w:t>{C45807:2 }</w:t>
    </w:r>
    <w:r w:rsidR="00431F5D">
      <w:rPr>
        <w:noProof/>
        <w:sz w:val="16"/>
      </w:rPr>
      <w:tab/>
    </w:r>
    <w:r w:rsidR="00431F5D">
      <w:rPr>
        <w:noProof/>
        <w:sz w:val="22"/>
        <w:szCs w:val="22"/>
      </w:rPr>
      <w:fldChar w:fldCharType="begin"/>
    </w:r>
    <w:r w:rsidR="00431F5D">
      <w:rPr>
        <w:noProof/>
        <w:sz w:val="22"/>
        <w:szCs w:val="22"/>
      </w:rPr>
      <w:instrText xml:space="preserve"> PAGE   \* MERGEFORMAT </w:instrText>
    </w:r>
    <w:r w:rsidR="00431F5D">
      <w:rPr>
        <w:noProof/>
        <w:sz w:val="22"/>
        <w:szCs w:val="22"/>
      </w:rPr>
      <w:fldChar w:fldCharType="separate"/>
    </w:r>
    <w:r w:rsidR="00103FE3">
      <w:rPr>
        <w:noProof/>
        <w:sz w:val="22"/>
        <w:szCs w:val="22"/>
      </w:rPr>
      <w:t>1</w:t>
    </w:r>
    <w:r w:rsidR="00431F5D">
      <w:rPr>
        <w:noProof/>
        <w:sz w:val="22"/>
        <w:szCs w:val="22"/>
      </w:rPr>
      <w:fldChar w:fldCharType="end"/>
    </w:r>
  </w:p>
  <w:p w:rsidR="00824431" w:rsidRDefault="008244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Pr="0006587D" w:rsidRDefault="004005BD">
    <w:pPr>
      <w:pStyle w:val="Footer"/>
      <w:rPr>
        <w:rFonts w:ascii="Arial" w:hAnsi="Arial" w:cs="Arial"/>
      </w:rPr>
    </w:pPr>
    <w:r w:rsidRPr="004005BD">
      <w:rPr>
        <w:rFonts w:ascii="Arial" w:hAnsi="Arial" w:cs="Arial"/>
        <w:noProof/>
        <w:sz w:val="16"/>
      </w:rPr>
      <w:t>{C45807:2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4005BD">
    <w:pPr>
      <w:pStyle w:val="Footer"/>
    </w:pPr>
    <w:r w:rsidRPr="004005BD">
      <w:rPr>
        <w:rFonts w:ascii="Arial" w:hAnsi="Arial" w:cs="Arial"/>
        <w:noProof/>
        <w:sz w:val="16"/>
      </w:rPr>
      <w:t>{C45807:2 }</w:t>
    </w:r>
    <w:r w:rsidR="00431F5D">
      <w:rPr>
        <w:noProof/>
        <w:sz w:val="16"/>
      </w:rPr>
      <w:tab/>
    </w:r>
    <w:r w:rsidR="00431F5D">
      <w:rPr>
        <w:rFonts w:ascii="Arial" w:hAnsi="Arial" w:cs="Arial"/>
        <w:noProof/>
        <w:sz w:val="22"/>
        <w:szCs w:val="22"/>
      </w:rPr>
      <w:fldChar w:fldCharType="begin"/>
    </w:r>
    <w:r w:rsidR="00431F5D">
      <w:rPr>
        <w:rFonts w:ascii="Arial" w:hAnsi="Arial" w:cs="Arial"/>
        <w:noProof/>
        <w:sz w:val="22"/>
        <w:szCs w:val="22"/>
      </w:rPr>
      <w:instrText xml:space="preserve"> PAGE   \* MERGEFORMAT </w:instrText>
    </w:r>
    <w:r w:rsidR="00431F5D">
      <w:rPr>
        <w:rFonts w:ascii="Arial" w:hAnsi="Arial" w:cs="Arial"/>
        <w:noProof/>
        <w:sz w:val="22"/>
        <w:szCs w:val="22"/>
      </w:rPr>
      <w:fldChar w:fldCharType="separate"/>
    </w:r>
    <w:r w:rsidR="004C3E99">
      <w:rPr>
        <w:rFonts w:ascii="Arial" w:hAnsi="Arial" w:cs="Arial"/>
        <w:noProof/>
        <w:sz w:val="22"/>
        <w:szCs w:val="22"/>
      </w:rPr>
      <w:t>6</w:t>
    </w:r>
    <w:r w:rsidR="00431F5D">
      <w:rPr>
        <w:rFonts w:ascii="Arial" w:hAnsi="Arial" w:cs="Arial"/>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Pr="0006587D" w:rsidRDefault="004005BD">
    <w:pPr>
      <w:pStyle w:val="Footer"/>
      <w:rPr>
        <w:rFonts w:ascii="Arial" w:hAnsi="Arial" w:cs="Arial"/>
      </w:rPr>
    </w:pPr>
    <w:r w:rsidRPr="004005BD">
      <w:rPr>
        <w:rFonts w:ascii="Arial" w:hAnsi="Arial" w:cs="Arial"/>
        <w:noProof/>
        <w:sz w:val="16"/>
      </w:rPr>
      <w:t>{C45807:2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Pr="00E64DBD" w:rsidRDefault="004005BD">
    <w:pPr>
      <w:pStyle w:val="Footer"/>
      <w:rPr>
        <w:rFonts w:ascii="Arial" w:hAnsi="Arial" w:cs="Arial"/>
      </w:rPr>
    </w:pPr>
    <w:r w:rsidRPr="004005BD">
      <w:rPr>
        <w:rFonts w:ascii="Arial" w:hAnsi="Arial" w:cs="Arial"/>
        <w:noProof/>
        <w:sz w:val="16"/>
      </w:rPr>
      <w:t>{C45807:2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4005BD">
    <w:pPr>
      <w:pStyle w:val="Footer"/>
      <w:rPr>
        <w:rFonts w:ascii="Arial" w:hAnsi="Arial" w:cs="Arial"/>
      </w:rPr>
    </w:pPr>
    <w:r w:rsidRPr="004005BD">
      <w:rPr>
        <w:rFonts w:ascii="Arial" w:hAnsi="Arial" w:cs="Arial"/>
        <w:noProof/>
        <w:sz w:val="16"/>
      </w:rPr>
      <w:t>{C45807:2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31" w:rsidRDefault="00431F5D">
      <w:pPr>
        <w:spacing w:line="240" w:lineRule="auto"/>
        <w:rPr>
          <w:noProof/>
        </w:rPr>
      </w:pPr>
      <w:r>
        <w:rPr>
          <w:noProof/>
        </w:rPr>
        <w:separator/>
      </w:r>
    </w:p>
  </w:footnote>
  <w:footnote w:type="continuationSeparator" w:id="0">
    <w:p w:rsidR="00824431" w:rsidRDefault="00431F5D">
      <w:pPr>
        <w:spacing w:line="240" w:lineRule="auto"/>
      </w:pPr>
      <w:r>
        <w:continuationSeparator/>
      </w:r>
    </w:p>
  </w:footnote>
  <w:footnote w:id="1">
    <w:p w:rsidR="00824431" w:rsidRDefault="00431F5D">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PPL Energy Plus, LLC v. Solomon</w:t>
      </w:r>
      <w:r>
        <w:rPr>
          <w:rFonts w:ascii="Arial" w:hAnsi="Arial" w:cs="Arial"/>
        </w:rPr>
        <w:t>, Case No. 13-4330 (3d Cir. Sept. 11, 2014) (“</w:t>
      </w:r>
      <w:r>
        <w:rPr>
          <w:rFonts w:ascii="Arial" w:hAnsi="Arial" w:cs="Arial"/>
          <w:i/>
        </w:rPr>
        <w:t>Solomon</w:t>
      </w:r>
      <w:r>
        <w:rPr>
          <w:rFonts w:ascii="Arial" w:hAnsi="Arial" w:cs="Arial"/>
        </w:rPr>
        <w:t>”).</w:t>
      </w:r>
    </w:p>
  </w:footnote>
  <w:footnote w:id="2">
    <w:p w:rsidR="00824431" w:rsidRDefault="00431F5D">
      <w:pPr>
        <w:spacing w:after="120" w:line="240" w:lineRule="auto"/>
        <w:jc w:val="both"/>
        <w:rPr>
          <w:rFonts w:ascii="Arial" w:hAnsi="Arial" w:cs="Arial"/>
          <w:sz w:val="20"/>
        </w:rPr>
      </w:pPr>
      <w:r>
        <w:rPr>
          <w:rStyle w:val="FootnoteReference"/>
          <w:rFonts w:ascii="Arial" w:hAnsi="Arial" w:cs="Arial"/>
          <w:sz w:val="20"/>
        </w:rPr>
        <w:footnoteRef/>
      </w:r>
      <w:r>
        <w:rPr>
          <w:rFonts w:ascii="Arial" w:hAnsi="Arial" w:cs="Arial"/>
          <w:sz w:val="20"/>
        </w:rPr>
        <w:t xml:space="preserve"> Commission Staff has also recently relied on that decision in its Merit Brief opposing the Purchased Power Agreement Rider in AEP-Ohio’s pending electric security </w:t>
      </w:r>
      <w:r w:rsidR="001B3453">
        <w:rPr>
          <w:rFonts w:ascii="Arial" w:hAnsi="Arial" w:cs="Arial"/>
          <w:sz w:val="20"/>
        </w:rPr>
        <w:t>plan</w:t>
      </w:r>
      <w:r>
        <w:rPr>
          <w:rFonts w:ascii="Arial" w:hAnsi="Arial" w:cs="Arial"/>
          <w:sz w:val="20"/>
        </w:rPr>
        <w:t xml:space="preserve"> (“ESP”) application.  </w:t>
      </w:r>
      <w:r>
        <w:rPr>
          <w:rFonts w:ascii="Arial" w:hAnsi="Arial" w:cs="Arial"/>
          <w:i/>
          <w:sz w:val="20"/>
        </w:rPr>
        <w:t>In the Matter of the Application of Ohio Power Company for Authority to Establish a Standard Service Offer Pursuant to § 4928.143, Revised Code, in  the Form of an Electric Security Plan</w:t>
      </w:r>
      <w:r>
        <w:rPr>
          <w:rFonts w:ascii="Arial" w:hAnsi="Arial" w:cs="Arial"/>
          <w:sz w:val="20"/>
        </w:rPr>
        <w:t xml:space="preserve">, Case Nos. 13-2385-EL-SSO, </w:t>
      </w:r>
      <w:r>
        <w:rPr>
          <w:rFonts w:ascii="Arial" w:hAnsi="Arial" w:cs="Arial"/>
          <w:i/>
          <w:sz w:val="20"/>
        </w:rPr>
        <w:t>et al.</w:t>
      </w:r>
      <w:r>
        <w:rPr>
          <w:rFonts w:ascii="Arial" w:hAnsi="Arial" w:cs="Arial"/>
          <w:sz w:val="20"/>
        </w:rPr>
        <w:t>, Post-Hearing Brief Submitted on Behalf of the Staff of the Public Utilities Commission of Ohio at 15-17 (July 23, 2014).</w:t>
      </w:r>
    </w:p>
  </w:footnote>
  <w:footnote w:id="3">
    <w:p w:rsidR="00824431" w:rsidRDefault="00431F5D" w:rsidP="001B3453">
      <w:pPr>
        <w:pStyle w:val="FootnoteText"/>
        <w:jc w:val="both"/>
        <w:rPr>
          <w:rFonts w:ascii="Arial" w:hAnsi="Arial" w:cs="Arial"/>
        </w:rPr>
      </w:pPr>
      <w:r>
        <w:rPr>
          <w:rStyle w:val="FootnoteReference"/>
          <w:rFonts w:ascii="Arial" w:hAnsi="Arial" w:cs="Arial"/>
        </w:rPr>
        <w:footnoteRef/>
      </w:r>
      <w:r>
        <w:rPr>
          <w:rFonts w:ascii="Arial" w:hAnsi="Arial" w:cs="Arial"/>
        </w:rPr>
        <w:t xml:space="preserve"> Rule 4901-1-12(A), O.A.C.</w:t>
      </w:r>
    </w:p>
  </w:footnote>
  <w:footnote w:id="4">
    <w:p w:rsidR="00824431" w:rsidRDefault="00431F5D" w:rsidP="001B3453">
      <w:pPr>
        <w:pStyle w:val="FootnoteText"/>
        <w:jc w:val="both"/>
        <w:rPr>
          <w:rFonts w:ascii="Arial" w:hAnsi="Arial" w:cs="Arial"/>
        </w:rPr>
      </w:pPr>
      <w:r>
        <w:rPr>
          <w:rStyle w:val="FootnoteReference"/>
          <w:rFonts w:ascii="Arial" w:hAnsi="Arial" w:cs="Arial"/>
        </w:rPr>
        <w:footnoteRef/>
      </w:r>
      <w:r>
        <w:rPr>
          <w:rFonts w:ascii="Arial" w:hAnsi="Arial" w:cs="Arial"/>
        </w:rPr>
        <w:t xml:space="preserve"> AEP-Ohio Memo Contra at 2-3.</w:t>
      </w:r>
    </w:p>
  </w:footnote>
  <w:footnote w:id="5">
    <w:p w:rsidR="00824431" w:rsidRDefault="00431F5D" w:rsidP="001B3453">
      <w:pPr>
        <w:pStyle w:val="FootnoteText"/>
        <w:jc w:val="both"/>
        <w:rPr>
          <w:rFonts w:ascii="Arial" w:hAnsi="Arial" w:cs="Arial"/>
          <w:i/>
        </w:rPr>
      </w:pPr>
      <w:r>
        <w:rPr>
          <w:rStyle w:val="FootnoteReference"/>
          <w:rFonts w:ascii="Arial" w:hAnsi="Arial" w:cs="Arial"/>
        </w:rPr>
        <w:footnoteRef/>
      </w:r>
      <w:r>
        <w:rPr>
          <w:rFonts w:ascii="Arial" w:hAnsi="Arial" w:cs="Arial"/>
        </w:rPr>
        <w:t xml:space="preserve"> IEU-Ohio Reply to the Memorandum in Opposition to the Motion to Dismiss at 5-6 (</w:t>
      </w:r>
      <w:r>
        <w:rPr>
          <w:rFonts w:ascii="Arial" w:hAnsi="Arial" w:cs="Arial"/>
          <w:i/>
        </w:rPr>
        <w:t>citing State v. Wilson</w:t>
      </w:r>
      <w:r>
        <w:rPr>
          <w:rFonts w:ascii="Arial" w:hAnsi="Arial" w:cs="Arial"/>
        </w:rPr>
        <w:t xml:space="preserve">, 73 Ohio St.3d 40, 45 n.6 (1995)); </w:t>
      </w:r>
      <w:r>
        <w:rPr>
          <w:rFonts w:ascii="Arial" w:hAnsi="Arial" w:cs="Arial"/>
          <w:i/>
        </w:rPr>
        <w:t>see also Grimes v. Grimes</w:t>
      </w:r>
      <w:r>
        <w:rPr>
          <w:rFonts w:ascii="Arial" w:hAnsi="Arial" w:cs="Arial"/>
        </w:rPr>
        <w:t>, 173 Ohio App.3d 537 (4th Dist. Ct. App. 2007);</w:t>
      </w:r>
      <w:r>
        <w:rPr>
          <w:rFonts w:ascii="Arial" w:hAnsi="Arial" w:cs="Arial"/>
          <w:i/>
        </w:rPr>
        <w:t xml:space="preserve"> D’Agnese v. Hollern</w:t>
      </w:r>
      <w:r>
        <w:rPr>
          <w:rFonts w:ascii="Arial" w:hAnsi="Arial" w:cs="Arial"/>
        </w:rPr>
        <w:t>, 2004 WL 744610 (8th Dist. Ct. App. Apr. 8, 2004).</w:t>
      </w:r>
    </w:p>
  </w:footnote>
  <w:footnote w:id="6">
    <w:p w:rsidR="00824431" w:rsidRDefault="00431F5D" w:rsidP="001B3453">
      <w:pPr>
        <w:pStyle w:val="FootnoteText"/>
        <w:jc w:val="both"/>
        <w:rPr>
          <w:rFonts w:ascii="Arial" w:hAnsi="Arial" w:cs="Arial"/>
        </w:rPr>
      </w:pPr>
      <w:r>
        <w:rPr>
          <w:rStyle w:val="FootnoteReference"/>
          <w:rFonts w:ascii="Arial" w:hAnsi="Arial" w:cs="Arial"/>
        </w:rPr>
        <w:footnoteRef/>
      </w:r>
      <w:r>
        <w:rPr>
          <w:rFonts w:ascii="Arial" w:hAnsi="Arial" w:cs="Arial"/>
        </w:rPr>
        <w:t xml:space="preserve"> AEP-Ohio Memo Contra at 4.</w:t>
      </w:r>
    </w:p>
  </w:footnote>
  <w:footnote w:id="7">
    <w:p w:rsidR="00824431" w:rsidRPr="001B3453" w:rsidRDefault="00431F5D" w:rsidP="001B3453">
      <w:pPr>
        <w:pStyle w:val="FootnoteText"/>
        <w:jc w:val="both"/>
        <w:rPr>
          <w:rFonts w:ascii="Arial" w:hAnsi="Arial" w:cs="Arial"/>
        </w:rPr>
      </w:pPr>
      <w:r w:rsidRPr="001B3453">
        <w:rPr>
          <w:rStyle w:val="FootnoteReference"/>
          <w:rFonts w:ascii="Arial" w:hAnsi="Arial" w:cs="Arial"/>
        </w:rPr>
        <w:footnoteRef/>
      </w:r>
      <w:r w:rsidRPr="001B3453">
        <w:rPr>
          <w:rFonts w:ascii="Arial" w:hAnsi="Arial" w:cs="Arial"/>
        </w:rPr>
        <w:t xml:space="preserve"> </w:t>
      </w:r>
      <w:r w:rsidRPr="001B3453">
        <w:rPr>
          <w:rFonts w:ascii="Arial" w:hAnsi="Arial" w:cs="Arial"/>
          <w:i/>
        </w:rPr>
        <w:t>In the Matter of the Commission Review of the Capacity Charges of Ohio Power Company and Columbus Southern Power Company</w:t>
      </w:r>
      <w:r w:rsidRPr="001B3453">
        <w:rPr>
          <w:rFonts w:ascii="Arial" w:hAnsi="Arial" w:cs="Arial"/>
        </w:rPr>
        <w:t>, Case No. 10-2929-EL-UNC.</w:t>
      </w:r>
    </w:p>
  </w:footnote>
  <w:footnote w:id="8">
    <w:p w:rsidR="00824431" w:rsidRPr="001B3453" w:rsidRDefault="00431F5D" w:rsidP="001B3453">
      <w:pPr>
        <w:pStyle w:val="FootnoteText"/>
        <w:jc w:val="both"/>
        <w:rPr>
          <w:rFonts w:ascii="Arial" w:hAnsi="Arial" w:cs="Arial"/>
        </w:rPr>
      </w:pPr>
      <w:r w:rsidRPr="001B3453">
        <w:rPr>
          <w:rStyle w:val="FootnoteReference"/>
          <w:rFonts w:ascii="Arial" w:hAnsi="Arial" w:cs="Arial"/>
        </w:rPr>
        <w:footnoteRef/>
      </w:r>
      <w:r w:rsidRPr="001B3453">
        <w:rPr>
          <w:rFonts w:ascii="Arial" w:hAnsi="Arial" w:cs="Arial"/>
        </w:rPr>
        <w:t xml:space="preserve"> </w:t>
      </w:r>
      <w:r w:rsidRPr="001B3453">
        <w:rPr>
          <w:rFonts w:ascii="Arial" w:hAnsi="Arial" w:cs="Arial"/>
          <w:i/>
        </w:rPr>
        <w:t xml:space="preserve">American Electric Power Service Corporation, </w:t>
      </w:r>
      <w:r w:rsidRPr="001B3453">
        <w:rPr>
          <w:rFonts w:ascii="Arial" w:hAnsi="Arial" w:cs="Arial"/>
        </w:rPr>
        <w:t>FERC Docket No. ER13</w:t>
      </w:r>
      <w:r w:rsidRPr="001B3453">
        <w:rPr>
          <w:rFonts w:ascii="Arial" w:hAnsi="Arial" w:cs="Arial"/>
        </w:rPr>
        <w:noBreakHyphen/>
        <w:t>1164</w:t>
      </w:r>
      <w:r w:rsidRPr="001B3453">
        <w:rPr>
          <w:rFonts w:ascii="Arial" w:hAnsi="Arial" w:cs="Arial"/>
        </w:rPr>
        <w:noBreakHyphen/>
        <w:t>000, Order Accepting Appendix to Reliability Assurance Agreement Subject to Compliance Filing at 1 (May 23, 2013),</w:t>
      </w:r>
      <w:r w:rsidR="001B3453" w:rsidRPr="001B3453">
        <w:rPr>
          <w:rFonts w:ascii="Arial" w:hAnsi="Arial" w:cs="Arial"/>
        </w:rPr>
        <w:t xml:space="preserve"> </w:t>
      </w:r>
      <w:r w:rsidRPr="001B3453">
        <w:rPr>
          <w:rFonts w:ascii="Arial" w:hAnsi="Arial" w:cs="Arial"/>
        </w:rPr>
        <w:t xml:space="preserve">available at:   </w:t>
      </w:r>
      <w:r w:rsidRPr="00103FE3">
        <w:rPr>
          <w:rFonts w:ascii="Arial" w:hAnsi="Arial" w:cs="Arial"/>
        </w:rPr>
        <w:t>http://elibrary.ferc.gov/idmws/common/OpenNat.asp?fileID=13265974</w:t>
      </w:r>
      <w:r w:rsidRPr="001B3453">
        <w:rPr>
          <w:rFonts w:ascii="Arial" w:hAnsi="Arial" w:cs="Arial"/>
        </w:rPr>
        <w:t xml:space="preserve"> (last accessed Oct. 8, 2014).</w:t>
      </w:r>
    </w:p>
  </w:footnote>
  <w:footnote w:id="9">
    <w:p w:rsidR="00824431" w:rsidRPr="001B3453" w:rsidRDefault="00431F5D" w:rsidP="001B3453">
      <w:pPr>
        <w:pStyle w:val="FootnoteText"/>
        <w:jc w:val="both"/>
        <w:rPr>
          <w:rFonts w:ascii="Arial" w:hAnsi="Arial" w:cs="Arial"/>
        </w:rPr>
      </w:pPr>
      <w:r w:rsidRPr="001B3453">
        <w:rPr>
          <w:rStyle w:val="FootnoteReference"/>
          <w:rFonts w:ascii="Arial" w:hAnsi="Arial" w:cs="Arial"/>
        </w:rPr>
        <w:footnoteRef/>
      </w:r>
      <w:r w:rsidRPr="001B3453">
        <w:rPr>
          <w:rFonts w:ascii="Arial" w:hAnsi="Arial" w:cs="Arial"/>
        </w:rPr>
        <w:t xml:space="preserve"> </w:t>
      </w:r>
      <w:r w:rsidRPr="001B3453">
        <w:rPr>
          <w:rFonts w:ascii="Arial" w:hAnsi="Arial" w:cs="Arial"/>
          <w:i/>
        </w:rPr>
        <w:t xml:space="preserve">Id. </w:t>
      </w:r>
      <w:r w:rsidRPr="001B3453">
        <w:rPr>
          <w:rFonts w:ascii="Arial" w:hAnsi="Arial" w:cs="Arial"/>
        </w:rPr>
        <w:t>at 6-7.</w:t>
      </w:r>
    </w:p>
  </w:footnote>
  <w:footnote w:id="10">
    <w:p w:rsidR="00824431" w:rsidRPr="001B3453" w:rsidRDefault="00431F5D" w:rsidP="001B3453">
      <w:pPr>
        <w:pStyle w:val="FootnoteText"/>
        <w:jc w:val="both"/>
        <w:rPr>
          <w:rFonts w:ascii="Arial" w:hAnsi="Arial" w:cs="Arial"/>
        </w:rPr>
      </w:pPr>
      <w:r w:rsidRPr="001B3453">
        <w:rPr>
          <w:rStyle w:val="FootnoteReference"/>
          <w:rFonts w:ascii="Arial" w:hAnsi="Arial" w:cs="Arial"/>
        </w:rPr>
        <w:footnoteRef/>
      </w:r>
      <w:r w:rsidRPr="001B3453">
        <w:rPr>
          <w:rFonts w:ascii="Arial" w:hAnsi="Arial" w:cs="Arial"/>
        </w:rPr>
        <w:t xml:space="preserve"> </w:t>
      </w:r>
      <w:r w:rsidRPr="001B3453">
        <w:rPr>
          <w:rFonts w:ascii="Arial" w:hAnsi="Arial" w:cs="Arial"/>
          <w:i/>
        </w:rPr>
        <w:t>American Electric Power Service Corporation</w:t>
      </w:r>
      <w:r w:rsidRPr="001B3453">
        <w:rPr>
          <w:rFonts w:ascii="Arial" w:hAnsi="Arial" w:cs="Arial"/>
        </w:rPr>
        <w:t xml:space="preserve">, FERC Docket No. </w:t>
      </w:r>
      <w:r w:rsidR="00EE2FC4">
        <w:rPr>
          <w:rFonts w:ascii="Arial" w:hAnsi="Arial" w:cs="Arial"/>
        </w:rPr>
        <w:t>ER</w:t>
      </w:r>
      <w:r w:rsidRPr="001B3453">
        <w:rPr>
          <w:rFonts w:ascii="Arial" w:hAnsi="Arial" w:cs="Arial"/>
        </w:rPr>
        <w:t>13</w:t>
      </w:r>
      <w:r w:rsidRPr="001B3453">
        <w:rPr>
          <w:rFonts w:ascii="Arial" w:hAnsi="Arial" w:cs="Arial"/>
        </w:rPr>
        <w:noBreakHyphen/>
        <w:t>1164</w:t>
      </w:r>
      <w:r w:rsidRPr="001B3453">
        <w:rPr>
          <w:rFonts w:ascii="Arial" w:hAnsi="Arial" w:cs="Arial"/>
        </w:rPr>
        <w:noBreakHyphen/>
        <w:t>000, Response of American Electric Power Service Corporation at 4 (Apr. 30, 2013).  This pleading was attached to IEU-Ohio’s Reply to the Memorandum in Opposition to the Motion to Dismiss.</w:t>
      </w:r>
    </w:p>
  </w:footnote>
  <w:footnote w:id="11">
    <w:p w:rsidR="00824431" w:rsidRPr="001B3453" w:rsidRDefault="00431F5D" w:rsidP="001B3453">
      <w:pPr>
        <w:pStyle w:val="FootnoteText"/>
        <w:jc w:val="both"/>
        <w:rPr>
          <w:rFonts w:ascii="Arial" w:hAnsi="Arial" w:cs="Arial"/>
        </w:rPr>
      </w:pPr>
      <w:r w:rsidRPr="001B3453">
        <w:rPr>
          <w:rStyle w:val="FootnoteReference"/>
          <w:rFonts w:ascii="Arial" w:hAnsi="Arial" w:cs="Arial"/>
        </w:rPr>
        <w:footnoteRef/>
      </w:r>
      <w:r w:rsidRPr="001B3453">
        <w:rPr>
          <w:rFonts w:ascii="Arial" w:hAnsi="Arial" w:cs="Arial"/>
        </w:rPr>
        <w:t xml:space="preserve"> For a longer discussion of AEP-Ohio’s incorrect argument</w:t>
      </w:r>
      <w:r w:rsidR="00EE2FC4">
        <w:rPr>
          <w:rFonts w:ascii="Arial" w:hAnsi="Arial" w:cs="Arial"/>
        </w:rPr>
        <w:t>,</w:t>
      </w:r>
      <w:r w:rsidRPr="001B3453">
        <w:rPr>
          <w:rFonts w:ascii="Arial" w:hAnsi="Arial" w:cs="Arial"/>
        </w:rPr>
        <w:t xml:space="preserve"> IEU-Ohio’s Reply to the Memorandum in Opposition to the Motion to Dismiss at 15-17.</w:t>
      </w:r>
    </w:p>
  </w:footnote>
  <w:footnote w:id="12">
    <w:p w:rsidR="00824431" w:rsidRDefault="00431F5D">
      <w:pPr>
        <w:pStyle w:val="FootnoteText"/>
        <w:rPr>
          <w:rFonts w:ascii="Arial" w:hAnsi="Arial" w:cs="Arial"/>
        </w:rPr>
      </w:pPr>
      <w:r>
        <w:rPr>
          <w:rStyle w:val="FootnoteReference"/>
          <w:rFonts w:ascii="Arial" w:hAnsi="Arial" w:cs="Arial"/>
        </w:rPr>
        <w:footnoteRef/>
      </w:r>
      <w:r>
        <w:rPr>
          <w:rFonts w:ascii="Arial" w:hAnsi="Arial" w:cs="Arial"/>
        </w:rPr>
        <w:t xml:space="preserve"> AEP-Ohio Memo Contra at 4 (emphasis added).</w:t>
      </w:r>
    </w:p>
  </w:footnote>
  <w:footnote w:id="13">
    <w:p w:rsidR="00824431" w:rsidRDefault="00431F5D">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5.</w:t>
      </w:r>
    </w:p>
  </w:footnote>
  <w:footnote w:id="14">
    <w:p w:rsidR="00824431" w:rsidRDefault="00431F5D">
      <w:pPr>
        <w:pStyle w:val="FootnoteText"/>
        <w:rPr>
          <w:rFonts w:ascii="Arial" w:hAnsi="Arial" w:cs="Arial"/>
          <w:i/>
        </w:rPr>
      </w:pPr>
      <w:r>
        <w:rPr>
          <w:rStyle w:val="FootnoteReference"/>
          <w:rFonts w:ascii="Arial" w:hAnsi="Arial" w:cs="Arial"/>
        </w:rPr>
        <w:footnoteRef/>
      </w:r>
      <w:r>
        <w:rPr>
          <w:rFonts w:ascii="Arial" w:hAnsi="Arial" w:cs="Arial"/>
        </w:rPr>
        <w:t xml:space="preserve"> </w:t>
      </w:r>
      <w:r>
        <w:rPr>
          <w:rFonts w:ascii="Arial" w:hAnsi="Arial" w:cs="Arial"/>
          <w:i/>
        </w:rPr>
        <w:t>Id.</w:t>
      </w:r>
    </w:p>
  </w:footnote>
  <w:footnote w:id="15">
    <w:p w:rsidR="00824431" w:rsidRDefault="00431F5D">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 xml:space="preserve">Solomon </w:t>
      </w:r>
      <w:r>
        <w:rPr>
          <w:rFonts w:ascii="Arial" w:hAnsi="Arial" w:cs="Arial"/>
        </w:rPr>
        <w:t>at 24.</w:t>
      </w:r>
    </w:p>
  </w:footnote>
  <w:footnote w:id="16">
    <w:p w:rsidR="00824431" w:rsidRDefault="00431F5D">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Id.</w:t>
      </w:r>
      <w:r>
        <w:rPr>
          <w:rFonts w:ascii="Arial" w:hAnsi="Arial" w:cs="Arial"/>
        </w:rPr>
        <w:t xml:space="preserve"> at 26 (</w:t>
      </w:r>
      <w:r>
        <w:rPr>
          <w:rFonts w:ascii="Arial" w:hAnsi="Arial" w:cs="Arial"/>
          <w:i/>
        </w:rPr>
        <w:t>citing N.J. Bd. of Pub. Utils.</w:t>
      </w:r>
      <w:r>
        <w:rPr>
          <w:rFonts w:ascii="Arial" w:hAnsi="Arial" w:cs="Arial"/>
        </w:rPr>
        <w:t xml:space="preserve"> v. F.E.R.C., 744 F.3d 74, 97 (3d Cir.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p w:rsidR="00824431" w:rsidRDefault="00824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p w:rsidR="00824431" w:rsidRDefault="008244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E3" w:rsidRDefault="00103F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1" w:rsidRDefault="00824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E82A196A"/>
    <w:lvl w:ilvl="0">
      <w:start w:val="1"/>
      <w:numFmt w:val="upperRoman"/>
      <w:pStyle w:val="Heading1"/>
      <w:lvlText w:val="%1."/>
      <w:lvlJc w:val="left"/>
      <w:pPr>
        <w:tabs>
          <w:tab w:val="num" w:pos="720"/>
        </w:tabs>
        <w:ind w:left="720" w:hanging="720"/>
      </w:pPr>
      <w:rPr>
        <w:b w:val="0"/>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val="0"/>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31"/>
    <w:rsid w:val="0006587D"/>
    <w:rsid w:val="00103FE3"/>
    <w:rsid w:val="001875A4"/>
    <w:rsid w:val="001B3453"/>
    <w:rsid w:val="004005BD"/>
    <w:rsid w:val="00431F5D"/>
    <w:rsid w:val="004C3E99"/>
    <w:rsid w:val="00824431"/>
    <w:rsid w:val="009A7FF6"/>
    <w:rsid w:val="00AB2913"/>
    <w:rsid w:val="00E10B4A"/>
    <w:rsid w:val="00E64DBD"/>
    <w:rsid w:val="00EE2FC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pPr>
    <w:rPr>
      <w:sz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33E30"/>
    <w:rPr>
      <w:sz w:val="16"/>
      <w:szCs w:val="16"/>
    </w:rPr>
  </w:style>
  <w:style w:type="paragraph" w:styleId="CommentText">
    <w:name w:val="annotation text"/>
    <w:basedOn w:val="Normal"/>
    <w:link w:val="CommentTextChar"/>
    <w:uiPriority w:val="99"/>
    <w:semiHidden/>
    <w:unhideWhenUsed/>
    <w:rsid w:val="00D33E30"/>
    <w:pPr>
      <w:spacing w:line="240" w:lineRule="auto"/>
    </w:pPr>
    <w:rPr>
      <w:sz w:val="20"/>
    </w:rPr>
  </w:style>
  <w:style w:type="character" w:customStyle="1" w:styleId="CommentTextChar">
    <w:name w:val="Comment Text Char"/>
    <w:basedOn w:val="DefaultParagraphFont"/>
    <w:link w:val="CommentText"/>
    <w:uiPriority w:val="99"/>
    <w:semiHidden/>
    <w:rsid w:val="00D33E30"/>
  </w:style>
  <w:style w:type="paragraph" w:styleId="CommentSubject">
    <w:name w:val="annotation subject"/>
    <w:basedOn w:val="CommentText"/>
    <w:next w:val="CommentText"/>
    <w:link w:val="CommentSubjectChar"/>
    <w:uiPriority w:val="99"/>
    <w:semiHidden/>
    <w:unhideWhenUsed/>
    <w:rsid w:val="00D33E30"/>
    <w:rPr>
      <w:b/>
      <w:bCs/>
    </w:rPr>
  </w:style>
  <w:style w:type="character" w:customStyle="1" w:styleId="CommentSubjectChar">
    <w:name w:val="Comment Subject Char"/>
    <w:basedOn w:val="CommentTextChar"/>
    <w:link w:val="CommentSubject"/>
    <w:uiPriority w:val="99"/>
    <w:semiHidden/>
    <w:rsid w:val="00D33E30"/>
    <w:rPr>
      <w:b/>
      <w:bCs/>
    </w:rPr>
  </w:style>
  <w:style w:type="paragraph" w:styleId="BalloonText">
    <w:name w:val="Balloon Text"/>
    <w:basedOn w:val="Normal"/>
    <w:link w:val="BalloonTextChar"/>
    <w:uiPriority w:val="99"/>
    <w:semiHidden/>
    <w:unhideWhenUsed/>
    <w:rsid w:val="00D33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30"/>
    <w:rPr>
      <w:rFonts w:ascii="Tahoma" w:hAnsi="Tahoma" w:cs="Tahoma"/>
      <w:sz w:val="16"/>
      <w:szCs w:val="16"/>
    </w:rPr>
  </w:style>
  <w:style w:type="paragraph" w:styleId="Revision">
    <w:name w:val="Revision"/>
    <w:hidden/>
    <w:uiPriority w:val="99"/>
    <w:semiHidden/>
    <w:rsid w:val="00D33E30"/>
    <w:pPr>
      <w:spacing w:after="0"/>
    </w:pPr>
    <w:rPr>
      <w:sz w:val="24"/>
    </w:rPr>
  </w:style>
  <w:style w:type="character" w:styleId="FollowedHyperlink">
    <w:name w:val="FollowedHyperlink"/>
    <w:basedOn w:val="DefaultParagraphFont"/>
    <w:uiPriority w:val="99"/>
    <w:semiHidden/>
    <w:unhideWhenUsed/>
    <w:rsid w:val="00E461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pPr>
    <w:rPr>
      <w:sz w:val="24"/>
    </w:rPr>
  </w:style>
  <w:style w:type="paragraph" w:styleId="Heading1">
    <w:name w:val="heading 1"/>
    <w:basedOn w:val="Normal"/>
    <w:next w:val="Normal"/>
    <w:link w:val="Heading1Char"/>
    <w:uiPriority w:val="9"/>
    <w:qFormat/>
    <w:pPr>
      <w:numPr>
        <w:numId w:val="2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D33E30"/>
    <w:rPr>
      <w:sz w:val="16"/>
      <w:szCs w:val="16"/>
    </w:rPr>
  </w:style>
  <w:style w:type="paragraph" w:styleId="CommentText">
    <w:name w:val="annotation text"/>
    <w:basedOn w:val="Normal"/>
    <w:link w:val="CommentTextChar"/>
    <w:uiPriority w:val="99"/>
    <w:semiHidden/>
    <w:unhideWhenUsed/>
    <w:rsid w:val="00D33E30"/>
    <w:pPr>
      <w:spacing w:line="240" w:lineRule="auto"/>
    </w:pPr>
    <w:rPr>
      <w:sz w:val="20"/>
    </w:rPr>
  </w:style>
  <w:style w:type="character" w:customStyle="1" w:styleId="CommentTextChar">
    <w:name w:val="Comment Text Char"/>
    <w:basedOn w:val="DefaultParagraphFont"/>
    <w:link w:val="CommentText"/>
    <w:uiPriority w:val="99"/>
    <w:semiHidden/>
    <w:rsid w:val="00D33E30"/>
  </w:style>
  <w:style w:type="paragraph" w:styleId="CommentSubject">
    <w:name w:val="annotation subject"/>
    <w:basedOn w:val="CommentText"/>
    <w:next w:val="CommentText"/>
    <w:link w:val="CommentSubjectChar"/>
    <w:uiPriority w:val="99"/>
    <w:semiHidden/>
    <w:unhideWhenUsed/>
    <w:rsid w:val="00D33E30"/>
    <w:rPr>
      <w:b/>
      <w:bCs/>
    </w:rPr>
  </w:style>
  <w:style w:type="character" w:customStyle="1" w:styleId="CommentSubjectChar">
    <w:name w:val="Comment Subject Char"/>
    <w:basedOn w:val="CommentTextChar"/>
    <w:link w:val="CommentSubject"/>
    <w:uiPriority w:val="99"/>
    <w:semiHidden/>
    <w:rsid w:val="00D33E30"/>
    <w:rPr>
      <w:b/>
      <w:bCs/>
    </w:rPr>
  </w:style>
  <w:style w:type="paragraph" w:styleId="BalloonText">
    <w:name w:val="Balloon Text"/>
    <w:basedOn w:val="Normal"/>
    <w:link w:val="BalloonTextChar"/>
    <w:uiPriority w:val="99"/>
    <w:semiHidden/>
    <w:unhideWhenUsed/>
    <w:rsid w:val="00D33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30"/>
    <w:rPr>
      <w:rFonts w:ascii="Tahoma" w:hAnsi="Tahoma" w:cs="Tahoma"/>
      <w:sz w:val="16"/>
      <w:szCs w:val="16"/>
    </w:rPr>
  </w:style>
  <w:style w:type="paragraph" w:styleId="Revision">
    <w:name w:val="Revision"/>
    <w:hidden/>
    <w:uiPriority w:val="99"/>
    <w:semiHidden/>
    <w:rsid w:val="00D33E30"/>
    <w:pPr>
      <w:spacing w:after="0"/>
    </w:pPr>
    <w:rPr>
      <w:sz w:val="24"/>
    </w:rPr>
  </w:style>
  <w:style w:type="character" w:styleId="FollowedHyperlink">
    <w:name w:val="FollowedHyperlink"/>
    <w:basedOn w:val="DefaultParagraphFont"/>
    <w:uiPriority w:val="99"/>
    <w:semiHidden/>
    <w:unhideWhenUsed/>
    <w:rsid w:val="00E46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1620">
      <w:bodyDiv w:val="1"/>
      <w:marLeft w:val="0"/>
      <w:marRight w:val="0"/>
      <w:marTop w:val="0"/>
      <w:marBottom w:val="0"/>
      <w:divBdr>
        <w:top w:val="none" w:sz="0" w:space="0" w:color="auto"/>
        <w:left w:val="none" w:sz="0" w:space="0" w:color="auto"/>
        <w:bottom w:val="none" w:sz="0" w:space="0" w:color="auto"/>
        <w:right w:val="none" w:sz="0" w:space="0" w:color="auto"/>
      </w:divBdr>
      <w:divsChild>
        <w:div w:id="1176723795">
          <w:marLeft w:val="0"/>
          <w:marRight w:val="0"/>
          <w:marTop w:val="0"/>
          <w:marBottom w:val="0"/>
          <w:divBdr>
            <w:top w:val="none" w:sz="0" w:space="0" w:color="auto"/>
            <w:left w:val="none" w:sz="0" w:space="0" w:color="auto"/>
            <w:bottom w:val="none" w:sz="0" w:space="0" w:color="auto"/>
            <w:right w:val="none" w:sz="0" w:space="0" w:color="auto"/>
          </w:divBdr>
        </w:div>
        <w:div w:id="1351183948">
          <w:marLeft w:val="0"/>
          <w:marRight w:val="0"/>
          <w:marTop w:val="0"/>
          <w:marBottom w:val="0"/>
          <w:divBdr>
            <w:top w:val="none" w:sz="0" w:space="0" w:color="auto"/>
            <w:left w:val="none" w:sz="0" w:space="0" w:color="auto"/>
            <w:bottom w:val="none" w:sz="0" w:space="0" w:color="auto"/>
            <w:right w:val="none" w:sz="0" w:space="0" w:color="auto"/>
          </w:divBdr>
        </w:div>
        <w:div w:id="140469458">
          <w:marLeft w:val="0"/>
          <w:marRight w:val="0"/>
          <w:marTop w:val="0"/>
          <w:marBottom w:val="0"/>
          <w:divBdr>
            <w:top w:val="none" w:sz="0" w:space="0" w:color="auto"/>
            <w:left w:val="none" w:sz="0" w:space="0" w:color="auto"/>
            <w:bottom w:val="none" w:sz="0" w:space="0" w:color="auto"/>
            <w:right w:val="none" w:sz="0" w:space="0" w:color="auto"/>
          </w:divBdr>
        </w:div>
        <w:div w:id="2016374896">
          <w:marLeft w:val="0"/>
          <w:marRight w:val="0"/>
          <w:marTop w:val="0"/>
          <w:marBottom w:val="0"/>
          <w:divBdr>
            <w:top w:val="none" w:sz="0" w:space="0" w:color="auto"/>
            <w:left w:val="none" w:sz="0" w:space="0" w:color="auto"/>
            <w:bottom w:val="none" w:sz="0" w:space="0" w:color="auto"/>
            <w:right w:val="none" w:sz="0" w:space="0" w:color="auto"/>
          </w:divBdr>
        </w:div>
        <w:div w:id="641617624">
          <w:marLeft w:val="0"/>
          <w:marRight w:val="0"/>
          <w:marTop w:val="0"/>
          <w:marBottom w:val="0"/>
          <w:divBdr>
            <w:top w:val="none" w:sz="0" w:space="0" w:color="auto"/>
            <w:left w:val="none" w:sz="0" w:space="0" w:color="auto"/>
            <w:bottom w:val="none" w:sz="0" w:space="0" w:color="auto"/>
            <w:right w:val="none" w:sz="0" w:space="0" w:color="auto"/>
          </w:divBdr>
        </w:div>
        <w:div w:id="1717925952">
          <w:marLeft w:val="0"/>
          <w:marRight w:val="0"/>
          <w:marTop w:val="0"/>
          <w:marBottom w:val="0"/>
          <w:divBdr>
            <w:top w:val="none" w:sz="0" w:space="0" w:color="auto"/>
            <w:left w:val="none" w:sz="0" w:space="0" w:color="auto"/>
            <w:bottom w:val="none" w:sz="0" w:space="0" w:color="auto"/>
            <w:right w:val="none" w:sz="0" w:space="0" w:color="auto"/>
          </w:divBdr>
        </w:div>
        <w:div w:id="160487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1683</Words>
  <Characters>9759</Characters>
  <Application>Microsoft Office Word</Application>
  <DocSecurity>0</DocSecurity>
  <PresentationFormat/>
  <Lines>283</Lines>
  <Paragraphs>137</Paragraphs>
  <ScaleCrop>false</ScaleCrop>
  <HeadingPairs>
    <vt:vector size="2" baseType="variant">
      <vt:variant>
        <vt:lpstr>Title</vt:lpstr>
      </vt:variant>
      <vt:variant>
        <vt:i4>1</vt:i4>
      </vt:variant>
    </vt:vector>
  </HeadingPairs>
  <TitlesOfParts>
    <vt:vector size="1" baseType="lpstr">
      <vt:lpstr>14-1186-EL-RDR IEU-Ohio's Reply to Memo in Opposition to Additional Authority (C45807-2).DOCX</vt:lpstr>
    </vt:vector>
  </TitlesOfParts>
  <Company>Some Company, Inc.</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14-1186-EL-RDR IEU-Ohio's Reply to Memo in Opposition to Additional Authority (C45807-2).DOCX</dc:title>
  <dc:subject>C45807:2 /font=8</dc:subject>
  <dc:creator>Debbie Ryan</dc:creator>
  <cp:lastModifiedBy>Debbie Ryan</cp:lastModifiedBy>
  <cp:revision>2</cp:revision>
  <cp:lastPrinted>2014-10-09T14:41:00Z</cp:lastPrinted>
  <dcterms:created xsi:type="dcterms:W3CDTF">2014-10-09T17:31:00Z</dcterms:created>
  <dcterms:modified xsi:type="dcterms:W3CDTF">2014-10-09T17:31:00Z</dcterms:modified>
</cp:coreProperties>
</file>