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F5470" w:rsidRPr="008F138D" w:rsidP="00025DB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_GoBack"/>
      <w:bookmarkEnd w:id="0"/>
      <w:r w:rsidRPr="008F138D">
        <w:rPr>
          <w:rFonts w:ascii="Times New Roman" w:hAnsi="Times New Roman" w:cs="Times New Roman"/>
          <w:b/>
          <w:sz w:val="24"/>
          <w:szCs w:val="24"/>
        </w:rPr>
        <w:t>BEFORE</w:t>
      </w:r>
    </w:p>
    <w:p w:rsidR="001F5470" w:rsidRPr="00090802" w:rsidP="00090802">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F138D">
        <w:rPr>
          <w:rFonts w:ascii="Times New Roman" w:hAnsi="Times New Roman" w:cs="Times New Roman"/>
          <w:b/>
          <w:sz w:val="24"/>
          <w:szCs w:val="24"/>
        </w:rPr>
        <w:t>THE PUBLIC UTILITIES COMMISSION OF OHIO</w:t>
      </w:r>
    </w:p>
    <w:p w:rsidR="00FD0089">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352"/>
        <w:gridCol w:w="4430"/>
      </w:tblGrid>
      <w:tr w:rsidTr="00E04664">
        <w:tblPrEx>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148" w:type="dxa"/>
          </w:tcPr>
          <w:p w:rsidR="008F138D" w:rsidP="008F138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the Matter of the Commission</w:t>
            </w:r>
            <w:r w:rsidR="00F15902">
              <w:rPr>
                <w:rFonts w:ascii="Times New Roman" w:hAnsi="Times New Roman" w:cs="Times New Roman"/>
                <w:sz w:val="24"/>
                <w:szCs w:val="24"/>
              </w:rPr>
              <w:t>’</w:t>
            </w:r>
            <w:r>
              <w:rPr>
                <w:rFonts w:ascii="Times New Roman" w:hAnsi="Times New Roman" w:cs="Times New Roman"/>
                <w:sz w:val="24"/>
                <w:szCs w:val="24"/>
              </w:rPr>
              <w:t xml:space="preserve">s </w:t>
            </w:r>
          </w:p>
          <w:p w:rsidR="00FD0089" w:rsidP="0009080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Investigation of Submetering in the State of</w:t>
            </w:r>
            <w:r w:rsidR="00090802">
              <w:rPr>
                <w:rFonts w:ascii="Times New Roman" w:hAnsi="Times New Roman" w:cs="Times New Roman"/>
                <w:sz w:val="24"/>
                <w:szCs w:val="24"/>
              </w:rPr>
              <w:t xml:space="preserve"> </w:t>
            </w:r>
            <w:r>
              <w:rPr>
                <w:rFonts w:ascii="Times New Roman" w:hAnsi="Times New Roman" w:cs="Times New Roman"/>
                <w:sz w:val="24"/>
                <w:szCs w:val="24"/>
              </w:rPr>
              <w:t>Ohio</w:t>
            </w:r>
            <w:r w:rsidR="00090802">
              <w:rPr>
                <w:rFonts w:ascii="Times New Roman" w:hAnsi="Times New Roman" w:cs="Times New Roman"/>
                <w:sz w:val="24"/>
                <w:szCs w:val="24"/>
              </w:rPr>
              <w:t>.</w:t>
            </w:r>
          </w:p>
        </w:tc>
        <w:tc>
          <w:tcPr>
            <w:tcW w:w="352" w:type="dxa"/>
          </w:tcPr>
          <w:p w:rsidR="00FD008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9D188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4430" w:type="dxa"/>
          </w:tcPr>
          <w:p w:rsidR="00FD0089">
            <w:pPr>
              <w:widowControl w:val="0"/>
              <w:autoSpaceDE w:val="0"/>
              <w:autoSpaceDN w:val="0"/>
              <w:adjustRightInd w:val="0"/>
              <w:rPr>
                <w:rFonts w:ascii="Times New Roman" w:hAnsi="Times New Roman" w:cs="Times New Roman"/>
                <w:sz w:val="24"/>
                <w:szCs w:val="24"/>
              </w:rPr>
            </w:pPr>
          </w:p>
          <w:p w:rsidR="008F138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Case No. 15-1594-AU-COI</w:t>
            </w:r>
          </w:p>
        </w:tc>
      </w:tr>
    </w:tbl>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090802">
        <w:rPr>
          <w:rFonts w:ascii="Times New Roman" w:hAnsi="Times New Roman" w:cs="Times New Roman"/>
          <w:sz w:val="24"/>
          <w:szCs w:val="24"/>
        </w:rPr>
        <w:t>____________________________</w:t>
      </w:r>
    </w:p>
    <w:p w:rsidR="008F138D" w:rsidP="008F138D">
      <w:pPr>
        <w:widowControl w:val="0"/>
        <w:autoSpaceDE w:val="0"/>
        <w:autoSpaceDN w:val="0"/>
        <w:adjustRightInd w:val="0"/>
        <w:spacing w:after="0" w:line="240" w:lineRule="auto"/>
        <w:jc w:val="center"/>
        <w:rPr>
          <w:rFonts w:ascii="Times New Roman" w:hAnsi="Times New Roman" w:cs="Times New Roman"/>
          <w:b/>
          <w:sz w:val="24"/>
          <w:szCs w:val="24"/>
        </w:rPr>
      </w:pPr>
    </w:p>
    <w:p w:rsidR="001F5470" w:rsidRPr="008F138D" w:rsidP="009027B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F138D" w:rsidR="008F138D">
        <w:rPr>
          <w:rFonts w:ascii="Times New Roman" w:hAnsi="Times New Roman" w:cs="Times New Roman"/>
          <w:b/>
          <w:sz w:val="24"/>
          <w:szCs w:val="24"/>
        </w:rPr>
        <w:t>MEMORANDUM CONTRA</w:t>
      </w:r>
      <w:r w:rsidR="000442AD">
        <w:rPr>
          <w:rFonts w:ascii="Times New Roman" w:hAnsi="Times New Roman" w:cs="Times New Roman"/>
          <w:b/>
          <w:sz w:val="24"/>
          <w:szCs w:val="24"/>
        </w:rPr>
        <w:t xml:space="preserve"> </w:t>
      </w:r>
      <w:r w:rsidR="009F30BF">
        <w:rPr>
          <w:rFonts w:ascii="Times New Roman" w:hAnsi="Times New Roman" w:cs="Times New Roman"/>
          <w:b/>
          <w:sz w:val="24"/>
          <w:szCs w:val="24"/>
        </w:rPr>
        <w:t>AP&amp;L</w:t>
      </w:r>
      <w:r w:rsidR="00F15902">
        <w:rPr>
          <w:rFonts w:ascii="Times New Roman" w:hAnsi="Times New Roman" w:cs="Times New Roman"/>
          <w:b/>
          <w:sz w:val="24"/>
          <w:szCs w:val="24"/>
        </w:rPr>
        <w:t>’</w:t>
      </w:r>
      <w:r w:rsidR="00A5029E">
        <w:rPr>
          <w:rFonts w:ascii="Times New Roman" w:hAnsi="Times New Roman" w:cs="Times New Roman"/>
          <w:b/>
          <w:sz w:val="24"/>
          <w:szCs w:val="24"/>
        </w:rPr>
        <w:t xml:space="preserve">S </w:t>
      </w:r>
      <w:r w:rsidRPr="008F138D" w:rsidR="000442AD">
        <w:rPr>
          <w:rFonts w:ascii="Times New Roman" w:hAnsi="Times New Roman" w:cs="Times New Roman"/>
          <w:b/>
          <w:sz w:val="24"/>
          <w:szCs w:val="24"/>
        </w:rPr>
        <w:t>APPLICATION FOR REHEARING</w:t>
      </w:r>
    </w:p>
    <w:p w:rsidR="000442AD" w:rsidP="006B664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0442AD" w:rsidRPr="008F138D" w:rsidP="00FB289D">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THE OFFICE OF THE OHIO CONSUMERS</w:t>
      </w:r>
      <w:r w:rsidR="00F15902">
        <w:rPr>
          <w:rFonts w:ascii="Times New Roman" w:hAnsi="Times New Roman" w:cs="Times New Roman"/>
          <w:b/>
          <w:sz w:val="24"/>
          <w:szCs w:val="24"/>
        </w:rPr>
        <w:t>’</w:t>
      </w:r>
      <w:r>
        <w:rPr>
          <w:rFonts w:ascii="Times New Roman" w:hAnsi="Times New Roman" w:cs="Times New Roman"/>
          <w:b/>
          <w:sz w:val="24"/>
          <w:szCs w:val="24"/>
        </w:rPr>
        <w:t xml:space="preserve"> COUNSEL </w:t>
      </w:r>
    </w:p>
    <w:p w:rsidR="001F5470" w:rsidRPr="0009080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090802">
        <w:rPr>
          <w:rFonts w:ascii="Times New Roman" w:hAnsi="Times New Roman" w:cs="Times New Roman"/>
          <w:b/>
          <w:sz w:val="24"/>
          <w:szCs w:val="24"/>
        </w:rPr>
        <w:t>__________________________</w:t>
      </w:r>
    </w:p>
    <w:p w:rsidR="001F5470" w:rsidRPr="008F138D" w:rsidP="009D188D">
      <w:pPr>
        <w:widowControl w:val="0"/>
        <w:numPr>
          <w:ilvl w:val="0"/>
          <w:numId w:val="1"/>
        </w:numPr>
        <w:autoSpaceDE w:val="0"/>
        <w:autoSpaceDN w:val="0"/>
        <w:adjustRightInd w:val="0"/>
        <w:spacing w:before="240" w:after="0" w:line="240" w:lineRule="auto"/>
        <w:ind w:left="720"/>
        <w:rPr>
          <w:rFonts w:ascii="Times New Roman" w:hAnsi="Times New Roman" w:cs="Times New Roman"/>
          <w:b/>
          <w:sz w:val="24"/>
          <w:szCs w:val="24"/>
        </w:rPr>
      </w:pPr>
      <w:r w:rsidRPr="008F138D">
        <w:rPr>
          <w:rFonts w:ascii="Times New Roman" w:hAnsi="Times New Roman" w:cs="Times New Roman"/>
          <w:b/>
          <w:sz w:val="24"/>
          <w:szCs w:val="24"/>
        </w:rPr>
        <w:t>INTRODUCTION</w:t>
      </w:r>
    </w:p>
    <w:p w:rsidR="008F138D" w:rsidP="00B602D7">
      <w:pPr>
        <w:widowControl w:val="0"/>
        <w:autoSpaceDE w:val="0"/>
        <w:autoSpaceDN w:val="0"/>
        <w:adjustRightInd w:val="0"/>
        <w:spacing w:after="0" w:line="240" w:lineRule="auto"/>
        <w:ind w:left="1080"/>
        <w:rPr>
          <w:rFonts w:ascii="Times New Roman" w:hAnsi="Times New Roman" w:cs="Times New Roman"/>
          <w:sz w:val="24"/>
          <w:szCs w:val="24"/>
        </w:rPr>
      </w:pPr>
    </w:p>
    <w:p w:rsidR="009F30BF" w:rsidP="00A5029E">
      <w:pPr>
        <w:pStyle w:val="BodyTextIndent3"/>
        <w:spacing w:line="480" w:lineRule="auto"/>
      </w:pPr>
      <w:r>
        <w:rPr>
          <w:szCs w:val="24"/>
        </w:rPr>
        <w:t>This case involves protecting</w:t>
      </w:r>
      <w:r w:rsidR="00917B0C">
        <w:rPr>
          <w:szCs w:val="24"/>
        </w:rPr>
        <w:t xml:space="preserve"> </w:t>
      </w:r>
      <w:r>
        <w:rPr>
          <w:szCs w:val="24"/>
        </w:rPr>
        <w:t>Ohioans</w:t>
      </w:r>
      <w:r w:rsidR="00917B0C">
        <w:rPr>
          <w:szCs w:val="24"/>
        </w:rPr>
        <w:t xml:space="preserve"> </w:t>
      </w:r>
      <w:r>
        <w:rPr>
          <w:szCs w:val="24"/>
        </w:rPr>
        <w:t>from the abusive practices</w:t>
      </w:r>
      <w:r>
        <w:t xml:space="preserve"> of certain providers of </w:t>
      </w:r>
      <w:r w:rsidR="00917B0C">
        <w:t>submetered utility service</w:t>
      </w:r>
      <w:r>
        <w:t xml:space="preserve">.  </w:t>
      </w:r>
      <w:r>
        <w:t xml:space="preserve">On June 21, 2017, the Public Utilities Commission of Ohio (“PUCO”) issued its Second Entry on Rehearing in this case.  Among other things, the Second </w:t>
      </w:r>
      <w:r w:rsidR="00FA7354">
        <w:rPr>
          <w:szCs w:val="24"/>
        </w:rPr>
        <w:t>Entry on Rehearing</w:t>
      </w:r>
      <w:r w:rsidR="00FA7354">
        <w:t xml:space="preserve"> </w:t>
      </w:r>
      <w:r w:rsidR="00221587">
        <w:t>established the threshold for the rebuttable presumption that a submetering entity</w:t>
      </w:r>
      <w:r>
        <w:rPr>
          <w:szCs w:val="24"/>
          <w:vertAlign w:val="superscript"/>
        </w:rPr>
        <w:footnoteReference w:id="2"/>
      </w:r>
      <w:r w:rsidR="00221587">
        <w:t xml:space="preserve"> is a public utility and </w:t>
      </w:r>
      <w:r w:rsidR="00AD6F92">
        <w:t xml:space="preserve">thus </w:t>
      </w:r>
      <w:r w:rsidR="00221587">
        <w:t>is subject to PUCO regulation.</w:t>
      </w:r>
      <w:r>
        <w:rPr>
          <w:szCs w:val="24"/>
          <w:vertAlign w:val="superscript"/>
        </w:rPr>
        <w:footnoteReference w:id="3"/>
      </w:r>
      <w:r w:rsidR="00AD6F92">
        <w:t xml:space="preserve">  The PUCO set the threshold at zero percent, i.e., a submetering entity will be presumed to be a public utility if its charges for residential utility service are higher than the total bill of a similarly situated customer of the local public utility. </w:t>
      </w:r>
      <w:r w:rsidR="00746A05">
        <w:t xml:space="preserve"> A submetering entity that is a public utility must provide the consumer protections in Ohio law and the </w:t>
      </w:r>
      <w:r w:rsidR="00F65CAB">
        <w:t xml:space="preserve">PUCO’s </w:t>
      </w:r>
      <w:r w:rsidR="00746A05">
        <w:t xml:space="preserve">rules.  </w:t>
      </w:r>
    </w:p>
    <w:p w:rsidR="00E96887" w:rsidP="00A5029E">
      <w:pPr>
        <w:pStyle w:val="BodyTextIndent3"/>
        <w:spacing w:line="480" w:lineRule="auto"/>
      </w:pPr>
      <w:r>
        <w:t xml:space="preserve">Applications for rehearing of the Second </w:t>
      </w:r>
      <w:r w:rsidR="00FA7354">
        <w:rPr>
          <w:szCs w:val="24"/>
        </w:rPr>
        <w:t>Entry on Rehearing</w:t>
      </w:r>
      <w:r w:rsidR="00FA7354">
        <w:t xml:space="preserve"> </w:t>
      </w:r>
      <w:r>
        <w:t xml:space="preserve">were filed on July 21, 2017.  In its application for rehearing, </w:t>
      </w:r>
      <w:r w:rsidR="00917B0C">
        <w:t>American Power &amp; Light, LLC (</w:t>
      </w:r>
      <w:r w:rsidR="00F15902">
        <w:t>“</w:t>
      </w:r>
      <w:r w:rsidR="009F30BF">
        <w:t>AP&amp;L</w:t>
      </w:r>
      <w:r w:rsidR="00F15902">
        <w:t>”</w:t>
      </w:r>
      <w:r w:rsidR="00917B0C">
        <w:t>)</w:t>
      </w:r>
      <w:r>
        <w:t xml:space="preserve"> asks the PUCO to raise the threshold for the rebuttable presumption to five percent above the local public utility’s charges. </w:t>
      </w:r>
      <w:r w:rsidR="009D188D">
        <w:t xml:space="preserve"> </w:t>
      </w:r>
      <w:r>
        <w:t>T</w:t>
      </w:r>
      <w:r w:rsidRPr="00D607B1">
        <w:rPr>
          <w:szCs w:val="24"/>
        </w:rPr>
        <w:t>he Office of the Ohio Consumers</w:t>
      </w:r>
      <w:r>
        <w:rPr>
          <w:szCs w:val="24"/>
        </w:rPr>
        <w:t>’</w:t>
      </w:r>
      <w:r w:rsidRPr="00D607B1">
        <w:rPr>
          <w:szCs w:val="24"/>
        </w:rPr>
        <w:t xml:space="preserve"> Coun</w:t>
      </w:r>
      <w:r>
        <w:rPr>
          <w:szCs w:val="24"/>
        </w:rPr>
        <w:t>sel</w:t>
      </w:r>
      <w:r w:rsidRPr="00D607B1">
        <w:rPr>
          <w:szCs w:val="24"/>
        </w:rPr>
        <w:t xml:space="preserve"> (</w:t>
      </w:r>
      <w:r>
        <w:rPr>
          <w:szCs w:val="24"/>
        </w:rPr>
        <w:t>“</w:t>
      </w:r>
      <w:r w:rsidRPr="00D607B1">
        <w:rPr>
          <w:szCs w:val="24"/>
        </w:rPr>
        <w:t>OCC</w:t>
      </w:r>
      <w:r>
        <w:rPr>
          <w:szCs w:val="24"/>
        </w:rPr>
        <w:t>”</w:t>
      </w:r>
      <w:r w:rsidRPr="00D607B1">
        <w:rPr>
          <w:szCs w:val="24"/>
        </w:rPr>
        <w:t xml:space="preserve">) </w:t>
      </w:r>
      <w:r>
        <w:t>file</w:t>
      </w:r>
      <w:r w:rsidR="00FB289D">
        <w:t>s</w:t>
      </w:r>
      <w:r>
        <w:t xml:space="preserve"> this </w:t>
      </w:r>
      <w:r>
        <w:t>memorandum contra AP&amp;L’s application for rehearing.</w:t>
      </w:r>
      <w:r>
        <w:rPr>
          <w:rStyle w:val="FootnoteReference"/>
        </w:rPr>
        <w:footnoteReference w:id="4"/>
      </w:r>
      <w:r>
        <w:t xml:space="preserve"> </w:t>
      </w:r>
      <w:r w:rsidR="009D188D">
        <w:t xml:space="preserve"> </w:t>
      </w:r>
      <w:r>
        <w:t xml:space="preserve">AP&amp;L’s proposal would allow submetering entities to charge residential consumers </w:t>
      </w:r>
      <w:r w:rsidR="006F7F4A">
        <w:t xml:space="preserve">five percent </w:t>
      </w:r>
      <w:r>
        <w:t xml:space="preserve">more for </w:t>
      </w:r>
      <w:r w:rsidR="006F7F4A">
        <w:t>their</w:t>
      </w:r>
      <w:r>
        <w:t xml:space="preserve"> public utility services while avoiding scrutiny as to whether the entity is a public utility.  This would harm residential consumers.</w:t>
      </w:r>
    </w:p>
    <w:p w:rsidR="00776F2A" w:rsidP="00A5029E">
      <w:pPr>
        <w:pStyle w:val="BodyTextIndent3"/>
        <w:spacing w:line="480" w:lineRule="auto"/>
        <w:rPr>
          <w:szCs w:val="24"/>
        </w:rPr>
      </w:pPr>
      <w:r>
        <w:t>T</w:t>
      </w:r>
      <w:r w:rsidR="00A5029E">
        <w:t xml:space="preserve">he PUCO should deny </w:t>
      </w:r>
      <w:r w:rsidR="009F30BF">
        <w:t>AP&amp;L</w:t>
      </w:r>
      <w:r w:rsidR="00F15902">
        <w:t>’</w:t>
      </w:r>
      <w:r w:rsidR="00A5029E">
        <w:t>s application for rehearing.  In addition, the PUCO should grant the rehearing sought by OCC and OPLC.</w:t>
      </w:r>
      <w:r>
        <w:rPr>
          <w:rStyle w:val="FootnoteReference"/>
        </w:rPr>
        <w:footnoteReference w:id="5"/>
      </w:r>
      <w:r w:rsidRPr="00DE3076" w:rsidR="00DF5A2C">
        <w:rPr>
          <w:szCs w:val="24"/>
        </w:rPr>
        <w:t xml:space="preserve">  </w:t>
      </w:r>
      <w:r w:rsidR="00ED47C9">
        <w:rPr>
          <w:szCs w:val="24"/>
        </w:rPr>
        <w:t xml:space="preserve"> </w:t>
      </w:r>
    </w:p>
    <w:p w:rsidR="001F5470" w:rsidRPr="008F138D" w:rsidP="004A5EA6">
      <w:pPr>
        <w:widowControl w:val="0"/>
        <w:numPr>
          <w:ilvl w:val="0"/>
          <w:numId w:val="1"/>
        </w:numPr>
        <w:autoSpaceDE w:val="0"/>
        <w:autoSpaceDN w:val="0"/>
        <w:adjustRightInd w:val="0"/>
        <w:spacing w:before="240" w:after="0" w:line="480" w:lineRule="auto"/>
        <w:ind w:left="720"/>
        <w:rPr>
          <w:rFonts w:ascii="Times New Roman" w:hAnsi="Times New Roman" w:cs="Times New Roman"/>
          <w:b/>
          <w:sz w:val="24"/>
          <w:szCs w:val="24"/>
        </w:rPr>
      </w:pPr>
      <w:r>
        <w:rPr>
          <w:rFonts w:ascii="Times New Roman" w:hAnsi="Times New Roman" w:cs="Times New Roman"/>
          <w:b/>
          <w:sz w:val="24"/>
          <w:szCs w:val="24"/>
        </w:rPr>
        <w:t>RECOMMENDATIONS</w:t>
      </w:r>
    </w:p>
    <w:p w:rsidR="004141AE" w:rsidP="00090802">
      <w:pPr>
        <w:widowControl w:val="0"/>
        <w:numPr>
          <w:ilvl w:val="0"/>
          <w:numId w:val="2"/>
        </w:numPr>
        <w:autoSpaceDE w:val="0"/>
        <w:autoSpaceDN w:val="0"/>
        <w:adjustRightInd w:val="0"/>
        <w:spacing w:after="0" w:line="240" w:lineRule="auto"/>
        <w:ind w:left="1440" w:right="720" w:hanging="720"/>
        <w:rPr>
          <w:rFonts w:ascii="Times New Roman" w:hAnsi="Times New Roman" w:cs="Times New Roman"/>
          <w:b/>
          <w:sz w:val="24"/>
          <w:szCs w:val="24"/>
        </w:rPr>
      </w:pPr>
      <w:r>
        <w:rPr>
          <w:rFonts w:ascii="Times New Roman" w:hAnsi="Times New Roman" w:cs="Times New Roman"/>
          <w:b/>
          <w:sz w:val="24"/>
          <w:szCs w:val="24"/>
        </w:rPr>
        <w:t xml:space="preserve">The PUCO should deny </w:t>
      </w:r>
      <w:r w:rsidR="009F30BF">
        <w:rPr>
          <w:rFonts w:ascii="Times New Roman" w:hAnsi="Times New Roman" w:cs="Times New Roman"/>
          <w:b/>
          <w:sz w:val="24"/>
          <w:szCs w:val="24"/>
        </w:rPr>
        <w:t>AP&amp;L</w:t>
      </w:r>
      <w:r w:rsidR="00570F35">
        <w:rPr>
          <w:rFonts w:ascii="Times New Roman" w:hAnsi="Times New Roman" w:cs="Times New Roman"/>
          <w:b/>
          <w:sz w:val="24"/>
          <w:szCs w:val="24"/>
        </w:rPr>
        <w:t xml:space="preserve"> rehearing</w:t>
      </w:r>
      <w:r>
        <w:rPr>
          <w:rFonts w:ascii="Times New Roman" w:hAnsi="Times New Roman" w:cs="Times New Roman"/>
          <w:b/>
          <w:sz w:val="24"/>
          <w:szCs w:val="24"/>
        </w:rPr>
        <w:t xml:space="preserve"> because </w:t>
      </w:r>
      <w:r w:rsidR="0092370C">
        <w:rPr>
          <w:rFonts w:ascii="Times New Roman" w:hAnsi="Times New Roman" w:cs="Times New Roman"/>
          <w:b/>
          <w:sz w:val="24"/>
          <w:szCs w:val="24"/>
        </w:rPr>
        <w:t xml:space="preserve">the five percent threshold for the rebuttable presumption is arbitrary and </w:t>
      </w:r>
      <w:r>
        <w:rPr>
          <w:rFonts w:ascii="Times New Roman" w:hAnsi="Times New Roman" w:cs="Times New Roman"/>
          <w:b/>
          <w:sz w:val="24"/>
          <w:szCs w:val="24"/>
        </w:rPr>
        <w:t>r</w:t>
      </w:r>
      <w:r w:rsidR="00FA3BD0">
        <w:rPr>
          <w:rFonts w:ascii="Times New Roman" w:hAnsi="Times New Roman" w:cs="Times New Roman"/>
          <w:b/>
          <w:sz w:val="24"/>
          <w:szCs w:val="24"/>
        </w:rPr>
        <w:t>aising the threshold would create an invalid assumption that a submetering entity is not charging consumers excessive rates for utility service</w:t>
      </w:r>
      <w:r>
        <w:rPr>
          <w:rFonts w:ascii="Times New Roman" w:hAnsi="Times New Roman" w:cs="Times New Roman"/>
          <w:b/>
          <w:sz w:val="24"/>
          <w:szCs w:val="24"/>
        </w:rPr>
        <w:t xml:space="preserve">. </w:t>
      </w:r>
    </w:p>
    <w:p w:rsidR="004141AE" w:rsidP="00B602D7">
      <w:pPr>
        <w:widowControl w:val="0"/>
        <w:autoSpaceDE w:val="0"/>
        <w:autoSpaceDN w:val="0"/>
        <w:adjustRightInd w:val="0"/>
        <w:spacing w:after="0" w:line="240" w:lineRule="auto"/>
        <w:rPr>
          <w:rFonts w:ascii="Times New Roman" w:hAnsi="Times New Roman" w:cs="Times New Roman"/>
          <w:b/>
          <w:sz w:val="24"/>
          <w:szCs w:val="24"/>
        </w:rPr>
      </w:pPr>
    </w:p>
    <w:p w:rsidR="00DE3076" w:rsidP="004A5E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Second Entry on Rehearing, the PUCO </w:t>
      </w:r>
      <w:r w:rsidR="00851E26">
        <w:rPr>
          <w:rFonts w:ascii="Times New Roman" w:hAnsi="Times New Roman" w:cs="Times New Roman"/>
          <w:sz w:val="24"/>
          <w:szCs w:val="24"/>
        </w:rPr>
        <w:t>set the threshold for the rebuttable presumption that a submetering entity is a public utility.  T</w:t>
      </w:r>
      <w:r w:rsidR="00F8329A">
        <w:rPr>
          <w:rFonts w:ascii="Times New Roman" w:hAnsi="Times New Roman" w:cs="Times New Roman"/>
          <w:sz w:val="24"/>
          <w:szCs w:val="24"/>
        </w:rPr>
        <w:t xml:space="preserve">he PUCO adopted a threshold </w:t>
      </w:r>
      <w:r w:rsidR="00A356E1">
        <w:rPr>
          <w:rFonts w:ascii="Times New Roman" w:hAnsi="Times New Roman" w:cs="Times New Roman"/>
          <w:sz w:val="24"/>
          <w:szCs w:val="24"/>
        </w:rPr>
        <w:t xml:space="preserve">of zero percent above </w:t>
      </w:r>
      <w:r w:rsidRPr="00652C1E" w:rsidR="00652C1E">
        <w:rPr>
          <w:rFonts w:ascii="Times New Roman" w:hAnsi="Times New Roman" w:cs="Times New Roman"/>
          <w:sz w:val="24"/>
          <w:szCs w:val="24"/>
        </w:rPr>
        <w:t xml:space="preserve">what </w:t>
      </w:r>
      <w:r w:rsidR="00652C1E">
        <w:rPr>
          <w:rFonts w:ascii="Times New Roman" w:hAnsi="Times New Roman" w:cs="Times New Roman"/>
          <w:sz w:val="24"/>
          <w:szCs w:val="24"/>
        </w:rPr>
        <w:t>a</w:t>
      </w:r>
      <w:r w:rsidRPr="00652C1E" w:rsidR="00652C1E">
        <w:rPr>
          <w:rFonts w:ascii="Times New Roman" w:hAnsi="Times New Roman" w:cs="Times New Roman"/>
          <w:sz w:val="24"/>
          <w:szCs w:val="24"/>
        </w:rPr>
        <w:t xml:space="preserve"> submetered residential customer</w:t>
      </w:r>
      <w:r w:rsidR="00F15902">
        <w:rPr>
          <w:rFonts w:ascii="Times New Roman" w:hAnsi="Times New Roman" w:cs="Times New Roman"/>
          <w:sz w:val="24"/>
          <w:szCs w:val="24"/>
        </w:rPr>
        <w:t>’</w:t>
      </w:r>
      <w:r w:rsidR="00652C1E">
        <w:rPr>
          <w:rFonts w:ascii="Times New Roman" w:hAnsi="Times New Roman" w:cs="Times New Roman"/>
          <w:sz w:val="24"/>
          <w:szCs w:val="24"/>
        </w:rPr>
        <w:t>s total bill</w:t>
      </w:r>
      <w:r w:rsidRPr="00652C1E" w:rsidR="00652C1E">
        <w:rPr>
          <w:rFonts w:ascii="Times New Roman" w:hAnsi="Times New Roman" w:cs="Times New Roman"/>
          <w:sz w:val="24"/>
          <w:szCs w:val="24"/>
        </w:rPr>
        <w:t xml:space="preserve"> would have been </w:t>
      </w:r>
      <w:r w:rsidR="00FA7354">
        <w:rPr>
          <w:rFonts w:ascii="Times New Roman" w:hAnsi="Times New Roman" w:cs="Times New Roman"/>
          <w:sz w:val="24"/>
          <w:szCs w:val="24"/>
        </w:rPr>
        <w:t xml:space="preserve">if the customer took service under </w:t>
      </w:r>
      <w:r w:rsidRPr="00652C1E" w:rsidR="00652C1E">
        <w:rPr>
          <w:rFonts w:ascii="Times New Roman" w:hAnsi="Times New Roman" w:cs="Times New Roman"/>
          <w:sz w:val="24"/>
          <w:szCs w:val="24"/>
        </w:rPr>
        <w:t>the local public utility</w:t>
      </w:r>
      <w:r w:rsidR="00F15902">
        <w:rPr>
          <w:rFonts w:ascii="Times New Roman" w:hAnsi="Times New Roman" w:cs="Times New Roman"/>
          <w:sz w:val="24"/>
          <w:szCs w:val="24"/>
        </w:rPr>
        <w:t>’</w:t>
      </w:r>
      <w:r w:rsidRPr="00652C1E" w:rsidR="00652C1E">
        <w:rPr>
          <w:rFonts w:ascii="Times New Roman" w:hAnsi="Times New Roman" w:cs="Times New Roman"/>
          <w:sz w:val="24"/>
          <w:szCs w:val="24"/>
        </w:rPr>
        <w:t>s default service</w:t>
      </w:r>
      <w:r w:rsidR="00FA7354">
        <w:rPr>
          <w:rFonts w:ascii="Times New Roman" w:hAnsi="Times New Roman" w:cs="Times New Roman"/>
          <w:sz w:val="24"/>
          <w:szCs w:val="24"/>
        </w:rPr>
        <w:t xml:space="preserve"> tariff</w:t>
      </w:r>
      <w:r w:rsidR="00652C1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652C1E" w:rsidR="00652C1E">
        <w:rPr>
          <w:rFonts w:ascii="Times New Roman" w:hAnsi="Times New Roman" w:cs="Times New Roman"/>
          <w:sz w:val="24"/>
          <w:szCs w:val="24"/>
        </w:rPr>
        <w:t xml:space="preserve"> </w:t>
      </w:r>
      <w:r w:rsidR="00652C1E">
        <w:rPr>
          <w:rFonts w:ascii="Times New Roman" w:hAnsi="Times New Roman" w:cs="Times New Roman"/>
          <w:sz w:val="24"/>
          <w:szCs w:val="24"/>
        </w:rPr>
        <w:t xml:space="preserve"> </w:t>
      </w:r>
      <w:r w:rsidR="009F30BF">
        <w:rPr>
          <w:rFonts w:ascii="Times New Roman" w:hAnsi="Times New Roman" w:cs="Times New Roman"/>
          <w:sz w:val="24"/>
          <w:szCs w:val="24"/>
        </w:rPr>
        <w:t>AP&amp;L</w:t>
      </w:r>
      <w:r w:rsidR="00F8329A">
        <w:rPr>
          <w:rFonts w:ascii="Times New Roman" w:hAnsi="Times New Roman" w:cs="Times New Roman"/>
          <w:sz w:val="24"/>
          <w:szCs w:val="24"/>
        </w:rPr>
        <w:t xml:space="preserve"> urges the PUCO to change the </w:t>
      </w:r>
      <w:r w:rsidR="00652C1E">
        <w:rPr>
          <w:rFonts w:ascii="Times New Roman" w:hAnsi="Times New Roman" w:cs="Times New Roman"/>
          <w:sz w:val="24"/>
          <w:szCs w:val="24"/>
        </w:rPr>
        <w:t xml:space="preserve">threshold to five percent.  </w:t>
      </w:r>
      <w:r w:rsidR="009F30BF">
        <w:rPr>
          <w:rFonts w:ascii="Times New Roman" w:hAnsi="Times New Roman" w:cs="Times New Roman"/>
          <w:sz w:val="24"/>
          <w:szCs w:val="24"/>
        </w:rPr>
        <w:t>AP&amp;L</w:t>
      </w:r>
      <w:r w:rsidR="00652C1E">
        <w:rPr>
          <w:rFonts w:ascii="Times New Roman" w:hAnsi="Times New Roman" w:cs="Times New Roman"/>
          <w:sz w:val="24"/>
          <w:szCs w:val="24"/>
        </w:rPr>
        <w:t xml:space="preserve"> claims a higher threshold is need</w:t>
      </w:r>
      <w:r w:rsidR="004B4167">
        <w:rPr>
          <w:rFonts w:ascii="Times New Roman" w:hAnsi="Times New Roman" w:cs="Times New Roman"/>
          <w:sz w:val="24"/>
          <w:szCs w:val="24"/>
        </w:rPr>
        <w:t>ed</w:t>
      </w:r>
      <w:r w:rsidR="00652C1E">
        <w:rPr>
          <w:rFonts w:ascii="Times New Roman" w:hAnsi="Times New Roman" w:cs="Times New Roman"/>
          <w:sz w:val="24"/>
          <w:szCs w:val="24"/>
        </w:rPr>
        <w:t xml:space="preserve"> to account for fluctuations in the local utility</w:t>
      </w:r>
      <w:r w:rsidR="00F15902">
        <w:rPr>
          <w:rFonts w:ascii="Times New Roman" w:hAnsi="Times New Roman" w:cs="Times New Roman"/>
          <w:sz w:val="24"/>
          <w:szCs w:val="24"/>
        </w:rPr>
        <w:t>’</w:t>
      </w:r>
      <w:r w:rsidR="00652C1E">
        <w:rPr>
          <w:rFonts w:ascii="Times New Roman" w:hAnsi="Times New Roman" w:cs="Times New Roman"/>
          <w:sz w:val="24"/>
          <w:szCs w:val="24"/>
        </w:rPr>
        <w:t>s default rates</w:t>
      </w:r>
      <w:r w:rsidR="00333B85">
        <w:rPr>
          <w:rFonts w:ascii="Times New Roman" w:hAnsi="Times New Roman" w:cs="Times New Roman"/>
          <w:sz w:val="24"/>
          <w:szCs w:val="24"/>
        </w:rPr>
        <w:t xml:space="preserve"> that would be compared to the submetering entity’s charges</w:t>
      </w:r>
      <w:r w:rsidR="00652C1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652C1E">
        <w:rPr>
          <w:rFonts w:ascii="Times New Roman" w:hAnsi="Times New Roman" w:cs="Times New Roman"/>
          <w:sz w:val="24"/>
          <w:szCs w:val="24"/>
        </w:rPr>
        <w:t xml:space="preserve"> </w:t>
      </w:r>
      <w:r w:rsidR="009F30BF">
        <w:rPr>
          <w:rFonts w:ascii="Times New Roman" w:hAnsi="Times New Roman" w:cs="Times New Roman"/>
          <w:sz w:val="24"/>
          <w:szCs w:val="24"/>
        </w:rPr>
        <w:t>AP&amp;L</w:t>
      </w:r>
      <w:r w:rsidR="00F15902">
        <w:rPr>
          <w:rFonts w:ascii="Times New Roman" w:hAnsi="Times New Roman" w:cs="Times New Roman"/>
          <w:sz w:val="24"/>
          <w:szCs w:val="24"/>
        </w:rPr>
        <w:t>’</w:t>
      </w:r>
      <w:r w:rsidR="00652C1E">
        <w:rPr>
          <w:rFonts w:ascii="Times New Roman" w:hAnsi="Times New Roman" w:cs="Times New Roman"/>
          <w:sz w:val="24"/>
          <w:szCs w:val="24"/>
        </w:rPr>
        <w:t>s argument is</w:t>
      </w:r>
      <w:r w:rsidR="004B4167">
        <w:rPr>
          <w:rFonts w:ascii="Times New Roman" w:hAnsi="Times New Roman" w:cs="Times New Roman"/>
          <w:sz w:val="24"/>
          <w:szCs w:val="24"/>
        </w:rPr>
        <w:t xml:space="preserve"> without merit</w:t>
      </w:r>
      <w:r w:rsidR="00652C1E">
        <w:rPr>
          <w:rFonts w:ascii="Times New Roman" w:hAnsi="Times New Roman" w:cs="Times New Roman"/>
          <w:sz w:val="24"/>
          <w:szCs w:val="24"/>
        </w:rPr>
        <w:t>.</w:t>
      </w:r>
    </w:p>
    <w:p w:rsidR="00353764" w:rsidP="004A5E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AP&amp;L</w:t>
      </w:r>
      <w:r w:rsidR="00F15902">
        <w:rPr>
          <w:rFonts w:ascii="Times New Roman" w:hAnsi="Times New Roman" w:cs="Times New Roman"/>
          <w:sz w:val="24"/>
          <w:szCs w:val="24"/>
        </w:rPr>
        <w:t>’</w:t>
      </w:r>
      <w:r>
        <w:rPr>
          <w:rFonts w:ascii="Times New Roman" w:hAnsi="Times New Roman" w:cs="Times New Roman"/>
          <w:sz w:val="24"/>
          <w:szCs w:val="24"/>
        </w:rPr>
        <w:t xml:space="preserve">s five percent proposal is arbitrary.  </w:t>
      </w:r>
      <w:r>
        <w:rPr>
          <w:rFonts w:ascii="Times New Roman" w:hAnsi="Times New Roman" w:cs="Times New Roman"/>
          <w:sz w:val="24"/>
          <w:szCs w:val="24"/>
        </w:rPr>
        <w:t>AP&amp;L</w:t>
      </w:r>
      <w:r>
        <w:rPr>
          <w:rFonts w:ascii="Times New Roman" w:hAnsi="Times New Roman" w:cs="Times New Roman"/>
          <w:sz w:val="24"/>
          <w:szCs w:val="24"/>
        </w:rPr>
        <w:t xml:space="preserve"> does not provide empirical support for its proposed five percent threshold.  </w:t>
      </w:r>
      <w:r w:rsidR="00851E26">
        <w:rPr>
          <w:rFonts w:ascii="Times New Roman" w:hAnsi="Times New Roman" w:cs="Times New Roman"/>
          <w:sz w:val="24"/>
          <w:szCs w:val="24"/>
        </w:rPr>
        <w:t xml:space="preserve">Instead, </w:t>
      </w:r>
      <w:r>
        <w:rPr>
          <w:rFonts w:ascii="Times New Roman" w:hAnsi="Times New Roman" w:cs="Times New Roman"/>
          <w:sz w:val="24"/>
          <w:szCs w:val="24"/>
        </w:rPr>
        <w:t>AP&amp;L</w:t>
      </w:r>
      <w:r w:rsidR="00851E26">
        <w:rPr>
          <w:rFonts w:ascii="Times New Roman" w:hAnsi="Times New Roman" w:cs="Times New Roman"/>
          <w:sz w:val="24"/>
          <w:szCs w:val="24"/>
        </w:rPr>
        <w:t xml:space="preserve"> seems to have picked a random number.  The PUCO, however, must base its decisions on the record of the case.</w:t>
      </w:r>
      <w:r>
        <w:rPr>
          <w:rStyle w:val="FootnoteReference"/>
          <w:rFonts w:ascii="Times New Roman" w:hAnsi="Times New Roman" w:cs="Times New Roman"/>
          <w:sz w:val="24"/>
          <w:szCs w:val="24"/>
        </w:rPr>
        <w:footnoteReference w:id="8"/>
      </w:r>
      <w:r w:rsidR="00851E26">
        <w:rPr>
          <w:rFonts w:ascii="Times New Roman" w:hAnsi="Times New Roman" w:cs="Times New Roman"/>
          <w:sz w:val="24"/>
          <w:szCs w:val="24"/>
        </w:rPr>
        <w:t xml:space="preserve">  </w:t>
      </w:r>
      <w:r w:rsidR="004B4167">
        <w:rPr>
          <w:rFonts w:ascii="Times New Roman" w:hAnsi="Times New Roman" w:cs="Times New Roman"/>
          <w:sz w:val="24"/>
          <w:szCs w:val="24"/>
        </w:rPr>
        <w:t>The record of this case does not support a five percent threshold.  It does, however, support a zero percent threshold.</w:t>
      </w:r>
      <w:r>
        <w:rPr>
          <w:rStyle w:val="FootnoteReference"/>
          <w:rFonts w:ascii="Times New Roman" w:hAnsi="Times New Roman" w:cs="Times New Roman"/>
          <w:sz w:val="24"/>
          <w:szCs w:val="24"/>
        </w:rPr>
        <w:footnoteReference w:id="9"/>
      </w:r>
      <w:r w:rsidR="004B4167">
        <w:rPr>
          <w:rFonts w:ascii="Times New Roman" w:hAnsi="Times New Roman" w:cs="Times New Roman"/>
          <w:sz w:val="24"/>
          <w:szCs w:val="24"/>
        </w:rPr>
        <w:t xml:space="preserve">  </w:t>
      </w:r>
      <w:r>
        <w:rPr>
          <w:rFonts w:ascii="Times New Roman" w:hAnsi="Times New Roman" w:cs="Times New Roman"/>
          <w:sz w:val="24"/>
          <w:szCs w:val="24"/>
        </w:rPr>
        <w:t>The PUCO should not adopt a</w:t>
      </w:r>
      <w:r w:rsidR="00851E26">
        <w:rPr>
          <w:rFonts w:ascii="Times New Roman" w:hAnsi="Times New Roman" w:cs="Times New Roman"/>
          <w:sz w:val="24"/>
          <w:szCs w:val="24"/>
        </w:rPr>
        <w:t>n arbitrary</w:t>
      </w:r>
      <w:r>
        <w:rPr>
          <w:rFonts w:ascii="Times New Roman" w:hAnsi="Times New Roman" w:cs="Times New Roman"/>
          <w:sz w:val="24"/>
          <w:szCs w:val="24"/>
        </w:rPr>
        <w:t xml:space="preserve"> threshold that could cause residential consumers to pay more for utility service</w:t>
      </w:r>
      <w:r w:rsidR="004B4167">
        <w:rPr>
          <w:rFonts w:ascii="Times New Roman" w:hAnsi="Times New Roman" w:cs="Times New Roman"/>
          <w:sz w:val="24"/>
          <w:szCs w:val="24"/>
        </w:rPr>
        <w:t xml:space="preserve"> and would allow submetering entities to avoid PUCO scrutiny</w:t>
      </w:r>
      <w:r>
        <w:rPr>
          <w:rFonts w:ascii="Times New Roman" w:hAnsi="Times New Roman" w:cs="Times New Roman"/>
          <w:sz w:val="24"/>
          <w:szCs w:val="24"/>
        </w:rPr>
        <w:t>.</w:t>
      </w:r>
    </w:p>
    <w:p w:rsidR="00F7310D" w:rsidP="00F731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i</w:t>
      </w:r>
      <w:r>
        <w:rPr>
          <w:rFonts w:ascii="Times New Roman" w:hAnsi="Times New Roman" w:cs="Times New Roman"/>
          <w:sz w:val="24"/>
          <w:szCs w:val="24"/>
        </w:rPr>
        <w:t>ncreasing the threshold percentage</w:t>
      </w:r>
      <w:r w:rsidR="001204D7">
        <w:rPr>
          <w:rFonts w:ascii="Times New Roman" w:hAnsi="Times New Roman" w:cs="Times New Roman"/>
          <w:sz w:val="24"/>
          <w:szCs w:val="24"/>
        </w:rPr>
        <w:t>,</w:t>
      </w:r>
      <w:r>
        <w:rPr>
          <w:rFonts w:ascii="Times New Roman" w:hAnsi="Times New Roman" w:cs="Times New Roman"/>
          <w:sz w:val="24"/>
          <w:szCs w:val="24"/>
        </w:rPr>
        <w:t xml:space="preserve"> as </w:t>
      </w:r>
      <w:r w:rsidR="009F30BF">
        <w:rPr>
          <w:rFonts w:ascii="Times New Roman" w:hAnsi="Times New Roman" w:cs="Times New Roman"/>
          <w:sz w:val="24"/>
          <w:szCs w:val="24"/>
        </w:rPr>
        <w:t>AP&amp;L</w:t>
      </w:r>
      <w:r>
        <w:rPr>
          <w:rFonts w:ascii="Times New Roman" w:hAnsi="Times New Roman" w:cs="Times New Roman"/>
          <w:sz w:val="24"/>
          <w:szCs w:val="24"/>
        </w:rPr>
        <w:t xml:space="preserve"> recommends</w:t>
      </w:r>
      <w:r w:rsidR="001204D7">
        <w:rPr>
          <w:rFonts w:ascii="Times New Roman" w:hAnsi="Times New Roman" w:cs="Times New Roman"/>
          <w:sz w:val="24"/>
          <w:szCs w:val="24"/>
        </w:rPr>
        <w:t>,</w:t>
      </w:r>
      <w:r>
        <w:rPr>
          <w:rFonts w:ascii="Times New Roman" w:hAnsi="Times New Roman" w:cs="Times New Roman"/>
          <w:sz w:val="24"/>
          <w:szCs w:val="24"/>
        </w:rPr>
        <w:t xml:space="preserve"> creates an assumption that fluctuations in the local public utility</w:t>
      </w:r>
      <w:r w:rsidR="00F15902">
        <w:rPr>
          <w:rFonts w:ascii="Times New Roman" w:hAnsi="Times New Roman" w:cs="Times New Roman"/>
          <w:sz w:val="24"/>
          <w:szCs w:val="24"/>
        </w:rPr>
        <w:t>’</w:t>
      </w:r>
      <w:r>
        <w:rPr>
          <w:rFonts w:ascii="Times New Roman" w:hAnsi="Times New Roman" w:cs="Times New Roman"/>
          <w:sz w:val="24"/>
          <w:szCs w:val="24"/>
        </w:rPr>
        <w:t xml:space="preserve">s default service rates is the </w:t>
      </w:r>
      <w:r w:rsidRPr="00F7310D">
        <w:rPr>
          <w:rFonts w:ascii="Times New Roman" w:hAnsi="Times New Roman" w:cs="Times New Roman"/>
          <w:i/>
          <w:sz w:val="24"/>
          <w:szCs w:val="24"/>
        </w:rPr>
        <w:t>only</w:t>
      </w:r>
      <w:r>
        <w:rPr>
          <w:rFonts w:ascii="Times New Roman" w:hAnsi="Times New Roman" w:cs="Times New Roman"/>
          <w:sz w:val="24"/>
          <w:szCs w:val="24"/>
        </w:rPr>
        <w:t xml:space="preserve"> reason a submetering entity </w:t>
      </w:r>
      <w:r w:rsidR="003560BC">
        <w:rPr>
          <w:rFonts w:ascii="Times New Roman" w:hAnsi="Times New Roman" w:cs="Times New Roman"/>
          <w:sz w:val="24"/>
          <w:szCs w:val="24"/>
        </w:rPr>
        <w:t>would charge</w:t>
      </w:r>
      <w:r>
        <w:rPr>
          <w:rFonts w:ascii="Times New Roman" w:hAnsi="Times New Roman" w:cs="Times New Roman"/>
          <w:sz w:val="24"/>
          <w:szCs w:val="24"/>
        </w:rPr>
        <w:t xml:space="preserve"> more than the local </w:t>
      </w:r>
      <w:r w:rsidR="003560BC">
        <w:rPr>
          <w:rFonts w:ascii="Times New Roman" w:hAnsi="Times New Roman" w:cs="Times New Roman"/>
          <w:sz w:val="24"/>
          <w:szCs w:val="24"/>
        </w:rPr>
        <w:t xml:space="preserve">public </w:t>
      </w:r>
      <w:r>
        <w:rPr>
          <w:rFonts w:ascii="Times New Roman" w:hAnsi="Times New Roman" w:cs="Times New Roman"/>
          <w:sz w:val="24"/>
          <w:szCs w:val="24"/>
        </w:rPr>
        <w:t xml:space="preserve">utility.  The PUCO should not </w:t>
      </w:r>
      <w:r w:rsidR="00333B85">
        <w:rPr>
          <w:rFonts w:ascii="Times New Roman" w:hAnsi="Times New Roman" w:cs="Times New Roman"/>
          <w:sz w:val="24"/>
          <w:szCs w:val="24"/>
        </w:rPr>
        <w:t>validate</w:t>
      </w:r>
      <w:r>
        <w:rPr>
          <w:rFonts w:ascii="Times New Roman" w:hAnsi="Times New Roman" w:cs="Times New Roman"/>
          <w:sz w:val="24"/>
          <w:szCs w:val="24"/>
        </w:rPr>
        <w:t xml:space="preserve"> that </w:t>
      </w:r>
      <w:r w:rsidR="00333B85">
        <w:rPr>
          <w:rFonts w:ascii="Times New Roman" w:hAnsi="Times New Roman" w:cs="Times New Roman"/>
          <w:sz w:val="24"/>
          <w:szCs w:val="24"/>
        </w:rPr>
        <w:t xml:space="preserve">erroneous </w:t>
      </w:r>
      <w:r>
        <w:rPr>
          <w:rFonts w:ascii="Times New Roman" w:hAnsi="Times New Roman" w:cs="Times New Roman"/>
          <w:sz w:val="24"/>
          <w:szCs w:val="24"/>
        </w:rPr>
        <w:t xml:space="preserve">assumption.  Even small differences between the </w:t>
      </w:r>
      <w:r w:rsidR="003560BC">
        <w:rPr>
          <w:rFonts w:ascii="Times New Roman" w:hAnsi="Times New Roman" w:cs="Times New Roman"/>
          <w:sz w:val="24"/>
          <w:szCs w:val="24"/>
        </w:rPr>
        <w:t xml:space="preserve">submetering </w:t>
      </w:r>
      <w:r>
        <w:rPr>
          <w:rFonts w:ascii="Times New Roman" w:hAnsi="Times New Roman" w:cs="Times New Roman"/>
          <w:sz w:val="24"/>
          <w:szCs w:val="24"/>
        </w:rPr>
        <w:t>entity</w:t>
      </w:r>
      <w:r w:rsidR="00F15902">
        <w:rPr>
          <w:rFonts w:ascii="Times New Roman" w:hAnsi="Times New Roman" w:cs="Times New Roman"/>
          <w:sz w:val="24"/>
          <w:szCs w:val="24"/>
        </w:rPr>
        <w:t>’</w:t>
      </w:r>
      <w:r>
        <w:rPr>
          <w:rFonts w:ascii="Times New Roman" w:hAnsi="Times New Roman" w:cs="Times New Roman"/>
          <w:sz w:val="24"/>
          <w:szCs w:val="24"/>
        </w:rPr>
        <w:t>s charges and the local utility</w:t>
      </w:r>
      <w:r w:rsidR="00F15902">
        <w:rPr>
          <w:rFonts w:ascii="Times New Roman" w:hAnsi="Times New Roman" w:cs="Times New Roman"/>
          <w:sz w:val="24"/>
          <w:szCs w:val="24"/>
        </w:rPr>
        <w:t>’</w:t>
      </w:r>
      <w:r>
        <w:rPr>
          <w:rFonts w:ascii="Times New Roman" w:hAnsi="Times New Roman" w:cs="Times New Roman"/>
          <w:sz w:val="24"/>
          <w:szCs w:val="24"/>
        </w:rPr>
        <w:t>s charges could exist because of a variety</w:t>
      </w:r>
      <w:r w:rsidR="00835B15">
        <w:rPr>
          <w:rFonts w:ascii="Times New Roman" w:hAnsi="Times New Roman" w:cs="Times New Roman"/>
          <w:sz w:val="24"/>
          <w:szCs w:val="24"/>
        </w:rPr>
        <w:t xml:space="preserve"> of reasons</w:t>
      </w:r>
      <w:r>
        <w:rPr>
          <w:rFonts w:ascii="Times New Roman" w:hAnsi="Times New Roman" w:cs="Times New Roman"/>
          <w:sz w:val="24"/>
          <w:szCs w:val="24"/>
        </w:rPr>
        <w:t>, not the least of which may be the entity</w:t>
      </w:r>
      <w:r w:rsidR="00F15902">
        <w:rPr>
          <w:rFonts w:ascii="Times New Roman" w:hAnsi="Times New Roman" w:cs="Times New Roman"/>
          <w:sz w:val="24"/>
          <w:szCs w:val="24"/>
        </w:rPr>
        <w:t>’</w:t>
      </w:r>
      <w:r w:rsidR="00851E26">
        <w:rPr>
          <w:rFonts w:ascii="Times New Roman" w:hAnsi="Times New Roman" w:cs="Times New Roman"/>
          <w:sz w:val="24"/>
          <w:szCs w:val="24"/>
        </w:rPr>
        <w:t>s</w:t>
      </w:r>
      <w:r>
        <w:rPr>
          <w:rFonts w:ascii="Times New Roman" w:hAnsi="Times New Roman" w:cs="Times New Roman"/>
          <w:sz w:val="24"/>
          <w:szCs w:val="24"/>
        </w:rPr>
        <w:t xml:space="preserve"> markup above what it pays the utility for service.  </w:t>
      </w:r>
      <w:r w:rsidR="001204D7">
        <w:rPr>
          <w:rFonts w:ascii="Times New Roman" w:hAnsi="Times New Roman" w:cs="Times New Roman"/>
          <w:sz w:val="24"/>
          <w:szCs w:val="24"/>
        </w:rPr>
        <w:t xml:space="preserve">In such instances, the entity should be </w:t>
      </w:r>
      <w:r w:rsidR="00333B85">
        <w:rPr>
          <w:rFonts w:ascii="Times New Roman" w:hAnsi="Times New Roman" w:cs="Times New Roman"/>
          <w:sz w:val="24"/>
          <w:szCs w:val="24"/>
        </w:rPr>
        <w:t>presumed</w:t>
      </w:r>
      <w:r w:rsidR="001204D7">
        <w:rPr>
          <w:rFonts w:ascii="Times New Roman" w:hAnsi="Times New Roman" w:cs="Times New Roman"/>
          <w:sz w:val="24"/>
          <w:szCs w:val="24"/>
        </w:rPr>
        <w:t xml:space="preserve"> to be a public utility</w:t>
      </w:r>
      <w:r w:rsidR="00827713">
        <w:rPr>
          <w:rFonts w:ascii="Times New Roman" w:hAnsi="Times New Roman" w:cs="Times New Roman"/>
          <w:sz w:val="24"/>
          <w:szCs w:val="24"/>
        </w:rPr>
        <w:t>, and under PUCO jurisdiction</w:t>
      </w:r>
      <w:r w:rsidR="001204D7">
        <w:rPr>
          <w:rFonts w:ascii="Times New Roman" w:hAnsi="Times New Roman" w:cs="Times New Roman"/>
          <w:sz w:val="24"/>
          <w:szCs w:val="24"/>
        </w:rPr>
        <w:t xml:space="preserve">.  </w:t>
      </w:r>
      <w:r w:rsidR="00BF4DE7">
        <w:rPr>
          <w:rFonts w:ascii="Times New Roman" w:hAnsi="Times New Roman" w:cs="Times New Roman"/>
          <w:sz w:val="24"/>
          <w:szCs w:val="24"/>
        </w:rPr>
        <w:t>By allowing submetering entities to charge more before the rebuttable presumption is invoked</w:t>
      </w:r>
      <w:r w:rsidR="001204D7">
        <w:rPr>
          <w:rFonts w:ascii="Times New Roman" w:hAnsi="Times New Roman" w:cs="Times New Roman"/>
          <w:sz w:val="24"/>
          <w:szCs w:val="24"/>
        </w:rPr>
        <w:t>, a five percent threshold could deprive consumers of essential protections under the PUCO</w:t>
      </w:r>
      <w:r w:rsidR="00F15902">
        <w:rPr>
          <w:rFonts w:ascii="Times New Roman" w:hAnsi="Times New Roman" w:cs="Times New Roman"/>
          <w:sz w:val="24"/>
          <w:szCs w:val="24"/>
        </w:rPr>
        <w:t>’</w:t>
      </w:r>
      <w:r w:rsidR="001204D7">
        <w:rPr>
          <w:rFonts w:ascii="Times New Roman" w:hAnsi="Times New Roman" w:cs="Times New Roman"/>
          <w:sz w:val="24"/>
          <w:szCs w:val="24"/>
        </w:rPr>
        <w:t xml:space="preserve">s rules.  </w:t>
      </w:r>
    </w:p>
    <w:p w:rsidR="007004E3" w:rsidP="00F731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AP&amp;L</w:t>
      </w:r>
      <w:r w:rsidR="00F15902">
        <w:rPr>
          <w:rFonts w:ascii="Times New Roman" w:hAnsi="Times New Roman" w:cs="Times New Roman"/>
          <w:sz w:val="24"/>
          <w:szCs w:val="24"/>
        </w:rPr>
        <w:t>’</w:t>
      </w:r>
      <w:r w:rsidR="00827713">
        <w:rPr>
          <w:rFonts w:ascii="Times New Roman" w:hAnsi="Times New Roman" w:cs="Times New Roman"/>
          <w:sz w:val="24"/>
          <w:szCs w:val="24"/>
        </w:rPr>
        <w:t xml:space="preserve">s argument </w:t>
      </w:r>
      <w:r w:rsidR="003560BC">
        <w:rPr>
          <w:rFonts w:ascii="Times New Roman" w:hAnsi="Times New Roman" w:cs="Times New Roman"/>
          <w:sz w:val="24"/>
          <w:szCs w:val="24"/>
        </w:rPr>
        <w:t xml:space="preserve">highlights </w:t>
      </w:r>
      <w:r w:rsidR="00827713">
        <w:rPr>
          <w:rFonts w:ascii="Times New Roman" w:hAnsi="Times New Roman" w:cs="Times New Roman"/>
          <w:sz w:val="24"/>
          <w:szCs w:val="24"/>
        </w:rPr>
        <w:t xml:space="preserve">the need for the PUCO to grant rehearing, as sought by OCC and OPLC, and </w:t>
      </w:r>
      <w:r w:rsidR="00B50FAD">
        <w:rPr>
          <w:rFonts w:ascii="Times New Roman" w:hAnsi="Times New Roman" w:cs="Times New Roman"/>
          <w:sz w:val="24"/>
          <w:szCs w:val="24"/>
        </w:rPr>
        <w:t xml:space="preserve">remove from the comparison </w:t>
      </w:r>
      <w:r w:rsidR="003560BC">
        <w:rPr>
          <w:rFonts w:ascii="Times New Roman" w:hAnsi="Times New Roman" w:cs="Times New Roman"/>
          <w:sz w:val="24"/>
          <w:szCs w:val="24"/>
        </w:rPr>
        <w:t xml:space="preserve">the </w:t>
      </w:r>
      <w:r w:rsidR="00B50FAD">
        <w:rPr>
          <w:rFonts w:ascii="Times New Roman" w:hAnsi="Times New Roman" w:cs="Times New Roman"/>
          <w:sz w:val="24"/>
          <w:szCs w:val="24"/>
        </w:rPr>
        <w:t xml:space="preserve">costs the </w:t>
      </w:r>
      <w:r w:rsidR="00E54784">
        <w:rPr>
          <w:rFonts w:ascii="Times New Roman" w:hAnsi="Times New Roman" w:cs="Times New Roman"/>
          <w:sz w:val="24"/>
          <w:szCs w:val="24"/>
        </w:rPr>
        <w:t xml:space="preserve">submetering entity </w:t>
      </w:r>
      <w:r w:rsidR="00B50FAD">
        <w:rPr>
          <w:rFonts w:ascii="Times New Roman" w:hAnsi="Times New Roman" w:cs="Times New Roman"/>
          <w:sz w:val="24"/>
          <w:szCs w:val="24"/>
        </w:rPr>
        <w:t>does not incur</w:t>
      </w:r>
      <w:r w:rsidR="00E54784">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E54784">
        <w:rPr>
          <w:rFonts w:ascii="Times New Roman" w:hAnsi="Times New Roman" w:cs="Times New Roman"/>
          <w:sz w:val="24"/>
          <w:szCs w:val="24"/>
        </w:rPr>
        <w:t xml:space="preserve">  </w:t>
      </w:r>
      <w:r>
        <w:rPr>
          <w:rFonts w:ascii="Times New Roman" w:hAnsi="Times New Roman" w:cs="Times New Roman"/>
          <w:sz w:val="24"/>
          <w:szCs w:val="24"/>
        </w:rPr>
        <w:t>AP&amp;L</w:t>
      </w:r>
      <w:r w:rsidR="00B50FAD">
        <w:rPr>
          <w:rFonts w:ascii="Times New Roman" w:hAnsi="Times New Roman" w:cs="Times New Roman"/>
          <w:sz w:val="24"/>
          <w:szCs w:val="24"/>
        </w:rPr>
        <w:t xml:space="preserve"> noted that a local public utility customer</w:t>
      </w:r>
      <w:r w:rsidR="00F15902">
        <w:rPr>
          <w:rFonts w:ascii="Times New Roman" w:hAnsi="Times New Roman" w:cs="Times New Roman"/>
          <w:sz w:val="24"/>
          <w:szCs w:val="24"/>
        </w:rPr>
        <w:t>’</w:t>
      </w:r>
      <w:r w:rsidR="00B50FAD">
        <w:rPr>
          <w:rFonts w:ascii="Times New Roman" w:hAnsi="Times New Roman" w:cs="Times New Roman"/>
          <w:sz w:val="24"/>
          <w:szCs w:val="24"/>
        </w:rPr>
        <w:t>s total bill may reflect base rate adjustments, rider adjustments, credits, refunds, and other items that might not apply to the submetering entity costs.</w:t>
      </w:r>
      <w:r>
        <w:rPr>
          <w:rStyle w:val="FootnoteReference"/>
          <w:rFonts w:ascii="Times New Roman" w:hAnsi="Times New Roman" w:cs="Times New Roman"/>
          <w:sz w:val="24"/>
          <w:szCs w:val="24"/>
        </w:rPr>
        <w:footnoteReference w:id="11"/>
      </w:r>
      <w:r w:rsidR="00B50FAD">
        <w:rPr>
          <w:rFonts w:ascii="Times New Roman" w:hAnsi="Times New Roman" w:cs="Times New Roman"/>
          <w:sz w:val="24"/>
          <w:szCs w:val="24"/>
        </w:rPr>
        <w:t xml:space="preserve">  Thus, comparing a submetered residential utility bill to the total bill of a similarly situated local public utility customer would likely not be</w:t>
      </w:r>
      <w:r w:rsidRPr="002A0146" w:rsidR="002A0146">
        <w:rPr>
          <w:rFonts w:ascii="Times New Roman" w:hAnsi="Times New Roman" w:cs="Times New Roman"/>
          <w:sz w:val="24"/>
          <w:szCs w:val="24"/>
        </w:rPr>
        <w:t xml:space="preserve"> </w:t>
      </w:r>
      <w:r w:rsidR="002A0146">
        <w:rPr>
          <w:rFonts w:ascii="Times New Roman" w:hAnsi="Times New Roman" w:cs="Times New Roman"/>
          <w:sz w:val="24"/>
          <w:szCs w:val="24"/>
        </w:rPr>
        <w:t>valid</w:t>
      </w:r>
      <w:r w:rsidR="00B50FAD">
        <w:rPr>
          <w:rFonts w:ascii="Times New Roman" w:hAnsi="Times New Roman" w:cs="Times New Roman"/>
          <w:sz w:val="24"/>
          <w:szCs w:val="24"/>
        </w:rPr>
        <w:t xml:space="preserve">.  </w:t>
      </w:r>
      <w:r>
        <w:rPr>
          <w:rFonts w:ascii="Times New Roman" w:hAnsi="Times New Roman" w:cs="Times New Roman"/>
          <w:sz w:val="24"/>
          <w:szCs w:val="24"/>
        </w:rPr>
        <w:t xml:space="preserve">Further, as </w:t>
      </w:r>
      <w:r w:rsidR="00AC2DA3">
        <w:rPr>
          <w:rFonts w:ascii="Times New Roman" w:hAnsi="Times New Roman" w:cs="Times New Roman"/>
          <w:sz w:val="24"/>
          <w:szCs w:val="24"/>
        </w:rPr>
        <w:t xml:space="preserve">already shown </w:t>
      </w:r>
      <w:r>
        <w:rPr>
          <w:rFonts w:ascii="Times New Roman" w:hAnsi="Times New Roman" w:cs="Times New Roman"/>
          <w:sz w:val="24"/>
          <w:szCs w:val="24"/>
        </w:rPr>
        <w:t xml:space="preserve">in this proceeding, there is approximately a 45% </w:t>
      </w:r>
      <w:r w:rsidR="00333B85">
        <w:rPr>
          <w:rFonts w:ascii="Times New Roman" w:hAnsi="Times New Roman" w:cs="Times New Roman"/>
          <w:sz w:val="24"/>
          <w:szCs w:val="24"/>
        </w:rPr>
        <w:t>margin</w:t>
      </w:r>
      <w:r>
        <w:rPr>
          <w:rFonts w:ascii="Times New Roman" w:hAnsi="Times New Roman" w:cs="Times New Roman"/>
          <w:sz w:val="24"/>
          <w:szCs w:val="24"/>
        </w:rPr>
        <w:t xml:space="preserve"> between the commercial rates submetering entities are charged by the local public electric utility and that utility’s standard offer.</w:t>
      </w:r>
      <w:r>
        <w:rPr>
          <w:rStyle w:val="FootnoteReference"/>
          <w:rFonts w:ascii="Times New Roman" w:hAnsi="Times New Roman" w:cs="Times New Roman"/>
          <w:sz w:val="24"/>
          <w:szCs w:val="24"/>
        </w:rPr>
        <w:footnoteReference w:id="12"/>
      </w:r>
      <w:r w:rsidR="00040B6C">
        <w:rPr>
          <w:rFonts w:ascii="Times New Roman" w:hAnsi="Times New Roman" w:cs="Times New Roman"/>
          <w:sz w:val="24"/>
          <w:szCs w:val="24"/>
        </w:rPr>
        <w:t xml:space="preserve">  Much of that is due to riders that are in standard offer rates but not in commercial rates.</w:t>
      </w:r>
      <w:r>
        <w:rPr>
          <w:rStyle w:val="FootnoteReference"/>
          <w:rFonts w:ascii="Times New Roman" w:hAnsi="Times New Roman" w:cs="Times New Roman"/>
          <w:sz w:val="24"/>
          <w:szCs w:val="24"/>
        </w:rPr>
        <w:footnoteReference w:id="13"/>
      </w:r>
    </w:p>
    <w:p w:rsidR="00F21BD9" w:rsidP="00F731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protect consumers from unreasonable utility charges, the PUCO should </w:t>
      </w:r>
      <w:r w:rsidR="002A0146">
        <w:rPr>
          <w:rFonts w:ascii="Times New Roman" w:hAnsi="Times New Roman" w:cs="Times New Roman"/>
          <w:sz w:val="24"/>
          <w:szCs w:val="24"/>
        </w:rPr>
        <w:t xml:space="preserve">scrutinize the </w:t>
      </w:r>
      <w:r>
        <w:rPr>
          <w:rFonts w:ascii="Times New Roman" w:hAnsi="Times New Roman" w:cs="Times New Roman"/>
          <w:sz w:val="24"/>
          <w:szCs w:val="24"/>
        </w:rPr>
        <w:t xml:space="preserve">submetering </w:t>
      </w:r>
      <w:r w:rsidR="002A0146">
        <w:rPr>
          <w:rFonts w:ascii="Times New Roman" w:hAnsi="Times New Roman" w:cs="Times New Roman"/>
          <w:sz w:val="24"/>
          <w:szCs w:val="24"/>
        </w:rPr>
        <w:t>entity</w:t>
      </w:r>
      <w:r w:rsidR="00F15902">
        <w:rPr>
          <w:rFonts w:ascii="Times New Roman" w:hAnsi="Times New Roman" w:cs="Times New Roman"/>
          <w:sz w:val="24"/>
          <w:szCs w:val="24"/>
        </w:rPr>
        <w:t>’</w:t>
      </w:r>
      <w:r w:rsidR="002A0146">
        <w:rPr>
          <w:rFonts w:ascii="Times New Roman" w:hAnsi="Times New Roman" w:cs="Times New Roman"/>
          <w:sz w:val="24"/>
          <w:szCs w:val="24"/>
        </w:rPr>
        <w:t>s</w:t>
      </w:r>
      <w:r w:rsidR="008A11C3">
        <w:rPr>
          <w:rFonts w:ascii="Times New Roman" w:hAnsi="Times New Roman" w:cs="Times New Roman"/>
          <w:sz w:val="24"/>
          <w:szCs w:val="24"/>
        </w:rPr>
        <w:t xml:space="preserve"> costs in comparing its charges to the local public utility’s charges for similar residential service</w:t>
      </w:r>
      <w:r w:rsidR="007004E3">
        <w:rPr>
          <w:rFonts w:ascii="Times New Roman" w:hAnsi="Times New Roman" w:cs="Times New Roman"/>
          <w:sz w:val="24"/>
          <w:szCs w:val="24"/>
        </w:rPr>
        <w:t xml:space="preserve">.  </w:t>
      </w:r>
      <w:r w:rsidR="008A11C3">
        <w:rPr>
          <w:rFonts w:ascii="Times New Roman" w:hAnsi="Times New Roman" w:cs="Times New Roman"/>
          <w:sz w:val="24"/>
          <w:szCs w:val="24"/>
        </w:rPr>
        <w:t>If</w:t>
      </w:r>
      <w:r w:rsidR="007004E3">
        <w:rPr>
          <w:rFonts w:ascii="Times New Roman" w:hAnsi="Times New Roman" w:cs="Times New Roman"/>
          <w:sz w:val="24"/>
          <w:szCs w:val="24"/>
        </w:rPr>
        <w:t xml:space="preserve"> the submetering </w:t>
      </w:r>
      <w:r w:rsidR="008A11C3">
        <w:rPr>
          <w:rFonts w:ascii="Times New Roman" w:hAnsi="Times New Roman" w:cs="Times New Roman"/>
          <w:sz w:val="24"/>
          <w:szCs w:val="24"/>
        </w:rPr>
        <w:t xml:space="preserve">entity does not incur costs that are included in the public utility’s charges for residential service, those costs should be removed from </w:t>
      </w:r>
      <w:r w:rsidR="00DF1EC7">
        <w:rPr>
          <w:rFonts w:ascii="Times New Roman" w:hAnsi="Times New Roman" w:cs="Times New Roman"/>
          <w:sz w:val="24"/>
          <w:szCs w:val="24"/>
        </w:rPr>
        <w:t xml:space="preserve">the local public utility customer’s bill for </w:t>
      </w:r>
      <w:r w:rsidR="008A11C3">
        <w:rPr>
          <w:rFonts w:ascii="Times New Roman" w:hAnsi="Times New Roman" w:cs="Times New Roman"/>
          <w:sz w:val="24"/>
          <w:szCs w:val="24"/>
        </w:rPr>
        <w:t>comparison</w:t>
      </w:r>
      <w:r w:rsidR="00DF1EC7">
        <w:rPr>
          <w:rFonts w:ascii="Times New Roman" w:hAnsi="Times New Roman" w:cs="Times New Roman"/>
          <w:sz w:val="24"/>
          <w:szCs w:val="24"/>
        </w:rPr>
        <w:t xml:space="preserve"> purposes</w:t>
      </w:r>
      <w:r w:rsidR="00192740">
        <w:rPr>
          <w:rFonts w:ascii="Times New Roman" w:hAnsi="Times New Roman" w:cs="Times New Roman"/>
          <w:sz w:val="24"/>
          <w:szCs w:val="24"/>
        </w:rPr>
        <w:t xml:space="preserve"> in determining whether the submeterer meets the zero threshold</w:t>
      </w:r>
      <w:r w:rsidR="008A11C3">
        <w:rPr>
          <w:rFonts w:ascii="Times New Roman" w:hAnsi="Times New Roman" w:cs="Times New Roman"/>
          <w:sz w:val="24"/>
          <w:szCs w:val="24"/>
        </w:rPr>
        <w:t>.</w:t>
      </w:r>
    </w:p>
    <w:p w:rsidR="00FA3BD0" w:rsidRPr="0016746A" w:rsidP="009D188D">
      <w:pPr>
        <w:spacing w:after="240" w:line="240" w:lineRule="auto"/>
        <w:ind w:left="1440" w:right="72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570F35">
        <w:rPr>
          <w:rFonts w:ascii="Times New Roman" w:hAnsi="Times New Roman" w:cs="Times New Roman"/>
          <w:b/>
          <w:sz w:val="24"/>
          <w:szCs w:val="24"/>
        </w:rPr>
        <w:t xml:space="preserve">The PUCO should deny </w:t>
      </w:r>
      <w:r w:rsidR="009F30BF">
        <w:rPr>
          <w:rFonts w:ascii="Times New Roman" w:hAnsi="Times New Roman" w:cs="Times New Roman"/>
          <w:b/>
          <w:sz w:val="24"/>
          <w:szCs w:val="24"/>
        </w:rPr>
        <w:t>AP&amp;L</w:t>
      </w:r>
      <w:r w:rsidR="00570F35">
        <w:rPr>
          <w:rFonts w:ascii="Times New Roman" w:hAnsi="Times New Roman" w:cs="Times New Roman"/>
          <w:b/>
          <w:sz w:val="24"/>
          <w:szCs w:val="24"/>
        </w:rPr>
        <w:t xml:space="preserve"> rehearing </w:t>
      </w:r>
      <w:r w:rsidR="00952B5E">
        <w:rPr>
          <w:rFonts w:ascii="Times New Roman" w:hAnsi="Times New Roman" w:cs="Times New Roman"/>
          <w:b/>
          <w:sz w:val="24"/>
          <w:szCs w:val="24"/>
        </w:rPr>
        <w:t xml:space="preserve">because </w:t>
      </w:r>
      <w:r w:rsidR="00570F35">
        <w:rPr>
          <w:rFonts w:ascii="Times New Roman" w:hAnsi="Times New Roman" w:cs="Times New Roman"/>
          <w:b/>
          <w:sz w:val="24"/>
          <w:szCs w:val="24"/>
        </w:rPr>
        <w:t>r</w:t>
      </w:r>
      <w:r w:rsidR="00B42EA8">
        <w:rPr>
          <w:rFonts w:ascii="Times New Roman" w:hAnsi="Times New Roman" w:cs="Times New Roman"/>
          <w:b/>
          <w:sz w:val="24"/>
          <w:szCs w:val="24"/>
        </w:rPr>
        <w:t>aising the threshold to five</w:t>
      </w:r>
      <w:r>
        <w:rPr>
          <w:rFonts w:ascii="Times New Roman" w:hAnsi="Times New Roman" w:cs="Times New Roman"/>
          <w:b/>
          <w:sz w:val="24"/>
          <w:szCs w:val="24"/>
        </w:rPr>
        <w:t xml:space="preserve"> percent </w:t>
      </w:r>
      <w:r w:rsidR="00B42EA8">
        <w:rPr>
          <w:rFonts w:ascii="Times New Roman" w:hAnsi="Times New Roman" w:cs="Times New Roman"/>
          <w:b/>
          <w:sz w:val="24"/>
          <w:szCs w:val="24"/>
        </w:rPr>
        <w:t xml:space="preserve">lacks support and would merely increase the amount that submetering entities may </w:t>
      </w:r>
      <w:r w:rsidR="00570F35">
        <w:rPr>
          <w:rFonts w:ascii="Times New Roman" w:hAnsi="Times New Roman" w:cs="Times New Roman"/>
          <w:b/>
          <w:sz w:val="24"/>
          <w:szCs w:val="24"/>
        </w:rPr>
        <w:t xml:space="preserve">charge </w:t>
      </w:r>
      <w:r w:rsidR="00B42EA8">
        <w:rPr>
          <w:rFonts w:ascii="Times New Roman" w:hAnsi="Times New Roman" w:cs="Times New Roman"/>
          <w:b/>
          <w:sz w:val="24"/>
          <w:szCs w:val="24"/>
        </w:rPr>
        <w:t>consumers.</w:t>
      </w:r>
    </w:p>
    <w:p w:rsidR="006C7131" w:rsidP="00F731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835B15">
        <w:rPr>
          <w:rFonts w:ascii="Times New Roman" w:hAnsi="Times New Roman" w:cs="Times New Roman"/>
          <w:sz w:val="24"/>
          <w:szCs w:val="24"/>
        </w:rPr>
        <w:t xml:space="preserve">o support raising the threshold </w:t>
      </w:r>
      <w:r>
        <w:rPr>
          <w:rFonts w:ascii="Times New Roman" w:hAnsi="Times New Roman" w:cs="Times New Roman"/>
          <w:sz w:val="24"/>
          <w:szCs w:val="24"/>
        </w:rPr>
        <w:t xml:space="preserve">to five percent, </w:t>
      </w:r>
      <w:r w:rsidR="009F30BF">
        <w:rPr>
          <w:rFonts w:ascii="Times New Roman" w:hAnsi="Times New Roman" w:cs="Times New Roman"/>
          <w:sz w:val="24"/>
          <w:szCs w:val="24"/>
        </w:rPr>
        <w:t>AP&amp;L</w:t>
      </w:r>
      <w:r>
        <w:rPr>
          <w:rFonts w:ascii="Times New Roman" w:hAnsi="Times New Roman" w:cs="Times New Roman"/>
          <w:sz w:val="24"/>
          <w:szCs w:val="24"/>
        </w:rPr>
        <w:t xml:space="preserve"> invents </w:t>
      </w:r>
      <w:r w:rsidR="00835B15">
        <w:rPr>
          <w:rFonts w:ascii="Times New Roman" w:hAnsi="Times New Roman" w:cs="Times New Roman"/>
          <w:sz w:val="24"/>
          <w:szCs w:val="24"/>
        </w:rPr>
        <w:t>a scenario</w:t>
      </w:r>
      <w:r w:rsidR="000010CE">
        <w:rPr>
          <w:rFonts w:ascii="Times New Roman" w:hAnsi="Times New Roman" w:cs="Times New Roman"/>
          <w:sz w:val="24"/>
          <w:szCs w:val="24"/>
        </w:rPr>
        <w:t xml:space="preserve"> </w:t>
      </w:r>
      <w:r w:rsidR="00B50FAD">
        <w:rPr>
          <w:rFonts w:ascii="Times New Roman" w:hAnsi="Times New Roman" w:cs="Times New Roman"/>
          <w:sz w:val="24"/>
          <w:szCs w:val="24"/>
        </w:rPr>
        <w:t xml:space="preserve">whereby </w:t>
      </w:r>
      <w:r w:rsidR="000010CE">
        <w:rPr>
          <w:rFonts w:ascii="Times New Roman" w:hAnsi="Times New Roman" w:cs="Times New Roman"/>
          <w:sz w:val="24"/>
          <w:szCs w:val="24"/>
        </w:rPr>
        <w:t xml:space="preserve">a submetering entity </w:t>
      </w:r>
      <w:r w:rsidR="00835B15">
        <w:rPr>
          <w:rFonts w:ascii="Times New Roman" w:hAnsi="Times New Roman" w:cs="Times New Roman"/>
          <w:sz w:val="24"/>
          <w:szCs w:val="24"/>
        </w:rPr>
        <w:t>may be determined to be a public utility because its charges were five dollars above the zero percent threshold (i.e., above the total bill of the local utility</w:t>
      </w:r>
      <w:r w:rsidR="00F15902">
        <w:rPr>
          <w:rFonts w:ascii="Times New Roman" w:hAnsi="Times New Roman" w:cs="Times New Roman"/>
          <w:sz w:val="24"/>
          <w:szCs w:val="24"/>
        </w:rPr>
        <w:t>’</w:t>
      </w:r>
      <w:r w:rsidR="00835B15">
        <w:rPr>
          <w:rFonts w:ascii="Times New Roman" w:hAnsi="Times New Roman" w:cs="Times New Roman"/>
          <w:sz w:val="24"/>
          <w:szCs w:val="24"/>
        </w:rPr>
        <w:t>s default service).</w:t>
      </w:r>
      <w:r>
        <w:rPr>
          <w:rStyle w:val="FootnoteReference"/>
          <w:rFonts w:ascii="Times New Roman" w:hAnsi="Times New Roman" w:cs="Times New Roman"/>
          <w:sz w:val="24"/>
          <w:szCs w:val="24"/>
        </w:rPr>
        <w:footnoteReference w:id="14"/>
      </w:r>
      <w:r w:rsidR="00835B15">
        <w:rPr>
          <w:rFonts w:ascii="Times New Roman" w:hAnsi="Times New Roman" w:cs="Times New Roman"/>
          <w:sz w:val="24"/>
          <w:szCs w:val="24"/>
        </w:rPr>
        <w:t xml:space="preserve">  </w:t>
      </w:r>
      <w:r>
        <w:rPr>
          <w:rFonts w:ascii="Times New Roman" w:hAnsi="Times New Roman" w:cs="Times New Roman"/>
          <w:sz w:val="24"/>
          <w:szCs w:val="24"/>
        </w:rPr>
        <w:t xml:space="preserve">The five percent threshold, according to </w:t>
      </w:r>
      <w:r w:rsidR="009F30BF">
        <w:rPr>
          <w:rFonts w:ascii="Times New Roman" w:hAnsi="Times New Roman" w:cs="Times New Roman"/>
          <w:sz w:val="24"/>
          <w:szCs w:val="24"/>
        </w:rPr>
        <w:t>AP&amp;L</w:t>
      </w:r>
      <w:r>
        <w:rPr>
          <w:rFonts w:ascii="Times New Roman" w:hAnsi="Times New Roman" w:cs="Times New Roman"/>
          <w:sz w:val="24"/>
          <w:szCs w:val="24"/>
        </w:rPr>
        <w:t xml:space="preserve">, would give submetering entities a buffer zone to account for </w:t>
      </w:r>
      <w:r w:rsidR="00F15902">
        <w:rPr>
          <w:rFonts w:ascii="Times New Roman" w:hAnsi="Times New Roman" w:cs="Times New Roman"/>
          <w:sz w:val="24"/>
          <w:szCs w:val="24"/>
        </w:rPr>
        <w:t>“</w:t>
      </w:r>
      <w:r>
        <w:rPr>
          <w:rFonts w:ascii="Times New Roman" w:hAnsi="Times New Roman" w:cs="Times New Roman"/>
          <w:sz w:val="24"/>
          <w:szCs w:val="24"/>
        </w:rPr>
        <w:t>minor differences</w:t>
      </w:r>
      <w:r w:rsidR="00F15902">
        <w:rPr>
          <w:rFonts w:ascii="Times New Roman" w:hAnsi="Times New Roman" w:cs="Times New Roman"/>
          <w:sz w:val="24"/>
          <w:szCs w:val="24"/>
        </w:rPr>
        <w:t>”</w:t>
      </w:r>
      <w:r>
        <w:rPr>
          <w:rFonts w:ascii="Times New Roman" w:hAnsi="Times New Roman" w:cs="Times New Roman"/>
          <w:sz w:val="24"/>
          <w:szCs w:val="24"/>
        </w:rPr>
        <w:t xml:space="preserve"> between </w:t>
      </w:r>
      <w:r w:rsidR="00570F35">
        <w:rPr>
          <w:rFonts w:ascii="Times New Roman" w:hAnsi="Times New Roman" w:cs="Times New Roman"/>
          <w:sz w:val="24"/>
          <w:szCs w:val="24"/>
        </w:rPr>
        <w:t>their</w:t>
      </w:r>
      <w:r>
        <w:rPr>
          <w:rFonts w:ascii="Times New Roman" w:hAnsi="Times New Roman" w:cs="Times New Roman"/>
          <w:sz w:val="24"/>
          <w:szCs w:val="24"/>
        </w:rPr>
        <w:t xml:space="preserve"> rates and the local public utility</w:t>
      </w:r>
      <w:r w:rsidR="00F15902">
        <w:rPr>
          <w:rFonts w:ascii="Times New Roman" w:hAnsi="Times New Roman" w:cs="Times New Roman"/>
          <w:sz w:val="24"/>
          <w:szCs w:val="24"/>
        </w:rPr>
        <w:t>’</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9F30BF">
        <w:rPr>
          <w:rFonts w:ascii="Times New Roman" w:hAnsi="Times New Roman" w:cs="Times New Roman"/>
          <w:sz w:val="24"/>
          <w:szCs w:val="24"/>
        </w:rPr>
        <w:t>AP&amp;L</w:t>
      </w:r>
      <w:r w:rsidR="00F15902">
        <w:rPr>
          <w:rFonts w:ascii="Times New Roman" w:hAnsi="Times New Roman" w:cs="Times New Roman"/>
          <w:sz w:val="24"/>
          <w:szCs w:val="24"/>
        </w:rPr>
        <w:t>’</w:t>
      </w:r>
      <w:r w:rsidR="00835B15">
        <w:rPr>
          <w:rFonts w:ascii="Times New Roman" w:hAnsi="Times New Roman" w:cs="Times New Roman"/>
          <w:sz w:val="24"/>
          <w:szCs w:val="24"/>
        </w:rPr>
        <w:t>s argument</w:t>
      </w:r>
      <w:r>
        <w:rPr>
          <w:rFonts w:ascii="Times New Roman" w:hAnsi="Times New Roman" w:cs="Times New Roman"/>
          <w:sz w:val="24"/>
          <w:szCs w:val="24"/>
        </w:rPr>
        <w:t>, however, doesn</w:t>
      </w:r>
      <w:r w:rsidR="00F15902">
        <w:rPr>
          <w:rFonts w:ascii="Times New Roman" w:hAnsi="Times New Roman" w:cs="Times New Roman"/>
          <w:sz w:val="24"/>
          <w:szCs w:val="24"/>
        </w:rPr>
        <w:t>’</w:t>
      </w:r>
      <w:r>
        <w:rPr>
          <w:rFonts w:ascii="Times New Roman" w:hAnsi="Times New Roman" w:cs="Times New Roman"/>
          <w:sz w:val="24"/>
          <w:szCs w:val="24"/>
        </w:rPr>
        <w:t>t withstand scrutiny</w:t>
      </w:r>
      <w:r w:rsidR="00835B15">
        <w:rPr>
          <w:rFonts w:ascii="Times New Roman" w:hAnsi="Times New Roman" w:cs="Times New Roman"/>
          <w:sz w:val="24"/>
          <w:szCs w:val="24"/>
        </w:rPr>
        <w:t xml:space="preserve">.  </w:t>
      </w:r>
    </w:p>
    <w:p w:rsidR="00D86464" w:rsidP="00F731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show </w:t>
      </w:r>
      <w:r w:rsidR="00F97283">
        <w:rPr>
          <w:rFonts w:ascii="Times New Roman" w:hAnsi="Times New Roman" w:cs="Times New Roman"/>
          <w:sz w:val="24"/>
          <w:szCs w:val="24"/>
        </w:rPr>
        <w:t xml:space="preserve">the </w:t>
      </w:r>
      <w:r>
        <w:rPr>
          <w:rFonts w:ascii="Times New Roman" w:hAnsi="Times New Roman" w:cs="Times New Roman"/>
          <w:sz w:val="24"/>
          <w:szCs w:val="24"/>
        </w:rPr>
        <w:t xml:space="preserve">effect of the five percent threshold, </w:t>
      </w:r>
      <w:r w:rsidR="009F30BF">
        <w:rPr>
          <w:rFonts w:ascii="Times New Roman" w:hAnsi="Times New Roman" w:cs="Times New Roman"/>
          <w:sz w:val="24"/>
          <w:szCs w:val="24"/>
        </w:rPr>
        <w:t>AP&amp;L</w:t>
      </w:r>
      <w:r w:rsidR="006C7131">
        <w:rPr>
          <w:rFonts w:ascii="Times New Roman" w:hAnsi="Times New Roman" w:cs="Times New Roman"/>
          <w:sz w:val="24"/>
          <w:szCs w:val="24"/>
        </w:rPr>
        <w:t xml:space="preserve"> </w:t>
      </w:r>
      <w:r>
        <w:rPr>
          <w:rFonts w:ascii="Times New Roman" w:hAnsi="Times New Roman" w:cs="Times New Roman"/>
          <w:sz w:val="24"/>
          <w:szCs w:val="24"/>
        </w:rPr>
        <w:t>provides an example whereby</w:t>
      </w:r>
      <w:r w:rsidR="006C7131">
        <w:rPr>
          <w:rFonts w:ascii="Times New Roman" w:hAnsi="Times New Roman" w:cs="Times New Roman"/>
          <w:sz w:val="24"/>
          <w:szCs w:val="24"/>
        </w:rPr>
        <w:t xml:space="preserve"> submetering entities </w:t>
      </w:r>
      <w:r>
        <w:rPr>
          <w:rFonts w:ascii="Times New Roman" w:hAnsi="Times New Roman" w:cs="Times New Roman"/>
          <w:sz w:val="24"/>
          <w:szCs w:val="24"/>
        </w:rPr>
        <w:t xml:space="preserve">would have </w:t>
      </w:r>
      <w:r w:rsidR="006C7131">
        <w:rPr>
          <w:rFonts w:ascii="Times New Roman" w:hAnsi="Times New Roman" w:cs="Times New Roman"/>
          <w:sz w:val="24"/>
          <w:szCs w:val="24"/>
        </w:rPr>
        <w:t xml:space="preserve">as much as a $40 cushion on </w:t>
      </w:r>
      <w:r>
        <w:rPr>
          <w:rFonts w:ascii="Times New Roman" w:hAnsi="Times New Roman" w:cs="Times New Roman"/>
          <w:sz w:val="24"/>
          <w:szCs w:val="24"/>
        </w:rPr>
        <w:t xml:space="preserve">bills totaling </w:t>
      </w:r>
      <w:r w:rsidR="006C7131">
        <w:rPr>
          <w:rFonts w:ascii="Times New Roman" w:hAnsi="Times New Roman" w:cs="Times New Roman"/>
          <w:sz w:val="24"/>
          <w:szCs w:val="24"/>
        </w:rPr>
        <w:t xml:space="preserve">$800 of </w:t>
      </w:r>
      <w:r w:rsidR="00F97283">
        <w:rPr>
          <w:rFonts w:ascii="Times New Roman" w:hAnsi="Times New Roman" w:cs="Times New Roman"/>
          <w:sz w:val="24"/>
          <w:szCs w:val="24"/>
        </w:rPr>
        <w:t>utility</w:t>
      </w:r>
      <w:r w:rsidR="006C7131">
        <w:rPr>
          <w:rFonts w:ascii="Times New Roman" w:hAnsi="Times New Roman" w:cs="Times New Roman"/>
          <w:sz w:val="24"/>
          <w:szCs w:val="24"/>
        </w:rPr>
        <w:t xml:space="preserve"> charges over a 12-month period.</w:t>
      </w:r>
      <w:r>
        <w:rPr>
          <w:rStyle w:val="FootnoteReference"/>
          <w:rFonts w:ascii="Times New Roman" w:hAnsi="Times New Roman" w:cs="Times New Roman"/>
          <w:sz w:val="24"/>
          <w:szCs w:val="24"/>
        </w:rPr>
        <w:footnoteReference w:id="16"/>
      </w:r>
      <w:r w:rsidR="006C7131">
        <w:rPr>
          <w:rFonts w:ascii="Times New Roman" w:hAnsi="Times New Roman" w:cs="Times New Roman"/>
          <w:sz w:val="24"/>
          <w:szCs w:val="24"/>
        </w:rPr>
        <w:t xml:space="preserve">  </w:t>
      </w:r>
      <w:r w:rsidR="009F5E04">
        <w:rPr>
          <w:rFonts w:ascii="Times New Roman" w:hAnsi="Times New Roman" w:cs="Times New Roman"/>
          <w:sz w:val="24"/>
          <w:szCs w:val="24"/>
        </w:rPr>
        <w:t xml:space="preserve">This may </w:t>
      </w:r>
      <w:r>
        <w:rPr>
          <w:rFonts w:ascii="Times New Roman" w:hAnsi="Times New Roman" w:cs="Times New Roman"/>
          <w:sz w:val="24"/>
          <w:szCs w:val="24"/>
        </w:rPr>
        <w:t xml:space="preserve">certainly </w:t>
      </w:r>
      <w:r w:rsidR="009F5E04">
        <w:rPr>
          <w:rFonts w:ascii="Times New Roman" w:hAnsi="Times New Roman" w:cs="Times New Roman"/>
          <w:sz w:val="24"/>
          <w:szCs w:val="24"/>
        </w:rPr>
        <w:t xml:space="preserve">overcompensate submetering entities for </w:t>
      </w:r>
      <w:r w:rsidR="00F15902">
        <w:rPr>
          <w:rFonts w:ascii="Times New Roman" w:hAnsi="Times New Roman" w:cs="Times New Roman"/>
          <w:sz w:val="24"/>
          <w:szCs w:val="24"/>
        </w:rPr>
        <w:t>“</w:t>
      </w:r>
      <w:r w:rsidR="009F5E04">
        <w:rPr>
          <w:rFonts w:ascii="Times New Roman" w:hAnsi="Times New Roman" w:cs="Times New Roman"/>
          <w:sz w:val="24"/>
          <w:szCs w:val="24"/>
        </w:rPr>
        <w:t>minor differences</w:t>
      </w:r>
      <w:r w:rsidR="00F15902">
        <w:rPr>
          <w:rFonts w:ascii="Times New Roman" w:hAnsi="Times New Roman" w:cs="Times New Roman"/>
          <w:sz w:val="24"/>
          <w:szCs w:val="24"/>
        </w:rPr>
        <w:t>”</w:t>
      </w:r>
      <w:r w:rsidR="009F5E04">
        <w:rPr>
          <w:rFonts w:ascii="Times New Roman" w:hAnsi="Times New Roman" w:cs="Times New Roman"/>
          <w:sz w:val="24"/>
          <w:szCs w:val="24"/>
        </w:rPr>
        <w:t xml:space="preserve"> in the rates.  </w:t>
      </w:r>
      <w:r>
        <w:rPr>
          <w:rFonts w:ascii="Times New Roman" w:hAnsi="Times New Roman" w:cs="Times New Roman"/>
          <w:sz w:val="24"/>
          <w:szCs w:val="24"/>
        </w:rPr>
        <w:t xml:space="preserve">If a submetering entity exceeds the threshold by only five dollars, as AP&amp;L posits, then the entity could reap an additional $35 in revenue from each customer.  </w:t>
      </w:r>
    </w:p>
    <w:p w:rsidR="006C7131" w:rsidP="00F731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w:t>
      </w:r>
      <w:r w:rsidR="0087436D">
        <w:rPr>
          <w:rFonts w:ascii="Times New Roman" w:hAnsi="Times New Roman" w:cs="Times New Roman"/>
          <w:sz w:val="24"/>
          <w:szCs w:val="24"/>
        </w:rPr>
        <w:t>,</w:t>
      </w:r>
      <w:r>
        <w:rPr>
          <w:rFonts w:ascii="Times New Roman" w:hAnsi="Times New Roman" w:cs="Times New Roman"/>
          <w:sz w:val="24"/>
          <w:szCs w:val="24"/>
        </w:rPr>
        <w:t xml:space="preserve"> submetering entities could charge residential customers five percent more than the local public utility does, </w:t>
      </w:r>
      <w:r w:rsidR="00985BF3">
        <w:rPr>
          <w:rFonts w:ascii="Times New Roman" w:hAnsi="Times New Roman" w:cs="Times New Roman"/>
          <w:sz w:val="24"/>
          <w:szCs w:val="24"/>
        </w:rPr>
        <w:t>while avoiding</w:t>
      </w:r>
      <w:r>
        <w:rPr>
          <w:rFonts w:ascii="Times New Roman" w:hAnsi="Times New Roman" w:cs="Times New Roman"/>
          <w:sz w:val="24"/>
          <w:szCs w:val="24"/>
        </w:rPr>
        <w:t xml:space="preserve"> PUCO scrutiny as to whether the </w:t>
      </w:r>
      <w:r w:rsidR="00B93943">
        <w:rPr>
          <w:rFonts w:ascii="Times New Roman" w:hAnsi="Times New Roman" w:cs="Times New Roman"/>
          <w:sz w:val="24"/>
          <w:szCs w:val="24"/>
        </w:rPr>
        <w:t>entity is a public utility</w:t>
      </w:r>
      <w:r>
        <w:rPr>
          <w:rFonts w:ascii="Times New Roman" w:hAnsi="Times New Roman" w:cs="Times New Roman"/>
          <w:sz w:val="24"/>
          <w:szCs w:val="24"/>
        </w:rPr>
        <w:t xml:space="preserve">.  </w:t>
      </w:r>
      <w:r w:rsidR="00353764">
        <w:rPr>
          <w:rFonts w:ascii="Times New Roman" w:hAnsi="Times New Roman" w:cs="Times New Roman"/>
          <w:sz w:val="24"/>
          <w:szCs w:val="24"/>
        </w:rPr>
        <w:t xml:space="preserve">This would give submetering entities an </w:t>
      </w:r>
      <w:r w:rsidR="00B93943">
        <w:rPr>
          <w:rFonts w:ascii="Times New Roman" w:hAnsi="Times New Roman" w:cs="Times New Roman"/>
          <w:sz w:val="24"/>
          <w:szCs w:val="24"/>
        </w:rPr>
        <w:t>a</w:t>
      </w:r>
      <w:r w:rsidR="00353764">
        <w:rPr>
          <w:rFonts w:ascii="Times New Roman" w:hAnsi="Times New Roman" w:cs="Times New Roman"/>
          <w:sz w:val="24"/>
          <w:szCs w:val="24"/>
        </w:rPr>
        <w:t xml:space="preserve">dditional five percent </w:t>
      </w:r>
      <w:r w:rsidR="00B93943">
        <w:rPr>
          <w:rFonts w:ascii="Times New Roman" w:hAnsi="Times New Roman" w:cs="Times New Roman"/>
          <w:sz w:val="24"/>
          <w:szCs w:val="24"/>
        </w:rPr>
        <w:t xml:space="preserve">in </w:t>
      </w:r>
      <w:r w:rsidR="00353764">
        <w:rPr>
          <w:rFonts w:ascii="Times New Roman" w:hAnsi="Times New Roman" w:cs="Times New Roman"/>
          <w:sz w:val="24"/>
          <w:szCs w:val="24"/>
        </w:rPr>
        <w:t>revenue at residential customers</w:t>
      </w:r>
      <w:r w:rsidR="00F15902">
        <w:rPr>
          <w:rFonts w:ascii="Times New Roman" w:hAnsi="Times New Roman" w:cs="Times New Roman"/>
          <w:sz w:val="24"/>
          <w:szCs w:val="24"/>
        </w:rPr>
        <w:t>’</w:t>
      </w:r>
      <w:r w:rsidR="00353764">
        <w:rPr>
          <w:rFonts w:ascii="Times New Roman" w:hAnsi="Times New Roman" w:cs="Times New Roman"/>
          <w:sz w:val="24"/>
          <w:szCs w:val="24"/>
        </w:rPr>
        <w:t xml:space="preserve"> expense</w:t>
      </w:r>
      <w:r>
        <w:rPr>
          <w:rFonts w:ascii="Times New Roman" w:hAnsi="Times New Roman" w:cs="Times New Roman"/>
          <w:sz w:val="24"/>
          <w:szCs w:val="24"/>
        </w:rPr>
        <w:t xml:space="preserve"> and without providing the consumer protections in Ohio public utility law and PUCO regulations</w:t>
      </w:r>
      <w:r w:rsidR="00192740">
        <w:rPr>
          <w:rFonts w:ascii="Times New Roman" w:hAnsi="Times New Roman" w:cs="Times New Roman"/>
          <w:sz w:val="24"/>
          <w:szCs w:val="24"/>
        </w:rPr>
        <w:t>, such as low income assistance, reliability, and disconnection and reconnection practices (including the PUCO’s Winter Reconnection Order), among others</w:t>
      </w:r>
      <w:r w:rsidR="00353764">
        <w:rPr>
          <w:rFonts w:ascii="Times New Roman" w:hAnsi="Times New Roman" w:cs="Times New Roman"/>
          <w:sz w:val="24"/>
          <w:szCs w:val="24"/>
        </w:rPr>
        <w:t xml:space="preserve">.  This would be unfair to </w:t>
      </w:r>
      <w:r w:rsidR="00B93943">
        <w:rPr>
          <w:rFonts w:ascii="Times New Roman" w:hAnsi="Times New Roman" w:cs="Times New Roman"/>
          <w:sz w:val="24"/>
          <w:szCs w:val="24"/>
        </w:rPr>
        <w:t>consumers</w:t>
      </w:r>
      <w:r w:rsidR="00353764">
        <w:rPr>
          <w:rFonts w:ascii="Times New Roman" w:hAnsi="Times New Roman" w:cs="Times New Roman"/>
          <w:sz w:val="24"/>
          <w:szCs w:val="24"/>
        </w:rPr>
        <w:t>.</w:t>
      </w:r>
    </w:p>
    <w:p w:rsidR="00B42EA8" w:rsidRPr="003940DA" w:rsidP="00F731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Also, t</w:t>
      </w:r>
      <w:r w:rsidR="009F5E04">
        <w:rPr>
          <w:rFonts w:ascii="Times New Roman" w:hAnsi="Times New Roman" w:cs="Times New Roman"/>
          <w:sz w:val="24"/>
          <w:szCs w:val="24"/>
        </w:rPr>
        <w:t xml:space="preserve">he five percent threshold proposed by </w:t>
      </w:r>
      <w:r w:rsidR="009F30BF">
        <w:rPr>
          <w:rFonts w:ascii="Times New Roman" w:hAnsi="Times New Roman" w:cs="Times New Roman"/>
          <w:sz w:val="24"/>
          <w:szCs w:val="24"/>
        </w:rPr>
        <w:t>AP&amp;L</w:t>
      </w:r>
      <w:r w:rsidR="009F5E04">
        <w:rPr>
          <w:rFonts w:ascii="Times New Roman" w:hAnsi="Times New Roman" w:cs="Times New Roman"/>
          <w:sz w:val="24"/>
          <w:szCs w:val="24"/>
        </w:rPr>
        <w:t xml:space="preserve"> might not solve the problem </w:t>
      </w:r>
      <w:r>
        <w:rPr>
          <w:rFonts w:ascii="Times New Roman" w:hAnsi="Times New Roman" w:cs="Times New Roman"/>
          <w:sz w:val="24"/>
          <w:szCs w:val="24"/>
        </w:rPr>
        <w:t xml:space="preserve">AP&amp;L </w:t>
      </w:r>
      <w:r w:rsidR="009F5E04">
        <w:rPr>
          <w:rFonts w:ascii="Times New Roman" w:hAnsi="Times New Roman" w:cs="Times New Roman"/>
          <w:sz w:val="24"/>
          <w:szCs w:val="24"/>
        </w:rPr>
        <w:t>posed.  In reality, t</w:t>
      </w:r>
      <w:r>
        <w:rPr>
          <w:rFonts w:ascii="Times New Roman" w:hAnsi="Times New Roman" w:cs="Times New Roman"/>
          <w:sz w:val="24"/>
          <w:szCs w:val="24"/>
        </w:rPr>
        <w:t xml:space="preserve">here likely </w:t>
      </w:r>
      <w:r w:rsidR="009F5E04">
        <w:rPr>
          <w:rFonts w:ascii="Times New Roman" w:hAnsi="Times New Roman" w:cs="Times New Roman"/>
          <w:sz w:val="24"/>
          <w:szCs w:val="24"/>
        </w:rPr>
        <w:t xml:space="preserve">will </w:t>
      </w:r>
      <w:r>
        <w:rPr>
          <w:rFonts w:ascii="Times New Roman" w:hAnsi="Times New Roman" w:cs="Times New Roman"/>
          <w:sz w:val="24"/>
          <w:szCs w:val="24"/>
        </w:rPr>
        <w:t>be instances where a submetering entity</w:t>
      </w:r>
      <w:r w:rsidR="00F15902">
        <w:rPr>
          <w:rFonts w:ascii="Times New Roman" w:hAnsi="Times New Roman" w:cs="Times New Roman"/>
          <w:sz w:val="24"/>
          <w:szCs w:val="24"/>
        </w:rPr>
        <w:t>’</w:t>
      </w:r>
      <w:r>
        <w:rPr>
          <w:rFonts w:ascii="Times New Roman" w:hAnsi="Times New Roman" w:cs="Times New Roman"/>
          <w:sz w:val="24"/>
          <w:szCs w:val="24"/>
        </w:rPr>
        <w:t xml:space="preserve">s charges would be higher than the local public </w:t>
      </w:r>
      <w:r w:rsidR="009F5E04">
        <w:rPr>
          <w:rFonts w:ascii="Times New Roman" w:hAnsi="Times New Roman" w:cs="Times New Roman"/>
          <w:sz w:val="24"/>
          <w:szCs w:val="24"/>
        </w:rPr>
        <w:t>utility</w:t>
      </w:r>
      <w:r w:rsidR="00F15902">
        <w:rPr>
          <w:rFonts w:ascii="Times New Roman" w:hAnsi="Times New Roman" w:cs="Times New Roman"/>
          <w:sz w:val="24"/>
          <w:szCs w:val="24"/>
        </w:rPr>
        <w:t>’</w:t>
      </w:r>
      <w:r w:rsidR="009F5E04">
        <w:rPr>
          <w:rFonts w:ascii="Times New Roman" w:hAnsi="Times New Roman" w:cs="Times New Roman"/>
          <w:sz w:val="24"/>
          <w:szCs w:val="24"/>
        </w:rPr>
        <w:t xml:space="preserve">s </w:t>
      </w:r>
      <w:r>
        <w:rPr>
          <w:rFonts w:ascii="Times New Roman" w:hAnsi="Times New Roman" w:cs="Times New Roman"/>
          <w:sz w:val="24"/>
          <w:szCs w:val="24"/>
        </w:rPr>
        <w:t xml:space="preserve">residential charges by five percent plus five dollars. </w:t>
      </w:r>
      <w:r w:rsidR="00B26A3B">
        <w:rPr>
          <w:rFonts w:ascii="Times New Roman" w:hAnsi="Times New Roman" w:cs="Times New Roman"/>
          <w:sz w:val="24"/>
          <w:szCs w:val="24"/>
        </w:rPr>
        <w:t xml:space="preserve"> </w:t>
      </w:r>
      <w:r w:rsidR="009F5E04">
        <w:rPr>
          <w:rFonts w:ascii="Times New Roman" w:hAnsi="Times New Roman" w:cs="Times New Roman"/>
          <w:sz w:val="24"/>
          <w:szCs w:val="24"/>
        </w:rPr>
        <w:t xml:space="preserve">This would mean that a submetering entity could still </w:t>
      </w:r>
      <w:r w:rsidR="00117EA9">
        <w:rPr>
          <w:rFonts w:ascii="Times New Roman" w:hAnsi="Times New Roman" w:cs="Times New Roman"/>
          <w:sz w:val="24"/>
          <w:szCs w:val="24"/>
        </w:rPr>
        <w:t xml:space="preserve">have to rebut the presumption that it is a public utility because its charges were five dollars above the threshold.  And </w:t>
      </w:r>
      <w:r w:rsidR="00B26A3B">
        <w:rPr>
          <w:rFonts w:ascii="Times New Roman" w:hAnsi="Times New Roman" w:cs="Times New Roman"/>
          <w:sz w:val="24"/>
          <w:szCs w:val="24"/>
        </w:rPr>
        <w:t>n</w:t>
      </w:r>
      <w:r w:rsidR="00835B15">
        <w:rPr>
          <w:rFonts w:ascii="Times New Roman" w:hAnsi="Times New Roman" w:cs="Times New Roman"/>
          <w:sz w:val="24"/>
          <w:szCs w:val="24"/>
        </w:rPr>
        <w:t>o matter how high the PUCO may raise the threshold, a submetering entity could be considered a public utility because it</w:t>
      </w:r>
      <w:r w:rsidR="00B26A3B">
        <w:rPr>
          <w:rFonts w:ascii="Times New Roman" w:hAnsi="Times New Roman" w:cs="Times New Roman"/>
          <w:sz w:val="24"/>
          <w:szCs w:val="24"/>
        </w:rPr>
        <w:t>s</w:t>
      </w:r>
      <w:r w:rsidR="00835B15">
        <w:rPr>
          <w:rFonts w:ascii="Times New Roman" w:hAnsi="Times New Roman" w:cs="Times New Roman"/>
          <w:sz w:val="24"/>
          <w:szCs w:val="24"/>
        </w:rPr>
        <w:t xml:space="preserve"> charges were five dollars above the threshold. </w:t>
      </w:r>
      <w:r w:rsidR="009A3DC2">
        <w:rPr>
          <w:rFonts w:ascii="Times New Roman" w:hAnsi="Times New Roman" w:cs="Times New Roman"/>
          <w:sz w:val="24"/>
          <w:szCs w:val="24"/>
        </w:rPr>
        <w:t xml:space="preserve"> </w:t>
      </w:r>
      <w:r>
        <w:rPr>
          <w:rFonts w:ascii="Times New Roman" w:hAnsi="Times New Roman" w:cs="Times New Roman"/>
          <w:sz w:val="24"/>
          <w:szCs w:val="24"/>
        </w:rPr>
        <w:t>The PUCO should not make consumers pay more for utility service simply because a submetering entity</w:t>
      </w:r>
      <w:r w:rsidR="00F65CAB">
        <w:rPr>
          <w:rFonts w:ascii="Times New Roman" w:hAnsi="Times New Roman" w:cs="Times New Roman"/>
          <w:sz w:val="24"/>
          <w:szCs w:val="24"/>
        </w:rPr>
        <w:t>’s charges</w:t>
      </w:r>
      <w:r>
        <w:rPr>
          <w:rFonts w:ascii="Times New Roman" w:hAnsi="Times New Roman" w:cs="Times New Roman"/>
          <w:sz w:val="24"/>
          <w:szCs w:val="24"/>
        </w:rPr>
        <w:t xml:space="preserve"> </w:t>
      </w:r>
      <w:r>
        <w:rPr>
          <w:rFonts w:ascii="Times New Roman" w:hAnsi="Times New Roman" w:cs="Times New Roman"/>
          <w:i/>
          <w:sz w:val="24"/>
          <w:szCs w:val="24"/>
        </w:rPr>
        <w:t>might</w:t>
      </w:r>
      <w:r w:rsidR="00F65CAB">
        <w:rPr>
          <w:rFonts w:ascii="Times New Roman" w:hAnsi="Times New Roman" w:cs="Times New Roman"/>
          <w:sz w:val="24"/>
          <w:szCs w:val="24"/>
        </w:rPr>
        <w:t xml:space="preserve"> be above the threshold by a small amount.</w:t>
      </w:r>
    </w:p>
    <w:p w:rsidR="0087436D" w:rsidP="0087436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AP&amp;L</w:t>
      </w:r>
      <w:r w:rsidR="00637946">
        <w:rPr>
          <w:rFonts w:ascii="Times New Roman" w:hAnsi="Times New Roman" w:cs="Times New Roman"/>
          <w:sz w:val="24"/>
          <w:szCs w:val="24"/>
        </w:rPr>
        <w:t xml:space="preserve"> has not justified raising the threshold.  Further, raising the threshold could harm consumers.  </w:t>
      </w:r>
      <w:r w:rsidR="009A3DC2">
        <w:rPr>
          <w:rFonts w:ascii="Times New Roman" w:hAnsi="Times New Roman" w:cs="Times New Roman"/>
          <w:sz w:val="24"/>
          <w:szCs w:val="24"/>
        </w:rPr>
        <w:t xml:space="preserve">To protect consumers, the PUCO should </w:t>
      </w:r>
      <w:r w:rsidR="00032984">
        <w:rPr>
          <w:rFonts w:ascii="Times New Roman" w:hAnsi="Times New Roman" w:cs="Times New Roman"/>
          <w:sz w:val="24"/>
          <w:szCs w:val="24"/>
        </w:rPr>
        <w:t>maintain</w:t>
      </w:r>
      <w:r w:rsidR="009A3DC2">
        <w:rPr>
          <w:rFonts w:ascii="Times New Roman" w:hAnsi="Times New Roman" w:cs="Times New Roman"/>
          <w:sz w:val="24"/>
          <w:szCs w:val="24"/>
        </w:rPr>
        <w:t xml:space="preserve"> the threshold at zero percent.</w:t>
      </w:r>
      <w:r>
        <w:rPr>
          <w:rStyle w:val="FootnoteReference"/>
          <w:rFonts w:ascii="Times New Roman" w:hAnsi="Times New Roman" w:cs="Times New Roman"/>
          <w:sz w:val="24"/>
          <w:szCs w:val="24"/>
        </w:rPr>
        <w:footnoteReference w:id="17"/>
      </w:r>
    </w:p>
    <w:p w:rsidR="0087436D" w:rsidP="0087436D">
      <w:pPr>
        <w:spacing w:after="0" w:line="240" w:lineRule="auto"/>
        <w:ind w:firstLine="720"/>
        <w:contextualSpacing/>
        <w:rPr>
          <w:rFonts w:ascii="Times New Roman" w:hAnsi="Times New Roman" w:cs="Times New Roman"/>
          <w:sz w:val="24"/>
          <w:szCs w:val="24"/>
        </w:rPr>
      </w:pPr>
    </w:p>
    <w:p w:rsidR="00C75A89" w:rsidRPr="0087436D" w:rsidP="0087436D">
      <w:pPr>
        <w:pStyle w:val="ListParagraph"/>
        <w:numPr>
          <w:ilvl w:val="0"/>
          <w:numId w:val="1"/>
        </w:numPr>
        <w:spacing w:after="0" w:line="480" w:lineRule="auto"/>
        <w:ind w:left="720"/>
        <w:rPr>
          <w:rFonts w:ascii="Times New Roman" w:hAnsi="Times New Roman" w:cs="Times New Roman"/>
          <w:b/>
          <w:sz w:val="24"/>
          <w:szCs w:val="24"/>
        </w:rPr>
      </w:pPr>
      <w:r w:rsidRPr="0087436D">
        <w:rPr>
          <w:rFonts w:ascii="Times New Roman" w:hAnsi="Times New Roman" w:cs="Times New Roman"/>
          <w:b/>
          <w:sz w:val="24"/>
          <w:szCs w:val="24"/>
        </w:rPr>
        <w:t>CONCLUSION</w:t>
      </w:r>
    </w:p>
    <w:p w:rsidR="00090802" w:rsidP="00DD3FB7">
      <w:pPr>
        <w:pStyle w:val="BodyTextIndent3"/>
        <w:spacing w:line="480" w:lineRule="auto"/>
      </w:pPr>
      <w:r>
        <w:rPr>
          <w:szCs w:val="24"/>
        </w:rPr>
        <w:t xml:space="preserve">There is no need for the PUCO to increase the threshold by an arbitrary percentage, as </w:t>
      </w:r>
      <w:r w:rsidR="009F30BF">
        <w:rPr>
          <w:szCs w:val="24"/>
        </w:rPr>
        <w:t>AP&amp;L</w:t>
      </w:r>
      <w:r>
        <w:rPr>
          <w:szCs w:val="24"/>
        </w:rPr>
        <w:t xml:space="preserve"> suggests.  </w:t>
      </w:r>
      <w:r w:rsidR="009F30BF">
        <w:rPr>
          <w:szCs w:val="24"/>
        </w:rPr>
        <w:t>AP&amp;L</w:t>
      </w:r>
      <w:r w:rsidR="00F15902">
        <w:rPr>
          <w:szCs w:val="24"/>
        </w:rPr>
        <w:t>’</w:t>
      </w:r>
      <w:r>
        <w:rPr>
          <w:szCs w:val="24"/>
        </w:rPr>
        <w:t xml:space="preserve">s arguments to raise the threshold percentage are without merit.  </w:t>
      </w:r>
      <w:r w:rsidR="00637946">
        <w:rPr>
          <w:szCs w:val="24"/>
        </w:rPr>
        <w:t>T</w:t>
      </w:r>
      <w:r>
        <w:rPr>
          <w:szCs w:val="24"/>
        </w:rPr>
        <w:t xml:space="preserve">he PUCO should deny </w:t>
      </w:r>
      <w:r w:rsidR="009F30BF">
        <w:rPr>
          <w:szCs w:val="24"/>
        </w:rPr>
        <w:t>AP&amp;L</w:t>
      </w:r>
      <w:r w:rsidR="00F15902">
        <w:rPr>
          <w:szCs w:val="24"/>
        </w:rPr>
        <w:t>’</w:t>
      </w:r>
      <w:r>
        <w:rPr>
          <w:szCs w:val="24"/>
        </w:rPr>
        <w:t xml:space="preserve">s application for rehearing.  </w:t>
      </w:r>
      <w:r w:rsidR="00637946">
        <w:rPr>
          <w:szCs w:val="24"/>
        </w:rPr>
        <w:t>And to protect consumers, t</w:t>
      </w:r>
      <w:r w:rsidR="003E7EAA">
        <w:t xml:space="preserve">he PUCO </w:t>
      </w:r>
      <w:r w:rsidR="00EC60F1">
        <w:t xml:space="preserve">should </w:t>
      </w:r>
      <w:r w:rsidR="007A51AC">
        <w:t xml:space="preserve">grant rehearing as </w:t>
      </w:r>
      <w:r w:rsidR="00EC60F1">
        <w:t xml:space="preserve">requested </w:t>
      </w:r>
      <w:r w:rsidR="003940DA">
        <w:t>in</w:t>
      </w:r>
      <w:r w:rsidR="00EC60F1">
        <w:t xml:space="preserve"> </w:t>
      </w:r>
      <w:r w:rsidR="003940DA">
        <w:t xml:space="preserve">the Second </w:t>
      </w:r>
      <w:r w:rsidR="00EC60F1">
        <w:t>A</w:t>
      </w:r>
      <w:r w:rsidR="007A51AC">
        <w:t xml:space="preserve">pplication for </w:t>
      </w:r>
      <w:r w:rsidR="00EC60F1">
        <w:t>R</w:t>
      </w:r>
      <w:r w:rsidR="007A51AC">
        <w:t>ehearing</w:t>
      </w:r>
      <w:r w:rsidR="003940DA">
        <w:t xml:space="preserve"> filed by OCC and OPLC on July 21, 2017</w:t>
      </w:r>
      <w:r w:rsidR="003E7EAA">
        <w:t xml:space="preserve">. </w:t>
      </w:r>
    </w:p>
    <w:p w:rsidR="00E04664" w:rsidP="00DD3FB7">
      <w:pPr>
        <w:tabs>
          <w:tab w:val="left" w:pos="4320"/>
        </w:tabs>
        <w:spacing w:after="0" w:line="360" w:lineRule="auto"/>
        <w:ind w:left="4320"/>
        <w:rPr>
          <w:rFonts w:ascii="Times New Roman" w:eastAsia="Times New Roman" w:hAnsi="Times New Roman" w:cs="Times New Roman"/>
          <w:sz w:val="24"/>
          <w:szCs w:val="24"/>
        </w:rPr>
      </w:pPr>
    </w:p>
    <w:p w:rsidR="00090258" w:rsidRPr="00090258" w:rsidP="00DD3FB7">
      <w:pPr>
        <w:tabs>
          <w:tab w:val="left" w:pos="4320"/>
        </w:tabs>
        <w:spacing w:after="0" w:line="36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Respectfully submitted,</w:t>
      </w:r>
    </w:p>
    <w:p w:rsidR="00090258" w:rsidRPr="00090258" w:rsidP="00DD3FB7">
      <w:pPr>
        <w:tabs>
          <w:tab w:val="left" w:pos="3600"/>
        </w:tabs>
        <w:spacing w:before="120"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w:t>
      </w:r>
      <w:r w:rsidRPr="00090258">
        <w:rPr>
          <w:rFonts w:ascii="Times New Roman" w:eastAsia="Times New Roman" w:hAnsi="Times New Roman" w:cs="Times New Roman"/>
          <w:sz w:val="24"/>
          <w:szCs w:val="24"/>
        </w:rPr>
        <w:t>WESTON (0016973)</w:t>
      </w:r>
    </w:p>
    <w:p w:rsidR="00090258" w:rsidRPr="00090258" w:rsidP="00DD3FB7">
      <w:pPr>
        <w:tabs>
          <w:tab w:val="left" w:pos="4320"/>
        </w:tabs>
        <w:spacing w:after="120" w:line="240" w:lineRule="auto"/>
        <w:ind w:left="4320"/>
        <w:outlineLvl w:val="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OHIO CONSUMERS</w:t>
      </w:r>
      <w:r w:rsidR="00F15902">
        <w:rPr>
          <w:rFonts w:ascii="Times New Roman" w:eastAsia="Times New Roman" w:hAnsi="Times New Roman" w:cs="Times New Roman"/>
          <w:sz w:val="24"/>
          <w:szCs w:val="24"/>
        </w:rPr>
        <w:t>’</w:t>
      </w:r>
      <w:r w:rsidRPr="00090258">
        <w:rPr>
          <w:rFonts w:ascii="Times New Roman" w:eastAsia="Times New Roman" w:hAnsi="Times New Roman" w:cs="Times New Roman"/>
          <w:sz w:val="24"/>
          <w:szCs w:val="24"/>
        </w:rPr>
        <w:t xml:space="preserve"> COUNSEL</w:t>
      </w:r>
    </w:p>
    <w:p w:rsidR="00090258" w:rsidRPr="00090258" w:rsidP="00DD3FB7">
      <w:pPr>
        <w:spacing w:after="0" w:line="240" w:lineRule="auto"/>
        <w:ind w:left="4320"/>
        <w:rPr>
          <w:rFonts w:ascii="Times New Roman" w:eastAsia="Times New Roman" w:hAnsi="Times New Roman" w:cs="Times New Roman"/>
          <w:i/>
          <w:sz w:val="24"/>
          <w:szCs w:val="24"/>
          <w:u w:val="single"/>
        </w:rPr>
      </w:pPr>
      <w:r w:rsidRPr="00090258">
        <w:rPr>
          <w:rFonts w:ascii="Times New Roman" w:eastAsia="Times New Roman" w:hAnsi="Times New Roman" w:cs="Times New Roman"/>
          <w:i/>
          <w:sz w:val="24"/>
          <w:szCs w:val="24"/>
          <w:u w:val="single"/>
        </w:rPr>
        <w:t>/s/ Terr</w:t>
      </w:r>
      <w:r w:rsidR="00090802">
        <w:rPr>
          <w:rFonts w:ascii="Times New Roman" w:eastAsia="Times New Roman" w:hAnsi="Times New Roman" w:cs="Times New Roman"/>
          <w:i/>
          <w:sz w:val="24"/>
          <w:szCs w:val="24"/>
          <w:u w:val="single"/>
        </w:rPr>
        <w:t xml:space="preserve">y L. Etter         </w:t>
      </w:r>
    </w:p>
    <w:p w:rsidR="00090258" w:rsidRPr="00090258" w:rsidP="00DD3FB7">
      <w:pPr>
        <w:tabs>
          <w:tab w:val="left" w:pos="4320"/>
        </w:tabs>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Terry L. Etter, Counsel of Record (</w:t>
      </w:r>
      <w:r w:rsidRPr="00090258">
        <w:rPr>
          <w:rFonts w:ascii="Times New Roman" w:eastAsia="Calibri" w:hAnsi="Times New Roman" w:cs="Times New Roman"/>
          <w:sz w:val="24"/>
          <w:szCs w:val="24"/>
        </w:rPr>
        <w:t>0067445)</w:t>
      </w:r>
    </w:p>
    <w:p w:rsidR="00090258" w:rsidRPr="00090258" w:rsidP="00DD3FB7">
      <w:pPr>
        <w:tabs>
          <w:tab w:val="left" w:pos="4320"/>
        </w:tabs>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Assistant Consumers</w:t>
      </w:r>
      <w:r w:rsidR="00F15902">
        <w:rPr>
          <w:rFonts w:ascii="Times New Roman" w:eastAsia="Times New Roman" w:hAnsi="Times New Roman" w:cs="Times New Roman"/>
          <w:sz w:val="24"/>
          <w:szCs w:val="24"/>
        </w:rPr>
        <w:t>’</w:t>
      </w:r>
      <w:r w:rsidRPr="00090258">
        <w:rPr>
          <w:rFonts w:ascii="Times New Roman" w:eastAsia="Times New Roman" w:hAnsi="Times New Roman" w:cs="Times New Roman"/>
          <w:sz w:val="24"/>
          <w:szCs w:val="24"/>
        </w:rPr>
        <w:t xml:space="preserve"> Counsel</w:t>
      </w:r>
    </w:p>
    <w:p w:rsidR="00090258" w:rsidRPr="00090258" w:rsidP="00BA3AD1">
      <w:pPr>
        <w:tabs>
          <w:tab w:val="left" w:pos="4320"/>
        </w:tabs>
        <w:spacing w:before="120" w:after="0" w:line="240" w:lineRule="auto"/>
        <w:ind w:left="4320"/>
        <w:outlineLvl w:val="0"/>
        <w:rPr>
          <w:rFonts w:ascii="Times New Roman" w:eastAsia="Times New Roman" w:hAnsi="Times New Roman" w:cs="Times New Roman"/>
          <w:sz w:val="24"/>
          <w:szCs w:val="24"/>
        </w:rPr>
      </w:pPr>
      <w:r w:rsidRPr="00090258">
        <w:rPr>
          <w:rFonts w:ascii="Times New Roman" w:eastAsia="Times New Roman" w:hAnsi="Times New Roman" w:cs="Times New Roman"/>
          <w:b/>
          <w:sz w:val="24"/>
          <w:szCs w:val="24"/>
        </w:rPr>
        <w:t>Office of the Ohio Consumers</w:t>
      </w:r>
      <w:r w:rsidR="00F15902">
        <w:rPr>
          <w:rFonts w:ascii="Times New Roman" w:eastAsia="Times New Roman" w:hAnsi="Times New Roman" w:cs="Times New Roman"/>
          <w:b/>
          <w:sz w:val="24"/>
          <w:szCs w:val="24"/>
        </w:rPr>
        <w:t>’</w:t>
      </w:r>
      <w:r w:rsidRPr="00090258">
        <w:rPr>
          <w:rFonts w:ascii="Times New Roman" w:eastAsia="Times New Roman" w:hAnsi="Times New Roman" w:cs="Times New Roman"/>
          <w:b/>
          <w:sz w:val="24"/>
          <w:szCs w:val="24"/>
        </w:rPr>
        <w:t xml:space="preserve"> Counsel</w:t>
      </w:r>
    </w:p>
    <w:p w:rsidR="00090258" w:rsidRPr="00090258" w:rsidP="00DD3FB7">
      <w:pPr>
        <w:tabs>
          <w:tab w:val="left" w:pos="4320"/>
        </w:tabs>
        <w:spacing w:after="0" w:line="240" w:lineRule="auto"/>
        <w:ind w:left="4320"/>
        <w:outlineLvl w:val="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10 West Broad Street, Suite 1800</w:t>
      </w:r>
    </w:p>
    <w:p w:rsidR="00090258" w:rsidRPr="00090258" w:rsidP="00DD3FB7">
      <w:pPr>
        <w:tabs>
          <w:tab w:val="left" w:pos="4320"/>
        </w:tabs>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Columbus, Ohio 43215-3485</w:t>
      </w:r>
    </w:p>
    <w:p w:rsidR="00090258" w:rsidRPr="00090258" w:rsidP="00DD3FB7">
      <w:pPr>
        <w:tabs>
          <w:tab w:val="left" w:pos="4320"/>
        </w:tabs>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Phone: 614-466-7964 (Etter direct)</w:t>
      </w:r>
    </w:p>
    <w:p w:rsidR="00090258" w:rsidRPr="00090258" w:rsidP="00DD3FB7">
      <w:pPr>
        <w:spacing w:after="0" w:line="240" w:lineRule="auto"/>
        <w:ind w:left="4320"/>
        <w:rPr>
          <w:rFonts w:ascii="Times New Roman" w:eastAsia="Times New Roman" w:hAnsi="Times New Roman" w:cs="Times New Roman"/>
          <w:sz w:val="24"/>
          <w:szCs w:val="24"/>
        </w:rPr>
      </w:pPr>
      <w:r w:rsidRPr="009520E1" w:rsidR="00090802">
        <w:rPr>
          <w:rStyle w:val="DefaultParagraphFont"/>
          <w:rFonts w:ascii="Times New Roman" w:eastAsia="Times New Roman" w:hAnsi="Times New Roman" w:cs="Times New Roman"/>
          <w:sz w:val="24"/>
          <w:szCs w:val="24"/>
        </w:rPr>
        <w:t>terry.etter@occ.ohio.gov</w:t>
      </w:r>
      <w:r w:rsidR="00090802">
        <w:rPr>
          <w:rFonts w:ascii="Times New Roman" w:eastAsia="Times New Roman" w:hAnsi="Times New Roman" w:cs="Times New Roman"/>
          <w:sz w:val="24"/>
          <w:szCs w:val="24"/>
        </w:rPr>
        <w:t xml:space="preserve"> </w:t>
      </w:r>
    </w:p>
    <w:p w:rsidR="00090258" w:rsidRPr="00090258" w:rsidP="00DD3FB7">
      <w:pPr>
        <w:autoSpaceDE w:val="0"/>
        <w:autoSpaceDN w:val="0"/>
        <w:adjustRightInd w:val="0"/>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(willing to accept service by e-mail)</w:t>
      </w:r>
    </w:p>
    <w:p w:rsidR="00090258" w:rsidP="00DD3FB7">
      <w:pPr>
        <w:tabs>
          <w:tab w:val="left" w:pos="4320"/>
        </w:tabs>
        <w:spacing w:after="0" w:line="240" w:lineRule="auto"/>
        <w:ind w:left="4320"/>
        <w:rPr>
          <w:rFonts w:ascii="Times New Roman" w:eastAsia="Times New Roman" w:hAnsi="Times New Roman" w:cs="Times New Roman"/>
          <w:sz w:val="24"/>
          <w:szCs w:val="24"/>
        </w:rPr>
      </w:pPr>
    </w:p>
    <w:p w:rsidR="00BA3A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Kimberly W. Bojko (0069402)</w:t>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Carpenter Lipps &amp; Leland LLP</w:t>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280 Plaza, Suite 1300</w:t>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280 N. High Street</w:t>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Columbus, Ohio 43215</w:t>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Telephone: (614) 365-4124</w:t>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color w:val="0000FF"/>
          <w:sz w:val="24"/>
          <w:szCs w:val="24"/>
          <w:u w:val="single"/>
        </w:rPr>
        <w:t>bojko@carpenterlipps.com</w:t>
      </w:r>
    </w:p>
    <w:p w:rsidR="00090258" w:rsidRPr="00090258" w:rsidP="00DD3FB7">
      <w:pPr>
        <w:spacing w:after="0" w:line="240" w:lineRule="auto"/>
        <w:ind w:left="4320"/>
        <w:rPr>
          <w:rFonts w:ascii="Times New Roman" w:eastAsia="Times New Roman" w:hAnsi="Times New Roman" w:cs="Times New Roman"/>
          <w:sz w:val="24"/>
          <w:szCs w:val="24"/>
        </w:rPr>
      </w:pPr>
      <w:r w:rsidRPr="00090258">
        <w:rPr>
          <w:rFonts w:ascii="Times New Roman" w:eastAsia="Times New Roman" w:hAnsi="Times New Roman" w:cs="Times New Roman"/>
          <w:sz w:val="24"/>
          <w:szCs w:val="24"/>
        </w:rPr>
        <w:t>(willing to accept email service)</w:t>
      </w:r>
    </w:p>
    <w:p w:rsidR="00090258" w:rsidRPr="00B82B0B" w:rsidP="00E40946">
      <w:pPr>
        <w:spacing w:before="120" w:after="0" w:line="240" w:lineRule="auto"/>
        <w:ind w:left="4320"/>
        <w:outlineLvl w:val="0"/>
        <w:rPr>
          <w:rFonts w:ascii="Times New Roman" w:eastAsia="Times New Roman" w:hAnsi="Times New Roman" w:cs="Times New Roman"/>
          <w:i/>
          <w:sz w:val="24"/>
          <w:szCs w:val="24"/>
        </w:rPr>
      </w:pPr>
      <w:r w:rsidRPr="00B82B0B">
        <w:rPr>
          <w:rFonts w:ascii="Times New Roman" w:eastAsia="Times New Roman" w:hAnsi="Times New Roman" w:cs="Times New Roman"/>
          <w:i/>
          <w:sz w:val="24"/>
          <w:szCs w:val="24"/>
        </w:rPr>
        <w:t>Outside Counsel for the</w:t>
      </w:r>
    </w:p>
    <w:p w:rsidR="00090258" w:rsidRPr="00090258" w:rsidP="00DD3FB7">
      <w:pPr>
        <w:tabs>
          <w:tab w:val="left" w:pos="4320"/>
        </w:tabs>
        <w:spacing w:after="0" w:line="240" w:lineRule="auto"/>
        <w:ind w:left="4320"/>
        <w:rPr>
          <w:rFonts w:ascii="Times New Roman" w:eastAsia="Times New Roman" w:hAnsi="Times New Roman" w:cs="Times New Roman"/>
          <w:sz w:val="24"/>
          <w:szCs w:val="24"/>
        </w:rPr>
      </w:pPr>
      <w:r w:rsidRPr="00B82B0B">
        <w:rPr>
          <w:rFonts w:ascii="Times New Roman" w:eastAsia="Times New Roman" w:hAnsi="Times New Roman" w:cs="Times New Roman"/>
          <w:i/>
          <w:sz w:val="24"/>
          <w:szCs w:val="24"/>
        </w:rPr>
        <w:t>Office of the Ohio Consumers</w:t>
      </w:r>
      <w:r w:rsidR="00F15902">
        <w:rPr>
          <w:rFonts w:ascii="Times New Roman" w:eastAsia="Times New Roman" w:hAnsi="Times New Roman" w:cs="Times New Roman"/>
          <w:i/>
          <w:sz w:val="24"/>
          <w:szCs w:val="24"/>
        </w:rPr>
        <w:t>’</w:t>
      </w:r>
      <w:r w:rsidRPr="00B82B0B">
        <w:rPr>
          <w:rFonts w:ascii="Times New Roman" w:eastAsia="Times New Roman" w:hAnsi="Times New Roman" w:cs="Times New Roman"/>
          <w:i/>
          <w:sz w:val="24"/>
          <w:szCs w:val="24"/>
        </w:rPr>
        <w:t xml:space="preserve"> Counsel</w:t>
      </w:r>
    </w:p>
    <w:p w:rsidR="00090802" w:rsidP="00DD3FB7">
      <w:pPr>
        <w:spacing w:after="0" w:line="240" w:lineRule="auto"/>
        <w:ind w:left="3600" w:firstLine="720"/>
        <w:contextualSpacing/>
        <w:rPr>
          <w:rFonts w:ascii="Times New Roman" w:eastAsia="Times New Roman" w:hAnsi="Times New Roman" w:cs="Times New Roman"/>
          <w:b/>
          <w:sz w:val="24"/>
          <w:szCs w:val="24"/>
        </w:rPr>
        <w:sectPr w:rsidSect="00090802">
          <w:footerReference w:type="default" r:id="rId5"/>
          <w:pgSz w:w="12240" w:h="15840"/>
          <w:pgMar w:top="1440" w:right="1800" w:bottom="1440" w:left="1800" w:header="720" w:footer="720" w:gutter="0"/>
          <w:cols w:space="720"/>
          <w:noEndnote/>
          <w:titlePg/>
          <w:docGrid w:linePitch="299"/>
        </w:sectPr>
      </w:pPr>
    </w:p>
    <w:p w:rsidR="001F5470" w:rsidP="00CD2854">
      <w:pPr>
        <w:widowControl w:val="0"/>
        <w:autoSpaceDE w:val="0"/>
        <w:autoSpaceDN w:val="0"/>
        <w:adjustRightInd w:val="0"/>
        <w:spacing w:after="0" w:line="240" w:lineRule="auto"/>
        <w:jc w:val="center"/>
        <w:rPr>
          <w:rFonts w:ascii="Times New Roman" w:hAnsi="Times New Roman" w:cs="Times New Roman"/>
          <w:b/>
          <w:sz w:val="24"/>
          <w:szCs w:val="24"/>
        </w:rPr>
      </w:pPr>
      <w:r w:rsidRPr="00C75A89">
        <w:rPr>
          <w:rFonts w:ascii="Times New Roman" w:hAnsi="Times New Roman" w:cs="Times New Roman"/>
          <w:b/>
          <w:sz w:val="24"/>
          <w:szCs w:val="24"/>
        </w:rPr>
        <w:t>CERTIFICATE OF SERVICE</w:t>
      </w:r>
    </w:p>
    <w:p w:rsidR="00C75A89" w:rsidRPr="00C75A89" w:rsidP="00C75A89">
      <w:pPr>
        <w:widowControl w:val="0"/>
        <w:autoSpaceDE w:val="0"/>
        <w:autoSpaceDN w:val="0"/>
        <w:adjustRightInd w:val="0"/>
        <w:spacing w:after="0" w:line="240" w:lineRule="auto"/>
        <w:jc w:val="center"/>
        <w:rPr>
          <w:rFonts w:ascii="Times New Roman" w:hAnsi="Times New Roman" w:cs="Times New Roman"/>
          <w:b/>
          <w:sz w:val="24"/>
          <w:szCs w:val="24"/>
        </w:rPr>
      </w:pPr>
    </w:p>
    <w:p w:rsidR="001F5470" w:rsidP="00B82B0B">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undersigned hereby certifies that a true and accurate copy of the foreg</w:t>
      </w:r>
      <w:r w:rsidR="00090258">
        <w:rPr>
          <w:rFonts w:ascii="Times New Roman" w:hAnsi="Times New Roman" w:cs="Times New Roman"/>
          <w:sz w:val="24"/>
          <w:szCs w:val="24"/>
        </w:rPr>
        <w:t xml:space="preserve">oing </w:t>
      </w:r>
      <w:r w:rsidR="00C25AEC">
        <w:rPr>
          <w:rFonts w:ascii="Times New Roman" w:hAnsi="Times New Roman" w:cs="Times New Roman"/>
          <w:sz w:val="24"/>
          <w:szCs w:val="24"/>
        </w:rPr>
        <w:t xml:space="preserve">Memorandum Contra </w:t>
      </w:r>
      <w:r w:rsidR="00090258">
        <w:rPr>
          <w:rFonts w:ascii="Times New Roman" w:hAnsi="Times New Roman" w:cs="Times New Roman"/>
          <w:sz w:val="24"/>
          <w:szCs w:val="24"/>
        </w:rPr>
        <w:t xml:space="preserve">was served this </w:t>
      </w:r>
      <w:r w:rsidR="00DD3FB7">
        <w:rPr>
          <w:rFonts w:ascii="Times New Roman" w:hAnsi="Times New Roman" w:cs="Times New Roman"/>
          <w:sz w:val="24"/>
          <w:szCs w:val="24"/>
        </w:rPr>
        <w:t>31</w:t>
      </w:r>
      <w:r w:rsidRPr="00DD3FB7" w:rsidR="00DD3FB7">
        <w:rPr>
          <w:rFonts w:ascii="Times New Roman" w:hAnsi="Times New Roman" w:cs="Times New Roman"/>
          <w:sz w:val="24"/>
          <w:szCs w:val="24"/>
          <w:vertAlign w:val="superscript"/>
        </w:rPr>
        <w:t>st</w:t>
      </w:r>
      <w:r w:rsidR="00DD3FB7">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DD3FB7">
        <w:rPr>
          <w:rFonts w:ascii="Times New Roman" w:hAnsi="Times New Roman" w:cs="Times New Roman"/>
          <w:sz w:val="24"/>
          <w:szCs w:val="24"/>
        </w:rPr>
        <w:t>July</w:t>
      </w:r>
      <w:r w:rsidR="00737B9D">
        <w:rPr>
          <w:rFonts w:ascii="Times New Roman" w:hAnsi="Times New Roman" w:cs="Times New Roman"/>
          <w:sz w:val="24"/>
          <w:szCs w:val="24"/>
        </w:rPr>
        <w:t xml:space="preserve"> 2017</w:t>
      </w:r>
      <w:r>
        <w:rPr>
          <w:rFonts w:ascii="Times New Roman" w:hAnsi="Times New Roman" w:cs="Times New Roman"/>
          <w:sz w:val="24"/>
          <w:szCs w:val="24"/>
        </w:rPr>
        <w:t xml:space="preserve"> by electronic mail upon the persons listed below.</w:t>
      </w:r>
    </w:p>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436D">
        <w:rPr>
          <w:rFonts w:ascii="Times New Roman" w:hAnsi="Times New Roman" w:cs="Times New Roman"/>
          <w:sz w:val="24"/>
          <w:szCs w:val="24"/>
        </w:rPr>
        <w:tab/>
      </w:r>
      <w:r w:rsidRPr="00C75A89">
        <w:rPr>
          <w:rFonts w:ascii="Times New Roman" w:hAnsi="Times New Roman" w:cs="Times New Roman"/>
          <w:sz w:val="24"/>
          <w:szCs w:val="24"/>
          <w:u w:val="single"/>
        </w:rPr>
        <w:t xml:space="preserve">/s/ </w:t>
      </w:r>
      <w:r w:rsidRPr="00090258" w:rsidR="00090258">
        <w:rPr>
          <w:rFonts w:ascii="Times New Roman" w:hAnsi="Times New Roman" w:cs="Times New Roman"/>
          <w:i/>
          <w:sz w:val="24"/>
          <w:szCs w:val="24"/>
          <w:u w:val="single"/>
        </w:rPr>
        <w:t>Terry L. Et</w:t>
      </w:r>
      <w:r w:rsidR="00C25AEC">
        <w:rPr>
          <w:rFonts w:ascii="Times New Roman" w:hAnsi="Times New Roman" w:cs="Times New Roman"/>
          <w:i/>
          <w:sz w:val="24"/>
          <w:szCs w:val="24"/>
          <w:u w:val="single"/>
        </w:rPr>
        <w:t>t</w:t>
      </w:r>
      <w:r w:rsidRPr="00090258" w:rsidR="00090258">
        <w:rPr>
          <w:rFonts w:ascii="Times New Roman" w:hAnsi="Times New Roman" w:cs="Times New Roman"/>
          <w:i/>
          <w:sz w:val="24"/>
          <w:szCs w:val="24"/>
          <w:u w:val="single"/>
        </w:rPr>
        <w:t>er</w:t>
      </w:r>
      <w:r w:rsidR="00090258">
        <w:rPr>
          <w:rFonts w:ascii="Times New Roman" w:hAnsi="Times New Roman" w:cs="Times New Roman"/>
          <w:sz w:val="24"/>
          <w:szCs w:val="24"/>
          <w:u w:val="single"/>
        </w:rPr>
        <w:tab/>
      </w:r>
      <w:r w:rsidR="00090258">
        <w:rPr>
          <w:rFonts w:ascii="Times New Roman" w:hAnsi="Times New Roman" w:cs="Times New Roman"/>
          <w:sz w:val="24"/>
          <w:szCs w:val="24"/>
          <w:u w:val="single"/>
        </w:rPr>
        <w:tab/>
      </w:r>
    </w:p>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5A89">
        <w:rPr>
          <w:rFonts w:ascii="Times New Roman" w:hAnsi="Times New Roman" w:cs="Times New Roman"/>
          <w:sz w:val="24"/>
          <w:szCs w:val="24"/>
        </w:rPr>
        <w:tab/>
      </w:r>
      <w:r w:rsidR="00090258">
        <w:rPr>
          <w:rFonts w:ascii="Times New Roman" w:hAnsi="Times New Roman" w:cs="Times New Roman"/>
          <w:sz w:val="24"/>
          <w:szCs w:val="24"/>
        </w:rPr>
        <w:t>Terr</w:t>
      </w:r>
      <w:r w:rsidR="00C25AEC">
        <w:rPr>
          <w:rFonts w:ascii="Times New Roman" w:hAnsi="Times New Roman" w:cs="Times New Roman"/>
          <w:sz w:val="24"/>
          <w:szCs w:val="24"/>
        </w:rPr>
        <w:t>y</w:t>
      </w:r>
      <w:r w:rsidR="00090258">
        <w:rPr>
          <w:rFonts w:ascii="Times New Roman" w:hAnsi="Times New Roman" w:cs="Times New Roman"/>
          <w:sz w:val="24"/>
          <w:szCs w:val="24"/>
        </w:rPr>
        <w:t xml:space="preserve"> L. Etter</w:t>
      </w:r>
    </w:p>
    <w:p w:rsidR="000902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w:t>
      </w:r>
      <w:r w:rsidR="00F15902">
        <w:rPr>
          <w:rFonts w:ascii="Times New Roman" w:hAnsi="Times New Roman" w:cs="Times New Roman"/>
          <w:sz w:val="24"/>
          <w:szCs w:val="24"/>
        </w:rPr>
        <w:t>’</w:t>
      </w:r>
      <w:r>
        <w:rPr>
          <w:rFonts w:ascii="Times New Roman" w:hAnsi="Times New Roman" w:cs="Times New Roman"/>
          <w:sz w:val="24"/>
          <w:szCs w:val="24"/>
        </w:rPr>
        <w:t xml:space="preserve"> Counsel</w:t>
      </w:r>
    </w:p>
    <w:p w:rsidR="00090258">
      <w:pPr>
        <w:widowControl w:val="0"/>
        <w:autoSpaceDE w:val="0"/>
        <w:autoSpaceDN w:val="0"/>
        <w:adjustRightInd w:val="0"/>
        <w:spacing w:after="0" w:line="240" w:lineRule="auto"/>
        <w:rPr>
          <w:rFonts w:ascii="Times New Roman" w:hAnsi="Times New Roman" w:cs="Times New Roman"/>
          <w:sz w:val="24"/>
          <w:szCs w:val="24"/>
        </w:rPr>
      </w:pPr>
    </w:p>
    <w:p w:rsidR="00090258">
      <w:pPr>
        <w:widowControl w:val="0"/>
        <w:autoSpaceDE w:val="0"/>
        <w:autoSpaceDN w:val="0"/>
        <w:adjustRightInd w:val="0"/>
        <w:spacing w:after="0" w:line="240" w:lineRule="auto"/>
        <w:rPr>
          <w:rFonts w:ascii="Times New Roman" w:hAnsi="Times New Roman" w:cs="Times New Roman"/>
          <w:sz w:val="24"/>
          <w:szCs w:val="24"/>
        </w:rPr>
      </w:pPr>
    </w:p>
    <w:p w:rsidR="00090258" w:rsidRPr="00090258" w:rsidP="00025DB6">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SERVICE LIST</w:t>
      </w:r>
    </w:p>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Look w:val="01E0"/>
      </w:tblPr>
      <w:tblGrid>
        <w:gridCol w:w="4428"/>
        <w:gridCol w:w="4428"/>
      </w:tblGrid>
      <w:tr w:rsidTr="00D24A00">
        <w:tblPrEx>
          <w:tblW w:w="0" w:type="auto"/>
          <w:tblLook w:val="01E0"/>
        </w:tblPrEx>
        <w:tc>
          <w:tcPr>
            <w:tcW w:w="4428" w:type="dxa"/>
          </w:tcPr>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William.wright@ohioattorneygeneral.gov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randall.griffin@aes.com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slesser@calfee.com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mcorbett@calfee.com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gkrassen@bricker.com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dstinson@bricker.com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dborchers@bricker.com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fdarr@mwncmh.com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mpritchard@mwncmh.com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mjsettineri@vorys.com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glpetrucci@vorys.com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ibatikov@vorys.com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cmooney@ohiopartners.org</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campbell@whitt-sturtevant.com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whitt@whitt-sturtevant.com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glover@whitt-sturtevant.com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joliker@igsenergy.com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mswhite@igsenergy.com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frice@spectrumutilities.com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stnourse@aep.com </w:t>
            </w:r>
          </w:p>
          <w:p w:rsidR="00F21BD9" w:rsidRPr="00E04664" w:rsidP="00F21BD9">
            <w:pPr>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msmckenzie@aep.com </w:t>
            </w:r>
          </w:p>
        </w:tc>
        <w:tc>
          <w:tcPr>
            <w:tcW w:w="4428" w:type="dxa"/>
          </w:tcPr>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amy.spiller@duke-energy.com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elizabeth.watts@duke-energy.com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sidR="00FB289D">
              <w:rPr>
                <w:rStyle w:val="DefaultParagraphFont"/>
                <w:rFonts w:ascii="Times New Roman" w:eastAsia="Times New Roman" w:hAnsi="Times New Roman" w:cs="Times New Roman"/>
                <w:color w:val="auto"/>
                <w:sz w:val="24"/>
                <w:szCs w:val="24"/>
                <w:u w:val="none"/>
              </w:rPr>
              <w:t>jhales@ohiopovertylaw.org</w:t>
            </w:r>
            <w:r w:rsidRPr="00E04664">
              <w:rPr>
                <w:rFonts w:ascii="Times New Roman" w:eastAsia="Times New Roman" w:hAnsi="Times New Roman" w:cs="Times New Roman"/>
                <w:sz w:val="24"/>
                <w:szCs w:val="24"/>
              </w:rPr>
              <w:t xml:space="preserve">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sdismukes@eckertseamans.com </w:t>
            </w:r>
          </w:p>
          <w:p w:rsidR="00F21BD9" w:rsidRPr="00E04664" w:rsidP="00F21BD9">
            <w:pPr>
              <w:autoSpaceDE w:val="0"/>
              <w:autoSpaceDN w:val="0"/>
              <w:adjustRightInd w:val="0"/>
              <w:spacing w:after="0" w:line="240" w:lineRule="auto"/>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dclearfield@eckertseamans.com </w:t>
            </w:r>
          </w:p>
          <w:p w:rsidR="00F21BD9" w:rsidRPr="00E04664" w:rsidP="00F21BD9">
            <w:pPr>
              <w:tabs>
                <w:tab w:val="left" w:pos="-720"/>
              </w:tabs>
              <w:suppressAutoHyphens/>
              <w:spacing w:after="0" w:line="240" w:lineRule="atLeast"/>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sstoner@eckertseamans.com </w:t>
            </w:r>
          </w:p>
          <w:p w:rsidR="00F21BD9" w:rsidRPr="00E04664" w:rsidP="00F21BD9">
            <w:pPr>
              <w:tabs>
                <w:tab w:val="left" w:pos="-720"/>
              </w:tabs>
              <w:suppressAutoHyphens/>
              <w:spacing w:after="0" w:line="240" w:lineRule="atLeast"/>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rendris@firstenergycorp.com </w:t>
            </w:r>
          </w:p>
          <w:p w:rsidR="00F21BD9" w:rsidRPr="00E04664" w:rsidP="00F21BD9">
            <w:pPr>
              <w:tabs>
                <w:tab w:val="left" w:pos="-720"/>
              </w:tabs>
              <w:suppressAutoHyphens/>
              <w:spacing w:after="0" w:line="240" w:lineRule="atLeast"/>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jeckert@firstenergycorp.com </w:t>
            </w:r>
          </w:p>
          <w:p w:rsidR="00F21BD9" w:rsidRPr="00E04664" w:rsidP="00F21BD9">
            <w:pPr>
              <w:tabs>
                <w:tab w:val="left" w:pos="-720"/>
              </w:tabs>
              <w:suppressAutoHyphens/>
              <w:spacing w:after="0" w:line="240" w:lineRule="atLeast"/>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amerson@porterwright.com </w:t>
            </w:r>
          </w:p>
          <w:p w:rsidR="00F21BD9" w:rsidRPr="00E04664" w:rsidP="00F21BD9">
            <w:pPr>
              <w:tabs>
                <w:tab w:val="left" w:pos="-720"/>
              </w:tabs>
              <w:suppressAutoHyphens/>
              <w:spacing w:after="0" w:line="240" w:lineRule="atLeast"/>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randal.griffin@aes.com </w:t>
            </w:r>
          </w:p>
          <w:p w:rsidR="00F21BD9" w:rsidRPr="00E04664" w:rsidP="00F21BD9">
            <w:pPr>
              <w:tabs>
                <w:tab w:val="left" w:pos="-720"/>
              </w:tabs>
              <w:suppressAutoHyphens/>
              <w:spacing w:after="0" w:line="240" w:lineRule="atLeast"/>
              <w:rPr>
                <w:rFonts w:ascii="Times New Roman" w:eastAsia="Times New Roman" w:hAnsi="Times New Roman" w:cs="Times New Roman"/>
                <w:sz w:val="24"/>
                <w:szCs w:val="24"/>
              </w:rPr>
            </w:pPr>
            <w:r w:rsidRPr="00E04664">
              <w:rPr>
                <w:rFonts w:ascii="Times New Roman" w:eastAsia="Times New Roman" w:hAnsi="Times New Roman" w:cs="Times New Roman"/>
                <w:sz w:val="24"/>
                <w:szCs w:val="24"/>
              </w:rPr>
              <w:t xml:space="preserve">rick.sites@ohiohospitals.org </w:t>
            </w:r>
          </w:p>
          <w:p w:rsidR="00F21BD9" w:rsidRPr="00E04664" w:rsidP="00F21BD9">
            <w:pPr>
              <w:tabs>
                <w:tab w:val="left" w:pos="-720"/>
              </w:tabs>
              <w:suppressAutoHyphens/>
              <w:spacing w:after="0" w:line="240" w:lineRule="atLeast"/>
              <w:rPr>
                <w:rFonts w:ascii="Times New Roman" w:eastAsia="Times New Roman" w:hAnsi="Times New Roman" w:cs="Times New Roman"/>
                <w:sz w:val="24"/>
                <w:szCs w:val="24"/>
              </w:rPr>
            </w:pPr>
          </w:p>
        </w:tc>
      </w:tr>
      <w:tr w:rsidTr="00D24A00">
        <w:tblPrEx>
          <w:tblW w:w="0" w:type="auto"/>
          <w:tblLook w:val="01E0"/>
        </w:tblPrEx>
        <w:tc>
          <w:tcPr>
            <w:tcW w:w="4428" w:type="dxa"/>
          </w:tcPr>
          <w:p w:rsidR="00F21BD9" w:rsidRPr="00F21BD9" w:rsidP="00F21BD9">
            <w:pPr>
              <w:autoSpaceDE w:val="0"/>
              <w:autoSpaceDN w:val="0"/>
              <w:adjustRightInd w:val="0"/>
              <w:spacing w:after="0" w:line="240" w:lineRule="auto"/>
              <w:rPr>
                <w:rFonts w:ascii="Times New Roman" w:eastAsia="Times New Roman" w:hAnsi="Times New Roman" w:cs="Times New Roman"/>
                <w:sz w:val="24"/>
                <w:szCs w:val="24"/>
              </w:rPr>
            </w:pPr>
          </w:p>
        </w:tc>
        <w:tc>
          <w:tcPr>
            <w:tcW w:w="4428" w:type="dxa"/>
          </w:tcPr>
          <w:p w:rsidR="00F21BD9" w:rsidRPr="00F21BD9" w:rsidP="00F21BD9">
            <w:pPr>
              <w:autoSpaceDE w:val="0"/>
              <w:autoSpaceDN w:val="0"/>
              <w:adjustRightInd w:val="0"/>
              <w:spacing w:after="0" w:line="240" w:lineRule="auto"/>
              <w:rPr>
                <w:rFonts w:ascii="Times New Roman" w:eastAsia="Times New Roman" w:hAnsi="Times New Roman" w:cs="Times New Roman"/>
                <w:b/>
                <w:sz w:val="24"/>
                <w:szCs w:val="24"/>
              </w:rPr>
            </w:pPr>
          </w:p>
        </w:tc>
      </w:tr>
    </w:tbl>
    <w:p w:rsidR="001F5470">
      <w:pPr>
        <w:widowControl w:val="0"/>
        <w:autoSpaceDE w:val="0"/>
        <w:autoSpaceDN w:val="0"/>
        <w:adjustRightInd w:val="0"/>
        <w:spacing w:after="0" w:line="240" w:lineRule="auto"/>
        <w:rPr>
          <w:rFonts w:ascii="Times New Roman" w:hAnsi="Times New Roman" w:cs="Times New Roman"/>
          <w:sz w:val="24"/>
          <w:szCs w:val="24"/>
        </w:rPr>
      </w:pPr>
    </w:p>
    <w:sectPr w:rsidSect="00090802">
      <w:pgSz w:w="12240" w:h="15840"/>
      <w:pgMar w:top="1440" w:right="1800" w:bottom="1440" w:left="180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11662050"/>
      <w:docPartObj>
        <w:docPartGallery w:val="Page Numbers (Bottom of Page)"/>
        <w:docPartUnique/>
      </w:docPartObj>
    </w:sdtPr>
    <w:sdtContent>
      <w:p w:rsidR="00A07909" w:rsidRPr="008371CB">
        <w:pPr>
          <w:pStyle w:val="Footer"/>
          <w:jc w:val="center"/>
          <w:rPr>
            <w:rFonts w:ascii="Times New Roman" w:hAnsi="Times New Roman" w:cs="Times New Roman"/>
            <w:sz w:val="24"/>
            <w:szCs w:val="24"/>
          </w:rPr>
        </w:pPr>
        <w:r w:rsidRPr="008371CB">
          <w:rPr>
            <w:rFonts w:ascii="Times New Roman" w:hAnsi="Times New Roman" w:cs="Times New Roman"/>
            <w:sz w:val="24"/>
            <w:szCs w:val="24"/>
          </w:rPr>
          <w:fldChar w:fldCharType="begin"/>
        </w:r>
        <w:r w:rsidRPr="008371CB">
          <w:rPr>
            <w:rFonts w:ascii="Times New Roman" w:hAnsi="Times New Roman" w:cs="Times New Roman"/>
            <w:sz w:val="24"/>
            <w:szCs w:val="24"/>
          </w:rPr>
          <w:instrText xml:space="preserve"> PAGE   \* MERGEFORMAT </w:instrText>
        </w:r>
        <w:r w:rsidRPr="008371CB">
          <w:rPr>
            <w:rFonts w:ascii="Times New Roman" w:hAnsi="Times New Roman" w:cs="Times New Roman"/>
            <w:sz w:val="24"/>
            <w:szCs w:val="24"/>
          </w:rPr>
          <w:fldChar w:fldCharType="separate"/>
        </w:r>
        <w:r w:rsidR="0036439F">
          <w:rPr>
            <w:rFonts w:ascii="Times New Roman" w:hAnsi="Times New Roman" w:cs="Times New Roman"/>
            <w:noProof/>
            <w:sz w:val="24"/>
            <w:szCs w:val="24"/>
          </w:rPr>
          <w:t>8</w:t>
        </w:r>
        <w:r w:rsidRPr="008371CB">
          <w:rPr>
            <w:rFonts w:ascii="Times New Roman" w:hAnsi="Times New Roman" w:cs="Times New Roman"/>
            <w:sz w:val="24"/>
            <w:szCs w:val="24"/>
          </w:rPr>
          <w:fldChar w:fldCharType="end"/>
        </w:r>
      </w:p>
    </w:sdtContent>
  </w:sdt>
  <w:p w:rsidR="00A07909" w:rsidRPr="008371C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5190" w:rsidP="00C75A89">
      <w:pPr>
        <w:spacing w:after="0" w:line="240" w:lineRule="auto"/>
      </w:pPr>
      <w:r>
        <w:separator/>
      </w:r>
    </w:p>
  </w:footnote>
  <w:footnote w:type="continuationSeparator" w:id="1">
    <w:p w:rsidR="00EE5190" w:rsidP="00C75A89">
      <w:pPr>
        <w:spacing w:after="0" w:line="240" w:lineRule="auto"/>
      </w:pPr>
      <w:r>
        <w:continuationSeparator/>
      </w:r>
    </w:p>
  </w:footnote>
  <w:footnote w:id="2">
    <w:p w:rsidR="00221587" w:rsidP="00221587">
      <w:pPr>
        <w:pStyle w:val="FootnoteText"/>
      </w:pPr>
      <w:r>
        <w:rPr>
          <w:rStyle w:val="FootnoteReference"/>
        </w:rPr>
        <w:footnoteRef/>
      </w:r>
      <w:r>
        <w:t xml:space="preserve"> “Submetering entities” include condominium associations, submetering companies, and other similarly-situated entities engaged in the resale or redistribution of public utility services.</w:t>
      </w:r>
    </w:p>
  </w:footnote>
  <w:footnote w:id="3">
    <w:p w:rsidR="00AD6F92" w:rsidP="00AD6F92">
      <w:pPr>
        <w:pStyle w:val="FootnoteText"/>
      </w:pPr>
      <w:r>
        <w:rPr>
          <w:rStyle w:val="FootnoteReference"/>
        </w:rPr>
        <w:footnoteRef/>
      </w:r>
      <w:r>
        <w:t xml:space="preserve"> The PUCO adopted the rebuttable presumption in its Finding and Order issued in </w:t>
      </w:r>
      <w:r w:rsidR="0087436D">
        <w:t xml:space="preserve">this case on December 7, 2016. </w:t>
      </w:r>
      <w:r>
        <w:t>There, the PUCO sought comments on the threshold for the rebuttable presumption.</w:t>
      </w:r>
    </w:p>
  </w:footnote>
  <w:footnote w:id="4">
    <w:p w:rsidR="00746A05" w:rsidP="00746A05">
      <w:pPr>
        <w:pStyle w:val="FootnoteText"/>
      </w:pPr>
      <w:r>
        <w:rPr>
          <w:rStyle w:val="FootnoteReference"/>
        </w:rPr>
        <w:footnoteRef/>
      </w:r>
      <w:r>
        <w:t xml:space="preserve"> OCC and </w:t>
      </w:r>
      <w:r w:rsidRPr="00D607B1" w:rsidR="00FB289D">
        <w:rPr>
          <w:szCs w:val="24"/>
        </w:rPr>
        <w:t>the Ohio Poverty Law Center (</w:t>
      </w:r>
      <w:r w:rsidR="00FB289D">
        <w:rPr>
          <w:szCs w:val="24"/>
        </w:rPr>
        <w:t>“</w:t>
      </w:r>
      <w:r>
        <w:t>OPLC</w:t>
      </w:r>
      <w:r w:rsidR="00FB289D">
        <w:t>”)</w:t>
      </w:r>
      <w:r>
        <w:t xml:space="preserve"> filed a joint application for rehearing of the Second </w:t>
      </w:r>
      <w:r w:rsidRPr="00FA7354" w:rsidR="00FA7354">
        <w:rPr>
          <w:rFonts w:cs="Times New Roman"/>
        </w:rPr>
        <w:t>Entry on Rehearing</w:t>
      </w:r>
      <w:r>
        <w:t>.  Other applications for rehearing were filed by: Ohio Power Company and Duke Energy Ohio, Inc.; Ohio Edison Company, The Cleveland Electric Illuminating Company, and The Toledo Edison Company; Ohio Partners for Affordable Energy; and Mark A. Whitt.  OCC do</w:t>
      </w:r>
      <w:r w:rsidR="00FB289D">
        <w:t>es</w:t>
      </w:r>
      <w:r>
        <w:t xml:space="preserve"> not </w:t>
      </w:r>
      <w:r w:rsidR="002C769C">
        <w:t>address</w:t>
      </w:r>
      <w:r>
        <w:t xml:space="preserve"> other </w:t>
      </w:r>
      <w:r w:rsidR="002C769C">
        <w:t xml:space="preserve">parties’ </w:t>
      </w:r>
      <w:r>
        <w:t>applications for rehearing</w:t>
      </w:r>
      <w:r w:rsidR="002C769C">
        <w:t xml:space="preserve"> in this memorandum contra</w:t>
      </w:r>
      <w:r>
        <w:t>.</w:t>
      </w:r>
    </w:p>
  </w:footnote>
  <w:footnote w:id="5">
    <w:p w:rsidR="00A5029E">
      <w:pPr>
        <w:pStyle w:val="FootnoteText"/>
      </w:pPr>
      <w:r>
        <w:rPr>
          <w:rStyle w:val="FootnoteReference"/>
        </w:rPr>
        <w:footnoteRef/>
      </w:r>
      <w:r>
        <w:t xml:space="preserve"> OCC/OPLC </w:t>
      </w:r>
      <w:r w:rsidR="00851E26">
        <w:t xml:space="preserve">Second </w:t>
      </w:r>
      <w:r>
        <w:t>Application for Rehearing (July 21, 2017).</w:t>
      </w:r>
    </w:p>
  </w:footnote>
  <w:footnote w:id="6">
    <w:p w:rsidR="00851E26">
      <w:pPr>
        <w:pStyle w:val="FootnoteText"/>
      </w:pPr>
      <w:r>
        <w:rPr>
          <w:rStyle w:val="FootnoteReference"/>
        </w:rPr>
        <w:footnoteRef/>
      </w:r>
      <w:r>
        <w:t xml:space="preserve"> Second Entry on Rehearing, ¶¶ 49-50.</w:t>
      </w:r>
    </w:p>
  </w:footnote>
  <w:footnote w:id="7">
    <w:p w:rsidR="00652C1E">
      <w:pPr>
        <w:pStyle w:val="FootnoteText"/>
      </w:pPr>
      <w:r>
        <w:rPr>
          <w:rStyle w:val="FootnoteReference"/>
        </w:rPr>
        <w:footnoteRef/>
      </w:r>
      <w:r>
        <w:t xml:space="preserve"> </w:t>
      </w:r>
      <w:r w:rsidR="009F30BF">
        <w:t>AP&amp;L</w:t>
      </w:r>
      <w:r>
        <w:t xml:space="preserve"> </w:t>
      </w:r>
      <w:r w:rsidR="00851E26">
        <w:t>Application for Rehearing</w:t>
      </w:r>
      <w:r>
        <w:t xml:space="preserve"> at 4-5.</w:t>
      </w:r>
    </w:p>
  </w:footnote>
  <w:footnote w:id="8">
    <w:p w:rsidR="00851E26">
      <w:pPr>
        <w:pStyle w:val="FootnoteText"/>
      </w:pPr>
      <w:r>
        <w:rPr>
          <w:rStyle w:val="FootnoteReference"/>
        </w:rPr>
        <w:footnoteRef/>
      </w:r>
      <w:r>
        <w:t xml:space="preserve"> R.C. 4903.09.</w:t>
      </w:r>
    </w:p>
  </w:footnote>
  <w:footnote w:id="9">
    <w:p w:rsidR="004B4167" w:rsidRPr="004B4167">
      <w:pPr>
        <w:pStyle w:val="FootnoteText"/>
      </w:pPr>
      <w:r>
        <w:rPr>
          <w:rStyle w:val="FootnoteReference"/>
        </w:rPr>
        <w:footnoteRef/>
      </w:r>
      <w:r>
        <w:t xml:space="preserve"> </w:t>
      </w:r>
      <w:r>
        <w:rPr>
          <w:i/>
        </w:rPr>
        <w:t>See</w:t>
      </w:r>
      <w:r>
        <w:t xml:space="preserve"> Second Entry on Rehearing, ¶¶ 42-50.</w:t>
      </w:r>
    </w:p>
  </w:footnote>
  <w:footnote w:id="10">
    <w:p w:rsidR="00B50FAD">
      <w:pPr>
        <w:pStyle w:val="FootnoteText"/>
      </w:pPr>
      <w:r>
        <w:rPr>
          <w:rStyle w:val="FootnoteReference"/>
        </w:rPr>
        <w:footnoteRef/>
      </w:r>
      <w:r>
        <w:t xml:space="preserve"> OCC/OPLC </w:t>
      </w:r>
      <w:r w:rsidR="00851E26">
        <w:t>Second Application for Rehearing</w:t>
      </w:r>
      <w:r>
        <w:t xml:space="preserve"> at 2-5.</w:t>
      </w:r>
    </w:p>
  </w:footnote>
  <w:footnote w:id="11">
    <w:p w:rsidR="00851E26">
      <w:pPr>
        <w:pStyle w:val="FootnoteText"/>
      </w:pPr>
      <w:r>
        <w:rPr>
          <w:rStyle w:val="FootnoteReference"/>
        </w:rPr>
        <w:footnoteRef/>
      </w:r>
      <w:r>
        <w:t xml:space="preserve"> </w:t>
      </w:r>
      <w:r w:rsidR="009F30BF">
        <w:t>AP&amp;L</w:t>
      </w:r>
      <w:r>
        <w:t xml:space="preserve"> Application for Rehearing at 4-5.</w:t>
      </w:r>
    </w:p>
  </w:footnote>
  <w:footnote w:id="12">
    <w:p w:rsidR="007004E3">
      <w:pPr>
        <w:pStyle w:val="FootnoteText"/>
      </w:pPr>
      <w:r>
        <w:rPr>
          <w:rStyle w:val="FootnoteReference"/>
        </w:rPr>
        <w:footnoteRef/>
      </w:r>
      <w:r>
        <w:t xml:space="preserve"> Joint Application for Rehearing of Ohio Power Company, Duke Energy Ohio, Inc. and Ohio Edison Company, The Cleveland Electric Illuminating Company, and The Toledo Edison Company (January 6, 2017) at </w:t>
      </w:r>
      <w:r w:rsidR="00040B6C">
        <w:t>6-8.</w:t>
      </w:r>
    </w:p>
  </w:footnote>
  <w:footnote w:id="13">
    <w:p w:rsidR="00AC2DA3" w:rsidRPr="00AC2DA3">
      <w:pPr>
        <w:pStyle w:val="FootnoteText"/>
      </w:pPr>
      <w:r>
        <w:rPr>
          <w:rStyle w:val="FootnoteReference"/>
        </w:rPr>
        <w:footnoteRef/>
      </w:r>
      <w:r>
        <w:t xml:space="preserve"> </w:t>
      </w:r>
      <w:r>
        <w:rPr>
          <w:i/>
        </w:rPr>
        <w:t xml:space="preserve">See </w:t>
      </w:r>
      <w:r>
        <w:t>OCC/OPLC Second Application for Rehearing at 5.</w:t>
      </w:r>
    </w:p>
  </w:footnote>
  <w:footnote w:id="14">
    <w:p w:rsidR="00835B15" w:rsidRPr="00835B15">
      <w:pPr>
        <w:pStyle w:val="FootnoteText"/>
      </w:pPr>
      <w:r>
        <w:rPr>
          <w:rStyle w:val="FootnoteReference"/>
        </w:rPr>
        <w:footnoteRef/>
      </w:r>
      <w:r>
        <w:t xml:space="preserve"> </w:t>
      </w:r>
      <w:r w:rsidR="00040B6C">
        <w:t xml:space="preserve">AP&amp;L Application for Rehearing </w:t>
      </w:r>
      <w:r>
        <w:t>at 6.</w:t>
      </w:r>
    </w:p>
  </w:footnote>
  <w:footnote w:id="15">
    <w:p w:rsidR="006C7131" w:rsidRPr="006C7131">
      <w:pPr>
        <w:pStyle w:val="FootnoteText"/>
        <w:rPr>
          <w:i/>
        </w:rPr>
      </w:pPr>
      <w:r>
        <w:rPr>
          <w:rStyle w:val="FootnoteReference"/>
        </w:rPr>
        <w:footnoteRef/>
      </w:r>
      <w:r>
        <w:t xml:space="preserve"> </w:t>
      </w:r>
      <w:r>
        <w:rPr>
          <w:i/>
        </w:rPr>
        <w:t>Id.</w:t>
      </w:r>
    </w:p>
  </w:footnote>
  <w:footnote w:id="16">
    <w:p w:rsidR="006C7131" w:rsidRPr="006C7131">
      <w:pPr>
        <w:pStyle w:val="FootnoteText"/>
        <w:rPr>
          <w:i/>
        </w:rPr>
      </w:pPr>
      <w:r>
        <w:rPr>
          <w:rStyle w:val="FootnoteReference"/>
        </w:rPr>
        <w:footnoteRef/>
      </w:r>
      <w:r>
        <w:t xml:space="preserve"> </w:t>
      </w:r>
      <w:r>
        <w:rPr>
          <w:i/>
        </w:rPr>
        <w:t>Id.</w:t>
      </w:r>
    </w:p>
  </w:footnote>
  <w:footnote w:id="17">
    <w:p w:rsidR="00B26A3B" w:rsidRPr="0063076C">
      <w:pPr>
        <w:pStyle w:val="FootnoteText"/>
      </w:pPr>
      <w:r>
        <w:rPr>
          <w:rStyle w:val="FootnoteReference"/>
        </w:rPr>
        <w:footnoteRef/>
      </w:r>
      <w:r>
        <w:t xml:space="preserve"> </w:t>
      </w:r>
      <w:r w:rsidR="009F30BF">
        <w:rPr>
          <w:rFonts w:cs="Times New Roman"/>
        </w:rPr>
        <w:t>AP&amp;L</w:t>
      </w:r>
      <w:r w:rsidRPr="0063076C" w:rsidR="0063076C">
        <w:rPr>
          <w:rFonts w:cs="Times New Roman"/>
        </w:rPr>
        <w:t xml:space="preserve"> also mischaracterizes the purpose of the threshold percentage.  In the scenario discussed above, </w:t>
      </w:r>
      <w:r w:rsidR="009F30BF">
        <w:rPr>
          <w:rFonts w:cs="Times New Roman"/>
        </w:rPr>
        <w:t>AP&amp;L</w:t>
      </w:r>
      <w:r w:rsidRPr="0063076C" w:rsidR="0063076C">
        <w:rPr>
          <w:rFonts w:cs="Times New Roman"/>
        </w:rPr>
        <w:t xml:space="preserve"> claims that five dollars could be the difference between a submetering entity </w:t>
      </w:r>
      <w:r w:rsidR="00F15902">
        <w:rPr>
          <w:rFonts w:cs="Times New Roman"/>
        </w:rPr>
        <w:t>“</w:t>
      </w:r>
      <w:r w:rsidRPr="0063076C" w:rsidR="0063076C">
        <w:rPr>
          <w:rFonts w:cs="Times New Roman"/>
        </w:rPr>
        <w:t>being a public utility and not being a public utility.</w:t>
      </w:r>
      <w:r w:rsidR="00F15902">
        <w:rPr>
          <w:rFonts w:cs="Times New Roman"/>
        </w:rPr>
        <w:t>”</w:t>
      </w:r>
      <w:r w:rsidR="0063076C">
        <w:rPr>
          <w:rFonts w:cs="Times New Roman"/>
        </w:rPr>
        <w:t xml:space="preserve">  </w:t>
      </w:r>
      <w:r>
        <w:rPr>
          <w:i/>
        </w:rPr>
        <w:t>Id.</w:t>
      </w:r>
      <w:r w:rsidR="0063076C">
        <w:rPr>
          <w:i/>
        </w:rPr>
        <w:t xml:space="preserve">  </w:t>
      </w:r>
      <w:r w:rsidRPr="0063076C" w:rsidR="0063076C">
        <w:rPr>
          <w:rFonts w:cs="Times New Roman"/>
        </w:rPr>
        <w:t xml:space="preserve">But the threshold percentage is not dispositive as to whether a submetering entity should be considered a public utility for regulatory purposes, as </w:t>
      </w:r>
      <w:r w:rsidR="009F30BF">
        <w:rPr>
          <w:rFonts w:cs="Times New Roman"/>
        </w:rPr>
        <w:t>AP&amp;L</w:t>
      </w:r>
      <w:r w:rsidRPr="0063076C" w:rsidR="0063076C">
        <w:rPr>
          <w:rFonts w:cs="Times New Roman"/>
        </w:rPr>
        <w:t xml:space="preserve"> suggests.  Instead, the threshold merely creates a rebuttable presumption that the entity may refute.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A83A73"/>
    <w:multiLevelType w:val="hybridMultilevel"/>
    <w:tmpl w:val="B53C5B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AF56272"/>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D6017DC"/>
    <w:multiLevelType w:val="hybridMultilevel"/>
    <w:tmpl w:val="DC9A80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3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3C0AC5"/>
    <w:pPr>
      <w:spacing w:after="120" w:line="240" w:lineRule="auto"/>
    </w:pPr>
    <w:rPr>
      <w:rFonts w:ascii="Times New Roman" w:hAnsi="Times New Roman"/>
      <w:sz w:val="20"/>
      <w:szCs w:val="20"/>
    </w:rPr>
  </w:style>
  <w:style w:type="character" w:customStyle="1" w:styleId="FootnoteTextChar">
    <w:name w:val="Footnote Text Char"/>
    <w:aliases w:val="Footnote Text Char Char4 Char Char,Footnote Text Char Char4 Char1 Char Char Char,Footnote Text Char2 Char,Footnote Text Char4 Char Char,Footnote Text Char4 Char1 Char Char Char,Footnote Text Char5 Char1 Char Char Char Char Char Char"/>
    <w:basedOn w:val="DefaultParagraphFont"/>
    <w:link w:val="FootnoteText"/>
    <w:uiPriority w:val="99"/>
    <w:rsid w:val="003C0AC5"/>
    <w:rPr>
      <w:rFonts w:ascii="Times New Roman" w:hAnsi="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C75A89"/>
    <w:rPr>
      <w:vertAlign w:val="superscript"/>
    </w:rPr>
  </w:style>
  <w:style w:type="paragraph" w:styleId="Header">
    <w:name w:val="header"/>
    <w:basedOn w:val="Normal"/>
    <w:link w:val="HeaderChar"/>
    <w:uiPriority w:val="99"/>
    <w:unhideWhenUsed/>
    <w:rsid w:val="001A7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A5"/>
  </w:style>
  <w:style w:type="paragraph" w:styleId="Footer">
    <w:name w:val="footer"/>
    <w:basedOn w:val="Normal"/>
    <w:link w:val="FooterChar"/>
    <w:uiPriority w:val="99"/>
    <w:unhideWhenUsed/>
    <w:rsid w:val="001A7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A5"/>
  </w:style>
  <w:style w:type="paragraph" w:styleId="BodyTextIndent3">
    <w:name w:val="Body Text Indent 3"/>
    <w:basedOn w:val="Normal"/>
    <w:link w:val="BodyTextIndent3Char"/>
    <w:rsid w:val="0023285F"/>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3285F"/>
    <w:rPr>
      <w:rFonts w:ascii="Times New Roman" w:eastAsia="Times New Roman" w:hAnsi="Times New Roman" w:cs="Times New Roman"/>
      <w:sz w:val="24"/>
      <w:szCs w:val="20"/>
    </w:rPr>
  </w:style>
  <w:style w:type="character" w:styleId="Emphasis">
    <w:name w:val="Emphasis"/>
    <w:basedOn w:val="DefaultParagraphFont"/>
    <w:uiPriority w:val="20"/>
    <w:qFormat/>
    <w:rsid w:val="00F7085D"/>
    <w:rPr>
      <w:i/>
      <w:iCs/>
    </w:rPr>
  </w:style>
  <w:style w:type="paragraph" w:styleId="BalloonText">
    <w:name w:val="Balloon Text"/>
    <w:basedOn w:val="Normal"/>
    <w:link w:val="BalloonTextChar"/>
    <w:uiPriority w:val="99"/>
    <w:semiHidden/>
    <w:unhideWhenUsed/>
    <w:rsid w:val="003008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823"/>
    <w:rPr>
      <w:rFonts w:ascii="Times New Roman" w:hAnsi="Times New Roman" w:cs="Times New Roman"/>
      <w:sz w:val="18"/>
      <w:szCs w:val="18"/>
    </w:rPr>
  </w:style>
  <w:style w:type="character" w:styleId="CommentReference">
    <w:name w:val="annotation reference"/>
    <w:basedOn w:val="DefaultParagraphFont"/>
    <w:semiHidden/>
    <w:unhideWhenUsed/>
    <w:rsid w:val="006B6643"/>
    <w:rPr>
      <w:sz w:val="16"/>
      <w:szCs w:val="16"/>
    </w:rPr>
  </w:style>
  <w:style w:type="paragraph" w:styleId="CommentText">
    <w:name w:val="annotation text"/>
    <w:basedOn w:val="Normal"/>
    <w:link w:val="CommentTextChar"/>
    <w:semiHidden/>
    <w:unhideWhenUsed/>
    <w:rsid w:val="006B6643"/>
    <w:pPr>
      <w:spacing w:line="240" w:lineRule="auto"/>
    </w:pPr>
    <w:rPr>
      <w:sz w:val="20"/>
      <w:szCs w:val="20"/>
    </w:rPr>
  </w:style>
  <w:style w:type="character" w:customStyle="1" w:styleId="CommentTextChar">
    <w:name w:val="Comment Text Char"/>
    <w:basedOn w:val="DefaultParagraphFont"/>
    <w:link w:val="CommentText"/>
    <w:semiHidden/>
    <w:rsid w:val="006B6643"/>
    <w:rPr>
      <w:sz w:val="20"/>
      <w:szCs w:val="20"/>
    </w:rPr>
  </w:style>
  <w:style w:type="paragraph" w:styleId="CommentSubject">
    <w:name w:val="annotation subject"/>
    <w:basedOn w:val="CommentText"/>
    <w:next w:val="CommentText"/>
    <w:link w:val="CommentSubjectChar"/>
    <w:uiPriority w:val="99"/>
    <w:semiHidden/>
    <w:unhideWhenUsed/>
    <w:rsid w:val="006B6643"/>
    <w:rPr>
      <w:b/>
      <w:bCs/>
    </w:rPr>
  </w:style>
  <w:style w:type="character" w:customStyle="1" w:styleId="CommentSubjectChar">
    <w:name w:val="Comment Subject Char"/>
    <w:basedOn w:val="CommentTextChar"/>
    <w:link w:val="CommentSubject"/>
    <w:uiPriority w:val="99"/>
    <w:semiHidden/>
    <w:rsid w:val="006B6643"/>
    <w:rPr>
      <w:b/>
      <w:bCs/>
      <w:sz w:val="20"/>
      <w:szCs w:val="20"/>
    </w:rPr>
  </w:style>
  <w:style w:type="paragraph" w:styleId="ListParagraph">
    <w:name w:val="List Paragraph"/>
    <w:basedOn w:val="Normal"/>
    <w:uiPriority w:val="34"/>
    <w:qFormat/>
    <w:rsid w:val="00457220"/>
    <w:pPr>
      <w:ind w:left="720"/>
      <w:contextualSpacing/>
    </w:pPr>
  </w:style>
  <w:style w:type="character" w:customStyle="1" w:styleId="cosearchterm">
    <w:name w:val="co_searchterm"/>
    <w:basedOn w:val="DefaultParagraphFont"/>
    <w:rsid w:val="00AE5075"/>
  </w:style>
  <w:style w:type="paragraph" w:styleId="DocumentMap">
    <w:name w:val="Document Map"/>
    <w:basedOn w:val="Normal"/>
    <w:link w:val="DocumentMapChar"/>
    <w:uiPriority w:val="99"/>
    <w:semiHidden/>
    <w:unhideWhenUsed/>
    <w:rsid w:val="00025DB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25DB6"/>
    <w:rPr>
      <w:rFonts w:ascii="Times New Roman" w:hAnsi="Times New Roman" w:cs="Times New Roman"/>
      <w:sz w:val="24"/>
      <w:szCs w:val="24"/>
    </w:rPr>
  </w:style>
  <w:style w:type="paragraph" w:styleId="Revision">
    <w:name w:val="Revision"/>
    <w:hidden/>
    <w:uiPriority w:val="99"/>
    <w:semiHidden/>
    <w:rsid w:val="00025DB6"/>
    <w:pPr>
      <w:spacing w:after="0" w:line="240" w:lineRule="auto"/>
    </w:pPr>
  </w:style>
  <w:style w:type="character" w:styleId="Hyperlink">
    <w:name w:val="Hyperlink"/>
    <w:uiPriority w:val="99"/>
    <w:rsid w:val="00C72BE6"/>
    <w:rPr>
      <w:color w:val="0000FF"/>
      <w:u w:val="single"/>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C72BE6"/>
  </w:style>
  <w:style w:type="character" w:customStyle="1" w:styleId="ssnonpaginatedrptr">
    <w:name w:val="ss_nonpaginatedrptr"/>
    <w:basedOn w:val="DefaultParagraphFont"/>
    <w:rsid w:val="0072479B"/>
  </w:style>
  <w:style w:type="character" w:customStyle="1" w:styleId="Mention1">
    <w:name w:val="Mention1"/>
    <w:basedOn w:val="DefaultParagraphFont"/>
    <w:uiPriority w:val="99"/>
    <w:semiHidden/>
    <w:unhideWhenUsed/>
    <w:rsid w:val="000908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15-1594-AU-COI OCC Memo Contra AFR 2nd EOR.docx</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2017-07-31T21:15:17Z</dcterms:created>
  <dcterms:modified xsi:type="dcterms:W3CDTF">2017-07-31T21:15:17Z</dcterms:modified>
</cp:coreProperties>
</file>