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11D" w:rsidRDefault="00496947">
      <w:pPr>
        <w:spacing w:line="240" w:lineRule="auto"/>
        <w:jc w:val="center"/>
        <w:rPr>
          <w:rFonts w:cs="Arial"/>
          <w:b/>
          <w:smallCaps/>
          <w:sz w:val="32"/>
          <w:szCs w:val="32"/>
        </w:rPr>
      </w:pPr>
      <w:r>
        <w:rPr>
          <w:rFonts w:cs="Arial"/>
          <w:b/>
          <w:smallCaps/>
          <w:sz w:val="32"/>
          <w:szCs w:val="32"/>
        </w:rPr>
        <w:t>Before</w:t>
      </w:r>
    </w:p>
    <w:p w:rsidR="00CC411D" w:rsidRDefault="00496947">
      <w:pPr>
        <w:spacing w:line="240" w:lineRule="auto"/>
        <w:jc w:val="center"/>
        <w:rPr>
          <w:rFonts w:cs="Arial"/>
          <w:b/>
          <w:smallCaps/>
          <w:sz w:val="32"/>
          <w:szCs w:val="32"/>
        </w:rPr>
      </w:pPr>
      <w:r>
        <w:rPr>
          <w:rFonts w:cs="Arial"/>
          <w:b/>
          <w:smallCaps/>
          <w:sz w:val="32"/>
          <w:szCs w:val="32"/>
        </w:rPr>
        <w:t>The Public Utilities Commission of Ohio</w:t>
      </w:r>
    </w:p>
    <w:p w:rsidR="00CC411D" w:rsidRDefault="00CC411D">
      <w:pPr>
        <w:spacing w:line="240" w:lineRule="auto"/>
        <w:jc w:val="center"/>
        <w:rPr>
          <w:rFonts w:cs="Arial"/>
          <w:b/>
          <w:szCs w:val="24"/>
        </w:rPr>
      </w:pPr>
    </w:p>
    <w:p w:rsidR="00CC411D" w:rsidRDefault="00CC411D">
      <w:pPr>
        <w:spacing w:line="240" w:lineRule="auto"/>
        <w:jc w:val="center"/>
        <w:rPr>
          <w:rFonts w:cs="Arial"/>
          <w:b/>
          <w:szCs w:val="24"/>
        </w:rPr>
      </w:pPr>
    </w:p>
    <w:p w:rsidR="00CC411D" w:rsidRDefault="00496947">
      <w:pPr>
        <w:tabs>
          <w:tab w:val="left" w:pos="4680"/>
          <w:tab w:val="left" w:pos="5220"/>
        </w:tabs>
        <w:autoSpaceDE w:val="0"/>
        <w:autoSpaceDN w:val="0"/>
        <w:adjustRightInd w:val="0"/>
        <w:spacing w:line="240" w:lineRule="auto"/>
        <w:jc w:val="left"/>
        <w:rPr>
          <w:rFonts w:eastAsia="Calibri" w:cs="Arial"/>
          <w:bCs/>
          <w:szCs w:val="24"/>
        </w:rPr>
      </w:pPr>
      <w:r>
        <w:rPr>
          <w:rFonts w:eastAsia="Calibri" w:cs="Arial"/>
          <w:bCs/>
          <w:szCs w:val="24"/>
        </w:rPr>
        <w:t>In the Matter of the Commission’s</w:t>
      </w:r>
      <w:r>
        <w:rPr>
          <w:rFonts w:eastAsia="Calibri" w:cs="Arial"/>
          <w:bCs/>
          <w:szCs w:val="24"/>
        </w:rPr>
        <w:tab/>
        <w:t>)</w:t>
      </w:r>
    </w:p>
    <w:p w:rsidR="00CC411D" w:rsidRDefault="00496947">
      <w:pPr>
        <w:tabs>
          <w:tab w:val="left" w:pos="4680"/>
          <w:tab w:val="left" w:pos="5220"/>
        </w:tabs>
        <w:autoSpaceDE w:val="0"/>
        <w:autoSpaceDN w:val="0"/>
        <w:adjustRightInd w:val="0"/>
        <w:spacing w:line="240" w:lineRule="auto"/>
        <w:jc w:val="left"/>
        <w:rPr>
          <w:rFonts w:eastAsia="Calibri" w:cs="Arial"/>
          <w:bCs/>
          <w:szCs w:val="24"/>
        </w:rPr>
      </w:pPr>
      <w:r>
        <w:rPr>
          <w:rFonts w:eastAsia="Calibri" w:cs="Arial"/>
          <w:bCs/>
          <w:szCs w:val="24"/>
        </w:rPr>
        <w:t>Alternative Energy Portfolio Standard</w:t>
      </w:r>
      <w:r>
        <w:rPr>
          <w:rFonts w:eastAsia="Calibri" w:cs="Arial"/>
          <w:bCs/>
          <w:szCs w:val="24"/>
        </w:rPr>
        <w:tab/>
        <w:t xml:space="preserve">) </w:t>
      </w:r>
      <w:r>
        <w:rPr>
          <w:rFonts w:eastAsia="Calibri" w:cs="Arial"/>
          <w:bCs/>
          <w:szCs w:val="24"/>
        </w:rPr>
        <w:tab/>
        <w:t>Case No. 14-2328-EL-ACP</w:t>
      </w:r>
    </w:p>
    <w:p w:rsidR="00CC411D" w:rsidRDefault="00496947">
      <w:pPr>
        <w:tabs>
          <w:tab w:val="left" w:pos="4680"/>
          <w:tab w:val="left" w:pos="5220"/>
        </w:tabs>
        <w:autoSpaceDE w:val="0"/>
        <w:autoSpaceDN w:val="0"/>
        <w:adjustRightInd w:val="0"/>
        <w:spacing w:line="240" w:lineRule="auto"/>
        <w:jc w:val="left"/>
        <w:rPr>
          <w:rFonts w:eastAsia="Calibri" w:cs="Arial"/>
          <w:bCs/>
          <w:szCs w:val="24"/>
        </w:rPr>
      </w:pPr>
      <w:r>
        <w:rPr>
          <w:rFonts w:eastAsia="Calibri" w:cs="Arial"/>
          <w:bCs/>
          <w:szCs w:val="24"/>
        </w:rPr>
        <w:t>Report to the General Assembly for the</w:t>
      </w:r>
      <w:r>
        <w:rPr>
          <w:rFonts w:eastAsia="Calibri" w:cs="Arial"/>
          <w:bCs/>
          <w:szCs w:val="24"/>
        </w:rPr>
        <w:tab/>
        <w:t>)</w:t>
      </w:r>
    </w:p>
    <w:p w:rsidR="00CC411D" w:rsidRDefault="00496947">
      <w:pPr>
        <w:tabs>
          <w:tab w:val="left" w:pos="4680"/>
          <w:tab w:val="left" w:pos="5220"/>
        </w:tabs>
        <w:autoSpaceDE w:val="0"/>
        <w:autoSpaceDN w:val="0"/>
        <w:adjustRightInd w:val="0"/>
        <w:spacing w:line="240" w:lineRule="auto"/>
        <w:jc w:val="left"/>
        <w:rPr>
          <w:rFonts w:eastAsia="Calibri" w:cs="Arial"/>
          <w:bCs/>
          <w:szCs w:val="24"/>
        </w:rPr>
      </w:pPr>
      <w:r>
        <w:rPr>
          <w:rFonts w:eastAsia="Calibri" w:cs="Arial"/>
          <w:bCs/>
          <w:szCs w:val="24"/>
        </w:rPr>
        <w:t>2013 Compliance Year</w:t>
      </w:r>
      <w:r>
        <w:rPr>
          <w:rFonts w:eastAsia="Calibri" w:cs="Arial"/>
          <w:bCs/>
          <w:szCs w:val="24"/>
        </w:rPr>
        <w:tab/>
        <w:t>)</w:t>
      </w:r>
    </w:p>
    <w:p w:rsidR="00CC411D" w:rsidRDefault="00496947">
      <w:pPr>
        <w:tabs>
          <w:tab w:val="left" w:pos="4680"/>
          <w:tab w:val="left" w:pos="5220"/>
        </w:tabs>
        <w:autoSpaceDE w:val="0"/>
        <w:autoSpaceDN w:val="0"/>
        <w:adjustRightInd w:val="0"/>
        <w:spacing w:line="240" w:lineRule="auto"/>
        <w:jc w:val="left"/>
        <w:rPr>
          <w:rFonts w:eastAsia="Calibri" w:cs="Arial"/>
          <w:bCs/>
          <w:szCs w:val="24"/>
        </w:rPr>
      </w:pPr>
      <w:r>
        <w:rPr>
          <w:rFonts w:eastAsia="Calibri" w:cs="Arial"/>
          <w:bCs/>
          <w:szCs w:val="24"/>
        </w:rPr>
        <w:tab/>
        <w:t>)</w:t>
      </w:r>
    </w:p>
    <w:p w:rsidR="00CC411D" w:rsidRDefault="00496947">
      <w:pPr>
        <w:tabs>
          <w:tab w:val="left" w:pos="4680"/>
          <w:tab w:val="left" w:pos="5220"/>
        </w:tabs>
        <w:autoSpaceDE w:val="0"/>
        <w:autoSpaceDN w:val="0"/>
        <w:adjustRightInd w:val="0"/>
        <w:spacing w:line="240" w:lineRule="auto"/>
        <w:jc w:val="left"/>
        <w:rPr>
          <w:rFonts w:cs="Arial"/>
          <w:szCs w:val="24"/>
        </w:rPr>
      </w:pPr>
      <w:r>
        <w:rPr>
          <w:rFonts w:eastAsia="Calibri" w:cs="Arial"/>
          <w:bCs/>
          <w:szCs w:val="24"/>
        </w:rPr>
        <w:tab/>
        <w:t>)</w:t>
      </w:r>
    </w:p>
    <w:p w:rsidR="00CC411D" w:rsidRDefault="00CC411D">
      <w:pPr>
        <w:spacing w:line="240" w:lineRule="auto"/>
        <w:rPr>
          <w:rFonts w:cs="Arial"/>
          <w:szCs w:val="24"/>
        </w:rPr>
      </w:pPr>
    </w:p>
    <w:p w:rsidR="00CC411D" w:rsidRDefault="00CC411D">
      <w:pPr>
        <w:spacing w:line="240" w:lineRule="auto"/>
        <w:jc w:val="left"/>
        <w:rPr>
          <w:rFonts w:cs="Arial"/>
        </w:rPr>
      </w:pPr>
    </w:p>
    <w:p w:rsidR="00CC411D" w:rsidRDefault="00CC411D">
      <w:pPr>
        <w:pBdr>
          <w:top w:val="single" w:sz="12" w:space="1" w:color="auto"/>
        </w:pBdr>
        <w:tabs>
          <w:tab w:val="left" w:pos="7320"/>
        </w:tabs>
        <w:spacing w:line="240" w:lineRule="auto"/>
        <w:rPr>
          <w:rFonts w:cs="Arial"/>
          <w:szCs w:val="24"/>
        </w:rPr>
      </w:pPr>
    </w:p>
    <w:p w:rsidR="00CC411D" w:rsidRDefault="00496947">
      <w:pPr>
        <w:keepNext/>
        <w:spacing w:line="240" w:lineRule="auto"/>
        <w:ind w:right="-90"/>
        <w:jc w:val="center"/>
        <w:outlineLvl w:val="0"/>
        <w:rPr>
          <w:rFonts w:ascii="Arial Bold" w:hAnsi="Arial Bold" w:cs="Arial"/>
          <w:b/>
          <w:bCs/>
          <w:smallCaps/>
          <w:sz w:val="32"/>
          <w:szCs w:val="24"/>
        </w:rPr>
      </w:pPr>
      <w:r>
        <w:rPr>
          <w:rFonts w:ascii="Arial Bold" w:hAnsi="Arial Bold" w:cs="Arial"/>
          <w:b/>
          <w:bCs/>
          <w:smallCaps/>
          <w:sz w:val="32"/>
          <w:szCs w:val="24"/>
        </w:rPr>
        <w:t>Linde Energy Services Inc.</w:t>
      </w:r>
      <w:r>
        <w:rPr>
          <w:rFonts w:ascii="Arial Bold" w:hAnsi="Arial Bold" w:cs="Arial" w:hint="eastAsia"/>
          <w:b/>
          <w:bCs/>
          <w:smallCaps/>
          <w:sz w:val="32"/>
          <w:szCs w:val="24"/>
        </w:rPr>
        <w:t>’</w:t>
      </w:r>
      <w:r>
        <w:rPr>
          <w:rFonts w:ascii="Arial Bold" w:hAnsi="Arial Bold" w:cs="Arial"/>
          <w:b/>
          <w:bCs/>
          <w:smallCaps/>
          <w:sz w:val="32"/>
          <w:szCs w:val="24"/>
        </w:rPr>
        <w:t>s</w:t>
      </w:r>
    </w:p>
    <w:p w:rsidR="00CC411D" w:rsidRDefault="00496947">
      <w:pPr>
        <w:keepNext/>
        <w:spacing w:line="240" w:lineRule="auto"/>
        <w:ind w:right="-90"/>
        <w:jc w:val="center"/>
        <w:outlineLvl w:val="0"/>
        <w:rPr>
          <w:rFonts w:ascii="Arial Bold" w:hAnsi="Arial Bold" w:cs="Arial"/>
          <w:b/>
          <w:bCs/>
          <w:smallCaps/>
          <w:sz w:val="32"/>
          <w:szCs w:val="24"/>
        </w:rPr>
      </w:pPr>
      <w:r>
        <w:rPr>
          <w:rFonts w:ascii="Arial Bold" w:hAnsi="Arial Bold" w:cs="Arial"/>
          <w:b/>
          <w:bCs/>
          <w:smallCaps/>
          <w:sz w:val="32"/>
          <w:szCs w:val="24"/>
        </w:rPr>
        <w:t>2013 Average REC Cost Report</w:t>
      </w:r>
    </w:p>
    <w:p w:rsidR="00CC411D" w:rsidRDefault="00CC411D">
      <w:pPr>
        <w:pBdr>
          <w:bottom w:val="single" w:sz="12" w:space="1" w:color="auto"/>
        </w:pBdr>
        <w:tabs>
          <w:tab w:val="left" w:pos="7320"/>
        </w:tabs>
        <w:spacing w:line="240" w:lineRule="auto"/>
        <w:jc w:val="center"/>
        <w:rPr>
          <w:rFonts w:cs="Arial"/>
          <w:szCs w:val="24"/>
        </w:rPr>
      </w:pPr>
    </w:p>
    <w:p w:rsidR="00CC411D" w:rsidRDefault="00CC411D">
      <w:pPr>
        <w:spacing w:line="240" w:lineRule="auto"/>
        <w:jc w:val="center"/>
        <w:rPr>
          <w:rFonts w:cs="Arial"/>
          <w:b/>
        </w:rPr>
      </w:pPr>
    </w:p>
    <w:p w:rsidR="00CC411D" w:rsidRDefault="00CC411D">
      <w:pPr>
        <w:spacing w:line="240" w:lineRule="auto"/>
        <w:jc w:val="left"/>
        <w:rPr>
          <w:rFonts w:cs="Arial"/>
        </w:rPr>
      </w:pPr>
    </w:p>
    <w:p w:rsidR="00CC411D" w:rsidRDefault="00CC411D">
      <w:pPr>
        <w:spacing w:line="240" w:lineRule="auto"/>
        <w:jc w:val="left"/>
        <w:rPr>
          <w:rFonts w:cs="Arial"/>
        </w:rPr>
      </w:pPr>
    </w:p>
    <w:p w:rsidR="00CC411D" w:rsidRDefault="00CC411D">
      <w:pPr>
        <w:spacing w:line="240" w:lineRule="auto"/>
        <w:jc w:val="left"/>
        <w:rPr>
          <w:rFonts w:cs="Arial"/>
        </w:rPr>
      </w:pPr>
    </w:p>
    <w:p w:rsidR="00CC411D" w:rsidRDefault="00CC411D">
      <w:pPr>
        <w:spacing w:line="240" w:lineRule="auto"/>
        <w:jc w:val="left"/>
        <w:rPr>
          <w:rFonts w:cs="Arial"/>
        </w:rPr>
      </w:pPr>
      <w:bookmarkStart w:id="0" w:name="_GoBack"/>
      <w:bookmarkEnd w:id="0"/>
    </w:p>
    <w:p w:rsidR="00CC411D" w:rsidRDefault="00CC411D">
      <w:pPr>
        <w:spacing w:line="240" w:lineRule="auto"/>
        <w:jc w:val="left"/>
        <w:rPr>
          <w:rFonts w:cs="Arial"/>
        </w:rPr>
      </w:pPr>
    </w:p>
    <w:p w:rsidR="00CC411D" w:rsidRDefault="00CC411D">
      <w:pPr>
        <w:spacing w:line="240" w:lineRule="auto"/>
        <w:jc w:val="left"/>
        <w:rPr>
          <w:rFonts w:cs="Arial"/>
        </w:rPr>
      </w:pPr>
    </w:p>
    <w:p w:rsidR="00CC411D" w:rsidRDefault="00CC411D">
      <w:pPr>
        <w:spacing w:line="240" w:lineRule="auto"/>
        <w:jc w:val="left"/>
        <w:rPr>
          <w:rFonts w:cs="Arial"/>
        </w:rPr>
      </w:pPr>
    </w:p>
    <w:p w:rsidR="00496947" w:rsidRDefault="00496947">
      <w:pPr>
        <w:spacing w:line="240" w:lineRule="auto"/>
        <w:jc w:val="left"/>
        <w:rPr>
          <w:rFonts w:cs="Arial"/>
        </w:rPr>
      </w:pPr>
    </w:p>
    <w:p w:rsidR="00CC411D" w:rsidRDefault="00CC411D">
      <w:pPr>
        <w:spacing w:line="240" w:lineRule="auto"/>
        <w:jc w:val="left"/>
        <w:rPr>
          <w:rFonts w:cs="Arial"/>
        </w:rPr>
      </w:pPr>
    </w:p>
    <w:p w:rsidR="00CC411D" w:rsidRDefault="00CC411D">
      <w:pPr>
        <w:spacing w:line="240" w:lineRule="auto"/>
        <w:jc w:val="left"/>
        <w:rPr>
          <w:rFonts w:cs="Arial"/>
        </w:rPr>
      </w:pPr>
    </w:p>
    <w:p w:rsidR="00CC411D" w:rsidRDefault="00CC411D">
      <w:pPr>
        <w:spacing w:line="240" w:lineRule="auto"/>
        <w:jc w:val="left"/>
        <w:rPr>
          <w:rFonts w:cs="Arial"/>
        </w:rPr>
      </w:pPr>
    </w:p>
    <w:p w:rsidR="00CC411D" w:rsidRDefault="00CC411D">
      <w:pPr>
        <w:spacing w:line="240" w:lineRule="auto"/>
        <w:jc w:val="left"/>
        <w:rPr>
          <w:rFonts w:cs="Arial"/>
        </w:rPr>
      </w:pPr>
    </w:p>
    <w:p w:rsidR="00496947" w:rsidRDefault="00496947" w:rsidP="00496947">
      <w:pPr>
        <w:tabs>
          <w:tab w:val="left" w:pos="720"/>
          <w:tab w:val="left" w:pos="4320"/>
          <w:tab w:val="right" w:pos="8640"/>
        </w:tabs>
        <w:spacing w:line="240" w:lineRule="auto"/>
        <w:ind w:left="4320"/>
        <w:rPr>
          <w:rFonts w:eastAsia="Calibri" w:cs="Arial"/>
        </w:rPr>
      </w:pPr>
      <w:r>
        <w:rPr>
          <w:rFonts w:eastAsia="Calibri" w:cs="Arial"/>
        </w:rPr>
        <w:t>Samuel C. Randazzo (Reg. No. 0016386)</w:t>
      </w:r>
    </w:p>
    <w:p w:rsidR="00496947" w:rsidRDefault="00496947" w:rsidP="00496947">
      <w:pPr>
        <w:widowControl w:val="0"/>
        <w:tabs>
          <w:tab w:val="left" w:pos="4320"/>
        </w:tabs>
        <w:spacing w:line="240" w:lineRule="auto"/>
        <w:ind w:left="4320"/>
        <w:rPr>
          <w:rFonts w:eastAsia="Calibri" w:cs="Arial"/>
          <w:bCs/>
        </w:rPr>
      </w:pPr>
      <w:r>
        <w:rPr>
          <w:rFonts w:eastAsia="Calibri" w:cs="Arial"/>
          <w:bCs/>
        </w:rPr>
        <w:t>Frank P. Darr (Reg. No. 0025469)</w:t>
      </w:r>
    </w:p>
    <w:p w:rsidR="00496947" w:rsidRDefault="00496947" w:rsidP="00496947">
      <w:pPr>
        <w:widowControl w:val="0"/>
        <w:tabs>
          <w:tab w:val="left" w:pos="4320"/>
        </w:tabs>
        <w:spacing w:line="240" w:lineRule="auto"/>
        <w:ind w:left="4320"/>
        <w:rPr>
          <w:rFonts w:eastAsia="Calibri" w:cs="Arial"/>
          <w:b/>
          <w:bCs/>
        </w:rPr>
      </w:pPr>
      <w:r>
        <w:rPr>
          <w:rFonts w:eastAsia="Calibri" w:cs="Arial"/>
          <w:bCs/>
        </w:rPr>
        <w:t>Matthew R. Pritchard (Reg. No. 0088070)</w:t>
      </w:r>
    </w:p>
    <w:p w:rsidR="00496947" w:rsidRDefault="00496947" w:rsidP="00496947">
      <w:pPr>
        <w:widowControl w:val="0"/>
        <w:tabs>
          <w:tab w:val="left" w:pos="4320"/>
        </w:tabs>
        <w:spacing w:line="240" w:lineRule="auto"/>
        <w:ind w:left="4320"/>
        <w:rPr>
          <w:rFonts w:eastAsia="Calibri" w:cs="Arial"/>
          <w:b/>
          <w:bCs/>
          <w:smallCaps/>
        </w:rPr>
      </w:pPr>
      <w:proofErr w:type="spellStart"/>
      <w:r>
        <w:rPr>
          <w:rFonts w:eastAsia="Calibri" w:cs="Arial"/>
          <w:bCs/>
          <w:smallCaps/>
        </w:rPr>
        <w:t>McNees</w:t>
      </w:r>
      <w:proofErr w:type="spellEnd"/>
      <w:r>
        <w:rPr>
          <w:rFonts w:eastAsia="Calibri" w:cs="Arial"/>
          <w:bCs/>
          <w:smallCaps/>
        </w:rPr>
        <w:t xml:space="preserve"> Wallace &amp; </w:t>
      </w:r>
      <w:proofErr w:type="spellStart"/>
      <w:r>
        <w:rPr>
          <w:rFonts w:eastAsia="Calibri" w:cs="Arial"/>
          <w:bCs/>
          <w:smallCaps/>
        </w:rPr>
        <w:t>Nurick</w:t>
      </w:r>
      <w:proofErr w:type="spellEnd"/>
      <w:r>
        <w:rPr>
          <w:rFonts w:eastAsia="Calibri" w:cs="Arial"/>
          <w:bCs/>
          <w:smallCaps/>
        </w:rPr>
        <w:t xml:space="preserve"> LLC</w:t>
      </w:r>
    </w:p>
    <w:p w:rsidR="00496947" w:rsidRDefault="00496947" w:rsidP="00496947">
      <w:pPr>
        <w:widowControl w:val="0"/>
        <w:tabs>
          <w:tab w:val="left" w:pos="4320"/>
        </w:tabs>
        <w:spacing w:line="240" w:lineRule="auto"/>
        <w:ind w:left="4320"/>
        <w:rPr>
          <w:rFonts w:eastAsia="Calibri" w:cs="Arial"/>
          <w:b/>
          <w:bCs/>
        </w:rPr>
      </w:pPr>
      <w:r>
        <w:rPr>
          <w:rFonts w:eastAsia="Calibri" w:cs="Arial"/>
          <w:bCs/>
        </w:rPr>
        <w:t>21 East State Street, 17</w:t>
      </w:r>
      <w:r>
        <w:rPr>
          <w:rFonts w:eastAsia="Calibri" w:cs="Arial"/>
          <w:bCs/>
          <w:vertAlign w:val="superscript"/>
        </w:rPr>
        <w:t>TH</w:t>
      </w:r>
      <w:r>
        <w:rPr>
          <w:rFonts w:eastAsia="Calibri" w:cs="Arial"/>
          <w:bCs/>
        </w:rPr>
        <w:t xml:space="preserve"> Floor</w:t>
      </w:r>
    </w:p>
    <w:p w:rsidR="00496947" w:rsidRDefault="00496947" w:rsidP="00496947">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r>
        <w:rPr>
          <w:rFonts w:eastAsia="Calibri" w:cs="Arial"/>
        </w:rPr>
        <w:t>Columbus, OH  43215</w:t>
      </w:r>
    </w:p>
    <w:p w:rsidR="00496947" w:rsidRDefault="00496947" w:rsidP="00496947">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r>
        <w:rPr>
          <w:rFonts w:eastAsia="Calibri" w:cs="Arial"/>
        </w:rPr>
        <w:t>Telephone:  (614) 469-8000</w:t>
      </w:r>
    </w:p>
    <w:p w:rsidR="00496947" w:rsidRDefault="00496947" w:rsidP="00496947">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proofErr w:type="spellStart"/>
      <w:r>
        <w:rPr>
          <w:rFonts w:eastAsia="Calibri" w:cs="Arial"/>
        </w:rPr>
        <w:t>Telecopier</w:t>
      </w:r>
      <w:proofErr w:type="spellEnd"/>
      <w:r>
        <w:rPr>
          <w:rFonts w:eastAsia="Calibri" w:cs="Arial"/>
        </w:rPr>
        <w:t>:  (614) 469-4653</w:t>
      </w:r>
    </w:p>
    <w:p w:rsidR="00496947" w:rsidRDefault="00496947" w:rsidP="00496947">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rPr>
        <w:t>sam@mwncmh.com</w:t>
      </w:r>
    </w:p>
    <w:p w:rsidR="00496947" w:rsidRDefault="00496947" w:rsidP="00496947">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color w:val="000000"/>
        </w:rPr>
        <w:t>(</w:t>
      </w:r>
      <w:proofErr w:type="gramStart"/>
      <w:r>
        <w:rPr>
          <w:rFonts w:eastAsia="Calibri" w:cs="Arial"/>
          <w:color w:val="000000"/>
        </w:rPr>
        <w:t>willing</w:t>
      </w:r>
      <w:proofErr w:type="gramEnd"/>
      <w:r>
        <w:rPr>
          <w:rFonts w:eastAsia="Calibri" w:cs="Arial"/>
          <w:color w:val="000000"/>
        </w:rPr>
        <w:t xml:space="preserve"> to accept service by e-mail)</w:t>
      </w:r>
    </w:p>
    <w:p w:rsidR="00496947" w:rsidRDefault="00496947" w:rsidP="00496947">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rPr>
        <w:t>fdarr@mwncmh.com</w:t>
      </w:r>
    </w:p>
    <w:p w:rsidR="00496947" w:rsidRDefault="00496947" w:rsidP="00496947">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color w:val="000000"/>
        </w:rPr>
        <w:t>(</w:t>
      </w:r>
      <w:proofErr w:type="gramStart"/>
      <w:r>
        <w:rPr>
          <w:rFonts w:eastAsia="Calibri" w:cs="Arial"/>
          <w:color w:val="000000"/>
        </w:rPr>
        <w:t>willing</w:t>
      </w:r>
      <w:proofErr w:type="gramEnd"/>
      <w:r>
        <w:rPr>
          <w:rFonts w:eastAsia="Calibri" w:cs="Arial"/>
          <w:color w:val="000000"/>
        </w:rPr>
        <w:t xml:space="preserve"> to accept service by e-mail)</w:t>
      </w:r>
    </w:p>
    <w:p w:rsidR="00496947" w:rsidRDefault="00496947" w:rsidP="00496947">
      <w:pPr>
        <w:tabs>
          <w:tab w:val="left" w:pos="-1440"/>
          <w:tab w:val="left" w:pos="-720"/>
          <w:tab w:val="left" w:pos="5040"/>
          <w:tab w:val="center" w:pos="7200"/>
        </w:tabs>
        <w:overflowPunct w:val="0"/>
        <w:autoSpaceDE w:val="0"/>
        <w:autoSpaceDN w:val="0"/>
        <w:adjustRightInd w:val="0"/>
        <w:spacing w:line="240" w:lineRule="auto"/>
        <w:ind w:left="4320"/>
        <w:rPr>
          <w:rFonts w:eastAsia="Calibri" w:cs="Arial"/>
          <w:smallCaps/>
          <w:color w:val="000000"/>
        </w:rPr>
      </w:pPr>
      <w:r>
        <w:rPr>
          <w:rFonts w:eastAsia="Calibri" w:cs="Arial"/>
          <w:color w:val="000000"/>
        </w:rPr>
        <w:t>mpritchard@mwncmh.com</w:t>
      </w:r>
    </w:p>
    <w:p w:rsidR="00496947" w:rsidRDefault="00496947" w:rsidP="00496947">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color w:val="000000"/>
        </w:rPr>
        <w:t>(</w:t>
      </w:r>
      <w:proofErr w:type="gramStart"/>
      <w:r>
        <w:rPr>
          <w:rFonts w:eastAsia="Calibri" w:cs="Arial"/>
          <w:color w:val="000000"/>
        </w:rPr>
        <w:t>willing</w:t>
      </w:r>
      <w:proofErr w:type="gramEnd"/>
      <w:r>
        <w:rPr>
          <w:rFonts w:eastAsia="Calibri" w:cs="Arial"/>
          <w:color w:val="000000"/>
        </w:rPr>
        <w:t xml:space="preserve"> to accept service by e-mail)</w:t>
      </w:r>
    </w:p>
    <w:p w:rsidR="00CC411D" w:rsidRDefault="00CC411D">
      <w:pPr>
        <w:tabs>
          <w:tab w:val="left" w:pos="4301"/>
        </w:tabs>
        <w:spacing w:line="240" w:lineRule="auto"/>
        <w:jc w:val="left"/>
        <w:rPr>
          <w:b/>
          <w:bCs/>
          <w:szCs w:val="24"/>
        </w:rPr>
      </w:pPr>
    </w:p>
    <w:p w:rsidR="00CC411D" w:rsidRDefault="00496947">
      <w:pPr>
        <w:rPr>
          <w:rFonts w:cs="Arial"/>
          <w:b/>
        </w:rPr>
      </w:pPr>
      <w:proofErr w:type="gramStart"/>
      <w:r>
        <w:rPr>
          <w:b/>
        </w:rPr>
        <w:t>March 11, 2015</w:t>
      </w:r>
      <w:r>
        <w:rPr>
          <w:b/>
        </w:rPr>
        <w:tab/>
      </w:r>
      <w:r>
        <w:rPr>
          <w:b/>
        </w:rPr>
        <w:tab/>
      </w:r>
      <w:r>
        <w:rPr>
          <w:b/>
        </w:rPr>
        <w:tab/>
      </w:r>
      <w:r>
        <w:rPr>
          <w:b/>
        </w:rPr>
        <w:tab/>
        <w:t>Attorneys for Linde Energy Services</w:t>
      </w:r>
      <w:r>
        <w:rPr>
          <w:rFonts w:cs="Arial"/>
          <w:b/>
        </w:rPr>
        <w:t xml:space="preserve"> Inc.</w:t>
      </w:r>
      <w:proofErr w:type="gramEnd"/>
    </w:p>
    <w:p w:rsidR="00CC411D" w:rsidRDefault="00496947">
      <w:pPr>
        <w:spacing w:line="240" w:lineRule="auto"/>
        <w:jc w:val="center"/>
        <w:rPr>
          <w:rFonts w:cs="Arial"/>
          <w:b/>
          <w:smallCaps/>
          <w:sz w:val="32"/>
          <w:szCs w:val="32"/>
        </w:rPr>
      </w:pPr>
      <w:r>
        <w:rPr>
          <w:rFonts w:cs="Arial"/>
          <w:b/>
          <w:smallCaps/>
          <w:sz w:val="32"/>
          <w:szCs w:val="32"/>
        </w:rPr>
        <w:lastRenderedPageBreak/>
        <w:t>Before</w:t>
      </w:r>
    </w:p>
    <w:p w:rsidR="00CC411D" w:rsidRDefault="00496947">
      <w:pPr>
        <w:spacing w:line="240" w:lineRule="auto"/>
        <w:jc w:val="center"/>
        <w:rPr>
          <w:rFonts w:cs="Arial"/>
          <w:b/>
          <w:smallCaps/>
          <w:sz w:val="32"/>
          <w:szCs w:val="32"/>
        </w:rPr>
      </w:pPr>
      <w:r>
        <w:rPr>
          <w:rFonts w:cs="Arial"/>
          <w:b/>
          <w:smallCaps/>
          <w:sz w:val="32"/>
          <w:szCs w:val="32"/>
        </w:rPr>
        <w:t>The Public Utilities Commission of Ohio</w:t>
      </w:r>
    </w:p>
    <w:p w:rsidR="00CC411D" w:rsidRDefault="00CC411D">
      <w:pPr>
        <w:spacing w:line="240" w:lineRule="auto"/>
        <w:jc w:val="center"/>
        <w:rPr>
          <w:rFonts w:cs="Arial"/>
          <w:b/>
          <w:szCs w:val="24"/>
        </w:rPr>
      </w:pPr>
    </w:p>
    <w:p w:rsidR="00CC411D" w:rsidRDefault="00CC411D">
      <w:pPr>
        <w:spacing w:line="240" w:lineRule="auto"/>
        <w:jc w:val="center"/>
        <w:rPr>
          <w:rFonts w:cs="Arial"/>
          <w:b/>
          <w:szCs w:val="24"/>
        </w:rPr>
      </w:pPr>
    </w:p>
    <w:p w:rsidR="00CC411D" w:rsidRDefault="00496947">
      <w:pPr>
        <w:tabs>
          <w:tab w:val="left" w:pos="4680"/>
          <w:tab w:val="left" w:pos="5220"/>
        </w:tabs>
        <w:autoSpaceDE w:val="0"/>
        <w:autoSpaceDN w:val="0"/>
        <w:adjustRightInd w:val="0"/>
        <w:spacing w:line="240" w:lineRule="auto"/>
        <w:jc w:val="left"/>
        <w:rPr>
          <w:rFonts w:eastAsia="Calibri" w:cs="Arial"/>
          <w:bCs/>
          <w:szCs w:val="24"/>
        </w:rPr>
      </w:pPr>
      <w:r>
        <w:rPr>
          <w:rFonts w:eastAsia="Calibri" w:cs="Arial"/>
          <w:bCs/>
          <w:szCs w:val="24"/>
        </w:rPr>
        <w:t>In the Matter of the Commission’s</w:t>
      </w:r>
      <w:r>
        <w:rPr>
          <w:rFonts w:eastAsia="Calibri" w:cs="Arial"/>
          <w:bCs/>
          <w:szCs w:val="24"/>
        </w:rPr>
        <w:tab/>
        <w:t>)</w:t>
      </w:r>
    </w:p>
    <w:p w:rsidR="00CC411D" w:rsidRDefault="00496947">
      <w:pPr>
        <w:tabs>
          <w:tab w:val="left" w:pos="4680"/>
          <w:tab w:val="left" w:pos="5220"/>
        </w:tabs>
        <w:autoSpaceDE w:val="0"/>
        <w:autoSpaceDN w:val="0"/>
        <w:adjustRightInd w:val="0"/>
        <w:spacing w:line="240" w:lineRule="auto"/>
        <w:jc w:val="left"/>
        <w:rPr>
          <w:rFonts w:eastAsia="Calibri" w:cs="Arial"/>
          <w:bCs/>
          <w:szCs w:val="24"/>
        </w:rPr>
      </w:pPr>
      <w:r>
        <w:rPr>
          <w:rFonts w:eastAsia="Calibri" w:cs="Arial"/>
          <w:bCs/>
          <w:szCs w:val="24"/>
        </w:rPr>
        <w:t>Alternative Energy Portfolio Standard</w:t>
      </w:r>
      <w:r>
        <w:rPr>
          <w:rFonts w:eastAsia="Calibri" w:cs="Arial"/>
          <w:bCs/>
          <w:szCs w:val="24"/>
        </w:rPr>
        <w:tab/>
        <w:t xml:space="preserve">) </w:t>
      </w:r>
      <w:r>
        <w:rPr>
          <w:rFonts w:eastAsia="Calibri" w:cs="Arial"/>
          <w:bCs/>
          <w:szCs w:val="24"/>
        </w:rPr>
        <w:tab/>
        <w:t>Case No. 14-2328-EL-ACP</w:t>
      </w:r>
    </w:p>
    <w:p w:rsidR="00CC411D" w:rsidRDefault="00496947">
      <w:pPr>
        <w:tabs>
          <w:tab w:val="left" w:pos="4680"/>
          <w:tab w:val="left" w:pos="5220"/>
        </w:tabs>
        <w:autoSpaceDE w:val="0"/>
        <w:autoSpaceDN w:val="0"/>
        <w:adjustRightInd w:val="0"/>
        <w:spacing w:line="240" w:lineRule="auto"/>
        <w:jc w:val="left"/>
        <w:rPr>
          <w:rFonts w:eastAsia="Calibri" w:cs="Arial"/>
          <w:bCs/>
          <w:szCs w:val="24"/>
        </w:rPr>
      </w:pPr>
      <w:r>
        <w:rPr>
          <w:rFonts w:eastAsia="Calibri" w:cs="Arial"/>
          <w:bCs/>
          <w:szCs w:val="24"/>
        </w:rPr>
        <w:t>Report to the General Assembly for the</w:t>
      </w:r>
      <w:r>
        <w:rPr>
          <w:rFonts w:eastAsia="Calibri" w:cs="Arial"/>
          <w:bCs/>
          <w:szCs w:val="24"/>
        </w:rPr>
        <w:tab/>
        <w:t>)</w:t>
      </w:r>
    </w:p>
    <w:p w:rsidR="00CC411D" w:rsidRDefault="00496947">
      <w:pPr>
        <w:tabs>
          <w:tab w:val="left" w:pos="4680"/>
          <w:tab w:val="left" w:pos="5220"/>
        </w:tabs>
        <w:autoSpaceDE w:val="0"/>
        <w:autoSpaceDN w:val="0"/>
        <w:adjustRightInd w:val="0"/>
        <w:spacing w:line="240" w:lineRule="auto"/>
        <w:jc w:val="left"/>
        <w:rPr>
          <w:rFonts w:eastAsia="Calibri" w:cs="Arial"/>
          <w:bCs/>
          <w:szCs w:val="24"/>
        </w:rPr>
      </w:pPr>
      <w:r>
        <w:rPr>
          <w:rFonts w:eastAsia="Calibri" w:cs="Arial"/>
          <w:bCs/>
          <w:szCs w:val="24"/>
        </w:rPr>
        <w:t>2013 Compliance Year</w:t>
      </w:r>
      <w:r>
        <w:rPr>
          <w:rFonts w:eastAsia="Calibri" w:cs="Arial"/>
          <w:bCs/>
          <w:szCs w:val="24"/>
        </w:rPr>
        <w:tab/>
        <w:t>)</w:t>
      </w:r>
    </w:p>
    <w:p w:rsidR="00CC411D" w:rsidRDefault="00496947">
      <w:pPr>
        <w:tabs>
          <w:tab w:val="left" w:pos="4680"/>
          <w:tab w:val="left" w:pos="5220"/>
        </w:tabs>
        <w:autoSpaceDE w:val="0"/>
        <w:autoSpaceDN w:val="0"/>
        <w:adjustRightInd w:val="0"/>
        <w:spacing w:line="240" w:lineRule="auto"/>
        <w:jc w:val="left"/>
        <w:rPr>
          <w:rFonts w:eastAsia="Calibri" w:cs="Arial"/>
          <w:bCs/>
          <w:szCs w:val="24"/>
        </w:rPr>
      </w:pPr>
      <w:r>
        <w:rPr>
          <w:rFonts w:eastAsia="Calibri" w:cs="Arial"/>
          <w:bCs/>
          <w:szCs w:val="24"/>
        </w:rPr>
        <w:tab/>
        <w:t>)</w:t>
      </w:r>
    </w:p>
    <w:p w:rsidR="00CC411D" w:rsidRDefault="00496947">
      <w:pPr>
        <w:tabs>
          <w:tab w:val="left" w:pos="4680"/>
          <w:tab w:val="left" w:pos="5220"/>
        </w:tabs>
        <w:autoSpaceDE w:val="0"/>
        <w:autoSpaceDN w:val="0"/>
        <w:adjustRightInd w:val="0"/>
        <w:spacing w:line="240" w:lineRule="auto"/>
        <w:jc w:val="left"/>
        <w:rPr>
          <w:rFonts w:cs="Arial"/>
          <w:szCs w:val="24"/>
        </w:rPr>
      </w:pPr>
      <w:r>
        <w:rPr>
          <w:rFonts w:eastAsia="Calibri" w:cs="Arial"/>
          <w:bCs/>
          <w:szCs w:val="24"/>
        </w:rPr>
        <w:tab/>
        <w:t>)</w:t>
      </w:r>
    </w:p>
    <w:p w:rsidR="00CC411D" w:rsidRDefault="00CC411D">
      <w:pPr>
        <w:spacing w:line="240" w:lineRule="auto"/>
        <w:rPr>
          <w:rFonts w:cs="Arial"/>
          <w:szCs w:val="24"/>
        </w:rPr>
      </w:pPr>
    </w:p>
    <w:p w:rsidR="00CC411D" w:rsidRDefault="00CC411D">
      <w:pPr>
        <w:spacing w:line="240" w:lineRule="auto"/>
        <w:rPr>
          <w:rFonts w:cs="Arial"/>
          <w:szCs w:val="24"/>
        </w:rPr>
      </w:pPr>
    </w:p>
    <w:p w:rsidR="00CC411D" w:rsidRDefault="00CC411D">
      <w:pPr>
        <w:spacing w:line="240" w:lineRule="auto"/>
        <w:jc w:val="left"/>
        <w:rPr>
          <w:rFonts w:cs="Arial"/>
        </w:rPr>
      </w:pPr>
    </w:p>
    <w:p w:rsidR="00CC411D" w:rsidRDefault="00CC411D">
      <w:pPr>
        <w:pBdr>
          <w:top w:val="single" w:sz="12" w:space="1" w:color="auto"/>
        </w:pBdr>
        <w:tabs>
          <w:tab w:val="left" w:pos="7320"/>
        </w:tabs>
        <w:spacing w:line="240" w:lineRule="auto"/>
        <w:rPr>
          <w:rFonts w:cs="Arial"/>
          <w:szCs w:val="24"/>
        </w:rPr>
      </w:pPr>
    </w:p>
    <w:p w:rsidR="00CC411D" w:rsidRDefault="00496947">
      <w:pPr>
        <w:keepNext/>
        <w:spacing w:line="240" w:lineRule="auto"/>
        <w:ind w:right="-90"/>
        <w:jc w:val="center"/>
        <w:outlineLvl w:val="0"/>
        <w:rPr>
          <w:rFonts w:ascii="Arial Bold" w:hAnsi="Arial Bold" w:cs="Arial"/>
          <w:b/>
          <w:bCs/>
          <w:smallCaps/>
          <w:sz w:val="32"/>
          <w:szCs w:val="24"/>
        </w:rPr>
      </w:pPr>
      <w:r>
        <w:rPr>
          <w:rFonts w:ascii="Arial Bold" w:hAnsi="Arial Bold" w:cs="Arial"/>
          <w:b/>
          <w:bCs/>
          <w:smallCaps/>
          <w:sz w:val="32"/>
          <w:szCs w:val="24"/>
        </w:rPr>
        <w:t>Linde Energy Services Inc.</w:t>
      </w:r>
      <w:r>
        <w:rPr>
          <w:rFonts w:ascii="Arial Bold" w:hAnsi="Arial Bold" w:cs="Arial" w:hint="eastAsia"/>
          <w:b/>
          <w:bCs/>
          <w:smallCaps/>
          <w:sz w:val="32"/>
          <w:szCs w:val="24"/>
        </w:rPr>
        <w:t>’</w:t>
      </w:r>
      <w:r>
        <w:rPr>
          <w:rFonts w:ascii="Arial Bold" w:hAnsi="Arial Bold" w:cs="Arial"/>
          <w:b/>
          <w:bCs/>
          <w:smallCaps/>
          <w:sz w:val="32"/>
          <w:szCs w:val="24"/>
        </w:rPr>
        <w:t>s</w:t>
      </w:r>
    </w:p>
    <w:p w:rsidR="00CC411D" w:rsidRDefault="00496947">
      <w:pPr>
        <w:keepNext/>
        <w:spacing w:line="240" w:lineRule="auto"/>
        <w:ind w:right="-90"/>
        <w:jc w:val="center"/>
        <w:outlineLvl w:val="0"/>
        <w:rPr>
          <w:rFonts w:ascii="Arial Bold" w:hAnsi="Arial Bold" w:cs="Arial"/>
          <w:b/>
          <w:bCs/>
          <w:smallCaps/>
          <w:sz w:val="32"/>
          <w:szCs w:val="24"/>
        </w:rPr>
      </w:pPr>
      <w:r>
        <w:rPr>
          <w:rFonts w:ascii="Arial Bold" w:hAnsi="Arial Bold" w:cs="Arial"/>
          <w:b/>
          <w:bCs/>
          <w:smallCaps/>
          <w:sz w:val="32"/>
          <w:szCs w:val="24"/>
        </w:rPr>
        <w:t>2013 Average REC Cost Report</w:t>
      </w:r>
    </w:p>
    <w:p w:rsidR="00CC411D" w:rsidRDefault="00CC411D">
      <w:pPr>
        <w:pBdr>
          <w:bottom w:val="single" w:sz="12" w:space="1" w:color="auto"/>
        </w:pBdr>
        <w:tabs>
          <w:tab w:val="left" w:pos="7320"/>
        </w:tabs>
        <w:spacing w:line="240" w:lineRule="auto"/>
        <w:jc w:val="center"/>
        <w:rPr>
          <w:rFonts w:cs="Arial"/>
          <w:szCs w:val="24"/>
        </w:rPr>
      </w:pPr>
    </w:p>
    <w:p w:rsidR="00CC411D" w:rsidRDefault="00CC411D">
      <w:pPr>
        <w:spacing w:line="240" w:lineRule="auto"/>
        <w:jc w:val="center"/>
        <w:rPr>
          <w:rFonts w:cs="Arial"/>
          <w:b/>
        </w:rPr>
      </w:pPr>
    </w:p>
    <w:p w:rsidR="00CC411D" w:rsidRDefault="00CC411D">
      <w:pPr>
        <w:spacing w:line="240" w:lineRule="auto"/>
        <w:jc w:val="left"/>
        <w:rPr>
          <w:rFonts w:cs="Arial"/>
        </w:rPr>
      </w:pPr>
    </w:p>
    <w:p w:rsidR="00CC411D" w:rsidRDefault="00496947">
      <w:r>
        <w:rPr>
          <w:b/>
        </w:rPr>
        <w:tab/>
      </w:r>
      <w:r>
        <w:t>Pursuant to the Attorney Examiner’s February 26, 2015 Entry in the above-captioned matter Linde Energy Services Inc. (“Linde”) hereby submits its average renewable energy credit (“REC”) cost for the 2013 compliance year.  Linde satisfied the solar portion of the alternative energy obligation entirely with “Ohio Solar” RECs and therefore does not have a cost to report for the “Other Solar” category.</w:t>
      </w:r>
    </w:p>
    <w:p w:rsidR="00CC411D" w:rsidRDefault="00CC411D"/>
    <w:p w:rsidR="00CC411D" w:rsidRDefault="00496947">
      <w:pPr>
        <w:ind w:left="720" w:firstLine="720"/>
      </w:pPr>
      <w:r>
        <w:rPr>
          <w:noProof/>
        </w:rPr>
        <w:drawing>
          <wp:inline distT="0" distB="0" distL="0" distR="0">
            <wp:extent cx="4160520" cy="1104900"/>
            <wp:effectExtent l="19050" t="0" r="0" b="0"/>
            <wp:docPr id="1" name="Picture 1" descr="cid:_1_0F431BAC0F42FE1C006AC5B485257E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F431BAC0F42FE1C006AC5B485257E05"/>
                    <pic:cNvPicPr>
                      <a:picLocks noChangeAspect="1" noChangeArrowheads="1"/>
                    </pic:cNvPicPr>
                  </pic:nvPicPr>
                  <pic:blipFill>
                    <a:blip r:embed="rId8" r:link="rId9" cstate="print"/>
                    <a:srcRect/>
                    <a:stretch>
                      <a:fillRect/>
                    </a:stretch>
                  </pic:blipFill>
                  <pic:spPr bwMode="auto">
                    <a:xfrm>
                      <a:off x="0" y="0"/>
                      <a:ext cx="4160520" cy="1104900"/>
                    </a:xfrm>
                    <a:prstGeom prst="rect">
                      <a:avLst/>
                    </a:prstGeom>
                    <a:noFill/>
                    <a:ln w="9525">
                      <a:noFill/>
                      <a:miter lim="800000"/>
                      <a:headEnd/>
                      <a:tailEnd/>
                    </a:ln>
                  </pic:spPr>
                </pic:pic>
              </a:graphicData>
            </a:graphic>
          </wp:inline>
        </w:drawing>
      </w:r>
    </w:p>
    <w:p w:rsidR="00CC411D" w:rsidRDefault="00CC411D">
      <w:pPr>
        <w:spacing w:line="240" w:lineRule="auto"/>
        <w:ind w:left="4320"/>
        <w:jc w:val="left"/>
        <w:rPr>
          <w:rFonts w:cs="Arial"/>
          <w:szCs w:val="24"/>
        </w:rPr>
      </w:pPr>
    </w:p>
    <w:p w:rsidR="00CC411D" w:rsidRDefault="00CC411D">
      <w:pPr>
        <w:spacing w:line="240" w:lineRule="auto"/>
        <w:ind w:left="4320"/>
        <w:jc w:val="left"/>
        <w:rPr>
          <w:rFonts w:cs="Arial"/>
          <w:szCs w:val="24"/>
        </w:rPr>
      </w:pPr>
    </w:p>
    <w:p w:rsidR="00CC411D" w:rsidRDefault="00CC411D">
      <w:pPr>
        <w:spacing w:line="240" w:lineRule="auto"/>
        <w:ind w:left="4320"/>
        <w:jc w:val="left"/>
        <w:rPr>
          <w:rFonts w:cs="Arial"/>
          <w:szCs w:val="24"/>
        </w:rPr>
      </w:pPr>
    </w:p>
    <w:p w:rsidR="00CC411D" w:rsidRDefault="00CC411D">
      <w:pPr>
        <w:spacing w:line="240" w:lineRule="auto"/>
        <w:ind w:left="4320"/>
        <w:jc w:val="left"/>
        <w:rPr>
          <w:rFonts w:cs="Arial"/>
          <w:szCs w:val="24"/>
        </w:rPr>
      </w:pPr>
    </w:p>
    <w:p w:rsidR="00CC411D" w:rsidRDefault="00CC411D">
      <w:pPr>
        <w:spacing w:line="240" w:lineRule="auto"/>
        <w:ind w:left="4320"/>
        <w:jc w:val="left"/>
        <w:rPr>
          <w:rFonts w:cs="Arial"/>
          <w:szCs w:val="24"/>
        </w:rPr>
      </w:pPr>
    </w:p>
    <w:p w:rsidR="00CC411D" w:rsidRDefault="00CC411D">
      <w:pPr>
        <w:spacing w:line="240" w:lineRule="auto"/>
        <w:ind w:left="4320"/>
        <w:jc w:val="left"/>
        <w:rPr>
          <w:rFonts w:cs="Arial"/>
          <w:szCs w:val="24"/>
        </w:rPr>
      </w:pPr>
    </w:p>
    <w:p w:rsidR="00CC411D" w:rsidRDefault="00496947">
      <w:pPr>
        <w:spacing w:line="240" w:lineRule="auto"/>
        <w:ind w:left="4320"/>
        <w:jc w:val="left"/>
        <w:rPr>
          <w:rFonts w:cs="Arial"/>
          <w:szCs w:val="24"/>
        </w:rPr>
      </w:pPr>
      <w:r>
        <w:rPr>
          <w:rFonts w:cs="Arial"/>
          <w:szCs w:val="24"/>
        </w:rPr>
        <w:lastRenderedPageBreak/>
        <w:t>Respectfully submitted,</w:t>
      </w:r>
    </w:p>
    <w:p w:rsidR="00CC411D" w:rsidRDefault="00CC411D">
      <w:pPr>
        <w:spacing w:before="120" w:line="240" w:lineRule="auto"/>
        <w:ind w:left="4320"/>
        <w:jc w:val="left"/>
        <w:rPr>
          <w:rFonts w:cs="Arial"/>
          <w:szCs w:val="24"/>
        </w:rPr>
      </w:pPr>
    </w:p>
    <w:p w:rsidR="00CC411D" w:rsidRDefault="00496947">
      <w:pPr>
        <w:tabs>
          <w:tab w:val="left" w:pos="-1440"/>
          <w:tab w:val="left" w:pos="-720"/>
          <w:tab w:val="left" w:pos="3600"/>
          <w:tab w:val="left" w:pos="4320"/>
          <w:tab w:val="left" w:pos="4680"/>
          <w:tab w:val="left" w:pos="5040"/>
        </w:tabs>
        <w:spacing w:line="240" w:lineRule="auto"/>
        <w:ind w:left="4320"/>
        <w:rPr>
          <w:rFonts w:cs="Arial"/>
          <w:szCs w:val="24"/>
          <w:u w:val="single"/>
        </w:rPr>
      </w:pPr>
      <w:r>
        <w:rPr>
          <w:rFonts w:cs="Arial"/>
          <w:szCs w:val="24"/>
          <w:u w:val="single"/>
        </w:rPr>
        <w:t>/s/ Matthew R. Pritchard</w:t>
      </w:r>
      <w:r>
        <w:rPr>
          <w:rFonts w:cs="Arial"/>
          <w:szCs w:val="24"/>
          <w:u w:val="single"/>
        </w:rPr>
        <w:tab/>
      </w:r>
      <w:r>
        <w:rPr>
          <w:rFonts w:cs="Arial"/>
          <w:szCs w:val="24"/>
          <w:u w:val="single"/>
        </w:rPr>
        <w:tab/>
      </w:r>
      <w:r>
        <w:rPr>
          <w:rFonts w:cs="Arial"/>
          <w:szCs w:val="24"/>
          <w:u w:val="single"/>
        </w:rPr>
        <w:tab/>
      </w:r>
      <w:r>
        <w:rPr>
          <w:rFonts w:cs="Arial"/>
          <w:szCs w:val="24"/>
          <w:u w:val="single"/>
        </w:rPr>
        <w:tab/>
      </w:r>
    </w:p>
    <w:p w:rsidR="00496947" w:rsidRDefault="00496947" w:rsidP="00496947">
      <w:pPr>
        <w:tabs>
          <w:tab w:val="left" w:pos="720"/>
          <w:tab w:val="left" w:pos="4320"/>
          <w:tab w:val="right" w:pos="8640"/>
        </w:tabs>
        <w:spacing w:line="240" w:lineRule="auto"/>
        <w:ind w:left="4320"/>
        <w:rPr>
          <w:rFonts w:eastAsia="Calibri" w:cs="Arial"/>
        </w:rPr>
      </w:pPr>
      <w:r>
        <w:rPr>
          <w:rFonts w:eastAsia="Calibri" w:cs="Arial"/>
        </w:rPr>
        <w:t>Samuel C. Randazzo (Reg. No. 0016386)</w:t>
      </w:r>
    </w:p>
    <w:p w:rsidR="00496947" w:rsidRDefault="00496947" w:rsidP="00496947">
      <w:pPr>
        <w:widowControl w:val="0"/>
        <w:tabs>
          <w:tab w:val="left" w:pos="4320"/>
        </w:tabs>
        <w:spacing w:line="240" w:lineRule="auto"/>
        <w:ind w:left="4320"/>
        <w:rPr>
          <w:rFonts w:eastAsia="Calibri" w:cs="Arial"/>
          <w:bCs/>
        </w:rPr>
      </w:pPr>
      <w:r>
        <w:rPr>
          <w:rFonts w:eastAsia="Calibri" w:cs="Arial"/>
          <w:bCs/>
        </w:rPr>
        <w:t>Frank P. Darr (Reg. No. 0025469)</w:t>
      </w:r>
    </w:p>
    <w:p w:rsidR="00496947" w:rsidRDefault="00496947" w:rsidP="00496947">
      <w:pPr>
        <w:widowControl w:val="0"/>
        <w:tabs>
          <w:tab w:val="left" w:pos="4320"/>
        </w:tabs>
        <w:spacing w:line="240" w:lineRule="auto"/>
        <w:ind w:left="4320"/>
        <w:rPr>
          <w:rFonts w:eastAsia="Calibri" w:cs="Arial"/>
          <w:b/>
          <w:bCs/>
        </w:rPr>
      </w:pPr>
      <w:r>
        <w:rPr>
          <w:rFonts w:eastAsia="Calibri" w:cs="Arial"/>
          <w:bCs/>
        </w:rPr>
        <w:t>Matthew R. Pritchard (Reg. No. 0088070)</w:t>
      </w:r>
    </w:p>
    <w:p w:rsidR="00496947" w:rsidRDefault="00496947" w:rsidP="00496947">
      <w:pPr>
        <w:widowControl w:val="0"/>
        <w:tabs>
          <w:tab w:val="left" w:pos="4320"/>
        </w:tabs>
        <w:spacing w:line="240" w:lineRule="auto"/>
        <w:ind w:left="4320"/>
        <w:rPr>
          <w:rFonts w:eastAsia="Calibri" w:cs="Arial"/>
          <w:b/>
          <w:bCs/>
          <w:smallCaps/>
        </w:rPr>
      </w:pPr>
      <w:proofErr w:type="spellStart"/>
      <w:r>
        <w:rPr>
          <w:rFonts w:eastAsia="Calibri" w:cs="Arial"/>
          <w:bCs/>
          <w:smallCaps/>
        </w:rPr>
        <w:t>McNees</w:t>
      </w:r>
      <w:proofErr w:type="spellEnd"/>
      <w:r>
        <w:rPr>
          <w:rFonts w:eastAsia="Calibri" w:cs="Arial"/>
          <w:bCs/>
          <w:smallCaps/>
        </w:rPr>
        <w:t xml:space="preserve"> Wallace &amp; </w:t>
      </w:r>
      <w:proofErr w:type="spellStart"/>
      <w:r>
        <w:rPr>
          <w:rFonts w:eastAsia="Calibri" w:cs="Arial"/>
          <w:bCs/>
          <w:smallCaps/>
        </w:rPr>
        <w:t>Nurick</w:t>
      </w:r>
      <w:proofErr w:type="spellEnd"/>
      <w:r>
        <w:rPr>
          <w:rFonts w:eastAsia="Calibri" w:cs="Arial"/>
          <w:bCs/>
          <w:smallCaps/>
        </w:rPr>
        <w:t xml:space="preserve"> LLC</w:t>
      </w:r>
    </w:p>
    <w:p w:rsidR="00496947" w:rsidRDefault="00496947" w:rsidP="00496947">
      <w:pPr>
        <w:widowControl w:val="0"/>
        <w:tabs>
          <w:tab w:val="left" w:pos="4320"/>
        </w:tabs>
        <w:spacing w:line="240" w:lineRule="auto"/>
        <w:ind w:left="4320"/>
        <w:rPr>
          <w:rFonts w:eastAsia="Calibri" w:cs="Arial"/>
          <w:b/>
          <w:bCs/>
        </w:rPr>
      </w:pPr>
      <w:r>
        <w:rPr>
          <w:rFonts w:eastAsia="Calibri" w:cs="Arial"/>
          <w:bCs/>
        </w:rPr>
        <w:t>21 East State Street, 17</w:t>
      </w:r>
      <w:r>
        <w:rPr>
          <w:rFonts w:eastAsia="Calibri" w:cs="Arial"/>
          <w:bCs/>
          <w:vertAlign w:val="superscript"/>
        </w:rPr>
        <w:t>TH</w:t>
      </w:r>
      <w:r>
        <w:rPr>
          <w:rFonts w:eastAsia="Calibri" w:cs="Arial"/>
          <w:bCs/>
        </w:rPr>
        <w:t xml:space="preserve"> Floor</w:t>
      </w:r>
    </w:p>
    <w:p w:rsidR="00496947" w:rsidRDefault="00496947" w:rsidP="00496947">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r>
        <w:rPr>
          <w:rFonts w:eastAsia="Calibri" w:cs="Arial"/>
        </w:rPr>
        <w:t>Columbus, OH  43215</w:t>
      </w:r>
    </w:p>
    <w:p w:rsidR="00496947" w:rsidRDefault="00496947" w:rsidP="00496947">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r>
        <w:rPr>
          <w:rFonts w:eastAsia="Calibri" w:cs="Arial"/>
        </w:rPr>
        <w:t>Telephone:  (614) 469-8000</w:t>
      </w:r>
    </w:p>
    <w:p w:rsidR="00496947" w:rsidRDefault="00496947" w:rsidP="00496947">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proofErr w:type="spellStart"/>
      <w:r>
        <w:rPr>
          <w:rFonts w:eastAsia="Calibri" w:cs="Arial"/>
        </w:rPr>
        <w:t>Telecopier</w:t>
      </w:r>
      <w:proofErr w:type="spellEnd"/>
      <w:r>
        <w:rPr>
          <w:rFonts w:eastAsia="Calibri" w:cs="Arial"/>
        </w:rPr>
        <w:t>:  (614) 469-4653</w:t>
      </w:r>
    </w:p>
    <w:p w:rsidR="00496947" w:rsidRDefault="00496947" w:rsidP="00496947">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rPr>
        <w:t>sam@mwncmh.com</w:t>
      </w:r>
    </w:p>
    <w:p w:rsidR="00496947" w:rsidRDefault="00496947" w:rsidP="00496947">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color w:val="000000"/>
        </w:rPr>
        <w:t>(</w:t>
      </w:r>
      <w:proofErr w:type="gramStart"/>
      <w:r>
        <w:rPr>
          <w:rFonts w:eastAsia="Calibri" w:cs="Arial"/>
          <w:color w:val="000000"/>
        </w:rPr>
        <w:t>willing</w:t>
      </w:r>
      <w:proofErr w:type="gramEnd"/>
      <w:r>
        <w:rPr>
          <w:rFonts w:eastAsia="Calibri" w:cs="Arial"/>
          <w:color w:val="000000"/>
        </w:rPr>
        <w:t xml:space="preserve"> to accept service by e-mail)</w:t>
      </w:r>
    </w:p>
    <w:p w:rsidR="00496947" w:rsidRDefault="00496947" w:rsidP="00496947">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rPr>
        <w:t>fdarr@mwncmh.com</w:t>
      </w:r>
    </w:p>
    <w:p w:rsidR="00496947" w:rsidRDefault="00496947" w:rsidP="00496947">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color w:val="000000"/>
        </w:rPr>
        <w:t>(</w:t>
      </w:r>
      <w:proofErr w:type="gramStart"/>
      <w:r>
        <w:rPr>
          <w:rFonts w:eastAsia="Calibri" w:cs="Arial"/>
          <w:color w:val="000000"/>
        </w:rPr>
        <w:t>willing</w:t>
      </w:r>
      <w:proofErr w:type="gramEnd"/>
      <w:r>
        <w:rPr>
          <w:rFonts w:eastAsia="Calibri" w:cs="Arial"/>
          <w:color w:val="000000"/>
        </w:rPr>
        <w:t xml:space="preserve"> to accept service by e-mail)</w:t>
      </w:r>
    </w:p>
    <w:p w:rsidR="00496947" w:rsidRDefault="00496947" w:rsidP="00496947">
      <w:pPr>
        <w:tabs>
          <w:tab w:val="left" w:pos="-1440"/>
          <w:tab w:val="left" w:pos="-720"/>
          <w:tab w:val="left" w:pos="5040"/>
          <w:tab w:val="center" w:pos="7200"/>
        </w:tabs>
        <w:overflowPunct w:val="0"/>
        <w:autoSpaceDE w:val="0"/>
        <w:autoSpaceDN w:val="0"/>
        <w:adjustRightInd w:val="0"/>
        <w:spacing w:line="240" w:lineRule="auto"/>
        <w:ind w:left="4320"/>
        <w:rPr>
          <w:rFonts w:eastAsia="Calibri" w:cs="Arial"/>
          <w:smallCaps/>
          <w:color w:val="000000"/>
        </w:rPr>
      </w:pPr>
      <w:r>
        <w:rPr>
          <w:rFonts w:eastAsia="Calibri" w:cs="Arial"/>
          <w:color w:val="000000"/>
        </w:rPr>
        <w:t>mpritchard@mwncmh.com</w:t>
      </w:r>
    </w:p>
    <w:p w:rsidR="00496947" w:rsidRDefault="00496947" w:rsidP="00496947">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color w:val="000000"/>
        </w:rPr>
        <w:t>(</w:t>
      </w:r>
      <w:proofErr w:type="gramStart"/>
      <w:r>
        <w:rPr>
          <w:rFonts w:eastAsia="Calibri" w:cs="Arial"/>
          <w:color w:val="000000"/>
        </w:rPr>
        <w:t>willing</w:t>
      </w:r>
      <w:proofErr w:type="gramEnd"/>
      <w:r>
        <w:rPr>
          <w:rFonts w:eastAsia="Calibri" w:cs="Arial"/>
          <w:color w:val="000000"/>
        </w:rPr>
        <w:t xml:space="preserve"> to accept service by e-mail)</w:t>
      </w:r>
    </w:p>
    <w:p w:rsidR="00496947" w:rsidRDefault="00496947">
      <w:pPr>
        <w:spacing w:line="240" w:lineRule="auto"/>
        <w:ind w:left="4320"/>
        <w:rPr>
          <w:rFonts w:cs="Arial"/>
          <w:b/>
          <w:szCs w:val="24"/>
        </w:rPr>
      </w:pPr>
    </w:p>
    <w:p w:rsidR="00CC411D" w:rsidRDefault="00496947">
      <w:pPr>
        <w:spacing w:line="240" w:lineRule="auto"/>
        <w:ind w:left="4320"/>
        <w:rPr>
          <w:rFonts w:cs="Arial"/>
          <w:b/>
          <w:szCs w:val="24"/>
        </w:rPr>
      </w:pPr>
      <w:proofErr w:type="gramStart"/>
      <w:r>
        <w:rPr>
          <w:rFonts w:cs="Arial"/>
          <w:b/>
          <w:szCs w:val="24"/>
        </w:rPr>
        <w:t>Attorneys for Linde Energy Services Inc.</w:t>
      </w:r>
      <w:proofErr w:type="gramEnd"/>
    </w:p>
    <w:p w:rsidR="00CC411D" w:rsidRDefault="00CC411D"/>
    <w:sectPr w:rsidR="00CC411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11D" w:rsidRDefault="00496947">
      <w:pPr>
        <w:spacing w:line="240" w:lineRule="auto"/>
      </w:pPr>
      <w:r>
        <w:separator/>
      </w:r>
    </w:p>
  </w:endnote>
  <w:endnote w:type="continuationSeparator" w:id="0">
    <w:p w:rsidR="00CC411D" w:rsidRDefault="004969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7C8" w:rsidRDefault="004977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11D" w:rsidRDefault="004977C8">
    <w:pPr>
      <w:pStyle w:val="Footer"/>
    </w:pPr>
    <w:r w:rsidRPr="004977C8">
      <w:rPr>
        <w:noProof/>
        <w:sz w:val="16"/>
      </w:rPr>
      <w:t>{C46817: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11D" w:rsidRDefault="004977C8">
    <w:pPr>
      <w:pStyle w:val="Footer"/>
    </w:pPr>
    <w:r w:rsidRPr="004977C8">
      <w:rPr>
        <w:noProof/>
        <w:sz w:val="16"/>
      </w:rPr>
      <w:t>{C46817: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11D" w:rsidRDefault="00496947">
      <w:pPr>
        <w:spacing w:line="240" w:lineRule="auto"/>
        <w:rPr>
          <w:noProof/>
        </w:rPr>
      </w:pPr>
      <w:r>
        <w:rPr>
          <w:noProof/>
        </w:rPr>
        <w:separator/>
      </w:r>
    </w:p>
  </w:footnote>
  <w:footnote w:type="continuationSeparator" w:id="0">
    <w:p w:rsidR="00CC411D" w:rsidRDefault="004969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7C8" w:rsidRDefault="004977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7C8" w:rsidRDefault="004977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7C8" w:rsidRDefault="004977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1">
    <w:nsid w:val="FFFFFF89"/>
    <w:multiLevelType w:val="singleLevel"/>
    <w:tmpl w:val="4AC003AE"/>
    <w:lvl w:ilvl="0">
      <w:start w:val="1"/>
      <w:numFmt w:val="bullet"/>
      <w:lvlText w:val=""/>
      <w:lvlJc w:val="left"/>
      <w:pPr>
        <w:tabs>
          <w:tab w:val="num" w:pos="360"/>
        </w:tabs>
        <w:ind w:left="360" w:hanging="360"/>
      </w:pPr>
      <w:rPr>
        <w:rFonts w:ascii="Symbol" w:hAnsi="Symbol" w:hint="default"/>
      </w:rPr>
    </w:lvl>
  </w:abstractNum>
  <w:abstractNum w:abstractNumId="2">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B71568"/>
    <w:multiLevelType w:val="multilevel"/>
    <w:tmpl w:val="E82A196A"/>
    <w:lvl w:ilvl="0">
      <w:start w:val="1"/>
      <w:numFmt w:val="upperRoman"/>
      <w:pStyle w:val="Heading1"/>
      <w:lvlText w:val="%1."/>
      <w:lvlJc w:val="left"/>
      <w:pPr>
        <w:tabs>
          <w:tab w:val="num" w:pos="720"/>
        </w:tabs>
        <w:ind w:left="720" w:hanging="720"/>
      </w:pPr>
      <w:rPr>
        <w:b w:val="0"/>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val="0"/>
        <w:i w:val="0"/>
        <w:caps w:val="0"/>
        <w:vanish w:val="0"/>
        <w:color w:val="010000"/>
        <w:u w:val="none"/>
      </w:rPr>
    </w:lvl>
    <w:lvl w:ilvl="3">
      <w:start w:val="1"/>
      <w:numFmt w:val="lowerLetter"/>
      <w:pStyle w:val="Heading4"/>
      <w:lvlText w:val="%4."/>
      <w:lvlJc w:val="left"/>
      <w:pPr>
        <w:tabs>
          <w:tab w:val="num" w:pos="2880"/>
        </w:tabs>
        <w:ind w:left="2880" w:hanging="720"/>
      </w:pPr>
      <w:rPr>
        <w:b w:val="0"/>
        <w:i/>
        <w:caps w:val="0"/>
        <w:vanish w:val="0"/>
        <w:color w:val="010000"/>
        <w:u w:val="none"/>
      </w:rPr>
    </w:lvl>
    <w:lvl w:ilvl="4">
      <w:start w:val="1"/>
      <w:numFmt w:val="lowerRoman"/>
      <w:lvlText w:val="%5."/>
      <w:lvlJc w:val="left"/>
      <w:pPr>
        <w:tabs>
          <w:tab w:val="num" w:pos="3600"/>
        </w:tabs>
        <w:ind w:left="3600" w:hanging="720"/>
      </w:pPr>
      <w:rPr>
        <w:caps w:val="0"/>
        <w:vanish w:val="0"/>
        <w:u w:val="none"/>
      </w:rPr>
    </w:lvl>
    <w:lvl w:ilvl="5">
      <w:start w:val="1"/>
      <w:numFmt w:val="lowerLetter"/>
      <w:lvlText w:val="(%6)"/>
      <w:lvlJc w:val="left"/>
      <w:pPr>
        <w:tabs>
          <w:tab w:val="num" w:pos="4320"/>
        </w:tabs>
        <w:ind w:left="4320" w:hanging="720"/>
      </w:pPr>
      <w:rPr>
        <w:caps w:val="0"/>
        <w:vanish w:val="0"/>
        <w:u w:val="none"/>
      </w:rPr>
    </w:lvl>
    <w:lvl w:ilvl="6">
      <w:start w:val="1"/>
      <w:numFmt w:val="decimal"/>
      <w:lvlText w:val="(%7)"/>
      <w:lvlJc w:val="left"/>
      <w:pPr>
        <w:tabs>
          <w:tab w:val="num" w:pos="5040"/>
        </w:tabs>
        <w:ind w:left="5040" w:hanging="720"/>
      </w:pPr>
      <w:rPr>
        <w:caps w:val="0"/>
        <w:vanish w:val="0"/>
        <w:u w:val="none"/>
      </w:rPr>
    </w:lvl>
    <w:lvl w:ilvl="7">
      <w:start w:val="1"/>
      <w:numFmt w:val="lowerRoman"/>
      <w:lvlText w:val="%8)"/>
      <w:lvlJc w:val="left"/>
      <w:pPr>
        <w:tabs>
          <w:tab w:val="num" w:pos="5760"/>
        </w:tabs>
        <w:ind w:left="5760" w:hanging="720"/>
      </w:pPr>
      <w:rPr>
        <w:caps w:val="0"/>
        <w:vanish w:val="0"/>
        <w:u w:val="none"/>
      </w:rPr>
    </w:lvl>
    <w:lvl w:ilvl="8">
      <w:start w:val="1"/>
      <w:numFmt w:val="lowerLetter"/>
      <w:lvlText w:val="%9)"/>
      <w:lvlJc w:val="left"/>
      <w:pPr>
        <w:tabs>
          <w:tab w:val="num" w:pos="6480"/>
        </w:tabs>
        <w:ind w:left="6480" w:hanging="720"/>
      </w:pPr>
      <w:rPr>
        <w:caps w:val="0"/>
        <w:vanish w:val="0"/>
        <w:u w:val="none"/>
      </w:rPr>
    </w:lvl>
  </w:abstractNum>
  <w:num w:numId="1">
    <w:abstractNumId w:val="3"/>
  </w:num>
  <w:num w:numId="2">
    <w:abstractNumId w:val="3"/>
  </w:num>
  <w:num w:numId="3">
    <w:abstractNumId w:val="3"/>
  </w:num>
  <w:num w:numId="4">
    <w:abstractNumId w:val="3"/>
  </w:num>
  <w:num w:numId="5">
    <w:abstractNumId w:val="1"/>
  </w:num>
  <w:num w:numId="6">
    <w:abstractNumId w:val="2"/>
  </w:num>
  <w:num w:numId="7">
    <w:abstractNumId w:val="0"/>
  </w:num>
  <w:num w:numId="8">
    <w:abstractNumId w:val="0"/>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2"/>
  </w:num>
  <w:num w:numId="20">
    <w:abstractNumId w:val="0"/>
  </w:num>
  <w:num w:numId="21">
    <w:abstractNumId w:val="3"/>
  </w:num>
  <w:num w:numId="22">
    <w:abstractNumId w:val="3"/>
  </w:num>
  <w:num w:numId="23">
    <w:abstractNumId w:val="3"/>
  </w:num>
  <w:num w:numId="24">
    <w:abstractNumId w:val="3"/>
  </w:num>
  <w:num w:numId="25">
    <w:abstractNumId w:val="3"/>
  </w:num>
  <w:num w:numId="26">
    <w:abstractNumId w:val="2"/>
  </w:num>
  <w:num w:numId="27">
    <w:abstractNumId w:val="0"/>
  </w:num>
  <w:num w:numId="28">
    <w:abstractNumId w:val="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CC411D"/>
    <w:rsid w:val="00496947"/>
    <w:rsid w:val="004977C8"/>
    <w:rsid w:val="00CC4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7" w:unhideWhenUsed="0" w:qFormat="1"/>
    <w:lsdException w:name="Signature" w:uiPriority="3"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5"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hAnsi="Arial"/>
      <w:sz w:val="24"/>
    </w:rPr>
  </w:style>
  <w:style w:type="paragraph" w:styleId="Heading1">
    <w:name w:val="heading 1"/>
    <w:basedOn w:val="Normal"/>
    <w:next w:val="Normal"/>
    <w:link w:val="Heading1Char"/>
    <w:uiPriority w:val="9"/>
    <w:qFormat/>
    <w:pPr>
      <w:numPr>
        <w:numId w:val="29"/>
      </w:numPr>
      <w:spacing w:after="240"/>
      <w:outlineLvl w:val="0"/>
    </w:pPr>
    <w:rPr>
      <w:rFonts w:ascii="Arial Bold" w:eastAsiaTheme="majorEastAsia" w:hAnsi="Arial Bold" w:cs="Arial"/>
      <w:b/>
      <w:bCs/>
      <w:caps/>
      <w:szCs w:val="28"/>
      <w:u w:val="single"/>
    </w:rPr>
  </w:style>
  <w:style w:type="paragraph" w:styleId="Heading2">
    <w:name w:val="heading 2"/>
    <w:basedOn w:val="Normal"/>
    <w:next w:val="Normal"/>
    <w:link w:val="Heading2Char"/>
    <w:uiPriority w:val="9"/>
    <w:qFormat/>
    <w:pPr>
      <w:numPr>
        <w:ilvl w:val="1"/>
        <w:numId w:val="29"/>
      </w:numPr>
      <w:spacing w:after="240"/>
      <w:outlineLvl w:val="1"/>
    </w:pPr>
    <w:rPr>
      <w:rFonts w:eastAsiaTheme="majorEastAsia" w:cs="Arial"/>
      <w:b/>
      <w:bCs/>
      <w:szCs w:val="26"/>
    </w:rPr>
  </w:style>
  <w:style w:type="paragraph" w:styleId="Heading3">
    <w:name w:val="heading 3"/>
    <w:basedOn w:val="Normal"/>
    <w:next w:val="Normal"/>
    <w:link w:val="Heading3Char"/>
    <w:uiPriority w:val="9"/>
    <w:qFormat/>
    <w:pPr>
      <w:numPr>
        <w:ilvl w:val="2"/>
        <w:numId w:val="29"/>
      </w:numPr>
      <w:spacing w:after="240"/>
      <w:outlineLvl w:val="2"/>
    </w:pPr>
    <w:rPr>
      <w:rFonts w:eastAsiaTheme="majorEastAsia" w:cs="Arial"/>
      <w:b/>
      <w:bCs/>
    </w:rPr>
  </w:style>
  <w:style w:type="paragraph" w:styleId="Heading4">
    <w:name w:val="heading 4"/>
    <w:basedOn w:val="Normal"/>
    <w:next w:val="Normal"/>
    <w:link w:val="Heading4Char"/>
    <w:uiPriority w:val="4"/>
    <w:unhideWhenUsed/>
    <w:qFormat/>
    <w:pPr>
      <w:numPr>
        <w:ilvl w:val="3"/>
        <w:numId w:val="29"/>
      </w:numPr>
      <w:spacing w:after="240"/>
      <w:outlineLvl w:val="3"/>
    </w:pPr>
    <w:rPr>
      <w:rFonts w:eastAsiaTheme="majorEastAsia"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Bold" w:eastAsiaTheme="majorEastAsia" w:hAnsi="Arial Bold" w:cs="Arial"/>
      <w:b/>
      <w:bCs/>
      <w:caps/>
      <w:sz w:val="24"/>
      <w:szCs w:val="28"/>
      <w:u w:val="single"/>
    </w:rPr>
  </w:style>
  <w:style w:type="character" w:customStyle="1" w:styleId="Heading2Char">
    <w:name w:val="Heading 2 Char"/>
    <w:basedOn w:val="DefaultParagraphFont"/>
    <w:link w:val="Heading2"/>
    <w:uiPriority w:val="9"/>
    <w:rPr>
      <w:rFonts w:eastAsiaTheme="majorEastAsia" w:cs="Arial"/>
      <w:b/>
      <w:bCs/>
      <w:sz w:val="24"/>
      <w:szCs w:val="26"/>
    </w:rPr>
  </w:style>
  <w:style w:type="character" w:customStyle="1" w:styleId="Heading3Char">
    <w:name w:val="Heading 3 Char"/>
    <w:basedOn w:val="DefaultParagraphFont"/>
    <w:link w:val="Heading3"/>
    <w:uiPriority w:val="9"/>
    <w:rPr>
      <w:rFonts w:eastAsiaTheme="majorEastAsia" w:cs="Arial"/>
      <w:b/>
      <w:bCs/>
      <w:sz w:val="24"/>
    </w:rPr>
  </w:style>
  <w:style w:type="character" w:customStyle="1" w:styleId="Heading4Char">
    <w:name w:val="Heading 4 Char"/>
    <w:basedOn w:val="DefaultParagraphFont"/>
    <w:link w:val="Heading4"/>
    <w:uiPriority w:val="4"/>
    <w:rPr>
      <w:rFonts w:eastAsiaTheme="majorEastAsia"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pPr>
      <w:spacing w:after="120" w:line="240" w:lineRule="auto"/>
    </w:pPr>
    <w:rPr>
      <w:rFonts w:eastAsia="Calibri"/>
      <w:sz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eastAsia="Calibri"/>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26"/>
      </w:numPr>
      <w:spacing w:after="240"/>
      <w:contextualSpacing/>
    </w:pPr>
  </w:style>
  <w:style w:type="paragraph" w:styleId="ListNumber">
    <w:name w:val="List Number"/>
    <w:basedOn w:val="Normal"/>
    <w:uiPriority w:val="99"/>
    <w:qFormat/>
    <w:pPr>
      <w:numPr>
        <w:numId w:val="27"/>
      </w:numPr>
      <w:spacing w:after="240"/>
      <w:contextualSpacing/>
    </w:pPr>
  </w:style>
  <w:style w:type="paragraph" w:styleId="Title">
    <w:name w:val="Title"/>
    <w:basedOn w:val="Normal"/>
    <w:link w:val="TitleChar"/>
    <w:uiPriority w:val="7"/>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7"/>
    <w:rPr>
      <w:rFonts w:asciiTheme="majorHAnsi" w:eastAsiaTheme="majorEastAsia" w:hAnsiTheme="majorHAnsi" w:cstheme="majorBidi"/>
      <w:color w:val="17365D" w:themeColor="text2" w:themeShade="BF"/>
      <w:spacing w:val="5"/>
      <w:kern w:val="28"/>
      <w:sz w:val="52"/>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uiPriority w:val="6"/>
    <w:qFormat/>
    <w:pPr>
      <w:spacing w:after="240"/>
    </w:pPr>
  </w:style>
  <w:style w:type="paragraph" w:customStyle="1" w:styleId="DoubleIndent5">
    <w:name w:val="Double Indent .5"/>
    <w:aliases w:val="DblInd5"/>
    <w:basedOn w:val="Normal"/>
    <w:uiPriority w:val="2"/>
    <w:qFormat/>
    <w:pPr>
      <w:spacing w:after="240"/>
      <w:ind w:right="720"/>
    </w:pPr>
    <w:rPr>
      <w:iCs/>
    </w:rPr>
  </w:style>
  <w:style w:type="paragraph" w:customStyle="1" w:styleId="SCFootnotes">
    <w:name w:val="S.C. Footnotes"/>
    <w:basedOn w:val="FootnoteText"/>
    <w:qFormat/>
    <w:pPr>
      <w:spacing w:after="0"/>
      <w:jc w:val="left"/>
    </w:pPr>
    <w:rPr>
      <w:rFonts w:ascii="Times New Roman" w:eastAsia="Times New Roman" w:hAnsi="Times New Roman"/>
      <w:sz w:val="24"/>
      <w:szCs w:val="24"/>
    </w:rPr>
  </w:style>
  <w:style w:type="paragraph" w:customStyle="1" w:styleId="PUCOFootnotes">
    <w:name w:val="PUCO Footnotes"/>
    <w:qFormat/>
    <w:pPr>
      <w:jc w:val="both"/>
    </w:pPr>
    <w:rPr>
      <w:rFonts w:ascii="Arial" w:eastAsia="Calibri" w:hAnsi="Arial"/>
    </w:rPr>
  </w:style>
  <w:style w:type="paragraph" w:customStyle="1" w:styleId="SCBody">
    <w:name w:val="S.C. Body"/>
    <w:basedOn w:val="Heading1"/>
    <w:qFormat/>
    <w:pPr>
      <w:numPr>
        <w:numId w:val="0"/>
      </w:numPr>
      <w:spacing w:after="0"/>
      <w:outlineLvl w:val="9"/>
    </w:pPr>
    <w:rPr>
      <w:rFonts w:ascii="Times New Roman" w:hAnsi="Times New Roman"/>
      <w:b w:val="0"/>
      <w:caps w:val="0"/>
      <w:u w:val="none"/>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hAnsi="Arial"/>
      <w:sz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_1_0F431BAC0F42FE1C006AC5B485257E0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290</Words>
  <Characters>1627</Characters>
  <Application>Microsoft Office Word</Application>
  <DocSecurity>0</DocSecurity>
  <PresentationFormat>12|.DOCX</PresentationFormat>
  <Lines>96</Lines>
  <Paragraphs>53</Paragraphs>
  <ScaleCrop>false</ScaleCrop>
  <HeadingPairs>
    <vt:vector size="2" baseType="variant">
      <vt:variant>
        <vt:lpstr>Title</vt:lpstr>
      </vt:variant>
      <vt:variant>
        <vt:i4>1</vt:i4>
      </vt:variant>
    </vt:vector>
  </HeadingPairs>
  <TitlesOfParts>
    <vt:vector size="1" baseType="lpstr">
      <vt:lpstr>Linde's 2013 REC Cost Report (14-2328) (C46817).DOCX</vt:lpstr>
    </vt:vector>
  </TitlesOfParts>
  <Company>Some Company, Inc.</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Linde's 2013 REC Cost Report (14-2328) (C46817).DOCX</dc:title>
  <dc:subject>C46817: /font=8</dc:subject>
  <dc:creator>Debbie Ryan</dc:creator>
  <cp:lastModifiedBy>Debbie Ryan</cp:lastModifiedBy>
  <cp:revision>2</cp:revision>
  <dcterms:created xsi:type="dcterms:W3CDTF">2015-03-11T19:57:00Z</dcterms:created>
  <dcterms:modified xsi:type="dcterms:W3CDTF">2015-03-11T19:57:00Z</dcterms:modified>
</cp:coreProperties>
</file>